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B6219D">
      <w:pPr>
        <w:jc w:val="left"/>
      </w:pPr>
    </w:p>
    <w:p w14:paraId="64AD6665">
      <w:bookmarkStart w:id="0" w:name="EB3ace3d43b98b41779337deb808be6fa3"/>
      <w:r>
        <w:rPr>
          <w:rFonts w:hint="eastAsia"/>
          <w:sz w:val="20"/>
        </w:rPr>
        <w:t xml:space="preserve"> </w:t>
      </w:r>
      <w:bookmarkEnd w:id="0"/>
      <w:bookmarkStart w:id="1" w:name="EB57dd2a69e2b54b0cb3f5c2f03a1ab7bf"/>
      <w:r>
        <w:rPr>
          <w:rFonts w:hint="eastAsia"/>
          <w:sz w:val="20"/>
        </w:rPr>
        <w:t xml:space="preserve"> </w:t>
      </w:r>
      <w:bookmarkEnd w:id="1"/>
    </w:p>
    <w:p w14:paraId="258D5E05"/>
    <w:p w14:paraId="02EB7D71">
      <w:pPr>
        <w:spacing w:before="120" w:after="120" w:line="360" w:lineRule="auto"/>
        <w:jc w:val="center"/>
        <w:rPr>
          <w:rFonts w:ascii="Arial" w:hAnsi="Arial" w:eastAsia="黑体" w:cs="黑体"/>
          <w:b/>
          <w:sz w:val="84"/>
          <w:szCs w:val="24"/>
          <w:lang w:bidi="ar"/>
        </w:rPr>
      </w:pPr>
      <w:r>
        <w:rPr>
          <w:rFonts w:hint="eastAsia" w:ascii="Arial" w:hAnsi="Arial" w:eastAsia="黑体" w:cs="黑体"/>
          <w:b/>
          <w:sz w:val="84"/>
          <w:szCs w:val="24"/>
          <w:lang w:bidi="ar"/>
        </w:rPr>
        <w:t>招　标　文　件</w:t>
      </w:r>
    </w:p>
    <w:p w14:paraId="00472824">
      <w:pPr>
        <w:rPr>
          <w:rFonts w:ascii="Times New Roman" w:hAnsi="Times New Roman" w:cs="宋体"/>
          <w:b/>
          <w:sz w:val="30"/>
          <w:szCs w:val="30"/>
          <w:lang w:bidi="ar"/>
        </w:rPr>
      </w:pPr>
    </w:p>
    <w:p w14:paraId="3C57FFCC">
      <w:pPr>
        <w:rPr>
          <w:rFonts w:ascii="Times New Roman" w:hAnsi="Times New Roman" w:cs="宋体"/>
          <w:b/>
          <w:sz w:val="30"/>
          <w:szCs w:val="30"/>
          <w:lang w:bidi="ar"/>
        </w:rPr>
      </w:pPr>
    </w:p>
    <w:p w14:paraId="4685AC7D">
      <w:pPr>
        <w:rPr>
          <w:rFonts w:ascii="Times New Roman" w:hAnsi="Times New Roman" w:cs="宋体"/>
          <w:b/>
          <w:sz w:val="30"/>
          <w:szCs w:val="30"/>
          <w:lang w:bidi="ar"/>
        </w:rPr>
      </w:pPr>
    </w:p>
    <w:p w14:paraId="1A3C3D03">
      <w:pPr>
        <w:rPr>
          <w:rFonts w:ascii="Times New Roman" w:hAnsi="Times New Roman" w:cs="宋体"/>
          <w:b/>
          <w:sz w:val="30"/>
          <w:szCs w:val="30"/>
          <w:lang w:bidi="ar"/>
        </w:rPr>
      </w:pPr>
    </w:p>
    <w:p w14:paraId="45FCB356">
      <w:pPr>
        <w:rPr>
          <w:rFonts w:ascii="Times New Roman" w:hAnsi="Times New Roman" w:cs="宋体"/>
          <w:b/>
          <w:sz w:val="30"/>
          <w:szCs w:val="30"/>
          <w:lang w:bidi="ar"/>
        </w:rPr>
      </w:pPr>
    </w:p>
    <w:p w14:paraId="62BD1797">
      <w:pPr>
        <w:rPr>
          <w:rFonts w:ascii="Times New Roman" w:hAnsi="Times New Roman" w:cs="宋体"/>
          <w:b/>
          <w:sz w:val="30"/>
          <w:szCs w:val="30"/>
          <w:lang w:bidi="ar"/>
        </w:rPr>
      </w:pPr>
    </w:p>
    <w:p w14:paraId="57F72CB1">
      <w:pPr>
        <w:ind w:left="319" w:firstLine="643" w:firstLineChars="200"/>
        <w:jc w:val="left"/>
        <w:rPr>
          <w:rFonts w:ascii="Times New Roman" w:hAnsi="Times New Roman" w:cs="宋体"/>
          <w:b/>
          <w:sz w:val="32"/>
          <w:szCs w:val="32"/>
          <w:lang w:bidi="ar"/>
        </w:rPr>
      </w:pPr>
      <w:r>
        <w:rPr>
          <w:rFonts w:hint="eastAsia" w:ascii="Times New Roman" w:hAnsi="Times New Roman" w:cs="宋体"/>
          <w:b/>
          <w:sz w:val="32"/>
          <w:szCs w:val="32"/>
          <w:lang w:bidi="ar"/>
        </w:rPr>
        <w:t>项目名称：宿城区河道水环境质量驻场服务项目</w:t>
      </w:r>
    </w:p>
    <w:p w14:paraId="1F819F75">
      <w:pPr>
        <w:ind w:firstLine="1506"/>
        <w:jc w:val="left"/>
        <w:rPr>
          <w:rFonts w:ascii="Times New Roman" w:hAnsi="Times New Roman" w:cs="宋体"/>
          <w:b/>
          <w:sz w:val="32"/>
          <w:szCs w:val="32"/>
          <w:lang w:bidi="ar"/>
        </w:rPr>
      </w:pPr>
    </w:p>
    <w:p w14:paraId="27153833">
      <w:pPr>
        <w:ind w:firstLine="964" w:firstLineChars="300"/>
        <w:jc w:val="left"/>
        <w:rPr>
          <w:rFonts w:hint="eastAsia" w:ascii="Times New Roman" w:hAnsi="Times New Roman" w:cs="宋体"/>
          <w:b/>
          <w:sz w:val="32"/>
          <w:szCs w:val="32"/>
          <w:lang w:bidi="ar"/>
        </w:rPr>
      </w:pPr>
      <w:r>
        <w:rPr>
          <w:rFonts w:hint="eastAsia" w:ascii="Times New Roman" w:hAnsi="Times New Roman" w:cs="宋体"/>
          <w:b/>
          <w:sz w:val="32"/>
          <w:szCs w:val="32"/>
          <w:lang w:bidi="ar"/>
        </w:rPr>
        <w:t>项目编号： JSZC-321302-JSHB-G2026-0004</w:t>
      </w:r>
    </w:p>
    <w:p w14:paraId="6C32DF64">
      <w:pPr>
        <w:ind w:left="2800" w:hanging="2800"/>
        <w:rPr>
          <w:rFonts w:ascii="Times New Roman" w:hAnsi="Times New Roman"/>
          <w:sz w:val="28"/>
          <w:szCs w:val="28"/>
          <w:lang w:bidi="ar"/>
        </w:rPr>
      </w:pPr>
    </w:p>
    <w:p w14:paraId="54BC8A45">
      <w:pPr>
        <w:ind w:left="2800" w:hanging="2800"/>
        <w:rPr>
          <w:b/>
          <w:sz w:val="28"/>
          <w:szCs w:val="28"/>
        </w:rPr>
      </w:pPr>
      <w:r>
        <w:rPr>
          <w:rFonts w:ascii="Times New Roman" w:hAnsi="Times New Roman"/>
          <w:sz w:val="28"/>
          <w:szCs w:val="28"/>
          <w:lang w:bidi="ar"/>
        </w:rPr>
        <w:t xml:space="preserve">       </w:t>
      </w:r>
      <w:r>
        <w:rPr>
          <w:rFonts w:hint="eastAsia" w:ascii="Times New Roman" w:hAnsi="Times New Roman"/>
          <w:sz w:val="28"/>
          <w:szCs w:val="28"/>
          <w:lang w:bidi="ar"/>
        </w:rPr>
        <w:t xml:space="preserve">   </w:t>
      </w:r>
      <w:r>
        <w:rPr>
          <w:rFonts w:ascii="Times New Roman" w:hAnsi="Times New Roman"/>
          <w:b/>
          <w:sz w:val="28"/>
          <w:szCs w:val="28"/>
          <w:lang w:bidi="ar"/>
        </w:rPr>
        <w:t xml:space="preserve"> </w:t>
      </w:r>
    </w:p>
    <w:p w14:paraId="5A567885">
      <w:pPr>
        <w:spacing w:line="360" w:lineRule="auto"/>
        <w:jc w:val="left"/>
        <w:rPr>
          <w:rFonts w:ascii="宋体" w:hAnsi="宋体" w:cs="宋体"/>
          <w:sz w:val="24"/>
          <w:szCs w:val="24"/>
        </w:rPr>
      </w:pPr>
    </w:p>
    <w:p w14:paraId="7490B97C">
      <w:pPr>
        <w:spacing w:line="360" w:lineRule="auto"/>
        <w:jc w:val="left"/>
        <w:rPr>
          <w:rFonts w:ascii="宋体" w:hAnsi="宋体" w:cs="宋体"/>
          <w:sz w:val="24"/>
          <w:szCs w:val="24"/>
        </w:rPr>
      </w:pPr>
    </w:p>
    <w:p w14:paraId="4BB8F864">
      <w:pPr>
        <w:spacing w:line="360" w:lineRule="auto"/>
        <w:jc w:val="left"/>
        <w:rPr>
          <w:rFonts w:ascii="宋体" w:hAnsi="宋体" w:cs="宋体"/>
          <w:sz w:val="24"/>
          <w:szCs w:val="24"/>
        </w:rPr>
      </w:pPr>
    </w:p>
    <w:p w14:paraId="0824C49A">
      <w:pPr>
        <w:spacing w:line="360" w:lineRule="auto"/>
        <w:jc w:val="left"/>
        <w:rPr>
          <w:rFonts w:ascii="宋体" w:hAnsi="宋体" w:cs="宋体"/>
          <w:sz w:val="24"/>
          <w:szCs w:val="24"/>
        </w:rPr>
      </w:pPr>
    </w:p>
    <w:p w14:paraId="5D6FB3A3">
      <w:pPr>
        <w:spacing w:line="360" w:lineRule="auto"/>
        <w:jc w:val="left"/>
        <w:rPr>
          <w:rFonts w:ascii="宋体" w:hAnsi="宋体" w:cs="宋体"/>
          <w:sz w:val="24"/>
          <w:szCs w:val="24"/>
        </w:rPr>
      </w:pPr>
    </w:p>
    <w:p w14:paraId="7AE414B4">
      <w:pPr>
        <w:spacing w:line="360" w:lineRule="auto"/>
        <w:jc w:val="left"/>
        <w:rPr>
          <w:rFonts w:ascii="宋体" w:hAnsi="宋体" w:cs="宋体"/>
          <w:sz w:val="24"/>
          <w:szCs w:val="24"/>
        </w:rPr>
      </w:pPr>
    </w:p>
    <w:tbl>
      <w:tblPr>
        <w:tblStyle w:val="38"/>
        <w:tblW w:w="0" w:type="auto"/>
        <w:jc w:val="center"/>
        <w:tblLayout w:type="autofit"/>
        <w:tblCellMar>
          <w:top w:w="0" w:type="dxa"/>
          <w:left w:w="108" w:type="dxa"/>
          <w:bottom w:w="0" w:type="dxa"/>
          <w:right w:w="108" w:type="dxa"/>
        </w:tblCellMar>
      </w:tblPr>
      <w:tblGrid>
        <w:gridCol w:w="2552"/>
        <w:gridCol w:w="4723"/>
      </w:tblGrid>
      <w:tr w14:paraId="286EAF95">
        <w:tblPrEx>
          <w:tblCellMar>
            <w:top w:w="0" w:type="dxa"/>
            <w:left w:w="108" w:type="dxa"/>
            <w:bottom w:w="0" w:type="dxa"/>
            <w:right w:w="108" w:type="dxa"/>
          </w:tblCellMar>
        </w:tblPrEx>
        <w:trPr>
          <w:trHeight w:val="897" w:hRule="atLeast"/>
          <w:jc w:val="center"/>
        </w:trPr>
        <w:tc>
          <w:tcPr>
            <w:tcW w:w="2552" w:type="dxa"/>
            <w:tcBorders>
              <w:top w:val="nil"/>
              <w:left w:val="nil"/>
              <w:bottom w:val="nil"/>
              <w:right w:val="nil"/>
            </w:tcBorders>
            <w:vAlign w:val="center"/>
          </w:tcPr>
          <w:p w14:paraId="49985AAE">
            <w:pPr>
              <w:spacing w:line="500" w:lineRule="exact"/>
              <w:jc w:val="left"/>
              <w:rPr>
                <w:rFonts w:ascii="仿宋" w:hAnsi="仿宋" w:eastAsia="仿宋" w:cs="仿宋"/>
                <w:sz w:val="24"/>
                <w:szCs w:val="24"/>
              </w:rPr>
            </w:pPr>
            <w:r>
              <w:rPr>
                <w:rFonts w:hint="eastAsia" w:ascii="Times New Roman" w:hAnsi="Times New Roman"/>
                <w:b/>
                <w:bCs/>
                <w:spacing w:val="45"/>
                <w:sz w:val="32"/>
                <w:szCs w:val="24"/>
              </w:rPr>
              <w:t>采  购 人</w:t>
            </w:r>
            <w:r>
              <w:rPr>
                <w:rFonts w:hint="eastAsia" w:ascii="Times New Roman" w:hAnsi="Times New Roman"/>
                <w:b/>
                <w:bCs/>
                <w:spacing w:val="1"/>
                <w:sz w:val="32"/>
                <w:szCs w:val="24"/>
              </w:rPr>
              <w:t>：</w:t>
            </w:r>
          </w:p>
        </w:tc>
        <w:tc>
          <w:tcPr>
            <w:tcW w:w="4723" w:type="dxa"/>
            <w:tcBorders>
              <w:top w:val="nil"/>
              <w:left w:val="nil"/>
              <w:bottom w:val="nil"/>
              <w:right w:val="nil"/>
            </w:tcBorders>
            <w:vAlign w:val="center"/>
          </w:tcPr>
          <w:p w14:paraId="244585C8">
            <w:pPr>
              <w:pStyle w:val="35"/>
              <w:spacing w:before="0" w:beforeAutospacing="0" w:after="0" w:afterAutospacing="0" w:line="480" w:lineRule="exact"/>
              <w:jc w:val="both"/>
              <w:rPr>
                <w:rFonts w:ascii="仿宋" w:hAnsi="仿宋" w:cs="仿宋"/>
                <w:sz w:val="28"/>
                <w:szCs w:val="28"/>
              </w:rPr>
            </w:pPr>
            <w:r>
              <w:rPr>
                <w:rFonts w:hint="eastAsia" w:ascii="Times New Roman" w:hAnsi="Times New Roman"/>
                <w:b/>
                <w:sz w:val="32"/>
                <w:szCs w:val="32"/>
                <w:lang w:bidi="ar"/>
              </w:rPr>
              <w:t>宿迁市宿城生态环境局</w:t>
            </w:r>
          </w:p>
        </w:tc>
      </w:tr>
      <w:tr w14:paraId="31D25E2D">
        <w:tblPrEx>
          <w:tblCellMar>
            <w:top w:w="0" w:type="dxa"/>
            <w:left w:w="108" w:type="dxa"/>
            <w:bottom w:w="0" w:type="dxa"/>
            <w:right w:w="108" w:type="dxa"/>
          </w:tblCellMar>
        </w:tblPrEx>
        <w:trPr>
          <w:trHeight w:val="944" w:hRule="atLeast"/>
          <w:jc w:val="center"/>
        </w:trPr>
        <w:tc>
          <w:tcPr>
            <w:tcW w:w="2552" w:type="dxa"/>
            <w:tcBorders>
              <w:top w:val="nil"/>
              <w:left w:val="nil"/>
              <w:bottom w:val="nil"/>
              <w:right w:val="nil"/>
            </w:tcBorders>
            <w:vAlign w:val="center"/>
          </w:tcPr>
          <w:p w14:paraId="18B7A4A8">
            <w:pPr>
              <w:spacing w:line="500" w:lineRule="exact"/>
              <w:jc w:val="left"/>
              <w:rPr>
                <w:rFonts w:ascii="Times New Roman" w:hAnsi="Times New Roman"/>
                <w:b/>
                <w:bCs/>
                <w:spacing w:val="45"/>
                <w:sz w:val="32"/>
                <w:szCs w:val="24"/>
              </w:rPr>
            </w:pPr>
            <w:r>
              <w:rPr>
                <w:rFonts w:hint="eastAsia" w:ascii="Times New Roman" w:hAnsi="Times New Roman"/>
                <w:b/>
                <w:bCs/>
                <w:sz w:val="32"/>
                <w:szCs w:val="24"/>
              </w:rPr>
              <w:t>采购代理机构：</w:t>
            </w:r>
          </w:p>
        </w:tc>
        <w:tc>
          <w:tcPr>
            <w:tcW w:w="4723" w:type="dxa"/>
            <w:tcBorders>
              <w:top w:val="nil"/>
              <w:left w:val="nil"/>
              <w:bottom w:val="nil"/>
              <w:right w:val="nil"/>
            </w:tcBorders>
            <w:vAlign w:val="center"/>
          </w:tcPr>
          <w:p w14:paraId="2B3EB3DD">
            <w:pPr>
              <w:spacing w:line="500" w:lineRule="exact"/>
              <w:jc w:val="left"/>
              <w:rPr>
                <w:rFonts w:ascii="仿宋" w:hAnsi="仿宋" w:cs="仿宋"/>
                <w:sz w:val="28"/>
                <w:szCs w:val="28"/>
              </w:rPr>
            </w:pPr>
            <w:r>
              <w:rPr>
                <w:rFonts w:hint="eastAsia" w:ascii="Times New Roman" w:hAnsi="Times New Roman" w:cs="宋体"/>
                <w:b/>
                <w:sz w:val="32"/>
                <w:szCs w:val="32"/>
                <w:lang w:bidi="ar"/>
              </w:rPr>
              <w:t>江苏</w:t>
            </w:r>
            <w:r>
              <w:rPr>
                <w:rFonts w:ascii="Times New Roman" w:hAnsi="Times New Roman" w:cs="宋体"/>
                <w:b/>
                <w:sz w:val="32"/>
                <w:szCs w:val="32"/>
                <w:lang w:bidi="ar"/>
              </w:rPr>
              <w:t>宏邦工程管理咨询有限公司</w:t>
            </w:r>
          </w:p>
        </w:tc>
      </w:tr>
    </w:tbl>
    <w:p w14:paraId="3AB48206">
      <w:pPr>
        <w:spacing w:line="360" w:lineRule="auto"/>
        <w:jc w:val="left"/>
        <w:rPr>
          <w:rFonts w:ascii="宋体" w:hAnsi="宋体" w:cs="宋体"/>
          <w:sz w:val="24"/>
          <w:szCs w:val="24"/>
        </w:rPr>
      </w:pPr>
    </w:p>
    <w:p w14:paraId="5A0ADEF6">
      <w:pPr>
        <w:spacing w:before="120" w:after="120" w:line="360" w:lineRule="auto"/>
        <w:ind w:firstLine="964"/>
        <w:jc w:val="center"/>
        <w:rPr>
          <w:rFonts w:ascii="Times New Roman" w:hAnsi="Times New Roman"/>
          <w:b/>
          <w:sz w:val="32"/>
          <w:szCs w:val="24"/>
        </w:rPr>
      </w:pPr>
      <w:r>
        <w:rPr>
          <w:rFonts w:ascii="Times New Roman" w:hAnsi="Times New Roman"/>
          <w:b/>
          <w:sz w:val="32"/>
          <w:szCs w:val="24"/>
          <w:lang w:bidi="ar"/>
        </w:rPr>
        <w:t>202</w:t>
      </w:r>
      <w:r>
        <w:rPr>
          <w:rFonts w:hint="eastAsia" w:ascii="Times New Roman" w:hAnsi="Times New Roman"/>
          <w:b/>
          <w:sz w:val="32"/>
          <w:szCs w:val="24"/>
          <w:lang w:bidi="ar"/>
        </w:rPr>
        <w:t>6</w:t>
      </w:r>
      <w:r>
        <w:rPr>
          <w:rFonts w:hint="eastAsia" w:ascii="Times New Roman" w:hAnsi="Times New Roman" w:cs="宋体"/>
          <w:b/>
          <w:sz w:val="32"/>
          <w:szCs w:val="24"/>
          <w:lang w:bidi="ar"/>
        </w:rPr>
        <w:t>年</w:t>
      </w:r>
      <w:r>
        <w:rPr>
          <w:rFonts w:hint="eastAsia" w:ascii="Times New Roman" w:hAnsi="Times New Roman" w:cs="宋体"/>
          <w:b/>
          <w:sz w:val="32"/>
          <w:szCs w:val="24"/>
          <w:lang w:val="en-US" w:eastAsia="zh-CN" w:bidi="ar"/>
        </w:rPr>
        <w:t>09</w:t>
      </w:r>
      <w:r>
        <w:rPr>
          <w:rFonts w:hint="eastAsia" w:ascii="Times New Roman" w:hAnsi="Times New Roman" w:cs="宋体"/>
          <w:b/>
          <w:sz w:val="32"/>
          <w:szCs w:val="24"/>
          <w:lang w:bidi="ar"/>
        </w:rPr>
        <w:t>月</w:t>
      </w:r>
      <w:r>
        <w:rPr>
          <w:rFonts w:hint="eastAsia" w:ascii="Times New Roman" w:hAnsi="Times New Roman" w:cs="宋体"/>
          <w:b/>
          <w:sz w:val="32"/>
          <w:szCs w:val="24"/>
          <w:lang w:val="en-US" w:eastAsia="zh-CN" w:bidi="ar"/>
        </w:rPr>
        <w:t>01</w:t>
      </w:r>
      <w:r>
        <w:rPr>
          <w:rFonts w:hint="eastAsia" w:ascii="Times New Roman" w:hAnsi="Times New Roman" w:cs="宋体"/>
          <w:b/>
          <w:sz w:val="32"/>
          <w:szCs w:val="24"/>
          <w:lang w:bidi="ar"/>
        </w:rPr>
        <w:t>日</w:t>
      </w:r>
    </w:p>
    <w:p w14:paraId="2CBE94C3">
      <w:pPr>
        <w:spacing w:before="120" w:after="120" w:line="360" w:lineRule="auto"/>
        <w:jc w:val="center"/>
        <w:rPr>
          <w:rFonts w:ascii="Arial" w:hAnsi="Arial"/>
          <w:b/>
          <w:sz w:val="32"/>
          <w:szCs w:val="24"/>
        </w:rPr>
      </w:pPr>
    </w:p>
    <w:p w14:paraId="6E457A82">
      <w:pPr>
        <w:keepNext/>
        <w:keepLines/>
        <w:pageBreakBefore/>
        <w:spacing w:before="721" w:after="721" w:line="900" w:lineRule="exact"/>
        <w:jc w:val="center"/>
        <w:rPr>
          <w:b/>
          <w:sz w:val="44"/>
          <w:szCs w:val="44"/>
        </w:rPr>
      </w:pPr>
      <w:r>
        <w:rPr>
          <w:rFonts w:hint="eastAsia"/>
          <w:b/>
          <w:sz w:val="44"/>
          <w:szCs w:val="44"/>
        </w:rPr>
        <w:t>目 录</w:t>
      </w:r>
    </w:p>
    <w:p w14:paraId="43CE10C0">
      <w:pPr>
        <w:pStyle w:val="127"/>
        <w:tabs>
          <w:tab w:val="right" w:leader="dot" w:pos="9185"/>
        </w:tabs>
        <w:spacing w:before="0" w:after="0" w:line="700" w:lineRule="exact"/>
        <w:rPr>
          <w:rFonts w:ascii="Times New Roman" w:hAnsi="Times New Roman" w:eastAsia="黑体"/>
          <w:b w:val="0"/>
          <w:bCs w:val="0"/>
          <w:caps w:val="0"/>
          <w:sz w:val="32"/>
        </w:rPr>
      </w:pP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TOC \o "1-1" \h \u </w:instrText>
      </w:r>
      <w:r>
        <w:rPr>
          <w:rFonts w:ascii="Times New Roman" w:hAnsi="Times New Roman" w:eastAsia="黑体"/>
          <w:b w:val="0"/>
          <w:bCs w:val="0"/>
          <w:caps w:val="0"/>
          <w:sz w:val="32"/>
        </w:rPr>
        <w:fldChar w:fldCharType="separate"/>
      </w:r>
      <w:r>
        <w:fldChar w:fldCharType="begin"/>
      </w:r>
      <w:r>
        <w:instrText xml:space="preserve"> HYPERLINK \l "_Toc8997" </w:instrText>
      </w:r>
      <w:r>
        <w:fldChar w:fldCharType="separate"/>
      </w:r>
      <w:r>
        <w:rPr>
          <w:rFonts w:hint="eastAsia" w:ascii="Times New Roman" w:hAnsi="Times New Roman" w:eastAsia="黑体"/>
          <w:b w:val="0"/>
          <w:bCs w:val="0"/>
          <w:caps w:val="0"/>
          <w:sz w:val="32"/>
        </w:rPr>
        <w:t>第一章  投标邀请</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_Toc8997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2C1E14D7">
      <w:pPr>
        <w:pStyle w:val="127"/>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"_Toc3314" </w:instrText>
      </w:r>
      <w:r>
        <w:fldChar w:fldCharType="separate"/>
      </w:r>
      <w:r>
        <w:rPr>
          <w:rFonts w:hint="eastAsia" w:ascii="Times New Roman" w:hAnsi="Times New Roman" w:eastAsia="黑体"/>
          <w:b w:val="0"/>
          <w:bCs w:val="0"/>
          <w:caps w:val="0"/>
          <w:sz w:val="32"/>
        </w:rPr>
        <w:t>第二章  投标人须知</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_Toc3314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6</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558A8E6C">
      <w:pPr>
        <w:pStyle w:val="127"/>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"_Toc23386" </w:instrText>
      </w:r>
      <w:r>
        <w:fldChar w:fldCharType="separate"/>
      </w:r>
      <w:r>
        <w:rPr>
          <w:rFonts w:hint="eastAsia" w:ascii="Times New Roman" w:hAnsi="Times New Roman" w:eastAsia="黑体" w:cs="Times New Roman"/>
          <w:b w:val="0"/>
          <w:bCs w:val="0"/>
          <w:caps w:val="0"/>
          <w:sz w:val="32"/>
          <w:szCs w:val="44"/>
        </w:rPr>
        <w:t>第三章  资格审查及评标方法</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_Toc23386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20</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3FB21940">
      <w:pPr>
        <w:pStyle w:val="127"/>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"_Toc23973" </w:instrText>
      </w:r>
      <w:r>
        <w:fldChar w:fldCharType="separate"/>
      </w:r>
      <w:r>
        <w:rPr>
          <w:rFonts w:hint="eastAsia" w:ascii="Times New Roman" w:hAnsi="Times New Roman" w:eastAsia="黑体"/>
          <w:b w:val="0"/>
          <w:bCs w:val="0"/>
          <w:caps w:val="0"/>
          <w:sz w:val="32"/>
          <w:szCs w:val="44"/>
        </w:rPr>
        <w:t>第四章</w:t>
      </w:r>
      <w:r>
        <w:rPr>
          <w:rFonts w:ascii="Times New Roman" w:hAnsi="Times New Roman" w:eastAsia="黑体"/>
          <w:b w:val="0"/>
          <w:bCs w:val="0"/>
          <w:caps w:val="0"/>
          <w:sz w:val="32"/>
          <w:szCs w:val="44"/>
        </w:rPr>
        <w:t xml:space="preserve">  </w:t>
      </w:r>
      <w:r>
        <w:rPr>
          <w:rFonts w:hint="eastAsia" w:ascii="Times New Roman" w:hAnsi="Times New Roman" w:eastAsia="黑体"/>
          <w:b w:val="0"/>
          <w:bCs w:val="0"/>
          <w:caps w:val="0"/>
          <w:sz w:val="32"/>
          <w:szCs w:val="44"/>
        </w:rPr>
        <w:t>采购需求</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_Toc23973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25</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4737CD62">
      <w:pPr>
        <w:pStyle w:val="127"/>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"_Toc7023" </w:instrText>
      </w:r>
      <w:r>
        <w:fldChar w:fldCharType="separate"/>
      </w:r>
      <w:r>
        <w:rPr>
          <w:rFonts w:hint="eastAsia" w:ascii="Times New Roman" w:hAnsi="Times New Roman" w:eastAsia="黑体"/>
          <w:b w:val="0"/>
          <w:bCs w:val="0"/>
          <w:caps w:val="0"/>
          <w:sz w:val="32"/>
          <w:szCs w:val="44"/>
        </w:rPr>
        <w:t>第五章  合同文本</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_Toc7023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3025E07D">
      <w:pPr>
        <w:pStyle w:val="127"/>
        <w:tabs>
          <w:tab w:val="right" w:leader="dot" w:pos="9185"/>
        </w:tabs>
        <w:spacing w:before="0" w:after="0" w:line="700" w:lineRule="exact"/>
        <w:rPr>
          <w:rFonts w:ascii="Times New Roman" w:hAnsi="Times New Roman" w:eastAsia="黑体"/>
          <w:b w:val="0"/>
          <w:bCs w:val="0"/>
          <w:caps w:val="0"/>
          <w:sz w:val="32"/>
        </w:rPr>
      </w:pPr>
      <w:r>
        <w:fldChar w:fldCharType="begin"/>
      </w:r>
      <w:r>
        <w:instrText xml:space="preserve"> HYPERLINK \l "_Toc11391" </w:instrText>
      </w:r>
      <w:r>
        <w:fldChar w:fldCharType="separate"/>
      </w:r>
      <w:r>
        <w:rPr>
          <w:rFonts w:hint="eastAsia" w:ascii="Times New Roman" w:hAnsi="Times New Roman" w:eastAsia="黑体"/>
          <w:b w:val="0"/>
          <w:bCs w:val="0"/>
          <w:caps w:val="0"/>
          <w:sz w:val="32"/>
          <w:szCs w:val="44"/>
        </w:rPr>
        <w:t>第六章  投标文件格式</w:t>
      </w:r>
      <w:r>
        <w:rPr>
          <w:rFonts w:ascii="Times New Roman" w:hAnsi="Times New Roman" w:eastAsia="黑体"/>
          <w:b w:val="0"/>
          <w:bCs w:val="0"/>
          <w:caps w:val="0"/>
          <w:sz w:val="32"/>
        </w:rPr>
        <w:tab/>
      </w:r>
      <w:r>
        <w:rPr>
          <w:rFonts w:ascii="Times New Roman" w:hAnsi="Times New Roman" w:eastAsia="黑体"/>
          <w:b w:val="0"/>
          <w:bCs w:val="0"/>
          <w:caps w:val="0"/>
          <w:sz w:val="32"/>
        </w:rPr>
        <w:fldChar w:fldCharType="begin"/>
      </w:r>
      <w:r>
        <w:rPr>
          <w:rFonts w:ascii="Times New Roman" w:hAnsi="Times New Roman" w:eastAsia="黑体"/>
          <w:b w:val="0"/>
          <w:bCs w:val="0"/>
          <w:caps w:val="0"/>
          <w:sz w:val="32"/>
        </w:rPr>
        <w:instrText xml:space="preserve"> PAGEREF _Toc11391 \h </w:instrText>
      </w:r>
      <w:r>
        <w:rPr>
          <w:rFonts w:ascii="Times New Roman" w:hAnsi="Times New Roman" w:eastAsia="黑体"/>
          <w:b w:val="0"/>
          <w:bCs w:val="0"/>
          <w:caps w:val="0"/>
          <w:sz w:val="32"/>
        </w:rPr>
        <w:fldChar w:fldCharType="separate"/>
      </w:r>
      <w:r>
        <w:rPr>
          <w:rFonts w:ascii="Times New Roman" w:hAnsi="Times New Roman" w:eastAsia="黑体"/>
          <w:b w:val="0"/>
          <w:bCs w:val="0"/>
          <w:caps w:val="0"/>
          <w:sz w:val="32"/>
        </w:rPr>
        <w:t>39</w:t>
      </w:r>
      <w:r>
        <w:rPr>
          <w:rFonts w:ascii="Times New Roman" w:hAnsi="Times New Roman" w:eastAsia="黑体"/>
          <w:b w:val="0"/>
          <w:bCs w:val="0"/>
          <w:caps w:val="0"/>
          <w:sz w:val="32"/>
        </w:rPr>
        <w:fldChar w:fldCharType="end"/>
      </w:r>
      <w:r>
        <w:rPr>
          <w:rFonts w:ascii="Times New Roman" w:hAnsi="Times New Roman" w:eastAsia="黑体"/>
          <w:b w:val="0"/>
          <w:bCs w:val="0"/>
          <w:caps w:val="0"/>
          <w:sz w:val="32"/>
        </w:rPr>
        <w:fldChar w:fldCharType="end"/>
      </w:r>
    </w:p>
    <w:p w14:paraId="127708E0">
      <w:pPr>
        <w:spacing w:line="700" w:lineRule="exact"/>
      </w:pPr>
      <w:r>
        <w:rPr>
          <w:rFonts w:ascii="Times New Roman" w:hAnsi="Times New Roman" w:eastAsia="黑体"/>
          <w:sz w:val="32"/>
        </w:rPr>
        <w:fldChar w:fldCharType="end"/>
      </w:r>
    </w:p>
    <w:p w14:paraId="5874238D"/>
    <w:p w14:paraId="218AB0A7"/>
    <w:p w14:paraId="50E8EC97"/>
    <w:p w14:paraId="1FD8C9BB"/>
    <w:p w14:paraId="09EDA3C0"/>
    <w:p w14:paraId="75E39571"/>
    <w:p w14:paraId="5074B3FC"/>
    <w:p w14:paraId="65AE1576">
      <w:pPr>
        <w:keepNext/>
        <w:keepLines/>
        <w:pageBreakBefore/>
        <w:jc w:val="center"/>
        <w:outlineLvl w:val="0"/>
        <w:rPr>
          <w:b/>
          <w:sz w:val="44"/>
          <w:szCs w:val="44"/>
        </w:rPr>
        <w:sectPr>
          <w:footerReference r:id="rId5" w:type="first"/>
          <w:headerReference r:id="rId3" w:type="default"/>
          <w:footerReference r:id="rId4" w:type="default"/>
          <w:pgSz w:w="11907" w:h="16840"/>
          <w:pgMar w:top="1474" w:right="1304" w:bottom="1474" w:left="1418" w:header="851" w:footer="851" w:gutter="0"/>
          <w:cols w:space="1701" w:num="1"/>
          <w:docGrid w:linePitch="360" w:charSpace="0"/>
        </w:sectPr>
      </w:pPr>
      <w:bookmarkStart w:id="2" w:name="_Toc81575189"/>
      <w:bookmarkStart w:id="3" w:name="_Toc81575152"/>
    </w:p>
    <w:p w14:paraId="7BA773E8">
      <w:pPr>
        <w:pStyle w:val="76"/>
        <w:spacing w:before="200"/>
        <w:jc w:val="center"/>
        <w:rPr>
          <w:rFonts w:eastAsia="黑体"/>
          <w:sz w:val="44"/>
        </w:rPr>
      </w:pPr>
      <w:bookmarkStart w:id="4" w:name="_Toc25722"/>
      <w:bookmarkStart w:id="5" w:name="_Toc30943"/>
      <w:bookmarkStart w:id="6" w:name="_Toc8997"/>
      <w:r>
        <w:rPr>
          <w:rFonts w:hint="eastAsia" w:eastAsia="黑体"/>
          <w:sz w:val="44"/>
        </w:rPr>
        <w:t>第一章  投标邀请</w:t>
      </w:r>
      <w:bookmarkEnd w:id="2"/>
      <w:bookmarkEnd w:id="3"/>
      <w:bookmarkEnd w:id="4"/>
      <w:bookmarkEnd w:id="5"/>
      <w:bookmarkEnd w:id="6"/>
    </w:p>
    <w:p w14:paraId="6A631401">
      <w:pPr>
        <w:spacing w:line="480" w:lineRule="exact"/>
        <w:ind w:firstLine="480"/>
        <w:rPr>
          <w:rFonts w:ascii="Times New Roman" w:hAnsi="Times New Roman" w:cs="方正仿宋_GBK"/>
          <w:sz w:val="24"/>
          <w:szCs w:val="24"/>
        </w:rPr>
      </w:pPr>
      <w:r>
        <w:rPr>
          <w:rFonts w:hint="eastAsia" w:ascii="宋体" w:hAnsi="宋体"/>
          <w:sz w:val="24"/>
          <w:szCs w:val="24"/>
        </w:rPr>
        <w:t>受</w:t>
      </w:r>
      <w:r>
        <w:rPr>
          <w:rFonts w:hint="eastAsia" w:ascii="Times New Roman" w:hAnsi="Times New Roman" w:cs="方正仿宋_GBK"/>
          <w:sz w:val="24"/>
          <w:szCs w:val="24"/>
          <w:u w:val="single"/>
        </w:rPr>
        <w:t>宿迁市宿城生态环境局</w:t>
      </w:r>
      <w:r>
        <w:rPr>
          <w:rFonts w:hint="eastAsia" w:ascii="宋体" w:hAnsi="宋体"/>
          <w:sz w:val="24"/>
          <w:szCs w:val="24"/>
        </w:rPr>
        <w:t>的委托，</w:t>
      </w:r>
      <w:r>
        <w:rPr>
          <w:rFonts w:hint="eastAsia" w:ascii="Times New Roman" w:hAnsi="Times New Roman" w:cs="方正仿宋_GBK"/>
          <w:sz w:val="24"/>
          <w:szCs w:val="24"/>
          <w:u w:val="single"/>
        </w:rPr>
        <w:t>江苏宏邦工程管理咨询有限公司</w:t>
      </w:r>
      <w:r>
        <w:rPr>
          <w:rFonts w:hint="eastAsia" w:ascii="Times New Roman" w:hAnsi="Times New Roman" w:cs="方正仿宋_GBK"/>
          <w:sz w:val="24"/>
          <w:szCs w:val="24"/>
        </w:rPr>
        <w:t>就</w:t>
      </w:r>
      <w:r>
        <w:rPr>
          <w:rFonts w:hint="eastAsia" w:ascii="Times New Roman" w:hAnsi="Times New Roman" w:cs="方正仿宋_GBK"/>
          <w:sz w:val="24"/>
          <w:szCs w:val="24"/>
          <w:u w:val="single"/>
        </w:rPr>
        <w:t>宿城区河道水环境质量驻场服务项目(JSZC-321302-JSHB-G2026-0004 )</w:t>
      </w:r>
      <w:r>
        <w:rPr>
          <w:rFonts w:hint="eastAsia" w:ascii="Times New Roman" w:hAnsi="Times New Roman" w:cs="方正仿宋_GBK"/>
          <w:sz w:val="24"/>
          <w:szCs w:val="24"/>
        </w:rPr>
        <w:t>进行公开招标采购，欢迎符合条件的投标人投标。</w:t>
      </w:r>
    </w:p>
    <w:p w14:paraId="3702B64C">
      <w:pPr>
        <w:pBdr>
          <w:top w:val="single" w:color="000000" w:sz="4" w:space="1"/>
          <w:left w:val="single" w:color="000000" w:sz="4" w:space="4"/>
          <w:bottom w:val="single" w:color="000000" w:sz="4" w:space="1"/>
          <w:right w:val="single" w:color="000000" w:sz="4" w:space="4"/>
        </w:pBdr>
        <w:spacing w:line="480" w:lineRule="exact"/>
        <w:ind w:firstLine="480"/>
        <w:rPr>
          <w:rFonts w:ascii="Times New Roman" w:hAnsi="Times New Roman" w:cs="方正仿宋_GBK"/>
          <w:sz w:val="24"/>
          <w:szCs w:val="24"/>
        </w:rPr>
      </w:pPr>
      <w:r>
        <w:rPr>
          <w:rFonts w:hint="eastAsia" w:ascii="Times New Roman" w:hAnsi="Times New Roman" w:cs="方正仿宋_GBK"/>
          <w:sz w:val="24"/>
          <w:szCs w:val="24"/>
        </w:rPr>
        <w:t>项目概况</w:t>
      </w:r>
    </w:p>
    <w:p w14:paraId="7649AA09">
      <w:pPr>
        <w:pBdr>
          <w:top w:val="single" w:color="000000" w:sz="4" w:space="1"/>
          <w:left w:val="single" w:color="000000" w:sz="4" w:space="4"/>
          <w:bottom w:val="single" w:color="000000" w:sz="4" w:space="1"/>
          <w:right w:val="single" w:color="000000" w:sz="4" w:space="4"/>
        </w:pBdr>
        <w:spacing w:line="480" w:lineRule="exact"/>
        <w:ind w:firstLine="480"/>
        <w:rPr>
          <w:rFonts w:ascii="方正仿宋_GBK" w:hAnsi="方正仿宋_GBK" w:eastAsia="方正仿宋_GBK" w:cs="方正仿宋_GBK"/>
          <w:sz w:val="24"/>
          <w:szCs w:val="24"/>
        </w:rPr>
      </w:pPr>
      <w:r>
        <w:rPr>
          <w:rFonts w:hint="eastAsia" w:ascii="Times New Roman" w:hAnsi="Times New Roman" w:cs="方正仿宋_GBK"/>
          <w:sz w:val="24"/>
          <w:szCs w:val="24"/>
          <w:u w:val="single"/>
        </w:rPr>
        <w:t>宿城区河道水环境质量驻场服务项目</w:t>
      </w:r>
      <w:r>
        <w:rPr>
          <w:rFonts w:hint="eastAsia" w:ascii="Times New Roman" w:hAnsi="Times New Roman" w:cs="方正仿宋_GBK"/>
          <w:sz w:val="24"/>
          <w:szCs w:val="24"/>
        </w:rPr>
        <w:t>招标项目的潜在投标人可在“</w:t>
      </w:r>
      <w:r>
        <w:rPr>
          <w:rFonts w:hint="eastAsia" w:ascii="Times New Roman" w:hAnsi="Times New Roman" w:cs="方正仿宋_GBK"/>
          <w:sz w:val="24"/>
          <w:szCs w:val="24"/>
          <w:u w:val="single"/>
        </w:rPr>
        <w:t>江苏政府采购网</w:t>
      </w:r>
      <w:r>
        <w:rPr>
          <w:rFonts w:hint="eastAsia" w:ascii="Times New Roman" w:hAnsi="Times New Roman" w:cs="方正仿宋_GBK"/>
          <w:sz w:val="24"/>
          <w:szCs w:val="24"/>
        </w:rPr>
        <w:t>”、</w:t>
      </w:r>
      <w:r>
        <w:rPr>
          <w:rFonts w:hint="eastAsia" w:ascii="Times New Roman" w:hAnsi="Times New Roman" w:cs="方正仿宋_GBK"/>
          <w:sz w:val="24"/>
          <w:szCs w:val="24"/>
          <w:u w:val="single"/>
        </w:rPr>
        <w:t>“宿迁市政府采购网”自行免费</w:t>
      </w:r>
      <w:r>
        <w:rPr>
          <w:rFonts w:hint="eastAsia" w:ascii="Times New Roman" w:hAnsi="Times New Roman" w:cs="方正仿宋_GBK"/>
          <w:sz w:val="24"/>
          <w:szCs w:val="24"/>
        </w:rPr>
        <w:t>获取招标文件，并于</w:t>
      </w:r>
      <w:r>
        <w:rPr>
          <w:rFonts w:hint="eastAsia" w:ascii="宋体" w:hAnsi="宋体"/>
          <w:sz w:val="24"/>
          <w:szCs w:val="24"/>
          <w:u w:val="single"/>
        </w:rPr>
        <w:t>2026年</w:t>
      </w:r>
      <w:r>
        <w:rPr>
          <w:rFonts w:hint="eastAsia" w:ascii="宋体" w:hAnsi="宋体"/>
          <w:sz w:val="24"/>
          <w:szCs w:val="24"/>
          <w:u w:val="single"/>
          <w:lang w:val="en-US" w:eastAsia="zh-CN"/>
        </w:rPr>
        <w:t>09</w:t>
      </w:r>
      <w:r>
        <w:rPr>
          <w:rFonts w:hint="eastAsia" w:ascii="宋体" w:hAnsi="宋体"/>
          <w:sz w:val="24"/>
          <w:szCs w:val="24"/>
          <w:u w:val="single"/>
        </w:rPr>
        <w:t>月</w:t>
      </w:r>
      <w:r>
        <w:rPr>
          <w:rFonts w:hint="eastAsia" w:ascii="宋体" w:hAnsi="宋体"/>
          <w:sz w:val="24"/>
          <w:szCs w:val="24"/>
          <w:u w:val="single"/>
          <w:lang w:val="en-US" w:eastAsia="zh-CN"/>
        </w:rPr>
        <w:t>23</w:t>
      </w:r>
      <w:r>
        <w:rPr>
          <w:rFonts w:hint="eastAsia" w:ascii="宋体" w:hAnsi="宋体"/>
          <w:bCs/>
          <w:sz w:val="24"/>
          <w:szCs w:val="24"/>
          <w:u w:val="single"/>
        </w:rPr>
        <w:t>日09时30分（</w:t>
      </w:r>
      <w:r>
        <w:rPr>
          <w:rFonts w:hint="eastAsia" w:ascii="宋体" w:hAnsi="宋体"/>
          <w:bCs/>
          <w:sz w:val="24"/>
          <w:szCs w:val="24"/>
        </w:rPr>
        <w:t>北京时间）</w:t>
      </w:r>
      <w:r>
        <w:rPr>
          <w:rFonts w:hint="eastAsia" w:ascii="Times New Roman" w:hAnsi="Times New Roman" w:cs="方正仿宋_GBK"/>
          <w:bCs/>
          <w:sz w:val="24"/>
          <w:szCs w:val="24"/>
        </w:rPr>
        <w:t>前递交投标文件</w:t>
      </w:r>
      <w:r>
        <w:rPr>
          <w:rFonts w:hint="eastAsia" w:ascii="Times New Roman" w:hAnsi="Times New Roman" w:cs="方正仿宋_GBK"/>
          <w:sz w:val="24"/>
          <w:szCs w:val="24"/>
        </w:rPr>
        <w:t>。</w:t>
      </w:r>
    </w:p>
    <w:p w14:paraId="1EA7C014">
      <w:pPr>
        <w:pStyle w:val="77"/>
        <w:spacing w:before="0" w:after="0" w:line="480" w:lineRule="exact"/>
        <w:ind w:firstLine="643"/>
        <w:rPr>
          <w:rFonts w:eastAsia="宋体" w:cs="Arial"/>
          <w:bCs/>
          <w:szCs w:val="22"/>
        </w:rPr>
      </w:pPr>
      <w:bookmarkStart w:id="7" w:name="_Toc2584"/>
      <w:bookmarkStart w:id="8" w:name="_Toc38985263"/>
      <w:bookmarkStart w:id="9" w:name="_Toc28359002"/>
      <w:bookmarkStart w:id="10" w:name="_Toc35393621"/>
      <w:bookmarkStart w:id="11" w:name="_Toc35393790"/>
      <w:bookmarkStart w:id="12" w:name="_Toc28359079"/>
      <w:bookmarkStart w:id="13" w:name="_Hlk24379207"/>
      <w:r>
        <w:rPr>
          <w:rFonts w:hint="eastAsia" w:eastAsia="宋体" w:cs="Arial"/>
          <w:bCs/>
          <w:szCs w:val="22"/>
        </w:rPr>
        <w:t>一、项目基本情况</w:t>
      </w:r>
      <w:bookmarkEnd w:id="7"/>
      <w:bookmarkEnd w:id="8"/>
      <w:bookmarkEnd w:id="9"/>
      <w:bookmarkEnd w:id="10"/>
      <w:bookmarkEnd w:id="11"/>
      <w:bookmarkEnd w:id="12"/>
    </w:p>
    <w:p w14:paraId="08E0A80E">
      <w:pPr>
        <w:spacing w:line="360" w:lineRule="auto"/>
        <w:ind w:firstLine="480" w:firstLineChars="200"/>
        <w:rPr>
          <w:rFonts w:hint="eastAsia" w:ascii="Times New Roman" w:hAnsi="Times New Roman" w:cs="方正仿宋_GBK"/>
          <w:sz w:val="24"/>
          <w:szCs w:val="24"/>
        </w:rPr>
      </w:pPr>
      <w:r>
        <w:rPr>
          <w:rFonts w:hint="eastAsia" w:ascii="Times New Roman" w:hAnsi="Times New Roman" w:cs="仿宋"/>
          <w:sz w:val="24"/>
          <w:szCs w:val="24"/>
        </w:rPr>
        <w:t>1.项目编号：</w:t>
      </w:r>
      <w:r>
        <w:rPr>
          <w:rFonts w:hint="eastAsia" w:ascii="Times New Roman" w:hAnsi="Times New Roman" w:cs="方正仿宋_GBK"/>
          <w:sz w:val="24"/>
          <w:szCs w:val="24"/>
        </w:rPr>
        <w:t xml:space="preserve">JSZC-321302-JSHB-G2026-0004 </w:t>
      </w:r>
    </w:p>
    <w:p w14:paraId="432F48B9">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2.项目名称：</w:t>
      </w:r>
      <w:bookmarkEnd w:id="13"/>
      <w:r>
        <w:rPr>
          <w:rFonts w:hint="eastAsia" w:ascii="Times New Roman" w:hAnsi="Times New Roman" w:cs="方正仿宋_GBK"/>
          <w:sz w:val="24"/>
          <w:szCs w:val="24"/>
        </w:rPr>
        <w:t>宿城区河道水环境质量驻场服务项目</w:t>
      </w:r>
    </w:p>
    <w:p w14:paraId="490B35BB">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3.预算金额：</w:t>
      </w:r>
      <w:r>
        <w:rPr>
          <w:rFonts w:ascii="Times New Roman" w:hAnsi="Times New Roman" w:cs="仿宋"/>
          <w:sz w:val="24"/>
          <w:szCs w:val="24"/>
        </w:rPr>
        <w:t>150</w:t>
      </w:r>
      <w:r>
        <w:rPr>
          <w:rFonts w:hint="eastAsia" w:ascii="Times New Roman" w:hAnsi="Times New Roman" w:cs="仿宋"/>
          <w:sz w:val="24"/>
          <w:szCs w:val="24"/>
        </w:rPr>
        <w:t>万元</w:t>
      </w:r>
    </w:p>
    <w:p w14:paraId="1E2C251C">
      <w:pPr>
        <w:spacing w:line="360" w:lineRule="auto"/>
        <w:ind w:firstLine="480" w:firstLineChars="200"/>
        <w:rPr>
          <w:rFonts w:ascii="仿宋" w:hAnsi="仿宋"/>
          <w:color w:val="000000"/>
          <w:sz w:val="24"/>
          <w:szCs w:val="24"/>
        </w:rPr>
      </w:pPr>
      <w:r>
        <w:rPr>
          <w:rFonts w:hint="eastAsia" w:ascii="Times New Roman" w:hAnsi="Times New Roman" w:cs="仿宋"/>
          <w:sz w:val="24"/>
          <w:szCs w:val="24"/>
        </w:rPr>
        <w:t>4.本项目设定最高限价，最高限价为</w:t>
      </w:r>
      <w:r>
        <w:rPr>
          <w:rFonts w:hint="eastAsia" w:ascii="仿宋_GB2312"/>
          <w:sz w:val="24"/>
        </w:rPr>
        <w:t>：</w:t>
      </w:r>
      <w:r>
        <w:rPr>
          <w:rFonts w:ascii="Times New Roman" w:hAnsi="Times New Roman" w:cs="仿宋"/>
          <w:sz w:val="24"/>
          <w:szCs w:val="24"/>
        </w:rPr>
        <w:t>150</w:t>
      </w:r>
      <w:r>
        <w:rPr>
          <w:rFonts w:hint="eastAsia" w:ascii="Times New Roman" w:hAnsi="Times New Roman" w:cs="仿宋"/>
          <w:sz w:val="24"/>
          <w:szCs w:val="24"/>
        </w:rPr>
        <w:t>万元</w:t>
      </w:r>
    </w:p>
    <w:p w14:paraId="31585E04">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5.采购需求（简介）：宿城区河道水环境质量驻场服务项目，</w:t>
      </w:r>
      <w:r>
        <w:rPr>
          <w:rFonts w:hint="eastAsia" w:ascii="宋体" w:hAnsi="宋体"/>
          <w:sz w:val="24"/>
        </w:rPr>
        <w:t>针对重点河流及支流沿线水环境问题溯源排查、河流水质监测及分析；国省考断面、饮用水源地水质监测预警并开展溯源排查分析，提出针对性治理措施，编制溯源排查报告、断面水质提升方案以及其他突发水污染事件处理等</w:t>
      </w:r>
      <w:r>
        <w:rPr>
          <w:rFonts w:hint="eastAsia" w:ascii="Times New Roman" w:hAnsi="Times New Roman" w:cs="仿宋"/>
          <w:sz w:val="24"/>
          <w:szCs w:val="24"/>
        </w:rPr>
        <w:t>。具体内容详见采购需求。</w:t>
      </w:r>
    </w:p>
    <w:p w14:paraId="6A5248CE">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6.合同履行期限：</w:t>
      </w:r>
      <w:r>
        <w:rPr>
          <w:rFonts w:hint="eastAsia"/>
          <w:color w:val="000000"/>
          <w:sz w:val="24"/>
          <w:szCs w:val="24"/>
        </w:rPr>
        <w:t>自合同签订并生效之日起</w:t>
      </w:r>
      <w:r>
        <w:rPr>
          <w:color w:val="000000"/>
          <w:sz w:val="24"/>
          <w:szCs w:val="24"/>
        </w:rPr>
        <w:t>1</w:t>
      </w:r>
      <w:r>
        <w:rPr>
          <w:rFonts w:hint="eastAsia"/>
          <w:color w:val="000000"/>
          <w:sz w:val="24"/>
          <w:szCs w:val="24"/>
        </w:rPr>
        <w:t>年</w:t>
      </w:r>
    </w:p>
    <w:p w14:paraId="159E5C65">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7.本项目</w:t>
      </w:r>
      <w:r>
        <w:rPr>
          <w:rFonts w:hint="eastAsia" w:ascii="Times New Roman" w:hAnsi="Times New Roman" w:cs="仿宋"/>
          <w:sz w:val="24"/>
          <w:szCs w:val="24"/>
          <w:u w:val="single"/>
        </w:rPr>
        <w:t xml:space="preserve"> 不接受 </w:t>
      </w:r>
      <w:r>
        <w:rPr>
          <w:rFonts w:hint="eastAsia" w:ascii="Times New Roman" w:hAnsi="Times New Roman" w:cs="仿宋"/>
          <w:sz w:val="24"/>
          <w:szCs w:val="24"/>
        </w:rPr>
        <w:t>联合体投标。</w:t>
      </w:r>
    </w:p>
    <w:p w14:paraId="1E2E1A6A">
      <w:pPr>
        <w:pStyle w:val="77"/>
        <w:spacing w:before="0" w:after="0" w:line="480" w:lineRule="exact"/>
        <w:ind w:firstLine="643"/>
        <w:rPr>
          <w:rFonts w:eastAsia="宋体" w:cs="Arial"/>
          <w:bCs/>
          <w:szCs w:val="22"/>
        </w:rPr>
      </w:pPr>
      <w:bookmarkStart w:id="14" w:name="_Toc27291"/>
      <w:bookmarkStart w:id="15" w:name="_Toc28359003"/>
      <w:bookmarkStart w:id="16" w:name="_Toc35393622"/>
      <w:bookmarkStart w:id="17" w:name="_Toc38985264"/>
      <w:bookmarkStart w:id="18" w:name="_Toc35393791"/>
      <w:bookmarkStart w:id="19" w:name="_Toc28359080"/>
      <w:r>
        <w:rPr>
          <w:rFonts w:hint="eastAsia" w:eastAsia="宋体" w:cs="Arial"/>
          <w:bCs/>
          <w:szCs w:val="22"/>
        </w:rPr>
        <w:t>二、申请人的资格要求</w:t>
      </w:r>
      <w:bookmarkEnd w:id="14"/>
      <w:bookmarkEnd w:id="15"/>
      <w:bookmarkEnd w:id="16"/>
      <w:bookmarkEnd w:id="17"/>
      <w:bookmarkEnd w:id="18"/>
      <w:bookmarkEnd w:id="19"/>
    </w:p>
    <w:p w14:paraId="2B57168E">
      <w:pPr>
        <w:spacing w:line="360" w:lineRule="auto"/>
        <w:ind w:firstLine="480" w:firstLineChars="200"/>
        <w:rPr>
          <w:rFonts w:ascii="Times New Roman" w:hAnsi="Times New Roman" w:cs="仿宋"/>
          <w:sz w:val="24"/>
          <w:szCs w:val="24"/>
        </w:rPr>
      </w:pPr>
      <w:bookmarkStart w:id="20" w:name="_Toc35393623"/>
      <w:bookmarkStart w:id="21" w:name="_Toc28359081"/>
      <w:bookmarkStart w:id="22" w:name="_Toc38985265"/>
      <w:bookmarkStart w:id="23" w:name="_Toc35393792"/>
      <w:bookmarkStart w:id="24" w:name="_Toc28359004"/>
      <w:r>
        <w:rPr>
          <w:rFonts w:hint="eastAsia" w:ascii="Times New Roman" w:hAnsi="Times New Roman" w:cs="仿宋"/>
          <w:sz w:val="24"/>
          <w:szCs w:val="24"/>
        </w:rPr>
        <w:t>（一）通用资格要求</w:t>
      </w:r>
    </w:p>
    <w:p w14:paraId="2E83C359">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1.具备《中华人民共和国政府采购法》第二十二条第一款规定的6项条件（按要求提供投标函）。</w:t>
      </w:r>
    </w:p>
    <w:p w14:paraId="620655C2">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2.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p>
    <w:p w14:paraId="2DA23A35">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3.落实政府采购政策需满足的资格要求：</w:t>
      </w:r>
      <w:r>
        <w:rPr>
          <w:rFonts w:hint="eastAsia" w:cs="仿宋_GB2312"/>
          <w:color w:val="000000"/>
          <w:sz w:val="24"/>
          <w:szCs w:val="28"/>
        </w:rPr>
        <w:t>本项目为专门面向中小企业采购的项目，供应商须为中小微企业、监狱企业、残疾人福利性单位(须提供《中小企业或残疾人福利性单位声明函》)。非中小型企业参与本项目投标，将作无效标处理。</w:t>
      </w:r>
    </w:p>
    <w:p w14:paraId="706AEA01">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（二）本项目的特定资格要求：无。</w:t>
      </w:r>
    </w:p>
    <w:p w14:paraId="28372E3C">
      <w:pPr>
        <w:spacing w:line="360" w:lineRule="auto"/>
        <w:ind w:firstLine="480" w:firstLineChars="200"/>
        <w:rPr>
          <w:rFonts w:cs="仿宋_GB2312"/>
          <w:color w:val="000000"/>
          <w:sz w:val="24"/>
          <w:szCs w:val="28"/>
        </w:rPr>
      </w:pPr>
      <w:r>
        <w:rPr>
          <w:rFonts w:hint="eastAsia" w:cs="仿宋_GB2312"/>
          <w:color w:val="000000"/>
          <w:sz w:val="24"/>
          <w:szCs w:val="28"/>
        </w:rPr>
        <w:t>（三）单位负责人为同一人或者存在直接控股、管理关系的不同供应商，不得参加同一合同项下的政府采购活动。否则，相关投标均无效。</w:t>
      </w:r>
    </w:p>
    <w:p w14:paraId="13AB7229">
      <w:pPr>
        <w:spacing w:line="360" w:lineRule="auto"/>
        <w:ind w:firstLine="480" w:firstLineChars="200"/>
        <w:rPr>
          <w:rFonts w:cs="仿宋_GB2312"/>
          <w:color w:val="000000"/>
          <w:sz w:val="24"/>
          <w:szCs w:val="28"/>
        </w:rPr>
      </w:pPr>
      <w:r>
        <w:rPr>
          <w:rFonts w:cs="仿宋_GB2312"/>
          <w:color w:val="000000"/>
          <w:sz w:val="24"/>
          <w:szCs w:val="28"/>
        </w:rPr>
        <w:t>本项目实行电子招标投标。</w:t>
      </w:r>
    </w:p>
    <w:p w14:paraId="2FCEF6C6">
      <w:pPr>
        <w:pStyle w:val="77"/>
        <w:spacing w:before="0" w:after="0" w:line="480" w:lineRule="exact"/>
        <w:ind w:firstLine="643"/>
        <w:rPr>
          <w:rFonts w:eastAsia="宋体" w:cs="Arial"/>
          <w:bCs/>
          <w:szCs w:val="22"/>
        </w:rPr>
      </w:pPr>
      <w:bookmarkStart w:id="25" w:name="_Toc22204"/>
      <w:r>
        <w:rPr>
          <w:rFonts w:hint="eastAsia" w:eastAsia="宋体" w:cs="Arial"/>
          <w:bCs/>
          <w:szCs w:val="22"/>
        </w:rPr>
        <w:t>三、获取招标文件</w:t>
      </w:r>
      <w:bookmarkEnd w:id="20"/>
      <w:bookmarkEnd w:id="21"/>
      <w:bookmarkEnd w:id="22"/>
      <w:bookmarkEnd w:id="23"/>
      <w:bookmarkEnd w:id="24"/>
      <w:bookmarkEnd w:id="25"/>
    </w:p>
    <w:p w14:paraId="43838AA5">
      <w:pPr>
        <w:spacing w:line="480" w:lineRule="exact"/>
        <w:ind w:firstLine="480"/>
        <w:rPr>
          <w:rFonts w:ascii="Times New Roman" w:hAnsi="Times New Roman" w:cs="仿宋"/>
          <w:sz w:val="24"/>
          <w:szCs w:val="24"/>
        </w:rPr>
      </w:pPr>
      <w:bookmarkStart w:id="26" w:name="_Toc28359005"/>
      <w:bookmarkStart w:id="27" w:name="_Toc28359082"/>
      <w:bookmarkStart w:id="28" w:name="_Toc35393624"/>
      <w:bookmarkStart w:id="29" w:name="_Toc38985266"/>
      <w:bookmarkStart w:id="30" w:name="_Toc35393793"/>
      <w:r>
        <w:rPr>
          <w:rFonts w:hint="eastAsia" w:ascii="Times New Roman" w:hAnsi="Times New Roman" w:cs="仿宋"/>
          <w:sz w:val="24"/>
          <w:szCs w:val="24"/>
        </w:rPr>
        <w:t>1.时间：招标公告发布之日起5个工作日。</w:t>
      </w:r>
    </w:p>
    <w:p w14:paraId="113F1BC9">
      <w:pPr>
        <w:spacing w:line="480" w:lineRule="exact"/>
        <w:ind w:firstLine="480"/>
        <w:rPr>
          <w:rFonts w:ascii="Times New Roman" w:hAnsi="Times New Roman" w:cs="仿宋"/>
          <w:sz w:val="24"/>
          <w:szCs w:val="24"/>
        </w:rPr>
      </w:pPr>
      <w:r>
        <w:rPr>
          <w:rFonts w:hint="eastAsia" w:ascii="Times New Roman" w:hAnsi="Times New Roman" w:cs="仿宋"/>
          <w:sz w:val="24"/>
          <w:szCs w:val="24"/>
        </w:rPr>
        <w:t>2.方式：投标人应在招标文件提供的时间内，通过“苏采云”系统（网址： http://jszfcg.jsczt.cn/），使用CA锁登录系统后，找到本项目获取招标文件（后缀名为“.kedt”）。</w:t>
      </w:r>
    </w:p>
    <w:p w14:paraId="578B286E">
      <w:pPr>
        <w:spacing w:line="480" w:lineRule="exact"/>
        <w:ind w:firstLine="480"/>
        <w:rPr>
          <w:rFonts w:ascii="Times New Roman" w:hAnsi="Times New Roman" w:cs="仿宋"/>
          <w:sz w:val="24"/>
          <w:szCs w:val="24"/>
        </w:rPr>
      </w:pPr>
      <w:bookmarkStart w:id="31" w:name="EB0c44ff4da61f4af989d119fe214be450"/>
      <w:r>
        <w:rPr>
          <w:rFonts w:hint="eastAsia" w:ascii="Times New Roman" w:hAnsi="Times New Roman" w:cs="仿宋"/>
          <w:sz w:val="24"/>
          <w:szCs w:val="24"/>
        </w:rPr>
        <w:t>3.本项目共分一个采购包。投标人参与多个采购包投标的，应按采购包分别获取招标文件。投标人未按要求获取招标文件，后果自负（其投标文件不予接受）。</w:t>
      </w:r>
      <w:bookmarkEnd w:id="31"/>
    </w:p>
    <w:p w14:paraId="1875AC36">
      <w:pPr>
        <w:pStyle w:val="77"/>
        <w:spacing w:before="0" w:after="0" w:line="480" w:lineRule="exact"/>
        <w:ind w:firstLine="643"/>
        <w:rPr>
          <w:rFonts w:eastAsia="宋体" w:cs="Arial"/>
          <w:bCs/>
          <w:szCs w:val="22"/>
        </w:rPr>
      </w:pPr>
      <w:bookmarkStart w:id="32" w:name="_Toc19148"/>
      <w:r>
        <w:rPr>
          <w:rFonts w:hint="eastAsia" w:eastAsia="宋体" w:cs="Arial"/>
          <w:bCs/>
          <w:szCs w:val="22"/>
        </w:rPr>
        <w:t>四、提交投标文件</w:t>
      </w:r>
      <w:bookmarkEnd w:id="26"/>
      <w:bookmarkEnd w:id="27"/>
      <w:r>
        <w:rPr>
          <w:rFonts w:hint="eastAsia" w:eastAsia="宋体" w:cs="Arial"/>
          <w:bCs/>
          <w:szCs w:val="22"/>
        </w:rPr>
        <w:t>截止时间、开标时间和地点</w:t>
      </w:r>
      <w:bookmarkEnd w:id="28"/>
      <w:bookmarkEnd w:id="29"/>
      <w:bookmarkEnd w:id="30"/>
      <w:bookmarkEnd w:id="32"/>
    </w:p>
    <w:p w14:paraId="1B96746B">
      <w:pPr>
        <w:spacing w:line="480" w:lineRule="exact"/>
        <w:ind w:firstLine="480"/>
        <w:rPr>
          <w:rFonts w:ascii="Times New Roman" w:hAnsi="Times New Roman" w:cs="仿宋"/>
          <w:sz w:val="24"/>
          <w:szCs w:val="24"/>
        </w:rPr>
      </w:pPr>
      <w:r>
        <w:rPr>
          <w:rFonts w:hint="eastAsia" w:ascii="Times New Roman" w:hAnsi="Times New Roman" w:cs="仿宋"/>
          <w:sz w:val="24"/>
          <w:szCs w:val="24"/>
        </w:rPr>
        <w:t>1.提交投标文件截止时间、开标时间：</w:t>
      </w:r>
      <w:r>
        <w:rPr>
          <w:rFonts w:hint="eastAsia" w:ascii="Times New Roman" w:hAnsi="Times New Roman" w:cs="仿宋"/>
          <w:sz w:val="24"/>
          <w:szCs w:val="24"/>
          <w:highlight w:val="none"/>
          <w:u w:val="single"/>
        </w:rPr>
        <w:t>2026年</w:t>
      </w:r>
      <w:r>
        <w:rPr>
          <w:rFonts w:hint="eastAsia" w:ascii="Times New Roman" w:hAnsi="Times New Roman" w:cs="仿宋"/>
          <w:sz w:val="24"/>
          <w:szCs w:val="24"/>
          <w:highlight w:val="none"/>
          <w:u w:val="single"/>
          <w:lang w:val="en-US" w:eastAsia="zh-CN"/>
        </w:rPr>
        <w:t>09</w:t>
      </w:r>
      <w:r>
        <w:rPr>
          <w:rFonts w:hint="eastAsia" w:ascii="Times New Roman" w:hAnsi="Times New Roman" w:cs="仿宋"/>
          <w:sz w:val="24"/>
          <w:szCs w:val="24"/>
          <w:highlight w:val="none"/>
          <w:u w:val="single"/>
        </w:rPr>
        <w:t>月</w:t>
      </w:r>
      <w:r>
        <w:rPr>
          <w:rFonts w:hint="eastAsia" w:ascii="Times New Roman" w:hAnsi="Times New Roman" w:cs="仿宋"/>
          <w:sz w:val="24"/>
          <w:szCs w:val="24"/>
          <w:highlight w:val="none"/>
          <w:u w:val="single"/>
          <w:lang w:val="en-US" w:eastAsia="zh-CN"/>
        </w:rPr>
        <w:t>23</w:t>
      </w:r>
      <w:r>
        <w:rPr>
          <w:rFonts w:hint="eastAsia" w:ascii="Times New Roman" w:hAnsi="Times New Roman" w:cs="仿宋"/>
          <w:sz w:val="24"/>
          <w:szCs w:val="24"/>
          <w:highlight w:val="none"/>
          <w:u w:val="single"/>
        </w:rPr>
        <w:t>日09时30分（北京时间）</w:t>
      </w:r>
    </w:p>
    <w:p w14:paraId="764CE275">
      <w:pPr>
        <w:spacing w:line="480" w:lineRule="exact"/>
        <w:ind w:firstLine="480"/>
        <w:rPr>
          <w:rFonts w:ascii="Times New Roman" w:hAnsi="Times New Roman" w:cs="仿宋"/>
          <w:sz w:val="24"/>
          <w:szCs w:val="24"/>
        </w:rPr>
      </w:pPr>
      <w:r>
        <w:rPr>
          <w:rFonts w:hint="eastAsia" w:ascii="Times New Roman" w:hAnsi="Times New Roman" w:cs="仿宋"/>
          <w:sz w:val="24"/>
          <w:szCs w:val="24"/>
        </w:rPr>
        <w:t>2.地点：“苏采云”政府采购交易系统网上开标大厅。</w:t>
      </w:r>
    </w:p>
    <w:p w14:paraId="14CA15DB">
      <w:pPr>
        <w:pStyle w:val="77"/>
        <w:spacing w:before="0" w:after="0" w:line="480" w:lineRule="exact"/>
        <w:ind w:firstLine="643"/>
        <w:rPr>
          <w:rFonts w:eastAsia="宋体" w:cs="Arial"/>
          <w:bCs/>
          <w:szCs w:val="22"/>
        </w:rPr>
      </w:pPr>
      <w:bookmarkStart w:id="33" w:name="_Toc38985267"/>
      <w:bookmarkStart w:id="34" w:name="_Toc24820"/>
      <w:bookmarkStart w:id="35" w:name="_Toc35393794"/>
      <w:bookmarkStart w:id="36" w:name="_Toc28359084"/>
      <w:bookmarkStart w:id="37" w:name="_Toc35393625"/>
      <w:bookmarkStart w:id="38" w:name="_Toc28359007"/>
      <w:r>
        <w:rPr>
          <w:rFonts w:hint="eastAsia" w:eastAsia="宋体" w:cs="Arial"/>
          <w:bCs/>
          <w:szCs w:val="22"/>
        </w:rPr>
        <w:t>五、公告期限</w:t>
      </w:r>
      <w:bookmarkEnd w:id="33"/>
      <w:bookmarkEnd w:id="34"/>
      <w:bookmarkEnd w:id="35"/>
      <w:bookmarkEnd w:id="36"/>
      <w:bookmarkEnd w:id="37"/>
      <w:bookmarkEnd w:id="38"/>
    </w:p>
    <w:p w14:paraId="10302534">
      <w:pPr>
        <w:spacing w:line="480" w:lineRule="exact"/>
        <w:ind w:firstLine="480"/>
        <w:rPr>
          <w:rFonts w:ascii="Times New Roman" w:hAnsi="Times New Roman" w:cs="仿宋"/>
          <w:sz w:val="24"/>
          <w:szCs w:val="24"/>
        </w:rPr>
      </w:pPr>
      <w:bookmarkStart w:id="39" w:name="_Toc35393626"/>
      <w:bookmarkStart w:id="40" w:name="_Toc38985268"/>
      <w:bookmarkStart w:id="41" w:name="_Toc35393795"/>
      <w:r>
        <w:rPr>
          <w:rFonts w:hint="eastAsia" w:ascii="Times New Roman" w:hAnsi="Times New Roman" w:cs="仿宋"/>
          <w:sz w:val="24"/>
          <w:szCs w:val="24"/>
        </w:rPr>
        <w:t>招标公告及招标文件公告期限为自本公告发布之日起5个工作日。</w:t>
      </w:r>
    </w:p>
    <w:p w14:paraId="5ED7A315">
      <w:pPr>
        <w:pStyle w:val="77"/>
        <w:spacing w:before="0" w:after="0" w:line="480" w:lineRule="exact"/>
        <w:ind w:firstLine="643"/>
        <w:rPr>
          <w:rFonts w:eastAsia="宋体" w:cs="Arial"/>
          <w:bCs/>
          <w:szCs w:val="22"/>
        </w:rPr>
      </w:pPr>
      <w:bookmarkStart w:id="42" w:name="_Toc13415"/>
      <w:r>
        <w:rPr>
          <w:rFonts w:hint="eastAsia" w:eastAsia="宋体" w:cs="Arial"/>
          <w:bCs/>
          <w:szCs w:val="22"/>
        </w:rPr>
        <w:t>六、其他补充事宜</w:t>
      </w:r>
      <w:bookmarkEnd w:id="39"/>
      <w:bookmarkEnd w:id="40"/>
      <w:bookmarkEnd w:id="41"/>
      <w:bookmarkEnd w:id="42"/>
    </w:p>
    <w:p w14:paraId="11700C62">
      <w:pPr>
        <w:spacing w:line="480" w:lineRule="exact"/>
        <w:ind w:firstLine="480"/>
        <w:rPr>
          <w:rFonts w:hint="eastAsia" w:ascii="Times New Roman" w:hAnsi="Times New Roman" w:cs="仿宋"/>
          <w:sz w:val="24"/>
          <w:szCs w:val="24"/>
        </w:rPr>
      </w:pPr>
      <w:bookmarkStart w:id="43" w:name="_Toc35393796"/>
      <w:bookmarkStart w:id="44" w:name="_Toc28359085"/>
      <w:bookmarkStart w:id="45" w:name="_Toc28359008"/>
      <w:bookmarkStart w:id="46" w:name="_Toc38985269"/>
      <w:bookmarkStart w:id="47" w:name="_Toc35393627"/>
      <w:bookmarkStart w:id="48" w:name="_Toc29049"/>
      <w:r>
        <w:rPr>
          <w:rFonts w:hint="eastAsia" w:ascii="Times New Roman" w:hAnsi="Times New Roman" w:cs="仿宋"/>
          <w:sz w:val="24"/>
          <w:szCs w:val="24"/>
        </w:rPr>
        <w:t>1.招标公告发布媒体</w:t>
      </w:r>
      <w:r>
        <w:rPr>
          <w:rFonts w:hint="eastAsia" w:ascii="Times New Roman" w:hAnsi="Times New Roman" w:cs="仿宋"/>
          <w:sz w:val="24"/>
          <w:szCs w:val="24"/>
          <w:lang w:eastAsia="zh-CN"/>
        </w:rPr>
        <w:t>：</w:t>
      </w:r>
      <w:r>
        <w:rPr>
          <w:rFonts w:hint="eastAsia" w:ascii="Times New Roman" w:hAnsi="Times New Roman" w:cs="仿宋"/>
          <w:sz w:val="24"/>
          <w:szCs w:val="24"/>
        </w:rPr>
        <w:t>江苏政府采购网、宿迁市政府采购网等。</w:t>
      </w:r>
    </w:p>
    <w:p w14:paraId="751F9F96">
      <w:pPr>
        <w:spacing w:line="480" w:lineRule="exact"/>
        <w:ind w:firstLine="480"/>
        <w:rPr>
          <w:rFonts w:hint="eastAsia" w:ascii="Times New Roman" w:hAnsi="Times New Roman" w:cs="仿宋"/>
          <w:sz w:val="24"/>
          <w:szCs w:val="24"/>
        </w:rPr>
      </w:pPr>
      <w:r>
        <w:rPr>
          <w:rFonts w:hint="eastAsia" w:ascii="Times New Roman" w:hAnsi="Times New Roman" w:cs="仿宋"/>
          <w:sz w:val="24"/>
          <w:szCs w:val="24"/>
        </w:rPr>
        <w:t>2.“CA”数字证书办理</w:t>
      </w:r>
      <w:r>
        <w:rPr>
          <w:rFonts w:hint="eastAsia" w:ascii="Times New Roman" w:hAnsi="Times New Roman" w:cs="仿宋"/>
          <w:sz w:val="24"/>
          <w:szCs w:val="24"/>
          <w:lang w:eastAsia="zh-CN"/>
        </w:rPr>
        <w:t>：</w:t>
      </w:r>
      <w:r>
        <w:rPr>
          <w:rFonts w:hint="eastAsia" w:ascii="Times New Roman" w:hAnsi="Times New Roman" w:cs="仿宋"/>
          <w:sz w:val="24"/>
          <w:szCs w:val="24"/>
        </w:rPr>
        <w:t>“苏采云”系统目前仅支持“苏采云”系统下的意源CA。省内各地区办理的“苏采云”系统下的意源CA全省通用。宿迁地区CA数字证书办理联系方式</w:t>
      </w:r>
      <w:r>
        <w:rPr>
          <w:rFonts w:hint="eastAsia" w:ascii="Times New Roman" w:hAnsi="Times New Roman" w:cs="仿宋"/>
          <w:sz w:val="24"/>
          <w:szCs w:val="24"/>
          <w:lang w:eastAsia="zh-CN"/>
        </w:rPr>
        <w:t>：</w:t>
      </w:r>
      <w:r>
        <w:rPr>
          <w:rFonts w:hint="eastAsia" w:ascii="Times New Roman" w:hAnsi="Times New Roman" w:cs="仿宋"/>
          <w:sz w:val="24"/>
          <w:szCs w:val="24"/>
        </w:rPr>
        <w:t>18351098172。</w:t>
      </w:r>
    </w:p>
    <w:p w14:paraId="6BF86176">
      <w:pPr>
        <w:spacing w:line="480" w:lineRule="exact"/>
        <w:ind w:firstLine="480"/>
        <w:rPr>
          <w:rFonts w:hint="eastAsia" w:ascii="Times New Roman" w:hAnsi="Times New Roman" w:cs="仿宋"/>
          <w:sz w:val="24"/>
          <w:szCs w:val="24"/>
        </w:rPr>
      </w:pPr>
      <w:r>
        <w:rPr>
          <w:rFonts w:hint="eastAsia" w:ascii="Times New Roman" w:hAnsi="Times New Roman" w:cs="仿宋"/>
          <w:sz w:val="24"/>
          <w:szCs w:val="24"/>
        </w:rPr>
        <w:t>3.宿迁地区“苏采云”系统技术支持客服电话</w:t>
      </w:r>
      <w:r>
        <w:rPr>
          <w:rFonts w:hint="eastAsia" w:ascii="Times New Roman" w:hAnsi="Times New Roman" w:cs="仿宋"/>
          <w:sz w:val="24"/>
          <w:szCs w:val="24"/>
          <w:lang w:eastAsia="zh-CN"/>
        </w:rPr>
        <w:t>：</w:t>
      </w:r>
      <w:r>
        <w:rPr>
          <w:rFonts w:hint="eastAsia" w:ascii="Times New Roman" w:hAnsi="Times New Roman" w:cs="仿宋"/>
          <w:sz w:val="24"/>
          <w:szCs w:val="24"/>
        </w:rPr>
        <w:t>0527-84363067、0519-86722806。</w:t>
      </w:r>
    </w:p>
    <w:p w14:paraId="1275C4AF">
      <w:pPr>
        <w:spacing w:line="480" w:lineRule="exact"/>
        <w:ind w:firstLine="480"/>
        <w:rPr>
          <w:rFonts w:hint="eastAsia" w:ascii="Times New Roman" w:hAnsi="Times New Roman" w:cs="仿宋"/>
          <w:sz w:val="24"/>
          <w:szCs w:val="24"/>
        </w:rPr>
      </w:pPr>
      <w:r>
        <w:rPr>
          <w:rFonts w:hint="eastAsia" w:ascii="Times New Roman" w:hAnsi="Times New Roman" w:cs="仿宋"/>
          <w:sz w:val="24"/>
          <w:szCs w:val="24"/>
        </w:rPr>
        <w:t>4.现场勘察及答疑</w:t>
      </w:r>
      <w:r>
        <w:rPr>
          <w:rFonts w:hint="eastAsia" w:ascii="Times New Roman" w:hAnsi="Times New Roman" w:cs="仿宋"/>
          <w:sz w:val="24"/>
          <w:szCs w:val="24"/>
          <w:lang w:eastAsia="zh-CN"/>
        </w:rPr>
        <w:t>：</w:t>
      </w:r>
      <w:r>
        <w:rPr>
          <w:rFonts w:hint="eastAsia" w:ascii="Times New Roman" w:hAnsi="Times New Roman" w:cs="仿宋"/>
          <w:sz w:val="24"/>
          <w:szCs w:val="24"/>
        </w:rPr>
        <w:t>本项目不组织集中勘察及答疑，投标人如对采购需求有疑问，请咨询采购单位联系人。</w:t>
      </w:r>
    </w:p>
    <w:p w14:paraId="6F237FD8">
      <w:pPr>
        <w:spacing w:line="480" w:lineRule="exact"/>
        <w:ind w:firstLine="480"/>
        <w:rPr>
          <w:rFonts w:hint="eastAsia" w:ascii="Times New Roman" w:hAnsi="Times New Roman" w:cs="仿宋"/>
          <w:sz w:val="24"/>
          <w:szCs w:val="24"/>
        </w:rPr>
      </w:pPr>
      <w:r>
        <w:rPr>
          <w:rFonts w:hint="eastAsia" w:ascii="Times New Roman" w:hAnsi="Times New Roman" w:cs="仿宋"/>
          <w:sz w:val="24"/>
          <w:szCs w:val="24"/>
        </w:rPr>
        <w:t>5.财政部门监督电话</w:t>
      </w:r>
      <w:r>
        <w:rPr>
          <w:rFonts w:hint="eastAsia" w:ascii="Times New Roman" w:hAnsi="Times New Roman" w:cs="仿宋"/>
          <w:sz w:val="24"/>
          <w:szCs w:val="24"/>
          <w:lang w:eastAsia="zh-CN"/>
        </w:rPr>
        <w:t>：</w:t>
      </w:r>
      <w:bookmarkStart w:id="161" w:name="_GoBack"/>
      <w:bookmarkEnd w:id="161"/>
      <w:r>
        <w:rPr>
          <w:rFonts w:hint="eastAsia" w:ascii="Times New Roman" w:hAnsi="Times New Roman" w:cs="仿宋"/>
          <w:sz w:val="24"/>
          <w:szCs w:val="24"/>
        </w:rPr>
        <w:t>0527-82998860。</w:t>
      </w:r>
    </w:p>
    <w:p w14:paraId="145B1BC8">
      <w:pPr>
        <w:pStyle w:val="77"/>
        <w:spacing w:before="0" w:after="0" w:line="480" w:lineRule="exact"/>
        <w:ind w:firstLine="643"/>
        <w:rPr>
          <w:rFonts w:eastAsia="宋体" w:cs="Arial"/>
          <w:bCs/>
          <w:szCs w:val="22"/>
        </w:rPr>
      </w:pPr>
      <w:r>
        <w:rPr>
          <w:rFonts w:hint="eastAsia" w:eastAsia="宋体" w:cs="Arial"/>
          <w:bCs/>
          <w:szCs w:val="22"/>
        </w:rPr>
        <w:t>七、本次招标联系方式</w:t>
      </w:r>
      <w:bookmarkEnd w:id="43"/>
      <w:bookmarkEnd w:id="44"/>
      <w:bookmarkEnd w:id="45"/>
      <w:bookmarkEnd w:id="46"/>
      <w:bookmarkEnd w:id="47"/>
      <w:bookmarkEnd w:id="48"/>
    </w:p>
    <w:p w14:paraId="4A2848CC">
      <w:pPr>
        <w:spacing w:line="480" w:lineRule="exact"/>
        <w:ind w:firstLine="480"/>
        <w:jc w:val="left"/>
        <w:rPr>
          <w:rFonts w:ascii="宋体" w:hAnsi="宋体"/>
          <w:color w:val="000000"/>
          <w:sz w:val="24"/>
          <w:szCs w:val="24"/>
        </w:rPr>
      </w:pPr>
      <w:bookmarkStart w:id="49" w:name="_Toc28359009"/>
      <w:bookmarkStart w:id="50" w:name="_Toc28359086"/>
      <w:r>
        <w:rPr>
          <w:rFonts w:hint="eastAsia" w:ascii="宋体" w:hAnsi="宋体"/>
          <w:color w:val="000000"/>
          <w:sz w:val="24"/>
          <w:szCs w:val="24"/>
        </w:rPr>
        <w:t>1.采购人信息</w:t>
      </w:r>
    </w:p>
    <w:p w14:paraId="70577E47">
      <w:pPr>
        <w:spacing w:line="480" w:lineRule="exact"/>
        <w:ind w:firstLine="480"/>
        <w:jc w:val="left"/>
        <w:rPr>
          <w:rFonts w:ascii="宋体" w:hAnsi="宋体"/>
          <w:color w:val="000000"/>
          <w:sz w:val="24"/>
          <w:szCs w:val="24"/>
        </w:rPr>
      </w:pPr>
      <w:r>
        <w:rPr>
          <w:rFonts w:hint="eastAsia" w:ascii="宋体" w:hAnsi="宋体"/>
          <w:color w:val="000000"/>
          <w:sz w:val="24"/>
          <w:szCs w:val="24"/>
        </w:rPr>
        <w:t xml:space="preserve">名   称：宿迁市宿城生态环境局  </w:t>
      </w:r>
    </w:p>
    <w:p w14:paraId="72D52004">
      <w:pPr>
        <w:spacing w:line="480" w:lineRule="exact"/>
        <w:ind w:firstLine="480"/>
        <w:jc w:val="left"/>
        <w:rPr>
          <w:rFonts w:ascii="宋体" w:hAnsi="宋体"/>
          <w:color w:val="000000"/>
          <w:sz w:val="24"/>
          <w:szCs w:val="24"/>
        </w:rPr>
      </w:pPr>
      <w:r>
        <w:rPr>
          <w:rFonts w:hint="eastAsia" w:ascii="宋体" w:hAnsi="宋体"/>
          <w:color w:val="000000"/>
          <w:sz w:val="24"/>
          <w:szCs w:val="24"/>
        </w:rPr>
        <w:t xml:space="preserve">地   址：宿迁市宿城区商务大厦7楼 </w:t>
      </w:r>
    </w:p>
    <w:p w14:paraId="0FA9555F">
      <w:pPr>
        <w:spacing w:line="480" w:lineRule="exact"/>
        <w:ind w:firstLine="480"/>
        <w:jc w:val="left"/>
        <w:rPr>
          <w:rFonts w:ascii="宋体" w:hAnsi="宋体"/>
          <w:sz w:val="24"/>
          <w:szCs w:val="24"/>
          <w:u w:val="single"/>
        </w:rPr>
      </w:pPr>
      <w:r>
        <w:rPr>
          <w:rFonts w:hint="eastAsia" w:ascii="宋体" w:hAnsi="宋体"/>
          <w:color w:val="000000"/>
          <w:sz w:val="24"/>
          <w:szCs w:val="24"/>
        </w:rPr>
        <w:t>联 系 人：张静静</w:t>
      </w:r>
      <w:r>
        <w:rPr>
          <w:rFonts w:hint="eastAsia" w:ascii="宋体" w:hAnsi="宋体"/>
          <w:sz w:val="24"/>
          <w:szCs w:val="24"/>
        </w:rPr>
        <w:t xml:space="preserve"> </w:t>
      </w:r>
    </w:p>
    <w:p w14:paraId="24927D9B">
      <w:pPr>
        <w:spacing w:line="480" w:lineRule="exact"/>
        <w:ind w:firstLine="480"/>
        <w:jc w:val="left"/>
        <w:rPr>
          <w:rFonts w:ascii="宋体" w:hAnsi="宋体"/>
          <w:color w:val="000000"/>
          <w:sz w:val="24"/>
          <w:szCs w:val="24"/>
        </w:rPr>
      </w:pPr>
      <w:r>
        <w:rPr>
          <w:rFonts w:hint="eastAsia" w:ascii="宋体" w:hAnsi="宋体"/>
          <w:color w:val="000000"/>
          <w:sz w:val="24"/>
          <w:szCs w:val="24"/>
        </w:rPr>
        <w:t>联系方式：</w:t>
      </w:r>
      <w:r>
        <w:rPr>
          <w:rFonts w:hint="eastAsia" w:ascii="宋体" w:hAnsi="宋体"/>
          <w:color w:val="000000"/>
          <w:sz w:val="24"/>
          <w:szCs w:val="24"/>
          <w:lang w:val="en-US" w:eastAsia="zh-CN"/>
        </w:rPr>
        <w:t>19895801309</w:t>
      </w:r>
      <w:r>
        <w:rPr>
          <w:rFonts w:ascii="宋体" w:hAnsi="宋体"/>
          <w:color w:val="000000"/>
          <w:sz w:val="24"/>
          <w:szCs w:val="24"/>
        </w:rPr>
        <w:t xml:space="preserve">  </w:t>
      </w:r>
    </w:p>
    <w:p w14:paraId="4F411375">
      <w:pPr>
        <w:spacing w:line="480" w:lineRule="exact"/>
        <w:ind w:firstLine="480"/>
        <w:jc w:val="left"/>
        <w:rPr>
          <w:rFonts w:ascii="宋体" w:hAnsi="宋体"/>
          <w:sz w:val="24"/>
          <w:szCs w:val="24"/>
        </w:rPr>
      </w:pPr>
      <w:r>
        <w:rPr>
          <w:rFonts w:hint="eastAsia" w:ascii="宋体" w:hAnsi="宋体" w:cs="宋体"/>
          <w:sz w:val="24"/>
          <w:szCs w:val="24"/>
        </w:rPr>
        <w:t>2.</w:t>
      </w:r>
      <w:bookmarkEnd w:id="49"/>
      <w:bookmarkEnd w:id="50"/>
      <w:r>
        <w:rPr>
          <w:rFonts w:hint="eastAsia" w:ascii="宋体" w:hAnsi="宋体" w:cs="宋体"/>
          <w:sz w:val="24"/>
          <w:szCs w:val="24"/>
        </w:rPr>
        <w:t>采购代理机构信息</w:t>
      </w:r>
    </w:p>
    <w:p w14:paraId="05E89EC3">
      <w:pPr>
        <w:spacing w:line="480" w:lineRule="exact"/>
        <w:ind w:firstLine="480"/>
        <w:jc w:val="left"/>
        <w:rPr>
          <w:rFonts w:ascii="宋体" w:hAnsi="宋体"/>
          <w:sz w:val="24"/>
          <w:szCs w:val="24"/>
        </w:rPr>
      </w:pPr>
      <w:r>
        <w:rPr>
          <w:rFonts w:hint="eastAsia" w:ascii="宋体" w:hAnsi="宋体"/>
          <w:sz w:val="24"/>
          <w:szCs w:val="24"/>
        </w:rPr>
        <w:t>名    称：江苏宏邦工程管理咨询有限公司</w:t>
      </w:r>
    </w:p>
    <w:p w14:paraId="290B8ADA">
      <w:pPr>
        <w:spacing w:line="480" w:lineRule="exact"/>
        <w:ind w:firstLine="480"/>
        <w:rPr>
          <w:rFonts w:ascii="宋体" w:hAnsi="宋体"/>
          <w:sz w:val="24"/>
          <w:szCs w:val="24"/>
        </w:rPr>
      </w:pPr>
      <w:r>
        <w:rPr>
          <w:rFonts w:hint="eastAsia" w:ascii="宋体" w:hAnsi="宋体"/>
          <w:sz w:val="24"/>
          <w:szCs w:val="24"/>
        </w:rPr>
        <w:t>地  　址：宿迁市宿城区凯琳瑞百货大楼10楼</w:t>
      </w:r>
    </w:p>
    <w:p w14:paraId="0ED0057F">
      <w:pPr>
        <w:spacing w:line="480" w:lineRule="exact"/>
        <w:ind w:firstLine="480"/>
        <w:rPr>
          <w:rFonts w:ascii="宋体" w:hAnsi="宋体"/>
          <w:color w:val="000000"/>
          <w:sz w:val="24"/>
          <w:szCs w:val="24"/>
        </w:rPr>
      </w:pPr>
      <w:r>
        <w:rPr>
          <w:rFonts w:hint="eastAsia" w:ascii="宋体" w:hAnsi="宋体"/>
          <w:color w:val="000000"/>
          <w:sz w:val="24"/>
          <w:szCs w:val="24"/>
        </w:rPr>
        <w:t xml:space="preserve">联 系 人： 董田田         </w:t>
      </w:r>
    </w:p>
    <w:p w14:paraId="73560CFF">
      <w:pPr>
        <w:spacing w:line="480" w:lineRule="exact"/>
        <w:ind w:firstLine="480"/>
        <w:rPr>
          <w:rFonts w:hint="default" w:ascii="宋体" w:hAnsi="宋体" w:eastAsia="宋体"/>
          <w:color w:val="000000"/>
          <w:sz w:val="24"/>
          <w:szCs w:val="24"/>
          <w:lang w:val="en-US" w:eastAsia="zh-CN"/>
        </w:rPr>
      </w:pPr>
      <w:r>
        <w:rPr>
          <w:rFonts w:hint="eastAsia" w:ascii="宋体" w:hAnsi="宋体"/>
          <w:color w:val="000000"/>
          <w:sz w:val="24"/>
          <w:szCs w:val="24"/>
        </w:rPr>
        <w:t>联系方式：</w:t>
      </w:r>
      <w:r>
        <w:rPr>
          <w:rFonts w:hint="eastAsia" w:ascii="宋体" w:hAnsi="宋体"/>
          <w:color w:val="000000"/>
          <w:sz w:val="24"/>
          <w:szCs w:val="24"/>
          <w:lang w:val="en-US" w:eastAsia="zh-CN"/>
        </w:rPr>
        <w:t>18360131381、0527-88858966</w:t>
      </w:r>
    </w:p>
    <w:p w14:paraId="3C467F00">
      <w:pPr>
        <w:pStyle w:val="4"/>
        <w:spacing w:before="0" w:after="0" w:line="560" w:lineRule="exact"/>
        <w:ind w:firstLine="498"/>
        <w:rPr>
          <w:color w:val="000000"/>
        </w:rPr>
      </w:pPr>
      <w:r>
        <w:rPr>
          <w:rFonts w:hint="eastAsia" w:ascii="宋体" w:hAnsi="宋体" w:eastAsia="宋体" w:cs="宋体"/>
          <w:color w:val="000000"/>
        </w:rPr>
        <w:t>八、其他</w:t>
      </w:r>
    </w:p>
    <w:p w14:paraId="36A382C6">
      <w:pPr>
        <w:spacing w:line="560" w:lineRule="exact"/>
        <w:ind w:firstLine="480"/>
        <w:rPr>
          <w:rFonts w:ascii="宋体" w:hAnsi="宋体"/>
          <w:color w:val="000000"/>
          <w:sz w:val="24"/>
          <w:szCs w:val="24"/>
        </w:rPr>
      </w:pPr>
      <w:r>
        <w:rPr>
          <w:rFonts w:hint="eastAsia" w:ascii="宋体" w:hAnsi="宋体"/>
          <w:color w:val="000000"/>
          <w:sz w:val="24"/>
          <w:szCs w:val="24"/>
        </w:rPr>
        <w:t>1、有关本次招标的事项若存在变动或修改，敬请及时关注“宿迁市政府采购网”等平台更正公告。</w:t>
      </w:r>
    </w:p>
    <w:p w14:paraId="689F36DD">
      <w:pPr>
        <w:tabs>
          <w:tab w:val="left" w:pos="900"/>
        </w:tabs>
        <w:spacing w:line="560" w:lineRule="exact"/>
        <w:ind w:firstLine="482"/>
        <w:rPr>
          <w:rFonts w:ascii="仿宋_GB2312" w:eastAsia="仿宋_GB2312"/>
          <w:sz w:val="24"/>
        </w:rPr>
      </w:pPr>
      <w:r>
        <w:rPr>
          <w:rFonts w:hint="eastAsia" w:ascii="宋体" w:hAnsi="宋体"/>
          <w:color w:val="000000"/>
          <w:sz w:val="24"/>
          <w:szCs w:val="24"/>
        </w:rPr>
        <w:t>2、本次招标不收取投标保证金。</w:t>
      </w:r>
    </w:p>
    <w:p w14:paraId="6DD173F3">
      <w:pPr>
        <w:spacing w:line="480" w:lineRule="exact"/>
        <w:ind w:firstLine="480"/>
        <w:rPr>
          <w:rFonts w:ascii="仿宋_GB2312" w:eastAsia="仿宋_GB2312"/>
          <w:sz w:val="24"/>
        </w:rPr>
      </w:pPr>
    </w:p>
    <w:p w14:paraId="4CDB4124">
      <w:pPr>
        <w:spacing w:line="480" w:lineRule="exact"/>
        <w:ind w:firstLine="480"/>
        <w:rPr>
          <w:rFonts w:ascii="仿宋_GB2312" w:eastAsia="仿宋_GB2312"/>
          <w:sz w:val="24"/>
        </w:rPr>
      </w:pPr>
    </w:p>
    <w:p w14:paraId="41825D28">
      <w:pPr>
        <w:spacing w:line="480" w:lineRule="exact"/>
        <w:ind w:firstLine="480"/>
        <w:rPr>
          <w:rFonts w:ascii="仿宋_GB2312" w:eastAsia="仿宋_GB2312"/>
          <w:sz w:val="24"/>
        </w:rPr>
      </w:pPr>
    </w:p>
    <w:p w14:paraId="0DF7B93B">
      <w:pPr>
        <w:spacing w:line="480" w:lineRule="exact"/>
        <w:ind w:firstLine="480"/>
        <w:rPr>
          <w:rFonts w:ascii="仿宋_GB2312" w:eastAsia="仿宋_GB2312"/>
          <w:sz w:val="24"/>
        </w:rPr>
      </w:pPr>
    </w:p>
    <w:p w14:paraId="79F2ACE5">
      <w:pPr>
        <w:spacing w:line="480" w:lineRule="exact"/>
        <w:ind w:firstLine="480"/>
        <w:rPr>
          <w:rFonts w:ascii="仿宋_GB2312" w:eastAsia="仿宋_GB2312"/>
          <w:sz w:val="24"/>
        </w:rPr>
      </w:pPr>
    </w:p>
    <w:p w14:paraId="0CE2EA97">
      <w:pPr>
        <w:spacing w:line="480" w:lineRule="exact"/>
        <w:ind w:firstLine="480"/>
        <w:rPr>
          <w:rFonts w:ascii="仿宋_GB2312" w:eastAsia="仿宋_GB2312"/>
          <w:sz w:val="24"/>
        </w:rPr>
      </w:pPr>
    </w:p>
    <w:p w14:paraId="5F265F27">
      <w:pPr>
        <w:spacing w:line="480" w:lineRule="exact"/>
        <w:ind w:firstLine="480"/>
        <w:rPr>
          <w:rFonts w:ascii="仿宋_GB2312" w:eastAsia="仿宋_GB2312"/>
          <w:sz w:val="24"/>
        </w:rPr>
      </w:pPr>
    </w:p>
    <w:p w14:paraId="6CF70D26">
      <w:pPr>
        <w:spacing w:line="480" w:lineRule="exact"/>
        <w:ind w:firstLine="480"/>
        <w:rPr>
          <w:rFonts w:ascii="仿宋_GB2312" w:eastAsia="仿宋_GB2312"/>
          <w:sz w:val="24"/>
        </w:rPr>
      </w:pPr>
    </w:p>
    <w:p w14:paraId="5C8FC77F">
      <w:pPr>
        <w:spacing w:line="480" w:lineRule="exact"/>
        <w:ind w:firstLine="480"/>
        <w:rPr>
          <w:rFonts w:ascii="仿宋_GB2312" w:eastAsia="仿宋_GB2312"/>
          <w:sz w:val="24"/>
        </w:rPr>
      </w:pPr>
    </w:p>
    <w:p w14:paraId="47AADBD1">
      <w:pPr>
        <w:spacing w:line="480" w:lineRule="exact"/>
        <w:ind w:firstLine="480"/>
        <w:rPr>
          <w:rFonts w:ascii="仿宋_GB2312" w:eastAsia="仿宋_GB2312"/>
          <w:sz w:val="24"/>
        </w:rPr>
      </w:pPr>
    </w:p>
    <w:p w14:paraId="5D48979F">
      <w:pPr>
        <w:spacing w:line="480" w:lineRule="exact"/>
        <w:ind w:firstLine="480"/>
        <w:rPr>
          <w:rFonts w:ascii="仿宋_GB2312" w:eastAsia="仿宋_GB2312"/>
          <w:sz w:val="24"/>
        </w:rPr>
      </w:pPr>
    </w:p>
    <w:p w14:paraId="6E4711FA">
      <w:pPr>
        <w:spacing w:line="480" w:lineRule="exact"/>
        <w:ind w:firstLine="480"/>
        <w:rPr>
          <w:rFonts w:ascii="仿宋_GB2312" w:eastAsia="仿宋_GB2312"/>
          <w:sz w:val="24"/>
        </w:rPr>
      </w:pPr>
    </w:p>
    <w:p w14:paraId="340A3AFF">
      <w:pPr>
        <w:spacing w:line="480" w:lineRule="exact"/>
        <w:ind w:firstLine="480"/>
        <w:jc w:val="center"/>
        <w:outlineLvl w:val="0"/>
        <w:rPr>
          <w:rFonts w:eastAsia="黑体"/>
          <w:sz w:val="44"/>
        </w:rPr>
      </w:pPr>
      <w:r>
        <w:rPr>
          <w:rFonts w:hint="eastAsia" w:ascii="仿宋_GB2312" w:eastAsia="仿宋_GB2312"/>
          <w:sz w:val="24"/>
        </w:rPr>
        <w:br w:type="page" w:clear="all"/>
      </w:r>
      <w:bookmarkStart w:id="51" w:name="_Toc3314"/>
      <w:bookmarkStart w:id="52" w:name="_Toc15265"/>
      <w:bookmarkStart w:id="53" w:name="_Toc11687"/>
      <w:bookmarkStart w:id="54" w:name="_Toc81575153"/>
      <w:bookmarkStart w:id="55" w:name="_Toc81575190"/>
      <w:r>
        <w:rPr>
          <w:rFonts w:hint="eastAsia" w:eastAsia="黑体"/>
          <w:sz w:val="44"/>
        </w:rPr>
        <w:t>第二章  投标人须知</w:t>
      </w:r>
      <w:bookmarkEnd w:id="51"/>
      <w:bookmarkEnd w:id="52"/>
      <w:bookmarkEnd w:id="53"/>
      <w:bookmarkEnd w:id="54"/>
      <w:bookmarkEnd w:id="55"/>
    </w:p>
    <w:p w14:paraId="24D0382E">
      <w:pPr>
        <w:pStyle w:val="77"/>
        <w:spacing w:before="0" w:after="120" w:line="520" w:lineRule="exact"/>
        <w:rPr>
          <w:rFonts w:eastAsia="宋体" w:cs="Arial"/>
          <w:bCs/>
          <w:szCs w:val="22"/>
        </w:rPr>
      </w:pPr>
      <w:bookmarkStart w:id="56" w:name="_Toc4529"/>
      <w:r>
        <w:rPr>
          <w:rFonts w:hint="eastAsia" w:eastAsia="宋体" w:cs="Arial"/>
          <w:bCs/>
          <w:szCs w:val="22"/>
        </w:rPr>
        <w:t>投标人须知前附表：</w:t>
      </w:r>
      <w:bookmarkEnd w:id="56"/>
    </w:p>
    <w:tbl>
      <w:tblPr>
        <w:tblStyle w:val="38"/>
        <w:tblpPr w:leftFromText="180" w:rightFromText="180" w:vertAnchor="text" w:horzAnchor="page" w:tblpX="1530" w:tblpY="22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58"/>
        <w:gridCol w:w="1772"/>
        <w:gridCol w:w="6579"/>
      </w:tblGrid>
      <w:tr w14:paraId="6BFC62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2" w:hRule="atLeast"/>
        </w:trPr>
        <w:tc>
          <w:tcPr>
            <w:tcW w:w="858" w:type="dxa"/>
            <w:vAlign w:val="center"/>
          </w:tcPr>
          <w:p w14:paraId="415F41BE">
            <w:pPr>
              <w:jc w:val="center"/>
              <w:rPr>
                <w:rFonts w:ascii="仿宋_GB2312" w:hAnsi="仿宋"/>
                <w:b/>
                <w:sz w:val="24"/>
                <w:szCs w:val="24"/>
              </w:rPr>
            </w:pPr>
            <w:bookmarkStart w:id="57" w:name="_Toc81575154"/>
            <w:bookmarkStart w:id="58" w:name="_Toc81575191"/>
            <w:bookmarkStart w:id="59" w:name="_Toc29262"/>
            <w:r>
              <w:rPr>
                <w:rFonts w:hint="eastAsia" w:ascii="仿宋_GB2312" w:hAnsi="仿宋"/>
                <w:b/>
                <w:sz w:val="24"/>
                <w:szCs w:val="24"/>
              </w:rPr>
              <w:t>序号</w:t>
            </w:r>
          </w:p>
        </w:tc>
        <w:tc>
          <w:tcPr>
            <w:tcW w:w="1772" w:type="dxa"/>
            <w:vAlign w:val="center"/>
          </w:tcPr>
          <w:p w14:paraId="30C0FB2F">
            <w:pPr>
              <w:jc w:val="center"/>
              <w:rPr>
                <w:rFonts w:ascii="仿宋_GB2312" w:hAnsi="仿宋"/>
                <w:b/>
                <w:sz w:val="24"/>
                <w:szCs w:val="24"/>
              </w:rPr>
            </w:pPr>
            <w:r>
              <w:rPr>
                <w:rFonts w:hint="eastAsia" w:ascii="仿宋_GB2312" w:hAnsi="仿宋"/>
                <w:b/>
                <w:sz w:val="24"/>
                <w:szCs w:val="24"/>
              </w:rPr>
              <w:t>内容</w:t>
            </w:r>
          </w:p>
        </w:tc>
        <w:tc>
          <w:tcPr>
            <w:tcW w:w="6579" w:type="dxa"/>
            <w:vAlign w:val="center"/>
          </w:tcPr>
          <w:p w14:paraId="42ED407D">
            <w:pPr>
              <w:jc w:val="center"/>
              <w:rPr>
                <w:rFonts w:ascii="仿宋_GB2312" w:hAnsi="仿宋"/>
                <w:b/>
                <w:sz w:val="24"/>
                <w:szCs w:val="24"/>
              </w:rPr>
            </w:pPr>
            <w:r>
              <w:rPr>
                <w:rFonts w:hint="eastAsia" w:ascii="仿宋_GB2312" w:hAnsi="仿宋"/>
                <w:b/>
                <w:sz w:val="24"/>
                <w:szCs w:val="24"/>
              </w:rPr>
              <w:t>说明及要求</w:t>
            </w:r>
          </w:p>
        </w:tc>
      </w:tr>
      <w:tr w14:paraId="69E88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2434A888">
            <w:pPr>
              <w:spacing w:line="400" w:lineRule="exact"/>
              <w:jc w:val="center"/>
              <w:rPr>
                <w:rFonts w:ascii="Times New Roman" w:hAnsi="Times New Roman" w:cs="仿宋"/>
                <w:sz w:val="24"/>
                <w:szCs w:val="24"/>
              </w:rPr>
            </w:pPr>
            <w:r>
              <w:rPr>
                <w:rFonts w:hint="eastAsia" w:ascii="Times New Roman" w:hAnsi="Times New Roman" w:cs="仿宋"/>
                <w:sz w:val="24"/>
                <w:szCs w:val="24"/>
              </w:rPr>
              <w:t>1</w:t>
            </w:r>
          </w:p>
        </w:tc>
        <w:tc>
          <w:tcPr>
            <w:tcW w:w="1772" w:type="dxa"/>
            <w:vAlign w:val="center"/>
          </w:tcPr>
          <w:p w14:paraId="07CD27E6">
            <w:pPr>
              <w:spacing w:line="400" w:lineRule="exact"/>
              <w:jc w:val="center"/>
              <w:rPr>
                <w:rFonts w:ascii="Times New Roman" w:hAnsi="Times New Roman" w:cs="仿宋"/>
                <w:sz w:val="24"/>
                <w:szCs w:val="24"/>
              </w:rPr>
            </w:pPr>
            <w:r>
              <w:rPr>
                <w:rFonts w:hint="eastAsia" w:ascii="Times New Roman" w:hAnsi="Times New Roman" w:cs="仿宋"/>
                <w:sz w:val="24"/>
                <w:szCs w:val="24"/>
              </w:rPr>
              <w:t>项目属性</w:t>
            </w:r>
          </w:p>
        </w:tc>
        <w:tc>
          <w:tcPr>
            <w:tcW w:w="6579" w:type="dxa"/>
            <w:vAlign w:val="center"/>
          </w:tcPr>
          <w:p w14:paraId="058F85A1">
            <w:pPr>
              <w:spacing w:line="400" w:lineRule="exact"/>
              <w:jc w:val="left"/>
              <w:rPr>
                <w:rFonts w:ascii="Times New Roman" w:hAnsi="Times New Roman" w:cs="仿宋"/>
                <w:sz w:val="24"/>
                <w:szCs w:val="24"/>
              </w:rPr>
            </w:pPr>
            <w:r>
              <w:rPr>
                <w:rFonts w:hint="eastAsia" w:ascii="Times New Roman" w:hAnsi="Times New Roman" w:cs="仿宋"/>
                <w:sz w:val="24"/>
                <w:szCs w:val="24"/>
              </w:rPr>
              <w:t>本项目</w:t>
            </w:r>
            <w:bookmarkStart w:id="60" w:name="EB9a5853ee094f4f0ea6ec3169265f6f2c"/>
            <w:r>
              <w:rPr>
                <w:rFonts w:hint="eastAsia" w:ascii="Times New Roman" w:hAnsi="Times New Roman" w:cs="仿宋"/>
                <w:sz w:val="24"/>
                <w:szCs w:val="24"/>
              </w:rPr>
              <w:t>属性按以下第</w:t>
            </w:r>
            <w:bookmarkEnd w:id="60"/>
            <w:r>
              <w:rPr>
                <w:rFonts w:hint="eastAsia" w:ascii="Times New Roman" w:hAnsi="Times New Roman" w:cs="仿宋"/>
                <w:sz w:val="24"/>
                <w:szCs w:val="24"/>
                <w:u w:val="single"/>
              </w:rPr>
              <w:t>2</w:t>
            </w:r>
            <w:r>
              <w:rPr>
                <w:rFonts w:hint="eastAsia" w:ascii="Times New Roman" w:hAnsi="Times New Roman" w:cs="仿宋"/>
                <w:sz w:val="24"/>
                <w:szCs w:val="24"/>
              </w:rPr>
              <w:t>种确定：</w:t>
            </w:r>
          </w:p>
          <w:p w14:paraId="06CAEBEE">
            <w:pPr>
              <w:spacing w:line="400" w:lineRule="exact"/>
              <w:jc w:val="left"/>
              <w:rPr>
                <w:rFonts w:ascii="Times New Roman" w:hAnsi="Times New Roman" w:cs="仿宋"/>
                <w:sz w:val="24"/>
                <w:szCs w:val="24"/>
              </w:rPr>
            </w:pPr>
            <w:r>
              <w:rPr>
                <w:rFonts w:hint="eastAsia" w:ascii="Times New Roman" w:hAnsi="Times New Roman" w:cs="仿宋"/>
                <w:sz w:val="24"/>
                <w:szCs w:val="24"/>
              </w:rPr>
              <w:t>1.货物</w:t>
            </w:r>
            <w:bookmarkStart w:id="61" w:name="EBd5c6c026f9674c39b21b31ecd0c1e7fa"/>
            <w:r>
              <w:rPr>
                <w:rFonts w:hint="eastAsia" w:ascii="Times New Roman" w:hAnsi="Times New Roman" w:cs="仿宋"/>
                <w:sz w:val="24"/>
                <w:szCs w:val="24"/>
              </w:rPr>
              <w:t>采购；2.</w:t>
            </w:r>
            <w:bookmarkEnd w:id="61"/>
            <w:r>
              <w:rPr>
                <w:rFonts w:hint="eastAsia" w:ascii="Times New Roman" w:hAnsi="Times New Roman" w:cs="仿宋"/>
                <w:sz w:val="24"/>
                <w:szCs w:val="24"/>
              </w:rPr>
              <w:t>服务</w:t>
            </w:r>
            <w:bookmarkStart w:id="62" w:name="EBf7d2a4f44ecb4166a93ea852e73be69f"/>
            <w:r>
              <w:rPr>
                <w:rFonts w:hint="eastAsia" w:ascii="Times New Roman" w:hAnsi="Times New Roman" w:cs="仿宋"/>
                <w:sz w:val="24"/>
                <w:szCs w:val="24"/>
              </w:rPr>
              <w:t>采购；3.</w:t>
            </w:r>
            <w:bookmarkEnd w:id="62"/>
            <w:r>
              <w:rPr>
                <w:rFonts w:hint="eastAsia" w:ascii="Times New Roman" w:hAnsi="Times New Roman" w:cs="仿宋"/>
                <w:sz w:val="24"/>
                <w:szCs w:val="24"/>
              </w:rPr>
              <w:t>工程采购。</w:t>
            </w:r>
          </w:p>
        </w:tc>
      </w:tr>
      <w:tr w14:paraId="7980F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34B6EA75">
            <w:pPr>
              <w:spacing w:line="400" w:lineRule="exact"/>
              <w:jc w:val="center"/>
              <w:rPr>
                <w:rFonts w:ascii="Times New Roman" w:hAnsi="Times New Roman" w:cs="仿宋"/>
                <w:sz w:val="24"/>
                <w:szCs w:val="24"/>
              </w:rPr>
            </w:pPr>
            <w:r>
              <w:rPr>
                <w:rFonts w:hint="eastAsia" w:ascii="Times New Roman" w:hAnsi="Times New Roman" w:cs="仿宋"/>
                <w:sz w:val="24"/>
                <w:szCs w:val="24"/>
              </w:rPr>
              <w:t>2</w:t>
            </w:r>
          </w:p>
        </w:tc>
        <w:tc>
          <w:tcPr>
            <w:tcW w:w="1772" w:type="dxa"/>
            <w:vAlign w:val="center"/>
          </w:tcPr>
          <w:p w14:paraId="568884A6">
            <w:pPr>
              <w:spacing w:line="400" w:lineRule="exact"/>
              <w:jc w:val="center"/>
              <w:rPr>
                <w:rFonts w:ascii="Times New Roman" w:hAnsi="Times New Roman" w:cs="仿宋"/>
                <w:sz w:val="24"/>
                <w:szCs w:val="24"/>
              </w:rPr>
            </w:pPr>
            <w:r>
              <w:rPr>
                <w:rFonts w:hint="eastAsia" w:ascii="Times New Roman" w:hAnsi="Times New Roman" w:cs="仿宋"/>
                <w:sz w:val="24"/>
                <w:szCs w:val="24"/>
              </w:rPr>
              <w:t>投标有效期</w:t>
            </w:r>
          </w:p>
        </w:tc>
        <w:tc>
          <w:tcPr>
            <w:tcW w:w="6579" w:type="dxa"/>
            <w:vAlign w:val="center"/>
          </w:tcPr>
          <w:p w14:paraId="3E2D4921">
            <w:pPr>
              <w:spacing w:line="400" w:lineRule="exact"/>
              <w:jc w:val="left"/>
              <w:rPr>
                <w:rFonts w:ascii="Times New Roman" w:hAnsi="Times New Roman" w:cs="仿宋"/>
                <w:sz w:val="24"/>
                <w:szCs w:val="24"/>
              </w:rPr>
            </w:pPr>
            <w:bookmarkStart w:id="63" w:name="EBd40b5fb42f2944a3b45e579ce3941f02"/>
            <w:bookmarkEnd w:id="63"/>
            <w:r>
              <w:rPr>
                <w:rFonts w:hint="eastAsia" w:ascii="Times New Roman" w:hAnsi="Times New Roman" w:cs="仿宋"/>
                <w:sz w:val="24"/>
                <w:szCs w:val="24"/>
              </w:rPr>
              <w:t>60日（从提交投标文件截止之日起算）</w:t>
            </w:r>
          </w:p>
        </w:tc>
      </w:tr>
      <w:tr w14:paraId="3A6C56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5952917F">
            <w:pPr>
              <w:spacing w:line="400" w:lineRule="exact"/>
              <w:jc w:val="center"/>
              <w:rPr>
                <w:rFonts w:ascii="Times New Roman" w:hAnsi="Times New Roman" w:cs="仿宋"/>
                <w:sz w:val="24"/>
                <w:szCs w:val="24"/>
              </w:rPr>
            </w:pPr>
            <w:r>
              <w:rPr>
                <w:rFonts w:hint="eastAsia" w:ascii="Times New Roman" w:hAnsi="Times New Roman" w:cs="仿宋"/>
                <w:sz w:val="24"/>
                <w:szCs w:val="24"/>
              </w:rPr>
              <w:t>3</w:t>
            </w:r>
          </w:p>
        </w:tc>
        <w:tc>
          <w:tcPr>
            <w:tcW w:w="1772" w:type="dxa"/>
            <w:vAlign w:val="center"/>
          </w:tcPr>
          <w:p w14:paraId="0532384C">
            <w:pPr>
              <w:spacing w:line="400" w:lineRule="exact"/>
              <w:jc w:val="center"/>
              <w:rPr>
                <w:rFonts w:ascii="Times New Roman" w:hAnsi="Times New Roman" w:cs="仿宋"/>
                <w:sz w:val="24"/>
                <w:szCs w:val="24"/>
              </w:rPr>
            </w:pPr>
            <w:r>
              <w:rPr>
                <w:rFonts w:hint="eastAsia" w:ascii="Times New Roman" w:hAnsi="Times New Roman" w:cs="仿宋"/>
                <w:sz w:val="24"/>
                <w:szCs w:val="24"/>
              </w:rPr>
              <w:t>投标文件份数</w:t>
            </w:r>
          </w:p>
        </w:tc>
        <w:tc>
          <w:tcPr>
            <w:tcW w:w="6579" w:type="dxa"/>
            <w:vAlign w:val="center"/>
          </w:tcPr>
          <w:p w14:paraId="7510DE11">
            <w:pPr>
              <w:spacing w:line="400" w:lineRule="exact"/>
              <w:jc w:val="left"/>
              <w:rPr>
                <w:rFonts w:ascii="Times New Roman" w:hAnsi="Times New Roman" w:cs="仿宋"/>
                <w:sz w:val="24"/>
                <w:szCs w:val="24"/>
              </w:rPr>
            </w:pPr>
            <w:r>
              <w:rPr>
                <w:rFonts w:hint="eastAsia" w:ascii="Times New Roman" w:hAnsi="Times New Roman" w:cs="仿宋"/>
                <w:sz w:val="24"/>
                <w:szCs w:val="24"/>
              </w:rPr>
              <w:t>1.提交加密电子投标文件</w:t>
            </w:r>
            <w:r>
              <w:rPr>
                <w:rFonts w:hint="eastAsia" w:ascii="Times New Roman" w:hAnsi="Times New Roman" w:cs="仿宋"/>
                <w:sz w:val="24"/>
                <w:szCs w:val="24"/>
                <w:u w:val="single"/>
              </w:rPr>
              <w:t>1</w:t>
            </w:r>
            <w:r>
              <w:rPr>
                <w:rFonts w:hint="eastAsia" w:ascii="Times New Roman" w:hAnsi="Times New Roman" w:cs="仿宋"/>
                <w:sz w:val="24"/>
                <w:szCs w:val="24"/>
              </w:rPr>
              <w:t>份。</w:t>
            </w:r>
          </w:p>
          <w:p w14:paraId="453B17B6">
            <w:pPr>
              <w:spacing w:line="400" w:lineRule="exact"/>
              <w:jc w:val="left"/>
              <w:rPr>
                <w:rFonts w:ascii="Times New Roman" w:hAnsi="Times New Roman" w:cs="仿宋"/>
                <w:sz w:val="24"/>
                <w:szCs w:val="24"/>
              </w:rPr>
            </w:pPr>
            <w:r>
              <w:rPr>
                <w:bCs/>
                <w:color w:val="000000"/>
                <w:sz w:val="24"/>
              </w:rPr>
              <w:t>2.</w:t>
            </w:r>
            <w:r>
              <w:rPr>
                <w:rFonts w:hint="eastAsia"/>
                <w:bCs/>
                <w:color w:val="000000"/>
                <w:sz w:val="24"/>
              </w:rPr>
              <w:t>中标后按相关要求提供与电子投标文件一致的纸质打印投标文件3份，未加密电子投标文件</w:t>
            </w:r>
            <w:r>
              <w:rPr>
                <w:bCs/>
                <w:color w:val="000000"/>
                <w:sz w:val="24"/>
              </w:rPr>
              <w:t>1</w:t>
            </w:r>
            <w:r>
              <w:rPr>
                <w:rFonts w:hint="eastAsia"/>
                <w:bCs/>
                <w:color w:val="000000"/>
                <w:sz w:val="24"/>
              </w:rPr>
              <w:t>份。</w:t>
            </w:r>
          </w:p>
        </w:tc>
      </w:tr>
      <w:tr w14:paraId="680058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1766B42F">
            <w:pPr>
              <w:spacing w:line="400" w:lineRule="exact"/>
              <w:jc w:val="center"/>
              <w:rPr>
                <w:rFonts w:ascii="Times New Roman" w:hAnsi="Times New Roman" w:cs="仿宋"/>
                <w:sz w:val="24"/>
                <w:szCs w:val="24"/>
              </w:rPr>
            </w:pPr>
            <w:r>
              <w:rPr>
                <w:rFonts w:hint="eastAsia" w:ascii="Times New Roman" w:hAnsi="Times New Roman" w:cs="仿宋"/>
                <w:sz w:val="24"/>
                <w:szCs w:val="24"/>
              </w:rPr>
              <w:t>4</w:t>
            </w:r>
          </w:p>
        </w:tc>
        <w:tc>
          <w:tcPr>
            <w:tcW w:w="1772" w:type="dxa"/>
            <w:vAlign w:val="center"/>
          </w:tcPr>
          <w:p w14:paraId="09AE9885">
            <w:pPr>
              <w:spacing w:line="400" w:lineRule="exact"/>
              <w:jc w:val="center"/>
              <w:rPr>
                <w:rFonts w:ascii="Times New Roman" w:hAnsi="Times New Roman" w:cs="仿宋"/>
                <w:sz w:val="24"/>
                <w:szCs w:val="24"/>
              </w:rPr>
            </w:pPr>
            <w:r>
              <w:rPr>
                <w:rFonts w:hint="eastAsia" w:ascii="Times New Roman" w:hAnsi="Times New Roman" w:cs="仿宋"/>
                <w:sz w:val="24"/>
                <w:szCs w:val="24"/>
              </w:rPr>
              <w:t>开标</w:t>
            </w:r>
          </w:p>
        </w:tc>
        <w:tc>
          <w:tcPr>
            <w:tcW w:w="6579" w:type="dxa"/>
            <w:vAlign w:val="center"/>
          </w:tcPr>
          <w:p w14:paraId="207698F7">
            <w:pPr>
              <w:spacing w:line="400" w:lineRule="exact"/>
              <w:jc w:val="left"/>
              <w:rPr>
                <w:rFonts w:ascii="Times New Roman" w:hAnsi="Times New Roman" w:cs="仿宋"/>
                <w:sz w:val="24"/>
                <w:szCs w:val="24"/>
              </w:rPr>
            </w:pPr>
            <w:r>
              <w:rPr>
                <w:rFonts w:hint="eastAsia" w:ascii="Times New Roman" w:hAnsi="Times New Roman" w:cs="仿宋"/>
                <w:sz w:val="24"/>
                <w:szCs w:val="24"/>
              </w:rPr>
              <w:t>“苏采云”政府采购交易系统网上开标大厅进行不见面开标。</w:t>
            </w:r>
          </w:p>
        </w:tc>
      </w:tr>
      <w:tr w14:paraId="3FC037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858" w:type="dxa"/>
            <w:vAlign w:val="center"/>
          </w:tcPr>
          <w:p w14:paraId="728519AD">
            <w:pPr>
              <w:spacing w:line="400" w:lineRule="exact"/>
              <w:jc w:val="center"/>
              <w:rPr>
                <w:rFonts w:ascii="Times New Roman" w:hAnsi="Times New Roman" w:cs="仿宋"/>
                <w:sz w:val="24"/>
                <w:szCs w:val="24"/>
              </w:rPr>
            </w:pPr>
            <w:r>
              <w:rPr>
                <w:rFonts w:hint="eastAsia" w:ascii="Times New Roman" w:hAnsi="Times New Roman" w:cs="仿宋"/>
                <w:sz w:val="24"/>
                <w:szCs w:val="24"/>
              </w:rPr>
              <w:t>5</w:t>
            </w:r>
          </w:p>
        </w:tc>
        <w:tc>
          <w:tcPr>
            <w:tcW w:w="1772" w:type="dxa"/>
            <w:vAlign w:val="center"/>
          </w:tcPr>
          <w:p w14:paraId="2F5EA84B">
            <w:pPr>
              <w:spacing w:line="400" w:lineRule="exact"/>
              <w:jc w:val="center"/>
              <w:rPr>
                <w:rFonts w:ascii="Times New Roman" w:hAnsi="Times New Roman" w:cs="仿宋"/>
                <w:sz w:val="24"/>
                <w:szCs w:val="24"/>
              </w:rPr>
            </w:pPr>
            <w:r>
              <w:rPr>
                <w:rFonts w:hint="eastAsia" w:ascii="Times New Roman" w:hAnsi="Times New Roman" w:cs="仿宋"/>
                <w:sz w:val="24"/>
                <w:szCs w:val="24"/>
              </w:rPr>
              <w:t>进口产品</w:t>
            </w:r>
          </w:p>
        </w:tc>
        <w:tc>
          <w:tcPr>
            <w:tcW w:w="6579" w:type="dxa"/>
            <w:vAlign w:val="center"/>
          </w:tcPr>
          <w:p w14:paraId="2A3264A3">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2</w:t>
            </w:r>
            <w:r>
              <w:rPr>
                <w:rFonts w:hint="eastAsia" w:ascii="Times New Roman" w:hAnsi="Times New Roman" w:cs="仿宋"/>
                <w:sz w:val="24"/>
                <w:szCs w:val="24"/>
              </w:rPr>
              <w:t>种方式确定：</w:t>
            </w:r>
          </w:p>
          <w:p w14:paraId="0EAFE970">
            <w:pPr>
              <w:widowControl/>
              <w:spacing w:line="360" w:lineRule="exact"/>
              <w:jc w:val="left"/>
              <w:rPr>
                <w:rFonts w:ascii="Times New Roman" w:hAnsi="Times New Roman" w:cs="仿宋"/>
                <w:sz w:val="24"/>
                <w:szCs w:val="24"/>
              </w:rPr>
            </w:pPr>
            <w:r>
              <w:rPr>
                <w:rFonts w:hint="eastAsia" w:ascii="Times New Roman" w:hAnsi="Times New Roman" w:cs="仿宋"/>
                <w:sz w:val="24"/>
                <w:szCs w:val="24"/>
              </w:rPr>
              <w:t>1.接受进口产品。</w:t>
            </w:r>
            <w:r>
              <w:rPr>
                <w:rFonts w:hint="eastAsia" w:ascii="Times New Roman" w:hAnsi="Times New Roman" w:cs="仿宋"/>
                <w:sz w:val="24"/>
              </w:rPr>
              <w:t>应当符合《政府采购进口产品管理办法》（财库〔2007〕119号）、《关于政府采购进口产品管理有关问题的通知》（财办库〔2008〕248号）等相关规定</w:t>
            </w:r>
            <w:r>
              <w:rPr>
                <w:rFonts w:hint="eastAsia" w:ascii="Times New Roman" w:hAnsi="Times New Roman" w:cs="仿宋"/>
                <w:sz w:val="24"/>
                <w:szCs w:val="24"/>
              </w:rPr>
              <w:t>；</w:t>
            </w:r>
          </w:p>
          <w:p w14:paraId="52DF8F05">
            <w:pPr>
              <w:spacing w:line="400" w:lineRule="exact"/>
              <w:jc w:val="left"/>
              <w:rPr>
                <w:rFonts w:ascii="Times New Roman" w:hAnsi="Times New Roman" w:cs="仿宋"/>
                <w:sz w:val="24"/>
                <w:szCs w:val="24"/>
              </w:rPr>
            </w:pPr>
            <w:r>
              <w:rPr>
                <w:rFonts w:hint="eastAsia" w:ascii="Times New Roman" w:hAnsi="Times New Roman" w:cs="仿宋"/>
                <w:sz w:val="24"/>
                <w:szCs w:val="24"/>
              </w:rPr>
              <w:t>2.不接受进口产品。</w:t>
            </w:r>
          </w:p>
        </w:tc>
      </w:tr>
      <w:tr w14:paraId="1B0CF7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0BA0794">
            <w:pPr>
              <w:spacing w:line="400" w:lineRule="exact"/>
              <w:jc w:val="center"/>
              <w:rPr>
                <w:rFonts w:ascii="Times New Roman" w:hAnsi="Times New Roman" w:cs="仿宋"/>
                <w:sz w:val="24"/>
                <w:szCs w:val="24"/>
              </w:rPr>
            </w:pPr>
            <w:r>
              <w:rPr>
                <w:rFonts w:hint="eastAsia" w:ascii="Times New Roman" w:hAnsi="Times New Roman" w:cs="仿宋"/>
                <w:sz w:val="24"/>
                <w:szCs w:val="24"/>
              </w:rPr>
              <w:t>6</w:t>
            </w:r>
          </w:p>
        </w:tc>
        <w:tc>
          <w:tcPr>
            <w:tcW w:w="1772" w:type="dxa"/>
            <w:vAlign w:val="center"/>
          </w:tcPr>
          <w:p w14:paraId="16806966">
            <w:pPr>
              <w:spacing w:line="400" w:lineRule="exact"/>
              <w:jc w:val="center"/>
              <w:rPr>
                <w:rFonts w:ascii="Times New Roman" w:hAnsi="Times New Roman" w:cs="仿宋"/>
                <w:sz w:val="24"/>
                <w:szCs w:val="24"/>
              </w:rPr>
            </w:pPr>
            <w:r>
              <w:rPr>
                <w:rFonts w:hint="eastAsia" w:ascii="Times New Roman" w:hAnsi="Times New Roman" w:cs="仿宋"/>
                <w:sz w:val="24"/>
                <w:szCs w:val="24"/>
              </w:rPr>
              <w:t>评标办法</w:t>
            </w:r>
          </w:p>
        </w:tc>
        <w:tc>
          <w:tcPr>
            <w:tcW w:w="6579" w:type="dxa"/>
            <w:vAlign w:val="center"/>
          </w:tcPr>
          <w:p w14:paraId="3407EE4E">
            <w:pPr>
              <w:spacing w:line="400" w:lineRule="exact"/>
              <w:jc w:val="left"/>
              <w:rPr>
                <w:rFonts w:ascii="Times New Roman" w:hAnsi="Times New Roman" w:cs="仿宋"/>
                <w:sz w:val="24"/>
                <w:szCs w:val="24"/>
              </w:rPr>
            </w:pPr>
            <w:r>
              <w:rPr>
                <w:rFonts w:hint="eastAsia" w:ascii="Times New Roman" w:hAnsi="Times New Roman" w:cs="仿宋"/>
                <w:sz w:val="24"/>
                <w:szCs w:val="24"/>
              </w:rPr>
              <w:t>具体评标办法详见招标文件第三章。</w:t>
            </w:r>
          </w:p>
          <w:p w14:paraId="33D3C99C">
            <w:pPr>
              <w:spacing w:line="400" w:lineRule="exact"/>
              <w:jc w:val="left"/>
              <w:rPr>
                <w:rFonts w:ascii="Times New Roman" w:hAnsi="Times New Roman" w:cs="仿宋"/>
                <w:sz w:val="24"/>
                <w:szCs w:val="24"/>
              </w:rPr>
            </w:pPr>
            <w:r>
              <w:rPr>
                <w:rFonts w:hint="eastAsia" w:ascii="Times New Roman" w:hAnsi="Times New Roman" w:cs="仿宋"/>
                <w:sz w:val="24"/>
                <w:szCs w:val="24"/>
              </w:rPr>
              <w:t>评标委员会依据招标文件规定的评标办法和标准推荐</w:t>
            </w:r>
            <w:r>
              <w:rPr>
                <w:rFonts w:hint="eastAsia" w:ascii="Times New Roman" w:hAnsi="Times New Roman" w:cs="仿宋"/>
                <w:sz w:val="24"/>
                <w:szCs w:val="24"/>
                <w:u w:val="single"/>
              </w:rPr>
              <w:t>3</w:t>
            </w:r>
            <w:r>
              <w:rPr>
                <w:rFonts w:hint="eastAsia" w:ascii="Times New Roman" w:hAnsi="Times New Roman" w:cs="仿宋"/>
                <w:sz w:val="24"/>
                <w:szCs w:val="24"/>
              </w:rPr>
              <w:t>名中标候选人。</w:t>
            </w:r>
          </w:p>
        </w:tc>
      </w:tr>
      <w:tr w14:paraId="729F2A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6A270474">
            <w:pPr>
              <w:spacing w:line="400" w:lineRule="exact"/>
              <w:jc w:val="center"/>
              <w:rPr>
                <w:rFonts w:ascii="Times New Roman" w:hAnsi="Times New Roman" w:cs="仿宋"/>
                <w:sz w:val="24"/>
                <w:szCs w:val="24"/>
              </w:rPr>
            </w:pPr>
            <w:r>
              <w:rPr>
                <w:rFonts w:hint="eastAsia" w:ascii="Times New Roman" w:hAnsi="Times New Roman" w:cs="仿宋"/>
                <w:sz w:val="24"/>
                <w:szCs w:val="24"/>
              </w:rPr>
              <w:t>7</w:t>
            </w:r>
          </w:p>
        </w:tc>
        <w:tc>
          <w:tcPr>
            <w:tcW w:w="1772" w:type="dxa"/>
            <w:vAlign w:val="center"/>
          </w:tcPr>
          <w:p w14:paraId="4CEACF9D">
            <w:pPr>
              <w:spacing w:line="400" w:lineRule="exact"/>
              <w:jc w:val="center"/>
              <w:rPr>
                <w:rFonts w:ascii="Times New Roman" w:hAnsi="Times New Roman" w:cs="仿宋"/>
                <w:sz w:val="24"/>
                <w:szCs w:val="24"/>
              </w:rPr>
            </w:pPr>
            <w:r>
              <w:rPr>
                <w:rFonts w:hint="eastAsia" w:ascii="Times New Roman" w:hAnsi="Times New Roman" w:cs="仿宋"/>
                <w:sz w:val="24"/>
                <w:szCs w:val="24"/>
              </w:rPr>
              <w:t>确定中标人</w:t>
            </w:r>
          </w:p>
        </w:tc>
        <w:tc>
          <w:tcPr>
            <w:tcW w:w="6579" w:type="dxa"/>
            <w:vAlign w:val="center"/>
          </w:tcPr>
          <w:p w14:paraId="037C707F">
            <w:pPr>
              <w:spacing w:line="400" w:lineRule="exact"/>
              <w:jc w:val="left"/>
              <w:rPr>
                <w:rFonts w:ascii="Times New Roman" w:hAnsi="Times New Roman" w:cs="仿宋"/>
                <w:sz w:val="24"/>
                <w:szCs w:val="24"/>
              </w:rPr>
            </w:pPr>
            <w:r>
              <w:rPr>
                <w:rFonts w:hint="eastAsia" w:ascii="Times New Roman" w:hAnsi="Times New Roman" w:cs="仿宋"/>
                <w:sz w:val="24"/>
                <w:szCs w:val="24"/>
              </w:rPr>
              <w:t>按以下第</w:t>
            </w:r>
            <w:r>
              <w:rPr>
                <w:rFonts w:hint="eastAsia" w:ascii="Times New Roman" w:hAnsi="Times New Roman" w:cs="仿宋"/>
                <w:sz w:val="24"/>
                <w:szCs w:val="24"/>
                <w:u w:val="single"/>
              </w:rPr>
              <w:t>1</w:t>
            </w:r>
            <w:r>
              <w:rPr>
                <w:rFonts w:hint="eastAsia" w:ascii="Times New Roman" w:hAnsi="Times New Roman" w:cs="仿宋"/>
                <w:sz w:val="24"/>
                <w:szCs w:val="24"/>
              </w:rPr>
              <w:t>种方式确定中标人：</w:t>
            </w:r>
          </w:p>
          <w:p w14:paraId="2C3D31B7">
            <w:pPr>
              <w:spacing w:line="400" w:lineRule="exact"/>
              <w:jc w:val="left"/>
              <w:rPr>
                <w:rFonts w:ascii="Times New Roman" w:hAnsi="Times New Roman" w:cs="仿宋"/>
                <w:sz w:val="24"/>
                <w:szCs w:val="24"/>
              </w:rPr>
            </w:pPr>
            <w:r>
              <w:rPr>
                <w:rFonts w:hint="eastAsia" w:ascii="Times New Roman" w:hAnsi="Times New Roman" w:cs="仿宋"/>
                <w:sz w:val="24"/>
                <w:szCs w:val="24"/>
              </w:rPr>
              <w:t>1.采购人按规定在评标委员会推荐的中标候选人中确定中标人；</w:t>
            </w:r>
          </w:p>
        </w:tc>
      </w:tr>
      <w:tr w14:paraId="4A6751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7589FD85">
            <w:pPr>
              <w:spacing w:line="400" w:lineRule="exact"/>
              <w:jc w:val="center"/>
              <w:rPr>
                <w:rFonts w:ascii="Times New Roman" w:hAnsi="Times New Roman" w:cs="仿宋"/>
                <w:sz w:val="24"/>
                <w:szCs w:val="24"/>
              </w:rPr>
            </w:pPr>
            <w:r>
              <w:rPr>
                <w:rFonts w:hint="eastAsia" w:ascii="Times New Roman" w:hAnsi="Times New Roman" w:cs="仿宋"/>
                <w:sz w:val="24"/>
                <w:szCs w:val="24"/>
              </w:rPr>
              <w:t>8</w:t>
            </w:r>
          </w:p>
        </w:tc>
        <w:tc>
          <w:tcPr>
            <w:tcW w:w="1772" w:type="dxa"/>
            <w:vAlign w:val="center"/>
          </w:tcPr>
          <w:p w14:paraId="53C20FE8">
            <w:pPr>
              <w:spacing w:line="400" w:lineRule="exact"/>
              <w:jc w:val="center"/>
              <w:rPr>
                <w:rFonts w:ascii="Times New Roman" w:hAnsi="Times New Roman" w:cs="仿宋"/>
                <w:sz w:val="24"/>
                <w:szCs w:val="24"/>
              </w:rPr>
            </w:pPr>
            <w:r>
              <w:rPr>
                <w:rFonts w:hint="eastAsia" w:ascii="Times New Roman" w:hAnsi="Times New Roman" w:cs="仿宋"/>
                <w:sz w:val="24"/>
                <w:szCs w:val="24"/>
              </w:rPr>
              <w:t>分包要求</w:t>
            </w:r>
          </w:p>
        </w:tc>
        <w:tc>
          <w:tcPr>
            <w:tcW w:w="6579" w:type="dxa"/>
            <w:vAlign w:val="center"/>
          </w:tcPr>
          <w:p w14:paraId="7C326004">
            <w:pPr>
              <w:spacing w:line="400" w:lineRule="exact"/>
              <w:jc w:val="left"/>
              <w:rPr>
                <w:rFonts w:ascii="Times New Roman" w:hAnsi="Times New Roman" w:cs="仿宋"/>
                <w:sz w:val="24"/>
                <w:szCs w:val="24"/>
              </w:rPr>
            </w:pPr>
            <w:bookmarkStart w:id="64" w:name="EBebac1462c5d9459fbda8a75065c2455d"/>
            <w:r>
              <w:rPr>
                <w:rFonts w:hint="eastAsia" w:ascii="Times New Roman" w:hAnsi="Times New Roman" w:cs="仿宋"/>
                <w:sz w:val="24"/>
                <w:szCs w:val="24"/>
              </w:rPr>
              <w:t>本项目的非主体、非关键性工作是否允许分包</w:t>
            </w:r>
            <w:bookmarkEnd w:id="64"/>
            <w:r>
              <w:rPr>
                <w:rFonts w:hint="eastAsia" w:ascii="Times New Roman" w:hAnsi="Times New Roman" w:cs="仿宋"/>
                <w:sz w:val="24"/>
                <w:szCs w:val="24"/>
              </w:rPr>
              <w:t>按以下第</w:t>
            </w:r>
            <w:r>
              <w:rPr>
                <w:rFonts w:hint="eastAsia" w:ascii="Times New Roman" w:hAnsi="Times New Roman" w:cs="仿宋"/>
                <w:sz w:val="24"/>
                <w:szCs w:val="24"/>
                <w:u w:val="single"/>
              </w:rPr>
              <w:t> 2   </w:t>
            </w:r>
            <w:r>
              <w:rPr>
                <w:rFonts w:hint="eastAsia" w:ascii="Times New Roman" w:hAnsi="Times New Roman" w:cs="仿宋"/>
                <w:sz w:val="24"/>
                <w:szCs w:val="24"/>
              </w:rPr>
              <w:t>种方式确定：</w:t>
            </w:r>
          </w:p>
          <w:p w14:paraId="2985942F">
            <w:pPr>
              <w:spacing w:line="400" w:lineRule="exact"/>
              <w:jc w:val="left"/>
              <w:rPr>
                <w:rFonts w:ascii="Times New Roman" w:hAnsi="Times New Roman" w:cs="仿宋"/>
                <w:sz w:val="24"/>
                <w:szCs w:val="24"/>
              </w:rPr>
            </w:pPr>
            <w:r>
              <w:rPr>
                <w:rFonts w:hint="eastAsia" w:ascii="Times New Roman" w:hAnsi="Times New Roman" w:cs="仿宋"/>
                <w:sz w:val="24"/>
                <w:szCs w:val="24"/>
              </w:rPr>
              <w:t>1.允许分包，</w:t>
            </w:r>
            <w:bookmarkStart w:id="65" w:name="EB512ba06683724173802e2aae54a26079"/>
            <w:r>
              <w:rPr>
                <w:rFonts w:hint="eastAsia" w:ascii="Times New Roman" w:hAnsi="Times New Roman" w:cs="仿宋"/>
                <w:sz w:val="24"/>
                <w:szCs w:val="24"/>
              </w:rPr>
              <w:t>允许大中型企业向一家或者多家小微企业分包，分包具体内容、金额或比例：</w:t>
            </w:r>
            <w:bookmarkEnd w:id="65"/>
            <w:r>
              <w:rPr>
                <w:rFonts w:hint="eastAsia" w:ascii="Times New Roman" w:hAnsi="Times New Roman" w:cs="仿宋"/>
                <w:sz w:val="24"/>
                <w:szCs w:val="24"/>
              </w:rPr>
              <w:t>无</w:t>
            </w:r>
          </w:p>
          <w:p w14:paraId="284602C2">
            <w:pPr>
              <w:spacing w:line="400" w:lineRule="exact"/>
              <w:jc w:val="left"/>
              <w:rPr>
                <w:rFonts w:ascii="Times New Roman" w:hAnsi="Times New Roman" w:cs="仿宋"/>
                <w:sz w:val="24"/>
                <w:szCs w:val="24"/>
              </w:rPr>
            </w:pPr>
            <w:r>
              <w:rPr>
                <w:rFonts w:hint="eastAsia" w:ascii="Times New Roman" w:hAnsi="Times New Roman" w:cs="仿宋"/>
                <w:sz w:val="24"/>
                <w:szCs w:val="24"/>
              </w:rPr>
              <w:t>2.不允许分包。</w:t>
            </w:r>
          </w:p>
        </w:tc>
      </w:tr>
      <w:tr w14:paraId="2177D6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1490FE78">
            <w:pPr>
              <w:spacing w:line="400" w:lineRule="exact"/>
              <w:jc w:val="center"/>
              <w:rPr>
                <w:rFonts w:ascii="Times New Roman" w:hAnsi="Times New Roman" w:cs="仿宋"/>
                <w:sz w:val="24"/>
                <w:szCs w:val="24"/>
              </w:rPr>
            </w:pPr>
            <w:r>
              <w:rPr>
                <w:rFonts w:hint="eastAsia" w:ascii="Times New Roman" w:hAnsi="Times New Roman" w:cs="仿宋"/>
                <w:sz w:val="24"/>
                <w:szCs w:val="24"/>
              </w:rPr>
              <w:t>9</w:t>
            </w:r>
          </w:p>
        </w:tc>
        <w:tc>
          <w:tcPr>
            <w:tcW w:w="1772" w:type="dxa"/>
            <w:vAlign w:val="center"/>
          </w:tcPr>
          <w:p w14:paraId="5046C874">
            <w:pPr>
              <w:spacing w:line="400" w:lineRule="exact"/>
              <w:jc w:val="center"/>
              <w:rPr>
                <w:rFonts w:ascii="Times New Roman" w:hAnsi="Times New Roman" w:cs="仿宋"/>
                <w:sz w:val="24"/>
                <w:szCs w:val="24"/>
              </w:rPr>
            </w:pPr>
            <w:r>
              <w:rPr>
                <w:rFonts w:hint="eastAsia" w:ascii="Times New Roman" w:hAnsi="Times New Roman" w:cs="仿宋"/>
                <w:sz w:val="24"/>
                <w:szCs w:val="24"/>
              </w:rPr>
              <w:t>代理费用收取方式及标准</w:t>
            </w:r>
          </w:p>
        </w:tc>
        <w:tc>
          <w:tcPr>
            <w:tcW w:w="6579" w:type="dxa"/>
            <w:vAlign w:val="center"/>
          </w:tcPr>
          <w:p w14:paraId="44725F2D">
            <w:pPr>
              <w:spacing w:line="400" w:lineRule="exact"/>
              <w:jc w:val="left"/>
              <w:rPr>
                <w:rFonts w:ascii="Times New Roman" w:hAnsi="Times New Roman" w:cs="仿宋"/>
                <w:sz w:val="24"/>
                <w:szCs w:val="24"/>
              </w:rPr>
            </w:pPr>
            <w:bookmarkStart w:id="66" w:name="EBfe735bb6fc4d4e5e9e350f940db98c5f"/>
            <w:bookmarkEnd w:id="66"/>
            <w:r>
              <w:rPr>
                <w:rFonts w:hint="eastAsia" w:ascii="Times New Roman" w:hAnsi="Times New Roman" w:cs="仿宋"/>
                <w:sz w:val="24"/>
                <w:szCs w:val="24"/>
              </w:rPr>
              <w:t>本项目</w:t>
            </w:r>
            <w:bookmarkStart w:id="67" w:name="OLE_LINK6"/>
            <w:bookmarkStart w:id="68" w:name="OLE_LINK1"/>
            <w:bookmarkStart w:id="69" w:name="OLE_LINK2"/>
            <w:r>
              <w:rPr>
                <w:rFonts w:hint="eastAsia" w:ascii="宋体" w:hAnsi="宋体" w:cs="宋体"/>
                <w:color w:val="000000" w:themeColor="text1"/>
                <w:sz w:val="24"/>
                <w:szCs w:val="24"/>
                <w:highlight w:val="none"/>
                <w:u w:val="none"/>
                <w:lang w:val="en-US" w:eastAsia="zh-CN"/>
                <w14:textFill>
                  <w14:solidFill>
                    <w14:schemeClr w14:val="tx1"/>
                  </w14:solidFill>
                </w14:textFill>
              </w:rPr>
              <w:t>中标</w:t>
            </w:r>
            <w:r>
              <w:rPr>
                <w:rFonts w:hint="eastAsia" w:ascii="宋体" w:hAnsi="宋体" w:cs="宋体"/>
                <w:color w:val="000000" w:themeColor="text1"/>
                <w:sz w:val="24"/>
                <w:szCs w:val="24"/>
                <w:highlight w:val="none"/>
                <w:u w:val="none"/>
                <w14:textFill>
                  <w14:solidFill>
                    <w14:schemeClr w14:val="tx1"/>
                  </w14:solidFill>
                </w14:textFill>
              </w:rPr>
              <w:t>人成交后</w:t>
            </w:r>
            <w:r>
              <w:rPr>
                <w:rFonts w:hint="eastAsia" w:ascii="宋体" w:hAnsi="宋体" w:cs="宋体"/>
                <w:color w:val="000000" w:themeColor="text1"/>
                <w:sz w:val="24"/>
                <w:szCs w:val="24"/>
                <w:highlight w:val="none"/>
                <w:u w:val="none"/>
                <w:lang w:val="en-US" w:eastAsia="zh-CN"/>
                <w14:textFill>
                  <w14:solidFill>
                    <w14:schemeClr w14:val="tx1"/>
                  </w14:solidFill>
                </w14:textFill>
              </w:rPr>
              <w:t>7日内</w:t>
            </w:r>
            <w:r>
              <w:rPr>
                <w:rFonts w:hint="eastAsia" w:ascii="Times New Roman" w:hAnsi="Times New Roman" w:cs="仿宋"/>
                <w:sz w:val="24"/>
                <w:szCs w:val="24"/>
              </w:rPr>
              <w:t>按照苏招协【2022】002文</w:t>
            </w:r>
            <w:r>
              <w:rPr>
                <w:rFonts w:ascii="Times New Roman" w:hAnsi="Times New Roman" w:cs="仿宋"/>
                <w:sz w:val="24"/>
                <w:szCs w:val="24"/>
              </w:rPr>
              <w:t>标准</w:t>
            </w:r>
            <w:r>
              <w:rPr>
                <w:rFonts w:hint="eastAsia" w:ascii="Times New Roman" w:hAnsi="Times New Roman" w:cs="仿宋"/>
                <w:sz w:val="24"/>
                <w:szCs w:val="24"/>
              </w:rPr>
              <w:t>向代理单位支付代理服务费</w:t>
            </w:r>
            <w:bookmarkEnd w:id="67"/>
            <w:bookmarkEnd w:id="68"/>
            <w:bookmarkEnd w:id="69"/>
            <w:r>
              <w:rPr>
                <w:rFonts w:hint="eastAsia" w:ascii="Times New Roman" w:hAnsi="Times New Roman" w:cs="仿宋"/>
                <w:sz w:val="24"/>
                <w:szCs w:val="24"/>
              </w:rPr>
              <w:t xml:space="preserve">。支付方式可以通过转账或数字人民币等方式。  </w:t>
            </w:r>
          </w:p>
        </w:tc>
      </w:tr>
      <w:tr w14:paraId="75171B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858" w:type="dxa"/>
            <w:vAlign w:val="center"/>
          </w:tcPr>
          <w:p w14:paraId="27030881">
            <w:pPr>
              <w:spacing w:line="400" w:lineRule="exact"/>
              <w:jc w:val="center"/>
              <w:rPr>
                <w:rFonts w:ascii="Times New Roman" w:hAnsi="Times New Roman" w:cs="仿宋"/>
                <w:sz w:val="24"/>
                <w:szCs w:val="24"/>
              </w:rPr>
            </w:pPr>
            <w:r>
              <w:rPr>
                <w:rFonts w:hint="eastAsia" w:ascii="Times New Roman" w:hAnsi="Times New Roman" w:cs="仿宋"/>
                <w:sz w:val="24"/>
                <w:szCs w:val="24"/>
              </w:rPr>
              <w:t>10</w:t>
            </w:r>
          </w:p>
        </w:tc>
        <w:tc>
          <w:tcPr>
            <w:tcW w:w="1772" w:type="dxa"/>
            <w:vAlign w:val="center"/>
          </w:tcPr>
          <w:p w14:paraId="27148528">
            <w:pPr>
              <w:spacing w:line="400" w:lineRule="exact"/>
              <w:jc w:val="center"/>
              <w:rPr>
                <w:rFonts w:ascii="Times New Roman" w:hAnsi="Times New Roman" w:cs="仿宋"/>
                <w:sz w:val="24"/>
                <w:szCs w:val="24"/>
              </w:rPr>
            </w:pPr>
            <w:r>
              <w:rPr>
                <w:rFonts w:hint="eastAsia" w:ascii="Times New Roman" w:hAnsi="Times New Roman" w:cs="仿宋"/>
                <w:sz w:val="24"/>
                <w:szCs w:val="24"/>
              </w:rPr>
              <w:t>其他</w:t>
            </w:r>
            <w:bookmarkEnd w:id="57"/>
            <w:bookmarkEnd w:id="58"/>
            <w:bookmarkEnd w:id="59"/>
          </w:p>
        </w:tc>
        <w:tc>
          <w:tcPr>
            <w:tcW w:w="6579" w:type="dxa"/>
            <w:vAlign w:val="center"/>
          </w:tcPr>
          <w:p w14:paraId="65EC0954">
            <w:pPr>
              <w:spacing w:line="400" w:lineRule="exact"/>
              <w:jc w:val="left"/>
              <w:rPr>
                <w:rFonts w:ascii="Times New Roman" w:hAnsi="Times New Roman" w:cs="仿宋"/>
                <w:sz w:val="24"/>
                <w:szCs w:val="24"/>
              </w:rPr>
            </w:pPr>
            <w:r>
              <w:rPr>
                <w:rFonts w:hint="eastAsia" w:ascii="Times New Roman" w:hAnsi="Times New Roman" w:cs="仿宋"/>
                <w:sz w:val="24"/>
                <w:szCs w:val="24"/>
              </w:rPr>
              <w:t>信用信息查询截止时间：资格审查结束前。由采购人在资格审查现场查询信用信息，网页截屏打印，查询结果留存并归档。</w:t>
            </w:r>
          </w:p>
        </w:tc>
      </w:tr>
    </w:tbl>
    <w:p w14:paraId="1A30DFBC">
      <w:pPr>
        <w:rPr>
          <w:sz w:val="20"/>
        </w:rPr>
      </w:pPr>
    </w:p>
    <w:p w14:paraId="0781DEF4">
      <w:pPr>
        <w:pStyle w:val="77"/>
        <w:spacing w:before="0" w:after="0" w:line="480" w:lineRule="exact"/>
        <w:ind w:firstLine="321"/>
        <w:rPr>
          <w:rFonts w:eastAsia="宋体" w:cs="Arial"/>
          <w:bCs/>
          <w:szCs w:val="22"/>
        </w:rPr>
      </w:pPr>
      <w:bookmarkStart w:id="70" w:name="EB6eaaf474639940df900ef4965d71f450"/>
      <w:bookmarkEnd w:id="70"/>
      <w:bookmarkStart w:id="71" w:name="_Toc8239"/>
      <w:bookmarkStart w:id="72" w:name="_Toc30953"/>
      <w:bookmarkStart w:id="73" w:name="_Toc81575192"/>
      <w:bookmarkStart w:id="74" w:name="_Toc81575155"/>
      <w:r>
        <w:rPr>
          <w:rFonts w:hint="eastAsia" w:eastAsia="宋体" w:cs="Arial"/>
          <w:bCs/>
          <w:szCs w:val="22"/>
        </w:rPr>
        <w:t>一、总 则</w:t>
      </w:r>
      <w:bookmarkEnd w:id="71"/>
      <w:bookmarkEnd w:id="72"/>
      <w:bookmarkEnd w:id="73"/>
      <w:bookmarkEnd w:id="74"/>
    </w:p>
    <w:p w14:paraId="54C78CE5">
      <w:pPr>
        <w:spacing w:line="480" w:lineRule="exact"/>
        <w:ind w:firstLine="482"/>
        <w:rPr>
          <w:rFonts w:ascii="Times New Roman" w:hAnsi="Times New Roman" w:cs="仿宋"/>
          <w:b/>
          <w:sz w:val="24"/>
        </w:rPr>
      </w:pPr>
      <w:r>
        <w:rPr>
          <w:rFonts w:hint="eastAsia" w:ascii="Times New Roman" w:hAnsi="Times New Roman" w:cs="仿宋"/>
          <w:b/>
          <w:sz w:val="24"/>
        </w:rPr>
        <w:t>1、招标方式</w:t>
      </w:r>
    </w:p>
    <w:p w14:paraId="7350E562">
      <w:pPr>
        <w:spacing w:line="480" w:lineRule="exact"/>
        <w:ind w:firstLine="480"/>
        <w:rPr>
          <w:rFonts w:ascii="Times New Roman" w:hAnsi="Times New Roman" w:cs="仿宋"/>
          <w:sz w:val="24"/>
        </w:rPr>
      </w:pPr>
      <w:r>
        <w:rPr>
          <w:rFonts w:hint="eastAsia" w:ascii="Times New Roman" w:hAnsi="Times New Roman" w:cs="仿宋"/>
          <w:sz w:val="24"/>
        </w:rPr>
        <w:t>本次采购采取公开招标方式。</w:t>
      </w:r>
    </w:p>
    <w:p w14:paraId="6515040A">
      <w:pPr>
        <w:spacing w:line="480" w:lineRule="exact"/>
        <w:ind w:firstLine="482"/>
        <w:rPr>
          <w:rFonts w:ascii="Times New Roman" w:hAnsi="Times New Roman" w:cs="仿宋"/>
          <w:b/>
          <w:sz w:val="24"/>
        </w:rPr>
      </w:pPr>
      <w:r>
        <w:rPr>
          <w:rFonts w:hint="eastAsia" w:ascii="Times New Roman" w:hAnsi="Times New Roman" w:cs="仿宋"/>
          <w:b/>
          <w:sz w:val="24"/>
        </w:rPr>
        <w:t>2、合格的投标人</w:t>
      </w:r>
    </w:p>
    <w:p w14:paraId="585951E0">
      <w:pPr>
        <w:spacing w:line="480" w:lineRule="exact"/>
        <w:ind w:firstLine="480"/>
        <w:rPr>
          <w:rFonts w:ascii="Times New Roman" w:hAnsi="Times New Roman" w:cs="仿宋"/>
          <w:sz w:val="24"/>
        </w:rPr>
      </w:pPr>
      <w:r>
        <w:rPr>
          <w:rFonts w:hint="eastAsia" w:ascii="Times New Roman" w:hAnsi="Times New Roman" w:cs="仿宋"/>
          <w:sz w:val="24"/>
        </w:rPr>
        <w:t>2.1合格的投标人必须符合招标文件第一章《投标邀请》第二条及投标人须知前附表相关规定，且具备完成本项目的能力，中标后不允许转包。</w:t>
      </w:r>
    </w:p>
    <w:p w14:paraId="45CE728B">
      <w:pPr>
        <w:spacing w:line="480" w:lineRule="exact"/>
        <w:ind w:firstLine="480"/>
        <w:rPr>
          <w:rFonts w:ascii="Times New Roman" w:hAnsi="Times New Roman" w:cs="仿宋"/>
          <w:sz w:val="24"/>
        </w:rPr>
      </w:pPr>
      <w:r>
        <w:rPr>
          <w:rFonts w:hint="eastAsia" w:ascii="Times New Roman" w:hAnsi="Times New Roman" w:cs="仿宋"/>
          <w:sz w:val="24"/>
        </w:rPr>
        <w:t>2.2满足本文件实质性要求的规定。</w:t>
      </w:r>
    </w:p>
    <w:p w14:paraId="15111AF1">
      <w:pPr>
        <w:spacing w:line="480" w:lineRule="exact"/>
        <w:ind w:firstLine="482"/>
        <w:rPr>
          <w:rFonts w:ascii="Times New Roman" w:hAnsi="Times New Roman" w:cs="仿宋"/>
          <w:b/>
          <w:sz w:val="24"/>
        </w:rPr>
      </w:pPr>
      <w:r>
        <w:rPr>
          <w:rFonts w:hint="eastAsia" w:ascii="Times New Roman" w:hAnsi="Times New Roman" w:cs="仿宋"/>
          <w:b/>
          <w:sz w:val="24"/>
        </w:rPr>
        <w:t>3、适用法律</w:t>
      </w:r>
    </w:p>
    <w:p w14:paraId="0DC8FED5">
      <w:pPr>
        <w:spacing w:line="480" w:lineRule="exact"/>
        <w:ind w:firstLine="480"/>
        <w:rPr>
          <w:rFonts w:ascii="Times New Roman" w:hAnsi="Times New Roman" w:cs="仿宋"/>
          <w:sz w:val="24"/>
        </w:rPr>
      </w:pPr>
      <w:r>
        <w:rPr>
          <w:rFonts w:hint="eastAsia" w:ascii="Times New Roman" w:hAnsi="Times New Roman" w:cs="仿宋"/>
          <w:sz w:val="24"/>
        </w:rPr>
        <w:t>本次招标及由招标产生的合同受中华人民共和国的相关法律、法规制约和保护。</w:t>
      </w:r>
    </w:p>
    <w:p w14:paraId="2EA001FF">
      <w:pPr>
        <w:spacing w:line="480" w:lineRule="exact"/>
        <w:ind w:firstLine="482"/>
        <w:rPr>
          <w:rFonts w:ascii="Times New Roman" w:hAnsi="Times New Roman" w:cs="仿宋"/>
          <w:b/>
          <w:sz w:val="24"/>
        </w:rPr>
      </w:pPr>
      <w:r>
        <w:rPr>
          <w:rFonts w:hint="eastAsia" w:ascii="Times New Roman" w:hAnsi="Times New Roman" w:cs="仿宋"/>
          <w:b/>
          <w:sz w:val="24"/>
        </w:rPr>
        <w:t>4、投标费用</w:t>
      </w:r>
    </w:p>
    <w:p w14:paraId="1AA5C14A">
      <w:pPr>
        <w:spacing w:line="480" w:lineRule="exact"/>
        <w:ind w:firstLine="480"/>
        <w:rPr>
          <w:rFonts w:ascii="Times New Roman" w:hAnsi="Times New Roman" w:cs="仿宋"/>
          <w:sz w:val="24"/>
        </w:rPr>
      </w:pPr>
      <w:r>
        <w:rPr>
          <w:rFonts w:hint="eastAsia" w:ascii="Times New Roman" w:hAnsi="Times New Roman" w:cs="仿宋"/>
          <w:sz w:val="24"/>
        </w:rPr>
        <w:t>投标人应自行承担所有参加投标有关的费用。</w:t>
      </w:r>
    </w:p>
    <w:p w14:paraId="3C61D5D4">
      <w:pPr>
        <w:pStyle w:val="77"/>
        <w:spacing w:before="0" w:after="0" w:line="480" w:lineRule="exact"/>
        <w:ind w:firstLine="321"/>
        <w:rPr>
          <w:rFonts w:eastAsia="宋体" w:cs="Arial"/>
          <w:bCs/>
          <w:szCs w:val="22"/>
        </w:rPr>
      </w:pPr>
      <w:bookmarkStart w:id="75" w:name="_Toc81575156"/>
      <w:bookmarkStart w:id="76" w:name="_Toc29306"/>
      <w:bookmarkStart w:id="77" w:name="_Toc81575193"/>
      <w:bookmarkStart w:id="78" w:name="_Toc15995"/>
      <w:r>
        <w:rPr>
          <w:rFonts w:hint="eastAsia" w:eastAsia="宋体" w:cs="Arial"/>
          <w:bCs/>
          <w:szCs w:val="22"/>
        </w:rPr>
        <w:t>二、招标文件</w:t>
      </w:r>
      <w:bookmarkEnd w:id="75"/>
      <w:bookmarkEnd w:id="76"/>
      <w:bookmarkEnd w:id="77"/>
      <w:bookmarkEnd w:id="78"/>
    </w:p>
    <w:p w14:paraId="5731196A">
      <w:pPr>
        <w:spacing w:line="480" w:lineRule="exact"/>
        <w:ind w:firstLine="482"/>
        <w:rPr>
          <w:rFonts w:ascii="Times New Roman" w:hAnsi="Times New Roman" w:cs="仿宋"/>
          <w:b/>
          <w:sz w:val="24"/>
        </w:rPr>
      </w:pPr>
      <w:r>
        <w:rPr>
          <w:rFonts w:hint="eastAsia" w:ascii="Times New Roman" w:hAnsi="Times New Roman" w:cs="仿宋"/>
          <w:b/>
          <w:sz w:val="24"/>
        </w:rPr>
        <w:t>5、招标文件构成</w:t>
      </w:r>
    </w:p>
    <w:p w14:paraId="6A367D36">
      <w:pPr>
        <w:spacing w:line="480" w:lineRule="exact"/>
        <w:ind w:firstLine="480"/>
        <w:rPr>
          <w:rFonts w:ascii="Times New Roman" w:hAnsi="Times New Roman" w:cs="仿宋"/>
          <w:sz w:val="24"/>
        </w:rPr>
      </w:pPr>
      <w:r>
        <w:rPr>
          <w:rFonts w:hint="eastAsia" w:ascii="Times New Roman" w:hAnsi="Times New Roman" w:cs="仿宋"/>
          <w:sz w:val="24"/>
        </w:rPr>
        <w:t>5.1招标文件由以下部分组成：</w:t>
      </w:r>
    </w:p>
    <w:p w14:paraId="22C263BD">
      <w:pPr>
        <w:spacing w:line="480" w:lineRule="exact"/>
        <w:ind w:firstLine="480"/>
        <w:rPr>
          <w:rFonts w:ascii="Times New Roman" w:hAnsi="Times New Roman" w:cs="仿宋"/>
          <w:sz w:val="24"/>
        </w:rPr>
      </w:pPr>
      <w:r>
        <w:rPr>
          <w:rFonts w:hint="eastAsia" w:ascii="Times New Roman" w:hAnsi="Times New Roman" w:cs="仿宋"/>
          <w:sz w:val="24"/>
        </w:rPr>
        <w:t>第一章：投标邀请；</w:t>
      </w:r>
    </w:p>
    <w:p w14:paraId="7B1767D7">
      <w:pPr>
        <w:spacing w:line="480" w:lineRule="exact"/>
        <w:ind w:firstLine="480"/>
        <w:rPr>
          <w:rFonts w:ascii="Times New Roman" w:hAnsi="Times New Roman" w:cs="仿宋"/>
          <w:sz w:val="24"/>
        </w:rPr>
      </w:pPr>
      <w:r>
        <w:rPr>
          <w:rFonts w:hint="eastAsia" w:ascii="Times New Roman" w:hAnsi="Times New Roman" w:cs="仿宋"/>
          <w:sz w:val="24"/>
        </w:rPr>
        <w:t>第二章：投标人须知；</w:t>
      </w:r>
    </w:p>
    <w:p w14:paraId="3726B1FD">
      <w:pPr>
        <w:spacing w:line="480" w:lineRule="exact"/>
        <w:ind w:firstLine="480"/>
        <w:rPr>
          <w:rFonts w:ascii="Times New Roman" w:hAnsi="Times New Roman" w:cs="仿宋"/>
          <w:sz w:val="24"/>
        </w:rPr>
      </w:pPr>
      <w:r>
        <w:rPr>
          <w:rFonts w:hint="eastAsia" w:ascii="Times New Roman" w:hAnsi="Times New Roman" w:cs="仿宋"/>
          <w:sz w:val="24"/>
        </w:rPr>
        <w:t>第三章：资格审查及评标办法；</w:t>
      </w:r>
    </w:p>
    <w:p w14:paraId="50EB6DA9">
      <w:pPr>
        <w:spacing w:line="480" w:lineRule="exact"/>
        <w:ind w:firstLine="480"/>
        <w:rPr>
          <w:rFonts w:ascii="Times New Roman" w:hAnsi="Times New Roman" w:cs="仿宋"/>
          <w:sz w:val="24"/>
        </w:rPr>
      </w:pPr>
      <w:r>
        <w:rPr>
          <w:rFonts w:hint="eastAsia" w:ascii="Times New Roman" w:hAnsi="Times New Roman" w:cs="仿宋"/>
          <w:sz w:val="24"/>
        </w:rPr>
        <w:t>第四章：采购需求；</w:t>
      </w:r>
    </w:p>
    <w:p w14:paraId="6FFF6EE6">
      <w:pPr>
        <w:spacing w:line="480" w:lineRule="exact"/>
        <w:ind w:firstLine="480"/>
        <w:rPr>
          <w:rFonts w:ascii="Times New Roman" w:hAnsi="Times New Roman" w:cs="仿宋"/>
          <w:sz w:val="24"/>
        </w:rPr>
      </w:pPr>
      <w:r>
        <w:rPr>
          <w:rFonts w:hint="eastAsia" w:ascii="Times New Roman" w:hAnsi="Times New Roman" w:cs="仿宋"/>
          <w:sz w:val="24"/>
        </w:rPr>
        <w:t>第五章：合同文本；</w:t>
      </w:r>
    </w:p>
    <w:p w14:paraId="062D7193">
      <w:pPr>
        <w:spacing w:line="480" w:lineRule="exact"/>
        <w:ind w:firstLine="480"/>
        <w:rPr>
          <w:rFonts w:ascii="Times New Roman" w:hAnsi="Times New Roman" w:cs="仿宋"/>
          <w:sz w:val="24"/>
        </w:rPr>
      </w:pPr>
      <w:r>
        <w:rPr>
          <w:rFonts w:hint="eastAsia" w:ascii="Times New Roman" w:hAnsi="Times New Roman" w:cs="仿宋"/>
          <w:sz w:val="24"/>
        </w:rPr>
        <w:t>第六章：投标文件格式。</w:t>
      </w:r>
    </w:p>
    <w:p w14:paraId="312CC948">
      <w:pPr>
        <w:spacing w:line="480" w:lineRule="exact"/>
        <w:ind w:firstLine="480"/>
        <w:rPr>
          <w:rFonts w:ascii="Times New Roman" w:hAnsi="Times New Roman" w:cs="仿宋"/>
          <w:sz w:val="24"/>
        </w:rPr>
      </w:pPr>
      <w:r>
        <w:rPr>
          <w:rFonts w:hint="eastAsia" w:ascii="Times New Roman" w:hAnsi="Times New Roman" w:cs="仿宋"/>
          <w:sz w:val="24"/>
        </w:rPr>
        <w:t>请仔细检查招标文件是否齐全，如有缺漏请立即与代理机构联系解决。</w:t>
      </w:r>
    </w:p>
    <w:p w14:paraId="03289FF7">
      <w:pPr>
        <w:spacing w:line="480" w:lineRule="exact"/>
        <w:ind w:firstLine="480"/>
        <w:rPr>
          <w:rFonts w:ascii="Times New Roman" w:hAnsi="Times New Roman" w:cs="仿宋"/>
          <w:sz w:val="24"/>
        </w:rPr>
      </w:pPr>
      <w:r>
        <w:rPr>
          <w:rFonts w:hint="eastAsia" w:ascii="Times New Roman" w:hAnsi="Times New Roman" w:cs="仿宋"/>
          <w:sz w:val="24"/>
        </w:rPr>
        <w:t>5.2投标人应认真阅读招标文件中所有的事项、格式、条款和规范等要求，按招标文件要求和规定编制投标文件，并保证所提供的全部资料的真实性，以使其投标文件对招标文件作出实质性响应，否则风险由投标人自行承担。</w:t>
      </w:r>
    </w:p>
    <w:p w14:paraId="15417910">
      <w:pPr>
        <w:spacing w:line="480" w:lineRule="exact"/>
        <w:ind w:firstLine="482"/>
        <w:rPr>
          <w:rFonts w:ascii="Times New Roman" w:hAnsi="Times New Roman" w:cs="仿宋"/>
          <w:b/>
          <w:sz w:val="24"/>
        </w:rPr>
      </w:pPr>
      <w:r>
        <w:rPr>
          <w:rFonts w:hint="eastAsia" w:ascii="Times New Roman" w:hAnsi="Times New Roman" w:cs="仿宋"/>
          <w:b/>
          <w:sz w:val="24"/>
        </w:rPr>
        <w:t>6、政府采购政策功能落实</w:t>
      </w:r>
    </w:p>
    <w:p w14:paraId="58A4A2C2">
      <w:pPr>
        <w:spacing w:line="480" w:lineRule="exact"/>
        <w:ind w:firstLine="482"/>
        <w:rPr>
          <w:rFonts w:ascii="Times New Roman" w:hAnsi="Times New Roman" w:cs="仿宋"/>
          <w:b/>
          <w:bCs/>
          <w:sz w:val="24"/>
          <w:u w:val="single"/>
        </w:rPr>
      </w:pPr>
      <w:r>
        <w:rPr>
          <w:rFonts w:hint="eastAsia" w:ascii="Times New Roman" w:hAnsi="Times New Roman" w:cs="仿宋"/>
          <w:b/>
          <w:bCs/>
          <w:sz w:val="24"/>
        </w:rPr>
        <w:t>本项目落实的政府采购政策对应序号为</w:t>
      </w:r>
      <w:r>
        <w:rPr>
          <w:rFonts w:hint="eastAsia" w:ascii="Times New Roman" w:hAnsi="Times New Roman" w:cs="仿宋"/>
          <w:b/>
          <w:bCs/>
          <w:sz w:val="24"/>
          <w:u w:val="single"/>
        </w:rPr>
        <w:t>6.1</w:t>
      </w:r>
    </w:p>
    <w:p w14:paraId="10435946">
      <w:pPr>
        <w:spacing w:line="480" w:lineRule="exact"/>
        <w:ind w:firstLine="480"/>
        <w:rPr>
          <w:rFonts w:ascii="Times New Roman" w:hAnsi="Times New Roman" w:cs="仿宋"/>
          <w:sz w:val="24"/>
        </w:rPr>
      </w:pPr>
      <w:r>
        <w:rPr>
          <w:rFonts w:hint="eastAsia" w:ascii="Times New Roman" w:hAnsi="Times New Roman" w:cs="仿宋"/>
          <w:sz w:val="24"/>
        </w:rPr>
        <w:t>6.1中小企业政策</w:t>
      </w:r>
    </w:p>
    <w:p w14:paraId="487AB58D">
      <w:pPr>
        <w:spacing w:line="480" w:lineRule="exact"/>
        <w:ind w:firstLine="480"/>
        <w:rPr>
          <w:rFonts w:ascii="Times New Roman" w:hAnsi="Times New Roman" w:cs="仿宋"/>
          <w:sz w:val="24"/>
        </w:rPr>
      </w:pPr>
      <w:r>
        <w:rPr>
          <w:rFonts w:hint="eastAsia" w:ascii="Times New Roman" w:hAnsi="Times New Roman" w:cs="仿宋"/>
          <w:sz w:val="24"/>
        </w:rPr>
        <w:t>本项目按第</w:t>
      </w:r>
      <w:r>
        <w:rPr>
          <w:rFonts w:hint="eastAsia" w:ascii="Times New Roman" w:hAnsi="Times New Roman" w:cs="仿宋"/>
          <w:b/>
          <w:bCs/>
          <w:color w:val="000000"/>
          <w:sz w:val="24"/>
          <w:u w:val="single"/>
        </w:rPr>
        <w:t>（1）</w:t>
      </w:r>
      <w:r>
        <w:rPr>
          <w:rFonts w:hint="eastAsia" w:ascii="Times New Roman" w:hAnsi="Times New Roman" w:cs="仿宋"/>
          <w:sz w:val="24"/>
        </w:rPr>
        <w:t>种政策落实：</w:t>
      </w:r>
    </w:p>
    <w:p w14:paraId="1AFBC07A">
      <w:pPr>
        <w:spacing w:line="480" w:lineRule="exact"/>
        <w:ind w:firstLine="480"/>
        <w:rPr>
          <w:rFonts w:ascii="Times New Roman" w:hAnsi="Times New Roman" w:cs="仿宋"/>
          <w:sz w:val="24"/>
        </w:rPr>
      </w:pPr>
      <w:r>
        <w:rPr>
          <w:rFonts w:hint="eastAsia" w:ascii="Times New Roman" w:hAnsi="Times New Roman" w:cs="仿宋"/>
          <w:sz w:val="24"/>
        </w:rPr>
        <w:t>（1）本项目专门面向中小企业（含监狱与戒毒企业、残疾人福利企业）采购。</w:t>
      </w:r>
    </w:p>
    <w:p w14:paraId="4411F089">
      <w:pPr>
        <w:spacing w:line="480" w:lineRule="exact"/>
        <w:ind w:firstLine="480"/>
        <w:rPr>
          <w:rFonts w:ascii="Times New Roman" w:hAnsi="Times New Roman" w:cs="仿宋"/>
          <w:sz w:val="24"/>
        </w:rPr>
      </w:pPr>
      <w:r>
        <w:rPr>
          <w:rFonts w:hint="eastAsia" w:ascii="Times New Roman" w:hAnsi="Times New Roman" w:cs="仿宋"/>
          <w:sz w:val="24"/>
        </w:rPr>
        <w:t>（2）对符合规定情形的小微企业报价给予</w:t>
      </w:r>
      <w:r>
        <w:rPr>
          <w:rFonts w:hint="eastAsia" w:ascii="Times New Roman" w:hAnsi="Times New Roman" w:cs="仿宋"/>
          <w:sz w:val="24"/>
          <w:u w:val="single"/>
        </w:rPr>
        <w:t xml:space="preserve">  </w:t>
      </w:r>
      <w:r>
        <w:rPr>
          <w:rFonts w:hint="eastAsia" w:ascii="Times New Roman" w:hAnsi="Times New Roman" w:cs="仿宋"/>
          <w:color w:val="000000" w:themeColor="text1"/>
          <w:sz w:val="24"/>
          <w:u w:val="single"/>
          <w14:textFill>
            <w14:solidFill>
              <w14:schemeClr w14:val="tx1"/>
            </w14:solidFill>
          </w14:textFill>
        </w:rPr>
        <w:t xml:space="preserve">/  </w:t>
      </w:r>
      <w:r>
        <w:rPr>
          <w:rFonts w:hint="eastAsia" w:ascii="Times New Roman" w:hAnsi="Times New Roman" w:cs="仿宋"/>
          <w:sz w:val="24"/>
          <w:u w:val="single"/>
        </w:rPr>
        <w:t>%</w:t>
      </w:r>
      <w:r>
        <w:rPr>
          <w:rFonts w:hint="eastAsia" w:ascii="Times New Roman" w:hAnsi="Times New Roman" w:cs="仿宋"/>
          <w:sz w:val="24"/>
        </w:rPr>
        <w:t>扣除，用扣除后的价格参加评审。</w:t>
      </w:r>
    </w:p>
    <w:p w14:paraId="38D87DE5">
      <w:pPr>
        <w:spacing w:line="480" w:lineRule="exact"/>
        <w:ind w:firstLine="480"/>
        <w:rPr>
          <w:rFonts w:ascii="Times New Roman" w:hAnsi="Times New Roman" w:cs="仿宋"/>
          <w:sz w:val="24"/>
        </w:rPr>
      </w:pPr>
      <w:r>
        <w:rPr>
          <w:rFonts w:hint="eastAsia" w:ascii="Times New Roman" w:hAnsi="Times New Roman" w:cs="仿宋"/>
          <w:sz w:val="24"/>
        </w:rPr>
        <w:t>在服务采购项目中，服务由中小企业承接，即提供服务的人员为中小企业依照《中华人民共和国劳动合同法》订立劳动合同的从业人员。</w:t>
      </w:r>
    </w:p>
    <w:p w14:paraId="1D9065E9">
      <w:pPr>
        <w:spacing w:line="480" w:lineRule="exact"/>
        <w:ind w:firstLine="480"/>
        <w:rPr>
          <w:rFonts w:ascii="Times New Roman" w:hAnsi="Times New Roman" w:cs="仿宋"/>
          <w:sz w:val="24"/>
        </w:rPr>
      </w:pPr>
      <w:r>
        <w:rPr>
          <w:rFonts w:hint="eastAsia" w:ascii="Times New Roman" w:hAnsi="Times New Roman" w:cs="仿宋_GB2312"/>
          <w:sz w:val="24"/>
        </w:rPr>
        <w:t>在货物采购项目中，货物由中小企业制造，即货物由中小企业生产且使用该中小企业商号或者注册商标。</w:t>
      </w:r>
    </w:p>
    <w:p w14:paraId="0906AE31">
      <w:pPr>
        <w:spacing w:line="480" w:lineRule="exact"/>
        <w:ind w:firstLine="480"/>
        <w:rPr>
          <w:rFonts w:ascii="Times New Roman" w:hAnsi="Times New Roman" w:cs="仿宋"/>
          <w:sz w:val="24"/>
        </w:rPr>
      </w:pPr>
      <w:r>
        <w:rPr>
          <w:rFonts w:hint="eastAsia" w:ascii="Times New Roman" w:hAnsi="Times New Roman" w:cs="仿宋"/>
          <w:sz w:val="24"/>
        </w:rPr>
        <w:t>注：①参加投标的中小企业，应当按照《政府采购促进中小企业发展管理办法》（财库〔2020〕46号）规定，出具《中小企业声明函》，中小企业划型依据《关于印发中小企业划型标准规定的通知》（工信部联企业〔2011〕300号）。</w:t>
      </w:r>
    </w:p>
    <w:p w14:paraId="3661B959">
      <w:pPr>
        <w:spacing w:line="480" w:lineRule="exact"/>
        <w:ind w:firstLine="480"/>
        <w:rPr>
          <w:rFonts w:ascii="Times New Roman" w:hAnsi="Times New Roman" w:cs="仿宋"/>
          <w:sz w:val="24"/>
        </w:rPr>
      </w:pPr>
      <w:r>
        <w:rPr>
          <w:rFonts w:hint="eastAsia" w:ascii="Times New Roman" w:hAnsi="Times New Roman" w:cs="仿宋"/>
          <w:sz w:val="24"/>
        </w:rPr>
        <w:t>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p>
    <w:p w14:paraId="65E8588D">
      <w:pPr>
        <w:spacing w:line="480" w:lineRule="exact"/>
        <w:ind w:firstLine="480"/>
        <w:rPr>
          <w:rFonts w:ascii="Times New Roman" w:hAnsi="Times New Roman" w:cs="仿宋"/>
          <w:sz w:val="24"/>
        </w:rPr>
      </w:pPr>
      <w:r>
        <w:rPr>
          <w:rFonts w:hint="eastAsia" w:ascii="Times New Roman" w:hAnsi="Times New Roman" w:cs="仿宋"/>
          <w:sz w:val="24"/>
        </w:rPr>
        <w:t>③参加投标的残疾人福利性单位，视同小型、微型企业。残疾人福利性单位应当按照《财政部 民政部 中国残疾人联合会关于促进残疾人就业政府采购政策的通知》（财库〔2017〕141号）的规定，提供《残疾人福利性单位声明函》。</w:t>
      </w:r>
    </w:p>
    <w:p w14:paraId="4E59FEB4">
      <w:pPr>
        <w:spacing w:line="480" w:lineRule="exact"/>
        <w:ind w:firstLine="480"/>
        <w:rPr>
          <w:rFonts w:ascii="Times New Roman" w:hAnsi="Times New Roman" w:cs="仿宋"/>
          <w:sz w:val="24"/>
        </w:rPr>
      </w:pPr>
      <w:r>
        <w:rPr>
          <w:rFonts w:hint="eastAsia" w:ascii="Times New Roman" w:hAnsi="Times New Roman" w:cs="仿宋"/>
          <w:sz w:val="24"/>
        </w:rPr>
        <w:t>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sz w:val="24"/>
          <w:u w:val="single"/>
        </w:rPr>
        <w:t>5</w:t>
      </w:r>
      <w:r>
        <w:rPr>
          <w:rFonts w:hint="eastAsia" w:ascii="Times New Roman" w:hAnsi="Times New Roman" w:cs="仿宋"/>
          <w:sz w:val="24"/>
        </w:rPr>
        <w:t>%（工程项目为</w:t>
      </w:r>
      <w:r>
        <w:rPr>
          <w:rFonts w:hint="eastAsia" w:ascii="Times New Roman" w:hAnsi="Times New Roman" w:cs="仿宋"/>
          <w:sz w:val="24"/>
          <w:u w:val="single"/>
        </w:rPr>
        <w:t>2</w:t>
      </w:r>
      <w:r>
        <w:rPr>
          <w:rFonts w:hint="eastAsia" w:ascii="Times New Roman" w:hAnsi="Times New Roman" w:cs="仿宋"/>
          <w:sz w:val="24"/>
        </w:rPr>
        <w:t>%）的扣除，用扣除后的价格参加评审。（是否接受联合体以“项目基本情况”相关内容为准，是否允许大中型企业向一家或者多家小微企业分包以“须知前附表”、“采购需求”相关内容为准。）</w:t>
      </w:r>
    </w:p>
    <w:p w14:paraId="46D4185F">
      <w:pPr>
        <w:spacing w:line="480" w:lineRule="exact"/>
        <w:ind w:firstLine="480"/>
        <w:rPr>
          <w:rFonts w:ascii="Times New Roman" w:hAnsi="Times New Roman" w:cs="仿宋"/>
          <w:sz w:val="24"/>
        </w:rPr>
      </w:pPr>
      <w:r>
        <w:rPr>
          <w:rFonts w:hint="eastAsia" w:ascii="Times New Roman" w:hAnsi="Times New Roman" w:cs="仿宋"/>
          <w:sz w:val="24"/>
        </w:rPr>
        <w:t>⑤联合体各方均为小型、微型企业（残疾人福利单位、监狱企业）的，联合体享受15%价格扣除，用扣除后的价格参与评审。</w:t>
      </w:r>
    </w:p>
    <w:p w14:paraId="78BC4AB5">
      <w:pPr>
        <w:spacing w:line="480" w:lineRule="exact"/>
        <w:ind w:firstLine="480"/>
        <w:rPr>
          <w:rFonts w:ascii="Times New Roman" w:hAnsi="Times New Roman" w:cs="仿宋"/>
          <w:sz w:val="24"/>
        </w:rPr>
      </w:pPr>
      <w:r>
        <w:rPr>
          <w:rFonts w:hint="eastAsia" w:ascii="Times New Roman" w:hAnsi="Times New Roman" w:cs="仿宋"/>
          <w:sz w:val="24"/>
        </w:rPr>
        <w:t>6.2节能产品、环境标志产品</w:t>
      </w:r>
    </w:p>
    <w:p w14:paraId="1EC29534">
      <w:pPr>
        <w:spacing w:line="480" w:lineRule="exact"/>
        <w:ind w:firstLine="480"/>
        <w:rPr>
          <w:rFonts w:ascii="Times New Roman" w:hAnsi="Times New Roman" w:cs="仿宋"/>
          <w:sz w:val="24"/>
        </w:rPr>
      </w:pPr>
      <w:r>
        <w:rPr>
          <w:rFonts w:hint="eastAsia" w:ascii="Times New Roman" w:hAnsi="Times New Roman" w:cs="仿宋"/>
          <w:sz w:val="24"/>
        </w:rPr>
        <w:t>拟采购的产品属于品目清单范围的，采购人将依据国家确定的认证机构出具的、处于有效期之内的节能产品、环境标志产品认证证书，对获得证书的产品实施政府优先采购或强制采购。</w:t>
      </w:r>
    </w:p>
    <w:p w14:paraId="0B1D1C55">
      <w:pPr>
        <w:spacing w:line="480" w:lineRule="exact"/>
        <w:ind w:firstLine="480"/>
        <w:rPr>
          <w:rFonts w:ascii="Times New Roman" w:hAnsi="Times New Roman" w:cs="仿宋"/>
          <w:sz w:val="24"/>
        </w:rPr>
      </w:pPr>
      <w:r>
        <w:rPr>
          <w:rFonts w:hint="eastAsia" w:ascii="Times New Roman" w:hAnsi="Times New Roman" w:cs="仿宋"/>
          <w:sz w:val="24"/>
        </w:rPr>
        <w:t>6.2.1拟采购的产品属于政府强制采购的节能产品品目清单范围的，投标人须提供国家确定的认证机构出具的、处于有效期之内的节能产品认证证书，否则其投标文件作无效标处理。</w:t>
      </w:r>
    </w:p>
    <w:p w14:paraId="34BDE3B6">
      <w:pPr>
        <w:spacing w:line="480" w:lineRule="exact"/>
        <w:ind w:firstLine="480"/>
        <w:rPr>
          <w:rFonts w:ascii="Times New Roman" w:hAnsi="Times New Roman" w:cs="仿宋"/>
          <w:sz w:val="24"/>
        </w:rPr>
      </w:pPr>
      <w:r>
        <w:rPr>
          <w:rFonts w:hint="eastAsia" w:ascii="Times New Roman" w:hAnsi="Times New Roman" w:cs="仿宋"/>
          <w:sz w:val="24"/>
        </w:rPr>
        <w:t>6.2.2采购人拟采购的产品属于优先采购的节能环保品目清单范围的，按以下条件优先采购：</w:t>
      </w:r>
    </w:p>
    <w:p w14:paraId="201D837D">
      <w:pPr>
        <w:spacing w:line="480" w:lineRule="exact"/>
        <w:ind w:firstLine="480"/>
        <w:rPr>
          <w:rFonts w:ascii="Times New Roman" w:hAnsi="Times New Roman" w:cs="仿宋"/>
          <w:sz w:val="24"/>
        </w:rPr>
      </w:pPr>
      <w:r>
        <w:rPr>
          <w:rFonts w:hint="eastAsia" w:ascii="Times New Roman" w:hAnsi="Times New Roman" w:cs="仿宋"/>
          <w:sz w:val="24"/>
        </w:rPr>
        <w:t>采用综合评分法的项目，对提供有效节能环境标志证书的投标人加分。</w:t>
      </w:r>
    </w:p>
    <w:p w14:paraId="58AB4E06">
      <w:pPr>
        <w:spacing w:line="480" w:lineRule="exact"/>
        <w:ind w:firstLine="480"/>
        <w:rPr>
          <w:rFonts w:ascii="Times New Roman" w:hAnsi="Times New Roman" w:cs="仿宋"/>
          <w:sz w:val="24"/>
        </w:rPr>
      </w:pPr>
      <w:r>
        <w:rPr>
          <w:rFonts w:hint="eastAsia" w:ascii="Times New Roman" w:hAnsi="Times New Roman" w:cs="仿宋"/>
          <w:sz w:val="24"/>
        </w:rPr>
        <w:t>采用最低评标价法的项目，同等条件下优先推荐提供有效节能环保证书多的投标人为中标人。</w:t>
      </w:r>
    </w:p>
    <w:p w14:paraId="7D9623B2">
      <w:pPr>
        <w:spacing w:line="480" w:lineRule="exact"/>
        <w:ind w:firstLine="480"/>
        <w:rPr>
          <w:rFonts w:ascii="Times New Roman" w:hAnsi="Times New Roman" w:cs="仿宋"/>
          <w:sz w:val="24"/>
        </w:rPr>
      </w:pPr>
      <w:r>
        <w:rPr>
          <w:rFonts w:hint="eastAsia" w:ascii="Times New Roman" w:hAnsi="Times New Roman" w:cs="仿宋"/>
          <w:sz w:val="24"/>
        </w:rPr>
        <w:t>6.3政府采购需求标准</w:t>
      </w:r>
    </w:p>
    <w:p w14:paraId="6634FF1A">
      <w:pPr>
        <w:spacing w:line="480" w:lineRule="exact"/>
        <w:ind w:firstLine="480"/>
        <w:rPr>
          <w:rFonts w:ascii="Times New Roman" w:hAnsi="Times New Roman" w:cs="仿宋"/>
          <w:sz w:val="24"/>
        </w:rPr>
      </w:pPr>
      <w:r>
        <w:rPr>
          <w:rFonts w:hint="eastAsia" w:ascii="Times New Roman" w:hAnsi="Times New Roman" w:cs="仿宋"/>
          <w:sz w:val="24"/>
        </w:rPr>
        <w:t>6.3.1商品包装、快递包装政府采购需求标准（试行）</w:t>
      </w:r>
    </w:p>
    <w:p w14:paraId="0F520ADE">
      <w:pPr>
        <w:spacing w:line="480" w:lineRule="exact"/>
        <w:ind w:firstLine="480"/>
        <w:rPr>
          <w:rFonts w:ascii="Times New Roman" w:hAnsi="Times New Roman" w:cs="仿宋"/>
          <w:sz w:val="24"/>
        </w:rPr>
      </w:pPr>
      <w:r>
        <w:rPr>
          <w:rFonts w:hint="eastAsia" w:ascii="Times New Roman" w:hAnsi="Times New Roman" w:cs="仿宋"/>
          <w:sz w:val="24"/>
        </w:rPr>
        <w:t>按照财政部印发的《商品包装政府采购需求标准（试行）》《快递包装政府采购需求标准（试行）》要求执行，本项目商品包装和快递包装的具体需求详见第四章采购需求。</w:t>
      </w:r>
    </w:p>
    <w:p w14:paraId="67DAF850">
      <w:pPr>
        <w:spacing w:line="480" w:lineRule="exact"/>
        <w:ind w:firstLine="480"/>
        <w:rPr>
          <w:rFonts w:ascii="Times New Roman" w:hAnsi="Times New Roman" w:cs="仿宋"/>
          <w:sz w:val="24"/>
        </w:rPr>
      </w:pPr>
      <w:r>
        <w:rPr>
          <w:rFonts w:hint="eastAsia" w:ascii="Times New Roman" w:hAnsi="Times New Roman" w:cs="仿宋"/>
          <w:sz w:val="24"/>
        </w:rPr>
        <w:t>6.3.2绿色数据中心政府采购需求标准（试行）</w:t>
      </w:r>
    </w:p>
    <w:p w14:paraId="571831ED">
      <w:pPr>
        <w:spacing w:line="480" w:lineRule="exact"/>
        <w:ind w:firstLine="480"/>
        <w:rPr>
          <w:rFonts w:ascii="Times New Roman" w:hAnsi="Times New Roman" w:cs="仿宋"/>
          <w:sz w:val="24"/>
        </w:rPr>
      </w:pPr>
      <w:r>
        <w:rPr>
          <w:rFonts w:hint="eastAsia" w:ascii="Times New Roman" w:hAnsi="Times New Roman" w:cs="仿宋"/>
          <w:sz w:val="24"/>
        </w:rPr>
        <w:t>按照财政部 生态环境部 工业和信息化部关于印发《绿色数据中心政府采购需求标准（试行）》的通知）要求执行，本项目绿色数据中心的具体需求详见第四章采购需求。</w:t>
      </w:r>
    </w:p>
    <w:p w14:paraId="4985A5D2">
      <w:pPr>
        <w:spacing w:line="480" w:lineRule="exact"/>
        <w:ind w:firstLine="480"/>
        <w:rPr>
          <w:rFonts w:ascii="Times New Roman" w:hAnsi="Times New Roman" w:cs="仿宋"/>
          <w:sz w:val="24"/>
        </w:rPr>
      </w:pPr>
      <w:r>
        <w:rPr>
          <w:rFonts w:hint="eastAsia" w:ascii="Times New Roman" w:hAnsi="Times New Roman" w:cs="仿宋"/>
          <w:sz w:val="24"/>
        </w:rPr>
        <w:t>6.3.3绿色建材政府采购需求标准</w:t>
      </w:r>
    </w:p>
    <w:p w14:paraId="4A75C9F2">
      <w:pPr>
        <w:spacing w:line="480" w:lineRule="exact"/>
        <w:ind w:firstLine="480"/>
        <w:rPr>
          <w:rFonts w:ascii="Times New Roman" w:hAnsi="Times New Roman" w:cs="仿宋"/>
          <w:sz w:val="24"/>
        </w:rPr>
      </w:pPr>
      <w:r>
        <w:rPr>
          <w:rFonts w:hint="eastAsia" w:ascii="Times New Roman" w:hAnsi="Times New Roman" w:cs="仿宋"/>
          <w:sz w:val="24"/>
        </w:rPr>
        <w:t>按照财政部 住房和城乡建设部 工业和信息化部关于印发《关于扩大政府采购支持绿色建材促进建筑品质提升政策实施范围的通知》要求执行，本项目绿色建材的具体需求详见第四章采购需求。</w:t>
      </w:r>
    </w:p>
    <w:p w14:paraId="5069FB39">
      <w:pPr>
        <w:spacing w:line="480" w:lineRule="exact"/>
        <w:ind w:firstLine="480"/>
        <w:rPr>
          <w:rFonts w:ascii="Times New Roman" w:hAnsi="Times New Roman" w:cs="仿宋"/>
          <w:sz w:val="24"/>
        </w:rPr>
      </w:pPr>
      <w:r>
        <w:rPr>
          <w:rFonts w:hint="eastAsia" w:ascii="Times New Roman" w:hAnsi="Times New Roman" w:cs="仿宋"/>
          <w:sz w:val="24"/>
        </w:rPr>
        <w:t>6.4采购产品中涉及涂料、胶黏剂、油墨、清洗剂等挥发性有机物产品的，属于强制性标准的，供应商应当提供符合国家和江苏省相关VOCs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p>
    <w:p w14:paraId="398F3351">
      <w:pPr>
        <w:spacing w:line="480" w:lineRule="exact"/>
        <w:ind w:firstLine="482"/>
        <w:rPr>
          <w:rFonts w:ascii="Times New Roman" w:hAnsi="Times New Roman" w:cs="仿宋"/>
          <w:b/>
          <w:sz w:val="24"/>
        </w:rPr>
      </w:pPr>
      <w:r>
        <w:rPr>
          <w:rFonts w:hint="eastAsia" w:ascii="Times New Roman" w:hAnsi="Times New Roman" w:cs="仿宋"/>
          <w:b/>
          <w:sz w:val="24"/>
        </w:rPr>
        <w:t>7、招标文件的澄清或修改</w:t>
      </w:r>
    </w:p>
    <w:p w14:paraId="0D0A950C">
      <w:pPr>
        <w:spacing w:line="480" w:lineRule="exact"/>
        <w:ind w:firstLine="480"/>
        <w:rPr>
          <w:rFonts w:ascii="Times New Roman" w:hAnsi="Times New Roman" w:cs="仿宋"/>
          <w:sz w:val="24"/>
        </w:rPr>
      </w:pPr>
      <w:r>
        <w:rPr>
          <w:rFonts w:hint="eastAsia" w:ascii="Times New Roman" w:hAnsi="Times New Roman" w:cs="仿宋"/>
          <w:sz w:val="24"/>
        </w:rPr>
        <w:t>7.1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采购代理机构应当顺延提交投标文件的截止时间。</w:t>
      </w:r>
    </w:p>
    <w:p w14:paraId="2BB589D1">
      <w:pPr>
        <w:spacing w:line="480" w:lineRule="exact"/>
        <w:ind w:firstLine="480"/>
        <w:rPr>
          <w:rFonts w:ascii="Times New Roman" w:hAnsi="Times New Roman" w:cs="仿宋"/>
          <w:sz w:val="24"/>
        </w:rPr>
      </w:pPr>
      <w:r>
        <w:rPr>
          <w:rFonts w:hint="eastAsia" w:ascii="Times New Roman" w:hAnsi="Times New Roman" w:cs="仿宋"/>
          <w:sz w:val="24"/>
        </w:rPr>
        <w:t>7.2招标文件的澄清、修改将在原公告媒体上发布更正公告，澄清、修改文件均作为招标文件的组成部分，并对投标人具有约束力。</w:t>
      </w:r>
    </w:p>
    <w:p w14:paraId="7B582401">
      <w:pPr>
        <w:spacing w:line="480" w:lineRule="exact"/>
        <w:ind w:firstLine="480"/>
        <w:rPr>
          <w:rFonts w:ascii="Times New Roman" w:hAnsi="Times New Roman" w:cs="仿宋"/>
          <w:sz w:val="24"/>
        </w:rPr>
      </w:pPr>
      <w:r>
        <w:rPr>
          <w:rFonts w:hint="eastAsia" w:ascii="Times New Roman" w:hAnsi="Times New Roman" w:cs="仿宋"/>
          <w:sz w:val="24"/>
        </w:rPr>
        <w:t>7.3投标人应及时登录“苏采云”系统获取澄清答疑文件（修改后的招标文件），如投标人未能及时下载澄清答疑文件，造成的相关责任由投标人承担。</w:t>
      </w:r>
    </w:p>
    <w:p w14:paraId="2FBA7852">
      <w:pPr>
        <w:pStyle w:val="77"/>
        <w:spacing w:before="0" w:after="0" w:line="480" w:lineRule="exact"/>
        <w:ind w:firstLine="321"/>
        <w:rPr>
          <w:rFonts w:eastAsia="宋体" w:cs="Arial"/>
          <w:bCs/>
          <w:szCs w:val="22"/>
        </w:rPr>
      </w:pPr>
      <w:bookmarkStart w:id="79" w:name="_Toc5574"/>
      <w:bookmarkStart w:id="80" w:name="_Toc11461"/>
      <w:bookmarkStart w:id="81" w:name="_Toc81575194"/>
      <w:bookmarkStart w:id="82" w:name="_Toc81575157"/>
      <w:r>
        <w:rPr>
          <w:rFonts w:hint="eastAsia" w:eastAsia="宋体" w:cs="Arial"/>
          <w:bCs/>
          <w:szCs w:val="22"/>
        </w:rPr>
        <w:t>三、投标文件的编制</w:t>
      </w:r>
      <w:bookmarkEnd w:id="79"/>
      <w:bookmarkEnd w:id="80"/>
      <w:bookmarkEnd w:id="81"/>
      <w:bookmarkEnd w:id="82"/>
    </w:p>
    <w:p w14:paraId="72FFFD39">
      <w:pPr>
        <w:spacing w:line="480" w:lineRule="exact"/>
        <w:ind w:firstLine="482"/>
        <w:rPr>
          <w:rFonts w:ascii="Times New Roman" w:hAnsi="Times New Roman" w:cs="仿宋"/>
          <w:b/>
          <w:sz w:val="24"/>
        </w:rPr>
      </w:pPr>
      <w:r>
        <w:rPr>
          <w:rFonts w:hint="eastAsia" w:ascii="Times New Roman" w:hAnsi="Times New Roman" w:cs="仿宋"/>
          <w:b/>
          <w:sz w:val="24"/>
        </w:rPr>
        <w:t>8、投标文件的编制要求</w:t>
      </w:r>
    </w:p>
    <w:p w14:paraId="5C8A9925">
      <w:pPr>
        <w:spacing w:line="480" w:lineRule="exact"/>
        <w:ind w:firstLine="480"/>
        <w:rPr>
          <w:rFonts w:ascii="Times New Roman" w:hAnsi="Times New Roman" w:cs="仿宋"/>
          <w:sz w:val="24"/>
        </w:rPr>
      </w:pPr>
      <w:r>
        <w:rPr>
          <w:rFonts w:hint="eastAsia" w:ascii="Times New Roman" w:hAnsi="Times New Roman" w:cs="仿宋"/>
          <w:sz w:val="24"/>
        </w:rPr>
        <w:t>8.1投标人应仔细阅读“招标文件”的所有内容，保证所提供的全部资料的真实性、完整性及有效性，以使其投标对“招标文件”作出实质性响应。</w:t>
      </w:r>
    </w:p>
    <w:p w14:paraId="1A0113E2">
      <w:pPr>
        <w:spacing w:line="480" w:lineRule="exact"/>
        <w:ind w:firstLine="480"/>
        <w:rPr>
          <w:rFonts w:ascii="Times New Roman" w:hAnsi="Times New Roman" w:cs="仿宋"/>
          <w:sz w:val="24"/>
        </w:rPr>
      </w:pPr>
      <w:r>
        <w:rPr>
          <w:rFonts w:hint="eastAsia" w:ascii="Times New Roman" w:hAnsi="Times New Roman" w:cs="仿宋"/>
          <w:sz w:val="24"/>
        </w:rPr>
        <w:t>8.2投标文件要求加盖电子签章之处，应按要求加盖投标人数字证书的电子签章。其他需要盖章但未明确要求电子签章的，投标人可按要求加盖公章后上传材料电子件或直接加盖电子签章。</w:t>
      </w:r>
    </w:p>
    <w:p w14:paraId="5EC1BA6D">
      <w:pPr>
        <w:spacing w:line="480" w:lineRule="exact"/>
        <w:ind w:firstLine="480"/>
        <w:rPr>
          <w:rFonts w:ascii="Times New Roman" w:hAnsi="Times New Roman" w:cs="仿宋"/>
          <w:sz w:val="24"/>
        </w:rPr>
      </w:pPr>
      <w:r>
        <w:rPr>
          <w:rFonts w:hint="eastAsia" w:ascii="Times New Roman" w:hAnsi="Times New Roman" w:cs="仿宋"/>
          <w:sz w:val="24"/>
        </w:rPr>
        <w:t>8.3本项目通过“苏采云”系统进行电子投标，投标人使用政府采购客户端工具制作并通过“苏采云”系统提交投标文件，如标书制作工具中格式、内容与“江苏政府采购网”“宿迁市政府采购网”发布的采购文件不一致的，以“江苏政府采购网”“宿迁市政府采购网”发布的采购文件为准。</w:t>
      </w:r>
    </w:p>
    <w:p w14:paraId="66FACF39">
      <w:pPr>
        <w:spacing w:line="480" w:lineRule="exact"/>
        <w:ind w:firstLine="482"/>
        <w:rPr>
          <w:rFonts w:ascii="Times New Roman" w:hAnsi="Times New Roman" w:cs="仿宋"/>
          <w:b/>
          <w:sz w:val="24"/>
        </w:rPr>
      </w:pPr>
      <w:r>
        <w:rPr>
          <w:rFonts w:hint="eastAsia" w:ascii="Times New Roman" w:hAnsi="Times New Roman" w:cs="仿宋"/>
          <w:b/>
          <w:sz w:val="24"/>
        </w:rPr>
        <w:t>9、投标文件构成</w:t>
      </w:r>
    </w:p>
    <w:p w14:paraId="7F0CFDFF">
      <w:pPr>
        <w:spacing w:line="480" w:lineRule="exact"/>
        <w:ind w:firstLine="480"/>
        <w:rPr>
          <w:rFonts w:ascii="Times New Roman" w:hAnsi="Times New Roman" w:cs="仿宋"/>
          <w:bCs/>
          <w:sz w:val="24"/>
        </w:rPr>
      </w:pPr>
      <w:r>
        <w:rPr>
          <w:rFonts w:hint="eastAsia" w:ascii="Times New Roman" w:hAnsi="Times New Roman" w:cs="仿宋"/>
          <w:sz w:val="24"/>
        </w:rPr>
        <w:t>9.1投标文件包括资格证明文件、开标一览表、分项报价表、响应及偏离表、投标函、其他证明文件等部分。</w:t>
      </w:r>
      <w:r>
        <w:rPr>
          <w:rFonts w:hint="eastAsia" w:ascii="Times New Roman" w:hAnsi="Times New Roman" w:cs="仿宋"/>
          <w:bCs/>
          <w:sz w:val="24"/>
        </w:rPr>
        <w:t>投标文件构成资料为非中文时应提供中文译版。</w:t>
      </w:r>
      <w:bookmarkStart w:id="83" w:name="EBc50e2bb832bb43068403b10c1cce6141"/>
    </w:p>
    <w:p w14:paraId="49E58388">
      <w:pPr>
        <w:spacing w:line="480" w:lineRule="exact"/>
        <w:ind w:firstLine="482"/>
        <w:rPr>
          <w:rFonts w:ascii="Times New Roman" w:hAnsi="Times New Roman" w:cs="仿宋"/>
          <w:bCs/>
          <w:sz w:val="24"/>
        </w:rPr>
      </w:pPr>
      <w:r>
        <w:rPr>
          <w:rFonts w:hint="eastAsia" w:ascii="Times New Roman" w:hAnsi="Times New Roman" w:cs="仿宋"/>
          <w:b/>
          <w:sz w:val="24"/>
        </w:rPr>
        <w:t>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83"/>
    </w:p>
    <w:p w14:paraId="0B61D8BE">
      <w:pPr>
        <w:spacing w:line="480" w:lineRule="exact"/>
        <w:ind w:firstLine="482"/>
        <w:rPr>
          <w:rFonts w:ascii="Times New Roman" w:hAnsi="Times New Roman" w:cs="仿宋"/>
          <w:b/>
          <w:sz w:val="24"/>
        </w:rPr>
      </w:pPr>
      <w:r>
        <w:rPr>
          <w:rFonts w:hint="eastAsia" w:ascii="Times New Roman" w:hAnsi="Times New Roman" w:cs="仿宋"/>
          <w:b/>
          <w:sz w:val="24"/>
        </w:rPr>
        <w:t>10、投标报价</w:t>
      </w:r>
    </w:p>
    <w:p w14:paraId="295AD8EE">
      <w:pPr>
        <w:spacing w:line="480" w:lineRule="exact"/>
        <w:ind w:firstLine="480"/>
        <w:rPr>
          <w:rFonts w:ascii="Times New Roman" w:hAnsi="Times New Roman" w:cs="仿宋"/>
          <w:sz w:val="24"/>
        </w:rPr>
      </w:pPr>
      <w:r>
        <w:rPr>
          <w:rFonts w:hint="eastAsia" w:ascii="Times New Roman" w:hAnsi="Times New Roman" w:cs="仿宋"/>
          <w:sz w:val="24"/>
        </w:rPr>
        <w:t>10.1报价为一次报价，本项目不接受备选的投标方案或有选择的报价，只允许有一个报价。</w:t>
      </w:r>
    </w:p>
    <w:p w14:paraId="0E898CDF">
      <w:pPr>
        <w:spacing w:line="480" w:lineRule="exact"/>
        <w:ind w:firstLine="480"/>
        <w:rPr>
          <w:rFonts w:ascii="Times New Roman" w:hAnsi="Times New Roman" w:cs="仿宋"/>
          <w:sz w:val="24"/>
        </w:rPr>
      </w:pPr>
      <w:r>
        <w:rPr>
          <w:rFonts w:hint="eastAsia" w:ascii="Times New Roman" w:hAnsi="Times New Roman" w:cs="仿宋"/>
          <w:sz w:val="24"/>
        </w:rPr>
        <w:t>10.2报价注意事项：投标价格一律以人民币计算，以元为单位标注，最多保留至小数点后两位，招标文件有规定的按招标文件执行。</w:t>
      </w:r>
    </w:p>
    <w:p w14:paraId="23723380">
      <w:pPr>
        <w:spacing w:line="480" w:lineRule="exact"/>
        <w:ind w:firstLine="482"/>
        <w:rPr>
          <w:rFonts w:ascii="Times New Roman" w:hAnsi="Times New Roman" w:cs="仿宋"/>
          <w:b/>
          <w:sz w:val="24"/>
        </w:rPr>
      </w:pPr>
      <w:r>
        <w:rPr>
          <w:rFonts w:hint="eastAsia" w:ascii="Times New Roman" w:hAnsi="Times New Roman" w:cs="仿宋"/>
          <w:b/>
          <w:sz w:val="24"/>
        </w:rPr>
        <w:t>11、投标保证金</w:t>
      </w:r>
      <w:bookmarkStart w:id="84" w:name="EB183a0bf075204c54a4ff090f1aecaaa7"/>
    </w:p>
    <w:p w14:paraId="00A94E7C">
      <w:pPr>
        <w:spacing w:line="480" w:lineRule="exact"/>
        <w:ind w:firstLine="480"/>
        <w:rPr>
          <w:rFonts w:ascii="Times New Roman" w:hAnsi="Times New Roman" w:cs="仿宋"/>
          <w:sz w:val="24"/>
        </w:rPr>
      </w:pPr>
      <w:r>
        <w:rPr>
          <w:rFonts w:hint="eastAsia" w:ascii="Times New Roman" w:hAnsi="Times New Roman" w:cs="仿宋"/>
          <w:sz w:val="24"/>
        </w:rPr>
        <w:t>本项目不收取投标保证金。</w:t>
      </w:r>
      <w:bookmarkEnd w:id="84"/>
    </w:p>
    <w:p w14:paraId="61CF2932">
      <w:pPr>
        <w:spacing w:line="480" w:lineRule="exact"/>
        <w:ind w:firstLine="482"/>
        <w:rPr>
          <w:rFonts w:ascii="Times New Roman" w:hAnsi="Times New Roman" w:cs="仿宋"/>
          <w:b/>
          <w:sz w:val="24"/>
        </w:rPr>
      </w:pPr>
      <w:r>
        <w:rPr>
          <w:rFonts w:hint="eastAsia" w:ascii="Times New Roman" w:hAnsi="Times New Roman" w:cs="仿宋"/>
          <w:b/>
          <w:sz w:val="24"/>
        </w:rPr>
        <w:t>12、投标有效期</w:t>
      </w:r>
    </w:p>
    <w:p w14:paraId="6474A7EE">
      <w:pPr>
        <w:spacing w:line="480" w:lineRule="exact"/>
        <w:ind w:firstLine="480"/>
        <w:rPr>
          <w:rFonts w:ascii="Times New Roman" w:hAnsi="Times New Roman" w:cs="仿宋"/>
          <w:sz w:val="24"/>
        </w:rPr>
      </w:pPr>
      <w:r>
        <w:rPr>
          <w:rFonts w:hint="eastAsia" w:ascii="Times New Roman" w:hAnsi="Times New Roman" w:cs="仿宋"/>
          <w:sz w:val="24"/>
        </w:rPr>
        <w:t>12.1在投标人须知前附表规定的投标有效期内，投标有效期从提交投标文件的截止之日起算。投标有效期比规定短的将被视为未实质性响应招标文件。</w:t>
      </w:r>
    </w:p>
    <w:p w14:paraId="265162BB">
      <w:pPr>
        <w:spacing w:line="480" w:lineRule="exact"/>
        <w:ind w:firstLine="480"/>
        <w:rPr>
          <w:rFonts w:ascii="Times New Roman" w:hAnsi="Times New Roman" w:cs="仿宋"/>
          <w:sz w:val="24"/>
        </w:rPr>
      </w:pPr>
      <w:r>
        <w:rPr>
          <w:rFonts w:hint="eastAsia" w:ascii="Times New Roman" w:hAnsi="Times New Roman" w:cs="仿宋"/>
          <w:sz w:val="24"/>
        </w:rPr>
        <w:t>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p>
    <w:p w14:paraId="3AFCDA08">
      <w:pPr>
        <w:pStyle w:val="77"/>
        <w:spacing w:before="0" w:after="0" w:line="480" w:lineRule="exact"/>
        <w:ind w:firstLine="321"/>
        <w:rPr>
          <w:rFonts w:eastAsia="宋体" w:cs="Arial"/>
          <w:bCs/>
          <w:szCs w:val="22"/>
        </w:rPr>
      </w:pPr>
      <w:bookmarkStart w:id="85" w:name="_Toc81575158"/>
      <w:bookmarkStart w:id="86" w:name="_Toc81575195"/>
      <w:bookmarkStart w:id="87" w:name="_Toc23443"/>
      <w:bookmarkStart w:id="88" w:name="_Toc2773"/>
      <w:r>
        <w:rPr>
          <w:rFonts w:hint="eastAsia" w:eastAsia="宋体" w:cs="Arial"/>
          <w:bCs/>
          <w:szCs w:val="22"/>
        </w:rPr>
        <w:t>四、投标文件的提交</w:t>
      </w:r>
      <w:bookmarkEnd w:id="85"/>
      <w:bookmarkEnd w:id="86"/>
      <w:bookmarkEnd w:id="87"/>
      <w:bookmarkEnd w:id="88"/>
    </w:p>
    <w:p w14:paraId="38EB25CF">
      <w:pPr>
        <w:spacing w:line="480" w:lineRule="exact"/>
        <w:ind w:firstLine="482"/>
        <w:rPr>
          <w:rFonts w:ascii="Times New Roman" w:hAnsi="Times New Roman" w:cs="仿宋"/>
          <w:b/>
          <w:sz w:val="24"/>
        </w:rPr>
      </w:pPr>
      <w:r>
        <w:rPr>
          <w:rFonts w:hint="eastAsia" w:ascii="Times New Roman" w:hAnsi="Times New Roman" w:cs="仿宋"/>
          <w:b/>
          <w:sz w:val="24"/>
        </w:rPr>
        <w:t>13、投标文件的提交</w:t>
      </w:r>
    </w:p>
    <w:p w14:paraId="7D9A9EF8">
      <w:pPr>
        <w:spacing w:line="480" w:lineRule="exact"/>
        <w:ind w:firstLine="480"/>
        <w:rPr>
          <w:rFonts w:ascii="Times New Roman" w:hAnsi="Times New Roman" w:cs="仿宋"/>
          <w:sz w:val="24"/>
        </w:rPr>
      </w:pPr>
      <w:r>
        <w:rPr>
          <w:rFonts w:hint="eastAsia" w:ascii="Times New Roman" w:hAnsi="Times New Roman" w:cs="仿宋"/>
          <w:sz w:val="24"/>
        </w:rPr>
        <w:t>13.1投标人应在招标文件规定的投标截止时间前提交投标文件并将电子投标文件上传至“苏采云”系统对应的本次开标采购包中。除招标文件另有规定外，投标人所提交的投标文件不予退还。</w:t>
      </w:r>
    </w:p>
    <w:p w14:paraId="29DA0870">
      <w:pPr>
        <w:spacing w:line="480" w:lineRule="exact"/>
        <w:ind w:firstLine="480"/>
        <w:rPr>
          <w:rFonts w:ascii="Times New Roman" w:hAnsi="Times New Roman" w:cs="仿宋"/>
          <w:sz w:val="24"/>
        </w:rPr>
      </w:pPr>
      <w:r>
        <w:rPr>
          <w:rFonts w:hint="eastAsia" w:ascii="Times New Roman" w:hAnsi="Times New Roman" w:cs="仿宋"/>
          <w:sz w:val="24"/>
        </w:rPr>
        <w:t>13.2投标文件的修改和撤回：在投标截止时间前，投标人可以撤回或重新提交投标文件。投标文件以最终完成上传的为准。</w:t>
      </w:r>
    </w:p>
    <w:p w14:paraId="6770B2FB">
      <w:pPr>
        <w:spacing w:line="480" w:lineRule="exact"/>
        <w:ind w:firstLine="480"/>
        <w:rPr>
          <w:rFonts w:ascii="Times New Roman" w:hAnsi="Times New Roman" w:cs="仿宋"/>
          <w:sz w:val="24"/>
        </w:rPr>
      </w:pPr>
      <w:r>
        <w:rPr>
          <w:rFonts w:hint="eastAsia" w:ascii="Times New Roman" w:hAnsi="Times New Roman" w:cs="仿宋"/>
          <w:sz w:val="24"/>
        </w:rPr>
        <w:t>13.3采购人、采购代理机构可以通过修改招标文件酌情延长投标文件接收截止日期，在此情况下，投标人的所有权利和义务以及投标人受制约的截止日期均应以延长后新的截止日期为准。</w:t>
      </w:r>
    </w:p>
    <w:p w14:paraId="0E6FF0E6">
      <w:pPr>
        <w:spacing w:line="480" w:lineRule="exact"/>
        <w:ind w:firstLine="482"/>
        <w:rPr>
          <w:rFonts w:ascii="Times New Roman" w:hAnsi="Times New Roman" w:cs="仿宋"/>
          <w:b/>
          <w:sz w:val="24"/>
        </w:rPr>
      </w:pPr>
      <w:r>
        <w:rPr>
          <w:rFonts w:hint="eastAsia" w:ascii="Times New Roman" w:hAnsi="Times New Roman" w:cs="仿宋"/>
          <w:b/>
          <w:sz w:val="24"/>
        </w:rPr>
        <w:t>14、投标文件被拒绝接收的情形</w:t>
      </w:r>
    </w:p>
    <w:p w14:paraId="461DA6C4">
      <w:pPr>
        <w:spacing w:line="480" w:lineRule="exact"/>
        <w:ind w:firstLine="480"/>
        <w:rPr>
          <w:rFonts w:ascii="Times New Roman" w:hAnsi="Times New Roman" w:cs="仿宋"/>
          <w:sz w:val="24"/>
        </w:rPr>
      </w:pPr>
      <w:r>
        <w:rPr>
          <w:rFonts w:hint="eastAsia" w:ascii="Times New Roman" w:hAnsi="Times New Roman" w:cs="仿宋"/>
          <w:sz w:val="24"/>
        </w:rPr>
        <w:t>在招标文件规定的投标截止时间后上传的投标文件或对投标报价或其他实质性内容修正的文件。</w:t>
      </w:r>
    </w:p>
    <w:p w14:paraId="42A7EE3F">
      <w:pPr>
        <w:pStyle w:val="77"/>
        <w:spacing w:before="0" w:after="0" w:line="520" w:lineRule="exact"/>
        <w:ind w:firstLine="321"/>
        <w:rPr>
          <w:rFonts w:eastAsia="宋体" w:cs="Arial"/>
          <w:bCs/>
          <w:szCs w:val="22"/>
        </w:rPr>
      </w:pPr>
      <w:bookmarkStart w:id="89" w:name="_Toc20026"/>
      <w:bookmarkStart w:id="90" w:name="_Toc81575197"/>
      <w:bookmarkStart w:id="91" w:name="_Toc81575160"/>
      <w:bookmarkStart w:id="92" w:name="_Toc959"/>
      <w:r>
        <w:rPr>
          <w:rFonts w:hint="eastAsia" w:eastAsia="宋体" w:cs="Arial"/>
          <w:bCs/>
          <w:szCs w:val="22"/>
        </w:rPr>
        <w:t>五、开标、评标程序</w:t>
      </w:r>
      <w:bookmarkEnd w:id="89"/>
      <w:bookmarkEnd w:id="90"/>
      <w:bookmarkEnd w:id="91"/>
      <w:bookmarkEnd w:id="92"/>
    </w:p>
    <w:p w14:paraId="60304DC8">
      <w:pPr>
        <w:spacing w:line="480" w:lineRule="exact"/>
        <w:ind w:firstLine="482"/>
        <w:rPr>
          <w:rFonts w:ascii="Times New Roman" w:hAnsi="Times New Roman" w:cs="仿宋"/>
          <w:b/>
          <w:sz w:val="24"/>
        </w:rPr>
      </w:pPr>
      <w:r>
        <w:rPr>
          <w:rFonts w:hint="eastAsia" w:ascii="Times New Roman" w:hAnsi="Times New Roman" w:cs="仿宋"/>
          <w:b/>
          <w:sz w:val="24"/>
        </w:rPr>
        <w:t>15、开标</w:t>
      </w:r>
    </w:p>
    <w:p w14:paraId="042B4069">
      <w:pPr>
        <w:spacing w:line="480" w:lineRule="exact"/>
        <w:ind w:firstLine="480"/>
        <w:rPr>
          <w:rFonts w:ascii="Times New Roman" w:hAnsi="Times New Roman" w:cs="仿宋"/>
          <w:sz w:val="24"/>
        </w:rPr>
      </w:pPr>
      <w:r>
        <w:rPr>
          <w:rFonts w:hint="eastAsia" w:ascii="Times New Roman" w:hAnsi="Times New Roman" w:cs="仿宋"/>
          <w:sz w:val="24"/>
        </w:rPr>
        <w:t>15.1采购代理机构将在招标公告中规定的时间和地点组织公开开标。投标人应当按照《操作手册》规定，参加开标活动，在“苏采云”系统规定的时间内对投标文件解密。</w:t>
      </w:r>
    </w:p>
    <w:p w14:paraId="4BD8E580">
      <w:pPr>
        <w:spacing w:line="480" w:lineRule="exact"/>
        <w:ind w:firstLine="480"/>
        <w:rPr>
          <w:rFonts w:ascii="Times New Roman" w:hAnsi="Times New Roman" w:cs="仿宋"/>
          <w:sz w:val="24"/>
        </w:rPr>
      </w:pPr>
      <w:r>
        <w:rPr>
          <w:rFonts w:hint="eastAsia" w:ascii="Times New Roman" w:hAnsi="Times New Roman" w:cs="仿宋"/>
          <w:sz w:val="24"/>
        </w:rPr>
        <w:t>15.2开标仪式由采购代理机构组织。“苏采云”系统将自动对项目进行开标，并宣布各投标人名称和投标价格。</w:t>
      </w:r>
    </w:p>
    <w:p w14:paraId="74246E95">
      <w:pPr>
        <w:spacing w:line="480" w:lineRule="exact"/>
        <w:ind w:firstLine="482"/>
        <w:rPr>
          <w:rFonts w:ascii="Times New Roman" w:hAnsi="Times New Roman" w:cs="仿宋"/>
          <w:b/>
          <w:bCs/>
          <w:sz w:val="24"/>
        </w:rPr>
      </w:pPr>
      <w:r>
        <w:rPr>
          <w:rFonts w:hint="eastAsia" w:ascii="Times New Roman" w:hAnsi="Times New Roman" w:cs="仿宋"/>
          <w:b/>
          <w:bCs/>
          <w:sz w:val="24"/>
        </w:rPr>
        <w:t>15.3投标人用于解密的CA证书应为该投标文件生成加密、上传的同一把CA证书。投标人应登录“苏采云”系统进入“开标大厅”，在系统约定时间内使用CA证书解密，未成功解密的视为放弃投标。</w:t>
      </w:r>
    </w:p>
    <w:p w14:paraId="11A3BD50">
      <w:pPr>
        <w:spacing w:line="480" w:lineRule="exact"/>
        <w:ind w:firstLine="480"/>
        <w:rPr>
          <w:rFonts w:ascii="Times New Roman" w:hAnsi="Times New Roman" w:cs="仿宋"/>
          <w:sz w:val="24"/>
        </w:rPr>
      </w:pPr>
      <w:r>
        <w:rPr>
          <w:rFonts w:hint="eastAsia" w:ascii="Times New Roman" w:hAnsi="Times New Roman" w:cs="仿宋"/>
          <w:sz w:val="24"/>
        </w:rPr>
        <w:t>15.4投标人如果对开标过程和开标记录有疑义，应当根据《操作手册》规定提出。如“苏采云”系统中《开标记录表》宣布后5分钟内未提出的，视同认可开标结果。</w:t>
      </w:r>
    </w:p>
    <w:p w14:paraId="77002261">
      <w:pPr>
        <w:spacing w:line="480" w:lineRule="exact"/>
        <w:ind w:firstLine="480"/>
        <w:rPr>
          <w:rFonts w:ascii="Times New Roman" w:hAnsi="Times New Roman" w:cs="仿宋"/>
          <w:sz w:val="24"/>
        </w:rPr>
      </w:pPr>
      <w:r>
        <w:rPr>
          <w:rFonts w:hint="eastAsia" w:ascii="Times New Roman" w:hAnsi="Times New Roman" w:cs="仿宋"/>
          <w:sz w:val="24"/>
        </w:rPr>
        <w:t>15.5投标人在开、评标全过程中应保持通讯畅通，及时登录“苏采云”系统查阅、答复相关信息。</w:t>
      </w:r>
    </w:p>
    <w:p w14:paraId="71FDEEA2">
      <w:pPr>
        <w:spacing w:line="480" w:lineRule="exact"/>
        <w:ind w:firstLine="482"/>
        <w:rPr>
          <w:rFonts w:ascii="Times New Roman" w:hAnsi="Times New Roman" w:cs="仿宋"/>
          <w:b/>
          <w:sz w:val="24"/>
        </w:rPr>
      </w:pPr>
      <w:r>
        <w:rPr>
          <w:rFonts w:hint="eastAsia" w:ascii="Times New Roman" w:hAnsi="Times New Roman" w:cs="仿宋"/>
          <w:b/>
          <w:sz w:val="24"/>
        </w:rPr>
        <w:t>16、评标委员会</w:t>
      </w:r>
    </w:p>
    <w:p w14:paraId="2C8CD56D">
      <w:pPr>
        <w:spacing w:line="480" w:lineRule="exact"/>
        <w:ind w:firstLine="480"/>
        <w:rPr>
          <w:rFonts w:ascii="Times New Roman" w:hAnsi="Times New Roman" w:cs="仿宋"/>
          <w:sz w:val="24"/>
        </w:rPr>
      </w:pPr>
      <w:r>
        <w:rPr>
          <w:rFonts w:hint="eastAsia" w:ascii="Times New Roman" w:hAnsi="Times New Roman" w:cs="仿宋"/>
          <w:sz w:val="24"/>
        </w:rPr>
        <w:t>采购人应根据本项目的特点依法组建评标委员会，评标委员会由采购人代表和有关技术、经济等方面的专家组成，且人员构成符合政府采购有关规定。评标委员会负责具体评标事务，按公平、公正、客观、择优的原则独立履行相关职责。</w:t>
      </w:r>
    </w:p>
    <w:p w14:paraId="06AE3DEC">
      <w:pPr>
        <w:spacing w:line="480" w:lineRule="exact"/>
        <w:ind w:firstLine="482"/>
        <w:rPr>
          <w:rFonts w:ascii="Times New Roman" w:hAnsi="Times New Roman" w:cs="仿宋"/>
          <w:b/>
          <w:sz w:val="24"/>
        </w:rPr>
      </w:pPr>
      <w:r>
        <w:rPr>
          <w:rFonts w:hint="eastAsia" w:ascii="Times New Roman" w:hAnsi="Times New Roman" w:cs="仿宋"/>
          <w:b/>
          <w:sz w:val="24"/>
        </w:rPr>
        <w:t>17、评标程序</w:t>
      </w:r>
    </w:p>
    <w:p w14:paraId="3F47CB61">
      <w:pPr>
        <w:spacing w:line="480" w:lineRule="exact"/>
        <w:ind w:firstLine="480"/>
        <w:rPr>
          <w:rFonts w:ascii="Times New Roman" w:hAnsi="Times New Roman" w:cs="仿宋"/>
          <w:sz w:val="24"/>
        </w:rPr>
      </w:pPr>
      <w:r>
        <w:rPr>
          <w:rFonts w:hint="eastAsia" w:ascii="Times New Roman" w:hAnsi="Times New Roman" w:cs="仿宋"/>
          <w:sz w:val="24"/>
        </w:rPr>
        <w:t>17.1资格审查</w:t>
      </w:r>
      <w:bookmarkStart w:id="93" w:name="EBa9c0a2c9e523494487594c65b2a92370"/>
    </w:p>
    <w:p w14:paraId="7AC51D90">
      <w:pPr>
        <w:spacing w:line="480" w:lineRule="exact"/>
        <w:ind w:firstLine="480"/>
        <w:rPr>
          <w:rFonts w:ascii="Times New Roman" w:hAnsi="Times New Roman" w:cs="仿宋"/>
          <w:sz w:val="24"/>
        </w:rPr>
      </w:pPr>
      <w:r>
        <w:rPr>
          <w:rFonts w:hint="eastAsia" w:ascii="Times New Roman" w:hAnsi="Times New Roman" w:cs="仿宋"/>
          <w:sz w:val="24"/>
        </w:rPr>
        <w:t>开标结束后，采购人依法根据招标文件的规定对投标人的资格证明文件等进行审查。</w:t>
      </w:r>
      <w:bookmarkEnd w:id="93"/>
    </w:p>
    <w:p w14:paraId="17006456">
      <w:pPr>
        <w:spacing w:line="480" w:lineRule="exact"/>
        <w:ind w:firstLine="480"/>
        <w:rPr>
          <w:rFonts w:ascii="Times New Roman" w:hAnsi="Times New Roman" w:cs="仿宋"/>
          <w:sz w:val="24"/>
        </w:rPr>
      </w:pPr>
      <w:r>
        <w:rPr>
          <w:rFonts w:hint="eastAsia" w:ascii="Times New Roman" w:hAnsi="Times New Roman" w:cs="仿宋"/>
          <w:sz w:val="24"/>
        </w:rPr>
        <w:t>17.2符合性检查</w:t>
      </w:r>
    </w:p>
    <w:p w14:paraId="687A9C5D">
      <w:pPr>
        <w:spacing w:line="480" w:lineRule="exact"/>
        <w:ind w:firstLine="480"/>
        <w:rPr>
          <w:rFonts w:ascii="Times New Roman" w:hAnsi="Times New Roman" w:cs="仿宋"/>
          <w:sz w:val="24"/>
        </w:rPr>
      </w:pPr>
      <w:r>
        <w:rPr>
          <w:rFonts w:hint="eastAsia" w:ascii="Times New Roman" w:hAnsi="Times New Roman" w:cs="仿宋"/>
          <w:sz w:val="24"/>
        </w:rPr>
        <w:t>17.2.1依据招标文件的规定，由评标委员会从投标文件的有效性、完整性和对招标文件的响应程度进行审查，以确定是否对招标文件的实质性要求作出响应。</w:t>
      </w:r>
    </w:p>
    <w:p w14:paraId="5C60DEF2">
      <w:pPr>
        <w:spacing w:line="480" w:lineRule="exact"/>
        <w:ind w:firstLine="480"/>
        <w:rPr>
          <w:rFonts w:ascii="Times New Roman" w:hAnsi="Times New Roman" w:cs="仿宋"/>
          <w:sz w:val="24"/>
        </w:rPr>
      </w:pPr>
      <w:r>
        <w:rPr>
          <w:rFonts w:hint="eastAsia" w:ascii="Times New Roman" w:hAnsi="Times New Roman" w:cs="仿宋"/>
          <w:sz w:val="24"/>
        </w:rPr>
        <w:t>17.2.2在详细评标之前，评标委员会将首先审查每份投标文件是否实质性响应了招标文件的要求。实质性响应的投标应是与招标文件要求的全部条款、条件和规格相符，没有重大偏离的投标。</w:t>
      </w:r>
      <w:bookmarkStart w:id="94" w:name="EB1499356fad43416eb16398733accabf7"/>
      <w:r>
        <w:rPr>
          <w:rFonts w:hint="eastAsia" w:ascii="Times New Roman" w:hAnsi="Times New Roman" w:cs="仿宋"/>
          <w:sz w:val="24"/>
        </w:rPr>
        <w:t>所谓重大偏离是指投标人投标文件中所述设备质量、技术规格、数量、交货期、服务等明显不能满足招标文件要求。</w:t>
      </w:r>
      <w:bookmarkEnd w:id="94"/>
      <w:r>
        <w:rPr>
          <w:rFonts w:hint="eastAsia" w:ascii="Times New Roman" w:hAnsi="Times New Roman" w:cs="仿宋"/>
          <w:sz w:val="24"/>
        </w:rPr>
        <w:t>重大偏离的认定需经过评标委员会以少数服从多数的原则作出结论。</w:t>
      </w:r>
    </w:p>
    <w:p w14:paraId="32371D0D">
      <w:pPr>
        <w:spacing w:line="480" w:lineRule="exact"/>
        <w:ind w:firstLine="480"/>
        <w:rPr>
          <w:rFonts w:ascii="Times New Roman" w:hAnsi="Times New Roman" w:cs="仿宋"/>
          <w:sz w:val="24"/>
        </w:rPr>
      </w:pPr>
      <w:r>
        <w:rPr>
          <w:rFonts w:hint="eastAsia" w:ascii="Times New Roman" w:hAnsi="Times New Roman" w:cs="仿宋"/>
          <w:sz w:val="24"/>
        </w:rPr>
        <w:t>17.3未通过资格审查或符合性审查的投标人，采购代理机构将在“苏采云”系统中告知未通过资格审查或符合性审查的原因，评标结束后，采购代理机构将不再告知未通过资格审查或符合性审查的原因。</w:t>
      </w:r>
    </w:p>
    <w:p w14:paraId="5A5D2679">
      <w:pPr>
        <w:spacing w:line="480" w:lineRule="exact"/>
        <w:ind w:firstLine="480"/>
        <w:rPr>
          <w:rFonts w:ascii="Times New Roman" w:hAnsi="Times New Roman" w:cs="仿宋"/>
          <w:sz w:val="24"/>
        </w:rPr>
      </w:pPr>
      <w:r>
        <w:rPr>
          <w:rFonts w:hint="eastAsia" w:ascii="Times New Roman" w:hAnsi="Times New Roman" w:cs="仿宋"/>
          <w:sz w:val="24"/>
        </w:rPr>
        <w:t>17.4评标委员会判断投标文件的响应性，仅基于投标文件本身而不靠外部证据。对非实质性响应的投标文件，投标人不能通过修正或撤销不符之处，而使其成为实质性响应。</w:t>
      </w:r>
    </w:p>
    <w:p w14:paraId="35B850CF">
      <w:pPr>
        <w:spacing w:line="480" w:lineRule="exact"/>
        <w:ind w:firstLine="480"/>
        <w:rPr>
          <w:rFonts w:ascii="Times New Roman" w:hAnsi="Times New Roman" w:cs="仿宋"/>
          <w:sz w:val="24"/>
        </w:rPr>
      </w:pPr>
      <w:r>
        <w:rPr>
          <w:rFonts w:hint="eastAsia" w:ascii="Times New Roman" w:hAnsi="Times New Roman" w:cs="仿宋"/>
          <w:sz w:val="24"/>
        </w:rPr>
        <w:t>17.5相同品牌产品投标</w:t>
      </w:r>
    </w:p>
    <w:p w14:paraId="6FFD595D">
      <w:pPr>
        <w:spacing w:line="480" w:lineRule="exact"/>
        <w:ind w:firstLine="480"/>
        <w:rPr>
          <w:rFonts w:ascii="Times New Roman" w:hAnsi="Times New Roman" w:cs="仿宋"/>
          <w:sz w:val="24"/>
        </w:rPr>
      </w:pPr>
      <w:r>
        <w:rPr>
          <w:rFonts w:hint="eastAsia" w:ascii="Times New Roman" w:hAnsi="Times New Roman" w:cs="仿宋"/>
          <w:sz w:val="24"/>
        </w:rPr>
        <w:t>17.5.1采用最低评标价法的采购项目，提供相同品牌产品的不同投标人参加同一合同项下投标的，以其中通过资格审查、符合性审查且报价最低的参加评标；报价相同的，由采购人采取随机抽取方式确定，其他投标无效。</w:t>
      </w:r>
    </w:p>
    <w:p w14:paraId="560808E0">
      <w:pPr>
        <w:spacing w:line="480" w:lineRule="exact"/>
        <w:ind w:firstLine="480"/>
        <w:rPr>
          <w:rFonts w:ascii="Times New Roman" w:hAnsi="Times New Roman" w:cs="仿宋"/>
          <w:sz w:val="24"/>
        </w:rPr>
      </w:pPr>
      <w:r>
        <w:rPr>
          <w:rFonts w:hint="eastAsia" w:ascii="Times New Roman" w:hAnsi="Times New Roman" w:cs="仿宋"/>
          <w:sz w:val="24"/>
        </w:rPr>
        <w:t>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p>
    <w:p w14:paraId="6BDCA8A1">
      <w:pPr>
        <w:spacing w:line="480" w:lineRule="exact"/>
        <w:ind w:firstLine="480"/>
        <w:rPr>
          <w:rFonts w:ascii="Times New Roman" w:hAnsi="Times New Roman" w:cs="仿宋"/>
          <w:sz w:val="24"/>
        </w:rPr>
      </w:pPr>
      <w:r>
        <w:rPr>
          <w:rFonts w:hint="eastAsia" w:ascii="Times New Roman" w:hAnsi="Times New Roman" w:cs="仿宋"/>
          <w:sz w:val="24"/>
        </w:rPr>
        <w:t>17.5.3非单一产品采购项目，采购人确定核心产品，并在招标文件中载明。多家投标人提供的核心产品品牌相同的，按前两款规定处理。</w:t>
      </w:r>
    </w:p>
    <w:p w14:paraId="4C2C177E">
      <w:pPr>
        <w:spacing w:line="480" w:lineRule="exact"/>
        <w:ind w:firstLine="482"/>
        <w:rPr>
          <w:rFonts w:ascii="Times New Roman" w:hAnsi="Times New Roman" w:cs="仿宋"/>
          <w:b/>
          <w:sz w:val="24"/>
        </w:rPr>
      </w:pPr>
      <w:r>
        <w:rPr>
          <w:rFonts w:hint="eastAsia" w:ascii="Times New Roman" w:hAnsi="Times New Roman" w:cs="仿宋"/>
          <w:b/>
          <w:sz w:val="24"/>
        </w:rPr>
        <w:t>17.6有关问题的澄清</w:t>
      </w:r>
    </w:p>
    <w:p w14:paraId="08D0ADE2">
      <w:pPr>
        <w:spacing w:line="480" w:lineRule="exact"/>
        <w:ind w:firstLine="480"/>
        <w:rPr>
          <w:rFonts w:ascii="Times New Roman" w:hAnsi="Times New Roman" w:cs="仿宋"/>
          <w:sz w:val="24"/>
        </w:rPr>
      </w:pPr>
      <w:r>
        <w:rPr>
          <w:rFonts w:hint="eastAsia" w:ascii="Times New Roman" w:hAnsi="Times New Roman" w:cs="仿宋"/>
          <w:sz w:val="24"/>
        </w:rPr>
        <w:t>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p>
    <w:p w14:paraId="1E98FF56">
      <w:pPr>
        <w:spacing w:line="480" w:lineRule="exact"/>
        <w:ind w:firstLine="480"/>
        <w:rPr>
          <w:rFonts w:ascii="Times New Roman" w:hAnsi="Times New Roman" w:cs="仿宋"/>
          <w:sz w:val="24"/>
        </w:rPr>
      </w:pPr>
      <w:r>
        <w:rPr>
          <w:rFonts w:hint="eastAsia" w:ascii="Times New Roman" w:hAnsi="Times New Roman" w:cs="仿宋"/>
          <w:sz w:val="24"/>
        </w:rPr>
        <w:t>17.6.2投标文件报价出现前后不一致的，除招标文件另有规定外，按照下列规定修正：</w:t>
      </w:r>
    </w:p>
    <w:p w14:paraId="17C30DD0">
      <w:pPr>
        <w:spacing w:line="480" w:lineRule="exact"/>
        <w:ind w:firstLine="480"/>
        <w:rPr>
          <w:rFonts w:ascii="Times New Roman" w:hAnsi="Times New Roman" w:cs="仿宋"/>
          <w:sz w:val="24"/>
        </w:rPr>
      </w:pPr>
      <w:r>
        <w:rPr>
          <w:rFonts w:hint="eastAsia" w:ascii="Times New Roman" w:hAnsi="Times New Roman" w:cs="仿宋"/>
          <w:sz w:val="24"/>
        </w:rPr>
        <w:t>①投标文件中开标一览表（报价表）内容与投标文件中相应内容不一致的，以开标一览表（报价表）为准；</w:t>
      </w:r>
    </w:p>
    <w:p w14:paraId="7A2BA852">
      <w:pPr>
        <w:spacing w:line="480" w:lineRule="exact"/>
        <w:ind w:firstLine="480"/>
        <w:rPr>
          <w:rFonts w:ascii="Times New Roman" w:hAnsi="Times New Roman" w:cs="仿宋"/>
          <w:sz w:val="24"/>
        </w:rPr>
      </w:pPr>
      <w:r>
        <w:rPr>
          <w:rFonts w:hint="eastAsia" w:ascii="Times New Roman" w:hAnsi="Times New Roman" w:cs="仿宋"/>
          <w:sz w:val="24"/>
        </w:rPr>
        <w:t>②大写金额和小写金额不一致的，以大写金额为准；</w:t>
      </w:r>
    </w:p>
    <w:p w14:paraId="6F5CDFA0">
      <w:pPr>
        <w:spacing w:line="480" w:lineRule="exact"/>
        <w:ind w:firstLine="480"/>
        <w:rPr>
          <w:rFonts w:ascii="Times New Roman" w:hAnsi="Times New Roman" w:cs="仿宋"/>
          <w:sz w:val="24"/>
        </w:rPr>
      </w:pPr>
      <w:r>
        <w:rPr>
          <w:rFonts w:hint="eastAsia" w:ascii="Times New Roman" w:hAnsi="Times New Roman" w:cs="仿宋"/>
          <w:sz w:val="24"/>
        </w:rPr>
        <w:t>③单价金额小数点或者百分比有明显错位的，以开标一览表的总价为准，并修改单价；</w:t>
      </w:r>
    </w:p>
    <w:p w14:paraId="6B23E3D7">
      <w:pPr>
        <w:spacing w:line="480" w:lineRule="exact"/>
        <w:ind w:firstLine="480"/>
        <w:rPr>
          <w:rFonts w:ascii="Times New Roman" w:hAnsi="Times New Roman" w:cs="仿宋"/>
          <w:sz w:val="24"/>
        </w:rPr>
      </w:pPr>
      <w:r>
        <w:rPr>
          <w:rFonts w:hint="eastAsia" w:ascii="Times New Roman" w:hAnsi="Times New Roman" w:cs="仿宋"/>
          <w:sz w:val="24"/>
        </w:rPr>
        <w:t>④总价金额与按单价汇总金额不一致的，以单价金额计算结果为准。</w:t>
      </w:r>
    </w:p>
    <w:p w14:paraId="71A65553">
      <w:pPr>
        <w:spacing w:line="480" w:lineRule="exact"/>
        <w:ind w:firstLine="480"/>
        <w:rPr>
          <w:rFonts w:ascii="Times New Roman" w:hAnsi="Times New Roman" w:cs="仿宋"/>
          <w:sz w:val="24"/>
        </w:rPr>
      </w:pPr>
      <w:r>
        <w:rPr>
          <w:rFonts w:hint="eastAsia" w:ascii="Times New Roman" w:hAnsi="Times New Roman" w:cs="仿宋"/>
          <w:sz w:val="24"/>
        </w:rPr>
        <w:t>同时出现两种以上不一致的，按照前款规定的顺序修正。</w:t>
      </w:r>
    </w:p>
    <w:p w14:paraId="62E5D639">
      <w:pPr>
        <w:spacing w:line="480" w:lineRule="exact"/>
        <w:ind w:firstLine="480"/>
        <w:rPr>
          <w:rFonts w:ascii="Times New Roman" w:hAnsi="Times New Roman" w:cs="仿宋"/>
          <w:sz w:val="24"/>
        </w:rPr>
      </w:pPr>
      <w:r>
        <w:rPr>
          <w:rFonts w:hint="eastAsia" w:ascii="Times New Roman" w:hAnsi="Times New Roman" w:cs="仿宋"/>
          <w:sz w:val="24"/>
        </w:rPr>
        <w:t>17.6.3评标委员会将按上述修正错误的方法调整投标文件中的投标报价，并通过“苏采云”系统告知投标人，调整后的价格应对投标人具有约束力。投标人不接受修正后的价格，其投标将被拒绝。</w:t>
      </w:r>
    </w:p>
    <w:p w14:paraId="7C1329F7">
      <w:pPr>
        <w:spacing w:line="480" w:lineRule="exact"/>
        <w:ind w:firstLine="480"/>
        <w:rPr>
          <w:rFonts w:ascii="Times New Roman" w:hAnsi="Times New Roman" w:cs="仿宋"/>
          <w:sz w:val="24"/>
        </w:rPr>
      </w:pPr>
      <w:r>
        <w:rPr>
          <w:rFonts w:hint="eastAsia" w:ascii="Times New Roman" w:hAnsi="Times New Roman" w:cs="仿宋"/>
          <w:sz w:val="24"/>
        </w:rPr>
        <w:t>评标过程中，不得去掉报价中的最高报价和最低报价。</w:t>
      </w:r>
    </w:p>
    <w:p w14:paraId="402838EA">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17.7异常低价投标审查</w:t>
      </w:r>
    </w:p>
    <w:p w14:paraId="1F09B11B">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17.7.1评标过程中出现下列情形之一的，评标委员会应当启动异常低价投标审查程序：</w:t>
      </w:r>
    </w:p>
    <w:p w14:paraId="63FDFD5E">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（1）投标报价低于采购项目预算50%的，即投标报价＜采购项目预算×50%；</w:t>
      </w:r>
    </w:p>
    <w:p w14:paraId="33FDB7C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（2）投标报价低于采购项目最高限价45%的，即投标报价＜采购项目最高限价×45%；</w:t>
      </w:r>
    </w:p>
    <w:p w14:paraId="56337766">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（3）评标委员会认定的供应商报价过低（含明显低于其他通过符合性审查投标人的报价）、有可能影响产品质量或者不能诚信履约的其他情形。</w:t>
      </w:r>
    </w:p>
    <w:p w14:paraId="3DC901FD">
      <w:pPr>
        <w:spacing w:line="480" w:lineRule="exact"/>
        <w:ind w:firstLine="480"/>
        <w:rPr>
          <w:rFonts w:ascii="Times New Roman" w:hAnsi="Times New Roman" w:cs="仿宋"/>
          <w:color w:val="000000"/>
          <w:sz w:val="24"/>
        </w:rPr>
      </w:pPr>
      <w:r>
        <w:rPr>
          <w:rFonts w:hint="eastAsia" w:ascii="Times New Roman" w:hAnsi="Times New Roman" w:cs="仿宋"/>
          <w:color w:val="000000"/>
          <w:sz w:val="24"/>
        </w:rPr>
        <w:t>17.7.2启动异常低价投标审查后，评标委员会应当要求相关供应商在评标现场合理的时间内，提供项目具体成本测算等与报价合理性相关的书面说明材料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p>
    <w:p w14:paraId="373ABF4D">
      <w:pPr>
        <w:spacing w:line="480" w:lineRule="exact"/>
        <w:ind w:firstLine="480"/>
        <w:rPr>
          <w:rFonts w:ascii="Times New Roman" w:hAnsi="Times New Roman" w:cs="仿宋"/>
          <w:sz w:val="24"/>
        </w:rPr>
      </w:pPr>
      <w:r>
        <w:rPr>
          <w:rFonts w:hint="eastAsia" w:ascii="Times New Roman" w:hAnsi="Times New Roman" w:cs="仿宋"/>
          <w:sz w:val="24"/>
        </w:rPr>
        <w:t>17.8比较</w:t>
      </w:r>
    </w:p>
    <w:p w14:paraId="74E9C0D4">
      <w:pPr>
        <w:spacing w:line="480" w:lineRule="exact"/>
        <w:ind w:firstLine="480"/>
        <w:rPr>
          <w:rFonts w:ascii="Times New Roman" w:hAnsi="Times New Roman" w:cs="仿宋"/>
          <w:sz w:val="24"/>
        </w:rPr>
      </w:pPr>
      <w:r>
        <w:rPr>
          <w:rFonts w:hint="eastAsia" w:ascii="Times New Roman" w:hAnsi="Times New Roman" w:cs="仿宋"/>
          <w:sz w:val="24"/>
        </w:rPr>
        <w:t>评标委员会将按招标文件中规定的评标方法和标准，对符合性检查合格的投标文件进行商务和技术评比。</w:t>
      </w:r>
    </w:p>
    <w:p w14:paraId="102F4492">
      <w:pPr>
        <w:spacing w:line="480" w:lineRule="exact"/>
        <w:ind w:firstLine="480"/>
        <w:rPr>
          <w:rFonts w:ascii="Times New Roman" w:hAnsi="Times New Roman" w:cs="仿宋"/>
          <w:sz w:val="24"/>
        </w:rPr>
      </w:pPr>
      <w:r>
        <w:rPr>
          <w:rFonts w:hint="eastAsia" w:ascii="Times New Roman" w:hAnsi="Times New Roman" w:cs="仿宋"/>
          <w:sz w:val="24"/>
        </w:rPr>
        <w:t>17.9推荐中标候选人</w:t>
      </w:r>
    </w:p>
    <w:p w14:paraId="05929E57">
      <w:pPr>
        <w:spacing w:line="480" w:lineRule="exact"/>
        <w:ind w:firstLine="480"/>
        <w:rPr>
          <w:rFonts w:ascii="Times New Roman" w:hAnsi="Times New Roman" w:cs="仿宋"/>
          <w:sz w:val="24"/>
        </w:rPr>
      </w:pPr>
      <w:r>
        <w:rPr>
          <w:rFonts w:hint="eastAsia" w:ascii="Times New Roman" w:hAnsi="Times New Roman" w:cs="仿宋"/>
          <w:sz w:val="24"/>
        </w:rPr>
        <w:t>评标委员会按照招标文件中规定的评标方法和标准推荐中标候选人。</w:t>
      </w:r>
    </w:p>
    <w:p w14:paraId="00302737">
      <w:pPr>
        <w:pStyle w:val="77"/>
        <w:spacing w:before="0" w:after="0" w:line="480" w:lineRule="exact"/>
        <w:ind w:firstLine="321"/>
        <w:rPr>
          <w:rFonts w:eastAsia="宋体" w:cs="Arial"/>
          <w:bCs/>
          <w:szCs w:val="22"/>
        </w:rPr>
      </w:pPr>
      <w:bookmarkStart w:id="95" w:name="_Toc8841"/>
      <w:bookmarkStart w:id="96" w:name="_Toc8712"/>
      <w:bookmarkStart w:id="97" w:name="_Toc81575159"/>
      <w:bookmarkStart w:id="98" w:name="_Toc81575196"/>
      <w:r>
        <w:rPr>
          <w:rFonts w:hint="eastAsia" w:eastAsia="宋体" w:cs="Arial"/>
          <w:bCs/>
          <w:szCs w:val="22"/>
        </w:rPr>
        <w:t>六、无效投标、废标、串通投标</w:t>
      </w:r>
      <w:bookmarkEnd w:id="95"/>
      <w:bookmarkEnd w:id="96"/>
      <w:bookmarkEnd w:id="97"/>
      <w:bookmarkEnd w:id="98"/>
      <w:r>
        <w:rPr>
          <w:rFonts w:hint="eastAsia" w:eastAsia="宋体" w:cs="Arial"/>
          <w:bCs/>
          <w:szCs w:val="22"/>
        </w:rPr>
        <w:t>及取消中标候选人资格情形</w:t>
      </w:r>
    </w:p>
    <w:p w14:paraId="20ABBB02">
      <w:pPr>
        <w:spacing w:line="480" w:lineRule="exact"/>
        <w:ind w:firstLine="482"/>
        <w:rPr>
          <w:rFonts w:ascii="Times New Roman" w:hAnsi="Times New Roman" w:cs="仿宋"/>
          <w:b/>
          <w:sz w:val="24"/>
        </w:rPr>
      </w:pPr>
      <w:r>
        <w:rPr>
          <w:rFonts w:hint="eastAsia" w:ascii="Times New Roman" w:hAnsi="Times New Roman" w:cs="仿宋"/>
          <w:b/>
          <w:sz w:val="24"/>
        </w:rPr>
        <w:t>18、无效投标情形</w:t>
      </w:r>
    </w:p>
    <w:p w14:paraId="122C22DC">
      <w:pPr>
        <w:spacing w:line="480" w:lineRule="exact"/>
        <w:ind w:firstLine="480"/>
        <w:rPr>
          <w:rFonts w:ascii="Times New Roman" w:hAnsi="Times New Roman" w:cs="仿宋"/>
          <w:strike/>
          <w:sz w:val="24"/>
        </w:rPr>
      </w:pPr>
      <w:r>
        <w:rPr>
          <w:rFonts w:hint="eastAsia" w:ascii="Times New Roman" w:hAnsi="Times New Roman" w:cs="仿宋"/>
          <w:sz w:val="24"/>
        </w:rPr>
        <w:t>18.1投标人同一采购包提交两个（含两个）以上不同的投标报价的。</w:t>
      </w:r>
    </w:p>
    <w:p w14:paraId="50C71684">
      <w:pPr>
        <w:spacing w:line="480" w:lineRule="exact"/>
        <w:ind w:firstLine="480"/>
        <w:rPr>
          <w:rFonts w:ascii="Times New Roman" w:hAnsi="Times New Roman" w:cs="仿宋"/>
          <w:sz w:val="24"/>
        </w:rPr>
      </w:pPr>
      <w:r>
        <w:rPr>
          <w:rFonts w:hint="eastAsia" w:ascii="Times New Roman" w:hAnsi="Times New Roman" w:cs="仿宋"/>
          <w:sz w:val="24"/>
        </w:rPr>
        <w:t>18.2投标人不符合招标文件规定资格要求的或未按规定提交资质证件的。</w:t>
      </w:r>
    </w:p>
    <w:p w14:paraId="56A5E595">
      <w:pPr>
        <w:spacing w:line="480" w:lineRule="exact"/>
        <w:ind w:firstLine="480"/>
        <w:rPr>
          <w:rFonts w:ascii="Times New Roman" w:hAnsi="Times New Roman" w:cs="仿宋"/>
          <w:sz w:val="24"/>
        </w:rPr>
      </w:pPr>
      <w:r>
        <w:rPr>
          <w:rFonts w:hint="eastAsia" w:ascii="Times New Roman" w:hAnsi="Times New Roman" w:cs="仿宋"/>
          <w:sz w:val="24"/>
        </w:rPr>
        <w:t>18.3投标人的报价超过了采购预算或最高限价的。</w:t>
      </w:r>
    </w:p>
    <w:p w14:paraId="3B1AC479">
      <w:pPr>
        <w:spacing w:line="480" w:lineRule="exact"/>
        <w:ind w:firstLine="480"/>
        <w:rPr>
          <w:rFonts w:ascii="Times New Roman" w:hAnsi="Times New Roman" w:cs="仿宋"/>
          <w:sz w:val="24"/>
        </w:rPr>
      </w:pPr>
      <w:r>
        <w:rPr>
          <w:rFonts w:hint="eastAsia" w:ascii="Times New Roman" w:hAnsi="Times New Roman" w:cs="仿宋"/>
          <w:sz w:val="24"/>
        </w:rPr>
        <w:t>18.4投标文件未通过符合性审查的。</w:t>
      </w:r>
    </w:p>
    <w:p w14:paraId="638D3C6A">
      <w:pPr>
        <w:spacing w:line="480" w:lineRule="exact"/>
        <w:ind w:firstLine="480"/>
        <w:rPr>
          <w:rFonts w:ascii="Times New Roman" w:hAnsi="Times New Roman" w:cs="仿宋"/>
          <w:sz w:val="24"/>
        </w:rPr>
      </w:pPr>
      <w:r>
        <w:rPr>
          <w:rFonts w:hint="eastAsia" w:ascii="Times New Roman" w:hAnsi="Times New Roman" w:cs="仿宋"/>
          <w:sz w:val="24"/>
        </w:rPr>
        <w:t>18.5投标文件出现重大偏离，不符合招标文件中规定的实质性要求的（★部分为实质性要求）。</w:t>
      </w:r>
    </w:p>
    <w:p w14:paraId="74928337">
      <w:pPr>
        <w:spacing w:line="480" w:lineRule="exact"/>
        <w:ind w:firstLine="480"/>
        <w:rPr>
          <w:rFonts w:ascii="Times New Roman" w:hAnsi="Times New Roman" w:cs="仿宋"/>
          <w:sz w:val="24"/>
        </w:rPr>
      </w:pPr>
      <w:r>
        <w:rPr>
          <w:rFonts w:hint="eastAsia" w:ascii="Times New Roman" w:hAnsi="Times New Roman" w:cs="仿宋"/>
          <w:sz w:val="24"/>
        </w:rPr>
        <w:t>18.6评标委员会认为投标人的报价明显低于其他通过符合性审查投标人的报价，有可能影响产品质量或者不能诚信履约的，且投标人不能在合理的时间内提供说明，证明其报价合理性的。</w:t>
      </w:r>
    </w:p>
    <w:p w14:paraId="53185C69">
      <w:pPr>
        <w:spacing w:line="480" w:lineRule="exact"/>
        <w:ind w:firstLine="480"/>
        <w:rPr>
          <w:rFonts w:ascii="Times New Roman" w:hAnsi="Times New Roman" w:cs="仿宋"/>
          <w:sz w:val="24"/>
        </w:rPr>
      </w:pPr>
      <w:r>
        <w:rPr>
          <w:rFonts w:hint="eastAsia" w:ascii="Times New Roman" w:hAnsi="Times New Roman" w:cs="仿宋"/>
          <w:sz w:val="24"/>
        </w:rPr>
        <w:t>18.7投标文件未按照招标文件要求加盖CA电子公章的。</w:t>
      </w:r>
    </w:p>
    <w:p w14:paraId="01C5A821">
      <w:pPr>
        <w:spacing w:line="480" w:lineRule="exact"/>
        <w:ind w:firstLine="480"/>
        <w:rPr>
          <w:rFonts w:ascii="Times New Roman" w:hAnsi="Times New Roman" w:cs="仿宋"/>
          <w:sz w:val="24"/>
        </w:rPr>
      </w:pPr>
      <w:r>
        <w:rPr>
          <w:rFonts w:hint="eastAsia" w:ascii="Times New Roman" w:hAnsi="Times New Roman" w:cs="仿宋"/>
          <w:sz w:val="24"/>
        </w:rPr>
        <w:t>18.8投标人有本招标文件规定的恶意串通投标情形的。</w:t>
      </w:r>
    </w:p>
    <w:p w14:paraId="10803C1C">
      <w:pPr>
        <w:spacing w:line="480" w:lineRule="exact"/>
        <w:ind w:firstLine="480"/>
        <w:rPr>
          <w:rFonts w:ascii="Times New Roman" w:hAnsi="Times New Roman" w:cs="仿宋"/>
          <w:sz w:val="24"/>
        </w:rPr>
      </w:pPr>
      <w:r>
        <w:rPr>
          <w:rFonts w:hint="eastAsia" w:ascii="Times New Roman" w:hAnsi="Times New Roman" w:cs="仿宋"/>
          <w:sz w:val="24"/>
        </w:rPr>
        <w:t>18.9投标文件含有采购人不能接受的附加条件的。</w:t>
      </w:r>
    </w:p>
    <w:p w14:paraId="6576DDFE">
      <w:pPr>
        <w:spacing w:line="480" w:lineRule="exact"/>
        <w:ind w:firstLine="480"/>
        <w:rPr>
          <w:rFonts w:ascii="Times New Roman" w:hAnsi="Times New Roman" w:cs="仿宋"/>
          <w:sz w:val="24"/>
        </w:rPr>
      </w:pPr>
      <w:r>
        <w:rPr>
          <w:rFonts w:hint="eastAsia" w:ascii="Times New Roman" w:hAnsi="Times New Roman" w:cs="仿宋"/>
          <w:sz w:val="24"/>
        </w:rPr>
        <w:t>18.10其他法律、法规及本招标文件规定的属无效投标的情形。</w:t>
      </w:r>
    </w:p>
    <w:p w14:paraId="163CD05F">
      <w:pPr>
        <w:spacing w:line="480" w:lineRule="exact"/>
        <w:ind w:firstLine="482"/>
        <w:rPr>
          <w:rFonts w:ascii="Times New Roman" w:hAnsi="Times New Roman" w:cs="仿宋"/>
          <w:b/>
          <w:sz w:val="24"/>
        </w:rPr>
      </w:pPr>
      <w:r>
        <w:rPr>
          <w:rFonts w:hint="eastAsia" w:ascii="Times New Roman" w:hAnsi="Times New Roman" w:cs="仿宋"/>
          <w:b/>
          <w:sz w:val="24"/>
        </w:rPr>
        <w:t>19、废标情形</w:t>
      </w:r>
    </w:p>
    <w:p w14:paraId="47F062B7">
      <w:pPr>
        <w:spacing w:line="480" w:lineRule="exact"/>
        <w:ind w:firstLine="480"/>
        <w:rPr>
          <w:rFonts w:ascii="Times New Roman" w:hAnsi="Times New Roman" w:cs="仿宋"/>
          <w:sz w:val="24"/>
        </w:rPr>
      </w:pPr>
      <w:r>
        <w:rPr>
          <w:rFonts w:hint="eastAsia" w:ascii="Times New Roman" w:hAnsi="Times New Roman" w:cs="仿宋"/>
          <w:sz w:val="24"/>
        </w:rPr>
        <w:t>19.1符合专业条件的投标人或者对招标文件作实质响应的投标人不足三家的。</w:t>
      </w:r>
    </w:p>
    <w:p w14:paraId="1D996EEA">
      <w:pPr>
        <w:spacing w:line="480" w:lineRule="exact"/>
        <w:ind w:firstLine="480"/>
        <w:rPr>
          <w:rFonts w:ascii="Times New Roman" w:hAnsi="Times New Roman" w:cs="仿宋"/>
          <w:sz w:val="24"/>
        </w:rPr>
      </w:pPr>
      <w:r>
        <w:rPr>
          <w:rFonts w:hint="eastAsia" w:ascii="Times New Roman" w:hAnsi="Times New Roman" w:cs="仿宋"/>
          <w:sz w:val="24"/>
        </w:rPr>
        <w:t>19.2出现影响采购公正的违法、违规行为的。</w:t>
      </w:r>
    </w:p>
    <w:p w14:paraId="1440CAE3">
      <w:pPr>
        <w:spacing w:line="480" w:lineRule="exact"/>
        <w:ind w:firstLine="480"/>
        <w:rPr>
          <w:rFonts w:ascii="Times New Roman" w:hAnsi="Times New Roman" w:cs="仿宋"/>
          <w:sz w:val="24"/>
        </w:rPr>
      </w:pPr>
      <w:r>
        <w:rPr>
          <w:rFonts w:hint="eastAsia" w:ascii="Times New Roman" w:hAnsi="Times New Roman" w:cs="仿宋"/>
          <w:sz w:val="24"/>
        </w:rPr>
        <w:t>19.3因重大变故，采购任务取消的。</w:t>
      </w:r>
    </w:p>
    <w:p w14:paraId="5C8A7814">
      <w:pPr>
        <w:spacing w:line="480" w:lineRule="exact"/>
        <w:ind w:firstLine="480"/>
        <w:rPr>
          <w:rFonts w:ascii="Times New Roman" w:hAnsi="Times New Roman" w:cs="仿宋"/>
          <w:sz w:val="24"/>
        </w:rPr>
      </w:pPr>
      <w:r>
        <w:rPr>
          <w:rFonts w:hint="eastAsia" w:ascii="Times New Roman" w:hAnsi="Times New Roman" w:cs="仿宋"/>
          <w:sz w:val="24"/>
        </w:rPr>
        <w:t>19.4评标委员会认定招标文件存在歧义、重大缺陷导致评审工作无法进行的。</w:t>
      </w:r>
    </w:p>
    <w:p w14:paraId="684CC883">
      <w:pPr>
        <w:spacing w:line="480" w:lineRule="exact"/>
        <w:ind w:firstLine="480"/>
        <w:rPr>
          <w:rFonts w:ascii="Times New Roman" w:hAnsi="Times New Roman" w:cs="仿宋"/>
          <w:sz w:val="24"/>
        </w:rPr>
      </w:pPr>
      <w:r>
        <w:rPr>
          <w:rFonts w:hint="eastAsia" w:ascii="Times New Roman" w:hAnsi="Times New Roman" w:cs="仿宋"/>
          <w:sz w:val="24"/>
        </w:rPr>
        <w:t>19.5在“苏采云”系统规定时间内成功解密电子投标文件的投标人不足3家的。</w:t>
      </w:r>
    </w:p>
    <w:p w14:paraId="7517BFC3">
      <w:pPr>
        <w:spacing w:line="480" w:lineRule="exact"/>
        <w:ind w:firstLine="482"/>
        <w:rPr>
          <w:rFonts w:ascii="Times New Roman" w:hAnsi="Times New Roman" w:cs="仿宋"/>
          <w:b/>
          <w:sz w:val="24"/>
        </w:rPr>
      </w:pPr>
      <w:r>
        <w:rPr>
          <w:rFonts w:hint="eastAsia" w:ascii="Times New Roman" w:hAnsi="Times New Roman" w:cs="仿宋"/>
          <w:b/>
          <w:sz w:val="24"/>
        </w:rPr>
        <w:t>20、投标人不足三家情形处理</w:t>
      </w:r>
    </w:p>
    <w:p w14:paraId="32820C76">
      <w:pPr>
        <w:spacing w:line="480" w:lineRule="exact"/>
        <w:ind w:firstLine="480"/>
        <w:rPr>
          <w:rFonts w:ascii="Times New Roman" w:hAnsi="Times New Roman" w:cs="仿宋"/>
          <w:sz w:val="24"/>
        </w:rPr>
      </w:pPr>
      <w:r>
        <w:rPr>
          <w:rFonts w:hint="eastAsia" w:ascii="Times New Roman" w:hAnsi="Times New Roman" w:cs="仿宋"/>
          <w:sz w:val="24"/>
        </w:rPr>
        <w:t>投标截止后投标人不足3家或者通过资格审查或符合性审查的投标人不足3家的，除采购任务取消情形外，按财政部令第87号第四十三条条款进行处理。</w:t>
      </w:r>
    </w:p>
    <w:p w14:paraId="550BC904">
      <w:pPr>
        <w:spacing w:line="480" w:lineRule="exact"/>
        <w:ind w:firstLine="482"/>
        <w:rPr>
          <w:rFonts w:ascii="Times New Roman" w:hAnsi="Times New Roman" w:cs="仿宋"/>
          <w:b/>
          <w:sz w:val="24"/>
        </w:rPr>
      </w:pPr>
      <w:r>
        <w:rPr>
          <w:rFonts w:hint="eastAsia" w:ascii="Times New Roman" w:hAnsi="Times New Roman" w:cs="仿宋"/>
          <w:b/>
          <w:sz w:val="24"/>
        </w:rPr>
        <w:t>21、串通投标情形</w:t>
      </w:r>
    </w:p>
    <w:p w14:paraId="4FE14700">
      <w:pPr>
        <w:spacing w:line="500" w:lineRule="exact"/>
        <w:ind w:firstLine="480"/>
        <w:rPr>
          <w:rFonts w:ascii="黑体" w:hAnsi="黑体" w:eastAsia="黑体"/>
          <w:sz w:val="24"/>
        </w:rPr>
      </w:pPr>
      <w:r>
        <w:rPr>
          <w:rFonts w:hint="eastAsia" w:ascii="黑体" w:hAnsi="黑体" w:eastAsia="黑体"/>
          <w:sz w:val="24"/>
        </w:rPr>
        <w:t>有下列情形之一的，属于恶意串通投标：</w:t>
      </w:r>
    </w:p>
    <w:p w14:paraId="1533B2B5">
      <w:pPr>
        <w:spacing w:line="480" w:lineRule="exact"/>
        <w:ind w:firstLine="480"/>
        <w:rPr>
          <w:rFonts w:ascii="Times New Roman" w:hAnsi="Times New Roman" w:cs="仿宋"/>
          <w:sz w:val="24"/>
        </w:rPr>
      </w:pPr>
      <w:r>
        <w:rPr>
          <w:rFonts w:hint="eastAsia" w:ascii="Times New Roman" w:hAnsi="Times New Roman" w:cs="仿宋"/>
          <w:sz w:val="24"/>
        </w:rPr>
        <w:t>21.1供应商直接或间接从采购人或采购代理机构处获得其他供应商的投标情况，并修改其投标文件；</w:t>
      </w:r>
    </w:p>
    <w:p w14:paraId="5E902F64">
      <w:pPr>
        <w:spacing w:line="480" w:lineRule="exact"/>
        <w:ind w:firstLine="480"/>
        <w:rPr>
          <w:rFonts w:ascii="Times New Roman" w:hAnsi="Times New Roman" w:cs="仿宋"/>
          <w:sz w:val="24"/>
        </w:rPr>
      </w:pPr>
      <w:r>
        <w:rPr>
          <w:rFonts w:hint="eastAsia" w:ascii="Times New Roman" w:hAnsi="Times New Roman" w:cs="仿宋"/>
          <w:sz w:val="24"/>
        </w:rPr>
        <w:t>21.2评审活动开始前供应商直接或间接从采购人或采购代理机构处获得评标委员会组成人员情况；</w:t>
      </w:r>
    </w:p>
    <w:p w14:paraId="41AEF414">
      <w:pPr>
        <w:spacing w:line="480" w:lineRule="exact"/>
        <w:ind w:firstLine="480"/>
        <w:rPr>
          <w:rFonts w:ascii="Times New Roman" w:hAnsi="Times New Roman" w:cs="仿宋"/>
          <w:sz w:val="24"/>
        </w:rPr>
      </w:pPr>
      <w:r>
        <w:rPr>
          <w:rFonts w:hint="eastAsia" w:ascii="Times New Roman" w:hAnsi="Times New Roman" w:cs="仿宋"/>
          <w:sz w:val="24"/>
        </w:rPr>
        <w:t>21.3供应商接受采购人或采购代理机构授意撤换、修改投标文件；</w:t>
      </w:r>
    </w:p>
    <w:p w14:paraId="72CC3215">
      <w:pPr>
        <w:spacing w:line="480" w:lineRule="exact"/>
        <w:ind w:firstLine="480"/>
        <w:rPr>
          <w:rFonts w:ascii="Times New Roman" w:hAnsi="Times New Roman" w:cs="仿宋"/>
          <w:sz w:val="24"/>
        </w:rPr>
      </w:pPr>
      <w:r>
        <w:rPr>
          <w:rFonts w:hint="eastAsia" w:ascii="Times New Roman" w:hAnsi="Times New Roman" w:cs="仿宋"/>
          <w:sz w:val="24"/>
        </w:rPr>
        <w:t>21.4供应商之间协商投标报价、技术方案等投标文件实质性内容；</w:t>
      </w:r>
    </w:p>
    <w:p w14:paraId="6559F350">
      <w:pPr>
        <w:spacing w:line="480" w:lineRule="exact"/>
        <w:ind w:firstLine="480"/>
        <w:rPr>
          <w:rFonts w:ascii="Times New Roman" w:hAnsi="Times New Roman" w:cs="仿宋"/>
          <w:sz w:val="24"/>
        </w:rPr>
      </w:pPr>
      <w:r>
        <w:rPr>
          <w:rFonts w:hint="eastAsia" w:ascii="Times New Roman" w:hAnsi="Times New Roman" w:cs="仿宋"/>
          <w:sz w:val="24"/>
        </w:rPr>
        <w:t>21.5属于同一集团、协会、商会等组织成员的供应商按照该组织要求协同投标；</w:t>
      </w:r>
    </w:p>
    <w:p w14:paraId="57B6BB3E">
      <w:pPr>
        <w:spacing w:line="480" w:lineRule="exact"/>
        <w:ind w:firstLine="480"/>
        <w:rPr>
          <w:rFonts w:ascii="Times New Roman" w:hAnsi="Times New Roman" w:cs="仿宋"/>
          <w:sz w:val="24"/>
        </w:rPr>
      </w:pPr>
      <w:r>
        <w:rPr>
          <w:rFonts w:hint="eastAsia" w:ascii="Times New Roman" w:hAnsi="Times New Roman" w:cs="仿宋"/>
          <w:sz w:val="24"/>
        </w:rPr>
        <w:t>21.6供应商之间事先约定由某一特定供应商中标、成交；</w:t>
      </w:r>
    </w:p>
    <w:p w14:paraId="5850D89A">
      <w:pPr>
        <w:spacing w:line="480" w:lineRule="exact"/>
        <w:ind w:firstLine="480"/>
        <w:rPr>
          <w:rFonts w:ascii="Times New Roman" w:hAnsi="Times New Roman" w:cs="仿宋"/>
          <w:sz w:val="24"/>
        </w:rPr>
      </w:pPr>
      <w:r>
        <w:rPr>
          <w:rFonts w:hint="eastAsia" w:ascii="Times New Roman" w:hAnsi="Times New Roman" w:cs="仿宋"/>
          <w:sz w:val="24"/>
        </w:rPr>
        <w:t>21.7供应商之间商定部分供应商放弃投标或者放弃中标、成交；</w:t>
      </w:r>
    </w:p>
    <w:p w14:paraId="523E11EA">
      <w:pPr>
        <w:spacing w:line="480" w:lineRule="exact"/>
        <w:ind w:firstLine="480"/>
        <w:rPr>
          <w:rFonts w:ascii="Times New Roman" w:hAnsi="Times New Roman" w:cs="仿宋"/>
          <w:sz w:val="24"/>
        </w:rPr>
      </w:pPr>
      <w:r>
        <w:rPr>
          <w:rFonts w:hint="eastAsia" w:ascii="Times New Roman" w:hAnsi="Times New Roman" w:cs="仿宋"/>
          <w:sz w:val="24"/>
        </w:rPr>
        <w:t>21.8供应商与采购人或采购代理机构之间、供应商相互之间为谋求特定供应商中标成交或者排斥其他供应商的其他串通行为；</w:t>
      </w:r>
    </w:p>
    <w:p w14:paraId="5D11F92B">
      <w:pPr>
        <w:spacing w:line="500" w:lineRule="exact"/>
        <w:ind w:firstLine="482"/>
        <w:rPr>
          <w:rFonts w:ascii="黑体" w:hAnsi="黑体" w:eastAsia="黑体"/>
          <w:sz w:val="24"/>
        </w:rPr>
      </w:pPr>
      <w:r>
        <w:rPr>
          <w:rFonts w:hint="eastAsia" w:ascii="黑体" w:hAnsi="黑体" w:eastAsia="黑体"/>
          <w:sz w:val="24"/>
        </w:rPr>
        <w:t>有下列情形之一的，视为投标人串通投标，其投标无效：</w:t>
      </w:r>
    </w:p>
    <w:p w14:paraId="017B3ACF">
      <w:pPr>
        <w:spacing w:line="480" w:lineRule="exact"/>
        <w:ind w:firstLine="480"/>
        <w:rPr>
          <w:rFonts w:ascii="Times New Roman" w:hAnsi="Times New Roman" w:cs="仿宋"/>
          <w:sz w:val="24"/>
        </w:rPr>
      </w:pPr>
      <w:r>
        <w:rPr>
          <w:rFonts w:hint="eastAsia" w:ascii="Times New Roman" w:hAnsi="Times New Roman" w:cs="仿宋"/>
          <w:sz w:val="24"/>
        </w:rPr>
        <w:t>21.9不同投标人的投标文件由同一单位或者个人编制；</w:t>
      </w:r>
    </w:p>
    <w:p w14:paraId="73F818FC">
      <w:pPr>
        <w:spacing w:line="480" w:lineRule="exact"/>
        <w:ind w:firstLine="480"/>
        <w:rPr>
          <w:rFonts w:ascii="Times New Roman" w:hAnsi="Times New Roman" w:cs="仿宋"/>
          <w:sz w:val="24"/>
        </w:rPr>
      </w:pPr>
      <w:r>
        <w:rPr>
          <w:rFonts w:hint="eastAsia" w:ascii="Times New Roman" w:hAnsi="Times New Roman" w:cs="仿宋"/>
          <w:sz w:val="24"/>
        </w:rPr>
        <w:t>21.10不同投标人委托同一单位或者个人办理投标事宜；</w:t>
      </w:r>
    </w:p>
    <w:p w14:paraId="65394C08">
      <w:pPr>
        <w:spacing w:line="480" w:lineRule="exact"/>
        <w:ind w:firstLine="480"/>
        <w:rPr>
          <w:rFonts w:ascii="Times New Roman" w:hAnsi="Times New Roman" w:cs="仿宋"/>
          <w:sz w:val="24"/>
        </w:rPr>
      </w:pPr>
      <w:r>
        <w:rPr>
          <w:rFonts w:hint="eastAsia" w:ascii="Times New Roman" w:hAnsi="Times New Roman" w:cs="仿宋"/>
          <w:sz w:val="24"/>
        </w:rPr>
        <w:t>21.11不同投标人的投标文件载明的项目管理成员或者联系人员为同一人；</w:t>
      </w:r>
    </w:p>
    <w:p w14:paraId="266F094D">
      <w:pPr>
        <w:spacing w:line="480" w:lineRule="exact"/>
        <w:ind w:firstLine="480"/>
        <w:rPr>
          <w:rFonts w:ascii="Times New Roman" w:hAnsi="Times New Roman" w:cs="仿宋"/>
          <w:sz w:val="24"/>
        </w:rPr>
      </w:pPr>
      <w:r>
        <w:rPr>
          <w:rFonts w:hint="eastAsia" w:ascii="Times New Roman" w:hAnsi="Times New Roman" w:cs="仿宋"/>
          <w:sz w:val="24"/>
        </w:rPr>
        <w:t>21.12不同投标人的投标文件异常一致或者投标报价呈规律性差异；</w:t>
      </w:r>
    </w:p>
    <w:p w14:paraId="79B920E1">
      <w:pPr>
        <w:spacing w:line="480" w:lineRule="exact"/>
        <w:ind w:firstLine="480"/>
        <w:rPr>
          <w:rFonts w:ascii="Times New Roman" w:hAnsi="Times New Roman" w:cs="仿宋"/>
          <w:sz w:val="24"/>
        </w:rPr>
      </w:pPr>
      <w:r>
        <w:rPr>
          <w:rFonts w:hint="eastAsia" w:ascii="Times New Roman" w:hAnsi="Times New Roman" w:cs="仿宋"/>
          <w:sz w:val="24"/>
        </w:rPr>
        <w:t>21.13不同投标人的投标文件相互混装；</w:t>
      </w:r>
    </w:p>
    <w:p w14:paraId="777331B7">
      <w:pPr>
        <w:spacing w:line="480" w:lineRule="exact"/>
        <w:ind w:firstLine="480"/>
        <w:rPr>
          <w:rFonts w:ascii="Times New Roman" w:hAnsi="Times New Roman" w:cs="仿宋"/>
          <w:sz w:val="24"/>
        </w:rPr>
      </w:pPr>
      <w:r>
        <w:rPr>
          <w:rFonts w:hint="eastAsia" w:ascii="Times New Roman" w:hAnsi="Times New Roman" w:cs="仿宋"/>
          <w:sz w:val="24"/>
        </w:rPr>
        <w:t>21.14不同投标人的投标保证金从同一单位或者个人的账户转出。</w:t>
      </w:r>
    </w:p>
    <w:p w14:paraId="007B2523">
      <w:pPr>
        <w:spacing w:line="480" w:lineRule="exact"/>
        <w:ind w:firstLine="482"/>
        <w:rPr>
          <w:rFonts w:ascii="Times New Roman" w:hAnsi="Times New Roman" w:cs="仿宋"/>
          <w:b/>
          <w:sz w:val="24"/>
        </w:rPr>
      </w:pPr>
      <w:r>
        <w:rPr>
          <w:rFonts w:hint="eastAsia" w:ascii="Times New Roman" w:hAnsi="Times New Roman" w:cs="仿宋"/>
          <w:b/>
          <w:sz w:val="24"/>
        </w:rPr>
        <w:t>22、</w:t>
      </w:r>
      <w:bookmarkStart w:id="99" w:name="OLE_LINK4"/>
      <w:r>
        <w:rPr>
          <w:rFonts w:hint="eastAsia" w:ascii="Times New Roman" w:hAnsi="Times New Roman" w:cs="仿宋"/>
          <w:b/>
          <w:sz w:val="24"/>
        </w:rPr>
        <w:t>取消中标候选人资格情形</w:t>
      </w:r>
      <w:bookmarkEnd w:id="99"/>
    </w:p>
    <w:p w14:paraId="55890F32">
      <w:pPr>
        <w:spacing w:line="480" w:lineRule="exact"/>
        <w:ind w:firstLine="480"/>
        <w:rPr>
          <w:rFonts w:ascii="Times New Roman" w:hAnsi="Times New Roman" w:cs="仿宋"/>
          <w:sz w:val="24"/>
        </w:rPr>
      </w:pPr>
      <w:r>
        <w:rPr>
          <w:rFonts w:hint="eastAsia" w:ascii="Times New Roman" w:hAnsi="Times New Roman" w:cs="仿宋"/>
          <w:sz w:val="24"/>
        </w:rPr>
        <w:t>22.1提供虚假材料谋取中标的；</w:t>
      </w:r>
    </w:p>
    <w:p w14:paraId="7F5223C4">
      <w:pPr>
        <w:spacing w:line="480" w:lineRule="exact"/>
        <w:ind w:firstLine="480"/>
        <w:rPr>
          <w:rFonts w:ascii="Times New Roman" w:hAnsi="Times New Roman" w:cs="仿宋"/>
          <w:sz w:val="24"/>
        </w:rPr>
      </w:pPr>
      <w:r>
        <w:rPr>
          <w:rFonts w:hint="eastAsia" w:ascii="Times New Roman" w:hAnsi="Times New Roman" w:cs="仿宋"/>
          <w:sz w:val="24"/>
        </w:rPr>
        <w:t>22.2采取不正当手段诋毁、排挤其他投标人的；</w:t>
      </w:r>
    </w:p>
    <w:p w14:paraId="5AB2450C">
      <w:pPr>
        <w:spacing w:line="480" w:lineRule="exact"/>
        <w:ind w:firstLine="480"/>
        <w:rPr>
          <w:rFonts w:ascii="Times New Roman" w:hAnsi="Times New Roman" w:cs="仿宋"/>
          <w:sz w:val="24"/>
        </w:rPr>
      </w:pPr>
      <w:r>
        <w:rPr>
          <w:rFonts w:hint="eastAsia" w:ascii="Times New Roman" w:hAnsi="Times New Roman" w:cs="仿宋"/>
          <w:sz w:val="24"/>
        </w:rPr>
        <w:t>22.3与采购人、其他投标人或者采购代理机构恶意串通的；</w:t>
      </w:r>
    </w:p>
    <w:p w14:paraId="18AF6992">
      <w:pPr>
        <w:spacing w:line="480" w:lineRule="exact"/>
        <w:ind w:firstLine="480"/>
        <w:rPr>
          <w:rFonts w:ascii="Times New Roman" w:hAnsi="Times New Roman" w:cs="仿宋"/>
          <w:sz w:val="24"/>
        </w:rPr>
      </w:pPr>
      <w:r>
        <w:rPr>
          <w:rFonts w:hint="eastAsia" w:ascii="Times New Roman" w:hAnsi="Times New Roman" w:cs="仿宋"/>
          <w:sz w:val="24"/>
        </w:rPr>
        <w:t>22.4向采购人、采购代理机构行贿或者提供其他不正当利益的；</w:t>
      </w:r>
    </w:p>
    <w:p w14:paraId="127323CE">
      <w:pPr>
        <w:spacing w:line="480" w:lineRule="exact"/>
        <w:ind w:firstLine="480"/>
        <w:rPr>
          <w:rFonts w:ascii="Times New Roman" w:hAnsi="Times New Roman" w:cs="仿宋"/>
          <w:sz w:val="24"/>
        </w:rPr>
      </w:pPr>
      <w:r>
        <w:rPr>
          <w:rFonts w:hint="eastAsia" w:ascii="Times New Roman" w:hAnsi="Times New Roman" w:cs="仿宋"/>
          <w:sz w:val="24"/>
        </w:rPr>
        <w:t>22.5未在规定时间内与采购人签订采购合同的；</w:t>
      </w:r>
    </w:p>
    <w:p w14:paraId="155E2195">
      <w:pPr>
        <w:spacing w:line="480" w:lineRule="exact"/>
        <w:ind w:firstLine="480"/>
        <w:rPr>
          <w:rFonts w:ascii="Times New Roman" w:hAnsi="Times New Roman" w:cs="仿宋"/>
          <w:sz w:val="24"/>
        </w:rPr>
      </w:pPr>
      <w:r>
        <w:rPr>
          <w:rFonts w:hint="eastAsia" w:ascii="Times New Roman" w:hAnsi="Times New Roman" w:cs="仿宋"/>
          <w:sz w:val="24"/>
        </w:rPr>
        <w:t>22.6法律、法规规定的其它情况。</w:t>
      </w:r>
      <w:bookmarkStart w:id="100" w:name="_Toc81575198"/>
      <w:bookmarkStart w:id="101" w:name="_Toc2391"/>
      <w:bookmarkStart w:id="102" w:name="_Toc81575161"/>
      <w:bookmarkStart w:id="103" w:name="_Toc6494"/>
    </w:p>
    <w:p w14:paraId="2F908D1F">
      <w:pPr>
        <w:spacing w:line="480" w:lineRule="exact"/>
        <w:ind w:firstLine="321"/>
        <w:outlineLvl w:val="1"/>
        <w:rPr>
          <w:rFonts w:ascii="Arial" w:hAnsi="Arial" w:cs="Arial"/>
          <w:b/>
          <w:bCs/>
          <w:sz w:val="32"/>
        </w:rPr>
      </w:pPr>
      <w:r>
        <w:rPr>
          <w:rFonts w:hint="eastAsia" w:ascii="Arial" w:hAnsi="Arial" w:cs="Arial"/>
          <w:b/>
          <w:bCs/>
          <w:sz w:val="32"/>
        </w:rPr>
        <w:t>七、中标及合同签订</w:t>
      </w:r>
      <w:bookmarkEnd w:id="100"/>
      <w:bookmarkEnd w:id="101"/>
      <w:bookmarkEnd w:id="102"/>
      <w:bookmarkEnd w:id="103"/>
    </w:p>
    <w:p w14:paraId="5F903EE9">
      <w:pPr>
        <w:spacing w:line="500" w:lineRule="exact"/>
        <w:ind w:firstLine="482"/>
        <w:rPr>
          <w:rFonts w:ascii="Times New Roman" w:hAnsi="Times New Roman" w:cs="仿宋"/>
          <w:b/>
          <w:sz w:val="24"/>
        </w:rPr>
      </w:pPr>
      <w:r>
        <w:rPr>
          <w:rFonts w:hint="eastAsia" w:ascii="Times New Roman" w:hAnsi="Times New Roman" w:cs="仿宋"/>
          <w:b/>
          <w:sz w:val="24"/>
        </w:rPr>
        <w:t>23、确定中标人</w:t>
      </w:r>
    </w:p>
    <w:p w14:paraId="04945350">
      <w:pPr>
        <w:spacing w:line="480" w:lineRule="exact"/>
        <w:ind w:firstLine="480"/>
        <w:rPr>
          <w:rFonts w:ascii="Times New Roman" w:hAnsi="Times New Roman" w:cs="仿宋"/>
          <w:sz w:val="24"/>
        </w:rPr>
      </w:pPr>
      <w:r>
        <w:rPr>
          <w:rFonts w:hint="eastAsia" w:ascii="Times New Roman" w:hAnsi="Times New Roman" w:cs="仿宋"/>
          <w:sz w:val="24"/>
        </w:rPr>
        <w:t>23.1采购人应当自收到评审报告之日起5个工作日内在评审报告推荐的中标候选人中按顺序确定中标人。</w:t>
      </w:r>
    </w:p>
    <w:p w14:paraId="4F2514BE">
      <w:pPr>
        <w:spacing w:line="480" w:lineRule="exact"/>
        <w:ind w:firstLine="480"/>
        <w:rPr>
          <w:rFonts w:ascii="Times New Roman" w:hAnsi="Times New Roman" w:cs="仿宋"/>
          <w:sz w:val="24"/>
        </w:rPr>
      </w:pPr>
      <w:r>
        <w:rPr>
          <w:rFonts w:hint="eastAsia" w:ascii="Times New Roman" w:hAnsi="Times New Roman" w:cs="仿宋"/>
          <w:sz w:val="24"/>
        </w:rPr>
        <w:t>23.2中标人确定之日起2个工作日内，采购人、采购代理机构将发布中标结果，中标公告的公告期限为1个工作日。</w:t>
      </w:r>
    </w:p>
    <w:p w14:paraId="549F6E98">
      <w:pPr>
        <w:spacing w:line="480" w:lineRule="exact"/>
        <w:ind w:firstLine="480"/>
        <w:rPr>
          <w:rFonts w:ascii="Times New Roman" w:hAnsi="Times New Roman" w:cs="仿宋"/>
          <w:sz w:val="24"/>
        </w:rPr>
      </w:pPr>
      <w:r>
        <w:rPr>
          <w:rFonts w:hint="eastAsia" w:ascii="Times New Roman" w:hAnsi="Times New Roman" w:cs="仿宋"/>
          <w:sz w:val="24"/>
        </w:rPr>
        <w:t>23.3采购人确定正被列为失信被执行人的投标人为中标人的，中标结果无效。</w:t>
      </w:r>
    </w:p>
    <w:p w14:paraId="565B35BD">
      <w:pPr>
        <w:spacing w:line="500" w:lineRule="exact"/>
        <w:ind w:firstLine="482"/>
        <w:rPr>
          <w:rFonts w:ascii="Times New Roman" w:hAnsi="Times New Roman" w:cs="仿宋"/>
          <w:b/>
          <w:sz w:val="24"/>
        </w:rPr>
      </w:pPr>
      <w:r>
        <w:rPr>
          <w:rFonts w:hint="eastAsia" w:ascii="Times New Roman" w:hAnsi="Times New Roman" w:cs="仿宋"/>
          <w:b/>
          <w:sz w:val="24"/>
        </w:rPr>
        <w:t>24、中标通知书</w:t>
      </w:r>
    </w:p>
    <w:p w14:paraId="36B2C764">
      <w:pPr>
        <w:spacing w:line="480" w:lineRule="exact"/>
        <w:ind w:firstLine="480"/>
        <w:rPr>
          <w:rFonts w:ascii="Times New Roman" w:hAnsi="Times New Roman" w:cs="仿宋"/>
          <w:sz w:val="24"/>
        </w:rPr>
      </w:pPr>
      <w:r>
        <w:rPr>
          <w:rFonts w:hint="eastAsia" w:ascii="Times New Roman" w:hAnsi="Times New Roman" w:cs="仿宋"/>
          <w:sz w:val="24"/>
        </w:rPr>
        <w:t>24.1在公告中标结果的同时，采购代理机构将向中标人发出中标通知书。中标人使用CA数字证书登录“苏采云”系统及时下载中标通知书。</w:t>
      </w:r>
    </w:p>
    <w:p w14:paraId="4C8C25AA">
      <w:pPr>
        <w:spacing w:line="480" w:lineRule="exact"/>
        <w:ind w:firstLine="480"/>
        <w:rPr>
          <w:rFonts w:ascii="Times New Roman" w:hAnsi="Times New Roman" w:cs="仿宋"/>
          <w:sz w:val="24"/>
        </w:rPr>
      </w:pPr>
      <w:r>
        <w:rPr>
          <w:rFonts w:hint="eastAsia" w:ascii="Times New Roman" w:hAnsi="Times New Roman" w:cs="仿宋"/>
          <w:sz w:val="24"/>
        </w:rPr>
        <w:t>24.2中标通知书发出后，采购人改变中标结果的，或者中标人放弃中标项目的，应当依法承担法律责任。</w:t>
      </w:r>
    </w:p>
    <w:p w14:paraId="09F8EC3E">
      <w:pPr>
        <w:spacing w:line="480" w:lineRule="exact"/>
        <w:ind w:firstLine="480"/>
        <w:rPr>
          <w:rFonts w:ascii="Times New Roman" w:hAnsi="Times New Roman" w:cs="仿宋"/>
          <w:sz w:val="24"/>
        </w:rPr>
      </w:pPr>
      <w:r>
        <w:rPr>
          <w:rFonts w:hint="eastAsia" w:ascii="Times New Roman" w:hAnsi="Times New Roman" w:cs="仿宋"/>
          <w:sz w:val="24"/>
        </w:rPr>
        <w:t>24.3采用综合评分法评审的，未中标人可于中标结果公告期限届满之日起通过“苏采云”系统查看</w:t>
      </w:r>
      <w:bookmarkStart w:id="104" w:name="OLE_LINK5"/>
      <w:r>
        <w:rPr>
          <w:rFonts w:hint="eastAsia" w:ascii="Times New Roman" w:hAnsi="Times New Roman" w:cs="仿宋"/>
          <w:sz w:val="24"/>
        </w:rPr>
        <w:t>自己的评审得分及排序情况。</w:t>
      </w:r>
      <w:bookmarkEnd w:id="104"/>
    </w:p>
    <w:p w14:paraId="14766E36">
      <w:pPr>
        <w:spacing w:line="500" w:lineRule="exact"/>
        <w:ind w:firstLine="482"/>
        <w:rPr>
          <w:rFonts w:ascii="Times New Roman" w:hAnsi="Times New Roman" w:cs="仿宋"/>
          <w:b/>
          <w:sz w:val="24"/>
        </w:rPr>
      </w:pPr>
      <w:r>
        <w:rPr>
          <w:rFonts w:hint="eastAsia" w:ascii="Times New Roman" w:hAnsi="Times New Roman" w:cs="仿宋"/>
          <w:b/>
          <w:sz w:val="24"/>
        </w:rPr>
        <w:t>25、授予合同</w:t>
      </w:r>
    </w:p>
    <w:p w14:paraId="7AD53195">
      <w:pPr>
        <w:spacing w:line="480" w:lineRule="exact"/>
        <w:ind w:firstLine="480"/>
        <w:rPr>
          <w:rFonts w:ascii="Times New Roman" w:hAnsi="Times New Roman" w:cs="仿宋"/>
          <w:sz w:val="24"/>
        </w:rPr>
      </w:pPr>
      <w:r>
        <w:rPr>
          <w:rFonts w:hint="eastAsia" w:ascii="Times New Roman" w:hAnsi="Times New Roman" w:cs="仿宋"/>
          <w:sz w:val="24"/>
        </w:rPr>
        <w:t>25.1采购人与中标人应当在中标通知书发出之日起15日内签订政府采购合同。招标文件、中标人的投标文件以及评标过程中有关澄清文件均作为合同附件。</w:t>
      </w:r>
    </w:p>
    <w:p w14:paraId="090310B2">
      <w:pPr>
        <w:spacing w:line="480" w:lineRule="exact"/>
        <w:ind w:firstLine="480"/>
        <w:rPr>
          <w:rFonts w:ascii="Times New Roman" w:hAnsi="Times New Roman" w:cs="仿宋"/>
          <w:sz w:val="24"/>
        </w:rPr>
      </w:pPr>
      <w:r>
        <w:rPr>
          <w:rFonts w:hint="eastAsia" w:ascii="Times New Roman" w:hAnsi="Times New Roman" w:cs="仿宋"/>
          <w:sz w:val="24"/>
        </w:rPr>
        <w:t>25.2采购人在自合同签订之日起2个工作日内，将合同在指定的媒体上公告。</w:t>
      </w:r>
    </w:p>
    <w:p w14:paraId="20085139">
      <w:pPr>
        <w:spacing w:line="480" w:lineRule="exact"/>
        <w:ind w:firstLine="482"/>
        <w:rPr>
          <w:rFonts w:ascii="Times New Roman" w:hAnsi="Times New Roman" w:cs="仿宋"/>
          <w:b/>
          <w:sz w:val="24"/>
        </w:rPr>
      </w:pPr>
      <w:r>
        <w:rPr>
          <w:rFonts w:hint="eastAsia" w:ascii="Times New Roman" w:hAnsi="Times New Roman" w:cs="仿宋"/>
          <w:b/>
          <w:sz w:val="24"/>
        </w:rPr>
        <w:t>26、履约保证金</w:t>
      </w:r>
    </w:p>
    <w:p w14:paraId="5472785B">
      <w:pPr>
        <w:spacing w:line="480" w:lineRule="exact"/>
        <w:ind w:firstLine="480"/>
        <w:rPr>
          <w:rFonts w:ascii="Times New Roman" w:hAnsi="Times New Roman" w:cs="仿宋"/>
          <w:sz w:val="24"/>
          <w:lang w:val="zh-CN"/>
        </w:rPr>
      </w:pPr>
      <w:r>
        <w:rPr>
          <w:rFonts w:hint="eastAsia" w:ascii="Times New Roman" w:hAnsi="Times New Roman" w:cs="仿宋"/>
          <w:sz w:val="24"/>
          <w:lang w:val="zh-CN"/>
        </w:rPr>
        <w:t>按照以下第</w:t>
      </w:r>
      <w:r>
        <w:rPr>
          <w:rFonts w:hint="eastAsia" w:ascii="Times New Roman" w:hAnsi="Times New Roman" w:cs="仿宋"/>
          <w:b/>
          <w:bCs/>
          <w:sz w:val="24"/>
          <w:u w:val="single"/>
        </w:rPr>
        <w:t>（1）</w:t>
      </w:r>
      <w:r>
        <w:rPr>
          <w:rFonts w:hint="eastAsia" w:ascii="Times New Roman" w:hAnsi="Times New Roman" w:cs="仿宋"/>
          <w:sz w:val="24"/>
          <w:lang w:val="zh-CN"/>
        </w:rPr>
        <w:t>方式确定履约保证</w:t>
      </w:r>
      <w:r>
        <w:rPr>
          <w:rFonts w:hint="eastAsia" w:ascii="Times New Roman" w:hAnsi="Times New Roman" w:cs="仿宋"/>
          <w:sz w:val="24"/>
        </w:rPr>
        <w:t>金</w:t>
      </w:r>
      <w:r>
        <w:rPr>
          <w:rFonts w:hint="eastAsia" w:ascii="Times New Roman" w:hAnsi="Times New Roman" w:cs="仿宋"/>
          <w:sz w:val="24"/>
          <w:lang w:val="zh-CN"/>
        </w:rPr>
        <w:t>收取方式。</w:t>
      </w:r>
    </w:p>
    <w:p w14:paraId="36F0DD71">
      <w:pPr>
        <w:spacing w:line="480" w:lineRule="exact"/>
        <w:ind w:firstLine="480"/>
        <w:rPr>
          <w:rFonts w:ascii="Times New Roman" w:hAnsi="Times New Roman" w:cs="仿宋"/>
          <w:sz w:val="24"/>
        </w:rPr>
      </w:pPr>
      <w:r>
        <w:rPr>
          <w:rFonts w:hint="eastAsia" w:ascii="Times New Roman" w:hAnsi="Times New Roman" w:cs="仿宋"/>
          <w:sz w:val="24"/>
        </w:rPr>
        <w:t>（1）本项目不收取履约保证金。</w:t>
      </w:r>
    </w:p>
    <w:p w14:paraId="4E5BAC57">
      <w:pPr>
        <w:spacing w:line="480" w:lineRule="exact"/>
        <w:ind w:firstLine="480"/>
        <w:rPr>
          <w:rFonts w:ascii="Times New Roman" w:hAnsi="Times New Roman" w:cs="仿宋"/>
          <w:sz w:val="24"/>
        </w:rPr>
      </w:pPr>
      <w:r>
        <w:rPr>
          <w:rFonts w:hint="eastAsia" w:ascii="Times New Roman" w:hAnsi="Times New Roman" w:cs="仿宋"/>
          <w:sz w:val="24"/>
        </w:rPr>
        <w:t>（2）本项目收取履约保证金。</w:t>
      </w:r>
    </w:p>
    <w:p w14:paraId="3EB51AB6">
      <w:pPr>
        <w:spacing w:line="480" w:lineRule="exact"/>
        <w:ind w:firstLine="480"/>
        <w:rPr>
          <w:rFonts w:ascii="Times New Roman" w:hAnsi="Times New Roman" w:cs="仿宋"/>
          <w:sz w:val="24"/>
        </w:rPr>
      </w:pPr>
      <w:r>
        <w:rPr>
          <w:rFonts w:hint="eastAsia" w:ascii="Times New Roman" w:hAnsi="Times New Roman" w:cs="仿宋"/>
          <w:sz w:val="24"/>
        </w:rPr>
        <w:t>26.1履约保证金提交形式</w:t>
      </w:r>
    </w:p>
    <w:p w14:paraId="11F92E06">
      <w:pPr>
        <w:spacing w:line="480" w:lineRule="exact"/>
        <w:ind w:firstLine="480"/>
        <w:rPr>
          <w:rFonts w:ascii="Times New Roman" w:hAnsi="Times New Roman" w:cs="仿宋"/>
          <w:sz w:val="24"/>
        </w:rPr>
      </w:pPr>
      <w:r>
        <w:rPr>
          <w:rFonts w:hint="eastAsia" w:ascii="Times New Roman" w:hAnsi="Times New Roman" w:cs="仿宋"/>
          <w:sz w:val="24"/>
        </w:rPr>
        <w:t>履约保证金应在采购合同签订前提交，除银行电汇、网上银行、数字人民币外，投标人还可选用银行保函、担保公司的保证担保或保险公司的保证保险等多种形式向采购人缴纳。</w:t>
      </w:r>
    </w:p>
    <w:p w14:paraId="67D69CCA">
      <w:pPr>
        <w:spacing w:line="480" w:lineRule="exact"/>
        <w:ind w:firstLine="480"/>
        <w:rPr>
          <w:rFonts w:ascii="Times New Roman" w:hAnsi="Times New Roman" w:cs="仿宋"/>
          <w:sz w:val="24"/>
        </w:rPr>
      </w:pPr>
      <w:r>
        <w:rPr>
          <w:rFonts w:hint="eastAsia" w:ascii="Times New Roman" w:hAnsi="Times New Roman" w:cs="仿宋"/>
          <w:sz w:val="24"/>
        </w:rPr>
        <w:t>26.2履约保证金提交金额</w:t>
      </w:r>
    </w:p>
    <w:p w14:paraId="6AC4CD53">
      <w:pPr>
        <w:spacing w:line="480" w:lineRule="exact"/>
        <w:ind w:firstLine="480"/>
        <w:rPr>
          <w:rFonts w:ascii="Times New Roman" w:hAnsi="Times New Roman" w:cs="仿宋"/>
          <w:sz w:val="24"/>
        </w:rPr>
      </w:pPr>
      <w:r>
        <w:rPr>
          <w:rFonts w:hint="eastAsia" w:ascii="Times New Roman" w:hAnsi="Times New Roman" w:cs="仿宋"/>
          <w:sz w:val="24"/>
        </w:rPr>
        <w:t>按采购合同总价的</w:t>
      </w:r>
      <w:r>
        <w:rPr>
          <w:rFonts w:hint="eastAsia" w:ascii="Times New Roman" w:hAnsi="Times New Roman" w:cs="仿宋"/>
          <w:sz w:val="24"/>
          <w:u w:val="single"/>
        </w:rPr>
        <w:t xml:space="preserve"> / </w:t>
      </w:r>
      <w:r>
        <w:rPr>
          <w:rFonts w:hint="eastAsia" w:ascii="Times New Roman" w:hAnsi="Times New Roman" w:cs="仿宋"/>
          <w:sz w:val="24"/>
        </w:rPr>
        <w:t>%提交。</w:t>
      </w:r>
    </w:p>
    <w:p w14:paraId="5A6CE93F">
      <w:pPr>
        <w:spacing w:line="480" w:lineRule="exact"/>
        <w:ind w:firstLine="480"/>
        <w:rPr>
          <w:rFonts w:ascii="Times New Roman" w:hAnsi="Times New Roman" w:cs="仿宋"/>
          <w:sz w:val="24"/>
        </w:rPr>
      </w:pPr>
      <w:r>
        <w:rPr>
          <w:rFonts w:hint="eastAsia" w:ascii="Times New Roman" w:hAnsi="Times New Roman" w:cs="仿宋"/>
          <w:sz w:val="24"/>
        </w:rPr>
        <w:t>支持和鼓励投标人使用江苏政府采购电子履约保函（保险）代替缴纳履约保证金，投标人如使用江苏政府采购电子履约保函（保险）的，可按采购合同总价的</w:t>
      </w:r>
      <w:r>
        <w:rPr>
          <w:rFonts w:hint="eastAsia" w:ascii="Times New Roman" w:hAnsi="Times New Roman" w:cs="仿宋"/>
          <w:sz w:val="24"/>
          <w:u w:val="single"/>
        </w:rPr>
        <w:t xml:space="preserve"> /</w:t>
      </w:r>
      <w:r>
        <w:rPr>
          <w:rFonts w:hint="eastAsia" w:ascii="Times New Roman" w:hAnsi="Times New Roman" w:cs="仿宋"/>
          <w:sz w:val="24"/>
        </w:rPr>
        <w:t xml:space="preserve"> %（履约保证金原提交金额的6折）提交。办理流程、偿付等内容见江苏政府采购网“保险保函”模块。</w:t>
      </w:r>
    </w:p>
    <w:p w14:paraId="384A2D0F">
      <w:pPr>
        <w:spacing w:line="480" w:lineRule="exact"/>
        <w:ind w:firstLine="480"/>
        <w:rPr>
          <w:rFonts w:ascii="Times New Roman" w:hAnsi="Times New Roman" w:cs="仿宋"/>
          <w:sz w:val="24"/>
        </w:rPr>
      </w:pPr>
      <w:r>
        <w:rPr>
          <w:rFonts w:hint="eastAsia" w:ascii="Times New Roman" w:hAnsi="Times New Roman" w:cs="仿宋"/>
          <w:sz w:val="24"/>
        </w:rPr>
        <w:t>26.3履约保证金退还方式</w:t>
      </w:r>
    </w:p>
    <w:p w14:paraId="4DFD51DA">
      <w:pPr>
        <w:spacing w:line="480" w:lineRule="exact"/>
        <w:ind w:firstLine="480"/>
        <w:rPr>
          <w:rFonts w:ascii="Times New Roman" w:hAnsi="Times New Roman" w:cs="仿宋"/>
          <w:sz w:val="24"/>
        </w:rPr>
      </w:pPr>
      <w:r>
        <w:rPr>
          <w:rFonts w:hint="eastAsia" w:ascii="Times New Roman" w:hAnsi="Times New Roman" w:cs="仿宋"/>
          <w:sz w:val="24"/>
        </w:rPr>
        <w:t>以银行电汇、网上银行、数字人民币形式缴纳履约保证金的，退回至投标人存款账户或数字人民币账户；以保函、担保、保险等形式缴纳履约保证金的，在保函、担保、保险约定的保证期限届满之日起自行失效。</w:t>
      </w:r>
    </w:p>
    <w:p w14:paraId="25693623">
      <w:pPr>
        <w:spacing w:line="480" w:lineRule="exact"/>
        <w:ind w:firstLine="480"/>
        <w:rPr>
          <w:rFonts w:ascii="Times New Roman" w:hAnsi="Times New Roman" w:cs="仿宋"/>
          <w:sz w:val="24"/>
        </w:rPr>
      </w:pPr>
      <w:r>
        <w:rPr>
          <w:rFonts w:hint="eastAsia" w:ascii="Times New Roman" w:hAnsi="Times New Roman" w:cs="仿宋"/>
          <w:sz w:val="24"/>
        </w:rPr>
        <w:t>26.4履约保证金退还条件</w:t>
      </w:r>
    </w:p>
    <w:p w14:paraId="07032FF6">
      <w:pPr>
        <w:spacing w:line="480" w:lineRule="exact"/>
        <w:ind w:firstLine="480"/>
        <w:rPr>
          <w:rFonts w:ascii="Times New Roman" w:hAnsi="Times New Roman" w:cs="仿宋"/>
          <w:sz w:val="24"/>
        </w:rPr>
      </w:pPr>
      <w:r>
        <w:rPr>
          <w:rFonts w:hint="eastAsia" w:ascii="Times New Roman" w:hAnsi="Times New Roman" w:cs="仿宋"/>
          <w:sz w:val="24"/>
        </w:rPr>
        <w:t>具有验收合格相关证明材料。</w:t>
      </w:r>
    </w:p>
    <w:p w14:paraId="2272CC6D">
      <w:pPr>
        <w:spacing w:line="480" w:lineRule="exact"/>
        <w:ind w:firstLine="480"/>
        <w:rPr>
          <w:rFonts w:ascii="Times New Roman" w:hAnsi="Times New Roman" w:cs="仿宋"/>
          <w:sz w:val="24"/>
        </w:rPr>
      </w:pPr>
      <w:r>
        <w:rPr>
          <w:rFonts w:hint="eastAsia" w:ascii="Times New Roman" w:hAnsi="Times New Roman" w:cs="仿宋"/>
          <w:sz w:val="24"/>
        </w:rPr>
        <w:t>26.5履约保证金退还时间</w:t>
      </w:r>
    </w:p>
    <w:p w14:paraId="01F53F70">
      <w:pPr>
        <w:spacing w:line="480" w:lineRule="exact"/>
        <w:ind w:firstLine="480"/>
        <w:rPr>
          <w:rFonts w:ascii="Times New Roman" w:hAnsi="Times New Roman" w:cs="仿宋"/>
          <w:sz w:val="24"/>
        </w:rPr>
      </w:pPr>
      <w:r>
        <w:rPr>
          <w:rFonts w:hint="eastAsia" w:ascii="Times New Roman" w:hAnsi="Times New Roman" w:cs="仿宋"/>
          <w:sz w:val="24"/>
        </w:rPr>
        <w:t>采购人收到投标人退付申请后5个工作日内退还。</w:t>
      </w:r>
    </w:p>
    <w:p w14:paraId="00019DCE">
      <w:pPr>
        <w:spacing w:line="480" w:lineRule="exact"/>
        <w:ind w:firstLine="480"/>
        <w:rPr>
          <w:rFonts w:ascii="Times New Roman" w:hAnsi="Times New Roman" w:cs="仿宋"/>
          <w:sz w:val="24"/>
        </w:rPr>
      </w:pPr>
      <w:r>
        <w:rPr>
          <w:rFonts w:hint="eastAsia" w:ascii="Times New Roman" w:hAnsi="Times New Roman" w:cs="仿宋"/>
          <w:sz w:val="24"/>
        </w:rPr>
        <w:t>26.6履约保证金不予退还情形</w:t>
      </w:r>
    </w:p>
    <w:p w14:paraId="79C6B688">
      <w:pPr>
        <w:spacing w:line="480" w:lineRule="exact"/>
        <w:ind w:firstLine="480"/>
        <w:rPr>
          <w:rFonts w:ascii="Times New Roman" w:hAnsi="Times New Roman" w:cs="仿宋"/>
          <w:sz w:val="24"/>
        </w:rPr>
      </w:pPr>
      <w:r>
        <w:rPr>
          <w:rFonts w:hint="eastAsia" w:ascii="Times New Roman" w:hAnsi="Times New Roman" w:cs="仿宋"/>
          <w:sz w:val="24"/>
        </w:rPr>
        <w:t>除不可抗力外，中标人不履行与采购人订立的采购合同的，履约保证金不予退还，给采购人造成的损失超过履约保证金数额的，还应对超过部分予以赔偿。</w:t>
      </w:r>
    </w:p>
    <w:p w14:paraId="082D6115">
      <w:pPr>
        <w:spacing w:line="480" w:lineRule="exact"/>
        <w:ind w:firstLine="480"/>
        <w:rPr>
          <w:rFonts w:ascii="Times New Roman" w:hAnsi="Times New Roman" w:cs="仿宋"/>
          <w:sz w:val="24"/>
        </w:rPr>
      </w:pPr>
      <w:r>
        <w:rPr>
          <w:rFonts w:hint="eastAsia" w:ascii="Times New Roman" w:hAnsi="Times New Roman" w:cs="仿宋"/>
          <w:sz w:val="24"/>
        </w:rPr>
        <w:t>26.7逾期退还履约保证金违约责任</w:t>
      </w:r>
    </w:p>
    <w:p w14:paraId="254D03CE">
      <w:pPr>
        <w:spacing w:line="480" w:lineRule="exact"/>
        <w:ind w:firstLine="480"/>
        <w:rPr>
          <w:rFonts w:ascii="Times New Roman" w:hAnsi="Times New Roman" w:cs="仿宋"/>
          <w:sz w:val="24"/>
        </w:rPr>
      </w:pPr>
      <w:r>
        <w:rPr>
          <w:rFonts w:hint="eastAsia" w:ascii="Times New Roman" w:hAnsi="Times New Roman" w:cs="仿宋"/>
          <w:sz w:val="24"/>
        </w:rPr>
        <w:t>采购人逾期退还履约保证金的，除应退还履约保证金外，还应按中国人民银行同期贷款基准利率上浮20％后的利率支付超期资金占用费，但因投标人自身原因导致无法及时退还的除外。</w:t>
      </w:r>
    </w:p>
    <w:p w14:paraId="1DA36333">
      <w:pPr>
        <w:spacing w:line="480" w:lineRule="exact"/>
        <w:ind w:firstLine="482"/>
        <w:rPr>
          <w:rFonts w:ascii="Times New Roman" w:hAnsi="Times New Roman" w:cs="仿宋"/>
          <w:b/>
          <w:bCs/>
          <w:sz w:val="24"/>
          <w:szCs w:val="24"/>
        </w:rPr>
      </w:pPr>
      <w:r>
        <w:rPr>
          <w:rFonts w:hint="eastAsia" w:ascii="Times New Roman" w:hAnsi="Times New Roman" w:cs="仿宋"/>
          <w:b/>
          <w:sz w:val="24"/>
        </w:rPr>
        <w:t>27、线上融资</w:t>
      </w:r>
    </w:p>
    <w:p w14:paraId="4BE442EC">
      <w:pPr>
        <w:spacing w:line="480" w:lineRule="exact"/>
        <w:ind w:firstLine="480"/>
        <w:rPr>
          <w:rFonts w:ascii="Times New Roman" w:hAnsi="Times New Roman" w:cs="仿宋"/>
          <w:b/>
          <w:bCs/>
          <w:sz w:val="24"/>
          <w:szCs w:val="24"/>
        </w:rPr>
      </w:pPr>
      <w:r>
        <w:rPr>
          <w:rFonts w:hint="eastAsia" w:ascii="宋体" w:hAnsi="宋体"/>
          <w:bCs/>
          <w:sz w:val="24"/>
          <w:szCs w:val="24"/>
        </w:rPr>
        <w:t>中标人可凭政府采购合同办理融资贷款，详情见江苏政府采购网“政采贷”专栏。</w:t>
      </w:r>
    </w:p>
    <w:p w14:paraId="39B05D42">
      <w:pPr>
        <w:spacing w:line="480" w:lineRule="exact"/>
        <w:ind w:firstLine="482"/>
        <w:rPr>
          <w:rFonts w:ascii="Times New Roman" w:hAnsi="Times New Roman" w:cs="仿宋"/>
          <w:sz w:val="24"/>
        </w:rPr>
      </w:pPr>
      <w:r>
        <w:rPr>
          <w:rFonts w:hint="eastAsia" w:ascii="Times New Roman" w:hAnsi="Times New Roman" w:cs="仿宋"/>
          <w:b/>
          <w:sz w:val="24"/>
        </w:rPr>
        <w:t>28、合同履行</w:t>
      </w:r>
    </w:p>
    <w:p w14:paraId="2E2AA22F">
      <w:pPr>
        <w:spacing w:line="480" w:lineRule="exact"/>
        <w:ind w:firstLine="480"/>
        <w:rPr>
          <w:rFonts w:ascii="Times New Roman" w:hAnsi="Times New Roman" w:cs="仿宋"/>
          <w:sz w:val="24"/>
        </w:rPr>
      </w:pPr>
      <w:r>
        <w:rPr>
          <w:rFonts w:hint="eastAsia" w:ascii="Times New Roman" w:hAnsi="Times New Roman" w:cs="仿宋"/>
          <w:sz w:val="24"/>
        </w:rPr>
        <w:t>28.1政府采购合同订立后，合同各方不得擅自变更、中止或者终止合同。</w:t>
      </w:r>
    </w:p>
    <w:p w14:paraId="59250C0D">
      <w:pPr>
        <w:spacing w:line="480" w:lineRule="exact"/>
        <w:ind w:firstLine="480"/>
        <w:rPr>
          <w:rFonts w:ascii="Times New Roman" w:hAnsi="Times New Roman" w:cs="仿宋"/>
          <w:sz w:val="24"/>
        </w:rPr>
      </w:pPr>
      <w:r>
        <w:rPr>
          <w:rFonts w:hint="eastAsia" w:ascii="Times New Roman" w:hAnsi="Times New Roman" w:cs="仿宋"/>
          <w:sz w:val="24"/>
        </w:rPr>
        <w:t>28.2政府采购合同履行中，采购人需追加与合同标的相同的货物、工程或者服务的，在不改变合同其他条款的前提下，可以与中标人签订补充合同，但所补充合同的采购金额不得超过原采购金额的10%。</w:t>
      </w:r>
    </w:p>
    <w:p w14:paraId="3E2E4CC8">
      <w:pPr>
        <w:pStyle w:val="77"/>
        <w:spacing w:before="0" w:after="0" w:line="520" w:lineRule="exact"/>
        <w:rPr>
          <w:rFonts w:eastAsia="宋体" w:cs="Arial"/>
          <w:bCs/>
          <w:szCs w:val="22"/>
        </w:rPr>
      </w:pPr>
      <w:bookmarkStart w:id="105" w:name="_Toc7550"/>
      <w:bookmarkStart w:id="106" w:name="_Toc22084"/>
      <w:bookmarkStart w:id="107" w:name="_Toc81575162"/>
      <w:bookmarkStart w:id="108" w:name="_Toc81575199"/>
      <w:r>
        <w:rPr>
          <w:rFonts w:hint="eastAsia" w:eastAsia="宋体" w:cs="Arial"/>
          <w:bCs/>
          <w:szCs w:val="22"/>
        </w:rPr>
        <w:t>八、</w:t>
      </w:r>
      <w:bookmarkEnd w:id="105"/>
      <w:bookmarkEnd w:id="106"/>
      <w:bookmarkEnd w:id="107"/>
      <w:bookmarkEnd w:id="108"/>
      <w:bookmarkStart w:id="109" w:name="_Toc12263"/>
      <w:bookmarkStart w:id="110" w:name="_Toc81575200"/>
      <w:bookmarkStart w:id="111" w:name="_Toc31888"/>
      <w:bookmarkStart w:id="112" w:name="_Toc81575163"/>
      <w:r>
        <w:rPr>
          <w:rFonts w:hint="eastAsia" w:eastAsia="宋体" w:cs="Arial"/>
          <w:bCs/>
          <w:szCs w:val="22"/>
        </w:rPr>
        <w:t>质疑与投诉</w:t>
      </w:r>
      <w:bookmarkEnd w:id="109"/>
      <w:bookmarkEnd w:id="110"/>
      <w:bookmarkEnd w:id="111"/>
      <w:bookmarkEnd w:id="112"/>
    </w:p>
    <w:p w14:paraId="255A6B1C">
      <w:pPr>
        <w:spacing w:line="480" w:lineRule="exact"/>
        <w:ind w:firstLine="482"/>
        <w:rPr>
          <w:rFonts w:ascii="Times New Roman" w:hAnsi="Times New Roman" w:cs="仿宋"/>
          <w:b/>
          <w:sz w:val="24"/>
        </w:rPr>
      </w:pPr>
      <w:r>
        <w:rPr>
          <w:rFonts w:hint="eastAsia" w:ascii="Times New Roman" w:hAnsi="Times New Roman" w:cs="仿宋"/>
          <w:b/>
          <w:sz w:val="24"/>
        </w:rPr>
        <w:t>29、质疑</w:t>
      </w:r>
    </w:p>
    <w:p w14:paraId="1CD4912A">
      <w:pPr>
        <w:spacing w:line="480" w:lineRule="exact"/>
        <w:ind w:firstLine="480"/>
        <w:rPr>
          <w:color w:val="000000"/>
          <w:sz w:val="24"/>
          <w:szCs w:val="24"/>
        </w:rPr>
      </w:pPr>
      <w:r>
        <w:rPr>
          <w:rFonts w:hint="eastAsia" w:ascii="Times New Roman" w:hAnsi="Times New Roman" w:cs="仿宋"/>
          <w:sz w:val="24"/>
        </w:rPr>
        <w:t>29.1供应商认为采购文件、采购过程和中标结果使自己的权益受到损害的，可以在知道或者应知其权益受到损害之日起七个工作日内，</w:t>
      </w:r>
      <w:r>
        <w:rPr>
          <w:rFonts w:hint="eastAsia"/>
          <w:color w:val="000000"/>
          <w:sz w:val="24"/>
          <w:szCs w:val="24"/>
        </w:rPr>
        <w:t>采购代理机构或采购人提出质疑。</w:t>
      </w:r>
    </w:p>
    <w:p w14:paraId="780C8841">
      <w:pPr>
        <w:spacing w:line="560" w:lineRule="exact"/>
        <w:ind w:firstLine="480"/>
        <w:rPr>
          <w:color w:val="000000"/>
          <w:sz w:val="24"/>
          <w:szCs w:val="24"/>
        </w:rPr>
      </w:pPr>
      <w:r>
        <w:rPr>
          <w:rFonts w:hint="eastAsia"/>
          <w:color w:val="000000"/>
          <w:sz w:val="24"/>
          <w:szCs w:val="24"/>
        </w:rPr>
        <w:t>接收质疑函的方式：现场接收或邮寄接收。</w:t>
      </w:r>
    </w:p>
    <w:p w14:paraId="7F4B029B">
      <w:pPr>
        <w:spacing w:line="560" w:lineRule="exact"/>
        <w:ind w:firstLine="480"/>
        <w:rPr>
          <w:color w:val="000000"/>
          <w:sz w:val="24"/>
          <w:szCs w:val="24"/>
          <w:u w:val="single"/>
        </w:rPr>
      </w:pPr>
      <w:r>
        <w:rPr>
          <w:rFonts w:hint="eastAsia"/>
          <w:color w:val="000000"/>
          <w:sz w:val="24"/>
          <w:szCs w:val="24"/>
        </w:rPr>
        <w:t>联系部门：</w:t>
      </w:r>
      <w:r>
        <w:rPr>
          <w:rFonts w:hint="eastAsia"/>
          <w:color w:val="000000"/>
          <w:sz w:val="24"/>
          <w:szCs w:val="24"/>
          <w:u w:val="single"/>
        </w:rPr>
        <w:t>宿迁市宿城生态环境局、江苏宏邦工程管理咨询有限公司</w:t>
      </w:r>
    </w:p>
    <w:p w14:paraId="0136C1CA">
      <w:pPr>
        <w:spacing w:line="560" w:lineRule="exact"/>
        <w:ind w:firstLine="480"/>
        <w:rPr>
          <w:rFonts w:hint="eastAsia"/>
          <w:color w:val="000000"/>
          <w:sz w:val="24"/>
          <w:szCs w:val="24"/>
          <w:u w:val="single"/>
        </w:rPr>
      </w:pPr>
      <w:r>
        <w:rPr>
          <w:rFonts w:hint="eastAsia"/>
          <w:color w:val="000000"/>
          <w:sz w:val="24"/>
          <w:szCs w:val="24"/>
        </w:rPr>
        <w:t>联系电话：</w:t>
      </w:r>
      <w:r>
        <w:rPr>
          <w:rFonts w:hint="eastAsia"/>
          <w:color w:val="000000"/>
          <w:sz w:val="24"/>
          <w:szCs w:val="24"/>
          <w:u w:val="single"/>
        </w:rPr>
        <w:t>0527-88858966</w:t>
      </w:r>
    </w:p>
    <w:p w14:paraId="21D6BB28">
      <w:pPr>
        <w:spacing w:line="560" w:lineRule="exact"/>
        <w:ind w:firstLine="480"/>
        <w:rPr>
          <w:rFonts w:ascii="宋体" w:hAnsi="宋体"/>
          <w:sz w:val="24"/>
          <w:szCs w:val="24"/>
          <w:u w:val="single"/>
        </w:rPr>
      </w:pPr>
      <w:r>
        <w:rPr>
          <w:rFonts w:hint="eastAsia"/>
          <w:color w:val="000000"/>
          <w:sz w:val="24"/>
          <w:szCs w:val="24"/>
        </w:rPr>
        <w:t>通讯地址：</w:t>
      </w:r>
      <w:r>
        <w:rPr>
          <w:rFonts w:hint="eastAsia" w:ascii="宋体" w:hAnsi="宋体"/>
          <w:color w:val="000000"/>
          <w:sz w:val="24"/>
          <w:szCs w:val="24"/>
          <w:u w:val="single"/>
        </w:rPr>
        <w:t>宿迁市宿城区商务大厦7楼</w:t>
      </w:r>
      <w:r>
        <w:rPr>
          <w:rFonts w:hint="eastAsia"/>
          <w:color w:val="000000"/>
          <w:sz w:val="24"/>
          <w:szCs w:val="24"/>
          <w:u w:val="single"/>
        </w:rPr>
        <w:t>、</w:t>
      </w:r>
      <w:r>
        <w:rPr>
          <w:rFonts w:hint="eastAsia" w:ascii="宋体" w:hAnsi="宋体"/>
          <w:sz w:val="24"/>
          <w:szCs w:val="24"/>
          <w:u w:val="single"/>
        </w:rPr>
        <w:t>宿迁市宿城区凯琳瑞百货大楼10楼</w:t>
      </w:r>
    </w:p>
    <w:p w14:paraId="63FE147C">
      <w:pPr>
        <w:spacing w:line="560" w:lineRule="exact"/>
        <w:ind w:firstLine="480"/>
        <w:rPr>
          <w:rFonts w:ascii="Times New Roman" w:hAnsi="Times New Roman" w:cs="仿宋"/>
          <w:sz w:val="24"/>
        </w:rPr>
      </w:pPr>
      <w:r>
        <w:rPr>
          <w:rFonts w:hint="eastAsia" w:ascii="Times New Roman" w:hAnsi="Times New Roman" w:cs="仿宋"/>
          <w:sz w:val="24"/>
        </w:rPr>
        <w:t>29.2供应商应知其权益受到损害之日，是指：</w:t>
      </w:r>
    </w:p>
    <w:p w14:paraId="53E6420A">
      <w:pPr>
        <w:spacing w:line="480" w:lineRule="exact"/>
        <w:ind w:firstLine="480"/>
        <w:rPr>
          <w:rFonts w:ascii="Times New Roman" w:hAnsi="Times New Roman" w:cs="仿宋"/>
          <w:sz w:val="24"/>
        </w:rPr>
      </w:pPr>
      <w:r>
        <w:rPr>
          <w:rFonts w:hint="eastAsia" w:ascii="Times New Roman" w:hAnsi="Times New Roman" w:cs="仿宋"/>
          <w:sz w:val="24"/>
        </w:rPr>
        <w:t>（1）对本项目采购文件提出质疑的，为获取采购文件之日或者采购文件公告期限届满之日；</w:t>
      </w:r>
    </w:p>
    <w:p w14:paraId="3FF2DF86">
      <w:pPr>
        <w:spacing w:line="480" w:lineRule="exact"/>
        <w:ind w:firstLine="480"/>
        <w:rPr>
          <w:rFonts w:ascii="Times New Roman" w:hAnsi="Times New Roman" w:cs="仿宋"/>
          <w:sz w:val="24"/>
        </w:rPr>
      </w:pPr>
      <w:r>
        <w:rPr>
          <w:rFonts w:hint="eastAsia" w:ascii="Times New Roman" w:hAnsi="Times New Roman" w:cs="仿宋"/>
          <w:sz w:val="24"/>
        </w:rPr>
        <w:t>（2）对本项目采购过程提出质疑的，为各采购程序环节结束之日；</w:t>
      </w:r>
    </w:p>
    <w:p w14:paraId="4F7789D4">
      <w:pPr>
        <w:spacing w:line="480" w:lineRule="exact"/>
        <w:ind w:firstLine="480"/>
        <w:rPr>
          <w:rFonts w:ascii="Times New Roman" w:hAnsi="Times New Roman" w:cs="仿宋"/>
          <w:sz w:val="24"/>
        </w:rPr>
      </w:pPr>
      <w:r>
        <w:rPr>
          <w:rFonts w:hint="eastAsia" w:ascii="Times New Roman" w:hAnsi="Times New Roman" w:cs="仿宋"/>
          <w:sz w:val="24"/>
        </w:rPr>
        <w:t>（3）对本项目中标结果提出质疑的，为中标结果公告期限届满之日。</w:t>
      </w:r>
    </w:p>
    <w:p w14:paraId="52AAC8F8">
      <w:pPr>
        <w:spacing w:line="480" w:lineRule="exact"/>
        <w:ind w:firstLine="480"/>
        <w:rPr>
          <w:rFonts w:ascii="Times New Roman" w:hAnsi="Times New Roman" w:cs="仿宋"/>
          <w:sz w:val="24"/>
        </w:rPr>
      </w:pPr>
      <w:r>
        <w:rPr>
          <w:rFonts w:hint="eastAsia" w:ascii="Times New Roman" w:hAnsi="Times New Roman" w:cs="仿宋"/>
          <w:sz w:val="24"/>
        </w:rPr>
        <w:t>29.3质疑供应商应当是参与所质疑项目采购活动的供应商。潜在供应商已依法获取其可质疑的采购文件的，方可对该文件提出质疑。供应商在法定质疑期内应一次性提出针对同一采购程序环节的质疑。</w:t>
      </w:r>
    </w:p>
    <w:p w14:paraId="76E72D59">
      <w:pPr>
        <w:spacing w:line="480" w:lineRule="exact"/>
        <w:ind w:firstLine="480"/>
        <w:rPr>
          <w:rFonts w:ascii="Times New Roman" w:hAnsi="Times New Roman" w:cs="仿宋"/>
          <w:sz w:val="24"/>
        </w:rPr>
      </w:pPr>
      <w:r>
        <w:rPr>
          <w:rFonts w:hint="eastAsia" w:ascii="Times New Roman" w:hAnsi="Times New Roman" w:cs="仿宋"/>
          <w:sz w:val="24"/>
        </w:rPr>
        <w:t>29.4供应商提出质疑应当提交质疑函和必要的证明材料。质疑函的必备内容：</w:t>
      </w:r>
    </w:p>
    <w:p w14:paraId="1117A9F4">
      <w:pPr>
        <w:spacing w:line="480" w:lineRule="exact"/>
        <w:ind w:firstLine="480"/>
        <w:rPr>
          <w:rFonts w:ascii="Times New Roman" w:hAnsi="Times New Roman" w:cs="仿宋"/>
          <w:sz w:val="24"/>
        </w:rPr>
      </w:pPr>
      <w:r>
        <w:rPr>
          <w:rFonts w:hint="eastAsia" w:ascii="Times New Roman" w:hAnsi="Times New Roman" w:cs="仿宋"/>
          <w:sz w:val="24"/>
        </w:rPr>
        <w:t>（1）供应商的姓名或者名称、地址、邮编、联系人及联系电话；</w:t>
      </w:r>
    </w:p>
    <w:p w14:paraId="2DE2B054">
      <w:pPr>
        <w:spacing w:line="480" w:lineRule="exact"/>
        <w:ind w:firstLine="480"/>
        <w:rPr>
          <w:rFonts w:ascii="Times New Roman" w:hAnsi="Times New Roman" w:cs="仿宋"/>
          <w:sz w:val="24"/>
        </w:rPr>
      </w:pPr>
      <w:r>
        <w:rPr>
          <w:rFonts w:hint="eastAsia" w:ascii="Times New Roman" w:hAnsi="Times New Roman" w:cs="仿宋"/>
          <w:sz w:val="24"/>
        </w:rPr>
        <w:t>（2）质疑项目的名称、编号；</w:t>
      </w:r>
    </w:p>
    <w:p w14:paraId="3CE427F2">
      <w:pPr>
        <w:spacing w:line="480" w:lineRule="exact"/>
        <w:ind w:firstLine="480"/>
        <w:rPr>
          <w:rFonts w:ascii="Times New Roman" w:hAnsi="Times New Roman" w:cs="仿宋"/>
          <w:sz w:val="24"/>
        </w:rPr>
      </w:pPr>
      <w:r>
        <w:rPr>
          <w:rFonts w:hint="eastAsia" w:ascii="Times New Roman" w:hAnsi="Times New Roman" w:cs="仿宋"/>
          <w:sz w:val="24"/>
        </w:rPr>
        <w:t>（3）获取采购文件的时间；</w:t>
      </w:r>
    </w:p>
    <w:p w14:paraId="2D450D7E">
      <w:pPr>
        <w:spacing w:line="480" w:lineRule="exact"/>
        <w:ind w:firstLine="480"/>
        <w:rPr>
          <w:rFonts w:ascii="Times New Roman" w:hAnsi="Times New Roman" w:cs="仿宋"/>
          <w:sz w:val="24"/>
        </w:rPr>
      </w:pPr>
      <w:r>
        <w:rPr>
          <w:rFonts w:hint="eastAsia" w:ascii="Times New Roman" w:hAnsi="Times New Roman" w:cs="仿宋"/>
          <w:sz w:val="24"/>
        </w:rPr>
        <w:t>（4）具体、明确的质疑事项和质疑事项相关的请求；</w:t>
      </w:r>
    </w:p>
    <w:p w14:paraId="67382B88">
      <w:pPr>
        <w:spacing w:line="480" w:lineRule="exact"/>
        <w:ind w:firstLine="480"/>
        <w:rPr>
          <w:rFonts w:ascii="Times New Roman" w:hAnsi="Times New Roman" w:cs="仿宋"/>
          <w:sz w:val="24"/>
        </w:rPr>
      </w:pPr>
      <w:r>
        <w:rPr>
          <w:rFonts w:hint="eastAsia" w:ascii="Times New Roman" w:hAnsi="Times New Roman" w:cs="仿宋"/>
          <w:sz w:val="24"/>
        </w:rPr>
        <w:t>（5）事实依据；</w:t>
      </w:r>
    </w:p>
    <w:p w14:paraId="1EE907EA">
      <w:pPr>
        <w:spacing w:line="480" w:lineRule="exact"/>
        <w:ind w:firstLine="480"/>
        <w:rPr>
          <w:rFonts w:ascii="Times New Roman" w:hAnsi="Times New Roman" w:cs="仿宋"/>
          <w:sz w:val="24"/>
        </w:rPr>
      </w:pPr>
      <w:r>
        <w:rPr>
          <w:rFonts w:hint="eastAsia" w:ascii="Times New Roman" w:hAnsi="Times New Roman" w:cs="仿宋"/>
          <w:sz w:val="24"/>
        </w:rPr>
        <w:t>（6）必要的法律依据；</w:t>
      </w:r>
    </w:p>
    <w:p w14:paraId="4B5FCFBF">
      <w:pPr>
        <w:spacing w:line="480" w:lineRule="exact"/>
        <w:ind w:firstLine="480"/>
        <w:rPr>
          <w:rFonts w:ascii="Times New Roman" w:hAnsi="Times New Roman" w:cs="仿宋"/>
          <w:sz w:val="24"/>
        </w:rPr>
      </w:pPr>
      <w:r>
        <w:rPr>
          <w:rFonts w:hint="eastAsia" w:ascii="Times New Roman" w:hAnsi="Times New Roman" w:cs="仿宋"/>
          <w:sz w:val="24"/>
        </w:rPr>
        <w:t>（7）提出质疑的日期；</w:t>
      </w:r>
    </w:p>
    <w:p w14:paraId="3991FC3D">
      <w:pPr>
        <w:spacing w:line="480" w:lineRule="exact"/>
        <w:ind w:firstLine="480"/>
        <w:rPr>
          <w:rFonts w:ascii="Times New Roman" w:hAnsi="Times New Roman" w:cs="仿宋"/>
          <w:sz w:val="24"/>
        </w:rPr>
      </w:pPr>
      <w:r>
        <w:rPr>
          <w:rFonts w:hint="eastAsia" w:ascii="Times New Roman" w:hAnsi="Times New Roman" w:cs="仿宋"/>
          <w:sz w:val="24"/>
        </w:rPr>
        <w:t>（8）供应商为自然人的，由本人签字；供应商为法人或者其他组织的，应当由法定代表人、主要负责人，或者其授权代表签字或者盖章，并加盖公章；</w:t>
      </w:r>
    </w:p>
    <w:p w14:paraId="30F21BC1">
      <w:pPr>
        <w:spacing w:line="480" w:lineRule="exact"/>
        <w:ind w:firstLine="480"/>
        <w:rPr>
          <w:rFonts w:ascii="Times New Roman" w:hAnsi="Times New Roman" w:cs="仿宋"/>
          <w:sz w:val="24"/>
        </w:rPr>
      </w:pPr>
      <w:r>
        <w:rPr>
          <w:rFonts w:hint="eastAsia" w:ascii="Times New Roman" w:hAnsi="Times New Roman" w:cs="仿宋"/>
          <w:sz w:val="24"/>
        </w:rPr>
        <w:t>（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p>
    <w:p w14:paraId="1B78FBB2">
      <w:pPr>
        <w:spacing w:line="480" w:lineRule="exact"/>
        <w:ind w:firstLine="480"/>
        <w:rPr>
          <w:rFonts w:ascii="Times New Roman" w:hAnsi="Times New Roman" w:cs="仿宋"/>
          <w:sz w:val="24"/>
        </w:rPr>
      </w:pPr>
      <w:r>
        <w:rPr>
          <w:rFonts w:hint="eastAsia" w:ascii="Times New Roman" w:hAnsi="Times New Roman" w:cs="仿宋"/>
          <w:sz w:val="24"/>
        </w:rPr>
        <w:t>29.5采购人在收到质疑函后7个工作日内作出答复，并以书面形式通知质疑供应商和其他有关供应商，但质疑答复的内容不涉及商业秘密。</w:t>
      </w:r>
    </w:p>
    <w:p w14:paraId="27160DFB">
      <w:pPr>
        <w:spacing w:line="480" w:lineRule="exact"/>
        <w:ind w:firstLine="482"/>
        <w:rPr>
          <w:rFonts w:ascii="Times New Roman" w:hAnsi="Times New Roman" w:cs="仿宋"/>
          <w:b/>
          <w:sz w:val="24"/>
        </w:rPr>
      </w:pPr>
      <w:r>
        <w:rPr>
          <w:rFonts w:hint="eastAsia" w:ascii="Times New Roman" w:hAnsi="Times New Roman" w:cs="仿宋"/>
          <w:b/>
          <w:sz w:val="24"/>
        </w:rPr>
        <w:t>30、投诉</w:t>
      </w:r>
    </w:p>
    <w:p w14:paraId="16D9DCB6">
      <w:pPr>
        <w:spacing w:line="480" w:lineRule="exact"/>
        <w:ind w:firstLine="480"/>
        <w:rPr>
          <w:rFonts w:ascii="Times New Roman" w:hAnsi="Times New Roman" w:cs="仿宋"/>
          <w:sz w:val="24"/>
        </w:rPr>
      </w:pPr>
      <w:r>
        <w:rPr>
          <w:rFonts w:hint="eastAsia" w:ascii="Times New Roman" w:hAnsi="Times New Roman" w:cs="仿宋"/>
          <w:sz w:val="24"/>
        </w:rPr>
        <w:t>质疑供应商对答复不满意或采购人、采购代理机构未在规定时间内作出答复的，可在答复期满后15个工作日内向同级财政部门提起投诉。</w:t>
      </w:r>
    </w:p>
    <w:p w14:paraId="056B9B36">
      <w:pPr>
        <w:pStyle w:val="76"/>
        <w:spacing w:before="200"/>
        <w:jc w:val="center"/>
      </w:pPr>
      <w:bookmarkStart w:id="113" w:name="EB4d341233595e4bf8ad7006b4bd78d974"/>
      <w:bookmarkEnd w:id="113"/>
      <w:bookmarkStart w:id="114" w:name="_Toc81575201"/>
      <w:bookmarkStart w:id="115" w:name="_Toc81575164"/>
      <w:bookmarkStart w:id="116" w:name="_Hlk166141273"/>
      <w:r>
        <w:rPr>
          <w:rFonts w:hint="eastAsia"/>
        </w:rPr>
        <w:br w:type="page" w:clear="all"/>
      </w:r>
      <w:bookmarkStart w:id="117" w:name="_Toc23386"/>
      <w:r>
        <w:rPr>
          <w:rFonts w:hint="eastAsia" w:ascii="Calibri" w:hAnsi="Calibri" w:eastAsia="宋体" w:cs="Times New Roman"/>
          <w:b/>
          <w:sz w:val="44"/>
          <w:szCs w:val="44"/>
        </w:rPr>
        <w:t>第三章  资格审查及评标</w:t>
      </w:r>
      <w:bookmarkEnd w:id="114"/>
      <w:bookmarkEnd w:id="115"/>
      <w:r>
        <w:rPr>
          <w:rFonts w:hint="eastAsia" w:ascii="Calibri" w:hAnsi="Calibri" w:eastAsia="宋体" w:cs="Times New Roman"/>
          <w:b/>
          <w:sz w:val="44"/>
          <w:szCs w:val="44"/>
        </w:rPr>
        <w:t>方法</w:t>
      </w:r>
      <w:bookmarkEnd w:id="117"/>
    </w:p>
    <w:p w14:paraId="6B509918">
      <w:pPr>
        <w:spacing w:line="480" w:lineRule="exact"/>
        <w:ind w:firstLine="482"/>
        <w:jc w:val="left"/>
        <w:rPr>
          <w:rFonts w:ascii="Times New Roman" w:hAnsi="Times New Roman" w:cs="仿宋"/>
          <w:b/>
          <w:bCs/>
          <w:sz w:val="24"/>
        </w:rPr>
      </w:pPr>
      <w:r>
        <w:rPr>
          <w:rFonts w:hint="eastAsia" w:ascii="Times New Roman" w:hAnsi="Times New Roman" w:cs="仿宋"/>
          <w:b/>
          <w:bCs/>
          <w:sz w:val="24"/>
        </w:rPr>
        <w:t>一、资格审查</w:t>
      </w:r>
    </w:p>
    <w:p w14:paraId="1B9C65A6">
      <w:pPr>
        <w:spacing w:line="480" w:lineRule="exact"/>
        <w:ind w:firstLine="480"/>
        <w:jc w:val="left"/>
        <w:rPr>
          <w:rFonts w:ascii="Times New Roman" w:hAnsi="Times New Roman" w:cs="仿宋"/>
          <w:sz w:val="24"/>
        </w:rPr>
      </w:pPr>
      <w:r>
        <w:rPr>
          <w:rFonts w:hint="eastAsia"/>
          <w:sz w:val="24"/>
          <w:szCs w:val="28"/>
        </w:rPr>
        <w:t>资格审查人员按照下列指标对各投标人的资格进行审查，未通过审查的为无效标，不参与评标。</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7"/>
        <w:gridCol w:w="4587"/>
      </w:tblGrid>
      <w:tr w14:paraId="320DD8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2DFC4E61">
            <w:pPr>
              <w:spacing w:line="480" w:lineRule="exact"/>
              <w:jc w:val="center"/>
              <w:rPr>
                <w:rFonts w:ascii="Times New Roman" w:hAnsi="Times New Roman" w:cs="仿宋"/>
              </w:rPr>
            </w:pPr>
            <w:r>
              <w:rPr>
                <w:rFonts w:hint="eastAsia" w:ascii="Times New Roman" w:hAnsi="Times New Roman" w:cs="仿宋"/>
              </w:rPr>
              <w:t>资格审查因素</w:t>
            </w:r>
          </w:p>
        </w:tc>
        <w:tc>
          <w:tcPr>
            <w:tcW w:w="4587" w:type="dxa"/>
            <w:vAlign w:val="center"/>
          </w:tcPr>
          <w:p w14:paraId="141AE750">
            <w:pPr>
              <w:spacing w:line="480" w:lineRule="exact"/>
              <w:jc w:val="center"/>
              <w:rPr>
                <w:rFonts w:ascii="Times New Roman" w:hAnsi="Times New Roman" w:cs="仿宋"/>
              </w:rPr>
            </w:pPr>
            <w:r>
              <w:rPr>
                <w:rFonts w:hint="eastAsia" w:ascii="Times New Roman" w:hAnsi="Times New Roman" w:cs="仿宋"/>
              </w:rPr>
              <w:t>审查标准</w:t>
            </w:r>
          </w:p>
        </w:tc>
      </w:tr>
      <w:tr w14:paraId="1C20CB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06F0018E">
            <w:pPr>
              <w:spacing w:line="480" w:lineRule="exact"/>
              <w:jc w:val="center"/>
              <w:rPr>
                <w:rFonts w:ascii="Times New Roman" w:hAnsi="Times New Roman" w:cs="仿宋"/>
              </w:rPr>
            </w:pPr>
            <w:r>
              <w:rPr>
                <w:rFonts w:hint="eastAsia" w:ascii="Times New Roman" w:hAnsi="Times New Roman" w:cs="仿宋"/>
              </w:rPr>
              <w:t>投标声明及承诺函</w:t>
            </w:r>
          </w:p>
        </w:tc>
        <w:tc>
          <w:tcPr>
            <w:tcW w:w="4587" w:type="dxa"/>
            <w:vAlign w:val="center"/>
          </w:tcPr>
          <w:p w14:paraId="2E301F0D">
            <w:pPr>
              <w:spacing w:line="480" w:lineRule="exact"/>
              <w:jc w:val="center"/>
              <w:rPr>
                <w:rFonts w:ascii="Times New Roman" w:hAnsi="Times New Roman" w:cs="仿宋"/>
              </w:rPr>
            </w:pPr>
            <w:r>
              <w:rPr>
                <w:rFonts w:hint="eastAsia" w:ascii="Times New Roman" w:hAnsi="Times New Roman" w:cs="仿宋"/>
              </w:rPr>
              <w:t>符合招标文件要求</w:t>
            </w:r>
          </w:p>
        </w:tc>
      </w:tr>
      <w:tr w14:paraId="43D327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2D0BFAA5">
            <w:pPr>
              <w:spacing w:line="480" w:lineRule="exact"/>
              <w:jc w:val="center"/>
              <w:rPr>
                <w:rFonts w:ascii="Times New Roman" w:hAnsi="Times New Roman" w:cs="仿宋"/>
              </w:rPr>
            </w:pPr>
            <w:r>
              <w:rPr>
                <w:rFonts w:hint="eastAsia" w:ascii="Times New Roman" w:hAnsi="Times New Roman" w:cs="仿宋"/>
              </w:rPr>
              <w:t>信用信息</w:t>
            </w:r>
          </w:p>
        </w:tc>
        <w:tc>
          <w:tcPr>
            <w:tcW w:w="4587" w:type="dxa"/>
            <w:vAlign w:val="center"/>
          </w:tcPr>
          <w:p w14:paraId="712D2D00">
            <w:pPr>
              <w:spacing w:line="480" w:lineRule="exact"/>
              <w:jc w:val="center"/>
              <w:rPr>
                <w:rFonts w:ascii="Times New Roman" w:hAnsi="Times New Roman" w:cs="仿宋"/>
              </w:rPr>
            </w:pPr>
            <w:r>
              <w:rPr>
                <w:rFonts w:hint="eastAsia" w:ascii="Times New Roman" w:hAnsi="Times New Roman" w:cs="仿宋"/>
              </w:rPr>
              <w:t>符合招标文件要求</w:t>
            </w:r>
          </w:p>
        </w:tc>
      </w:tr>
      <w:tr w14:paraId="7F37DE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32536E96">
            <w:pPr>
              <w:spacing w:line="400" w:lineRule="exact"/>
              <w:jc w:val="center"/>
              <w:rPr>
                <w:rFonts w:ascii="Times New Roman" w:hAnsi="Times New Roman" w:cs="仿宋"/>
              </w:rPr>
            </w:pPr>
            <w:r>
              <w:rPr>
                <w:rFonts w:hint="eastAsia" w:ascii="Times New Roman" w:hAnsi="Times New Roman" w:cs="仿宋"/>
              </w:rPr>
              <w:t>中小企业或残疾人福利性单位声明函，或监狱企业证明文件</w:t>
            </w:r>
          </w:p>
        </w:tc>
        <w:tc>
          <w:tcPr>
            <w:tcW w:w="4587" w:type="dxa"/>
            <w:vAlign w:val="center"/>
          </w:tcPr>
          <w:p w14:paraId="4114C864">
            <w:pPr>
              <w:spacing w:line="400" w:lineRule="exact"/>
              <w:jc w:val="center"/>
              <w:rPr>
                <w:rFonts w:ascii="Times New Roman" w:hAnsi="Times New Roman" w:cs="仿宋"/>
              </w:rPr>
            </w:pPr>
            <w:r>
              <w:rPr>
                <w:rFonts w:hint="eastAsia" w:ascii="Times New Roman" w:hAnsi="Times New Roman" w:cs="仿宋"/>
              </w:rPr>
              <w:t>符合招标文件要求</w:t>
            </w:r>
          </w:p>
        </w:tc>
      </w:tr>
      <w:tr w14:paraId="3518B6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5F97DF43">
            <w:pPr>
              <w:spacing w:line="480" w:lineRule="exact"/>
              <w:jc w:val="center"/>
              <w:rPr>
                <w:rFonts w:ascii="Times New Roman" w:hAnsi="Times New Roman" w:cs="仿宋"/>
              </w:rPr>
            </w:pPr>
            <w:r>
              <w:rPr>
                <w:rFonts w:hint="eastAsia" w:ascii="Times New Roman" w:hAnsi="Times New Roman" w:cs="仿宋"/>
              </w:rPr>
              <w:t>资格审查因素</w:t>
            </w:r>
          </w:p>
        </w:tc>
        <w:tc>
          <w:tcPr>
            <w:tcW w:w="4587" w:type="dxa"/>
            <w:vAlign w:val="center"/>
          </w:tcPr>
          <w:p w14:paraId="4AA838EF">
            <w:pPr>
              <w:spacing w:line="480" w:lineRule="exact"/>
              <w:jc w:val="center"/>
              <w:rPr>
                <w:rFonts w:ascii="Times New Roman" w:hAnsi="Times New Roman" w:cs="仿宋"/>
              </w:rPr>
            </w:pPr>
            <w:r>
              <w:rPr>
                <w:rFonts w:hint="eastAsia" w:ascii="Times New Roman" w:hAnsi="Times New Roman" w:cs="仿宋"/>
              </w:rPr>
              <w:t>审查标准</w:t>
            </w:r>
          </w:p>
        </w:tc>
      </w:tr>
    </w:tbl>
    <w:p w14:paraId="2423FB61">
      <w:pPr>
        <w:spacing w:line="480" w:lineRule="exact"/>
        <w:ind w:firstLine="482"/>
        <w:jc w:val="left"/>
        <w:rPr>
          <w:rFonts w:ascii="Times New Roman" w:hAnsi="Times New Roman" w:cs="仿宋"/>
          <w:b/>
          <w:bCs/>
          <w:sz w:val="24"/>
        </w:rPr>
      </w:pPr>
      <w:r>
        <w:rPr>
          <w:rFonts w:hint="eastAsia" w:ascii="Times New Roman" w:hAnsi="Times New Roman" w:cs="仿宋"/>
          <w:b/>
          <w:bCs/>
          <w:sz w:val="24"/>
        </w:rPr>
        <w:t>二、符合性审查</w:t>
      </w:r>
    </w:p>
    <w:p w14:paraId="2E9ECA15">
      <w:pPr>
        <w:spacing w:line="480" w:lineRule="exact"/>
        <w:ind w:firstLine="480"/>
        <w:jc w:val="left"/>
        <w:rPr>
          <w:rFonts w:ascii="方正仿宋_GBK" w:eastAsia="方正仿宋_GBK"/>
          <w:sz w:val="24"/>
        </w:rPr>
      </w:pPr>
      <w:r>
        <w:rPr>
          <w:rFonts w:hint="eastAsia"/>
          <w:sz w:val="24"/>
          <w:szCs w:val="28"/>
        </w:rPr>
        <w:t>评标委员会对符合资格的投标人的投标文件进行符合性审查，未通过审查的为无效标，不再参与评审。</w:t>
      </w:r>
    </w:p>
    <w:tbl>
      <w:tblPr>
        <w:tblStyle w:val="3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587"/>
        <w:gridCol w:w="4587"/>
      </w:tblGrid>
      <w:tr w14:paraId="5E2F1B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415A9919">
            <w:pPr>
              <w:spacing w:line="480" w:lineRule="exact"/>
              <w:jc w:val="center"/>
              <w:rPr>
                <w:rFonts w:ascii="Times New Roman" w:hAnsi="Times New Roman" w:cs="仿宋"/>
              </w:rPr>
            </w:pPr>
            <w:r>
              <w:rPr>
                <w:rFonts w:hint="eastAsia" w:ascii="Times New Roman" w:hAnsi="Times New Roman" w:cs="仿宋"/>
              </w:rPr>
              <w:t>符合性审查因素</w:t>
            </w:r>
          </w:p>
        </w:tc>
        <w:tc>
          <w:tcPr>
            <w:tcW w:w="4587" w:type="dxa"/>
            <w:vAlign w:val="center"/>
          </w:tcPr>
          <w:p w14:paraId="32B7C548">
            <w:pPr>
              <w:spacing w:line="480" w:lineRule="exact"/>
              <w:jc w:val="center"/>
              <w:rPr>
                <w:rFonts w:ascii="Times New Roman" w:hAnsi="Times New Roman" w:cs="仿宋"/>
              </w:rPr>
            </w:pPr>
            <w:r>
              <w:rPr>
                <w:rFonts w:hint="eastAsia" w:ascii="Times New Roman" w:hAnsi="Times New Roman" w:cs="仿宋"/>
              </w:rPr>
              <w:t>审查标准</w:t>
            </w:r>
          </w:p>
        </w:tc>
      </w:tr>
      <w:tr w14:paraId="3F4C3B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658F4644">
            <w:pPr>
              <w:spacing w:line="480" w:lineRule="exact"/>
              <w:jc w:val="center"/>
              <w:rPr>
                <w:rFonts w:ascii="Times New Roman" w:hAnsi="Times New Roman" w:cs="仿宋"/>
              </w:rPr>
            </w:pPr>
            <w:r>
              <w:rPr>
                <w:rFonts w:hint="eastAsia" w:ascii="Times New Roman" w:hAnsi="Times New Roman" w:cs="仿宋"/>
              </w:rPr>
              <w:t>法人授权书</w:t>
            </w:r>
          </w:p>
        </w:tc>
        <w:tc>
          <w:tcPr>
            <w:tcW w:w="4587" w:type="dxa"/>
            <w:vAlign w:val="center"/>
          </w:tcPr>
          <w:p w14:paraId="4A8BCA9F">
            <w:pPr>
              <w:spacing w:line="480" w:lineRule="exact"/>
              <w:jc w:val="center"/>
              <w:rPr>
                <w:rFonts w:ascii="Times New Roman" w:hAnsi="Times New Roman" w:cs="仿宋"/>
              </w:rPr>
            </w:pPr>
            <w:r>
              <w:rPr>
                <w:rFonts w:hint="eastAsia" w:ascii="Times New Roman" w:hAnsi="Times New Roman" w:cs="仿宋"/>
              </w:rPr>
              <w:t>符合招标文件要求</w:t>
            </w:r>
          </w:p>
        </w:tc>
      </w:tr>
      <w:tr w14:paraId="29AFF8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587" w:type="dxa"/>
            <w:vAlign w:val="center"/>
          </w:tcPr>
          <w:p w14:paraId="2CE0CC41">
            <w:pPr>
              <w:spacing w:line="480" w:lineRule="exact"/>
              <w:jc w:val="center"/>
              <w:rPr>
                <w:rFonts w:ascii="Times New Roman" w:hAnsi="Times New Roman" w:cs="仿宋"/>
              </w:rPr>
            </w:pPr>
            <w:r>
              <w:rPr>
                <w:rFonts w:hint="eastAsia" w:ascii="Times New Roman" w:hAnsi="Times New Roman" w:cs="仿宋"/>
              </w:rPr>
              <w:t>其他</w:t>
            </w:r>
          </w:p>
        </w:tc>
        <w:tc>
          <w:tcPr>
            <w:tcW w:w="4587" w:type="dxa"/>
            <w:vAlign w:val="center"/>
          </w:tcPr>
          <w:p w14:paraId="11239442">
            <w:pPr>
              <w:spacing w:line="480" w:lineRule="exact"/>
              <w:jc w:val="center"/>
              <w:rPr>
                <w:rFonts w:ascii="Times New Roman" w:hAnsi="Times New Roman" w:cs="仿宋"/>
              </w:rPr>
            </w:pPr>
            <w:r>
              <w:rPr>
                <w:rFonts w:hint="eastAsia" w:ascii="Times New Roman" w:hAnsi="Times New Roman" w:cs="仿宋"/>
              </w:rPr>
              <w:t>符合招标文件要求</w:t>
            </w:r>
          </w:p>
        </w:tc>
      </w:tr>
    </w:tbl>
    <w:p w14:paraId="2615A480">
      <w:pPr>
        <w:spacing w:line="480" w:lineRule="exact"/>
        <w:ind w:firstLine="482"/>
        <w:jc w:val="left"/>
        <w:rPr>
          <w:rFonts w:ascii="Times New Roman" w:hAnsi="Times New Roman" w:cs="仿宋"/>
          <w:b/>
          <w:bCs/>
          <w:sz w:val="24"/>
        </w:rPr>
      </w:pPr>
      <w:r>
        <w:rPr>
          <w:rFonts w:hint="eastAsia" w:ascii="Times New Roman" w:hAnsi="Times New Roman" w:cs="仿宋"/>
          <w:b/>
          <w:bCs/>
          <w:sz w:val="24"/>
        </w:rPr>
        <w:t>三、评标方法</w:t>
      </w:r>
    </w:p>
    <w:p w14:paraId="6392B6AB">
      <w:pPr>
        <w:spacing w:line="480" w:lineRule="exact"/>
        <w:ind w:firstLine="480"/>
        <w:jc w:val="left"/>
        <w:rPr>
          <w:sz w:val="24"/>
          <w:szCs w:val="28"/>
        </w:rPr>
      </w:pPr>
      <w:r>
        <w:rPr>
          <w:rFonts w:hint="eastAsia"/>
          <w:sz w:val="24"/>
          <w:szCs w:val="28"/>
        </w:rPr>
        <w:t>本项目采用综合评分法，评标结果按评审后得分由高到低顺序排列。得分相同的，按投标报价由低到高顺序排序。得分且投标报价相同的并列。</w:t>
      </w:r>
    </w:p>
    <w:p w14:paraId="18AA968C">
      <w:pPr>
        <w:spacing w:line="500" w:lineRule="exact"/>
        <w:ind w:firstLine="241"/>
        <w:rPr>
          <w:color w:val="000000"/>
          <w:sz w:val="24"/>
        </w:rPr>
      </w:pPr>
      <w:r>
        <w:rPr>
          <w:rFonts w:hint="eastAsia"/>
          <w:color w:val="000000"/>
          <w:sz w:val="24"/>
        </w:rPr>
        <w:t>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p>
    <w:p w14:paraId="1C0ED8FB">
      <w:pPr>
        <w:spacing w:line="500" w:lineRule="exact"/>
        <w:ind w:firstLine="241"/>
        <w:rPr>
          <w:color w:val="000000"/>
          <w:sz w:val="24"/>
        </w:rPr>
      </w:pPr>
      <w:r>
        <w:rPr>
          <w:rFonts w:hint="eastAsia"/>
          <w:color w:val="000000"/>
          <w:sz w:val="24"/>
        </w:rPr>
        <w:t>评标委员会根据评审后投标人排序推荐3名中标候选人。投标文件满足招标文件全部实质性要求，且评审后排序第一的投标人为第一中标候选人，依次类推。</w:t>
      </w:r>
    </w:p>
    <w:p w14:paraId="58DD19EF">
      <w:pPr>
        <w:spacing w:line="500" w:lineRule="exact"/>
        <w:ind w:firstLine="480"/>
        <w:rPr>
          <w:color w:val="000000"/>
          <w:sz w:val="24"/>
        </w:rPr>
      </w:pPr>
      <w:r>
        <w:rPr>
          <w:rFonts w:hint="eastAsia"/>
          <w:color w:val="000000"/>
          <w:sz w:val="24"/>
        </w:rPr>
        <w:t xml:space="preserve">综合评分保留至小数点后两位。 </w:t>
      </w:r>
    </w:p>
    <w:p w14:paraId="3125FFDE">
      <w:pPr>
        <w:spacing w:line="480" w:lineRule="exact"/>
        <w:ind w:firstLine="480"/>
        <w:jc w:val="left"/>
        <w:rPr>
          <w:rFonts w:ascii="Times New Roman" w:hAnsi="Times New Roman" w:cs="仿宋"/>
          <w:sz w:val="24"/>
        </w:rPr>
      </w:pPr>
      <w:r>
        <w:rPr>
          <w:rFonts w:hint="eastAsia" w:ascii="Times New Roman" w:hAnsi="Times New Roman" w:cs="仿宋"/>
          <w:sz w:val="24"/>
        </w:rPr>
        <w:t>评标委员会根据评标后投标人排序推荐中标候选人，并形成评标报告。</w:t>
      </w:r>
    </w:p>
    <w:p w14:paraId="3F3DF3DD">
      <w:pPr>
        <w:spacing w:line="480" w:lineRule="exact"/>
        <w:ind w:firstLine="482"/>
        <w:jc w:val="left"/>
        <w:rPr>
          <w:rFonts w:ascii="Times New Roman" w:hAnsi="Times New Roman" w:cs="仿宋"/>
          <w:b/>
          <w:bCs/>
          <w:sz w:val="24"/>
        </w:rPr>
      </w:pPr>
      <w:r>
        <w:rPr>
          <w:rFonts w:hint="eastAsia" w:ascii="Times New Roman" w:hAnsi="Times New Roman" w:cs="仿宋"/>
          <w:b/>
          <w:bCs/>
          <w:sz w:val="24"/>
        </w:rPr>
        <w:t>四、</w:t>
      </w:r>
      <w:r>
        <w:rPr>
          <w:rFonts w:hint="eastAsia" w:ascii="Times New Roman" w:hAnsi="Times New Roman" w:cs="仿宋"/>
          <w:b/>
          <w:bCs/>
          <w:sz w:val="24"/>
          <w:highlight w:val="none"/>
        </w:rPr>
        <w:t>评标标准</w:t>
      </w:r>
    </w:p>
    <w:tbl>
      <w:tblPr>
        <w:tblStyle w:val="38"/>
        <w:tblW w:w="91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646"/>
        <w:gridCol w:w="1028"/>
        <w:gridCol w:w="6431"/>
      </w:tblGrid>
      <w:tr w14:paraId="0B7EFC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2" w:hRule="atLeast"/>
          <w:jc w:val="center"/>
        </w:trPr>
        <w:tc>
          <w:tcPr>
            <w:tcW w:w="1646" w:type="dxa"/>
            <w:vAlign w:val="center"/>
          </w:tcPr>
          <w:p w14:paraId="2B5C2A13">
            <w:pPr>
              <w:widowControl/>
              <w:jc w:val="center"/>
              <w:rPr>
                <w:rFonts w:ascii="Times New Roman" w:hAnsi="Times New Roman" w:cs="宋体"/>
                <w:color w:val="000000"/>
                <w:sz w:val="24"/>
                <w:szCs w:val="24"/>
              </w:rPr>
            </w:pPr>
            <w:bookmarkStart w:id="118" w:name="RANGE!A1"/>
            <w:r>
              <w:rPr>
                <w:rFonts w:hint="eastAsia" w:ascii="Times New Roman" w:hAnsi="Times New Roman" w:cs="宋体"/>
                <w:color w:val="000000"/>
                <w:sz w:val="24"/>
                <w:szCs w:val="24"/>
              </w:rPr>
              <w:t>评审因素</w:t>
            </w:r>
          </w:p>
        </w:tc>
        <w:tc>
          <w:tcPr>
            <w:tcW w:w="1028" w:type="dxa"/>
            <w:vAlign w:val="center"/>
          </w:tcPr>
          <w:p w14:paraId="087D7B89">
            <w:pPr>
              <w:widowControl/>
              <w:jc w:val="center"/>
              <w:rPr>
                <w:rFonts w:ascii="Times New Roman" w:hAnsi="Times New Roman" w:cs="宋体"/>
                <w:color w:val="000000"/>
                <w:sz w:val="24"/>
                <w:szCs w:val="24"/>
              </w:rPr>
            </w:pPr>
            <w:r>
              <w:rPr>
                <w:rFonts w:hint="eastAsia" w:ascii="Times New Roman" w:hAnsi="Times New Roman" w:cs="宋体"/>
                <w:color w:val="000000"/>
                <w:sz w:val="24"/>
                <w:szCs w:val="24"/>
              </w:rPr>
              <w:t>分数</w:t>
            </w:r>
          </w:p>
        </w:tc>
        <w:tc>
          <w:tcPr>
            <w:tcW w:w="6431" w:type="dxa"/>
            <w:vAlign w:val="center"/>
          </w:tcPr>
          <w:p w14:paraId="7C38BA24">
            <w:pPr>
              <w:widowControl/>
              <w:jc w:val="center"/>
              <w:rPr>
                <w:rFonts w:ascii="Times New Roman" w:hAnsi="Times New Roman" w:cs="宋体"/>
                <w:color w:val="000000"/>
                <w:sz w:val="24"/>
                <w:szCs w:val="24"/>
              </w:rPr>
            </w:pPr>
            <w:r>
              <w:rPr>
                <w:rFonts w:hint="eastAsia" w:ascii="Times New Roman" w:hAnsi="Times New Roman" w:cs="宋体"/>
                <w:color w:val="000000"/>
                <w:sz w:val="24"/>
                <w:szCs w:val="24"/>
              </w:rPr>
              <w:t>评审标准</w:t>
            </w:r>
          </w:p>
        </w:tc>
      </w:tr>
      <w:tr w14:paraId="79B524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69BACF82">
            <w:pPr>
              <w:widowControl/>
              <w:jc w:val="center"/>
              <w:rPr>
                <w:rFonts w:ascii="Times New Roman" w:hAnsi="Times New Roman" w:cs="宋体"/>
                <w:color w:val="000000"/>
                <w:szCs w:val="21"/>
                <w:highlight w:val="none"/>
              </w:rPr>
            </w:pPr>
            <w:r>
              <w:rPr>
                <w:rFonts w:hint="eastAsia" w:ascii="Times New Roman" w:hAnsi="Times New Roman" w:cs="宋体"/>
                <w:color w:val="000000"/>
                <w:szCs w:val="21"/>
                <w:highlight w:val="none"/>
              </w:rPr>
              <w:t>投标报价</w:t>
            </w:r>
          </w:p>
        </w:tc>
        <w:tc>
          <w:tcPr>
            <w:tcW w:w="1028" w:type="dxa"/>
            <w:vAlign w:val="center"/>
          </w:tcPr>
          <w:p w14:paraId="37AC0B22">
            <w:pPr>
              <w:widowControl/>
              <w:jc w:val="center"/>
              <w:rPr>
                <w:rFonts w:ascii="Times New Roman" w:hAnsi="Times New Roman" w:cs="宋体"/>
                <w:color w:val="000000"/>
                <w:szCs w:val="24"/>
                <w:highlight w:val="none"/>
              </w:rPr>
            </w:pPr>
            <w:r>
              <w:rPr>
                <w:rFonts w:ascii="Times New Roman" w:hAnsi="Times New Roman" w:cs="宋体"/>
                <w:color w:val="000000"/>
                <w:szCs w:val="24"/>
                <w:highlight w:val="none"/>
              </w:rPr>
              <w:t>1</w:t>
            </w:r>
            <w:r>
              <w:rPr>
                <w:rFonts w:hint="eastAsia" w:ascii="Times New Roman" w:hAnsi="Times New Roman" w:cs="宋体"/>
                <w:color w:val="000000"/>
                <w:szCs w:val="24"/>
                <w:highlight w:val="none"/>
                <w:lang w:val="en-US" w:eastAsia="zh-CN"/>
              </w:rPr>
              <w:t>7</w:t>
            </w:r>
            <w:r>
              <w:rPr>
                <w:rFonts w:hint="eastAsia" w:ascii="Times New Roman" w:hAnsi="Times New Roman" w:cs="宋体"/>
                <w:color w:val="000000"/>
                <w:szCs w:val="24"/>
                <w:highlight w:val="none"/>
              </w:rPr>
              <w:t>.00分</w:t>
            </w:r>
          </w:p>
        </w:tc>
        <w:tc>
          <w:tcPr>
            <w:tcW w:w="6431" w:type="dxa"/>
            <w:vAlign w:val="center"/>
          </w:tcPr>
          <w:p w14:paraId="67783D49">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采用低价优先法计算，即满足招标文件要求且投标价格最低的投标报价为评标基准价，其价格分为满分。其他投标人投标报价得分＝（评标基准价/投标报价）*</w:t>
            </w:r>
            <w:r>
              <w:rPr>
                <w:rFonts w:ascii="Times New Roman" w:hAnsi="Times New Roman" w:cs="宋体"/>
                <w:color w:val="000000"/>
                <w:szCs w:val="24"/>
                <w:highlight w:val="none"/>
              </w:rPr>
              <w:t>1</w:t>
            </w:r>
            <w:r>
              <w:rPr>
                <w:rFonts w:hint="eastAsia" w:ascii="Times New Roman" w:hAnsi="Times New Roman" w:cs="宋体"/>
                <w:color w:val="000000"/>
                <w:szCs w:val="24"/>
                <w:highlight w:val="none"/>
                <w:lang w:val="en-US" w:eastAsia="zh-CN"/>
              </w:rPr>
              <w:t>7</w:t>
            </w:r>
            <w:r>
              <w:rPr>
                <w:rFonts w:hint="eastAsia" w:ascii="Times New Roman" w:hAnsi="Times New Roman" w:cs="宋体"/>
                <w:color w:val="000000"/>
                <w:szCs w:val="24"/>
                <w:highlight w:val="none"/>
              </w:rPr>
              <w:t>。</w:t>
            </w:r>
          </w:p>
        </w:tc>
      </w:tr>
      <w:tr w14:paraId="0D2A3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3862C824">
            <w:pPr>
              <w:widowControl/>
              <w:jc w:val="center"/>
              <w:rPr>
                <w:rFonts w:ascii="Times New Roman" w:hAnsi="Times New Roman" w:cs="宋体"/>
                <w:color w:val="000000"/>
                <w:szCs w:val="21"/>
              </w:rPr>
            </w:pPr>
            <w:r>
              <w:rPr>
                <w:rFonts w:hint="eastAsia" w:ascii="Times New Roman" w:hAnsi="Times New Roman" w:cs="宋体"/>
                <w:color w:val="000000"/>
                <w:szCs w:val="21"/>
              </w:rPr>
              <w:t>企业</w:t>
            </w:r>
            <w:r>
              <w:rPr>
                <w:rFonts w:ascii="Times New Roman" w:hAnsi="Times New Roman" w:cs="宋体"/>
                <w:color w:val="000000"/>
                <w:szCs w:val="21"/>
              </w:rPr>
              <w:t>业绩</w:t>
            </w:r>
          </w:p>
        </w:tc>
        <w:tc>
          <w:tcPr>
            <w:tcW w:w="1028" w:type="dxa"/>
            <w:vAlign w:val="center"/>
          </w:tcPr>
          <w:p w14:paraId="7E4E7E8F">
            <w:pPr>
              <w:widowControl/>
              <w:jc w:val="center"/>
              <w:rPr>
                <w:rFonts w:ascii="Times New Roman" w:hAnsi="Times New Roman" w:cs="宋体"/>
                <w:color w:val="000000"/>
                <w:szCs w:val="24"/>
              </w:rPr>
            </w:pPr>
            <w:r>
              <w:rPr>
                <w:rFonts w:hint="eastAsia" w:ascii="Times New Roman" w:hAnsi="Times New Roman" w:cs="宋体"/>
                <w:color w:val="000000"/>
                <w:szCs w:val="24"/>
              </w:rPr>
              <w:t>9.00</w:t>
            </w:r>
          </w:p>
        </w:tc>
        <w:tc>
          <w:tcPr>
            <w:tcW w:w="6431" w:type="dxa"/>
            <w:vAlign w:val="center"/>
          </w:tcPr>
          <w:p w14:paraId="28977AA7">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投标人自 2022年 1 月 1 日（以合同签订时间为准）以来，承担过同类服务项目业绩的，每有一个得</w:t>
            </w:r>
            <w:r>
              <w:rPr>
                <w:rFonts w:ascii="Times New Roman" w:hAnsi="Times New Roman" w:cs="宋体"/>
                <w:color w:val="000000"/>
                <w:szCs w:val="24"/>
              </w:rPr>
              <w:t>3</w:t>
            </w:r>
            <w:r>
              <w:rPr>
                <w:rFonts w:hint="eastAsia" w:ascii="Times New Roman" w:hAnsi="Times New Roman" w:cs="宋体"/>
                <w:color w:val="000000"/>
                <w:szCs w:val="24"/>
              </w:rPr>
              <w:t>分，本项最高得</w:t>
            </w:r>
            <w:r>
              <w:rPr>
                <w:rFonts w:ascii="Times New Roman" w:hAnsi="Times New Roman" w:cs="宋体"/>
                <w:color w:val="000000"/>
                <w:szCs w:val="24"/>
              </w:rPr>
              <w:t>9</w:t>
            </w:r>
            <w:r>
              <w:rPr>
                <w:rFonts w:hint="eastAsia" w:ascii="Times New Roman" w:hAnsi="Times New Roman" w:cs="宋体"/>
                <w:color w:val="000000"/>
                <w:szCs w:val="24"/>
              </w:rPr>
              <w:t>分。注：业绩证明材料须提供合同原件扫描件，合同主要服务内容、合同总金额等关键信息清晰可见，否则不予得分。</w:t>
            </w:r>
          </w:p>
        </w:tc>
      </w:tr>
      <w:tr w14:paraId="57150D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Merge w:val="restart"/>
            <w:vAlign w:val="center"/>
          </w:tcPr>
          <w:p w14:paraId="4A12144A">
            <w:pPr>
              <w:widowControl/>
              <w:jc w:val="center"/>
              <w:rPr>
                <w:rFonts w:ascii="Times New Roman" w:hAnsi="Times New Roman" w:cs="宋体"/>
                <w:color w:val="000000"/>
                <w:szCs w:val="21"/>
              </w:rPr>
            </w:pPr>
            <w:r>
              <w:rPr>
                <w:rFonts w:hint="eastAsia" w:ascii="Times New Roman" w:hAnsi="Times New Roman" w:cs="宋体"/>
                <w:color w:val="000000"/>
                <w:szCs w:val="21"/>
              </w:rPr>
              <w:t>企业经营信誉与实力</w:t>
            </w:r>
          </w:p>
        </w:tc>
        <w:tc>
          <w:tcPr>
            <w:tcW w:w="1028" w:type="dxa"/>
            <w:vAlign w:val="center"/>
          </w:tcPr>
          <w:p w14:paraId="024B158A">
            <w:pPr>
              <w:widowControl/>
              <w:jc w:val="center"/>
              <w:rPr>
                <w:rFonts w:ascii="Times New Roman" w:hAnsi="Times New Roman" w:cs="宋体"/>
                <w:color w:val="000000"/>
                <w:szCs w:val="24"/>
              </w:rPr>
            </w:pPr>
            <w:r>
              <w:rPr>
                <w:rFonts w:ascii="Times New Roman" w:hAnsi="Times New Roman" w:cs="宋体"/>
                <w:color w:val="000000"/>
                <w:szCs w:val="24"/>
              </w:rPr>
              <w:t>4</w:t>
            </w:r>
            <w:r>
              <w:rPr>
                <w:rFonts w:hint="eastAsia" w:ascii="Times New Roman" w:hAnsi="Times New Roman" w:cs="宋体"/>
                <w:color w:val="000000"/>
                <w:szCs w:val="24"/>
              </w:rPr>
              <w:t>.00</w:t>
            </w:r>
          </w:p>
        </w:tc>
        <w:tc>
          <w:tcPr>
            <w:tcW w:w="6431" w:type="dxa"/>
            <w:vAlign w:val="center"/>
          </w:tcPr>
          <w:p w14:paraId="4CCCD138">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投标人具有有效期内的质量管理体系认证证书、信息安全管理体系认证证书、职业健康安全管理体系认证证书、环境管理体系认证证书，每有1个得1分，最高得</w:t>
            </w:r>
            <w:r>
              <w:rPr>
                <w:rFonts w:ascii="Times New Roman" w:hAnsi="Times New Roman" w:cs="宋体"/>
                <w:color w:val="000000"/>
                <w:szCs w:val="24"/>
              </w:rPr>
              <w:t>4</w:t>
            </w:r>
            <w:r>
              <w:rPr>
                <w:rFonts w:hint="eastAsia" w:ascii="Times New Roman" w:hAnsi="Times New Roman" w:cs="宋体"/>
                <w:color w:val="000000"/>
                <w:szCs w:val="24"/>
              </w:rPr>
              <w:t>分。注：提供证书原件</w:t>
            </w:r>
            <w:bookmarkStart w:id="119" w:name="OLE_LINK9"/>
            <w:bookmarkStart w:id="120" w:name="OLE_LINK11"/>
            <w:r>
              <w:rPr>
                <w:rFonts w:hint="eastAsia" w:ascii="Times New Roman" w:hAnsi="Times New Roman" w:cs="宋体"/>
                <w:color w:val="000000"/>
                <w:szCs w:val="24"/>
              </w:rPr>
              <w:t>扫描件或</w:t>
            </w:r>
            <w:r>
              <w:rPr>
                <w:rFonts w:ascii="Times New Roman" w:hAnsi="Times New Roman" w:cs="宋体"/>
                <w:color w:val="000000"/>
                <w:szCs w:val="24"/>
              </w:rPr>
              <w:t>电子件</w:t>
            </w:r>
            <w:bookmarkEnd w:id="119"/>
            <w:bookmarkEnd w:id="120"/>
            <w:r>
              <w:rPr>
                <w:rFonts w:hint="eastAsia" w:ascii="Times New Roman" w:hAnsi="Times New Roman" w:cs="宋体"/>
                <w:color w:val="000000"/>
                <w:szCs w:val="24"/>
              </w:rPr>
              <w:t>，同时提供全国认证认可信息公共服务平（http://cx.cnca.cn/）查询结果截图，未提供的不得分。</w:t>
            </w:r>
          </w:p>
        </w:tc>
      </w:tr>
      <w:tr w14:paraId="707F2D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Merge w:val="continue"/>
            <w:vAlign w:val="center"/>
          </w:tcPr>
          <w:p w14:paraId="3EFDEB05">
            <w:pPr>
              <w:widowControl/>
              <w:jc w:val="center"/>
              <w:rPr>
                <w:rFonts w:ascii="宋体" w:hAnsi="宋体" w:cs="宋体"/>
                <w:sz w:val="24"/>
                <w:szCs w:val="24"/>
              </w:rPr>
            </w:pPr>
          </w:p>
        </w:tc>
        <w:tc>
          <w:tcPr>
            <w:tcW w:w="1028" w:type="dxa"/>
            <w:vAlign w:val="center"/>
          </w:tcPr>
          <w:p w14:paraId="24F41182">
            <w:pPr>
              <w:widowControl/>
              <w:jc w:val="center"/>
              <w:rPr>
                <w:rFonts w:ascii="Times New Roman" w:hAnsi="Times New Roman" w:cs="宋体"/>
                <w:color w:val="000000"/>
                <w:szCs w:val="24"/>
              </w:rPr>
            </w:pPr>
            <w:r>
              <w:rPr>
                <w:rFonts w:hint="eastAsia" w:ascii="Times New Roman" w:hAnsi="Times New Roman" w:cs="宋体"/>
                <w:color w:val="000000"/>
                <w:szCs w:val="24"/>
              </w:rPr>
              <w:t>6</w:t>
            </w:r>
            <w:r>
              <w:rPr>
                <w:rFonts w:ascii="Times New Roman" w:hAnsi="Times New Roman" w:cs="宋体"/>
                <w:color w:val="000000"/>
                <w:szCs w:val="24"/>
              </w:rPr>
              <w:t>.00</w:t>
            </w:r>
          </w:p>
        </w:tc>
        <w:tc>
          <w:tcPr>
            <w:tcW w:w="6431" w:type="dxa"/>
            <w:vAlign w:val="center"/>
          </w:tcPr>
          <w:p w14:paraId="01E35FCA">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投</w:t>
            </w:r>
            <w:r>
              <w:rPr>
                <w:rFonts w:ascii="Times New Roman" w:hAnsi="Times New Roman" w:cs="宋体"/>
                <w:color w:val="000000"/>
                <w:szCs w:val="24"/>
              </w:rPr>
              <w:t>标</w:t>
            </w:r>
            <w:r>
              <w:rPr>
                <w:rFonts w:hint="eastAsia" w:ascii="Times New Roman" w:hAnsi="Times New Roman" w:cs="宋体"/>
                <w:color w:val="000000"/>
                <w:szCs w:val="24"/>
              </w:rPr>
              <w:t>人根据</w:t>
            </w:r>
            <w:r>
              <w:rPr>
                <w:rFonts w:ascii="Times New Roman" w:hAnsi="Times New Roman" w:cs="宋体"/>
                <w:color w:val="000000"/>
                <w:szCs w:val="24"/>
              </w:rPr>
              <w:t>本项目所需拟投入的</w:t>
            </w:r>
            <w:r>
              <w:rPr>
                <w:rFonts w:hint="eastAsia" w:ascii="Times New Roman" w:hAnsi="Times New Roman" w:cs="宋体"/>
                <w:color w:val="000000"/>
                <w:szCs w:val="24"/>
              </w:rPr>
              <w:t>无人船、无人机、便携式检测仪等设备，每有一个得2分，最高得6分。</w:t>
            </w:r>
          </w:p>
          <w:p w14:paraId="6CA05BED">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注：（1）自有设备：提供设备图片、设备购置发票原件扫描件签电子公章上传至投标文件中；</w:t>
            </w:r>
          </w:p>
          <w:p w14:paraId="662492CA">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（2）租赁设备：提供设备图片、租赁协议、购置发票原件扫描件签电子公章上传至投标文件中；</w:t>
            </w:r>
          </w:p>
          <w:p w14:paraId="0CBAD9B3">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rPr>
              <w:t>（3</w:t>
            </w:r>
            <w:r>
              <w:rPr>
                <w:rFonts w:hint="eastAsia" w:ascii="Times New Roman" w:hAnsi="Times New Roman" w:cs="宋体"/>
                <w:color w:val="000000"/>
                <w:szCs w:val="24"/>
                <w:highlight w:val="none"/>
              </w:rPr>
              <w:t>）无人机</w:t>
            </w:r>
            <w:r>
              <w:rPr>
                <w:rFonts w:hint="eastAsia" w:ascii="Times New Roman" w:hAnsi="Times New Roman" w:cs="宋体"/>
                <w:color w:val="000000"/>
                <w:szCs w:val="24"/>
                <w:highlight w:val="none"/>
                <w:lang w:val="en-US" w:eastAsia="zh-CN"/>
              </w:rPr>
              <w:t>须提供</w:t>
            </w:r>
            <w:r>
              <w:rPr>
                <w:rFonts w:hint="eastAsia" w:ascii="Times New Roman" w:hAnsi="Times New Roman" w:cs="宋体"/>
                <w:color w:val="000000"/>
                <w:szCs w:val="24"/>
                <w:highlight w:val="none"/>
              </w:rPr>
              <w:t>国家无人驾驶航空器一体化综合监管服务平台实名登记截图；</w:t>
            </w:r>
          </w:p>
          <w:p w14:paraId="7570BFB6">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（4）未提供相关资料或者提供资料不全者不得分。</w:t>
            </w:r>
          </w:p>
        </w:tc>
      </w:tr>
      <w:tr w14:paraId="18DB7C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7872DB6A">
            <w:pPr>
              <w:widowControl/>
              <w:jc w:val="center"/>
              <w:rPr>
                <w:rFonts w:ascii="Times New Roman" w:hAnsi="Times New Roman" w:cs="宋体"/>
                <w:color w:val="000000"/>
                <w:szCs w:val="21"/>
              </w:rPr>
            </w:pPr>
            <w:r>
              <w:rPr>
                <w:rFonts w:hint="eastAsia" w:ascii="Times New Roman" w:hAnsi="Times New Roman" w:cs="宋体"/>
                <w:color w:val="000000"/>
                <w:szCs w:val="21"/>
              </w:rPr>
              <w:t>项目组成员</w:t>
            </w:r>
          </w:p>
        </w:tc>
        <w:tc>
          <w:tcPr>
            <w:tcW w:w="1028" w:type="dxa"/>
            <w:vAlign w:val="center"/>
          </w:tcPr>
          <w:p w14:paraId="66E337D0">
            <w:pPr>
              <w:widowControl/>
              <w:jc w:val="center"/>
              <w:rPr>
                <w:rFonts w:ascii="Times New Roman" w:hAnsi="Times New Roman" w:cs="宋体"/>
                <w:color w:val="000000"/>
                <w:szCs w:val="24"/>
                <w:highlight w:val="none"/>
              </w:rPr>
            </w:pPr>
          </w:p>
          <w:p w14:paraId="4AADC0D3">
            <w:pPr>
              <w:widowControl/>
              <w:jc w:val="center"/>
              <w:rPr>
                <w:rFonts w:ascii="Times New Roman" w:hAnsi="Times New Roman" w:cs="宋体"/>
                <w:color w:val="000000"/>
                <w:szCs w:val="24"/>
                <w:highlight w:val="none"/>
              </w:rPr>
            </w:pPr>
            <w:r>
              <w:rPr>
                <w:rFonts w:ascii="Times New Roman" w:hAnsi="Times New Roman" w:cs="宋体"/>
                <w:color w:val="000000"/>
                <w:szCs w:val="24"/>
                <w:highlight w:val="none"/>
              </w:rPr>
              <w:t>1</w:t>
            </w:r>
            <w:r>
              <w:rPr>
                <w:rFonts w:hint="eastAsia" w:ascii="Times New Roman" w:hAnsi="Times New Roman" w:cs="宋体"/>
                <w:color w:val="000000"/>
                <w:szCs w:val="24"/>
                <w:highlight w:val="none"/>
                <w:lang w:val="en-US" w:eastAsia="zh-CN"/>
              </w:rPr>
              <w:t>2</w:t>
            </w:r>
            <w:r>
              <w:rPr>
                <w:rFonts w:hint="eastAsia" w:ascii="Times New Roman" w:hAnsi="Times New Roman" w:cs="宋体"/>
                <w:color w:val="000000"/>
                <w:szCs w:val="24"/>
                <w:highlight w:val="none"/>
              </w:rPr>
              <w:t>.00</w:t>
            </w:r>
          </w:p>
        </w:tc>
        <w:tc>
          <w:tcPr>
            <w:tcW w:w="6431" w:type="dxa"/>
            <w:vAlign w:val="center"/>
          </w:tcPr>
          <w:p w14:paraId="6BF7A108">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1、投标人拟派的项目负责人</w:t>
            </w:r>
            <w:bookmarkStart w:id="121" w:name="OLE_LINK8"/>
            <w:bookmarkStart w:id="122" w:name="OLE_LINK7"/>
            <w:r>
              <w:rPr>
                <w:rFonts w:hint="eastAsia" w:ascii="Times New Roman" w:hAnsi="Times New Roman" w:cs="宋体"/>
                <w:color w:val="000000"/>
                <w:szCs w:val="24"/>
                <w:highlight w:val="none"/>
              </w:rPr>
              <w:t>具有生态环境工程或环保工程专业高级及以上职称的得2分，具有环境类中级职称的得1分，具有注册环评工程师或环境评价工程职业资格证书得2分，</w:t>
            </w:r>
            <w:r>
              <w:rPr>
                <w:rFonts w:ascii="Times New Roman" w:hAnsi="Times New Roman" w:cs="宋体"/>
                <w:color w:val="000000"/>
                <w:szCs w:val="24"/>
                <w:highlight w:val="none"/>
              </w:rPr>
              <w:t>本项最高得4</w:t>
            </w:r>
            <w:r>
              <w:rPr>
                <w:rFonts w:hint="eastAsia" w:ascii="Times New Roman" w:hAnsi="Times New Roman" w:cs="宋体"/>
                <w:color w:val="000000"/>
                <w:szCs w:val="24"/>
                <w:highlight w:val="none"/>
              </w:rPr>
              <w:t>分；</w:t>
            </w:r>
            <w:bookmarkEnd w:id="121"/>
            <w:bookmarkEnd w:id="122"/>
          </w:p>
          <w:p w14:paraId="644E2401">
            <w:pPr>
              <w:widowControl/>
              <w:spacing w:line="400" w:lineRule="exact"/>
              <w:jc w:val="left"/>
              <w:rPr>
                <w:rFonts w:ascii="Times New Roman" w:hAnsi="Times New Roman" w:cs="宋体"/>
                <w:color w:val="000000"/>
                <w:szCs w:val="24"/>
                <w:highlight w:val="none"/>
              </w:rPr>
            </w:pPr>
            <w:r>
              <w:rPr>
                <w:rFonts w:ascii="Times New Roman" w:hAnsi="Times New Roman" w:cs="宋体"/>
                <w:color w:val="000000"/>
                <w:szCs w:val="24"/>
                <w:highlight w:val="none"/>
              </w:rPr>
              <w:t>2</w:t>
            </w:r>
            <w:r>
              <w:rPr>
                <w:rFonts w:hint="eastAsia" w:ascii="Times New Roman" w:hAnsi="Times New Roman" w:cs="宋体"/>
                <w:color w:val="000000"/>
                <w:szCs w:val="24"/>
                <w:highlight w:val="none"/>
              </w:rPr>
              <w:t>、拟投入本项目的项目组成员（项目负责人除外）具有环境类中级</w:t>
            </w:r>
            <w:r>
              <w:rPr>
                <w:rFonts w:hint="eastAsia" w:ascii="Times New Roman" w:hAnsi="Times New Roman" w:cs="宋体"/>
                <w:color w:val="000000"/>
                <w:szCs w:val="24"/>
                <w:highlight w:val="none"/>
                <w:lang w:val="en-US" w:eastAsia="zh-CN"/>
              </w:rPr>
              <w:t>及以上</w:t>
            </w:r>
            <w:r>
              <w:rPr>
                <w:rFonts w:hint="eastAsia" w:ascii="Times New Roman" w:hAnsi="Times New Roman" w:cs="宋体"/>
                <w:color w:val="000000"/>
                <w:szCs w:val="24"/>
                <w:highlight w:val="none"/>
              </w:rPr>
              <w:t>职称的得1分，具有注册环评工程师或环境评价工程职业资格证书得2分，</w:t>
            </w:r>
            <w:r>
              <w:rPr>
                <w:rFonts w:ascii="Times New Roman" w:hAnsi="Times New Roman" w:cs="宋体"/>
                <w:color w:val="000000"/>
                <w:szCs w:val="24"/>
                <w:highlight w:val="none"/>
              </w:rPr>
              <w:t>本项最高得</w:t>
            </w:r>
            <w:r>
              <w:rPr>
                <w:rFonts w:hint="eastAsia" w:ascii="Times New Roman" w:hAnsi="Times New Roman" w:cs="宋体"/>
                <w:color w:val="000000"/>
                <w:szCs w:val="24"/>
                <w:highlight w:val="none"/>
                <w:lang w:val="en-US" w:eastAsia="zh-CN"/>
              </w:rPr>
              <w:t>6</w:t>
            </w:r>
            <w:r>
              <w:rPr>
                <w:rFonts w:hint="eastAsia" w:ascii="Times New Roman" w:hAnsi="Times New Roman" w:cs="宋体"/>
                <w:color w:val="000000"/>
                <w:szCs w:val="24"/>
                <w:highlight w:val="none"/>
              </w:rPr>
              <w:t>分；</w:t>
            </w:r>
          </w:p>
          <w:p w14:paraId="7D93A5FB">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3、项目组成员中具有</w:t>
            </w:r>
            <w:bookmarkStart w:id="123" w:name="OLE_LINK21"/>
            <w:bookmarkStart w:id="124" w:name="OLE_LINK20"/>
            <w:r>
              <w:rPr>
                <w:rFonts w:hint="eastAsia" w:ascii="Times New Roman" w:hAnsi="Times New Roman" w:cs="宋体"/>
                <w:color w:val="000000"/>
                <w:szCs w:val="24"/>
                <w:highlight w:val="none"/>
              </w:rPr>
              <w:t>轻型民用无人驾驶航空器安全操控理论培训合格证</w:t>
            </w:r>
            <w:bookmarkEnd w:id="123"/>
            <w:bookmarkEnd w:id="124"/>
            <w:r>
              <w:rPr>
                <w:rFonts w:hint="eastAsia" w:ascii="Times New Roman" w:hAnsi="Times New Roman" w:cs="宋体"/>
                <w:color w:val="000000"/>
                <w:szCs w:val="24"/>
                <w:highlight w:val="none"/>
              </w:rPr>
              <w:t>的有1个得</w:t>
            </w:r>
            <w:r>
              <w:rPr>
                <w:rFonts w:ascii="Times New Roman" w:hAnsi="Times New Roman" w:cs="宋体"/>
                <w:color w:val="000000"/>
                <w:szCs w:val="24"/>
                <w:highlight w:val="none"/>
              </w:rPr>
              <w:t>2</w:t>
            </w:r>
            <w:r>
              <w:rPr>
                <w:rFonts w:hint="eastAsia" w:ascii="Times New Roman" w:hAnsi="Times New Roman" w:cs="宋体"/>
                <w:color w:val="000000"/>
                <w:szCs w:val="24"/>
                <w:highlight w:val="none"/>
              </w:rPr>
              <w:t>分，最高得2分。</w:t>
            </w:r>
          </w:p>
          <w:p w14:paraId="52890DF1">
            <w:pPr>
              <w:widowControl/>
              <w:spacing w:line="400" w:lineRule="exact"/>
              <w:jc w:val="left"/>
              <w:rPr>
                <w:rFonts w:ascii="Times New Roman" w:hAnsi="Times New Roman" w:cs="宋体"/>
                <w:color w:val="000000"/>
                <w:szCs w:val="24"/>
                <w:highlight w:val="none"/>
              </w:rPr>
            </w:pPr>
            <w:r>
              <w:rPr>
                <w:rFonts w:hint="eastAsia" w:ascii="Times New Roman" w:hAnsi="Times New Roman" w:cs="宋体"/>
                <w:color w:val="000000"/>
                <w:szCs w:val="24"/>
                <w:highlight w:val="none"/>
              </w:rPr>
              <w:t>注：投标文件中提供相关职称证书或</w:t>
            </w:r>
            <w:r>
              <w:rPr>
                <w:rFonts w:ascii="Times New Roman" w:hAnsi="Times New Roman" w:cs="宋体"/>
                <w:color w:val="000000"/>
                <w:szCs w:val="24"/>
                <w:highlight w:val="none"/>
              </w:rPr>
              <w:t>资格证书</w:t>
            </w:r>
            <w:r>
              <w:rPr>
                <w:rFonts w:hint="eastAsia" w:ascii="Times New Roman" w:hAnsi="Times New Roman" w:cs="宋体"/>
                <w:color w:val="000000"/>
                <w:szCs w:val="24"/>
                <w:highlight w:val="none"/>
              </w:rPr>
              <w:t>原件扫描件，同时提供的近三个月任意一个月的投标人为其依法缴纳社保证明材料，否则提供不得分。</w:t>
            </w:r>
          </w:p>
        </w:tc>
      </w:tr>
      <w:tr w14:paraId="4173C6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40370088">
            <w:pPr>
              <w:widowControl/>
              <w:jc w:val="center"/>
              <w:rPr>
                <w:rFonts w:ascii="Times New Roman" w:hAnsi="Times New Roman" w:cs="宋体"/>
                <w:color w:val="000000"/>
                <w:szCs w:val="21"/>
              </w:rPr>
            </w:pPr>
            <w:r>
              <w:rPr>
                <w:rFonts w:hint="eastAsia" w:ascii="Times New Roman" w:hAnsi="Times New Roman" w:cs="宋体"/>
                <w:color w:val="000000"/>
                <w:szCs w:val="24"/>
              </w:rPr>
              <w:t>项目资料收集及背景调研</w:t>
            </w:r>
          </w:p>
        </w:tc>
        <w:tc>
          <w:tcPr>
            <w:tcW w:w="1028" w:type="dxa"/>
            <w:vAlign w:val="center"/>
          </w:tcPr>
          <w:p w14:paraId="40CAA31A">
            <w:pPr>
              <w:widowControl/>
              <w:jc w:val="center"/>
              <w:rPr>
                <w:rFonts w:ascii="Times New Roman" w:hAnsi="Times New Roman" w:cs="宋体"/>
                <w:color w:val="000000"/>
                <w:szCs w:val="24"/>
              </w:rPr>
            </w:pPr>
            <w:r>
              <w:rPr>
                <w:rFonts w:ascii="Times New Roman" w:hAnsi="Times New Roman" w:cs="宋体"/>
                <w:color w:val="000000"/>
                <w:szCs w:val="24"/>
              </w:rPr>
              <w:t>9.00</w:t>
            </w:r>
          </w:p>
        </w:tc>
        <w:tc>
          <w:tcPr>
            <w:tcW w:w="6431" w:type="dxa"/>
            <w:vAlign w:val="center"/>
          </w:tcPr>
          <w:p w14:paraId="2ACAD9A7">
            <w:pPr>
              <w:widowControl/>
              <w:spacing w:line="400" w:lineRule="exact"/>
              <w:jc w:val="left"/>
              <w:rPr>
                <w:rFonts w:ascii="Times New Roman" w:hAnsi="Times New Roman" w:cs="宋体"/>
                <w:color w:val="000000"/>
                <w:szCs w:val="24"/>
              </w:rPr>
            </w:pPr>
            <w:bookmarkStart w:id="125" w:name="OLE_LINK13"/>
            <w:r>
              <w:rPr>
                <w:rFonts w:ascii="Times New Roman" w:hAnsi="Times New Roman" w:cs="宋体"/>
                <w:color w:val="000000"/>
                <w:szCs w:val="24"/>
              </w:rPr>
              <w:t>评标委员会根据</w:t>
            </w:r>
            <w:r>
              <w:rPr>
                <w:rFonts w:hint="eastAsia" w:ascii="Times New Roman" w:hAnsi="Times New Roman" w:cs="宋体"/>
                <w:color w:val="000000"/>
                <w:szCs w:val="24"/>
              </w:rPr>
              <w:t>投标人对本项目项目概况、区域背景、区域内主要问题及理解分析等</w:t>
            </w:r>
            <w:r>
              <w:rPr>
                <w:rFonts w:ascii="Times New Roman" w:hAnsi="Times New Roman" w:cs="宋体"/>
                <w:color w:val="000000"/>
                <w:szCs w:val="24"/>
              </w:rPr>
              <w:t>内容进行评审</w:t>
            </w:r>
            <w:r>
              <w:rPr>
                <w:rFonts w:hint="eastAsia" w:ascii="Times New Roman" w:hAnsi="Times New Roman" w:cs="宋体"/>
                <w:color w:val="000000"/>
                <w:szCs w:val="24"/>
              </w:rPr>
              <w:t>，（1）</w:t>
            </w:r>
            <w:r>
              <w:rPr>
                <w:rFonts w:ascii="Times New Roman" w:hAnsi="Times New Roman" w:cs="宋体"/>
                <w:color w:val="000000"/>
                <w:szCs w:val="24"/>
              </w:rPr>
              <w:t>内容全面详实、需求贴合度极高、条理清晰：对四项内容均有深度且精准的阐述，与采购需求高度契合，逻辑严密、层次分明，充分体现对项目的透彻把握，得9分</w:t>
            </w:r>
            <w:r>
              <w:rPr>
                <w:rFonts w:hint="eastAsia" w:ascii="Times New Roman" w:hAnsi="Times New Roman" w:cs="宋体"/>
                <w:color w:val="000000"/>
                <w:szCs w:val="24"/>
              </w:rPr>
              <w:t>。（2）</w:t>
            </w:r>
            <w:r>
              <w:rPr>
                <w:rFonts w:ascii="Times New Roman" w:hAnsi="Times New Roman" w:cs="宋体"/>
                <w:color w:val="000000"/>
                <w:szCs w:val="24"/>
              </w:rPr>
              <w:t>内容较为完整、具备可行性：四项内容覆盖较全，理解基本准确，但部分细节的深度、精准度或与需求的衔接仍有优化空间，得6分</w:t>
            </w:r>
            <w:r>
              <w:rPr>
                <w:rFonts w:hint="eastAsia" w:ascii="Times New Roman" w:hAnsi="Times New Roman" w:cs="宋体"/>
                <w:color w:val="000000"/>
                <w:szCs w:val="24"/>
              </w:rPr>
              <w:t>。（3）</w:t>
            </w:r>
            <w:r>
              <w:rPr>
                <w:rFonts w:ascii="Times New Roman" w:hAnsi="Times New Roman" w:cs="宋体"/>
                <w:color w:val="000000"/>
                <w:szCs w:val="24"/>
              </w:rPr>
              <w:t>内容粗略、有一定针对性：对四项内容进行了描述，但分析较浅显，与需求关联度一般，条理不够清晰，仅基本满足要求，得3分</w:t>
            </w:r>
            <w:r>
              <w:rPr>
                <w:rFonts w:hint="eastAsia" w:ascii="Times New Roman" w:hAnsi="Times New Roman" w:cs="宋体"/>
                <w:color w:val="000000"/>
                <w:szCs w:val="24"/>
              </w:rPr>
              <w:t>。（4）</w:t>
            </w:r>
            <w:r>
              <w:rPr>
                <w:rFonts w:ascii="Times New Roman" w:hAnsi="Times New Roman" w:cs="宋体"/>
                <w:color w:val="000000"/>
                <w:szCs w:val="24"/>
              </w:rPr>
              <w:t>内容空洞、缺乏针对性：未结合项目实际，或对关键要素存在缺失，与需求脱节，无明显参考价值，得1分</w:t>
            </w:r>
            <w:bookmarkStart w:id="126" w:name="OLE_LINK18"/>
            <w:r>
              <w:rPr>
                <w:rFonts w:hint="eastAsia" w:ascii="Times New Roman" w:hAnsi="Times New Roman" w:cs="宋体"/>
                <w:color w:val="000000"/>
                <w:szCs w:val="24"/>
              </w:rPr>
              <w:t>。（5）未提供相关内容的不得分。</w:t>
            </w:r>
            <w:bookmarkEnd w:id="126"/>
            <w:r>
              <w:rPr>
                <w:rFonts w:ascii="Times New Roman" w:hAnsi="Times New Roman" w:cs="宋体"/>
                <w:color w:val="000000"/>
                <w:szCs w:val="24"/>
              </w:rPr>
              <w:t xml:space="preserve"> </w:t>
            </w:r>
            <w:bookmarkEnd w:id="125"/>
          </w:p>
        </w:tc>
      </w:tr>
      <w:tr w14:paraId="62CC1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44247464">
            <w:pPr>
              <w:widowControl/>
              <w:jc w:val="center"/>
              <w:rPr>
                <w:rFonts w:ascii="Times New Roman" w:hAnsi="Times New Roman" w:cs="宋体"/>
                <w:color w:val="000000"/>
                <w:szCs w:val="24"/>
              </w:rPr>
            </w:pPr>
            <w:r>
              <w:rPr>
                <w:rFonts w:hint="eastAsia" w:ascii="Times New Roman" w:hAnsi="Times New Roman" w:cs="宋体"/>
                <w:color w:val="000000"/>
                <w:szCs w:val="24"/>
              </w:rPr>
              <w:t>河道水质日常巡查</w:t>
            </w:r>
            <w:r>
              <w:rPr>
                <w:rFonts w:ascii="Times New Roman" w:hAnsi="Times New Roman" w:cs="宋体"/>
                <w:color w:val="000000"/>
                <w:szCs w:val="24"/>
              </w:rPr>
              <w:t>方案</w:t>
            </w:r>
          </w:p>
        </w:tc>
        <w:tc>
          <w:tcPr>
            <w:tcW w:w="1028" w:type="dxa"/>
            <w:vAlign w:val="center"/>
          </w:tcPr>
          <w:p w14:paraId="354075F7">
            <w:pPr>
              <w:widowControl/>
              <w:jc w:val="center"/>
              <w:rPr>
                <w:rFonts w:ascii="Times New Roman" w:hAnsi="Times New Roman" w:cs="宋体"/>
                <w:color w:val="000000"/>
                <w:szCs w:val="24"/>
              </w:rPr>
            </w:pPr>
            <w:r>
              <w:rPr>
                <w:rFonts w:hint="eastAsia" w:ascii="Times New Roman" w:hAnsi="Times New Roman" w:cs="宋体"/>
                <w:color w:val="000000"/>
                <w:szCs w:val="24"/>
              </w:rPr>
              <w:t>9.00</w:t>
            </w:r>
          </w:p>
        </w:tc>
        <w:tc>
          <w:tcPr>
            <w:tcW w:w="6431" w:type="dxa"/>
            <w:vAlign w:val="center"/>
          </w:tcPr>
          <w:p w14:paraId="3CE7B30C">
            <w:pPr>
              <w:widowControl/>
              <w:spacing w:line="400" w:lineRule="exact"/>
              <w:jc w:val="left"/>
              <w:rPr>
                <w:rFonts w:ascii="Times New Roman" w:hAnsi="Times New Roman" w:cs="宋体"/>
                <w:color w:val="000000"/>
                <w:szCs w:val="24"/>
              </w:rPr>
            </w:pPr>
            <w:r>
              <w:rPr>
                <w:rFonts w:ascii="Times New Roman" w:hAnsi="Times New Roman" w:cs="宋体"/>
                <w:color w:val="000000"/>
                <w:szCs w:val="24"/>
              </w:rPr>
              <w:t>评标委员会根据投标人提供的河道水质日常巡查方案进行综合评审，评审内容包括巡查范围与重点点位、频次与时段安排、巡查内容与观测指标、人员配置与职责、巡查路线与作业流程、巡查记录与台账管理、问题发现-上报-处置闭环机制、异常水质与特殊天气应急巡查预案、巡查设备工具保障、管理制度与考核机制、资料归档与数据报送等方面。</w:t>
            </w:r>
            <w:r>
              <w:rPr>
                <w:rFonts w:hint="eastAsia" w:ascii="Times New Roman" w:hAnsi="Times New Roman" w:cs="宋体"/>
                <w:color w:val="000000"/>
                <w:szCs w:val="24"/>
              </w:rPr>
              <w:t>（1）</w:t>
            </w:r>
            <w:r>
              <w:rPr>
                <w:rFonts w:ascii="Times New Roman" w:hAnsi="Times New Roman" w:cs="宋体"/>
                <w:color w:val="000000"/>
                <w:szCs w:val="24"/>
              </w:rPr>
              <w:t>方案全面详尽，针对性极强，完全贴合项目实际工况，巡查规划科学严谨、可操作性强，问题闭环处置机制完善，应急响应快捷高效，管理制度健全规范，整体方案优于采购需求</w:t>
            </w:r>
            <w:r>
              <w:rPr>
                <w:rFonts w:hint="eastAsia" w:ascii="Times New Roman" w:hAnsi="Times New Roman" w:cs="宋体"/>
                <w:color w:val="000000"/>
                <w:szCs w:val="24"/>
              </w:rPr>
              <w:t>；得</w:t>
            </w:r>
            <w:r>
              <w:rPr>
                <w:rFonts w:ascii="Times New Roman" w:hAnsi="Times New Roman" w:cs="宋体"/>
                <w:color w:val="000000"/>
                <w:szCs w:val="24"/>
              </w:rPr>
              <w:t>9</w:t>
            </w:r>
            <w:r>
              <w:rPr>
                <w:rFonts w:hint="eastAsia" w:ascii="Times New Roman" w:hAnsi="Times New Roman" w:cs="宋体"/>
                <w:color w:val="000000"/>
                <w:szCs w:val="24"/>
              </w:rPr>
              <w:t>分。（2）</w:t>
            </w:r>
            <w:r>
              <w:rPr>
                <w:rFonts w:ascii="Times New Roman" w:hAnsi="Times New Roman" w:cs="宋体"/>
                <w:color w:val="000000"/>
                <w:szCs w:val="24"/>
              </w:rPr>
              <w:t>方案比较完整，针对性较强，巡查规划合理合规、可操作性较高，问题闭环处置机制较为完善，响应速度较快，管理制度较为齐全，能够较好满足采购需求</w:t>
            </w:r>
            <w:r>
              <w:rPr>
                <w:rFonts w:hint="eastAsia" w:ascii="Times New Roman" w:hAnsi="Times New Roman" w:cs="宋体"/>
                <w:color w:val="000000"/>
                <w:szCs w:val="24"/>
              </w:rPr>
              <w:t>；得</w:t>
            </w:r>
            <w:r>
              <w:rPr>
                <w:rFonts w:ascii="Times New Roman" w:hAnsi="Times New Roman" w:cs="宋体"/>
                <w:color w:val="000000"/>
                <w:szCs w:val="24"/>
              </w:rPr>
              <w:t>6</w:t>
            </w:r>
            <w:r>
              <w:rPr>
                <w:rFonts w:hint="eastAsia" w:ascii="Times New Roman" w:hAnsi="Times New Roman" w:cs="宋体"/>
                <w:color w:val="000000"/>
                <w:szCs w:val="24"/>
              </w:rPr>
              <w:t>分。（3）</w:t>
            </w:r>
            <w:r>
              <w:rPr>
                <w:rFonts w:ascii="Times New Roman" w:hAnsi="Times New Roman" w:cs="宋体"/>
                <w:color w:val="000000"/>
                <w:szCs w:val="24"/>
              </w:rPr>
              <w:t>方案基本完整，具备基本针对性，核心巡查要素齐全，具备基本可操作性，问题处置及管理制度覆盖主要方面，可满足采购需求的最低要求</w:t>
            </w:r>
            <w:r>
              <w:rPr>
                <w:rFonts w:hint="eastAsia" w:ascii="Times New Roman" w:hAnsi="Times New Roman" w:cs="宋体"/>
                <w:color w:val="000000"/>
                <w:szCs w:val="24"/>
              </w:rPr>
              <w:t>；得</w:t>
            </w:r>
            <w:r>
              <w:rPr>
                <w:rFonts w:ascii="Times New Roman" w:hAnsi="Times New Roman" w:cs="宋体"/>
                <w:color w:val="000000"/>
                <w:szCs w:val="24"/>
              </w:rPr>
              <w:t>3</w:t>
            </w:r>
            <w:r>
              <w:rPr>
                <w:rFonts w:hint="eastAsia" w:ascii="Times New Roman" w:hAnsi="Times New Roman" w:cs="宋体"/>
                <w:color w:val="000000"/>
                <w:szCs w:val="24"/>
              </w:rPr>
              <w:t>分。（4）</w:t>
            </w:r>
            <w:r>
              <w:rPr>
                <w:rFonts w:ascii="Times New Roman" w:hAnsi="Times New Roman" w:cs="宋体"/>
                <w:color w:val="000000"/>
                <w:szCs w:val="24"/>
              </w:rPr>
              <w:t>方案不够全面，针对性不足，未充分结合项目实际编制，巡查规划、处置机制、管理制度等关键环节存在明显欠缺，可操作性较差，经调整后尚能满足采购需求</w:t>
            </w:r>
            <w:r>
              <w:rPr>
                <w:rFonts w:hint="eastAsia" w:ascii="Times New Roman" w:hAnsi="Times New Roman" w:cs="宋体"/>
                <w:color w:val="000000"/>
                <w:szCs w:val="24"/>
              </w:rPr>
              <w:t>；得</w:t>
            </w:r>
            <w:r>
              <w:rPr>
                <w:rFonts w:ascii="Times New Roman" w:hAnsi="Times New Roman" w:cs="宋体"/>
                <w:color w:val="000000"/>
                <w:szCs w:val="24"/>
              </w:rPr>
              <w:t>1</w:t>
            </w:r>
            <w:r>
              <w:rPr>
                <w:rFonts w:hint="eastAsia" w:ascii="Times New Roman" w:hAnsi="Times New Roman" w:cs="宋体"/>
                <w:color w:val="000000"/>
                <w:szCs w:val="24"/>
              </w:rPr>
              <w:t>分。</w:t>
            </w:r>
          </w:p>
          <w:p w14:paraId="148B698B">
            <w:pPr>
              <w:widowControl/>
              <w:spacing w:line="400" w:lineRule="exact"/>
              <w:jc w:val="left"/>
              <w:rPr>
                <w:rFonts w:ascii="Times New Roman" w:hAnsi="Times New Roman" w:cs="宋体"/>
                <w:color w:val="000000"/>
                <w:szCs w:val="24"/>
              </w:rPr>
            </w:pPr>
            <w:r>
              <w:rPr>
                <w:rFonts w:hint="eastAsia" w:ascii="Times New Roman" w:hAnsi="Times New Roman" w:cs="宋体"/>
                <w:color w:val="000000"/>
                <w:szCs w:val="24"/>
              </w:rPr>
              <w:t>（5）未提供相关内容的不得分。</w:t>
            </w:r>
          </w:p>
        </w:tc>
      </w:tr>
      <w:tr w14:paraId="46A51A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5C16AECB">
            <w:pPr>
              <w:widowControl/>
              <w:jc w:val="center"/>
              <w:rPr>
                <w:rFonts w:ascii="Times New Roman" w:hAnsi="Times New Roman" w:cs="宋体"/>
                <w:color w:val="000000"/>
                <w:szCs w:val="24"/>
              </w:rPr>
            </w:pPr>
            <w:r>
              <w:rPr>
                <w:rFonts w:hint="eastAsia" w:ascii="Times New Roman" w:hAnsi="Times New Roman" w:cs="宋体"/>
                <w:color w:val="000000"/>
                <w:szCs w:val="24"/>
              </w:rPr>
              <w:t>断面水质监测及分析方案</w:t>
            </w:r>
          </w:p>
        </w:tc>
        <w:tc>
          <w:tcPr>
            <w:tcW w:w="1028" w:type="dxa"/>
            <w:vAlign w:val="center"/>
          </w:tcPr>
          <w:p w14:paraId="36455454">
            <w:pPr>
              <w:widowControl/>
              <w:jc w:val="center"/>
              <w:rPr>
                <w:rFonts w:ascii="Times New Roman" w:hAnsi="Times New Roman" w:cs="宋体"/>
                <w:color w:val="000000"/>
                <w:szCs w:val="24"/>
              </w:rPr>
            </w:pPr>
            <w:r>
              <w:rPr>
                <w:rFonts w:hint="eastAsia" w:ascii="Times New Roman" w:hAnsi="Times New Roman" w:cs="宋体"/>
                <w:color w:val="000000"/>
                <w:szCs w:val="24"/>
              </w:rPr>
              <w:t>9.00</w:t>
            </w:r>
          </w:p>
        </w:tc>
        <w:tc>
          <w:tcPr>
            <w:tcW w:w="6431" w:type="dxa"/>
            <w:vAlign w:val="center"/>
          </w:tcPr>
          <w:p w14:paraId="0FEF7124">
            <w:pPr>
              <w:widowControl/>
              <w:spacing w:line="400" w:lineRule="exact"/>
              <w:jc w:val="left"/>
              <w:rPr>
                <w:rFonts w:ascii="Times New Roman" w:hAnsi="Times New Roman" w:cs="宋体"/>
                <w:color w:val="000000"/>
                <w:szCs w:val="24"/>
              </w:rPr>
            </w:pPr>
            <w:r>
              <w:rPr>
                <w:rFonts w:ascii="Times New Roman" w:hAnsi="Times New Roman" w:cs="宋体"/>
                <w:color w:val="000000"/>
                <w:szCs w:val="24"/>
              </w:rPr>
              <w:t>评标委员会根据投标人提供的断面水质监测及分析方案进行综合评审，评审内容包括检测项目覆盖、采样布点与频次、检测方法与质控体系、响应时效与服务承诺、样品流转与数据报送、异常水质应急处置、人员设备保障、资料归档与移交、实验室安全管理等方面。</w:t>
            </w:r>
            <w:r>
              <w:rPr>
                <w:rFonts w:hint="eastAsia" w:ascii="Times New Roman" w:hAnsi="Times New Roman" w:cs="宋体"/>
                <w:color w:val="000000"/>
                <w:szCs w:val="24"/>
              </w:rPr>
              <w:t>（1）</w:t>
            </w:r>
            <w:r>
              <w:rPr>
                <w:rFonts w:ascii="Times New Roman" w:hAnsi="Times New Roman" w:cs="宋体"/>
                <w:color w:val="000000"/>
                <w:szCs w:val="24"/>
              </w:rPr>
              <w:t>方案全面详尽，针对性及科学可行性高，检测规划完全贴合项目实际，质控体系严谨完善，响应时效快捷，服务承诺全面详实，优于采购需求</w:t>
            </w:r>
            <w:r>
              <w:rPr>
                <w:rFonts w:hint="eastAsia" w:ascii="Times New Roman" w:hAnsi="Times New Roman" w:cs="宋体"/>
                <w:color w:val="000000"/>
                <w:szCs w:val="24"/>
              </w:rPr>
              <w:t>；得</w:t>
            </w:r>
            <w:r>
              <w:rPr>
                <w:rFonts w:ascii="Times New Roman" w:hAnsi="Times New Roman" w:cs="宋体"/>
                <w:color w:val="000000"/>
                <w:szCs w:val="24"/>
              </w:rPr>
              <w:t>9</w:t>
            </w:r>
            <w:r>
              <w:rPr>
                <w:rFonts w:hint="eastAsia" w:ascii="Times New Roman" w:hAnsi="Times New Roman" w:cs="宋体"/>
                <w:color w:val="000000"/>
                <w:szCs w:val="24"/>
              </w:rPr>
              <w:t>分。（2）</w:t>
            </w:r>
            <w:r>
              <w:rPr>
                <w:rFonts w:ascii="Times New Roman" w:hAnsi="Times New Roman" w:cs="宋体"/>
                <w:color w:val="000000"/>
                <w:szCs w:val="24"/>
              </w:rPr>
              <w:t>方案比较完整，针对性及可行性较高，检测规划合理合规，质控体系较为完善，响应时效较快，服务承诺较为全面，较好满足采购需求</w:t>
            </w:r>
            <w:r>
              <w:rPr>
                <w:rFonts w:hint="eastAsia" w:ascii="Times New Roman" w:hAnsi="Times New Roman" w:cs="宋体"/>
                <w:color w:val="000000"/>
                <w:szCs w:val="24"/>
              </w:rPr>
              <w:t>；得6分。（3）</w:t>
            </w:r>
            <w:r>
              <w:rPr>
                <w:rFonts w:ascii="Times New Roman" w:hAnsi="Times New Roman" w:cs="宋体"/>
                <w:color w:val="000000"/>
                <w:szCs w:val="24"/>
              </w:rPr>
              <w:t>方案基本完整，具备基本针对性与可行性，核心检测规划齐全，质控体系基本完备，响应时效及服务承诺覆盖主要方面，满足采购需求最低要求</w:t>
            </w:r>
            <w:r>
              <w:rPr>
                <w:rFonts w:hint="eastAsia" w:ascii="Times New Roman" w:hAnsi="Times New Roman" w:cs="宋体"/>
                <w:color w:val="000000"/>
                <w:szCs w:val="24"/>
              </w:rPr>
              <w:t>；得</w:t>
            </w:r>
            <w:r>
              <w:rPr>
                <w:rFonts w:ascii="Times New Roman" w:hAnsi="Times New Roman" w:cs="宋体"/>
                <w:color w:val="000000"/>
                <w:szCs w:val="24"/>
              </w:rPr>
              <w:t>3</w:t>
            </w:r>
            <w:r>
              <w:rPr>
                <w:rFonts w:hint="eastAsia" w:ascii="Times New Roman" w:hAnsi="Times New Roman" w:cs="宋体"/>
                <w:color w:val="000000"/>
                <w:szCs w:val="24"/>
              </w:rPr>
              <w:t>分。（4）</w:t>
            </w:r>
            <w:r>
              <w:rPr>
                <w:rFonts w:ascii="Times New Roman" w:hAnsi="Times New Roman" w:cs="宋体"/>
                <w:color w:val="000000"/>
                <w:szCs w:val="24"/>
              </w:rPr>
              <w:t>方案不够全面，针对性及可行性不足，未充分结合项目实际，检测规划、质控体系、服务承诺等关键环节存在明显欠缺，经调整后尚能满足</w:t>
            </w:r>
            <w:r>
              <w:rPr>
                <w:rFonts w:hint="eastAsia" w:ascii="Times New Roman" w:hAnsi="Times New Roman" w:cs="宋体"/>
                <w:color w:val="000000"/>
                <w:szCs w:val="24"/>
              </w:rPr>
              <w:t>；得</w:t>
            </w:r>
            <w:r>
              <w:rPr>
                <w:rFonts w:ascii="Times New Roman" w:hAnsi="Times New Roman" w:cs="宋体"/>
                <w:color w:val="000000"/>
                <w:szCs w:val="24"/>
              </w:rPr>
              <w:t>1</w:t>
            </w:r>
            <w:r>
              <w:rPr>
                <w:rFonts w:hint="eastAsia" w:ascii="Times New Roman" w:hAnsi="Times New Roman" w:cs="宋体"/>
                <w:color w:val="000000"/>
                <w:szCs w:val="24"/>
              </w:rPr>
              <w:t>分。（</w:t>
            </w:r>
            <w:r>
              <w:rPr>
                <w:rFonts w:ascii="Times New Roman" w:hAnsi="Times New Roman" w:cs="宋体"/>
                <w:color w:val="000000"/>
                <w:szCs w:val="24"/>
              </w:rPr>
              <w:t>5</w:t>
            </w:r>
            <w:r>
              <w:rPr>
                <w:rFonts w:hint="eastAsia" w:ascii="Times New Roman" w:hAnsi="Times New Roman" w:cs="宋体"/>
                <w:color w:val="000000"/>
                <w:szCs w:val="24"/>
              </w:rPr>
              <w:t>）未提供相关内容的不得分。</w:t>
            </w:r>
          </w:p>
        </w:tc>
      </w:tr>
      <w:tr w14:paraId="16A5A8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47A1BF25">
            <w:pPr>
              <w:widowControl/>
              <w:jc w:val="center"/>
              <w:rPr>
                <w:rFonts w:ascii="Times New Roman" w:hAnsi="Times New Roman" w:cs="宋体"/>
                <w:color w:val="000000"/>
                <w:szCs w:val="24"/>
              </w:rPr>
            </w:pPr>
            <w:r>
              <w:rPr>
                <w:rFonts w:hint="eastAsia" w:ascii="Times New Roman" w:hAnsi="Times New Roman" w:cs="宋体"/>
                <w:color w:val="000000"/>
                <w:szCs w:val="24"/>
              </w:rPr>
              <w:t>河道污染源溯源排查分析方案</w:t>
            </w:r>
          </w:p>
        </w:tc>
        <w:tc>
          <w:tcPr>
            <w:tcW w:w="1028" w:type="dxa"/>
            <w:vAlign w:val="center"/>
          </w:tcPr>
          <w:p w14:paraId="4E1488C2">
            <w:pPr>
              <w:widowControl/>
              <w:jc w:val="center"/>
              <w:rPr>
                <w:rFonts w:ascii="Times New Roman" w:hAnsi="Times New Roman" w:cs="宋体"/>
                <w:color w:val="000000"/>
                <w:szCs w:val="24"/>
              </w:rPr>
            </w:pPr>
            <w:r>
              <w:rPr>
                <w:rFonts w:hint="eastAsia" w:ascii="Times New Roman" w:hAnsi="Times New Roman" w:cs="宋体"/>
                <w:color w:val="000000"/>
                <w:szCs w:val="24"/>
              </w:rPr>
              <w:t>9.00</w:t>
            </w:r>
          </w:p>
        </w:tc>
        <w:tc>
          <w:tcPr>
            <w:tcW w:w="6431" w:type="dxa"/>
            <w:vAlign w:val="center"/>
          </w:tcPr>
          <w:p w14:paraId="5EB2C5DB">
            <w:pPr>
              <w:widowControl/>
              <w:spacing w:line="400" w:lineRule="exact"/>
              <w:jc w:val="left"/>
              <w:rPr>
                <w:rFonts w:ascii="Times New Roman" w:hAnsi="Times New Roman" w:cs="宋体"/>
                <w:color w:val="000000"/>
                <w:szCs w:val="24"/>
              </w:rPr>
            </w:pPr>
            <w:r>
              <w:rPr>
                <w:rFonts w:ascii="Times New Roman" w:hAnsi="Times New Roman" w:cs="宋体"/>
                <w:color w:val="000000"/>
                <w:szCs w:val="24"/>
              </w:rPr>
              <w:t>评标委员会根据投标人提供的河道污染源溯源排查分析方案进行综合评审，评审内容包括排查范围与目标点位、技术路线与溯源方法、污染源分类判定标准、实施计划与频次、数据采集与分析研判、成果报告编制与报送、整改跟踪与验证、应急响应预案、人员设备配置、质量控制体系、资料归档与移交等方面。</w:t>
            </w:r>
            <w:r>
              <w:rPr>
                <w:rFonts w:hint="eastAsia" w:ascii="Times New Roman" w:hAnsi="Times New Roman" w:cs="宋体"/>
                <w:color w:val="000000"/>
                <w:szCs w:val="24"/>
              </w:rPr>
              <w:t>（1）</w:t>
            </w:r>
            <w:r>
              <w:rPr>
                <w:rFonts w:ascii="Times New Roman" w:hAnsi="Times New Roman" w:cs="宋体"/>
                <w:color w:val="000000"/>
                <w:szCs w:val="24"/>
              </w:rPr>
              <w:t>方案全面详尽，针对性极强，完全贴合项目实际，技术路线科学严谨，判定标准清晰，分析研判与成果报送机制完善，应急响应快捷，质量管控体系健全，优于采购需求</w:t>
            </w:r>
            <w:r>
              <w:rPr>
                <w:rFonts w:hint="eastAsia" w:ascii="Times New Roman" w:hAnsi="Times New Roman" w:cs="宋体"/>
                <w:color w:val="000000"/>
                <w:szCs w:val="24"/>
              </w:rPr>
              <w:t>；得</w:t>
            </w:r>
            <w:r>
              <w:rPr>
                <w:rFonts w:ascii="Times New Roman" w:hAnsi="Times New Roman" w:cs="宋体"/>
                <w:color w:val="000000"/>
                <w:szCs w:val="24"/>
              </w:rPr>
              <w:t>9</w:t>
            </w:r>
            <w:r>
              <w:rPr>
                <w:rFonts w:hint="eastAsia" w:ascii="Times New Roman" w:hAnsi="Times New Roman" w:cs="宋体"/>
                <w:color w:val="000000"/>
                <w:szCs w:val="24"/>
              </w:rPr>
              <w:t>分。（2）</w:t>
            </w:r>
            <w:r>
              <w:rPr>
                <w:rFonts w:ascii="Times New Roman" w:hAnsi="Times New Roman" w:cs="宋体"/>
                <w:color w:val="000000"/>
                <w:szCs w:val="24"/>
              </w:rPr>
              <w:t>方案较为完整，针对性较强，技术路线合理可行，判定标准明确，各项机制较为完善，可操作性较高，能够较好满足采购需求</w:t>
            </w:r>
            <w:r>
              <w:rPr>
                <w:rFonts w:hint="eastAsia" w:ascii="Times New Roman" w:hAnsi="Times New Roman" w:cs="宋体"/>
                <w:color w:val="000000"/>
                <w:szCs w:val="24"/>
              </w:rPr>
              <w:t>；得</w:t>
            </w:r>
            <w:r>
              <w:rPr>
                <w:rFonts w:ascii="Times New Roman" w:hAnsi="Times New Roman" w:cs="宋体"/>
                <w:color w:val="000000"/>
                <w:szCs w:val="24"/>
              </w:rPr>
              <w:t>6</w:t>
            </w:r>
            <w:r>
              <w:rPr>
                <w:rFonts w:hint="eastAsia" w:ascii="Times New Roman" w:hAnsi="Times New Roman" w:cs="宋体"/>
                <w:color w:val="000000"/>
                <w:szCs w:val="24"/>
              </w:rPr>
              <w:t>分。（3）</w:t>
            </w:r>
            <w:r>
              <w:rPr>
                <w:rFonts w:ascii="Times New Roman" w:hAnsi="Times New Roman" w:cs="宋体"/>
                <w:color w:val="000000"/>
                <w:szCs w:val="24"/>
              </w:rPr>
              <w:t>方案基本完整，具备基本针对性，核心要素齐全，技术路线基本合规，主要机制有所覆盖，具备基本可行性，满足采购需求最低要求</w:t>
            </w:r>
            <w:r>
              <w:rPr>
                <w:rFonts w:hint="eastAsia" w:ascii="Times New Roman" w:hAnsi="Times New Roman" w:cs="宋体"/>
                <w:color w:val="000000"/>
                <w:szCs w:val="24"/>
              </w:rPr>
              <w:t>；得</w:t>
            </w:r>
            <w:r>
              <w:rPr>
                <w:rFonts w:ascii="Times New Roman" w:hAnsi="Times New Roman" w:cs="宋体"/>
                <w:color w:val="000000"/>
                <w:szCs w:val="24"/>
              </w:rPr>
              <w:t>3</w:t>
            </w:r>
            <w:r>
              <w:rPr>
                <w:rFonts w:hint="eastAsia" w:ascii="Times New Roman" w:hAnsi="Times New Roman" w:cs="宋体"/>
                <w:color w:val="000000"/>
                <w:szCs w:val="24"/>
              </w:rPr>
              <w:t>分。（4）</w:t>
            </w:r>
            <w:r>
              <w:rPr>
                <w:rFonts w:ascii="Times New Roman" w:hAnsi="Times New Roman" w:cs="宋体"/>
                <w:color w:val="000000"/>
                <w:szCs w:val="24"/>
              </w:rPr>
              <w:t>方案不够全面，针对性不足，未充分结合项目实际，技术路线模糊，关键机制存在明显欠缺，可行性较差，经调整后尚能满足</w:t>
            </w:r>
            <w:r>
              <w:rPr>
                <w:rFonts w:hint="eastAsia" w:ascii="Times New Roman" w:hAnsi="Times New Roman" w:cs="宋体"/>
                <w:color w:val="000000"/>
                <w:szCs w:val="24"/>
              </w:rPr>
              <w:t>；得</w:t>
            </w:r>
            <w:r>
              <w:rPr>
                <w:rFonts w:ascii="Times New Roman" w:hAnsi="Times New Roman" w:cs="宋体"/>
                <w:color w:val="000000"/>
                <w:szCs w:val="24"/>
              </w:rPr>
              <w:t>1</w:t>
            </w:r>
            <w:r>
              <w:rPr>
                <w:rFonts w:hint="eastAsia" w:ascii="Times New Roman" w:hAnsi="Times New Roman" w:cs="宋体"/>
                <w:color w:val="000000"/>
                <w:szCs w:val="24"/>
              </w:rPr>
              <w:t>分。（5）未提供相关内容的不得分。</w:t>
            </w:r>
          </w:p>
        </w:tc>
      </w:tr>
      <w:tr w14:paraId="6A3FEF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1CD26380">
            <w:pPr>
              <w:widowControl/>
              <w:jc w:val="center"/>
              <w:rPr>
                <w:rFonts w:ascii="Times New Roman" w:hAnsi="Times New Roman" w:cs="宋体"/>
                <w:color w:val="000000"/>
                <w:szCs w:val="24"/>
              </w:rPr>
            </w:pPr>
            <w:r>
              <w:rPr>
                <w:rFonts w:ascii="Times New Roman" w:hAnsi="Times New Roman" w:cs="宋体"/>
                <w:color w:val="000000"/>
                <w:szCs w:val="24"/>
              </w:rPr>
              <w:t>断面水质提升方案</w:t>
            </w:r>
          </w:p>
        </w:tc>
        <w:tc>
          <w:tcPr>
            <w:tcW w:w="1028" w:type="dxa"/>
            <w:vAlign w:val="center"/>
          </w:tcPr>
          <w:p w14:paraId="1376F436">
            <w:pPr>
              <w:widowControl/>
              <w:jc w:val="center"/>
              <w:rPr>
                <w:rFonts w:ascii="Times New Roman" w:hAnsi="Times New Roman" w:cs="宋体"/>
                <w:color w:val="000000"/>
                <w:szCs w:val="24"/>
              </w:rPr>
            </w:pPr>
            <w:r>
              <w:rPr>
                <w:rFonts w:hint="eastAsia" w:ascii="Times New Roman" w:hAnsi="Times New Roman" w:cs="宋体"/>
                <w:color w:val="000000"/>
                <w:szCs w:val="24"/>
              </w:rPr>
              <w:t>9.00</w:t>
            </w:r>
          </w:p>
        </w:tc>
        <w:tc>
          <w:tcPr>
            <w:tcW w:w="6431" w:type="dxa"/>
            <w:vAlign w:val="center"/>
          </w:tcPr>
          <w:p w14:paraId="4DC38F64">
            <w:pPr>
              <w:widowControl/>
              <w:spacing w:line="400" w:lineRule="exact"/>
              <w:jc w:val="left"/>
              <w:rPr>
                <w:rFonts w:ascii="Times New Roman" w:hAnsi="Times New Roman" w:cs="宋体"/>
                <w:color w:val="000000"/>
                <w:szCs w:val="24"/>
              </w:rPr>
            </w:pPr>
            <w:r>
              <w:rPr>
                <w:rFonts w:ascii="Times New Roman" w:hAnsi="Times New Roman" w:cs="宋体"/>
                <w:color w:val="000000"/>
                <w:szCs w:val="24"/>
              </w:rPr>
              <w:t>评标委员会根据投标人提供的断面水质提升方案进行综合评审，评审内容包括水质现状研判与问题根源诊断、提升目标与考核指标分解、技术路径与措施选型、分阶段实施计划与进度管控、工程与管理类措施落地保障、动态跟踪监测与效果评估验证、水质反弹风险预判与应急调控、人员与设备物资保障、长效运维管护机制、成果资料归档与移交等方面。</w:t>
            </w:r>
            <w:r>
              <w:rPr>
                <w:rFonts w:hint="eastAsia" w:ascii="Times New Roman" w:hAnsi="Times New Roman" w:cs="宋体"/>
                <w:color w:val="000000"/>
                <w:szCs w:val="24"/>
              </w:rPr>
              <w:t>（1）</w:t>
            </w:r>
            <w:r>
              <w:rPr>
                <w:rFonts w:ascii="Times New Roman" w:hAnsi="Times New Roman" w:cs="宋体"/>
                <w:color w:val="000000"/>
                <w:szCs w:val="24"/>
              </w:rPr>
              <w:t>方案全面详尽，针对性极强，深度贴合断面水质实际工况，问题诊断精准，技术路径科学高效，进度可控，效果验证与应急机制完善，保障体系健全，优于采购需求</w:t>
            </w:r>
            <w:r>
              <w:rPr>
                <w:rFonts w:hint="eastAsia" w:ascii="Times New Roman" w:hAnsi="Times New Roman" w:cs="宋体"/>
                <w:color w:val="000000"/>
                <w:szCs w:val="24"/>
              </w:rPr>
              <w:t>；得</w:t>
            </w:r>
            <w:r>
              <w:rPr>
                <w:rFonts w:ascii="Times New Roman" w:hAnsi="Times New Roman" w:cs="宋体"/>
                <w:color w:val="000000"/>
                <w:szCs w:val="24"/>
              </w:rPr>
              <w:t>9</w:t>
            </w:r>
            <w:r>
              <w:rPr>
                <w:rFonts w:hint="eastAsia" w:ascii="Times New Roman" w:hAnsi="Times New Roman" w:cs="宋体"/>
                <w:color w:val="000000"/>
                <w:szCs w:val="24"/>
              </w:rPr>
              <w:t>分。（2）</w:t>
            </w:r>
            <w:r>
              <w:rPr>
                <w:rFonts w:ascii="Times New Roman" w:hAnsi="Times New Roman" w:cs="宋体"/>
                <w:color w:val="000000"/>
                <w:szCs w:val="24"/>
              </w:rPr>
              <w:t>方案比较完整，针对性较强，问题诊断较为准确，技术路径合理可行，进度清晰，效果验证、应急与保障体系较为完善，较好满足采购需求</w:t>
            </w:r>
            <w:r>
              <w:rPr>
                <w:rFonts w:hint="eastAsia" w:ascii="Times New Roman" w:hAnsi="Times New Roman" w:cs="宋体"/>
                <w:color w:val="000000"/>
                <w:szCs w:val="24"/>
              </w:rPr>
              <w:t>；得</w:t>
            </w:r>
            <w:r>
              <w:rPr>
                <w:rFonts w:ascii="Times New Roman" w:hAnsi="Times New Roman" w:cs="宋体"/>
                <w:color w:val="000000"/>
                <w:szCs w:val="24"/>
              </w:rPr>
              <w:t>6</w:t>
            </w:r>
            <w:r>
              <w:rPr>
                <w:rFonts w:hint="eastAsia" w:ascii="Times New Roman" w:hAnsi="Times New Roman" w:cs="宋体"/>
                <w:color w:val="000000"/>
                <w:szCs w:val="24"/>
              </w:rPr>
              <w:t>分。（3）</w:t>
            </w:r>
            <w:r>
              <w:rPr>
                <w:rFonts w:ascii="Times New Roman" w:hAnsi="Times New Roman" w:cs="宋体"/>
                <w:color w:val="000000"/>
                <w:szCs w:val="24"/>
              </w:rPr>
              <w:t>方案基本完整，具备基本针对性，核心要素齐全，技术路径基本合规，进度与保障体系覆盖主要方面，满足最低要求</w:t>
            </w:r>
            <w:r>
              <w:rPr>
                <w:rFonts w:hint="eastAsia" w:ascii="Times New Roman" w:hAnsi="Times New Roman" w:cs="宋体"/>
                <w:color w:val="000000"/>
                <w:szCs w:val="24"/>
              </w:rPr>
              <w:t>；得</w:t>
            </w:r>
            <w:r>
              <w:rPr>
                <w:rFonts w:ascii="Times New Roman" w:hAnsi="Times New Roman" w:cs="宋体"/>
                <w:color w:val="000000"/>
                <w:szCs w:val="24"/>
              </w:rPr>
              <w:t>3</w:t>
            </w:r>
            <w:r>
              <w:rPr>
                <w:rFonts w:hint="eastAsia" w:ascii="Times New Roman" w:hAnsi="Times New Roman" w:cs="宋体"/>
                <w:color w:val="000000"/>
                <w:szCs w:val="24"/>
              </w:rPr>
              <w:t>分。（4）</w:t>
            </w:r>
            <w:r>
              <w:rPr>
                <w:rFonts w:ascii="Times New Roman" w:hAnsi="Times New Roman" w:cs="宋体"/>
                <w:color w:val="000000"/>
                <w:szCs w:val="24"/>
              </w:rPr>
              <w:t>方案不够全面，针对性不足，未结合断面实际需求，问题诊断模糊，技术路径适用性差，关键机制存在欠缺，经调整后尚能满足</w:t>
            </w:r>
            <w:r>
              <w:rPr>
                <w:rFonts w:hint="eastAsia" w:ascii="Times New Roman" w:hAnsi="Times New Roman" w:cs="宋体"/>
                <w:color w:val="000000"/>
                <w:szCs w:val="24"/>
              </w:rPr>
              <w:t>；得</w:t>
            </w:r>
            <w:r>
              <w:rPr>
                <w:rFonts w:ascii="Times New Roman" w:hAnsi="Times New Roman" w:cs="宋体"/>
                <w:color w:val="000000"/>
                <w:szCs w:val="24"/>
              </w:rPr>
              <w:t>1</w:t>
            </w:r>
            <w:r>
              <w:rPr>
                <w:rFonts w:hint="eastAsia" w:ascii="Times New Roman" w:hAnsi="Times New Roman" w:cs="宋体"/>
                <w:color w:val="000000"/>
                <w:szCs w:val="24"/>
              </w:rPr>
              <w:t>分。（5）未提供相关内容的不得分。</w:t>
            </w:r>
          </w:p>
        </w:tc>
      </w:tr>
      <w:tr w14:paraId="3DD302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646" w:type="dxa"/>
            <w:vAlign w:val="center"/>
          </w:tcPr>
          <w:p w14:paraId="43D8D514">
            <w:pPr>
              <w:widowControl/>
              <w:jc w:val="center"/>
              <w:rPr>
                <w:rFonts w:ascii="Times New Roman" w:hAnsi="Times New Roman" w:cs="宋体"/>
                <w:color w:val="000000"/>
                <w:szCs w:val="24"/>
              </w:rPr>
            </w:pPr>
            <w:r>
              <w:rPr>
                <w:rFonts w:ascii="Times New Roman" w:hAnsi="Times New Roman" w:cs="宋体"/>
                <w:color w:val="000000"/>
                <w:szCs w:val="24"/>
              </w:rPr>
              <w:t>项目质量管理及售后服务保障措施方案</w:t>
            </w:r>
          </w:p>
        </w:tc>
        <w:tc>
          <w:tcPr>
            <w:tcW w:w="1028" w:type="dxa"/>
            <w:vAlign w:val="center"/>
          </w:tcPr>
          <w:p w14:paraId="1F80CCAB">
            <w:pPr>
              <w:widowControl/>
              <w:jc w:val="center"/>
              <w:rPr>
                <w:rFonts w:ascii="Times New Roman" w:hAnsi="Times New Roman" w:cs="宋体"/>
                <w:color w:val="000000"/>
                <w:szCs w:val="24"/>
              </w:rPr>
            </w:pPr>
            <w:r>
              <w:rPr>
                <w:rFonts w:ascii="Times New Roman" w:hAnsi="Times New Roman" w:cs="宋体"/>
                <w:color w:val="000000"/>
                <w:szCs w:val="24"/>
              </w:rPr>
              <w:t>7</w:t>
            </w:r>
            <w:r>
              <w:rPr>
                <w:rFonts w:hint="eastAsia" w:ascii="Times New Roman" w:hAnsi="Times New Roman" w:cs="宋体"/>
                <w:color w:val="000000"/>
                <w:szCs w:val="24"/>
              </w:rPr>
              <w:t>.00</w:t>
            </w:r>
          </w:p>
        </w:tc>
        <w:tc>
          <w:tcPr>
            <w:tcW w:w="6431" w:type="dxa"/>
            <w:vAlign w:val="center"/>
          </w:tcPr>
          <w:p w14:paraId="603A62B6">
            <w:pPr>
              <w:widowControl/>
              <w:spacing w:line="400" w:lineRule="exact"/>
              <w:jc w:val="left"/>
              <w:rPr>
                <w:rFonts w:ascii="Times New Roman" w:hAnsi="Times New Roman" w:cs="宋体"/>
                <w:color w:val="000000"/>
                <w:szCs w:val="24"/>
              </w:rPr>
            </w:pPr>
            <w:r>
              <w:rPr>
                <w:rFonts w:ascii="Times New Roman" w:hAnsi="Times New Roman" w:cs="宋体"/>
                <w:color w:val="000000"/>
                <w:szCs w:val="24"/>
              </w:rPr>
              <w:t>评标委员会根据投标人提供的项目质量管理及售后服务保障措施方案</w:t>
            </w:r>
            <w:r>
              <w:rPr>
                <w:rFonts w:hint="eastAsia" w:ascii="Times New Roman" w:hAnsi="Times New Roman" w:cs="宋体"/>
                <w:color w:val="000000"/>
                <w:szCs w:val="24"/>
              </w:rPr>
              <w:t>，主要内容包括</w:t>
            </w:r>
            <w:r>
              <w:rPr>
                <w:rFonts w:ascii="Times New Roman" w:hAnsi="Times New Roman" w:cs="宋体"/>
                <w:color w:val="000000"/>
                <w:szCs w:val="24"/>
              </w:rPr>
              <w:t>组织架构、全流程管控、关键质控点、内审整改闭环、考核追溯、售后响应时效与分级处置、驻场值守、备品备件、应急预案、客户回访、长效运维、档案管理等内容进行评审：</w:t>
            </w:r>
            <w:r>
              <w:rPr>
                <w:rFonts w:hint="eastAsia" w:ascii="Times New Roman" w:hAnsi="Times New Roman" w:cs="宋体"/>
                <w:color w:val="000000"/>
                <w:szCs w:val="24"/>
              </w:rPr>
              <w:t>（1）</w:t>
            </w:r>
            <w:r>
              <w:rPr>
                <w:rFonts w:ascii="Times New Roman" w:hAnsi="Times New Roman" w:cs="宋体"/>
                <w:color w:val="000000"/>
                <w:szCs w:val="24"/>
              </w:rPr>
              <w:t>方案内容全面详尽、针对性极强，完全贴合本项目水环境服务实际工况，体系严谨、全流程闭环完善，售后响应快捷高效，考核追溯清晰可落地，明显优于采购需求，得7分</w:t>
            </w:r>
            <w:r>
              <w:rPr>
                <w:rFonts w:hint="eastAsia" w:ascii="Times New Roman" w:hAnsi="Times New Roman" w:cs="宋体"/>
                <w:color w:val="000000"/>
                <w:szCs w:val="24"/>
              </w:rPr>
              <w:t>。（2）</w:t>
            </w:r>
            <w:r>
              <w:rPr>
                <w:rFonts w:ascii="Times New Roman" w:hAnsi="Times New Roman" w:cs="宋体"/>
                <w:color w:val="000000"/>
                <w:szCs w:val="24"/>
              </w:rPr>
              <w:t>方案比较完整、针对性较强，体系较完善、核心管控明确，响应速度较快，能满足采购需求，得5分</w:t>
            </w:r>
            <w:r>
              <w:rPr>
                <w:rFonts w:hint="eastAsia" w:ascii="Times New Roman" w:hAnsi="Times New Roman" w:cs="宋体"/>
                <w:color w:val="000000"/>
                <w:szCs w:val="24"/>
              </w:rPr>
              <w:t>。（3）</w:t>
            </w:r>
            <w:r>
              <w:rPr>
                <w:rFonts w:ascii="Times New Roman" w:hAnsi="Times New Roman" w:cs="宋体"/>
                <w:color w:val="000000"/>
                <w:szCs w:val="24"/>
              </w:rPr>
              <w:t>方案基本完整、具备基本针对性，核心要素齐全、覆盖主要环节，基本可行，得3分</w:t>
            </w:r>
            <w:r>
              <w:rPr>
                <w:rFonts w:hint="eastAsia" w:ascii="Times New Roman" w:hAnsi="Times New Roman" w:cs="宋体"/>
                <w:color w:val="000000"/>
                <w:szCs w:val="24"/>
              </w:rPr>
              <w:t>。（4）</w:t>
            </w:r>
            <w:r>
              <w:rPr>
                <w:rFonts w:ascii="Times New Roman" w:hAnsi="Times New Roman" w:cs="宋体"/>
                <w:color w:val="000000"/>
                <w:szCs w:val="24"/>
              </w:rPr>
              <w:t>方案不够全面、针对性不足，未结合项目实际，存在明显欠缺，调整后可满足需求，得1分</w:t>
            </w:r>
            <w:r>
              <w:rPr>
                <w:rFonts w:hint="eastAsia" w:ascii="Times New Roman" w:hAnsi="Times New Roman" w:cs="宋体"/>
                <w:color w:val="000000"/>
                <w:szCs w:val="24"/>
              </w:rPr>
              <w:t>。（5）未提供相关内容的不得分。</w:t>
            </w:r>
          </w:p>
        </w:tc>
      </w:tr>
      <w:bookmarkEnd w:id="118"/>
    </w:tbl>
    <w:p w14:paraId="14BB7748">
      <w:pPr>
        <w:keepNext/>
        <w:keepLines/>
        <w:pageBreakBefore/>
        <w:jc w:val="center"/>
        <w:outlineLvl w:val="0"/>
        <w:rPr>
          <w:b/>
          <w:sz w:val="44"/>
          <w:szCs w:val="44"/>
        </w:rPr>
      </w:pPr>
      <w:bookmarkStart w:id="127" w:name="_Toc2916"/>
      <w:bookmarkStart w:id="128" w:name="_Toc81575205"/>
      <w:bookmarkStart w:id="129" w:name="_Toc12255"/>
      <w:bookmarkStart w:id="130" w:name="_Toc23973"/>
      <w:bookmarkStart w:id="131" w:name="_Toc81575168"/>
      <w:r>
        <w:rPr>
          <w:rFonts w:hint="eastAsia"/>
          <w:b/>
          <w:sz w:val="44"/>
          <w:szCs w:val="44"/>
        </w:rPr>
        <w:t>第四章</w:t>
      </w:r>
      <w:r>
        <w:rPr>
          <w:b/>
          <w:sz w:val="44"/>
          <w:szCs w:val="44"/>
        </w:rPr>
        <w:t xml:space="preserve">  </w:t>
      </w:r>
      <w:r>
        <w:rPr>
          <w:rFonts w:hint="eastAsia"/>
          <w:b/>
          <w:sz w:val="44"/>
          <w:szCs w:val="44"/>
        </w:rPr>
        <w:t>采购需求</w:t>
      </w:r>
      <w:bookmarkEnd w:id="116"/>
      <w:bookmarkEnd w:id="127"/>
      <w:bookmarkEnd w:id="128"/>
      <w:bookmarkEnd w:id="129"/>
      <w:bookmarkEnd w:id="130"/>
      <w:bookmarkEnd w:id="131"/>
    </w:p>
    <w:p w14:paraId="039C762C">
      <w:pPr>
        <w:spacing w:before="240" w:after="120" w:line="360" w:lineRule="auto"/>
        <w:rPr>
          <w:rFonts w:cs="Courier New"/>
          <w:color w:val="000000"/>
          <w:sz w:val="24"/>
          <w:szCs w:val="24"/>
        </w:rPr>
      </w:pPr>
      <w:r>
        <w:rPr>
          <w:rFonts w:hint="eastAsia" w:cs="Courier New"/>
          <w:color w:val="000000"/>
          <w:sz w:val="24"/>
          <w:szCs w:val="24"/>
        </w:rPr>
        <w:t>项目属性：服务类项目。</w:t>
      </w:r>
    </w:p>
    <w:p w14:paraId="771A06B2">
      <w:pPr>
        <w:spacing w:before="240" w:after="120" w:line="360" w:lineRule="auto"/>
        <w:rPr>
          <w:rFonts w:cs="Courier New"/>
          <w:color w:val="000000"/>
          <w:sz w:val="24"/>
          <w:szCs w:val="24"/>
        </w:rPr>
      </w:pPr>
      <w:r>
        <w:rPr>
          <w:rFonts w:hint="eastAsia" w:cs="Courier New"/>
          <w:color w:val="000000"/>
          <w:sz w:val="24"/>
          <w:szCs w:val="24"/>
        </w:rPr>
        <w:t>本项目采购标的对应的中小企业划分标准所属行业：</w:t>
      </w:r>
      <w:r>
        <w:rPr>
          <w:rFonts w:hint="eastAsia" w:cs="Courier New"/>
          <w:color w:val="000000"/>
          <w:sz w:val="24"/>
          <w:szCs w:val="24"/>
          <w:u w:val="single"/>
        </w:rPr>
        <w:t>其他未列明行业</w:t>
      </w:r>
    </w:p>
    <w:p w14:paraId="1D8D9E1D">
      <w:pPr>
        <w:spacing w:before="240" w:after="120" w:line="360" w:lineRule="auto"/>
        <w:rPr>
          <w:rFonts w:cs="Courier New"/>
          <w:color w:val="000000"/>
          <w:sz w:val="24"/>
          <w:szCs w:val="24"/>
        </w:rPr>
      </w:pPr>
      <w:r>
        <w:rPr>
          <w:rFonts w:hint="eastAsia" w:cs="Courier New"/>
          <w:color w:val="000000"/>
          <w:sz w:val="24"/>
          <w:szCs w:val="24"/>
        </w:rPr>
        <w:t>本项目</w:t>
      </w:r>
      <w:r>
        <w:rPr>
          <w:rFonts w:hint="eastAsia" w:cs="Courier New"/>
          <w:color w:val="000000"/>
          <w:sz w:val="24"/>
          <w:szCs w:val="24"/>
          <w:u w:val="single"/>
        </w:rPr>
        <w:t xml:space="preserve"> 不接受 </w:t>
      </w:r>
      <w:r>
        <w:rPr>
          <w:rFonts w:hint="eastAsia" w:cs="Courier New"/>
          <w:color w:val="000000"/>
          <w:sz w:val="24"/>
          <w:szCs w:val="24"/>
        </w:rPr>
        <w:t>（接受/不接受）进口产品。</w:t>
      </w:r>
    </w:p>
    <w:p w14:paraId="4415DB7E">
      <w:pPr>
        <w:snapToGrid w:val="0"/>
        <w:spacing w:line="360" w:lineRule="auto"/>
        <w:ind w:firstLine="562" w:firstLineChars="200"/>
        <w:rPr>
          <w:rFonts w:ascii="宋体" w:hAnsi="宋体"/>
          <w:b/>
          <w:bCs/>
          <w:sz w:val="28"/>
          <w:szCs w:val="28"/>
        </w:rPr>
      </w:pPr>
      <w:r>
        <w:rPr>
          <w:rFonts w:hint="eastAsia" w:ascii="宋体" w:hAnsi="宋体"/>
          <w:b/>
          <w:bCs/>
          <w:sz w:val="28"/>
          <w:szCs w:val="28"/>
        </w:rPr>
        <w:t>一、项目概述</w:t>
      </w:r>
    </w:p>
    <w:p w14:paraId="289DB15F">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（一）项目编号：</w:t>
      </w:r>
      <w:r>
        <w:rPr>
          <w:rFonts w:ascii="Times New Roman" w:hAnsi="Times New Roman" w:cs="仿宋"/>
          <w:sz w:val="24"/>
          <w:szCs w:val="24"/>
        </w:rPr>
        <w:t xml:space="preserve"> </w:t>
      </w:r>
    </w:p>
    <w:p w14:paraId="7CA8BA0A">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（二）项目名称：</w:t>
      </w:r>
      <w:r>
        <w:rPr>
          <w:rFonts w:hint="eastAsia" w:ascii="Times New Roman" w:hAnsi="Times New Roman" w:cs="方正仿宋_GBK"/>
          <w:sz w:val="24"/>
          <w:szCs w:val="24"/>
        </w:rPr>
        <w:t>宿城区河道水环境质量驻场服务项目</w:t>
      </w:r>
    </w:p>
    <w:p w14:paraId="539A9D5E">
      <w:pPr>
        <w:spacing w:line="360" w:lineRule="auto"/>
        <w:ind w:firstLine="480" w:firstLineChars="200"/>
        <w:rPr>
          <w:rFonts w:ascii="Times New Roman" w:hAnsi="Times New Roman" w:cs="仿宋"/>
          <w:sz w:val="24"/>
          <w:szCs w:val="24"/>
        </w:rPr>
      </w:pPr>
      <w:r>
        <w:rPr>
          <w:rFonts w:hint="eastAsia" w:ascii="Times New Roman" w:hAnsi="Times New Roman" w:cs="仿宋"/>
          <w:sz w:val="24"/>
          <w:szCs w:val="24"/>
        </w:rPr>
        <w:t>（三）预算金额及</w:t>
      </w:r>
      <w:r>
        <w:rPr>
          <w:rFonts w:ascii="Times New Roman" w:hAnsi="Times New Roman" w:cs="仿宋"/>
          <w:sz w:val="24"/>
          <w:szCs w:val="24"/>
        </w:rPr>
        <w:t>最</w:t>
      </w:r>
      <w:r>
        <w:rPr>
          <w:rFonts w:hint="eastAsia" w:ascii="Times New Roman" w:hAnsi="Times New Roman" w:cs="仿宋"/>
          <w:sz w:val="24"/>
          <w:szCs w:val="24"/>
        </w:rPr>
        <w:t>高</w:t>
      </w:r>
      <w:r>
        <w:rPr>
          <w:rFonts w:ascii="Times New Roman" w:hAnsi="Times New Roman" w:cs="仿宋"/>
          <w:sz w:val="24"/>
          <w:szCs w:val="24"/>
        </w:rPr>
        <w:t>限价</w:t>
      </w:r>
      <w:r>
        <w:rPr>
          <w:rFonts w:hint="eastAsia" w:ascii="Times New Roman" w:hAnsi="Times New Roman" w:cs="仿宋"/>
          <w:sz w:val="24"/>
          <w:szCs w:val="24"/>
        </w:rPr>
        <w:t>：</w:t>
      </w:r>
      <w:r>
        <w:rPr>
          <w:rFonts w:ascii="Times New Roman" w:hAnsi="Times New Roman" w:cs="仿宋"/>
          <w:sz w:val="24"/>
          <w:szCs w:val="24"/>
        </w:rPr>
        <w:t>150</w:t>
      </w:r>
      <w:r>
        <w:rPr>
          <w:rFonts w:hint="eastAsia" w:ascii="Times New Roman" w:hAnsi="Times New Roman" w:cs="仿宋"/>
          <w:sz w:val="24"/>
          <w:szCs w:val="24"/>
        </w:rPr>
        <w:t>万元</w:t>
      </w:r>
    </w:p>
    <w:p w14:paraId="77915CB4">
      <w:pPr>
        <w:spacing w:line="360" w:lineRule="auto"/>
        <w:ind w:firstLine="480" w:firstLineChars="200"/>
        <w:rPr>
          <w:rFonts w:ascii="Times New Roman" w:hAnsi="Times New Roman" w:cs="方正仿宋_GBK"/>
          <w:sz w:val="24"/>
          <w:szCs w:val="24"/>
        </w:rPr>
      </w:pPr>
      <w:r>
        <w:rPr>
          <w:rFonts w:hint="eastAsia" w:ascii="Times New Roman" w:hAnsi="Times New Roman" w:cs="方正仿宋_GBK"/>
          <w:sz w:val="24"/>
          <w:szCs w:val="24"/>
        </w:rPr>
        <w:t>（四）合同履行期限：自合同签订并生效之日起</w:t>
      </w:r>
      <w:r>
        <w:rPr>
          <w:rFonts w:ascii="Times New Roman" w:hAnsi="Times New Roman" w:cs="方正仿宋_GBK"/>
          <w:sz w:val="24"/>
          <w:szCs w:val="24"/>
        </w:rPr>
        <w:t>1</w:t>
      </w:r>
      <w:r>
        <w:rPr>
          <w:rFonts w:hint="eastAsia" w:ascii="Times New Roman" w:hAnsi="Times New Roman" w:cs="方正仿宋_GBK"/>
          <w:sz w:val="24"/>
          <w:szCs w:val="24"/>
        </w:rPr>
        <w:t>年</w:t>
      </w:r>
    </w:p>
    <w:p w14:paraId="50861287">
      <w:pPr>
        <w:spacing w:line="360" w:lineRule="auto"/>
        <w:ind w:firstLine="480" w:firstLineChars="200"/>
        <w:rPr>
          <w:rFonts w:ascii="Times New Roman" w:hAnsi="Times New Roman" w:cs="方正仿宋_GBK"/>
          <w:sz w:val="24"/>
          <w:szCs w:val="24"/>
        </w:rPr>
      </w:pPr>
      <w:r>
        <w:rPr>
          <w:rFonts w:hint="eastAsia" w:ascii="Times New Roman" w:hAnsi="Times New Roman" w:cs="方正仿宋_GBK"/>
          <w:sz w:val="24"/>
          <w:szCs w:val="24"/>
        </w:rPr>
        <w:t>（五）</w:t>
      </w:r>
      <w:r>
        <w:rPr>
          <w:rFonts w:hint="eastAsia" w:ascii="宋体" w:hAnsi="宋体" w:cs="宋体"/>
          <w:snapToGrid w:val="0"/>
          <w:sz w:val="24"/>
          <w:szCs w:val="24"/>
        </w:rPr>
        <w:t>地点：采购人指定地点。</w:t>
      </w:r>
    </w:p>
    <w:p w14:paraId="5DDA6C30">
      <w:pPr>
        <w:spacing w:line="360" w:lineRule="auto"/>
        <w:ind w:firstLine="480" w:firstLineChars="200"/>
        <w:rPr>
          <w:rFonts w:hint="eastAsia" w:ascii="宋体" w:hAnsi="宋体"/>
          <w:sz w:val="24"/>
          <w:szCs w:val="24"/>
          <w:highlight w:val="none"/>
        </w:rPr>
      </w:pPr>
      <w:r>
        <w:rPr>
          <w:rFonts w:hint="eastAsia" w:ascii="宋体" w:hAnsi="宋体"/>
          <w:sz w:val="24"/>
          <w:szCs w:val="24"/>
          <w:highlight w:val="none"/>
        </w:rPr>
        <w:t>（</w:t>
      </w:r>
      <w:r>
        <w:rPr>
          <w:rFonts w:hint="eastAsia" w:ascii="Times New Roman" w:hAnsi="Times New Roman" w:cs="方正仿宋_GBK"/>
          <w:sz w:val="24"/>
          <w:szCs w:val="24"/>
          <w:highlight w:val="none"/>
        </w:rPr>
        <w:t>六）付款方式：</w:t>
      </w:r>
    </w:p>
    <w:p w14:paraId="73DE3669">
      <w:pPr>
        <w:spacing w:line="360" w:lineRule="auto"/>
        <w:ind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1、合同签订</w:t>
      </w:r>
      <w:r>
        <w:rPr>
          <w:rFonts w:hint="eastAsia" w:ascii="宋体" w:hAnsi="宋体" w:cs="宋体"/>
          <w:b w:val="0"/>
          <w:bCs w:val="0"/>
          <w:color w:val="auto"/>
          <w:sz w:val="24"/>
          <w:szCs w:val="24"/>
          <w:highlight w:val="none"/>
          <w:lang w:val="en-US" w:eastAsia="zh-CN" w:bidi="ar-SA"/>
        </w:rPr>
        <w:t>后</w:t>
      </w:r>
      <w:r>
        <w:rPr>
          <w:rFonts w:hint="eastAsia" w:ascii="宋体" w:hAnsi="宋体" w:eastAsia="宋体" w:cs="宋体"/>
          <w:b w:val="0"/>
          <w:bCs w:val="0"/>
          <w:color w:val="auto"/>
          <w:sz w:val="24"/>
          <w:szCs w:val="24"/>
          <w:highlight w:val="none"/>
          <w:lang w:val="en-US" w:eastAsia="zh-CN" w:bidi="ar-SA"/>
        </w:rPr>
        <w:t>支付合同金额的10%作为</w:t>
      </w:r>
      <w:r>
        <w:rPr>
          <w:rFonts w:hint="eastAsia" w:ascii="宋体" w:hAnsi="宋体" w:cs="宋体"/>
          <w:b w:val="0"/>
          <w:bCs w:val="0"/>
          <w:color w:val="auto"/>
          <w:sz w:val="24"/>
          <w:szCs w:val="24"/>
          <w:highlight w:val="none"/>
          <w:lang w:val="en-US" w:eastAsia="zh-CN" w:bidi="ar-SA"/>
        </w:rPr>
        <w:t>预</w:t>
      </w:r>
      <w:r>
        <w:rPr>
          <w:rFonts w:hint="eastAsia" w:ascii="宋体" w:hAnsi="宋体" w:eastAsia="宋体" w:cs="宋体"/>
          <w:b w:val="0"/>
          <w:bCs w:val="0"/>
          <w:color w:val="auto"/>
          <w:sz w:val="24"/>
          <w:szCs w:val="24"/>
          <w:highlight w:val="none"/>
          <w:lang w:val="en-US" w:eastAsia="zh-CN" w:bidi="ar-SA"/>
        </w:rPr>
        <w:t>付款；</w:t>
      </w:r>
    </w:p>
    <w:p w14:paraId="3F98BA42">
      <w:pPr>
        <w:numPr>
          <w:ilvl w:val="0"/>
          <w:numId w:val="0"/>
        </w:numPr>
        <w:spacing w:line="360" w:lineRule="auto"/>
        <w:ind w:firstLine="480" w:firstLineChars="200"/>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2、所有服务内容完成并经验收合格后</w:t>
      </w:r>
      <w:r>
        <w:rPr>
          <w:rFonts w:hint="eastAsia" w:ascii="宋体" w:hAnsi="宋体" w:eastAsia="宋体" w:cs="宋体"/>
          <w:b w:val="0"/>
          <w:bCs w:val="0"/>
          <w:color w:val="auto"/>
          <w:sz w:val="24"/>
          <w:szCs w:val="24"/>
          <w:highlight w:val="none"/>
          <w:lang w:val="en-US" w:eastAsia="zh-CN" w:bidi="ar-SA"/>
        </w:rPr>
        <w:t>付</w:t>
      </w:r>
      <w:r>
        <w:rPr>
          <w:rFonts w:hint="eastAsia" w:ascii="宋体" w:hAnsi="宋体" w:cs="宋体"/>
          <w:b w:val="0"/>
          <w:bCs w:val="0"/>
          <w:color w:val="auto"/>
          <w:sz w:val="24"/>
          <w:szCs w:val="24"/>
          <w:highlight w:val="none"/>
          <w:lang w:val="en-US" w:eastAsia="zh-CN" w:bidi="ar-SA"/>
        </w:rPr>
        <w:t>至</w:t>
      </w:r>
      <w:r>
        <w:rPr>
          <w:rFonts w:hint="eastAsia" w:ascii="宋体" w:hAnsi="宋体" w:eastAsia="宋体" w:cs="宋体"/>
          <w:b w:val="0"/>
          <w:bCs w:val="0"/>
          <w:color w:val="auto"/>
          <w:sz w:val="24"/>
          <w:szCs w:val="24"/>
          <w:highlight w:val="none"/>
          <w:lang w:val="en-US" w:eastAsia="zh-CN" w:bidi="ar-SA"/>
        </w:rPr>
        <w:t>合同金额的</w:t>
      </w:r>
      <w:r>
        <w:rPr>
          <w:rFonts w:hint="eastAsia" w:ascii="宋体" w:hAnsi="宋体" w:cs="宋体"/>
          <w:b w:val="0"/>
          <w:bCs w:val="0"/>
          <w:color w:val="auto"/>
          <w:sz w:val="24"/>
          <w:szCs w:val="24"/>
          <w:highlight w:val="none"/>
          <w:lang w:val="en-US" w:eastAsia="zh-CN" w:bidi="ar-SA"/>
        </w:rPr>
        <w:t>6</w:t>
      </w:r>
      <w:r>
        <w:rPr>
          <w:rFonts w:hint="eastAsia" w:ascii="宋体" w:hAnsi="宋体" w:eastAsia="宋体" w:cs="宋体"/>
          <w:b w:val="0"/>
          <w:bCs w:val="0"/>
          <w:color w:val="auto"/>
          <w:sz w:val="24"/>
          <w:szCs w:val="24"/>
          <w:highlight w:val="none"/>
          <w:lang w:val="en-US" w:eastAsia="zh-CN" w:bidi="ar-SA"/>
        </w:rPr>
        <w:t>0%；</w:t>
      </w:r>
    </w:p>
    <w:p w14:paraId="51FF1540">
      <w:pPr>
        <w:spacing w:line="360" w:lineRule="auto"/>
        <w:ind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bidi="ar-SA"/>
        </w:rPr>
        <w:t>、合同金额的</w:t>
      </w:r>
      <w:r>
        <w:rPr>
          <w:rFonts w:hint="eastAsia" w:ascii="宋体" w:hAnsi="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bidi="ar-SA"/>
        </w:rPr>
        <w:t>0%作为考核，服务结束后，乙方提供总结性评估报告，经甲方评估乙方完成服务要求后进行相应支付；</w:t>
      </w:r>
    </w:p>
    <w:p w14:paraId="4C4E0CB1">
      <w:pPr>
        <w:numPr>
          <w:ilvl w:val="0"/>
          <w:numId w:val="0"/>
        </w:numPr>
        <w:spacing w:line="360" w:lineRule="auto"/>
        <w:ind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4</w:t>
      </w:r>
      <w:r>
        <w:rPr>
          <w:rFonts w:hint="eastAsia" w:ascii="宋体" w:hAnsi="宋体" w:eastAsia="宋体" w:cs="宋体"/>
          <w:b w:val="0"/>
          <w:bCs w:val="0"/>
          <w:color w:val="auto"/>
          <w:sz w:val="24"/>
          <w:szCs w:val="24"/>
          <w:highlight w:val="none"/>
          <w:lang w:val="en-US" w:eastAsia="zh-CN" w:bidi="ar-SA"/>
        </w:rPr>
        <w:t>、</w:t>
      </w:r>
      <w:r>
        <w:rPr>
          <w:rFonts w:hint="eastAsia" w:ascii="宋体" w:hAnsi="宋体" w:eastAsia="宋体" w:cs="宋体"/>
          <w:b w:val="0"/>
          <w:bCs w:val="0"/>
          <w:color w:val="auto"/>
          <w:sz w:val="24"/>
          <w:szCs w:val="24"/>
          <w:highlight w:val="none"/>
          <w:u w:val="none"/>
          <w:lang w:val="en-US" w:eastAsia="zh-CN"/>
        </w:rPr>
        <w:t>余款待</w:t>
      </w:r>
      <w:r>
        <w:rPr>
          <w:rFonts w:hint="eastAsia" w:ascii="宋体" w:hAnsi="宋体" w:cs="宋体"/>
          <w:b w:val="0"/>
          <w:bCs w:val="0"/>
          <w:color w:val="auto"/>
          <w:sz w:val="24"/>
          <w:szCs w:val="24"/>
          <w:highlight w:val="none"/>
          <w:u w:val="none"/>
          <w:lang w:val="en-US" w:eastAsia="zh-CN"/>
        </w:rPr>
        <w:t>合同履行完毕且审计结束后按审定价无息付清。</w:t>
      </w:r>
    </w:p>
    <w:p w14:paraId="4D61F44D">
      <w:pPr>
        <w:spacing w:line="360" w:lineRule="auto"/>
        <w:ind w:firstLine="480" w:firstLineChars="200"/>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考核要求如下:</w:t>
      </w:r>
    </w:p>
    <w:p w14:paraId="47E6ADC3">
      <w:pPr>
        <w:numPr>
          <w:ilvl w:val="0"/>
          <w:numId w:val="0"/>
        </w:numPr>
        <w:spacing w:line="360" w:lineRule="auto"/>
        <w:ind w:firstLine="480" w:firstLineChars="200"/>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①若9条国省考断面未完成</w:t>
      </w:r>
      <w:r>
        <w:rPr>
          <w:rFonts w:hint="eastAsia" w:ascii="宋体" w:hAnsi="宋体" w:cs="宋体"/>
          <w:b w:val="0"/>
          <w:bCs w:val="0"/>
          <w:color w:val="auto"/>
          <w:sz w:val="24"/>
          <w:highlight w:val="none"/>
          <w:lang w:val="en-US" w:eastAsia="zh-CN"/>
        </w:rPr>
        <w:t>2026年</w:t>
      </w:r>
      <w:r>
        <w:rPr>
          <w:rFonts w:hint="eastAsia" w:ascii="宋体" w:hAnsi="宋体" w:eastAsia="宋体" w:cs="宋体"/>
          <w:b w:val="0"/>
          <w:bCs w:val="0"/>
          <w:color w:val="auto"/>
          <w:sz w:val="24"/>
          <w:highlight w:val="none"/>
          <w:lang w:val="en-US" w:eastAsia="zh-CN"/>
        </w:rPr>
        <w:t>年度考核</w:t>
      </w:r>
      <w:r>
        <w:rPr>
          <w:rFonts w:hint="eastAsia" w:ascii="宋体" w:hAnsi="宋体" w:cs="宋体"/>
          <w:b w:val="0"/>
          <w:bCs w:val="0"/>
          <w:color w:val="auto"/>
          <w:sz w:val="24"/>
          <w:highlight w:val="none"/>
          <w:lang w:val="en-US" w:eastAsia="zh-CN"/>
        </w:rPr>
        <w:t>目标</w:t>
      </w:r>
      <w:r>
        <w:rPr>
          <w:rFonts w:hint="eastAsia" w:ascii="宋体" w:hAnsi="宋体" w:eastAsia="宋体" w:cs="宋体"/>
          <w:b w:val="0"/>
          <w:bCs w:val="0"/>
          <w:color w:val="auto"/>
          <w:sz w:val="24"/>
          <w:highlight w:val="none"/>
          <w:lang w:val="en-US" w:eastAsia="zh-CN"/>
        </w:rPr>
        <w:t>，则扣合同价</w:t>
      </w:r>
      <w:r>
        <w:rPr>
          <w:rFonts w:hint="eastAsia" w:ascii="宋体" w:hAnsi="宋体" w:cs="宋体"/>
          <w:b w:val="0"/>
          <w:bCs w:val="0"/>
          <w:color w:val="auto"/>
          <w:sz w:val="24"/>
          <w:highlight w:val="none"/>
          <w:lang w:val="en-US" w:eastAsia="zh-CN"/>
        </w:rPr>
        <w:t>的</w:t>
      </w:r>
      <w:r>
        <w:rPr>
          <w:rFonts w:hint="eastAsia" w:ascii="宋体" w:hAnsi="宋体" w:eastAsia="宋体" w:cs="宋体"/>
          <w:b w:val="0"/>
          <w:bCs w:val="0"/>
          <w:color w:val="auto"/>
          <w:sz w:val="24"/>
          <w:highlight w:val="none"/>
          <w:lang w:val="en-US" w:eastAsia="zh-CN"/>
        </w:rPr>
        <w:t>30%；</w:t>
      </w:r>
    </w:p>
    <w:p w14:paraId="62D86A46">
      <w:pPr>
        <w:spacing w:line="360" w:lineRule="auto"/>
        <w:ind w:firstLine="480" w:firstLineChars="200"/>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②若9条国省考断面完成2026年年度考核目标，驻场服务期内，9条国省考断面每出现1条单月水质不达标扣合同价总价的1%，累计扣款最高上限为合同总价15%。</w:t>
      </w:r>
    </w:p>
    <w:p w14:paraId="420EB5FC">
      <w:pPr>
        <w:numPr>
          <w:ilvl w:val="0"/>
          <w:numId w:val="0"/>
        </w:numPr>
        <w:spacing w:line="360" w:lineRule="auto"/>
        <w:ind w:firstLine="480" w:firstLineChars="200"/>
        <w:rPr>
          <w:rFonts w:hint="default" w:ascii="Calibri" w:hAnsi="Calibri" w:eastAsia="宋体" w:cs="Calibri"/>
          <w:b w:val="0"/>
          <w:bCs w:val="0"/>
          <w:color w:val="auto"/>
          <w:sz w:val="24"/>
          <w:szCs w:val="24"/>
          <w:highlight w:val="none"/>
          <w:lang w:val="en-US" w:eastAsia="zh-CN" w:bidi="ar-SA"/>
        </w:rPr>
      </w:pPr>
      <w:r>
        <w:rPr>
          <w:rFonts w:hint="default" w:ascii="宋体" w:hAnsi="宋体" w:eastAsia="宋体" w:cs="宋体"/>
          <w:b w:val="0"/>
          <w:bCs w:val="0"/>
          <w:color w:val="auto"/>
          <w:sz w:val="24"/>
          <w:highlight w:val="none"/>
          <w:lang w:val="en-US" w:eastAsia="zh-CN"/>
        </w:rPr>
        <w:t>③驻场</w:t>
      </w:r>
      <w:r>
        <w:rPr>
          <w:rFonts w:hint="default" w:ascii="Calibri" w:hAnsi="Calibri" w:eastAsia="宋体" w:cs="Calibri"/>
          <w:b w:val="0"/>
          <w:bCs w:val="0"/>
          <w:color w:val="auto"/>
          <w:sz w:val="24"/>
          <w:szCs w:val="24"/>
          <w:highlight w:val="none"/>
          <w:lang w:val="en-US" w:eastAsia="zh-CN" w:bidi="ar-SA"/>
        </w:rPr>
        <w:t>服务期间，国省考断面涉及河道、支流支浜、城市黑臭水体等</w:t>
      </w:r>
      <w:r>
        <w:rPr>
          <w:rFonts w:hint="eastAsia" w:cs="Calibri"/>
          <w:b w:val="0"/>
          <w:bCs w:val="0"/>
          <w:color w:val="auto"/>
          <w:sz w:val="24"/>
          <w:szCs w:val="24"/>
          <w:highlight w:val="none"/>
          <w:lang w:val="en-US" w:eastAsia="zh-CN" w:bidi="ar-SA"/>
        </w:rPr>
        <w:t>方面</w:t>
      </w:r>
      <w:r>
        <w:rPr>
          <w:rFonts w:hint="default" w:ascii="Calibri" w:hAnsi="Calibri" w:eastAsia="宋体" w:cs="Calibri"/>
          <w:b w:val="0"/>
          <w:bCs w:val="0"/>
          <w:color w:val="auto"/>
          <w:sz w:val="24"/>
          <w:szCs w:val="24"/>
          <w:highlight w:val="none"/>
          <w:lang w:val="en-US" w:eastAsia="zh-CN" w:bidi="ar-SA"/>
        </w:rPr>
        <w:t>产生国家、省、市级督查交办问题，</w:t>
      </w:r>
      <w:r>
        <w:rPr>
          <w:rFonts w:hint="eastAsia" w:cs="Calibri"/>
          <w:b w:val="0"/>
          <w:bCs w:val="0"/>
          <w:color w:val="auto"/>
          <w:sz w:val="24"/>
          <w:szCs w:val="24"/>
          <w:highlight w:val="none"/>
          <w:lang w:val="en-US" w:eastAsia="zh-CN" w:bidi="ar-SA"/>
        </w:rPr>
        <w:t>但</w:t>
      </w:r>
      <w:r>
        <w:rPr>
          <w:rFonts w:hint="default" w:ascii="Calibri" w:hAnsi="Calibri" w:eastAsia="宋体" w:cs="Calibri"/>
          <w:b w:val="0"/>
          <w:bCs w:val="0"/>
          <w:color w:val="auto"/>
          <w:sz w:val="24"/>
          <w:szCs w:val="24"/>
          <w:highlight w:val="none"/>
          <w:lang w:val="en-US" w:eastAsia="zh-CN" w:bidi="ar-SA"/>
        </w:rPr>
        <w:t>该问题乙方在日常巡查中未能排查发现的，每发</w:t>
      </w:r>
      <w:r>
        <w:rPr>
          <w:rFonts w:hint="eastAsia" w:cs="Calibri"/>
          <w:b w:val="0"/>
          <w:bCs w:val="0"/>
          <w:color w:val="auto"/>
          <w:sz w:val="24"/>
          <w:szCs w:val="24"/>
          <w:highlight w:val="none"/>
          <w:lang w:val="en-US" w:eastAsia="zh-CN" w:bidi="ar-SA"/>
        </w:rPr>
        <w:t>现</w:t>
      </w:r>
      <w:r>
        <w:rPr>
          <w:rFonts w:hint="default" w:ascii="Calibri" w:hAnsi="Calibri" w:eastAsia="宋体" w:cs="Calibri"/>
          <w:b w:val="0"/>
          <w:bCs w:val="0"/>
          <w:color w:val="auto"/>
          <w:sz w:val="24"/>
          <w:szCs w:val="24"/>
          <w:highlight w:val="none"/>
          <w:lang w:val="en-US" w:eastAsia="zh-CN" w:bidi="ar-SA"/>
        </w:rPr>
        <w:t>1起扣除合同总价</w:t>
      </w:r>
      <w:r>
        <w:rPr>
          <w:rFonts w:hint="eastAsia" w:cs="Calibri"/>
          <w:b w:val="0"/>
          <w:bCs w:val="0"/>
          <w:color w:val="auto"/>
          <w:sz w:val="24"/>
          <w:szCs w:val="24"/>
          <w:highlight w:val="none"/>
          <w:lang w:val="en-US" w:eastAsia="zh-CN" w:bidi="ar-SA"/>
        </w:rPr>
        <w:t>的</w:t>
      </w:r>
      <w:r>
        <w:rPr>
          <w:rFonts w:hint="default" w:ascii="Calibri" w:hAnsi="Calibri" w:eastAsia="宋体" w:cs="Calibri"/>
          <w:b w:val="0"/>
          <w:bCs w:val="0"/>
          <w:color w:val="auto"/>
          <w:sz w:val="24"/>
          <w:szCs w:val="24"/>
          <w:highlight w:val="none"/>
          <w:lang w:val="en-US" w:eastAsia="zh-CN" w:bidi="ar-SA"/>
        </w:rPr>
        <w:t>0.2%。</w:t>
      </w:r>
    </w:p>
    <w:p w14:paraId="65F1CC77">
      <w:pPr>
        <w:spacing w:line="360" w:lineRule="auto"/>
        <w:ind w:firstLine="482" w:firstLineChars="200"/>
        <w:rPr>
          <w:rFonts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二、项目背景</w:t>
      </w:r>
    </w:p>
    <w:p w14:paraId="4ED10997">
      <w:pPr>
        <w:spacing w:line="360" w:lineRule="auto"/>
        <w:ind w:firstLine="480"/>
        <w:rPr>
          <w:rFonts w:ascii="宋体" w:hAnsi="宋体"/>
          <w:sz w:val="24"/>
          <w:highlight w:val="none"/>
        </w:rPr>
      </w:pPr>
      <w:r>
        <w:rPr>
          <w:rFonts w:hint="eastAsia" w:ascii="宋体" w:hAnsi="宋体"/>
          <w:sz w:val="24"/>
          <w:highlight w:val="none"/>
        </w:rPr>
        <w:t>根据《江苏省重点流域水生态环境保护“十四五”规划》有关要求，结合宿城区近年来水环境质量现状与水生态保护需求，针对重点河流及支流沿线水环境问题溯源排查、河流水质监测及分析；国省考断面、饮用水源地水质监测预警并开展溯源排查分析，提出针对性治理措施，编制溯源排查报告、断面水质提升方案以及其他突发水污染事件处理等。</w:t>
      </w:r>
    </w:p>
    <w:p w14:paraId="1F1596A6">
      <w:pPr>
        <w:spacing w:line="360" w:lineRule="auto"/>
        <w:ind w:firstLine="480"/>
        <w:rPr>
          <w:rFonts w:ascii="宋体" w:hAnsi="宋体"/>
          <w:sz w:val="24"/>
          <w:highlight w:val="none"/>
        </w:rPr>
      </w:pPr>
      <w:r>
        <w:rPr>
          <w:rFonts w:hint="eastAsia" w:ascii="宋体" w:hAnsi="宋体"/>
          <w:sz w:val="24"/>
          <w:highlight w:val="none"/>
        </w:rPr>
        <w:t>从调查监测、溯源追因和整改闭环等多方面为宿城区生态环境局提供技术支撑服务，以提升宿城区水污染防治措施管理水平，改善水环境质量。</w:t>
      </w:r>
    </w:p>
    <w:p w14:paraId="2D1C836C">
      <w:pPr>
        <w:spacing w:line="360" w:lineRule="auto"/>
        <w:ind w:firstLine="482" w:firstLineChars="200"/>
        <w:rPr>
          <w:rFonts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三、河道位置及区域</w:t>
      </w:r>
    </w:p>
    <w:tbl>
      <w:tblPr>
        <w:tblStyle w:val="38"/>
        <w:tblW w:w="951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810"/>
        <w:gridCol w:w="1387"/>
        <w:gridCol w:w="1890"/>
        <w:gridCol w:w="2326"/>
        <w:gridCol w:w="3105"/>
      </w:tblGrid>
      <w:tr w14:paraId="339F46B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06DBE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4B0C6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河道</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13FA72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断面</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DB73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考核类型及水</w:t>
            </w:r>
            <w:r>
              <w:rPr>
                <w:rFonts w:hint="eastAsia" w:ascii="宋体" w:hAnsi="宋体" w:eastAsia="宋体" w:cs="宋体"/>
                <w:i w:val="0"/>
                <w:iCs w:val="0"/>
                <w:color w:val="000000"/>
                <w:kern w:val="0"/>
                <w:sz w:val="24"/>
                <w:szCs w:val="24"/>
                <w:highlight w:val="none"/>
                <w:u w:val="none"/>
                <w:lang w:val="en-US" w:eastAsia="zh-CN" w:bidi="ar"/>
              </w:rPr>
              <w:br w:type="textWrapping"/>
            </w:r>
            <w:r>
              <w:rPr>
                <w:rFonts w:hint="eastAsia" w:ascii="宋体" w:hAnsi="宋体" w:eastAsia="宋体" w:cs="宋体"/>
                <w:i w:val="0"/>
                <w:iCs w:val="0"/>
                <w:color w:val="000000"/>
                <w:kern w:val="0"/>
                <w:sz w:val="24"/>
                <w:szCs w:val="24"/>
                <w:highlight w:val="none"/>
                <w:u w:val="none"/>
                <w:lang w:val="en-US" w:eastAsia="zh-CN" w:bidi="ar"/>
              </w:rPr>
              <w:t>质目标</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CC5E16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位置</w:t>
            </w:r>
          </w:p>
        </w:tc>
      </w:tr>
      <w:tr w14:paraId="2006F7A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CF926C">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962111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中运河段</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ECD3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马陵河翻水站</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A27DD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国考，Ⅱ类</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8E9B9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项里街道项王桥上</w:t>
            </w:r>
          </w:p>
        </w:tc>
      </w:tr>
      <w:tr w14:paraId="37BB90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B2543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F2E0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徐洪河</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51A568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顾勒大桥</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EFB33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国考，Ⅲ类</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1324C1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位于泗洪境内</w:t>
            </w:r>
          </w:p>
        </w:tc>
      </w:tr>
      <w:tr w14:paraId="5B544FD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06D16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3</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AE3C81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中运河段</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0E81B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宿迁闸</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94F86B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省考，Ⅱ类</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27649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幸福街道宿迁闸</w:t>
            </w:r>
          </w:p>
        </w:tc>
      </w:tr>
      <w:tr w14:paraId="3CB08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1DD9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4</w:t>
            </w:r>
          </w:p>
        </w:tc>
        <w:tc>
          <w:tcPr>
            <w:tcW w:w="138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1E265C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古山河</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2C8C56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245省道</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8D74E8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省考，Ⅲ类</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871EC9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中扬镇245省道</w:t>
            </w:r>
          </w:p>
        </w:tc>
      </w:tr>
      <w:tr w14:paraId="04C8B33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90D3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5</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A8AED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西民便河</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CCA5F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西民便河桥</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4C14B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省考，Ⅲ类</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10F47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中扬镇245省道上游3公里</w:t>
            </w:r>
          </w:p>
        </w:tc>
      </w:tr>
      <w:tr w14:paraId="658B3BA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9BDFBE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6</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3F2FD5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五河</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B4CE18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G343五河大桥</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F98EC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省考，Ⅲ类</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670D59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中扬镇245省道</w:t>
            </w:r>
          </w:p>
        </w:tc>
      </w:tr>
      <w:tr w14:paraId="4D1A6CF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CFAEB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7</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46A26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肖河</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C6C43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G343肖河大桥</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BF11C1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省考，Ⅲ类</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C45439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中扬镇245省道</w:t>
            </w:r>
          </w:p>
        </w:tc>
      </w:tr>
      <w:tr w14:paraId="7DA9D6A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BE5D8">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8</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C069A2">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马化河</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C1588CB">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G343马化河大桥</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619B5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省考，Ⅲ类</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932DA25">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中扬镇245省道</w:t>
            </w:r>
          </w:p>
        </w:tc>
      </w:tr>
      <w:tr w14:paraId="4D6DB1A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atLeast"/>
          <w:jc w:val="center"/>
        </w:trPr>
        <w:tc>
          <w:tcPr>
            <w:tcW w:w="81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C98139">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9</w:t>
            </w:r>
          </w:p>
        </w:tc>
        <w:tc>
          <w:tcPr>
            <w:tcW w:w="138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4B5B79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西沙河</w:t>
            </w:r>
          </w:p>
        </w:tc>
        <w:tc>
          <w:tcPr>
            <w:tcW w:w="189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03DE174">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朱圩大桥</w:t>
            </w:r>
          </w:p>
        </w:tc>
        <w:tc>
          <w:tcPr>
            <w:tcW w:w="232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C702FD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省考，Ⅲ类</w:t>
            </w:r>
          </w:p>
        </w:tc>
        <w:tc>
          <w:tcPr>
            <w:tcW w:w="31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81BD7D">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陈集镇陈归路</w:t>
            </w:r>
          </w:p>
        </w:tc>
      </w:tr>
    </w:tbl>
    <w:p w14:paraId="2D354528">
      <w:pPr>
        <w:widowControl/>
        <w:spacing w:line="360" w:lineRule="auto"/>
        <w:ind w:firstLine="482"/>
        <w:jc w:val="left"/>
        <w:rPr>
          <w:rFonts w:cs="宋体" w:asciiTheme="minorEastAsia" w:hAnsiTheme="minorEastAsia" w:eastAsiaTheme="minorEastAsia"/>
          <w:color w:val="000000"/>
          <w:sz w:val="24"/>
          <w:szCs w:val="24"/>
          <w:highlight w:val="none"/>
        </w:rPr>
      </w:pPr>
    </w:p>
    <w:p w14:paraId="36072BA6">
      <w:pPr>
        <w:spacing w:line="360" w:lineRule="auto"/>
        <w:ind w:firstLine="482" w:firstLineChars="200"/>
        <w:rPr>
          <w:rFonts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四</w:t>
      </w:r>
      <w:r>
        <w:rPr>
          <w:rFonts w:cs="仿宋" w:asciiTheme="minorEastAsia" w:hAnsiTheme="minorEastAsia" w:eastAsiaTheme="minorEastAsia"/>
          <w:b/>
          <w:bCs/>
          <w:sz w:val="24"/>
          <w:szCs w:val="24"/>
          <w:highlight w:val="none"/>
        </w:rPr>
        <w:t>、</w:t>
      </w:r>
      <w:r>
        <w:rPr>
          <w:rFonts w:hint="eastAsia" w:cs="黑体" w:asciiTheme="minorEastAsia" w:hAnsiTheme="minorEastAsia" w:eastAsiaTheme="minorEastAsia"/>
          <w:b/>
          <w:bCs/>
          <w:sz w:val="24"/>
          <w:szCs w:val="24"/>
          <w:highlight w:val="none"/>
        </w:rPr>
        <w:t>检测依据</w:t>
      </w:r>
    </w:p>
    <w:p w14:paraId="269AECCC">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1）国家现行的法律法规及设计规范要求。</w:t>
      </w:r>
    </w:p>
    <w:p w14:paraId="44B49A9F">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2）地方现行的法律法规及设计规范要求。</w:t>
      </w:r>
    </w:p>
    <w:p w14:paraId="2A540F86">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3）《入河排污口管理技术导则》SL532-2011</w:t>
      </w:r>
    </w:p>
    <w:p w14:paraId="0F63A2BB">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4）《城市黑臭水体整治工作指南》</w:t>
      </w:r>
    </w:p>
    <w:p w14:paraId="66F8D1BF">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5）《城市黑臭水体整治-排水口、管道及检查井治理技术指南（试行）》</w:t>
      </w:r>
    </w:p>
    <w:p w14:paraId="770EEB5B">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6）《入河排污口监督管理技术指南 溯源总则（征求意见稿）》</w:t>
      </w:r>
    </w:p>
    <w:p w14:paraId="7FBDFA9B">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7）《入河入海排污口监督管理技术指南 溯源总则》HJ1313-2023</w:t>
      </w:r>
    </w:p>
    <w:p w14:paraId="636F8C35">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8）《地表水环境质量标准》GB3838-2002</w:t>
      </w:r>
    </w:p>
    <w:p w14:paraId="7A1826BD">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9）《入河入海排污口监督管理技术指南 排污口分类》GB50220</w:t>
      </w:r>
    </w:p>
    <w:p w14:paraId="3778E4D0">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10）《入河入海排污口监督管理技术指南 信息采集与交换》</w:t>
      </w:r>
    </w:p>
    <w:p w14:paraId="7445E971">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11）《入河（海）排污口三级排查技术指南》HJ1232-2021</w:t>
      </w:r>
    </w:p>
    <w:p w14:paraId="02F05333">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12）《入河（海排污口排查整治无人机遥感解译技术规范》HJ1234-2021</w:t>
      </w:r>
    </w:p>
    <w:p w14:paraId="268A3977">
      <w:pPr>
        <w:spacing w:line="470" w:lineRule="exact"/>
        <w:ind w:firstLine="480" w:firstLineChars="200"/>
        <w:rPr>
          <w:rFonts w:cs="宋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13）《水质监测用无人艇技术要求（</w:t>
      </w:r>
      <w:r>
        <w:rPr>
          <w:rFonts w:hint="eastAsia" w:ascii="MS Mincho" w:hAnsi="MS Mincho" w:eastAsia="MS Mincho" w:cs="MS Mincho"/>
          <w:sz w:val="24"/>
          <w:szCs w:val="24"/>
          <w:highlight w:val="none"/>
        </w:rPr>
        <w:t>‌</w:t>
      </w:r>
      <w:r>
        <w:rPr>
          <w:rFonts w:hint="eastAsia" w:cs="宋体" w:asciiTheme="minorEastAsia" w:hAnsiTheme="minorEastAsia" w:eastAsiaTheme="minorEastAsia"/>
          <w:sz w:val="24"/>
          <w:szCs w:val="24"/>
          <w:highlight w:val="none"/>
        </w:rPr>
        <w:t>试行）</w:t>
      </w:r>
      <w:r>
        <w:rPr>
          <w:rFonts w:hint="eastAsia" w:ascii="MS Mincho" w:hAnsi="MS Mincho" w:eastAsia="MS Mincho" w:cs="MS Mincho"/>
          <w:sz w:val="24"/>
          <w:szCs w:val="24"/>
          <w:highlight w:val="none"/>
        </w:rPr>
        <w:t>‌</w:t>
      </w:r>
      <w:r>
        <w:rPr>
          <w:rFonts w:hint="eastAsia" w:cs="宋体" w:asciiTheme="minorEastAsia" w:hAnsiTheme="minorEastAsia" w:eastAsiaTheme="minorEastAsia"/>
          <w:sz w:val="24"/>
          <w:szCs w:val="24"/>
          <w:highlight w:val="none"/>
        </w:rPr>
        <w:t>》</w:t>
      </w:r>
    </w:p>
    <w:p w14:paraId="6F597116">
      <w:pPr>
        <w:spacing w:line="470" w:lineRule="exact"/>
        <w:ind w:firstLine="480" w:firstLineChars="200"/>
        <w:rPr>
          <w:rFonts w:cs="黑体" w:asciiTheme="minorEastAsia" w:hAnsiTheme="minorEastAsia" w:eastAsiaTheme="minorEastAsia"/>
          <w:sz w:val="24"/>
          <w:szCs w:val="24"/>
          <w:highlight w:val="none"/>
        </w:rPr>
      </w:pPr>
      <w:r>
        <w:rPr>
          <w:rFonts w:hint="eastAsia" w:cs="黑体" w:asciiTheme="minorEastAsia" w:hAnsiTheme="minorEastAsia" w:eastAsiaTheme="minorEastAsia"/>
          <w:sz w:val="24"/>
          <w:szCs w:val="24"/>
          <w:highlight w:val="none"/>
        </w:rPr>
        <w:t>不限于以上规范，上述标准有不一致的，以最新的或效力较高或技术标准较高的文件规定为准。</w:t>
      </w:r>
    </w:p>
    <w:p w14:paraId="43F503D3">
      <w:pPr>
        <w:numPr>
          <w:ilvl w:val="0"/>
          <w:numId w:val="3"/>
        </w:numPr>
        <w:spacing w:line="360" w:lineRule="auto"/>
        <w:ind w:firstLine="482" w:firstLineChars="200"/>
        <w:rPr>
          <w:rFonts w:hint="eastAsia"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主要工作内容</w:t>
      </w:r>
    </w:p>
    <w:p w14:paraId="72086440">
      <w:pPr>
        <w:keepNext w:val="0"/>
        <w:keepLines w:val="0"/>
        <w:pageBreakBefore w:val="0"/>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color w:val="000000"/>
          <w:sz w:val="24"/>
          <w:szCs w:val="24"/>
          <w:highlight w:val="none"/>
          <w:lang w:val="en-US" w:eastAsia="zh-CN"/>
        </w:rPr>
      </w:pPr>
      <w:r>
        <w:rPr>
          <w:rFonts w:hint="eastAsia" w:cs="宋体" w:asciiTheme="minorEastAsia" w:hAnsiTheme="minorEastAsia" w:eastAsiaTheme="minorEastAsia"/>
          <w:b w:val="0"/>
          <w:bCs w:val="0"/>
          <w:color w:val="000000"/>
          <w:sz w:val="24"/>
          <w:szCs w:val="24"/>
          <w:highlight w:val="none"/>
          <w:lang w:val="en-US" w:eastAsia="zh-CN"/>
        </w:rPr>
        <w:t>1.</w:t>
      </w:r>
      <w:r>
        <w:rPr>
          <w:rFonts w:hint="eastAsia" w:cs="宋体" w:asciiTheme="minorEastAsia" w:hAnsiTheme="minorEastAsia" w:eastAsiaTheme="minorEastAsia"/>
          <w:b w:val="0"/>
          <w:bCs w:val="0"/>
          <w:color w:val="000000"/>
          <w:sz w:val="24"/>
          <w:szCs w:val="24"/>
          <w:highlight w:val="none"/>
        </w:rPr>
        <w:t>水质监测</w:t>
      </w:r>
      <w:r>
        <w:rPr>
          <w:rFonts w:hint="eastAsia" w:cs="宋体" w:asciiTheme="minorEastAsia" w:hAnsiTheme="minorEastAsia" w:eastAsiaTheme="minorEastAsia"/>
          <w:b w:val="0"/>
          <w:bCs w:val="0"/>
          <w:color w:val="000000"/>
          <w:sz w:val="24"/>
          <w:szCs w:val="24"/>
          <w:highlight w:val="none"/>
          <w:lang w:val="en-US" w:eastAsia="zh-CN"/>
        </w:rPr>
        <w:t>服务</w:t>
      </w:r>
    </w:p>
    <w:p w14:paraId="441EC2CF">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cs="宋体" w:asciiTheme="minorEastAsia" w:hAnsiTheme="minorEastAsia" w:eastAsiaTheme="minorEastAsia"/>
          <w:b w:val="0"/>
          <w:bCs w:val="0"/>
          <w:sz w:val="24"/>
          <w:szCs w:val="24"/>
          <w:highlight w:val="none"/>
        </w:rPr>
      </w:pPr>
      <w:r>
        <w:rPr>
          <w:rFonts w:cs="宋体" w:asciiTheme="minorEastAsia" w:hAnsiTheme="minorEastAsia" w:eastAsiaTheme="minorEastAsia"/>
          <w:b w:val="0"/>
          <w:bCs w:val="0"/>
          <w:sz w:val="24"/>
          <w:szCs w:val="24"/>
          <w:highlight w:val="none"/>
          <w:lang w:val="en-US" w:eastAsia="zh-CN" w:bidi="ar-SA"/>
        </w:rPr>
        <w:t>（1）</w:t>
      </w:r>
      <w:r>
        <w:rPr>
          <w:rFonts w:hint="eastAsia" w:cs="宋体" w:asciiTheme="minorEastAsia" w:hAnsiTheme="minorEastAsia" w:eastAsiaTheme="minorEastAsia"/>
          <w:b w:val="0"/>
          <w:bCs w:val="0"/>
          <w:sz w:val="24"/>
          <w:szCs w:val="24"/>
          <w:highlight w:val="none"/>
        </w:rPr>
        <w:t>常规</w:t>
      </w:r>
      <w:r>
        <w:rPr>
          <w:rFonts w:hint="eastAsia" w:cs="宋体" w:asciiTheme="minorEastAsia" w:hAnsiTheme="minorEastAsia" w:eastAsiaTheme="minorEastAsia"/>
          <w:b w:val="0"/>
          <w:bCs w:val="0"/>
          <w:sz w:val="24"/>
          <w:szCs w:val="24"/>
          <w:highlight w:val="none"/>
          <w:lang w:val="en-US" w:eastAsia="zh-CN"/>
        </w:rPr>
        <w:t>水质</w:t>
      </w:r>
      <w:r>
        <w:rPr>
          <w:rFonts w:hint="eastAsia" w:cs="宋体" w:asciiTheme="minorEastAsia" w:hAnsiTheme="minorEastAsia" w:eastAsiaTheme="minorEastAsia"/>
          <w:b w:val="0"/>
          <w:bCs w:val="0"/>
          <w:sz w:val="24"/>
          <w:szCs w:val="24"/>
          <w:highlight w:val="none"/>
        </w:rPr>
        <w:t>监测：国省考断面</w:t>
      </w:r>
      <w:r>
        <w:rPr>
          <w:rFonts w:hint="eastAsia" w:cs="宋体" w:asciiTheme="minorEastAsia" w:hAnsiTheme="minorEastAsia" w:eastAsiaTheme="minorEastAsia"/>
          <w:b w:val="0"/>
          <w:bCs w:val="0"/>
          <w:sz w:val="24"/>
          <w:szCs w:val="24"/>
          <w:highlight w:val="none"/>
          <w:lang w:val="en-US" w:eastAsia="zh-CN"/>
        </w:rPr>
        <w:t>所在河流</w:t>
      </w:r>
      <w:r>
        <w:rPr>
          <w:rFonts w:hint="eastAsia" w:cs="宋体" w:asciiTheme="minorEastAsia" w:hAnsiTheme="minorEastAsia" w:eastAsiaTheme="minorEastAsia"/>
          <w:b w:val="0"/>
          <w:bCs w:val="0"/>
          <w:sz w:val="24"/>
          <w:szCs w:val="24"/>
          <w:highlight w:val="none"/>
        </w:rPr>
        <w:t>及其他重点河道，检测指标为pH、COD、高锰酸盐指数、氨氮、总磷</w:t>
      </w:r>
      <w:r>
        <w:rPr>
          <w:rFonts w:hint="eastAsia" w:cs="宋体" w:asciiTheme="minorEastAsia" w:hAnsiTheme="minorEastAsia" w:eastAsiaTheme="minorEastAsia"/>
          <w:b w:val="0"/>
          <w:bCs w:val="0"/>
          <w:sz w:val="24"/>
          <w:szCs w:val="24"/>
          <w:highlight w:val="none"/>
          <w:lang w:eastAsia="zh-CN"/>
        </w:rPr>
        <w:t>，</w:t>
      </w:r>
      <w:r>
        <w:rPr>
          <w:rFonts w:hint="eastAsia" w:cs="宋体" w:asciiTheme="minorEastAsia" w:hAnsiTheme="minorEastAsia" w:eastAsiaTheme="minorEastAsia"/>
          <w:b w:val="0"/>
          <w:bCs w:val="0"/>
          <w:sz w:val="24"/>
          <w:szCs w:val="24"/>
          <w:highlight w:val="none"/>
          <w:lang w:val="en-US" w:eastAsia="zh-CN"/>
        </w:rPr>
        <w:t>必要时还需加测溶解氧、氟化物等指标</w:t>
      </w:r>
      <w:r>
        <w:rPr>
          <w:rFonts w:hint="eastAsia" w:cs="宋体" w:asciiTheme="minorEastAsia" w:hAnsiTheme="minorEastAsia" w:eastAsiaTheme="minorEastAsia"/>
          <w:b w:val="0"/>
          <w:bCs w:val="0"/>
          <w:sz w:val="24"/>
          <w:szCs w:val="24"/>
          <w:highlight w:val="none"/>
        </w:rPr>
        <w:t>。</w:t>
      </w:r>
    </w:p>
    <w:p w14:paraId="0649494A">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cs="宋体" w:asciiTheme="minorEastAsia" w:hAnsiTheme="minorEastAsia" w:eastAsiaTheme="minorEastAsia"/>
          <w:b w:val="0"/>
          <w:bCs w:val="0"/>
          <w:sz w:val="24"/>
          <w:szCs w:val="24"/>
          <w:highlight w:val="none"/>
        </w:rPr>
      </w:pPr>
      <w:r>
        <w:rPr>
          <w:rFonts w:cs="宋体" w:asciiTheme="minorEastAsia" w:hAnsiTheme="minorEastAsia" w:eastAsiaTheme="minorEastAsia"/>
          <w:b w:val="0"/>
          <w:bCs w:val="0"/>
          <w:sz w:val="24"/>
          <w:szCs w:val="24"/>
          <w:highlight w:val="none"/>
          <w:lang w:val="en-US" w:eastAsia="zh-CN" w:bidi="ar-SA"/>
        </w:rPr>
        <w:t>（2）</w:t>
      </w:r>
      <w:r>
        <w:rPr>
          <w:rFonts w:hint="eastAsia" w:cs="宋体" w:asciiTheme="minorEastAsia" w:hAnsiTheme="minorEastAsia" w:eastAsiaTheme="minorEastAsia"/>
          <w:b w:val="0"/>
          <w:bCs w:val="0"/>
          <w:sz w:val="24"/>
          <w:szCs w:val="24"/>
          <w:highlight w:val="none"/>
        </w:rPr>
        <w:t>应急</w:t>
      </w:r>
      <w:r>
        <w:rPr>
          <w:rFonts w:hint="eastAsia" w:cs="宋体" w:asciiTheme="minorEastAsia" w:hAnsiTheme="minorEastAsia" w:eastAsiaTheme="minorEastAsia"/>
          <w:b w:val="0"/>
          <w:bCs w:val="0"/>
          <w:sz w:val="24"/>
          <w:szCs w:val="24"/>
          <w:highlight w:val="none"/>
          <w:lang w:val="en-US" w:eastAsia="zh-CN"/>
        </w:rPr>
        <w:t>水质</w:t>
      </w:r>
      <w:r>
        <w:rPr>
          <w:rFonts w:hint="eastAsia" w:cs="宋体" w:asciiTheme="minorEastAsia" w:hAnsiTheme="minorEastAsia" w:eastAsiaTheme="minorEastAsia"/>
          <w:b w:val="0"/>
          <w:bCs w:val="0"/>
          <w:sz w:val="24"/>
          <w:szCs w:val="24"/>
          <w:highlight w:val="none"/>
        </w:rPr>
        <w:t>监测：针对上级交办的问题开展溯源排查或出现突发性事件时开展</w:t>
      </w:r>
      <w:r>
        <w:rPr>
          <w:rFonts w:hint="eastAsia" w:cs="宋体" w:asciiTheme="minorEastAsia" w:hAnsiTheme="minorEastAsia" w:eastAsiaTheme="minorEastAsia"/>
          <w:b w:val="0"/>
          <w:bCs w:val="0"/>
          <w:sz w:val="24"/>
          <w:szCs w:val="24"/>
          <w:highlight w:val="none"/>
          <w:lang w:val="en-US" w:eastAsia="zh-CN"/>
        </w:rPr>
        <w:t>水质</w:t>
      </w:r>
      <w:r>
        <w:rPr>
          <w:rFonts w:hint="eastAsia" w:cs="宋体" w:asciiTheme="minorEastAsia" w:hAnsiTheme="minorEastAsia" w:eastAsiaTheme="minorEastAsia"/>
          <w:b w:val="0"/>
          <w:bCs w:val="0"/>
          <w:sz w:val="24"/>
          <w:szCs w:val="24"/>
          <w:highlight w:val="none"/>
        </w:rPr>
        <w:t>监测。</w:t>
      </w:r>
    </w:p>
    <w:p w14:paraId="66686CCC">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cs="宋体" w:asciiTheme="minorEastAsia" w:hAnsiTheme="minorEastAsia" w:eastAsiaTheme="minorEastAsia"/>
          <w:b w:val="0"/>
          <w:bCs w:val="0"/>
          <w:sz w:val="24"/>
          <w:szCs w:val="24"/>
          <w:highlight w:val="none"/>
        </w:rPr>
      </w:pPr>
      <w:r>
        <w:rPr>
          <w:rFonts w:cs="宋体" w:asciiTheme="minorEastAsia" w:hAnsiTheme="minorEastAsia" w:eastAsiaTheme="minorEastAsia"/>
          <w:b w:val="0"/>
          <w:bCs w:val="0"/>
          <w:sz w:val="24"/>
          <w:szCs w:val="24"/>
          <w:highlight w:val="none"/>
          <w:lang w:val="en-US" w:eastAsia="zh-CN" w:bidi="ar-SA"/>
        </w:rPr>
        <w:t>（3）</w:t>
      </w:r>
      <w:r>
        <w:rPr>
          <w:rFonts w:hint="eastAsia" w:cs="宋体" w:asciiTheme="minorEastAsia" w:hAnsiTheme="minorEastAsia" w:eastAsiaTheme="minorEastAsia"/>
          <w:b w:val="0"/>
          <w:bCs w:val="0"/>
          <w:sz w:val="24"/>
          <w:szCs w:val="24"/>
          <w:highlight w:val="none"/>
        </w:rPr>
        <w:t>预警预报巡查服务及报告：每日关注江苏省水环境监控系统平台监控数据，根据《江苏省水环境质量监测预警方案（试行）》，当水质达到二级预警条件时，立即开展现场巡查并提供巡查报告。</w:t>
      </w:r>
    </w:p>
    <w:p w14:paraId="6FE39D5A">
      <w:pPr>
        <w:keepNext w:val="0"/>
        <w:keepLines w:val="0"/>
        <w:pageBreakBefore w:val="0"/>
        <w:kinsoku/>
        <w:wordWrap/>
        <w:overflowPunct/>
        <w:topLinePunct w:val="0"/>
        <w:autoSpaceDE/>
        <w:autoSpaceDN/>
        <w:bidi w:val="0"/>
        <w:spacing w:line="440" w:lineRule="exact"/>
        <w:ind w:firstLine="480" w:firstLineChars="200"/>
        <w:textAlignment w:val="auto"/>
        <w:rPr>
          <w:rFonts w:hint="default" w:asciiTheme="minorEastAsia" w:hAnsiTheme="minorEastAsia" w:eastAsiaTheme="minorEastAsia"/>
          <w:b w:val="0"/>
          <w:bCs w:val="0"/>
          <w:color w:val="auto"/>
          <w:sz w:val="24"/>
          <w:szCs w:val="24"/>
          <w:highlight w:val="none"/>
          <w:lang w:val="en-US" w:eastAsia="zh-CN"/>
        </w:rPr>
      </w:pPr>
      <w:r>
        <w:rPr>
          <w:rFonts w:hint="eastAsia" w:asciiTheme="minorEastAsia" w:hAnsiTheme="minorEastAsia" w:eastAsiaTheme="minorEastAsia"/>
          <w:b w:val="0"/>
          <w:bCs w:val="0"/>
          <w:color w:val="auto"/>
          <w:sz w:val="24"/>
          <w:szCs w:val="24"/>
          <w:highlight w:val="none"/>
          <w:lang w:val="en-US" w:eastAsia="zh-CN"/>
        </w:rPr>
        <w:t>2.污染源巡查排查服务</w:t>
      </w:r>
    </w:p>
    <w:p w14:paraId="00F50811">
      <w:pPr>
        <w:keepNext w:val="0"/>
        <w:keepLines w:val="0"/>
        <w:pageBreakBefore w:val="0"/>
        <w:widowControl/>
        <w:suppressLineNumbers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rPr>
        <w:t>利用无人机、</w:t>
      </w:r>
      <w:r>
        <w:rPr>
          <w:rFonts w:hint="eastAsia" w:ascii="宋体" w:hAnsi="宋体" w:cs="宋体"/>
          <w:sz w:val="24"/>
          <w:szCs w:val="24"/>
          <w:highlight w:val="none"/>
        </w:rPr>
        <w:t>便携式</w:t>
      </w:r>
      <w:r>
        <w:rPr>
          <w:rFonts w:hint="eastAsia" w:ascii="宋体" w:hAnsi="宋体" w:eastAsia="宋体" w:cs="宋体"/>
          <w:color w:val="000000"/>
          <w:sz w:val="24"/>
          <w:szCs w:val="24"/>
          <w:highlight w:val="none"/>
          <w:lang w:val="en-US" w:eastAsia="zh-CN"/>
        </w:rPr>
        <w:t>检测仪</w:t>
      </w:r>
      <w:r>
        <w:rPr>
          <w:rFonts w:hint="eastAsia" w:ascii="宋体" w:hAnsi="宋体" w:cs="宋体"/>
          <w:color w:val="000000"/>
          <w:sz w:val="24"/>
          <w:szCs w:val="24"/>
          <w:highlight w:val="none"/>
          <w:lang w:val="en-US" w:eastAsia="zh-CN"/>
        </w:rPr>
        <w:t>等技术手段</w:t>
      </w:r>
      <w:r>
        <w:rPr>
          <w:rFonts w:hint="eastAsia" w:ascii="宋体" w:hAnsi="宋体" w:cs="宋体"/>
          <w:color w:val="000000"/>
          <w:sz w:val="24"/>
          <w:szCs w:val="24"/>
          <w:highlight w:val="none"/>
        </w:rPr>
        <w:t>对</w:t>
      </w:r>
      <w:r>
        <w:rPr>
          <w:rFonts w:ascii="宋体" w:hAnsi="宋体" w:eastAsia="宋体" w:cs="宋体"/>
          <w:kern w:val="0"/>
          <w:sz w:val="24"/>
          <w:szCs w:val="24"/>
          <w:highlight w:val="none"/>
          <w:lang w:val="en-US" w:eastAsia="zh-CN" w:bidi="ar"/>
        </w:rPr>
        <w:t>重点河道干流</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主要支流</w:t>
      </w:r>
      <w:r>
        <w:rPr>
          <w:rFonts w:hint="eastAsia" w:ascii="宋体" w:hAnsi="宋体" w:cs="宋体"/>
          <w:color w:val="000000"/>
          <w:sz w:val="24"/>
          <w:szCs w:val="24"/>
          <w:highlight w:val="none"/>
        </w:rPr>
        <w:t>等</w:t>
      </w:r>
      <w:r>
        <w:rPr>
          <w:rFonts w:ascii="宋体" w:hAnsi="宋体" w:eastAsia="宋体" w:cs="宋体"/>
          <w:kern w:val="0"/>
          <w:sz w:val="24"/>
          <w:szCs w:val="24"/>
          <w:highlight w:val="none"/>
          <w:lang w:val="en-US" w:eastAsia="zh-CN" w:bidi="ar"/>
        </w:rPr>
        <w:t>开展常态化污染源巡查排查</w:t>
      </w:r>
      <w:r>
        <w:rPr>
          <w:rFonts w:hint="eastAsia" w:ascii="宋体" w:hAnsi="宋体" w:cs="宋体"/>
          <w:color w:val="000000"/>
          <w:sz w:val="24"/>
          <w:szCs w:val="24"/>
          <w:highlight w:val="none"/>
        </w:rPr>
        <w:t>。</w:t>
      </w:r>
      <w:r>
        <w:rPr>
          <w:rFonts w:ascii="宋体" w:hAnsi="宋体" w:eastAsia="宋体" w:cs="宋体"/>
          <w:kern w:val="0"/>
          <w:sz w:val="24"/>
          <w:szCs w:val="24"/>
          <w:highlight w:val="none"/>
          <w:lang w:val="en-US" w:eastAsia="zh-CN" w:bidi="ar"/>
        </w:rPr>
        <w:t>精准排查工业排污、生活污水直排、农业面源污染、养殖污染、垃圾漂浮等各类水环境问题，定位异常河段及污染点位，对发现问题全程拍照、录像，详细记录问题位置、类型、污染程度、责任属地等信息。对排查发现问题及时梳理汇总并交办整改，动态更新辖区重点区域水环境问题清单，明确整改责任单位、整改时限</w:t>
      </w:r>
      <w:r>
        <w:rPr>
          <w:rFonts w:hint="eastAsia" w:ascii="宋体" w:hAnsi="宋体" w:eastAsia="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安排专人全程跟踪整改进度，督促责任单位落实整改措施，对整改完成点位开展复核核查，确保问题整改到位、不反弹，每半月完成一次问题清单更新、台账归档，实现闭环管理。</w:t>
      </w:r>
    </w:p>
    <w:p w14:paraId="12FB162E">
      <w:pPr>
        <w:keepNext w:val="0"/>
        <w:keepLines w:val="0"/>
        <w:pageBreakBefore w:val="0"/>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color w:val="000000"/>
          <w:sz w:val="24"/>
          <w:szCs w:val="24"/>
          <w:highlight w:val="none"/>
          <w:lang w:val="en-US" w:eastAsia="zh-CN"/>
        </w:rPr>
      </w:pPr>
      <w:r>
        <w:rPr>
          <w:rFonts w:hint="eastAsia" w:cs="宋体" w:asciiTheme="minorEastAsia" w:hAnsiTheme="minorEastAsia" w:eastAsiaTheme="minorEastAsia"/>
          <w:b w:val="0"/>
          <w:bCs w:val="0"/>
          <w:color w:val="000000"/>
          <w:sz w:val="24"/>
          <w:szCs w:val="24"/>
          <w:highlight w:val="none"/>
          <w:lang w:val="en-US" w:eastAsia="zh-CN"/>
        </w:rPr>
        <w:t>3.技术分析报告服务</w:t>
      </w:r>
    </w:p>
    <w:p w14:paraId="737794BB">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eastAsia="zh-CN"/>
        </w:rPr>
        <w:t>（</w:t>
      </w:r>
      <w:r>
        <w:rPr>
          <w:rFonts w:hint="eastAsia" w:cs="宋体" w:asciiTheme="minorEastAsia" w:hAnsiTheme="minorEastAsia" w:eastAsiaTheme="minorEastAsia"/>
          <w:b w:val="0"/>
          <w:bCs w:val="0"/>
          <w:sz w:val="24"/>
          <w:szCs w:val="24"/>
          <w:highlight w:val="none"/>
          <w:lang w:val="en-US" w:eastAsia="zh-CN"/>
        </w:rPr>
        <w:t>1</w:t>
      </w:r>
      <w:r>
        <w:rPr>
          <w:rFonts w:hint="eastAsia" w:cs="宋体" w:asciiTheme="minorEastAsia" w:hAnsiTheme="minorEastAsia" w:eastAsiaTheme="minorEastAsia"/>
          <w:b w:val="0"/>
          <w:bCs w:val="0"/>
          <w:sz w:val="24"/>
          <w:szCs w:val="24"/>
          <w:highlight w:val="none"/>
          <w:lang w:eastAsia="zh-CN"/>
        </w:rPr>
        <w:t>）月度水质分析报告编制</w:t>
      </w:r>
    </w:p>
    <w:p w14:paraId="6E1DDC0C">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eastAsia="zh-CN"/>
        </w:rPr>
        <w:t>每月汇总梳理国省考断面水质</w:t>
      </w:r>
      <w:r>
        <w:rPr>
          <w:rFonts w:hint="eastAsia" w:cs="宋体" w:asciiTheme="minorEastAsia" w:hAnsiTheme="minorEastAsia" w:eastAsiaTheme="minorEastAsia"/>
          <w:b w:val="0"/>
          <w:bCs w:val="0"/>
          <w:sz w:val="24"/>
          <w:szCs w:val="24"/>
          <w:highlight w:val="none"/>
          <w:lang w:val="en-US" w:eastAsia="zh-CN"/>
        </w:rPr>
        <w:t>情况</w:t>
      </w:r>
      <w:r>
        <w:rPr>
          <w:rFonts w:hint="eastAsia" w:cs="宋体" w:asciiTheme="minorEastAsia" w:hAnsiTheme="minorEastAsia" w:eastAsiaTheme="minorEastAsia"/>
          <w:b w:val="0"/>
          <w:bCs w:val="0"/>
          <w:sz w:val="24"/>
          <w:szCs w:val="24"/>
          <w:highlight w:val="none"/>
          <w:lang w:eastAsia="zh-CN"/>
        </w:rPr>
        <w:t>、日常巡查工作台账、问题整改情况，系统分析当月断面水质达标情况、水质变化规律、主要超标指标及成因、现存水环境短板问题。结合当月工作梳理工作成效与不足，结合季节水文特点、污染排放规律，明确下月断面水质管控重点、污染排查方向、水质保障措施，编制月度水环境工作分析报告，</w:t>
      </w:r>
      <w:r>
        <w:rPr>
          <w:rFonts w:hint="eastAsia" w:cs="宋体" w:asciiTheme="minorEastAsia" w:hAnsiTheme="minorEastAsia" w:eastAsiaTheme="minorEastAsia"/>
          <w:b w:val="0"/>
          <w:bCs w:val="0"/>
          <w:sz w:val="24"/>
          <w:szCs w:val="24"/>
          <w:highlight w:val="none"/>
          <w:lang w:val="en-US" w:eastAsia="zh-CN"/>
        </w:rPr>
        <w:t>共12份</w:t>
      </w:r>
      <w:r>
        <w:rPr>
          <w:rFonts w:hint="eastAsia" w:cs="宋体" w:asciiTheme="minorEastAsia" w:hAnsiTheme="minorEastAsia" w:eastAsiaTheme="minorEastAsia"/>
          <w:b w:val="0"/>
          <w:bCs w:val="0"/>
          <w:sz w:val="24"/>
          <w:szCs w:val="24"/>
          <w:highlight w:val="none"/>
          <w:lang w:eastAsia="zh-CN"/>
        </w:rPr>
        <w:t>。</w:t>
      </w:r>
    </w:p>
    <w:p w14:paraId="60703083">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eastAsia="zh-CN"/>
        </w:rPr>
        <w:t>（</w:t>
      </w:r>
      <w:r>
        <w:rPr>
          <w:rFonts w:hint="eastAsia" w:cs="宋体" w:asciiTheme="minorEastAsia" w:hAnsiTheme="minorEastAsia" w:eastAsiaTheme="minorEastAsia"/>
          <w:b w:val="0"/>
          <w:bCs w:val="0"/>
          <w:sz w:val="24"/>
          <w:szCs w:val="24"/>
          <w:highlight w:val="none"/>
          <w:lang w:val="en-US" w:eastAsia="zh-CN"/>
        </w:rPr>
        <w:t>2</w:t>
      </w:r>
      <w:r>
        <w:rPr>
          <w:rFonts w:hint="eastAsia" w:cs="宋体" w:asciiTheme="minorEastAsia" w:hAnsiTheme="minorEastAsia" w:eastAsiaTheme="minorEastAsia"/>
          <w:b w:val="0"/>
          <w:bCs w:val="0"/>
          <w:sz w:val="24"/>
          <w:szCs w:val="24"/>
          <w:highlight w:val="none"/>
          <w:lang w:eastAsia="zh-CN"/>
        </w:rPr>
        <w:t>）季度河道污染源溯源排查报告编制</w:t>
      </w:r>
    </w:p>
    <w:p w14:paraId="4ED86763">
      <w:pPr>
        <w:keepNext w:val="0"/>
        <w:keepLines w:val="0"/>
        <w:pageBreakBefore w:val="0"/>
        <w:widowControl/>
        <w:suppressLineNumbers w:val="0"/>
        <w:kinsoku/>
        <w:wordWrap/>
        <w:overflowPunct/>
        <w:topLinePunct w:val="0"/>
        <w:autoSpaceDE/>
        <w:autoSpaceDN/>
        <w:bidi w:val="0"/>
        <w:spacing w:line="440" w:lineRule="exact"/>
        <w:ind w:firstLine="480" w:firstLineChars="200"/>
        <w:jc w:val="left"/>
        <w:textAlignment w:val="auto"/>
        <w:rPr>
          <w:highlight w:val="none"/>
        </w:rPr>
      </w:pPr>
      <w:r>
        <w:rPr>
          <w:rFonts w:ascii="宋体" w:hAnsi="宋体" w:eastAsia="宋体" w:cs="宋体"/>
          <w:kern w:val="0"/>
          <w:sz w:val="24"/>
          <w:szCs w:val="24"/>
          <w:highlight w:val="none"/>
          <w:lang w:val="en-US" w:eastAsia="zh-CN" w:bidi="ar"/>
        </w:rPr>
        <w:t>结合常态化河道巡查、水质监测成果，每季度对重点河流干流、支流开展全域全覆盖溯源分析，系统研判河道水质超标、水体指标波动的核心诱因，梳理流域内结构性、阶段性水环境突出问题，针对性提出源头管控、污染源治理、生态修复、长效管控等整改提升建议，编制完整河流断面季度溯源排查报告</w:t>
      </w:r>
      <w:r>
        <w:rPr>
          <w:rFonts w:hint="eastAsia" w:ascii="宋体" w:hAnsi="宋体" w:cs="宋体"/>
          <w:kern w:val="0"/>
          <w:sz w:val="24"/>
          <w:szCs w:val="24"/>
          <w:highlight w:val="none"/>
          <w:lang w:val="en-US" w:eastAsia="zh-CN" w:bidi="ar"/>
        </w:rPr>
        <w:t>，共4份</w:t>
      </w:r>
      <w:r>
        <w:rPr>
          <w:rFonts w:ascii="宋体" w:hAnsi="宋体" w:eastAsia="宋体" w:cs="宋体"/>
          <w:kern w:val="0"/>
          <w:sz w:val="24"/>
          <w:szCs w:val="24"/>
          <w:highlight w:val="none"/>
          <w:lang w:val="en-US" w:eastAsia="zh-CN" w:bidi="ar"/>
        </w:rPr>
        <w:t>。</w:t>
      </w:r>
    </w:p>
    <w:p w14:paraId="359ED632">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eastAsia="zh-CN"/>
        </w:rPr>
        <w:t>（</w:t>
      </w:r>
      <w:r>
        <w:rPr>
          <w:rFonts w:hint="eastAsia" w:cs="宋体" w:asciiTheme="minorEastAsia" w:hAnsiTheme="minorEastAsia" w:eastAsiaTheme="minorEastAsia"/>
          <w:b w:val="0"/>
          <w:bCs w:val="0"/>
          <w:sz w:val="24"/>
          <w:szCs w:val="24"/>
          <w:highlight w:val="none"/>
          <w:lang w:val="en-US" w:eastAsia="zh-CN"/>
        </w:rPr>
        <w:t>3</w:t>
      </w:r>
      <w:r>
        <w:rPr>
          <w:rFonts w:hint="eastAsia" w:cs="宋体" w:asciiTheme="minorEastAsia" w:hAnsiTheme="minorEastAsia" w:eastAsiaTheme="minorEastAsia"/>
          <w:b w:val="0"/>
          <w:bCs w:val="0"/>
          <w:sz w:val="24"/>
          <w:szCs w:val="24"/>
          <w:highlight w:val="none"/>
          <w:lang w:eastAsia="zh-CN"/>
        </w:rPr>
        <w:t>）分汛期水质提升保障方案编制</w:t>
      </w:r>
    </w:p>
    <w:p w14:paraId="100E7A91">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eastAsia="zh-CN"/>
        </w:rPr>
        <w:t>结合汛期、非汛期水文、水质、污染排放差异化特点，区分不同时段水质保障核心侧重点，分别编制汛期、非汛期断面水质提升专项保障方案。方案需涵盖区域水系概况、历年</w:t>
      </w:r>
      <w:r>
        <w:rPr>
          <w:rFonts w:hint="eastAsia" w:cs="宋体" w:asciiTheme="minorEastAsia" w:hAnsiTheme="minorEastAsia" w:eastAsiaTheme="minorEastAsia"/>
          <w:b w:val="0"/>
          <w:bCs w:val="0"/>
          <w:sz w:val="24"/>
          <w:szCs w:val="24"/>
          <w:highlight w:val="none"/>
          <w:lang w:val="en-US" w:eastAsia="zh-CN"/>
        </w:rPr>
        <w:t>重点河道</w:t>
      </w:r>
      <w:r>
        <w:rPr>
          <w:rFonts w:hint="eastAsia" w:cs="宋体" w:asciiTheme="minorEastAsia" w:hAnsiTheme="minorEastAsia" w:eastAsiaTheme="minorEastAsia"/>
          <w:b w:val="0"/>
          <w:bCs w:val="0"/>
          <w:sz w:val="24"/>
          <w:szCs w:val="24"/>
          <w:highlight w:val="none"/>
          <w:lang w:eastAsia="zh-CN"/>
        </w:rPr>
        <w:t>水质现状评价、当前污染源现状调查与评估、水环境突出问题识别、断面水质达标风险分析、分类整治重点任务、管控措施、应急保障机制等内容。汛期保障方案于每年4月底前提交，非汛期保障方案于每年10月底前提交，为辖区分时段水质精准管控提供技术支撑，</w:t>
      </w:r>
      <w:r>
        <w:rPr>
          <w:rFonts w:hint="eastAsia" w:cs="宋体" w:asciiTheme="minorEastAsia" w:hAnsiTheme="minorEastAsia" w:eastAsiaTheme="minorEastAsia"/>
          <w:b w:val="0"/>
          <w:bCs w:val="0"/>
          <w:sz w:val="24"/>
          <w:szCs w:val="24"/>
          <w:highlight w:val="none"/>
          <w:lang w:val="en-US" w:eastAsia="zh-CN"/>
        </w:rPr>
        <w:t>共2份</w:t>
      </w:r>
      <w:r>
        <w:rPr>
          <w:rFonts w:hint="eastAsia" w:cs="宋体" w:asciiTheme="minorEastAsia" w:hAnsiTheme="minorEastAsia" w:eastAsiaTheme="minorEastAsia"/>
          <w:b w:val="0"/>
          <w:bCs w:val="0"/>
          <w:sz w:val="24"/>
          <w:szCs w:val="24"/>
          <w:highlight w:val="none"/>
          <w:lang w:eastAsia="zh-CN"/>
        </w:rPr>
        <w:t>。</w:t>
      </w:r>
    </w:p>
    <w:p w14:paraId="36D8D2A7">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val="en-US" w:eastAsia="zh-CN"/>
        </w:rPr>
        <w:t>4.</w:t>
      </w:r>
      <w:r>
        <w:rPr>
          <w:rFonts w:hint="eastAsia" w:cs="宋体" w:asciiTheme="minorEastAsia" w:hAnsiTheme="minorEastAsia" w:eastAsiaTheme="minorEastAsia"/>
          <w:b w:val="0"/>
          <w:bCs w:val="0"/>
          <w:sz w:val="24"/>
          <w:szCs w:val="24"/>
          <w:highlight w:val="none"/>
          <w:lang w:eastAsia="zh-CN"/>
        </w:rPr>
        <w:t xml:space="preserve"> </w:t>
      </w:r>
      <w:r>
        <w:rPr>
          <w:rFonts w:hint="eastAsia" w:cs="宋体" w:asciiTheme="minorEastAsia" w:hAnsiTheme="minorEastAsia" w:eastAsiaTheme="minorEastAsia"/>
          <w:b w:val="0"/>
          <w:bCs w:val="0"/>
          <w:sz w:val="24"/>
          <w:szCs w:val="24"/>
          <w:highlight w:val="none"/>
          <w:lang w:val="en-US" w:eastAsia="zh-CN"/>
        </w:rPr>
        <w:t>乡镇、街道（园区）</w:t>
      </w:r>
      <w:r>
        <w:rPr>
          <w:rFonts w:hint="eastAsia" w:cs="宋体" w:asciiTheme="minorEastAsia" w:hAnsiTheme="minorEastAsia" w:eastAsiaTheme="minorEastAsia"/>
          <w:b w:val="0"/>
          <w:bCs w:val="0"/>
          <w:sz w:val="24"/>
          <w:szCs w:val="24"/>
          <w:highlight w:val="none"/>
          <w:lang w:eastAsia="zh-CN"/>
        </w:rPr>
        <w:t>排查帮扶服务</w:t>
      </w:r>
    </w:p>
    <w:p w14:paraId="00F0FAB0">
      <w:pPr>
        <w:keepNext w:val="0"/>
        <w:keepLines w:val="0"/>
        <w:pageBreakBefore w:val="0"/>
        <w:widowControl/>
        <w:suppressLineNumbers w:val="0"/>
        <w:kinsoku/>
        <w:wordWrap/>
        <w:overflowPunct/>
        <w:topLinePunct w:val="0"/>
        <w:autoSpaceDE/>
        <w:autoSpaceDN/>
        <w:bidi w:val="0"/>
        <w:spacing w:line="440" w:lineRule="exact"/>
        <w:ind w:firstLine="480" w:firstLineChars="200"/>
        <w:jc w:val="left"/>
        <w:textAlignment w:val="auto"/>
        <w:rPr>
          <w:rFonts w:hint="eastAsia" w:cs="宋体" w:asciiTheme="minorEastAsia" w:hAnsiTheme="minorEastAsia" w:eastAsiaTheme="minorEastAsia"/>
          <w:b w:val="0"/>
          <w:bCs w:val="0"/>
          <w:sz w:val="24"/>
          <w:szCs w:val="24"/>
          <w:highlight w:val="none"/>
          <w:lang w:eastAsia="zh-CN"/>
        </w:rPr>
      </w:pPr>
      <w:r>
        <w:rPr>
          <w:rFonts w:ascii="宋体" w:hAnsi="宋体" w:eastAsia="宋体" w:cs="宋体"/>
          <w:kern w:val="0"/>
          <w:sz w:val="24"/>
          <w:szCs w:val="24"/>
          <w:highlight w:val="none"/>
          <w:lang w:val="en-US" w:eastAsia="zh-CN" w:bidi="ar"/>
        </w:rPr>
        <w:t>针对国省考断面包覆流经的乡镇、街道、园区开展排查帮扶，形成专项帮扶报告</w:t>
      </w:r>
      <w:r>
        <w:rPr>
          <w:rFonts w:hint="eastAsia" w:ascii="宋体" w:hAnsi="宋体" w:cs="宋体"/>
          <w:kern w:val="0"/>
          <w:sz w:val="24"/>
          <w:szCs w:val="24"/>
          <w:highlight w:val="none"/>
          <w:lang w:val="en-US" w:eastAsia="zh-CN" w:bidi="ar"/>
        </w:rPr>
        <w:t>，共17份</w:t>
      </w:r>
      <w:r>
        <w:rPr>
          <w:rFonts w:ascii="宋体" w:hAnsi="宋体" w:eastAsia="宋体" w:cs="宋体"/>
          <w:kern w:val="0"/>
          <w:sz w:val="24"/>
          <w:szCs w:val="24"/>
          <w:highlight w:val="none"/>
          <w:lang w:val="en-US" w:eastAsia="zh-CN" w:bidi="ar"/>
        </w:rPr>
        <w:t>。</w:t>
      </w:r>
      <w:r>
        <w:rPr>
          <w:rFonts w:ascii="宋体" w:hAnsi="宋体" w:eastAsia="宋体" w:cs="宋体"/>
          <w:color w:val="auto"/>
          <w:kern w:val="0"/>
          <w:sz w:val="24"/>
          <w:szCs w:val="24"/>
          <w:highlight w:val="none"/>
          <w:lang w:val="en-US" w:eastAsia="zh-CN" w:bidi="ar"/>
        </w:rPr>
        <w:t>帮扶范围具体包括</w:t>
      </w:r>
      <w:r>
        <w:rPr>
          <w:rFonts w:hint="eastAsia" w:ascii="宋体" w:hAnsi="宋体" w:cs="宋体"/>
          <w:color w:val="auto"/>
          <w:kern w:val="0"/>
          <w:sz w:val="24"/>
          <w:szCs w:val="24"/>
          <w:highlight w:val="none"/>
          <w:lang w:val="en-US" w:eastAsia="zh-CN" w:bidi="ar"/>
        </w:rPr>
        <w:t>8个镇、7个街道以及2个园区</w:t>
      </w:r>
      <w:r>
        <w:rPr>
          <w:rFonts w:ascii="宋体" w:hAnsi="宋体" w:eastAsia="宋体" w:cs="宋体"/>
          <w:color w:val="auto"/>
          <w:kern w:val="0"/>
          <w:sz w:val="24"/>
          <w:szCs w:val="24"/>
          <w:highlight w:val="none"/>
          <w:lang w:val="en-US" w:eastAsia="zh-CN" w:bidi="ar"/>
        </w:rPr>
        <w:t>。具</w:t>
      </w:r>
      <w:r>
        <w:rPr>
          <w:rFonts w:ascii="宋体" w:hAnsi="宋体" w:eastAsia="宋体" w:cs="宋体"/>
          <w:kern w:val="0"/>
          <w:sz w:val="24"/>
          <w:szCs w:val="24"/>
          <w:highlight w:val="none"/>
          <w:lang w:val="en-US" w:eastAsia="zh-CN" w:bidi="ar"/>
        </w:rPr>
        <w:t>体</w:t>
      </w:r>
      <w:r>
        <w:rPr>
          <w:rFonts w:hint="eastAsia" w:ascii="宋体" w:hAnsi="宋体" w:cs="宋体"/>
          <w:kern w:val="0"/>
          <w:sz w:val="24"/>
          <w:szCs w:val="24"/>
          <w:highlight w:val="none"/>
          <w:lang w:val="en-US" w:eastAsia="zh-CN" w:bidi="ar"/>
        </w:rPr>
        <w:t>工作</w:t>
      </w:r>
      <w:r>
        <w:rPr>
          <w:rFonts w:ascii="宋体" w:hAnsi="宋体" w:eastAsia="宋体" w:cs="宋体"/>
          <w:kern w:val="0"/>
          <w:sz w:val="24"/>
          <w:szCs w:val="24"/>
          <w:highlight w:val="none"/>
          <w:lang w:val="en-US" w:eastAsia="zh-CN" w:bidi="ar"/>
        </w:rPr>
        <w:t>内容如下：</w:t>
      </w:r>
    </w:p>
    <w:p w14:paraId="12956C26">
      <w:pPr>
        <w:keepNext w:val="0"/>
        <w:keepLines w:val="0"/>
        <w:pageBreakBefore w:val="0"/>
        <w:widowControl/>
        <w:numPr>
          <w:ilvl w:val="0"/>
          <w:numId w:val="4"/>
        </w:numPr>
        <w:suppressLineNumbers w:val="0"/>
        <w:kinsoku/>
        <w:wordWrap/>
        <w:overflowPunct/>
        <w:topLinePunct w:val="0"/>
        <w:autoSpaceDE/>
        <w:autoSpaceDN/>
        <w:bidi w:val="0"/>
        <w:spacing w:line="440" w:lineRule="exact"/>
        <w:ind w:firstLine="480" w:firstLineChars="200"/>
        <w:jc w:val="left"/>
        <w:textAlignment w:val="auto"/>
        <w:rPr>
          <w:rFonts w:hint="default" w:cs="宋体" w:asciiTheme="minorEastAsia" w:hAnsiTheme="minorEastAsia" w:eastAsiaTheme="minorEastAsia"/>
          <w:b w:val="0"/>
          <w:bCs w:val="0"/>
          <w:sz w:val="24"/>
          <w:szCs w:val="24"/>
          <w:highlight w:val="none"/>
          <w:lang w:val="en-US" w:eastAsia="zh-CN"/>
        </w:rPr>
      </w:pPr>
      <w:r>
        <w:rPr>
          <w:rFonts w:hint="eastAsia" w:cs="宋体" w:asciiTheme="minorEastAsia" w:hAnsiTheme="minorEastAsia" w:eastAsiaTheme="minorEastAsia"/>
          <w:b w:val="0"/>
          <w:bCs w:val="0"/>
          <w:sz w:val="24"/>
          <w:szCs w:val="24"/>
          <w:highlight w:val="none"/>
          <w:lang w:val="en-US" w:eastAsia="zh-CN"/>
        </w:rPr>
        <w:t>基础情况摸排：</w:t>
      </w:r>
      <w:r>
        <w:rPr>
          <w:rFonts w:ascii="宋体" w:hAnsi="宋体" w:eastAsia="宋体" w:cs="宋体"/>
          <w:kern w:val="0"/>
          <w:sz w:val="24"/>
          <w:szCs w:val="24"/>
          <w:highlight w:val="none"/>
          <w:lang w:val="en-US" w:eastAsia="zh-CN" w:bidi="ar"/>
        </w:rPr>
        <w:t>摸排各镇街（园区）主要河道水系分布、</w:t>
      </w:r>
      <w:r>
        <w:rPr>
          <w:rFonts w:cs="Segoe UI" w:asciiTheme="minorEastAsia" w:hAnsiTheme="minorEastAsia"/>
          <w:color w:val="0F1115"/>
          <w:kern w:val="0"/>
          <w:sz w:val="24"/>
          <w:szCs w:val="24"/>
          <w:highlight w:val="none"/>
        </w:rPr>
        <w:t>工业园区、污水处理厂</w:t>
      </w:r>
      <w:r>
        <w:rPr>
          <w:rFonts w:hint="eastAsia" w:cs="Segoe UI" w:asciiTheme="minorEastAsia" w:hAnsiTheme="minorEastAsia"/>
          <w:color w:val="0F1115"/>
          <w:kern w:val="0"/>
          <w:sz w:val="24"/>
          <w:szCs w:val="24"/>
          <w:highlight w:val="none"/>
          <w:lang w:val="en-US" w:eastAsia="zh-CN"/>
        </w:rPr>
        <w:t>分布</w:t>
      </w:r>
      <w:r>
        <w:rPr>
          <w:rFonts w:cs="Segoe UI" w:asciiTheme="minorEastAsia" w:hAnsiTheme="minorEastAsia"/>
          <w:color w:val="0F1115"/>
          <w:kern w:val="0"/>
          <w:sz w:val="24"/>
          <w:szCs w:val="24"/>
          <w:highlight w:val="none"/>
        </w:rPr>
        <w:t>及</w:t>
      </w:r>
      <w:r>
        <w:rPr>
          <w:rFonts w:hint="eastAsia" w:cs="Segoe UI" w:asciiTheme="minorEastAsia" w:hAnsiTheme="minorEastAsia"/>
          <w:color w:val="0F1115"/>
          <w:kern w:val="0"/>
          <w:sz w:val="24"/>
          <w:szCs w:val="24"/>
          <w:highlight w:val="none"/>
          <w:lang w:val="en-US" w:eastAsia="zh-CN"/>
        </w:rPr>
        <w:t>入河排污口</w:t>
      </w:r>
      <w:r>
        <w:rPr>
          <w:rFonts w:cs="Segoe UI" w:asciiTheme="minorEastAsia" w:hAnsiTheme="minorEastAsia"/>
          <w:color w:val="0F1115"/>
          <w:kern w:val="0"/>
          <w:sz w:val="24"/>
          <w:szCs w:val="24"/>
          <w:highlight w:val="none"/>
        </w:rPr>
        <w:t>情；</w:t>
      </w:r>
      <w:r>
        <w:rPr>
          <w:rFonts w:ascii="宋体" w:hAnsi="宋体" w:eastAsia="宋体" w:cs="宋体"/>
          <w:kern w:val="0"/>
          <w:sz w:val="24"/>
          <w:szCs w:val="24"/>
          <w:highlight w:val="none"/>
          <w:lang w:val="en-US" w:eastAsia="zh-CN" w:bidi="ar"/>
        </w:rPr>
        <w:t>、畜禽及水产养殖分布、农田</w:t>
      </w:r>
      <w:r>
        <w:rPr>
          <w:rFonts w:hint="eastAsia" w:ascii="宋体" w:hAnsi="宋体" w:cs="宋体"/>
          <w:kern w:val="0"/>
          <w:sz w:val="24"/>
          <w:szCs w:val="24"/>
          <w:highlight w:val="none"/>
          <w:lang w:val="en-US" w:eastAsia="zh-CN" w:bidi="ar"/>
        </w:rPr>
        <w:t>种植区</w:t>
      </w:r>
      <w:r>
        <w:rPr>
          <w:rFonts w:ascii="宋体" w:hAnsi="宋体" w:eastAsia="宋体" w:cs="宋体"/>
          <w:kern w:val="0"/>
          <w:sz w:val="24"/>
          <w:szCs w:val="24"/>
          <w:highlight w:val="none"/>
          <w:lang w:val="en-US" w:eastAsia="zh-CN" w:bidi="ar"/>
        </w:rPr>
        <w:t>分布等基础现状，</w:t>
      </w:r>
      <w:r>
        <w:rPr>
          <w:rFonts w:hint="eastAsia" w:ascii="宋体" w:hAnsi="宋体" w:eastAsia="宋体" w:cs="宋体"/>
          <w:kern w:val="0"/>
          <w:sz w:val="24"/>
          <w:szCs w:val="24"/>
          <w:highlight w:val="none"/>
          <w:lang w:val="en-US" w:eastAsia="zh-CN" w:bidi="ar"/>
        </w:rPr>
        <w:t>绘制完成</w:t>
      </w:r>
      <w:r>
        <w:rPr>
          <w:rFonts w:hint="eastAsia" w:ascii="宋体" w:hAnsi="宋体" w:cs="宋体"/>
          <w:kern w:val="0"/>
          <w:sz w:val="24"/>
          <w:szCs w:val="24"/>
          <w:highlight w:val="none"/>
          <w:lang w:val="en-US" w:eastAsia="zh-CN" w:bidi="ar"/>
        </w:rPr>
        <w:t>各属地</w:t>
      </w:r>
      <w:r>
        <w:rPr>
          <w:rFonts w:hint="eastAsia" w:ascii="宋体" w:hAnsi="宋体" w:eastAsia="宋体" w:cs="宋体"/>
          <w:kern w:val="0"/>
          <w:sz w:val="24"/>
          <w:szCs w:val="24"/>
          <w:highlight w:val="none"/>
          <w:lang w:val="en-US" w:eastAsia="zh-CN" w:bidi="ar"/>
        </w:rPr>
        <w:t>水环境现状分布“一张图”</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为精准排查、精准治理提供基础支撑。</w:t>
      </w:r>
    </w:p>
    <w:p w14:paraId="731634EC">
      <w:pPr>
        <w:keepNext w:val="0"/>
        <w:keepLines w:val="0"/>
        <w:pageBreakBefore w:val="0"/>
        <w:widowControl/>
        <w:suppressLineNumbers w:val="0"/>
        <w:kinsoku/>
        <w:wordWrap/>
        <w:overflowPunct/>
        <w:topLinePunct w:val="0"/>
        <w:autoSpaceDE/>
        <w:autoSpaceDN/>
        <w:bidi w:val="0"/>
        <w:spacing w:line="440" w:lineRule="exact"/>
        <w:ind w:firstLine="480" w:firstLineChars="200"/>
        <w:jc w:val="left"/>
        <w:textAlignment w:val="auto"/>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eastAsia="zh-CN"/>
        </w:rPr>
        <w:t>（</w:t>
      </w:r>
      <w:r>
        <w:rPr>
          <w:rFonts w:hint="eastAsia" w:cs="宋体" w:asciiTheme="minorEastAsia" w:hAnsiTheme="minorEastAsia" w:eastAsiaTheme="minorEastAsia"/>
          <w:b w:val="0"/>
          <w:bCs w:val="0"/>
          <w:sz w:val="24"/>
          <w:szCs w:val="24"/>
          <w:highlight w:val="none"/>
          <w:lang w:val="en-US" w:eastAsia="zh-CN"/>
        </w:rPr>
        <w:t>2</w:t>
      </w:r>
      <w:r>
        <w:rPr>
          <w:rFonts w:hint="eastAsia" w:cs="宋体" w:asciiTheme="minorEastAsia" w:hAnsiTheme="minorEastAsia" w:eastAsiaTheme="minorEastAsia"/>
          <w:b w:val="0"/>
          <w:bCs w:val="0"/>
          <w:sz w:val="24"/>
          <w:szCs w:val="24"/>
          <w:highlight w:val="none"/>
          <w:lang w:eastAsia="zh-CN"/>
        </w:rPr>
        <w:t>）</w:t>
      </w:r>
      <w:r>
        <w:rPr>
          <w:rFonts w:ascii="宋体" w:hAnsi="宋体" w:eastAsia="宋体" w:cs="宋体"/>
          <w:kern w:val="0"/>
          <w:sz w:val="24"/>
          <w:szCs w:val="24"/>
          <w:highlight w:val="none"/>
          <w:lang w:val="en-US" w:eastAsia="zh-CN" w:bidi="ar"/>
        </w:rPr>
        <w:t>重点区域水体排查及闭环整改帮扶</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对各镇街（园区）工业园区、污水处理厂、畜禽养殖、水产养殖、农田片区等重点区域周边水体开展常态化排查，全面排查污水直排、养殖污染、农业面源污染</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水体异常等环境问题。针对排查发现问题制定整改措施，全程跟踪整改落实情况，</w:t>
      </w:r>
      <w:r>
        <w:rPr>
          <w:rFonts w:hint="eastAsia" w:cs="宋体" w:asciiTheme="minorEastAsia" w:hAnsiTheme="minorEastAsia" w:eastAsiaTheme="minorEastAsia"/>
          <w:b w:val="0"/>
          <w:bCs w:val="0"/>
          <w:sz w:val="24"/>
          <w:szCs w:val="24"/>
          <w:highlight w:val="none"/>
          <w:lang w:eastAsia="zh-CN"/>
        </w:rPr>
        <w:t>并对整改情况进行复核实现闭环管理。</w:t>
      </w:r>
    </w:p>
    <w:p w14:paraId="021A9672">
      <w:pPr>
        <w:keepNext w:val="0"/>
        <w:keepLines w:val="0"/>
        <w:pageBreakBefore w:val="0"/>
        <w:widowControl/>
        <w:suppressLineNumbers w:val="0"/>
        <w:kinsoku/>
        <w:wordWrap/>
        <w:overflowPunct/>
        <w:topLinePunct w:val="0"/>
        <w:autoSpaceDE/>
        <w:autoSpaceDN/>
        <w:bidi w:val="0"/>
        <w:spacing w:line="440" w:lineRule="exact"/>
        <w:ind w:firstLine="480" w:firstLineChars="200"/>
        <w:jc w:val="left"/>
        <w:textAlignment w:val="auto"/>
        <w:rPr>
          <w:rFonts w:hint="eastAsia" w:cs="宋体" w:asciiTheme="minorEastAsia" w:hAnsiTheme="minorEastAsia" w:eastAsiaTheme="minorEastAsia"/>
          <w:b w:val="0"/>
          <w:bCs w:val="0"/>
          <w:sz w:val="24"/>
          <w:szCs w:val="24"/>
          <w:highlight w:val="none"/>
          <w:lang w:val="en-US" w:eastAsia="zh-CN"/>
        </w:rPr>
      </w:pPr>
      <w:r>
        <w:rPr>
          <w:rFonts w:hint="eastAsia" w:cs="宋体" w:asciiTheme="minorEastAsia" w:hAnsiTheme="minorEastAsia" w:eastAsiaTheme="minorEastAsia"/>
          <w:b w:val="0"/>
          <w:bCs w:val="0"/>
          <w:sz w:val="24"/>
          <w:szCs w:val="24"/>
          <w:highlight w:val="none"/>
          <w:lang w:val="en-US" w:eastAsia="zh-CN"/>
        </w:rPr>
        <w:t>（3）</w:t>
      </w:r>
      <w:r>
        <w:rPr>
          <w:rFonts w:ascii="宋体" w:hAnsi="宋体" w:eastAsia="宋体" w:cs="宋体"/>
          <w:kern w:val="0"/>
          <w:sz w:val="24"/>
          <w:szCs w:val="24"/>
          <w:highlight w:val="none"/>
          <w:lang w:val="en-US" w:eastAsia="zh-CN" w:bidi="ar"/>
        </w:rPr>
        <w:t>入河管网溯源排查</w:t>
      </w:r>
      <w:r>
        <w:rPr>
          <w:rFonts w:hint="eastAsia" w:ascii="宋体" w:hAnsi="宋体" w:cs="宋体"/>
          <w:kern w:val="0"/>
          <w:sz w:val="24"/>
          <w:szCs w:val="24"/>
          <w:highlight w:val="none"/>
          <w:lang w:val="en-US" w:eastAsia="zh-CN" w:bidi="ar"/>
        </w:rPr>
        <w:t>：</w:t>
      </w:r>
      <w:r>
        <w:rPr>
          <w:rFonts w:hint="eastAsia" w:cs="宋体" w:asciiTheme="minorEastAsia" w:hAnsiTheme="minorEastAsia" w:eastAsiaTheme="minorEastAsia"/>
          <w:b w:val="0"/>
          <w:bCs w:val="0"/>
          <w:sz w:val="24"/>
          <w:szCs w:val="24"/>
          <w:highlight w:val="none"/>
          <w:lang w:val="en-US" w:eastAsia="zh-CN"/>
        </w:rPr>
        <w:t>针对入河排口沿线管网开展溯源排查，</w:t>
      </w:r>
      <w:r>
        <w:rPr>
          <w:rFonts w:ascii="宋体" w:hAnsi="宋体" w:eastAsia="宋体" w:cs="宋体"/>
          <w:kern w:val="0"/>
          <w:sz w:val="24"/>
          <w:szCs w:val="24"/>
          <w:highlight w:val="none"/>
          <w:lang w:val="en-US" w:eastAsia="zh-CN" w:bidi="ar"/>
        </w:rPr>
        <w:t>运用CCTV管道检测机器人、QV管道潜望镜等专业设备</w:t>
      </w:r>
      <w:r>
        <w:rPr>
          <w:rFonts w:hint="eastAsia" w:cs="宋体" w:asciiTheme="minorEastAsia" w:hAnsiTheme="minorEastAsia" w:eastAsiaTheme="minorEastAsia"/>
          <w:b w:val="0"/>
          <w:bCs w:val="0"/>
          <w:sz w:val="24"/>
          <w:szCs w:val="24"/>
          <w:highlight w:val="none"/>
          <w:lang w:val="en-US" w:eastAsia="zh-CN"/>
        </w:rPr>
        <w:t>，排查是否管网破损、渗漏、错混接等隐患问题，定位管网病害位置及污染隐患，</w:t>
      </w:r>
      <w:r>
        <w:rPr>
          <w:rFonts w:ascii="宋体" w:hAnsi="宋体" w:eastAsia="宋体" w:cs="宋体"/>
          <w:kern w:val="0"/>
          <w:sz w:val="24"/>
          <w:szCs w:val="24"/>
          <w:highlight w:val="none"/>
          <w:lang w:val="en-US" w:eastAsia="zh-CN" w:bidi="ar"/>
        </w:rPr>
        <w:t>梳理管网问题对河道水质的影响</w:t>
      </w:r>
      <w:r>
        <w:rPr>
          <w:rFonts w:hint="eastAsia" w:ascii="宋体" w:hAnsi="宋体" w:cs="宋体"/>
          <w:kern w:val="0"/>
          <w:sz w:val="24"/>
          <w:szCs w:val="24"/>
          <w:highlight w:val="none"/>
          <w:lang w:val="en-US" w:eastAsia="zh-CN" w:bidi="ar"/>
        </w:rPr>
        <w:t>。</w:t>
      </w:r>
    </w:p>
    <w:p w14:paraId="53013384">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sz w:val="24"/>
          <w:szCs w:val="24"/>
          <w:highlight w:val="none"/>
          <w:lang w:val="en-US" w:eastAsia="zh-CN"/>
        </w:rPr>
      </w:pPr>
      <w:r>
        <w:rPr>
          <w:rFonts w:hint="eastAsia" w:cs="宋体" w:asciiTheme="minorEastAsia" w:hAnsiTheme="minorEastAsia" w:eastAsiaTheme="minorEastAsia"/>
          <w:b w:val="0"/>
          <w:bCs w:val="0"/>
          <w:sz w:val="24"/>
          <w:szCs w:val="24"/>
          <w:highlight w:val="none"/>
          <w:lang w:val="en-US" w:eastAsia="zh-CN"/>
        </w:rPr>
        <w:t>5.汛期及恶劣天气、蓝藻巡查应急保障服务</w:t>
      </w:r>
    </w:p>
    <w:p w14:paraId="16932994">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eastAsia" w:cs="宋体" w:asciiTheme="minorEastAsia" w:hAnsiTheme="minorEastAsia" w:eastAsiaTheme="minorEastAsia"/>
          <w:b w:val="0"/>
          <w:bCs w:val="0"/>
          <w:sz w:val="24"/>
          <w:szCs w:val="24"/>
          <w:highlight w:val="none"/>
          <w:lang w:val="en-US" w:eastAsia="zh-CN"/>
        </w:rPr>
      </w:pPr>
      <w:r>
        <w:rPr>
          <w:rFonts w:hint="eastAsia" w:cs="宋体" w:asciiTheme="minorEastAsia" w:hAnsiTheme="minorEastAsia" w:eastAsiaTheme="minorEastAsia"/>
          <w:b w:val="0"/>
          <w:bCs w:val="0"/>
          <w:sz w:val="24"/>
          <w:szCs w:val="24"/>
          <w:highlight w:val="none"/>
          <w:lang w:val="en-US" w:eastAsia="zh-CN"/>
        </w:rPr>
        <w:t>汛期常态化开展水质监测与预警，针对水质频繁波动、指标异常等情况，提出合理管控措施，</w:t>
      </w:r>
      <w:r>
        <w:rPr>
          <w:rFonts w:hint="eastAsia" w:cs="宋体" w:asciiTheme="minorEastAsia" w:hAnsiTheme="minorEastAsia" w:eastAsiaTheme="minorEastAsia"/>
          <w:b w:val="0"/>
          <w:bCs w:val="0"/>
          <w:sz w:val="24"/>
          <w:szCs w:val="24"/>
          <w:highlight w:val="none"/>
          <w:lang w:eastAsia="zh-CN"/>
        </w:rPr>
        <w:t>制定汛期、突发恶劣天气应急保障措施</w:t>
      </w:r>
      <w:r>
        <w:rPr>
          <w:rFonts w:hint="eastAsia" w:cs="宋体" w:asciiTheme="minorEastAsia" w:hAnsiTheme="minorEastAsia" w:eastAsiaTheme="minorEastAsia"/>
          <w:b w:val="0"/>
          <w:bCs w:val="0"/>
          <w:sz w:val="24"/>
          <w:szCs w:val="24"/>
          <w:highlight w:val="none"/>
          <w:lang w:val="en-US" w:eastAsia="zh-CN"/>
        </w:rPr>
        <w:t>，常态化开展河道巡查管控。夏季高温期间开展入湖河道蓝藻水华常态化巡查，及时排查蓝藻滋生、聚集、扩散风险，做好风险预警，形成完整规范的台账资料。</w:t>
      </w:r>
    </w:p>
    <w:p w14:paraId="3FC95BDE">
      <w:pPr>
        <w:keepNext w:val="0"/>
        <w:keepLines w:val="0"/>
        <w:pageBreakBefore w:val="0"/>
        <w:numPr>
          <w:ilvl w:val="0"/>
          <w:numId w:val="0"/>
        </w:numPr>
        <w:kinsoku/>
        <w:wordWrap/>
        <w:overflowPunct/>
        <w:topLinePunct w:val="0"/>
        <w:autoSpaceDE/>
        <w:autoSpaceDN/>
        <w:bidi w:val="0"/>
        <w:spacing w:line="440" w:lineRule="exact"/>
        <w:ind w:firstLine="480" w:firstLineChars="200"/>
        <w:textAlignment w:val="auto"/>
        <w:rPr>
          <w:rFonts w:hint="default" w:cs="宋体" w:asciiTheme="minorEastAsia" w:hAnsiTheme="minorEastAsia" w:eastAsiaTheme="minorEastAsia"/>
          <w:b w:val="0"/>
          <w:bCs w:val="0"/>
          <w:sz w:val="24"/>
          <w:szCs w:val="24"/>
          <w:highlight w:val="none"/>
          <w:lang w:val="en-US" w:eastAsia="zh-CN"/>
        </w:rPr>
      </w:pPr>
      <w:r>
        <w:rPr>
          <w:rFonts w:hint="eastAsia" w:cs="宋体" w:asciiTheme="minorEastAsia" w:hAnsiTheme="minorEastAsia" w:eastAsiaTheme="minorEastAsia"/>
          <w:b w:val="0"/>
          <w:bCs w:val="0"/>
          <w:sz w:val="24"/>
          <w:szCs w:val="24"/>
          <w:highlight w:val="none"/>
          <w:lang w:val="en-US" w:eastAsia="zh-CN"/>
        </w:rPr>
        <w:t>6.设备要求</w:t>
      </w:r>
    </w:p>
    <w:p w14:paraId="3B246652">
      <w:pPr>
        <w:pStyle w:val="305"/>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1）无人机：配备专业水环境巡查无人机，支持全自动航线规划、定点悬停、大范围巡航作业；有效续航时间≥30分钟；搭载高清变焦摄像头，支持4K高清拍照、视频录制，具备逆光、弱光拍摄能力，可清晰识别岸线排污、垃圾堆积、违建、排口异常等问题；具备实时图传、GPS精准定位、点位坐标标记功能；防风等级≥6级，可适应户外复杂工况；支持数据存储、导出、溯源存档，操作人员须持证上岗，满足常态化河道航拍排查、应急取证工作需求。</w:t>
      </w:r>
    </w:p>
    <w:p w14:paraId="72622411">
      <w:pPr>
        <w:pStyle w:val="305"/>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（2）无人船：配备智能水环境监测无人船，支持自主巡航、远程遥控、定点监测、航线记忆；适配辖区不同宽度、不同水深河道作业</w:t>
      </w:r>
    </w:p>
    <w:p w14:paraId="5B102104">
      <w:pPr>
        <w:keepNext w:val="0"/>
        <w:keepLines w:val="0"/>
        <w:pageBreakBefore w:val="0"/>
        <w:widowControl/>
        <w:suppressLineNumbers w:val="0"/>
        <w:kinsoku/>
        <w:wordWrap/>
        <w:overflowPunct/>
        <w:topLinePunct w:val="0"/>
        <w:autoSpaceDE/>
        <w:autoSpaceDN/>
        <w:bidi w:val="0"/>
        <w:spacing w:line="440" w:lineRule="exact"/>
        <w:ind w:firstLine="480" w:firstLineChars="200"/>
        <w:jc w:val="left"/>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（3）便携式水质快速检测仪：</w:t>
      </w:r>
      <w:r>
        <w:rPr>
          <w:rFonts w:ascii="宋体" w:hAnsi="宋体" w:eastAsia="宋体" w:cs="宋体"/>
          <w:b w:val="0"/>
          <w:bCs w:val="0"/>
          <w:kern w:val="0"/>
          <w:sz w:val="24"/>
          <w:szCs w:val="24"/>
          <w:highlight w:val="none"/>
          <w:lang w:val="en-US" w:eastAsia="zh-CN" w:bidi="ar"/>
        </w:rPr>
        <w:t>配备便携式多参数水质快速检测仪，可现场快速检测COD、高锰酸盐指数、氨氮、总磷、溶解氧等指标，检测精度符合水环境监测相关规范，设备便携、响应快速，可满足日常现场快检、水质波动排查、应急现场快速监测需求</w:t>
      </w:r>
      <w:r>
        <w:rPr>
          <w:rFonts w:hint="eastAsia" w:ascii="宋体" w:hAnsi="宋体" w:cs="宋体"/>
          <w:b w:val="0"/>
          <w:bCs w:val="0"/>
          <w:kern w:val="0"/>
          <w:sz w:val="24"/>
          <w:szCs w:val="24"/>
          <w:highlight w:val="none"/>
          <w:lang w:val="en-US" w:eastAsia="zh-CN" w:bidi="ar"/>
        </w:rPr>
        <w:t>。</w:t>
      </w:r>
    </w:p>
    <w:p w14:paraId="48C6942E">
      <w:pPr>
        <w:pStyle w:val="305"/>
        <w:keepNext w:val="0"/>
        <w:keepLines w:val="0"/>
        <w:pageBreakBefore w:val="0"/>
        <w:kinsoku/>
        <w:wordWrap/>
        <w:overflowPunct/>
        <w:topLinePunct w:val="0"/>
        <w:autoSpaceDE/>
        <w:autoSpaceDN/>
        <w:bidi w:val="0"/>
        <w:adjustRightInd w:val="0"/>
        <w:snapToGrid w:val="0"/>
        <w:spacing w:line="440" w:lineRule="exact"/>
        <w:ind w:firstLine="480" w:firstLineChars="200"/>
        <w:textAlignment w:val="auto"/>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（4）CCTV管道检测设备</w:t>
      </w:r>
    </w:p>
    <w:p w14:paraId="754BAA2D">
      <w:pPr>
        <w:keepNext w:val="0"/>
        <w:keepLines w:val="0"/>
        <w:pageBreakBefore w:val="0"/>
        <w:widowControl/>
        <w:suppressLineNumbers w:val="0"/>
        <w:kinsoku/>
        <w:wordWrap/>
        <w:overflowPunct/>
        <w:topLinePunct w:val="0"/>
        <w:autoSpaceDE/>
        <w:autoSpaceDN/>
        <w:bidi w:val="0"/>
        <w:spacing w:line="440" w:lineRule="exact"/>
        <w:ind w:firstLine="480" w:firstLineChars="200"/>
        <w:jc w:val="left"/>
        <w:textAlignment w:val="auto"/>
        <w:rPr>
          <w:rFonts w:ascii="宋体" w:hAnsi="宋体" w:eastAsia="宋体" w:cs="宋体"/>
          <w:b w:val="0"/>
          <w:bCs w:val="0"/>
          <w:kern w:val="0"/>
          <w:sz w:val="24"/>
          <w:szCs w:val="24"/>
          <w:highlight w:val="none"/>
          <w:lang w:val="en-US" w:eastAsia="zh-CN" w:bidi="ar"/>
        </w:rPr>
      </w:pPr>
      <w:r>
        <w:rPr>
          <w:rFonts w:ascii="宋体" w:hAnsi="宋体" w:eastAsia="宋体" w:cs="宋体"/>
          <w:b w:val="0"/>
          <w:bCs w:val="0"/>
          <w:kern w:val="0"/>
          <w:sz w:val="24"/>
          <w:szCs w:val="24"/>
          <w:highlight w:val="none"/>
          <w:lang w:val="en-US" w:eastAsia="zh-CN" w:bidi="ar"/>
        </w:rPr>
        <w:t>配备专业管道CCTV检测机器人及配套QV潜望设备，可适配入河排口管网、雨污管网检测作业；可进入管道内部高清成像，精准排查管网破损、渗漏、错接、混接、淤积、堵塞、塌陷、污水溢流等病害隐患；可自动生成影像资料、检测记录，支撑管网隐患溯源、问题判定、整改佐证，满足本项目管网排查帮扶工作要求。</w:t>
      </w:r>
    </w:p>
    <w:p w14:paraId="3FAA451E">
      <w:pPr>
        <w:pStyle w:val="305"/>
        <w:numPr>
          <w:ilvl w:val="0"/>
          <w:numId w:val="0"/>
        </w:numPr>
        <w:adjustRightInd w:val="0"/>
        <w:snapToGrid w:val="0"/>
        <w:spacing w:line="360" w:lineRule="auto"/>
        <w:ind w:leftChars="0" w:firstLine="480" w:firstLineChars="200"/>
        <w:rPr>
          <w:rFonts w:hint="eastAsia" w:ascii="宋体" w:hAnsi="宋体" w:eastAsia="宋体" w:cs="宋体"/>
          <w:b w:val="0"/>
          <w:bCs w:val="0"/>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7.服务清单</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42"/>
        <w:gridCol w:w="2155"/>
        <w:gridCol w:w="898"/>
        <w:gridCol w:w="4575"/>
      </w:tblGrid>
      <w:tr w14:paraId="76C2E2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1242" w:type="dxa"/>
            <w:noWrap w:val="0"/>
            <w:vAlign w:val="center"/>
          </w:tcPr>
          <w:p w14:paraId="7C65A4D1">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内容</w:t>
            </w:r>
          </w:p>
        </w:tc>
        <w:tc>
          <w:tcPr>
            <w:tcW w:w="2155" w:type="dxa"/>
            <w:noWrap w:val="0"/>
            <w:vAlign w:val="center"/>
          </w:tcPr>
          <w:p w14:paraId="644B42DA">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服务名称</w:t>
            </w:r>
          </w:p>
        </w:tc>
        <w:tc>
          <w:tcPr>
            <w:tcW w:w="898" w:type="dxa"/>
            <w:noWrap w:val="0"/>
            <w:vAlign w:val="center"/>
          </w:tcPr>
          <w:p w14:paraId="7508F2DA">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数量</w:t>
            </w:r>
          </w:p>
        </w:tc>
        <w:tc>
          <w:tcPr>
            <w:tcW w:w="4575" w:type="dxa"/>
            <w:noWrap w:val="0"/>
            <w:vAlign w:val="center"/>
          </w:tcPr>
          <w:p w14:paraId="418D19F4">
            <w:pPr>
              <w:jc w:val="center"/>
              <w:rPr>
                <w:rFonts w:hint="eastAsia" w:ascii="宋体" w:hAnsi="宋体" w:eastAsia="宋体" w:cs="宋体"/>
                <w:b/>
                <w:sz w:val="24"/>
                <w:szCs w:val="24"/>
                <w:highlight w:val="none"/>
              </w:rPr>
            </w:pPr>
            <w:r>
              <w:rPr>
                <w:rFonts w:hint="eastAsia" w:ascii="宋体" w:hAnsi="宋体" w:eastAsia="宋体" w:cs="宋体"/>
                <w:b/>
                <w:sz w:val="24"/>
                <w:szCs w:val="24"/>
                <w:highlight w:val="none"/>
              </w:rPr>
              <w:t>工作内容</w:t>
            </w:r>
          </w:p>
        </w:tc>
      </w:tr>
      <w:tr w14:paraId="47FAA0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1242" w:type="dxa"/>
            <w:vMerge w:val="restart"/>
            <w:noWrap w:val="0"/>
            <w:vAlign w:val="center"/>
          </w:tcPr>
          <w:p w14:paraId="41848052">
            <w:pPr>
              <w:jc w:val="center"/>
              <w:rPr>
                <w:rFonts w:hint="eastAsia" w:ascii="宋体" w:hAnsi="宋体" w:eastAsia="宋体" w:cs="宋体"/>
                <w:bCs/>
                <w:sz w:val="24"/>
                <w:szCs w:val="24"/>
                <w:highlight w:val="none"/>
              </w:rPr>
            </w:pPr>
            <w:r>
              <w:rPr>
                <w:rFonts w:hint="eastAsia" w:cs="宋体" w:asciiTheme="minorEastAsia" w:hAnsiTheme="minorEastAsia" w:eastAsiaTheme="minorEastAsia"/>
                <w:b w:val="0"/>
                <w:bCs w:val="0"/>
                <w:color w:val="000000"/>
                <w:sz w:val="24"/>
                <w:szCs w:val="24"/>
                <w:highlight w:val="none"/>
              </w:rPr>
              <w:t>水质监测</w:t>
            </w:r>
            <w:r>
              <w:rPr>
                <w:rFonts w:hint="eastAsia" w:cs="宋体" w:asciiTheme="minorEastAsia" w:hAnsiTheme="minorEastAsia" w:eastAsiaTheme="minorEastAsia"/>
                <w:b w:val="0"/>
                <w:bCs w:val="0"/>
                <w:color w:val="000000"/>
                <w:sz w:val="24"/>
                <w:szCs w:val="24"/>
                <w:highlight w:val="none"/>
                <w:lang w:val="en-US" w:eastAsia="zh-CN"/>
              </w:rPr>
              <w:t>服务</w:t>
            </w:r>
          </w:p>
        </w:tc>
        <w:tc>
          <w:tcPr>
            <w:tcW w:w="2155" w:type="dxa"/>
            <w:noWrap w:val="0"/>
            <w:vAlign w:val="center"/>
          </w:tcPr>
          <w:p w14:paraId="1BF9853B">
            <w:pPr>
              <w:jc w:val="center"/>
              <w:rPr>
                <w:rFonts w:hint="eastAsia" w:ascii="宋体" w:hAnsi="宋体" w:eastAsia="宋体" w:cs="宋体"/>
                <w:bCs/>
                <w:sz w:val="24"/>
                <w:szCs w:val="24"/>
                <w:highlight w:val="none"/>
              </w:rPr>
            </w:pPr>
            <w:r>
              <w:rPr>
                <w:rFonts w:hint="eastAsia" w:cs="宋体" w:asciiTheme="minorEastAsia" w:hAnsiTheme="minorEastAsia" w:eastAsiaTheme="minorEastAsia"/>
                <w:b w:val="0"/>
                <w:bCs w:val="0"/>
                <w:sz w:val="24"/>
                <w:szCs w:val="24"/>
                <w:highlight w:val="none"/>
              </w:rPr>
              <w:t>常规</w:t>
            </w:r>
            <w:r>
              <w:rPr>
                <w:rFonts w:hint="eastAsia" w:cs="宋体" w:asciiTheme="minorEastAsia" w:hAnsiTheme="minorEastAsia" w:eastAsiaTheme="minorEastAsia"/>
                <w:b w:val="0"/>
                <w:bCs w:val="0"/>
                <w:sz w:val="24"/>
                <w:szCs w:val="24"/>
                <w:highlight w:val="none"/>
                <w:lang w:val="en-US" w:eastAsia="zh-CN"/>
              </w:rPr>
              <w:t>水质</w:t>
            </w:r>
            <w:r>
              <w:rPr>
                <w:rFonts w:hint="eastAsia" w:cs="宋体" w:asciiTheme="minorEastAsia" w:hAnsiTheme="minorEastAsia" w:eastAsiaTheme="minorEastAsia"/>
                <w:b w:val="0"/>
                <w:bCs w:val="0"/>
                <w:sz w:val="24"/>
                <w:szCs w:val="24"/>
                <w:highlight w:val="none"/>
              </w:rPr>
              <w:t>监测</w:t>
            </w:r>
          </w:p>
        </w:tc>
        <w:tc>
          <w:tcPr>
            <w:tcW w:w="898" w:type="dxa"/>
            <w:noWrap w:val="0"/>
            <w:vAlign w:val="center"/>
          </w:tcPr>
          <w:p w14:paraId="302EB22A">
            <w:pPr>
              <w:jc w:val="center"/>
              <w:rPr>
                <w:rFonts w:hint="eastAsia"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742B4DE2">
            <w:pPr>
              <w:ind w:firstLine="480" w:firstLineChars="200"/>
              <w:rPr>
                <w:rFonts w:hint="eastAsia" w:ascii="宋体" w:hAnsi="宋体" w:eastAsia="宋体" w:cs="宋体"/>
                <w:sz w:val="24"/>
                <w:szCs w:val="24"/>
                <w:highlight w:val="none"/>
              </w:rPr>
            </w:pPr>
            <w:r>
              <w:rPr>
                <w:rFonts w:hint="eastAsia" w:cs="宋体" w:asciiTheme="minorEastAsia" w:hAnsiTheme="minorEastAsia" w:eastAsiaTheme="minorEastAsia"/>
                <w:b w:val="0"/>
                <w:bCs w:val="0"/>
                <w:sz w:val="24"/>
                <w:szCs w:val="24"/>
                <w:highlight w:val="none"/>
              </w:rPr>
              <w:t>国省考断面</w:t>
            </w:r>
            <w:r>
              <w:rPr>
                <w:rFonts w:hint="eastAsia" w:cs="宋体" w:asciiTheme="minorEastAsia" w:hAnsiTheme="minorEastAsia" w:eastAsiaTheme="minorEastAsia"/>
                <w:b w:val="0"/>
                <w:bCs w:val="0"/>
                <w:sz w:val="24"/>
                <w:szCs w:val="24"/>
                <w:highlight w:val="none"/>
                <w:lang w:val="en-US" w:eastAsia="zh-CN"/>
              </w:rPr>
              <w:t>所在河流</w:t>
            </w:r>
            <w:r>
              <w:rPr>
                <w:rFonts w:hint="eastAsia" w:cs="宋体" w:asciiTheme="minorEastAsia" w:hAnsiTheme="minorEastAsia" w:eastAsiaTheme="minorEastAsia"/>
                <w:b w:val="0"/>
                <w:bCs w:val="0"/>
                <w:sz w:val="24"/>
                <w:szCs w:val="24"/>
                <w:highlight w:val="none"/>
              </w:rPr>
              <w:t>及其他重点河道，检测指标为pH、COD、高锰酸盐指数、氨氮、总磷</w:t>
            </w:r>
            <w:r>
              <w:rPr>
                <w:rFonts w:hint="eastAsia" w:cs="宋体" w:asciiTheme="minorEastAsia" w:hAnsiTheme="minorEastAsia" w:eastAsiaTheme="minorEastAsia"/>
                <w:b w:val="0"/>
                <w:bCs w:val="0"/>
                <w:sz w:val="24"/>
                <w:szCs w:val="24"/>
                <w:highlight w:val="none"/>
                <w:lang w:eastAsia="zh-CN"/>
              </w:rPr>
              <w:t>，</w:t>
            </w:r>
            <w:r>
              <w:rPr>
                <w:rFonts w:hint="eastAsia" w:cs="宋体" w:asciiTheme="minorEastAsia" w:hAnsiTheme="minorEastAsia" w:eastAsiaTheme="minorEastAsia"/>
                <w:b w:val="0"/>
                <w:bCs w:val="0"/>
                <w:sz w:val="24"/>
                <w:szCs w:val="24"/>
                <w:highlight w:val="none"/>
                <w:lang w:val="en-US" w:eastAsia="zh-CN"/>
              </w:rPr>
              <w:t>必要时还需加测溶解氧、氟化物等指标</w:t>
            </w:r>
            <w:r>
              <w:rPr>
                <w:rFonts w:hint="eastAsia" w:cs="宋体" w:asciiTheme="minorEastAsia" w:hAnsiTheme="minorEastAsia" w:eastAsiaTheme="minorEastAsia"/>
                <w:b w:val="0"/>
                <w:bCs w:val="0"/>
                <w:sz w:val="24"/>
                <w:szCs w:val="24"/>
                <w:highlight w:val="none"/>
              </w:rPr>
              <w:t>。</w:t>
            </w:r>
          </w:p>
        </w:tc>
      </w:tr>
      <w:tr w14:paraId="26E7E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1242" w:type="dxa"/>
            <w:vMerge w:val="continue"/>
            <w:noWrap w:val="0"/>
            <w:vAlign w:val="center"/>
          </w:tcPr>
          <w:p w14:paraId="53A58923">
            <w:pPr>
              <w:jc w:val="center"/>
              <w:rPr>
                <w:rFonts w:hint="eastAsia" w:cs="宋体" w:asciiTheme="minorEastAsia" w:hAnsiTheme="minorEastAsia" w:eastAsiaTheme="minorEastAsia"/>
                <w:b w:val="0"/>
                <w:bCs w:val="0"/>
                <w:color w:val="000000"/>
                <w:sz w:val="24"/>
                <w:szCs w:val="24"/>
                <w:highlight w:val="none"/>
              </w:rPr>
            </w:pPr>
          </w:p>
        </w:tc>
        <w:tc>
          <w:tcPr>
            <w:tcW w:w="2155" w:type="dxa"/>
            <w:noWrap w:val="0"/>
            <w:vAlign w:val="center"/>
          </w:tcPr>
          <w:p w14:paraId="4A4FA260">
            <w:pPr>
              <w:jc w:val="center"/>
              <w:rPr>
                <w:rFonts w:hint="eastAsia" w:cs="宋体" w:asciiTheme="minorEastAsia" w:hAnsiTheme="minorEastAsia" w:eastAsiaTheme="minorEastAsia"/>
                <w:b w:val="0"/>
                <w:bCs w:val="0"/>
                <w:sz w:val="24"/>
                <w:szCs w:val="24"/>
                <w:highlight w:val="none"/>
              </w:rPr>
            </w:pPr>
            <w:r>
              <w:rPr>
                <w:rFonts w:hint="eastAsia" w:cs="宋体" w:asciiTheme="minorEastAsia" w:hAnsiTheme="minorEastAsia" w:eastAsiaTheme="minorEastAsia"/>
                <w:b w:val="0"/>
                <w:bCs w:val="0"/>
                <w:sz w:val="24"/>
                <w:szCs w:val="24"/>
                <w:highlight w:val="none"/>
              </w:rPr>
              <w:t>应急</w:t>
            </w:r>
            <w:r>
              <w:rPr>
                <w:rFonts w:hint="eastAsia" w:cs="宋体" w:asciiTheme="minorEastAsia" w:hAnsiTheme="minorEastAsia" w:eastAsiaTheme="minorEastAsia"/>
                <w:b w:val="0"/>
                <w:bCs w:val="0"/>
                <w:sz w:val="24"/>
                <w:szCs w:val="24"/>
                <w:highlight w:val="none"/>
                <w:lang w:val="en-US" w:eastAsia="zh-CN"/>
              </w:rPr>
              <w:t>水质</w:t>
            </w:r>
            <w:r>
              <w:rPr>
                <w:rFonts w:hint="eastAsia" w:cs="宋体" w:asciiTheme="minorEastAsia" w:hAnsiTheme="minorEastAsia" w:eastAsiaTheme="minorEastAsia"/>
                <w:b w:val="0"/>
                <w:bCs w:val="0"/>
                <w:sz w:val="24"/>
                <w:szCs w:val="24"/>
                <w:highlight w:val="none"/>
              </w:rPr>
              <w:t>监测</w:t>
            </w:r>
          </w:p>
        </w:tc>
        <w:tc>
          <w:tcPr>
            <w:tcW w:w="898" w:type="dxa"/>
            <w:noWrap w:val="0"/>
            <w:vAlign w:val="center"/>
          </w:tcPr>
          <w:p w14:paraId="72C5A904">
            <w:pPr>
              <w:jc w:val="center"/>
              <w:rPr>
                <w:rFonts w:hint="eastAsia" w:ascii="宋体" w:hAnsi="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77F6C117">
            <w:pPr>
              <w:ind w:firstLine="480" w:firstLineChars="200"/>
              <w:rPr>
                <w:rFonts w:hint="eastAsia" w:cs="宋体" w:asciiTheme="minorEastAsia" w:hAnsiTheme="minorEastAsia" w:eastAsiaTheme="minorEastAsia"/>
                <w:b w:val="0"/>
                <w:bCs w:val="0"/>
                <w:sz w:val="24"/>
                <w:szCs w:val="24"/>
                <w:highlight w:val="none"/>
              </w:rPr>
            </w:pPr>
            <w:r>
              <w:rPr>
                <w:rFonts w:hint="eastAsia" w:cs="宋体" w:asciiTheme="minorEastAsia" w:hAnsiTheme="minorEastAsia" w:eastAsiaTheme="minorEastAsia"/>
                <w:b w:val="0"/>
                <w:bCs w:val="0"/>
                <w:sz w:val="24"/>
                <w:szCs w:val="24"/>
                <w:highlight w:val="none"/>
              </w:rPr>
              <w:t>针对上级交办的问题开展溯源排查或出现突发性事件时开展</w:t>
            </w:r>
            <w:r>
              <w:rPr>
                <w:rFonts w:hint="eastAsia" w:cs="宋体" w:asciiTheme="minorEastAsia" w:hAnsiTheme="minorEastAsia" w:eastAsiaTheme="minorEastAsia"/>
                <w:b w:val="0"/>
                <w:bCs w:val="0"/>
                <w:sz w:val="24"/>
                <w:szCs w:val="24"/>
                <w:highlight w:val="none"/>
                <w:lang w:val="en-US" w:eastAsia="zh-CN"/>
              </w:rPr>
              <w:t>水质</w:t>
            </w:r>
            <w:r>
              <w:rPr>
                <w:rFonts w:hint="eastAsia" w:cs="宋体" w:asciiTheme="minorEastAsia" w:hAnsiTheme="minorEastAsia" w:eastAsiaTheme="minorEastAsia"/>
                <w:b w:val="0"/>
                <w:bCs w:val="0"/>
                <w:sz w:val="24"/>
                <w:szCs w:val="24"/>
                <w:highlight w:val="none"/>
              </w:rPr>
              <w:t>监测。</w:t>
            </w:r>
          </w:p>
        </w:tc>
      </w:tr>
      <w:tr w14:paraId="6BC1F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01" w:hRule="atLeast"/>
        </w:trPr>
        <w:tc>
          <w:tcPr>
            <w:tcW w:w="1242" w:type="dxa"/>
            <w:vMerge w:val="continue"/>
            <w:noWrap w:val="0"/>
            <w:vAlign w:val="center"/>
          </w:tcPr>
          <w:p w14:paraId="3B32BF8F">
            <w:pPr>
              <w:jc w:val="center"/>
              <w:rPr>
                <w:rFonts w:hint="eastAsia" w:cs="宋体" w:asciiTheme="minorEastAsia" w:hAnsiTheme="minorEastAsia" w:eastAsiaTheme="minorEastAsia"/>
                <w:b w:val="0"/>
                <w:bCs w:val="0"/>
                <w:color w:val="000000"/>
                <w:sz w:val="24"/>
                <w:szCs w:val="24"/>
                <w:highlight w:val="none"/>
              </w:rPr>
            </w:pPr>
          </w:p>
        </w:tc>
        <w:tc>
          <w:tcPr>
            <w:tcW w:w="2155" w:type="dxa"/>
            <w:noWrap w:val="0"/>
            <w:vAlign w:val="center"/>
          </w:tcPr>
          <w:p w14:paraId="71AB04AD">
            <w:pPr>
              <w:jc w:val="center"/>
              <w:rPr>
                <w:rFonts w:hint="eastAsia" w:cs="宋体" w:asciiTheme="minorEastAsia" w:hAnsiTheme="minorEastAsia" w:eastAsiaTheme="minorEastAsia"/>
                <w:b w:val="0"/>
                <w:bCs w:val="0"/>
                <w:sz w:val="24"/>
                <w:szCs w:val="24"/>
                <w:highlight w:val="none"/>
              </w:rPr>
            </w:pPr>
            <w:r>
              <w:rPr>
                <w:rFonts w:hint="eastAsia" w:cs="宋体" w:asciiTheme="minorEastAsia" w:hAnsiTheme="minorEastAsia" w:eastAsiaTheme="minorEastAsia"/>
                <w:b w:val="0"/>
                <w:bCs w:val="0"/>
                <w:sz w:val="24"/>
                <w:szCs w:val="24"/>
                <w:highlight w:val="none"/>
              </w:rPr>
              <w:t>预警预报巡查服务及报告</w:t>
            </w:r>
          </w:p>
        </w:tc>
        <w:tc>
          <w:tcPr>
            <w:tcW w:w="898" w:type="dxa"/>
            <w:noWrap w:val="0"/>
            <w:vAlign w:val="center"/>
          </w:tcPr>
          <w:p w14:paraId="33BE3318">
            <w:pPr>
              <w:jc w:val="center"/>
              <w:rPr>
                <w:rFonts w:hint="eastAsia" w:ascii="宋体" w:hAnsi="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621FA5FE">
            <w:pPr>
              <w:keepNext w:val="0"/>
              <w:keepLines w:val="0"/>
              <w:pageBreakBefore w:val="0"/>
              <w:numPr>
                <w:ilvl w:val="0"/>
                <w:numId w:val="0"/>
              </w:numPr>
              <w:kinsoku/>
              <w:wordWrap/>
              <w:overflowPunct/>
              <w:topLinePunct w:val="0"/>
              <w:autoSpaceDE/>
              <w:autoSpaceDN/>
              <w:bidi w:val="0"/>
              <w:spacing w:line="360" w:lineRule="exact"/>
              <w:ind w:firstLine="480" w:firstLineChars="200"/>
              <w:textAlignment w:val="auto"/>
              <w:rPr>
                <w:rFonts w:hint="eastAsia" w:cs="宋体" w:asciiTheme="minorEastAsia" w:hAnsiTheme="minorEastAsia" w:eastAsiaTheme="minorEastAsia"/>
                <w:b w:val="0"/>
                <w:bCs w:val="0"/>
                <w:sz w:val="24"/>
                <w:szCs w:val="24"/>
                <w:highlight w:val="none"/>
              </w:rPr>
            </w:pPr>
            <w:r>
              <w:rPr>
                <w:rFonts w:hint="eastAsia" w:cs="宋体" w:asciiTheme="minorEastAsia" w:hAnsiTheme="minorEastAsia" w:eastAsiaTheme="minorEastAsia"/>
                <w:b w:val="0"/>
                <w:bCs w:val="0"/>
                <w:sz w:val="24"/>
                <w:szCs w:val="24"/>
                <w:highlight w:val="none"/>
              </w:rPr>
              <w:t>每日关注江苏省水环境监控系统平台监控数据，根据《江苏省水环境质量监测预警方案（试行）》，当水质达到二级预警条件时，立即开展现场巡查并提供巡查报告。</w:t>
            </w:r>
          </w:p>
        </w:tc>
      </w:tr>
      <w:tr w14:paraId="385867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242" w:type="dxa"/>
            <w:noWrap w:val="0"/>
            <w:vAlign w:val="center"/>
          </w:tcPr>
          <w:p w14:paraId="54FC3547">
            <w:pPr>
              <w:jc w:val="center"/>
              <w:rPr>
                <w:rFonts w:hint="eastAsia" w:ascii="宋体" w:hAnsi="宋体" w:eastAsia="宋体" w:cs="宋体"/>
                <w:bCs/>
                <w:sz w:val="24"/>
                <w:szCs w:val="24"/>
                <w:highlight w:val="none"/>
              </w:rPr>
            </w:pPr>
            <w:r>
              <w:rPr>
                <w:rFonts w:hint="eastAsia" w:asciiTheme="minorEastAsia" w:hAnsiTheme="minorEastAsia" w:eastAsiaTheme="minorEastAsia"/>
                <w:b w:val="0"/>
                <w:bCs w:val="0"/>
                <w:color w:val="auto"/>
                <w:sz w:val="24"/>
                <w:szCs w:val="24"/>
                <w:highlight w:val="none"/>
                <w:lang w:val="en-US" w:eastAsia="zh-CN"/>
              </w:rPr>
              <w:t>污染源巡查排查服务</w:t>
            </w:r>
          </w:p>
        </w:tc>
        <w:tc>
          <w:tcPr>
            <w:tcW w:w="2155" w:type="dxa"/>
            <w:noWrap w:val="0"/>
            <w:vAlign w:val="center"/>
          </w:tcPr>
          <w:p w14:paraId="72B521F3">
            <w:pPr>
              <w:jc w:val="center"/>
              <w:rPr>
                <w:rFonts w:hint="default" w:ascii="宋体" w:hAnsi="宋体" w:eastAsia="宋体" w:cs="宋体"/>
                <w:bCs/>
                <w:sz w:val="24"/>
                <w:szCs w:val="24"/>
                <w:highlight w:val="none"/>
                <w:lang w:val="en-US" w:eastAsia="zh-CN"/>
              </w:rPr>
            </w:pPr>
            <w:r>
              <w:rPr>
                <w:rFonts w:hint="eastAsia" w:ascii="宋体" w:hAnsi="宋体" w:cs="宋体"/>
                <w:bCs/>
                <w:sz w:val="24"/>
                <w:szCs w:val="24"/>
                <w:highlight w:val="none"/>
                <w:lang w:val="en-US" w:eastAsia="zh-CN"/>
              </w:rPr>
              <w:t>污染源清单更新</w:t>
            </w:r>
          </w:p>
        </w:tc>
        <w:tc>
          <w:tcPr>
            <w:tcW w:w="898" w:type="dxa"/>
            <w:noWrap w:val="0"/>
            <w:vAlign w:val="center"/>
          </w:tcPr>
          <w:p w14:paraId="795F3A93">
            <w:pPr>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18764CC0">
            <w:pPr>
              <w:keepNext w:val="0"/>
              <w:keepLines w:val="0"/>
              <w:widowControl/>
              <w:suppressLineNumbers w:val="0"/>
              <w:ind w:firstLine="480" w:firstLineChars="200"/>
              <w:jc w:val="left"/>
              <w:rPr>
                <w:rFonts w:hint="eastAsia" w:ascii="宋体" w:hAnsi="宋体" w:eastAsia="宋体" w:cs="宋体"/>
                <w:bCs/>
                <w:sz w:val="24"/>
                <w:szCs w:val="24"/>
                <w:highlight w:val="none"/>
              </w:rPr>
            </w:pPr>
            <w:r>
              <w:rPr>
                <w:rFonts w:hint="eastAsia" w:ascii="宋体" w:hAnsi="宋体" w:cs="宋体"/>
                <w:color w:val="000000"/>
                <w:sz w:val="24"/>
                <w:szCs w:val="24"/>
                <w:highlight w:val="none"/>
              </w:rPr>
              <w:t>利用无人机、</w:t>
            </w:r>
            <w:r>
              <w:rPr>
                <w:rFonts w:hint="eastAsia" w:ascii="宋体" w:hAnsi="宋体" w:cs="宋体"/>
                <w:sz w:val="24"/>
                <w:szCs w:val="24"/>
                <w:highlight w:val="none"/>
              </w:rPr>
              <w:t>便携式</w:t>
            </w:r>
            <w:r>
              <w:rPr>
                <w:rFonts w:hint="eastAsia" w:ascii="宋体" w:hAnsi="宋体" w:eastAsia="宋体" w:cs="宋体"/>
                <w:color w:val="000000"/>
                <w:sz w:val="24"/>
                <w:szCs w:val="24"/>
                <w:highlight w:val="none"/>
                <w:lang w:val="en-US" w:eastAsia="zh-CN"/>
              </w:rPr>
              <w:t>检测仪</w:t>
            </w:r>
            <w:r>
              <w:rPr>
                <w:rFonts w:hint="eastAsia" w:ascii="宋体" w:hAnsi="宋体" w:cs="宋体"/>
                <w:color w:val="000000"/>
                <w:sz w:val="24"/>
                <w:szCs w:val="24"/>
                <w:highlight w:val="none"/>
                <w:lang w:val="en-US" w:eastAsia="zh-CN"/>
              </w:rPr>
              <w:t>等技术手段</w:t>
            </w:r>
            <w:r>
              <w:rPr>
                <w:rFonts w:hint="eastAsia" w:ascii="宋体" w:hAnsi="宋体" w:cs="宋体"/>
                <w:color w:val="000000"/>
                <w:sz w:val="24"/>
                <w:szCs w:val="24"/>
                <w:highlight w:val="none"/>
              </w:rPr>
              <w:t>对</w:t>
            </w:r>
            <w:r>
              <w:rPr>
                <w:rFonts w:ascii="宋体" w:hAnsi="宋体" w:eastAsia="宋体" w:cs="宋体"/>
                <w:kern w:val="0"/>
                <w:sz w:val="24"/>
                <w:szCs w:val="24"/>
                <w:highlight w:val="none"/>
                <w:lang w:val="en-US" w:eastAsia="zh-CN" w:bidi="ar"/>
              </w:rPr>
              <w:t>重点河道干流</w:t>
            </w:r>
            <w:r>
              <w:rPr>
                <w:rFonts w:hint="eastAsia" w:ascii="宋体" w:hAnsi="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主要支流</w:t>
            </w:r>
            <w:r>
              <w:rPr>
                <w:rFonts w:hint="eastAsia" w:ascii="宋体" w:hAnsi="宋体" w:cs="宋体"/>
                <w:color w:val="000000"/>
                <w:sz w:val="24"/>
                <w:szCs w:val="24"/>
                <w:highlight w:val="none"/>
              </w:rPr>
              <w:t>等</w:t>
            </w:r>
            <w:r>
              <w:rPr>
                <w:rFonts w:ascii="宋体" w:hAnsi="宋体" w:eastAsia="宋体" w:cs="宋体"/>
                <w:kern w:val="0"/>
                <w:sz w:val="24"/>
                <w:szCs w:val="24"/>
                <w:highlight w:val="none"/>
                <w:lang w:val="en-US" w:eastAsia="zh-CN" w:bidi="ar"/>
              </w:rPr>
              <w:t>开展常态化污染源巡查排查</w:t>
            </w:r>
            <w:r>
              <w:rPr>
                <w:rFonts w:hint="eastAsia" w:ascii="宋体" w:hAnsi="宋体" w:cs="宋体"/>
                <w:color w:val="000000"/>
                <w:sz w:val="24"/>
                <w:szCs w:val="24"/>
                <w:highlight w:val="none"/>
              </w:rPr>
              <w:t>。</w:t>
            </w:r>
            <w:r>
              <w:rPr>
                <w:rFonts w:ascii="宋体" w:hAnsi="宋体" w:eastAsia="宋体" w:cs="宋体"/>
                <w:kern w:val="0"/>
                <w:sz w:val="24"/>
                <w:szCs w:val="24"/>
                <w:highlight w:val="none"/>
                <w:lang w:val="en-US" w:eastAsia="zh-CN" w:bidi="ar"/>
              </w:rPr>
              <w:t>精准排查工业排污、生活污水直排、农业面源污染、养殖污染、垃圾漂浮等各类水环境问题，定位异常河段及污染点位，对发现问题全程拍照、录像，详细记录问题位置、类型、污染程度、责任属地等信息。对排查发现问题及时梳理汇总并交办整改，动态更新辖区重点区域水环境问题清单，明确整改责任单位、整改时限</w:t>
            </w:r>
            <w:r>
              <w:rPr>
                <w:rFonts w:hint="eastAsia" w:ascii="宋体" w:hAnsi="宋体" w:eastAsia="宋体" w:cs="宋体"/>
                <w:kern w:val="0"/>
                <w:sz w:val="24"/>
                <w:szCs w:val="24"/>
                <w:highlight w:val="none"/>
                <w:lang w:val="en-US" w:eastAsia="zh-CN" w:bidi="ar"/>
              </w:rPr>
              <w:t>，</w:t>
            </w:r>
            <w:r>
              <w:rPr>
                <w:rFonts w:ascii="宋体" w:hAnsi="宋体" w:eastAsia="宋体" w:cs="宋体"/>
                <w:kern w:val="0"/>
                <w:sz w:val="24"/>
                <w:szCs w:val="24"/>
                <w:highlight w:val="none"/>
                <w:lang w:val="en-US" w:eastAsia="zh-CN" w:bidi="ar"/>
              </w:rPr>
              <w:t>安排专人全程跟踪整改进度，督促责任单位落实整改措施，对整改完成点位开展复核核查，确保问题整改到位、不反弹，每半月完成一次问题清单更新、台账归档，实现闭环管理。</w:t>
            </w:r>
          </w:p>
        </w:tc>
      </w:tr>
      <w:tr w14:paraId="580E6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242" w:type="dxa"/>
            <w:vMerge w:val="restart"/>
            <w:noWrap w:val="0"/>
            <w:vAlign w:val="center"/>
          </w:tcPr>
          <w:p w14:paraId="0DDBC341">
            <w:pPr>
              <w:jc w:val="center"/>
              <w:rPr>
                <w:rFonts w:hint="eastAsia" w:asciiTheme="minorEastAsia" w:hAnsiTheme="minorEastAsia" w:eastAsiaTheme="minorEastAsia"/>
                <w:b w:val="0"/>
                <w:bCs w:val="0"/>
                <w:color w:val="auto"/>
                <w:sz w:val="24"/>
                <w:szCs w:val="24"/>
                <w:highlight w:val="none"/>
                <w:lang w:val="en-US" w:eastAsia="zh-CN"/>
              </w:rPr>
            </w:pPr>
            <w:r>
              <w:rPr>
                <w:rFonts w:hint="eastAsia" w:cs="宋体" w:asciiTheme="minorEastAsia" w:hAnsiTheme="minorEastAsia" w:eastAsiaTheme="minorEastAsia"/>
                <w:b w:val="0"/>
                <w:bCs w:val="0"/>
                <w:color w:val="000000"/>
                <w:sz w:val="24"/>
                <w:szCs w:val="24"/>
                <w:highlight w:val="none"/>
                <w:lang w:val="en-US" w:eastAsia="zh-CN"/>
              </w:rPr>
              <w:t>技术分析报告服务</w:t>
            </w:r>
          </w:p>
        </w:tc>
        <w:tc>
          <w:tcPr>
            <w:tcW w:w="2155" w:type="dxa"/>
            <w:noWrap w:val="0"/>
            <w:vAlign w:val="center"/>
          </w:tcPr>
          <w:p w14:paraId="254AB799">
            <w:pPr>
              <w:jc w:val="center"/>
              <w:rPr>
                <w:rFonts w:hint="eastAsia" w:ascii="宋体" w:hAnsi="宋体" w:eastAsia="宋体" w:cs="宋体"/>
                <w:bCs/>
                <w:sz w:val="24"/>
                <w:szCs w:val="24"/>
                <w:highlight w:val="none"/>
              </w:rPr>
            </w:pPr>
            <w:r>
              <w:rPr>
                <w:rFonts w:hint="eastAsia" w:cs="宋体" w:asciiTheme="minorEastAsia" w:hAnsiTheme="minorEastAsia" w:eastAsiaTheme="minorEastAsia"/>
                <w:b w:val="0"/>
                <w:bCs w:val="0"/>
                <w:sz w:val="24"/>
                <w:szCs w:val="24"/>
                <w:highlight w:val="none"/>
                <w:lang w:eastAsia="zh-CN"/>
              </w:rPr>
              <w:t>月度水质分析报告编制</w:t>
            </w:r>
          </w:p>
        </w:tc>
        <w:tc>
          <w:tcPr>
            <w:tcW w:w="898" w:type="dxa"/>
            <w:noWrap w:val="0"/>
            <w:vAlign w:val="center"/>
          </w:tcPr>
          <w:p w14:paraId="4FF304A5">
            <w:pPr>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7A445921">
            <w:pPr>
              <w:keepNext w:val="0"/>
              <w:keepLines w:val="0"/>
              <w:pageBreakBefore w:val="0"/>
              <w:numPr>
                <w:ilvl w:val="0"/>
                <w:numId w:val="0"/>
              </w:numPr>
              <w:kinsoku/>
              <w:wordWrap/>
              <w:overflowPunct/>
              <w:topLinePunct w:val="0"/>
              <w:autoSpaceDE/>
              <w:autoSpaceDN/>
              <w:bidi w:val="0"/>
              <w:spacing w:line="360" w:lineRule="exact"/>
              <w:ind w:firstLine="480" w:firstLineChars="200"/>
              <w:textAlignment w:val="auto"/>
              <w:rPr>
                <w:rFonts w:hint="eastAsia" w:ascii="宋体" w:hAnsi="宋体" w:eastAsia="宋体" w:cs="宋体"/>
                <w:bCs/>
                <w:sz w:val="24"/>
                <w:szCs w:val="24"/>
                <w:highlight w:val="none"/>
              </w:rPr>
            </w:pPr>
            <w:r>
              <w:rPr>
                <w:rFonts w:hint="eastAsia" w:cs="宋体" w:asciiTheme="minorEastAsia" w:hAnsiTheme="minorEastAsia" w:eastAsiaTheme="minorEastAsia"/>
                <w:b w:val="0"/>
                <w:bCs w:val="0"/>
                <w:sz w:val="24"/>
                <w:szCs w:val="24"/>
                <w:highlight w:val="none"/>
                <w:lang w:eastAsia="zh-CN"/>
              </w:rPr>
              <w:t>每月汇总梳理国省考断面水质</w:t>
            </w:r>
            <w:r>
              <w:rPr>
                <w:rFonts w:hint="eastAsia" w:cs="宋体" w:asciiTheme="minorEastAsia" w:hAnsiTheme="minorEastAsia" w:eastAsiaTheme="minorEastAsia"/>
                <w:b w:val="0"/>
                <w:bCs w:val="0"/>
                <w:sz w:val="24"/>
                <w:szCs w:val="24"/>
                <w:highlight w:val="none"/>
                <w:lang w:val="en-US" w:eastAsia="zh-CN"/>
              </w:rPr>
              <w:t>情况</w:t>
            </w:r>
            <w:r>
              <w:rPr>
                <w:rFonts w:hint="eastAsia" w:cs="宋体" w:asciiTheme="minorEastAsia" w:hAnsiTheme="minorEastAsia" w:eastAsiaTheme="minorEastAsia"/>
                <w:b w:val="0"/>
                <w:bCs w:val="0"/>
                <w:sz w:val="24"/>
                <w:szCs w:val="24"/>
                <w:highlight w:val="none"/>
                <w:lang w:eastAsia="zh-CN"/>
              </w:rPr>
              <w:t>、日常巡查工作台账、问题整改情况，系统分析当月断面水质达标情况、水质变化规律、主要超标指标及成因、现存水环境短板问题。结合当月工作梳理工作成效与不足，结合季节水文特点、污染排放规律，明确下月断面水质管控重点、污染排查方向、水质保障措施，编制月度水环境工作分析报告，</w:t>
            </w:r>
            <w:r>
              <w:rPr>
                <w:rFonts w:hint="eastAsia" w:cs="宋体" w:asciiTheme="minorEastAsia" w:hAnsiTheme="minorEastAsia" w:eastAsiaTheme="minorEastAsia"/>
                <w:b w:val="0"/>
                <w:bCs w:val="0"/>
                <w:sz w:val="24"/>
                <w:szCs w:val="24"/>
                <w:highlight w:val="none"/>
                <w:lang w:val="en-US" w:eastAsia="zh-CN"/>
              </w:rPr>
              <w:t>共12份</w:t>
            </w:r>
            <w:r>
              <w:rPr>
                <w:rFonts w:hint="eastAsia" w:cs="宋体" w:asciiTheme="minorEastAsia" w:hAnsiTheme="minorEastAsia" w:eastAsiaTheme="minorEastAsia"/>
                <w:b w:val="0"/>
                <w:bCs w:val="0"/>
                <w:sz w:val="24"/>
                <w:szCs w:val="24"/>
                <w:highlight w:val="none"/>
                <w:lang w:eastAsia="zh-CN"/>
              </w:rPr>
              <w:t>。</w:t>
            </w:r>
          </w:p>
        </w:tc>
      </w:tr>
      <w:tr w14:paraId="6D2DD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242" w:type="dxa"/>
            <w:vMerge w:val="continue"/>
            <w:noWrap w:val="0"/>
            <w:vAlign w:val="center"/>
          </w:tcPr>
          <w:p w14:paraId="7591E450">
            <w:pPr>
              <w:jc w:val="center"/>
              <w:rPr>
                <w:rFonts w:hint="eastAsia" w:cs="宋体" w:asciiTheme="minorEastAsia" w:hAnsiTheme="minorEastAsia" w:eastAsiaTheme="minorEastAsia"/>
                <w:b w:val="0"/>
                <w:bCs w:val="0"/>
                <w:color w:val="000000"/>
                <w:sz w:val="24"/>
                <w:szCs w:val="24"/>
                <w:highlight w:val="none"/>
                <w:lang w:val="en-US" w:eastAsia="zh-CN"/>
              </w:rPr>
            </w:pPr>
          </w:p>
        </w:tc>
        <w:tc>
          <w:tcPr>
            <w:tcW w:w="2155" w:type="dxa"/>
            <w:noWrap w:val="0"/>
            <w:vAlign w:val="center"/>
          </w:tcPr>
          <w:p w14:paraId="59630818">
            <w:pPr>
              <w:keepNext w:val="0"/>
              <w:keepLines w:val="0"/>
              <w:pageBreakBefore w:val="0"/>
              <w:numPr>
                <w:ilvl w:val="0"/>
                <w:numId w:val="0"/>
              </w:numPr>
              <w:kinsoku/>
              <w:wordWrap/>
              <w:overflowPunct/>
              <w:topLinePunct w:val="0"/>
              <w:autoSpaceDE/>
              <w:autoSpaceDN/>
              <w:bidi w:val="0"/>
              <w:spacing w:line="360" w:lineRule="exact"/>
              <w:ind w:firstLine="480" w:firstLineChars="200"/>
              <w:textAlignment w:val="auto"/>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eastAsia="zh-CN"/>
              </w:rPr>
              <w:t>季度河道污染源溯源排查报告编制</w:t>
            </w:r>
          </w:p>
          <w:p w14:paraId="12980DA2">
            <w:pPr>
              <w:jc w:val="center"/>
              <w:rPr>
                <w:rFonts w:hint="eastAsia" w:cs="宋体" w:asciiTheme="minorEastAsia" w:hAnsiTheme="minorEastAsia" w:eastAsiaTheme="minorEastAsia"/>
                <w:b w:val="0"/>
                <w:bCs w:val="0"/>
                <w:sz w:val="24"/>
                <w:szCs w:val="24"/>
                <w:highlight w:val="none"/>
                <w:lang w:eastAsia="zh-CN"/>
              </w:rPr>
            </w:pPr>
          </w:p>
        </w:tc>
        <w:tc>
          <w:tcPr>
            <w:tcW w:w="898" w:type="dxa"/>
            <w:noWrap w:val="0"/>
            <w:vAlign w:val="center"/>
          </w:tcPr>
          <w:p w14:paraId="22EFDFE8">
            <w:pPr>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3FE9A40F">
            <w:pPr>
              <w:keepNext w:val="0"/>
              <w:keepLines w:val="0"/>
              <w:widowControl/>
              <w:suppressLineNumbers w:val="0"/>
              <w:ind w:firstLine="480" w:firstLineChars="200"/>
              <w:jc w:val="left"/>
              <w:rPr>
                <w:rFonts w:hint="eastAsia" w:ascii="宋体" w:hAnsi="宋体" w:eastAsia="宋体" w:cs="宋体"/>
                <w:bCs/>
                <w:sz w:val="24"/>
                <w:szCs w:val="24"/>
                <w:highlight w:val="none"/>
              </w:rPr>
            </w:pPr>
            <w:r>
              <w:rPr>
                <w:rFonts w:ascii="宋体" w:hAnsi="宋体" w:eastAsia="宋体" w:cs="宋体"/>
                <w:kern w:val="0"/>
                <w:sz w:val="24"/>
                <w:szCs w:val="24"/>
                <w:highlight w:val="none"/>
                <w:lang w:val="en-US" w:eastAsia="zh-CN" w:bidi="ar"/>
              </w:rPr>
              <w:t>结合常态化河道巡查、水质监测成果，每季度对重点河流干流、支流开展全域全覆盖溯源分析，系统研判河道水质超标、水体指标波动的核心诱因，梳理流域内结构性、阶段性水环境突出问题，针对性提出源头管控、污染源治理、生态修复、长效管控等整改提升建议，编制完整河流断面季度溯源排查报告</w:t>
            </w:r>
            <w:r>
              <w:rPr>
                <w:rFonts w:hint="eastAsia" w:ascii="宋体" w:hAnsi="宋体" w:eastAsia="宋体" w:cs="宋体"/>
                <w:kern w:val="0"/>
                <w:sz w:val="24"/>
                <w:szCs w:val="24"/>
                <w:highlight w:val="none"/>
                <w:lang w:val="en-US" w:eastAsia="zh-CN" w:bidi="ar"/>
              </w:rPr>
              <w:t>，</w:t>
            </w:r>
            <w:r>
              <w:rPr>
                <w:rFonts w:hint="eastAsia" w:ascii="宋体" w:hAnsi="宋体" w:cs="宋体"/>
                <w:kern w:val="0"/>
                <w:sz w:val="24"/>
                <w:szCs w:val="24"/>
                <w:highlight w:val="none"/>
                <w:lang w:val="en-US" w:eastAsia="zh-CN" w:bidi="ar"/>
              </w:rPr>
              <w:t>共4份</w:t>
            </w:r>
            <w:r>
              <w:rPr>
                <w:rFonts w:ascii="宋体" w:hAnsi="宋体" w:eastAsia="宋体" w:cs="宋体"/>
                <w:kern w:val="0"/>
                <w:sz w:val="24"/>
                <w:szCs w:val="24"/>
                <w:highlight w:val="none"/>
                <w:lang w:val="en-US" w:eastAsia="zh-CN" w:bidi="ar"/>
              </w:rPr>
              <w:t>。</w:t>
            </w:r>
          </w:p>
        </w:tc>
      </w:tr>
      <w:tr w14:paraId="42C99E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242" w:type="dxa"/>
            <w:vMerge w:val="continue"/>
            <w:noWrap w:val="0"/>
            <w:vAlign w:val="center"/>
          </w:tcPr>
          <w:p w14:paraId="567C9B6D">
            <w:pPr>
              <w:jc w:val="center"/>
              <w:rPr>
                <w:rFonts w:hint="eastAsia" w:cs="宋体" w:asciiTheme="minorEastAsia" w:hAnsiTheme="minorEastAsia" w:eastAsiaTheme="minorEastAsia"/>
                <w:b w:val="0"/>
                <w:bCs w:val="0"/>
                <w:color w:val="000000"/>
                <w:sz w:val="24"/>
                <w:szCs w:val="24"/>
                <w:highlight w:val="none"/>
                <w:lang w:val="en-US" w:eastAsia="zh-CN"/>
              </w:rPr>
            </w:pPr>
          </w:p>
        </w:tc>
        <w:tc>
          <w:tcPr>
            <w:tcW w:w="2155" w:type="dxa"/>
            <w:noWrap w:val="0"/>
            <w:vAlign w:val="center"/>
          </w:tcPr>
          <w:p w14:paraId="2CF6C0D2">
            <w:pPr>
              <w:jc w:val="center"/>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eastAsia="zh-CN"/>
              </w:rPr>
              <w:t>分汛期水质提升保障方案编制</w:t>
            </w:r>
          </w:p>
        </w:tc>
        <w:tc>
          <w:tcPr>
            <w:tcW w:w="898" w:type="dxa"/>
            <w:noWrap w:val="0"/>
            <w:vAlign w:val="center"/>
          </w:tcPr>
          <w:p w14:paraId="7D17FCB8">
            <w:pPr>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448D27D9">
            <w:pPr>
              <w:keepNext w:val="0"/>
              <w:keepLines w:val="0"/>
              <w:pageBreakBefore w:val="0"/>
              <w:numPr>
                <w:ilvl w:val="0"/>
                <w:numId w:val="0"/>
              </w:numPr>
              <w:kinsoku/>
              <w:wordWrap/>
              <w:overflowPunct/>
              <w:topLinePunct w:val="0"/>
              <w:autoSpaceDE/>
              <w:autoSpaceDN/>
              <w:bidi w:val="0"/>
              <w:spacing w:line="360" w:lineRule="exact"/>
              <w:ind w:firstLine="480" w:firstLineChars="200"/>
              <w:textAlignment w:val="auto"/>
              <w:rPr>
                <w:rFonts w:hint="eastAsia" w:ascii="宋体" w:hAnsi="宋体" w:eastAsia="宋体" w:cs="宋体"/>
                <w:bCs/>
                <w:sz w:val="24"/>
                <w:szCs w:val="24"/>
                <w:highlight w:val="none"/>
              </w:rPr>
            </w:pPr>
            <w:r>
              <w:rPr>
                <w:rFonts w:hint="eastAsia" w:cs="宋体" w:asciiTheme="minorEastAsia" w:hAnsiTheme="minorEastAsia" w:eastAsiaTheme="minorEastAsia"/>
                <w:b w:val="0"/>
                <w:bCs w:val="0"/>
                <w:sz w:val="24"/>
                <w:szCs w:val="24"/>
                <w:highlight w:val="none"/>
                <w:lang w:eastAsia="zh-CN"/>
              </w:rPr>
              <w:t>结合汛期、非汛期水文、水质、污染排放差异化特点，区分不同时段水质保障核心侧重点，分别编制汛期、非汛期断面水质提升专项保障方案。方案需涵盖区域水系概况、历年水质现状评价、当前污染源现状调查与评估、水环境突出问题诊断识别、断面水质达标风险分析、分区分类整治重点任务、管控措施、应急保障机制等完整内容。汛期保障方案于每年4月底前提交，非汛期保障方案于每年10月底前提交，为辖区分时段水质精准管控提供技术支撑，</w:t>
            </w:r>
            <w:r>
              <w:rPr>
                <w:rFonts w:hint="eastAsia" w:cs="宋体" w:asciiTheme="minorEastAsia" w:hAnsiTheme="minorEastAsia" w:eastAsiaTheme="minorEastAsia"/>
                <w:b w:val="0"/>
                <w:bCs w:val="0"/>
                <w:sz w:val="24"/>
                <w:szCs w:val="24"/>
                <w:highlight w:val="none"/>
                <w:lang w:val="en-US" w:eastAsia="zh-CN"/>
              </w:rPr>
              <w:t>共2份</w:t>
            </w:r>
            <w:r>
              <w:rPr>
                <w:rFonts w:hint="eastAsia" w:cs="宋体" w:asciiTheme="minorEastAsia" w:hAnsiTheme="minorEastAsia" w:eastAsiaTheme="minorEastAsia"/>
                <w:b w:val="0"/>
                <w:bCs w:val="0"/>
                <w:sz w:val="24"/>
                <w:szCs w:val="24"/>
                <w:highlight w:val="none"/>
                <w:lang w:eastAsia="zh-CN"/>
              </w:rPr>
              <w:t>。</w:t>
            </w:r>
          </w:p>
        </w:tc>
      </w:tr>
      <w:tr w14:paraId="5E7B8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242" w:type="dxa"/>
            <w:noWrap w:val="0"/>
            <w:vAlign w:val="center"/>
          </w:tcPr>
          <w:p w14:paraId="3D7276BB">
            <w:pPr>
              <w:jc w:val="center"/>
              <w:rPr>
                <w:rFonts w:hint="eastAsia" w:cs="宋体" w:asciiTheme="minorEastAsia" w:hAnsiTheme="minorEastAsia" w:eastAsiaTheme="minorEastAsia"/>
                <w:b w:val="0"/>
                <w:bCs w:val="0"/>
                <w:color w:val="000000"/>
                <w:sz w:val="24"/>
                <w:szCs w:val="24"/>
                <w:highlight w:val="none"/>
                <w:lang w:val="en-US" w:eastAsia="zh-CN"/>
              </w:rPr>
            </w:pPr>
            <w:r>
              <w:rPr>
                <w:rFonts w:hint="eastAsia" w:cs="宋体" w:asciiTheme="minorEastAsia" w:hAnsiTheme="minorEastAsia" w:eastAsiaTheme="minorEastAsia"/>
                <w:b w:val="0"/>
                <w:bCs w:val="0"/>
                <w:sz w:val="24"/>
                <w:szCs w:val="24"/>
                <w:highlight w:val="none"/>
                <w:lang w:val="en-US" w:eastAsia="zh-CN"/>
              </w:rPr>
              <w:t>乡镇、街道（园区）</w:t>
            </w:r>
            <w:r>
              <w:rPr>
                <w:rFonts w:hint="eastAsia" w:cs="宋体" w:asciiTheme="minorEastAsia" w:hAnsiTheme="minorEastAsia" w:eastAsiaTheme="minorEastAsia"/>
                <w:b w:val="0"/>
                <w:bCs w:val="0"/>
                <w:sz w:val="24"/>
                <w:szCs w:val="24"/>
                <w:highlight w:val="none"/>
                <w:lang w:eastAsia="zh-CN"/>
              </w:rPr>
              <w:t>排查帮扶服务</w:t>
            </w:r>
          </w:p>
        </w:tc>
        <w:tc>
          <w:tcPr>
            <w:tcW w:w="2155" w:type="dxa"/>
            <w:noWrap w:val="0"/>
            <w:vAlign w:val="center"/>
          </w:tcPr>
          <w:p w14:paraId="4588526D">
            <w:pPr>
              <w:jc w:val="center"/>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val="en-US" w:eastAsia="zh-CN"/>
              </w:rPr>
              <w:t>乡镇、街道（园区）</w:t>
            </w:r>
            <w:r>
              <w:rPr>
                <w:rFonts w:hint="eastAsia" w:cs="宋体" w:asciiTheme="minorEastAsia" w:hAnsiTheme="minorEastAsia" w:eastAsiaTheme="minorEastAsia"/>
                <w:b w:val="0"/>
                <w:bCs w:val="0"/>
                <w:sz w:val="24"/>
                <w:szCs w:val="24"/>
                <w:highlight w:val="none"/>
                <w:lang w:eastAsia="zh-CN"/>
              </w:rPr>
              <w:t>排查帮扶服务</w:t>
            </w:r>
          </w:p>
        </w:tc>
        <w:tc>
          <w:tcPr>
            <w:tcW w:w="898" w:type="dxa"/>
            <w:noWrap w:val="0"/>
            <w:vAlign w:val="center"/>
          </w:tcPr>
          <w:p w14:paraId="3D0E3E28">
            <w:pPr>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32338B3C">
            <w:pPr>
              <w:rPr>
                <w:rFonts w:hint="eastAsia" w:ascii="宋体" w:hAnsi="宋体" w:eastAsia="宋体" w:cs="宋体"/>
                <w:bCs/>
                <w:sz w:val="24"/>
                <w:szCs w:val="24"/>
                <w:highlight w:val="none"/>
              </w:rPr>
            </w:pPr>
            <w:r>
              <w:rPr>
                <w:rFonts w:ascii="宋体" w:hAnsi="宋体" w:eastAsia="宋体" w:cs="宋体"/>
                <w:kern w:val="0"/>
                <w:sz w:val="24"/>
                <w:szCs w:val="24"/>
                <w:highlight w:val="none"/>
                <w:lang w:val="en-US" w:eastAsia="zh-CN" w:bidi="ar"/>
              </w:rPr>
              <w:t>针对国省考断面包覆流经的乡镇、街道、园区开展排查帮扶，形成专项帮扶报告</w:t>
            </w:r>
            <w:r>
              <w:rPr>
                <w:rFonts w:hint="eastAsia" w:ascii="宋体" w:hAnsi="宋体" w:cs="宋体"/>
                <w:kern w:val="0"/>
                <w:sz w:val="24"/>
                <w:szCs w:val="24"/>
                <w:highlight w:val="none"/>
                <w:lang w:val="en-US" w:eastAsia="zh-CN" w:bidi="ar"/>
              </w:rPr>
              <w:t>，共17份</w:t>
            </w:r>
            <w:r>
              <w:rPr>
                <w:rFonts w:ascii="宋体" w:hAnsi="宋体" w:eastAsia="宋体" w:cs="宋体"/>
                <w:kern w:val="0"/>
                <w:sz w:val="24"/>
                <w:szCs w:val="24"/>
                <w:highlight w:val="none"/>
                <w:lang w:val="en-US" w:eastAsia="zh-CN" w:bidi="ar"/>
              </w:rPr>
              <w:t>。</w:t>
            </w:r>
            <w:r>
              <w:rPr>
                <w:rFonts w:ascii="宋体" w:hAnsi="宋体" w:eastAsia="宋体" w:cs="宋体"/>
                <w:color w:val="auto"/>
                <w:kern w:val="0"/>
                <w:sz w:val="24"/>
                <w:szCs w:val="24"/>
                <w:highlight w:val="none"/>
                <w:lang w:val="en-US" w:eastAsia="zh-CN" w:bidi="ar"/>
              </w:rPr>
              <w:t>帮扶范围具体包括</w:t>
            </w:r>
            <w:r>
              <w:rPr>
                <w:rFonts w:hint="eastAsia" w:ascii="宋体" w:hAnsi="宋体" w:cs="宋体"/>
                <w:color w:val="auto"/>
                <w:kern w:val="0"/>
                <w:sz w:val="24"/>
                <w:szCs w:val="24"/>
                <w:highlight w:val="none"/>
                <w:lang w:val="en-US" w:eastAsia="zh-CN" w:bidi="ar"/>
              </w:rPr>
              <w:t>8个镇、7个街道以及2个园区</w:t>
            </w:r>
            <w:r>
              <w:rPr>
                <w:rFonts w:ascii="宋体" w:hAnsi="宋体" w:eastAsia="宋体" w:cs="宋体"/>
                <w:color w:val="auto"/>
                <w:kern w:val="0"/>
                <w:sz w:val="24"/>
                <w:szCs w:val="24"/>
                <w:highlight w:val="none"/>
                <w:lang w:val="en-US" w:eastAsia="zh-CN" w:bidi="ar"/>
              </w:rPr>
              <w:t>。</w:t>
            </w:r>
          </w:p>
        </w:tc>
      </w:tr>
      <w:tr w14:paraId="52BDBD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242" w:type="dxa"/>
            <w:vMerge w:val="restart"/>
            <w:noWrap w:val="0"/>
            <w:vAlign w:val="center"/>
          </w:tcPr>
          <w:p w14:paraId="65EAAD8F">
            <w:pPr>
              <w:jc w:val="center"/>
              <w:rPr>
                <w:rFonts w:hint="eastAsia" w:cs="宋体" w:asciiTheme="minorEastAsia" w:hAnsiTheme="minorEastAsia" w:eastAsiaTheme="minorEastAsia"/>
                <w:b w:val="0"/>
                <w:bCs w:val="0"/>
                <w:color w:val="000000"/>
                <w:sz w:val="24"/>
                <w:szCs w:val="24"/>
                <w:highlight w:val="none"/>
                <w:lang w:val="en-US" w:eastAsia="zh-CN"/>
              </w:rPr>
            </w:pPr>
            <w:r>
              <w:rPr>
                <w:rFonts w:hint="eastAsia" w:cs="宋体" w:asciiTheme="minorEastAsia" w:hAnsiTheme="minorEastAsia" w:eastAsiaTheme="minorEastAsia"/>
                <w:b w:val="0"/>
                <w:bCs w:val="0"/>
                <w:sz w:val="24"/>
                <w:szCs w:val="24"/>
                <w:highlight w:val="none"/>
                <w:lang w:val="en-US" w:eastAsia="zh-CN"/>
              </w:rPr>
              <w:t>汛期及恶劣天气、蓝藻巡查应急保障服务</w:t>
            </w:r>
          </w:p>
        </w:tc>
        <w:tc>
          <w:tcPr>
            <w:tcW w:w="2155" w:type="dxa"/>
            <w:noWrap w:val="0"/>
            <w:vAlign w:val="center"/>
          </w:tcPr>
          <w:p w14:paraId="4BA03331">
            <w:pPr>
              <w:jc w:val="center"/>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val="en-US" w:eastAsia="zh-CN"/>
              </w:rPr>
              <w:t>汛期常态化开展水质监测与预警</w:t>
            </w:r>
          </w:p>
        </w:tc>
        <w:tc>
          <w:tcPr>
            <w:tcW w:w="898" w:type="dxa"/>
            <w:noWrap w:val="0"/>
            <w:vAlign w:val="center"/>
          </w:tcPr>
          <w:p w14:paraId="64AE8E00">
            <w:pPr>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48978498">
            <w:pPr>
              <w:rPr>
                <w:rFonts w:hint="eastAsia" w:ascii="宋体" w:hAnsi="宋体" w:eastAsia="宋体" w:cs="宋体"/>
                <w:bCs/>
                <w:sz w:val="24"/>
                <w:szCs w:val="24"/>
                <w:highlight w:val="none"/>
              </w:rPr>
            </w:pPr>
            <w:r>
              <w:rPr>
                <w:rFonts w:hint="eastAsia" w:cs="宋体" w:asciiTheme="minorEastAsia" w:hAnsiTheme="minorEastAsia" w:eastAsiaTheme="minorEastAsia"/>
                <w:b w:val="0"/>
                <w:bCs w:val="0"/>
                <w:sz w:val="24"/>
                <w:szCs w:val="24"/>
                <w:highlight w:val="none"/>
                <w:lang w:val="en-US" w:eastAsia="zh-CN"/>
              </w:rPr>
              <w:t>汛期常态化开展水质监测与预警，针对水质频繁波动、指标异常等情况，提出合理管控措施，</w:t>
            </w:r>
            <w:r>
              <w:rPr>
                <w:rFonts w:hint="eastAsia" w:cs="宋体" w:asciiTheme="minorEastAsia" w:hAnsiTheme="minorEastAsia" w:eastAsiaTheme="minorEastAsia"/>
                <w:b w:val="0"/>
                <w:bCs w:val="0"/>
                <w:sz w:val="24"/>
                <w:szCs w:val="24"/>
                <w:highlight w:val="none"/>
                <w:lang w:eastAsia="zh-CN"/>
              </w:rPr>
              <w:t>制定汛期、突发恶劣天气应急保障措施</w:t>
            </w:r>
            <w:r>
              <w:rPr>
                <w:rFonts w:hint="eastAsia" w:cs="宋体" w:asciiTheme="minorEastAsia" w:hAnsiTheme="minorEastAsia" w:eastAsiaTheme="minorEastAsia"/>
                <w:b w:val="0"/>
                <w:bCs w:val="0"/>
                <w:sz w:val="24"/>
                <w:szCs w:val="24"/>
                <w:highlight w:val="none"/>
                <w:lang w:val="en-US" w:eastAsia="zh-CN"/>
              </w:rPr>
              <w:t>，常态化开展河道巡查管控。</w:t>
            </w:r>
          </w:p>
        </w:tc>
      </w:tr>
      <w:tr w14:paraId="76EF0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3" w:hRule="atLeast"/>
        </w:trPr>
        <w:tc>
          <w:tcPr>
            <w:tcW w:w="1242" w:type="dxa"/>
            <w:vMerge w:val="continue"/>
            <w:noWrap w:val="0"/>
            <w:vAlign w:val="center"/>
          </w:tcPr>
          <w:p w14:paraId="1DA416EE">
            <w:pPr>
              <w:jc w:val="center"/>
              <w:rPr>
                <w:rFonts w:hint="eastAsia" w:cs="宋体" w:asciiTheme="minorEastAsia" w:hAnsiTheme="minorEastAsia" w:eastAsiaTheme="minorEastAsia"/>
                <w:b w:val="0"/>
                <w:bCs w:val="0"/>
                <w:color w:val="000000"/>
                <w:sz w:val="24"/>
                <w:szCs w:val="24"/>
                <w:highlight w:val="none"/>
                <w:lang w:val="en-US" w:eastAsia="zh-CN"/>
              </w:rPr>
            </w:pPr>
          </w:p>
        </w:tc>
        <w:tc>
          <w:tcPr>
            <w:tcW w:w="2155" w:type="dxa"/>
            <w:noWrap w:val="0"/>
            <w:vAlign w:val="center"/>
          </w:tcPr>
          <w:p w14:paraId="33FD15DD">
            <w:pPr>
              <w:jc w:val="center"/>
              <w:rPr>
                <w:rFonts w:hint="eastAsia" w:cs="宋体" w:asciiTheme="minorEastAsia" w:hAnsiTheme="minorEastAsia" w:eastAsiaTheme="minorEastAsia"/>
                <w:b w:val="0"/>
                <w:bCs w:val="0"/>
                <w:sz w:val="24"/>
                <w:szCs w:val="24"/>
                <w:highlight w:val="none"/>
                <w:lang w:eastAsia="zh-CN"/>
              </w:rPr>
            </w:pPr>
            <w:r>
              <w:rPr>
                <w:rFonts w:hint="eastAsia" w:cs="宋体" w:asciiTheme="minorEastAsia" w:hAnsiTheme="minorEastAsia" w:eastAsiaTheme="minorEastAsia"/>
                <w:b w:val="0"/>
                <w:bCs w:val="0"/>
                <w:sz w:val="24"/>
                <w:szCs w:val="24"/>
                <w:highlight w:val="none"/>
                <w:lang w:val="en-US" w:eastAsia="zh-CN"/>
              </w:rPr>
              <w:t>夏季高温期间开展入湖河道蓝藻水华常态化巡查</w:t>
            </w:r>
          </w:p>
        </w:tc>
        <w:tc>
          <w:tcPr>
            <w:tcW w:w="898" w:type="dxa"/>
            <w:noWrap w:val="0"/>
            <w:vAlign w:val="center"/>
          </w:tcPr>
          <w:p w14:paraId="3B3D3324">
            <w:pPr>
              <w:jc w:val="center"/>
              <w:rPr>
                <w:rFonts w:hint="default" w:ascii="宋体" w:hAnsi="宋体" w:eastAsia="宋体" w:cs="宋体"/>
                <w:bCs/>
                <w:sz w:val="24"/>
                <w:szCs w:val="24"/>
                <w:highlight w:val="none"/>
                <w:lang w:val="en-US" w:eastAsia="zh-CN"/>
              </w:rPr>
            </w:pPr>
            <w:r>
              <w:rPr>
                <w:rFonts w:hint="eastAsia" w:ascii="宋体" w:hAnsi="宋体" w:eastAsia="宋体" w:cs="宋体"/>
                <w:bCs/>
                <w:sz w:val="24"/>
                <w:szCs w:val="24"/>
                <w:highlight w:val="none"/>
              </w:rPr>
              <w:t>1项</w:t>
            </w:r>
          </w:p>
        </w:tc>
        <w:tc>
          <w:tcPr>
            <w:tcW w:w="4575" w:type="dxa"/>
            <w:noWrap w:val="0"/>
            <w:vAlign w:val="center"/>
          </w:tcPr>
          <w:p w14:paraId="3881F476">
            <w:pPr>
              <w:keepNext w:val="0"/>
              <w:keepLines w:val="0"/>
              <w:pageBreakBefore w:val="0"/>
              <w:numPr>
                <w:ilvl w:val="0"/>
                <w:numId w:val="0"/>
              </w:numPr>
              <w:kinsoku/>
              <w:wordWrap/>
              <w:overflowPunct/>
              <w:topLinePunct w:val="0"/>
              <w:autoSpaceDE/>
              <w:autoSpaceDN/>
              <w:bidi w:val="0"/>
              <w:spacing w:line="360" w:lineRule="exact"/>
              <w:ind w:firstLine="480" w:firstLineChars="200"/>
              <w:textAlignment w:val="auto"/>
              <w:rPr>
                <w:rFonts w:hint="eastAsia" w:ascii="宋体" w:hAnsi="宋体" w:eastAsia="宋体" w:cs="宋体"/>
                <w:bCs/>
                <w:sz w:val="24"/>
                <w:szCs w:val="24"/>
                <w:highlight w:val="none"/>
              </w:rPr>
            </w:pPr>
            <w:r>
              <w:rPr>
                <w:rFonts w:hint="eastAsia" w:cs="宋体" w:asciiTheme="minorEastAsia" w:hAnsiTheme="minorEastAsia" w:eastAsiaTheme="minorEastAsia"/>
                <w:b w:val="0"/>
                <w:bCs w:val="0"/>
                <w:sz w:val="24"/>
                <w:szCs w:val="24"/>
                <w:highlight w:val="none"/>
                <w:lang w:val="en-US" w:eastAsia="zh-CN"/>
              </w:rPr>
              <w:t>夏季高温期间开展入湖河道蓝藻水华常态化巡查，及时排查蓝藻滋生、聚集、扩散风险，做好风险预警，形成完整规范的台账资料。</w:t>
            </w:r>
          </w:p>
        </w:tc>
      </w:tr>
    </w:tbl>
    <w:p w14:paraId="2C374B38">
      <w:pPr>
        <w:spacing w:line="360" w:lineRule="auto"/>
        <w:ind w:firstLine="482" w:firstLineChars="200"/>
        <w:rPr>
          <w:rFonts w:hint="eastAsia" w:cs="仿宋" w:asciiTheme="minorEastAsia" w:hAnsiTheme="minorEastAsia" w:eastAsiaTheme="minorEastAsia"/>
          <w:b/>
          <w:bCs/>
          <w:sz w:val="24"/>
          <w:szCs w:val="24"/>
          <w:highlight w:val="none"/>
        </w:rPr>
      </w:pPr>
      <w:r>
        <w:rPr>
          <w:rFonts w:hint="eastAsia" w:cs="仿宋" w:asciiTheme="minorEastAsia" w:hAnsiTheme="minorEastAsia" w:eastAsiaTheme="minorEastAsia"/>
          <w:b/>
          <w:bCs/>
          <w:sz w:val="24"/>
          <w:szCs w:val="24"/>
          <w:highlight w:val="none"/>
        </w:rPr>
        <w:t>六、成果要求</w:t>
      </w:r>
    </w:p>
    <w:p w14:paraId="3A1AA65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本项目所有成果文件须真实准确、规范完整、可追溯，符合国家、行业相关技术标准及本项目采购要求。各类成果细化要求如下：</w:t>
      </w:r>
    </w:p>
    <w:p w14:paraId="5D4A6876">
      <w:pPr>
        <w:widowControl/>
        <w:shd w:val="clear" w:color="auto" w:fill="FFFFFF"/>
        <w:spacing w:line="360" w:lineRule="auto"/>
        <w:ind w:firstLine="480" w:firstLineChars="200"/>
        <w:rPr>
          <w:rFonts w:cs="Segoe UI" w:asciiTheme="minorEastAsia" w:hAnsiTheme="minorEastAsia"/>
          <w:bCs/>
          <w:color w:val="0F1115"/>
          <w:kern w:val="0"/>
          <w:sz w:val="24"/>
          <w:szCs w:val="24"/>
          <w:highlight w:val="none"/>
        </w:rPr>
      </w:pPr>
      <w:r>
        <w:rPr>
          <w:rFonts w:cs="Segoe UI" w:asciiTheme="minorEastAsia" w:hAnsiTheme="minorEastAsia"/>
          <w:bCs/>
          <w:color w:val="0F1115"/>
          <w:kern w:val="0"/>
          <w:sz w:val="24"/>
          <w:szCs w:val="24"/>
          <w:highlight w:val="none"/>
        </w:rPr>
        <w:t>（一）水质监测类成果</w:t>
      </w:r>
    </w:p>
    <w:p w14:paraId="13778EBA">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1. 常规水质监测原始数据记录</w:t>
      </w:r>
    </w:p>
    <w:p w14:paraId="53387E14">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：常规水质监测</w:t>
      </w:r>
    </w:p>
    <w:p w14:paraId="7ABDA14A">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：每月</w:t>
      </w:r>
      <w:r>
        <w:rPr>
          <w:rFonts w:hint="eastAsia" w:cs="Segoe UI" w:asciiTheme="minorEastAsia" w:hAnsiTheme="minorEastAsia"/>
          <w:color w:val="0F1115"/>
          <w:kern w:val="0"/>
          <w:sz w:val="24"/>
          <w:szCs w:val="24"/>
          <w:highlight w:val="none"/>
          <w:lang w:val="en-US" w:eastAsia="zh-CN"/>
        </w:rPr>
        <w:t>不少于5</w:t>
      </w:r>
      <w:r>
        <w:rPr>
          <w:rFonts w:cs="Segoe UI" w:asciiTheme="minorEastAsia" w:hAnsiTheme="minorEastAsia"/>
          <w:color w:val="0F1115"/>
          <w:kern w:val="0"/>
          <w:sz w:val="24"/>
          <w:szCs w:val="24"/>
          <w:highlight w:val="none"/>
        </w:rPr>
        <w:t>次，与监测频次对应</w:t>
      </w:r>
    </w:p>
    <w:p w14:paraId="0E1F9219">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提交时限</w:t>
      </w:r>
      <w:r>
        <w:rPr>
          <w:rFonts w:cs="Segoe UI" w:asciiTheme="minorEastAsia" w:hAnsiTheme="minorEastAsia"/>
          <w:color w:val="0F1115"/>
          <w:kern w:val="0"/>
          <w:sz w:val="24"/>
          <w:szCs w:val="24"/>
          <w:highlight w:val="none"/>
        </w:rPr>
        <w:t>：单次监测完成后3个工作日内提交</w:t>
      </w:r>
    </w:p>
    <w:p w14:paraId="42CAE77F">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核心内容</w:t>
      </w:r>
      <w:r>
        <w:rPr>
          <w:rFonts w:cs="Segoe UI" w:asciiTheme="minorEastAsia" w:hAnsiTheme="minorEastAsia"/>
          <w:color w:val="0F1115"/>
          <w:kern w:val="0"/>
          <w:sz w:val="24"/>
          <w:szCs w:val="24"/>
          <w:highlight w:val="none"/>
        </w:rPr>
        <w:t>：</w:t>
      </w:r>
    </w:p>
    <w:p w14:paraId="28EBADB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（1）采样点位名称、采样时间、现场气象水文条件；</w:t>
      </w:r>
    </w:p>
    <w:p w14:paraId="0FA2037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（2）pH、COD、高锰酸盐指数、氨氮、总磷5项核心指标检测结果（必要时加测溶解氧、氟化物等）；</w:t>
      </w:r>
    </w:p>
    <w:p w14:paraId="071A217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（3）采样及检测人员签字；</w:t>
      </w:r>
    </w:p>
    <w:p w14:paraId="77B2F7B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（4）原始检测记录、样品留存记录扫描件。</w:t>
      </w:r>
    </w:p>
    <w:p w14:paraId="2B9F90AF">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2. 应急水质监测数据记录</w:t>
      </w:r>
    </w:p>
    <w:p w14:paraId="3B6C554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：应急水质监测</w:t>
      </w:r>
    </w:p>
    <w:p w14:paraId="2371259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：按实际发生次数提交</w:t>
      </w:r>
    </w:p>
    <w:p w14:paraId="51BE68B6">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w:t>
      </w:r>
      <w:r>
        <w:rPr>
          <w:rFonts w:cs="Segoe UI" w:asciiTheme="minorEastAsia" w:hAnsiTheme="minorEastAsia"/>
          <w:color w:val="0F1115"/>
          <w:kern w:val="0"/>
          <w:sz w:val="24"/>
          <w:szCs w:val="24"/>
          <w:highlight w:val="none"/>
        </w:rPr>
        <w:t>时限：应急监测完成后24小时内提交</w:t>
      </w:r>
    </w:p>
    <w:p w14:paraId="6D509E1B">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核心内容：</w:t>
      </w:r>
    </w:p>
    <w:p w14:paraId="5E7AF3DA">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（1）应急事件简述、响应时间、监测点位；</w:t>
      </w:r>
    </w:p>
    <w:p w14:paraId="4FE8FEF4">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（2）检测指标及结果；</w:t>
      </w:r>
    </w:p>
    <w:p w14:paraId="5744B775">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（3）数据报送及归档记录。</w:t>
      </w:r>
    </w:p>
    <w:p w14:paraId="1095D4D9">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3. 预警预报巡查报告</w:t>
      </w:r>
    </w:p>
    <w:p w14:paraId="183E45C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：预警预报巡查服务及报告</w:t>
      </w:r>
    </w:p>
    <w:p w14:paraId="2AD29D9B">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w:t>
      </w:r>
      <w:r>
        <w:rPr>
          <w:rFonts w:cs="Segoe UI" w:asciiTheme="minorEastAsia" w:hAnsiTheme="minorEastAsia"/>
          <w:color w:val="0F1115"/>
          <w:kern w:val="0"/>
          <w:sz w:val="24"/>
          <w:szCs w:val="24"/>
          <w:highlight w:val="none"/>
        </w:rPr>
        <w:t>频次：按实际达到二级预警条件次数提交</w:t>
      </w:r>
    </w:p>
    <w:p w14:paraId="3272CAC1">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提交时限：预警触发后24小时内提交</w:t>
      </w:r>
    </w:p>
    <w:p w14:paraId="355E460F">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核心内容：</w:t>
      </w:r>
    </w:p>
    <w:p w14:paraId="02A86444">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（1）预警触发时间、断面名称、监控数据异常情况；</w:t>
      </w:r>
    </w:p>
    <w:p w14:paraId="5BA78425">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（2）现场巡查范围、巡查路线及巡查记录；</w:t>
      </w:r>
    </w:p>
    <w:p w14:paraId="62046577">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（3）问题排查结果及现场照片/视频；</w:t>
      </w:r>
    </w:p>
    <w:p w14:paraId="3145B9E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（4）初步成因分析及应急处置建议。</w:t>
      </w:r>
    </w:p>
    <w:p w14:paraId="07800927">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4. 年度CMA认证水质检测汇总报告</w:t>
      </w:r>
    </w:p>
    <w:p w14:paraId="285D1C4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w:t>
      </w:r>
      <w:r>
        <w:rPr>
          <w:rFonts w:cs="Segoe UI" w:asciiTheme="minorEastAsia" w:hAnsiTheme="minorEastAsia"/>
          <w:color w:val="0F1115"/>
          <w:kern w:val="0"/>
          <w:sz w:val="24"/>
          <w:szCs w:val="24"/>
          <w:highlight w:val="none"/>
        </w:rPr>
        <w:t>内容：年度CMA认证水质检测</w:t>
      </w:r>
    </w:p>
    <w:p w14:paraId="7CEDB67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交付频次：每年1次</w:t>
      </w:r>
    </w:p>
    <w:p w14:paraId="3ABE67D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提交时限：服务期满后15日内提交</w:t>
      </w:r>
    </w:p>
    <w:p w14:paraId="3F89AF5B">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核心内容：</w:t>
      </w:r>
    </w:p>
    <w:p w14:paraId="68DF0909">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（1）全年国省考断面水质检测汇总数据、达标情况统计；</w:t>
      </w:r>
    </w:p>
    <w:p w14:paraId="0545FF2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（2）由具备CMA资质的第三方检测机构出具，加盖CMA专用章；</w:t>
      </w:r>
    </w:p>
    <w:p w14:paraId="577C2AA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（3）报告编号、检测依据、质量控制说明齐全，可用于上级考核、档案备查。</w:t>
      </w:r>
    </w:p>
    <w:p w14:paraId="264E1AFE">
      <w:pPr>
        <w:widowControl/>
        <w:shd w:val="clear" w:color="auto" w:fill="FFFFFF"/>
        <w:spacing w:line="360" w:lineRule="auto"/>
        <w:ind w:firstLine="480" w:firstLineChars="200"/>
        <w:rPr>
          <w:rFonts w:cs="Segoe UI" w:asciiTheme="minorEastAsia" w:hAnsiTheme="minorEastAsia"/>
          <w:bCs/>
          <w:color w:val="0F1115"/>
          <w:kern w:val="0"/>
          <w:sz w:val="24"/>
          <w:szCs w:val="24"/>
          <w:highlight w:val="none"/>
        </w:rPr>
      </w:pPr>
      <w:r>
        <w:rPr>
          <w:rFonts w:cs="Segoe UI" w:asciiTheme="minorEastAsia" w:hAnsiTheme="minorEastAsia"/>
          <w:bCs/>
          <w:color w:val="0F1115"/>
          <w:kern w:val="0"/>
          <w:sz w:val="24"/>
          <w:szCs w:val="24"/>
          <w:highlight w:val="none"/>
        </w:rPr>
        <w:t>（二）污染源巡查排查类成果</w:t>
      </w:r>
    </w:p>
    <w:p w14:paraId="5D13ECA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1. 污染源巡查排查动态简报及问题清单</w:t>
      </w:r>
    </w:p>
    <w:p w14:paraId="6A5C62D5">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：污染源巡查排查（常态化）</w:t>
      </w:r>
    </w:p>
    <w:p w14:paraId="0C273426">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：每半月1次</w:t>
      </w:r>
    </w:p>
    <w:p w14:paraId="152FDC0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w:t>
      </w:r>
      <w:r>
        <w:rPr>
          <w:rFonts w:cs="Segoe UI" w:asciiTheme="minorEastAsia" w:hAnsiTheme="minorEastAsia"/>
          <w:color w:val="0F1115"/>
          <w:kern w:val="0"/>
          <w:sz w:val="24"/>
          <w:szCs w:val="24"/>
          <w:highlight w:val="none"/>
        </w:rPr>
        <w:t>交时限：每半月结束后3个工作日内提交</w:t>
      </w:r>
    </w:p>
    <w:p w14:paraId="5AB3AEE7">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核心内容：</w:t>
      </w:r>
    </w:p>
    <w:p w14:paraId="4C880714">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（1）本周期巡查范围、河道长度、覆盖点位；</w:t>
      </w:r>
    </w:p>
    <w:p w14:paraId="7017004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（2）问题清单：工业排污、生活污水直排、农业面源污染、养殖污染、垃圾漂浮等问题分类汇总，标注位置、污染程度、责任属地；</w:t>
      </w:r>
    </w:p>
    <w:p w14:paraId="57BA2E4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（3）整改交办记录及整改进展跟踪情况；</w:t>
      </w:r>
    </w:p>
    <w:p w14:paraId="53BC41DE">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（4）复核核查结果（已整改到位/未整改到位）；</w:t>
      </w:r>
    </w:p>
    <w:p w14:paraId="4D19ED13">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（5）重点区域水环境问题清单动态更新台账。</w:t>
      </w:r>
    </w:p>
    <w:p w14:paraId="08B5A948">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2. 污染源闭环管理台账</w:t>
      </w:r>
    </w:p>
    <w:p w14:paraId="44DA5E35">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：问题交办、跟踪整改、复核闭环</w:t>
      </w:r>
    </w:p>
    <w:p w14:paraId="0097C571">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：每半月1次，与问题清单同步提交</w:t>
      </w:r>
    </w:p>
    <w:p w14:paraId="1B6A78A3">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提交时限</w:t>
      </w:r>
      <w:r>
        <w:rPr>
          <w:rFonts w:cs="Segoe UI" w:asciiTheme="minorEastAsia" w:hAnsiTheme="minorEastAsia"/>
          <w:color w:val="0F1115"/>
          <w:kern w:val="0"/>
          <w:sz w:val="24"/>
          <w:szCs w:val="24"/>
          <w:highlight w:val="none"/>
        </w:rPr>
        <w:t>：每半月结束后3个工作日内提交</w:t>
      </w:r>
    </w:p>
    <w:p w14:paraId="6354CF3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核</w:t>
      </w:r>
      <w:r>
        <w:rPr>
          <w:rFonts w:cs="Segoe UI" w:asciiTheme="minorEastAsia" w:hAnsiTheme="minorEastAsia"/>
          <w:color w:val="0F1115"/>
          <w:kern w:val="0"/>
          <w:sz w:val="24"/>
          <w:szCs w:val="24"/>
          <w:highlight w:val="none"/>
        </w:rPr>
        <w:t>心内容：</w:t>
      </w:r>
    </w:p>
    <w:p w14:paraId="1A886B78">
      <w:pPr>
        <w:widowControl/>
        <w:shd w:val="clear" w:color="auto" w:fill="FFFFFF"/>
        <w:spacing w:line="360" w:lineRule="auto"/>
        <w:ind w:firstLine="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（1）当期新增问题清单及交办记录；</w:t>
      </w:r>
    </w:p>
    <w:p w14:paraId="4CFC9D44">
      <w:pPr>
        <w:widowControl/>
        <w:shd w:val="clear" w:color="auto" w:fill="FFFFFF"/>
        <w:spacing w:line="360" w:lineRule="auto"/>
        <w:ind w:firstLine="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（2）历史问题整改进度跟踪表（含整改责任单位、整改时限、当前状态）；</w:t>
      </w:r>
    </w:p>
    <w:p w14:paraId="1B0595A0">
      <w:pPr>
        <w:widowControl/>
        <w:shd w:val="clear" w:color="auto" w:fill="FFFFFF"/>
        <w:spacing w:line="360" w:lineRule="auto"/>
        <w:ind w:firstLine="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（3）当期复核完成点位清单及复核结果（附整改前后对比照片）；</w:t>
      </w:r>
    </w:p>
    <w:p w14:paraId="42297AFC">
      <w:pPr>
        <w:widowControl/>
        <w:shd w:val="clear" w:color="auto" w:fill="FFFFFF"/>
        <w:spacing w:line="360" w:lineRule="auto"/>
        <w:ind w:firstLine="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（4）已销号问题确认记录；</w:t>
      </w:r>
    </w:p>
    <w:p w14:paraId="63D04BCF">
      <w:pPr>
        <w:widowControl/>
        <w:shd w:val="clear" w:color="auto" w:fill="FFFFFF"/>
        <w:spacing w:line="360" w:lineRule="auto"/>
        <w:ind w:firstLine="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（5）闭环管理台账汇总（实现全过程可追溯）。</w:t>
      </w:r>
    </w:p>
    <w:p w14:paraId="6B1F0FBA">
      <w:pPr>
        <w:widowControl/>
        <w:shd w:val="clear" w:color="auto" w:fill="FFFFFF"/>
        <w:spacing w:line="360" w:lineRule="auto"/>
        <w:ind w:firstLine="480" w:firstLineChars="200"/>
        <w:rPr>
          <w:rFonts w:cs="Segoe UI" w:asciiTheme="minorEastAsia" w:hAnsiTheme="minorEastAsia"/>
          <w:bCs/>
          <w:color w:val="0F1115"/>
          <w:kern w:val="0"/>
          <w:sz w:val="24"/>
          <w:szCs w:val="24"/>
          <w:highlight w:val="none"/>
        </w:rPr>
      </w:pPr>
      <w:r>
        <w:rPr>
          <w:rFonts w:cs="Segoe UI" w:asciiTheme="minorEastAsia" w:hAnsiTheme="minorEastAsia"/>
          <w:bCs/>
          <w:color w:val="0F1115"/>
          <w:kern w:val="0"/>
          <w:sz w:val="24"/>
          <w:szCs w:val="24"/>
          <w:highlight w:val="none"/>
        </w:rPr>
        <w:t>（三）技术分析报告类成果</w:t>
      </w:r>
    </w:p>
    <w:p w14:paraId="4B397F4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1. 月度水质分析报告</w:t>
      </w:r>
    </w:p>
    <w:p w14:paraId="0A38927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：月度水质分析报告编制（共12份）</w:t>
      </w:r>
    </w:p>
    <w:p w14:paraId="2383638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：每月1次</w:t>
      </w:r>
    </w:p>
    <w:p w14:paraId="0BF0105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w:t>
      </w:r>
      <w:r>
        <w:rPr>
          <w:rFonts w:cs="Segoe UI" w:asciiTheme="minorEastAsia" w:hAnsiTheme="minorEastAsia"/>
          <w:color w:val="0F1115"/>
          <w:kern w:val="0"/>
          <w:sz w:val="24"/>
          <w:szCs w:val="24"/>
          <w:highlight w:val="none"/>
        </w:rPr>
        <w:t>时限：次月5日前提交</w:t>
      </w:r>
    </w:p>
    <w:p w14:paraId="7403BF5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核心内容：</w:t>
      </w:r>
    </w:p>
    <w:p w14:paraId="53E1A0E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（1）当月国省考断面水质数据汇总及达标情况</w:t>
      </w:r>
      <w:r>
        <w:rPr>
          <w:rFonts w:hint="eastAsia" w:cs="Segoe UI" w:asciiTheme="minorEastAsia" w:hAnsiTheme="minorEastAsia"/>
          <w:color w:val="0F1115"/>
          <w:kern w:val="0"/>
          <w:sz w:val="24"/>
          <w:szCs w:val="24"/>
          <w:highlight w:val="none"/>
        </w:rPr>
        <w:t>；</w:t>
      </w:r>
    </w:p>
    <w:p w14:paraId="10F08591">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（2）水质变化趋势分析及主要超标指标判定；</w:t>
      </w:r>
    </w:p>
    <w:p w14:paraId="33BA6AB4">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（3）超标成因分析（结合巡查、监测数据）；</w:t>
      </w:r>
    </w:p>
    <w:p w14:paraId="785B5E27">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（4）当月工作成效与不足梳理；</w:t>
      </w:r>
    </w:p>
    <w:p w14:paraId="7DC3C8D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（5）下月断面水质管控重点、污染排查方向、水质保障措施；</w:t>
      </w:r>
    </w:p>
    <w:p w14:paraId="3148D8C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（6）当月巡查工作概况同步纳入（巡查总长度、频次、问题统计）。</w:t>
      </w:r>
    </w:p>
    <w:p w14:paraId="7C7EB969">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2. 季度河道污染源溯源排查报告</w:t>
      </w:r>
    </w:p>
    <w:p w14:paraId="3F8BF12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：季度河道污染源溯源排查报告编制（共4份）</w:t>
      </w:r>
    </w:p>
    <w:p w14:paraId="48E06E1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：每季度1次</w:t>
      </w:r>
    </w:p>
    <w:p w14:paraId="252D6DF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提交时限</w:t>
      </w:r>
      <w:r>
        <w:rPr>
          <w:rFonts w:cs="Segoe UI" w:asciiTheme="minorEastAsia" w:hAnsiTheme="minorEastAsia"/>
          <w:color w:val="0F1115"/>
          <w:kern w:val="0"/>
          <w:sz w:val="24"/>
          <w:szCs w:val="24"/>
          <w:highlight w:val="none"/>
        </w:rPr>
        <w:t>：每季度结束后10个工作日内提交</w:t>
      </w:r>
    </w:p>
    <w:p w14:paraId="6D80F78A">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核心内容</w:t>
      </w:r>
      <w:r>
        <w:rPr>
          <w:rFonts w:cs="Segoe UI" w:asciiTheme="minorEastAsia" w:hAnsiTheme="minorEastAsia"/>
          <w:color w:val="0F1115"/>
          <w:kern w:val="0"/>
          <w:sz w:val="24"/>
          <w:szCs w:val="24"/>
          <w:highlight w:val="none"/>
        </w:rPr>
        <w:t>：</w:t>
      </w:r>
    </w:p>
    <w:p w14:paraId="32CE6F11">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（1）本季度排查工作概况（排查范围、覆盖河道长度、排查方式、人员设备投入、工作量统计）；</w:t>
      </w:r>
    </w:p>
    <w:p w14:paraId="434F3051">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（2）污染源整体情况：按工业、生活、农业养殖、内源、其他5大类统计数量、区域分布特征，附污染源点位分布图；</w:t>
      </w:r>
    </w:p>
    <w:p w14:paraId="2658600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（3）重点污染源深度分析：针对影响国省考断面水质的重点排污口、连片面源、淤积严重河段，分析排放规律、污染贡献度、现存管控问题；</w:t>
      </w:r>
    </w:p>
    <w:p w14:paraId="45FDD539">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（4）水质超标核心诱因研判及流域结构性、阶段性突出问题梳理；</w:t>
      </w:r>
    </w:p>
    <w:p w14:paraId="6B66139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（5）下季度污染源管控、水质隐患整改、断面达标保障的具体工作建议。</w:t>
      </w:r>
    </w:p>
    <w:p w14:paraId="047CF819">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3. 分汛期水质提升保障方案</w:t>
      </w:r>
    </w:p>
    <w:p w14:paraId="22A253A7">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：分汛期水质提升保障方案编制（共2份）</w:t>
      </w:r>
      <w:r>
        <w:rPr>
          <w:rFonts w:hint="eastAsia" w:cs="Segoe UI" w:asciiTheme="minorEastAsia" w:hAnsiTheme="minorEastAsia"/>
          <w:color w:val="0F1115"/>
          <w:kern w:val="0"/>
          <w:sz w:val="24"/>
          <w:szCs w:val="24"/>
          <w:highlight w:val="none"/>
        </w:rPr>
        <w:t>、</w:t>
      </w:r>
    </w:p>
    <w:p w14:paraId="13B5052B">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：汛期方案1份、非汛期方案1份</w:t>
      </w:r>
    </w:p>
    <w:p w14:paraId="5CD1676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提交时限</w:t>
      </w:r>
      <w:r>
        <w:rPr>
          <w:rFonts w:cs="Segoe UI" w:asciiTheme="minorEastAsia" w:hAnsiTheme="minorEastAsia"/>
          <w:color w:val="0F1115"/>
          <w:kern w:val="0"/>
          <w:sz w:val="24"/>
          <w:szCs w:val="24"/>
          <w:highlight w:val="none"/>
        </w:rPr>
        <w:t>：汛期方案于每年4月底前提交，非汛期方案于每年10月底前提交</w:t>
      </w:r>
    </w:p>
    <w:p w14:paraId="00A7ED25">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核</w:t>
      </w:r>
      <w:r>
        <w:rPr>
          <w:rFonts w:cs="Segoe UI" w:asciiTheme="minorEastAsia" w:hAnsiTheme="minorEastAsia"/>
          <w:color w:val="0F1115"/>
          <w:kern w:val="0"/>
          <w:sz w:val="24"/>
          <w:szCs w:val="24"/>
          <w:highlight w:val="none"/>
        </w:rPr>
        <w:t>心内容：</w:t>
      </w:r>
    </w:p>
    <w:p w14:paraId="758DA36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（1）区域水系概况；</w:t>
      </w:r>
    </w:p>
    <w:p w14:paraId="7A7DAD45">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（2）历年水质现状评价；</w:t>
      </w:r>
    </w:p>
    <w:p w14:paraId="47A140E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（3）当前</w:t>
      </w:r>
      <w:r>
        <w:rPr>
          <w:rFonts w:hint="eastAsia" w:cs="Segoe UI" w:asciiTheme="minorEastAsia" w:hAnsiTheme="minorEastAsia"/>
          <w:color w:val="0F1115"/>
          <w:kern w:val="0"/>
          <w:sz w:val="24"/>
          <w:szCs w:val="24"/>
          <w:highlight w:val="none"/>
          <w:lang w:val="en-US" w:eastAsia="zh-CN"/>
        </w:rPr>
        <w:t>重要河道</w:t>
      </w:r>
      <w:r>
        <w:rPr>
          <w:rFonts w:cs="Segoe UI" w:asciiTheme="minorEastAsia" w:hAnsiTheme="minorEastAsia"/>
          <w:color w:val="0F1115"/>
          <w:kern w:val="0"/>
          <w:sz w:val="24"/>
          <w:szCs w:val="24"/>
          <w:highlight w:val="none"/>
        </w:rPr>
        <w:t>污染源现状调查与评估；</w:t>
      </w:r>
    </w:p>
    <w:p w14:paraId="5CC19DD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（4）水环境突出问题识别</w:t>
      </w:r>
      <w:r>
        <w:rPr>
          <w:rFonts w:hint="eastAsia" w:cs="Segoe UI" w:asciiTheme="minorEastAsia" w:hAnsiTheme="minorEastAsia"/>
          <w:color w:val="0F1115"/>
          <w:kern w:val="0"/>
          <w:sz w:val="24"/>
          <w:szCs w:val="24"/>
          <w:highlight w:val="none"/>
        </w:rPr>
        <w:t>；</w:t>
      </w:r>
    </w:p>
    <w:p w14:paraId="3BAC1C53">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（5）断面水质达标风险分析；</w:t>
      </w:r>
    </w:p>
    <w:p w14:paraId="1146AE05">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（6）分类整治重点任务及管控措施；</w:t>
      </w:r>
    </w:p>
    <w:p w14:paraId="7044445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（7）应急保障机制。</w:t>
      </w:r>
    </w:p>
    <w:p w14:paraId="175AB550">
      <w:pPr>
        <w:widowControl/>
        <w:shd w:val="clear" w:color="auto" w:fill="FFFFFF"/>
        <w:spacing w:line="360" w:lineRule="auto"/>
        <w:ind w:firstLine="480" w:firstLineChars="200"/>
        <w:rPr>
          <w:rFonts w:cs="Segoe UI" w:asciiTheme="minorEastAsia" w:hAnsiTheme="minorEastAsia"/>
          <w:bCs/>
          <w:color w:val="0F1115"/>
          <w:kern w:val="0"/>
          <w:sz w:val="24"/>
          <w:szCs w:val="24"/>
          <w:highlight w:val="none"/>
        </w:rPr>
      </w:pPr>
      <w:r>
        <w:rPr>
          <w:rFonts w:cs="Segoe UI" w:asciiTheme="minorEastAsia" w:hAnsiTheme="minorEastAsia"/>
          <w:bCs/>
          <w:color w:val="0F1115"/>
          <w:kern w:val="0"/>
          <w:sz w:val="24"/>
          <w:szCs w:val="24"/>
          <w:highlight w:val="none"/>
        </w:rPr>
        <w:t>（四）乡镇、街道（园区）排查帮扶类成果</w:t>
      </w:r>
    </w:p>
    <w:p w14:paraId="1335503F">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1. 乡镇、街道（园区）基础情况“一张图”</w:t>
      </w:r>
    </w:p>
    <w:p w14:paraId="5F3C02BF">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：基础情况摸排</w:t>
      </w:r>
    </w:p>
    <w:p w14:paraId="0DA76501">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：合同签订后45日内提交基础版，后续动态更新</w:t>
      </w:r>
    </w:p>
    <w:p w14:paraId="5BA0E4F6">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提交时限</w:t>
      </w:r>
      <w:r>
        <w:rPr>
          <w:rFonts w:cs="Segoe UI" w:asciiTheme="minorEastAsia" w:hAnsiTheme="minorEastAsia"/>
          <w:color w:val="0F1115"/>
          <w:kern w:val="0"/>
          <w:sz w:val="24"/>
          <w:szCs w:val="24"/>
          <w:highlight w:val="none"/>
        </w:rPr>
        <w:t>：基础版于合同签订后45日内提交，更新版随帮扶报告同步提交</w:t>
      </w:r>
    </w:p>
    <w:p w14:paraId="012C223F">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核心内容：</w:t>
      </w:r>
    </w:p>
    <w:p w14:paraId="21477C3A">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（1）8个镇、7个街道、2个园区主要河道水系分布图；</w:t>
      </w:r>
    </w:p>
    <w:p w14:paraId="3264036F">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（2）各属地工业园区、污水处理厂</w:t>
      </w:r>
      <w:r>
        <w:rPr>
          <w:rFonts w:hint="eastAsia" w:cs="Segoe UI" w:asciiTheme="minorEastAsia" w:hAnsiTheme="minorEastAsia"/>
          <w:color w:val="0F1115"/>
          <w:kern w:val="0"/>
          <w:sz w:val="24"/>
          <w:szCs w:val="24"/>
          <w:highlight w:val="none"/>
          <w:lang w:val="en-US" w:eastAsia="zh-CN"/>
        </w:rPr>
        <w:t>分布</w:t>
      </w:r>
      <w:r>
        <w:rPr>
          <w:rFonts w:cs="Segoe UI" w:asciiTheme="minorEastAsia" w:hAnsiTheme="minorEastAsia"/>
          <w:color w:val="0F1115"/>
          <w:kern w:val="0"/>
          <w:sz w:val="24"/>
          <w:szCs w:val="24"/>
          <w:highlight w:val="none"/>
        </w:rPr>
        <w:t>及</w:t>
      </w:r>
      <w:r>
        <w:rPr>
          <w:rFonts w:hint="eastAsia" w:cs="Segoe UI" w:asciiTheme="minorEastAsia" w:hAnsiTheme="minorEastAsia"/>
          <w:color w:val="0F1115"/>
          <w:kern w:val="0"/>
          <w:sz w:val="24"/>
          <w:szCs w:val="24"/>
          <w:highlight w:val="none"/>
          <w:lang w:val="en-US" w:eastAsia="zh-CN"/>
        </w:rPr>
        <w:t>入河排口</w:t>
      </w:r>
      <w:r>
        <w:rPr>
          <w:rFonts w:cs="Segoe UI" w:asciiTheme="minorEastAsia" w:hAnsiTheme="minorEastAsia"/>
          <w:color w:val="0F1115"/>
          <w:kern w:val="0"/>
          <w:sz w:val="24"/>
          <w:szCs w:val="24"/>
          <w:highlight w:val="none"/>
        </w:rPr>
        <w:t>情况；</w:t>
      </w:r>
    </w:p>
    <w:p w14:paraId="1298A18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（3）畜禽及水产养殖分布、农田种植区分布；</w:t>
      </w:r>
    </w:p>
    <w:p w14:paraId="53380CA1">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（4）上述信息集成于一张图，为精准排查、精准治理提供基础支撑。</w:t>
      </w:r>
    </w:p>
    <w:p w14:paraId="6FEE6E36">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2. 乡镇、街道（园区）排查帮扶专项报告</w:t>
      </w:r>
    </w:p>
    <w:p w14:paraId="638AD394">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：重点区域水体排查及闭环整改帮扶</w:t>
      </w:r>
    </w:p>
    <w:p w14:paraId="1026843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：按帮扶周期提交，覆盖全部17个属地，共17份</w:t>
      </w:r>
    </w:p>
    <w:p w14:paraId="5446FE6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提交时限</w:t>
      </w:r>
      <w:r>
        <w:rPr>
          <w:rFonts w:cs="Segoe UI" w:asciiTheme="minorEastAsia" w:hAnsiTheme="minorEastAsia"/>
          <w:color w:val="0F1115"/>
          <w:kern w:val="0"/>
          <w:sz w:val="24"/>
          <w:szCs w:val="24"/>
          <w:highlight w:val="none"/>
        </w:rPr>
        <w:t>：各属地帮扶工作完成后10个工作日内提交</w:t>
      </w:r>
    </w:p>
    <w:p w14:paraId="5C165823">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核心内容</w:t>
      </w:r>
      <w:r>
        <w:rPr>
          <w:rFonts w:cs="Segoe UI" w:asciiTheme="minorEastAsia" w:hAnsiTheme="minorEastAsia"/>
          <w:color w:val="0F1115"/>
          <w:kern w:val="0"/>
          <w:sz w:val="24"/>
          <w:szCs w:val="24"/>
          <w:highlight w:val="none"/>
        </w:rPr>
        <w:t>：</w:t>
      </w:r>
    </w:p>
    <w:p w14:paraId="20902B91">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（1）属地基本情况概述；</w:t>
      </w:r>
    </w:p>
    <w:p w14:paraId="59418DAF">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（2）工业园区、污水处理厂、畜禽养殖、水产养殖、农田片区等重点区域水体排查记录；</w:t>
      </w:r>
    </w:p>
    <w:p w14:paraId="181AC0F7">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（3）排查发现环境问题清单（污水直排、养殖污染、农业面源污染、水体异常等）及现场佐证资料；</w:t>
      </w:r>
    </w:p>
    <w:p w14:paraId="0FEE5F06">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（4）整改措施建议及整改责任分工；</w:t>
      </w:r>
    </w:p>
    <w:p w14:paraId="10C40C2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（5）整改跟踪情况记录；</w:t>
      </w:r>
    </w:p>
    <w:p w14:paraId="245B9731">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（6）整改复核结果（附整改前后对比照片），实现闭环管理。</w:t>
      </w:r>
    </w:p>
    <w:p w14:paraId="416CE553">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3. 入河管网溯源排查专项报告</w:t>
      </w:r>
    </w:p>
    <w:p w14:paraId="1EFA7025">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：入河管网溯源排查</w:t>
      </w:r>
    </w:p>
    <w:p w14:paraId="5387EA38">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：按实际排查进度提交</w:t>
      </w:r>
    </w:p>
    <w:p w14:paraId="0895C20F">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提交时限</w:t>
      </w:r>
      <w:r>
        <w:rPr>
          <w:rFonts w:cs="Segoe UI" w:asciiTheme="minorEastAsia" w:hAnsiTheme="minorEastAsia"/>
          <w:color w:val="0F1115"/>
          <w:kern w:val="0"/>
          <w:sz w:val="24"/>
          <w:szCs w:val="24"/>
          <w:highlight w:val="none"/>
        </w:rPr>
        <w:t>：各区域管网排查完成后10个工作日内提交</w:t>
      </w:r>
    </w:p>
    <w:p w14:paraId="4388411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核心内容</w:t>
      </w:r>
      <w:r>
        <w:rPr>
          <w:rFonts w:cs="Segoe UI" w:asciiTheme="minorEastAsia" w:hAnsiTheme="minorEastAsia"/>
          <w:color w:val="0F1115"/>
          <w:kern w:val="0"/>
          <w:sz w:val="24"/>
          <w:szCs w:val="24"/>
          <w:highlight w:val="none"/>
        </w:rPr>
        <w:t>：</w:t>
      </w:r>
    </w:p>
    <w:p w14:paraId="493AD8FE">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（1）排查范围（入河排口沿线管网）、排查方法（CCTV管道检测机器人、QV管道潜望镜等）；</w:t>
      </w:r>
    </w:p>
    <w:p w14:paraId="08340394">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（2）管网影像资料及检测记录；</w:t>
      </w:r>
    </w:p>
    <w:p w14:paraId="69560C44">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（3）管网破损、渗漏、错接、混接等隐患问题清单及位置定位；</w:t>
      </w:r>
    </w:p>
    <w:p w14:paraId="7A9F0DB9">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（4）管网病害对河道水质的影响分析；</w:t>
      </w:r>
    </w:p>
    <w:p w14:paraId="463D4769">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（5）整改建议及跟踪验证计划。</w:t>
      </w:r>
    </w:p>
    <w:p w14:paraId="2F8BB747">
      <w:pPr>
        <w:widowControl/>
        <w:shd w:val="clear" w:color="auto" w:fill="FFFFFF"/>
        <w:spacing w:line="360" w:lineRule="auto"/>
        <w:ind w:firstLine="480" w:firstLineChars="200"/>
        <w:rPr>
          <w:rFonts w:cs="Segoe UI" w:asciiTheme="minorEastAsia" w:hAnsiTheme="minorEastAsia"/>
          <w:bCs/>
          <w:color w:val="0F1115"/>
          <w:kern w:val="0"/>
          <w:sz w:val="24"/>
          <w:szCs w:val="24"/>
          <w:highlight w:val="none"/>
        </w:rPr>
      </w:pPr>
      <w:r>
        <w:rPr>
          <w:rFonts w:cs="Segoe UI" w:asciiTheme="minorEastAsia" w:hAnsiTheme="minorEastAsia"/>
          <w:bCs/>
          <w:color w:val="0F1115"/>
          <w:kern w:val="0"/>
          <w:sz w:val="24"/>
          <w:szCs w:val="24"/>
          <w:highlight w:val="none"/>
        </w:rPr>
        <w:t>（五）汛期及恶劣天气、蓝藻巡查应急保障类成果</w:t>
      </w:r>
    </w:p>
    <w:p w14:paraId="6B5A139B">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1. 汛期及恶劣天气应急保障台账</w:t>
      </w:r>
    </w:p>
    <w:p w14:paraId="7B8A1C0A">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：汛期水质监测与预警、恶劣天气应急保障</w:t>
      </w:r>
    </w:p>
    <w:p w14:paraId="5E699C43">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：汛期期间每月汇总1次</w:t>
      </w:r>
    </w:p>
    <w:p w14:paraId="472C2353">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提交时限</w:t>
      </w:r>
      <w:r>
        <w:rPr>
          <w:rFonts w:cs="Segoe UI" w:asciiTheme="minorEastAsia" w:hAnsiTheme="minorEastAsia"/>
          <w:color w:val="0F1115"/>
          <w:kern w:val="0"/>
          <w:sz w:val="24"/>
          <w:szCs w:val="24"/>
          <w:highlight w:val="none"/>
        </w:rPr>
        <w:t>：次月5日前提交上月台账</w:t>
      </w:r>
    </w:p>
    <w:p w14:paraId="16CC153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核心内容：</w:t>
      </w:r>
    </w:p>
    <w:p w14:paraId="5C132D06">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（1）汛期水质监测数据及预警记录；</w:t>
      </w:r>
    </w:p>
    <w:p w14:paraId="54FB4126">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（2）水质频繁波动/指标异常情况及分析；</w:t>
      </w:r>
    </w:p>
    <w:p w14:paraId="1C57521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（3）应急巡查记录及管控措施落实情况；</w:t>
      </w:r>
    </w:p>
    <w:p w14:paraId="450EC1C3">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（4）问题发现及处置记录；</w:t>
      </w:r>
    </w:p>
    <w:p w14:paraId="5C079C1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（5）应急保障措施有效性评估及改进建议。</w:t>
      </w:r>
    </w:p>
    <w:p w14:paraId="7567685E">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2. 蓝藻水华巡查台账</w:t>
      </w:r>
    </w:p>
    <w:p w14:paraId="4F05765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工作内容</w:t>
      </w:r>
      <w:r>
        <w:rPr>
          <w:rFonts w:cs="Segoe UI" w:asciiTheme="minorEastAsia" w:hAnsiTheme="minorEastAsia"/>
          <w:color w:val="0F1115"/>
          <w:kern w:val="0"/>
          <w:sz w:val="24"/>
          <w:szCs w:val="24"/>
          <w:highlight w:val="none"/>
        </w:rPr>
        <w:t>：夏季高温期间蓝藻水华常态化巡查</w:t>
      </w:r>
    </w:p>
    <w:p w14:paraId="2257FC77">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交付频次</w:t>
      </w:r>
      <w:r>
        <w:rPr>
          <w:rFonts w:cs="Segoe UI" w:asciiTheme="minorEastAsia" w:hAnsiTheme="minorEastAsia"/>
          <w:color w:val="0F1115"/>
          <w:kern w:val="0"/>
          <w:sz w:val="24"/>
          <w:szCs w:val="24"/>
          <w:highlight w:val="none"/>
        </w:rPr>
        <w:t>：夏季高温期间每月汇总1次</w:t>
      </w:r>
    </w:p>
    <w:p w14:paraId="22B5788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提交时限</w:t>
      </w:r>
      <w:r>
        <w:rPr>
          <w:rFonts w:cs="Segoe UI" w:asciiTheme="minorEastAsia" w:hAnsiTheme="minorEastAsia"/>
          <w:color w:val="0F1115"/>
          <w:kern w:val="0"/>
          <w:sz w:val="24"/>
          <w:szCs w:val="24"/>
          <w:highlight w:val="none"/>
        </w:rPr>
        <w:t>：次月5日前提交上月台账</w:t>
      </w:r>
    </w:p>
    <w:p w14:paraId="788CE0D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bCs/>
          <w:color w:val="0F1115"/>
          <w:kern w:val="0"/>
          <w:sz w:val="24"/>
          <w:szCs w:val="24"/>
          <w:highlight w:val="none"/>
        </w:rPr>
        <w:t>核心内容</w:t>
      </w:r>
      <w:r>
        <w:rPr>
          <w:rFonts w:cs="Segoe UI" w:asciiTheme="minorEastAsia" w:hAnsiTheme="minorEastAsia"/>
          <w:color w:val="0F1115"/>
          <w:kern w:val="0"/>
          <w:sz w:val="24"/>
          <w:szCs w:val="24"/>
          <w:highlight w:val="none"/>
        </w:rPr>
        <w:t>：</w:t>
      </w:r>
    </w:p>
    <w:p w14:paraId="56D2F7E8">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（1）入湖河道蓝藻巡查路线、频次、覆盖范围</w:t>
      </w:r>
      <w:r>
        <w:rPr>
          <w:rFonts w:hint="eastAsia" w:cs="Segoe UI" w:asciiTheme="minorEastAsia" w:hAnsiTheme="minorEastAsia"/>
          <w:color w:val="0F1115"/>
          <w:kern w:val="0"/>
          <w:sz w:val="24"/>
          <w:szCs w:val="24"/>
          <w:highlight w:val="none"/>
        </w:rPr>
        <w:t>；</w:t>
      </w:r>
    </w:p>
    <w:p w14:paraId="0EAFFD32">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（2）蓝藻滋生、聚集、扩散风险点位记录及现场照片；</w:t>
      </w:r>
    </w:p>
    <w:p w14:paraId="446A1040">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（3）风险预警信息及报送记录；</w:t>
      </w:r>
    </w:p>
    <w:p w14:paraId="532B7C3C">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（4）巡查台账资料（完整规范，可追溯）。</w:t>
      </w:r>
    </w:p>
    <w:p w14:paraId="74844EF2">
      <w:pPr>
        <w:widowControl/>
        <w:shd w:val="clear" w:color="auto" w:fill="FFFFFF"/>
        <w:spacing w:line="360" w:lineRule="auto"/>
        <w:ind w:firstLine="480" w:firstLineChars="200"/>
        <w:rPr>
          <w:rFonts w:cs="Segoe UI" w:asciiTheme="minorEastAsia" w:hAnsiTheme="minorEastAsia"/>
          <w:bCs/>
          <w:color w:val="0F1115"/>
          <w:kern w:val="0"/>
          <w:sz w:val="24"/>
          <w:szCs w:val="24"/>
          <w:highlight w:val="none"/>
        </w:rPr>
      </w:pPr>
      <w:r>
        <w:rPr>
          <w:rFonts w:cs="Segoe UI" w:asciiTheme="minorEastAsia" w:hAnsiTheme="minorEastAsia"/>
          <w:bCs/>
          <w:color w:val="0F1115"/>
          <w:kern w:val="0"/>
          <w:sz w:val="24"/>
          <w:szCs w:val="24"/>
          <w:highlight w:val="none"/>
        </w:rPr>
        <w:t>（六）成果归档要求</w:t>
      </w:r>
    </w:p>
    <w:p w14:paraId="0E0560CA">
      <w:pPr>
        <w:widowControl/>
        <w:shd w:val="clear" w:color="auto" w:fill="FFFFFF"/>
        <w:spacing w:line="360" w:lineRule="auto"/>
        <w:ind w:firstLine="480" w:firstLineChars="200"/>
        <w:rPr>
          <w:rFonts w:cs="Segoe UI" w:asciiTheme="minorEastAsia" w:hAnsiTheme="minorEastAsia"/>
          <w:bCs/>
          <w:color w:val="0F1115"/>
          <w:kern w:val="0"/>
          <w:sz w:val="24"/>
          <w:szCs w:val="24"/>
          <w:highlight w:val="none"/>
        </w:rPr>
      </w:pPr>
      <w:r>
        <w:rPr>
          <w:rFonts w:cs="Segoe UI" w:asciiTheme="minorEastAsia" w:hAnsiTheme="minorEastAsia"/>
          <w:bCs/>
          <w:color w:val="0F1115"/>
          <w:kern w:val="0"/>
          <w:sz w:val="24"/>
          <w:szCs w:val="24"/>
          <w:highlight w:val="none"/>
        </w:rPr>
        <w:t>归档时限</w:t>
      </w:r>
      <w:r>
        <w:rPr>
          <w:rFonts w:cs="Segoe UI" w:asciiTheme="minorEastAsia" w:hAnsiTheme="minorEastAsia"/>
          <w:color w:val="0F1115"/>
          <w:kern w:val="0"/>
          <w:sz w:val="24"/>
          <w:szCs w:val="24"/>
          <w:highlight w:val="none"/>
        </w:rPr>
        <w:t>：服务期满后15日内完成</w:t>
      </w:r>
    </w:p>
    <w:p w14:paraId="19182A11">
      <w:pPr>
        <w:widowControl/>
        <w:shd w:val="clear" w:color="auto" w:fill="FFFFFF"/>
        <w:spacing w:line="360" w:lineRule="auto"/>
        <w:ind w:firstLine="480" w:firstLineChars="200"/>
        <w:rPr>
          <w:rFonts w:cs="Segoe UI" w:asciiTheme="minorEastAsia" w:hAnsiTheme="minorEastAsia"/>
          <w:bCs/>
          <w:color w:val="0F1115"/>
          <w:kern w:val="0"/>
          <w:sz w:val="24"/>
          <w:szCs w:val="24"/>
          <w:highlight w:val="none"/>
        </w:rPr>
      </w:pPr>
      <w:r>
        <w:rPr>
          <w:rFonts w:cs="Segoe UI" w:asciiTheme="minorEastAsia" w:hAnsiTheme="minorEastAsia"/>
          <w:bCs/>
          <w:color w:val="0F1115"/>
          <w:kern w:val="0"/>
          <w:sz w:val="24"/>
          <w:szCs w:val="24"/>
          <w:highlight w:val="none"/>
        </w:rPr>
        <w:t>归档内容</w:t>
      </w:r>
      <w:r>
        <w:rPr>
          <w:rFonts w:cs="Segoe UI" w:asciiTheme="minorEastAsia" w:hAnsiTheme="minorEastAsia"/>
          <w:color w:val="0F1115"/>
          <w:kern w:val="0"/>
          <w:sz w:val="24"/>
          <w:szCs w:val="24"/>
          <w:highlight w:val="none"/>
        </w:rPr>
        <w:t>：</w:t>
      </w:r>
    </w:p>
    <w:p w14:paraId="63E27E9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（1）项目全过程所有成果资料（含巡查记录、监测数据、排查报告、方案文件、照片影像资料、问题整改台账、管网检测资料、蓝藻巡查记录等）；</w:t>
      </w:r>
    </w:p>
    <w:p w14:paraId="07949186">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（2）分类整理、装订成册，并同步提供电子版（可编辑文档及扫描件）；</w:t>
      </w:r>
    </w:p>
    <w:p w14:paraId="2436059D">
      <w:pPr>
        <w:widowControl/>
        <w:shd w:val="clear" w:color="auto" w:fill="FFFFFF"/>
        <w:spacing w:line="360" w:lineRule="auto"/>
        <w:ind w:firstLine="480" w:firstLineChars="200"/>
        <w:rPr>
          <w:rFonts w:cs="Segoe UI" w:asciiTheme="minorEastAsia" w:hAnsiTheme="minorEastAsia"/>
          <w:color w:val="0F1115"/>
          <w:kern w:val="0"/>
          <w:sz w:val="24"/>
          <w:szCs w:val="24"/>
          <w:highlight w:val="none"/>
        </w:rPr>
      </w:pPr>
      <w:r>
        <w:rPr>
          <w:rFonts w:cs="Segoe UI" w:asciiTheme="minorEastAsia" w:hAnsiTheme="minorEastAsia"/>
          <w:color w:val="0F1115"/>
          <w:kern w:val="0"/>
          <w:sz w:val="24"/>
          <w:szCs w:val="24"/>
          <w:highlight w:val="none"/>
        </w:rPr>
        <w:t>（3）归档目录及索引清晰，便于查阅、移交和审计追溯。</w:t>
      </w:r>
    </w:p>
    <w:p w14:paraId="2B09966D">
      <w:pPr>
        <w:spacing w:line="360" w:lineRule="auto"/>
        <w:ind w:firstLine="482" w:firstLineChars="200"/>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rPr>
        <w:t>七</w:t>
      </w:r>
      <w:r>
        <w:rPr>
          <w:rFonts w:cs="仿宋" w:asciiTheme="minorEastAsia" w:hAnsiTheme="minorEastAsia" w:eastAsiaTheme="minorEastAsia"/>
          <w:b/>
          <w:bCs/>
          <w:sz w:val="24"/>
          <w:szCs w:val="24"/>
        </w:rPr>
        <w:t>、项目质量保证及售后进度服务要求</w:t>
      </w:r>
    </w:p>
    <w:p w14:paraId="551CAA5D">
      <w:pPr>
        <w:spacing w:line="360" w:lineRule="auto"/>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1、为确保本项目顺利实施，保证项目服务质量，确保</w:t>
      </w:r>
      <w:r>
        <w:rPr>
          <w:rFonts w:hint="eastAsia" w:cs="宋体" w:asciiTheme="minorEastAsia" w:hAnsiTheme="minorEastAsia" w:eastAsiaTheme="minorEastAsia"/>
          <w:sz w:val="24"/>
          <w:szCs w:val="24"/>
        </w:rPr>
        <w:t>项目区</w:t>
      </w:r>
      <w:r>
        <w:rPr>
          <w:rFonts w:cs="宋体" w:asciiTheme="minorEastAsia" w:hAnsiTheme="minorEastAsia" w:eastAsiaTheme="minorEastAsia"/>
          <w:sz w:val="24"/>
          <w:szCs w:val="24"/>
        </w:rPr>
        <w:t>驻场</w:t>
      </w:r>
      <w:r>
        <w:rPr>
          <w:rFonts w:hint="eastAsia" w:cs="宋体" w:asciiTheme="minorEastAsia" w:hAnsiTheme="minorEastAsia" w:eastAsiaTheme="minorEastAsia"/>
          <w:sz w:val="24"/>
          <w:szCs w:val="24"/>
        </w:rPr>
        <w:t>技术人员不少于3</w:t>
      </w:r>
      <w:r>
        <w:rPr>
          <w:rFonts w:cs="宋体" w:asciiTheme="minorEastAsia" w:hAnsiTheme="minorEastAsia" w:eastAsiaTheme="minorEastAsia"/>
          <w:sz w:val="24"/>
          <w:szCs w:val="24"/>
        </w:rPr>
        <w:t>名</w:t>
      </w:r>
      <w:r>
        <w:rPr>
          <w:rFonts w:hint="eastAsia" w:cs="宋体" w:asciiTheme="minorEastAsia" w:hAnsiTheme="minorEastAsia" w:eastAsiaTheme="minorEastAsia"/>
          <w:sz w:val="24"/>
          <w:szCs w:val="24"/>
        </w:rPr>
        <w:t>（不包含驾驶员）</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配备专用</w:t>
      </w:r>
      <w:r>
        <w:rPr>
          <w:rFonts w:cs="宋体" w:asciiTheme="minorEastAsia" w:hAnsiTheme="minorEastAsia" w:eastAsiaTheme="minorEastAsia"/>
          <w:sz w:val="24"/>
          <w:szCs w:val="24"/>
        </w:rPr>
        <w:t>服务车辆</w:t>
      </w:r>
      <w:r>
        <w:rPr>
          <w:rFonts w:hint="eastAsia" w:cs="宋体" w:asciiTheme="minorEastAsia" w:hAnsiTheme="minorEastAsia" w:eastAsiaTheme="minorEastAsia"/>
          <w:sz w:val="24"/>
          <w:szCs w:val="24"/>
        </w:rPr>
        <w:t>1</w:t>
      </w:r>
      <w:r>
        <w:rPr>
          <w:rFonts w:cs="宋体" w:asciiTheme="minorEastAsia" w:hAnsiTheme="minorEastAsia" w:eastAsiaTheme="minorEastAsia"/>
          <w:sz w:val="24"/>
          <w:szCs w:val="24"/>
        </w:rPr>
        <w:t>辆</w:t>
      </w:r>
      <w:r>
        <w:rPr>
          <w:rFonts w:hint="eastAsia" w:cs="宋体" w:asciiTheme="minorEastAsia" w:hAnsiTheme="minorEastAsia" w:eastAsiaTheme="minorEastAsia"/>
          <w:sz w:val="24"/>
          <w:szCs w:val="24"/>
        </w:rPr>
        <w:t>（含驾驶员）、满足工作要求</w:t>
      </w:r>
      <w:r>
        <w:rPr>
          <w:rFonts w:cs="宋体" w:asciiTheme="minorEastAsia" w:hAnsiTheme="minorEastAsia" w:eastAsiaTheme="minorEastAsia"/>
          <w:sz w:val="24"/>
          <w:szCs w:val="24"/>
        </w:rPr>
        <w:t>的</w:t>
      </w:r>
      <w:r>
        <w:rPr>
          <w:rFonts w:hint="eastAsia" w:cs="宋体" w:asciiTheme="minorEastAsia" w:hAnsiTheme="minorEastAsia" w:eastAsiaTheme="minorEastAsia"/>
          <w:sz w:val="24"/>
          <w:szCs w:val="24"/>
        </w:rPr>
        <w:t>仪器和办公设备</w:t>
      </w:r>
      <w:r>
        <w:rPr>
          <w:rFonts w:cs="宋体" w:asciiTheme="minorEastAsia" w:hAnsiTheme="minorEastAsia" w:eastAsiaTheme="minorEastAsia"/>
          <w:sz w:val="24"/>
          <w:szCs w:val="24"/>
        </w:rPr>
        <w:t>。</w:t>
      </w:r>
    </w:p>
    <w:p w14:paraId="481475C7">
      <w:pPr>
        <w:spacing w:line="360" w:lineRule="auto"/>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2、为保证本项目实施的科学性、规范性和准确性，技术实施方案需要严格遵照国家有关法律、法规、规章制度以及国家和行业颁布的相关技术标准和规范。</w:t>
      </w:r>
    </w:p>
    <w:p w14:paraId="18D4F569">
      <w:pPr>
        <w:spacing w:line="360" w:lineRule="auto"/>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3、递交的成果内容必须符合招标文件的有关要求和国家有关标准。</w:t>
      </w:r>
    </w:p>
    <w:p w14:paraId="1D739E4F">
      <w:pPr>
        <w:spacing w:line="360" w:lineRule="auto"/>
        <w:ind w:firstLine="480" w:firstLineChars="200"/>
        <w:rPr>
          <w:rFonts w:cs="宋体" w:asciiTheme="minorEastAsia" w:hAnsiTheme="minorEastAsia" w:eastAsiaTheme="minorEastAsia"/>
          <w:sz w:val="24"/>
          <w:szCs w:val="24"/>
        </w:rPr>
      </w:pPr>
      <w:r>
        <w:rPr>
          <w:rFonts w:cs="宋体" w:asciiTheme="minorEastAsia" w:hAnsiTheme="minorEastAsia" w:eastAsiaTheme="minorEastAsia"/>
          <w:sz w:val="24"/>
          <w:szCs w:val="24"/>
        </w:rPr>
        <w:t>4、</w:t>
      </w:r>
      <w:r>
        <w:rPr>
          <w:rFonts w:hint="eastAsia" w:cs="宋体" w:asciiTheme="minorEastAsia" w:hAnsiTheme="minorEastAsia" w:eastAsiaTheme="minorEastAsia"/>
          <w:sz w:val="24"/>
          <w:szCs w:val="24"/>
        </w:rPr>
        <w:t>中标人在服务期限内接受采购人的考核和监督，如上级主管部门或采购人下达紧急检查、巡查任务，中标人需配合完成，由此产生的相关费用，采购人不再另行支付。</w:t>
      </w:r>
    </w:p>
    <w:p w14:paraId="6203429B">
      <w:pPr>
        <w:spacing w:line="360" w:lineRule="auto"/>
        <w:ind w:firstLine="482" w:firstLineChars="200"/>
        <w:rPr>
          <w:rFonts w:cs="宋体" w:asciiTheme="minorEastAsia" w:hAnsiTheme="minorEastAsia" w:eastAsiaTheme="minorEastAsia"/>
          <w:sz w:val="24"/>
          <w:szCs w:val="24"/>
        </w:rPr>
      </w:pPr>
      <w:r>
        <w:rPr>
          <w:rFonts w:hint="eastAsia" w:cs="黑体" w:asciiTheme="minorEastAsia" w:hAnsiTheme="minorEastAsia" w:eastAsiaTheme="minorEastAsia"/>
          <w:b/>
          <w:bCs/>
          <w:sz w:val="24"/>
          <w:szCs w:val="24"/>
        </w:rPr>
        <w:t>八、报价要求</w:t>
      </w:r>
    </w:p>
    <w:p w14:paraId="76161790">
      <w:pPr>
        <w:spacing w:line="470" w:lineRule="exact"/>
        <w:ind w:firstLine="480" w:firstLineChars="200"/>
        <w:rPr>
          <w:rFonts w:cs="黑体" w:asciiTheme="minorEastAsia" w:hAnsiTheme="minorEastAsia" w:eastAsiaTheme="minorEastAsia"/>
          <w:b/>
          <w:bCs/>
          <w:sz w:val="24"/>
          <w:szCs w:val="24"/>
        </w:rPr>
      </w:pPr>
      <w:r>
        <w:rPr>
          <w:rFonts w:hint="eastAsia" w:cs="黑体" w:asciiTheme="minorEastAsia" w:hAnsiTheme="minorEastAsia" w:eastAsiaTheme="minorEastAsia"/>
          <w:sz w:val="24"/>
          <w:szCs w:val="24"/>
        </w:rPr>
        <w:t>1.投标供应商的投标报价应是投标商供应商在投标文件中提出的各项支付金额的总和，也应是完成招标文件所列采购需求的全部费用。</w:t>
      </w:r>
    </w:p>
    <w:p w14:paraId="1DABC153">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2.投标报价包括但不限于人工费、材料费、机械使用费、管理费和利润、税费、政策性文件规定的各项规费等费用以及合同明示或暗示的所有一切风险责任和义务等各项应有费用。</w:t>
      </w:r>
    </w:p>
    <w:p w14:paraId="3EF0C1E5">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3.除非采购人对招标文件予以修改，供应商应按采购人提供的采购清单中列出的项目和数量填报单价和合价。每一项目只允许有一个报价。任何有选择的报价将不予接受。供应商未填单价或合价的项目，在实施后，采购人将不予以支付，并视为该项费用已包括在其他有价款的单价或合价内。</w:t>
      </w:r>
    </w:p>
    <w:p w14:paraId="24FC0BC3">
      <w:pPr>
        <w:spacing w:line="470" w:lineRule="exact"/>
        <w:ind w:firstLine="482" w:firstLineChars="200"/>
        <w:rPr>
          <w:rFonts w:cs="黑体" w:asciiTheme="minorEastAsia" w:hAnsiTheme="minorEastAsia" w:eastAsiaTheme="minorEastAsia"/>
          <w:sz w:val="24"/>
          <w:szCs w:val="24"/>
        </w:rPr>
      </w:pPr>
      <w:r>
        <w:rPr>
          <w:rFonts w:hint="eastAsia" w:cs="黑体" w:asciiTheme="minorEastAsia" w:hAnsiTheme="minorEastAsia" w:eastAsiaTheme="minorEastAsia"/>
          <w:b/>
          <w:bCs/>
          <w:sz w:val="24"/>
          <w:szCs w:val="24"/>
        </w:rPr>
        <w:t>九、综合说明及其他要求</w:t>
      </w:r>
    </w:p>
    <w:p w14:paraId="1505DB4C">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1.采购文件中所提要求为项目实施的基本技术要求，投标供应商应根据采购需求、项目及场地现状等前期调研情况，提供满足本技术规范和所列标准要求的服务，对国家有关安全和环保等强制性标准，必须予以说明并满足。</w:t>
      </w:r>
    </w:p>
    <w:p w14:paraId="727B21B8">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2.中标供应商服务人员在服务期间因正常服务或采购人派遣的委托项目任务内造成的任何人员伤亡事故，采购人均不承担任何责任。</w:t>
      </w:r>
    </w:p>
    <w:p w14:paraId="4B481892">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3.中标供应商应按照采购人的要求，及时更换不能胜任工作的工作人员；负责处理合同服务期内所有劳资纠纷和调解管理纠纷；落实采购人根据规章制度和工作需要提出的其他管理要求，并向采购人提供相关证明材料备案。</w:t>
      </w:r>
    </w:p>
    <w:p w14:paraId="00ED26E6">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4.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负责处理合同服务期内所有劳资纠纷和调解管理纠纷。</w:t>
      </w:r>
    </w:p>
    <w:p w14:paraId="2BE870EA">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5.投标供应商必须承诺采购文件中提出的全部技术规格与要求，如果以其中某些条款不响应时，应在文件中逐条列出，未列出的视同响应。投标单位提供的材料如有虚假，视为不实质性响应采购文件要求，已中标的取消其中标资格，并按《政府采购货物和服务招标投标管理办法》第七十四条“提供虚假材料谋取中标”相关处理办法处理。</w:t>
      </w:r>
    </w:p>
    <w:p w14:paraId="21214318">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6.验收标准：中标供应商提供的成果文件必须符合我国最新颁布的与之相关的技术规范与标准，同时须满足采购文件中所列全部规格、技术条件及功能要求和其承诺的其它指标。</w:t>
      </w:r>
    </w:p>
    <w:p w14:paraId="63454FB2">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7.知识产权：中标供应商保证采购人在使用过程中不受到第三方关于侵犯专利权等知识产权的指控。任何第三方如果提出指控，中标供应商须与第三方交涉并承担可能发生的一切法律责任和费用。</w:t>
      </w:r>
    </w:p>
    <w:p w14:paraId="21B36BD7">
      <w:pPr>
        <w:spacing w:line="470" w:lineRule="exact"/>
        <w:ind w:firstLine="482" w:firstLineChars="200"/>
        <w:rPr>
          <w:rFonts w:cs="黑体" w:asciiTheme="minorEastAsia" w:hAnsiTheme="minorEastAsia" w:eastAsiaTheme="minorEastAsia"/>
          <w:sz w:val="24"/>
          <w:szCs w:val="24"/>
        </w:rPr>
      </w:pPr>
      <w:r>
        <w:rPr>
          <w:rFonts w:hint="eastAsia" w:cs="仿宋" w:asciiTheme="minorEastAsia" w:hAnsiTheme="minorEastAsia" w:eastAsiaTheme="minorEastAsia"/>
          <w:b/>
          <w:sz w:val="24"/>
          <w:szCs w:val="24"/>
        </w:rPr>
        <w:t>十、实施方案要求</w:t>
      </w:r>
    </w:p>
    <w:p w14:paraId="41D51E03">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1、项目资料收集及背景调研：主要针对项目项目概况、区域背景、区域内主要问题及理解分析等内容。</w:t>
      </w:r>
    </w:p>
    <w:p w14:paraId="5EEC4277">
      <w:pPr>
        <w:spacing w:line="470" w:lineRule="exact"/>
        <w:ind w:firstLine="480" w:firstLineChars="200"/>
        <w:rPr>
          <w:rFonts w:cs="黑体" w:asciiTheme="minorEastAsia" w:hAnsiTheme="minorEastAsia" w:eastAsiaTheme="minorEastAsia"/>
          <w:sz w:val="24"/>
          <w:szCs w:val="24"/>
        </w:rPr>
      </w:pPr>
      <w:r>
        <w:rPr>
          <w:rFonts w:hint="eastAsia" w:cs="黑体" w:asciiTheme="minorEastAsia" w:hAnsiTheme="minorEastAsia" w:eastAsiaTheme="minorEastAsia"/>
          <w:sz w:val="24"/>
          <w:szCs w:val="24"/>
        </w:rPr>
        <w:t>2、河道水质日常巡查方案，主要内容包括巡查范围与重点点位、频次与时段安排、巡查内容与观测指标、人员配置与职责、巡查路线与作业流程、巡查记录与台账管理、问题发现</w:t>
      </w:r>
      <w:r>
        <w:rPr>
          <w:rFonts w:cs="黑体" w:asciiTheme="minorEastAsia" w:hAnsiTheme="minorEastAsia" w:eastAsiaTheme="minorEastAsia"/>
          <w:sz w:val="24"/>
          <w:szCs w:val="24"/>
        </w:rPr>
        <w:t>-</w:t>
      </w:r>
      <w:r>
        <w:rPr>
          <w:rFonts w:hint="eastAsia" w:cs="黑体" w:asciiTheme="minorEastAsia" w:hAnsiTheme="minorEastAsia" w:eastAsiaTheme="minorEastAsia"/>
          <w:sz w:val="24"/>
          <w:szCs w:val="24"/>
        </w:rPr>
        <w:t>上报</w:t>
      </w:r>
      <w:r>
        <w:rPr>
          <w:rFonts w:cs="黑体" w:asciiTheme="minorEastAsia" w:hAnsiTheme="minorEastAsia" w:eastAsiaTheme="minorEastAsia"/>
          <w:sz w:val="24"/>
          <w:szCs w:val="24"/>
        </w:rPr>
        <w:t>-</w:t>
      </w:r>
      <w:r>
        <w:rPr>
          <w:rFonts w:hint="eastAsia" w:cs="黑体" w:asciiTheme="minorEastAsia" w:hAnsiTheme="minorEastAsia" w:eastAsiaTheme="minorEastAsia"/>
          <w:sz w:val="24"/>
          <w:szCs w:val="24"/>
        </w:rPr>
        <w:t>处置闭环机制、异常水质与特殊天气应急巡查预案、巡查设备工具保障、管理制度与考核机制、资料归档与数据报送等方面。</w:t>
      </w:r>
    </w:p>
    <w:p w14:paraId="41737648">
      <w:pPr>
        <w:spacing w:line="470" w:lineRule="exact"/>
        <w:ind w:firstLine="480" w:firstLineChars="200"/>
        <w:rPr>
          <w:rFonts w:cs="黑体" w:asciiTheme="minorEastAsia" w:hAnsiTheme="minorEastAsia" w:eastAsiaTheme="minorEastAsia"/>
          <w:sz w:val="24"/>
          <w:szCs w:val="24"/>
        </w:rPr>
      </w:pPr>
      <w:r>
        <w:rPr>
          <w:rFonts w:cs="黑体" w:asciiTheme="minorEastAsia" w:hAnsiTheme="minorEastAsia" w:eastAsiaTheme="minorEastAsia"/>
          <w:sz w:val="24"/>
          <w:szCs w:val="24"/>
        </w:rPr>
        <w:t>3</w:t>
      </w:r>
      <w:r>
        <w:rPr>
          <w:rFonts w:hint="eastAsia" w:cs="黑体" w:asciiTheme="minorEastAsia" w:hAnsiTheme="minorEastAsia" w:eastAsiaTheme="minorEastAsia"/>
          <w:sz w:val="24"/>
          <w:szCs w:val="24"/>
        </w:rPr>
        <w:t>、断面水质监测及分析方案，主要内容包括检测项目覆盖、采样布点与频次、检测方法与质控体系、响应时效与服务承诺、样品流转与数据报送、异常水质应急处置、人员设备保障、资料归档与移交、实验室安全管理等方面。</w:t>
      </w:r>
    </w:p>
    <w:p w14:paraId="2A63775A">
      <w:pPr>
        <w:spacing w:line="470" w:lineRule="exact"/>
        <w:ind w:firstLine="480" w:firstLineChars="200"/>
        <w:rPr>
          <w:rFonts w:cs="黑体" w:asciiTheme="minorEastAsia" w:hAnsiTheme="minorEastAsia" w:eastAsiaTheme="minorEastAsia"/>
          <w:sz w:val="24"/>
          <w:szCs w:val="24"/>
        </w:rPr>
      </w:pPr>
      <w:r>
        <w:rPr>
          <w:rFonts w:cs="黑体" w:asciiTheme="minorEastAsia" w:hAnsiTheme="minorEastAsia" w:eastAsiaTheme="minorEastAsia"/>
          <w:sz w:val="24"/>
          <w:szCs w:val="24"/>
        </w:rPr>
        <w:t>4</w:t>
      </w:r>
      <w:r>
        <w:rPr>
          <w:rFonts w:hint="eastAsia" w:cs="黑体" w:asciiTheme="minorEastAsia" w:hAnsiTheme="minorEastAsia" w:eastAsiaTheme="minorEastAsia"/>
          <w:sz w:val="24"/>
          <w:szCs w:val="24"/>
        </w:rPr>
        <w:t>、河道污染源溯源排查分析方案，主要内容包括排查范围与目标点位、技术路线与溯源方法、污染源分类判定标准、实施计划与频次、数据采集与分析研判、成果报告编制与报送、整改跟踪与验证、应急响应预案、人员设备配置、质量控制体系、资料归档与移交等方面。</w:t>
      </w:r>
    </w:p>
    <w:p w14:paraId="364865A0">
      <w:pPr>
        <w:spacing w:line="470" w:lineRule="exact"/>
        <w:ind w:firstLine="480" w:firstLineChars="200"/>
        <w:rPr>
          <w:rFonts w:cs="黑体" w:asciiTheme="minorEastAsia" w:hAnsiTheme="minorEastAsia" w:eastAsiaTheme="minorEastAsia"/>
          <w:sz w:val="24"/>
          <w:szCs w:val="24"/>
        </w:rPr>
      </w:pPr>
      <w:r>
        <w:rPr>
          <w:rFonts w:cs="黑体" w:asciiTheme="minorEastAsia" w:hAnsiTheme="minorEastAsia" w:eastAsiaTheme="minorEastAsia"/>
          <w:sz w:val="24"/>
          <w:szCs w:val="24"/>
        </w:rPr>
        <w:t>5</w:t>
      </w:r>
      <w:r>
        <w:rPr>
          <w:rFonts w:hint="eastAsia" w:cs="黑体" w:asciiTheme="minorEastAsia" w:hAnsiTheme="minorEastAsia" w:eastAsiaTheme="minorEastAsia"/>
          <w:sz w:val="24"/>
          <w:szCs w:val="24"/>
        </w:rPr>
        <w:t>、断面水质提升方案，主要内容包括水质现状研判与问题根源诊断、提升目标与考核指标分解、技术路径与措施选型、分阶段实施计划与进度管控、工程与管理类措施落地保障、动态跟踪监测与效果评估验证、水质反弹风险预判与应急调控、人员与设备物资保障、长效运维管护机制、成果资料归档与移交等方面。</w:t>
      </w:r>
    </w:p>
    <w:p w14:paraId="2507FC48">
      <w:pPr>
        <w:spacing w:line="470" w:lineRule="exact"/>
        <w:ind w:firstLine="480" w:firstLineChars="200"/>
        <w:rPr>
          <w:rFonts w:cs="黑体" w:asciiTheme="minorEastAsia" w:hAnsiTheme="minorEastAsia" w:eastAsiaTheme="minorEastAsia"/>
          <w:sz w:val="24"/>
          <w:szCs w:val="24"/>
        </w:rPr>
      </w:pPr>
      <w:r>
        <w:rPr>
          <w:rFonts w:cs="黑体" w:asciiTheme="minorEastAsia" w:hAnsiTheme="minorEastAsia" w:eastAsiaTheme="minorEastAsia"/>
          <w:sz w:val="24"/>
          <w:szCs w:val="24"/>
        </w:rPr>
        <w:t>6</w:t>
      </w:r>
      <w:r>
        <w:rPr>
          <w:rFonts w:hint="eastAsia" w:cs="黑体" w:asciiTheme="minorEastAsia" w:hAnsiTheme="minorEastAsia" w:eastAsiaTheme="minorEastAsia"/>
          <w:sz w:val="24"/>
          <w:szCs w:val="24"/>
        </w:rPr>
        <w:t>、项目质量管理及售后服务保障措施方案，主要内容包括组织架构、全流程管控、关键质控点、内审整改闭环、考核追溯、售后响应时效与分级处置、驻场值守、备品备件、应急预案、客户回访、长效运维、档案管理等内容。</w:t>
      </w:r>
    </w:p>
    <w:p w14:paraId="74E0DDF3">
      <w:pPr>
        <w:keepNext/>
        <w:keepLines/>
        <w:pageBreakBefore/>
        <w:jc w:val="center"/>
        <w:outlineLvl w:val="0"/>
        <w:rPr>
          <w:b/>
          <w:sz w:val="44"/>
          <w:szCs w:val="44"/>
        </w:rPr>
      </w:pPr>
      <w:bookmarkStart w:id="132" w:name="_Toc81575206"/>
      <w:bookmarkStart w:id="133" w:name="_Toc81575169"/>
      <w:bookmarkStart w:id="134" w:name="_Toc22098"/>
      <w:bookmarkStart w:id="135" w:name="_Toc31499"/>
      <w:bookmarkStart w:id="136" w:name="_Toc7023"/>
      <w:r>
        <w:rPr>
          <w:rFonts w:hint="eastAsia"/>
          <w:b/>
          <w:sz w:val="44"/>
          <w:szCs w:val="44"/>
        </w:rPr>
        <w:t>第五章  合同文本</w:t>
      </w:r>
      <w:bookmarkEnd w:id="132"/>
      <w:bookmarkEnd w:id="133"/>
      <w:bookmarkEnd w:id="134"/>
      <w:bookmarkEnd w:id="135"/>
      <w:bookmarkEnd w:id="136"/>
      <w:bookmarkStart w:id="137" w:name="_Toc20823315"/>
      <w:bookmarkEnd w:id="137"/>
      <w:bookmarkStart w:id="138" w:name="_Toc16938559"/>
      <w:bookmarkEnd w:id="138"/>
      <w:bookmarkStart w:id="139" w:name="_Toc513029243"/>
      <w:bookmarkEnd w:id="139"/>
    </w:p>
    <w:p w14:paraId="1D42702F">
      <w:pPr>
        <w:spacing w:line="400" w:lineRule="exact"/>
        <w:rPr>
          <w:rFonts w:ascii="宋体" w:hAnsi="宋体"/>
          <w:bCs/>
          <w:sz w:val="24"/>
          <w:szCs w:val="24"/>
        </w:rPr>
      </w:pPr>
    </w:p>
    <w:p w14:paraId="508F09E3">
      <w:pPr>
        <w:pStyle w:val="397"/>
        <w:spacing w:before="120" w:beforeLines="50" w:after="120" w:afterLines="50" w:line="360" w:lineRule="auto"/>
        <w:jc w:val="center"/>
        <w:rPr>
          <w:rFonts w:ascii="仿宋" w:hAnsi="仿宋" w:eastAsia="仿宋" w:cs="仿宋"/>
          <w:b/>
          <w:bCs/>
          <w:spacing w:val="5"/>
          <w:sz w:val="43"/>
          <w:szCs w:val="43"/>
        </w:rPr>
      </w:pPr>
      <w:bookmarkStart w:id="140" w:name="_Toc81575170"/>
      <w:bookmarkStart w:id="141" w:name="_Toc9003"/>
      <w:bookmarkStart w:id="142" w:name="_Toc22853"/>
      <w:bookmarkStart w:id="143" w:name="_Toc19649"/>
      <w:bookmarkStart w:id="144" w:name="_Toc81575207"/>
      <w:r>
        <w:rPr>
          <w:rFonts w:hint="eastAsia" w:ascii="仿宋" w:hAnsi="仿宋" w:eastAsia="仿宋" w:cs="仿宋"/>
          <w:b/>
          <w:bCs/>
          <w:spacing w:val="5"/>
          <w:sz w:val="43"/>
          <w:szCs w:val="43"/>
        </w:rPr>
        <w:t>服务合同(草案）</w:t>
      </w:r>
    </w:p>
    <w:p w14:paraId="06496C31">
      <w:pPr>
        <w:adjustRightInd w:val="0"/>
        <w:snapToGrid w:val="0"/>
        <w:spacing w:before="120" w:beforeLines="50" w:after="120" w:afterLines="50" w:line="360" w:lineRule="auto"/>
        <w:ind w:firstLine="480" w:firstLineChars="200"/>
        <w:rPr>
          <w:rFonts w:asciiTheme="minorEastAsia" w:hAnsiTheme="minorEastAsia" w:eastAsiaTheme="minorEastAsia"/>
          <w:color w:val="000000"/>
          <w:sz w:val="24"/>
          <w:szCs w:val="24"/>
          <w:u w:val="single"/>
        </w:rPr>
      </w:pPr>
      <w:bookmarkStart w:id="145" w:name="_Toc11391"/>
      <w:r>
        <w:rPr>
          <w:rFonts w:cs="宋体" w:asciiTheme="minorEastAsia" w:hAnsiTheme="minorEastAsia" w:eastAsiaTheme="minorEastAsia"/>
          <w:color w:val="000000"/>
          <w:sz w:val="24"/>
          <w:szCs w:val="24"/>
        </w:rPr>
        <w:t>采购单位（以下</w:t>
      </w:r>
      <w:r>
        <w:rPr>
          <w:rFonts w:hint="eastAsia" w:cs="宋体" w:asciiTheme="minorEastAsia" w:hAnsiTheme="minorEastAsia" w:eastAsiaTheme="minorEastAsia"/>
          <w:color w:val="000000"/>
          <w:sz w:val="24"/>
          <w:szCs w:val="24"/>
        </w:rPr>
        <w:t>简称甲方）：</w:t>
      </w:r>
      <w:r>
        <w:rPr>
          <w:rFonts w:hint="eastAsia" w:cs="宋体" w:asciiTheme="minorEastAsia" w:hAnsiTheme="minorEastAsia" w:eastAsiaTheme="minorEastAsia"/>
          <w:color w:val="000000"/>
          <w:sz w:val="24"/>
          <w:szCs w:val="24"/>
          <w:u w:val="single"/>
        </w:rPr>
        <w:t xml:space="preserve">                    </w:t>
      </w:r>
    </w:p>
    <w:p w14:paraId="2CC0091C">
      <w:pPr>
        <w:adjustRightInd w:val="0"/>
        <w:snapToGrid w:val="0"/>
        <w:spacing w:before="120" w:beforeLines="50" w:after="120" w:afterLines="50" w:line="360" w:lineRule="auto"/>
        <w:ind w:firstLine="480" w:firstLineChars="200"/>
        <w:rPr>
          <w:rFonts w:cs="宋体" w:asciiTheme="minorEastAsia" w:hAnsiTheme="minorEastAsia" w:eastAsiaTheme="minorEastAsia"/>
          <w:color w:val="000000"/>
          <w:sz w:val="24"/>
          <w:szCs w:val="24"/>
          <w:u w:val="single"/>
        </w:rPr>
      </w:pPr>
      <w:r>
        <w:rPr>
          <w:rFonts w:cs="宋体" w:asciiTheme="minorEastAsia" w:hAnsiTheme="minorEastAsia" w:eastAsiaTheme="minorEastAsia"/>
          <w:color w:val="000000"/>
          <w:sz w:val="24"/>
          <w:szCs w:val="24"/>
        </w:rPr>
        <w:t>中标</w:t>
      </w:r>
      <w:r>
        <w:rPr>
          <w:rFonts w:hint="eastAsia" w:cs="宋体" w:asciiTheme="minorEastAsia" w:hAnsiTheme="minorEastAsia" w:eastAsiaTheme="minorEastAsia"/>
          <w:color w:val="000000"/>
          <w:sz w:val="24"/>
          <w:szCs w:val="24"/>
        </w:rPr>
        <w:t>供应商</w:t>
      </w:r>
      <w:r>
        <w:rPr>
          <w:rFonts w:cs="宋体" w:asciiTheme="minorEastAsia" w:hAnsiTheme="minorEastAsia" w:eastAsiaTheme="minorEastAsia"/>
          <w:color w:val="000000"/>
          <w:sz w:val="24"/>
          <w:szCs w:val="24"/>
        </w:rPr>
        <w:t>（以下</w:t>
      </w:r>
      <w:r>
        <w:rPr>
          <w:rFonts w:hint="eastAsia" w:cs="宋体" w:asciiTheme="minorEastAsia" w:hAnsiTheme="minorEastAsia" w:eastAsiaTheme="minorEastAsia"/>
          <w:color w:val="000000"/>
          <w:sz w:val="24"/>
          <w:szCs w:val="24"/>
        </w:rPr>
        <w:t>简称乙方）：</w:t>
      </w:r>
      <w:r>
        <w:rPr>
          <w:rFonts w:hint="eastAsia" w:cs="宋体" w:asciiTheme="minorEastAsia" w:hAnsiTheme="minorEastAsia" w:eastAsiaTheme="minorEastAsia"/>
          <w:color w:val="000000"/>
          <w:sz w:val="24"/>
          <w:szCs w:val="24"/>
          <w:u w:val="single"/>
        </w:rPr>
        <w:t xml:space="preserve">                   </w:t>
      </w:r>
    </w:p>
    <w:p w14:paraId="5503A052">
      <w:pPr>
        <w:keepNext w:val="0"/>
        <w:keepLines w:val="0"/>
        <w:pageBreakBefore w:val="0"/>
        <w:kinsoku/>
        <w:wordWrap/>
        <w:overflowPunct/>
        <w:topLinePunct w:val="0"/>
        <w:autoSpaceDE/>
        <w:autoSpaceDN/>
        <w:bidi w:val="0"/>
        <w:adjustRightInd w:val="0"/>
        <w:snapToGrid w:val="0"/>
        <w:spacing w:line="520" w:lineRule="exact"/>
        <w:ind w:firstLine="480" w:firstLineChars="200"/>
        <w:jc w:val="both"/>
        <w:textAlignment w:val="auto"/>
        <w:rPr>
          <w:rFonts w:cs="宋体" w:asciiTheme="minorEastAsia" w:hAnsiTheme="minorEastAsia" w:eastAsiaTheme="minorEastAsia"/>
          <w:color w:val="000000"/>
          <w:sz w:val="24"/>
          <w:szCs w:val="24"/>
        </w:rPr>
      </w:pPr>
      <w:r>
        <w:rPr>
          <w:rFonts w:hint="eastAsia" w:cs="宋体" w:asciiTheme="minorEastAsia" w:hAnsiTheme="minorEastAsia" w:eastAsiaTheme="minorEastAsia"/>
          <w:color w:val="000000"/>
          <w:sz w:val="24"/>
          <w:szCs w:val="24"/>
        </w:rPr>
        <w:t>依照《中华人民共和国政府采购法》《中华人民共和国民法典》及其它有关法律、行政法规及国家、省、市各部门有关规定，遵循平等、自愿、公平和诚实信用的原则，双方就</w:t>
      </w:r>
      <w:r>
        <w:rPr>
          <w:rFonts w:hint="eastAsia" w:cs="宋体" w:asciiTheme="minorEastAsia" w:hAnsiTheme="minorEastAsia" w:eastAsiaTheme="minorEastAsia"/>
          <w:b w:val="0"/>
          <w:bCs w:val="0"/>
          <w:color w:val="000000"/>
          <w:sz w:val="24"/>
          <w:szCs w:val="24"/>
          <w:u w:val="single"/>
        </w:rPr>
        <w:t xml:space="preserve"> </w:t>
      </w:r>
      <w:r>
        <w:rPr>
          <w:rFonts w:hint="eastAsia" w:ascii="Times New Roman" w:hAnsi="Times New Roman" w:cs="方正仿宋_GBK"/>
          <w:b w:val="0"/>
          <w:bCs w:val="0"/>
          <w:sz w:val="24"/>
          <w:szCs w:val="24"/>
          <w:u w:val="single"/>
        </w:rPr>
        <w:t xml:space="preserve">宿城区河道水环境质量驻场服务项目 </w:t>
      </w:r>
      <w:r>
        <w:rPr>
          <w:rFonts w:hint="eastAsia" w:cs="宋体" w:asciiTheme="minorEastAsia" w:hAnsiTheme="minorEastAsia" w:eastAsiaTheme="minorEastAsia"/>
          <w:color w:val="000000"/>
          <w:sz w:val="24"/>
          <w:szCs w:val="24"/>
        </w:rPr>
        <w:t>相关事项协商一致，达成如下合同条款：</w:t>
      </w:r>
    </w:p>
    <w:p w14:paraId="6F6A9A9D">
      <w:pPr>
        <w:keepNext w:val="0"/>
        <w:keepLines w:val="0"/>
        <w:pageBreakBefore w:val="0"/>
        <w:kinsoku/>
        <w:wordWrap/>
        <w:overflowPunct/>
        <w:topLinePunct w:val="0"/>
        <w:autoSpaceDE/>
        <w:autoSpaceDN/>
        <w:bidi w:val="0"/>
        <w:spacing w:line="520" w:lineRule="exact"/>
        <w:ind w:firstLine="482" w:firstLineChars="200"/>
        <w:jc w:val="both"/>
        <w:textAlignment w:val="auto"/>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bidi="ar"/>
        </w:rPr>
        <w:t>第一条 合同标的</w:t>
      </w:r>
    </w:p>
    <w:p w14:paraId="23F0752A">
      <w:pPr>
        <w:keepNext w:val="0"/>
        <w:keepLines w:val="0"/>
        <w:pageBreakBefore w:val="0"/>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bidi="ar"/>
        </w:rPr>
        <w:t>乙方根据甲方需求提供下列服务：</w:t>
      </w:r>
      <w:r>
        <w:rPr>
          <w:rFonts w:hint="eastAsia" w:ascii="Times New Roman" w:hAnsi="Times New Roman" w:cs="方正仿宋_GBK"/>
          <w:b w:val="0"/>
          <w:bCs/>
          <w:sz w:val="24"/>
          <w:szCs w:val="24"/>
          <w:u w:val="single"/>
        </w:rPr>
        <w:t>宿城区河道水环境质量驻场服务项目</w:t>
      </w:r>
      <w:r>
        <w:rPr>
          <w:rFonts w:hint="eastAsia" w:cs="仿宋" w:asciiTheme="minorEastAsia" w:hAnsiTheme="minorEastAsia" w:eastAsiaTheme="minorEastAsia"/>
          <w:sz w:val="24"/>
          <w:szCs w:val="24"/>
          <w:lang w:val="zh-CN" w:bidi="ar"/>
        </w:rPr>
        <w:t>，详见乙方投标文件。</w:t>
      </w:r>
    </w:p>
    <w:p w14:paraId="67ABEA51">
      <w:pPr>
        <w:keepNext w:val="0"/>
        <w:keepLines w:val="0"/>
        <w:pageBreakBefore w:val="0"/>
        <w:kinsoku/>
        <w:wordWrap/>
        <w:overflowPunct/>
        <w:topLinePunct w:val="0"/>
        <w:autoSpaceDE/>
        <w:autoSpaceDN/>
        <w:bidi w:val="0"/>
        <w:spacing w:line="520" w:lineRule="exact"/>
        <w:ind w:firstLine="482" w:firstLineChars="200"/>
        <w:jc w:val="both"/>
        <w:textAlignment w:val="auto"/>
        <w:rPr>
          <w:rFonts w:cs="仿宋" w:asciiTheme="minorEastAsia" w:hAnsiTheme="minorEastAsia" w:eastAsiaTheme="minorEastAsia"/>
          <w:sz w:val="24"/>
          <w:szCs w:val="24"/>
        </w:rPr>
      </w:pPr>
      <w:r>
        <w:rPr>
          <w:rFonts w:hint="eastAsia" w:cs="仿宋" w:asciiTheme="minorEastAsia" w:hAnsiTheme="minorEastAsia" w:eastAsiaTheme="minorEastAsia"/>
          <w:b/>
          <w:bCs/>
          <w:sz w:val="24"/>
          <w:szCs w:val="24"/>
          <w:lang w:bidi="ar"/>
        </w:rPr>
        <w:t>第二条 合同</w:t>
      </w:r>
      <w:r>
        <w:rPr>
          <w:rFonts w:hint="eastAsia" w:cs="仿宋" w:asciiTheme="minorEastAsia" w:hAnsiTheme="minorEastAsia" w:eastAsiaTheme="minorEastAsia"/>
          <w:b/>
          <w:sz w:val="24"/>
          <w:szCs w:val="24"/>
          <w:lang w:bidi="ar"/>
        </w:rPr>
        <w:t>金额</w:t>
      </w:r>
    </w:p>
    <w:p w14:paraId="61DED69A">
      <w:pPr>
        <w:keepNext w:val="0"/>
        <w:keepLines w:val="0"/>
        <w:pageBreakBefore w:val="0"/>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rPr>
      </w:pPr>
      <w:r>
        <w:rPr>
          <w:rFonts w:hint="eastAsia" w:cs="仿宋" w:asciiTheme="minorEastAsia" w:hAnsiTheme="minorEastAsia" w:eastAsiaTheme="minorEastAsia"/>
          <w:sz w:val="24"/>
          <w:szCs w:val="24"/>
        </w:rPr>
        <w:t>本项目人民币总价款为：________（大写）。甲方在上述合同价款之外不再向乙方支付其他任何费用。</w:t>
      </w:r>
    </w:p>
    <w:p w14:paraId="1C643601">
      <w:pPr>
        <w:keepNext w:val="0"/>
        <w:keepLines w:val="0"/>
        <w:pageBreakBefore w:val="0"/>
        <w:kinsoku/>
        <w:wordWrap/>
        <w:overflowPunct/>
        <w:topLinePunct w:val="0"/>
        <w:autoSpaceDE/>
        <w:autoSpaceDN/>
        <w:bidi w:val="0"/>
        <w:spacing w:line="520" w:lineRule="exact"/>
        <w:ind w:firstLine="482" w:firstLineChars="200"/>
        <w:jc w:val="both"/>
        <w:textAlignment w:val="auto"/>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bidi="ar"/>
        </w:rPr>
        <w:t>第三条 组成本合同的有关文件</w:t>
      </w:r>
    </w:p>
    <w:p w14:paraId="5A5A35DD">
      <w:pPr>
        <w:pStyle w:val="18"/>
        <w:keepNext w:val="0"/>
        <w:keepLines w:val="0"/>
        <w:pageBreakBefore w:val="0"/>
        <w:widowControl/>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下列关于</w:t>
      </w:r>
      <w:r>
        <w:rPr>
          <w:rFonts w:hint="eastAsia" w:cs="仿宋" w:asciiTheme="minorEastAsia" w:hAnsiTheme="minorEastAsia" w:eastAsiaTheme="minorEastAsia"/>
          <w:sz w:val="24"/>
          <w:szCs w:val="24"/>
        </w:rPr>
        <w:t>本项目</w:t>
      </w:r>
      <w:r>
        <w:rPr>
          <w:rFonts w:hint="eastAsia" w:cs="仿宋" w:asciiTheme="minorEastAsia" w:hAnsiTheme="minorEastAsia" w:eastAsiaTheme="minorEastAsia"/>
          <w:sz w:val="24"/>
          <w:szCs w:val="24"/>
          <w:lang w:val="zh-CN"/>
        </w:rPr>
        <w:t>的招标文件、投标文件或与本次采购活动方式相适应的文件及有关附件是本合同不可分割的组成部分，与本合同具有同等法律效力，组成合同的各个文件应该认为是一个整体，互为补充和解释，如果有互相矛盾处，以下面所列先后顺序为准：</w:t>
      </w:r>
    </w:p>
    <w:p w14:paraId="6A4DD574">
      <w:pPr>
        <w:pStyle w:val="18"/>
        <w:keepNext w:val="0"/>
        <w:keepLines w:val="0"/>
        <w:pageBreakBefore w:val="0"/>
        <w:widowControl/>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（1）本合同（含澄清文件）；</w:t>
      </w:r>
    </w:p>
    <w:p w14:paraId="1587EBF8">
      <w:pPr>
        <w:pStyle w:val="18"/>
        <w:keepNext w:val="0"/>
        <w:keepLines w:val="0"/>
        <w:pageBreakBefore w:val="0"/>
        <w:widowControl/>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（2）</w:t>
      </w:r>
      <w:r>
        <w:rPr>
          <w:rFonts w:hint="eastAsia" w:cs="仿宋" w:asciiTheme="minorEastAsia" w:hAnsiTheme="minorEastAsia" w:eastAsiaTheme="minorEastAsia"/>
          <w:sz w:val="24"/>
          <w:szCs w:val="24"/>
        </w:rPr>
        <w:t>成交</w:t>
      </w:r>
      <w:r>
        <w:rPr>
          <w:rFonts w:hint="eastAsia" w:cs="仿宋" w:asciiTheme="minorEastAsia" w:hAnsiTheme="minorEastAsia" w:eastAsiaTheme="minorEastAsia"/>
          <w:sz w:val="24"/>
          <w:szCs w:val="24"/>
          <w:lang w:val="zh-CN"/>
        </w:rPr>
        <w:t>通知书；</w:t>
      </w:r>
    </w:p>
    <w:p w14:paraId="081107E6">
      <w:pPr>
        <w:pStyle w:val="18"/>
        <w:keepNext w:val="0"/>
        <w:keepLines w:val="0"/>
        <w:pageBreakBefore w:val="0"/>
        <w:widowControl/>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（3）投标文件和报价表；</w:t>
      </w:r>
    </w:p>
    <w:p w14:paraId="79BD743A">
      <w:pPr>
        <w:pStyle w:val="18"/>
        <w:keepNext w:val="0"/>
        <w:keepLines w:val="0"/>
        <w:pageBreakBefore w:val="0"/>
        <w:widowControl/>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（4）服务承诺；</w:t>
      </w:r>
    </w:p>
    <w:p w14:paraId="7D1D55A4">
      <w:pPr>
        <w:pStyle w:val="18"/>
        <w:keepNext w:val="0"/>
        <w:keepLines w:val="0"/>
        <w:pageBreakBefore w:val="0"/>
        <w:widowControl/>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（5）构成本合同组成的其他文件。</w:t>
      </w:r>
    </w:p>
    <w:p w14:paraId="24A71BF8">
      <w:pPr>
        <w:pStyle w:val="18"/>
        <w:keepNext w:val="0"/>
        <w:keepLines w:val="0"/>
        <w:pageBreakBefore w:val="0"/>
        <w:widowControl/>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val="zh-CN"/>
        </w:rPr>
      </w:pPr>
      <w:r>
        <w:rPr>
          <w:rFonts w:hint="eastAsia" w:cs="仿宋" w:asciiTheme="minorEastAsia" w:hAnsiTheme="minorEastAsia" w:eastAsiaTheme="minorEastAsia"/>
          <w:sz w:val="24"/>
          <w:szCs w:val="24"/>
          <w:lang w:val="zh-CN"/>
        </w:rPr>
        <w:t>双方在本合同履行过程中，可以签定补充或修正文件，补充或修正文件与本合同具有同等法律效力，内容不一致的，以时间在后的文件为准。</w:t>
      </w:r>
    </w:p>
    <w:p w14:paraId="283C4DF1">
      <w:pPr>
        <w:keepNext w:val="0"/>
        <w:keepLines w:val="0"/>
        <w:pageBreakBefore w:val="0"/>
        <w:kinsoku/>
        <w:wordWrap/>
        <w:overflowPunct/>
        <w:topLinePunct w:val="0"/>
        <w:autoSpaceDE/>
        <w:autoSpaceDN/>
        <w:bidi w:val="0"/>
        <w:spacing w:line="520" w:lineRule="exact"/>
        <w:ind w:firstLine="482" w:firstLineChars="200"/>
        <w:jc w:val="both"/>
        <w:textAlignment w:val="auto"/>
        <w:rPr>
          <w:rFonts w:cs="仿宋" w:asciiTheme="minorEastAsia" w:hAnsiTheme="minorEastAsia" w:eastAsiaTheme="minorEastAsia"/>
          <w:b/>
          <w:bCs/>
          <w:sz w:val="24"/>
          <w:szCs w:val="24"/>
          <w:lang w:val="zh-CN"/>
        </w:rPr>
      </w:pPr>
      <w:r>
        <w:rPr>
          <w:rFonts w:hint="eastAsia" w:cs="仿宋" w:asciiTheme="minorEastAsia" w:hAnsiTheme="minorEastAsia" w:eastAsiaTheme="minorEastAsia"/>
          <w:b/>
          <w:bCs/>
          <w:sz w:val="24"/>
          <w:szCs w:val="24"/>
          <w:lang w:val="zh-CN" w:bidi="ar"/>
        </w:rPr>
        <w:t>第四条 双方权利与义务</w:t>
      </w:r>
    </w:p>
    <w:p w14:paraId="07EDA453">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（一）甲方的权利与义务</w:t>
      </w:r>
    </w:p>
    <w:p w14:paraId="5AE60AF0">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1、有权定期或不定期对乙方服务承诺履行情况进行监督检查；</w:t>
      </w:r>
    </w:p>
    <w:p w14:paraId="3ADF8158">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2、甲方要为乙方开展服务工作提供必要的工作条件；</w:t>
      </w:r>
    </w:p>
    <w:p w14:paraId="468CEC87">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3、甲方根据需要可以对执行的项目的时间、地点或内容作出调整，但应及时通知乙方；</w:t>
      </w:r>
    </w:p>
    <w:p w14:paraId="0C3D0D7C">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4、甲方应及时向乙方提供执行活动需要的有关资料，包括但不限于文字材料、图案标识和物品等；</w:t>
      </w:r>
    </w:p>
    <w:p w14:paraId="5339A2D1">
      <w:pPr>
        <w:pStyle w:val="170"/>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（二）乙方权利与义务</w:t>
      </w:r>
    </w:p>
    <w:p w14:paraId="3FF5A7F1">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1、乙方应自觉接受甲方的业务指导和检查监督,按照甲方的要求提供所需的资料；</w:t>
      </w:r>
    </w:p>
    <w:p w14:paraId="0CF946BA">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2、未经甲方书面同意，乙方不得将本项目合同业务转包；</w:t>
      </w:r>
    </w:p>
    <w:p w14:paraId="17D6834D">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3、乙方应认真完成合同约定的各项服务内容，保证良好的工作质量；</w:t>
      </w:r>
    </w:p>
    <w:p w14:paraId="13A5AFB5">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Times New Roman" w:hAnsi="Times New Roman" w:cs="方正仿宋_GBK"/>
          <w:sz w:val="24"/>
          <w:szCs w:val="24"/>
        </w:rPr>
      </w:pPr>
      <w:r>
        <w:rPr>
          <w:rFonts w:hint="eastAsia" w:ascii="Times New Roman" w:hAnsi="Times New Roman" w:cs="方正仿宋_GBK"/>
          <w:sz w:val="24"/>
          <w:szCs w:val="24"/>
        </w:rPr>
        <w:t>4、乙方应按照甲方的要求，认真填报各类报表、统计数据等，不得擅自涂改、仿造、销毁。</w:t>
      </w:r>
    </w:p>
    <w:p w14:paraId="781F44E0">
      <w:pPr>
        <w:keepNext w:val="0"/>
        <w:keepLines w:val="0"/>
        <w:pageBreakBefore w:val="0"/>
        <w:kinsoku/>
        <w:wordWrap/>
        <w:overflowPunct/>
        <w:topLinePunct w:val="0"/>
        <w:autoSpaceDE/>
        <w:autoSpaceDN/>
        <w:bidi w:val="0"/>
        <w:spacing w:line="520" w:lineRule="exact"/>
        <w:ind w:firstLine="482" w:firstLineChars="200"/>
        <w:jc w:val="both"/>
        <w:textAlignment w:val="auto"/>
        <w:rPr>
          <w:rFonts w:cs="仿宋" w:asciiTheme="minorEastAsia" w:hAnsiTheme="minorEastAsia" w:eastAsiaTheme="minorEastAsia"/>
          <w:b/>
          <w:bCs/>
          <w:sz w:val="24"/>
          <w:szCs w:val="24"/>
          <w:lang w:val="zh-CN" w:bidi="ar"/>
        </w:rPr>
      </w:pPr>
      <w:r>
        <w:rPr>
          <w:rFonts w:hint="eastAsia" w:cs="仿宋" w:asciiTheme="minorEastAsia" w:hAnsiTheme="minorEastAsia" w:eastAsiaTheme="minorEastAsia"/>
          <w:b/>
          <w:bCs/>
          <w:sz w:val="24"/>
          <w:szCs w:val="24"/>
          <w:lang w:val="zh-CN" w:bidi="ar"/>
        </w:rPr>
        <w:t>第五条</w:t>
      </w:r>
      <w:r>
        <w:rPr>
          <w:rFonts w:cs="仿宋" w:asciiTheme="minorEastAsia" w:hAnsiTheme="minorEastAsia" w:eastAsiaTheme="minorEastAsia"/>
          <w:b/>
          <w:bCs/>
          <w:sz w:val="24"/>
          <w:szCs w:val="24"/>
          <w:lang w:val="zh-CN" w:bidi="ar"/>
        </w:rPr>
        <w:t xml:space="preserve"> </w:t>
      </w:r>
      <w:r>
        <w:rPr>
          <w:rFonts w:hint="eastAsia" w:cs="仿宋" w:asciiTheme="minorEastAsia" w:hAnsiTheme="minorEastAsia" w:eastAsiaTheme="minorEastAsia"/>
          <w:b/>
          <w:bCs/>
          <w:sz w:val="24"/>
          <w:szCs w:val="24"/>
          <w:lang w:val="zh-CN" w:bidi="ar"/>
        </w:rPr>
        <w:t>质量保证、售后服务及资料</w:t>
      </w:r>
    </w:p>
    <w:p w14:paraId="0C96CC3B">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宋体" w:hAnsi="宋体"/>
          <w:bCs/>
          <w:sz w:val="24"/>
          <w:szCs w:val="20"/>
        </w:rPr>
      </w:pPr>
      <w:r>
        <w:rPr>
          <w:rFonts w:hint="eastAsia" w:ascii="宋体" w:hAnsi="宋体"/>
          <w:bCs/>
          <w:sz w:val="24"/>
          <w:szCs w:val="20"/>
        </w:rPr>
        <w:t>1.乙方应按招标文件规定的服务要求、技术要求、质量标准向甲方提供服务。</w:t>
      </w:r>
    </w:p>
    <w:p w14:paraId="4C79857B">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宋体" w:hAnsi="宋体"/>
          <w:bCs/>
          <w:sz w:val="24"/>
          <w:szCs w:val="20"/>
          <w:u w:val="single"/>
          <w:lang w:val="zh-CN"/>
        </w:rPr>
      </w:pPr>
      <w:r>
        <w:rPr>
          <w:rFonts w:hint="eastAsia" w:ascii="宋体" w:hAnsi="宋体"/>
          <w:bCs/>
          <w:sz w:val="24"/>
          <w:szCs w:val="20"/>
          <w:lang w:val="zh-CN"/>
        </w:rPr>
        <w:t>2、质量保证：</w:t>
      </w:r>
      <w:r>
        <w:rPr>
          <w:rFonts w:hint="eastAsia" w:ascii="宋体" w:hAnsi="宋体"/>
          <w:bCs/>
          <w:sz w:val="24"/>
          <w:szCs w:val="20"/>
          <w:u w:val="single"/>
          <w:lang w:val="zh-CN"/>
        </w:rPr>
        <w:t>　　　　　　　　　　　　　　　　　　　　　　　　　　</w:t>
      </w:r>
    </w:p>
    <w:p w14:paraId="03D000BC">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宋体" w:hAnsi="宋体"/>
          <w:bCs/>
          <w:sz w:val="24"/>
          <w:szCs w:val="20"/>
          <w:u w:val="single"/>
          <w:lang w:val="zh-CN"/>
        </w:rPr>
      </w:pPr>
      <w:r>
        <w:rPr>
          <w:rFonts w:hint="eastAsia" w:ascii="宋体" w:hAnsi="宋体"/>
          <w:bCs/>
          <w:sz w:val="24"/>
          <w:szCs w:val="20"/>
          <w:lang w:val="zh-CN"/>
        </w:rPr>
        <w:t>3、售后服务：</w:t>
      </w:r>
      <w:r>
        <w:rPr>
          <w:rFonts w:hint="eastAsia" w:ascii="宋体" w:hAnsi="宋体"/>
          <w:bCs/>
          <w:sz w:val="24"/>
          <w:szCs w:val="20"/>
          <w:u w:val="single"/>
          <w:lang w:val="zh-CN"/>
        </w:rPr>
        <w:t>　　　　　　　　　　　　　　　　　　　　　　　　　　</w:t>
      </w:r>
    </w:p>
    <w:p w14:paraId="529337D5">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宋体" w:hAnsi="宋体"/>
          <w:sz w:val="24"/>
          <w:szCs w:val="20"/>
          <w:u w:val="single"/>
          <w:lang w:val="zh-CN"/>
        </w:rPr>
      </w:pPr>
      <w:r>
        <w:rPr>
          <w:rFonts w:hint="eastAsia" w:ascii="宋体" w:hAnsi="宋体"/>
          <w:bCs/>
          <w:sz w:val="24"/>
          <w:szCs w:val="20"/>
          <w:lang w:val="zh-CN"/>
        </w:rPr>
        <w:t>4.</w:t>
      </w:r>
      <w:r>
        <w:rPr>
          <w:rFonts w:hint="eastAsia" w:ascii="宋体" w:hAnsi="宋体" w:cs="宋体"/>
          <w:sz w:val="24"/>
        </w:rPr>
        <w:t>乙方向甲方交付的资料、份数、地点及时间</w:t>
      </w:r>
    </w:p>
    <w:tbl>
      <w:tblPr>
        <w:tblStyle w:val="38"/>
        <w:tblW w:w="81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45" w:type="dxa"/>
          <w:bottom w:w="0" w:type="dxa"/>
          <w:right w:w="45" w:type="dxa"/>
        </w:tblCellMar>
      </w:tblPr>
      <w:tblGrid>
        <w:gridCol w:w="873"/>
        <w:gridCol w:w="2973"/>
        <w:gridCol w:w="2326"/>
        <w:gridCol w:w="1966"/>
      </w:tblGrid>
      <w:tr w14:paraId="60957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67" w:hRule="atLeast"/>
          <w:jc w:val="center"/>
        </w:trPr>
        <w:tc>
          <w:tcPr>
            <w:tcW w:w="873" w:type="dxa"/>
            <w:vAlign w:val="center"/>
          </w:tcPr>
          <w:p w14:paraId="7EBCBC58">
            <w:pPr>
              <w:spacing w:line="360" w:lineRule="auto"/>
              <w:jc w:val="center"/>
              <w:rPr>
                <w:rFonts w:ascii="宋体" w:hAnsi="宋体" w:cs="宋体"/>
              </w:rPr>
            </w:pPr>
            <w:r>
              <w:rPr>
                <w:rFonts w:hint="eastAsia" w:ascii="宋体" w:hAnsi="宋体" w:cs="宋体"/>
              </w:rPr>
              <w:t>序号</w:t>
            </w:r>
          </w:p>
        </w:tc>
        <w:tc>
          <w:tcPr>
            <w:tcW w:w="2973" w:type="dxa"/>
            <w:vAlign w:val="center"/>
          </w:tcPr>
          <w:p w14:paraId="650E58FA">
            <w:pPr>
              <w:spacing w:line="360" w:lineRule="auto"/>
              <w:jc w:val="center"/>
              <w:rPr>
                <w:rFonts w:ascii="宋体" w:hAnsi="宋体" w:cs="宋体"/>
              </w:rPr>
            </w:pPr>
            <w:r>
              <w:rPr>
                <w:rFonts w:hint="eastAsia" w:ascii="宋体" w:hAnsi="宋体" w:cs="宋体"/>
              </w:rPr>
              <w:t>资料文件名称</w:t>
            </w:r>
          </w:p>
        </w:tc>
        <w:tc>
          <w:tcPr>
            <w:tcW w:w="2326" w:type="dxa"/>
            <w:vAlign w:val="center"/>
          </w:tcPr>
          <w:p w14:paraId="1AD08A3F">
            <w:pPr>
              <w:spacing w:line="360" w:lineRule="auto"/>
              <w:jc w:val="center"/>
              <w:rPr>
                <w:rFonts w:ascii="宋体" w:hAnsi="宋体" w:cs="宋体"/>
              </w:rPr>
            </w:pPr>
            <w:r>
              <w:rPr>
                <w:rFonts w:hint="eastAsia" w:ascii="宋体" w:hAnsi="宋体" w:cs="宋体"/>
              </w:rPr>
              <w:t>内容要求</w:t>
            </w:r>
          </w:p>
        </w:tc>
        <w:tc>
          <w:tcPr>
            <w:tcW w:w="1966" w:type="dxa"/>
            <w:vAlign w:val="center"/>
          </w:tcPr>
          <w:p w14:paraId="674B87AC">
            <w:pPr>
              <w:spacing w:line="360" w:lineRule="auto"/>
              <w:jc w:val="center"/>
              <w:rPr>
                <w:rFonts w:ascii="宋体" w:hAnsi="宋体" w:cs="宋体"/>
              </w:rPr>
            </w:pPr>
            <w:r>
              <w:rPr>
                <w:rFonts w:hint="eastAsia" w:ascii="宋体" w:hAnsi="宋体" w:cs="宋体"/>
              </w:rPr>
              <w:t>提交时间</w:t>
            </w:r>
          </w:p>
        </w:tc>
      </w:tr>
      <w:tr w14:paraId="2406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67" w:hRule="atLeast"/>
          <w:jc w:val="center"/>
        </w:trPr>
        <w:tc>
          <w:tcPr>
            <w:tcW w:w="873" w:type="dxa"/>
            <w:vAlign w:val="center"/>
          </w:tcPr>
          <w:p w14:paraId="31C58E99">
            <w:pPr>
              <w:spacing w:line="360" w:lineRule="auto"/>
              <w:jc w:val="center"/>
              <w:rPr>
                <w:rFonts w:ascii="宋体" w:hAnsi="宋体" w:cs="宋体"/>
              </w:rPr>
            </w:pPr>
            <w:r>
              <w:rPr>
                <w:rFonts w:hint="eastAsia" w:ascii="宋体" w:hAnsi="宋体" w:cs="宋体"/>
              </w:rPr>
              <w:t>1</w:t>
            </w:r>
          </w:p>
        </w:tc>
        <w:tc>
          <w:tcPr>
            <w:tcW w:w="2973" w:type="dxa"/>
            <w:vAlign w:val="center"/>
          </w:tcPr>
          <w:p w14:paraId="70021C06">
            <w:pPr>
              <w:spacing w:line="360" w:lineRule="auto"/>
              <w:jc w:val="center"/>
              <w:rPr>
                <w:rFonts w:ascii="宋体" w:hAnsi="宋体" w:cs="宋体"/>
              </w:rPr>
            </w:pPr>
            <w:r>
              <w:rPr>
                <w:rFonts w:hint="eastAsia" w:ascii="宋体" w:hAnsi="宋体" w:cs="宋体"/>
              </w:rPr>
              <w:t>编制周分析报告</w:t>
            </w:r>
          </w:p>
        </w:tc>
        <w:tc>
          <w:tcPr>
            <w:tcW w:w="2326" w:type="dxa"/>
            <w:vAlign w:val="center"/>
          </w:tcPr>
          <w:p w14:paraId="33519B8C">
            <w:pPr>
              <w:spacing w:line="360" w:lineRule="auto"/>
              <w:jc w:val="center"/>
              <w:rPr>
                <w:rFonts w:ascii="宋体" w:hAnsi="宋体" w:cs="宋体"/>
              </w:rPr>
            </w:pPr>
            <w:r>
              <w:rPr>
                <w:rFonts w:hint="eastAsia" w:ascii="宋体" w:hAnsi="宋体" w:cs="宋体"/>
              </w:rPr>
              <w:t>满足甲方要求</w:t>
            </w:r>
          </w:p>
        </w:tc>
        <w:tc>
          <w:tcPr>
            <w:tcW w:w="1966" w:type="dxa"/>
            <w:vAlign w:val="center"/>
          </w:tcPr>
          <w:p w14:paraId="44ED648C">
            <w:pPr>
              <w:spacing w:line="360" w:lineRule="auto"/>
              <w:jc w:val="center"/>
              <w:rPr>
                <w:rFonts w:ascii="宋体" w:hAnsi="宋体" w:cs="宋体"/>
              </w:rPr>
            </w:pPr>
            <w:r>
              <w:rPr>
                <w:rFonts w:hint="eastAsia" w:ascii="宋体" w:hAnsi="宋体" w:cs="宋体"/>
              </w:rPr>
              <w:t>根据项目需求</w:t>
            </w:r>
          </w:p>
        </w:tc>
      </w:tr>
      <w:tr w14:paraId="477E6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67" w:hRule="atLeast"/>
          <w:jc w:val="center"/>
        </w:trPr>
        <w:tc>
          <w:tcPr>
            <w:tcW w:w="873" w:type="dxa"/>
            <w:vAlign w:val="center"/>
          </w:tcPr>
          <w:p w14:paraId="6AE13617">
            <w:pPr>
              <w:spacing w:line="360" w:lineRule="auto"/>
              <w:jc w:val="center"/>
              <w:rPr>
                <w:rFonts w:ascii="宋体" w:hAnsi="宋体" w:cs="宋体"/>
              </w:rPr>
            </w:pPr>
            <w:r>
              <w:rPr>
                <w:rFonts w:hint="eastAsia" w:ascii="宋体" w:hAnsi="宋体" w:cs="宋体"/>
              </w:rPr>
              <w:t>2</w:t>
            </w:r>
          </w:p>
        </w:tc>
        <w:tc>
          <w:tcPr>
            <w:tcW w:w="2973" w:type="dxa"/>
            <w:vAlign w:val="center"/>
          </w:tcPr>
          <w:p w14:paraId="10A9D2E0">
            <w:pPr>
              <w:spacing w:line="360" w:lineRule="auto"/>
              <w:jc w:val="center"/>
              <w:rPr>
                <w:rFonts w:ascii="宋体" w:hAnsi="宋体" w:cs="宋体"/>
              </w:rPr>
            </w:pPr>
            <w:r>
              <w:rPr>
                <w:rFonts w:hint="eastAsia" w:ascii="宋体" w:hAnsi="宋体" w:cs="宋体"/>
              </w:rPr>
              <w:t>编制月分析报告</w:t>
            </w:r>
          </w:p>
        </w:tc>
        <w:tc>
          <w:tcPr>
            <w:tcW w:w="2326" w:type="dxa"/>
            <w:vAlign w:val="center"/>
          </w:tcPr>
          <w:p w14:paraId="3A182389">
            <w:pPr>
              <w:spacing w:line="360" w:lineRule="auto"/>
              <w:jc w:val="center"/>
              <w:rPr>
                <w:rFonts w:ascii="宋体" w:hAnsi="宋体" w:cs="宋体"/>
              </w:rPr>
            </w:pPr>
            <w:r>
              <w:rPr>
                <w:rFonts w:hint="eastAsia" w:ascii="宋体" w:hAnsi="宋体" w:cs="宋体"/>
              </w:rPr>
              <w:t>满足甲方要求</w:t>
            </w:r>
          </w:p>
        </w:tc>
        <w:tc>
          <w:tcPr>
            <w:tcW w:w="1966" w:type="dxa"/>
            <w:vAlign w:val="center"/>
          </w:tcPr>
          <w:p w14:paraId="4BAED8C4">
            <w:pPr>
              <w:spacing w:line="360" w:lineRule="auto"/>
              <w:jc w:val="center"/>
              <w:rPr>
                <w:rFonts w:ascii="宋体" w:hAnsi="宋体" w:cs="宋体"/>
              </w:rPr>
            </w:pPr>
            <w:r>
              <w:rPr>
                <w:rFonts w:hint="eastAsia" w:ascii="宋体" w:hAnsi="宋体" w:cs="宋体"/>
              </w:rPr>
              <w:t>根据项目需求</w:t>
            </w:r>
          </w:p>
        </w:tc>
      </w:tr>
      <w:tr w14:paraId="17E9A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67" w:hRule="atLeast"/>
          <w:jc w:val="center"/>
        </w:trPr>
        <w:tc>
          <w:tcPr>
            <w:tcW w:w="873" w:type="dxa"/>
            <w:vAlign w:val="center"/>
          </w:tcPr>
          <w:p w14:paraId="3531D66A">
            <w:pPr>
              <w:spacing w:line="360" w:lineRule="auto"/>
              <w:jc w:val="center"/>
              <w:rPr>
                <w:rFonts w:ascii="宋体" w:hAnsi="宋体" w:cs="宋体"/>
              </w:rPr>
            </w:pPr>
            <w:r>
              <w:rPr>
                <w:rFonts w:hint="eastAsia" w:ascii="宋体" w:hAnsi="宋体" w:cs="宋体"/>
              </w:rPr>
              <w:t>3</w:t>
            </w:r>
          </w:p>
        </w:tc>
        <w:tc>
          <w:tcPr>
            <w:tcW w:w="2973" w:type="dxa"/>
            <w:vAlign w:val="center"/>
          </w:tcPr>
          <w:p w14:paraId="1F7757C8">
            <w:pPr>
              <w:spacing w:line="360" w:lineRule="auto"/>
              <w:jc w:val="center"/>
              <w:rPr>
                <w:rFonts w:ascii="宋体" w:hAnsi="宋体" w:cs="宋体"/>
              </w:rPr>
            </w:pPr>
            <w:r>
              <w:rPr>
                <w:rFonts w:hint="eastAsia" w:ascii="宋体" w:hAnsi="宋体" w:cs="宋体"/>
              </w:rPr>
              <w:t>编制季度分析报告</w:t>
            </w:r>
          </w:p>
        </w:tc>
        <w:tc>
          <w:tcPr>
            <w:tcW w:w="2326" w:type="dxa"/>
            <w:vAlign w:val="center"/>
          </w:tcPr>
          <w:p w14:paraId="12971C9B">
            <w:pPr>
              <w:spacing w:line="360" w:lineRule="auto"/>
              <w:jc w:val="center"/>
              <w:rPr>
                <w:rFonts w:ascii="宋体" w:hAnsi="宋体" w:cs="宋体"/>
              </w:rPr>
            </w:pPr>
            <w:r>
              <w:rPr>
                <w:rFonts w:hint="eastAsia" w:ascii="宋体" w:hAnsi="宋体" w:cs="宋体"/>
              </w:rPr>
              <w:t>满足甲方要求</w:t>
            </w:r>
          </w:p>
        </w:tc>
        <w:tc>
          <w:tcPr>
            <w:tcW w:w="1966" w:type="dxa"/>
            <w:vAlign w:val="center"/>
          </w:tcPr>
          <w:p w14:paraId="36D97EE1">
            <w:pPr>
              <w:spacing w:line="360" w:lineRule="auto"/>
              <w:jc w:val="center"/>
              <w:rPr>
                <w:rFonts w:ascii="宋体" w:hAnsi="宋体" w:cs="宋体"/>
              </w:rPr>
            </w:pPr>
            <w:r>
              <w:rPr>
                <w:rFonts w:hint="eastAsia" w:ascii="宋体" w:hAnsi="宋体" w:cs="宋体"/>
              </w:rPr>
              <w:t>根据项目需求</w:t>
            </w:r>
          </w:p>
        </w:tc>
      </w:tr>
      <w:tr w14:paraId="1A5FE9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67" w:hRule="atLeast"/>
          <w:jc w:val="center"/>
        </w:trPr>
        <w:tc>
          <w:tcPr>
            <w:tcW w:w="873" w:type="dxa"/>
            <w:vAlign w:val="center"/>
          </w:tcPr>
          <w:p w14:paraId="0D0F3504">
            <w:pPr>
              <w:spacing w:line="360" w:lineRule="auto"/>
              <w:jc w:val="center"/>
              <w:rPr>
                <w:rFonts w:ascii="宋体" w:hAnsi="宋体" w:cs="宋体"/>
              </w:rPr>
            </w:pPr>
            <w:r>
              <w:rPr>
                <w:rFonts w:hint="eastAsia" w:ascii="宋体" w:hAnsi="宋体" w:cs="宋体"/>
              </w:rPr>
              <w:t>4</w:t>
            </w:r>
          </w:p>
        </w:tc>
        <w:tc>
          <w:tcPr>
            <w:tcW w:w="2973" w:type="dxa"/>
            <w:vAlign w:val="center"/>
          </w:tcPr>
          <w:p w14:paraId="2EB659FF">
            <w:pPr>
              <w:spacing w:line="360" w:lineRule="auto"/>
              <w:jc w:val="center"/>
              <w:rPr>
                <w:rFonts w:ascii="宋体" w:hAnsi="宋体" w:cs="宋体"/>
              </w:rPr>
            </w:pPr>
            <w:r>
              <w:rPr>
                <w:rFonts w:hint="eastAsia" w:ascii="宋体" w:hAnsi="宋体" w:cs="宋体"/>
              </w:rPr>
              <w:t>编制半年度分析报告</w:t>
            </w:r>
          </w:p>
        </w:tc>
        <w:tc>
          <w:tcPr>
            <w:tcW w:w="2326" w:type="dxa"/>
            <w:vAlign w:val="center"/>
          </w:tcPr>
          <w:p w14:paraId="5D1791DF">
            <w:pPr>
              <w:spacing w:line="360" w:lineRule="auto"/>
              <w:jc w:val="center"/>
              <w:rPr>
                <w:rFonts w:ascii="宋体" w:hAnsi="宋体" w:cs="宋体"/>
              </w:rPr>
            </w:pPr>
            <w:r>
              <w:rPr>
                <w:rFonts w:hint="eastAsia" w:ascii="宋体" w:hAnsi="宋体" w:cs="宋体"/>
              </w:rPr>
              <w:t>满足甲方要求</w:t>
            </w:r>
          </w:p>
        </w:tc>
        <w:tc>
          <w:tcPr>
            <w:tcW w:w="1966" w:type="dxa"/>
            <w:vAlign w:val="center"/>
          </w:tcPr>
          <w:p w14:paraId="2275F884">
            <w:pPr>
              <w:spacing w:line="360" w:lineRule="auto"/>
              <w:jc w:val="center"/>
              <w:rPr>
                <w:rFonts w:ascii="宋体" w:hAnsi="宋体" w:cs="宋体"/>
              </w:rPr>
            </w:pPr>
            <w:r>
              <w:rPr>
                <w:rFonts w:hint="eastAsia" w:ascii="宋体" w:hAnsi="宋体" w:cs="宋体"/>
              </w:rPr>
              <w:t>根据项目需求</w:t>
            </w:r>
          </w:p>
        </w:tc>
      </w:tr>
      <w:tr w14:paraId="1D7D9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67" w:hRule="atLeast"/>
          <w:jc w:val="center"/>
        </w:trPr>
        <w:tc>
          <w:tcPr>
            <w:tcW w:w="873" w:type="dxa"/>
            <w:vAlign w:val="center"/>
          </w:tcPr>
          <w:p w14:paraId="3729DB93">
            <w:pPr>
              <w:spacing w:line="360" w:lineRule="auto"/>
              <w:jc w:val="center"/>
              <w:rPr>
                <w:rFonts w:ascii="宋体" w:hAnsi="宋体" w:cs="宋体"/>
              </w:rPr>
            </w:pPr>
            <w:r>
              <w:rPr>
                <w:rFonts w:hint="eastAsia" w:ascii="宋体" w:hAnsi="宋体" w:cs="宋体"/>
              </w:rPr>
              <w:t>5</w:t>
            </w:r>
          </w:p>
        </w:tc>
        <w:tc>
          <w:tcPr>
            <w:tcW w:w="2973" w:type="dxa"/>
            <w:vAlign w:val="center"/>
          </w:tcPr>
          <w:p w14:paraId="418DB1D5">
            <w:pPr>
              <w:spacing w:line="360" w:lineRule="auto"/>
              <w:jc w:val="center"/>
              <w:rPr>
                <w:rFonts w:ascii="宋体" w:hAnsi="宋体" w:cs="宋体"/>
              </w:rPr>
            </w:pPr>
            <w:r>
              <w:rPr>
                <w:rFonts w:hint="eastAsia" w:ascii="宋体" w:hAnsi="宋体" w:cs="宋体"/>
              </w:rPr>
              <w:t>编制年度分析报告</w:t>
            </w:r>
          </w:p>
        </w:tc>
        <w:tc>
          <w:tcPr>
            <w:tcW w:w="2326" w:type="dxa"/>
            <w:vAlign w:val="center"/>
          </w:tcPr>
          <w:p w14:paraId="2C322F90">
            <w:pPr>
              <w:spacing w:line="360" w:lineRule="auto"/>
              <w:jc w:val="center"/>
              <w:rPr>
                <w:rFonts w:ascii="宋体" w:hAnsi="宋体" w:cs="宋体"/>
              </w:rPr>
            </w:pPr>
            <w:r>
              <w:rPr>
                <w:rFonts w:hint="eastAsia" w:ascii="宋体" w:hAnsi="宋体" w:cs="宋体"/>
              </w:rPr>
              <w:t>满足甲方要求</w:t>
            </w:r>
          </w:p>
        </w:tc>
        <w:tc>
          <w:tcPr>
            <w:tcW w:w="1966" w:type="dxa"/>
            <w:vAlign w:val="center"/>
          </w:tcPr>
          <w:p w14:paraId="2403EF10">
            <w:pPr>
              <w:spacing w:line="360" w:lineRule="auto"/>
              <w:jc w:val="center"/>
              <w:rPr>
                <w:rFonts w:ascii="宋体" w:hAnsi="宋体" w:cs="宋体"/>
              </w:rPr>
            </w:pPr>
            <w:r>
              <w:rPr>
                <w:rFonts w:hint="eastAsia" w:ascii="宋体" w:hAnsi="宋体" w:cs="宋体"/>
              </w:rPr>
              <w:t>根据项目需求</w:t>
            </w:r>
          </w:p>
        </w:tc>
      </w:tr>
      <w:tr w14:paraId="69E7B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45" w:type="dxa"/>
            <w:bottom w:w="0" w:type="dxa"/>
            <w:right w:w="45" w:type="dxa"/>
          </w:tblCellMar>
        </w:tblPrEx>
        <w:trPr>
          <w:trHeight w:val="376" w:hRule="atLeast"/>
          <w:jc w:val="center"/>
        </w:trPr>
        <w:tc>
          <w:tcPr>
            <w:tcW w:w="873" w:type="dxa"/>
            <w:vAlign w:val="center"/>
          </w:tcPr>
          <w:p w14:paraId="4C4C254A">
            <w:pPr>
              <w:spacing w:line="360" w:lineRule="auto"/>
              <w:jc w:val="center"/>
              <w:rPr>
                <w:rFonts w:ascii="宋体" w:hAnsi="宋体" w:cs="宋体"/>
              </w:rPr>
            </w:pPr>
            <w:r>
              <w:rPr>
                <w:rFonts w:hint="eastAsia" w:ascii="宋体" w:hAnsi="宋体" w:cs="宋体"/>
              </w:rPr>
              <w:t>6</w:t>
            </w:r>
          </w:p>
        </w:tc>
        <w:tc>
          <w:tcPr>
            <w:tcW w:w="2973" w:type="dxa"/>
            <w:vAlign w:val="center"/>
          </w:tcPr>
          <w:p w14:paraId="049E68B4">
            <w:pPr>
              <w:spacing w:line="360" w:lineRule="auto"/>
              <w:jc w:val="center"/>
              <w:rPr>
                <w:rFonts w:ascii="宋体" w:hAnsi="宋体" w:cs="宋体"/>
              </w:rPr>
            </w:pPr>
            <w:r>
              <w:rPr>
                <w:rFonts w:hint="eastAsia" w:ascii="宋体" w:hAnsi="宋体" w:cs="宋体"/>
              </w:rPr>
              <w:t>编制溯源专题分析报告</w:t>
            </w:r>
          </w:p>
        </w:tc>
        <w:tc>
          <w:tcPr>
            <w:tcW w:w="2326" w:type="dxa"/>
            <w:vAlign w:val="center"/>
          </w:tcPr>
          <w:p w14:paraId="4BD4D52D">
            <w:pPr>
              <w:spacing w:line="360" w:lineRule="auto"/>
              <w:jc w:val="center"/>
              <w:rPr>
                <w:rFonts w:ascii="宋体" w:hAnsi="宋体" w:cs="宋体"/>
              </w:rPr>
            </w:pPr>
            <w:r>
              <w:rPr>
                <w:rFonts w:hint="eastAsia" w:ascii="宋体" w:hAnsi="宋体" w:cs="宋体"/>
              </w:rPr>
              <w:t>满足甲方要求</w:t>
            </w:r>
          </w:p>
        </w:tc>
        <w:tc>
          <w:tcPr>
            <w:tcW w:w="1966" w:type="dxa"/>
            <w:vAlign w:val="center"/>
          </w:tcPr>
          <w:p w14:paraId="6F73EBCC">
            <w:pPr>
              <w:spacing w:line="360" w:lineRule="auto"/>
              <w:jc w:val="center"/>
              <w:rPr>
                <w:rFonts w:ascii="宋体" w:hAnsi="宋体" w:cs="宋体"/>
              </w:rPr>
            </w:pPr>
            <w:r>
              <w:rPr>
                <w:rFonts w:hint="eastAsia" w:ascii="宋体" w:hAnsi="宋体" w:cs="宋体"/>
              </w:rPr>
              <w:t>根据项目需求</w:t>
            </w:r>
          </w:p>
        </w:tc>
      </w:tr>
    </w:tbl>
    <w:p w14:paraId="41FBEB3D">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宋体" w:hAnsi="宋体"/>
          <w:bCs/>
          <w:sz w:val="24"/>
          <w:szCs w:val="20"/>
          <w:lang w:val="zh-CN"/>
        </w:rPr>
      </w:pPr>
      <w:r>
        <w:rPr>
          <w:rFonts w:hint="eastAsia" w:ascii="宋体" w:hAnsi="宋体"/>
          <w:bCs/>
          <w:sz w:val="24"/>
          <w:szCs w:val="20"/>
          <w:lang w:val="zh-CN"/>
        </w:rPr>
        <w:t>注：交付的资料含全套电子成果文件</w:t>
      </w:r>
    </w:p>
    <w:p w14:paraId="4FCDBE0A">
      <w:pPr>
        <w:keepNext w:val="0"/>
        <w:keepLines w:val="0"/>
        <w:pageBreakBefore w:val="0"/>
        <w:kinsoku/>
        <w:wordWrap/>
        <w:overflowPunct/>
        <w:topLinePunct w:val="0"/>
        <w:autoSpaceDE/>
        <w:autoSpaceDN/>
        <w:bidi w:val="0"/>
        <w:spacing w:line="520" w:lineRule="exact"/>
        <w:ind w:firstLine="480" w:firstLineChars="200"/>
        <w:jc w:val="both"/>
        <w:textAlignment w:val="auto"/>
        <w:rPr>
          <w:rFonts w:ascii="宋体" w:hAnsi="宋体"/>
          <w:bCs/>
          <w:sz w:val="24"/>
          <w:szCs w:val="20"/>
          <w:lang w:val="zh-CN"/>
        </w:rPr>
      </w:pPr>
      <w:r>
        <w:rPr>
          <w:rFonts w:hint="eastAsia" w:cs="仿宋" w:asciiTheme="minorEastAsia" w:hAnsiTheme="minorEastAsia" w:eastAsiaTheme="minorEastAsia"/>
          <w:sz w:val="24"/>
          <w:szCs w:val="24"/>
          <w:lang w:val="zh-CN" w:bidi="ar"/>
        </w:rPr>
        <w:t>5、乙方所提供的服务的技术规格应与招标文件规定的相一致；乙方提交的投标文件若对技术规格作出严于采购文件或国家标准的承诺，则以乙方承诺的技术规格为准。若技术性能无特殊说明，则按国家有关部门最新颁布的标准及规范为准。</w:t>
      </w:r>
    </w:p>
    <w:p w14:paraId="4D07B0DA">
      <w:pPr>
        <w:keepNext w:val="0"/>
        <w:keepLines w:val="0"/>
        <w:pageBreakBefore w:val="0"/>
        <w:kinsoku/>
        <w:wordWrap/>
        <w:overflowPunct/>
        <w:topLinePunct w:val="0"/>
        <w:autoSpaceDE/>
        <w:autoSpaceDN/>
        <w:bidi w:val="0"/>
        <w:spacing w:line="520" w:lineRule="exact"/>
        <w:ind w:firstLine="482" w:firstLineChars="200"/>
        <w:jc w:val="both"/>
        <w:textAlignment w:val="auto"/>
        <w:rPr>
          <w:rFonts w:cs="仿宋" w:asciiTheme="minorEastAsia" w:hAnsiTheme="minorEastAsia" w:eastAsiaTheme="minorEastAsia"/>
          <w:b/>
          <w:bCs/>
          <w:sz w:val="24"/>
          <w:szCs w:val="24"/>
        </w:rPr>
      </w:pPr>
      <w:r>
        <w:rPr>
          <w:rFonts w:hint="eastAsia" w:cs="仿宋" w:asciiTheme="minorEastAsia" w:hAnsiTheme="minorEastAsia" w:eastAsiaTheme="minorEastAsia"/>
          <w:b/>
          <w:bCs/>
          <w:sz w:val="24"/>
          <w:szCs w:val="24"/>
          <w:lang w:val="zh-CN" w:bidi="ar"/>
        </w:rPr>
        <w:t xml:space="preserve">第六条 </w:t>
      </w:r>
      <w:r>
        <w:rPr>
          <w:rFonts w:hint="eastAsia" w:cs="仿宋" w:asciiTheme="minorEastAsia" w:hAnsiTheme="minorEastAsia" w:eastAsiaTheme="minorEastAsia"/>
          <w:b/>
          <w:bCs/>
          <w:sz w:val="24"/>
          <w:szCs w:val="24"/>
          <w:lang w:bidi="ar"/>
        </w:rPr>
        <w:t>服务期限和服务地点</w:t>
      </w:r>
    </w:p>
    <w:p w14:paraId="7DE725D0">
      <w:pPr>
        <w:keepNext w:val="0"/>
        <w:keepLines w:val="0"/>
        <w:pageBreakBefore w:val="0"/>
        <w:numPr>
          <w:ilvl w:val="0"/>
          <w:numId w:val="5"/>
        </w:numPr>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bidi="ar"/>
        </w:rPr>
      </w:pPr>
      <w:r>
        <w:rPr>
          <w:rFonts w:cs="仿宋" w:asciiTheme="minorEastAsia" w:hAnsiTheme="minorEastAsia" w:eastAsiaTheme="minorEastAsia"/>
          <w:sz w:val="24"/>
          <w:szCs w:val="24"/>
          <w:lang w:bidi="ar"/>
        </w:rPr>
        <w:t>服务期限：</w:t>
      </w:r>
      <w:r>
        <w:rPr>
          <w:rFonts w:hint="eastAsia" w:ascii="Times New Roman" w:hAnsi="Times New Roman" w:cs="方正仿宋_GBK"/>
          <w:sz w:val="24"/>
          <w:szCs w:val="24"/>
        </w:rPr>
        <w:t>自合同签订并生效之日起</w:t>
      </w:r>
      <w:r>
        <w:rPr>
          <w:rFonts w:ascii="Times New Roman" w:hAnsi="Times New Roman" w:cs="方正仿宋_GBK"/>
          <w:sz w:val="24"/>
          <w:szCs w:val="24"/>
        </w:rPr>
        <w:t>1</w:t>
      </w:r>
      <w:r>
        <w:rPr>
          <w:rFonts w:hint="eastAsia" w:ascii="Times New Roman" w:hAnsi="Times New Roman" w:cs="方正仿宋_GBK"/>
          <w:sz w:val="24"/>
          <w:szCs w:val="24"/>
        </w:rPr>
        <w:t>年</w:t>
      </w:r>
      <w:r>
        <w:rPr>
          <w:rFonts w:cs="仿宋_GB2312" w:asciiTheme="minorEastAsia" w:hAnsiTheme="minorEastAsia" w:eastAsiaTheme="minorEastAsia"/>
          <w:sz w:val="24"/>
          <w:szCs w:val="24"/>
        </w:rPr>
        <w:t>。</w:t>
      </w:r>
    </w:p>
    <w:p w14:paraId="58A80EBC">
      <w:pPr>
        <w:keepNext w:val="0"/>
        <w:keepLines w:val="0"/>
        <w:pageBreakBefore w:val="0"/>
        <w:numPr>
          <w:ilvl w:val="0"/>
          <w:numId w:val="5"/>
        </w:numPr>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bidi="ar"/>
        </w:rPr>
      </w:pPr>
      <w:r>
        <w:rPr>
          <w:rFonts w:hint="eastAsia" w:cs="仿宋" w:asciiTheme="minorEastAsia" w:hAnsiTheme="minorEastAsia" w:eastAsiaTheme="minorEastAsia"/>
          <w:sz w:val="24"/>
          <w:szCs w:val="24"/>
          <w:lang w:bidi="ar"/>
        </w:rPr>
        <w:t>服务地点：甲方指定地点。</w:t>
      </w:r>
    </w:p>
    <w:p w14:paraId="286BD017">
      <w:pPr>
        <w:keepNext w:val="0"/>
        <w:keepLines w:val="0"/>
        <w:pageBreakBefore w:val="0"/>
        <w:kinsoku/>
        <w:wordWrap/>
        <w:overflowPunct/>
        <w:topLinePunct w:val="0"/>
        <w:autoSpaceDE/>
        <w:autoSpaceDN/>
        <w:bidi w:val="0"/>
        <w:spacing w:line="520" w:lineRule="exact"/>
        <w:ind w:firstLine="482" w:firstLineChars="200"/>
        <w:jc w:val="both"/>
        <w:textAlignment w:val="auto"/>
        <w:rPr>
          <w:rFonts w:cs="仿宋" w:asciiTheme="minorEastAsia" w:hAnsiTheme="minorEastAsia" w:eastAsiaTheme="minorEastAsia"/>
          <w:b/>
          <w:bCs/>
          <w:i/>
          <w:iCs/>
          <w:sz w:val="24"/>
          <w:szCs w:val="24"/>
          <w:lang w:val="zh-CN"/>
        </w:rPr>
      </w:pPr>
      <w:r>
        <w:rPr>
          <w:rFonts w:hint="eastAsia" w:cs="仿宋" w:asciiTheme="minorEastAsia" w:hAnsiTheme="minorEastAsia" w:eastAsiaTheme="minorEastAsia"/>
          <w:b/>
          <w:bCs/>
          <w:sz w:val="24"/>
          <w:szCs w:val="24"/>
          <w:lang w:val="zh-CN" w:bidi="ar"/>
        </w:rPr>
        <w:t>第七条 合同款支付</w:t>
      </w:r>
    </w:p>
    <w:p w14:paraId="62B42B23">
      <w:pPr>
        <w:keepNext w:val="0"/>
        <w:keepLines w:val="0"/>
        <w:pageBreakBefore w:val="0"/>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sz w:val="24"/>
          <w:szCs w:val="24"/>
          <w:lang w:val="zh-CN" w:bidi="ar"/>
        </w:rPr>
      </w:pPr>
      <w:r>
        <w:rPr>
          <w:rFonts w:hint="eastAsia" w:cs="仿宋" w:asciiTheme="minorEastAsia" w:hAnsiTheme="minorEastAsia" w:eastAsiaTheme="minorEastAsia"/>
          <w:sz w:val="24"/>
          <w:szCs w:val="24"/>
          <w:lang w:val="zh-CN" w:bidi="ar"/>
        </w:rPr>
        <w:t>1.本合同项下所有款项均以人民币通过银行转账方式支付至乙方指定的银行账户。</w:t>
      </w:r>
    </w:p>
    <w:p w14:paraId="57B470BB">
      <w:pPr>
        <w:keepNext w:val="0"/>
        <w:keepLines w:val="0"/>
        <w:pageBreakBefore w:val="0"/>
        <w:kinsoku/>
        <w:wordWrap/>
        <w:overflowPunct/>
        <w:topLinePunct w:val="0"/>
        <w:autoSpaceDE/>
        <w:autoSpaceDN/>
        <w:bidi w:val="0"/>
        <w:spacing w:line="520" w:lineRule="exact"/>
        <w:ind w:firstLine="482" w:firstLineChars="200"/>
        <w:jc w:val="both"/>
        <w:textAlignment w:val="auto"/>
        <w:rPr>
          <w:rFonts w:hint="eastAsia" w:cs="方正仿宋_GBK"/>
          <w:b/>
          <w:bCs/>
          <w:color w:val="auto"/>
          <w:sz w:val="24"/>
          <w:szCs w:val="24"/>
          <w:highlight w:val="none"/>
        </w:rPr>
      </w:pPr>
      <w:r>
        <w:rPr>
          <w:rFonts w:hint="eastAsia" w:cs="仿宋" w:asciiTheme="minorEastAsia" w:hAnsiTheme="minorEastAsia" w:eastAsiaTheme="minorEastAsia"/>
          <w:b/>
          <w:sz w:val="24"/>
          <w:szCs w:val="24"/>
          <w:highlight w:val="none"/>
          <w:lang w:val="zh-CN" w:bidi="ar"/>
        </w:rPr>
        <w:t>2.付款方式:</w:t>
      </w:r>
      <w:r>
        <w:rPr>
          <w:rFonts w:hint="eastAsia" w:cs="方正仿宋_GBK"/>
          <w:b/>
          <w:bCs/>
          <w:color w:val="auto"/>
          <w:sz w:val="24"/>
          <w:szCs w:val="24"/>
          <w:highlight w:val="none"/>
        </w:rPr>
        <w:t xml:space="preserve"> </w:t>
      </w:r>
    </w:p>
    <w:p w14:paraId="37D4D31D">
      <w:pPr>
        <w:keepNext w:val="0"/>
        <w:keepLines w:val="0"/>
        <w:pageBreakBefore w:val="0"/>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（1）合同签</w:t>
      </w:r>
      <w:r>
        <w:rPr>
          <w:rFonts w:hint="eastAsia" w:ascii="宋体" w:hAnsi="宋体" w:eastAsia="宋体" w:cs="宋体"/>
          <w:b w:val="0"/>
          <w:bCs w:val="0"/>
          <w:color w:val="auto"/>
          <w:sz w:val="24"/>
          <w:szCs w:val="24"/>
          <w:highlight w:val="none"/>
          <w:lang w:val="en-US" w:eastAsia="zh-CN" w:bidi="ar-SA"/>
        </w:rPr>
        <w:t>订</w:t>
      </w:r>
      <w:r>
        <w:rPr>
          <w:rFonts w:hint="eastAsia" w:ascii="宋体" w:hAnsi="宋体" w:cs="宋体"/>
          <w:b w:val="0"/>
          <w:bCs w:val="0"/>
          <w:color w:val="auto"/>
          <w:sz w:val="24"/>
          <w:szCs w:val="24"/>
          <w:highlight w:val="none"/>
          <w:lang w:val="en-US" w:eastAsia="zh-CN" w:bidi="ar-SA"/>
        </w:rPr>
        <w:t>后</w:t>
      </w:r>
      <w:r>
        <w:rPr>
          <w:rFonts w:hint="eastAsia" w:ascii="宋体" w:hAnsi="宋体" w:eastAsia="宋体" w:cs="宋体"/>
          <w:b w:val="0"/>
          <w:bCs w:val="0"/>
          <w:color w:val="auto"/>
          <w:sz w:val="24"/>
          <w:szCs w:val="24"/>
          <w:highlight w:val="none"/>
          <w:lang w:val="en-US" w:eastAsia="zh-CN" w:bidi="ar-SA"/>
        </w:rPr>
        <w:t>支付合同金额的10%作为</w:t>
      </w:r>
      <w:r>
        <w:rPr>
          <w:rFonts w:hint="eastAsia" w:ascii="宋体" w:hAnsi="宋体" w:cs="宋体"/>
          <w:b w:val="0"/>
          <w:bCs w:val="0"/>
          <w:color w:val="auto"/>
          <w:sz w:val="24"/>
          <w:szCs w:val="24"/>
          <w:highlight w:val="none"/>
          <w:lang w:val="en-US" w:eastAsia="zh-CN" w:bidi="ar-SA"/>
        </w:rPr>
        <w:t>预</w:t>
      </w:r>
      <w:r>
        <w:rPr>
          <w:rFonts w:hint="eastAsia" w:ascii="宋体" w:hAnsi="宋体" w:eastAsia="宋体" w:cs="宋体"/>
          <w:b w:val="0"/>
          <w:bCs w:val="0"/>
          <w:color w:val="auto"/>
          <w:sz w:val="24"/>
          <w:szCs w:val="24"/>
          <w:highlight w:val="none"/>
          <w:lang w:val="en-US" w:eastAsia="zh-CN" w:bidi="ar-SA"/>
        </w:rPr>
        <w:t>付款；</w:t>
      </w:r>
    </w:p>
    <w:p w14:paraId="39DAA883">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（2）所有服务内容完成并经验收合格后</w:t>
      </w:r>
      <w:r>
        <w:rPr>
          <w:rFonts w:hint="eastAsia" w:ascii="宋体" w:hAnsi="宋体" w:eastAsia="宋体" w:cs="宋体"/>
          <w:b w:val="0"/>
          <w:bCs w:val="0"/>
          <w:color w:val="auto"/>
          <w:sz w:val="24"/>
          <w:szCs w:val="24"/>
          <w:highlight w:val="none"/>
          <w:lang w:val="en-US" w:eastAsia="zh-CN" w:bidi="ar-SA"/>
        </w:rPr>
        <w:t>付</w:t>
      </w:r>
      <w:r>
        <w:rPr>
          <w:rFonts w:hint="eastAsia" w:ascii="宋体" w:hAnsi="宋体" w:cs="宋体"/>
          <w:b w:val="0"/>
          <w:bCs w:val="0"/>
          <w:color w:val="auto"/>
          <w:sz w:val="24"/>
          <w:szCs w:val="24"/>
          <w:highlight w:val="none"/>
          <w:lang w:val="en-US" w:eastAsia="zh-CN" w:bidi="ar-SA"/>
        </w:rPr>
        <w:t>至</w:t>
      </w:r>
      <w:r>
        <w:rPr>
          <w:rFonts w:hint="eastAsia" w:ascii="宋体" w:hAnsi="宋体" w:eastAsia="宋体" w:cs="宋体"/>
          <w:b w:val="0"/>
          <w:bCs w:val="0"/>
          <w:color w:val="auto"/>
          <w:sz w:val="24"/>
          <w:szCs w:val="24"/>
          <w:highlight w:val="none"/>
          <w:lang w:val="en-US" w:eastAsia="zh-CN" w:bidi="ar-SA"/>
        </w:rPr>
        <w:t>合同金额的</w:t>
      </w:r>
      <w:r>
        <w:rPr>
          <w:rFonts w:hint="eastAsia" w:ascii="宋体" w:hAnsi="宋体" w:cs="宋体"/>
          <w:b w:val="0"/>
          <w:bCs w:val="0"/>
          <w:color w:val="auto"/>
          <w:sz w:val="24"/>
          <w:szCs w:val="24"/>
          <w:highlight w:val="none"/>
          <w:lang w:val="en-US" w:eastAsia="zh-CN" w:bidi="ar-SA"/>
        </w:rPr>
        <w:t>6</w:t>
      </w:r>
      <w:r>
        <w:rPr>
          <w:rFonts w:hint="eastAsia" w:ascii="宋体" w:hAnsi="宋体" w:eastAsia="宋体" w:cs="宋体"/>
          <w:b w:val="0"/>
          <w:bCs w:val="0"/>
          <w:color w:val="auto"/>
          <w:sz w:val="24"/>
          <w:szCs w:val="24"/>
          <w:highlight w:val="none"/>
          <w:lang w:val="en-US" w:eastAsia="zh-CN" w:bidi="ar-SA"/>
        </w:rPr>
        <w:t>0%；</w:t>
      </w:r>
    </w:p>
    <w:p w14:paraId="38F679F3">
      <w:pPr>
        <w:keepNext w:val="0"/>
        <w:keepLines w:val="0"/>
        <w:pageBreakBefore w:val="0"/>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bidi="ar-SA"/>
        </w:rPr>
        <w:t>合同金额的</w:t>
      </w:r>
      <w:r>
        <w:rPr>
          <w:rFonts w:hint="eastAsia" w:ascii="宋体" w:hAnsi="宋体" w:cs="宋体"/>
          <w:b w:val="0"/>
          <w:bCs w:val="0"/>
          <w:color w:val="auto"/>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bidi="ar-SA"/>
        </w:rPr>
        <w:t>0%作为考核，服务结束后，乙方提供总结性评估报告，经甲方评估乙方完成服务要求后进行相应支付；</w:t>
      </w:r>
    </w:p>
    <w:p w14:paraId="23F05E41">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u w:val="none"/>
          <w:lang w:val="en-US" w:eastAsia="zh-CN"/>
        </w:rPr>
        <w:t>（4）</w:t>
      </w:r>
      <w:r>
        <w:rPr>
          <w:rFonts w:hint="eastAsia" w:ascii="宋体" w:hAnsi="宋体" w:eastAsia="宋体" w:cs="宋体"/>
          <w:b w:val="0"/>
          <w:bCs w:val="0"/>
          <w:color w:val="auto"/>
          <w:sz w:val="24"/>
          <w:szCs w:val="24"/>
          <w:highlight w:val="none"/>
          <w:u w:val="none"/>
          <w:lang w:val="en-US" w:eastAsia="zh-CN"/>
        </w:rPr>
        <w:t>余款待</w:t>
      </w:r>
      <w:r>
        <w:rPr>
          <w:rFonts w:hint="eastAsia" w:ascii="宋体" w:hAnsi="宋体" w:cs="宋体"/>
          <w:b w:val="0"/>
          <w:bCs w:val="0"/>
          <w:color w:val="auto"/>
          <w:sz w:val="24"/>
          <w:szCs w:val="24"/>
          <w:highlight w:val="none"/>
          <w:u w:val="none"/>
          <w:lang w:val="en-US" w:eastAsia="zh-CN"/>
        </w:rPr>
        <w:t>合同履行完毕且审计结束后按审定价无息付清。</w:t>
      </w:r>
    </w:p>
    <w:p w14:paraId="7E1B88E4">
      <w:pPr>
        <w:keepNext w:val="0"/>
        <w:keepLines w:val="0"/>
        <w:pageBreakBefore w:val="0"/>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考核要求如下:</w:t>
      </w:r>
    </w:p>
    <w:p w14:paraId="184C487F">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val="0"/>
          <w:color w:val="auto"/>
          <w:sz w:val="24"/>
          <w:highlight w:val="none"/>
          <w:lang w:val="en-US" w:eastAsia="zh-CN"/>
        </w:rPr>
      </w:pPr>
      <w:r>
        <w:rPr>
          <w:rFonts w:hint="eastAsia" w:ascii="宋体" w:hAnsi="宋体" w:eastAsia="宋体" w:cs="宋体"/>
          <w:b w:val="0"/>
          <w:bCs w:val="0"/>
          <w:color w:val="auto"/>
          <w:sz w:val="24"/>
          <w:highlight w:val="none"/>
          <w:lang w:val="en-US" w:eastAsia="zh-CN"/>
        </w:rPr>
        <w:t>①若9条国省考断面未完成</w:t>
      </w:r>
      <w:r>
        <w:rPr>
          <w:rFonts w:hint="eastAsia" w:ascii="宋体" w:hAnsi="宋体" w:cs="宋体"/>
          <w:b w:val="0"/>
          <w:bCs w:val="0"/>
          <w:color w:val="auto"/>
          <w:sz w:val="24"/>
          <w:highlight w:val="none"/>
          <w:lang w:val="en-US" w:eastAsia="zh-CN"/>
        </w:rPr>
        <w:t>2026年</w:t>
      </w:r>
      <w:r>
        <w:rPr>
          <w:rFonts w:hint="eastAsia" w:ascii="宋体" w:hAnsi="宋体" w:eastAsia="宋体" w:cs="宋体"/>
          <w:b w:val="0"/>
          <w:bCs w:val="0"/>
          <w:color w:val="auto"/>
          <w:sz w:val="24"/>
          <w:highlight w:val="none"/>
          <w:lang w:val="en-US" w:eastAsia="zh-CN"/>
        </w:rPr>
        <w:t>年度考核</w:t>
      </w:r>
      <w:r>
        <w:rPr>
          <w:rFonts w:hint="eastAsia" w:ascii="宋体" w:hAnsi="宋体" w:cs="宋体"/>
          <w:b w:val="0"/>
          <w:bCs w:val="0"/>
          <w:color w:val="auto"/>
          <w:sz w:val="24"/>
          <w:highlight w:val="none"/>
          <w:lang w:val="en-US" w:eastAsia="zh-CN"/>
        </w:rPr>
        <w:t>目标</w:t>
      </w:r>
      <w:r>
        <w:rPr>
          <w:rFonts w:hint="eastAsia" w:ascii="宋体" w:hAnsi="宋体" w:eastAsia="宋体" w:cs="宋体"/>
          <w:b w:val="0"/>
          <w:bCs w:val="0"/>
          <w:color w:val="auto"/>
          <w:sz w:val="24"/>
          <w:highlight w:val="none"/>
          <w:lang w:val="en-US" w:eastAsia="zh-CN"/>
        </w:rPr>
        <w:t>，则扣合同价</w:t>
      </w:r>
      <w:r>
        <w:rPr>
          <w:rFonts w:hint="eastAsia" w:ascii="宋体" w:hAnsi="宋体" w:cs="宋体"/>
          <w:b w:val="0"/>
          <w:bCs w:val="0"/>
          <w:color w:val="auto"/>
          <w:sz w:val="24"/>
          <w:highlight w:val="none"/>
          <w:lang w:val="en-US" w:eastAsia="zh-CN"/>
        </w:rPr>
        <w:t>的</w:t>
      </w:r>
      <w:r>
        <w:rPr>
          <w:rFonts w:hint="eastAsia" w:ascii="宋体" w:hAnsi="宋体" w:eastAsia="宋体" w:cs="宋体"/>
          <w:b w:val="0"/>
          <w:bCs w:val="0"/>
          <w:color w:val="auto"/>
          <w:sz w:val="24"/>
          <w:highlight w:val="none"/>
          <w:lang w:val="en-US" w:eastAsia="zh-CN"/>
        </w:rPr>
        <w:t>30%；</w:t>
      </w:r>
    </w:p>
    <w:p w14:paraId="3D12DF71">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②若9条国省考断面完成2026年年度考核目标，驻场服务期内，9条国省考断面每出现1条单月水质不达标扣合同价总价的1%，累计扣款最高上限为合同总价15%。</w:t>
      </w:r>
    </w:p>
    <w:p w14:paraId="4DB6FDB9">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cs="宋体"/>
          <w:b w:val="0"/>
          <w:bCs w:val="0"/>
          <w:color w:val="auto"/>
          <w:sz w:val="24"/>
          <w:szCs w:val="24"/>
          <w:highlight w:val="none"/>
          <w:u w:val="none"/>
          <w:lang w:val="en-US" w:eastAsia="zh-CN"/>
        </w:rPr>
      </w:pPr>
      <w:r>
        <w:rPr>
          <w:rFonts w:hint="default" w:ascii="宋体" w:hAnsi="宋体" w:cs="宋体"/>
          <w:b w:val="0"/>
          <w:bCs w:val="0"/>
          <w:color w:val="auto"/>
          <w:sz w:val="24"/>
          <w:szCs w:val="24"/>
          <w:highlight w:val="none"/>
          <w:u w:val="none"/>
          <w:lang w:val="en-US" w:eastAsia="zh-CN"/>
        </w:rPr>
        <w:t>③驻场服务期间，国省考断面涉及河道、支流支浜、城市黑臭水体等</w:t>
      </w:r>
      <w:r>
        <w:rPr>
          <w:rFonts w:hint="eastAsia" w:ascii="宋体" w:hAnsi="宋体" w:cs="宋体"/>
          <w:b w:val="0"/>
          <w:bCs w:val="0"/>
          <w:color w:val="auto"/>
          <w:sz w:val="24"/>
          <w:szCs w:val="24"/>
          <w:highlight w:val="none"/>
          <w:u w:val="none"/>
          <w:lang w:val="en-US" w:eastAsia="zh-CN"/>
        </w:rPr>
        <w:t>方面</w:t>
      </w:r>
      <w:r>
        <w:rPr>
          <w:rFonts w:hint="default" w:ascii="宋体" w:hAnsi="宋体" w:cs="宋体"/>
          <w:b w:val="0"/>
          <w:bCs w:val="0"/>
          <w:color w:val="auto"/>
          <w:sz w:val="24"/>
          <w:szCs w:val="24"/>
          <w:highlight w:val="none"/>
          <w:u w:val="none"/>
          <w:lang w:val="en-US" w:eastAsia="zh-CN"/>
        </w:rPr>
        <w:t>产生国家、省、市级督查交办问题，</w:t>
      </w:r>
      <w:r>
        <w:rPr>
          <w:rFonts w:hint="eastAsia" w:ascii="宋体" w:hAnsi="宋体" w:cs="宋体"/>
          <w:b w:val="0"/>
          <w:bCs w:val="0"/>
          <w:color w:val="auto"/>
          <w:sz w:val="24"/>
          <w:szCs w:val="24"/>
          <w:highlight w:val="none"/>
          <w:u w:val="none"/>
          <w:lang w:val="en-US" w:eastAsia="zh-CN"/>
        </w:rPr>
        <w:t>但</w:t>
      </w:r>
      <w:r>
        <w:rPr>
          <w:rFonts w:hint="default" w:ascii="宋体" w:hAnsi="宋体" w:cs="宋体"/>
          <w:b w:val="0"/>
          <w:bCs w:val="0"/>
          <w:color w:val="auto"/>
          <w:sz w:val="24"/>
          <w:szCs w:val="24"/>
          <w:highlight w:val="none"/>
          <w:u w:val="none"/>
          <w:lang w:val="en-US" w:eastAsia="zh-CN"/>
        </w:rPr>
        <w:t>该问题乙方在日常巡查中未能排查发现的，每发</w:t>
      </w:r>
      <w:r>
        <w:rPr>
          <w:rFonts w:hint="eastAsia" w:ascii="宋体" w:hAnsi="宋体" w:cs="宋体"/>
          <w:b w:val="0"/>
          <w:bCs w:val="0"/>
          <w:color w:val="auto"/>
          <w:sz w:val="24"/>
          <w:szCs w:val="24"/>
          <w:highlight w:val="none"/>
          <w:u w:val="none"/>
          <w:lang w:val="en-US" w:eastAsia="zh-CN"/>
        </w:rPr>
        <w:t>现</w:t>
      </w:r>
      <w:r>
        <w:rPr>
          <w:rFonts w:hint="default" w:ascii="宋体" w:hAnsi="宋体" w:cs="宋体"/>
          <w:b w:val="0"/>
          <w:bCs w:val="0"/>
          <w:color w:val="auto"/>
          <w:sz w:val="24"/>
          <w:szCs w:val="24"/>
          <w:highlight w:val="none"/>
          <w:u w:val="none"/>
          <w:lang w:val="en-US" w:eastAsia="zh-CN"/>
        </w:rPr>
        <w:t>1起扣除合同总价</w:t>
      </w:r>
      <w:r>
        <w:rPr>
          <w:rFonts w:hint="eastAsia" w:ascii="宋体" w:hAnsi="宋体" w:cs="宋体"/>
          <w:b w:val="0"/>
          <w:bCs w:val="0"/>
          <w:color w:val="auto"/>
          <w:sz w:val="24"/>
          <w:szCs w:val="24"/>
          <w:highlight w:val="none"/>
          <w:u w:val="none"/>
          <w:lang w:val="en-US" w:eastAsia="zh-CN"/>
        </w:rPr>
        <w:t>的</w:t>
      </w:r>
      <w:r>
        <w:rPr>
          <w:rFonts w:hint="default" w:ascii="宋体" w:hAnsi="宋体" w:cs="宋体"/>
          <w:b w:val="0"/>
          <w:bCs w:val="0"/>
          <w:color w:val="auto"/>
          <w:sz w:val="24"/>
          <w:szCs w:val="24"/>
          <w:highlight w:val="none"/>
          <w:u w:val="none"/>
          <w:lang w:val="en-US" w:eastAsia="zh-CN"/>
        </w:rPr>
        <w:t>0.2%。</w:t>
      </w:r>
    </w:p>
    <w:p w14:paraId="1F75D79E">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cs="宋体"/>
          <w:b w:val="0"/>
          <w:bCs w:val="0"/>
          <w:color w:val="auto"/>
          <w:sz w:val="24"/>
          <w:szCs w:val="24"/>
          <w:highlight w:val="none"/>
          <w:u w:val="none"/>
          <w:lang w:val="en-US" w:eastAsia="zh-CN"/>
        </w:rPr>
      </w:pPr>
      <w:r>
        <w:rPr>
          <w:rFonts w:hint="eastAsia" w:ascii="宋体" w:hAnsi="宋体" w:cs="宋体"/>
          <w:b w:val="0"/>
          <w:bCs w:val="0"/>
          <w:color w:val="auto"/>
          <w:sz w:val="24"/>
          <w:szCs w:val="24"/>
          <w:highlight w:val="none"/>
          <w:u w:val="none"/>
          <w:lang w:val="en-US" w:eastAsia="zh-CN"/>
        </w:rPr>
        <w:t>（五）乙方每次申请付款前应向甲方提交等额合法有效的发票及完整的请款资料。乙方未按时提交发票或请款资料导致付款延迟的，甲方不承担任何责任。乙方申请付款时应同时提交对应阶段经甲方确认的成果文件及验收凭证，甲方审核确认时间为15个工作日，自收到完整资料之日起计算。甲方审核期内不计入逾期付款期间。</w:t>
      </w:r>
    </w:p>
    <w:p w14:paraId="2F2C92BA">
      <w:pPr>
        <w:keepNext w:val="0"/>
        <w:keepLines w:val="0"/>
        <w:pageBreakBefore w:val="0"/>
        <w:numPr>
          <w:ilvl w:val="0"/>
          <w:numId w:val="6"/>
        </w:numPr>
        <w:kinsoku/>
        <w:wordWrap/>
        <w:overflowPunct/>
        <w:topLinePunct w:val="0"/>
        <w:autoSpaceDE/>
        <w:autoSpaceDN/>
        <w:bidi w:val="0"/>
        <w:spacing w:line="520" w:lineRule="exact"/>
        <w:ind w:firstLine="482" w:firstLineChars="200"/>
        <w:jc w:val="both"/>
        <w:textAlignment w:val="auto"/>
        <w:rPr>
          <w:rFonts w:cs="仿宋" w:asciiTheme="minorEastAsia" w:hAnsiTheme="minorEastAsia" w:eastAsiaTheme="minorEastAsia"/>
          <w:b/>
          <w:bCs/>
          <w:sz w:val="24"/>
          <w:szCs w:val="24"/>
          <w:lang w:val="zh-CN" w:bidi="ar"/>
        </w:rPr>
      </w:pPr>
      <w:r>
        <w:rPr>
          <w:rFonts w:hint="eastAsia" w:cs="仿宋" w:asciiTheme="minorEastAsia" w:hAnsiTheme="minorEastAsia" w:eastAsiaTheme="minorEastAsia"/>
          <w:b/>
          <w:bCs/>
          <w:kern w:val="0"/>
          <w:sz w:val="24"/>
          <w:szCs w:val="24"/>
          <w:lang w:val="zh-CN" w:bidi="ar"/>
        </w:rPr>
        <w:t>验收</w:t>
      </w:r>
    </w:p>
    <w:p w14:paraId="16A4D443">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cs="仿宋" w:asciiTheme="minorEastAsia" w:hAnsiTheme="minorEastAsia" w:eastAsiaTheme="minorEastAsia"/>
          <w:b/>
          <w:bCs/>
          <w:sz w:val="24"/>
          <w:szCs w:val="24"/>
          <w:lang w:val="zh-CN" w:bidi="ar"/>
        </w:rPr>
      </w:pPr>
      <w:r>
        <w:rPr>
          <w:rFonts w:hint="eastAsia" w:ascii="宋体" w:hAnsi="宋体"/>
          <w:bCs/>
          <w:sz w:val="24"/>
          <w:szCs w:val="20"/>
          <w:lang w:val="zh-CN"/>
        </w:rPr>
        <w:t>验收标准：提供的成果文件必须符合我国最新颁布与之相关的技术规范与标准，同时须满足采购文件中所列全部规格、技术条件及功能要求和其承诺的其他指标。</w:t>
      </w:r>
    </w:p>
    <w:p w14:paraId="28355C63">
      <w:pPr>
        <w:keepNext w:val="0"/>
        <w:keepLines w:val="0"/>
        <w:pageBreakBefore w:val="0"/>
        <w:numPr>
          <w:ilvl w:val="0"/>
          <w:numId w:val="6"/>
        </w:numPr>
        <w:kinsoku/>
        <w:wordWrap/>
        <w:overflowPunct/>
        <w:topLinePunct w:val="0"/>
        <w:autoSpaceDE/>
        <w:autoSpaceDN/>
        <w:bidi w:val="0"/>
        <w:spacing w:line="520" w:lineRule="exact"/>
        <w:ind w:firstLine="482" w:firstLineChars="200"/>
        <w:jc w:val="both"/>
        <w:textAlignment w:val="auto"/>
        <w:rPr>
          <w:rFonts w:hint="eastAsia" w:cs="仿宋" w:asciiTheme="minorEastAsia" w:hAnsiTheme="minorEastAsia" w:eastAsiaTheme="minorEastAsia"/>
          <w:b/>
          <w:bCs/>
          <w:kern w:val="0"/>
          <w:sz w:val="24"/>
          <w:szCs w:val="24"/>
          <w:lang w:val="zh-CN" w:bidi="ar"/>
        </w:rPr>
      </w:pPr>
      <w:r>
        <w:rPr>
          <w:rFonts w:hint="eastAsia" w:cs="仿宋" w:asciiTheme="minorEastAsia" w:hAnsiTheme="minorEastAsia" w:eastAsiaTheme="minorEastAsia"/>
          <w:b/>
          <w:bCs/>
          <w:kern w:val="0"/>
          <w:sz w:val="24"/>
          <w:szCs w:val="24"/>
          <w:lang w:val="zh-CN" w:bidi="ar"/>
        </w:rPr>
        <w:t>违约责任</w:t>
      </w:r>
    </w:p>
    <w:p w14:paraId="2125A456">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1. 乙方违约责任：</w:t>
      </w:r>
    </w:p>
    <w:p w14:paraId="40D1DBFB">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（1）乙方不能按期交付服务的，向甲方支付合同总价5%的违约金。</w:t>
      </w:r>
    </w:p>
    <w:p w14:paraId="4CAE58DE">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（2）乙方逾期交付的，每逾期1天，支付合同总额的5‰滞纳金；逾期达10天的，甲方有权解除合同。</w:t>
      </w:r>
    </w:p>
    <w:p w14:paraId="532DF178">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（3）乙方在承担违约责任后，仍应继续履行合同（甲方解除合同的除外）。</w:t>
      </w:r>
    </w:p>
    <w:p w14:paraId="64CF50DC">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（4）甲方未及时追究乙方的任何一项违约责任，不代表放弃追究该项或其他违约责任。</w:t>
      </w:r>
    </w:p>
    <w:p w14:paraId="1AB1FB2E">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（5）乙方虚假承诺，或提供的服务不满足招标文件要求，或因其过错致合同无法继续履行的，应向甲方支付不少于合同总价30%的赔偿金。</w:t>
      </w:r>
    </w:p>
    <w:p w14:paraId="4F7B24ED">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2. 甲方违约责任：</w:t>
      </w:r>
    </w:p>
    <w:p w14:paraId="3B3D9A40">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（1）逾期付款：甲方逾期付款的，每逾期一日按逾期金额的万分之二支付违约金，但总额不超过逾期金额的5%。因财政拨款延迟等非甲方主观原因造成的付款延迟，甲方不承担违约责任。</w:t>
      </w:r>
    </w:p>
    <w:p w14:paraId="7A39D637">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（2）工作条件：因甲方未提供必要工作条件致乙方无法按期履约的，服务期限相应顺延；乙方未事先书面通知的，甲方不承担任何责任。</w:t>
      </w:r>
    </w:p>
    <w:p w14:paraId="33CF362C">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（3）变更调整：甲方有权书面通知乙方对服务内容、时间或地点进行合理调整，乙方应予以配合。因变更增加的费用由双方协商确定。</w:t>
      </w:r>
    </w:p>
    <w:p w14:paraId="2CB43CA0">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default"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（4）赔偿上限：甲方承担的违约金及赔偿总额不超过合同总价的10%，且仅限于直接损失，不包括任何间接损失、预期利益损失或商誉损失。</w:t>
      </w:r>
    </w:p>
    <w:p w14:paraId="6B56BAB1">
      <w:pPr>
        <w:keepNext w:val="0"/>
        <w:keepLines w:val="0"/>
        <w:pageBreakBefore w:val="0"/>
        <w:numPr>
          <w:ilvl w:val="0"/>
          <w:numId w:val="0"/>
        </w:numPr>
        <w:kinsoku/>
        <w:wordWrap/>
        <w:overflowPunct/>
        <w:topLinePunct w:val="0"/>
        <w:autoSpaceDE/>
        <w:autoSpaceDN/>
        <w:bidi w:val="0"/>
        <w:spacing w:line="520" w:lineRule="exact"/>
        <w:ind w:firstLine="480" w:firstLineChars="200"/>
        <w:jc w:val="both"/>
        <w:textAlignment w:val="auto"/>
        <w:rPr>
          <w:rFonts w:hint="eastAsia" w:ascii="宋体" w:hAnsi="宋体" w:eastAsia="宋体" w:cs="宋体"/>
          <w:b w:val="0"/>
          <w:bCs w:val="0"/>
          <w:color w:val="auto"/>
          <w:sz w:val="24"/>
          <w:highlight w:val="none"/>
          <w:lang w:val="en-US" w:eastAsia="zh-CN"/>
        </w:rPr>
      </w:pPr>
      <w:r>
        <w:rPr>
          <w:rFonts w:hint="default" w:ascii="宋体" w:hAnsi="宋体" w:eastAsia="宋体" w:cs="宋体"/>
          <w:b w:val="0"/>
          <w:bCs w:val="0"/>
          <w:color w:val="auto"/>
          <w:sz w:val="24"/>
          <w:highlight w:val="none"/>
          <w:lang w:val="en-US" w:eastAsia="zh-CN"/>
        </w:rPr>
        <w:t>（5）责任排他：除本款明确约定的情形外，甲方不承担其他任何违约责任。</w:t>
      </w:r>
    </w:p>
    <w:p w14:paraId="476B7C3F">
      <w:pPr>
        <w:keepNext w:val="0"/>
        <w:keepLines w:val="0"/>
        <w:pageBreakBefore w:val="0"/>
        <w:kinsoku/>
        <w:wordWrap/>
        <w:overflowPunct/>
        <w:topLinePunct w:val="0"/>
        <w:autoSpaceDE/>
        <w:autoSpaceDN/>
        <w:bidi w:val="0"/>
        <w:spacing w:line="520" w:lineRule="exact"/>
        <w:ind w:firstLine="482" w:firstLineChars="200"/>
        <w:jc w:val="both"/>
        <w:textAlignment w:val="auto"/>
        <w:rPr>
          <w:rFonts w:cs="宋体" w:asciiTheme="minorEastAsia" w:hAnsiTheme="minorEastAsia" w:eastAsiaTheme="minorEastAsia"/>
          <w:b/>
          <w:bCs/>
          <w:sz w:val="24"/>
          <w:szCs w:val="24"/>
          <w:lang w:val="zh-CN" w:bidi="ar"/>
        </w:rPr>
      </w:pPr>
      <w:r>
        <w:rPr>
          <w:rFonts w:hint="eastAsia" w:cs="宋体" w:asciiTheme="minorEastAsia" w:hAnsiTheme="minorEastAsia" w:eastAsiaTheme="minorEastAsia"/>
          <w:b/>
          <w:bCs/>
          <w:sz w:val="24"/>
          <w:szCs w:val="24"/>
          <w:lang w:val="zh-CN" w:bidi="ar"/>
        </w:rPr>
        <w:t>第十条 合同的变更和终止</w:t>
      </w:r>
    </w:p>
    <w:p w14:paraId="5F9F3626">
      <w:pPr>
        <w:keepNext w:val="0"/>
        <w:keepLines w:val="0"/>
        <w:pageBreakBefore w:val="0"/>
        <w:kinsoku/>
        <w:wordWrap/>
        <w:overflowPunct/>
        <w:topLinePunct w:val="0"/>
        <w:autoSpaceDE/>
        <w:autoSpaceDN/>
        <w:bidi w:val="0"/>
        <w:spacing w:line="520" w:lineRule="exact"/>
        <w:ind w:firstLine="480" w:firstLineChars="200"/>
        <w:jc w:val="both"/>
        <w:textAlignment w:val="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bidi="ar"/>
        </w:rPr>
        <w:t>1.</w:t>
      </w:r>
      <w:r>
        <w:rPr>
          <w:rFonts w:hint="eastAsia" w:cs="宋体" w:asciiTheme="minorEastAsia" w:hAnsiTheme="minorEastAsia" w:eastAsiaTheme="minorEastAsia"/>
          <w:sz w:val="24"/>
          <w:szCs w:val="24"/>
          <w:lang w:val="zh-CN" w:bidi="ar"/>
        </w:rPr>
        <w:t>本合同一经签订，甲乙双方不得擅自变更、中止或终止合同。</w:t>
      </w:r>
    </w:p>
    <w:p w14:paraId="21D1DA4A">
      <w:pPr>
        <w:keepNext w:val="0"/>
        <w:keepLines w:val="0"/>
        <w:pageBreakBefore w:val="0"/>
        <w:kinsoku/>
        <w:wordWrap/>
        <w:overflowPunct/>
        <w:topLinePunct w:val="0"/>
        <w:autoSpaceDE/>
        <w:autoSpaceDN/>
        <w:bidi w:val="0"/>
        <w:spacing w:line="520" w:lineRule="exact"/>
        <w:ind w:firstLine="480" w:firstLineChars="200"/>
        <w:jc w:val="both"/>
        <w:textAlignment w:val="auto"/>
        <w:rPr>
          <w:rFonts w:cs="宋体" w:asciiTheme="minorEastAsia" w:hAnsiTheme="minorEastAsia" w:eastAsiaTheme="minorEastAsia"/>
          <w:sz w:val="24"/>
          <w:szCs w:val="24"/>
          <w:lang w:val="zh-CN"/>
        </w:rPr>
      </w:pPr>
      <w:r>
        <w:rPr>
          <w:rFonts w:hint="eastAsia" w:cs="宋体" w:asciiTheme="minorEastAsia" w:hAnsiTheme="minorEastAsia" w:eastAsiaTheme="minorEastAsia"/>
          <w:sz w:val="24"/>
          <w:szCs w:val="24"/>
          <w:lang w:val="zh-CN" w:bidi="ar"/>
        </w:rPr>
        <w:t>2.除发生法律规定的不能预见、不能避免并不能克服的客观情况外，甲乙双方不得放弃或拒绝履行合同。</w:t>
      </w:r>
    </w:p>
    <w:p w14:paraId="4F0E6B22">
      <w:pPr>
        <w:keepNext w:val="0"/>
        <w:keepLines w:val="0"/>
        <w:pageBreakBefore w:val="0"/>
        <w:kinsoku/>
        <w:wordWrap/>
        <w:overflowPunct/>
        <w:topLinePunct w:val="0"/>
        <w:autoSpaceDE/>
        <w:autoSpaceDN/>
        <w:bidi w:val="0"/>
        <w:spacing w:line="520" w:lineRule="exact"/>
        <w:ind w:firstLine="482" w:firstLineChars="200"/>
        <w:jc w:val="both"/>
        <w:textAlignment w:val="auto"/>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val="zh-CN" w:bidi="ar"/>
        </w:rPr>
        <w:t xml:space="preserve">第十一条 </w:t>
      </w:r>
      <w:r>
        <w:rPr>
          <w:rFonts w:hint="eastAsia" w:cs="宋体" w:asciiTheme="minorEastAsia" w:hAnsiTheme="minorEastAsia" w:eastAsiaTheme="minorEastAsia"/>
          <w:b/>
          <w:bCs/>
          <w:sz w:val="24"/>
          <w:szCs w:val="24"/>
          <w:lang w:bidi="ar"/>
        </w:rPr>
        <w:t>履约</w:t>
      </w:r>
      <w:r>
        <w:rPr>
          <w:rFonts w:cs="宋体" w:asciiTheme="minorEastAsia" w:hAnsiTheme="minorEastAsia" w:eastAsiaTheme="minorEastAsia"/>
          <w:b/>
          <w:bCs/>
          <w:sz w:val="24"/>
          <w:szCs w:val="24"/>
          <w:lang w:bidi="ar"/>
        </w:rPr>
        <w:t>保证金</w:t>
      </w:r>
    </w:p>
    <w:p w14:paraId="5250CE1F">
      <w:pPr>
        <w:keepNext w:val="0"/>
        <w:keepLines w:val="0"/>
        <w:pageBreakBefore w:val="0"/>
        <w:kinsoku/>
        <w:wordWrap/>
        <w:overflowPunct/>
        <w:topLinePunct w:val="0"/>
        <w:autoSpaceDE/>
        <w:autoSpaceDN/>
        <w:bidi w:val="0"/>
        <w:spacing w:line="520" w:lineRule="exact"/>
        <w:ind w:firstLine="480" w:firstLineChars="200"/>
        <w:jc w:val="both"/>
        <w:textAlignment w:val="auto"/>
        <w:rPr>
          <w:rFonts w:cs="宋体" w:asciiTheme="minorEastAsia" w:hAnsiTheme="minorEastAsia" w:eastAsiaTheme="minorEastAsia"/>
          <w:sz w:val="24"/>
          <w:szCs w:val="24"/>
          <w:lang w:val="zh-CN" w:bidi="ar"/>
        </w:rPr>
      </w:pPr>
      <w:r>
        <w:rPr>
          <w:rFonts w:hint="eastAsia" w:cs="宋体" w:asciiTheme="minorEastAsia" w:hAnsiTheme="minorEastAsia" w:eastAsiaTheme="minorEastAsia"/>
          <w:sz w:val="24"/>
          <w:szCs w:val="24"/>
          <w:lang w:val="zh-CN" w:bidi="ar"/>
        </w:rPr>
        <w:t>本项目不收取履约</w:t>
      </w:r>
      <w:r>
        <w:rPr>
          <w:rFonts w:cs="宋体" w:asciiTheme="minorEastAsia" w:hAnsiTheme="minorEastAsia" w:eastAsiaTheme="minorEastAsia"/>
          <w:sz w:val="24"/>
          <w:szCs w:val="24"/>
          <w:lang w:val="zh-CN" w:bidi="ar"/>
        </w:rPr>
        <w:t>保证金</w:t>
      </w:r>
      <w:r>
        <w:rPr>
          <w:rFonts w:hint="eastAsia" w:cs="宋体" w:asciiTheme="minorEastAsia" w:hAnsiTheme="minorEastAsia" w:eastAsiaTheme="minorEastAsia"/>
          <w:sz w:val="24"/>
          <w:szCs w:val="24"/>
          <w:lang w:val="zh-CN" w:bidi="ar"/>
        </w:rPr>
        <w:t>。</w:t>
      </w:r>
    </w:p>
    <w:p w14:paraId="102DA28B">
      <w:pPr>
        <w:keepNext w:val="0"/>
        <w:keepLines w:val="0"/>
        <w:pageBreakBefore w:val="0"/>
        <w:kinsoku/>
        <w:wordWrap/>
        <w:overflowPunct/>
        <w:topLinePunct w:val="0"/>
        <w:autoSpaceDE/>
        <w:autoSpaceDN/>
        <w:bidi w:val="0"/>
        <w:spacing w:line="520" w:lineRule="exact"/>
        <w:ind w:firstLine="482" w:firstLineChars="200"/>
        <w:jc w:val="both"/>
        <w:textAlignment w:val="auto"/>
        <w:rPr>
          <w:rFonts w:cs="宋体" w:asciiTheme="minorEastAsia" w:hAnsiTheme="minorEastAsia" w:eastAsiaTheme="minorEastAsia"/>
          <w:b/>
          <w:sz w:val="24"/>
          <w:szCs w:val="24"/>
          <w:lang w:val="zh-CN" w:bidi="ar"/>
        </w:rPr>
      </w:pPr>
      <w:r>
        <w:rPr>
          <w:rFonts w:hint="eastAsia" w:cs="宋体" w:asciiTheme="minorEastAsia" w:hAnsiTheme="minorEastAsia" w:eastAsiaTheme="minorEastAsia"/>
          <w:b/>
          <w:sz w:val="24"/>
          <w:szCs w:val="24"/>
          <w:lang w:val="zh-CN" w:bidi="ar"/>
        </w:rPr>
        <w:t>第十二条 保密条款</w:t>
      </w:r>
    </w:p>
    <w:p w14:paraId="1A9C6E7E">
      <w:pPr>
        <w:keepNext w:val="0"/>
        <w:keepLines w:val="0"/>
        <w:pageBreakBefore w:val="0"/>
        <w:kinsoku/>
        <w:wordWrap/>
        <w:overflowPunct/>
        <w:topLinePunct w:val="0"/>
        <w:autoSpaceDE/>
        <w:autoSpaceDN/>
        <w:bidi w:val="0"/>
        <w:spacing w:line="520" w:lineRule="exact"/>
        <w:ind w:firstLine="480" w:firstLineChars="200"/>
        <w:jc w:val="both"/>
        <w:textAlignment w:val="auto"/>
        <w:rPr>
          <w:rFonts w:hint="eastAsia" w:cs="宋体" w:asciiTheme="minorEastAsia" w:hAnsiTheme="minorEastAsia" w:eastAsiaTheme="minorEastAsia"/>
          <w:sz w:val="24"/>
          <w:szCs w:val="24"/>
          <w:lang w:val="zh-CN" w:bidi="ar"/>
        </w:rPr>
      </w:pPr>
      <w:r>
        <w:rPr>
          <w:rFonts w:hint="eastAsia" w:cs="宋体" w:asciiTheme="minorEastAsia" w:hAnsiTheme="minorEastAsia" w:eastAsiaTheme="minorEastAsia"/>
          <w:sz w:val="24"/>
          <w:szCs w:val="24"/>
          <w:lang w:val="zh-CN" w:bidi="ar"/>
        </w:rPr>
        <w:t>对合同履行过程中，双方应对所获得或了解的对方的商业秘密，承担保密义务，未经对方事先的书面许可，不得利用或披露这些信息，否则对方有权追究其法律责任。</w:t>
      </w:r>
    </w:p>
    <w:p w14:paraId="4CE6929A">
      <w:pPr>
        <w:keepNext w:val="0"/>
        <w:keepLines w:val="0"/>
        <w:pageBreakBefore w:val="0"/>
        <w:kinsoku/>
        <w:wordWrap/>
        <w:overflowPunct/>
        <w:topLinePunct w:val="0"/>
        <w:autoSpaceDE/>
        <w:autoSpaceDN/>
        <w:bidi w:val="0"/>
        <w:spacing w:line="520" w:lineRule="exact"/>
        <w:ind w:firstLine="480" w:firstLineChars="200"/>
        <w:jc w:val="both"/>
        <w:textAlignment w:val="auto"/>
        <w:rPr>
          <w:rFonts w:hint="eastAsia" w:ascii="Segoe UI" w:hAnsi="Segoe UI" w:eastAsia="Segoe UI" w:cs="Segoe UI"/>
          <w:b/>
          <w:bCs/>
          <w:i w:val="0"/>
          <w:iCs w:val="0"/>
          <w:caps w:val="0"/>
          <w:color w:val="0F1115"/>
          <w:spacing w:val="0"/>
          <w:sz w:val="24"/>
          <w:szCs w:val="24"/>
          <w:shd w:val="clear" w:fill="FFFFFF"/>
          <w:lang w:val="zh-CN"/>
        </w:rPr>
      </w:pPr>
      <w:r>
        <w:rPr>
          <w:rFonts w:hint="default" w:ascii="Segoe UI" w:hAnsi="Segoe UI" w:eastAsia="Segoe UI" w:cs="Segoe UI"/>
          <w:b/>
          <w:bCs/>
          <w:i w:val="0"/>
          <w:iCs w:val="0"/>
          <w:caps w:val="0"/>
          <w:color w:val="0F1115"/>
          <w:spacing w:val="0"/>
          <w:sz w:val="24"/>
          <w:szCs w:val="24"/>
          <w:shd w:val="clear" w:fill="FFFFFF"/>
          <w:lang w:val="zh-CN"/>
        </w:rPr>
        <w:t>第十三条 免责条款</w:t>
      </w:r>
    </w:p>
    <w:p w14:paraId="306C955F">
      <w:pPr>
        <w:pStyle w:val="3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20" w:lineRule="exact"/>
        <w:ind w:left="0" w:right="0" w:firstLine="480" w:firstLineChars="200"/>
        <w:jc w:val="both"/>
        <w:textAlignment w:val="auto"/>
        <w:rPr>
          <w:rFonts w:hint="default" w:cs="宋体" w:asciiTheme="minorEastAsia" w:hAnsiTheme="minorEastAsia" w:eastAsiaTheme="minorEastAsia"/>
          <w:sz w:val="24"/>
          <w:szCs w:val="24"/>
          <w:lang w:val="zh-CN" w:eastAsia="zh-CN" w:bidi="ar"/>
        </w:rPr>
      </w:pPr>
      <w:r>
        <w:rPr>
          <w:rFonts w:hint="default" w:cs="宋体" w:asciiTheme="minorEastAsia" w:hAnsiTheme="minorEastAsia" w:eastAsiaTheme="minorEastAsia"/>
          <w:sz w:val="24"/>
          <w:szCs w:val="24"/>
          <w:lang w:val="zh-CN" w:eastAsia="zh-CN" w:bidi="ar"/>
        </w:rPr>
        <w:t>因以下情形之一导致甲方未能履行或延迟履行本合同的，甲方不承担违约责任：</w:t>
      </w:r>
    </w:p>
    <w:p w14:paraId="7153F173">
      <w:pPr>
        <w:pStyle w:val="3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20" w:lineRule="exact"/>
        <w:ind w:left="0" w:right="0" w:firstLine="480" w:firstLineChars="200"/>
        <w:jc w:val="both"/>
        <w:textAlignment w:val="auto"/>
        <w:rPr>
          <w:rFonts w:hint="default" w:cs="宋体" w:asciiTheme="minorEastAsia" w:hAnsiTheme="minorEastAsia" w:eastAsiaTheme="minorEastAsia"/>
          <w:sz w:val="24"/>
          <w:szCs w:val="24"/>
          <w:lang w:val="zh-CN" w:eastAsia="zh-CN" w:bidi="ar"/>
        </w:rPr>
      </w:pPr>
      <w:r>
        <w:rPr>
          <w:rFonts w:hint="default" w:cs="宋体" w:asciiTheme="minorEastAsia" w:hAnsiTheme="minorEastAsia" w:eastAsiaTheme="minorEastAsia"/>
          <w:sz w:val="24"/>
          <w:szCs w:val="24"/>
          <w:lang w:val="zh-CN" w:eastAsia="zh-CN" w:bidi="ar"/>
        </w:rPr>
        <w:t>（1）因国家法律法规、政策、强制性标准或上级主管部门要求发生重大变化导致合同履行调整的；</w:t>
      </w:r>
    </w:p>
    <w:p w14:paraId="3CE10578">
      <w:pPr>
        <w:pStyle w:val="3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20" w:lineRule="exact"/>
        <w:ind w:left="0" w:right="0" w:firstLine="480" w:firstLineChars="200"/>
        <w:jc w:val="both"/>
        <w:textAlignment w:val="auto"/>
        <w:rPr>
          <w:rFonts w:hint="default" w:cs="宋体" w:asciiTheme="minorEastAsia" w:hAnsiTheme="minorEastAsia" w:eastAsiaTheme="minorEastAsia"/>
          <w:sz w:val="24"/>
          <w:szCs w:val="24"/>
          <w:lang w:val="zh-CN" w:eastAsia="zh-CN" w:bidi="ar"/>
        </w:rPr>
      </w:pPr>
      <w:r>
        <w:rPr>
          <w:rFonts w:hint="default" w:cs="宋体" w:asciiTheme="minorEastAsia" w:hAnsiTheme="minorEastAsia" w:eastAsiaTheme="minorEastAsia"/>
          <w:sz w:val="24"/>
          <w:szCs w:val="24"/>
          <w:lang w:val="zh-CN" w:eastAsia="zh-CN" w:bidi="ar"/>
        </w:rPr>
        <w:t>（2）因财政预算调整、财政拨款延迟、国库支付系统原因等非甲方主观可控因素导致付款延迟的；</w:t>
      </w:r>
    </w:p>
    <w:p w14:paraId="2E8BFF65">
      <w:pPr>
        <w:pStyle w:val="3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20" w:lineRule="exact"/>
        <w:ind w:left="0" w:right="0" w:firstLine="480" w:firstLineChars="200"/>
        <w:jc w:val="both"/>
        <w:textAlignment w:val="auto"/>
        <w:rPr>
          <w:rFonts w:hint="default" w:cs="宋体" w:asciiTheme="minorEastAsia" w:hAnsiTheme="minorEastAsia" w:eastAsiaTheme="minorEastAsia"/>
          <w:sz w:val="24"/>
          <w:szCs w:val="24"/>
          <w:lang w:val="zh-CN" w:eastAsia="zh-CN" w:bidi="ar"/>
        </w:rPr>
      </w:pPr>
      <w:r>
        <w:rPr>
          <w:rFonts w:hint="default" w:cs="宋体" w:asciiTheme="minorEastAsia" w:hAnsiTheme="minorEastAsia" w:eastAsiaTheme="minorEastAsia"/>
          <w:sz w:val="24"/>
          <w:szCs w:val="24"/>
          <w:lang w:val="zh-CN" w:eastAsia="zh-CN" w:bidi="ar"/>
        </w:rPr>
        <w:t>（3）因乙方未履行先行义务（包括但不限于未按要求提交报告、未开具发票、请款资料不齐全）导致甲方无法及时履行相应义务的；</w:t>
      </w:r>
    </w:p>
    <w:p w14:paraId="6F6FC7F8">
      <w:pPr>
        <w:pStyle w:val="35"/>
        <w:keepNext w:val="0"/>
        <w:keepLines w:val="0"/>
        <w:pageBreakBefore w:val="0"/>
        <w:widowControl/>
        <w:suppressLineNumbers w:val="0"/>
        <w:shd w:val="clear" w:fill="FFFFFF"/>
        <w:kinsoku/>
        <w:wordWrap/>
        <w:overflowPunct/>
        <w:topLinePunct w:val="0"/>
        <w:autoSpaceDE/>
        <w:autoSpaceDN/>
        <w:bidi w:val="0"/>
        <w:adjustRightInd/>
        <w:snapToGrid/>
        <w:spacing w:before="0" w:beforeAutospacing="0" w:after="0" w:afterAutospacing="0" w:line="520" w:lineRule="exact"/>
        <w:ind w:left="0" w:right="0" w:firstLine="480" w:firstLineChars="200"/>
        <w:jc w:val="both"/>
        <w:textAlignment w:val="auto"/>
        <w:rPr>
          <w:rFonts w:hint="default" w:cs="宋体" w:asciiTheme="minorEastAsia" w:hAnsiTheme="minorEastAsia" w:eastAsiaTheme="minorEastAsia"/>
          <w:sz w:val="24"/>
          <w:szCs w:val="24"/>
          <w:lang w:val="zh-CN" w:eastAsia="zh-CN" w:bidi="ar"/>
        </w:rPr>
      </w:pPr>
      <w:r>
        <w:rPr>
          <w:rFonts w:hint="default" w:cs="宋体" w:asciiTheme="minorEastAsia" w:hAnsiTheme="minorEastAsia" w:eastAsiaTheme="minorEastAsia"/>
          <w:sz w:val="24"/>
          <w:szCs w:val="24"/>
          <w:lang w:val="zh-CN" w:eastAsia="zh-CN" w:bidi="ar"/>
        </w:rPr>
        <w:t>（4）因不可抗力事件导致的履行延迟或不能履行。</w:t>
      </w:r>
    </w:p>
    <w:p w14:paraId="4373A463">
      <w:pPr>
        <w:keepNext w:val="0"/>
        <w:keepLines w:val="0"/>
        <w:pageBreakBefore w:val="0"/>
        <w:kinsoku/>
        <w:wordWrap/>
        <w:overflowPunct/>
        <w:topLinePunct w:val="0"/>
        <w:autoSpaceDE/>
        <w:autoSpaceDN/>
        <w:bidi w:val="0"/>
        <w:spacing w:line="520" w:lineRule="exact"/>
        <w:ind w:firstLine="480" w:firstLineChars="200"/>
        <w:jc w:val="both"/>
        <w:textAlignment w:val="auto"/>
        <w:rPr>
          <w:rFonts w:cs="宋体" w:asciiTheme="minorEastAsia" w:hAnsiTheme="minorEastAsia" w:eastAsiaTheme="minorEastAsia"/>
          <w:b/>
          <w:bCs/>
          <w:sz w:val="24"/>
          <w:szCs w:val="24"/>
          <w:lang w:val="zh-CN"/>
        </w:rPr>
      </w:pPr>
      <w:r>
        <w:rPr>
          <w:rFonts w:hint="default" w:ascii="Segoe UI" w:hAnsi="Segoe UI" w:eastAsia="Segoe UI" w:cs="Segoe UI"/>
          <w:b/>
          <w:bCs/>
          <w:i w:val="0"/>
          <w:iCs w:val="0"/>
          <w:caps w:val="0"/>
          <w:color w:val="0F1115"/>
          <w:spacing w:val="0"/>
          <w:sz w:val="24"/>
          <w:szCs w:val="24"/>
          <w:shd w:val="clear" w:fill="FFFFFF"/>
        </w:rPr>
        <w:t>第十</w:t>
      </w:r>
      <w:r>
        <w:rPr>
          <w:rFonts w:hint="eastAsia" w:ascii="Segoe UI" w:hAnsi="Segoe UI" w:eastAsia="宋体" w:cs="Segoe UI"/>
          <w:b/>
          <w:bCs/>
          <w:i w:val="0"/>
          <w:iCs w:val="0"/>
          <w:caps w:val="0"/>
          <w:color w:val="0F1115"/>
          <w:spacing w:val="0"/>
          <w:sz w:val="24"/>
          <w:szCs w:val="24"/>
          <w:shd w:val="clear" w:fill="FFFFFF"/>
          <w:lang w:eastAsia="zh-CN"/>
        </w:rPr>
        <w:t>四</w:t>
      </w:r>
      <w:r>
        <w:rPr>
          <w:rFonts w:hint="default" w:ascii="Segoe UI" w:hAnsi="Segoe UI" w:eastAsia="Segoe UI" w:cs="Segoe UI"/>
          <w:b/>
          <w:bCs/>
          <w:i w:val="0"/>
          <w:iCs w:val="0"/>
          <w:caps w:val="0"/>
          <w:color w:val="0F1115"/>
          <w:spacing w:val="0"/>
          <w:sz w:val="24"/>
          <w:szCs w:val="24"/>
          <w:shd w:val="clear" w:fill="FFFFFF"/>
        </w:rPr>
        <w:t>条</w:t>
      </w:r>
      <w:r>
        <w:rPr>
          <w:rFonts w:hint="eastAsia" w:ascii="Segoe UI" w:hAnsi="Segoe UI" w:eastAsia="宋体" w:cs="Segoe UI"/>
          <w:b/>
          <w:bCs/>
          <w:i w:val="0"/>
          <w:iCs w:val="0"/>
          <w:caps w:val="0"/>
          <w:color w:val="0F1115"/>
          <w:spacing w:val="0"/>
          <w:sz w:val="24"/>
          <w:szCs w:val="24"/>
          <w:shd w:val="clear" w:fill="FFFFFF"/>
          <w:lang w:val="en-US" w:eastAsia="zh-CN"/>
        </w:rPr>
        <w:t xml:space="preserve"> </w:t>
      </w:r>
      <w:r>
        <w:rPr>
          <w:rFonts w:hint="eastAsia" w:cs="宋体" w:asciiTheme="minorEastAsia" w:hAnsiTheme="minorEastAsia" w:eastAsiaTheme="minorEastAsia"/>
          <w:b/>
          <w:bCs/>
          <w:sz w:val="24"/>
          <w:szCs w:val="24"/>
          <w:lang w:val="zh-CN" w:bidi="ar"/>
        </w:rPr>
        <w:t>争议的解决</w:t>
      </w:r>
    </w:p>
    <w:p w14:paraId="75E3A8D9">
      <w:pPr>
        <w:keepNext w:val="0"/>
        <w:keepLines w:val="0"/>
        <w:pageBreakBefore w:val="0"/>
        <w:kinsoku/>
        <w:wordWrap/>
        <w:overflowPunct/>
        <w:topLinePunct w:val="0"/>
        <w:autoSpaceDE/>
        <w:autoSpaceDN/>
        <w:bidi w:val="0"/>
        <w:spacing w:line="520" w:lineRule="exact"/>
        <w:ind w:firstLine="480" w:firstLineChars="200"/>
        <w:jc w:val="both"/>
        <w:textAlignment w:val="auto"/>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甲乙双方应通过友好协商，解决在执行本合同中所发生的或与本合同有关的一切争议。如果协商仍得不到解决时按下列</w:t>
      </w:r>
      <w:r>
        <w:rPr>
          <w:rFonts w:hint="eastAsia" w:cs="宋体" w:asciiTheme="minorEastAsia" w:hAnsiTheme="minorEastAsia" w:eastAsiaTheme="minorEastAsia"/>
          <w:sz w:val="24"/>
          <w:szCs w:val="24"/>
          <w:u w:val="single"/>
          <w:lang w:bidi="ar"/>
        </w:rPr>
        <w:t xml:space="preserve"> （2）</w:t>
      </w:r>
      <w:r>
        <w:rPr>
          <w:rFonts w:hint="eastAsia" w:cs="宋体" w:asciiTheme="minorEastAsia" w:hAnsiTheme="minorEastAsia" w:eastAsiaTheme="minorEastAsia"/>
          <w:sz w:val="24"/>
          <w:szCs w:val="24"/>
          <w:lang w:bidi="ar"/>
        </w:rPr>
        <w:t>方式解决：</w:t>
      </w:r>
    </w:p>
    <w:p w14:paraId="2C3371C9">
      <w:pPr>
        <w:keepNext w:val="0"/>
        <w:keepLines w:val="0"/>
        <w:pageBreakBefore w:val="0"/>
        <w:kinsoku/>
        <w:wordWrap/>
        <w:overflowPunct/>
        <w:topLinePunct w:val="0"/>
        <w:autoSpaceDE/>
        <w:autoSpaceDN/>
        <w:bidi w:val="0"/>
        <w:spacing w:line="520" w:lineRule="exact"/>
        <w:ind w:firstLine="480" w:firstLineChars="200"/>
        <w:jc w:val="both"/>
        <w:textAlignment w:val="auto"/>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（1）依法</w:t>
      </w:r>
      <w:r>
        <w:rPr>
          <w:rFonts w:hint="eastAsia" w:cs="宋体" w:asciiTheme="minorEastAsia" w:hAnsiTheme="minorEastAsia" w:eastAsiaTheme="minorEastAsia"/>
          <w:sz w:val="24"/>
          <w:szCs w:val="24"/>
          <w:u w:val="single"/>
          <w:lang w:bidi="ar"/>
        </w:rPr>
        <w:t xml:space="preserve"> /  </w:t>
      </w:r>
      <w:r>
        <w:rPr>
          <w:rFonts w:hint="eastAsia" w:cs="宋体" w:asciiTheme="minorEastAsia" w:hAnsiTheme="minorEastAsia" w:eastAsiaTheme="minorEastAsia"/>
          <w:sz w:val="24"/>
          <w:szCs w:val="24"/>
          <w:lang w:bidi="ar"/>
        </w:rPr>
        <w:t>仲裁委员会仲裁；</w:t>
      </w:r>
    </w:p>
    <w:p w14:paraId="0F42D939">
      <w:pPr>
        <w:keepNext w:val="0"/>
        <w:keepLines w:val="0"/>
        <w:pageBreakBefore w:val="0"/>
        <w:kinsoku/>
        <w:wordWrap/>
        <w:overflowPunct/>
        <w:topLinePunct w:val="0"/>
        <w:autoSpaceDE/>
        <w:autoSpaceDN/>
        <w:bidi w:val="0"/>
        <w:spacing w:line="520" w:lineRule="exact"/>
        <w:ind w:firstLine="480" w:firstLineChars="200"/>
        <w:jc w:val="both"/>
        <w:textAlignment w:val="auto"/>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（2）依法向</w:t>
      </w:r>
      <w:r>
        <w:rPr>
          <w:rFonts w:hint="eastAsia" w:cs="宋体" w:asciiTheme="minorEastAsia" w:hAnsiTheme="minorEastAsia" w:eastAsiaTheme="minorEastAsia"/>
          <w:sz w:val="24"/>
          <w:szCs w:val="24"/>
          <w:u w:val="single"/>
          <w:lang w:bidi="ar"/>
        </w:rPr>
        <w:t xml:space="preserve"> 宿迁市宿城区 </w:t>
      </w:r>
      <w:r>
        <w:rPr>
          <w:rFonts w:hint="eastAsia" w:cs="宋体" w:asciiTheme="minorEastAsia" w:hAnsiTheme="minorEastAsia" w:eastAsiaTheme="minorEastAsia"/>
          <w:sz w:val="24"/>
          <w:szCs w:val="24"/>
          <w:lang w:bidi="ar"/>
        </w:rPr>
        <w:t>人民法院提起诉讼。</w:t>
      </w:r>
    </w:p>
    <w:p w14:paraId="311A7DB9">
      <w:pPr>
        <w:keepNext w:val="0"/>
        <w:keepLines w:val="0"/>
        <w:pageBreakBefore w:val="0"/>
        <w:kinsoku/>
        <w:wordWrap/>
        <w:overflowPunct/>
        <w:topLinePunct w:val="0"/>
        <w:autoSpaceDE/>
        <w:autoSpaceDN/>
        <w:bidi w:val="0"/>
        <w:spacing w:line="520" w:lineRule="exact"/>
        <w:ind w:firstLine="482" w:firstLineChars="200"/>
        <w:jc w:val="both"/>
        <w:textAlignment w:val="auto"/>
        <w:rPr>
          <w:rFonts w:cs="宋体" w:asciiTheme="minorEastAsia" w:hAnsiTheme="minorEastAsia" w:eastAsiaTheme="minorEastAsia"/>
          <w:b/>
          <w:bCs/>
          <w:sz w:val="24"/>
          <w:szCs w:val="24"/>
          <w:lang w:val="zh-CN"/>
        </w:rPr>
      </w:pPr>
      <w:r>
        <w:rPr>
          <w:rFonts w:hint="eastAsia" w:cs="宋体" w:asciiTheme="minorEastAsia" w:hAnsiTheme="minorEastAsia" w:eastAsiaTheme="minorEastAsia"/>
          <w:b/>
          <w:bCs/>
          <w:sz w:val="24"/>
          <w:szCs w:val="24"/>
          <w:lang w:val="zh-CN" w:bidi="ar"/>
        </w:rPr>
        <w:t>第十五条 诚实信用</w:t>
      </w:r>
    </w:p>
    <w:p w14:paraId="191B7E1D">
      <w:pPr>
        <w:keepNext w:val="0"/>
        <w:keepLines w:val="0"/>
        <w:pageBreakBefore w:val="0"/>
        <w:kinsoku/>
        <w:wordWrap/>
        <w:overflowPunct/>
        <w:topLinePunct w:val="0"/>
        <w:autoSpaceDE/>
        <w:autoSpaceDN/>
        <w:bidi w:val="0"/>
        <w:spacing w:line="520" w:lineRule="exact"/>
        <w:ind w:firstLine="480" w:firstLineChars="200"/>
        <w:jc w:val="both"/>
        <w:textAlignment w:val="auto"/>
        <w:rPr>
          <w:rFonts w:cs="宋体" w:asciiTheme="minorEastAsia" w:hAnsiTheme="minorEastAsia" w:eastAsiaTheme="minorEastAsia"/>
          <w:sz w:val="24"/>
          <w:szCs w:val="24"/>
          <w:lang w:val="zh-CN"/>
        </w:rPr>
      </w:pPr>
      <w:r>
        <w:rPr>
          <w:rFonts w:hint="eastAsia" w:cs="仿宋_GB2312" w:asciiTheme="minorEastAsia" w:hAnsiTheme="minorEastAsia" w:eastAsiaTheme="minorEastAsia"/>
          <w:sz w:val="24"/>
          <w:szCs w:val="24"/>
          <w:lang w:val="zh-CN" w:bidi="ar"/>
        </w:rPr>
        <w:t>乙方应诚实信用，严格按照公开招标文件要求和投标承诺履行合同，不向甲方进行商业贿赂或者提供不正当利益。否则，甲方有权解除本合同，且乙方应当向甲方支付本合同总价款20%的违约金。</w:t>
      </w:r>
    </w:p>
    <w:p w14:paraId="3B2349E8">
      <w:pPr>
        <w:keepNext w:val="0"/>
        <w:keepLines w:val="0"/>
        <w:pageBreakBefore w:val="0"/>
        <w:kinsoku/>
        <w:wordWrap/>
        <w:overflowPunct/>
        <w:topLinePunct w:val="0"/>
        <w:autoSpaceDE/>
        <w:autoSpaceDN/>
        <w:bidi w:val="0"/>
        <w:spacing w:line="520" w:lineRule="exact"/>
        <w:ind w:firstLine="482" w:firstLineChars="200"/>
        <w:jc w:val="both"/>
        <w:textAlignment w:val="auto"/>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第十</w:t>
      </w:r>
      <w:r>
        <w:rPr>
          <w:rFonts w:hint="eastAsia" w:cs="宋体" w:asciiTheme="minorEastAsia" w:hAnsiTheme="minorEastAsia" w:eastAsiaTheme="minorEastAsia"/>
          <w:b/>
          <w:bCs/>
          <w:sz w:val="24"/>
          <w:szCs w:val="24"/>
          <w:lang w:eastAsia="zh-CN" w:bidi="ar"/>
        </w:rPr>
        <w:t>六</w:t>
      </w:r>
      <w:r>
        <w:rPr>
          <w:rFonts w:hint="eastAsia" w:cs="宋体" w:asciiTheme="minorEastAsia" w:hAnsiTheme="minorEastAsia" w:eastAsiaTheme="minorEastAsia"/>
          <w:b/>
          <w:bCs/>
          <w:sz w:val="24"/>
          <w:szCs w:val="24"/>
          <w:lang w:bidi="ar"/>
        </w:rPr>
        <w:t>条 税费</w:t>
      </w:r>
    </w:p>
    <w:p w14:paraId="75D3461A">
      <w:pPr>
        <w:keepNext w:val="0"/>
        <w:keepLines w:val="0"/>
        <w:pageBreakBefore w:val="0"/>
        <w:kinsoku/>
        <w:wordWrap/>
        <w:overflowPunct/>
        <w:topLinePunct w:val="0"/>
        <w:autoSpaceDE/>
        <w:autoSpaceDN/>
        <w:bidi w:val="0"/>
        <w:adjustRightInd w:val="0"/>
        <w:snapToGrid w:val="0"/>
        <w:spacing w:line="520" w:lineRule="exact"/>
        <w:ind w:firstLine="480" w:firstLineChars="200"/>
        <w:jc w:val="both"/>
        <w:textAlignment w:val="auto"/>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所有的价格均含税。供应商不得提出不含税，不得要求甲方承担开票税费，否则对甲方均无效，无论甲方及其关联公司（包括各自的工作人员）是否要求和接受继续供货，均不视为认可不含税，且甲方有权取消其供货资格。</w:t>
      </w:r>
    </w:p>
    <w:p w14:paraId="3F29E882">
      <w:pPr>
        <w:keepNext w:val="0"/>
        <w:keepLines w:val="0"/>
        <w:pageBreakBefore w:val="0"/>
        <w:kinsoku/>
        <w:wordWrap/>
        <w:overflowPunct/>
        <w:topLinePunct w:val="0"/>
        <w:autoSpaceDE/>
        <w:autoSpaceDN/>
        <w:bidi w:val="0"/>
        <w:spacing w:line="520" w:lineRule="exact"/>
        <w:ind w:firstLine="482" w:firstLineChars="200"/>
        <w:jc w:val="both"/>
        <w:textAlignment w:val="auto"/>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第十</w:t>
      </w:r>
      <w:r>
        <w:rPr>
          <w:rFonts w:hint="eastAsia" w:cs="宋体" w:asciiTheme="minorEastAsia" w:hAnsiTheme="minorEastAsia" w:eastAsiaTheme="minorEastAsia"/>
          <w:b/>
          <w:bCs/>
          <w:sz w:val="24"/>
          <w:szCs w:val="24"/>
          <w:lang w:eastAsia="zh-CN" w:bidi="ar"/>
        </w:rPr>
        <w:t>七</w:t>
      </w:r>
      <w:r>
        <w:rPr>
          <w:rFonts w:hint="eastAsia" w:cs="宋体" w:asciiTheme="minorEastAsia" w:hAnsiTheme="minorEastAsia" w:eastAsiaTheme="minorEastAsia"/>
          <w:b/>
          <w:bCs/>
          <w:sz w:val="24"/>
          <w:szCs w:val="24"/>
          <w:lang w:bidi="ar"/>
        </w:rPr>
        <w:t>条 合同份数</w:t>
      </w:r>
    </w:p>
    <w:p w14:paraId="0B64A7FE">
      <w:pPr>
        <w:keepNext w:val="0"/>
        <w:keepLines w:val="0"/>
        <w:pageBreakBefore w:val="0"/>
        <w:kinsoku/>
        <w:wordWrap/>
        <w:overflowPunct/>
        <w:topLinePunct w:val="0"/>
        <w:autoSpaceDE/>
        <w:autoSpaceDN/>
        <w:bidi w:val="0"/>
        <w:adjustRightInd w:val="0"/>
        <w:snapToGrid w:val="0"/>
        <w:spacing w:line="520" w:lineRule="exact"/>
        <w:ind w:firstLine="480" w:firstLineChars="200"/>
        <w:jc w:val="both"/>
        <w:textAlignment w:val="auto"/>
        <w:rPr>
          <w:rFonts w:cs="仿宋" w:asciiTheme="minorEastAsia" w:hAnsiTheme="minorEastAsia" w:eastAsiaTheme="minorEastAsia"/>
          <w:color w:val="000000"/>
          <w:sz w:val="24"/>
          <w:szCs w:val="24"/>
        </w:rPr>
      </w:pPr>
      <w:r>
        <w:rPr>
          <w:rFonts w:hint="eastAsia" w:cs="仿宋" w:asciiTheme="minorEastAsia" w:hAnsiTheme="minorEastAsia" w:eastAsiaTheme="minorEastAsia"/>
          <w:color w:val="000000"/>
          <w:sz w:val="24"/>
          <w:szCs w:val="24"/>
        </w:rPr>
        <w:t>本合同一式</w:t>
      </w:r>
      <w:r>
        <w:rPr>
          <w:rFonts w:hint="eastAsia" w:cs="仿宋" w:asciiTheme="minorEastAsia" w:hAnsiTheme="minorEastAsia" w:eastAsiaTheme="minorEastAsia"/>
          <w:color w:val="000000"/>
          <w:sz w:val="24"/>
          <w:szCs w:val="24"/>
          <w:u w:val="single"/>
        </w:rPr>
        <w:t xml:space="preserve"> 陆 </w:t>
      </w:r>
      <w:r>
        <w:rPr>
          <w:rFonts w:hint="eastAsia" w:cs="仿宋" w:asciiTheme="minorEastAsia" w:hAnsiTheme="minorEastAsia" w:eastAsiaTheme="minorEastAsia"/>
          <w:color w:val="000000"/>
          <w:sz w:val="24"/>
          <w:szCs w:val="24"/>
        </w:rPr>
        <w:t>份，均具有同等法律效力，甲方执</w:t>
      </w:r>
      <w:r>
        <w:rPr>
          <w:rFonts w:hint="eastAsia" w:cs="仿宋" w:asciiTheme="minorEastAsia" w:hAnsiTheme="minorEastAsia" w:eastAsiaTheme="minorEastAsia"/>
          <w:color w:val="000000"/>
          <w:sz w:val="24"/>
          <w:szCs w:val="24"/>
          <w:u w:val="single"/>
        </w:rPr>
        <w:t xml:space="preserve"> 肆 </w:t>
      </w:r>
      <w:r>
        <w:rPr>
          <w:rFonts w:hint="eastAsia" w:cs="仿宋" w:asciiTheme="minorEastAsia" w:hAnsiTheme="minorEastAsia" w:eastAsiaTheme="minorEastAsia"/>
          <w:color w:val="000000"/>
          <w:sz w:val="24"/>
          <w:szCs w:val="24"/>
        </w:rPr>
        <w:t>份，乙方执</w:t>
      </w:r>
      <w:r>
        <w:rPr>
          <w:rFonts w:hint="eastAsia" w:cs="仿宋" w:asciiTheme="minorEastAsia" w:hAnsiTheme="minorEastAsia" w:eastAsiaTheme="minorEastAsia"/>
          <w:color w:val="000000"/>
          <w:sz w:val="24"/>
          <w:szCs w:val="24"/>
          <w:u w:val="single"/>
        </w:rPr>
        <w:t xml:space="preserve"> 贰 </w:t>
      </w:r>
      <w:r>
        <w:rPr>
          <w:rFonts w:hint="eastAsia" w:cs="仿宋" w:asciiTheme="minorEastAsia" w:hAnsiTheme="minorEastAsia" w:eastAsiaTheme="minorEastAsia"/>
          <w:color w:val="000000"/>
          <w:sz w:val="24"/>
          <w:szCs w:val="24"/>
        </w:rPr>
        <w:t>份。</w:t>
      </w:r>
    </w:p>
    <w:p w14:paraId="1A2361D6">
      <w:pPr>
        <w:spacing w:line="520" w:lineRule="exact"/>
        <w:ind w:firstLine="482" w:firstLineChars="200"/>
        <w:rPr>
          <w:rFonts w:cs="宋体" w:asciiTheme="minorEastAsia" w:hAnsiTheme="minorEastAsia" w:eastAsiaTheme="minorEastAsia"/>
          <w:b/>
          <w:bCs/>
          <w:sz w:val="24"/>
          <w:szCs w:val="24"/>
          <w:lang w:bidi="ar"/>
        </w:rPr>
      </w:pPr>
      <w:r>
        <w:rPr>
          <w:rFonts w:hint="eastAsia" w:cs="宋体" w:asciiTheme="minorEastAsia" w:hAnsiTheme="minorEastAsia" w:eastAsiaTheme="minorEastAsia"/>
          <w:b/>
          <w:bCs/>
          <w:sz w:val="24"/>
          <w:szCs w:val="24"/>
          <w:lang w:bidi="ar"/>
        </w:rPr>
        <w:t>十</w:t>
      </w:r>
      <w:r>
        <w:rPr>
          <w:rFonts w:hint="eastAsia" w:cs="宋体" w:asciiTheme="minorEastAsia" w:hAnsiTheme="minorEastAsia" w:eastAsiaTheme="minorEastAsia"/>
          <w:b/>
          <w:bCs/>
          <w:sz w:val="24"/>
          <w:szCs w:val="24"/>
          <w:lang w:eastAsia="zh-CN" w:bidi="ar"/>
        </w:rPr>
        <w:t>八</w:t>
      </w:r>
      <w:r>
        <w:rPr>
          <w:rFonts w:hint="eastAsia" w:cs="宋体" w:asciiTheme="minorEastAsia" w:hAnsiTheme="minorEastAsia" w:eastAsiaTheme="minorEastAsia"/>
          <w:b/>
          <w:bCs/>
          <w:sz w:val="24"/>
          <w:szCs w:val="24"/>
          <w:lang w:bidi="ar"/>
        </w:rPr>
        <w:t>、合同生效</w:t>
      </w:r>
    </w:p>
    <w:p w14:paraId="32E2DD50">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合同订立时间：</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年 </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月</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日</w:t>
      </w:r>
    </w:p>
    <w:p w14:paraId="182B4648">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合同订立地点：</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w:t>
      </w:r>
    </w:p>
    <w:p w14:paraId="6903D8C3">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本合同约定</w:t>
      </w:r>
      <w:r>
        <w:rPr>
          <w:rFonts w:hint="eastAsia" w:cs="宋体" w:asciiTheme="minorEastAsia" w:hAnsiTheme="minorEastAsia" w:eastAsiaTheme="minorEastAsia"/>
          <w:sz w:val="24"/>
          <w:szCs w:val="24"/>
          <w:u w:val="single"/>
          <w:lang w:bidi="ar"/>
        </w:rPr>
        <w:t xml:space="preserve">  双方签字、盖章   </w:t>
      </w:r>
      <w:r>
        <w:rPr>
          <w:rFonts w:hint="eastAsia" w:cs="宋体" w:asciiTheme="minorEastAsia" w:hAnsiTheme="minorEastAsia" w:eastAsiaTheme="minorEastAsia"/>
          <w:sz w:val="24"/>
          <w:szCs w:val="24"/>
          <w:lang w:bidi="ar"/>
        </w:rPr>
        <w:t>后生效。</w:t>
      </w:r>
    </w:p>
    <w:p w14:paraId="15BE5A86">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甲方：</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乙方：</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w:t>
      </w:r>
    </w:p>
    <w:p w14:paraId="3CC3CFB0">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 xml:space="preserve">（公章）                             （公章）                         </w:t>
      </w:r>
    </w:p>
    <w:p w14:paraId="53AFDC4F">
      <w:pPr>
        <w:spacing w:line="520" w:lineRule="exact"/>
        <w:ind w:firstLine="480" w:firstLineChars="200"/>
        <w:rPr>
          <w:rFonts w:cs="宋体" w:asciiTheme="minorEastAsia" w:hAnsiTheme="minorEastAsia" w:eastAsiaTheme="minorEastAsia"/>
          <w:sz w:val="24"/>
          <w:szCs w:val="24"/>
          <w:u w:val="single"/>
          <w:lang w:bidi="ar"/>
        </w:rPr>
      </w:pPr>
      <w:r>
        <w:rPr>
          <w:rFonts w:hint="eastAsia" w:cs="宋体" w:asciiTheme="minorEastAsia" w:hAnsiTheme="minorEastAsia" w:eastAsiaTheme="minorEastAsia"/>
          <w:sz w:val="24"/>
          <w:szCs w:val="24"/>
          <w:lang w:bidi="ar"/>
        </w:rPr>
        <w:t>法定代表人：</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法定代表人：</w:t>
      </w:r>
      <w:r>
        <w:rPr>
          <w:rFonts w:hint="eastAsia" w:cs="宋体" w:asciiTheme="minorEastAsia" w:hAnsiTheme="minorEastAsia" w:eastAsiaTheme="minorEastAsia"/>
          <w:sz w:val="24"/>
          <w:szCs w:val="24"/>
          <w:u w:val="single"/>
          <w:lang w:bidi="ar"/>
        </w:rPr>
        <w:t xml:space="preserve">          </w:t>
      </w:r>
    </w:p>
    <w:p w14:paraId="58E0D8CC">
      <w:pPr>
        <w:spacing w:line="520" w:lineRule="exact"/>
        <w:ind w:firstLine="480" w:firstLineChars="200"/>
        <w:rPr>
          <w:rFonts w:cs="宋体" w:asciiTheme="minorEastAsia" w:hAnsiTheme="minorEastAsia" w:eastAsiaTheme="minorEastAsia"/>
          <w:sz w:val="24"/>
          <w:szCs w:val="24"/>
          <w:lang w:bidi="ar"/>
        </w:rPr>
      </w:pPr>
      <w:r>
        <w:rPr>
          <w:rFonts w:hint="eastAsia" w:cs="宋体" w:asciiTheme="minorEastAsia" w:hAnsiTheme="minorEastAsia" w:eastAsiaTheme="minorEastAsia"/>
          <w:sz w:val="24"/>
          <w:szCs w:val="24"/>
          <w:lang w:bidi="ar"/>
        </w:rPr>
        <w:t>（签字或盖章）                       （签字或盖章）</w:t>
      </w:r>
    </w:p>
    <w:p w14:paraId="5733C9AA">
      <w:pPr>
        <w:spacing w:line="520" w:lineRule="exact"/>
        <w:ind w:firstLine="480" w:firstLineChars="200"/>
        <w:rPr>
          <w:rFonts w:asciiTheme="minorEastAsia" w:hAnsiTheme="minorEastAsia" w:eastAsiaTheme="minorEastAsia"/>
          <w:sz w:val="24"/>
          <w:szCs w:val="24"/>
        </w:rPr>
      </w:pPr>
      <w:r>
        <w:rPr>
          <w:rFonts w:hint="eastAsia" w:cs="宋体" w:asciiTheme="minorEastAsia" w:hAnsiTheme="minorEastAsia" w:eastAsiaTheme="minorEastAsia"/>
          <w:sz w:val="24"/>
          <w:szCs w:val="24"/>
          <w:lang w:bidi="ar"/>
        </w:rPr>
        <w:t>地址：</w:t>
      </w:r>
      <w:r>
        <w:rPr>
          <w:rFonts w:hint="eastAsia" w:cs="宋体" w:asciiTheme="minorEastAsia" w:hAnsiTheme="minorEastAsia" w:eastAsiaTheme="minorEastAsia"/>
          <w:sz w:val="24"/>
          <w:szCs w:val="24"/>
          <w:u w:val="single"/>
          <w:lang w:bidi="ar"/>
        </w:rPr>
        <w:t xml:space="preserve"> </w:t>
      </w:r>
      <w:r>
        <w:rPr>
          <w:rFonts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lang w:bidi="ar"/>
        </w:rPr>
        <w:t xml:space="preserve">       </w:t>
      </w:r>
      <w:r>
        <w:rPr>
          <w:rFonts w:cs="宋体" w:asciiTheme="minorEastAsia" w:hAnsiTheme="minorEastAsia" w:eastAsiaTheme="minorEastAsia"/>
          <w:sz w:val="24"/>
          <w:szCs w:val="24"/>
          <w:lang w:bidi="ar"/>
        </w:rPr>
        <w:t xml:space="preserve">   </w:t>
      </w:r>
      <w:r>
        <w:rPr>
          <w:rFonts w:hint="eastAsia" w:cs="宋体" w:asciiTheme="minorEastAsia" w:hAnsiTheme="minorEastAsia" w:eastAsiaTheme="minorEastAsia"/>
          <w:sz w:val="24"/>
          <w:szCs w:val="24"/>
          <w:lang w:bidi="ar"/>
        </w:rPr>
        <w:t xml:space="preserve">  地址：</w:t>
      </w:r>
      <w:r>
        <w:rPr>
          <w:rFonts w:hint="eastAsia" w:cs="宋体" w:asciiTheme="minorEastAsia" w:hAnsiTheme="minorEastAsia" w:eastAsiaTheme="minorEastAsia"/>
          <w:sz w:val="24"/>
          <w:szCs w:val="24"/>
          <w:u w:val="single"/>
          <w:lang w:bidi="ar"/>
        </w:rPr>
        <w:t xml:space="preserve">           </w:t>
      </w:r>
      <w:r>
        <w:rPr>
          <w:rFonts w:hint="eastAsia" w:cs="宋体" w:asciiTheme="minorEastAsia" w:hAnsiTheme="minorEastAsia" w:eastAsiaTheme="minorEastAsia"/>
          <w:sz w:val="24"/>
          <w:szCs w:val="24"/>
          <w:u w:val="single"/>
        </w:rPr>
        <w:t xml:space="preserve">   </w:t>
      </w:r>
    </w:p>
    <w:p w14:paraId="0164A19B">
      <w:pPr>
        <w:rPr>
          <w:rFonts w:cs="仿宋" w:asciiTheme="minorEastAsia" w:hAnsiTheme="minorEastAsia" w:eastAsiaTheme="minorEastAsia"/>
          <w:sz w:val="24"/>
          <w:szCs w:val="24"/>
        </w:rPr>
      </w:pPr>
    </w:p>
    <w:p w14:paraId="67BD184E">
      <w:pPr>
        <w:rPr>
          <w:rFonts w:cs="仿宋" w:asciiTheme="minorEastAsia" w:hAnsiTheme="minorEastAsia" w:eastAsiaTheme="minorEastAsia"/>
          <w:sz w:val="24"/>
          <w:szCs w:val="24"/>
        </w:rPr>
      </w:pPr>
    </w:p>
    <w:p w14:paraId="0C2923C9">
      <w:pPr>
        <w:rPr>
          <w:rFonts w:cs="仿宋" w:asciiTheme="minorEastAsia" w:hAnsiTheme="minorEastAsia" w:eastAsiaTheme="minorEastAsia"/>
          <w:sz w:val="24"/>
          <w:szCs w:val="24"/>
        </w:rPr>
      </w:pPr>
    </w:p>
    <w:p w14:paraId="6C4CE0CC">
      <w:pPr>
        <w:rPr>
          <w:rFonts w:cs="仿宋" w:asciiTheme="minorEastAsia" w:hAnsiTheme="minorEastAsia" w:eastAsiaTheme="minorEastAsia"/>
          <w:sz w:val="24"/>
          <w:szCs w:val="24"/>
        </w:rPr>
      </w:pPr>
    </w:p>
    <w:p w14:paraId="0DA9F73E">
      <w:pPr>
        <w:rPr>
          <w:rFonts w:cs="仿宋" w:asciiTheme="minorEastAsia" w:hAnsiTheme="minorEastAsia" w:eastAsiaTheme="minorEastAsia"/>
          <w:sz w:val="24"/>
          <w:szCs w:val="24"/>
        </w:rPr>
      </w:pPr>
    </w:p>
    <w:p w14:paraId="0E8F00F4">
      <w:pPr>
        <w:rPr>
          <w:rFonts w:hint="eastAsia" w:cs="仿宋" w:asciiTheme="minorEastAsia" w:hAnsiTheme="minorEastAsia" w:eastAsiaTheme="minorEastAsia"/>
          <w:sz w:val="24"/>
          <w:szCs w:val="24"/>
        </w:rPr>
      </w:pPr>
    </w:p>
    <w:p w14:paraId="724D0D07">
      <w:pPr>
        <w:rPr>
          <w:rFonts w:hint="eastAsia" w:cs="仿宋" w:asciiTheme="minorEastAsia" w:hAnsiTheme="minorEastAsia" w:eastAsiaTheme="minorEastAsia"/>
          <w:sz w:val="24"/>
          <w:szCs w:val="24"/>
        </w:rPr>
      </w:pPr>
    </w:p>
    <w:p w14:paraId="46091C0D">
      <w:pPr>
        <w:keepNext/>
        <w:keepLines/>
        <w:pageBreakBefore/>
        <w:jc w:val="center"/>
        <w:outlineLvl w:val="0"/>
        <w:rPr>
          <w:b/>
          <w:sz w:val="44"/>
          <w:szCs w:val="44"/>
        </w:rPr>
      </w:pPr>
      <w:r>
        <w:rPr>
          <w:rFonts w:hint="eastAsia"/>
          <w:b/>
          <w:sz w:val="44"/>
          <w:szCs w:val="44"/>
        </w:rPr>
        <w:t>第六章  投标文件格式</w:t>
      </w:r>
      <w:bookmarkEnd w:id="140"/>
      <w:bookmarkEnd w:id="141"/>
      <w:bookmarkEnd w:id="142"/>
      <w:bookmarkEnd w:id="143"/>
      <w:bookmarkEnd w:id="144"/>
      <w:bookmarkEnd w:id="145"/>
    </w:p>
    <w:p w14:paraId="3224BA33">
      <w:bookmarkStart w:id="146" w:name="EB819316f773b24a75aef829f9b72900c0"/>
    </w:p>
    <w:p w14:paraId="0A6DD881">
      <w:pPr>
        <w:rPr>
          <w:rFonts w:ascii="Times New Roman" w:hAnsi="Times New Roman"/>
          <w:b/>
          <w:sz w:val="72"/>
        </w:rPr>
      </w:pPr>
      <w:bookmarkStart w:id="147" w:name="_Toc15716"/>
    </w:p>
    <w:p w14:paraId="4544BD80">
      <w:pPr>
        <w:rPr>
          <w:rFonts w:ascii="Times New Roman" w:hAnsi="Times New Roman"/>
          <w:b/>
          <w:sz w:val="72"/>
        </w:rPr>
      </w:pPr>
    </w:p>
    <w:p w14:paraId="1AC3401D">
      <w:pPr>
        <w:rPr>
          <w:rFonts w:ascii="Times New Roman" w:hAnsi="Times New Roman"/>
          <w:b/>
          <w:sz w:val="72"/>
        </w:rPr>
      </w:pPr>
    </w:p>
    <w:p w14:paraId="57BBDB51">
      <w:pPr>
        <w:jc w:val="center"/>
        <w:rPr>
          <w:rFonts w:ascii="Times New Roman" w:hAnsi="Times New Roman"/>
          <w:b/>
          <w:sz w:val="72"/>
        </w:rPr>
      </w:pPr>
      <w:r>
        <w:rPr>
          <w:rFonts w:hint="eastAsia" w:ascii="Times New Roman" w:hAnsi="Times New Roman"/>
          <w:b/>
          <w:sz w:val="72"/>
        </w:rPr>
        <w:t>投  标  文  件</w:t>
      </w:r>
    </w:p>
    <w:p w14:paraId="49D81F4E">
      <w:pPr>
        <w:jc w:val="center"/>
        <w:rPr>
          <w:rFonts w:ascii="Times New Roman" w:hAnsi="Times New Roman"/>
          <w:b/>
          <w:sz w:val="72"/>
        </w:rPr>
      </w:pPr>
    </w:p>
    <w:p w14:paraId="392916AB">
      <w:pPr>
        <w:jc w:val="center"/>
        <w:rPr>
          <w:rFonts w:ascii="Times New Roman" w:hAnsi="Times New Roman"/>
          <w:b/>
          <w:sz w:val="72"/>
        </w:rPr>
      </w:pPr>
    </w:p>
    <w:p w14:paraId="17933359">
      <w:pPr>
        <w:jc w:val="center"/>
        <w:rPr>
          <w:rFonts w:ascii="Times New Roman" w:hAnsi="Times New Roman"/>
          <w:b/>
          <w:sz w:val="72"/>
        </w:rPr>
      </w:pPr>
    </w:p>
    <w:p w14:paraId="13C05D55">
      <w:pPr>
        <w:jc w:val="center"/>
        <w:rPr>
          <w:rFonts w:ascii="Times New Roman" w:hAnsi="Times New Roman"/>
          <w:b/>
          <w:sz w:val="72"/>
        </w:rPr>
      </w:pPr>
    </w:p>
    <w:p w14:paraId="3DC49070">
      <w:pPr>
        <w:jc w:val="center"/>
        <w:rPr>
          <w:rFonts w:ascii="Times New Roman" w:hAnsi="Times New Roman"/>
          <w:b/>
          <w:sz w:val="72"/>
        </w:rPr>
      </w:pPr>
    </w:p>
    <w:p w14:paraId="30676FB8">
      <w:pPr>
        <w:jc w:val="center"/>
        <w:rPr>
          <w:rFonts w:ascii="Times New Roman" w:hAnsi="Times New Roman"/>
          <w:b/>
          <w:sz w:val="36"/>
        </w:rPr>
      </w:pPr>
    </w:p>
    <w:p w14:paraId="65E43E49">
      <w:pPr>
        <w:jc w:val="center"/>
        <w:rPr>
          <w:rFonts w:ascii="Times New Roman" w:hAnsi="Times New Roman"/>
          <w:b/>
          <w:sz w:val="36"/>
        </w:rPr>
      </w:pPr>
    </w:p>
    <w:p w14:paraId="5BCB68D2">
      <w:pPr>
        <w:jc w:val="center"/>
        <w:rPr>
          <w:rFonts w:ascii="Times New Roman" w:hAnsi="Times New Roman"/>
          <w:b/>
          <w:sz w:val="36"/>
        </w:rPr>
      </w:pPr>
    </w:p>
    <w:p w14:paraId="5469D754">
      <w:pPr>
        <w:ind w:firstLine="1084"/>
        <w:rPr>
          <w:rFonts w:ascii="Times New Roman" w:hAnsi="Times New Roman"/>
          <w:b/>
          <w:sz w:val="36"/>
        </w:rPr>
      </w:pPr>
      <w:r>
        <w:rPr>
          <w:rFonts w:hint="eastAsia" w:ascii="Times New Roman" w:hAnsi="Times New Roman"/>
          <w:b/>
          <w:sz w:val="36"/>
        </w:rPr>
        <w:t>项 目 名 称：</w:t>
      </w:r>
      <w:r>
        <w:rPr>
          <w:rFonts w:hint="eastAsia" w:ascii="Times New Roman" w:hAnsi="Times New Roman"/>
          <w:b/>
          <w:sz w:val="36"/>
          <w:u w:val="single"/>
        </w:rPr>
        <w:t xml:space="preserve">               </w:t>
      </w:r>
    </w:p>
    <w:p w14:paraId="0472CADF">
      <w:pPr>
        <w:ind w:firstLine="1084"/>
        <w:rPr>
          <w:rFonts w:ascii="Times New Roman" w:hAnsi="Times New Roman"/>
          <w:b/>
          <w:sz w:val="36"/>
          <w:u w:val="single"/>
        </w:rPr>
      </w:pPr>
      <w:r>
        <w:rPr>
          <w:rFonts w:hint="eastAsia" w:ascii="Times New Roman" w:hAnsi="Times New Roman"/>
          <w:b/>
          <w:sz w:val="36"/>
        </w:rPr>
        <w:t>项 目 编 号：</w:t>
      </w:r>
      <w:r>
        <w:rPr>
          <w:rFonts w:hint="eastAsia" w:ascii="Times New Roman" w:hAnsi="Times New Roman"/>
          <w:b/>
          <w:sz w:val="36"/>
          <w:u w:val="single"/>
        </w:rPr>
        <w:t xml:space="preserve">               </w:t>
      </w:r>
    </w:p>
    <w:p w14:paraId="3B0D1EC6">
      <w:pPr>
        <w:rPr>
          <w:rFonts w:ascii="Times New Roman" w:hAnsi="Times New Roman"/>
          <w:b/>
          <w:sz w:val="36"/>
          <w:u w:val="single"/>
        </w:rPr>
      </w:pPr>
      <w:r>
        <w:rPr>
          <w:rFonts w:hint="eastAsia" w:ascii="Times New Roman" w:hAnsi="Times New Roman"/>
          <w:b/>
          <w:sz w:val="36"/>
        </w:rPr>
        <w:t xml:space="preserve">      投标人名称 ：</w:t>
      </w:r>
      <w:r>
        <w:rPr>
          <w:rFonts w:hint="eastAsia" w:ascii="Times New Roman" w:hAnsi="Times New Roman"/>
          <w:b/>
          <w:sz w:val="36"/>
          <w:u w:val="single"/>
        </w:rPr>
        <w:t>（盖CA电子公章）</w:t>
      </w:r>
    </w:p>
    <w:p w14:paraId="358B44F6">
      <w:pPr>
        <w:rPr>
          <w:rFonts w:ascii="Times New Roman" w:hAnsi="Times New Roman"/>
          <w:b/>
          <w:sz w:val="36"/>
          <w:u w:val="single"/>
        </w:rPr>
      </w:pPr>
      <w:r>
        <w:rPr>
          <w:rFonts w:hint="eastAsia" w:ascii="Times New Roman" w:hAnsi="Times New Roman"/>
          <w:b/>
          <w:sz w:val="36"/>
        </w:rPr>
        <w:t xml:space="preserve">      日      期 ：</w:t>
      </w:r>
      <w:r>
        <w:rPr>
          <w:rFonts w:hint="eastAsia" w:ascii="Times New Roman" w:hAnsi="Times New Roman"/>
          <w:b/>
          <w:sz w:val="36"/>
          <w:u w:val="single"/>
        </w:rPr>
        <w:t xml:space="preserve">               </w:t>
      </w:r>
      <w:bookmarkEnd w:id="147"/>
    </w:p>
    <w:bookmarkEnd w:id="146"/>
    <w:p w14:paraId="10501072">
      <w:pPr>
        <w:pStyle w:val="312"/>
        <w:rPr>
          <w:rFonts w:ascii="宋体" w:hAnsi="宋体" w:eastAsia="宋体" w:cs="宋体"/>
        </w:rPr>
      </w:pPr>
    </w:p>
    <w:p w14:paraId="55F7E038">
      <w:pPr>
        <w:pStyle w:val="312"/>
        <w:rPr>
          <w:rFonts w:ascii="宋体" w:hAnsi="宋体" w:eastAsia="宋体" w:cs="宋体"/>
        </w:rPr>
      </w:pPr>
    </w:p>
    <w:p w14:paraId="2B616D3F">
      <w:pPr>
        <w:pStyle w:val="312"/>
        <w:rPr>
          <w:rFonts w:ascii="宋体" w:hAnsi="宋体" w:eastAsia="宋体" w:cs="宋体"/>
        </w:rPr>
      </w:pPr>
    </w:p>
    <w:p w14:paraId="5BF1EEF0">
      <w:pPr>
        <w:pStyle w:val="312"/>
        <w:rPr>
          <w:rFonts w:ascii="宋体" w:hAnsi="宋体" w:eastAsia="宋体" w:cs="宋体"/>
        </w:rPr>
      </w:pPr>
    </w:p>
    <w:p w14:paraId="009C2C15">
      <w:pPr>
        <w:pStyle w:val="312"/>
        <w:rPr>
          <w:rFonts w:ascii="宋体" w:hAnsi="宋体" w:eastAsia="宋体" w:cs="宋体"/>
        </w:rPr>
      </w:pPr>
    </w:p>
    <w:p w14:paraId="44867BAF">
      <w:pPr>
        <w:pStyle w:val="312"/>
        <w:rPr>
          <w:rFonts w:ascii="宋体" w:hAnsi="宋体" w:eastAsia="宋体" w:cs="宋体"/>
        </w:rPr>
      </w:pPr>
    </w:p>
    <w:p w14:paraId="63B4DF9E">
      <w:pPr>
        <w:pStyle w:val="312"/>
        <w:rPr>
          <w:rFonts w:ascii="宋体" w:hAnsi="宋体" w:eastAsia="宋体" w:cs="宋体"/>
        </w:rPr>
      </w:pPr>
    </w:p>
    <w:p w14:paraId="59E89EBC">
      <w:pPr>
        <w:pStyle w:val="312"/>
        <w:spacing w:line="360" w:lineRule="auto"/>
        <w:jc w:val="center"/>
        <w:rPr>
          <w:rFonts w:ascii="宋体" w:hAnsi="宋体" w:eastAsia="宋体" w:cs="宋体"/>
          <w:b/>
          <w:bCs/>
          <w:sz w:val="32"/>
          <w:szCs w:val="32"/>
        </w:rPr>
      </w:pPr>
    </w:p>
    <w:p w14:paraId="171E7511">
      <w:pPr>
        <w:spacing w:line="440" w:lineRule="exact"/>
        <w:jc w:val="center"/>
        <w:rPr>
          <w:b/>
          <w:bCs/>
          <w:color w:val="000000"/>
          <w:sz w:val="32"/>
          <w:szCs w:val="32"/>
        </w:rPr>
      </w:pPr>
      <w:r>
        <w:rPr>
          <w:rFonts w:hint="eastAsia"/>
          <w:b/>
          <w:bCs/>
          <w:color w:val="000000"/>
          <w:sz w:val="32"/>
          <w:szCs w:val="32"/>
        </w:rPr>
        <w:t>投标文件目录</w:t>
      </w:r>
    </w:p>
    <w:p w14:paraId="4E3886D7">
      <w:pPr>
        <w:spacing w:line="440" w:lineRule="exact"/>
        <w:jc w:val="center"/>
        <w:rPr>
          <w:b/>
          <w:bCs/>
          <w:color w:val="000000"/>
          <w:sz w:val="32"/>
          <w:szCs w:val="32"/>
        </w:rPr>
      </w:pPr>
    </w:p>
    <w:p w14:paraId="1FB6187E">
      <w:pPr>
        <w:spacing w:line="600" w:lineRule="exact"/>
        <w:ind w:firstLine="560"/>
        <w:rPr>
          <w:rFonts w:cs="宋体"/>
          <w:color w:val="000000"/>
          <w:sz w:val="28"/>
          <w:szCs w:val="28"/>
        </w:rPr>
      </w:pPr>
      <w:r>
        <w:rPr>
          <w:rFonts w:hint="eastAsia" w:cs="宋体"/>
          <w:color w:val="000000"/>
          <w:sz w:val="28"/>
          <w:szCs w:val="28"/>
        </w:rPr>
        <w:t>一、投标函</w:t>
      </w:r>
    </w:p>
    <w:p w14:paraId="744A3B59">
      <w:pPr>
        <w:spacing w:line="600" w:lineRule="exact"/>
        <w:ind w:firstLine="560"/>
        <w:rPr>
          <w:rFonts w:cs="宋体"/>
          <w:color w:val="000000"/>
          <w:sz w:val="28"/>
          <w:szCs w:val="28"/>
        </w:rPr>
      </w:pPr>
      <w:r>
        <w:rPr>
          <w:rFonts w:hint="eastAsia" w:cs="宋体"/>
          <w:color w:val="000000"/>
          <w:sz w:val="28"/>
          <w:szCs w:val="28"/>
        </w:rPr>
        <w:t>二、投标人基本情况</w:t>
      </w:r>
    </w:p>
    <w:p w14:paraId="1B0AE713">
      <w:pPr>
        <w:spacing w:line="600" w:lineRule="exact"/>
        <w:ind w:firstLine="560"/>
        <w:rPr>
          <w:rFonts w:cs="宋体"/>
          <w:color w:val="000000"/>
          <w:sz w:val="28"/>
          <w:szCs w:val="28"/>
        </w:rPr>
      </w:pPr>
      <w:r>
        <w:rPr>
          <w:rFonts w:hint="eastAsia" w:cs="宋体"/>
          <w:color w:val="000000"/>
          <w:sz w:val="28"/>
          <w:szCs w:val="28"/>
        </w:rPr>
        <w:t>三、满足特定资格要求的证明文件（如果设置特定资格要求，则需要提供）</w:t>
      </w:r>
    </w:p>
    <w:p w14:paraId="12A20BA6">
      <w:pPr>
        <w:spacing w:line="600" w:lineRule="exact"/>
        <w:ind w:firstLine="560"/>
        <w:rPr>
          <w:rFonts w:cs="宋体"/>
          <w:color w:val="000000"/>
          <w:sz w:val="28"/>
          <w:szCs w:val="28"/>
        </w:rPr>
      </w:pPr>
      <w:r>
        <w:rPr>
          <w:rFonts w:hint="eastAsia" w:cs="宋体"/>
          <w:color w:val="000000"/>
          <w:sz w:val="28"/>
          <w:szCs w:val="28"/>
        </w:rPr>
        <w:t>四、法人授权书</w:t>
      </w:r>
    </w:p>
    <w:p w14:paraId="57CE0AFD">
      <w:pPr>
        <w:spacing w:line="600" w:lineRule="exact"/>
        <w:ind w:firstLine="560"/>
        <w:rPr>
          <w:rFonts w:cs="宋体"/>
          <w:color w:val="000000"/>
          <w:sz w:val="28"/>
          <w:szCs w:val="28"/>
        </w:rPr>
      </w:pPr>
      <w:r>
        <w:rPr>
          <w:rFonts w:hint="eastAsia" w:cs="宋体"/>
          <w:color w:val="000000"/>
          <w:sz w:val="28"/>
          <w:szCs w:val="28"/>
        </w:rPr>
        <w:t>五、开标一览表</w:t>
      </w:r>
    </w:p>
    <w:p w14:paraId="7C957CE4">
      <w:pPr>
        <w:spacing w:line="600" w:lineRule="exact"/>
        <w:ind w:firstLine="560"/>
        <w:rPr>
          <w:rFonts w:cs="宋体"/>
          <w:color w:val="000000"/>
          <w:sz w:val="28"/>
          <w:szCs w:val="28"/>
        </w:rPr>
      </w:pPr>
      <w:r>
        <w:rPr>
          <w:rFonts w:hint="eastAsia" w:cs="宋体"/>
          <w:color w:val="000000"/>
          <w:sz w:val="28"/>
          <w:szCs w:val="28"/>
        </w:rPr>
        <w:t>六、投标报价明细表</w:t>
      </w:r>
    </w:p>
    <w:p w14:paraId="74DD22EB">
      <w:pPr>
        <w:spacing w:line="600" w:lineRule="exact"/>
        <w:ind w:firstLine="560"/>
        <w:rPr>
          <w:rFonts w:cs="宋体"/>
          <w:color w:val="000000"/>
          <w:sz w:val="28"/>
          <w:szCs w:val="28"/>
        </w:rPr>
      </w:pPr>
      <w:r>
        <w:rPr>
          <w:rFonts w:hint="eastAsia" w:cs="宋体"/>
          <w:color w:val="000000"/>
          <w:sz w:val="28"/>
          <w:szCs w:val="28"/>
        </w:rPr>
        <w:t>七、中小企业声明函</w:t>
      </w:r>
    </w:p>
    <w:p w14:paraId="0BE2C0F6">
      <w:pPr>
        <w:spacing w:line="600" w:lineRule="exact"/>
        <w:ind w:firstLine="560"/>
        <w:rPr>
          <w:rFonts w:cs="宋体"/>
          <w:color w:val="000000"/>
          <w:sz w:val="28"/>
          <w:szCs w:val="28"/>
        </w:rPr>
      </w:pPr>
      <w:r>
        <w:rPr>
          <w:rFonts w:hint="eastAsia" w:cs="宋体"/>
          <w:color w:val="000000"/>
          <w:sz w:val="28"/>
          <w:szCs w:val="28"/>
        </w:rPr>
        <w:t>八、项目组成员</w:t>
      </w:r>
    </w:p>
    <w:p w14:paraId="29F50586">
      <w:pPr>
        <w:spacing w:line="600" w:lineRule="exact"/>
        <w:ind w:firstLine="560"/>
        <w:rPr>
          <w:rFonts w:cs="宋体"/>
          <w:color w:val="000000"/>
          <w:sz w:val="28"/>
          <w:szCs w:val="28"/>
        </w:rPr>
      </w:pPr>
      <w:r>
        <w:rPr>
          <w:rFonts w:hint="eastAsia" w:cs="宋体"/>
          <w:color w:val="000000"/>
          <w:sz w:val="28"/>
          <w:szCs w:val="28"/>
        </w:rPr>
        <w:t>九、企业业绩</w:t>
      </w:r>
    </w:p>
    <w:p w14:paraId="0B8B4ECD">
      <w:pPr>
        <w:spacing w:line="600" w:lineRule="exact"/>
        <w:ind w:firstLine="560"/>
        <w:rPr>
          <w:rFonts w:cs="宋体"/>
          <w:color w:val="000000"/>
          <w:sz w:val="28"/>
          <w:szCs w:val="28"/>
        </w:rPr>
      </w:pPr>
      <w:r>
        <w:rPr>
          <w:rFonts w:hint="eastAsia" w:cs="宋体"/>
          <w:color w:val="000000"/>
          <w:sz w:val="28"/>
          <w:szCs w:val="28"/>
        </w:rPr>
        <w:t>十、投标所需其他材料</w:t>
      </w:r>
    </w:p>
    <w:p w14:paraId="27F1E1AB">
      <w:pPr>
        <w:pStyle w:val="27"/>
        <w:rPr>
          <w:rFonts w:ascii="Times New Roman" w:hAnsi="Times New Roman"/>
          <w:caps/>
          <w:color w:val="000000"/>
        </w:rPr>
      </w:pPr>
    </w:p>
    <w:p w14:paraId="275EBA0A">
      <w:pPr>
        <w:spacing w:line="440" w:lineRule="exact"/>
        <w:ind w:firstLine="480"/>
        <w:rPr>
          <w:color w:val="000000"/>
          <w:sz w:val="24"/>
        </w:rPr>
      </w:pPr>
    </w:p>
    <w:p w14:paraId="778E9D49">
      <w:pPr>
        <w:spacing w:line="440" w:lineRule="exact"/>
        <w:ind w:firstLine="480"/>
        <w:rPr>
          <w:color w:val="000000"/>
          <w:sz w:val="24"/>
        </w:rPr>
      </w:pPr>
    </w:p>
    <w:p w14:paraId="3AECE64E">
      <w:pPr>
        <w:spacing w:line="440" w:lineRule="exact"/>
        <w:ind w:firstLine="480"/>
        <w:rPr>
          <w:color w:val="000000"/>
          <w:sz w:val="24"/>
        </w:rPr>
      </w:pPr>
    </w:p>
    <w:p w14:paraId="77271BC4">
      <w:pPr>
        <w:spacing w:line="440" w:lineRule="exact"/>
        <w:ind w:firstLine="480"/>
        <w:rPr>
          <w:color w:val="000000"/>
          <w:sz w:val="24"/>
        </w:rPr>
      </w:pPr>
    </w:p>
    <w:p w14:paraId="4BD20EC8">
      <w:pPr>
        <w:spacing w:line="440" w:lineRule="exact"/>
        <w:ind w:firstLine="480"/>
        <w:rPr>
          <w:color w:val="000000"/>
          <w:sz w:val="24"/>
        </w:rPr>
      </w:pPr>
    </w:p>
    <w:p w14:paraId="7E4B0F54">
      <w:pPr>
        <w:pStyle w:val="312"/>
        <w:rPr>
          <w:color w:val="000000"/>
        </w:rPr>
      </w:pPr>
      <w:bookmarkStart w:id="148" w:name="_Toc23838"/>
    </w:p>
    <w:p w14:paraId="35BF3B42">
      <w:pPr>
        <w:pStyle w:val="312"/>
        <w:rPr>
          <w:color w:val="000000"/>
        </w:rPr>
      </w:pPr>
    </w:p>
    <w:p w14:paraId="59A46D88">
      <w:pPr>
        <w:pStyle w:val="312"/>
        <w:rPr>
          <w:color w:val="000000"/>
        </w:rPr>
      </w:pPr>
    </w:p>
    <w:p w14:paraId="46354342">
      <w:pPr>
        <w:pStyle w:val="312"/>
        <w:rPr>
          <w:color w:val="000000"/>
        </w:rPr>
      </w:pPr>
      <w:r>
        <w:rPr>
          <w:color w:val="000000"/>
        </w:rPr>
        <w:br w:type="page" w:clear="all"/>
      </w:r>
    </w:p>
    <w:bookmarkEnd w:id="148"/>
    <w:p w14:paraId="11CDEA39">
      <w:pPr>
        <w:pStyle w:val="323"/>
        <w:numPr>
          <w:ilvl w:val="0"/>
          <w:numId w:val="7"/>
        </w:numPr>
        <w:rPr>
          <w:rFonts w:hint="eastAsia" w:ascii="Times New Roman" w:hAnsi="Times New Roman"/>
          <w:b/>
          <w:color w:val="000000"/>
          <w:sz w:val="32"/>
          <w:szCs w:val="32"/>
          <w:lang w:val="en-US" w:eastAsia="zh-CN"/>
        </w:rPr>
      </w:pPr>
      <w:bookmarkStart w:id="149" w:name="_Toc120614284"/>
      <w:r>
        <w:rPr>
          <w:rFonts w:hint="eastAsia" w:ascii="Times New Roman" w:hAnsi="Times New Roman"/>
          <w:b/>
          <w:color w:val="000000"/>
          <w:sz w:val="32"/>
          <w:szCs w:val="32"/>
        </w:rPr>
        <w:t>投标函</w:t>
      </w:r>
      <w:r>
        <w:rPr>
          <w:rFonts w:hint="eastAsia" w:ascii="Times New Roman" w:hAnsi="Times New Roman"/>
          <w:b/>
          <w:color w:val="000000"/>
          <w:sz w:val="32"/>
          <w:szCs w:val="32"/>
          <w:lang w:val="en-US" w:eastAsia="zh-CN"/>
        </w:rPr>
        <w:t xml:space="preserve">    </w:t>
      </w:r>
    </w:p>
    <w:p w14:paraId="685DE6D3">
      <w:pPr>
        <w:pStyle w:val="323"/>
        <w:numPr>
          <w:ilvl w:val="0"/>
          <w:numId w:val="0"/>
        </w:numPr>
        <w:jc w:val="center"/>
        <w:rPr>
          <w:rFonts w:hint="default" w:ascii="Times New Roman" w:hAnsi="Times New Roman"/>
          <w:b/>
          <w:color w:val="000000"/>
          <w:sz w:val="32"/>
          <w:szCs w:val="32"/>
          <w:lang w:val="en-US" w:eastAsia="zh-CN"/>
        </w:rPr>
      </w:pPr>
      <w:r>
        <w:rPr>
          <w:rFonts w:hint="eastAsia" w:asciiTheme="minorEastAsia" w:hAnsiTheme="minorEastAsia" w:eastAsiaTheme="minorEastAsia"/>
          <w:b/>
          <w:bCs/>
          <w:color w:val="000000"/>
          <w:sz w:val="28"/>
          <w:szCs w:val="28"/>
          <w:lang w:val="en-US" w:eastAsia="zh-CN"/>
        </w:rPr>
        <w:t>投标函</w:t>
      </w:r>
    </w:p>
    <w:p w14:paraId="7B139ACF">
      <w:pPr>
        <w:pStyle w:val="323"/>
        <w:spacing w:line="500" w:lineRule="exact"/>
        <w:jc w:val="left"/>
        <w:rPr>
          <w:rFonts w:asciiTheme="minorEastAsia" w:hAnsiTheme="minorEastAsia" w:eastAsiaTheme="minorEastAsia"/>
          <w:color w:val="000000"/>
          <w:sz w:val="28"/>
          <w:szCs w:val="28"/>
          <w:u w:val="single"/>
        </w:rPr>
      </w:pPr>
    </w:p>
    <w:p w14:paraId="1E50ABF2">
      <w:pPr>
        <w:pStyle w:val="323"/>
        <w:spacing w:line="500" w:lineRule="exact"/>
        <w:jc w:val="left"/>
        <w:rPr>
          <w:rFonts w:asciiTheme="minorEastAsia" w:hAnsiTheme="minorEastAsia" w:eastAsiaTheme="minorEastAsia"/>
          <w:color w:val="000000"/>
          <w:sz w:val="28"/>
          <w:szCs w:val="28"/>
          <w:u w:val="single"/>
        </w:rPr>
      </w:pPr>
      <w:r>
        <w:rPr>
          <w:rFonts w:hint="eastAsia" w:asciiTheme="minorEastAsia" w:hAnsiTheme="minorEastAsia" w:eastAsiaTheme="minorEastAsia"/>
          <w:color w:val="000000"/>
          <w:sz w:val="28"/>
          <w:szCs w:val="28"/>
          <w:u w:val="single"/>
        </w:rPr>
        <w:t>（采购单位名称）：</w:t>
      </w:r>
    </w:p>
    <w:p w14:paraId="672F86C4">
      <w:pPr>
        <w:pStyle w:val="323"/>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根据已收到的项目编号为</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的</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项目的招标文件，我方在参加本项目招投标活动中，特做出如下承诺：</w:t>
      </w:r>
    </w:p>
    <w:p w14:paraId="3B442954">
      <w:pPr>
        <w:pStyle w:val="323"/>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一、我方</w:t>
      </w:r>
      <w:r>
        <w:rPr>
          <w:rFonts w:asciiTheme="minorEastAsia" w:hAnsiTheme="minorEastAsia" w:eastAsiaTheme="minorEastAsia"/>
          <w:color w:val="000000"/>
          <w:sz w:val="28"/>
          <w:szCs w:val="28"/>
        </w:rPr>
        <w:t>具备《中华人民共和国政府采购法》第二十二条第一款规定的6项条件；</w:t>
      </w:r>
    </w:p>
    <w:p w14:paraId="3629D39F">
      <w:pPr>
        <w:pStyle w:val="323"/>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二、我方在参加政府采购活动前三年内（自本项目开标时间之日起计算），在经营活动中没有重大违法记录（指因违法经营受到刑事处罚或者责令停产停业、吊销许可证或者执照、较大数额罚款等行政处罚）。</w:t>
      </w:r>
    </w:p>
    <w:p w14:paraId="2F4D51C3">
      <w:pPr>
        <w:pStyle w:val="323"/>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三、我方按招标文件要求提交投标文件，响应招标文件规定的投标有效期；</w:t>
      </w:r>
    </w:p>
    <w:p w14:paraId="3A8DD41A">
      <w:pPr>
        <w:pStyle w:val="323"/>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四、如果我方的投标文件被接受，我方将按《中华人民共和国民法典（第三编合同）》及其他有关法律、法规的规定，按期、按质、按量交付采购单位，全面做到履约守信；</w:t>
      </w:r>
    </w:p>
    <w:p w14:paraId="69EF30E0">
      <w:pPr>
        <w:pStyle w:val="323"/>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五、我方若违背本声明及承诺约定，经查实，自愿接受采购人及相关主管部门相应的规定处理，并依法承担相应的法律责任。</w:t>
      </w:r>
    </w:p>
    <w:p w14:paraId="29A55B66">
      <w:pPr>
        <w:pStyle w:val="323"/>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六、我方同意采购人、采购代理机构将本声明及承诺函上网公开。</w:t>
      </w:r>
    </w:p>
    <w:p w14:paraId="258AB00F">
      <w:pPr>
        <w:pStyle w:val="323"/>
        <w:spacing w:line="500" w:lineRule="exact"/>
        <w:ind w:firstLine="480"/>
        <w:jc w:val="left"/>
        <w:rPr>
          <w:rFonts w:asciiTheme="minorEastAsia" w:hAnsiTheme="minorEastAsia" w:eastAsiaTheme="minorEastAsia"/>
          <w:color w:val="000000"/>
          <w:sz w:val="28"/>
          <w:szCs w:val="28"/>
        </w:rPr>
      </w:pPr>
    </w:p>
    <w:p w14:paraId="54AEE70E">
      <w:pPr>
        <w:pStyle w:val="323"/>
        <w:spacing w:line="500" w:lineRule="exact"/>
        <w:jc w:val="left"/>
        <w:rPr>
          <w:rFonts w:asciiTheme="minorEastAsia" w:hAnsiTheme="minorEastAsia" w:eastAsiaTheme="minorEastAsia"/>
          <w:color w:val="000000"/>
          <w:sz w:val="28"/>
          <w:szCs w:val="28"/>
        </w:rPr>
      </w:pPr>
    </w:p>
    <w:p w14:paraId="28BF4C4C">
      <w:pPr>
        <w:pStyle w:val="323"/>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投标人名称： </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（加盖CA电子公章）</w:t>
      </w:r>
    </w:p>
    <w:p w14:paraId="0333AF27">
      <w:pPr>
        <w:pStyle w:val="323"/>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日期：    年    月   日</w:t>
      </w:r>
    </w:p>
    <w:p w14:paraId="7062B400">
      <w:pPr>
        <w:pStyle w:val="312"/>
        <w:rPr>
          <w:color w:val="000000"/>
        </w:rPr>
      </w:pPr>
      <w:r>
        <w:rPr>
          <w:color w:val="000000"/>
        </w:rPr>
        <w:br w:type="page" w:clear="all"/>
      </w:r>
      <w:r>
        <w:rPr>
          <w:rFonts w:hint="eastAsia" w:eastAsia="宋体"/>
          <w:b/>
          <w:color w:val="000000"/>
          <w:sz w:val="32"/>
          <w:szCs w:val="32"/>
        </w:rPr>
        <w:t>二、投标人基本情况</w:t>
      </w:r>
    </w:p>
    <w:p w14:paraId="5429B24D">
      <w:pPr>
        <w:pStyle w:val="309"/>
        <w:jc w:val="center"/>
        <w:rPr>
          <w:rFonts w:ascii="Times New Roman" w:hAnsi="Times New Roman"/>
          <w:color w:val="000000"/>
          <w:sz w:val="44"/>
          <w:szCs w:val="44"/>
        </w:rPr>
      </w:pPr>
      <w:r>
        <w:rPr>
          <w:rFonts w:hint="eastAsia" w:ascii="Times New Roman" w:hAnsi="Times New Roman"/>
          <w:color w:val="000000"/>
          <w:sz w:val="44"/>
          <w:szCs w:val="44"/>
        </w:rPr>
        <w:t>投标人基本情况表</w:t>
      </w:r>
    </w:p>
    <w:tbl>
      <w:tblPr>
        <w:tblStyle w:val="3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838"/>
        <w:gridCol w:w="2806"/>
        <w:gridCol w:w="1588"/>
        <w:gridCol w:w="2410"/>
      </w:tblGrid>
      <w:tr w14:paraId="3C0514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3593A35C">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投标人名称</w:t>
            </w:r>
          </w:p>
        </w:tc>
        <w:tc>
          <w:tcPr>
            <w:tcW w:w="6804" w:type="dxa"/>
            <w:gridSpan w:val="3"/>
            <w:vAlign w:val="center"/>
          </w:tcPr>
          <w:p w14:paraId="457FB7D3">
            <w:pPr>
              <w:pStyle w:val="309"/>
              <w:spacing w:line="600" w:lineRule="exact"/>
              <w:jc w:val="center"/>
              <w:rPr>
                <w:rFonts w:asciiTheme="minorEastAsia" w:hAnsiTheme="minorEastAsia" w:eastAsiaTheme="minorEastAsia"/>
                <w:color w:val="000000"/>
                <w:sz w:val="28"/>
                <w:szCs w:val="28"/>
              </w:rPr>
            </w:pPr>
          </w:p>
        </w:tc>
      </w:tr>
      <w:tr w14:paraId="1BA3CB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01CADDA0">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法定代表人</w:t>
            </w:r>
          </w:p>
        </w:tc>
        <w:tc>
          <w:tcPr>
            <w:tcW w:w="2806" w:type="dxa"/>
            <w:vAlign w:val="center"/>
          </w:tcPr>
          <w:p w14:paraId="2B62ADA4">
            <w:pPr>
              <w:pStyle w:val="309"/>
              <w:spacing w:line="600" w:lineRule="exact"/>
              <w:jc w:val="center"/>
              <w:rPr>
                <w:rFonts w:asciiTheme="minorEastAsia" w:hAnsiTheme="minorEastAsia" w:eastAsiaTheme="minorEastAsia"/>
                <w:color w:val="000000"/>
                <w:sz w:val="28"/>
                <w:szCs w:val="28"/>
              </w:rPr>
            </w:pPr>
          </w:p>
        </w:tc>
        <w:tc>
          <w:tcPr>
            <w:tcW w:w="1588" w:type="dxa"/>
            <w:vAlign w:val="center"/>
          </w:tcPr>
          <w:p w14:paraId="28C0AB1B">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注册地区</w:t>
            </w:r>
          </w:p>
        </w:tc>
        <w:tc>
          <w:tcPr>
            <w:tcW w:w="2410" w:type="dxa"/>
            <w:vAlign w:val="center"/>
          </w:tcPr>
          <w:p w14:paraId="3F46F6FF">
            <w:pPr>
              <w:pStyle w:val="309"/>
              <w:spacing w:line="600" w:lineRule="exact"/>
              <w:jc w:val="center"/>
              <w:rPr>
                <w:rFonts w:asciiTheme="minorEastAsia" w:hAnsiTheme="minorEastAsia" w:eastAsiaTheme="minorEastAsia"/>
                <w:color w:val="000000"/>
                <w:sz w:val="28"/>
                <w:szCs w:val="28"/>
              </w:rPr>
            </w:pPr>
          </w:p>
        </w:tc>
      </w:tr>
      <w:tr w14:paraId="1AFA7A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1C098DFD">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地址</w:t>
            </w:r>
          </w:p>
        </w:tc>
        <w:tc>
          <w:tcPr>
            <w:tcW w:w="2806" w:type="dxa"/>
            <w:vAlign w:val="center"/>
          </w:tcPr>
          <w:p w14:paraId="62F7491D">
            <w:pPr>
              <w:pStyle w:val="309"/>
              <w:spacing w:line="600" w:lineRule="exact"/>
              <w:jc w:val="center"/>
              <w:rPr>
                <w:rFonts w:asciiTheme="minorEastAsia" w:hAnsiTheme="minorEastAsia" w:eastAsiaTheme="minorEastAsia"/>
                <w:color w:val="000000"/>
                <w:sz w:val="28"/>
                <w:szCs w:val="28"/>
              </w:rPr>
            </w:pPr>
          </w:p>
        </w:tc>
        <w:tc>
          <w:tcPr>
            <w:tcW w:w="1588" w:type="dxa"/>
            <w:vAlign w:val="center"/>
          </w:tcPr>
          <w:p w14:paraId="08BB4AE4">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邮政编码</w:t>
            </w:r>
          </w:p>
        </w:tc>
        <w:tc>
          <w:tcPr>
            <w:tcW w:w="2410" w:type="dxa"/>
            <w:vAlign w:val="center"/>
          </w:tcPr>
          <w:p w14:paraId="34937947">
            <w:pPr>
              <w:pStyle w:val="309"/>
              <w:spacing w:line="600" w:lineRule="exact"/>
              <w:jc w:val="center"/>
              <w:rPr>
                <w:rFonts w:asciiTheme="minorEastAsia" w:hAnsiTheme="minorEastAsia" w:eastAsiaTheme="minorEastAsia"/>
                <w:color w:val="000000"/>
                <w:sz w:val="28"/>
                <w:szCs w:val="28"/>
              </w:rPr>
            </w:pPr>
          </w:p>
        </w:tc>
      </w:tr>
      <w:tr w14:paraId="7027DA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3065831B">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成立时间</w:t>
            </w:r>
          </w:p>
        </w:tc>
        <w:tc>
          <w:tcPr>
            <w:tcW w:w="2806" w:type="dxa"/>
            <w:vAlign w:val="center"/>
          </w:tcPr>
          <w:p w14:paraId="5363719B">
            <w:pPr>
              <w:pStyle w:val="309"/>
              <w:spacing w:line="600" w:lineRule="exact"/>
              <w:jc w:val="center"/>
              <w:rPr>
                <w:rFonts w:asciiTheme="minorEastAsia" w:hAnsiTheme="minorEastAsia" w:eastAsiaTheme="minorEastAsia"/>
                <w:color w:val="000000"/>
                <w:sz w:val="28"/>
                <w:szCs w:val="28"/>
              </w:rPr>
            </w:pPr>
          </w:p>
        </w:tc>
        <w:tc>
          <w:tcPr>
            <w:tcW w:w="1588" w:type="dxa"/>
            <w:vAlign w:val="center"/>
          </w:tcPr>
          <w:p w14:paraId="78B64CE8">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单位性质</w:t>
            </w:r>
          </w:p>
        </w:tc>
        <w:tc>
          <w:tcPr>
            <w:tcW w:w="2410" w:type="dxa"/>
            <w:vAlign w:val="center"/>
          </w:tcPr>
          <w:p w14:paraId="37B9A3B2">
            <w:pPr>
              <w:pStyle w:val="309"/>
              <w:spacing w:line="600" w:lineRule="exact"/>
              <w:jc w:val="center"/>
              <w:rPr>
                <w:rFonts w:asciiTheme="minorEastAsia" w:hAnsiTheme="minorEastAsia" w:eastAsiaTheme="minorEastAsia"/>
                <w:color w:val="000000"/>
                <w:sz w:val="28"/>
                <w:szCs w:val="28"/>
              </w:rPr>
            </w:pPr>
          </w:p>
        </w:tc>
      </w:tr>
      <w:tr w14:paraId="215D00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5D5AB6D6">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注册号或社会信用代码</w:t>
            </w:r>
          </w:p>
        </w:tc>
        <w:tc>
          <w:tcPr>
            <w:tcW w:w="2806" w:type="dxa"/>
            <w:vAlign w:val="center"/>
          </w:tcPr>
          <w:p w14:paraId="59E20B04">
            <w:pPr>
              <w:pStyle w:val="309"/>
              <w:spacing w:line="600" w:lineRule="exact"/>
              <w:jc w:val="center"/>
              <w:rPr>
                <w:rFonts w:asciiTheme="minorEastAsia" w:hAnsiTheme="minorEastAsia" w:eastAsiaTheme="minorEastAsia"/>
                <w:color w:val="000000"/>
                <w:sz w:val="28"/>
                <w:szCs w:val="28"/>
              </w:rPr>
            </w:pPr>
          </w:p>
        </w:tc>
        <w:tc>
          <w:tcPr>
            <w:tcW w:w="1588" w:type="dxa"/>
            <w:vAlign w:val="center"/>
          </w:tcPr>
          <w:p w14:paraId="5EE92257">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注册资本（万元）</w:t>
            </w:r>
          </w:p>
        </w:tc>
        <w:tc>
          <w:tcPr>
            <w:tcW w:w="2410" w:type="dxa"/>
            <w:vAlign w:val="center"/>
          </w:tcPr>
          <w:p w14:paraId="70C1534B">
            <w:pPr>
              <w:pStyle w:val="309"/>
              <w:spacing w:line="600" w:lineRule="exact"/>
              <w:jc w:val="center"/>
              <w:rPr>
                <w:rFonts w:asciiTheme="minorEastAsia" w:hAnsiTheme="minorEastAsia" w:eastAsiaTheme="minorEastAsia"/>
                <w:color w:val="000000"/>
                <w:sz w:val="28"/>
                <w:szCs w:val="28"/>
              </w:rPr>
            </w:pPr>
          </w:p>
        </w:tc>
      </w:tr>
      <w:tr w14:paraId="252D11E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7CE109CC">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投标人类别</w:t>
            </w:r>
          </w:p>
        </w:tc>
        <w:tc>
          <w:tcPr>
            <w:tcW w:w="6804" w:type="dxa"/>
            <w:gridSpan w:val="3"/>
            <w:vAlign w:val="center"/>
          </w:tcPr>
          <w:p w14:paraId="0CA97DA4">
            <w:pPr>
              <w:pStyle w:val="309"/>
              <w:spacing w:line="600" w:lineRule="exact"/>
              <w:jc w:val="center"/>
              <w:rPr>
                <w:rFonts w:asciiTheme="minorEastAsia" w:hAnsiTheme="minorEastAsia" w:eastAsiaTheme="minorEastAsia"/>
                <w:color w:val="000000"/>
                <w:sz w:val="28"/>
                <w:szCs w:val="28"/>
              </w:rPr>
            </w:pPr>
          </w:p>
        </w:tc>
      </w:tr>
      <w:tr w14:paraId="55E09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213A78F6">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开户银行</w:t>
            </w:r>
          </w:p>
        </w:tc>
        <w:tc>
          <w:tcPr>
            <w:tcW w:w="2806" w:type="dxa"/>
            <w:vAlign w:val="center"/>
          </w:tcPr>
          <w:p w14:paraId="175BA287">
            <w:pPr>
              <w:pStyle w:val="309"/>
              <w:spacing w:line="600" w:lineRule="exact"/>
              <w:jc w:val="center"/>
              <w:rPr>
                <w:rFonts w:asciiTheme="minorEastAsia" w:hAnsiTheme="minorEastAsia" w:eastAsiaTheme="minorEastAsia"/>
                <w:color w:val="000000"/>
                <w:sz w:val="28"/>
                <w:szCs w:val="28"/>
              </w:rPr>
            </w:pPr>
          </w:p>
        </w:tc>
        <w:tc>
          <w:tcPr>
            <w:tcW w:w="1588" w:type="dxa"/>
            <w:vAlign w:val="center"/>
          </w:tcPr>
          <w:p w14:paraId="451E5149">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账号</w:t>
            </w:r>
          </w:p>
        </w:tc>
        <w:tc>
          <w:tcPr>
            <w:tcW w:w="2410" w:type="dxa"/>
            <w:vAlign w:val="center"/>
          </w:tcPr>
          <w:p w14:paraId="16F6A15F">
            <w:pPr>
              <w:pStyle w:val="309"/>
              <w:spacing w:line="600" w:lineRule="exact"/>
              <w:jc w:val="center"/>
              <w:rPr>
                <w:rFonts w:asciiTheme="minorEastAsia" w:hAnsiTheme="minorEastAsia" w:eastAsiaTheme="minorEastAsia"/>
                <w:color w:val="000000"/>
                <w:sz w:val="28"/>
                <w:szCs w:val="28"/>
              </w:rPr>
            </w:pPr>
          </w:p>
        </w:tc>
      </w:tr>
      <w:tr w14:paraId="6DCE06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838" w:type="dxa"/>
            <w:vAlign w:val="center"/>
          </w:tcPr>
          <w:p w14:paraId="465CC35D">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联系人</w:t>
            </w:r>
          </w:p>
        </w:tc>
        <w:tc>
          <w:tcPr>
            <w:tcW w:w="2806" w:type="dxa"/>
            <w:vAlign w:val="center"/>
          </w:tcPr>
          <w:p w14:paraId="35F7C867">
            <w:pPr>
              <w:pStyle w:val="309"/>
              <w:spacing w:line="600" w:lineRule="exact"/>
              <w:jc w:val="center"/>
              <w:rPr>
                <w:rFonts w:asciiTheme="minorEastAsia" w:hAnsiTheme="minorEastAsia" w:eastAsiaTheme="minorEastAsia"/>
                <w:color w:val="000000"/>
                <w:sz w:val="28"/>
                <w:szCs w:val="28"/>
              </w:rPr>
            </w:pPr>
          </w:p>
        </w:tc>
        <w:tc>
          <w:tcPr>
            <w:tcW w:w="1588" w:type="dxa"/>
            <w:vAlign w:val="center"/>
          </w:tcPr>
          <w:p w14:paraId="0A28DB7B">
            <w:pPr>
              <w:pStyle w:val="309"/>
              <w:spacing w:line="6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联系电话</w:t>
            </w:r>
          </w:p>
        </w:tc>
        <w:tc>
          <w:tcPr>
            <w:tcW w:w="2410" w:type="dxa"/>
            <w:vAlign w:val="center"/>
          </w:tcPr>
          <w:p w14:paraId="41D056D4">
            <w:pPr>
              <w:pStyle w:val="309"/>
              <w:spacing w:line="600" w:lineRule="exact"/>
              <w:jc w:val="center"/>
              <w:rPr>
                <w:rFonts w:asciiTheme="minorEastAsia" w:hAnsiTheme="minorEastAsia" w:eastAsiaTheme="minorEastAsia"/>
                <w:color w:val="000000"/>
                <w:sz w:val="28"/>
                <w:szCs w:val="28"/>
              </w:rPr>
            </w:pPr>
          </w:p>
        </w:tc>
      </w:tr>
      <w:tr w14:paraId="73A751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376" w:hRule="atLeast"/>
          <w:jc w:val="center"/>
        </w:trPr>
        <w:tc>
          <w:tcPr>
            <w:tcW w:w="1838" w:type="dxa"/>
            <w:vAlign w:val="center"/>
          </w:tcPr>
          <w:p w14:paraId="1EEE5C81">
            <w:pPr>
              <w:pStyle w:val="309"/>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经营范围</w:t>
            </w:r>
          </w:p>
        </w:tc>
        <w:tc>
          <w:tcPr>
            <w:tcW w:w="6804" w:type="dxa"/>
            <w:gridSpan w:val="3"/>
          </w:tcPr>
          <w:p w14:paraId="56863EB9">
            <w:pPr>
              <w:pStyle w:val="309"/>
              <w:spacing w:line="560" w:lineRule="exact"/>
              <w:ind w:firstLine="1432"/>
              <w:rPr>
                <w:rFonts w:asciiTheme="minorEastAsia" w:hAnsiTheme="minorEastAsia" w:eastAsiaTheme="minorEastAsia"/>
                <w:color w:val="000000"/>
                <w:sz w:val="28"/>
                <w:szCs w:val="28"/>
              </w:rPr>
            </w:pPr>
          </w:p>
        </w:tc>
      </w:tr>
      <w:tr w14:paraId="5ECD15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34" w:hRule="atLeast"/>
          <w:jc w:val="center"/>
        </w:trPr>
        <w:tc>
          <w:tcPr>
            <w:tcW w:w="1838" w:type="dxa"/>
            <w:vAlign w:val="center"/>
          </w:tcPr>
          <w:p w14:paraId="5E5C051B">
            <w:pPr>
              <w:pStyle w:val="309"/>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备注</w:t>
            </w:r>
          </w:p>
        </w:tc>
        <w:tc>
          <w:tcPr>
            <w:tcW w:w="6804" w:type="dxa"/>
            <w:gridSpan w:val="3"/>
            <w:vAlign w:val="center"/>
          </w:tcPr>
          <w:p w14:paraId="758EC2AB">
            <w:pPr>
              <w:pStyle w:val="309"/>
              <w:spacing w:line="50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w:t>
            </w:r>
          </w:p>
        </w:tc>
      </w:tr>
    </w:tbl>
    <w:p w14:paraId="7B89B7DB">
      <w:pPr>
        <w:spacing w:line="440" w:lineRule="exact"/>
        <w:ind w:firstLine="480"/>
        <w:rPr>
          <w:color w:val="000000"/>
          <w:sz w:val="24"/>
        </w:rPr>
      </w:pPr>
    </w:p>
    <w:p w14:paraId="0987BF54">
      <w:pPr>
        <w:spacing w:line="440" w:lineRule="exact"/>
        <w:ind w:firstLine="480"/>
        <w:rPr>
          <w:color w:val="000000"/>
          <w:sz w:val="24"/>
        </w:rPr>
      </w:pPr>
    </w:p>
    <w:p w14:paraId="499C1662">
      <w:pPr>
        <w:spacing w:line="440" w:lineRule="exact"/>
        <w:ind w:firstLine="480"/>
        <w:rPr>
          <w:color w:val="000000"/>
          <w:sz w:val="24"/>
        </w:rPr>
      </w:pPr>
    </w:p>
    <w:p w14:paraId="286A2632">
      <w:pPr>
        <w:pStyle w:val="323"/>
        <w:rPr>
          <w:rFonts w:ascii="Times New Roman" w:hAnsi="Times New Roman" w:eastAsia="黑体"/>
          <w:i/>
          <w:color w:val="000000"/>
          <w:sz w:val="32"/>
          <w:szCs w:val="32"/>
          <w:u w:val="single"/>
        </w:rPr>
      </w:pPr>
    </w:p>
    <w:p w14:paraId="59DA6E1A">
      <w:pPr>
        <w:rPr>
          <w:rFonts w:eastAsia="黑体"/>
          <w:i/>
          <w:color w:val="000000"/>
          <w:sz w:val="32"/>
          <w:szCs w:val="32"/>
          <w:u w:val="single"/>
        </w:rPr>
      </w:pPr>
      <w:r>
        <w:rPr>
          <w:color w:val="000000"/>
        </w:rPr>
        <w:br w:type="page" w:clear="all"/>
      </w:r>
      <w:r>
        <w:rPr>
          <w:rFonts w:hint="eastAsia"/>
          <w:b/>
          <w:color w:val="000000"/>
          <w:sz w:val="32"/>
          <w:szCs w:val="32"/>
        </w:rPr>
        <w:t>三、特定资格要求的证明文件</w:t>
      </w:r>
    </w:p>
    <w:p w14:paraId="49AD3667">
      <w:pPr>
        <w:spacing w:line="460" w:lineRule="exact"/>
        <w:rPr>
          <w:bCs/>
          <w:color w:val="000000"/>
          <w:sz w:val="24"/>
        </w:rPr>
      </w:pPr>
      <w:r>
        <w:rPr>
          <w:rFonts w:hint="eastAsia"/>
          <w:color w:val="000000"/>
          <w:sz w:val="24"/>
        </w:rPr>
        <w:t xml:space="preserve">    如果本项目申请人的特定资格要求中要求提供的，必须提供。</w:t>
      </w:r>
    </w:p>
    <w:p w14:paraId="0D8C06A4">
      <w:pPr>
        <w:spacing w:line="460" w:lineRule="exact"/>
        <w:rPr>
          <w:bCs/>
          <w:color w:val="000000"/>
          <w:sz w:val="24"/>
        </w:rPr>
      </w:pPr>
    </w:p>
    <w:p w14:paraId="41187AA7">
      <w:pPr>
        <w:jc w:val="center"/>
        <w:rPr>
          <w:rFonts w:eastAsia="黑体"/>
          <w:i/>
          <w:color w:val="000000"/>
          <w:sz w:val="32"/>
          <w:szCs w:val="32"/>
          <w:u w:val="single"/>
        </w:rPr>
      </w:pPr>
    </w:p>
    <w:p w14:paraId="3869C40F">
      <w:pPr>
        <w:jc w:val="center"/>
        <w:rPr>
          <w:rFonts w:eastAsia="黑体"/>
          <w:i/>
          <w:color w:val="000000"/>
          <w:sz w:val="32"/>
          <w:szCs w:val="32"/>
          <w:u w:val="single"/>
        </w:rPr>
      </w:pPr>
    </w:p>
    <w:p w14:paraId="51C25D75">
      <w:pPr>
        <w:jc w:val="center"/>
        <w:rPr>
          <w:rFonts w:eastAsia="黑体"/>
          <w:i/>
          <w:color w:val="000000"/>
          <w:sz w:val="32"/>
          <w:szCs w:val="32"/>
          <w:u w:val="single"/>
        </w:rPr>
      </w:pPr>
    </w:p>
    <w:p w14:paraId="017DD8A8">
      <w:pPr>
        <w:jc w:val="center"/>
        <w:rPr>
          <w:rFonts w:eastAsia="黑体"/>
          <w:i/>
          <w:color w:val="000000"/>
          <w:sz w:val="32"/>
          <w:szCs w:val="32"/>
          <w:u w:val="single"/>
        </w:rPr>
      </w:pPr>
    </w:p>
    <w:p w14:paraId="374C892A">
      <w:pPr>
        <w:jc w:val="center"/>
        <w:rPr>
          <w:rFonts w:eastAsia="黑体"/>
          <w:i/>
          <w:color w:val="000000"/>
          <w:sz w:val="32"/>
          <w:szCs w:val="32"/>
          <w:u w:val="single"/>
        </w:rPr>
      </w:pPr>
    </w:p>
    <w:p w14:paraId="6FBB0338">
      <w:pPr>
        <w:jc w:val="center"/>
        <w:rPr>
          <w:rFonts w:eastAsia="黑体"/>
          <w:i/>
          <w:color w:val="000000"/>
          <w:sz w:val="32"/>
          <w:szCs w:val="32"/>
          <w:u w:val="single"/>
        </w:rPr>
      </w:pPr>
    </w:p>
    <w:p w14:paraId="594CB9E0">
      <w:pPr>
        <w:jc w:val="center"/>
        <w:rPr>
          <w:rFonts w:eastAsia="黑体"/>
          <w:i/>
          <w:color w:val="000000"/>
          <w:sz w:val="32"/>
          <w:szCs w:val="32"/>
          <w:u w:val="single"/>
        </w:rPr>
      </w:pPr>
    </w:p>
    <w:p w14:paraId="541AEB5B">
      <w:pPr>
        <w:jc w:val="center"/>
        <w:rPr>
          <w:rFonts w:eastAsia="黑体"/>
          <w:i/>
          <w:color w:val="000000"/>
          <w:sz w:val="32"/>
          <w:szCs w:val="32"/>
          <w:u w:val="single"/>
        </w:rPr>
      </w:pPr>
    </w:p>
    <w:p w14:paraId="18ACA702">
      <w:pPr>
        <w:jc w:val="center"/>
        <w:rPr>
          <w:rFonts w:eastAsia="黑体"/>
          <w:i/>
          <w:color w:val="000000"/>
          <w:sz w:val="32"/>
          <w:szCs w:val="32"/>
          <w:u w:val="single"/>
        </w:rPr>
      </w:pPr>
    </w:p>
    <w:p w14:paraId="0FBF8B97">
      <w:pPr>
        <w:jc w:val="center"/>
        <w:rPr>
          <w:rFonts w:eastAsia="黑体"/>
          <w:i/>
          <w:color w:val="000000"/>
          <w:sz w:val="32"/>
          <w:szCs w:val="32"/>
          <w:u w:val="single"/>
        </w:rPr>
      </w:pPr>
    </w:p>
    <w:p w14:paraId="3E4614CE">
      <w:pPr>
        <w:jc w:val="center"/>
        <w:rPr>
          <w:rFonts w:eastAsia="黑体"/>
          <w:i/>
          <w:color w:val="000000"/>
          <w:sz w:val="32"/>
          <w:szCs w:val="32"/>
          <w:u w:val="single"/>
        </w:rPr>
      </w:pPr>
    </w:p>
    <w:p w14:paraId="291D567F">
      <w:pPr>
        <w:jc w:val="center"/>
        <w:rPr>
          <w:rFonts w:eastAsia="黑体"/>
          <w:i/>
          <w:color w:val="000000"/>
          <w:sz w:val="32"/>
          <w:szCs w:val="32"/>
          <w:u w:val="single"/>
        </w:rPr>
      </w:pPr>
    </w:p>
    <w:p w14:paraId="51F65DC1">
      <w:pPr>
        <w:jc w:val="center"/>
        <w:rPr>
          <w:rFonts w:eastAsia="黑体"/>
          <w:i/>
          <w:color w:val="000000"/>
          <w:sz w:val="32"/>
          <w:szCs w:val="32"/>
          <w:u w:val="single"/>
        </w:rPr>
      </w:pPr>
    </w:p>
    <w:p w14:paraId="5273A463">
      <w:pPr>
        <w:jc w:val="center"/>
        <w:rPr>
          <w:rFonts w:eastAsia="黑体"/>
          <w:i/>
          <w:color w:val="000000"/>
          <w:sz w:val="32"/>
          <w:szCs w:val="32"/>
          <w:u w:val="single"/>
        </w:rPr>
      </w:pPr>
    </w:p>
    <w:p w14:paraId="17B32358">
      <w:pPr>
        <w:jc w:val="center"/>
        <w:rPr>
          <w:rFonts w:eastAsia="黑体"/>
          <w:i/>
          <w:color w:val="000000"/>
          <w:sz w:val="32"/>
          <w:szCs w:val="32"/>
          <w:u w:val="single"/>
        </w:rPr>
      </w:pPr>
    </w:p>
    <w:p w14:paraId="17E7F6CA">
      <w:pPr>
        <w:jc w:val="center"/>
        <w:rPr>
          <w:rFonts w:eastAsia="黑体"/>
          <w:i/>
          <w:color w:val="000000"/>
          <w:sz w:val="32"/>
          <w:szCs w:val="32"/>
          <w:u w:val="single"/>
        </w:rPr>
      </w:pPr>
    </w:p>
    <w:p w14:paraId="6462E5DC">
      <w:pPr>
        <w:jc w:val="center"/>
        <w:rPr>
          <w:rFonts w:eastAsia="黑体"/>
          <w:i/>
          <w:color w:val="000000"/>
          <w:sz w:val="32"/>
          <w:szCs w:val="32"/>
          <w:u w:val="single"/>
        </w:rPr>
      </w:pPr>
    </w:p>
    <w:p w14:paraId="33168E6D">
      <w:pPr>
        <w:jc w:val="center"/>
        <w:rPr>
          <w:rFonts w:eastAsia="黑体"/>
          <w:i/>
          <w:color w:val="000000"/>
          <w:sz w:val="32"/>
          <w:szCs w:val="32"/>
          <w:u w:val="single"/>
        </w:rPr>
      </w:pPr>
    </w:p>
    <w:p w14:paraId="6719C311">
      <w:pPr>
        <w:jc w:val="center"/>
        <w:rPr>
          <w:rFonts w:eastAsia="黑体"/>
          <w:i/>
          <w:color w:val="000000"/>
          <w:sz w:val="32"/>
          <w:szCs w:val="32"/>
          <w:u w:val="single"/>
        </w:rPr>
      </w:pPr>
    </w:p>
    <w:p w14:paraId="454E7E0A">
      <w:pPr>
        <w:jc w:val="center"/>
        <w:rPr>
          <w:rFonts w:eastAsia="黑体"/>
          <w:i/>
          <w:color w:val="000000"/>
          <w:sz w:val="32"/>
          <w:szCs w:val="32"/>
          <w:u w:val="single"/>
        </w:rPr>
      </w:pPr>
    </w:p>
    <w:p w14:paraId="272FF424">
      <w:pPr>
        <w:jc w:val="center"/>
        <w:rPr>
          <w:rFonts w:eastAsia="黑体"/>
          <w:i/>
          <w:color w:val="000000"/>
          <w:sz w:val="32"/>
          <w:szCs w:val="32"/>
          <w:u w:val="single"/>
        </w:rPr>
      </w:pPr>
    </w:p>
    <w:p w14:paraId="47C0B94A">
      <w:pPr>
        <w:jc w:val="center"/>
        <w:rPr>
          <w:rFonts w:eastAsia="黑体"/>
          <w:i/>
          <w:color w:val="000000"/>
          <w:sz w:val="32"/>
          <w:szCs w:val="32"/>
          <w:u w:val="single"/>
        </w:rPr>
      </w:pPr>
    </w:p>
    <w:p w14:paraId="1DE25161">
      <w:pPr>
        <w:jc w:val="center"/>
        <w:rPr>
          <w:rFonts w:eastAsia="黑体"/>
          <w:i/>
          <w:color w:val="000000"/>
          <w:sz w:val="32"/>
          <w:szCs w:val="32"/>
          <w:u w:val="single"/>
        </w:rPr>
      </w:pPr>
    </w:p>
    <w:p w14:paraId="2AE535B7">
      <w:pPr>
        <w:jc w:val="center"/>
        <w:rPr>
          <w:rFonts w:eastAsia="黑体"/>
          <w:i/>
          <w:color w:val="000000"/>
          <w:sz w:val="32"/>
          <w:szCs w:val="32"/>
          <w:u w:val="single"/>
        </w:rPr>
      </w:pPr>
    </w:p>
    <w:p w14:paraId="3E951657">
      <w:pPr>
        <w:jc w:val="center"/>
        <w:rPr>
          <w:rFonts w:eastAsia="黑体"/>
          <w:i/>
          <w:color w:val="000000"/>
          <w:sz w:val="32"/>
          <w:szCs w:val="32"/>
          <w:u w:val="single"/>
        </w:rPr>
      </w:pPr>
    </w:p>
    <w:p w14:paraId="6C092B0B">
      <w:pPr>
        <w:jc w:val="center"/>
        <w:rPr>
          <w:rFonts w:eastAsia="黑体"/>
          <w:i/>
          <w:color w:val="000000"/>
          <w:sz w:val="32"/>
          <w:szCs w:val="32"/>
          <w:u w:val="single"/>
        </w:rPr>
      </w:pPr>
    </w:p>
    <w:p w14:paraId="1B36AE32">
      <w:pPr>
        <w:jc w:val="center"/>
        <w:rPr>
          <w:rFonts w:eastAsia="黑体"/>
          <w:i/>
          <w:color w:val="000000"/>
          <w:sz w:val="32"/>
          <w:szCs w:val="32"/>
          <w:u w:val="single"/>
        </w:rPr>
      </w:pPr>
    </w:p>
    <w:p w14:paraId="1470ACA2">
      <w:pPr>
        <w:pStyle w:val="412"/>
        <w:rPr>
          <w:rFonts w:ascii="Times New Roman" w:hAnsi="Times New Roman" w:eastAsia="黑体"/>
          <w:i/>
          <w:color w:val="000000"/>
          <w:u w:val="single"/>
          <w:lang w:val="en-US"/>
        </w:rPr>
      </w:pPr>
    </w:p>
    <w:p w14:paraId="06B20334">
      <w:pPr>
        <w:pStyle w:val="412"/>
        <w:rPr>
          <w:rFonts w:ascii="Times New Roman" w:hAnsi="Times New Roman" w:eastAsia="黑体"/>
          <w:i/>
          <w:color w:val="000000"/>
          <w:u w:val="single"/>
          <w:lang w:val="en-US"/>
        </w:rPr>
      </w:pPr>
    </w:p>
    <w:p w14:paraId="64C88196">
      <w:pPr>
        <w:jc w:val="center"/>
        <w:rPr>
          <w:rFonts w:eastAsia="黑体"/>
          <w:i/>
          <w:color w:val="000000"/>
          <w:sz w:val="32"/>
          <w:szCs w:val="32"/>
          <w:u w:val="single"/>
        </w:rPr>
      </w:pPr>
    </w:p>
    <w:p w14:paraId="60684364">
      <w:pPr>
        <w:jc w:val="center"/>
        <w:rPr>
          <w:rFonts w:eastAsia="黑体"/>
          <w:i/>
          <w:color w:val="000000"/>
          <w:sz w:val="32"/>
          <w:szCs w:val="32"/>
          <w:u w:val="single"/>
        </w:rPr>
      </w:pPr>
    </w:p>
    <w:p w14:paraId="5E0EE6F9">
      <w:pPr>
        <w:jc w:val="center"/>
        <w:rPr>
          <w:rFonts w:eastAsia="黑体"/>
          <w:i/>
          <w:color w:val="000000"/>
          <w:sz w:val="32"/>
          <w:szCs w:val="32"/>
          <w:u w:val="single"/>
        </w:rPr>
      </w:pPr>
    </w:p>
    <w:p w14:paraId="189DFB7C">
      <w:pPr>
        <w:rPr>
          <w:b/>
          <w:color w:val="000000"/>
          <w:sz w:val="32"/>
          <w:szCs w:val="32"/>
        </w:rPr>
      </w:pPr>
      <w:r>
        <w:rPr>
          <w:rFonts w:hint="eastAsia"/>
          <w:b/>
          <w:color w:val="000000"/>
          <w:sz w:val="32"/>
          <w:szCs w:val="32"/>
        </w:rPr>
        <w:t>四、法人授权书</w:t>
      </w:r>
    </w:p>
    <w:p w14:paraId="55774A39">
      <w:pPr>
        <w:pStyle w:val="441"/>
        <w:spacing w:line="360" w:lineRule="auto"/>
        <w:ind w:firstLine="480"/>
        <w:rPr>
          <w:rFonts w:asciiTheme="minorEastAsia" w:hAnsiTheme="minorEastAsia" w:eastAsiaTheme="minorEastAsia"/>
          <w:color w:val="000000"/>
          <w:szCs w:val="28"/>
        </w:rPr>
      </w:pPr>
    </w:p>
    <w:p w14:paraId="43DE9EEF">
      <w:pPr>
        <w:pStyle w:val="441"/>
        <w:spacing w:line="360" w:lineRule="auto"/>
        <w:ind w:firstLine="480"/>
        <w:rPr>
          <w:rFonts w:asciiTheme="minorEastAsia" w:hAnsiTheme="minorEastAsia" w:eastAsiaTheme="minorEastAsia"/>
          <w:color w:val="000000"/>
          <w:szCs w:val="28"/>
        </w:rPr>
      </w:pPr>
      <w:r>
        <w:rPr>
          <w:rFonts w:hint="eastAsia" w:asciiTheme="minorEastAsia" w:hAnsiTheme="minorEastAsia" w:eastAsiaTheme="minorEastAsia"/>
          <w:color w:val="000000"/>
          <w:szCs w:val="28"/>
        </w:rPr>
        <w:t>本授权书声明：____________（投标人名称）授权________________（被授权人的姓名）为我方就</w:t>
      </w:r>
      <w:r>
        <w:rPr>
          <w:rFonts w:hint="eastAsia" w:asciiTheme="minorEastAsia" w:hAnsiTheme="minorEastAsia" w:eastAsiaTheme="minorEastAsia"/>
          <w:color w:val="000000"/>
          <w:szCs w:val="28"/>
          <w:u w:val="single"/>
        </w:rPr>
        <w:t xml:space="preserve">      号</w:t>
      </w:r>
      <w:r>
        <w:rPr>
          <w:rFonts w:hint="eastAsia" w:asciiTheme="minorEastAsia" w:hAnsiTheme="minorEastAsia" w:eastAsiaTheme="minorEastAsia"/>
          <w:color w:val="000000"/>
          <w:szCs w:val="28"/>
        </w:rPr>
        <w:t>项目采购活动的合法代理人，以本单位名义全权处理一切与该项目采购有关的事务。</w:t>
      </w:r>
    </w:p>
    <w:p w14:paraId="2350795F">
      <w:pPr>
        <w:pStyle w:val="441"/>
        <w:spacing w:line="360" w:lineRule="auto"/>
        <w:ind w:firstLine="480"/>
        <w:rPr>
          <w:rFonts w:asciiTheme="minorEastAsia" w:hAnsiTheme="minorEastAsia" w:eastAsiaTheme="minorEastAsia"/>
          <w:color w:val="000000"/>
          <w:szCs w:val="28"/>
        </w:rPr>
      </w:pPr>
      <w:r>
        <w:rPr>
          <w:rFonts w:hint="eastAsia" w:asciiTheme="minorEastAsia" w:hAnsiTheme="minorEastAsia" w:eastAsiaTheme="minorEastAsia"/>
          <w:color w:val="000000"/>
          <w:szCs w:val="28"/>
        </w:rPr>
        <w:t>本授权书于______年____月____日起生效，特此声明。</w:t>
      </w:r>
    </w:p>
    <w:p w14:paraId="3638D620">
      <w:pPr>
        <w:pStyle w:val="441"/>
        <w:spacing w:line="360" w:lineRule="auto"/>
        <w:ind w:firstLine="0"/>
        <w:rPr>
          <w:rFonts w:asciiTheme="minorEastAsia" w:hAnsiTheme="minorEastAsia" w:eastAsiaTheme="minorEastAsia"/>
          <w:color w:val="000000"/>
          <w:szCs w:val="28"/>
          <w:u w:val="single"/>
        </w:rPr>
      </w:pPr>
      <w:r>
        <w:rPr>
          <w:rFonts w:hint="eastAsia" w:asciiTheme="minorEastAsia" w:hAnsiTheme="minorEastAsia" w:eastAsiaTheme="minorEastAsia"/>
          <w:color w:val="000000"/>
          <w:szCs w:val="28"/>
        </w:rPr>
        <w:t xml:space="preserve">          被授权人身份证号码：</w:t>
      </w:r>
      <w:r>
        <w:rPr>
          <w:rFonts w:hint="eastAsia" w:asciiTheme="minorEastAsia" w:hAnsiTheme="minorEastAsia" w:eastAsiaTheme="minorEastAsia"/>
          <w:color w:val="000000"/>
          <w:szCs w:val="28"/>
          <w:u w:val="single"/>
        </w:rPr>
        <w:t xml:space="preserve">                              </w:t>
      </w:r>
    </w:p>
    <w:p w14:paraId="3A0C9D07">
      <w:pPr>
        <w:pStyle w:val="441"/>
        <w:spacing w:line="360" w:lineRule="auto"/>
        <w:ind w:firstLine="0"/>
        <w:rPr>
          <w:rFonts w:asciiTheme="minorEastAsia" w:hAnsiTheme="minorEastAsia" w:eastAsiaTheme="minorEastAsia"/>
          <w:color w:val="000000"/>
          <w:szCs w:val="28"/>
          <w:u w:val="single"/>
        </w:rPr>
      </w:pPr>
      <w:r>
        <w:rPr>
          <w:rFonts w:hint="eastAsia" w:asciiTheme="minorEastAsia" w:hAnsiTheme="minorEastAsia" w:eastAsiaTheme="minorEastAsia"/>
          <w:color w:val="000000"/>
          <w:szCs w:val="28"/>
        </w:rPr>
        <w:t xml:space="preserve">          被授权人联系电话：（手机）</w:t>
      </w:r>
      <w:r>
        <w:rPr>
          <w:rFonts w:hint="eastAsia" w:asciiTheme="minorEastAsia" w:hAnsiTheme="minorEastAsia" w:eastAsiaTheme="minorEastAsia"/>
          <w:color w:val="000000"/>
          <w:szCs w:val="28"/>
          <w:u w:val="single"/>
        </w:rPr>
        <w:t xml:space="preserve">                          </w:t>
      </w:r>
    </w:p>
    <w:p w14:paraId="3374E631">
      <w:pPr>
        <w:pStyle w:val="441"/>
        <w:spacing w:line="360" w:lineRule="auto"/>
        <w:ind w:firstLine="1200"/>
        <w:rPr>
          <w:rFonts w:asciiTheme="minorEastAsia" w:hAnsiTheme="minorEastAsia" w:eastAsiaTheme="minorEastAsia"/>
          <w:color w:val="000000"/>
          <w:szCs w:val="28"/>
        </w:rPr>
      </w:pPr>
      <w:r>
        <w:rPr>
          <w:rFonts w:hint="eastAsia" w:asciiTheme="minorEastAsia" w:hAnsiTheme="minorEastAsia" w:eastAsiaTheme="minorEastAsia"/>
          <w:color w:val="000000"/>
          <w:szCs w:val="28"/>
        </w:rPr>
        <w:t>授权单位名称：</w:t>
      </w:r>
      <w:r>
        <w:rPr>
          <w:rFonts w:hint="eastAsia" w:asciiTheme="minorEastAsia" w:hAnsiTheme="minorEastAsia" w:eastAsiaTheme="minorEastAsia"/>
          <w:color w:val="000000"/>
          <w:szCs w:val="28"/>
          <w:u w:val="single"/>
        </w:rPr>
        <w:t>（加盖CA电子公章）</w:t>
      </w:r>
    </w:p>
    <w:p w14:paraId="17C9E9EA">
      <w:pPr>
        <w:pStyle w:val="441"/>
        <w:spacing w:line="360" w:lineRule="auto"/>
        <w:ind w:firstLine="480"/>
        <w:rPr>
          <w:rFonts w:asciiTheme="minorEastAsia" w:hAnsiTheme="minorEastAsia" w:eastAsiaTheme="minorEastAsia"/>
          <w:color w:val="000000"/>
          <w:szCs w:val="28"/>
          <w:u w:val="single"/>
        </w:rPr>
      </w:pPr>
      <w:r>
        <w:rPr>
          <w:rFonts w:hint="eastAsia" w:asciiTheme="minorEastAsia" w:hAnsiTheme="minorEastAsia" w:eastAsiaTheme="minorEastAsia"/>
          <w:color w:val="000000"/>
          <w:szCs w:val="28"/>
        </w:rPr>
        <w:t xml:space="preserve">      单位地址：</w:t>
      </w:r>
      <w:r>
        <w:rPr>
          <w:rFonts w:hint="eastAsia" w:asciiTheme="minorEastAsia" w:hAnsiTheme="minorEastAsia" w:eastAsiaTheme="minorEastAsia"/>
          <w:color w:val="000000"/>
          <w:szCs w:val="28"/>
          <w:u w:val="single"/>
        </w:rPr>
        <w:t xml:space="preserve">                                         </w:t>
      </w:r>
    </w:p>
    <w:p w14:paraId="033F8890">
      <w:pPr>
        <w:pStyle w:val="441"/>
        <w:spacing w:line="360" w:lineRule="auto"/>
        <w:ind w:firstLine="480"/>
        <w:rPr>
          <w:rFonts w:asciiTheme="minorEastAsia" w:hAnsiTheme="minorEastAsia" w:eastAsiaTheme="minorEastAsia"/>
          <w:color w:val="000000"/>
          <w:szCs w:val="28"/>
        </w:rPr>
      </w:pPr>
      <w:r>
        <w:rPr>
          <w:rFonts w:hint="eastAsia" w:asciiTheme="minorEastAsia" w:hAnsiTheme="minorEastAsia" w:eastAsiaTheme="minorEastAsia"/>
          <w:color w:val="000000"/>
          <w:szCs w:val="28"/>
        </w:rPr>
        <w:t xml:space="preserve">      日期：</w:t>
      </w:r>
      <w:bookmarkStart w:id="150" w:name="_Hlt26955070"/>
      <w:bookmarkEnd w:id="150"/>
      <w:bookmarkStart w:id="151" w:name="_格式3__银行出具的资信证明"/>
      <w:bookmarkEnd w:id="151"/>
      <w:bookmarkStart w:id="152" w:name="_Hlt26671380"/>
      <w:bookmarkEnd w:id="152"/>
      <w:r>
        <w:rPr>
          <w:rFonts w:hint="eastAsia" w:asciiTheme="minorEastAsia" w:hAnsiTheme="minorEastAsia" w:eastAsiaTheme="minorEastAsia"/>
          <w:color w:val="000000"/>
          <w:szCs w:val="28"/>
          <w:u w:val="single"/>
        </w:rPr>
        <w:t xml:space="preserve">                                         </w:t>
      </w:r>
    </w:p>
    <w:p w14:paraId="09BB3A70">
      <w:pPr>
        <w:pStyle w:val="16"/>
        <w:spacing w:line="360" w:lineRule="auto"/>
        <w:rPr>
          <w:rFonts w:asciiTheme="minorEastAsia" w:hAnsiTheme="minorEastAsia" w:eastAsiaTheme="minorEastAsia"/>
          <w:i/>
          <w:color w:val="000000"/>
          <w:sz w:val="28"/>
          <w:szCs w:val="28"/>
          <w:u w:val="single"/>
        </w:rPr>
      </w:pPr>
    </w:p>
    <w:p w14:paraId="1A483BAB">
      <w:pPr>
        <w:pStyle w:val="16"/>
        <w:ind w:firstLine="0"/>
        <w:rPr>
          <w:color w:val="000000"/>
        </w:rPr>
      </w:pPr>
    </w:p>
    <w:p w14:paraId="7DE3501B">
      <w:pPr>
        <w:spacing w:line="460" w:lineRule="exact"/>
        <w:rPr>
          <w:rFonts w:eastAsia="楷体"/>
          <w:bCs/>
          <w:color w:val="000000"/>
          <w:sz w:val="24"/>
          <w:szCs w:val="24"/>
        </w:rPr>
      </w:pPr>
    </w:p>
    <w:p w14:paraId="20B29F2F">
      <w:pPr>
        <w:rPr>
          <w:rFonts w:eastAsia="仿宋_GB2312"/>
          <w:color w:val="000000"/>
          <w:sz w:val="24"/>
          <w:szCs w:val="20"/>
        </w:rPr>
      </w:pPr>
      <w:r>
        <w:rPr>
          <w:bCs/>
          <w:color w:val="000000"/>
          <w:sz w:val="24"/>
        </w:rPr>
        <w:br w:type="page" w:clear="all"/>
      </w:r>
      <w:r>
        <w:rPr>
          <w:rFonts w:hint="eastAsia"/>
          <w:b/>
          <w:color w:val="000000"/>
          <w:sz w:val="32"/>
          <w:szCs w:val="32"/>
        </w:rPr>
        <w:t>五、开标一览表</w:t>
      </w:r>
    </w:p>
    <w:p w14:paraId="158FAD2C">
      <w:pPr>
        <w:ind w:firstLine="480"/>
        <w:rPr>
          <w:rFonts w:asciiTheme="minorEastAsia" w:hAnsiTheme="minorEastAsia" w:eastAsiaTheme="minorEastAsia"/>
          <w:color w:val="000000"/>
          <w:sz w:val="28"/>
          <w:szCs w:val="28"/>
        </w:rPr>
      </w:pPr>
    </w:p>
    <w:p w14:paraId="1D93F0B4">
      <w:pPr>
        <w:ind w:firstLine="480"/>
        <w:rPr>
          <w:rFonts w:asciiTheme="minorEastAsia" w:hAnsiTheme="minorEastAsia" w:eastAsiaTheme="minorEastAsia"/>
          <w:color w:val="000000"/>
          <w:sz w:val="28"/>
          <w:szCs w:val="28"/>
          <w:u w:val="single"/>
        </w:rPr>
      </w:pPr>
      <w:r>
        <w:rPr>
          <w:rFonts w:hint="eastAsia" w:asciiTheme="minorEastAsia" w:hAnsiTheme="minorEastAsia" w:eastAsiaTheme="minorEastAsia"/>
          <w:color w:val="000000"/>
          <w:sz w:val="28"/>
          <w:szCs w:val="28"/>
        </w:rPr>
        <w:t>投标人全称（加盖CA电子签章）：</w:t>
      </w:r>
    </w:p>
    <w:p w14:paraId="62F22D4B">
      <w:pPr>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项目名称：</w:t>
      </w:r>
    </w:p>
    <w:p w14:paraId="482BB65D">
      <w:pPr>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项目编号：</w:t>
      </w:r>
    </w:p>
    <w:tbl>
      <w:tblPr>
        <w:tblStyle w:val="38"/>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26"/>
      </w:tblGrid>
      <w:tr w14:paraId="45C899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1030" w:hRule="atLeast"/>
        </w:trPr>
        <w:tc>
          <w:tcPr>
            <w:tcW w:w="8626" w:type="dxa"/>
            <w:vAlign w:val="center"/>
          </w:tcPr>
          <w:p w14:paraId="5CD42577">
            <w:pPr>
              <w:rPr>
                <w:rFonts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 xml:space="preserve">                      </w:t>
            </w:r>
            <w:r>
              <w:rPr>
                <w:rFonts w:hint="eastAsia" w:asciiTheme="minorEastAsia" w:hAnsiTheme="minorEastAsia" w:eastAsiaTheme="minorEastAsia"/>
                <w:color w:val="000000"/>
                <w:sz w:val="28"/>
                <w:szCs w:val="28"/>
              </w:rPr>
              <w:t>投标总报价</w:t>
            </w:r>
          </w:p>
        </w:tc>
      </w:tr>
      <w:tr w14:paraId="7FEA70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870" w:hRule="atLeast"/>
        </w:trPr>
        <w:tc>
          <w:tcPr>
            <w:tcW w:w="8626" w:type="dxa"/>
            <w:vAlign w:val="center"/>
          </w:tcPr>
          <w:p w14:paraId="76530D60">
            <w:pPr>
              <w:pStyle w:val="411"/>
              <w:spacing w:before="0" w:after="0" w:line="500" w:lineRule="exact"/>
              <w:ind w:firstLine="0"/>
              <w:rPr>
                <w:rFonts w:asciiTheme="minorEastAsia" w:hAnsiTheme="minorEastAsia" w:eastAsiaTheme="minorEastAsia"/>
                <w:color w:val="000000"/>
                <w:sz w:val="28"/>
                <w:szCs w:val="28"/>
              </w:rPr>
            </w:pPr>
            <w:r>
              <w:rPr>
                <w:rFonts w:hint="eastAsia" w:cs="宋体" w:asciiTheme="minorEastAsia" w:hAnsiTheme="minorEastAsia" w:eastAsiaTheme="minorEastAsia"/>
                <w:color w:val="000000"/>
                <w:sz w:val="28"/>
                <w:szCs w:val="28"/>
              </w:rPr>
              <w:t>小写：                             （人民币：     元）</w:t>
            </w:r>
          </w:p>
        </w:tc>
      </w:tr>
    </w:tbl>
    <w:p w14:paraId="3460ECD1">
      <w:pPr>
        <w:rPr>
          <w:rFonts w:asciiTheme="minorEastAsia" w:hAnsiTheme="minorEastAsia" w:eastAsiaTheme="minorEastAsia"/>
          <w:color w:val="000000"/>
          <w:sz w:val="28"/>
          <w:szCs w:val="28"/>
        </w:rPr>
      </w:pPr>
    </w:p>
    <w:p w14:paraId="4BB07AC7">
      <w:pPr>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日期：  </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年</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月</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日</w:t>
      </w:r>
    </w:p>
    <w:p w14:paraId="6EF59271">
      <w:pPr>
        <w:ind w:firstLine="480"/>
        <w:rPr>
          <w:rFonts w:asciiTheme="minorEastAsia" w:hAnsiTheme="minorEastAsia" w:eastAsiaTheme="minorEastAsia"/>
          <w:color w:val="000000"/>
          <w:sz w:val="28"/>
          <w:szCs w:val="28"/>
        </w:rPr>
      </w:pPr>
    </w:p>
    <w:p w14:paraId="74F1D3D8">
      <w:pPr>
        <w:ind w:firstLine="480"/>
        <w:rPr>
          <w:color w:val="000000"/>
          <w:sz w:val="24"/>
          <w:szCs w:val="24"/>
        </w:rPr>
      </w:pPr>
    </w:p>
    <w:p w14:paraId="5F25BF3B">
      <w:pPr>
        <w:ind w:firstLine="480"/>
        <w:rPr>
          <w:color w:val="000000"/>
          <w:sz w:val="24"/>
          <w:szCs w:val="24"/>
        </w:rPr>
      </w:pPr>
    </w:p>
    <w:p w14:paraId="1C524920">
      <w:pPr>
        <w:ind w:firstLine="480"/>
        <w:rPr>
          <w:color w:val="000000"/>
          <w:sz w:val="24"/>
          <w:szCs w:val="24"/>
        </w:rPr>
      </w:pPr>
    </w:p>
    <w:p w14:paraId="5D58AC53">
      <w:pPr>
        <w:ind w:firstLine="480"/>
        <w:rPr>
          <w:color w:val="000000"/>
          <w:sz w:val="24"/>
          <w:szCs w:val="24"/>
        </w:rPr>
      </w:pPr>
    </w:p>
    <w:p w14:paraId="6F3F9C03">
      <w:pPr>
        <w:ind w:firstLine="480"/>
        <w:rPr>
          <w:color w:val="000000"/>
          <w:sz w:val="24"/>
          <w:szCs w:val="24"/>
        </w:rPr>
      </w:pPr>
    </w:p>
    <w:p w14:paraId="001C013D">
      <w:pPr>
        <w:ind w:firstLine="480"/>
        <w:rPr>
          <w:color w:val="000000"/>
          <w:sz w:val="24"/>
          <w:szCs w:val="24"/>
        </w:rPr>
      </w:pPr>
    </w:p>
    <w:p w14:paraId="3BC9DFF6">
      <w:pPr>
        <w:ind w:firstLine="480"/>
        <w:rPr>
          <w:color w:val="000000"/>
          <w:sz w:val="24"/>
          <w:szCs w:val="24"/>
        </w:rPr>
      </w:pPr>
    </w:p>
    <w:p w14:paraId="2109964D">
      <w:pPr>
        <w:ind w:firstLine="480"/>
        <w:rPr>
          <w:color w:val="000000"/>
          <w:sz w:val="24"/>
          <w:szCs w:val="24"/>
        </w:rPr>
      </w:pPr>
    </w:p>
    <w:p w14:paraId="28319653">
      <w:pPr>
        <w:ind w:firstLine="480"/>
        <w:rPr>
          <w:color w:val="000000"/>
          <w:sz w:val="24"/>
          <w:szCs w:val="24"/>
        </w:rPr>
      </w:pPr>
    </w:p>
    <w:p w14:paraId="0F204546">
      <w:pPr>
        <w:ind w:firstLine="480"/>
        <w:rPr>
          <w:color w:val="000000"/>
          <w:sz w:val="24"/>
          <w:szCs w:val="24"/>
        </w:rPr>
      </w:pPr>
    </w:p>
    <w:p w14:paraId="68BF369E">
      <w:pPr>
        <w:ind w:firstLine="480"/>
        <w:rPr>
          <w:color w:val="000000"/>
          <w:sz w:val="24"/>
          <w:szCs w:val="24"/>
        </w:rPr>
      </w:pPr>
    </w:p>
    <w:p w14:paraId="37DE4763">
      <w:pPr>
        <w:ind w:firstLine="480"/>
        <w:rPr>
          <w:color w:val="000000"/>
          <w:sz w:val="24"/>
          <w:szCs w:val="24"/>
        </w:rPr>
      </w:pPr>
    </w:p>
    <w:p w14:paraId="5AE440AE">
      <w:pPr>
        <w:ind w:firstLine="480"/>
        <w:rPr>
          <w:color w:val="000000"/>
          <w:sz w:val="24"/>
          <w:szCs w:val="24"/>
        </w:rPr>
      </w:pPr>
    </w:p>
    <w:p w14:paraId="435121AC">
      <w:pPr>
        <w:ind w:firstLine="480"/>
        <w:rPr>
          <w:color w:val="000000"/>
          <w:sz w:val="24"/>
          <w:szCs w:val="24"/>
        </w:rPr>
      </w:pPr>
    </w:p>
    <w:p w14:paraId="4303EAEF">
      <w:pPr>
        <w:ind w:firstLine="480"/>
        <w:rPr>
          <w:color w:val="000000"/>
          <w:sz w:val="24"/>
          <w:szCs w:val="24"/>
        </w:rPr>
      </w:pPr>
    </w:p>
    <w:p w14:paraId="61FDE1A0">
      <w:pPr>
        <w:ind w:firstLine="480"/>
        <w:rPr>
          <w:color w:val="000000"/>
          <w:sz w:val="24"/>
          <w:szCs w:val="24"/>
        </w:rPr>
      </w:pPr>
    </w:p>
    <w:p w14:paraId="2503E5CF">
      <w:pPr>
        <w:ind w:firstLine="480"/>
        <w:rPr>
          <w:color w:val="000000"/>
          <w:sz w:val="24"/>
          <w:szCs w:val="24"/>
        </w:rPr>
      </w:pPr>
    </w:p>
    <w:p w14:paraId="6135BFDC">
      <w:pPr>
        <w:ind w:firstLine="480"/>
        <w:rPr>
          <w:color w:val="000000"/>
          <w:sz w:val="24"/>
          <w:szCs w:val="24"/>
        </w:rPr>
      </w:pPr>
    </w:p>
    <w:p w14:paraId="12E1B7FE">
      <w:pPr>
        <w:ind w:firstLine="480"/>
        <w:rPr>
          <w:color w:val="000000"/>
          <w:sz w:val="24"/>
          <w:szCs w:val="24"/>
        </w:rPr>
      </w:pPr>
    </w:p>
    <w:p w14:paraId="4351CCC8">
      <w:pPr>
        <w:ind w:firstLine="480"/>
        <w:rPr>
          <w:color w:val="000000"/>
          <w:sz w:val="24"/>
          <w:szCs w:val="24"/>
        </w:rPr>
      </w:pPr>
    </w:p>
    <w:p w14:paraId="3105EBC6">
      <w:pPr>
        <w:ind w:firstLine="480"/>
        <w:rPr>
          <w:color w:val="000000"/>
          <w:sz w:val="24"/>
          <w:szCs w:val="24"/>
        </w:rPr>
      </w:pPr>
    </w:p>
    <w:p w14:paraId="6DD31ADD">
      <w:pPr>
        <w:ind w:firstLine="480"/>
        <w:rPr>
          <w:color w:val="000000"/>
          <w:sz w:val="24"/>
          <w:szCs w:val="24"/>
        </w:rPr>
      </w:pPr>
    </w:p>
    <w:p w14:paraId="08CE92AB">
      <w:pPr>
        <w:ind w:firstLine="480"/>
        <w:rPr>
          <w:color w:val="000000"/>
          <w:sz w:val="24"/>
          <w:szCs w:val="24"/>
        </w:rPr>
      </w:pPr>
    </w:p>
    <w:p w14:paraId="27E9A3C1">
      <w:pPr>
        <w:ind w:firstLine="480"/>
        <w:rPr>
          <w:color w:val="000000"/>
          <w:sz w:val="24"/>
          <w:szCs w:val="24"/>
        </w:rPr>
      </w:pPr>
    </w:p>
    <w:p w14:paraId="0B3751C6">
      <w:pPr>
        <w:ind w:firstLine="480"/>
        <w:rPr>
          <w:color w:val="000000"/>
          <w:sz w:val="24"/>
          <w:szCs w:val="24"/>
        </w:rPr>
      </w:pPr>
    </w:p>
    <w:p w14:paraId="76E669D5">
      <w:pPr>
        <w:ind w:firstLine="480"/>
        <w:rPr>
          <w:color w:val="000000"/>
          <w:sz w:val="24"/>
          <w:szCs w:val="24"/>
        </w:rPr>
      </w:pPr>
    </w:p>
    <w:p w14:paraId="13C7079D">
      <w:pPr>
        <w:ind w:firstLine="480"/>
        <w:rPr>
          <w:color w:val="000000"/>
          <w:sz w:val="24"/>
          <w:szCs w:val="24"/>
        </w:rPr>
      </w:pPr>
    </w:p>
    <w:p w14:paraId="210F0615">
      <w:pPr>
        <w:ind w:firstLine="480"/>
        <w:rPr>
          <w:color w:val="000000"/>
          <w:sz w:val="24"/>
          <w:szCs w:val="24"/>
        </w:rPr>
      </w:pPr>
    </w:p>
    <w:p w14:paraId="760FB108">
      <w:pPr>
        <w:ind w:firstLine="480"/>
        <w:rPr>
          <w:color w:val="000000"/>
          <w:sz w:val="24"/>
          <w:szCs w:val="24"/>
        </w:rPr>
      </w:pPr>
    </w:p>
    <w:p w14:paraId="44DBA4EB">
      <w:pPr>
        <w:jc w:val="center"/>
        <w:rPr>
          <w:bCs/>
          <w:color w:val="000000"/>
          <w:sz w:val="24"/>
        </w:rPr>
      </w:pPr>
    </w:p>
    <w:p w14:paraId="6622BAA2">
      <w:pPr>
        <w:pStyle w:val="331"/>
        <w:outlineLvl w:val="1"/>
        <w:rPr>
          <w:rFonts w:ascii="宋体" w:hAnsi="宋体" w:eastAsia="宋体"/>
        </w:rPr>
      </w:pPr>
      <w:r>
        <w:rPr>
          <w:rFonts w:hint="eastAsia"/>
          <w:b w:val="0"/>
          <w:color w:val="000000"/>
          <w:szCs w:val="32"/>
        </w:rPr>
        <w:t>六、</w:t>
      </w:r>
      <w:r>
        <w:rPr>
          <w:color w:val="000000"/>
        </w:rPr>
        <w:t>明细报价表</w:t>
      </w:r>
    </w:p>
    <w:tbl>
      <w:tblPr>
        <w:tblStyle w:val="38"/>
        <w:tblW w:w="95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21"/>
        <w:gridCol w:w="1944"/>
        <w:gridCol w:w="1908"/>
        <w:gridCol w:w="1918"/>
        <w:gridCol w:w="1408"/>
        <w:gridCol w:w="1492"/>
      </w:tblGrid>
      <w:tr w14:paraId="2048C8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2" w:hRule="atLeast"/>
          <w:jc w:val="center"/>
        </w:trPr>
        <w:tc>
          <w:tcPr>
            <w:tcW w:w="921" w:type="dxa"/>
            <w:vAlign w:val="center"/>
          </w:tcPr>
          <w:p w14:paraId="00E6F5C9">
            <w:pPr>
              <w:pStyle w:val="379"/>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序号</w:t>
            </w:r>
          </w:p>
        </w:tc>
        <w:tc>
          <w:tcPr>
            <w:tcW w:w="1944" w:type="dxa"/>
            <w:vAlign w:val="center"/>
          </w:tcPr>
          <w:p w14:paraId="0C4EB06B">
            <w:pPr>
              <w:pStyle w:val="379"/>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服务费用简述</w:t>
            </w:r>
          </w:p>
        </w:tc>
        <w:tc>
          <w:tcPr>
            <w:tcW w:w="1908" w:type="dxa"/>
            <w:vAlign w:val="center"/>
          </w:tcPr>
          <w:p w14:paraId="559C76FA">
            <w:pPr>
              <w:pStyle w:val="379"/>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单价（元）</w:t>
            </w:r>
          </w:p>
        </w:tc>
        <w:tc>
          <w:tcPr>
            <w:tcW w:w="1918" w:type="dxa"/>
            <w:vAlign w:val="center"/>
          </w:tcPr>
          <w:p w14:paraId="08ADA4B2">
            <w:pPr>
              <w:pStyle w:val="379"/>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数量</w:t>
            </w:r>
          </w:p>
        </w:tc>
        <w:tc>
          <w:tcPr>
            <w:tcW w:w="1408" w:type="dxa"/>
            <w:vAlign w:val="center"/>
          </w:tcPr>
          <w:p w14:paraId="21CB5D74">
            <w:pPr>
              <w:pStyle w:val="379"/>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合价</w:t>
            </w:r>
          </w:p>
          <w:p w14:paraId="0992B2BA">
            <w:pPr>
              <w:pStyle w:val="379"/>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（元）</w:t>
            </w:r>
          </w:p>
        </w:tc>
        <w:tc>
          <w:tcPr>
            <w:tcW w:w="1489" w:type="dxa"/>
            <w:vAlign w:val="center"/>
          </w:tcPr>
          <w:p w14:paraId="3AC12762">
            <w:pPr>
              <w:pStyle w:val="379"/>
              <w:widowControl/>
              <w:adjustRightInd w:val="0"/>
              <w:snapToGrid w:val="0"/>
              <w:spacing w:line="3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备注</w:t>
            </w:r>
          </w:p>
        </w:tc>
      </w:tr>
      <w:tr w14:paraId="296D2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8" w:hRule="atLeast"/>
          <w:jc w:val="center"/>
        </w:trPr>
        <w:tc>
          <w:tcPr>
            <w:tcW w:w="921" w:type="dxa"/>
            <w:vAlign w:val="center"/>
          </w:tcPr>
          <w:p w14:paraId="5BB135D4">
            <w:pPr>
              <w:pStyle w:val="347"/>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1</w:t>
            </w:r>
          </w:p>
        </w:tc>
        <w:tc>
          <w:tcPr>
            <w:tcW w:w="1944" w:type="dxa"/>
            <w:vAlign w:val="center"/>
          </w:tcPr>
          <w:p w14:paraId="049DF2AB">
            <w:pPr>
              <w:pStyle w:val="347"/>
              <w:widowControl/>
              <w:spacing w:line="560" w:lineRule="exact"/>
              <w:jc w:val="center"/>
              <w:rPr>
                <w:rFonts w:asciiTheme="minorEastAsia" w:hAnsiTheme="minorEastAsia" w:eastAsiaTheme="minorEastAsia"/>
                <w:color w:val="000000"/>
                <w:sz w:val="28"/>
                <w:szCs w:val="28"/>
              </w:rPr>
            </w:pPr>
          </w:p>
        </w:tc>
        <w:tc>
          <w:tcPr>
            <w:tcW w:w="1908" w:type="dxa"/>
            <w:vAlign w:val="center"/>
          </w:tcPr>
          <w:p w14:paraId="740DF87D">
            <w:pPr>
              <w:pStyle w:val="347"/>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w:t>
            </w:r>
          </w:p>
        </w:tc>
        <w:tc>
          <w:tcPr>
            <w:tcW w:w="1918" w:type="dxa"/>
            <w:vAlign w:val="center"/>
          </w:tcPr>
          <w:p w14:paraId="4359A3F1">
            <w:pPr>
              <w:pStyle w:val="347"/>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3D7DA342">
            <w:pPr>
              <w:pStyle w:val="347"/>
              <w:spacing w:line="560" w:lineRule="exact"/>
              <w:jc w:val="center"/>
              <w:rPr>
                <w:rFonts w:asciiTheme="minorEastAsia" w:hAnsiTheme="minorEastAsia" w:eastAsiaTheme="minorEastAsia"/>
                <w:color w:val="000000"/>
                <w:sz w:val="28"/>
                <w:szCs w:val="28"/>
              </w:rPr>
            </w:pPr>
          </w:p>
        </w:tc>
        <w:tc>
          <w:tcPr>
            <w:tcW w:w="1489" w:type="dxa"/>
            <w:vAlign w:val="center"/>
          </w:tcPr>
          <w:p w14:paraId="0AF259F9">
            <w:pPr>
              <w:pStyle w:val="347"/>
              <w:spacing w:line="560" w:lineRule="exact"/>
              <w:jc w:val="center"/>
              <w:rPr>
                <w:rFonts w:asciiTheme="minorEastAsia" w:hAnsiTheme="minorEastAsia" w:eastAsiaTheme="minorEastAsia"/>
                <w:color w:val="000000"/>
                <w:sz w:val="28"/>
                <w:szCs w:val="28"/>
              </w:rPr>
            </w:pPr>
          </w:p>
        </w:tc>
      </w:tr>
      <w:tr w14:paraId="571AEC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39" w:hRule="atLeast"/>
          <w:jc w:val="center"/>
        </w:trPr>
        <w:tc>
          <w:tcPr>
            <w:tcW w:w="921" w:type="dxa"/>
            <w:vAlign w:val="center"/>
          </w:tcPr>
          <w:p w14:paraId="0EEEB60E">
            <w:pPr>
              <w:pStyle w:val="347"/>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2</w:t>
            </w:r>
          </w:p>
        </w:tc>
        <w:tc>
          <w:tcPr>
            <w:tcW w:w="1944" w:type="dxa"/>
            <w:vAlign w:val="center"/>
          </w:tcPr>
          <w:p w14:paraId="7216EE2E">
            <w:pPr>
              <w:pStyle w:val="347"/>
              <w:widowControl/>
              <w:spacing w:line="560" w:lineRule="exact"/>
              <w:jc w:val="center"/>
              <w:rPr>
                <w:rFonts w:asciiTheme="minorEastAsia" w:hAnsiTheme="minorEastAsia" w:eastAsiaTheme="minorEastAsia"/>
                <w:color w:val="000000"/>
                <w:sz w:val="28"/>
                <w:szCs w:val="28"/>
              </w:rPr>
            </w:pPr>
          </w:p>
        </w:tc>
        <w:tc>
          <w:tcPr>
            <w:tcW w:w="1908" w:type="dxa"/>
            <w:vAlign w:val="center"/>
          </w:tcPr>
          <w:p w14:paraId="0AF59F40">
            <w:pPr>
              <w:pStyle w:val="347"/>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 </w:t>
            </w:r>
          </w:p>
        </w:tc>
        <w:tc>
          <w:tcPr>
            <w:tcW w:w="1918" w:type="dxa"/>
            <w:vAlign w:val="center"/>
          </w:tcPr>
          <w:p w14:paraId="0676AA15">
            <w:pPr>
              <w:pStyle w:val="347"/>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78A055E5">
            <w:pPr>
              <w:pStyle w:val="347"/>
              <w:spacing w:line="560" w:lineRule="exact"/>
              <w:jc w:val="center"/>
              <w:rPr>
                <w:rFonts w:asciiTheme="minorEastAsia" w:hAnsiTheme="minorEastAsia" w:eastAsiaTheme="minorEastAsia"/>
                <w:color w:val="000000"/>
                <w:sz w:val="28"/>
                <w:szCs w:val="28"/>
              </w:rPr>
            </w:pPr>
          </w:p>
        </w:tc>
        <w:tc>
          <w:tcPr>
            <w:tcW w:w="1489" w:type="dxa"/>
            <w:vAlign w:val="center"/>
          </w:tcPr>
          <w:p w14:paraId="2E8138D5">
            <w:pPr>
              <w:pStyle w:val="347"/>
              <w:spacing w:line="560" w:lineRule="exact"/>
              <w:jc w:val="center"/>
              <w:rPr>
                <w:rFonts w:asciiTheme="minorEastAsia" w:hAnsiTheme="minorEastAsia" w:eastAsiaTheme="minorEastAsia"/>
                <w:color w:val="000000"/>
                <w:sz w:val="28"/>
                <w:szCs w:val="28"/>
              </w:rPr>
            </w:pPr>
          </w:p>
        </w:tc>
      </w:tr>
      <w:tr w14:paraId="496E1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33" w:hRule="atLeast"/>
          <w:jc w:val="center"/>
        </w:trPr>
        <w:tc>
          <w:tcPr>
            <w:tcW w:w="921" w:type="dxa"/>
            <w:tcBorders>
              <w:bottom w:val="single" w:color="auto" w:sz="4" w:space="0"/>
            </w:tcBorders>
            <w:vAlign w:val="center"/>
          </w:tcPr>
          <w:p w14:paraId="7677C74D">
            <w:pPr>
              <w:pStyle w:val="347"/>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3</w:t>
            </w:r>
          </w:p>
        </w:tc>
        <w:tc>
          <w:tcPr>
            <w:tcW w:w="1944" w:type="dxa"/>
            <w:tcBorders>
              <w:bottom w:val="single" w:color="auto" w:sz="4" w:space="0"/>
            </w:tcBorders>
            <w:vAlign w:val="center"/>
          </w:tcPr>
          <w:p w14:paraId="5F3ABDC4">
            <w:pPr>
              <w:pStyle w:val="347"/>
              <w:widowControl/>
              <w:spacing w:line="560" w:lineRule="exact"/>
              <w:jc w:val="center"/>
              <w:rPr>
                <w:rFonts w:asciiTheme="minorEastAsia" w:hAnsiTheme="minorEastAsia" w:eastAsiaTheme="minorEastAsia"/>
                <w:color w:val="000000"/>
                <w:sz w:val="28"/>
                <w:szCs w:val="28"/>
              </w:rPr>
            </w:pPr>
          </w:p>
        </w:tc>
        <w:tc>
          <w:tcPr>
            <w:tcW w:w="1908" w:type="dxa"/>
            <w:tcBorders>
              <w:bottom w:val="single" w:color="auto" w:sz="4" w:space="0"/>
            </w:tcBorders>
            <w:vAlign w:val="center"/>
          </w:tcPr>
          <w:p w14:paraId="56C8D1E9">
            <w:pPr>
              <w:pStyle w:val="347"/>
              <w:widowControl/>
              <w:spacing w:line="560" w:lineRule="exact"/>
              <w:jc w:val="center"/>
              <w:rPr>
                <w:rFonts w:asciiTheme="minorEastAsia" w:hAnsiTheme="minorEastAsia" w:eastAsiaTheme="minorEastAsia"/>
                <w:color w:val="000000"/>
                <w:sz w:val="28"/>
                <w:szCs w:val="28"/>
              </w:rPr>
            </w:pPr>
          </w:p>
        </w:tc>
        <w:tc>
          <w:tcPr>
            <w:tcW w:w="1918" w:type="dxa"/>
            <w:tcBorders>
              <w:bottom w:val="single" w:color="auto" w:sz="4" w:space="0"/>
            </w:tcBorders>
            <w:vAlign w:val="center"/>
          </w:tcPr>
          <w:p w14:paraId="2513FC8B">
            <w:pPr>
              <w:pStyle w:val="347"/>
              <w:widowControl/>
              <w:spacing w:line="560" w:lineRule="exact"/>
              <w:jc w:val="center"/>
              <w:rPr>
                <w:rFonts w:asciiTheme="minorEastAsia" w:hAnsiTheme="minorEastAsia" w:eastAsiaTheme="minorEastAsia"/>
                <w:color w:val="000000"/>
                <w:sz w:val="28"/>
                <w:szCs w:val="28"/>
              </w:rPr>
            </w:pPr>
          </w:p>
        </w:tc>
        <w:tc>
          <w:tcPr>
            <w:tcW w:w="1408" w:type="dxa"/>
            <w:tcBorders>
              <w:bottom w:val="single" w:color="auto" w:sz="4" w:space="0"/>
            </w:tcBorders>
            <w:vAlign w:val="center"/>
          </w:tcPr>
          <w:p w14:paraId="246E1940">
            <w:pPr>
              <w:pStyle w:val="347"/>
              <w:spacing w:line="560" w:lineRule="exact"/>
              <w:jc w:val="center"/>
              <w:rPr>
                <w:rFonts w:asciiTheme="minorEastAsia" w:hAnsiTheme="minorEastAsia" w:eastAsiaTheme="minorEastAsia"/>
                <w:color w:val="000000"/>
                <w:sz w:val="28"/>
                <w:szCs w:val="28"/>
              </w:rPr>
            </w:pPr>
          </w:p>
        </w:tc>
        <w:tc>
          <w:tcPr>
            <w:tcW w:w="1489" w:type="dxa"/>
            <w:tcBorders>
              <w:bottom w:val="single" w:color="auto" w:sz="4" w:space="0"/>
            </w:tcBorders>
            <w:vAlign w:val="center"/>
          </w:tcPr>
          <w:p w14:paraId="6FD31F4B">
            <w:pPr>
              <w:pStyle w:val="347"/>
              <w:spacing w:line="560" w:lineRule="exact"/>
              <w:jc w:val="center"/>
              <w:rPr>
                <w:rFonts w:asciiTheme="minorEastAsia" w:hAnsiTheme="minorEastAsia" w:eastAsiaTheme="minorEastAsia"/>
                <w:color w:val="000000"/>
                <w:sz w:val="28"/>
                <w:szCs w:val="28"/>
              </w:rPr>
            </w:pPr>
          </w:p>
        </w:tc>
      </w:tr>
      <w:tr w14:paraId="5F653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92" w:hRule="atLeast"/>
          <w:jc w:val="center"/>
        </w:trPr>
        <w:tc>
          <w:tcPr>
            <w:tcW w:w="921" w:type="dxa"/>
            <w:vAlign w:val="center"/>
          </w:tcPr>
          <w:p w14:paraId="2B1802F8">
            <w:pPr>
              <w:pStyle w:val="347"/>
              <w:widowControl/>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4</w:t>
            </w:r>
          </w:p>
        </w:tc>
        <w:tc>
          <w:tcPr>
            <w:tcW w:w="1944" w:type="dxa"/>
            <w:vAlign w:val="center"/>
          </w:tcPr>
          <w:p w14:paraId="013247AC">
            <w:pPr>
              <w:pStyle w:val="347"/>
              <w:widowControl/>
              <w:spacing w:line="560" w:lineRule="exact"/>
              <w:jc w:val="center"/>
              <w:rPr>
                <w:rFonts w:asciiTheme="minorEastAsia" w:hAnsiTheme="minorEastAsia" w:eastAsiaTheme="minorEastAsia"/>
                <w:color w:val="000000"/>
                <w:sz w:val="28"/>
                <w:szCs w:val="28"/>
              </w:rPr>
            </w:pPr>
          </w:p>
        </w:tc>
        <w:tc>
          <w:tcPr>
            <w:tcW w:w="1908" w:type="dxa"/>
            <w:vAlign w:val="center"/>
          </w:tcPr>
          <w:p w14:paraId="5BE29722">
            <w:pPr>
              <w:pStyle w:val="347"/>
              <w:widowControl/>
              <w:spacing w:line="560" w:lineRule="exact"/>
              <w:jc w:val="center"/>
              <w:rPr>
                <w:rFonts w:asciiTheme="minorEastAsia" w:hAnsiTheme="minorEastAsia" w:eastAsiaTheme="minorEastAsia"/>
                <w:color w:val="000000"/>
                <w:sz w:val="28"/>
                <w:szCs w:val="28"/>
              </w:rPr>
            </w:pPr>
          </w:p>
        </w:tc>
        <w:tc>
          <w:tcPr>
            <w:tcW w:w="1918" w:type="dxa"/>
            <w:vAlign w:val="center"/>
          </w:tcPr>
          <w:p w14:paraId="216DBFA8">
            <w:pPr>
              <w:pStyle w:val="347"/>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79C0BCC7">
            <w:pPr>
              <w:pStyle w:val="347"/>
              <w:spacing w:line="560" w:lineRule="exact"/>
              <w:jc w:val="center"/>
              <w:rPr>
                <w:rFonts w:asciiTheme="minorEastAsia" w:hAnsiTheme="minorEastAsia" w:eastAsiaTheme="minorEastAsia"/>
                <w:color w:val="000000"/>
                <w:sz w:val="28"/>
                <w:szCs w:val="28"/>
              </w:rPr>
            </w:pPr>
          </w:p>
        </w:tc>
        <w:tc>
          <w:tcPr>
            <w:tcW w:w="1489" w:type="dxa"/>
            <w:vAlign w:val="center"/>
          </w:tcPr>
          <w:p w14:paraId="7FDD5EED">
            <w:pPr>
              <w:pStyle w:val="347"/>
              <w:spacing w:line="560" w:lineRule="exact"/>
              <w:jc w:val="center"/>
              <w:rPr>
                <w:rFonts w:asciiTheme="minorEastAsia" w:hAnsiTheme="minorEastAsia" w:eastAsiaTheme="minorEastAsia"/>
                <w:color w:val="000000"/>
                <w:sz w:val="28"/>
                <w:szCs w:val="28"/>
              </w:rPr>
            </w:pPr>
          </w:p>
        </w:tc>
      </w:tr>
      <w:tr w14:paraId="1836BB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 w:hRule="atLeast"/>
          <w:jc w:val="center"/>
        </w:trPr>
        <w:tc>
          <w:tcPr>
            <w:tcW w:w="921" w:type="dxa"/>
            <w:vAlign w:val="center"/>
          </w:tcPr>
          <w:p w14:paraId="2E77D573">
            <w:pPr>
              <w:pStyle w:val="347"/>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5</w:t>
            </w:r>
          </w:p>
        </w:tc>
        <w:tc>
          <w:tcPr>
            <w:tcW w:w="1944" w:type="dxa"/>
            <w:vAlign w:val="center"/>
          </w:tcPr>
          <w:p w14:paraId="7370FD24">
            <w:pPr>
              <w:pStyle w:val="347"/>
              <w:spacing w:line="560" w:lineRule="exact"/>
              <w:jc w:val="center"/>
              <w:rPr>
                <w:rFonts w:asciiTheme="minorEastAsia" w:hAnsiTheme="minorEastAsia" w:eastAsiaTheme="minorEastAsia"/>
                <w:color w:val="000000"/>
                <w:sz w:val="28"/>
                <w:szCs w:val="28"/>
              </w:rPr>
            </w:pPr>
          </w:p>
        </w:tc>
        <w:tc>
          <w:tcPr>
            <w:tcW w:w="1908" w:type="dxa"/>
            <w:vAlign w:val="center"/>
          </w:tcPr>
          <w:p w14:paraId="7E273C0E">
            <w:pPr>
              <w:pStyle w:val="347"/>
              <w:widowControl/>
              <w:spacing w:line="560" w:lineRule="exact"/>
              <w:jc w:val="center"/>
              <w:rPr>
                <w:rFonts w:asciiTheme="minorEastAsia" w:hAnsiTheme="minorEastAsia" w:eastAsiaTheme="minorEastAsia"/>
                <w:color w:val="000000"/>
                <w:sz w:val="28"/>
                <w:szCs w:val="28"/>
              </w:rPr>
            </w:pPr>
          </w:p>
        </w:tc>
        <w:tc>
          <w:tcPr>
            <w:tcW w:w="1918" w:type="dxa"/>
            <w:vAlign w:val="center"/>
          </w:tcPr>
          <w:p w14:paraId="574FF6B8">
            <w:pPr>
              <w:pStyle w:val="347"/>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1A723CB3">
            <w:pPr>
              <w:pStyle w:val="347"/>
              <w:spacing w:line="560" w:lineRule="exact"/>
              <w:jc w:val="center"/>
              <w:rPr>
                <w:rFonts w:asciiTheme="minorEastAsia" w:hAnsiTheme="minorEastAsia" w:eastAsiaTheme="minorEastAsia"/>
                <w:color w:val="000000"/>
                <w:sz w:val="28"/>
                <w:szCs w:val="28"/>
              </w:rPr>
            </w:pPr>
          </w:p>
        </w:tc>
        <w:tc>
          <w:tcPr>
            <w:tcW w:w="1489" w:type="dxa"/>
            <w:vAlign w:val="center"/>
          </w:tcPr>
          <w:p w14:paraId="27C065F1">
            <w:pPr>
              <w:pStyle w:val="347"/>
              <w:spacing w:line="560" w:lineRule="exact"/>
              <w:jc w:val="center"/>
              <w:rPr>
                <w:rFonts w:asciiTheme="minorEastAsia" w:hAnsiTheme="minorEastAsia" w:eastAsiaTheme="minorEastAsia"/>
                <w:color w:val="000000"/>
                <w:sz w:val="28"/>
                <w:szCs w:val="28"/>
              </w:rPr>
            </w:pPr>
          </w:p>
        </w:tc>
      </w:tr>
      <w:tr w14:paraId="0C392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1" w:hRule="atLeast"/>
          <w:jc w:val="center"/>
        </w:trPr>
        <w:tc>
          <w:tcPr>
            <w:tcW w:w="921" w:type="dxa"/>
            <w:vAlign w:val="center"/>
          </w:tcPr>
          <w:p w14:paraId="0A474355">
            <w:pPr>
              <w:pStyle w:val="347"/>
              <w:spacing w:line="560" w:lineRule="exact"/>
              <w:jc w:val="center"/>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6</w:t>
            </w:r>
          </w:p>
        </w:tc>
        <w:tc>
          <w:tcPr>
            <w:tcW w:w="1944" w:type="dxa"/>
            <w:vAlign w:val="center"/>
          </w:tcPr>
          <w:p w14:paraId="6D751954">
            <w:pPr>
              <w:pStyle w:val="347"/>
              <w:spacing w:line="560" w:lineRule="exact"/>
              <w:jc w:val="center"/>
              <w:rPr>
                <w:rFonts w:asciiTheme="minorEastAsia" w:hAnsiTheme="minorEastAsia" w:eastAsiaTheme="minorEastAsia"/>
                <w:color w:val="000000"/>
                <w:sz w:val="28"/>
                <w:szCs w:val="28"/>
              </w:rPr>
            </w:pPr>
          </w:p>
        </w:tc>
        <w:tc>
          <w:tcPr>
            <w:tcW w:w="1908" w:type="dxa"/>
            <w:vAlign w:val="center"/>
          </w:tcPr>
          <w:p w14:paraId="79514222">
            <w:pPr>
              <w:pStyle w:val="347"/>
              <w:widowControl/>
              <w:spacing w:line="560" w:lineRule="exact"/>
              <w:jc w:val="center"/>
              <w:rPr>
                <w:rFonts w:asciiTheme="minorEastAsia" w:hAnsiTheme="minorEastAsia" w:eastAsiaTheme="minorEastAsia"/>
                <w:color w:val="000000"/>
                <w:sz w:val="28"/>
                <w:szCs w:val="28"/>
              </w:rPr>
            </w:pPr>
          </w:p>
        </w:tc>
        <w:tc>
          <w:tcPr>
            <w:tcW w:w="1918" w:type="dxa"/>
            <w:vAlign w:val="center"/>
          </w:tcPr>
          <w:p w14:paraId="19DA3870">
            <w:pPr>
              <w:pStyle w:val="347"/>
              <w:widowControl/>
              <w:spacing w:line="560" w:lineRule="exact"/>
              <w:jc w:val="center"/>
              <w:rPr>
                <w:rFonts w:asciiTheme="minorEastAsia" w:hAnsiTheme="minorEastAsia" w:eastAsiaTheme="minorEastAsia"/>
                <w:color w:val="000000"/>
                <w:sz w:val="28"/>
                <w:szCs w:val="28"/>
              </w:rPr>
            </w:pPr>
          </w:p>
        </w:tc>
        <w:tc>
          <w:tcPr>
            <w:tcW w:w="1408" w:type="dxa"/>
            <w:vAlign w:val="center"/>
          </w:tcPr>
          <w:p w14:paraId="3075DFF7">
            <w:pPr>
              <w:pStyle w:val="347"/>
              <w:spacing w:line="560" w:lineRule="exact"/>
              <w:jc w:val="center"/>
              <w:rPr>
                <w:rFonts w:asciiTheme="minorEastAsia" w:hAnsiTheme="minorEastAsia" w:eastAsiaTheme="minorEastAsia"/>
                <w:color w:val="000000"/>
                <w:sz w:val="28"/>
                <w:szCs w:val="28"/>
              </w:rPr>
            </w:pPr>
          </w:p>
        </w:tc>
        <w:tc>
          <w:tcPr>
            <w:tcW w:w="1489" w:type="dxa"/>
            <w:vAlign w:val="center"/>
          </w:tcPr>
          <w:p w14:paraId="03CA75E1">
            <w:pPr>
              <w:pStyle w:val="347"/>
              <w:spacing w:line="560" w:lineRule="exact"/>
              <w:jc w:val="center"/>
              <w:rPr>
                <w:rFonts w:asciiTheme="minorEastAsia" w:hAnsiTheme="minorEastAsia" w:eastAsiaTheme="minorEastAsia"/>
                <w:color w:val="000000"/>
                <w:sz w:val="28"/>
                <w:szCs w:val="28"/>
              </w:rPr>
            </w:pPr>
          </w:p>
        </w:tc>
      </w:tr>
      <w:tr w14:paraId="52CC0E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2" w:hRule="atLeast"/>
          <w:jc w:val="center"/>
        </w:trPr>
        <w:tc>
          <w:tcPr>
            <w:tcW w:w="921" w:type="dxa"/>
            <w:vAlign w:val="center"/>
          </w:tcPr>
          <w:p w14:paraId="19DFE81A">
            <w:pPr>
              <w:pStyle w:val="347"/>
              <w:spacing w:line="560" w:lineRule="exact"/>
              <w:jc w:val="center"/>
              <w:rPr>
                <w:rFonts w:asciiTheme="minorEastAsia" w:hAnsiTheme="minorEastAsia" w:eastAsiaTheme="minorEastAsia"/>
                <w:i/>
                <w:iCs/>
                <w:color w:val="000000"/>
                <w:sz w:val="28"/>
                <w:szCs w:val="28"/>
              </w:rPr>
            </w:pPr>
            <w:r>
              <w:rPr>
                <w:rFonts w:hint="eastAsia" w:asciiTheme="minorEastAsia" w:hAnsiTheme="minorEastAsia" w:eastAsiaTheme="minorEastAsia"/>
                <w:i/>
                <w:iCs/>
                <w:color w:val="000000"/>
                <w:sz w:val="28"/>
                <w:szCs w:val="28"/>
              </w:rPr>
              <w:t>…</w:t>
            </w:r>
          </w:p>
        </w:tc>
        <w:tc>
          <w:tcPr>
            <w:tcW w:w="1944" w:type="dxa"/>
            <w:vAlign w:val="center"/>
          </w:tcPr>
          <w:p w14:paraId="6D927B16">
            <w:pPr>
              <w:pStyle w:val="347"/>
              <w:spacing w:line="560" w:lineRule="exact"/>
              <w:rPr>
                <w:rFonts w:asciiTheme="minorEastAsia" w:hAnsiTheme="minorEastAsia" w:eastAsiaTheme="minorEastAsia"/>
                <w:i/>
                <w:iCs/>
                <w:color w:val="000000"/>
                <w:sz w:val="28"/>
                <w:szCs w:val="28"/>
              </w:rPr>
            </w:pPr>
          </w:p>
        </w:tc>
        <w:tc>
          <w:tcPr>
            <w:tcW w:w="1908" w:type="dxa"/>
            <w:vAlign w:val="center"/>
          </w:tcPr>
          <w:p w14:paraId="3638D5BF">
            <w:pPr>
              <w:pStyle w:val="347"/>
              <w:spacing w:line="560" w:lineRule="exact"/>
              <w:jc w:val="center"/>
              <w:rPr>
                <w:rFonts w:asciiTheme="minorEastAsia" w:hAnsiTheme="minorEastAsia" w:eastAsiaTheme="minorEastAsia"/>
                <w:color w:val="000000"/>
                <w:sz w:val="28"/>
                <w:szCs w:val="28"/>
              </w:rPr>
            </w:pPr>
          </w:p>
        </w:tc>
        <w:tc>
          <w:tcPr>
            <w:tcW w:w="1918" w:type="dxa"/>
            <w:vAlign w:val="center"/>
          </w:tcPr>
          <w:p w14:paraId="05A7C0ED">
            <w:pPr>
              <w:pStyle w:val="347"/>
              <w:spacing w:line="560" w:lineRule="exact"/>
              <w:jc w:val="center"/>
              <w:rPr>
                <w:rFonts w:asciiTheme="minorEastAsia" w:hAnsiTheme="minorEastAsia" w:eastAsiaTheme="minorEastAsia"/>
                <w:color w:val="000000"/>
                <w:sz w:val="28"/>
                <w:szCs w:val="28"/>
              </w:rPr>
            </w:pPr>
          </w:p>
        </w:tc>
        <w:tc>
          <w:tcPr>
            <w:tcW w:w="1408" w:type="dxa"/>
            <w:vAlign w:val="center"/>
          </w:tcPr>
          <w:p w14:paraId="5869D8CE">
            <w:pPr>
              <w:pStyle w:val="347"/>
              <w:spacing w:line="560" w:lineRule="exact"/>
              <w:jc w:val="center"/>
              <w:rPr>
                <w:rFonts w:asciiTheme="minorEastAsia" w:hAnsiTheme="minorEastAsia" w:eastAsiaTheme="minorEastAsia"/>
                <w:color w:val="000000"/>
                <w:sz w:val="28"/>
                <w:szCs w:val="28"/>
              </w:rPr>
            </w:pPr>
          </w:p>
        </w:tc>
        <w:tc>
          <w:tcPr>
            <w:tcW w:w="1489" w:type="dxa"/>
            <w:vAlign w:val="center"/>
          </w:tcPr>
          <w:p w14:paraId="4FFCB9CE">
            <w:pPr>
              <w:pStyle w:val="347"/>
              <w:spacing w:line="560" w:lineRule="exact"/>
              <w:jc w:val="center"/>
              <w:rPr>
                <w:rFonts w:asciiTheme="minorEastAsia" w:hAnsiTheme="minorEastAsia" w:eastAsiaTheme="minorEastAsia"/>
                <w:color w:val="000000"/>
                <w:sz w:val="28"/>
                <w:szCs w:val="28"/>
              </w:rPr>
            </w:pPr>
          </w:p>
        </w:tc>
      </w:tr>
      <w:tr w14:paraId="2862DB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83" w:hRule="atLeast"/>
          <w:jc w:val="center"/>
        </w:trPr>
        <w:tc>
          <w:tcPr>
            <w:tcW w:w="2865" w:type="dxa"/>
            <w:gridSpan w:val="2"/>
            <w:vAlign w:val="center"/>
          </w:tcPr>
          <w:p w14:paraId="5766A200">
            <w:pPr>
              <w:pStyle w:val="347"/>
              <w:spacing w:line="560" w:lineRule="exact"/>
              <w:jc w:val="center"/>
              <w:rPr>
                <w:rFonts w:asciiTheme="minorEastAsia" w:hAnsiTheme="minorEastAsia" w:eastAsiaTheme="minorEastAsia"/>
                <w:b/>
                <w:bCs/>
                <w:color w:val="000000"/>
                <w:sz w:val="28"/>
                <w:szCs w:val="28"/>
              </w:rPr>
            </w:pPr>
          </w:p>
          <w:p w14:paraId="193A49F4">
            <w:pPr>
              <w:pStyle w:val="347"/>
              <w:spacing w:line="560" w:lineRule="exact"/>
              <w:jc w:val="center"/>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报价总计</w:t>
            </w:r>
          </w:p>
        </w:tc>
        <w:tc>
          <w:tcPr>
            <w:tcW w:w="6726" w:type="dxa"/>
            <w:gridSpan w:val="4"/>
            <w:vAlign w:val="center"/>
          </w:tcPr>
          <w:p w14:paraId="31478981">
            <w:pPr>
              <w:pStyle w:val="347"/>
              <w:spacing w:line="560" w:lineRule="exact"/>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w:t>
            </w:r>
            <w:r>
              <w:rPr>
                <w:rFonts w:hint="eastAsia" w:asciiTheme="minorEastAsia" w:hAnsiTheme="minorEastAsia" w:eastAsiaTheme="minorEastAsia"/>
                <w:color w:val="000000"/>
                <w:sz w:val="28"/>
                <w:szCs w:val="28"/>
                <w:u w:val="single"/>
              </w:rPr>
              <w:t xml:space="preserve">                         </w:t>
            </w:r>
          </w:p>
          <w:p w14:paraId="35B5591A">
            <w:pPr>
              <w:pStyle w:val="347"/>
              <w:spacing w:line="560" w:lineRule="exact"/>
              <w:rPr>
                <w:rFonts w:asciiTheme="minorEastAsia" w:hAnsiTheme="minorEastAsia" w:eastAsiaTheme="minorEastAsia"/>
                <w:b/>
                <w:bCs/>
                <w:color w:val="000000"/>
                <w:sz w:val="28"/>
                <w:szCs w:val="28"/>
              </w:rPr>
            </w:pPr>
            <w:r>
              <w:rPr>
                <w:rFonts w:hint="eastAsia" w:asciiTheme="minorEastAsia" w:hAnsiTheme="minorEastAsia" w:eastAsiaTheme="minorEastAsia"/>
                <w:b/>
                <w:bCs/>
                <w:color w:val="000000"/>
                <w:sz w:val="28"/>
                <w:szCs w:val="28"/>
              </w:rPr>
              <w:t>人民币（大写）：</w:t>
            </w:r>
            <w:r>
              <w:rPr>
                <w:rFonts w:hint="eastAsia" w:asciiTheme="minorEastAsia" w:hAnsiTheme="minorEastAsia" w:eastAsiaTheme="minorEastAsia"/>
                <w:color w:val="000000"/>
                <w:sz w:val="28"/>
                <w:szCs w:val="28"/>
                <w:u w:val="single"/>
              </w:rPr>
              <w:t xml:space="preserve">                      </w:t>
            </w:r>
          </w:p>
        </w:tc>
      </w:tr>
    </w:tbl>
    <w:p w14:paraId="61FD5D23">
      <w:pPr>
        <w:rPr>
          <w:rFonts w:cs="宋体" w:asciiTheme="minorEastAsia" w:hAnsiTheme="minorEastAsia" w:eastAsiaTheme="minorEastAsia"/>
          <w:b/>
          <w:sz w:val="28"/>
          <w:szCs w:val="28"/>
        </w:rPr>
      </w:pPr>
    </w:p>
    <w:p w14:paraId="5BDCC906">
      <w:pPr>
        <w:pStyle w:val="380"/>
        <w:widowControl/>
        <w:adjustRightInd w:val="0"/>
        <w:spacing w:line="400" w:lineRule="exact"/>
        <w:ind w:firstLine="560" w:firstLineChars="200"/>
        <w:jc w:val="left"/>
        <w:rPr>
          <w:rFonts w:asciiTheme="minorEastAsia" w:hAnsiTheme="minorEastAsia" w:eastAsiaTheme="minorEastAsia"/>
          <w:b/>
          <w:color w:val="000000"/>
          <w:sz w:val="28"/>
          <w:szCs w:val="28"/>
        </w:rPr>
      </w:pPr>
      <w:r>
        <w:rPr>
          <w:rFonts w:hint="eastAsia" w:asciiTheme="minorEastAsia" w:hAnsiTheme="minorEastAsia" w:eastAsiaTheme="minorEastAsia"/>
          <w:color w:val="000000"/>
          <w:sz w:val="28"/>
          <w:szCs w:val="28"/>
        </w:rPr>
        <w:t>注：1、供应商应分项进行填报，表中表格行数可自行添加。</w:t>
      </w:r>
      <w:r>
        <w:rPr>
          <w:rFonts w:hint="eastAsia" w:asciiTheme="minorEastAsia" w:hAnsiTheme="minorEastAsia" w:eastAsiaTheme="minorEastAsia"/>
          <w:iCs/>
          <w:color w:val="000000"/>
          <w:sz w:val="28"/>
          <w:szCs w:val="28"/>
        </w:rPr>
        <w:t>招标文件中未列出的相关辅助材料和在实施过程中涉及到的其它一切费用应在报价时一并考虑，项目实施过程中不再单独结算。</w:t>
      </w:r>
      <w:r>
        <w:rPr>
          <w:rFonts w:hint="eastAsia" w:asciiTheme="minorEastAsia" w:hAnsiTheme="minorEastAsia" w:eastAsiaTheme="minorEastAsia"/>
          <w:b/>
          <w:color w:val="000000"/>
          <w:sz w:val="28"/>
          <w:szCs w:val="28"/>
        </w:rPr>
        <w:t>表中报价总计应与对应报价一览表中投标总价一致。</w:t>
      </w:r>
    </w:p>
    <w:p w14:paraId="3BD3B1B2">
      <w:pPr>
        <w:pStyle w:val="354"/>
        <w:rPr>
          <w:rFonts w:asciiTheme="minorEastAsia" w:hAnsiTheme="minorEastAsia" w:eastAsiaTheme="minorEastAsia"/>
          <w:color w:val="000000"/>
          <w:sz w:val="28"/>
          <w:szCs w:val="28"/>
        </w:rPr>
      </w:pPr>
    </w:p>
    <w:p w14:paraId="24A814EE">
      <w:pPr>
        <w:pStyle w:val="323"/>
        <w:spacing w:line="500" w:lineRule="exact"/>
        <w:ind w:firstLine="480"/>
        <w:jc w:val="left"/>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 xml:space="preserve">投标人名称： </w:t>
      </w:r>
      <w:r>
        <w:rPr>
          <w:rFonts w:hint="eastAsia" w:asciiTheme="minorEastAsia" w:hAnsiTheme="minorEastAsia" w:eastAsiaTheme="minorEastAsia"/>
          <w:color w:val="000000"/>
          <w:sz w:val="28"/>
          <w:szCs w:val="28"/>
          <w:u w:val="single"/>
        </w:rPr>
        <w:t xml:space="preserve">          </w:t>
      </w:r>
      <w:r>
        <w:rPr>
          <w:rFonts w:hint="eastAsia" w:asciiTheme="minorEastAsia" w:hAnsiTheme="minorEastAsia" w:eastAsiaTheme="minorEastAsia"/>
          <w:color w:val="000000"/>
          <w:sz w:val="28"/>
          <w:szCs w:val="28"/>
        </w:rPr>
        <w:t>（加盖CA电子公章）</w:t>
      </w:r>
    </w:p>
    <w:p w14:paraId="18E5643F">
      <w:pPr>
        <w:pStyle w:val="323"/>
        <w:ind w:firstLine="480"/>
        <w:rPr>
          <w:rFonts w:asciiTheme="minorEastAsia" w:hAnsiTheme="minorEastAsia" w:eastAsiaTheme="minorEastAsia"/>
          <w:color w:val="000000"/>
          <w:sz w:val="28"/>
          <w:szCs w:val="28"/>
        </w:rPr>
      </w:pPr>
      <w:r>
        <w:rPr>
          <w:rFonts w:hint="eastAsia" w:asciiTheme="minorEastAsia" w:hAnsiTheme="minorEastAsia" w:eastAsiaTheme="minorEastAsia"/>
          <w:color w:val="000000"/>
          <w:sz w:val="28"/>
          <w:szCs w:val="28"/>
        </w:rPr>
        <w:t>日期：    年    月   日</w:t>
      </w:r>
    </w:p>
    <w:p w14:paraId="1F66836F">
      <w:pPr>
        <w:pStyle w:val="354"/>
        <w:rPr>
          <w:rFonts w:ascii="仿宋_GB2312" w:eastAsia="仿宋_GB2312"/>
          <w:color w:val="000000"/>
          <w:sz w:val="24"/>
        </w:rPr>
      </w:pPr>
    </w:p>
    <w:p w14:paraId="4816EC75">
      <w:pPr>
        <w:pStyle w:val="354"/>
        <w:rPr>
          <w:rFonts w:ascii="仿宋_GB2312" w:eastAsia="仿宋_GB2312"/>
          <w:color w:val="000000"/>
          <w:sz w:val="24"/>
        </w:rPr>
      </w:pPr>
    </w:p>
    <w:p w14:paraId="29F281F9">
      <w:pPr>
        <w:pStyle w:val="354"/>
        <w:rPr>
          <w:rFonts w:ascii="仿宋_GB2312" w:eastAsia="仿宋_GB2312"/>
          <w:color w:val="000000"/>
          <w:sz w:val="24"/>
        </w:rPr>
      </w:pPr>
    </w:p>
    <w:p w14:paraId="74F760DC">
      <w:pPr>
        <w:pStyle w:val="354"/>
        <w:rPr>
          <w:rFonts w:ascii="仿宋_GB2312" w:eastAsia="仿宋_GB2312"/>
          <w:color w:val="000000"/>
          <w:sz w:val="24"/>
        </w:rPr>
      </w:pPr>
    </w:p>
    <w:p w14:paraId="18A5BD65">
      <w:pPr>
        <w:pStyle w:val="354"/>
        <w:rPr>
          <w:rFonts w:ascii="仿宋_GB2312" w:eastAsia="仿宋_GB2312"/>
          <w:color w:val="000000"/>
          <w:sz w:val="24"/>
        </w:rPr>
      </w:pPr>
    </w:p>
    <w:p w14:paraId="065F02BF">
      <w:pPr>
        <w:pStyle w:val="354"/>
        <w:rPr>
          <w:rFonts w:ascii="仿宋_GB2312" w:eastAsia="仿宋_GB2312"/>
          <w:color w:val="000000"/>
          <w:sz w:val="24"/>
        </w:rPr>
      </w:pPr>
    </w:p>
    <w:p w14:paraId="7E28BAE4">
      <w:pPr>
        <w:pStyle w:val="354"/>
        <w:rPr>
          <w:rFonts w:ascii="仿宋_GB2312" w:eastAsia="仿宋_GB2312"/>
          <w:color w:val="000000"/>
          <w:sz w:val="24"/>
        </w:rPr>
      </w:pPr>
    </w:p>
    <w:p w14:paraId="69CE2F54">
      <w:pPr>
        <w:pStyle w:val="354"/>
        <w:rPr>
          <w:rFonts w:ascii="仿宋_GB2312" w:eastAsia="仿宋_GB2312"/>
          <w:color w:val="000000"/>
          <w:sz w:val="24"/>
        </w:rPr>
      </w:pPr>
    </w:p>
    <w:p w14:paraId="58D123AB">
      <w:pPr>
        <w:pStyle w:val="354"/>
        <w:rPr>
          <w:rFonts w:ascii="仿宋_GB2312" w:eastAsia="仿宋_GB2312"/>
          <w:color w:val="000000"/>
          <w:sz w:val="24"/>
        </w:rPr>
      </w:pPr>
    </w:p>
    <w:p w14:paraId="019DEB86">
      <w:pPr>
        <w:pStyle w:val="354"/>
        <w:rPr>
          <w:rFonts w:ascii="仿宋_GB2312" w:eastAsia="仿宋_GB2312"/>
          <w:color w:val="000000"/>
          <w:sz w:val="24"/>
        </w:rPr>
      </w:pPr>
    </w:p>
    <w:p w14:paraId="1157FC62">
      <w:pPr>
        <w:pStyle w:val="354"/>
        <w:rPr>
          <w:rFonts w:ascii="仿宋_GB2312" w:eastAsia="仿宋_GB2312"/>
          <w:color w:val="000000"/>
          <w:sz w:val="24"/>
        </w:rPr>
      </w:pPr>
    </w:p>
    <w:p w14:paraId="1F327299">
      <w:pPr>
        <w:pStyle w:val="354"/>
        <w:rPr>
          <w:color w:val="000000"/>
        </w:rPr>
      </w:pPr>
    </w:p>
    <w:p w14:paraId="4E2D80D0">
      <w:pPr>
        <w:ind w:firstLine="480"/>
        <w:rPr>
          <w:rFonts w:ascii="Times New Roman" w:hAnsi="Times New Roman"/>
          <w:color w:val="000000"/>
          <w:sz w:val="32"/>
          <w:szCs w:val="32"/>
        </w:rPr>
      </w:pPr>
      <w:r>
        <w:rPr>
          <w:rFonts w:hint="eastAsia" w:ascii="Times New Roman" w:hAnsi="Times New Roman"/>
          <w:color w:val="000000"/>
          <w:sz w:val="32"/>
          <w:szCs w:val="32"/>
        </w:rPr>
        <w:t>七、中小企业声明函（服务）</w:t>
      </w:r>
    </w:p>
    <w:p w14:paraId="40095AEE">
      <w:pPr>
        <w:spacing w:line="560" w:lineRule="exact"/>
        <w:ind w:firstLine="360"/>
        <w:rPr>
          <w:color w:val="000000"/>
          <w:sz w:val="24"/>
          <w:szCs w:val="24"/>
        </w:rPr>
      </w:pPr>
      <w:r>
        <w:rPr>
          <w:rFonts w:hint="eastAsia"/>
          <w:color w:val="000000"/>
          <w:sz w:val="24"/>
          <w:szCs w:val="24"/>
        </w:rPr>
        <w:t>本公司（联合体）郑重声明，根据《政府采购促进中小企业发展管理办法》(财库[2020]46号)的规定，本公司（联合体）参加</w:t>
      </w:r>
      <w:r>
        <w:rPr>
          <w:rFonts w:hint="eastAsia" w:ascii="Times New Roman" w:hAnsi="Times New Roman" w:cs="方正仿宋_GBK"/>
          <w:sz w:val="24"/>
          <w:szCs w:val="24"/>
          <w:u w:val="single"/>
        </w:rPr>
        <w:t xml:space="preserve">宿迁市宿城生态环境局 </w:t>
      </w:r>
      <w:r>
        <w:rPr>
          <w:rFonts w:hint="eastAsia"/>
          <w:color w:val="000000"/>
          <w:sz w:val="24"/>
          <w:szCs w:val="24"/>
        </w:rPr>
        <w:t>采购编号</w:t>
      </w:r>
      <w:r>
        <w:rPr>
          <w:rFonts w:hint="eastAsia"/>
          <w:color w:val="000000"/>
          <w:sz w:val="24"/>
          <w:szCs w:val="24"/>
          <w:highlight w:val="none"/>
        </w:rPr>
        <w:t>为</w:t>
      </w:r>
      <w:r>
        <w:rPr>
          <w:rFonts w:ascii="Segoe UI" w:hAnsi="Segoe UI" w:eastAsia="Segoe UI" w:cs="Segoe UI"/>
          <w:highlight w:val="none"/>
          <w:u w:val="single"/>
          <w:shd w:val="clear" w:color="auto" w:fill="FFFFFF"/>
        </w:rPr>
        <w:t xml:space="preserve">     </w:t>
      </w:r>
      <w:r>
        <w:rPr>
          <w:rFonts w:hint="eastAsia"/>
          <w:color w:val="000000"/>
          <w:sz w:val="24"/>
          <w:szCs w:val="24"/>
          <w:highlight w:val="none"/>
        </w:rPr>
        <w:t xml:space="preserve"> ，</w:t>
      </w:r>
      <w:r>
        <w:rPr>
          <w:rFonts w:hint="eastAsia" w:ascii="Times New Roman" w:hAnsi="Times New Roman" w:cs="方正仿宋_GBK"/>
          <w:sz w:val="24"/>
          <w:szCs w:val="24"/>
          <w:u w:val="single"/>
        </w:rPr>
        <w:t>（宿城区河道水环境质量驻场服务项目）</w:t>
      </w:r>
      <w:r>
        <w:rPr>
          <w:rFonts w:hint="eastAsia"/>
          <w:color w:val="000000"/>
          <w:sz w:val="24"/>
          <w:szCs w:val="24"/>
        </w:rPr>
        <w:t>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4437802C">
      <w:pPr>
        <w:spacing w:line="360" w:lineRule="auto"/>
        <w:ind w:firstLine="360"/>
        <w:rPr>
          <w:i/>
          <w:color w:val="000000"/>
          <w:sz w:val="24"/>
          <w:szCs w:val="24"/>
          <w:u w:val="single"/>
        </w:rPr>
      </w:pPr>
      <w:r>
        <w:rPr>
          <w:rFonts w:hint="eastAsia"/>
          <w:color w:val="000000"/>
          <w:sz w:val="24"/>
          <w:szCs w:val="24"/>
        </w:rPr>
        <w:t>1.</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rFonts w:hint="eastAsia"/>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rFonts w:hint="eastAsia"/>
          <w:color w:val="000000"/>
          <w:sz w:val="24"/>
          <w:szCs w:val="24"/>
          <w:u w:val="single"/>
        </w:rPr>
        <w:t xml:space="preserve">      </w:t>
      </w:r>
      <w:r>
        <w:rPr>
          <w:rFonts w:hint="eastAsia"/>
          <w:color w:val="000000"/>
          <w:sz w:val="24"/>
          <w:szCs w:val="24"/>
        </w:rPr>
        <w:t>人，营业收入为</w:t>
      </w:r>
      <w:r>
        <w:rPr>
          <w:rFonts w:hint="eastAsia"/>
          <w:color w:val="000000"/>
          <w:sz w:val="24"/>
          <w:szCs w:val="24"/>
          <w:u w:val="single"/>
        </w:rPr>
        <w:t xml:space="preserve">     </w:t>
      </w:r>
      <w:r>
        <w:rPr>
          <w:rFonts w:hint="eastAsia"/>
          <w:color w:val="000000"/>
          <w:sz w:val="24"/>
          <w:szCs w:val="24"/>
        </w:rPr>
        <w:t>万元，资产总额为</w:t>
      </w:r>
      <w:r>
        <w:rPr>
          <w:rFonts w:hint="eastAsia"/>
          <w:color w:val="000000"/>
          <w:sz w:val="24"/>
          <w:szCs w:val="24"/>
          <w:u w:val="single"/>
        </w:rPr>
        <w:t xml:space="preserve">      </w:t>
      </w:r>
      <w:r>
        <w:rPr>
          <w:rFonts w:hint="eastAsia"/>
          <w:color w:val="000000"/>
          <w:sz w:val="24"/>
          <w:szCs w:val="24"/>
        </w:rPr>
        <w:t>万元</w:t>
      </w:r>
      <w:r>
        <w:rPr>
          <w:rFonts w:hint="eastAsia"/>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14:paraId="4F9C856E">
      <w:pPr>
        <w:spacing w:line="360" w:lineRule="auto"/>
        <w:ind w:firstLine="360"/>
        <w:rPr>
          <w:i/>
          <w:color w:val="000000"/>
          <w:sz w:val="24"/>
          <w:szCs w:val="24"/>
          <w:u w:val="single"/>
        </w:rPr>
      </w:pPr>
      <w:r>
        <w:rPr>
          <w:rFonts w:hint="eastAsia"/>
          <w:color w:val="000000"/>
          <w:sz w:val="24"/>
          <w:szCs w:val="24"/>
        </w:rPr>
        <w:t>2.</w:t>
      </w:r>
      <w:r>
        <w:rPr>
          <w:rFonts w:hint="eastAsia"/>
          <w:color w:val="000000"/>
          <w:sz w:val="24"/>
          <w:szCs w:val="24"/>
          <w:u w:val="single"/>
        </w:rPr>
        <w:t>（标的名称）</w:t>
      </w:r>
      <w:r>
        <w:rPr>
          <w:rFonts w:hint="eastAsia"/>
          <w:i/>
          <w:color w:val="000000"/>
          <w:sz w:val="24"/>
          <w:szCs w:val="24"/>
        </w:rPr>
        <w:t>，</w:t>
      </w:r>
      <w:r>
        <w:rPr>
          <w:rFonts w:hint="eastAsia"/>
          <w:color w:val="000000"/>
          <w:sz w:val="24"/>
          <w:szCs w:val="24"/>
        </w:rPr>
        <w:t>属于</w:t>
      </w:r>
      <w:r>
        <w:rPr>
          <w:rFonts w:hint="eastAsia"/>
          <w:color w:val="000000"/>
          <w:sz w:val="24"/>
          <w:szCs w:val="24"/>
          <w:u w:val="single"/>
        </w:rPr>
        <w:t xml:space="preserve">       </w:t>
      </w:r>
      <w:r>
        <w:rPr>
          <w:rFonts w:hint="eastAsia"/>
          <w:color w:val="000000"/>
          <w:sz w:val="24"/>
          <w:szCs w:val="24"/>
        </w:rPr>
        <w:t>行业；承接企业为</w:t>
      </w:r>
      <w:r>
        <w:rPr>
          <w:rFonts w:hint="eastAsia"/>
          <w:color w:val="000000"/>
          <w:sz w:val="24"/>
          <w:szCs w:val="24"/>
          <w:u w:val="single"/>
        </w:rPr>
        <w:t>（企业名称）</w:t>
      </w:r>
      <w:r>
        <w:rPr>
          <w:rFonts w:hint="eastAsia"/>
          <w:color w:val="000000"/>
          <w:sz w:val="24"/>
          <w:szCs w:val="24"/>
        </w:rPr>
        <w:t>，从业人员</w:t>
      </w:r>
      <w:r>
        <w:rPr>
          <w:rFonts w:hint="eastAsia"/>
          <w:color w:val="000000"/>
          <w:sz w:val="24"/>
          <w:szCs w:val="24"/>
          <w:u w:val="single"/>
        </w:rPr>
        <w:t xml:space="preserve">      </w:t>
      </w:r>
      <w:r>
        <w:rPr>
          <w:rFonts w:hint="eastAsia"/>
          <w:color w:val="000000"/>
          <w:sz w:val="24"/>
          <w:szCs w:val="24"/>
        </w:rPr>
        <w:t>人，营业收入为</w:t>
      </w:r>
      <w:r>
        <w:rPr>
          <w:rFonts w:hint="eastAsia"/>
          <w:color w:val="000000"/>
          <w:sz w:val="24"/>
          <w:szCs w:val="24"/>
          <w:u w:val="single"/>
        </w:rPr>
        <w:t xml:space="preserve">     </w:t>
      </w:r>
      <w:r>
        <w:rPr>
          <w:rFonts w:hint="eastAsia"/>
          <w:color w:val="000000"/>
          <w:sz w:val="24"/>
          <w:szCs w:val="24"/>
        </w:rPr>
        <w:t>万元，资产总额为</w:t>
      </w:r>
      <w:r>
        <w:rPr>
          <w:rFonts w:hint="eastAsia"/>
          <w:color w:val="000000"/>
          <w:sz w:val="24"/>
          <w:szCs w:val="24"/>
          <w:u w:val="single"/>
        </w:rPr>
        <w:t xml:space="preserve">      </w:t>
      </w:r>
      <w:r>
        <w:rPr>
          <w:rFonts w:hint="eastAsia"/>
          <w:color w:val="000000"/>
          <w:sz w:val="24"/>
          <w:szCs w:val="24"/>
        </w:rPr>
        <w:t>万元</w:t>
      </w:r>
      <w:r>
        <w:rPr>
          <w:rFonts w:hint="eastAsia"/>
          <w:color w:val="000000"/>
          <w:sz w:val="24"/>
          <w:szCs w:val="24"/>
          <w:vertAlign w:val="superscript"/>
        </w:rPr>
        <w:t>1</w:t>
      </w:r>
      <w:r>
        <w:rPr>
          <w:rFonts w:hint="eastAsia"/>
          <w:color w:val="000000"/>
          <w:sz w:val="24"/>
          <w:szCs w:val="24"/>
        </w:rPr>
        <w:t>，属于</w:t>
      </w:r>
      <w:r>
        <w:rPr>
          <w:rFonts w:hint="eastAsia"/>
          <w:color w:val="000000"/>
          <w:sz w:val="24"/>
          <w:szCs w:val="24"/>
          <w:u w:val="single"/>
        </w:rPr>
        <w:t>（中型企业、小型企业、微型企业）；</w:t>
      </w:r>
    </w:p>
    <w:p w14:paraId="181EA129">
      <w:pPr>
        <w:spacing w:line="360" w:lineRule="auto"/>
        <w:ind w:firstLine="360"/>
        <w:rPr>
          <w:color w:val="000000"/>
          <w:sz w:val="24"/>
          <w:szCs w:val="24"/>
        </w:rPr>
      </w:pPr>
      <w:r>
        <w:rPr>
          <w:rFonts w:hint="eastAsia"/>
          <w:color w:val="000000"/>
          <w:sz w:val="24"/>
          <w:szCs w:val="24"/>
        </w:rPr>
        <w:t>……</w:t>
      </w:r>
    </w:p>
    <w:p w14:paraId="10B84A3B">
      <w:pPr>
        <w:spacing w:line="360" w:lineRule="auto"/>
        <w:ind w:firstLine="360"/>
        <w:rPr>
          <w:color w:val="000000"/>
          <w:sz w:val="24"/>
          <w:szCs w:val="24"/>
        </w:rPr>
      </w:pPr>
      <w:r>
        <w:rPr>
          <w:rFonts w:hint="eastAsia"/>
          <w:color w:val="000000"/>
          <w:sz w:val="24"/>
          <w:szCs w:val="24"/>
        </w:rPr>
        <w:t>以上企业，不属于大企业的分支机构，不存在控股股东为大企业的情形，也不存在与大企业的负责人为同一人的情形。</w:t>
      </w:r>
    </w:p>
    <w:p w14:paraId="19773227">
      <w:pPr>
        <w:spacing w:line="360" w:lineRule="auto"/>
        <w:ind w:firstLine="360"/>
        <w:rPr>
          <w:color w:val="000000"/>
          <w:sz w:val="24"/>
          <w:szCs w:val="24"/>
        </w:rPr>
      </w:pPr>
      <w:r>
        <w:rPr>
          <w:rFonts w:hint="eastAsia"/>
          <w:color w:val="000000"/>
          <w:sz w:val="24"/>
          <w:szCs w:val="24"/>
        </w:rPr>
        <w:t>本企业对上述声明内容的真实性负责。如有虚假，将依法承担相应责任。</w:t>
      </w:r>
    </w:p>
    <w:p w14:paraId="1DBD9EC7">
      <w:pPr>
        <w:spacing w:line="360" w:lineRule="auto"/>
        <w:ind w:firstLine="360"/>
        <w:rPr>
          <w:color w:val="000000"/>
          <w:sz w:val="24"/>
          <w:szCs w:val="24"/>
        </w:rPr>
      </w:pPr>
      <w:r>
        <w:rPr>
          <w:rFonts w:hint="eastAsia"/>
          <w:color w:val="000000"/>
          <w:sz w:val="24"/>
          <w:szCs w:val="24"/>
        </w:rPr>
        <w:t>（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p>
    <w:p w14:paraId="3C75F609">
      <w:pPr>
        <w:spacing w:line="360" w:lineRule="auto"/>
        <w:ind w:right="180" w:firstLine="360"/>
        <w:jc w:val="right"/>
        <w:rPr>
          <w:color w:val="000000"/>
          <w:sz w:val="24"/>
          <w:szCs w:val="24"/>
        </w:rPr>
      </w:pPr>
      <w:r>
        <w:rPr>
          <w:rFonts w:hint="eastAsia"/>
          <w:color w:val="000000"/>
          <w:sz w:val="24"/>
          <w:szCs w:val="24"/>
        </w:rPr>
        <w:t>企业名称：（加盖CA电子公章）</w:t>
      </w:r>
    </w:p>
    <w:p w14:paraId="043B0F6C">
      <w:pPr>
        <w:spacing w:line="360" w:lineRule="auto"/>
        <w:ind w:firstLine="5760"/>
        <w:rPr>
          <w:color w:val="000000"/>
          <w:sz w:val="24"/>
          <w:szCs w:val="24"/>
        </w:rPr>
      </w:pPr>
      <w:r>
        <w:rPr>
          <w:rFonts w:hint="eastAsia"/>
          <w:color w:val="000000"/>
          <w:sz w:val="24"/>
          <w:szCs w:val="24"/>
        </w:rPr>
        <w:t>日  期：</w:t>
      </w:r>
      <w:r>
        <w:rPr>
          <w:rFonts w:hint="eastAsia"/>
          <w:color w:val="000000"/>
          <w:sz w:val="24"/>
          <w:szCs w:val="24"/>
          <w:u w:val="single"/>
        </w:rPr>
        <w:t xml:space="preserve">     </w:t>
      </w:r>
      <w:r>
        <w:rPr>
          <w:rFonts w:hint="eastAsia"/>
          <w:color w:val="000000"/>
          <w:sz w:val="24"/>
          <w:szCs w:val="24"/>
        </w:rPr>
        <w:t>年___月___日</w:t>
      </w:r>
    </w:p>
    <w:p w14:paraId="44DF5ED0">
      <w:pPr>
        <w:spacing w:line="360" w:lineRule="auto"/>
        <w:jc w:val="center"/>
        <w:outlineLvl w:val="0"/>
        <w:rPr>
          <w:rFonts w:eastAsia="黑体"/>
          <w:color w:val="000000"/>
          <w:sz w:val="32"/>
          <w:szCs w:val="32"/>
        </w:rPr>
      </w:pPr>
    </w:p>
    <w:p w14:paraId="08A198A6">
      <w:pPr>
        <w:spacing w:line="360" w:lineRule="auto"/>
        <w:jc w:val="center"/>
        <w:outlineLvl w:val="0"/>
        <w:rPr>
          <w:rFonts w:eastAsia="黑体"/>
          <w:color w:val="000000"/>
          <w:sz w:val="32"/>
          <w:szCs w:val="32"/>
        </w:rPr>
      </w:pPr>
      <w:r>
        <w:rPr>
          <w:rFonts w:hint="eastAsia" w:eastAsia="黑体"/>
          <w:color w:val="000000"/>
          <w:sz w:val="32"/>
          <w:szCs w:val="32"/>
        </w:rPr>
        <w:br w:type="page" w:clear="all"/>
      </w:r>
      <w:r>
        <w:rPr>
          <w:rFonts w:hint="eastAsia" w:eastAsia="黑体"/>
          <w:color w:val="000000"/>
          <w:sz w:val="32"/>
          <w:szCs w:val="32"/>
        </w:rPr>
        <w:t>残疾人福利性单位声明函</w:t>
      </w:r>
    </w:p>
    <w:p w14:paraId="3FDBA0B0">
      <w:pPr>
        <w:spacing w:line="360" w:lineRule="auto"/>
        <w:ind w:firstLine="480"/>
        <w:rPr>
          <w:color w:val="000000"/>
          <w:sz w:val="24"/>
        </w:rPr>
      </w:pPr>
      <w:r>
        <w:rPr>
          <w:rFonts w:hint="eastAsia"/>
          <w:color w:val="000000"/>
          <w:sz w:val="24"/>
        </w:rPr>
        <w:t>本单位郑重声明，根据《财政部 民政部 中国残疾人联合会关于促进残疾人就业政府采购政策的通知》（财库〔2017〕 141号）的规定，本单位为符合条件的残疾人福利性单位，且本单位参加</w:t>
      </w:r>
      <w:r>
        <w:rPr>
          <w:rFonts w:hint="eastAsia" w:ascii="Times New Roman" w:hAnsi="Times New Roman" w:cs="方正仿宋_GBK"/>
          <w:sz w:val="24"/>
          <w:szCs w:val="24"/>
          <w:u w:val="single"/>
        </w:rPr>
        <w:t>宿迁市宿城生态环境局</w:t>
      </w:r>
      <w:r>
        <w:rPr>
          <w:rFonts w:hint="eastAsia"/>
          <w:color w:val="000000"/>
          <w:sz w:val="24"/>
        </w:rPr>
        <w:t>单位的采购文件编号</w:t>
      </w:r>
      <w:r>
        <w:rPr>
          <w:rFonts w:hint="eastAsia"/>
          <w:color w:val="000000"/>
          <w:sz w:val="24"/>
          <w:highlight w:val="none"/>
        </w:rPr>
        <w:t>为</w:t>
      </w:r>
      <w:r>
        <w:rPr>
          <w:color w:val="000000"/>
          <w:sz w:val="24"/>
          <w:szCs w:val="24"/>
          <w:highlight w:val="none"/>
          <w:u w:val="single"/>
        </w:rPr>
        <w:t xml:space="preserve">      </w:t>
      </w:r>
      <w:r>
        <w:rPr>
          <w:rFonts w:hint="eastAsia"/>
          <w:color w:val="000000"/>
          <w:sz w:val="24"/>
          <w:highlight w:val="none"/>
        </w:rPr>
        <w:t>的</w:t>
      </w:r>
      <w:r>
        <w:rPr>
          <w:rFonts w:hint="eastAsia"/>
          <w:color w:val="000000"/>
          <w:sz w:val="24"/>
          <w:u w:val="single"/>
        </w:rPr>
        <w:t xml:space="preserve"> </w:t>
      </w:r>
      <w:r>
        <w:rPr>
          <w:rFonts w:hint="eastAsia" w:ascii="Times New Roman" w:hAnsi="Times New Roman" w:cs="方正仿宋_GBK"/>
          <w:sz w:val="24"/>
          <w:szCs w:val="24"/>
          <w:u w:val="single"/>
        </w:rPr>
        <w:t xml:space="preserve">宿城区河道水环境质量驻场服务项目 </w:t>
      </w:r>
      <w:r>
        <w:rPr>
          <w:rFonts w:hint="eastAsia"/>
          <w:color w:val="000000"/>
          <w:sz w:val="24"/>
        </w:rPr>
        <w:t>采购活动由本单位提供服务。</w:t>
      </w:r>
    </w:p>
    <w:p w14:paraId="0E4C8377">
      <w:pPr>
        <w:spacing w:line="360" w:lineRule="auto"/>
        <w:ind w:firstLine="480"/>
        <w:rPr>
          <w:color w:val="000000"/>
          <w:sz w:val="24"/>
        </w:rPr>
      </w:pPr>
      <w:r>
        <w:rPr>
          <w:rFonts w:hint="eastAsia"/>
          <w:color w:val="000000"/>
          <w:sz w:val="24"/>
        </w:rPr>
        <w:t>本单位对上述声明的真实性负责。如有虚假，将依法承担相应责任。</w:t>
      </w:r>
    </w:p>
    <w:p w14:paraId="6C024BCC">
      <w:pPr>
        <w:spacing w:line="360" w:lineRule="auto"/>
        <w:ind w:firstLine="480"/>
        <w:rPr>
          <w:color w:val="000000"/>
          <w:sz w:val="24"/>
        </w:rPr>
      </w:pPr>
    </w:p>
    <w:p w14:paraId="23AC4195">
      <w:pPr>
        <w:spacing w:line="360" w:lineRule="auto"/>
        <w:ind w:firstLine="480"/>
        <w:rPr>
          <w:color w:val="000000"/>
          <w:sz w:val="24"/>
        </w:rPr>
      </w:pPr>
      <w:r>
        <w:rPr>
          <w:rFonts w:hint="eastAsia"/>
          <w:color w:val="000000"/>
          <w:sz w:val="24"/>
        </w:rPr>
        <w:t>（备注：1、投标人如不提供此声明函，价格将不做相应扣除。2、中标人为残疾人福利单位的，此声明函将随中标结果同时公告，接受社会监督。）</w:t>
      </w:r>
    </w:p>
    <w:p w14:paraId="2665AF30">
      <w:pPr>
        <w:spacing w:line="360" w:lineRule="auto"/>
        <w:ind w:firstLine="624"/>
        <w:rPr>
          <w:rFonts w:eastAsia="仿宋_GB2312"/>
          <w:color w:val="000000"/>
          <w:spacing w:val="6"/>
          <w:sz w:val="30"/>
          <w:szCs w:val="30"/>
        </w:rPr>
      </w:pPr>
    </w:p>
    <w:p w14:paraId="2B30A09E">
      <w:pPr>
        <w:pStyle w:val="467"/>
        <w:spacing w:line="360" w:lineRule="auto"/>
        <w:rPr>
          <w:rFonts w:ascii="Times New Roman" w:hAnsi="Times New Roman"/>
          <w:color w:val="000000"/>
        </w:rPr>
      </w:pPr>
    </w:p>
    <w:p w14:paraId="499E9F24">
      <w:pPr>
        <w:spacing w:line="360" w:lineRule="auto"/>
        <w:ind w:right="180" w:firstLine="360"/>
        <w:jc w:val="right"/>
        <w:rPr>
          <w:color w:val="000000"/>
          <w:sz w:val="24"/>
          <w:szCs w:val="24"/>
        </w:rPr>
      </w:pPr>
      <w:r>
        <w:rPr>
          <w:rFonts w:hint="eastAsia"/>
          <w:color w:val="000000"/>
          <w:sz w:val="24"/>
          <w:szCs w:val="24"/>
        </w:rPr>
        <w:t>企业名称：（加盖CA电子公章）</w:t>
      </w:r>
    </w:p>
    <w:p w14:paraId="729D6DC4">
      <w:pPr>
        <w:spacing w:line="360" w:lineRule="auto"/>
        <w:ind w:firstLine="5760"/>
        <w:rPr>
          <w:color w:val="000000"/>
          <w:sz w:val="24"/>
          <w:szCs w:val="24"/>
        </w:rPr>
      </w:pPr>
      <w:r>
        <w:rPr>
          <w:rFonts w:hint="eastAsia"/>
          <w:color w:val="000000"/>
          <w:sz w:val="24"/>
          <w:szCs w:val="24"/>
        </w:rPr>
        <w:t>日  期：</w:t>
      </w:r>
      <w:r>
        <w:rPr>
          <w:rFonts w:hint="eastAsia"/>
          <w:color w:val="000000"/>
          <w:sz w:val="24"/>
          <w:szCs w:val="24"/>
          <w:u w:val="single"/>
        </w:rPr>
        <w:t xml:space="preserve">     </w:t>
      </w:r>
      <w:r>
        <w:rPr>
          <w:rFonts w:hint="eastAsia"/>
          <w:color w:val="000000"/>
          <w:sz w:val="24"/>
          <w:szCs w:val="24"/>
        </w:rPr>
        <w:t>年___月___日</w:t>
      </w:r>
    </w:p>
    <w:p w14:paraId="2E5A231F">
      <w:pPr>
        <w:pStyle w:val="357"/>
        <w:outlineLvl w:val="1"/>
        <w:rPr>
          <w:rFonts w:ascii="Times New Roman" w:hAnsi="Times New Roman"/>
          <w:color w:val="000000"/>
        </w:rPr>
      </w:pPr>
    </w:p>
    <w:p w14:paraId="5BF327E6">
      <w:pPr>
        <w:pStyle w:val="357"/>
        <w:outlineLvl w:val="1"/>
        <w:rPr>
          <w:rFonts w:ascii="Times New Roman" w:hAnsi="Times New Roman"/>
          <w:color w:val="000000"/>
        </w:rPr>
      </w:pPr>
    </w:p>
    <w:p w14:paraId="71225BD7">
      <w:pPr>
        <w:pStyle w:val="357"/>
        <w:outlineLvl w:val="1"/>
        <w:rPr>
          <w:rFonts w:ascii="Times New Roman" w:hAnsi="Times New Roman"/>
          <w:color w:val="000000"/>
        </w:rPr>
      </w:pPr>
    </w:p>
    <w:p w14:paraId="324D0FBE">
      <w:pPr>
        <w:pStyle w:val="357"/>
        <w:outlineLvl w:val="1"/>
        <w:rPr>
          <w:rFonts w:ascii="Times New Roman" w:hAnsi="Times New Roman"/>
          <w:color w:val="000000"/>
        </w:rPr>
      </w:pPr>
    </w:p>
    <w:p w14:paraId="185C4970">
      <w:pPr>
        <w:pStyle w:val="357"/>
        <w:outlineLvl w:val="1"/>
        <w:rPr>
          <w:rFonts w:ascii="Times New Roman" w:hAnsi="Times New Roman"/>
          <w:color w:val="000000"/>
        </w:rPr>
      </w:pPr>
    </w:p>
    <w:p w14:paraId="243A1677">
      <w:pPr>
        <w:pStyle w:val="357"/>
        <w:outlineLvl w:val="1"/>
        <w:rPr>
          <w:rFonts w:ascii="Times New Roman" w:hAnsi="Times New Roman"/>
          <w:color w:val="000000"/>
        </w:rPr>
      </w:pPr>
    </w:p>
    <w:p w14:paraId="2E4B2BA5">
      <w:pPr>
        <w:pStyle w:val="357"/>
        <w:outlineLvl w:val="1"/>
        <w:rPr>
          <w:rFonts w:ascii="Times New Roman" w:hAnsi="Times New Roman"/>
          <w:color w:val="000000"/>
        </w:rPr>
      </w:pPr>
    </w:p>
    <w:p w14:paraId="00F9859B">
      <w:pPr>
        <w:pStyle w:val="357"/>
        <w:outlineLvl w:val="1"/>
        <w:rPr>
          <w:rFonts w:ascii="Times New Roman" w:hAnsi="Times New Roman"/>
          <w:color w:val="000000"/>
        </w:rPr>
      </w:pPr>
    </w:p>
    <w:p w14:paraId="55346378">
      <w:pPr>
        <w:pStyle w:val="357"/>
        <w:outlineLvl w:val="1"/>
        <w:rPr>
          <w:rFonts w:ascii="Times New Roman" w:hAnsi="Times New Roman"/>
          <w:color w:val="000000"/>
        </w:rPr>
      </w:pPr>
    </w:p>
    <w:p w14:paraId="6541263C">
      <w:pPr>
        <w:pStyle w:val="357"/>
        <w:outlineLvl w:val="1"/>
        <w:rPr>
          <w:rFonts w:ascii="Times New Roman" w:hAnsi="Times New Roman"/>
          <w:color w:val="000000"/>
        </w:rPr>
      </w:pPr>
    </w:p>
    <w:p w14:paraId="19DC7810">
      <w:pPr>
        <w:pStyle w:val="357"/>
        <w:outlineLvl w:val="1"/>
        <w:rPr>
          <w:rFonts w:ascii="Times New Roman" w:hAnsi="Times New Roman"/>
          <w:color w:val="000000"/>
        </w:rPr>
      </w:pPr>
    </w:p>
    <w:p w14:paraId="39EEFEB9">
      <w:pPr>
        <w:pStyle w:val="357"/>
        <w:outlineLvl w:val="1"/>
        <w:rPr>
          <w:rFonts w:ascii="Times New Roman" w:hAnsi="Times New Roman"/>
          <w:color w:val="000000"/>
        </w:rPr>
      </w:pPr>
    </w:p>
    <w:p w14:paraId="0529EA3D">
      <w:pPr>
        <w:pStyle w:val="357"/>
        <w:outlineLvl w:val="1"/>
        <w:rPr>
          <w:rFonts w:ascii="Times New Roman" w:hAnsi="Times New Roman"/>
          <w:color w:val="000000"/>
        </w:rPr>
      </w:pPr>
    </w:p>
    <w:p w14:paraId="0AB2E7FE">
      <w:pPr>
        <w:pStyle w:val="357"/>
        <w:outlineLvl w:val="1"/>
        <w:rPr>
          <w:rFonts w:ascii="Times New Roman" w:hAnsi="Times New Roman"/>
          <w:color w:val="000000"/>
        </w:rPr>
      </w:pPr>
    </w:p>
    <w:p w14:paraId="54D013E7">
      <w:pPr>
        <w:pStyle w:val="357"/>
        <w:outlineLvl w:val="1"/>
        <w:rPr>
          <w:rFonts w:ascii="Times New Roman" w:hAnsi="Times New Roman"/>
          <w:color w:val="000000"/>
        </w:rPr>
      </w:pPr>
    </w:p>
    <w:p w14:paraId="71BF19EF">
      <w:pPr>
        <w:pStyle w:val="357"/>
        <w:outlineLvl w:val="1"/>
        <w:rPr>
          <w:rFonts w:ascii="Times New Roman" w:hAnsi="Times New Roman"/>
          <w:color w:val="000000"/>
        </w:rPr>
      </w:pPr>
    </w:p>
    <w:p w14:paraId="59BF0B3F">
      <w:pPr>
        <w:pStyle w:val="357"/>
        <w:outlineLvl w:val="1"/>
        <w:rPr>
          <w:rFonts w:ascii="Times New Roman" w:hAnsi="Times New Roman"/>
          <w:color w:val="000000"/>
        </w:rPr>
      </w:pPr>
    </w:p>
    <w:p w14:paraId="1F8BC171">
      <w:pPr>
        <w:pStyle w:val="357"/>
        <w:outlineLvl w:val="1"/>
        <w:rPr>
          <w:rFonts w:ascii="Times New Roman" w:hAnsi="Times New Roman"/>
          <w:color w:val="000000"/>
        </w:rPr>
      </w:pPr>
    </w:p>
    <w:p w14:paraId="55AD02CB">
      <w:pPr>
        <w:pStyle w:val="357"/>
        <w:outlineLvl w:val="1"/>
        <w:rPr>
          <w:rFonts w:ascii="Times New Roman" w:hAnsi="Times New Roman"/>
          <w:color w:val="000000"/>
        </w:rPr>
      </w:pPr>
    </w:p>
    <w:p w14:paraId="382C03F3">
      <w:pPr>
        <w:pStyle w:val="357"/>
        <w:outlineLvl w:val="1"/>
        <w:rPr>
          <w:rFonts w:ascii="Times New Roman" w:hAnsi="Times New Roman"/>
          <w:color w:val="000000"/>
        </w:rPr>
      </w:pPr>
    </w:p>
    <w:p w14:paraId="2CD72A1F">
      <w:pPr>
        <w:pStyle w:val="357"/>
        <w:outlineLvl w:val="1"/>
        <w:rPr>
          <w:rFonts w:ascii="Times New Roman" w:hAnsi="Times New Roman"/>
          <w:color w:val="000000"/>
        </w:rPr>
      </w:pPr>
    </w:p>
    <w:p w14:paraId="333E53FD">
      <w:pPr>
        <w:pStyle w:val="357"/>
        <w:outlineLvl w:val="1"/>
        <w:rPr>
          <w:rFonts w:ascii="Times New Roman" w:hAnsi="Times New Roman"/>
          <w:color w:val="000000"/>
        </w:rPr>
      </w:pPr>
      <w:r>
        <w:rPr>
          <w:rFonts w:hint="eastAsia" w:ascii="Times New Roman" w:hAnsi="Times New Roman"/>
          <w:color w:val="000000"/>
        </w:rPr>
        <w:t>八、</w:t>
      </w:r>
      <w:r>
        <w:rPr>
          <w:rFonts w:ascii="Times New Roman" w:hAnsi="Times New Roman"/>
          <w:color w:val="000000"/>
        </w:rPr>
        <w:t>项目组人员</w:t>
      </w:r>
    </w:p>
    <w:p w14:paraId="1C64043D">
      <w:pPr>
        <w:pStyle w:val="35"/>
        <w:spacing w:line="600" w:lineRule="exact"/>
        <w:jc w:val="center"/>
        <w:rPr>
          <w:rFonts w:ascii="Times New Roman" w:hAnsi="Times New Roman"/>
          <w:b/>
          <w:bCs/>
          <w:color w:val="000000"/>
          <w:sz w:val="32"/>
          <w:szCs w:val="32"/>
        </w:rPr>
      </w:pPr>
      <w:r>
        <w:rPr>
          <w:rFonts w:hint="eastAsia" w:ascii="Times New Roman" w:hAnsi="Times New Roman"/>
          <w:b/>
          <w:bCs/>
          <w:color w:val="000000"/>
          <w:sz w:val="32"/>
          <w:szCs w:val="32"/>
          <w:lang w:bidi="ar"/>
        </w:rPr>
        <w:t>项目组成员</w:t>
      </w:r>
    </w:p>
    <w:tbl>
      <w:tblPr>
        <w:tblStyle w:val="38"/>
        <w:tblpPr w:leftFromText="180" w:rightFromText="180" w:vertAnchor="text" w:horzAnchor="margin" w:tblpXSpec="center" w:tblpY="7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9"/>
        <w:gridCol w:w="1843"/>
        <w:gridCol w:w="992"/>
        <w:gridCol w:w="1984"/>
        <w:gridCol w:w="1702"/>
        <w:gridCol w:w="962"/>
      </w:tblGrid>
      <w:tr w14:paraId="4AED6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6" w:hRule="atLeast"/>
        </w:trPr>
        <w:tc>
          <w:tcPr>
            <w:tcW w:w="959" w:type="dxa"/>
            <w:vAlign w:val="center"/>
          </w:tcPr>
          <w:p w14:paraId="012575E1">
            <w:pPr>
              <w:pStyle w:val="427"/>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姓名</w:t>
            </w:r>
          </w:p>
        </w:tc>
        <w:tc>
          <w:tcPr>
            <w:tcW w:w="1843" w:type="dxa"/>
            <w:vAlign w:val="center"/>
          </w:tcPr>
          <w:p w14:paraId="18340B59">
            <w:pPr>
              <w:pStyle w:val="427"/>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职务</w:t>
            </w:r>
          </w:p>
        </w:tc>
        <w:tc>
          <w:tcPr>
            <w:tcW w:w="992" w:type="dxa"/>
            <w:vAlign w:val="center"/>
          </w:tcPr>
          <w:p w14:paraId="79216CEE">
            <w:pPr>
              <w:pStyle w:val="427"/>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学历</w:t>
            </w:r>
          </w:p>
        </w:tc>
        <w:tc>
          <w:tcPr>
            <w:tcW w:w="1984" w:type="dxa"/>
            <w:vAlign w:val="center"/>
          </w:tcPr>
          <w:p w14:paraId="77C56691">
            <w:pPr>
              <w:pStyle w:val="427"/>
              <w:widowControl/>
              <w:spacing w:beforeAutospacing="1" w:line="560" w:lineRule="exact"/>
              <w:ind w:firstLine="280"/>
              <w:rPr>
                <w:rFonts w:eastAsia="仿宋_GB2312" w:cs="仿宋_GB2312"/>
                <w:color w:val="000000"/>
                <w:sz w:val="28"/>
                <w:szCs w:val="28"/>
              </w:rPr>
            </w:pPr>
            <w:r>
              <w:rPr>
                <w:rFonts w:eastAsia="仿宋_GB2312" w:cs="仿宋_GB2312"/>
                <w:color w:val="000000"/>
                <w:sz w:val="28"/>
                <w:szCs w:val="28"/>
              </w:rPr>
              <w:t>身份证号</w:t>
            </w:r>
          </w:p>
        </w:tc>
        <w:tc>
          <w:tcPr>
            <w:tcW w:w="1702" w:type="dxa"/>
            <w:vAlign w:val="center"/>
          </w:tcPr>
          <w:p w14:paraId="471B9DB4">
            <w:pPr>
              <w:pStyle w:val="427"/>
              <w:widowControl/>
              <w:spacing w:beforeAutospacing="1" w:line="560" w:lineRule="exact"/>
              <w:jc w:val="center"/>
              <w:rPr>
                <w:rFonts w:eastAsia="仿宋_GB2312" w:cs="仿宋_GB2312"/>
                <w:color w:val="000000"/>
                <w:sz w:val="28"/>
                <w:szCs w:val="28"/>
              </w:rPr>
            </w:pPr>
            <w:r>
              <w:rPr>
                <w:rFonts w:eastAsia="仿宋_GB2312" w:cs="仿宋_GB2312"/>
                <w:color w:val="000000"/>
                <w:sz w:val="28"/>
                <w:szCs w:val="28"/>
              </w:rPr>
              <w:t>相关证书</w:t>
            </w:r>
          </w:p>
        </w:tc>
        <w:tc>
          <w:tcPr>
            <w:tcW w:w="962" w:type="dxa"/>
            <w:vAlign w:val="center"/>
          </w:tcPr>
          <w:p w14:paraId="6E82BCDE">
            <w:pPr>
              <w:pStyle w:val="427"/>
              <w:widowControl/>
              <w:spacing w:beforeAutospacing="1" w:line="560" w:lineRule="exact"/>
              <w:rPr>
                <w:rFonts w:eastAsia="仿宋_GB2312" w:cs="仿宋_GB2312"/>
                <w:color w:val="000000"/>
                <w:sz w:val="28"/>
                <w:szCs w:val="28"/>
              </w:rPr>
            </w:pPr>
            <w:r>
              <w:rPr>
                <w:rFonts w:eastAsia="仿宋_GB2312" w:cs="仿宋_GB2312"/>
                <w:color w:val="000000"/>
                <w:sz w:val="28"/>
                <w:szCs w:val="28"/>
              </w:rPr>
              <w:t>备注</w:t>
            </w:r>
          </w:p>
        </w:tc>
      </w:tr>
      <w:tr w14:paraId="6AFB6A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711991A">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2D7392BA">
            <w:pPr>
              <w:pStyle w:val="35"/>
              <w:jc w:val="center"/>
              <w:rPr>
                <w:rFonts w:ascii="Times New Roman" w:hAnsi="Times New Roman" w:eastAsia="仿宋_GB2312"/>
                <w:color w:val="000000"/>
                <w:sz w:val="20"/>
                <w:szCs w:val="20"/>
              </w:rPr>
            </w:pPr>
            <w:r>
              <w:rPr>
                <w:rFonts w:hint="eastAsia" w:ascii="Times New Roman" w:hAnsi="Times New Roman" w:eastAsia="仿宋_GB2312" w:cs="仿宋_GB2312"/>
                <w:color w:val="000000"/>
                <w:sz w:val="28"/>
                <w:szCs w:val="28"/>
                <w:lang w:bidi="ar"/>
              </w:rPr>
              <w:t>项目负责人</w:t>
            </w:r>
          </w:p>
        </w:tc>
        <w:tc>
          <w:tcPr>
            <w:tcW w:w="992" w:type="dxa"/>
            <w:vAlign w:val="center"/>
          </w:tcPr>
          <w:p w14:paraId="4E6C1051">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46DC1514">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55D4121D">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67B2956F">
            <w:pPr>
              <w:pStyle w:val="427"/>
              <w:widowControl/>
              <w:spacing w:line="560" w:lineRule="exact"/>
              <w:ind w:firstLine="560"/>
              <w:jc w:val="center"/>
              <w:rPr>
                <w:rFonts w:eastAsia="仿宋_GB2312" w:cs="仿宋_GB2312"/>
                <w:color w:val="000000"/>
                <w:sz w:val="28"/>
                <w:szCs w:val="28"/>
              </w:rPr>
            </w:pPr>
          </w:p>
        </w:tc>
      </w:tr>
      <w:tr w14:paraId="038194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2B8D86A5">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4E445F24">
            <w:pPr>
              <w:pStyle w:val="35"/>
              <w:jc w:val="center"/>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lang w:bidi="ar"/>
              </w:rPr>
              <w:t>......</w:t>
            </w:r>
          </w:p>
        </w:tc>
        <w:tc>
          <w:tcPr>
            <w:tcW w:w="992" w:type="dxa"/>
            <w:vAlign w:val="center"/>
          </w:tcPr>
          <w:p w14:paraId="60950600">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0BBE6ACD">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42A27066">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7DBC43D4">
            <w:pPr>
              <w:pStyle w:val="427"/>
              <w:widowControl/>
              <w:spacing w:line="560" w:lineRule="exact"/>
              <w:ind w:firstLine="560"/>
              <w:jc w:val="center"/>
              <w:rPr>
                <w:rFonts w:eastAsia="仿宋_GB2312" w:cs="仿宋_GB2312"/>
                <w:color w:val="000000"/>
                <w:sz w:val="28"/>
                <w:szCs w:val="28"/>
              </w:rPr>
            </w:pPr>
          </w:p>
        </w:tc>
      </w:tr>
      <w:tr w14:paraId="3FC786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17852D1C">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7B537883">
            <w:pPr>
              <w:pStyle w:val="35"/>
              <w:ind w:firstLine="280"/>
              <w:rPr>
                <w:rFonts w:ascii="Times New Roman" w:hAnsi="Times New Roman" w:eastAsia="仿宋_GB2312" w:cs="仿宋_GB2312"/>
                <w:color w:val="000000"/>
                <w:sz w:val="28"/>
                <w:szCs w:val="28"/>
              </w:rPr>
            </w:pPr>
            <w:r>
              <w:rPr>
                <w:rFonts w:ascii="Times New Roman" w:hAnsi="Times New Roman" w:eastAsia="仿宋_GB2312" w:cs="仿宋_GB2312"/>
                <w:color w:val="000000"/>
                <w:sz w:val="28"/>
                <w:szCs w:val="28"/>
                <w:lang w:bidi="ar"/>
              </w:rPr>
              <w:t>......</w:t>
            </w:r>
          </w:p>
        </w:tc>
        <w:tc>
          <w:tcPr>
            <w:tcW w:w="992" w:type="dxa"/>
            <w:vAlign w:val="center"/>
          </w:tcPr>
          <w:p w14:paraId="056C19D5">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5D4B5884">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654A2B48">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0135F700">
            <w:pPr>
              <w:pStyle w:val="427"/>
              <w:widowControl/>
              <w:spacing w:line="560" w:lineRule="exact"/>
              <w:ind w:firstLine="560"/>
              <w:jc w:val="center"/>
              <w:rPr>
                <w:rFonts w:eastAsia="仿宋_GB2312" w:cs="仿宋_GB2312"/>
                <w:color w:val="000000"/>
                <w:sz w:val="28"/>
                <w:szCs w:val="28"/>
              </w:rPr>
            </w:pPr>
          </w:p>
        </w:tc>
      </w:tr>
      <w:tr w14:paraId="569976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E1481E8">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0CFB591B">
            <w:pPr>
              <w:pStyle w:val="35"/>
              <w:rPr>
                <w:rFonts w:ascii="Times New Roman" w:hAnsi="Times New Roman" w:eastAsia="仿宋_GB2312" w:cs="仿宋_GB2312"/>
                <w:color w:val="000000"/>
                <w:sz w:val="28"/>
                <w:szCs w:val="28"/>
              </w:rPr>
            </w:pPr>
          </w:p>
        </w:tc>
        <w:tc>
          <w:tcPr>
            <w:tcW w:w="992" w:type="dxa"/>
            <w:vAlign w:val="center"/>
          </w:tcPr>
          <w:p w14:paraId="6A9AEB44">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28921F98">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0FB6CA85">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028E6875">
            <w:pPr>
              <w:pStyle w:val="427"/>
              <w:widowControl/>
              <w:spacing w:line="560" w:lineRule="exact"/>
              <w:ind w:firstLine="560"/>
              <w:jc w:val="center"/>
              <w:rPr>
                <w:rFonts w:eastAsia="仿宋_GB2312" w:cs="仿宋_GB2312"/>
                <w:color w:val="000000"/>
                <w:sz w:val="28"/>
                <w:szCs w:val="28"/>
              </w:rPr>
            </w:pPr>
          </w:p>
        </w:tc>
      </w:tr>
      <w:tr w14:paraId="3954DB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21DBCF9">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6AF6A475">
            <w:pPr>
              <w:pStyle w:val="35"/>
              <w:rPr>
                <w:rFonts w:ascii="Times New Roman" w:hAnsi="Times New Roman" w:eastAsia="仿宋_GB2312" w:cs="仿宋_GB2312"/>
                <w:color w:val="000000"/>
                <w:sz w:val="28"/>
                <w:szCs w:val="28"/>
              </w:rPr>
            </w:pPr>
          </w:p>
        </w:tc>
        <w:tc>
          <w:tcPr>
            <w:tcW w:w="992" w:type="dxa"/>
            <w:vAlign w:val="center"/>
          </w:tcPr>
          <w:p w14:paraId="3439799F">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2B788210">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763CDF17">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3363D0E2">
            <w:pPr>
              <w:pStyle w:val="427"/>
              <w:widowControl/>
              <w:spacing w:line="560" w:lineRule="exact"/>
              <w:ind w:firstLine="560"/>
              <w:jc w:val="center"/>
              <w:rPr>
                <w:rFonts w:eastAsia="仿宋_GB2312" w:cs="仿宋_GB2312"/>
                <w:color w:val="000000"/>
                <w:sz w:val="28"/>
                <w:szCs w:val="28"/>
              </w:rPr>
            </w:pPr>
          </w:p>
        </w:tc>
      </w:tr>
      <w:tr w14:paraId="6ED3A37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43C94EB4">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18C8F71C">
            <w:pPr>
              <w:pStyle w:val="427"/>
              <w:widowControl/>
              <w:spacing w:line="560" w:lineRule="exact"/>
              <w:ind w:firstLine="560"/>
              <w:jc w:val="center"/>
              <w:rPr>
                <w:rFonts w:eastAsia="仿宋_GB2312" w:cs="仿宋_GB2312"/>
                <w:color w:val="000000"/>
                <w:sz w:val="28"/>
                <w:szCs w:val="28"/>
              </w:rPr>
            </w:pPr>
          </w:p>
        </w:tc>
        <w:tc>
          <w:tcPr>
            <w:tcW w:w="992" w:type="dxa"/>
            <w:vAlign w:val="center"/>
          </w:tcPr>
          <w:p w14:paraId="21914E7E">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7E5AC931">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6EEFA102">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7ACD27CA">
            <w:pPr>
              <w:pStyle w:val="427"/>
              <w:widowControl/>
              <w:spacing w:line="560" w:lineRule="exact"/>
              <w:ind w:firstLine="560"/>
              <w:jc w:val="center"/>
              <w:rPr>
                <w:rFonts w:eastAsia="仿宋_GB2312" w:cs="仿宋_GB2312"/>
                <w:color w:val="000000"/>
                <w:sz w:val="28"/>
                <w:szCs w:val="28"/>
              </w:rPr>
            </w:pPr>
          </w:p>
        </w:tc>
      </w:tr>
      <w:tr w14:paraId="729A5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72D1F088">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1BABB8F3">
            <w:pPr>
              <w:pStyle w:val="427"/>
              <w:widowControl/>
              <w:spacing w:line="560" w:lineRule="exact"/>
              <w:ind w:firstLine="560"/>
              <w:jc w:val="center"/>
              <w:rPr>
                <w:rFonts w:eastAsia="仿宋_GB2312" w:cs="仿宋_GB2312"/>
                <w:color w:val="000000"/>
                <w:sz w:val="28"/>
                <w:szCs w:val="28"/>
              </w:rPr>
            </w:pPr>
          </w:p>
        </w:tc>
        <w:tc>
          <w:tcPr>
            <w:tcW w:w="992" w:type="dxa"/>
            <w:vAlign w:val="center"/>
          </w:tcPr>
          <w:p w14:paraId="79164695">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572167F7">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4A41E692">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3A46B339">
            <w:pPr>
              <w:pStyle w:val="427"/>
              <w:widowControl/>
              <w:spacing w:line="560" w:lineRule="exact"/>
              <w:ind w:firstLine="560"/>
              <w:jc w:val="center"/>
              <w:rPr>
                <w:rFonts w:eastAsia="仿宋_GB2312" w:cs="仿宋_GB2312"/>
                <w:color w:val="000000"/>
                <w:sz w:val="28"/>
                <w:szCs w:val="28"/>
              </w:rPr>
            </w:pPr>
          </w:p>
        </w:tc>
      </w:tr>
      <w:tr w14:paraId="3C27D3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6673F86B">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364CB872">
            <w:pPr>
              <w:pStyle w:val="427"/>
              <w:widowControl/>
              <w:spacing w:line="560" w:lineRule="exact"/>
              <w:ind w:firstLine="560"/>
              <w:jc w:val="center"/>
              <w:rPr>
                <w:rFonts w:eastAsia="仿宋_GB2312" w:cs="仿宋_GB2312"/>
                <w:color w:val="000000"/>
                <w:sz w:val="28"/>
                <w:szCs w:val="28"/>
              </w:rPr>
            </w:pPr>
          </w:p>
        </w:tc>
        <w:tc>
          <w:tcPr>
            <w:tcW w:w="992" w:type="dxa"/>
            <w:vAlign w:val="center"/>
          </w:tcPr>
          <w:p w14:paraId="1793A9BE">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52B861A8">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7927AC8C">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204CFED9">
            <w:pPr>
              <w:pStyle w:val="427"/>
              <w:widowControl/>
              <w:spacing w:line="560" w:lineRule="exact"/>
              <w:ind w:firstLine="560"/>
              <w:jc w:val="center"/>
              <w:rPr>
                <w:rFonts w:eastAsia="仿宋_GB2312" w:cs="仿宋_GB2312"/>
                <w:color w:val="000000"/>
                <w:sz w:val="28"/>
                <w:szCs w:val="28"/>
              </w:rPr>
            </w:pPr>
          </w:p>
        </w:tc>
      </w:tr>
      <w:tr w14:paraId="42CA85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3EC9DDE5">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1B348FDB">
            <w:pPr>
              <w:pStyle w:val="427"/>
              <w:widowControl/>
              <w:spacing w:line="560" w:lineRule="exact"/>
              <w:ind w:firstLine="560"/>
              <w:jc w:val="center"/>
              <w:rPr>
                <w:rFonts w:eastAsia="仿宋_GB2312" w:cs="仿宋_GB2312"/>
                <w:color w:val="000000"/>
                <w:sz w:val="28"/>
                <w:szCs w:val="28"/>
              </w:rPr>
            </w:pPr>
          </w:p>
        </w:tc>
        <w:tc>
          <w:tcPr>
            <w:tcW w:w="992" w:type="dxa"/>
            <w:vAlign w:val="center"/>
          </w:tcPr>
          <w:p w14:paraId="73421FFC">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1D95B767">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05C64B67">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1DC8AAD8">
            <w:pPr>
              <w:pStyle w:val="427"/>
              <w:widowControl/>
              <w:spacing w:line="560" w:lineRule="exact"/>
              <w:ind w:firstLine="560"/>
              <w:jc w:val="center"/>
              <w:rPr>
                <w:rFonts w:eastAsia="仿宋_GB2312" w:cs="仿宋_GB2312"/>
                <w:color w:val="000000"/>
                <w:sz w:val="28"/>
                <w:szCs w:val="28"/>
              </w:rPr>
            </w:pPr>
          </w:p>
        </w:tc>
      </w:tr>
      <w:tr w14:paraId="07672E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9" w:hRule="atLeast"/>
        </w:trPr>
        <w:tc>
          <w:tcPr>
            <w:tcW w:w="959" w:type="dxa"/>
            <w:vAlign w:val="center"/>
          </w:tcPr>
          <w:p w14:paraId="28DD6D11">
            <w:pPr>
              <w:pStyle w:val="427"/>
              <w:widowControl/>
              <w:spacing w:line="560" w:lineRule="exact"/>
              <w:ind w:firstLine="560"/>
              <w:jc w:val="center"/>
              <w:rPr>
                <w:rFonts w:eastAsia="仿宋_GB2312" w:cs="仿宋_GB2312"/>
                <w:color w:val="000000"/>
                <w:sz w:val="28"/>
                <w:szCs w:val="28"/>
              </w:rPr>
            </w:pPr>
          </w:p>
        </w:tc>
        <w:tc>
          <w:tcPr>
            <w:tcW w:w="1843" w:type="dxa"/>
            <w:vAlign w:val="center"/>
          </w:tcPr>
          <w:p w14:paraId="1E9EF2C7">
            <w:pPr>
              <w:pStyle w:val="427"/>
              <w:widowControl/>
              <w:spacing w:line="560" w:lineRule="exact"/>
              <w:ind w:firstLine="560"/>
              <w:jc w:val="center"/>
              <w:rPr>
                <w:rFonts w:eastAsia="仿宋_GB2312" w:cs="仿宋_GB2312"/>
                <w:color w:val="000000"/>
                <w:sz w:val="28"/>
                <w:szCs w:val="28"/>
              </w:rPr>
            </w:pPr>
          </w:p>
        </w:tc>
        <w:tc>
          <w:tcPr>
            <w:tcW w:w="992" w:type="dxa"/>
            <w:vAlign w:val="center"/>
          </w:tcPr>
          <w:p w14:paraId="2D5A4566">
            <w:pPr>
              <w:pStyle w:val="427"/>
              <w:widowControl/>
              <w:spacing w:line="560" w:lineRule="exact"/>
              <w:ind w:firstLine="560"/>
              <w:jc w:val="center"/>
              <w:rPr>
                <w:rFonts w:eastAsia="仿宋_GB2312" w:cs="仿宋_GB2312"/>
                <w:color w:val="000000"/>
                <w:sz w:val="28"/>
                <w:szCs w:val="28"/>
              </w:rPr>
            </w:pPr>
          </w:p>
        </w:tc>
        <w:tc>
          <w:tcPr>
            <w:tcW w:w="1984" w:type="dxa"/>
            <w:vAlign w:val="center"/>
          </w:tcPr>
          <w:p w14:paraId="7884BCB1">
            <w:pPr>
              <w:pStyle w:val="427"/>
              <w:widowControl/>
              <w:spacing w:line="560" w:lineRule="exact"/>
              <w:ind w:firstLine="560"/>
              <w:jc w:val="center"/>
              <w:rPr>
                <w:rFonts w:eastAsia="仿宋_GB2312" w:cs="仿宋_GB2312"/>
                <w:color w:val="000000"/>
                <w:sz w:val="28"/>
                <w:szCs w:val="28"/>
              </w:rPr>
            </w:pPr>
          </w:p>
        </w:tc>
        <w:tc>
          <w:tcPr>
            <w:tcW w:w="1702" w:type="dxa"/>
            <w:vAlign w:val="center"/>
          </w:tcPr>
          <w:p w14:paraId="3308A0A5">
            <w:pPr>
              <w:pStyle w:val="427"/>
              <w:widowControl/>
              <w:spacing w:line="560" w:lineRule="exact"/>
              <w:ind w:firstLine="560"/>
              <w:jc w:val="center"/>
              <w:rPr>
                <w:rFonts w:eastAsia="仿宋_GB2312" w:cs="仿宋_GB2312"/>
                <w:color w:val="000000"/>
                <w:sz w:val="28"/>
                <w:szCs w:val="28"/>
              </w:rPr>
            </w:pPr>
          </w:p>
        </w:tc>
        <w:tc>
          <w:tcPr>
            <w:tcW w:w="962" w:type="dxa"/>
            <w:vAlign w:val="center"/>
          </w:tcPr>
          <w:p w14:paraId="3A1F8013">
            <w:pPr>
              <w:pStyle w:val="427"/>
              <w:widowControl/>
              <w:spacing w:line="560" w:lineRule="exact"/>
              <w:ind w:firstLine="560"/>
              <w:jc w:val="center"/>
              <w:rPr>
                <w:rFonts w:eastAsia="仿宋_GB2312" w:cs="仿宋_GB2312"/>
                <w:color w:val="000000"/>
                <w:sz w:val="28"/>
                <w:szCs w:val="28"/>
              </w:rPr>
            </w:pPr>
          </w:p>
        </w:tc>
      </w:tr>
    </w:tbl>
    <w:p w14:paraId="634549E9">
      <w:pPr>
        <w:pStyle w:val="35"/>
        <w:spacing w:line="460" w:lineRule="exact"/>
        <w:ind w:firstLine="398"/>
        <w:rPr>
          <w:rFonts w:ascii="Times New Roman" w:hAnsi="Times New Roman" w:eastAsia="仿宋_GB2312" w:cs="仿宋_GB2312"/>
          <w:color w:val="000000"/>
        </w:rPr>
      </w:pPr>
      <w:r>
        <w:rPr>
          <w:rFonts w:ascii="Times New Roman" w:hAnsi="Times New Roman" w:eastAsia="仿宋_GB2312" w:cs="仿宋_GB2312"/>
          <w:b/>
          <w:color w:val="000000"/>
          <w:lang w:bidi="ar"/>
        </w:rPr>
        <w:t>注：如供应商中标，项目组成员必须按本表承诺人员操作，不得随意更换。按投标文件要求附相关人员证书。</w:t>
      </w:r>
    </w:p>
    <w:p w14:paraId="48D8CFF3">
      <w:pPr>
        <w:pStyle w:val="35"/>
        <w:spacing w:line="500" w:lineRule="exact"/>
        <w:ind w:firstLine="280"/>
        <w:rPr>
          <w:rFonts w:ascii="Times New Roman" w:hAnsi="Times New Roman" w:eastAsia="仿宋_GB2312" w:cs="仿宋_GB2312"/>
          <w:color w:val="000000"/>
        </w:rPr>
      </w:pPr>
    </w:p>
    <w:p w14:paraId="2F986FBE">
      <w:pPr>
        <w:pStyle w:val="362"/>
        <w:spacing w:line="500" w:lineRule="exact"/>
        <w:rPr>
          <w:color w:val="000000"/>
        </w:rPr>
      </w:pPr>
      <w:r>
        <w:rPr>
          <w:color w:val="000000"/>
        </w:rPr>
        <w:br w:type="page" w:clear="all"/>
      </w:r>
      <w:bookmarkStart w:id="153" w:name="_Toc11176"/>
      <w:r>
        <w:rPr>
          <w:rFonts w:hint="eastAsia" w:eastAsia="黑体" w:cs="黑体"/>
          <w:b/>
          <w:color w:val="000000"/>
          <w:sz w:val="32"/>
        </w:rPr>
        <w:t>九、</w:t>
      </w:r>
      <w:bookmarkEnd w:id="153"/>
      <w:r>
        <w:rPr>
          <w:rFonts w:hint="eastAsia" w:eastAsia="黑体" w:cs="黑体"/>
          <w:b/>
          <w:color w:val="000000"/>
          <w:sz w:val="32"/>
        </w:rPr>
        <w:t>企业业绩</w:t>
      </w:r>
    </w:p>
    <w:p w14:paraId="229E8ABD">
      <w:pPr>
        <w:pStyle w:val="365"/>
        <w:jc w:val="center"/>
        <w:rPr>
          <w:rFonts w:ascii="Times New Roman" w:hAnsi="Times New Roman"/>
          <w:b/>
          <w:color w:val="000000"/>
          <w:sz w:val="32"/>
          <w:szCs w:val="32"/>
        </w:rPr>
      </w:pPr>
      <w:r>
        <w:rPr>
          <w:rFonts w:hint="eastAsia" w:ascii="Times New Roman" w:hAnsi="Times New Roman"/>
          <w:b/>
          <w:color w:val="000000"/>
          <w:sz w:val="32"/>
          <w:szCs w:val="32"/>
        </w:rPr>
        <w:t>投标人承担类似项目业绩一览表</w:t>
      </w:r>
    </w:p>
    <w:tbl>
      <w:tblPr>
        <w:tblStyle w:val="38"/>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29"/>
        <w:gridCol w:w="3827"/>
        <w:gridCol w:w="2433"/>
        <w:gridCol w:w="1395"/>
      </w:tblGrid>
      <w:tr w14:paraId="193555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3" w:hRule="atLeast"/>
          <w:jc w:val="center"/>
        </w:trPr>
        <w:tc>
          <w:tcPr>
            <w:tcW w:w="1229" w:type="dxa"/>
          </w:tcPr>
          <w:p w14:paraId="676B7634">
            <w:pPr>
              <w:pStyle w:val="366"/>
              <w:spacing w:line="560" w:lineRule="exact"/>
              <w:jc w:val="center"/>
              <w:rPr>
                <w:rFonts w:eastAsia="仿宋_GB2312"/>
                <w:color w:val="000000"/>
                <w:sz w:val="28"/>
                <w:szCs w:val="28"/>
              </w:rPr>
            </w:pPr>
            <w:r>
              <w:rPr>
                <w:rFonts w:hint="eastAsia" w:eastAsia="仿宋_GB2312"/>
                <w:color w:val="000000"/>
                <w:sz w:val="28"/>
                <w:szCs w:val="28"/>
              </w:rPr>
              <w:t>序号</w:t>
            </w:r>
          </w:p>
        </w:tc>
        <w:tc>
          <w:tcPr>
            <w:tcW w:w="3827" w:type="dxa"/>
            <w:vAlign w:val="center"/>
          </w:tcPr>
          <w:p w14:paraId="7EDF6440">
            <w:pPr>
              <w:pStyle w:val="366"/>
              <w:spacing w:line="560" w:lineRule="exact"/>
              <w:jc w:val="center"/>
              <w:rPr>
                <w:rFonts w:eastAsia="仿宋_GB2312"/>
                <w:color w:val="000000"/>
                <w:sz w:val="28"/>
                <w:szCs w:val="28"/>
              </w:rPr>
            </w:pPr>
            <w:r>
              <w:rPr>
                <w:rFonts w:hint="eastAsia" w:eastAsia="仿宋_GB2312"/>
                <w:color w:val="000000"/>
                <w:sz w:val="28"/>
                <w:szCs w:val="28"/>
              </w:rPr>
              <w:t>项目名称</w:t>
            </w:r>
          </w:p>
        </w:tc>
        <w:tc>
          <w:tcPr>
            <w:tcW w:w="2433" w:type="dxa"/>
            <w:vAlign w:val="center"/>
          </w:tcPr>
          <w:p w14:paraId="690AF0A4">
            <w:pPr>
              <w:pStyle w:val="366"/>
              <w:spacing w:line="560" w:lineRule="exact"/>
              <w:jc w:val="center"/>
              <w:rPr>
                <w:rFonts w:eastAsia="仿宋_GB2312"/>
                <w:color w:val="000000"/>
                <w:sz w:val="28"/>
                <w:szCs w:val="28"/>
              </w:rPr>
            </w:pPr>
            <w:r>
              <w:rPr>
                <w:rFonts w:hint="eastAsia" w:eastAsia="仿宋_GB2312"/>
                <w:color w:val="000000"/>
                <w:sz w:val="28"/>
                <w:szCs w:val="28"/>
              </w:rPr>
              <w:t>采购单位</w:t>
            </w:r>
          </w:p>
        </w:tc>
        <w:tc>
          <w:tcPr>
            <w:tcW w:w="1395" w:type="dxa"/>
            <w:vAlign w:val="center"/>
          </w:tcPr>
          <w:p w14:paraId="186ED6EE">
            <w:pPr>
              <w:pStyle w:val="366"/>
              <w:spacing w:line="560" w:lineRule="exact"/>
              <w:jc w:val="center"/>
              <w:rPr>
                <w:rFonts w:eastAsia="仿宋_GB2312"/>
                <w:color w:val="000000"/>
                <w:sz w:val="28"/>
                <w:szCs w:val="28"/>
              </w:rPr>
            </w:pPr>
            <w:r>
              <w:rPr>
                <w:rFonts w:hint="eastAsia" w:eastAsia="仿宋_GB2312"/>
                <w:color w:val="000000"/>
                <w:sz w:val="28"/>
                <w:szCs w:val="28"/>
              </w:rPr>
              <w:t>合同金额</w:t>
            </w:r>
          </w:p>
        </w:tc>
      </w:tr>
      <w:tr w14:paraId="3E67E2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22F44EA7">
            <w:pPr>
              <w:pStyle w:val="366"/>
              <w:spacing w:line="560" w:lineRule="exact"/>
              <w:jc w:val="center"/>
              <w:rPr>
                <w:rFonts w:eastAsia="仿宋_GB2312"/>
                <w:color w:val="000000"/>
                <w:sz w:val="28"/>
              </w:rPr>
            </w:pPr>
          </w:p>
        </w:tc>
        <w:tc>
          <w:tcPr>
            <w:tcW w:w="3827" w:type="dxa"/>
            <w:vAlign w:val="center"/>
          </w:tcPr>
          <w:p w14:paraId="712381F9">
            <w:pPr>
              <w:pStyle w:val="366"/>
              <w:spacing w:line="560" w:lineRule="exact"/>
              <w:jc w:val="center"/>
              <w:rPr>
                <w:rFonts w:eastAsia="仿宋_GB2312"/>
                <w:color w:val="000000"/>
                <w:sz w:val="28"/>
              </w:rPr>
            </w:pPr>
          </w:p>
        </w:tc>
        <w:tc>
          <w:tcPr>
            <w:tcW w:w="2433" w:type="dxa"/>
            <w:vAlign w:val="center"/>
          </w:tcPr>
          <w:p w14:paraId="7D376F1D">
            <w:pPr>
              <w:pStyle w:val="366"/>
              <w:spacing w:line="560" w:lineRule="exact"/>
              <w:jc w:val="center"/>
              <w:rPr>
                <w:rFonts w:eastAsia="仿宋_GB2312"/>
                <w:color w:val="000000"/>
                <w:sz w:val="28"/>
              </w:rPr>
            </w:pPr>
          </w:p>
        </w:tc>
        <w:tc>
          <w:tcPr>
            <w:tcW w:w="1395" w:type="dxa"/>
            <w:vAlign w:val="center"/>
          </w:tcPr>
          <w:p w14:paraId="162B2030">
            <w:pPr>
              <w:pStyle w:val="366"/>
              <w:spacing w:line="560" w:lineRule="exact"/>
              <w:jc w:val="center"/>
              <w:rPr>
                <w:rFonts w:eastAsia="仿宋_GB2312"/>
                <w:color w:val="000000"/>
                <w:sz w:val="28"/>
              </w:rPr>
            </w:pPr>
          </w:p>
        </w:tc>
      </w:tr>
      <w:tr w14:paraId="408637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596B7F7A">
            <w:pPr>
              <w:pStyle w:val="366"/>
              <w:spacing w:line="560" w:lineRule="exact"/>
              <w:jc w:val="center"/>
              <w:rPr>
                <w:rFonts w:eastAsia="仿宋_GB2312"/>
                <w:color w:val="000000"/>
                <w:sz w:val="28"/>
              </w:rPr>
            </w:pPr>
          </w:p>
        </w:tc>
        <w:tc>
          <w:tcPr>
            <w:tcW w:w="3827" w:type="dxa"/>
            <w:vAlign w:val="center"/>
          </w:tcPr>
          <w:p w14:paraId="108C9DAB">
            <w:pPr>
              <w:pStyle w:val="366"/>
              <w:spacing w:line="560" w:lineRule="exact"/>
              <w:jc w:val="center"/>
              <w:rPr>
                <w:rFonts w:eastAsia="仿宋_GB2312"/>
                <w:color w:val="000000"/>
                <w:sz w:val="28"/>
              </w:rPr>
            </w:pPr>
          </w:p>
        </w:tc>
        <w:tc>
          <w:tcPr>
            <w:tcW w:w="2433" w:type="dxa"/>
            <w:vAlign w:val="center"/>
          </w:tcPr>
          <w:p w14:paraId="0BA81DEA">
            <w:pPr>
              <w:pStyle w:val="366"/>
              <w:spacing w:line="560" w:lineRule="exact"/>
              <w:jc w:val="center"/>
              <w:rPr>
                <w:rFonts w:eastAsia="仿宋_GB2312"/>
                <w:color w:val="000000"/>
                <w:sz w:val="28"/>
              </w:rPr>
            </w:pPr>
          </w:p>
        </w:tc>
        <w:tc>
          <w:tcPr>
            <w:tcW w:w="1395" w:type="dxa"/>
            <w:vAlign w:val="center"/>
          </w:tcPr>
          <w:p w14:paraId="520A47A7">
            <w:pPr>
              <w:pStyle w:val="366"/>
              <w:spacing w:line="560" w:lineRule="exact"/>
              <w:jc w:val="center"/>
              <w:rPr>
                <w:rFonts w:eastAsia="仿宋_GB2312"/>
                <w:color w:val="000000"/>
                <w:sz w:val="28"/>
              </w:rPr>
            </w:pPr>
          </w:p>
        </w:tc>
      </w:tr>
      <w:tr w14:paraId="4246A2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10" w:hRule="atLeast"/>
          <w:jc w:val="center"/>
        </w:trPr>
        <w:tc>
          <w:tcPr>
            <w:tcW w:w="1229" w:type="dxa"/>
          </w:tcPr>
          <w:p w14:paraId="21CC5A49">
            <w:pPr>
              <w:pStyle w:val="366"/>
              <w:spacing w:line="560" w:lineRule="exact"/>
              <w:jc w:val="center"/>
              <w:rPr>
                <w:rFonts w:eastAsia="仿宋_GB2312"/>
                <w:color w:val="000000"/>
                <w:sz w:val="28"/>
              </w:rPr>
            </w:pPr>
          </w:p>
        </w:tc>
        <w:tc>
          <w:tcPr>
            <w:tcW w:w="3827" w:type="dxa"/>
            <w:vAlign w:val="center"/>
          </w:tcPr>
          <w:p w14:paraId="425486FF">
            <w:pPr>
              <w:pStyle w:val="366"/>
              <w:spacing w:line="560" w:lineRule="exact"/>
              <w:jc w:val="center"/>
              <w:rPr>
                <w:rFonts w:eastAsia="仿宋_GB2312"/>
                <w:color w:val="000000"/>
                <w:sz w:val="28"/>
              </w:rPr>
            </w:pPr>
          </w:p>
        </w:tc>
        <w:tc>
          <w:tcPr>
            <w:tcW w:w="2433" w:type="dxa"/>
            <w:vAlign w:val="center"/>
          </w:tcPr>
          <w:p w14:paraId="2809D824">
            <w:pPr>
              <w:pStyle w:val="366"/>
              <w:spacing w:line="560" w:lineRule="exact"/>
              <w:jc w:val="center"/>
              <w:rPr>
                <w:rFonts w:eastAsia="仿宋_GB2312"/>
                <w:color w:val="000000"/>
                <w:sz w:val="28"/>
              </w:rPr>
            </w:pPr>
          </w:p>
        </w:tc>
        <w:tc>
          <w:tcPr>
            <w:tcW w:w="1395" w:type="dxa"/>
            <w:vAlign w:val="center"/>
          </w:tcPr>
          <w:p w14:paraId="04EF7A51">
            <w:pPr>
              <w:pStyle w:val="366"/>
              <w:spacing w:line="560" w:lineRule="exact"/>
              <w:jc w:val="center"/>
              <w:rPr>
                <w:rFonts w:eastAsia="仿宋_GB2312"/>
                <w:color w:val="000000"/>
                <w:sz w:val="28"/>
              </w:rPr>
            </w:pPr>
          </w:p>
        </w:tc>
      </w:tr>
      <w:tr w14:paraId="22233B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25" w:hRule="atLeast"/>
          <w:jc w:val="center"/>
        </w:trPr>
        <w:tc>
          <w:tcPr>
            <w:tcW w:w="1229" w:type="dxa"/>
          </w:tcPr>
          <w:p w14:paraId="45D8ED32">
            <w:pPr>
              <w:pStyle w:val="366"/>
              <w:spacing w:line="560" w:lineRule="exact"/>
              <w:jc w:val="center"/>
              <w:rPr>
                <w:rFonts w:eastAsia="仿宋_GB2312"/>
                <w:color w:val="000000"/>
                <w:sz w:val="28"/>
              </w:rPr>
            </w:pPr>
          </w:p>
        </w:tc>
        <w:tc>
          <w:tcPr>
            <w:tcW w:w="3827" w:type="dxa"/>
            <w:vAlign w:val="center"/>
          </w:tcPr>
          <w:p w14:paraId="792D5252">
            <w:pPr>
              <w:pStyle w:val="366"/>
              <w:spacing w:line="560" w:lineRule="exact"/>
              <w:jc w:val="center"/>
              <w:rPr>
                <w:rFonts w:eastAsia="仿宋_GB2312"/>
                <w:color w:val="000000"/>
                <w:sz w:val="28"/>
              </w:rPr>
            </w:pPr>
          </w:p>
        </w:tc>
        <w:tc>
          <w:tcPr>
            <w:tcW w:w="2433" w:type="dxa"/>
            <w:vAlign w:val="center"/>
          </w:tcPr>
          <w:p w14:paraId="338C7DD5">
            <w:pPr>
              <w:pStyle w:val="366"/>
              <w:spacing w:line="560" w:lineRule="exact"/>
              <w:jc w:val="center"/>
              <w:rPr>
                <w:rFonts w:eastAsia="仿宋_GB2312"/>
                <w:color w:val="000000"/>
                <w:sz w:val="28"/>
              </w:rPr>
            </w:pPr>
          </w:p>
        </w:tc>
        <w:tc>
          <w:tcPr>
            <w:tcW w:w="1395" w:type="dxa"/>
            <w:vAlign w:val="center"/>
          </w:tcPr>
          <w:p w14:paraId="52E6CF2C">
            <w:pPr>
              <w:pStyle w:val="366"/>
              <w:spacing w:line="560" w:lineRule="exact"/>
              <w:jc w:val="center"/>
              <w:rPr>
                <w:rFonts w:eastAsia="仿宋_GB2312"/>
                <w:color w:val="000000"/>
                <w:sz w:val="28"/>
              </w:rPr>
            </w:pPr>
          </w:p>
        </w:tc>
      </w:tr>
    </w:tbl>
    <w:p w14:paraId="1A263C43">
      <w:pPr>
        <w:pStyle w:val="365"/>
        <w:rPr>
          <w:rFonts w:ascii="Times New Roman" w:hAnsi="Times New Roman"/>
          <w:color w:val="000000"/>
        </w:rPr>
      </w:pPr>
      <w:r>
        <w:rPr>
          <w:rFonts w:hint="eastAsia" w:ascii="Times New Roman" w:hAnsi="Times New Roman" w:eastAsia="仿宋_GB2312"/>
          <w:b/>
          <w:color w:val="000000"/>
          <w:sz w:val="24"/>
        </w:rPr>
        <w:t>注：请填写此表，并按要求上传业绩资料电子件。</w:t>
      </w:r>
    </w:p>
    <w:p w14:paraId="2D67AAF3">
      <w:pPr>
        <w:pStyle w:val="165"/>
        <w:outlineLvl w:val="1"/>
        <w:rPr>
          <w:rFonts w:ascii="宋体" w:hAnsi="宋体" w:eastAsia="宋体"/>
        </w:rPr>
      </w:pPr>
      <w:r>
        <w:rPr>
          <w:rFonts w:ascii="Times New Roman" w:hAnsi="Times New Roman"/>
          <w:color w:val="000000"/>
        </w:rPr>
        <w:br w:type="page" w:clear="all"/>
      </w:r>
      <w:bookmarkStart w:id="154" w:name="_Toc28140"/>
      <w:r>
        <w:rPr>
          <w:rFonts w:hint="eastAsia" w:ascii="Times New Roman" w:hAnsi="Times New Roman"/>
          <w:color w:val="000000"/>
        </w:rPr>
        <w:t>十</w:t>
      </w:r>
      <w:bookmarkStart w:id="155" w:name="_Toc12651"/>
      <w:r>
        <w:rPr>
          <w:rFonts w:hint="eastAsia" w:ascii="Times New Roman" w:hAnsi="Times New Roman"/>
          <w:color w:val="000000"/>
        </w:rPr>
        <w:t>、项目实施方案（格式自拟）</w:t>
      </w:r>
      <w:bookmarkEnd w:id="155"/>
    </w:p>
    <w:p w14:paraId="3D319F5A">
      <w:pPr>
        <w:pStyle w:val="165"/>
        <w:outlineLvl w:val="1"/>
        <w:rPr>
          <w:rFonts w:ascii="Times New Roman" w:hAnsi="Times New Roman"/>
          <w:color w:val="000000"/>
        </w:rPr>
      </w:pPr>
    </w:p>
    <w:p w14:paraId="32D3D4A5">
      <w:pPr>
        <w:pStyle w:val="165"/>
        <w:outlineLvl w:val="1"/>
        <w:rPr>
          <w:rFonts w:ascii="Times New Roman" w:hAnsi="Times New Roman"/>
          <w:color w:val="000000"/>
        </w:rPr>
      </w:pPr>
    </w:p>
    <w:p w14:paraId="61ADADA0">
      <w:pPr>
        <w:pStyle w:val="165"/>
        <w:outlineLvl w:val="1"/>
        <w:rPr>
          <w:rFonts w:ascii="Times New Roman" w:hAnsi="Times New Roman"/>
          <w:color w:val="000000"/>
        </w:rPr>
      </w:pPr>
    </w:p>
    <w:p w14:paraId="2998095C">
      <w:pPr>
        <w:pStyle w:val="165"/>
        <w:outlineLvl w:val="1"/>
        <w:rPr>
          <w:rFonts w:ascii="Times New Roman" w:hAnsi="Times New Roman"/>
          <w:color w:val="000000"/>
        </w:rPr>
      </w:pPr>
    </w:p>
    <w:p w14:paraId="4C8244C5">
      <w:pPr>
        <w:pStyle w:val="165"/>
        <w:outlineLvl w:val="1"/>
        <w:rPr>
          <w:rFonts w:ascii="Times New Roman" w:hAnsi="Times New Roman"/>
          <w:color w:val="000000"/>
        </w:rPr>
      </w:pPr>
      <w:r>
        <w:rPr>
          <w:rFonts w:hint="eastAsia" w:ascii="Times New Roman" w:hAnsi="Times New Roman"/>
          <w:color w:val="000000"/>
        </w:rPr>
        <w:t>十一</w:t>
      </w:r>
      <w:r>
        <w:rPr>
          <w:rFonts w:ascii="Times New Roman" w:hAnsi="Times New Roman"/>
          <w:color w:val="000000"/>
        </w:rPr>
        <w:t>、投标所需其他材料</w:t>
      </w:r>
      <w:bookmarkEnd w:id="154"/>
    </w:p>
    <w:p w14:paraId="312516F9">
      <w:pPr>
        <w:pStyle w:val="369"/>
        <w:spacing w:line="360" w:lineRule="auto"/>
        <w:ind w:firstLine="560"/>
        <w:rPr>
          <w:rFonts w:ascii="Times New Roman" w:hAnsi="Times New Roman" w:eastAsia="仿宋_GB2312"/>
          <w:color w:val="000000"/>
          <w:sz w:val="28"/>
          <w:szCs w:val="28"/>
        </w:rPr>
      </w:pPr>
      <w:r>
        <w:rPr>
          <w:rFonts w:hint="eastAsia" w:ascii="Times New Roman" w:hAnsi="Times New Roman" w:eastAsia="仿宋_GB2312"/>
          <w:color w:val="000000"/>
          <w:sz w:val="28"/>
          <w:szCs w:val="28"/>
        </w:rPr>
        <w:t>请在此文档中增加投标所需其他相关内容（包括资格要求、评分办法、采购需求中涉及的证件证明及其它投标人认为有必要提供的资料），如没有请将此空文档上传。</w:t>
      </w:r>
    </w:p>
    <w:p w14:paraId="5594CF7B">
      <w:pPr>
        <w:rPr>
          <w:color w:val="000000"/>
          <w:sz w:val="20"/>
        </w:rPr>
      </w:pPr>
      <w:r>
        <w:rPr>
          <w:rFonts w:hint="eastAsia"/>
          <w:color w:val="000000"/>
          <w:sz w:val="20"/>
        </w:rPr>
        <w:t xml:space="preserve"> </w:t>
      </w:r>
    </w:p>
    <w:p w14:paraId="31AF6D2B">
      <w:pPr>
        <w:rPr>
          <w:color w:val="000000"/>
        </w:rPr>
      </w:pPr>
    </w:p>
    <w:p w14:paraId="3C904BEC">
      <w:pPr>
        <w:rPr>
          <w:rFonts w:eastAsia="黑体"/>
          <w:color w:val="000000"/>
          <w:sz w:val="32"/>
        </w:rPr>
      </w:pPr>
    </w:p>
    <w:p w14:paraId="2FCF19DB">
      <w:pPr>
        <w:rPr>
          <w:rFonts w:eastAsia="黑体"/>
          <w:color w:val="000000"/>
          <w:sz w:val="32"/>
        </w:rPr>
      </w:pPr>
    </w:p>
    <w:p w14:paraId="2C5163E6">
      <w:pPr>
        <w:rPr>
          <w:rFonts w:eastAsia="黑体"/>
          <w:color w:val="000000"/>
          <w:sz w:val="32"/>
        </w:rPr>
      </w:pPr>
    </w:p>
    <w:p w14:paraId="1F23B861">
      <w:pPr>
        <w:rPr>
          <w:rFonts w:eastAsia="黑体"/>
          <w:color w:val="000000"/>
          <w:sz w:val="32"/>
        </w:rPr>
      </w:pPr>
    </w:p>
    <w:bookmarkEnd w:id="149"/>
    <w:p w14:paraId="5327D0F7">
      <w:pPr>
        <w:spacing w:line="480" w:lineRule="auto"/>
        <w:rPr>
          <w:color w:val="000000"/>
          <w:sz w:val="24"/>
        </w:rPr>
      </w:pPr>
    </w:p>
    <w:p w14:paraId="3BFEBA10">
      <w:pPr>
        <w:spacing w:line="480" w:lineRule="auto"/>
        <w:rPr>
          <w:color w:val="000000"/>
          <w:sz w:val="30"/>
        </w:rPr>
      </w:pPr>
    </w:p>
    <w:p w14:paraId="0AEE9681">
      <w:pPr>
        <w:pStyle w:val="16"/>
        <w:ind w:firstLine="0"/>
        <w:rPr>
          <w:color w:val="000000"/>
          <w:sz w:val="24"/>
        </w:rPr>
      </w:pPr>
      <w:bookmarkStart w:id="156" w:name="_Hlt26671374"/>
      <w:bookmarkEnd w:id="156"/>
      <w:bookmarkStart w:id="157" w:name="_Hlt26609389"/>
      <w:bookmarkEnd w:id="157"/>
      <w:bookmarkStart w:id="158" w:name="_Hlt26955066"/>
      <w:bookmarkEnd w:id="158"/>
      <w:bookmarkStart w:id="159" w:name="_Toc462564146"/>
    </w:p>
    <w:p w14:paraId="1DA7F08F">
      <w:pPr>
        <w:rPr>
          <w:color w:val="000000"/>
          <w:sz w:val="24"/>
        </w:rPr>
      </w:pPr>
    </w:p>
    <w:p w14:paraId="61DDAEF8">
      <w:pPr>
        <w:pStyle w:val="412"/>
        <w:ind w:firstLine="480"/>
        <w:rPr>
          <w:rFonts w:ascii="Times New Roman" w:hAnsi="Times New Roman"/>
          <w:color w:val="000000"/>
          <w:sz w:val="24"/>
        </w:rPr>
      </w:pPr>
    </w:p>
    <w:p w14:paraId="28245719">
      <w:pPr>
        <w:pStyle w:val="412"/>
        <w:ind w:firstLine="480"/>
        <w:rPr>
          <w:rFonts w:ascii="Times New Roman" w:hAnsi="Times New Roman"/>
          <w:color w:val="000000"/>
          <w:sz w:val="24"/>
        </w:rPr>
      </w:pPr>
    </w:p>
    <w:p w14:paraId="1EB9CDDD">
      <w:pPr>
        <w:pStyle w:val="412"/>
        <w:ind w:firstLine="480"/>
        <w:rPr>
          <w:rFonts w:ascii="Times New Roman" w:hAnsi="Times New Roman"/>
          <w:color w:val="000000"/>
          <w:sz w:val="24"/>
        </w:rPr>
      </w:pPr>
    </w:p>
    <w:p w14:paraId="19C15DC8">
      <w:pPr>
        <w:pStyle w:val="412"/>
        <w:ind w:firstLine="480"/>
        <w:rPr>
          <w:rFonts w:ascii="Times New Roman" w:hAnsi="Times New Roman"/>
          <w:color w:val="000000"/>
          <w:sz w:val="24"/>
        </w:rPr>
      </w:pPr>
    </w:p>
    <w:p w14:paraId="04552BB6">
      <w:pPr>
        <w:pStyle w:val="412"/>
        <w:ind w:firstLine="480"/>
        <w:rPr>
          <w:rFonts w:ascii="Times New Roman" w:hAnsi="Times New Roman"/>
          <w:color w:val="000000"/>
          <w:sz w:val="24"/>
        </w:rPr>
      </w:pPr>
    </w:p>
    <w:p w14:paraId="4EA647D9">
      <w:pPr>
        <w:pStyle w:val="412"/>
        <w:ind w:firstLine="480"/>
        <w:rPr>
          <w:rFonts w:ascii="Times New Roman" w:hAnsi="Times New Roman"/>
          <w:color w:val="000000"/>
          <w:sz w:val="24"/>
        </w:rPr>
      </w:pPr>
    </w:p>
    <w:bookmarkEnd w:id="159"/>
    <w:p w14:paraId="0095839F">
      <w:pPr>
        <w:jc w:val="center"/>
        <w:rPr>
          <w:rFonts w:eastAsia="黑体"/>
          <w:b/>
          <w:color w:val="000000"/>
          <w:sz w:val="32"/>
          <w:szCs w:val="32"/>
        </w:rPr>
      </w:pPr>
      <w:bookmarkStart w:id="160" w:name="_格式2__法定代表人授权书"/>
      <w:bookmarkEnd w:id="160"/>
    </w:p>
    <w:p w14:paraId="4B28B0D9">
      <w:pPr>
        <w:jc w:val="center"/>
        <w:rPr>
          <w:rFonts w:eastAsia="黑体"/>
          <w:b/>
          <w:color w:val="000000"/>
          <w:sz w:val="32"/>
          <w:szCs w:val="32"/>
        </w:rPr>
      </w:pPr>
    </w:p>
    <w:p w14:paraId="67C5C03F">
      <w:pPr>
        <w:rPr>
          <w:rFonts w:eastAsia="黑体"/>
          <w:b/>
          <w:color w:val="000000"/>
          <w:sz w:val="32"/>
          <w:szCs w:val="32"/>
        </w:rPr>
      </w:pPr>
    </w:p>
    <w:p w14:paraId="1050F4F7">
      <w:pPr>
        <w:rPr>
          <w:rFonts w:eastAsia="黑体"/>
          <w:b/>
          <w:color w:val="000000"/>
          <w:sz w:val="32"/>
          <w:szCs w:val="32"/>
        </w:rPr>
      </w:pPr>
    </w:p>
    <w:p w14:paraId="5D0FD24A">
      <w:pPr>
        <w:jc w:val="center"/>
        <w:rPr>
          <w:rFonts w:cs="仿宋"/>
          <w:b/>
          <w:bCs/>
          <w:color w:val="000000"/>
          <w:sz w:val="32"/>
          <w:szCs w:val="32"/>
        </w:rPr>
      </w:pPr>
    </w:p>
    <w:p w14:paraId="16750B0A">
      <w:pPr>
        <w:jc w:val="center"/>
        <w:rPr>
          <w:rFonts w:cs="仿宋"/>
          <w:b/>
          <w:bCs/>
          <w:color w:val="000000"/>
          <w:sz w:val="32"/>
          <w:szCs w:val="32"/>
        </w:rPr>
      </w:pPr>
    </w:p>
    <w:p w14:paraId="777270FB">
      <w:pPr>
        <w:jc w:val="center"/>
        <w:rPr>
          <w:rFonts w:cs="仿宋"/>
          <w:b/>
          <w:bCs/>
          <w:color w:val="000000"/>
          <w:sz w:val="32"/>
          <w:szCs w:val="32"/>
        </w:rPr>
      </w:pPr>
      <w:r>
        <w:rPr>
          <w:rFonts w:hint="eastAsia" w:cs="仿宋"/>
          <w:b/>
          <w:bCs/>
          <w:color w:val="000000"/>
          <w:sz w:val="32"/>
          <w:szCs w:val="32"/>
        </w:rPr>
        <w:t>质疑函范本</w:t>
      </w:r>
    </w:p>
    <w:p w14:paraId="30E10DDC">
      <w:pPr>
        <w:spacing w:before="290" w:line="360" w:lineRule="auto"/>
        <w:rPr>
          <w:rFonts w:cs="仿宋"/>
          <w:bCs/>
          <w:color w:val="000000"/>
          <w:sz w:val="24"/>
          <w:szCs w:val="24"/>
        </w:rPr>
      </w:pPr>
      <w:r>
        <w:rPr>
          <w:rFonts w:hint="eastAsia" w:cs="仿宋"/>
          <w:bCs/>
          <w:color w:val="000000"/>
          <w:sz w:val="24"/>
          <w:szCs w:val="24"/>
        </w:rPr>
        <w:t>一、质疑投标人基本信息</w:t>
      </w:r>
    </w:p>
    <w:p w14:paraId="12CC5E6A">
      <w:pPr>
        <w:spacing w:line="360" w:lineRule="auto"/>
        <w:rPr>
          <w:rFonts w:cs="仿宋"/>
          <w:color w:val="000000"/>
          <w:sz w:val="24"/>
          <w:szCs w:val="24"/>
          <w:u w:val="single"/>
        </w:rPr>
      </w:pPr>
      <w:r>
        <w:rPr>
          <w:rFonts w:hint="eastAsia" w:cs="仿宋"/>
          <w:color w:val="000000"/>
          <w:sz w:val="24"/>
          <w:szCs w:val="24"/>
        </w:rPr>
        <w:t>质疑投标人：</w:t>
      </w:r>
      <w:r>
        <w:rPr>
          <w:rFonts w:hint="eastAsia" w:cs="仿宋"/>
          <w:color w:val="000000"/>
          <w:sz w:val="24"/>
          <w:szCs w:val="24"/>
          <w:u w:val="single"/>
        </w:rPr>
        <w:t xml:space="preserve">                                                              </w:t>
      </w:r>
    </w:p>
    <w:p w14:paraId="62DFBAB4">
      <w:pPr>
        <w:spacing w:line="360" w:lineRule="auto"/>
        <w:rPr>
          <w:rFonts w:cs="仿宋"/>
          <w:color w:val="000000"/>
          <w:sz w:val="24"/>
          <w:szCs w:val="24"/>
        </w:rPr>
      </w:pPr>
      <w:r>
        <w:rPr>
          <w:rFonts w:hint="eastAsia" w:cs="仿宋"/>
          <w:color w:val="000000"/>
          <w:sz w:val="24"/>
          <w:szCs w:val="24"/>
        </w:rPr>
        <w:t>地址：</w:t>
      </w:r>
      <w:r>
        <w:rPr>
          <w:rFonts w:hint="eastAsia" w:cs="仿宋"/>
          <w:color w:val="000000"/>
          <w:sz w:val="24"/>
          <w:szCs w:val="24"/>
          <w:u w:val="single"/>
        </w:rPr>
        <w:t xml:space="preserve">                             </w:t>
      </w:r>
      <w:r>
        <w:rPr>
          <w:rFonts w:hint="eastAsia" w:cs="仿宋"/>
          <w:color w:val="000000"/>
          <w:sz w:val="24"/>
          <w:szCs w:val="24"/>
        </w:rPr>
        <w:t>邮编：</w:t>
      </w:r>
      <w:r>
        <w:rPr>
          <w:rFonts w:hint="eastAsia" w:cs="仿宋"/>
          <w:color w:val="000000"/>
          <w:sz w:val="24"/>
          <w:szCs w:val="24"/>
          <w:u w:val="single"/>
        </w:rPr>
        <w:t xml:space="preserve">                                    </w:t>
      </w:r>
    </w:p>
    <w:p w14:paraId="5EE1BA57">
      <w:pPr>
        <w:spacing w:line="360" w:lineRule="auto"/>
        <w:rPr>
          <w:rFonts w:cs="仿宋"/>
          <w:color w:val="000000"/>
          <w:sz w:val="24"/>
          <w:szCs w:val="24"/>
        </w:rPr>
      </w:pPr>
      <w:r>
        <w:rPr>
          <w:rFonts w:hint="eastAsia" w:cs="仿宋"/>
          <w:color w:val="000000"/>
          <w:sz w:val="24"/>
          <w:szCs w:val="24"/>
        </w:rPr>
        <w:t>联系人：</w:t>
      </w:r>
      <w:r>
        <w:rPr>
          <w:rFonts w:hint="eastAsia" w:cs="仿宋"/>
          <w:color w:val="000000"/>
          <w:sz w:val="24"/>
          <w:szCs w:val="24"/>
          <w:u w:val="single"/>
        </w:rPr>
        <w:t xml:space="preserve">                      </w:t>
      </w:r>
      <w:r>
        <w:rPr>
          <w:rFonts w:hint="eastAsia" w:cs="仿宋"/>
          <w:color w:val="000000"/>
          <w:sz w:val="24"/>
          <w:szCs w:val="24"/>
        </w:rPr>
        <w:t>联系电话：</w:t>
      </w:r>
      <w:r>
        <w:rPr>
          <w:rFonts w:hint="eastAsia" w:cs="仿宋"/>
          <w:color w:val="000000"/>
          <w:sz w:val="24"/>
          <w:szCs w:val="24"/>
          <w:u w:val="single"/>
        </w:rPr>
        <w:t xml:space="preserve">                                       </w:t>
      </w:r>
    </w:p>
    <w:p w14:paraId="6A0CF280">
      <w:pPr>
        <w:spacing w:line="360" w:lineRule="auto"/>
        <w:rPr>
          <w:rFonts w:cs="仿宋"/>
          <w:color w:val="000000"/>
          <w:sz w:val="24"/>
          <w:szCs w:val="24"/>
          <w:u w:val="single"/>
        </w:rPr>
      </w:pPr>
      <w:r>
        <w:rPr>
          <w:rFonts w:hint="eastAsia" w:cs="仿宋"/>
          <w:color w:val="000000"/>
          <w:sz w:val="24"/>
          <w:szCs w:val="24"/>
        </w:rPr>
        <w:t>授权代表：</w:t>
      </w:r>
      <w:r>
        <w:rPr>
          <w:rFonts w:hint="eastAsia" w:cs="仿宋"/>
          <w:color w:val="000000"/>
          <w:sz w:val="24"/>
          <w:szCs w:val="24"/>
          <w:u w:val="single"/>
        </w:rPr>
        <w:t xml:space="preserve">                                                                 </w:t>
      </w:r>
    </w:p>
    <w:p w14:paraId="7650487A">
      <w:pPr>
        <w:spacing w:line="360" w:lineRule="auto"/>
        <w:rPr>
          <w:rFonts w:cs="仿宋"/>
          <w:color w:val="000000"/>
          <w:sz w:val="24"/>
          <w:szCs w:val="24"/>
        </w:rPr>
      </w:pPr>
      <w:r>
        <w:rPr>
          <w:rFonts w:hint="eastAsia" w:cs="仿宋"/>
          <w:color w:val="000000"/>
          <w:sz w:val="24"/>
          <w:szCs w:val="24"/>
        </w:rPr>
        <w:t>联系电话：</w:t>
      </w:r>
      <w:r>
        <w:rPr>
          <w:rFonts w:hint="eastAsia" w:cs="仿宋"/>
          <w:color w:val="000000"/>
          <w:sz w:val="24"/>
          <w:szCs w:val="24"/>
          <w:u w:val="single"/>
        </w:rPr>
        <w:t xml:space="preserve">                                                                </w:t>
      </w:r>
    </w:p>
    <w:p w14:paraId="17A136EA">
      <w:pPr>
        <w:spacing w:line="360" w:lineRule="auto"/>
        <w:rPr>
          <w:rFonts w:cs="仿宋"/>
          <w:color w:val="000000"/>
          <w:sz w:val="24"/>
          <w:szCs w:val="24"/>
        </w:rPr>
      </w:pPr>
      <w:r>
        <w:rPr>
          <w:rFonts w:hint="eastAsia" w:cs="仿宋"/>
          <w:color w:val="000000"/>
          <w:sz w:val="24"/>
          <w:szCs w:val="24"/>
        </w:rPr>
        <w:t>地址：</w:t>
      </w:r>
      <w:r>
        <w:rPr>
          <w:rFonts w:cs="仿宋"/>
          <w:color w:val="000000"/>
          <w:sz w:val="24"/>
          <w:szCs w:val="24"/>
        </w:rPr>
        <w:t xml:space="preserve"> </w:t>
      </w:r>
      <w:r>
        <w:rPr>
          <w:rFonts w:hint="eastAsia" w:cs="仿宋"/>
          <w:color w:val="000000"/>
          <w:sz w:val="24"/>
          <w:szCs w:val="24"/>
          <w:u w:val="single"/>
        </w:rPr>
        <w:t xml:space="preserve">                        </w:t>
      </w:r>
      <w:r>
        <w:rPr>
          <w:rFonts w:hint="eastAsia" w:cs="仿宋"/>
          <w:color w:val="000000"/>
          <w:sz w:val="24"/>
          <w:szCs w:val="24"/>
        </w:rPr>
        <w:t>邮编：</w:t>
      </w:r>
      <w:r>
        <w:rPr>
          <w:rFonts w:hint="eastAsia" w:cs="仿宋"/>
          <w:color w:val="000000"/>
          <w:sz w:val="24"/>
          <w:szCs w:val="24"/>
          <w:u w:val="single"/>
        </w:rPr>
        <w:t xml:space="preserve">                                     </w:t>
      </w:r>
    </w:p>
    <w:p w14:paraId="5A96CCAA">
      <w:pPr>
        <w:spacing w:line="360" w:lineRule="auto"/>
        <w:rPr>
          <w:rFonts w:cs="仿宋"/>
          <w:bCs/>
          <w:color w:val="000000"/>
          <w:sz w:val="24"/>
          <w:szCs w:val="24"/>
        </w:rPr>
      </w:pPr>
      <w:r>
        <w:rPr>
          <w:rFonts w:hint="eastAsia" w:cs="仿宋"/>
          <w:bCs/>
          <w:color w:val="000000"/>
          <w:sz w:val="24"/>
          <w:szCs w:val="24"/>
        </w:rPr>
        <w:t>二、质疑项目基本情况</w:t>
      </w:r>
    </w:p>
    <w:p w14:paraId="4394E1CA">
      <w:pPr>
        <w:spacing w:line="360" w:lineRule="auto"/>
        <w:rPr>
          <w:rFonts w:cs="仿宋"/>
          <w:color w:val="000000"/>
          <w:sz w:val="24"/>
          <w:szCs w:val="24"/>
        </w:rPr>
      </w:pPr>
      <w:r>
        <w:rPr>
          <w:rFonts w:hint="eastAsia" w:cs="仿宋"/>
          <w:color w:val="000000"/>
          <w:sz w:val="24"/>
          <w:szCs w:val="24"/>
        </w:rPr>
        <w:t>质疑项目的名称：</w:t>
      </w:r>
      <w:r>
        <w:rPr>
          <w:rFonts w:hint="eastAsia" w:cs="仿宋"/>
          <w:color w:val="000000"/>
          <w:sz w:val="24"/>
          <w:szCs w:val="24"/>
          <w:u w:val="single"/>
        </w:rPr>
        <w:t xml:space="preserve">                                                          </w:t>
      </w:r>
    </w:p>
    <w:p w14:paraId="3AB9A6A4">
      <w:pPr>
        <w:spacing w:line="360" w:lineRule="auto"/>
        <w:rPr>
          <w:rFonts w:cs="仿宋"/>
          <w:color w:val="000000"/>
          <w:sz w:val="24"/>
          <w:szCs w:val="24"/>
        </w:rPr>
      </w:pPr>
      <w:r>
        <w:rPr>
          <w:rFonts w:hint="eastAsia" w:cs="仿宋"/>
          <w:color w:val="000000"/>
          <w:sz w:val="24"/>
          <w:szCs w:val="24"/>
        </w:rPr>
        <w:t>质疑项目的编号：</w:t>
      </w:r>
      <w:r>
        <w:rPr>
          <w:rFonts w:hint="eastAsia" w:cs="仿宋"/>
          <w:color w:val="000000"/>
          <w:sz w:val="24"/>
          <w:szCs w:val="24"/>
          <w:u w:val="single"/>
        </w:rPr>
        <w:t xml:space="preserve">                         </w:t>
      </w:r>
      <w:r>
        <w:rPr>
          <w:rFonts w:hint="eastAsia" w:cs="仿宋"/>
          <w:color w:val="000000"/>
          <w:sz w:val="24"/>
          <w:szCs w:val="24"/>
        </w:rPr>
        <w:t>包号：</w:t>
      </w:r>
      <w:r>
        <w:rPr>
          <w:rFonts w:hint="eastAsia" w:cs="仿宋"/>
          <w:color w:val="000000"/>
          <w:sz w:val="24"/>
          <w:szCs w:val="24"/>
          <w:u w:val="single"/>
        </w:rPr>
        <w:t xml:space="preserve">                           </w:t>
      </w:r>
    </w:p>
    <w:p w14:paraId="0BF6D963">
      <w:pPr>
        <w:spacing w:line="360" w:lineRule="auto"/>
        <w:rPr>
          <w:rFonts w:cs="仿宋"/>
          <w:color w:val="000000"/>
          <w:sz w:val="24"/>
          <w:szCs w:val="24"/>
          <w:u w:val="single"/>
        </w:rPr>
      </w:pPr>
      <w:r>
        <w:rPr>
          <w:rFonts w:hint="eastAsia" w:cs="仿宋"/>
          <w:color w:val="000000"/>
          <w:sz w:val="24"/>
          <w:szCs w:val="24"/>
        </w:rPr>
        <w:t>采购人名称：</w:t>
      </w:r>
      <w:r>
        <w:rPr>
          <w:rFonts w:hint="eastAsia" w:cs="仿宋"/>
          <w:color w:val="000000"/>
          <w:sz w:val="24"/>
          <w:szCs w:val="24"/>
          <w:u w:val="single"/>
        </w:rPr>
        <w:t xml:space="preserve">                                                              </w:t>
      </w:r>
    </w:p>
    <w:p w14:paraId="00B40168">
      <w:pPr>
        <w:spacing w:line="360" w:lineRule="auto"/>
        <w:rPr>
          <w:rFonts w:cs="仿宋"/>
          <w:color w:val="000000"/>
          <w:sz w:val="24"/>
          <w:szCs w:val="24"/>
        </w:rPr>
      </w:pPr>
      <w:r>
        <w:rPr>
          <w:rFonts w:hint="eastAsia" w:cs="仿宋"/>
          <w:color w:val="000000"/>
          <w:sz w:val="24"/>
          <w:szCs w:val="24"/>
        </w:rPr>
        <w:t>采购文件获取日期：</w:t>
      </w:r>
      <w:r>
        <w:rPr>
          <w:rFonts w:hint="eastAsia" w:cs="仿宋"/>
          <w:color w:val="000000"/>
          <w:sz w:val="24"/>
          <w:szCs w:val="24"/>
          <w:u w:val="single"/>
        </w:rPr>
        <w:t xml:space="preserve">                                                        </w:t>
      </w:r>
    </w:p>
    <w:p w14:paraId="40868C04">
      <w:pPr>
        <w:spacing w:line="360" w:lineRule="auto"/>
        <w:rPr>
          <w:rFonts w:cs="仿宋"/>
          <w:bCs/>
          <w:color w:val="000000"/>
          <w:sz w:val="24"/>
          <w:szCs w:val="24"/>
        </w:rPr>
      </w:pPr>
      <w:r>
        <w:rPr>
          <w:rFonts w:hint="eastAsia" w:cs="仿宋"/>
          <w:bCs/>
          <w:color w:val="000000"/>
          <w:sz w:val="24"/>
          <w:szCs w:val="24"/>
        </w:rPr>
        <w:t>三、质疑事项具体内容</w:t>
      </w:r>
    </w:p>
    <w:p w14:paraId="7729AE3A">
      <w:pPr>
        <w:spacing w:line="360" w:lineRule="auto"/>
        <w:rPr>
          <w:rFonts w:cs="仿宋"/>
          <w:color w:val="000000"/>
          <w:sz w:val="24"/>
          <w:szCs w:val="24"/>
          <w:u w:val="single"/>
        </w:rPr>
      </w:pPr>
      <w:r>
        <w:rPr>
          <w:rFonts w:hint="eastAsia" w:cs="仿宋"/>
          <w:color w:val="000000"/>
          <w:sz w:val="24"/>
          <w:szCs w:val="24"/>
        </w:rPr>
        <w:t>质疑事项1：</w:t>
      </w:r>
      <w:r>
        <w:rPr>
          <w:rFonts w:hint="eastAsia" w:cs="仿宋"/>
          <w:color w:val="000000"/>
          <w:sz w:val="24"/>
          <w:szCs w:val="24"/>
          <w:u w:val="single"/>
        </w:rPr>
        <w:t xml:space="preserve">                                                              </w:t>
      </w:r>
    </w:p>
    <w:p w14:paraId="6B1A0AB4">
      <w:pPr>
        <w:spacing w:line="360" w:lineRule="auto"/>
        <w:rPr>
          <w:rFonts w:cs="仿宋"/>
          <w:color w:val="000000"/>
          <w:sz w:val="24"/>
          <w:szCs w:val="24"/>
          <w:u w:val="single"/>
        </w:rPr>
      </w:pPr>
      <w:r>
        <w:rPr>
          <w:rFonts w:hint="eastAsia" w:cs="仿宋"/>
          <w:color w:val="000000"/>
          <w:sz w:val="24"/>
          <w:szCs w:val="24"/>
        </w:rPr>
        <w:t>事实依据：</w:t>
      </w:r>
      <w:r>
        <w:rPr>
          <w:rFonts w:hint="eastAsia" w:cs="仿宋"/>
          <w:color w:val="000000"/>
          <w:sz w:val="24"/>
          <w:szCs w:val="24"/>
          <w:u w:val="single"/>
        </w:rPr>
        <w:t xml:space="preserve">                                                                </w:t>
      </w:r>
    </w:p>
    <w:p w14:paraId="43765F5A">
      <w:pPr>
        <w:spacing w:line="360" w:lineRule="auto"/>
        <w:rPr>
          <w:rFonts w:cs="仿宋"/>
          <w:color w:val="000000"/>
          <w:sz w:val="24"/>
          <w:szCs w:val="24"/>
        </w:rPr>
      </w:pPr>
      <w:r>
        <w:rPr>
          <w:rFonts w:hint="eastAsia" w:cs="仿宋"/>
          <w:color w:val="000000"/>
          <w:sz w:val="24"/>
          <w:szCs w:val="24"/>
          <w:u w:val="single"/>
        </w:rPr>
        <w:t xml:space="preserve">                                                                           </w:t>
      </w:r>
    </w:p>
    <w:p w14:paraId="46A64EE9">
      <w:pPr>
        <w:spacing w:line="360" w:lineRule="auto"/>
        <w:rPr>
          <w:rFonts w:cs="仿宋"/>
          <w:color w:val="000000"/>
          <w:sz w:val="24"/>
          <w:szCs w:val="24"/>
          <w:u w:val="single"/>
        </w:rPr>
      </w:pPr>
      <w:r>
        <w:rPr>
          <w:rFonts w:hint="eastAsia" w:cs="仿宋"/>
          <w:color w:val="000000"/>
          <w:sz w:val="24"/>
          <w:szCs w:val="24"/>
        </w:rPr>
        <w:t>法律依据：</w:t>
      </w:r>
      <w:r>
        <w:rPr>
          <w:rFonts w:hint="eastAsia" w:cs="仿宋"/>
          <w:color w:val="000000"/>
          <w:sz w:val="24"/>
          <w:szCs w:val="24"/>
          <w:u w:val="single"/>
        </w:rPr>
        <w:t xml:space="preserve">                                                                 </w:t>
      </w:r>
    </w:p>
    <w:p w14:paraId="3D5AE782">
      <w:pPr>
        <w:spacing w:line="360" w:lineRule="auto"/>
        <w:rPr>
          <w:rFonts w:cs="仿宋"/>
          <w:color w:val="000000"/>
          <w:sz w:val="24"/>
          <w:szCs w:val="24"/>
          <w:u w:val="single"/>
        </w:rPr>
      </w:pPr>
      <w:r>
        <w:rPr>
          <w:rFonts w:hint="eastAsia" w:cs="仿宋"/>
          <w:color w:val="000000"/>
          <w:sz w:val="24"/>
          <w:szCs w:val="24"/>
          <w:u w:val="single"/>
        </w:rPr>
        <w:t xml:space="preserve">                                                                           </w:t>
      </w:r>
    </w:p>
    <w:p w14:paraId="0103F850">
      <w:pPr>
        <w:spacing w:line="360" w:lineRule="auto"/>
        <w:rPr>
          <w:rFonts w:cs="仿宋"/>
          <w:color w:val="000000"/>
          <w:sz w:val="24"/>
          <w:szCs w:val="24"/>
          <w:u w:val="single"/>
        </w:rPr>
      </w:pPr>
      <w:r>
        <w:rPr>
          <w:rFonts w:hint="eastAsia" w:cs="仿宋"/>
          <w:color w:val="000000"/>
          <w:sz w:val="24"/>
          <w:szCs w:val="24"/>
        </w:rPr>
        <w:t>质疑事项2</w:t>
      </w:r>
    </w:p>
    <w:p w14:paraId="118C1531">
      <w:pPr>
        <w:spacing w:line="360" w:lineRule="auto"/>
        <w:rPr>
          <w:rFonts w:cs="仿宋"/>
          <w:color w:val="000000"/>
          <w:sz w:val="24"/>
          <w:szCs w:val="24"/>
        </w:rPr>
      </w:pPr>
      <w:r>
        <w:rPr>
          <w:rFonts w:hint="eastAsia" w:cs="仿宋"/>
          <w:color w:val="000000"/>
          <w:sz w:val="24"/>
          <w:szCs w:val="24"/>
        </w:rPr>
        <w:t>……</w:t>
      </w:r>
    </w:p>
    <w:p w14:paraId="21604E33">
      <w:pPr>
        <w:spacing w:line="360" w:lineRule="auto"/>
        <w:rPr>
          <w:rFonts w:cs="仿宋"/>
          <w:bCs/>
          <w:color w:val="000000"/>
          <w:sz w:val="24"/>
          <w:szCs w:val="24"/>
        </w:rPr>
      </w:pPr>
      <w:r>
        <w:rPr>
          <w:rFonts w:hint="eastAsia" w:cs="仿宋"/>
          <w:bCs/>
          <w:color w:val="000000"/>
          <w:sz w:val="24"/>
          <w:szCs w:val="24"/>
        </w:rPr>
        <w:t>四、与质疑事项相关的质疑请求</w:t>
      </w:r>
    </w:p>
    <w:p w14:paraId="7BB8DA73">
      <w:pPr>
        <w:spacing w:line="360" w:lineRule="auto"/>
        <w:rPr>
          <w:rFonts w:cs="仿宋"/>
          <w:color w:val="000000"/>
          <w:sz w:val="24"/>
          <w:szCs w:val="24"/>
          <w:u w:val="single"/>
        </w:rPr>
      </w:pPr>
      <w:r>
        <w:rPr>
          <w:rFonts w:hint="eastAsia" w:cs="仿宋"/>
          <w:color w:val="000000"/>
          <w:sz w:val="24"/>
          <w:szCs w:val="24"/>
        </w:rPr>
        <w:t>请求：</w:t>
      </w:r>
      <w:r>
        <w:rPr>
          <w:rFonts w:hint="eastAsia" w:cs="仿宋"/>
          <w:color w:val="000000"/>
          <w:sz w:val="24"/>
          <w:szCs w:val="24"/>
          <w:u w:val="single"/>
        </w:rPr>
        <w:t xml:space="preserve">                                                                     </w:t>
      </w:r>
    </w:p>
    <w:p w14:paraId="0D0C2641">
      <w:pPr>
        <w:rPr>
          <w:color w:val="000000"/>
          <w:sz w:val="24"/>
          <w:szCs w:val="24"/>
        </w:rPr>
      </w:pPr>
      <w:r>
        <w:rPr>
          <w:rFonts w:hint="eastAsia"/>
          <w:color w:val="000000"/>
          <w:sz w:val="24"/>
          <w:szCs w:val="24"/>
        </w:rPr>
        <w:t xml:space="preserve">签字(签章)：                   公章：                      </w:t>
      </w:r>
    </w:p>
    <w:p w14:paraId="4FB91259">
      <w:pPr>
        <w:rPr>
          <w:color w:val="000000"/>
          <w:sz w:val="24"/>
          <w:szCs w:val="24"/>
        </w:rPr>
      </w:pPr>
      <w:r>
        <w:rPr>
          <w:rFonts w:hint="eastAsia"/>
          <w:color w:val="000000"/>
          <w:sz w:val="24"/>
          <w:szCs w:val="24"/>
        </w:rPr>
        <w:t xml:space="preserve">日期：    </w:t>
      </w:r>
    </w:p>
    <w:p w14:paraId="20BFD7EA">
      <w:pPr>
        <w:spacing w:line="400" w:lineRule="exact"/>
        <w:rPr>
          <w:b/>
          <w:color w:val="000000"/>
          <w:sz w:val="24"/>
          <w:szCs w:val="24"/>
        </w:rPr>
      </w:pPr>
      <w:r>
        <w:rPr>
          <w:rFonts w:hint="eastAsia"/>
          <w:b/>
          <w:color w:val="000000"/>
          <w:sz w:val="24"/>
          <w:szCs w:val="24"/>
        </w:rPr>
        <w:t>质疑函制作说明：</w:t>
      </w:r>
    </w:p>
    <w:p w14:paraId="5A40B6D5">
      <w:pPr>
        <w:widowControl/>
        <w:spacing w:line="400" w:lineRule="exact"/>
        <w:ind w:firstLine="480"/>
        <w:jc w:val="left"/>
        <w:rPr>
          <w:color w:val="000000"/>
          <w:sz w:val="24"/>
          <w:szCs w:val="24"/>
        </w:rPr>
      </w:pPr>
      <w:r>
        <w:rPr>
          <w:rFonts w:hint="eastAsia"/>
          <w:color w:val="000000"/>
          <w:sz w:val="24"/>
          <w:szCs w:val="24"/>
        </w:rPr>
        <w:t>1.投标人提出质疑时，应提交质疑函和必要的证明材料。</w:t>
      </w:r>
    </w:p>
    <w:p w14:paraId="12BD6DEA">
      <w:pPr>
        <w:widowControl/>
        <w:spacing w:line="400" w:lineRule="exact"/>
        <w:ind w:firstLine="480"/>
        <w:jc w:val="left"/>
        <w:rPr>
          <w:color w:val="000000"/>
          <w:sz w:val="24"/>
          <w:szCs w:val="24"/>
        </w:rPr>
      </w:pPr>
      <w:r>
        <w:rPr>
          <w:rFonts w:hint="eastAsia"/>
          <w:color w:val="000000"/>
          <w:sz w:val="24"/>
          <w:szCs w:val="24"/>
        </w:rPr>
        <w:t>2.质疑投标人若委托代理人进行质疑的，质疑函应按要求列明“授权代表”的有关内容，并在附件中提交由质疑</w:t>
      </w:r>
      <w:r>
        <w:rPr>
          <w:rFonts w:hint="eastAsia" w:cs="宋体"/>
          <w:color w:val="000000"/>
          <w:sz w:val="24"/>
          <w:szCs w:val="24"/>
        </w:rPr>
        <w:t>投标人签署的授权委托书。授权委托书应载明代理人的姓名或者名称、代理事项、具体权限、期限和相关事项。</w:t>
      </w:r>
    </w:p>
    <w:p w14:paraId="661AD4F3">
      <w:pPr>
        <w:widowControl/>
        <w:spacing w:line="400" w:lineRule="exact"/>
        <w:ind w:firstLine="480"/>
        <w:jc w:val="left"/>
        <w:rPr>
          <w:color w:val="000000"/>
          <w:sz w:val="24"/>
          <w:szCs w:val="24"/>
        </w:rPr>
      </w:pPr>
      <w:r>
        <w:rPr>
          <w:rFonts w:hint="eastAsia"/>
          <w:color w:val="000000"/>
          <w:sz w:val="24"/>
          <w:szCs w:val="24"/>
        </w:rPr>
        <w:t>3.质疑投标人若对项目的某一分包进行质疑，质疑函中应列明具体分包号。</w:t>
      </w:r>
    </w:p>
    <w:p w14:paraId="368DF364">
      <w:pPr>
        <w:widowControl/>
        <w:spacing w:line="400" w:lineRule="exact"/>
        <w:ind w:firstLine="480"/>
        <w:jc w:val="left"/>
        <w:rPr>
          <w:color w:val="000000"/>
          <w:sz w:val="24"/>
          <w:szCs w:val="24"/>
        </w:rPr>
      </w:pPr>
      <w:r>
        <w:rPr>
          <w:rFonts w:hint="eastAsia"/>
          <w:color w:val="000000"/>
          <w:sz w:val="24"/>
          <w:szCs w:val="24"/>
        </w:rPr>
        <w:t>4.质疑函的质疑事项应具体、明确，并有必要的事实依据和法律依据。</w:t>
      </w:r>
    </w:p>
    <w:p w14:paraId="3276AED2">
      <w:pPr>
        <w:widowControl/>
        <w:spacing w:line="400" w:lineRule="exact"/>
        <w:ind w:firstLine="480"/>
        <w:jc w:val="left"/>
        <w:rPr>
          <w:color w:val="000000"/>
          <w:sz w:val="24"/>
          <w:szCs w:val="24"/>
        </w:rPr>
      </w:pPr>
      <w:r>
        <w:rPr>
          <w:rFonts w:hint="eastAsia"/>
          <w:color w:val="000000"/>
          <w:sz w:val="24"/>
          <w:szCs w:val="24"/>
        </w:rPr>
        <w:t>5.质疑函的质疑请求应与质疑事项相关。</w:t>
      </w:r>
    </w:p>
    <w:p w14:paraId="00241791">
      <w:pPr>
        <w:widowControl/>
        <w:spacing w:line="400" w:lineRule="exact"/>
        <w:ind w:firstLine="480"/>
        <w:jc w:val="left"/>
        <w:rPr>
          <w:color w:val="000000"/>
          <w:sz w:val="24"/>
          <w:szCs w:val="24"/>
        </w:rPr>
      </w:pPr>
      <w:r>
        <w:rPr>
          <w:rFonts w:hint="eastAsia"/>
          <w:color w:val="000000"/>
          <w:sz w:val="24"/>
          <w:szCs w:val="24"/>
        </w:rPr>
        <w:t>6.质疑投标人为自然人的，质疑函应由本人签字；质疑投标人为法人或者其他组织的，质疑函应由法定代表人、主要负责人，或者其授权代表签字或者盖章，并加盖公章。</w:t>
      </w:r>
    </w:p>
    <w:p w14:paraId="31418E7C">
      <w:pPr>
        <w:pStyle w:val="16"/>
        <w:rPr>
          <w:color w:val="000000"/>
          <w:sz w:val="24"/>
          <w:szCs w:val="24"/>
        </w:rPr>
      </w:pPr>
    </w:p>
    <w:p w14:paraId="43B57EB0">
      <w:pPr>
        <w:pStyle w:val="16"/>
        <w:rPr>
          <w:color w:val="000000"/>
          <w:sz w:val="24"/>
          <w:szCs w:val="24"/>
        </w:rPr>
      </w:pPr>
    </w:p>
    <w:p w14:paraId="1607F35D">
      <w:pPr>
        <w:pStyle w:val="312"/>
        <w:spacing w:line="360" w:lineRule="auto"/>
        <w:jc w:val="center"/>
      </w:pPr>
    </w:p>
    <w:sectPr>
      <w:footerReference r:id="rId6" w:type="default"/>
      <w:type w:val="continuous"/>
      <w:pgSz w:w="11906" w:h="16838"/>
      <w:pgMar w:top="1440" w:right="1304" w:bottom="1440" w:left="1418"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34"/>
    <w:family w:val="roman"/>
    <w:pitch w:val="default"/>
    <w:sig w:usb0="E0002EFF" w:usb1="C000785B" w:usb2="00000009" w:usb3="00000000" w:csb0="400001FF" w:csb1="FFFF0000"/>
  </w:font>
  <w:font w:name="宋体">
    <w:panose1 w:val="02010600030101010101"/>
    <w:charset w:val="7F"/>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Arial Unicode MS">
    <w:altName w:val="宋体"/>
    <w:panose1 w:val="020B0604020202020204"/>
    <w:charset w:val="86"/>
    <w:family w:val="swiss"/>
    <w:pitch w:val="default"/>
    <w:sig w:usb0="00000000" w:usb1="00000000" w:usb2="0000003F" w:usb3="00000000" w:csb0="603F01FF" w:csb1="FFFF0000"/>
  </w:font>
  <w:font w:name="方正黑体_GBK">
    <w:panose1 w:val="03000509000000000000"/>
    <w:charset w:val="86"/>
    <w:family w:val="script"/>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方正小标宋_GBK">
    <w:panose1 w:val="03000509000000000000"/>
    <w:charset w:val="86"/>
    <w:family w:val="script"/>
    <w:pitch w:val="default"/>
    <w:sig w:usb0="00000001" w:usb1="080E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方正仿宋_GBK">
    <w:panose1 w:val="03000509000000000000"/>
    <w:charset w:val="86"/>
    <w:family w:val="script"/>
    <w:pitch w:val="default"/>
    <w:sig w:usb0="00000001" w:usb1="080E0000" w:usb2="00000000" w:usb3="00000000" w:csb0="00040000" w:csb1="00000000"/>
  </w:font>
  <w:font w:name="MS Mincho">
    <w:altName w:val="Yu Gothic UI"/>
    <w:panose1 w:val="02020609040205080304"/>
    <w:charset w:val="80"/>
    <w:family w:val="modern"/>
    <w:pitch w:val="default"/>
    <w:sig w:usb0="00000000" w:usb1="00000000" w:usb2="00000012" w:usb3="00000000" w:csb0="4002009F" w:csb1="DFD70000"/>
  </w:font>
  <w:font w:name="Yu Gothic UI">
    <w:panose1 w:val="020B0500000000000000"/>
    <w:charset w:val="80"/>
    <w:family w:val="auto"/>
    <w:pitch w:val="default"/>
    <w:sig w:usb0="E00002FF" w:usb1="2AC7FDFF" w:usb2="00000016" w:usb3="00000000" w:csb0="2002009F" w:csb1="00000000"/>
  </w:font>
  <w:font w:name="Segoe UI">
    <w:panose1 w:val="020B0502040204020203"/>
    <w:charset w:val="00"/>
    <w:family w:val="swiss"/>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5308A9">
    <w:pPr>
      <w:pStyle w:val="123"/>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-122555</wp:posOffset>
              </wp:positionV>
              <wp:extent cx="770890" cy="343535"/>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770890" cy="343534"/>
                      </a:xfrm>
                      <a:prstGeom prst="rect">
                        <a:avLst/>
                      </a:prstGeom>
                      <a:noFill/>
                      <a:ln>
                        <a:noFill/>
                      </a:ln>
                    </wps:spPr>
                    <wps:txbx>
                      <w:txbxContent>
                        <w:p w14:paraId="1E506D59">
                          <w:pPr>
                            <w:pStyle w:val="123"/>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p>
                        <w:p w14:paraId="22DBB1D8"/>
                      </w:txbxContent>
                    </wps:txbx>
                    <wps:bodyPr wrap="square" lIns="0" tIns="0" rIns="0" bIns="0" upright="1"/>
                  </wps:wsp>
                </a:graphicData>
              </a:graphic>
            </wp:anchor>
          </w:drawing>
        </mc:Choice>
        <mc:Fallback>
          <w:pict>
            <v:shape id="_x0000_s1026" o:spid="_x0000_s1026" o:spt="202" type="#_x0000_t202" style="position:absolute;left:0pt;margin-top:-9.65pt;height:27.05pt;width:60.7pt;mso-position-horizontal:center;mso-position-horizontal-relative:margin;z-index:251659264;mso-width-relative:page;mso-height-relative:page;" filled="f" stroked="f" coordsize="21600,21600" o:gfxdata="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phf7ydcAAAAHAQAADwAAAAAAAAABACAAAAAiAAAA&#10;ZHJzL2Rvd25yZXYueG1sUEsBAhQAFAAAAAgAh07iQPRzxFHPAQAAjQMAAA4AAAAAAAAAAQAgAAAA&#10;JgEAAGRycy9lMm9Eb2MueG1sUEsFBgAAAAAGAAYAWQEAAGcFAAAAAA==&#10;">
              <v:fill on="f" focussize="0,0"/>
              <v:stroke on="f"/>
              <v:imagedata o:title=""/>
              <o:lock v:ext="edit" aspectratio="f"/>
              <v:textbox inset="0mm,0mm,0mm,0mm">
                <w:txbxContent>
                  <w:p w14:paraId="1E506D59">
                    <w:pPr>
                      <w:pStyle w:val="123"/>
                      <w:tabs>
                        <w:tab w:val="clear" w:pos="4153"/>
                        <w:tab w:val="clear" w:pos="8306"/>
                      </w:tabs>
                      <w:jc w:val="center"/>
                      <w:rPr>
                        <w:rFonts w:ascii="Times New Roman" w:hAnsi="Times New Roman"/>
                        <w:sz w:val="32"/>
                        <w:szCs w:val="32"/>
                      </w:rPr>
                    </w:pP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1</w:t>
                    </w:r>
                    <w:r>
                      <w:rPr>
                        <w:rFonts w:ascii="Times New Roman" w:hAnsi="Times New Roman"/>
                        <w:sz w:val="32"/>
                        <w:szCs w:val="32"/>
                      </w:rPr>
                      <w:fldChar w:fldCharType="end"/>
                    </w:r>
                    <w:r>
                      <w:rPr>
                        <w:rFonts w:hint="eastAsia" w:ascii="Times New Roman" w:hAnsi="Times New Roman"/>
                        <w:sz w:val="32"/>
                        <w:szCs w:val="32"/>
                      </w:rPr>
                      <w:t xml:space="preserve"> —</w:t>
                    </w:r>
                  </w:p>
                  <w:p w14:paraId="22DBB1D8"/>
                </w:txbxContent>
              </v:textbox>
            </v:shape>
          </w:pict>
        </mc:Fallback>
      </mc:AlternateContent>
    </w:r>
  </w:p>
  <w:p w14:paraId="5E499361">
    <w:pPr>
      <w:pStyle w:val="12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9856D">
    <w:pPr>
      <w:pStyle w:val="123"/>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1F6DE8A5">
                          <w:pPr>
                            <w:pStyle w:val="123"/>
                            <w:tabs>
                              <w:tab w:val="clear" w:pos="4153"/>
                              <w:tab w:val="clear" w:pos="8306"/>
                            </w:tabs>
                          </w:pPr>
                          <w:r>
                            <w:fldChar w:fldCharType="begin"/>
                          </w:r>
                          <w:r>
                            <w:instrText xml:space="preserve"> PAGE  \* MERGEFORMAT </w:instrText>
                          </w:r>
                          <w:r>
                            <w:fldChar w:fldCharType="separate"/>
                          </w:r>
                          <w:r>
                            <w:t>1</w:t>
                          </w:r>
                          <w:r>
                            <w:fldChar w:fldCharType="end"/>
                          </w:r>
                        </w:p>
                        <w:p w14:paraId="33CF0F5A"/>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1F6DE8A5">
                    <w:pPr>
                      <w:pStyle w:val="123"/>
                      <w:tabs>
                        <w:tab w:val="clear" w:pos="4153"/>
                        <w:tab w:val="clear" w:pos="8306"/>
                      </w:tabs>
                    </w:pPr>
                    <w:r>
                      <w:fldChar w:fldCharType="begin"/>
                    </w:r>
                    <w:r>
                      <w:instrText xml:space="preserve"> PAGE  \* MERGEFORMAT </w:instrText>
                    </w:r>
                    <w:r>
                      <w:fldChar w:fldCharType="separate"/>
                    </w:r>
                    <w:r>
                      <w:t>1</w:t>
                    </w:r>
                    <w:r>
                      <w:fldChar w:fldCharType="end"/>
                    </w:r>
                  </w:p>
                  <w:p w14:paraId="33CF0F5A"/>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F32A9">
    <w:pPr>
      <w:pStyle w:val="123"/>
      <w:jc w:val="center"/>
    </w:pPr>
    <w:r>
      <mc:AlternateContent>
        <mc:Choice Requires="wps">
          <w:drawing>
            <wp:anchor distT="0" distB="0" distL="114300" distR="114300" simplePos="0" relativeHeight="251660288" behindDoc="0" locked="0" layoutInCell="1" allowOverlap="1">
              <wp:simplePos x="0" y="0"/>
              <wp:positionH relativeFrom="margin">
                <wp:posOffset>2847975</wp:posOffset>
              </wp:positionH>
              <wp:positionV relativeFrom="paragraph">
                <wp:posOffset>-13335</wp:posOffset>
              </wp:positionV>
              <wp:extent cx="742950" cy="2794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742950" cy="279400"/>
                      </a:xfrm>
                      <a:prstGeom prst="rect">
                        <a:avLst/>
                      </a:prstGeom>
                      <a:noFill/>
                      <a:ln>
                        <a:noFill/>
                      </a:ln>
                    </wps:spPr>
                    <wps:txbx>
                      <w:txbxContent>
                        <w:p w14:paraId="7D0694AE">
                          <w:pPr>
                            <w:pStyle w:val="123"/>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44</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C0C8631"/>
                      </w:txbxContent>
                    </wps:txbx>
                    <wps:bodyPr wrap="square" lIns="0" tIns="0" rIns="0" bIns="0" upright="1"/>
                  </wps:wsp>
                </a:graphicData>
              </a:graphic>
            </wp:anchor>
          </w:drawing>
        </mc:Choice>
        <mc:Fallback>
          <w:pict>
            <v:shape id="_x0000_s1026" o:spid="_x0000_s1026" o:spt="202" type="#_x0000_t202" style="position:absolute;left:0pt;margin-left:224.25pt;margin-top:-1.05pt;height:22pt;width:58.5pt;mso-position-horizontal-relative:margin;z-index:251660288;mso-width-relative:page;mso-height-relative:page;" filled="f" stroked="f" coordsize="21600,21600" o:gfxdata="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Ak7CHy2AAAAAkBAAAPAAAAAAAAAAEAIAAAACIA&#10;AABkcnMvZG93bnJldi54bWxQSwECFAAUAAAACACHTuJA8FM7zNABAACNAwAADgAAAAAAAAABACAA&#10;AAAnAQAAZHJzL2Uyb0RvYy54bWxQSwUGAAAAAAYABgBZAQAAaQUAAAAA&#10;">
              <v:fill on="f" focussize="0,0"/>
              <v:stroke on="f"/>
              <v:imagedata o:title=""/>
              <o:lock v:ext="edit" aspectratio="f"/>
              <v:textbox inset="0mm,0mm,0mm,0mm">
                <w:txbxContent>
                  <w:p w14:paraId="7D0694AE">
                    <w:pPr>
                      <w:pStyle w:val="123"/>
                      <w:tabs>
                        <w:tab w:val="clear" w:pos="4153"/>
                        <w:tab w:val="clear" w:pos="8306"/>
                      </w:tabs>
                      <w:jc w:val="center"/>
                      <w:rPr>
                        <w:rFonts w:ascii="Times New Roman" w:hAnsi="Times New Roman"/>
                        <w:sz w:val="32"/>
                        <w:szCs w:val="32"/>
                      </w:rPr>
                    </w:pPr>
                    <w:r>
                      <w:rPr>
                        <w:rFonts w:ascii="Times New Roman" w:hAnsi="Times New Roman"/>
                        <w:sz w:val="32"/>
                        <w:szCs w:val="32"/>
                      </w:rPr>
                      <w:t>—</w:t>
                    </w:r>
                    <w:r>
                      <w:rPr>
                        <w:rFonts w:hint="eastAsia" w:ascii="Times New Roman" w:hAnsi="Times New Roman"/>
                        <w:sz w:val="32"/>
                        <w:szCs w:val="32"/>
                      </w:rPr>
                      <w:t xml:space="preserve"> </w:t>
                    </w:r>
                    <w:r>
                      <w:rPr>
                        <w:rFonts w:ascii="Times New Roman" w:hAnsi="Times New Roman"/>
                        <w:sz w:val="32"/>
                        <w:szCs w:val="32"/>
                      </w:rPr>
                      <w:fldChar w:fldCharType="begin"/>
                    </w:r>
                    <w:r>
                      <w:rPr>
                        <w:rFonts w:ascii="Times New Roman" w:hAnsi="Times New Roman"/>
                        <w:sz w:val="32"/>
                        <w:szCs w:val="32"/>
                      </w:rPr>
                      <w:instrText xml:space="preserve"> PAGE  \* MERGEFORMAT </w:instrText>
                    </w:r>
                    <w:r>
                      <w:rPr>
                        <w:rFonts w:ascii="Times New Roman" w:hAnsi="Times New Roman"/>
                        <w:sz w:val="32"/>
                        <w:szCs w:val="32"/>
                      </w:rPr>
                      <w:fldChar w:fldCharType="separate"/>
                    </w:r>
                    <w:r>
                      <w:rPr>
                        <w:rFonts w:ascii="Times New Roman" w:hAnsi="Times New Roman"/>
                        <w:sz w:val="32"/>
                        <w:szCs w:val="32"/>
                      </w:rPr>
                      <w:t>44</w:t>
                    </w:r>
                    <w:r>
                      <w:rPr>
                        <w:rFonts w:ascii="Times New Roman" w:hAnsi="Times New Roman"/>
                        <w:sz w:val="32"/>
                        <w:szCs w:val="32"/>
                      </w:rPr>
                      <w:fldChar w:fldCharType="end"/>
                    </w:r>
                    <w:r>
                      <w:rPr>
                        <w:rFonts w:hint="eastAsia" w:ascii="Times New Roman" w:hAnsi="Times New Roman"/>
                        <w:sz w:val="32"/>
                        <w:szCs w:val="32"/>
                      </w:rPr>
                      <w:t xml:space="preserve"> </w:t>
                    </w:r>
                    <w:r>
                      <w:rPr>
                        <w:rFonts w:ascii="Times New Roman" w:hAnsi="Times New Roman"/>
                        <w:sz w:val="32"/>
                        <w:szCs w:val="32"/>
                      </w:rPr>
                      <w:t>—</w:t>
                    </w:r>
                  </w:p>
                  <w:p w14:paraId="6C0C8631"/>
                </w:txbxContent>
              </v:textbox>
            </v:shape>
          </w:pict>
        </mc:Fallback>
      </mc:AlternateContent>
    </w:r>
  </w:p>
  <w:p w14:paraId="18EDF55A">
    <w:pPr>
      <w:pStyle w:val="12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837B70">
    <w:pPr>
      <w:pStyle w:val="125"/>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6B453B"/>
    <w:multiLevelType w:val="singleLevel"/>
    <w:tmpl w:val="A96B453B"/>
    <w:lvl w:ilvl="0" w:tentative="0">
      <w:start w:val="1"/>
      <w:numFmt w:val="decimal"/>
      <w:lvlText w:val="%1."/>
      <w:lvlJc w:val="left"/>
      <w:pPr>
        <w:tabs>
          <w:tab w:val="left" w:pos="312"/>
        </w:tabs>
      </w:pPr>
    </w:lvl>
  </w:abstractNum>
  <w:abstractNum w:abstractNumId="1">
    <w:nsid w:val="025FEA80"/>
    <w:multiLevelType w:val="singleLevel"/>
    <w:tmpl w:val="025FEA80"/>
    <w:lvl w:ilvl="0" w:tentative="0">
      <w:start w:val="1"/>
      <w:numFmt w:val="chineseCounting"/>
      <w:suff w:val="nothing"/>
      <w:lvlText w:val="%1、"/>
      <w:lvlJc w:val="left"/>
      <w:rPr>
        <w:rFonts w:hint="eastAsia"/>
      </w:rPr>
    </w:lvl>
  </w:abstractNum>
  <w:abstractNum w:abstractNumId="2">
    <w:nsid w:val="29597DCD"/>
    <w:multiLevelType w:val="multilevel"/>
    <w:tmpl w:val="29597DCD"/>
    <w:lvl w:ilvl="0" w:tentative="0">
      <w:start w:val="1"/>
      <w:numFmt w:val="chineseCounting"/>
      <w:pStyle w:val="450"/>
      <w:suff w:val="nothing"/>
      <w:lvlText w:val="%1、"/>
      <w:lvlJc w:val="left"/>
      <w:rPr>
        <w:rFonts w:hint="eastAsia"/>
      </w:rPr>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3">
    <w:nsid w:val="5A3BAA9E"/>
    <w:multiLevelType w:val="singleLevel"/>
    <w:tmpl w:val="5A3BAA9E"/>
    <w:lvl w:ilvl="0" w:tentative="0">
      <w:start w:val="5"/>
      <w:numFmt w:val="chineseCounting"/>
      <w:suff w:val="nothing"/>
      <w:lvlText w:val="%1、"/>
      <w:lvlJc w:val="left"/>
      <w:rPr>
        <w:rFonts w:hint="eastAsia"/>
      </w:rPr>
    </w:lvl>
  </w:abstractNum>
  <w:abstractNum w:abstractNumId="4">
    <w:nsid w:val="5C05BB92"/>
    <w:multiLevelType w:val="singleLevel"/>
    <w:tmpl w:val="5C05BB92"/>
    <w:lvl w:ilvl="0" w:tentative="0">
      <w:start w:val="8"/>
      <w:numFmt w:val="chineseCounting"/>
      <w:suff w:val="space"/>
      <w:lvlText w:val="第%1条"/>
      <w:lvlJc w:val="left"/>
      <w:rPr>
        <w:rFonts w:hint="eastAsia"/>
      </w:rPr>
    </w:lvl>
  </w:abstractNum>
  <w:abstractNum w:abstractNumId="5">
    <w:nsid w:val="79BB5695"/>
    <w:multiLevelType w:val="multilevel"/>
    <w:tmpl w:val="79BB5695"/>
    <w:lvl w:ilvl="0" w:tentative="0">
      <w:start w:val="1"/>
      <w:numFmt w:val="decimal"/>
      <w:pStyle w:val="435"/>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6">
    <w:nsid w:val="7D9B7817"/>
    <w:multiLevelType w:val="singleLevel"/>
    <w:tmpl w:val="7D9B7817"/>
    <w:lvl w:ilvl="0" w:tentative="0">
      <w:start w:val="1"/>
      <w:numFmt w:val="decimal"/>
      <w:suff w:val="nothing"/>
      <w:lvlText w:val="（%1）"/>
      <w:lvlJc w:val="left"/>
    </w:lvl>
  </w:abstractNum>
  <w:num w:numId="1">
    <w:abstractNumId w:val="5"/>
  </w:num>
  <w:num w:numId="2">
    <w:abstractNumId w:val="2"/>
  </w:num>
  <w:num w:numId="3">
    <w:abstractNumId w:val="3"/>
  </w:num>
  <w:num w:numId="4">
    <w:abstractNumId w:val="6"/>
  </w:num>
  <w:num w:numId="5">
    <w:abstractNumId w:val="0"/>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U0MjUxYTQ4MGEzZDhjYWMxY2I4ZTgwNzc2OGJlYmYifQ=="/>
  </w:docVars>
  <w:rsids>
    <w:rsidRoot w:val="00110711"/>
    <w:rsid w:val="00015406"/>
    <w:rsid w:val="0002480F"/>
    <w:rsid w:val="000354C4"/>
    <w:rsid w:val="00035D0F"/>
    <w:rsid w:val="000672DF"/>
    <w:rsid w:val="00093D77"/>
    <w:rsid w:val="000B02F6"/>
    <w:rsid w:val="000F2A33"/>
    <w:rsid w:val="001073E3"/>
    <w:rsid w:val="00110711"/>
    <w:rsid w:val="001629C1"/>
    <w:rsid w:val="00163E1A"/>
    <w:rsid w:val="00174047"/>
    <w:rsid w:val="00174917"/>
    <w:rsid w:val="001E5B23"/>
    <w:rsid w:val="001F2C53"/>
    <w:rsid w:val="001F55BC"/>
    <w:rsid w:val="0022359F"/>
    <w:rsid w:val="00263AFB"/>
    <w:rsid w:val="002840CB"/>
    <w:rsid w:val="003475CE"/>
    <w:rsid w:val="00347835"/>
    <w:rsid w:val="00372FFA"/>
    <w:rsid w:val="0038206E"/>
    <w:rsid w:val="003822F9"/>
    <w:rsid w:val="003B5E4D"/>
    <w:rsid w:val="003F7F8A"/>
    <w:rsid w:val="00432838"/>
    <w:rsid w:val="00492D40"/>
    <w:rsid w:val="004A1DF0"/>
    <w:rsid w:val="004A6207"/>
    <w:rsid w:val="004D3D57"/>
    <w:rsid w:val="0054268C"/>
    <w:rsid w:val="0056397E"/>
    <w:rsid w:val="006076F3"/>
    <w:rsid w:val="00667B56"/>
    <w:rsid w:val="006B378D"/>
    <w:rsid w:val="006D2CC9"/>
    <w:rsid w:val="006E0E07"/>
    <w:rsid w:val="00715D14"/>
    <w:rsid w:val="00751D6C"/>
    <w:rsid w:val="00770005"/>
    <w:rsid w:val="007B2ED5"/>
    <w:rsid w:val="007B48CD"/>
    <w:rsid w:val="007F3E41"/>
    <w:rsid w:val="0085237F"/>
    <w:rsid w:val="00863DB1"/>
    <w:rsid w:val="008667F6"/>
    <w:rsid w:val="0088737B"/>
    <w:rsid w:val="008904F4"/>
    <w:rsid w:val="008934F2"/>
    <w:rsid w:val="008C3357"/>
    <w:rsid w:val="008F3762"/>
    <w:rsid w:val="00930BFA"/>
    <w:rsid w:val="00943672"/>
    <w:rsid w:val="00944F4F"/>
    <w:rsid w:val="00965AF7"/>
    <w:rsid w:val="0097566E"/>
    <w:rsid w:val="009B23D9"/>
    <w:rsid w:val="009B49AC"/>
    <w:rsid w:val="009C2AF0"/>
    <w:rsid w:val="009F4029"/>
    <w:rsid w:val="00A24B61"/>
    <w:rsid w:val="00B72572"/>
    <w:rsid w:val="00C31D00"/>
    <w:rsid w:val="00C42709"/>
    <w:rsid w:val="00C45B63"/>
    <w:rsid w:val="00C553AC"/>
    <w:rsid w:val="00C72E21"/>
    <w:rsid w:val="00CB618D"/>
    <w:rsid w:val="00D10D6A"/>
    <w:rsid w:val="00D40E8D"/>
    <w:rsid w:val="00D543B6"/>
    <w:rsid w:val="00D56C76"/>
    <w:rsid w:val="00DB7DEC"/>
    <w:rsid w:val="00DC2572"/>
    <w:rsid w:val="00DD7D67"/>
    <w:rsid w:val="00DF4FA4"/>
    <w:rsid w:val="00E02FEC"/>
    <w:rsid w:val="00E11E64"/>
    <w:rsid w:val="00E46365"/>
    <w:rsid w:val="00E80D50"/>
    <w:rsid w:val="00EC486E"/>
    <w:rsid w:val="00EF1D8A"/>
    <w:rsid w:val="00F005B0"/>
    <w:rsid w:val="00F27441"/>
    <w:rsid w:val="00F43AD6"/>
    <w:rsid w:val="00F967E2"/>
    <w:rsid w:val="00FA1808"/>
    <w:rsid w:val="00FC42DB"/>
    <w:rsid w:val="00FE74FA"/>
    <w:rsid w:val="00FF436C"/>
    <w:rsid w:val="00FF53F5"/>
    <w:rsid w:val="010350F5"/>
    <w:rsid w:val="010D7DD7"/>
    <w:rsid w:val="01141165"/>
    <w:rsid w:val="018D3B33"/>
    <w:rsid w:val="01993D60"/>
    <w:rsid w:val="01A06E9D"/>
    <w:rsid w:val="01E74ACC"/>
    <w:rsid w:val="02331ABF"/>
    <w:rsid w:val="023F2212"/>
    <w:rsid w:val="024F08CF"/>
    <w:rsid w:val="02783976"/>
    <w:rsid w:val="02F53218"/>
    <w:rsid w:val="02FC6355"/>
    <w:rsid w:val="03045209"/>
    <w:rsid w:val="0328539C"/>
    <w:rsid w:val="03884779"/>
    <w:rsid w:val="03906A9D"/>
    <w:rsid w:val="0422003D"/>
    <w:rsid w:val="04516D24"/>
    <w:rsid w:val="04531FA4"/>
    <w:rsid w:val="0458580D"/>
    <w:rsid w:val="04715502"/>
    <w:rsid w:val="048929AB"/>
    <w:rsid w:val="049F51EA"/>
    <w:rsid w:val="04D07E2C"/>
    <w:rsid w:val="04F27565"/>
    <w:rsid w:val="05235E1B"/>
    <w:rsid w:val="05263C53"/>
    <w:rsid w:val="052B4CCF"/>
    <w:rsid w:val="05F11A75"/>
    <w:rsid w:val="060774EA"/>
    <w:rsid w:val="067032E2"/>
    <w:rsid w:val="068648B3"/>
    <w:rsid w:val="06DF0467"/>
    <w:rsid w:val="07131EBF"/>
    <w:rsid w:val="071B2025"/>
    <w:rsid w:val="075F5AEE"/>
    <w:rsid w:val="0768220B"/>
    <w:rsid w:val="07B744EA"/>
    <w:rsid w:val="07DA39AA"/>
    <w:rsid w:val="07F43A9E"/>
    <w:rsid w:val="081C4913"/>
    <w:rsid w:val="08251EAA"/>
    <w:rsid w:val="0850455A"/>
    <w:rsid w:val="086D3F47"/>
    <w:rsid w:val="08FC70AE"/>
    <w:rsid w:val="09167A44"/>
    <w:rsid w:val="09455F12"/>
    <w:rsid w:val="095A5B83"/>
    <w:rsid w:val="09857786"/>
    <w:rsid w:val="09874053"/>
    <w:rsid w:val="099E0722"/>
    <w:rsid w:val="09E27CC3"/>
    <w:rsid w:val="09EF09C1"/>
    <w:rsid w:val="0A3D5C6E"/>
    <w:rsid w:val="0A4C075F"/>
    <w:rsid w:val="0A577EA6"/>
    <w:rsid w:val="0A752921"/>
    <w:rsid w:val="0AF618DB"/>
    <w:rsid w:val="0AF81AF7"/>
    <w:rsid w:val="0AFD0EBC"/>
    <w:rsid w:val="0AFE6642"/>
    <w:rsid w:val="0B732F2C"/>
    <w:rsid w:val="0BAE0408"/>
    <w:rsid w:val="0BC57DED"/>
    <w:rsid w:val="0BD11DED"/>
    <w:rsid w:val="0BED3D74"/>
    <w:rsid w:val="0BF422BF"/>
    <w:rsid w:val="0C676407"/>
    <w:rsid w:val="0CAC1879"/>
    <w:rsid w:val="0CD91E9E"/>
    <w:rsid w:val="0CF06F2A"/>
    <w:rsid w:val="0CF44E35"/>
    <w:rsid w:val="0D2E1801"/>
    <w:rsid w:val="0D63594E"/>
    <w:rsid w:val="0D7B47B2"/>
    <w:rsid w:val="0DBC505E"/>
    <w:rsid w:val="0DC65E80"/>
    <w:rsid w:val="0DD759F4"/>
    <w:rsid w:val="0DE81489"/>
    <w:rsid w:val="0DF04D08"/>
    <w:rsid w:val="0E5F212B"/>
    <w:rsid w:val="0EA91D37"/>
    <w:rsid w:val="0EDA591E"/>
    <w:rsid w:val="0EF44B98"/>
    <w:rsid w:val="0F566CD9"/>
    <w:rsid w:val="0F64150A"/>
    <w:rsid w:val="0F7E4E5C"/>
    <w:rsid w:val="0F94164E"/>
    <w:rsid w:val="0FB91882"/>
    <w:rsid w:val="10075C2E"/>
    <w:rsid w:val="108E4939"/>
    <w:rsid w:val="1090632E"/>
    <w:rsid w:val="10AB4F16"/>
    <w:rsid w:val="10EC7A09"/>
    <w:rsid w:val="113B7569"/>
    <w:rsid w:val="115E01DA"/>
    <w:rsid w:val="11F34DC7"/>
    <w:rsid w:val="11F823DD"/>
    <w:rsid w:val="128B14A3"/>
    <w:rsid w:val="12CF313E"/>
    <w:rsid w:val="12EC1F42"/>
    <w:rsid w:val="130C4392"/>
    <w:rsid w:val="135F0966"/>
    <w:rsid w:val="136D5C6B"/>
    <w:rsid w:val="137D5290"/>
    <w:rsid w:val="13946135"/>
    <w:rsid w:val="13956F89"/>
    <w:rsid w:val="143040B0"/>
    <w:rsid w:val="14627FE2"/>
    <w:rsid w:val="14B75C90"/>
    <w:rsid w:val="14DA6A78"/>
    <w:rsid w:val="14F55AF2"/>
    <w:rsid w:val="158C3568"/>
    <w:rsid w:val="159D0F2D"/>
    <w:rsid w:val="15A12018"/>
    <w:rsid w:val="15A77063"/>
    <w:rsid w:val="15AE7982"/>
    <w:rsid w:val="15DB44F0"/>
    <w:rsid w:val="162B768F"/>
    <w:rsid w:val="164B3423"/>
    <w:rsid w:val="16726C02"/>
    <w:rsid w:val="16734728"/>
    <w:rsid w:val="168B2531"/>
    <w:rsid w:val="16A20B69"/>
    <w:rsid w:val="16A2220E"/>
    <w:rsid w:val="16DF5DDE"/>
    <w:rsid w:val="16EB0762"/>
    <w:rsid w:val="16F5513D"/>
    <w:rsid w:val="16FE5738"/>
    <w:rsid w:val="172A218E"/>
    <w:rsid w:val="1735086C"/>
    <w:rsid w:val="17854713"/>
    <w:rsid w:val="17A80401"/>
    <w:rsid w:val="17CE60BA"/>
    <w:rsid w:val="17EC4792"/>
    <w:rsid w:val="17F04282"/>
    <w:rsid w:val="17F906B8"/>
    <w:rsid w:val="185A45FF"/>
    <w:rsid w:val="18891FE1"/>
    <w:rsid w:val="189B1E9E"/>
    <w:rsid w:val="194128BC"/>
    <w:rsid w:val="195F2D42"/>
    <w:rsid w:val="19FD4A34"/>
    <w:rsid w:val="1A085187"/>
    <w:rsid w:val="1A206975"/>
    <w:rsid w:val="1A434D96"/>
    <w:rsid w:val="1A5627F0"/>
    <w:rsid w:val="1AC92C2E"/>
    <w:rsid w:val="1B7E3953"/>
    <w:rsid w:val="1B8F790E"/>
    <w:rsid w:val="1BF30AA4"/>
    <w:rsid w:val="1C760ACE"/>
    <w:rsid w:val="1C9C2643"/>
    <w:rsid w:val="1CE123EB"/>
    <w:rsid w:val="1D0B56BA"/>
    <w:rsid w:val="1D181084"/>
    <w:rsid w:val="1D870376"/>
    <w:rsid w:val="1DD106B2"/>
    <w:rsid w:val="1E2458FF"/>
    <w:rsid w:val="1E264B94"/>
    <w:rsid w:val="1E5A6CDF"/>
    <w:rsid w:val="1E797D3F"/>
    <w:rsid w:val="1E8C402A"/>
    <w:rsid w:val="1EFC19B9"/>
    <w:rsid w:val="1F176598"/>
    <w:rsid w:val="1F6A67BE"/>
    <w:rsid w:val="1F811C64"/>
    <w:rsid w:val="1F85443C"/>
    <w:rsid w:val="1FB37310"/>
    <w:rsid w:val="20232D1B"/>
    <w:rsid w:val="20254CE5"/>
    <w:rsid w:val="2054126B"/>
    <w:rsid w:val="208F215E"/>
    <w:rsid w:val="20C06615"/>
    <w:rsid w:val="20C938C2"/>
    <w:rsid w:val="21143A54"/>
    <w:rsid w:val="2124185F"/>
    <w:rsid w:val="215E1112"/>
    <w:rsid w:val="21DA611C"/>
    <w:rsid w:val="21E04808"/>
    <w:rsid w:val="22451BC7"/>
    <w:rsid w:val="226514FC"/>
    <w:rsid w:val="229B7D58"/>
    <w:rsid w:val="22B6779D"/>
    <w:rsid w:val="231A09C1"/>
    <w:rsid w:val="23447230"/>
    <w:rsid w:val="237C4C1C"/>
    <w:rsid w:val="23B75C54"/>
    <w:rsid w:val="242332EA"/>
    <w:rsid w:val="2444388B"/>
    <w:rsid w:val="24521E21"/>
    <w:rsid w:val="24A508B9"/>
    <w:rsid w:val="24AF4B7D"/>
    <w:rsid w:val="251F7F55"/>
    <w:rsid w:val="254E5C11"/>
    <w:rsid w:val="255A72E3"/>
    <w:rsid w:val="25BC34B0"/>
    <w:rsid w:val="26243427"/>
    <w:rsid w:val="265E446B"/>
    <w:rsid w:val="269A49CD"/>
    <w:rsid w:val="26A26ADC"/>
    <w:rsid w:val="26EE2542"/>
    <w:rsid w:val="270F224B"/>
    <w:rsid w:val="2722281C"/>
    <w:rsid w:val="2742617D"/>
    <w:rsid w:val="27BF77CD"/>
    <w:rsid w:val="27F42B67"/>
    <w:rsid w:val="28425D08"/>
    <w:rsid w:val="29064F88"/>
    <w:rsid w:val="29183639"/>
    <w:rsid w:val="29247994"/>
    <w:rsid w:val="29253660"/>
    <w:rsid w:val="29D303B0"/>
    <w:rsid w:val="29D564C2"/>
    <w:rsid w:val="2A6C52BE"/>
    <w:rsid w:val="2A766639"/>
    <w:rsid w:val="2A946CEF"/>
    <w:rsid w:val="2AB949A8"/>
    <w:rsid w:val="2B0C2313"/>
    <w:rsid w:val="2B141521"/>
    <w:rsid w:val="2B454778"/>
    <w:rsid w:val="2B550953"/>
    <w:rsid w:val="2B6B1DBC"/>
    <w:rsid w:val="2B72701A"/>
    <w:rsid w:val="2BC27474"/>
    <w:rsid w:val="2C7374DF"/>
    <w:rsid w:val="2C866019"/>
    <w:rsid w:val="2D4C1B04"/>
    <w:rsid w:val="2D615C01"/>
    <w:rsid w:val="2D7C1CBC"/>
    <w:rsid w:val="2D8D7A26"/>
    <w:rsid w:val="2D9D410D"/>
    <w:rsid w:val="2DF03CD5"/>
    <w:rsid w:val="2E3F3416"/>
    <w:rsid w:val="2E5073D1"/>
    <w:rsid w:val="2EA96AE1"/>
    <w:rsid w:val="2EE63891"/>
    <w:rsid w:val="2F472C96"/>
    <w:rsid w:val="2F5C34B7"/>
    <w:rsid w:val="2FB97CB5"/>
    <w:rsid w:val="2FD64187"/>
    <w:rsid w:val="306B4BAB"/>
    <w:rsid w:val="30705B08"/>
    <w:rsid w:val="307A24E3"/>
    <w:rsid w:val="30B26121"/>
    <w:rsid w:val="30D17879"/>
    <w:rsid w:val="31132938"/>
    <w:rsid w:val="31202C67"/>
    <w:rsid w:val="31271F3F"/>
    <w:rsid w:val="314174A5"/>
    <w:rsid w:val="318D6246"/>
    <w:rsid w:val="31A35A6A"/>
    <w:rsid w:val="31AE4C2D"/>
    <w:rsid w:val="31F40CDC"/>
    <w:rsid w:val="31F7003E"/>
    <w:rsid w:val="31FC517A"/>
    <w:rsid w:val="32087989"/>
    <w:rsid w:val="320A3BE7"/>
    <w:rsid w:val="322A618B"/>
    <w:rsid w:val="327D275F"/>
    <w:rsid w:val="32AC4DF2"/>
    <w:rsid w:val="32BA12BD"/>
    <w:rsid w:val="32D0288E"/>
    <w:rsid w:val="33721B98"/>
    <w:rsid w:val="33FA4C57"/>
    <w:rsid w:val="34034262"/>
    <w:rsid w:val="341611FB"/>
    <w:rsid w:val="341B4A8C"/>
    <w:rsid w:val="34A044E2"/>
    <w:rsid w:val="34E154D2"/>
    <w:rsid w:val="34F52A80"/>
    <w:rsid w:val="353115DE"/>
    <w:rsid w:val="35A6695C"/>
    <w:rsid w:val="35B93AAE"/>
    <w:rsid w:val="35BF159A"/>
    <w:rsid w:val="35E11256"/>
    <w:rsid w:val="360A03EE"/>
    <w:rsid w:val="364F7F6E"/>
    <w:rsid w:val="36D87CBE"/>
    <w:rsid w:val="370074BA"/>
    <w:rsid w:val="37384EA6"/>
    <w:rsid w:val="37476E97"/>
    <w:rsid w:val="375F4043"/>
    <w:rsid w:val="37671662"/>
    <w:rsid w:val="376F478B"/>
    <w:rsid w:val="377063EE"/>
    <w:rsid w:val="37A442EA"/>
    <w:rsid w:val="37DE5A4E"/>
    <w:rsid w:val="37F039D3"/>
    <w:rsid w:val="37FD4A24"/>
    <w:rsid w:val="385E26EA"/>
    <w:rsid w:val="38F11218"/>
    <w:rsid w:val="393E70DB"/>
    <w:rsid w:val="39511986"/>
    <w:rsid w:val="39773E41"/>
    <w:rsid w:val="39B64BEE"/>
    <w:rsid w:val="39CB3D50"/>
    <w:rsid w:val="39E66E3B"/>
    <w:rsid w:val="39F71049"/>
    <w:rsid w:val="3A0C0CE3"/>
    <w:rsid w:val="3A306341"/>
    <w:rsid w:val="3A414072"/>
    <w:rsid w:val="3A4A1178"/>
    <w:rsid w:val="3A590939"/>
    <w:rsid w:val="3A965BFC"/>
    <w:rsid w:val="3AC70909"/>
    <w:rsid w:val="3AEC0481"/>
    <w:rsid w:val="3B220082"/>
    <w:rsid w:val="3B2A2D58"/>
    <w:rsid w:val="3B314724"/>
    <w:rsid w:val="3B471B5C"/>
    <w:rsid w:val="3B4E1CDB"/>
    <w:rsid w:val="3B813E37"/>
    <w:rsid w:val="3BE949C1"/>
    <w:rsid w:val="3CB46D7D"/>
    <w:rsid w:val="3CC03C61"/>
    <w:rsid w:val="3CE37662"/>
    <w:rsid w:val="3D137F1D"/>
    <w:rsid w:val="3D3C6CAB"/>
    <w:rsid w:val="3D7C3A0F"/>
    <w:rsid w:val="3D9A2417"/>
    <w:rsid w:val="3DBF3C2B"/>
    <w:rsid w:val="3DED69EA"/>
    <w:rsid w:val="3E1127E3"/>
    <w:rsid w:val="3E1C26FC"/>
    <w:rsid w:val="3E8409D1"/>
    <w:rsid w:val="3E970614"/>
    <w:rsid w:val="3EC62D97"/>
    <w:rsid w:val="3EF024C6"/>
    <w:rsid w:val="3F854A01"/>
    <w:rsid w:val="3FBE4971"/>
    <w:rsid w:val="40073668"/>
    <w:rsid w:val="401F6C03"/>
    <w:rsid w:val="406242B1"/>
    <w:rsid w:val="40BC08F6"/>
    <w:rsid w:val="40EE77FE"/>
    <w:rsid w:val="41916F22"/>
    <w:rsid w:val="41F45E6E"/>
    <w:rsid w:val="420135C7"/>
    <w:rsid w:val="42220C2D"/>
    <w:rsid w:val="422E312E"/>
    <w:rsid w:val="423170C2"/>
    <w:rsid w:val="42884F34"/>
    <w:rsid w:val="42C57D09"/>
    <w:rsid w:val="42CE4911"/>
    <w:rsid w:val="42EF2FFB"/>
    <w:rsid w:val="434A18CC"/>
    <w:rsid w:val="436314FD"/>
    <w:rsid w:val="43917E18"/>
    <w:rsid w:val="44146C41"/>
    <w:rsid w:val="444558E6"/>
    <w:rsid w:val="44775260"/>
    <w:rsid w:val="44896D41"/>
    <w:rsid w:val="44903CEE"/>
    <w:rsid w:val="453C3DB3"/>
    <w:rsid w:val="455C0E0C"/>
    <w:rsid w:val="45700D32"/>
    <w:rsid w:val="457B66E3"/>
    <w:rsid w:val="4605689B"/>
    <w:rsid w:val="46560EA5"/>
    <w:rsid w:val="468B50CB"/>
    <w:rsid w:val="47024B89"/>
    <w:rsid w:val="470F78A3"/>
    <w:rsid w:val="471C20EE"/>
    <w:rsid w:val="475F2E18"/>
    <w:rsid w:val="47B6609F"/>
    <w:rsid w:val="47FD2F18"/>
    <w:rsid w:val="48461273"/>
    <w:rsid w:val="48A531BC"/>
    <w:rsid w:val="48A71E8C"/>
    <w:rsid w:val="49043B4A"/>
    <w:rsid w:val="492C20BD"/>
    <w:rsid w:val="495C2C76"/>
    <w:rsid w:val="49AE10BE"/>
    <w:rsid w:val="4A54491B"/>
    <w:rsid w:val="4A88006B"/>
    <w:rsid w:val="4AB7408B"/>
    <w:rsid w:val="4B013AD5"/>
    <w:rsid w:val="4B045373"/>
    <w:rsid w:val="4B2E23F0"/>
    <w:rsid w:val="4B69372E"/>
    <w:rsid w:val="4B8B7843"/>
    <w:rsid w:val="4BFA1FB5"/>
    <w:rsid w:val="4C8E1343"/>
    <w:rsid w:val="4CCF375F"/>
    <w:rsid w:val="4D024D9E"/>
    <w:rsid w:val="4D553C64"/>
    <w:rsid w:val="4D5869F3"/>
    <w:rsid w:val="4E2E44B5"/>
    <w:rsid w:val="4E3A6BC5"/>
    <w:rsid w:val="4E577CE4"/>
    <w:rsid w:val="4E7613C9"/>
    <w:rsid w:val="4F075432"/>
    <w:rsid w:val="4F4F372C"/>
    <w:rsid w:val="4F7505EE"/>
    <w:rsid w:val="4F842375"/>
    <w:rsid w:val="4F885816"/>
    <w:rsid w:val="4F944928"/>
    <w:rsid w:val="4F980780"/>
    <w:rsid w:val="4FF05EC6"/>
    <w:rsid w:val="50153B7F"/>
    <w:rsid w:val="503A5393"/>
    <w:rsid w:val="50577CF3"/>
    <w:rsid w:val="509B6FFA"/>
    <w:rsid w:val="50B45146"/>
    <w:rsid w:val="50BB64D4"/>
    <w:rsid w:val="50C22179"/>
    <w:rsid w:val="50EE68AA"/>
    <w:rsid w:val="510D2307"/>
    <w:rsid w:val="514C537E"/>
    <w:rsid w:val="51826FF2"/>
    <w:rsid w:val="51B11E13"/>
    <w:rsid w:val="51B258D6"/>
    <w:rsid w:val="51D13349"/>
    <w:rsid w:val="51DC4954"/>
    <w:rsid w:val="51F03BFE"/>
    <w:rsid w:val="52AD5656"/>
    <w:rsid w:val="52D67B87"/>
    <w:rsid w:val="53001ED7"/>
    <w:rsid w:val="53344953"/>
    <w:rsid w:val="53854791"/>
    <w:rsid w:val="53BC2C8F"/>
    <w:rsid w:val="53C90F08"/>
    <w:rsid w:val="53D004E8"/>
    <w:rsid w:val="53D10891"/>
    <w:rsid w:val="53F57F4F"/>
    <w:rsid w:val="54136627"/>
    <w:rsid w:val="544100EE"/>
    <w:rsid w:val="54A21B57"/>
    <w:rsid w:val="54C17E31"/>
    <w:rsid w:val="54C65448"/>
    <w:rsid w:val="54F25EAA"/>
    <w:rsid w:val="5505608D"/>
    <w:rsid w:val="557355CF"/>
    <w:rsid w:val="55990DAE"/>
    <w:rsid w:val="56095F34"/>
    <w:rsid w:val="56360FFF"/>
    <w:rsid w:val="568D1A0E"/>
    <w:rsid w:val="569972B8"/>
    <w:rsid w:val="56A23D6D"/>
    <w:rsid w:val="56AF65D0"/>
    <w:rsid w:val="575256B8"/>
    <w:rsid w:val="577A5B49"/>
    <w:rsid w:val="582E57DE"/>
    <w:rsid w:val="58B00BF9"/>
    <w:rsid w:val="58CD7155"/>
    <w:rsid w:val="58FA747A"/>
    <w:rsid w:val="59587EA0"/>
    <w:rsid w:val="59594ADC"/>
    <w:rsid w:val="59A57D21"/>
    <w:rsid w:val="59BE5287"/>
    <w:rsid w:val="59D42791"/>
    <w:rsid w:val="59F92CC7"/>
    <w:rsid w:val="5A276988"/>
    <w:rsid w:val="5A925980"/>
    <w:rsid w:val="5AF96577"/>
    <w:rsid w:val="5B1769FD"/>
    <w:rsid w:val="5C433822"/>
    <w:rsid w:val="5C657C3C"/>
    <w:rsid w:val="5C8956D8"/>
    <w:rsid w:val="5D192F00"/>
    <w:rsid w:val="5D462242"/>
    <w:rsid w:val="5D610403"/>
    <w:rsid w:val="5D6E1FD6"/>
    <w:rsid w:val="5D8F31C2"/>
    <w:rsid w:val="5E282CCF"/>
    <w:rsid w:val="5E510478"/>
    <w:rsid w:val="5E7D74BF"/>
    <w:rsid w:val="5EC96260"/>
    <w:rsid w:val="5F7A4DB5"/>
    <w:rsid w:val="5FCD42C2"/>
    <w:rsid w:val="5FEF619A"/>
    <w:rsid w:val="60220673"/>
    <w:rsid w:val="605602F3"/>
    <w:rsid w:val="607D43CC"/>
    <w:rsid w:val="60A4759A"/>
    <w:rsid w:val="60A7051F"/>
    <w:rsid w:val="60BD0047"/>
    <w:rsid w:val="60BD1DF5"/>
    <w:rsid w:val="612C0D28"/>
    <w:rsid w:val="6145798E"/>
    <w:rsid w:val="619A08A4"/>
    <w:rsid w:val="61B2122D"/>
    <w:rsid w:val="61DD3E21"/>
    <w:rsid w:val="61E5122B"/>
    <w:rsid w:val="61EB2991"/>
    <w:rsid w:val="62306A78"/>
    <w:rsid w:val="62344338"/>
    <w:rsid w:val="62E80C7F"/>
    <w:rsid w:val="63133F4E"/>
    <w:rsid w:val="63252F49"/>
    <w:rsid w:val="63293771"/>
    <w:rsid w:val="63312768"/>
    <w:rsid w:val="63332AD4"/>
    <w:rsid w:val="63A91A8F"/>
    <w:rsid w:val="63D57455"/>
    <w:rsid w:val="66081D64"/>
    <w:rsid w:val="660E0537"/>
    <w:rsid w:val="66344907"/>
    <w:rsid w:val="665902B8"/>
    <w:rsid w:val="66A870A3"/>
    <w:rsid w:val="67834660"/>
    <w:rsid w:val="678621C2"/>
    <w:rsid w:val="67BB2477"/>
    <w:rsid w:val="680F3C98"/>
    <w:rsid w:val="68444E8A"/>
    <w:rsid w:val="68B37A6C"/>
    <w:rsid w:val="68C36416"/>
    <w:rsid w:val="69124CA8"/>
    <w:rsid w:val="69790883"/>
    <w:rsid w:val="69A5132F"/>
    <w:rsid w:val="69CD0CF9"/>
    <w:rsid w:val="6A53227F"/>
    <w:rsid w:val="6ABC788E"/>
    <w:rsid w:val="6B785296"/>
    <w:rsid w:val="6B8C0289"/>
    <w:rsid w:val="6BE04BE9"/>
    <w:rsid w:val="6C3513D9"/>
    <w:rsid w:val="6C4B4758"/>
    <w:rsid w:val="6CA75BF7"/>
    <w:rsid w:val="6D1A3E44"/>
    <w:rsid w:val="6D1C4347"/>
    <w:rsid w:val="6D3E606B"/>
    <w:rsid w:val="6D6261FE"/>
    <w:rsid w:val="6D9C0147"/>
    <w:rsid w:val="6DF901E4"/>
    <w:rsid w:val="6E11552E"/>
    <w:rsid w:val="6E554C00"/>
    <w:rsid w:val="6E9028F6"/>
    <w:rsid w:val="6EEB5D7F"/>
    <w:rsid w:val="6F1C418A"/>
    <w:rsid w:val="6F470332"/>
    <w:rsid w:val="6F722607"/>
    <w:rsid w:val="6F7E6BF3"/>
    <w:rsid w:val="6F9B59F7"/>
    <w:rsid w:val="6FB25BCF"/>
    <w:rsid w:val="6FD63154"/>
    <w:rsid w:val="6FDD600F"/>
    <w:rsid w:val="700215D2"/>
    <w:rsid w:val="701557A9"/>
    <w:rsid w:val="703C7596"/>
    <w:rsid w:val="708D049F"/>
    <w:rsid w:val="70DA254F"/>
    <w:rsid w:val="71692C8E"/>
    <w:rsid w:val="71A843FB"/>
    <w:rsid w:val="72A44BC2"/>
    <w:rsid w:val="72BC63B0"/>
    <w:rsid w:val="72C65E03"/>
    <w:rsid w:val="7318110C"/>
    <w:rsid w:val="733777E5"/>
    <w:rsid w:val="73461360"/>
    <w:rsid w:val="73487C44"/>
    <w:rsid w:val="73EF4DCD"/>
    <w:rsid w:val="740C41F1"/>
    <w:rsid w:val="74126683"/>
    <w:rsid w:val="7416564C"/>
    <w:rsid w:val="741B2381"/>
    <w:rsid w:val="743D3AC4"/>
    <w:rsid w:val="74BD160A"/>
    <w:rsid w:val="74DF0134"/>
    <w:rsid w:val="74F6722B"/>
    <w:rsid w:val="755651FF"/>
    <w:rsid w:val="757271FA"/>
    <w:rsid w:val="75874327"/>
    <w:rsid w:val="75A90DBF"/>
    <w:rsid w:val="75B72E5F"/>
    <w:rsid w:val="75E152A0"/>
    <w:rsid w:val="75FD0222"/>
    <w:rsid w:val="76256284"/>
    <w:rsid w:val="762A3062"/>
    <w:rsid w:val="764928A0"/>
    <w:rsid w:val="765406AD"/>
    <w:rsid w:val="767E141D"/>
    <w:rsid w:val="76C770D1"/>
    <w:rsid w:val="77302EC9"/>
    <w:rsid w:val="773B361B"/>
    <w:rsid w:val="778D7068"/>
    <w:rsid w:val="779F004E"/>
    <w:rsid w:val="77A314BE"/>
    <w:rsid w:val="77C41863"/>
    <w:rsid w:val="77CD37A5"/>
    <w:rsid w:val="78252301"/>
    <w:rsid w:val="78584264"/>
    <w:rsid w:val="78762B5D"/>
    <w:rsid w:val="788334CC"/>
    <w:rsid w:val="78AF606F"/>
    <w:rsid w:val="796365C3"/>
    <w:rsid w:val="79915775"/>
    <w:rsid w:val="79BF6786"/>
    <w:rsid w:val="79F07B24"/>
    <w:rsid w:val="7A093AD3"/>
    <w:rsid w:val="7A601D17"/>
    <w:rsid w:val="7A9419C0"/>
    <w:rsid w:val="7A94376E"/>
    <w:rsid w:val="7AA325E9"/>
    <w:rsid w:val="7ACE4ED2"/>
    <w:rsid w:val="7B205002"/>
    <w:rsid w:val="7B783090"/>
    <w:rsid w:val="7BB37C24"/>
    <w:rsid w:val="7BD1454E"/>
    <w:rsid w:val="7BF302A3"/>
    <w:rsid w:val="7C457749"/>
    <w:rsid w:val="7CCA3D48"/>
    <w:rsid w:val="7CD42548"/>
    <w:rsid w:val="7CEA3B1A"/>
    <w:rsid w:val="7CEF4308"/>
    <w:rsid w:val="7D011CA4"/>
    <w:rsid w:val="7D0B32E2"/>
    <w:rsid w:val="7D6B16D3"/>
    <w:rsid w:val="7D745762"/>
    <w:rsid w:val="7DB642B3"/>
    <w:rsid w:val="7E9E696A"/>
    <w:rsid w:val="7EA75857"/>
    <w:rsid w:val="7EDB2CBA"/>
    <w:rsid w:val="7F080287"/>
    <w:rsid w:val="7F392B36"/>
    <w:rsid w:val="7F7165A5"/>
    <w:rsid w:val="7FC44A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iPriority="99"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1"/>
    <w:next w:val="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unhideWhenUsed/>
    <w:qFormat/>
    <w:uiPriority w:val="9"/>
    <w:pPr>
      <w:keepNext/>
      <w:keepLines/>
      <w:spacing w:before="360" w:after="200"/>
      <w:outlineLvl w:val="1"/>
    </w:pPr>
    <w:rPr>
      <w:rFonts w:ascii="Arial" w:hAnsi="Arial" w:eastAsia="Arial" w:cs="Arial"/>
      <w:sz w:val="34"/>
    </w:rPr>
  </w:style>
  <w:style w:type="paragraph" w:styleId="4">
    <w:name w:val="heading 3"/>
    <w:basedOn w:val="5"/>
    <w:next w:val="7"/>
    <w:unhideWhenUsed/>
    <w:qFormat/>
    <w:uiPriority w:val="9"/>
    <w:pPr>
      <w:keepNext/>
      <w:keepLines/>
      <w:spacing w:before="320" w:after="200"/>
      <w:outlineLvl w:val="2"/>
    </w:pPr>
    <w:rPr>
      <w:rFonts w:ascii="Arial" w:hAnsi="Arial" w:eastAsia="Arial" w:cs="Arial"/>
      <w:sz w:val="30"/>
      <w:szCs w:val="30"/>
    </w:rPr>
  </w:style>
  <w:style w:type="paragraph" w:styleId="9">
    <w:name w:val="heading 4"/>
    <w:basedOn w:val="1"/>
    <w:next w:val="1"/>
    <w:unhideWhenUsed/>
    <w:qFormat/>
    <w:uiPriority w:val="9"/>
    <w:pPr>
      <w:keepNext/>
      <w:keepLines/>
      <w:spacing w:before="320" w:after="200"/>
      <w:outlineLvl w:val="3"/>
    </w:pPr>
    <w:rPr>
      <w:rFonts w:ascii="Arial" w:hAnsi="Arial" w:eastAsia="Arial" w:cs="Arial"/>
      <w:b/>
      <w:bCs/>
      <w:sz w:val="26"/>
      <w:szCs w:val="26"/>
    </w:rPr>
  </w:style>
  <w:style w:type="paragraph" w:styleId="10">
    <w:name w:val="heading 5"/>
    <w:basedOn w:val="1"/>
    <w:next w:val="1"/>
    <w:unhideWhenUsed/>
    <w:qFormat/>
    <w:uiPriority w:val="9"/>
    <w:pPr>
      <w:keepNext/>
      <w:keepLines/>
      <w:spacing w:before="320" w:after="200"/>
      <w:outlineLvl w:val="4"/>
    </w:pPr>
    <w:rPr>
      <w:rFonts w:ascii="Arial" w:hAnsi="Arial" w:eastAsia="Arial" w:cs="Arial"/>
      <w:b/>
      <w:bCs/>
      <w:sz w:val="24"/>
      <w:szCs w:val="24"/>
    </w:rPr>
  </w:style>
  <w:style w:type="paragraph" w:styleId="11">
    <w:name w:val="heading 6"/>
    <w:basedOn w:val="1"/>
    <w:next w:val="1"/>
    <w:unhideWhenUsed/>
    <w:qFormat/>
    <w:uiPriority w:val="9"/>
    <w:pPr>
      <w:keepNext/>
      <w:keepLines/>
      <w:spacing w:before="320" w:after="200"/>
      <w:outlineLvl w:val="5"/>
    </w:pPr>
    <w:rPr>
      <w:rFonts w:ascii="Arial" w:hAnsi="Arial" w:eastAsia="Arial" w:cs="Arial"/>
      <w:b/>
      <w:bCs/>
      <w:sz w:val="22"/>
    </w:rPr>
  </w:style>
  <w:style w:type="paragraph" w:styleId="12">
    <w:name w:val="heading 7"/>
    <w:basedOn w:val="1"/>
    <w:next w:val="1"/>
    <w:unhideWhenUsed/>
    <w:qFormat/>
    <w:uiPriority w:val="9"/>
    <w:pPr>
      <w:keepNext/>
      <w:keepLines/>
      <w:spacing w:before="320" w:after="200"/>
      <w:outlineLvl w:val="6"/>
    </w:pPr>
    <w:rPr>
      <w:rFonts w:ascii="Arial" w:hAnsi="Arial" w:eastAsia="Arial" w:cs="Arial"/>
      <w:b/>
      <w:bCs/>
      <w:i/>
      <w:iCs/>
      <w:sz w:val="22"/>
    </w:rPr>
  </w:style>
  <w:style w:type="paragraph" w:styleId="13">
    <w:name w:val="heading 8"/>
    <w:basedOn w:val="1"/>
    <w:next w:val="1"/>
    <w:unhideWhenUsed/>
    <w:qFormat/>
    <w:uiPriority w:val="9"/>
    <w:pPr>
      <w:keepNext/>
      <w:keepLines/>
      <w:spacing w:before="320" w:after="200"/>
      <w:outlineLvl w:val="7"/>
    </w:pPr>
    <w:rPr>
      <w:rFonts w:ascii="Arial" w:hAnsi="Arial" w:eastAsia="Arial" w:cs="Arial"/>
      <w:i/>
      <w:iCs/>
      <w:sz w:val="22"/>
    </w:rPr>
  </w:style>
  <w:style w:type="paragraph" w:styleId="14">
    <w:name w:val="heading 9"/>
    <w:basedOn w:val="1"/>
    <w:next w:val="1"/>
    <w:unhideWhenUsed/>
    <w:qFormat/>
    <w:uiPriority w:val="9"/>
    <w:pPr>
      <w:keepNext/>
      <w:keepLines/>
      <w:spacing w:before="320" w:after="200"/>
      <w:outlineLvl w:val="8"/>
    </w:pPr>
    <w:rPr>
      <w:rFonts w:ascii="Arial" w:hAnsi="Arial" w:eastAsia="Arial" w:cs="Arial"/>
      <w:i/>
      <w:iCs/>
      <w:szCs w:val="21"/>
    </w:rPr>
  </w:style>
  <w:style w:type="character" w:default="1" w:styleId="40">
    <w:name w:val="Default Paragraph Font"/>
    <w:semiHidden/>
    <w:unhideWhenUsed/>
    <w:qFormat/>
    <w:uiPriority w:val="1"/>
  </w:style>
  <w:style w:type="table" w:default="1" w:styleId="38">
    <w:name w:val="Normal Table"/>
    <w:semiHidden/>
    <w:unhideWhenUsed/>
    <w:qFormat/>
    <w:uiPriority w:val="99"/>
    <w:tblPr>
      <w:tblCellMar>
        <w:top w:w="0" w:type="dxa"/>
        <w:left w:w="108" w:type="dxa"/>
        <w:bottom w:w="0" w:type="dxa"/>
        <w:right w:w="108" w:type="dxa"/>
      </w:tblCellMar>
    </w:tblPr>
  </w:style>
  <w:style w:type="paragraph" w:customStyle="1" w:styleId="5">
    <w:name w:val="Normal1"/>
    <w:next w:val="6"/>
    <w:qFormat/>
    <w:uiPriority w:val="0"/>
    <w:pPr>
      <w:widowControl w:val="0"/>
      <w:jc w:val="both"/>
    </w:pPr>
    <w:rPr>
      <w:rFonts w:ascii="Calibri" w:hAnsi="Calibri" w:eastAsia="宋体" w:cs="Times New Roman"/>
      <w:sz w:val="21"/>
      <w:szCs w:val="22"/>
      <w:lang w:val="en-US" w:eastAsia="zh-CN" w:bidi="ar-SA"/>
    </w:rPr>
  </w:style>
  <w:style w:type="paragraph" w:customStyle="1" w:styleId="6">
    <w:name w:val="标题 311"/>
    <w:basedOn w:val="5"/>
    <w:next w:val="7"/>
    <w:qFormat/>
    <w:uiPriority w:val="9"/>
    <w:pPr>
      <w:keepNext/>
      <w:keepLines/>
      <w:spacing w:before="320" w:after="200"/>
      <w:outlineLvl w:val="2"/>
    </w:pPr>
    <w:rPr>
      <w:rFonts w:ascii="Arial" w:hAnsi="Arial" w:eastAsia="Arial" w:cs="Arial"/>
      <w:sz w:val="30"/>
      <w:szCs w:val="30"/>
    </w:rPr>
  </w:style>
  <w:style w:type="paragraph" w:customStyle="1" w:styleId="7">
    <w:name w:val="Normal_19"/>
    <w:next w:val="8"/>
    <w:qFormat/>
    <w:uiPriority w:val="0"/>
    <w:rPr>
      <w:rFonts w:ascii="黑体" w:hAnsi="黑体" w:eastAsia="黑体" w:cs="黑体"/>
      <w:b/>
      <w:sz w:val="32"/>
      <w:szCs w:val="24"/>
      <w:lang w:val="en-US" w:eastAsia="zh-CN" w:bidi="ar-SA"/>
    </w:rPr>
  </w:style>
  <w:style w:type="paragraph" w:customStyle="1" w:styleId="8">
    <w:name w:val="脚注文本1"/>
    <w:basedOn w:val="1"/>
    <w:qFormat/>
    <w:uiPriority w:val="0"/>
    <w:pPr>
      <w:jc w:val="left"/>
    </w:pPr>
    <w:rPr>
      <w:rFonts w:eastAsia="Times New Roman"/>
      <w:sz w:val="18"/>
      <w:szCs w:val="24"/>
    </w:rPr>
  </w:style>
  <w:style w:type="paragraph" w:styleId="15">
    <w:name w:val="toc 7"/>
    <w:basedOn w:val="1"/>
    <w:next w:val="1"/>
    <w:unhideWhenUsed/>
    <w:qFormat/>
    <w:uiPriority w:val="39"/>
    <w:pPr>
      <w:spacing w:after="57"/>
      <w:ind w:left="1701"/>
    </w:pPr>
  </w:style>
  <w:style w:type="paragraph" w:styleId="16">
    <w:name w:val="Normal Indent"/>
    <w:basedOn w:val="1"/>
    <w:next w:val="1"/>
    <w:link w:val="505"/>
    <w:qFormat/>
    <w:uiPriority w:val="0"/>
    <w:pPr>
      <w:ind w:firstLine="420"/>
    </w:pPr>
    <w:rPr>
      <w:rFonts w:ascii="Times New Roman" w:hAnsi="Times New Roman"/>
      <w:szCs w:val="21"/>
    </w:r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annotation text"/>
    <w:basedOn w:val="1"/>
    <w:link w:val="504"/>
    <w:qFormat/>
    <w:uiPriority w:val="99"/>
    <w:pPr>
      <w:jc w:val="left"/>
    </w:pPr>
    <w:rPr>
      <w:rFonts w:ascii="Times New Roman" w:hAnsi="Times New Roman"/>
      <w:kern w:val="2"/>
      <w:szCs w:val="20"/>
    </w:rPr>
  </w:style>
  <w:style w:type="paragraph" w:styleId="19">
    <w:name w:val="Body Text"/>
    <w:basedOn w:val="1"/>
    <w:link w:val="502"/>
    <w:semiHidden/>
    <w:unhideWhenUsed/>
    <w:qFormat/>
    <w:uiPriority w:val="99"/>
    <w:pPr>
      <w:spacing w:after="120"/>
    </w:pPr>
  </w:style>
  <w:style w:type="paragraph" w:styleId="20">
    <w:name w:val="Body Text Indent"/>
    <w:basedOn w:val="1"/>
    <w:link w:val="507"/>
    <w:unhideWhenUsed/>
    <w:qFormat/>
    <w:uiPriority w:val="0"/>
    <w:pPr>
      <w:spacing w:after="120"/>
      <w:ind w:left="420" w:leftChars="200"/>
    </w:pPr>
    <w:rPr>
      <w:rFonts w:cs="Calibri"/>
      <w:kern w:val="2"/>
      <w:szCs w:val="24"/>
    </w:rPr>
  </w:style>
  <w:style w:type="paragraph" w:styleId="21">
    <w:name w:val="toc 5"/>
    <w:basedOn w:val="1"/>
    <w:next w:val="1"/>
    <w:unhideWhenUsed/>
    <w:qFormat/>
    <w:uiPriority w:val="39"/>
    <w:pPr>
      <w:spacing w:after="57"/>
      <w:ind w:left="1134"/>
    </w:pPr>
  </w:style>
  <w:style w:type="paragraph" w:styleId="22">
    <w:name w:val="toc 3"/>
    <w:basedOn w:val="1"/>
    <w:next w:val="1"/>
    <w:unhideWhenUsed/>
    <w:qFormat/>
    <w:uiPriority w:val="39"/>
    <w:pPr>
      <w:spacing w:after="57"/>
      <w:ind w:left="567"/>
    </w:pPr>
  </w:style>
  <w:style w:type="paragraph" w:styleId="23">
    <w:name w:val="toc 8"/>
    <w:basedOn w:val="1"/>
    <w:next w:val="1"/>
    <w:unhideWhenUsed/>
    <w:qFormat/>
    <w:uiPriority w:val="39"/>
    <w:pPr>
      <w:spacing w:after="57"/>
      <w:ind w:left="1984"/>
    </w:pPr>
  </w:style>
  <w:style w:type="paragraph" w:styleId="24">
    <w:name w:val="endnote text"/>
    <w:basedOn w:val="1"/>
    <w:semiHidden/>
    <w:unhideWhenUsed/>
    <w:qFormat/>
    <w:uiPriority w:val="99"/>
    <w:rPr>
      <w:sz w:val="20"/>
    </w:rPr>
  </w:style>
  <w:style w:type="paragraph" w:styleId="25">
    <w:name w:val="footer"/>
    <w:basedOn w:val="1"/>
    <w:unhideWhenUsed/>
    <w:qFormat/>
    <w:uiPriority w:val="99"/>
    <w:pPr>
      <w:tabs>
        <w:tab w:val="center" w:pos="7143"/>
        <w:tab w:val="right" w:pos="14287"/>
      </w:tabs>
    </w:pPr>
  </w:style>
  <w:style w:type="paragraph" w:styleId="26">
    <w:name w:val="header"/>
    <w:basedOn w:val="1"/>
    <w:unhideWhenUsed/>
    <w:qFormat/>
    <w:uiPriority w:val="99"/>
    <w:pPr>
      <w:tabs>
        <w:tab w:val="center" w:pos="7143"/>
        <w:tab w:val="right" w:pos="14287"/>
      </w:tabs>
    </w:pPr>
  </w:style>
  <w:style w:type="paragraph" w:styleId="27">
    <w:name w:val="toc 1"/>
    <w:basedOn w:val="1"/>
    <w:next w:val="1"/>
    <w:unhideWhenUsed/>
    <w:qFormat/>
    <w:uiPriority w:val="39"/>
    <w:pPr>
      <w:spacing w:after="57"/>
    </w:pPr>
  </w:style>
  <w:style w:type="paragraph" w:styleId="28">
    <w:name w:val="toc 4"/>
    <w:basedOn w:val="1"/>
    <w:next w:val="1"/>
    <w:unhideWhenUsed/>
    <w:qFormat/>
    <w:uiPriority w:val="39"/>
    <w:pPr>
      <w:spacing w:after="57"/>
      <w:ind w:left="850"/>
    </w:pPr>
  </w:style>
  <w:style w:type="paragraph" w:styleId="29">
    <w:name w:val="Subtitle"/>
    <w:basedOn w:val="1"/>
    <w:next w:val="1"/>
    <w:qFormat/>
    <w:uiPriority w:val="11"/>
    <w:pPr>
      <w:spacing w:before="200" w:after="200"/>
    </w:pPr>
    <w:rPr>
      <w:sz w:val="24"/>
      <w:szCs w:val="24"/>
    </w:rPr>
  </w:style>
  <w:style w:type="paragraph" w:styleId="30">
    <w:name w:val="footnote text"/>
    <w:basedOn w:val="1"/>
    <w:semiHidden/>
    <w:unhideWhenUsed/>
    <w:qFormat/>
    <w:uiPriority w:val="99"/>
    <w:pPr>
      <w:spacing w:after="40"/>
    </w:pPr>
    <w:rPr>
      <w:sz w:val="18"/>
    </w:rPr>
  </w:style>
  <w:style w:type="paragraph" w:styleId="31">
    <w:name w:val="toc 6"/>
    <w:basedOn w:val="1"/>
    <w:next w:val="1"/>
    <w:unhideWhenUsed/>
    <w:qFormat/>
    <w:uiPriority w:val="39"/>
    <w:pPr>
      <w:spacing w:after="57"/>
      <w:ind w:left="1417"/>
    </w:pPr>
  </w:style>
  <w:style w:type="paragraph" w:styleId="32">
    <w:name w:val="table of figures"/>
    <w:basedOn w:val="1"/>
    <w:next w:val="1"/>
    <w:unhideWhenUsed/>
    <w:qFormat/>
    <w:uiPriority w:val="99"/>
  </w:style>
  <w:style w:type="paragraph" w:styleId="33">
    <w:name w:val="toc 2"/>
    <w:basedOn w:val="1"/>
    <w:next w:val="1"/>
    <w:unhideWhenUsed/>
    <w:qFormat/>
    <w:uiPriority w:val="39"/>
    <w:pPr>
      <w:spacing w:after="57"/>
      <w:ind w:left="283"/>
    </w:pPr>
  </w:style>
  <w:style w:type="paragraph" w:styleId="34">
    <w:name w:val="toc 9"/>
    <w:basedOn w:val="1"/>
    <w:next w:val="1"/>
    <w:unhideWhenUsed/>
    <w:qFormat/>
    <w:uiPriority w:val="39"/>
    <w:pPr>
      <w:spacing w:after="57"/>
      <w:ind w:left="2268"/>
    </w:pPr>
  </w:style>
  <w:style w:type="paragraph" w:styleId="35">
    <w:name w:val="Normal (Web)"/>
    <w:basedOn w:val="1"/>
    <w:qFormat/>
    <w:uiPriority w:val="99"/>
    <w:pPr>
      <w:widowControl/>
      <w:spacing w:before="100" w:beforeAutospacing="1" w:after="100" w:afterAutospacing="1"/>
      <w:jc w:val="left"/>
    </w:pPr>
    <w:rPr>
      <w:rFonts w:ascii="宋体" w:hAnsi="宋体" w:cs="宋体"/>
      <w:sz w:val="24"/>
      <w:szCs w:val="24"/>
    </w:rPr>
  </w:style>
  <w:style w:type="paragraph" w:styleId="36">
    <w:name w:val="Title"/>
    <w:basedOn w:val="1"/>
    <w:next w:val="1"/>
    <w:qFormat/>
    <w:uiPriority w:val="10"/>
    <w:pPr>
      <w:spacing w:before="300" w:after="200"/>
      <w:contextualSpacing/>
    </w:pPr>
    <w:rPr>
      <w:sz w:val="48"/>
      <w:szCs w:val="48"/>
    </w:rPr>
  </w:style>
  <w:style w:type="paragraph" w:styleId="37">
    <w:name w:val="Body Text First Indent"/>
    <w:basedOn w:val="19"/>
    <w:link w:val="503"/>
    <w:unhideWhenUsed/>
    <w:qFormat/>
    <w:uiPriority w:val="99"/>
    <w:pPr>
      <w:ind w:firstLine="420" w:firstLineChars="100"/>
    </w:pPr>
    <w:rPr>
      <w:rFonts w:cs="Calibri"/>
      <w:kern w:val="2"/>
      <w:szCs w:val="21"/>
    </w:rPr>
  </w:style>
  <w:style w:type="table" w:styleId="39">
    <w:name w:val="Table Grid"/>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1">
    <w:name w:val="Strong"/>
    <w:basedOn w:val="40"/>
    <w:qFormat/>
    <w:uiPriority w:val="22"/>
    <w:rPr>
      <w:b/>
    </w:rPr>
  </w:style>
  <w:style w:type="character" w:styleId="42">
    <w:name w:val="endnote reference"/>
    <w:semiHidden/>
    <w:unhideWhenUsed/>
    <w:qFormat/>
    <w:uiPriority w:val="99"/>
    <w:rPr>
      <w:vertAlign w:val="superscript"/>
    </w:rPr>
  </w:style>
  <w:style w:type="character" w:styleId="43">
    <w:name w:val="Hyperlink"/>
    <w:unhideWhenUsed/>
    <w:qFormat/>
    <w:uiPriority w:val="99"/>
    <w:rPr>
      <w:color w:val="0000FF" w:themeColor="hyperlink"/>
      <w:u w:val="single"/>
      <w14:textFill>
        <w14:solidFill>
          <w14:schemeClr w14:val="hlink"/>
        </w14:solidFill>
      </w14:textFill>
    </w:rPr>
  </w:style>
  <w:style w:type="character" w:styleId="44">
    <w:name w:val="footnote reference"/>
    <w:unhideWhenUsed/>
    <w:qFormat/>
    <w:uiPriority w:val="99"/>
    <w:rPr>
      <w:vertAlign w:val="superscript"/>
    </w:rPr>
  </w:style>
  <w:style w:type="table" w:customStyle="1" w:styleId="45">
    <w:name w:val="无格式表格 11"/>
    <w:basedOn w:val="46"/>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0" w:type="dxa"/>
        <w:bottom w:w="0" w:type="dxa"/>
        <w:right w:w="0"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46">
    <w:name w:val="普通表格1"/>
    <w:unhideWhenUsed/>
    <w:qFormat/>
    <w:uiPriority w:val="99"/>
    <w:tblPr>
      <w:tblCellMar>
        <w:top w:w="0" w:type="dxa"/>
        <w:left w:w="0" w:type="dxa"/>
        <w:bottom w:w="0" w:type="dxa"/>
        <w:right w:w="0" w:type="dxa"/>
      </w:tblCellMar>
    </w:tblPr>
  </w:style>
  <w:style w:type="table" w:customStyle="1" w:styleId="47">
    <w:name w:val="无格式表格 21"/>
    <w:basedOn w:val="46"/>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0" w:type="dxa"/>
        <w:bottom w:w="0" w:type="dxa"/>
        <w:right w:w="0"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48">
    <w:name w:val="无格式表格 31"/>
    <w:basedOn w:val="46"/>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49">
    <w:name w:val="无格式表格 41"/>
    <w:basedOn w:val="46"/>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0">
    <w:name w:val="无格式表格 51"/>
    <w:basedOn w:val="46"/>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51">
    <w:name w:val="网格表 1 浅色1"/>
    <w:basedOn w:val="46"/>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52">
    <w:name w:val="网格表 2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3">
    <w:name w:val="网格表 31"/>
    <w:basedOn w:val="46"/>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4">
    <w:name w:val="网格表 41"/>
    <w:basedOn w:val="46"/>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55">
    <w:name w:val="网格表 5 深色1"/>
    <w:basedOn w:val="4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56">
    <w:name w:val="网格表 6 彩色1"/>
    <w:basedOn w:val="46"/>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7">
    <w:name w:val="网格表 7 彩色1"/>
    <w:basedOn w:val="46"/>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58">
    <w:name w:val="清单表 1 浅色1"/>
    <w:basedOn w:val="46"/>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59">
    <w:name w:val="清单表 21"/>
    <w:basedOn w:val="46"/>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0">
    <w:name w:val="清单表 3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61">
    <w:name w:val="清单表 41"/>
    <w:basedOn w:val="46"/>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62">
    <w:name w:val="清单表 5 深色1"/>
    <w:basedOn w:val="46"/>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63">
    <w:name w:val="清单表 6 彩色1"/>
    <w:basedOn w:val="46"/>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64">
    <w:name w:val="清单表 7 彩色1"/>
    <w:basedOn w:val="46"/>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paragraph" w:customStyle="1" w:styleId="65">
    <w:name w:val="TOC 标题1"/>
    <w:unhideWhenUsed/>
    <w:qFormat/>
    <w:uiPriority w:val="39"/>
    <w:rPr>
      <w:rFonts w:ascii="Times New Roman" w:hAnsi="Times New Roman" w:eastAsia="宋体" w:cs="Times New Roman"/>
      <w:lang w:val="en-US" w:eastAsia="zh-CN" w:bidi="ar-SA"/>
    </w:rPr>
  </w:style>
  <w:style w:type="paragraph" w:customStyle="1" w:styleId="66">
    <w:name w:val="正文缩进1"/>
    <w:basedOn w:val="1"/>
    <w:next w:val="1"/>
    <w:qFormat/>
    <w:uiPriority w:val="0"/>
    <w:pPr>
      <w:ind w:firstLine="420"/>
      <w:jc w:val="left"/>
    </w:pPr>
    <w:rPr>
      <w:rFonts w:ascii="宋体"/>
      <w:sz w:val="24"/>
    </w:rPr>
  </w:style>
  <w:style w:type="paragraph" w:customStyle="1" w:styleId="67">
    <w:name w:val="Normal11"/>
    <w:next w:val="68"/>
    <w:qFormat/>
    <w:uiPriority w:val="0"/>
    <w:pPr>
      <w:widowControl w:val="0"/>
      <w:jc w:val="both"/>
    </w:pPr>
    <w:rPr>
      <w:rFonts w:ascii="Times New Roman" w:hAnsi="Times New Roman" w:eastAsia="宋体" w:cs="Times New Roman"/>
      <w:szCs w:val="21"/>
      <w:lang w:val="en-US" w:eastAsia="zh-CN" w:bidi="ar-SA"/>
    </w:rPr>
  </w:style>
  <w:style w:type="paragraph" w:customStyle="1" w:styleId="68">
    <w:name w:val="Body Text First Indent1"/>
    <w:basedOn w:val="69"/>
    <w:unhideWhenUsed/>
    <w:qFormat/>
    <w:uiPriority w:val="99"/>
    <w:pPr>
      <w:ind w:firstLine="420"/>
    </w:pPr>
  </w:style>
  <w:style w:type="paragraph" w:customStyle="1" w:styleId="69">
    <w:name w:val="Body Text1"/>
    <w:basedOn w:val="70"/>
    <w:unhideWhenUsed/>
    <w:qFormat/>
    <w:uiPriority w:val="99"/>
    <w:pPr>
      <w:spacing w:after="120"/>
    </w:pPr>
  </w:style>
  <w:style w:type="paragraph" w:customStyle="1" w:styleId="70">
    <w:name w:val="Normal12"/>
    <w:next w:val="68"/>
    <w:qFormat/>
    <w:uiPriority w:val="0"/>
    <w:pPr>
      <w:widowControl w:val="0"/>
      <w:jc w:val="both"/>
    </w:pPr>
    <w:rPr>
      <w:rFonts w:ascii="Times New Roman" w:hAnsi="Times New Roman" w:eastAsia="宋体" w:cs="Times New Roman"/>
      <w:szCs w:val="21"/>
      <w:lang w:val="en-US" w:eastAsia="zh-CN" w:bidi="ar-SA"/>
    </w:rPr>
  </w:style>
  <w:style w:type="paragraph" w:customStyle="1" w:styleId="71">
    <w:name w:val="TOC 标题113"/>
    <w:unhideWhenUsed/>
    <w:qFormat/>
    <w:uiPriority w:val="39"/>
    <w:rPr>
      <w:rFonts w:ascii="Times New Roman" w:hAnsi="Times New Roman" w:eastAsia="宋体" w:cs="Times New Roman"/>
      <w:lang w:val="en-US" w:eastAsia="zh-CN" w:bidi="ar-SA"/>
    </w:rPr>
  </w:style>
  <w:style w:type="paragraph" w:styleId="72">
    <w:name w:val="List Paragraph"/>
    <w:basedOn w:val="1"/>
    <w:qFormat/>
    <w:uiPriority w:val="34"/>
    <w:pPr>
      <w:ind w:left="720"/>
      <w:contextualSpacing/>
    </w:pPr>
  </w:style>
  <w:style w:type="paragraph" w:styleId="73">
    <w:name w:val="No Spacing"/>
    <w:qFormat/>
    <w:uiPriority w:val="1"/>
    <w:rPr>
      <w:rFonts w:ascii="Times New Roman" w:hAnsi="Times New Roman" w:eastAsia="宋体" w:cs="Times New Roman"/>
      <w:lang w:val="en-US" w:eastAsia="zh-CN" w:bidi="ar-SA"/>
    </w:rPr>
  </w:style>
  <w:style w:type="paragraph" w:styleId="74">
    <w:name w:val="Quote"/>
    <w:basedOn w:val="1"/>
    <w:next w:val="1"/>
    <w:qFormat/>
    <w:uiPriority w:val="29"/>
    <w:pPr>
      <w:ind w:left="720" w:right="720"/>
    </w:pPr>
    <w:rPr>
      <w:i/>
    </w:rPr>
  </w:style>
  <w:style w:type="paragraph" w:styleId="75">
    <w:name w:val="Intense Quote"/>
    <w:basedOn w:val="1"/>
    <w:next w:val="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paragraph" w:customStyle="1" w:styleId="76">
    <w:name w:val="标题 11"/>
    <w:basedOn w:val="1"/>
    <w:next w:val="1"/>
    <w:link w:val="86"/>
    <w:qFormat/>
    <w:uiPriority w:val="0"/>
    <w:pPr>
      <w:keepNext/>
      <w:keepLines/>
      <w:spacing w:before="480" w:after="200"/>
      <w:outlineLvl w:val="0"/>
    </w:pPr>
    <w:rPr>
      <w:rFonts w:ascii="Arial" w:hAnsi="Arial" w:eastAsia="Arial" w:cs="Arial"/>
      <w:sz w:val="40"/>
      <w:szCs w:val="40"/>
    </w:rPr>
  </w:style>
  <w:style w:type="paragraph" w:customStyle="1" w:styleId="77">
    <w:name w:val="标题 2111"/>
    <w:basedOn w:val="1"/>
    <w:next w:val="1"/>
    <w:link w:val="87"/>
    <w:qFormat/>
    <w:uiPriority w:val="0"/>
    <w:pPr>
      <w:keepNext/>
      <w:keepLines/>
      <w:spacing w:before="260" w:after="260" w:line="413" w:lineRule="auto"/>
      <w:outlineLvl w:val="1"/>
    </w:pPr>
    <w:rPr>
      <w:rFonts w:ascii="Arial" w:hAnsi="Arial" w:eastAsia="黑体"/>
      <w:b/>
      <w:sz w:val="32"/>
      <w:szCs w:val="20"/>
    </w:rPr>
  </w:style>
  <w:style w:type="paragraph" w:customStyle="1" w:styleId="78">
    <w:name w:val="标题 312"/>
    <w:basedOn w:val="5"/>
    <w:next w:val="7"/>
    <w:link w:val="88"/>
    <w:qFormat/>
    <w:uiPriority w:val="0"/>
    <w:pPr>
      <w:keepNext/>
      <w:keepLines/>
      <w:spacing w:before="320" w:after="200"/>
      <w:outlineLvl w:val="2"/>
    </w:pPr>
    <w:rPr>
      <w:rFonts w:ascii="Arial" w:hAnsi="Arial" w:eastAsia="Arial" w:cs="Arial"/>
      <w:sz w:val="30"/>
      <w:szCs w:val="30"/>
    </w:rPr>
  </w:style>
  <w:style w:type="paragraph" w:customStyle="1" w:styleId="79">
    <w:name w:val="标题 411"/>
    <w:basedOn w:val="1"/>
    <w:next w:val="1"/>
    <w:link w:val="89"/>
    <w:qFormat/>
    <w:uiPriority w:val="0"/>
    <w:pPr>
      <w:keepNext/>
      <w:jc w:val="center"/>
      <w:outlineLvl w:val="3"/>
    </w:pPr>
    <w:rPr>
      <w:rFonts w:eastAsia="新宋体"/>
      <w:sz w:val="30"/>
      <w:szCs w:val="21"/>
    </w:rPr>
  </w:style>
  <w:style w:type="paragraph" w:customStyle="1" w:styleId="80">
    <w:name w:val="标题 51"/>
    <w:basedOn w:val="1"/>
    <w:next w:val="1"/>
    <w:link w:val="90"/>
    <w:qFormat/>
    <w:uiPriority w:val="0"/>
    <w:pPr>
      <w:keepNext/>
      <w:keepLines/>
      <w:spacing w:before="320" w:after="200"/>
      <w:outlineLvl w:val="4"/>
    </w:pPr>
    <w:rPr>
      <w:rFonts w:ascii="Arial" w:hAnsi="Arial" w:eastAsia="Arial" w:cs="Arial"/>
      <w:b/>
      <w:bCs/>
      <w:sz w:val="24"/>
      <w:szCs w:val="24"/>
    </w:rPr>
  </w:style>
  <w:style w:type="paragraph" w:customStyle="1" w:styleId="81">
    <w:name w:val="标题 61"/>
    <w:basedOn w:val="1"/>
    <w:next w:val="1"/>
    <w:link w:val="91"/>
    <w:qFormat/>
    <w:uiPriority w:val="0"/>
    <w:pPr>
      <w:keepNext/>
      <w:keepLines/>
      <w:spacing w:before="320" w:after="200"/>
      <w:outlineLvl w:val="5"/>
    </w:pPr>
    <w:rPr>
      <w:rFonts w:ascii="Arial" w:hAnsi="Arial" w:eastAsia="Arial" w:cs="Arial"/>
      <w:b/>
      <w:bCs/>
      <w:sz w:val="22"/>
    </w:rPr>
  </w:style>
  <w:style w:type="paragraph" w:customStyle="1" w:styleId="82">
    <w:name w:val="标题 71"/>
    <w:basedOn w:val="1"/>
    <w:next w:val="1"/>
    <w:link w:val="92"/>
    <w:qFormat/>
    <w:uiPriority w:val="0"/>
    <w:pPr>
      <w:keepNext/>
      <w:keepLines/>
      <w:spacing w:before="320" w:after="200"/>
      <w:outlineLvl w:val="6"/>
    </w:pPr>
    <w:rPr>
      <w:rFonts w:ascii="Arial" w:hAnsi="Arial" w:eastAsia="Arial" w:cs="Arial"/>
      <w:b/>
      <w:bCs/>
      <w:i/>
      <w:iCs/>
      <w:sz w:val="22"/>
    </w:rPr>
  </w:style>
  <w:style w:type="paragraph" w:customStyle="1" w:styleId="83">
    <w:name w:val="标题 81"/>
    <w:basedOn w:val="1"/>
    <w:next w:val="1"/>
    <w:link w:val="93"/>
    <w:qFormat/>
    <w:uiPriority w:val="0"/>
    <w:pPr>
      <w:keepNext/>
      <w:keepLines/>
      <w:spacing w:before="320" w:after="200"/>
      <w:outlineLvl w:val="7"/>
    </w:pPr>
    <w:rPr>
      <w:rFonts w:ascii="Arial" w:hAnsi="Arial" w:eastAsia="Arial" w:cs="Arial"/>
      <w:i/>
      <w:iCs/>
      <w:sz w:val="22"/>
    </w:rPr>
  </w:style>
  <w:style w:type="paragraph" w:customStyle="1" w:styleId="84">
    <w:name w:val="标题 91"/>
    <w:basedOn w:val="1"/>
    <w:next w:val="1"/>
    <w:link w:val="94"/>
    <w:qFormat/>
    <w:uiPriority w:val="0"/>
    <w:pPr>
      <w:keepNext/>
      <w:keepLines/>
      <w:spacing w:before="320" w:after="200"/>
      <w:outlineLvl w:val="8"/>
    </w:pPr>
    <w:rPr>
      <w:rFonts w:ascii="Arial" w:hAnsi="Arial" w:eastAsia="Arial" w:cs="Arial"/>
      <w:i/>
      <w:iCs/>
      <w:szCs w:val="21"/>
    </w:rPr>
  </w:style>
  <w:style w:type="character" w:customStyle="1" w:styleId="85">
    <w:name w:val="默认段落字体1"/>
    <w:unhideWhenUsed/>
    <w:qFormat/>
    <w:uiPriority w:val="1"/>
  </w:style>
  <w:style w:type="character" w:customStyle="1" w:styleId="86">
    <w:name w:val="标题 1 字符"/>
    <w:link w:val="76"/>
    <w:qFormat/>
    <w:uiPriority w:val="0"/>
    <w:rPr>
      <w:rFonts w:ascii="Arial" w:hAnsi="Arial" w:eastAsia="Arial" w:cs="Arial"/>
      <w:sz w:val="40"/>
      <w:szCs w:val="40"/>
    </w:rPr>
  </w:style>
  <w:style w:type="character" w:customStyle="1" w:styleId="87">
    <w:name w:val="标题 2 字符"/>
    <w:link w:val="77"/>
    <w:qFormat/>
    <w:uiPriority w:val="0"/>
    <w:rPr>
      <w:rFonts w:ascii="Arial" w:hAnsi="Arial" w:eastAsia="Arial" w:cs="Arial"/>
      <w:sz w:val="34"/>
    </w:rPr>
  </w:style>
  <w:style w:type="character" w:customStyle="1" w:styleId="88">
    <w:name w:val="标题 3 字符"/>
    <w:link w:val="78"/>
    <w:qFormat/>
    <w:uiPriority w:val="0"/>
    <w:rPr>
      <w:rFonts w:ascii="Arial" w:hAnsi="Arial" w:eastAsia="Arial" w:cs="Arial"/>
      <w:sz w:val="30"/>
      <w:szCs w:val="30"/>
    </w:rPr>
  </w:style>
  <w:style w:type="character" w:customStyle="1" w:styleId="89">
    <w:name w:val="标题 4 字符"/>
    <w:link w:val="79"/>
    <w:qFormat/>
    <w:uiPriority w:val="0"/>
    <w:rPr>
      <w:rFonts w:ascii="Arial" w:hAnsi="Arial" w:eastAsia="Arial" w:cs="Arial"/>
      <w:b/>
      <w:bCs/>
      <w:sz w:val="26"/>
      <w:szCs w:val="26"/>
    </w:rPr>
  </w:style>
  <w:style w:type="character" w:customStyle="1" w:styleId="90">
    <w:name w:val="标题 5 字符"/>
    <w:link w:val="80"/>
    <w:qFormat/>
    <w:uiPriority w:val="0"/>
    <w:rPr>
      <w:rFonts w:ascii="Arial" w:hAnsi="Arial" w:eastAsia="Arial" w:cs="Arial"/>
      <w:b/>
      <w:bCs/>
      <w:sz w:val="24"/>
      <w:szCs w:val="24"/>
    </w:rPr>
  </w:style>
  <w:style w:type="character" w:customStyle="1" w:styleId="91">
    <w:name w:val="标题 6 字符"/>
    <w:link w:val="81"/>
    <w:qFormat/>
    <w:uiPriority w:val="0"/>
    <w:rPr>
      <w:rFonts w:ascii="Arial" w:hAnsi="Arial" w:eastAsia="Arial" w:cs="Arial"/>
      <w:b/>
      <w:bCs/>
      <w:sz w:val="22"/>
      <w:szCs w:val="22"/>
    </w:rPr>
  </w:style>
  <w:style w:type="character" w:customStyle="1" w:styleId="92">
    <w:name w:val="标题 7 字符"/>
    <w:link w:val="82"/>
    <w:qFormat/>
    <w:uiPriority w:val="0"/>
    <w:rPr>
      <w:rFonts w:ascii="Arial" w:hAnsi="Arial" w:eastAsia="Arial" w:cs="Arial"/>
      <w:b/>
      <w:bCs/>
      <w:i/>
      <w:iCs/>
      <w:sz w:val="22"/>
      <w:szCs w:val="22"/>
    </w:rPr>
  </w:style>
  <w:style w:type="character" w:customStyle="1" w:styleId="93">
    <w:name w:val="标题 8 字符"/>
    <w:link w:val="83"/>
    <w:qFormat/>
    <w:uiPriority w:val="0"/>
    <w:rPr>
      <w:rFonts w:ascii="Arial" w:hAnsi="Arial" w:eastAsia="Arial" w:cs="Arial"/>
      <w:i/>
      <w:iCs/>
      <w:sz w:val="22"/>
      <w:szCs w:val="22"/>
    </w:rPr>
  </w:style>
  <w:style w:type="character" w:customStyle="1" w:styleId="94">
    <w:name w:val="标题 9 字符"/>
    <w:link w:val="84"/>
    <w:qFormat/>
    <w:uiPriority w:val="0"/>
    <w:rPr>
      <w:rFonts w:ascii="Arial" w:hAnsi="Arial" w:eastAsia="Arial" w:cs="Arial"/>
      <w:i/>
      <w:iCs/>
      <w:sz w:val="21"/>
      <w:szCs w:val="21"/>
    </w:rPr>
  </w:style>
  <w:style w:type="paragraph" w:customStyle="1" w:styleId="95">
    <w:name w:val="列表 31"/>
    <w:basedOn w:val="1"/>
    <w:qFormat/>
    <w:uiPriority w:val="0"/>
    <w:pPr>
      <w:ind w:left="100" w:hanging="200"/>
    </w:pPr>
    <w:rPr>
      <w:rFonts w:ascii="Times New Roman" w:hAnsi="Times New Roman"/>
      <w:szCs w:val="21"/>
    </w:rPr>
  </w:style>
  <w:style w:type="paragraph" w:customStyle="1" w:styleId="96">
    <w:name w:val="目录 71"/>
    <w:basedOn w:val="1"/>
    <w:next w:val="1"/>
    <w:unhideWhenUsed/>
    <w:qFormat/>
    <w:uiPriority w:val="0"/>
    <w:pPr>
      <w:spacing w:after="57"/>
      <w:ind w:left="1701"/>
    </w:pPr>
  </w:style>
  <w:style w:type="paragraph" w:customStyle="1" w:styleId="97">
    <w:name w:val="正文缩进11"/>
    <w:basedOn w:val="1"/>
    <w:link w:val="98"/>
    <w:qFormat/>
    <w:uiPriority w:val="0"/>
    <w:pPr>
      <w:ind w:firstLine="420"/>
    </w:pPr>
    <w:rPr>
      <w:rFonts w:ascii="宋体"/>
      <w:color w:val="000000"/>
      <w:sz w:val="24"/>
      <w:szCs w:val="20"/>
    </w:rPr>
  </w:style>
  <w:style w:type="character" w:customStyle="1" w:styleId="98">
    <w:name w:val="正文缩进 字符"/>
    <w:link w:val="97"/>
    <w:qFormat/>
    <w:uiPriority w:val="0"/>
    <w:rPr>
      <w:rFonts w:ascii="宋体" w:hAnsi="Calibri"/>
      <w:color w:val="000000"/>
      <w:sz w:val="24"/>
    </w:rPr>
  </w:style>
  <w:style w:type="paragraph" w:customStyle="1" w:styleId="99">
    <w:name w:val="题注1"/>
    <w:basedOn w:val="1"/>
    <w:next w:val="1"/>
    <w:qFormat/>
    <w:uiPriority w:val="35"/>
    <w:pPr>
      <w:spacing w:line="276" w:lineRule="auto"/>
    </w:pPr>
    <w:rPr>
      <w:b/>
      <w:bCs/>
      <w:color w:val="5B9BD5"/>
      <w:sz w:val="18"/>
      <w:szCs w:val="18"/>
    </w:rPr>
  </w:style>
  <w:style w:type="paragraph" w:customStyle="1" w:styleId="100">
    <w:name w:val="文档结构图1"/>
    <w:basedOn w:val="1"/>
    <w:link w:val="101"/>
    <w:semiHidden/>
    <w:qFormat/>
    <w:uiPriority w:val="0"/>
    <w:pPr>
      <w:shd w:val="clear" w:color="auto" w:fill="000080"/>
    </w:pPr>
    <w:rPr>
      <w:rFonts w:ascii="Times New Roman" w:hAnsi="Times New Roman"/>
      <w:szCs w:val="21"/>
    </w:rPr>
  </w:style>
  <w:style w:type="character" w:customStyle="1" w:styleId="101">
    <w:name w:val="文档结构图 字符"/>
    <w:link w:val="100"/>
    <w:semiHidden/>
    <w:qFormat/>
    <w:uiPriority w:val="0"/>
    <w:rPr>
      <w:sz w:val="21"/>
      <w:szCs w:val="21"/>
      <w:shd w:val="clear" w:color="auto" w:fill="000080"/>
    </w:rPr>
  </w:style>
  <w:style w:type="paragraph" w:customStyle="1" w:styleId="102">
    <w:name w:val="批注文字11"/>
    <w:basedOn w:val="1"/>
    <w:link w:val="103"/>
    <w:semiHidden/>
    <w:qFormat/>
    <w:uiPriority w:val="0"/>
    <w:pPr>
      <w:jc w:val="left"/>
    </w:pPr>
    <w:rPr>
      <w:rFonts w:ascii="Times New Roman" w:hAnsi="Times New Roman"/>
      <w:szCs w:val="21"/>
    </w:rPr>
  </w:style>
  <w:style w:type="character" w:customStyle="1" w:styleId="103">
    <w:name w:val="批注文字 字符"/>
    <w:link w:val="102"/>
    <w:semiHidden/>
    <w:qFormat/>
    <w:uiPriority w:val="0"/>
    <w:rPr>
      <w:sz w:val="21"/>
      <w:szCs w:val="21"/>
    </w:rPr>
  </w:style>
  <w:style w:type="paragraph" w:customStyle="1" w:styleId="104">
    <w:name w:val="正文文本 31"/>
    <w:basedOn w:val="1"/>
    <w:link w:val="105"/>
    <w:qFormat/>
    <w:uiPriority w:val="0"/>
    <w:rPr>
      <w:rFonts w:ascii="仿宋_GB2312" w:hAnsi="Arial" w:eastAsia="仿宋_GB2312"/>
      <w:sz w:val="32"/>
      <w:szCs w:val="32"/>
    </w:rPr>
  </w:style>
  <w:style w:type="character" w:customStyle="1" w:styleId="105">
    <w:name w:val="正文文本 3 字符"/>
    <w:link w:val="104"/>
    <w:qFormat/>
    <w:uiPriority w:val="0"/>
    <w:rPr>
      <w:rFonts w:ascii="仿宋_GB2312" w:hAnsi="Arial" w:eastAsia="仿宋_GB2312"/>
      <w:sz w:val="32"/>
      <w:szCs w:val="32"/>
    </w:rPr>
  </w:style>
  <w:style w:type="paragraph" w:customStyle="1" w:styleId="106">
    <w:name w:val="正文文本111"/>
    <w:basedOn w:val="1"/>
    <w:semiHidden/>
    <w:qFormat/>
    <w:uiPriority w:val="0"/>
    <w:rPr>
      <w:rFonts w:ascii="仿宋" w:hAnsi="仿宋" w:eastAsia="仿宋" w:cs="仿宋"/>
      <w:sz w:val="32"/>
      <w:szCs w:val="32"/>
      <w:lang w:eastAsia="en-US"/>
    </w:rPr>
  </w:style>
  <w:style w:type="paragraph" w:customStyle="1" w:styleId="107">
    <w:name w:val="正文文本缩进11"/>
    <w:basedOn w:val="1"/>
    <w:link w:val="108"/>
    <w:qFormat/>
    <w:uiPriority w:val="0"/>
    <w:pPr>
      <w:ind w:firstLine="225"/>
    </w:pPr>
    <w:rPr>
      <w:rFonts w:ascii="仿宋_GB2312" w:eastAsia="仿宋_GB2312"/>
      <w:sz w:val="32"/>
    </w:rPr>
  </w:style>
  <w:style w:type="character" w:customStyle="1" w:styleId="108">
    <w:name w:val="正文文本缩进 字符1"/>
    <w:link w:val="107"/>
    <w:qFormat/>
    <w:uiPriority w:val="0"/>
    <w:rPr>
      <w:rFonts w:ascii="仿宋_GB2312" w:hAnsi="Calibri" w:eastAsia="仿宋_GB2312"/>
      <w:sz w:val="32"/>
      <w:szCs w:val="22"/>
    </w:rPr>
  </w:style>
  <w:style w:type="paragraph" w:customStyle="1" w:styleId="109">
    <w:name w:val="列表 21"/>
    <w:basedOn w:val="1"/>
    <w:qFormat/>
    <w:uiPriority w:val="0"/>
    <w:pPr>
      <w:ind w:left="100" w:hanging="200"/>
    </w:pPr>
    <w:rPr>
      <w:rFonts w:ascii="Times New Roman" w:hAnsi="Times New Roman"/>
      <w:szCs w:val="21"/>
    </w:rPr>
  </w:style>
  <w:style w:type="paragraph" w:customStyle="1" w:styleId="110">
    <w:name w:val="目录 51"/>
    <w:basedOn w:val="1"/>
    <w:next w:val="1"/>
    <w:unhideWhenUsed/>
    <w:qFormat/>
    <w:uiPriority w:val="0"/>
    <w:pPr>
      <w:spacing w:after="57"/>
      <w:ind w:left="1134"/>
    </w:pPr>
  </w:style>
  <w:style w:type="paragraph" w:customStyle="1" w:styleId="111">
    <w:name w:val="目录 31"/>
    <w:basedOn w:val="1"/>
    <w:next w:val="1"/>
    <w:unhideWhenUsed/>
    <w:qFormat/>
    <w:uiPriority w:val="0"/>
    <w:pPr>
      <w:spacing w:after="57"/>
      <w:ind w:left="567"/>
    </w:pPr>
  </w:style>
  <w:style w:type="paragraph" w:customStyle="1" w:styleId="112">
    <w:name w:val="纯文本11"/>
    <w:basedOn w:val="1"/>
    <w:link w:val="113"/>
    <w:qFormat/>
    <w:uiPriority w:val="0"/>
    <w:rPr>
      <w:rFonts w:ascii="宋体" w:hAnsi="Courier New" w:cs="Courier New"/>
      <w:szCs w:val="21"/>
    </w:rPr>
  </w:style>
  <w:style w:type="character" w:customStyle="1" w:styleId="113">
    <w:name w:val="纯文本 字符"/>
    <w:link w:val="112"/>
    <w:qFormat/>
    <w:uiPriority w:val="0"/>
    <w:rPr>
      <w:rFonts w:ascii="宋体" w:hAnsi="Courier New" w:cs="Courier New"/>
      <w:sz w:val="21"/>
      <w:szCs w:val="21"/>
    </w:rPr>
  </w:style>
  <w:style w:type="paragraph" w:customStyle="1" w:styleId="114">
    <w:name w:val="目录 81"/>
    <w:basedOn w:val="1"/>
    <w:next w:val="1"/>
    <w:unhideWhenUsed/>
    <w:qFormat/>
    <w:uiPriority w:val="0"/>
    <w:pPr>
      <w:spacing w:after="57"/>
      <w:ind w:left="1984"/>
    </w:pPr>
  </w:style>
  <w:style w:type="paragraph" w:customStyle="1" w:styleId="115">
    <w:name w:val="日期1"/>
    <w:basedOn w:val="1"/>
    <w:next w:val="1"/>
    <w:link w:val="116"/>
    <w:qFormat/>
    <w:uiPriority w:val="0"/>
    <w:rPr>
      <w:rFonts w:ascii="Times New Roman" w:hAnsi="Times New Roman"/>
      <w:sz w:val="24"/>
      <w:szCs w:val="24"/>
    </w:rPr>
  </w:style>
  <w:style w:type="character" w:customStyle="1" w:styleId="116">
    <w:name w:val="日期 字符"/>
    <w:link w:val="115"/>
    <w:qFormat/>
    <w:uiPriority w:val="0"/>
    <w:rPr>
      <w:sz w:val="24"/>
      <w:szCs w:val="24"/>
    </w:rPr>
  </w:style>
  <w:style w:type="paragraph" w:customStyle="1" w:styleId="117">
    <w:name w:val="正文文本缩进 21"/>
    <w:basedOn w:val="1"/>
    <w:link w:val="118"/>
    <w:qFormat/>
    <w:uiPriority w:val="0"/>
    <w:pPr>
      <w:ind w:left="630" w:firstLine="645"/>
    </w:pPr>
    <w:rPr>
      <w:rFonts w:ascii="Arial" w:hAnsi="Arial" w:eastAsia="仿宋_GB2312" w:cs="Arial"/>
      <w:sz w:val="32"/>
      <w:szCs w:val="32"/>
    </w:rPr>
  </w:style>
  <w:style w:type="character" w:customStyle="1" w:styleId="118">
    <w:name w:val="正文文本缩进 2 字符"/>
    <w:link w:val="117"/>
    <w:qFormat/>
    <w:uiPriority w:val="0"/>
    <w:rPr>
      <w:rFonts w:ascii="Arial" w:hAnsi="Arial" w:eastAsia="仿宋_GB2312" w:cs="Arial"/>
      <w:sz w:val="32"/>
      <w:szCs w:val="32"/>
    </w:rPr>
  </w:style>
  <w:style w:type="paragraph" w:customStyle="1" w:styleId="119">
    <w:name w:val="尾注文本1"/>
    <w:basedOn w:val="1"/>
    <w:link w:val="120"/>
    <w:unhideWhenUsed/>
    <w:qFormat/>
    <w:uiPriority w:val="99"/>
    <w:rPr>
      <w:sz w:val="20"/>
    </w:rPr>
  </w:style>
  <w:style w:type="character" w:customStyle="1" w:styleId="120">
    <w:name w:val="尾注文本 字符"/>
    <w:link w:val="119"/>
    <w:qFormat/>
    <w:uiPriority w:val="99"/>
    <w:rPr>
      <w:sz w:val="20"/>
    </w:rPr>
  </w:style>
  <w:style w:type="paragraph" w:customStyle="1" w:styleId="121">
    <w:name w:val="批注框文本1"/>
    <w:basedOn w:val="1"/>
    <w:link w:val="122"/>
    <w:qFormat/>
    <w:uiPriority w:val="0"/>
    <w:rPr>
      <w:rFonts w:ascii="Times New Roman" w:hAnsi="Times New Roman"/>
      <w:sz w:val="18"/>
      <w:szCs w:val="18"/>
    </w:rPr>
  </w:style>
  <w:style w:type="character" w:customStyle="1" w:styleId="122">
    <w:name w:val="批注框文本 字符"/>
    <w:link w:val="121"/>
    <w:qFormat/>
    <w:uiPriority w:val="0"/>
    <w:rPr>
      <w:sz w:val="18"/>
      <w:szCs w:val="18"/>
    </w:rPr>
  </w:style>
  <w:style w:type="paragraph" w:customStyle="1" w:styleId="123">
    <w:name w:val="页脚111"/>
    <w:basedOn w:val="1"/>
    <w:link w:val="124"/>
    <w:qFormat/>
    <w:uiPriority w:val="99"/>
    <w:pPr>
      <w:tabs>
        <w:tab w:val="center" w:pos="4153"/>
        <w:tab w:val="right" w:pos="8306"/>
      </w:tabs>
      <w:jc w:val="left"/>
    </w:pPr>
    <w:rPr>
      <w:sz w:val="18"/>
      <w:szCs w:val="18"/>
    </w:rPr>
  </w:style>
  <w:style w:type="character" w:customStyle="1" w:styleId="124">
    <w:name w:val="页脚 字符"/>
    <w:link w:val="123"/>
    <w:qFormat/>
    <w:uiPriority w:val="99"/>
  </w:style>
  <w:style w:type="paragraph" w:customStyle="1" w:styleId="125">
    <w:name w:val="页眉1"/>
    <w:basedOn w:val="1"/>
    <w:link w:val="126"/>
    <w:qFormat/>
    <w:uiPriority w:val="0"/>
    <w:pPr>
      <w:tabs>
        <w:tab w:val="center" w:pos="4153"/>
        <w:tab w:val="right" w:pos="8306"/>
      </w:tabs>
      <w:jc w:val="center"/>
    </w:pPr>
    <w:rPr>
      <w:sz w:val="18"/>
      <w:szCs w:val="18"/>
    </w:rPr>
  </w:style>
  <w:style w:type="character" w:customStyle="1" w:styleId="126">
    <w:name w:val="页眉 字符"/>
    <w:link w:val="125"/>
    <w:qFormat/>
    <w:uiPriority w:val="0"/>
    <w:rPr>
      <w:rFonts w:ascii="Calibri" w:hAnsi="Calibri"/>
      <w:sz w:val="18"/>
      <w:szCs w:val="18"/>
    </w:rPr>
  </w:style>
  <w:style w:type="paragraph" w:customStyle="1" w:styleId="127">
    <w:name w:val="目录 11"/>
    <w:basedOn w:val="1"/>
    <w:next w:val="1"/>
    <w:qFormat/>
    <w:uiPriority w:val="0"/>
    <w:pPr>
      <w:spacing w:before="120" w:after="120"/>
      <w:jc w:val="left"/>
    </w:pPr>
    <w:rPr>
      <w:rFonts w:cs="Calibri"/>
      <w:b/>
      <w:bCs/>
      <w:caps/>
      <w:sz w:val="20"/>
      <w:szCs w:val="20"/>
    </w:rPr>
  </w:style>
  <w:style w:type="paragraph" w:customStyle="1" w:styleId="128">
    <w:name w:val="目录 41"/>
    <w:basedOn w:val="1"/>
    <w:next w:val="1"/>
    <w:unhideWhenUsed/>
    <w:qFormat/>
    <w:uiPriority w:val="0"/>
    <w:pPr>
      <w:spacing w:after="57"/>
      <w:ind w:left="850"/>
    </w:pPr>
  </w:style>
  <w:style w:type="paragraph" w:customStyle="1" w:styleId="129">
    <w:name w:val="副标题1"/>
    <w:basedOn w:val="1"/>
    <w:next w:val="1"/>
    <w:link w:val="130"/>
    <w:qFormat/>
    <w:uiPriority w:val="11"/>
    <w:pPr>
      <w:spacing w:before="200" w:after="200"/>
    </w:pPr>
    <w:rPr>
      <w:sz w:val="24"/>
      <w:szCs w:val="24"/>
    </w:rPr>
  </w:style>
  <w:style w:type="character" w:customStyle="1" w:styleId="130">
    <w:name w:val="副标题 字符"/>
    <w:link w:val="129"/>
    <w:qFormat/>
    <w:uiPriority w:val="11"/>
    <w:rPr>
      <w:sz w:val="24"/>
      <w:szCs w:val="24"/>
    </w:rPr>
  </w:style>
  <w:style w:type="paragraph" w:customStyle="1" w:styleId="131">
    <w:name w:val="列表1"/>
    <w:basedOn w:val="1"/>
    <w:qFormat/>
    <w:uiPriority w:val="0"/>
    <w:pPr>
      <w:ind w:left="200" w:hanging="200"/>
    </w:pPr>
    <w:rPr>
      <w:rFonts w:ascii="Times New Roman" w:hAnsi="Times New Roman"/>
      <w:szCs w:val="21"/>
    </w:rPr>
  </w:style>
  <w:style w:type="paragraph" w:customStyle="1" w:styleId="132">
    <w:name w:val="脚注文本11"/>
    <w:basedOn w:val="1"/>
    <w:link w:val="133"/>
    <w:unhideWhenUsed/>
    <w:qFormat/>
    <w:uiPriority w:val="99"/>
    <w:pPr>
      <w:spacing w:after="40"/>
    </w:pPr>
    <w:rPr>
      <w:sz w:val="18"/>
    </w:rPr>
  </w:style>
  <w:style w:type="character" w:customStyle="1" w:styleId="133">
    <w:name w:val="脚注文本 字符"/>
    <w:link w:val="132"/>
    <w:qFormat/>
    <w:uiPriority w:val="99"/>
    <w:rPr>
      <w:sz w:val="18"/>
    </w:rPr>
  </w:style>
  <w:style w:type="paragraph" w:customStyle="1" w:styleId="134">
    <w:name w:val="目录 61"/>
    <w:basedOn w:val="1"/>
    <w:next w:val="1"/>
    <w:unhideWhenUsed/>
    <w:qFormat/>
    <w:uiPriority w:val="0"/>
    <w:pPr>
      <w:spacing w:after="57"/>
      <w:ind w:left="1417"/>
    </w:pPr>
  </w:style>
  <w:style w:type="paragraph" w:customStyle="1" w:styleId="135">
    <w:name w:val="正文文本缩进 31"/>
    <w:basedOn w:val="1"/>
    <w:link w:val="136"/>
    <w:qFormat/>
    <w:uiPriority w:val="0"/>
    <w:pPr>
      <w:ind w:left="645" w:firstLine="645"/>
    </w:pPr>
    <w:rPr>
      <w:rFonts w:ascii="Arial" w:hAnsi="Arial" w:eastAsia="仿宋_GB2312" w:cs="Arial"/>
      <w:color w:val="FFFF00"/>
      <w:sz w:val="32"/>
      <w:szCs w:val="32"/>
    </w:rPr>
  </w:style>
  <w:style w:type="character" w:customStyle="1" w:styleId="136">
    <w:name w:val="正文文本缩进 3 字符"/>
    <w:link w:val="135"/>
    <w:qFormat/>
    <w:uiPriority w:val="0"/>
    <w:rPr>
      <w:rFonts w:ascii="Arial" w:hAnsi="Arial" w:eastAsia="仿宋_GB2312" w:cs="Arial"/>
      <w:color w:val="FFFF00"/>
      <w:sz w:val="32"/>
      <w:szCs w:val="32"/>
    </w:rPr>
  </w:style>
  <w:style w:type="paragraph" w:customStyle="1" w:styleId="137">
    <w:name w:val="图表目录1"/>
    <w:basedOn w:val="1"/>
    <w:next w:val="1"/>
    <w:unhideWhenUsed/>
    <w:qFormat/>
    <w:uiPriority w:val="0"/>
  </w:style>
  <w:style w:type="paragraph" w:customStyle="1" w:styleId="138">
    <w:name w:val="目录 21"/>
    <w:basedOn w:val="1"/>
    <w:next w:val="1"/>
    <w:qFormat/>
    <w:uiPriority w:val="0"/>
    <w:pPr>
      <w:ind w:left="210"/>
      <w:jc w:val="left"/>
    </w:pPr>
    <w:rPr>
      <w:rFonts w:cs="Calibri"/>
      <w:smallCaps/>
      <w:sz w:val="20"/>
      <w:szCs w:val="20"/>
    </w:rPr>
  </w:style>
  <w:style w:type="paragraph" w:customStyle="1" w:styleId="139">
    <w:name w:val="目录 91"/>
    <w:basedOn w:val="1"/>
    <w:next w:val="1"/>
    <w:unhideWhenUsed/>
    <w:qFormat/>
    <w:uiPriority w:val="0"/>
    <w:pPr>
      <w:spacing w:after="57"/>
      <w:ind w:left="2268"/>
    </w:pPr>
  </w:style>
  <w:style w:type="paragraph" w:customStyle="1" w:styleId="140">
    <w:name w:val="正文文本 21"/>
    <w:basedOn w:val="1"/>
    <w:link w:val="141"/>
    <w:qFormat/>
    <w:uiPriority w:val="0"/>
    <w:pPr>
      <w:widowControl/>
      <w:jc w:val="center"/>
    </w:pPr>
    <w:rPr>
      <w:rFonts w:ascii="楷体_GB2312" w:hAnsi="Times New Roman" w:eastAsia="楷体_GB2312"/>
      <w:sz w:val="28"/>
      <w:szCs w:val="28"/>
    </w:rPr>
  </w:style>
  <w:style w:type="character" w:customStyle="1" w:styleId="141">
    <w:name w:val="正文文本 2 字符"/>
    <w:link w:val="140"/>
    <w:qFormat/>
    <w:uiPriority w:val="0"/>
    <w:rPr>
      <w:rFonts w:ascii="楷体_GB2312" w:eastAsia="楷体_GB2312"/>
      <w:sz w:val="28"/>
      <w:szCs w:val="28"/>
    </w:rPr>
  </w:style>
  <w:style w:type="paragraph" w:customStyle="1" w:styleId="142">
    <w:name w:val="HTML 预设格式1"/>
    <w:basedOn w:val="1"/>
    <w:link w:val="14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sz w:val="24"/>
      <w:szCs w:val="24"/>
    </w:rPr>
  </w:style>
  <w:style w:type="character" w:customStyle="1" w:styleId="143">
    <w:name w:val="HTML 预设格式 字符"/>
    <w:link w:val="142"/>
    <w:qFormat/>
    <w:uiPriority w:val="99"/>
    <w:rPr>
      <w:rFonts w:ascii="宋体" w:hAnsi="宋体"/>
      <w:sz w:val="24"/>
      <w:szCs w:val="24"/>
    </w:rPr>
  </w:style>
  <w:style w:type="paragraph" w:customStyle="1" w:styleId="144">
    <w:name w:val="普通(网站)1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145">
    <w:name w:val="索引 11"/>
    <w:basedOn w:val="1"/>
    <w:next w:val="1"/>
    <w:semiHidden/>
    <w:qFormat/>
    <w:uiPriority w:val="0"/>
    <w:pPr>
      <w:spacing w:line="240" w:lineRule="atLeast"/>
    </w:pPr>
    <w:rPr>
      <w:rFonts w:ascii="Times New Roman" w:hAnsi="Times New Roman"/>
      <w:b/>
      <w:bCs/>
      <w:szCs w:val="21"/>
    </w:rPr>
  </w:style>
  <w:style w:type="paragraph" w:customStyle="1" w:styleId="146">
    <w:name w:val="标题11"/>
    <w:basedOn w:val="1"/>
    <w:next w:val="1"/>
    <w:link w:val="147"/>
    <w:qFormat/>
    <w:uiPriority w:val="10"/>
    <w:pPr>
      <w:spacing w:before="300" w:after="200"/>
      <w:contextualSpacing/>
    </w:pPr>
    <w:rPr>
      <w:sz w:val="48"/>
      <w:szCs w:val="48"/>
    </w:rPr>
  </w:style>
  <w:style w:type="character" w:customStyle="1" w:styleId="147">
    <w:name w:val="标题 字符"/>
    <w:link w:val="146"/>
    <w:qFormat/>
    <w:uiPriority w:val="10"/>
    <w:rPr>
      <w:sz w:val="48"/>
      <w:szCs w:val="48"/>
    </w:rPr>
  </w:style>
  <w:style w:type="paragraph" w:customStyle="1" w:styleId="148">
    <w:name w:val="批注主题1"/>
    <w:basedOn w:val="102"/>
    <w:next w:val="102"/>
    <w:link w:val="149"/>
    <w:semiHidden/>
    <w:qFormat/>
    <w:uiPriority w:val="0"/>
    <w:rPr>
      <w:b/>
      <w:bCs/>
    </w:rPr>
  </w:style>
  <w:style w:type="character" w:customStyle="1" w:styleId="149">
    <w:name w:val="批注主题 字符"/>
    <w:link w:val="148"/>
    <w:semiHidden/>
    <w:qFormat/>
    <w:uiPriority w:val="0"/>
    <w:rPr>
      <w:b/>
      <w:bCs/>
      <w:sz w:val="21"/>
      <w:szCs w:val="21"/>
    </w:rPr>
  </w:style>
  <w:style w:type="paragraph" w:customStyle="1" w:styleId="150">
    <w:name w:val="正文首行缩进 211"/>
    <w:basedOn w:val="107"/>
    <w:link w:val="151"/>
    <w:qFormat/>
    <w:uiPriority w:val="0"/>
    <w:pPr>
      <w:spacing w:line="360" w:lineRule="auto"/>
      <w:ind w:firstLine="420"/>
    </w:pPr>
    <w:rPr>
      <w:rFonts w:ascii="宋体" w:hAnsi="宋体" w:eastAsia="宋体"/>
      <w:sz w:val="21"/>
      <w:szCs w:val="20"/>
    </w:rPr>
  </w:style>
  <w:style w:type="character" w:customStyle="1" w:styleId="151">
    <w:name w:val="正文文本首行缩进 2 字符"/>
    <w:link w:val="150"/>
    <w:qFormat/>
    <w:uiPriority w:val="0"/>
    <w:rPr>
      <w:rFonts w:ascii="宋体" w:hAnsi="宋体" w:eastAsia="仿宋_GB2312"/>
      <w:sz w:val="21"/>
      <w:szCs w:val="22"/>
    </w:rPr>
  </w:style>
  <w:style w:type="table" w:customStyle="1" w:styleId="152">
    <w:name w:val="网格型1"/>
    <w:basedOn w:val="46"/>
    <w:qFormat/>
    <w:uiPriority w:val="0"/>
    <w:pPr>
      <w:widowControl w:val="0"/>
      <w:jc w:val="both"/>
    </w:pPr>
    <w:tblPr>
      <w:tblCellMar>
        <w:top w:w="0" w:type="dxa"/>
        <w:left w:w="0" w:type="dxa"/>
        <w:bottom w:w="0" w:type="dxa"/>
        <w:right w:w="0" w:type="dxa"/>
      </w:tblCellMar>
    </w:tblPr>
  </w:style>
  <w:style w:type="character" w:customStyle="1" w:styleId="153">
    <w:name w:val="要点1"/>
    <w:qFormat/>
    <w:uiPriority w:val="0"/>
    <w:rPr>
      <w:b/>
      <w:bCs/>
    </w:rPr>
  </w:style>
  <w:style w:type="character" w:customStyle="1" w:styleId="154">
    <w:name w:val="尾注引用1"/>
    <w:unhideWhenUsed/>
    <w:qFormat/>
    <w:uiPriority w:val="99"/>
    <w:rPr>
      <w:vertAlign w:val="superscript"/>
    </w:rPr>
  </w:style>
  <w:style w:type="character" w:customStyle="1" w:styleId="155">
    <w:name w:val="页码11"/>
    <w:qFormat/>
    <w:uiPriority w:val="0"/>
  </w:style>
  <w:style w:type="character" w:customStyle="1" w:styleId="156">
    <w:name w:val="已访问的超链接1"/>
    <w:qFormat/>
    <w:uiPriority w:val="0"/>
    <w:rPr>
      <w:color w:val="800080"/>
      <w:u w:val="single"/>
    </w:rPr>
  </w:style>
  <w:style w:type="character" w:customStyle="1" w:styleId="157">
    <w:name w:val="超链接1"/>
    <w:qFormat/>
    <w:uiPriority w:val="0"/>
    <w:rPr>
      <w:color w:val="0000FF"/>
      <w:u w:val="single"/>
    </w:rPr>
  </w:style>
  <w:style w:type="character" w:customStyle="1" w:styleId="158">
    <w:name w:val="批注引用1"/>
    <w:semiHidden/>
    <w:qFormat/>
    <w:uiPriority w:val="0"/>
    <w:rPr>
      <w:sz w:val="21"/>
      <w:szCs w:val="21"/>
    </w:rPr>
  </w:style>
  <w:style w:type="character" w:customStyle="1" w:styleId="159">
    <w:name w:val="脚注引用1"/>
    <w:unhideWhenUsed/>
    <w:qFormat/>
    <w:uiPriority w:val="99"/>
    <w:rPr>
      <w:vertAlign w:val="superscript"/>
    </w:rPr>
  </w:style>
  <w:style w:type="character" w:customStyle="1" w:styleId="160">
    <w:name w:val="16"/>
    <w:qFormat/>
    <w:uiPriority w:val="0"/>
    <w:rPr>
      <w:rFonts w:ascii="Calibri" w:hAnsi="Calibri"/>
      <w:sz w:val="21"/>
      <w:szCs w:val="22"/>
      <w:lang w:val="en-US" w:eastAsia="zh-CN" w:bidi="ar-SA"/>
    </w:rPr>
  </w:style>
  <w:style w:type="paragraph" w:customStyle="1" w:styleId="161">
    <w:name w:val="正文首行缩进 21"/>
    <w:basedOn w:val="162"/>
    <w:next w:val="1"/>
    <w:qFormat/>
    <w:uiPriority w:val="0"/>
    <w:pPr>
      <w:spacing w:line="360" w:lineRule="auto"/>
      <w:ind w:firstLine="420"/>
    </w:pPr>
    <w:rPr>
      <w:rFonts w:ascii="宋体" w:hAnsi="宋体" w:eastAsia="宋体"/>
      <w:sz w:val="21"/>
      <w:szCs w:val="20"/>
    </w:rPr>
  </w:style>
  <w:style w:type="paragraph" w:customStyle="1" w:styleId="162">
    <w:name w:val="正文文本缩进1"/>
    <w:basedOn w:val="1"/>
    <w:next w:val="163"/>
    <w:qFormat/>
    <w:uiPriority w:val="0"/>
    <w:pPr>
      <w:ind w:firstLine="645"/>
    </w:pPr>
    <w:rPr>
      <w:rFonts w:ascii="楷体_GB2312" w:eastAsia="楷体_GB2312"/>
      <w:sz w:val="32"/>
      <w:szCs w:val="32"/>
    </w:rPr>
  </w:style>
  <w:style w:type="paragraph" w:customStyle="1" w:styleId="163">
    <w:name w:val="寄信人地址1"/>
    <w:basedOn w:val="1"/>
    <w:qFormat/>
    <w:uiPriority w:val="0"/>
    <w:rPr>
      <w:rFonts w:ascii="Arial" w:hAnsi="Arial"/>
    </w:rPr>
  </w:style>
  <w:style w:type="paragraph" w:customStyle="1" w:styleId="164">
    <w:name w:val="标题 41"/>
    <w:basedOn w:val="165"/>
    <w:next w:val="1"/>
    <w:qFormat/>
    <w:uiPriority w:val="0"/>
    <w:pPr>
      <w:keepNext/>
      <w:keepLines/>
      <w:widowControl w:val="0"/>
      <w:tabs>
        <w:tab w:val="left" w:pos="1134"/>
        <w:tab w:val="right" w:pos="7371"/>
      </w:tabs>
      <w:spacing w:line="360" w:lineRule="auto"/>
      <w:outlineLvl w:val="3"/>
    </w:pPr>
    <w:rPr>
      <w:rFonts w:ascii="宋体"/>
      <w:color w:val="800000"/>
      <w:sz w:val="28"/>
      <w:szCs w:val="20"/>
    </w:rPr>
  </w:style>
  <w:style w:type="paragraph" w:customStyle="1" w:styleId="165">
    <w:name w:val="Normal_20"/>
    <w:next w:val="166"/>
    <w:qFormat/>
    <w:uiPriority w:val="0"/>
    <w:rPr>
      <w:rFonts w:ascii="黑体" w:hAnsi="黑体" w:eastAsia="黑体" w:cs="黑体"/>
      <w:b/>
      <w:sz w:val="32"/>
      <w:szCs w:val="24"/>
      <w:lang w:val="en-US" w:eastAsia="zh-CN" w:bidi="ar-SA"/>
    </w:rPr>
  </w:style>
  <w:style w:type="paragraph" w:customStyle="1" w:styleId="166">
    <w:name w:val="Body Text First Indent_2"/>
    <w:basedOn w:val="165"/>
    <w:qFormat/>
    <w:uiPriority w:val="0"/>
    <w:pPr>
      <w:spacing w:after="120"/>
      <w:ind w:firstLine="100"/>
    </w:pPr>
  </w:style>
  <w:style w:type="paragraph" w:customStyle="1" w:styleId="167">
    <w:name w:val="TOC 标题112"/>
    <w:unhideWhenUsed/>
    <w:qFormat/>
    <w:uiPriority w:val="39"/>
    <w:rPr>
      <w:rFonts w:ascii="Times New Roman" w:hAnsi="Times New Roman" w:eastAsia="宋体" w:cs="Times New Roman"/>
      <w:lang w:val="en-US" w:eastAsia="zh-CN" w:bidi="ar-SA"/>
    </w:rPr>
  </w:style>
  <w:style w:type="paragraph" w:customStyle="1" w:styleId="168">
    <w:name w:val="TOC 标题111"/>
    <w:unhideWhenUsed/>
    <w:qFormat/>
    <w:uiPriority w:val="39"/>
    <w:rPr>
      <w:rFonts w:ascii="Times New Roman" w:hAnsi="Times New Roman" w:eastAsia="宋体" w:cs="Times New Roman"/>
      <w:lang w:val="en-US" w:eastAsia="zh-CN" w:bidi="ar-SA"/>
    </w:rPr>
  </w:style>
  <w:style w:type="paragraph" w:customStyle="1" w:styleId="169">
    <w:name w:val="Normal_21"/>
    <w:basedOn w:val="170"/>
    <w:next w:val="170"/>
    <w:qFormat/>
    <w:uiPriority w:val="0"/>
    <w:rPr>
      <w:rFonts w:ascii="Times New Roman" w:hAnsi="Times New Roman"/>
      <w:szCs w:val="24"/>
    </w:rPr>
  </w:style>
  <w:style w:type="paragraph" w:customStyle="1" w:styleId="170">
    <w:name w:val="正文_16"/>
    <w:qFormat/>
    <w:uiPriority w:val="0"/>
    <w:pPr>
      <w:widowControl w:val="0"/>
      <w:jc w:val="both"/>
    </w:pPr>
    <w:rPr>
      <w:rFonts w:ascii="Calibri" w:hAnsi="Calibri" w:eastAsia="宋体" w:cs="Times New Roman"/>
      <w:sz w:val="21"/>
      <w:szCs w:val="22"/>
      <w:lang w:val="en-US" w:eastAsia="zh-CN" w:bidi="ar-SA"/>
    </w:rPr>
  </w:style>
  <w:style w:type="paragraph" w:customStyle="1" w:styleId="171">
    <w:name w:val="正文_17"/>
    <w:next w:val="172"/>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172">
    <w:name w:val="标题 4_1"/>
    <w:basedOn w:val="171"/>
    <w:next w:val="171"/>
    <w:qFormat/>
    <w:uiPriority w:val="0"/>
    <w:pPr>
      <w:keepNext/>
      <w:keepLines/>
      <w:tabs>
        <w:tab w:val="left" w:pos="1134"/>
        <w:tab w:val="right" w:pos="7371"/>
      </w:tabs>
      <w:spacing w:line="360" w:lineRule="auto"/>
      <w:outlineLvl w:val="3"/>
    </w:pPr>
    <w:rPr>
      <w:rFonts w:ascii="宋体"/>
      <w:color w:val="800000"/>
      <w:sz w:val="28"/>
      <w:szCs w:val="20"/>
    </w:rPr>
  </w:style>
  <w:style w:type="character" w:customStyle="1" w:styleId="173">
    <w:name w:val="Heading 1 Char"/>
    <w:qFormat/>
    <w:uiPriority w:val="9"/>
    <w:rPr>
      <w:rFonts w:ascii="Arial" w:hAnsi="Arial" w:eastAsia="Arial" w:cs="Arial"/>
      <w:sz w:val="40"/>
      <w:szCs w:val="40"/>
    </w:rPr>
  </w:style>
  <w:style w:type="character" w:customStyle="1" w:styleId="174">
    <w:name w:val="Heading 2 Char"/>
    <w:qFormat/>
    <w:uiPriority w:val="9"/>
    <w:rPr>
      <w:rFonts w:ascii="Arial" w:hAnsi="Arial" w:eastAsia="Arial" w:cs="Arial"/>
      <w:sz w:val="34"/>
    </w:rPr>
  </w:style>
  <w:style w:type="character" w:customStyle="1" w:styleId="175">
    <w:name w:val="Heading 3 Char"/>
    <w:qFormat/>
    <w:uiPriority w:val="9"/>
    <w:rPr>
      <w:rFonts w:ascii="Arial" w:hAnsi="Arial" w:eastAsia="Arial" w:cs="Arial"/>
      <w:sz w:val="30"/>
      <w:szCs w:val="30"/>
    </w:rPr>
  </w:style>
  <w:style w:type="character" w:customStyle="1" w:styleId="176">
    <w:name w:val="Heading 4 Char"/>
    <w:qFormat/>
    <w:uiPriority w:val="9"/>
    <w:rPr>
      <w:rFonts w:ascii="Arial" w:hAnsi="Arial" w:eastAsia="Arial" w:cs="Arial"/>
      <w:b/>
      <w:bCs/>
      <w:sz w:val="26"/>
      <w:szCs w:val="26"/>
    </w:rPr>
  </w:style>
  <w:style w:type="character" w:customStyle="1" w:styleId="177">
    <w:name w:val="Heading 5 Char"/>
    <w:qFormat/>
    <w:uiPriority w:val="9"/>
    <w:rPr>
      <w:rFonts w:ascii="Arial" w:hAnsi="Arial" w:eastAsia="Arial" w:cs="Arial"/>
      <w:b/>
      <w:bCs/>
      <w:sz w:val="24"/>
      <w:szCs w:val="24"/>
    </w:rPr>
  </w:style>
  <w:style w:type="character" w:customStyle="1" w:styleId="178">
    <w:name w:val="Heading 6 Char"/>
    <w:qFormat/>
    <w:uiPriority w:val="9"/>
    <w:rPr>
      <w:rFonts w:ascii="Arial" w:hAnsi="Arial" w:eastAsia="Arial" w:cs="Arial"/>
      <w:b/>
      <w:bCs/>
      <w:sz w:val="22"/>
      <w:szCs w:val="22"/>
    </w:rPr>
  </w:style>
  <w:style w:type="character" w:customStyle="1" w:styleId="179">
    <w:name w:val="Heading 7 Char"/>
    <w:qFormat/>
    <w:uiPriority w:val="9"/>
    <w:rPr>
      <w:rFonts w:ascii="Arial" w:hAnsi="Arial" w:eastAsia="Arial" w:cs="Arial"/>
      <w:b/>
      <w:bCs/>
      <w:i/>
      <w:iCs/>
      <w:sz w:val="22"/>
      <w:szCs w:val="22"/>
    </w:rPr>
  </w:style>
  <w:style w:type="character" w:customStyle="1" w:styleId="180">
    <w:name w:val="Heading 8 Char"/>
    <w:qFormat/>
    <w:uiPriority w:val="9"/>
    <w:rPr>
      <w:rFonts w:ascii="Arial" w:hAnsi="Arial" w:eastAsia="Arial" w:cs="Arial"/>
      <w:i/>
      <w:iCs/>
      <w:sz w:val="22"/>
      <w:szCs w:val="22"/>
    </w:rPr>
  </w:style>
  <w:style w:type="character" w:customStyle="1" w:styleId="181">
    <w:name w:val="Heading 9 Char"/>
    <w:qFormat/>
    <w:uiPriority w:val="9"/>
    <w:rPr>
      <w:rFonts w:ascii="Arial" w:hAnsi="Arial" w:eastAsia="Arial" w:cs="Arial"/>
      <w:i/>
      <w:iCs/>
      <w:sz w:val="21"/>
      <w:szCs w:val="21"/>
    </w:rPr>
  </w:style>
  <w:style w:type="character" w:customStyle="1" w:styleId="182">
    <w:name w:val="Title Char"/>
    <w:qFormat/>
    <w:uiPriority w:val="10"/>
    <w:rPr>
      <w:sz w:val="48"/>
      <w:szCs w:val="48"/>
    </w:rPr>
  </w:style>
  <w:style w:type="character" w:customStyle="1" w:styleId="183">
    <w:name w:val="Subtitle Char"/>
    <w:qFormat/>
    <w:uiPriority w:val="11"/>
    <w:rPr>
      <w:sz w:val="24"/>
      <w:szCs w:val="24"/>
    </w:rPr>
  </w:style>
  <w:style w:type="character" w:customStyle="1" w:styleId="184">
    <w:name w:val="Quote Char"/>
    <w:qFormat/>
    <w:uiPriority w:val="29"/>
    <w:rPr>
      <w:i/>
    </w:rPr>
  </w:style>
  <w:style w:type="character" w:customStyle="1" w:styleId="185">
    <w:name w:val="Intense Quote Char"/>
    <w:qFormat/>
    <w:uiPriority w:val="30"/>
    <w:rPr>
      <w:i/>
    </w:rPr>
  </w:style>
  <w:style w:type="character" w:customStyle="1" w:styleId="186">
    <w:name w:val="Caption Char"/>
    <w:qFormat/>
    <w:uiPriority w:val="99"/>
  </w:style>
  <w:style w:type="character" w:customStyle="1" w:styleId="187">
    <w:name w:val="Footnote Text Char"/>
    <w:qFormat/>
    <w:uiPriority w:val="99"/>
    <w:rPr>
      <w:sz w:val="18"/>
    </w:rPr>
  </w:style>
  <w:style w:type="character" w:customStyle="1" w:styleId="188">
    <w:name w:val="Endnote Text Char"/>
    <w:qFormat/>
    <w:uiPriority w:val="99"/>
    <w:rPr>
      <w:sz w:val="20"/>
    </w:rPr>
  </w:style>
  <w:style w:type="paragraph" w:customStyle="1" w:styleId="189">
    <w:name w:val="列表段落1"/>
    <w:basedOn w:val="1"/>
    <w:qFormat/>
    <w:uiPriority w:val="0"/>
    <w:pPr>
      <w:ind w:left="720"/>
      <w:contextualSpacing/>
    </w:pPr>
  </w:style>
  <w:style w:type="paragraph" w:customStyle="1" w:styleId="190">
    <w:name w:val="无间隔1"/>
    <w:qFormat/>
    <w:uiPriority w:val="99"/>
    <w:rPr>
      <w:rFonts w:ascii="Times New Roman" w:hAnsi="Times New Roman" w:eastAsia="宋体" w:cs="Times New Roman"/>
      <w:lang w:val="en-US" w:eastAsia="zh-CN" w:bidi="ar-SA"/>
    </w:rPr>
  </w:style>
  <w:style w:type="paragraph" w:customStyle="1" w:styleId="191">
    <w:name w:val="引用1"/>
    <w:basedOn w:val="1"/>
    <w:next w:val="1"/>
    <w:link w:val="192"/>
    <w:qFormat/>
    <w:uiPriority w:val="29"/>
    <w:pPr>
      <w:ind w:left="720" w:right="720"/>
    </w:pPr>
    <w:rPr>
      <w:i/>
    </w:rPr>
  </w:style>
  <w:style w:type="character" w:customStyle="1" w:styleId="192">
    <w:name w:val="引用 字符"/>
    <w:link w:val="191"/>
    <w:qFormat/>
    <w:uiPriority w:val="29"/>
    <w:rPr>
      <w:i/>
    </w:rPr>
  </w:style>
  <w:style w:type="paragraph" w:customStyle="1" w:styleId="193">
    <w:name w:val="明显引用1"/>
    <w:basedOn w:val="1"/>
    <w:next w:val="1"/>
    <w:link w:val="194"/>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94">
    <w:name w:val="明显引用 字符"/>
    <w:link w:val="193"/>
    <w:qFormat/>
    <w:uiPriority w:val="30"/>
    <w:rPr>
      <w:i/>
    </w:rPr>
  </w:style>
  <w:style w:type="character" w:customStyle="1" w:styleId="195">
    <w:name w:val="Header Char"/>
    <w:qFormat/>
    <w:uiPriority w:val="99"/>
  </w:style>
  <w:style w:type="character" w:customStyle="1" w:styleId="196">
    <w:name w:val="Footer Char"/>
    <w:qFormat/>
    <w:uiPriority w:val="99"/>
  </w:style>
  <w:style w:type="table" w:customStyle="1" w:styleId="197">
    <w:name w:val="Table Grid Light"/>
    <w:basedOn w:val="46"/>
    <w:qFormat/>
    <w:uiPriority w:val="59"/>
    <w:tblPr>
      <w:tblCellMar>
        <w:top w:w="0" w:type="dxa"/>
        <w:left w:w="0" w:type="dxa"/>
        <w:bottom w:w="0" w:type="dxa"/>
        <w:right w:w="0" w:type="dxa"/>
      </w:tblCellMar>
    </w:tblPr>
  </w:style>
  <w:style w:type="table" w:customStyle="1" w:styleId="198">
    <w:name w:val="Grid Table 1 Light - Accent 1"/>
    <w:basedOn w:val="46"/>
    <w:qFormat/>
    <w:uiPriority w:val="99"/>
    <w:tblPr>
      <w:tblCellMar>
        <w:top w:w="0" w:type="dxa"/>
        <w:left w:w="0" w:type="dxa"/>
        <w:bottom w:w="0" w:type="dxa"/>
        <w:right w:w="0" w:type="dxa"/>
      </w:tblCellMar>
    </w:tblPr>
  </w:style>
  <w:style w:type="table" w:customStyle="1" w:styleId="199">
    <w:name w:val="Grid Table 1 Light - Accent 2"/>
    <w:basedOn w:val="46"/>
    <w:qFormat/>
    <w:uiPriority w:val="99"/>
    <w:tblPr>
      <w:tblCellMar>
        <w:top w:w="0" w:type="dxa"/>
        <w:left w:w="0" w:type="dxa"/>
        <w:bottom w:w="0" w:type="dxa"/>
        <w:right w:w="0" w:type="dxa"/>
      </w:tblCellMar>
    </w:tblPr>
  </w:style>
  <w:style w:type="table" w:customStyle="1" w:styleId="200">
    <w:name w:val="Grid Table 1 Light - Accent 3"/>
    <w:basedOn w:val="46"/>
    <w:qFormat/>
    <w:uiPriority w:val="99"/>
    <w:tblPr>
      <w:tblCellMar>
        <w:top w:w="0" w:type="dxa"/>
        <w:left w:w="0" w:type="dxa"/>
        <w:bottom w:w="0" w:type="dxa"/>
        <w:right w:w="0" w:type="dxa"/>
      </w:tblCellMar>
    </w:tblPr>
  </w:style>
  <w:style w:type="table" w:customStyle="1" w:styleId="201">
    <w:name w:val="Grid Table 1 Light - Accent 4"/>
    <w:basedOn w:val="46"/>
    <w:qFormat/>
    <w:uiPriority w:val="99"/>
    <w:tblPr>
      <w:tblCellMar>
        <w:top w:w="0" w:type="dxa"/>
        <w:left w:w="0" w:type="dxa"/>
        <w:bottom w:w="0" w:type="dxa"/>
        <w:right w:w="0" w:type="dxa"/>
      </w:tblCellMar>
    </w:tblPr>
  </w:style>
  <w:style w:type="table" w:customStyle="1" w:styleId="202">
    <w:name w:val="Grid Table 1 Light - Accent 5"/>
    <w:basedOn w:val="46"/>
    <w:qFormat/>
    <w:uiPriority w:val="99"/>
    <w:tblPr>
      <w:tblCellMar>
        <w:top w:w="0" w:type="dxa"/>
        <w:left w:w="0" w:type="dxa"/>
        <w:bottom w:w="0" w:type="dxa"/>
        <w:right w:w="0" w:type="dxa"/>
      </w:tblCellMar>
    </w:tblPr>
  </w:style>
  <w:style w:type="table" w:customStyle="1" w:styleId="203">
    <w:name w:val="Grid Table 1 Light - Accent 6"/>
    <w:basedOn w:val="46"/>
    <w:qFormat/>
    <w:uiPriority w:val="99"/>
    <w:tblPr>
      <w:tblCellMar>
        <w:top w:w="0" w:type="dxa"/>
        <w:left w:w="0" w:type="dxa"/>
        <w:bottom w:w="0" w:type="dxa"/>
        <w:right w:w="0" w:type="dxa"/>
      </w:tblCellMar>
    </w:tblPr>
  </w:style>
  <w:style w:type="table" w:customStyle="1" w:styleId="204">
    <w:name w:val="Grid Table 2 - Accent 1"/>
    <w:basedOn w:val="46"/>
    <w:qFormat/>
    <w:uiPriority w:val="99"/>
    <w:tblPr>
      <w:tblCellMar>
        <w:top w:w="0" w:type="dxa"/>
        <w:left w:w="0" w:type="dxa"/>
        <w:bottom w:w="0" w:type="dxa"/>
        <w:right w:w="0" w:type="dxa"/>
      </w:tblCellMar>
    </w:tblPr>
  </w:style>
  <w:style w:type="table" w:customStyle="1" w:styleId="205">
    <w:name w:val="Grid Table 2 - Accent 2"/>
    <w:basedOn w:val="46"/>
    <w:qFormat/>
    <w:uiPriority w:val="99"/>
    <w:tblPr>
      <w:tblCellMar>
        <w:top w:w="0" w:type="dxa"/>
        <w:left w:w="0" w:type="dxa"/>
        <w:bottom w:w="0" w:type="dxa"/>
        <w:right w:w="0" w:type="dxa"/>
      </w:tblCellMar>
    </w:tblPr>
  </w:style>
  <w:style w:type="table" w:customStyle="1" w:styleId="206">
    <w:name w:val="Grid Table 2 - Accent 3"/>
    <w:basedOn w:val="46"/>
    <w:qFormat/>
    <w:uiPriority w:val="99"/>
    <w:tblPr>
      <w:tblCellMar>
        <w:top w:w="0" w:type="dxa"/>
        <w:left w:w="0" w:type="dxa"/>
        <w:bottom w:w="0" w:type="dxa"/>
        <w:right w:w="0" w:type="dxa"/>
      </w:tblCellMar>
    </w:tblPr>
  </w:style>
  <w:style w:type="table" w:customStyle="1" w:styleId="207">
    <w:name w:val="Grid Table 2 - Accent 4"/>
    <w:basedOn w:val="46"/>
    <w:qFormat/>
    <w:uiPriority w:val="99"/>
    <w:tblPr>
      <w:tblCellMar>
        <w:top w:w="0" w:type="dxa"/>
        <w:left w:w="0" w:type="dxa"/>
        <w:bottom w:w="0" w:type="dxa"/>
        <w:right w:w="0" w:type="dxa"/>
      </w:tblCellMar>
    </w:tblPr>
  </w:style>
  <w:style w:type="table" w:customStyle="1" w:styleId="208">
    <w:name w:val="Grid Table 2 - Accent 5"/>
    <w:basedOn w:val="46"/>
    <w:qFormat/>
    <w:uiPriority w:val="99"/>
    <w:tblPr>
      <w:tblCellMar>
        <w:top w:w="0" w:type="dxa"/>
        <w:left w:w="0" w:type="dxa"/>
        <w:bottom w:w="0" w:type="dxa"/>
        <w:right w:w="0" w:type="dxa"/>
      </w:tblCellMar>
    </w:tblPr>
  </w:style>
  <w:style w:type="table" w:customStyle="1" w:styleId="209">
    <w:name w:val="Grid Table 2 - Accent 6"/>
    <w:basedOn w:val="46"/>
    <w:qFormat/>
    <w:uiPriority w:val="99"/>
    <w:tblPr>
      <w:tblCellMar>
        <w:top w:w="0" w:type="dxa"/>
        <w:left w:w="0" w:type="dxa"/>
        <w:bottom w:w="0" w:type="dxa"/>
        <w:right w:w="0" w:type="dxa"/>
      </w:tblCellMar>
    </w:tblPr>
  </w:style>
  <w:style w:type="table" w:customStyle="1" w:styleId="210">
    <w:name w:val="Grid Table 3 - Accent 1"/>
    <w:basedOn w:val="46"/>
    <w:qFormat/>
    <w:uiPriority w:val="99"/>
    <w:tblPr>
      <w:tblCellMar>
        <w:top w:w="0" w:type="dxa"/>
        <w:left w:w="0" w:type="dxa"/>
        <w:bottom w:w="0" w:type="dxa"/>
        <w:right w:w="0" w:type="dxa"/>
      </w:tblCellMar>
    </w:tblPr>
  </w:style>
  <w:style w:type="table" w:customStyle="1" w:styleId="211">
    <w:name w:val="Grid Table 3 - Accent 2"/>
    <w:basedOn w:val="46"/>
    <w:qFormat/>
    <w:uiPriority w:val="99"/>
    <w:tblPr>
      <w:tblCellMar>
        <w:top w:w="0" w:type="dxa"/>
        <w:left w:w="0" w:type="dxa"/>
        <w:bottom w:w="0" w:type="dxa"/>
        <w:right w:w="0" w:type="dxa"/>
      </w:tblCellMar>
    </w:tblPr>
  </w:style>
  <w:style w:type="table" w:customStyle="1" w:styleId="212">
    <w:name w:val="Grid Table 3 - Accent 3"/>
    <w:basedOn w:val="46"/>
    <w:qFormat/>
    <w:uiPriority w:val="99"/>
    <w:tblPr>
      <w:tblCellMar>
        <w:top w:w="0" w:type="dxa"/>
        <w:left w:w="0" w:type="dxa"/>
        <w:bottom w:w="0" w:type="dxa"/>
        <w:right w:w="0" w:type="dxa"/>
      </w:tblCellMar>
    </w:tblPr>
  </w:style>
  <w:style w:type="table" w:customStyle="1" w:styleId="213">
    <w:name w:val="Grid Table 3 - Accent 4"/>
    <w:basedOn w:val="46"/>
    <w:qFormat/>
    <w:uiPriority w:val="99"/>
    <w:tblPr>
      <w:tblCellMar>
        <w:top w:w="0" w:type="dxa"/>
        <w:left w:w="0" w:type="dxa"/>
        <w:bottom w:w="0" w:type="dxa"/>
        <w:right w:w="0" w:type="dxa"/>
      </w:tblCellMar>
    </w:tblPr>
  </w:style>
  <w:style w:type="table" w:customStyle="1" w:styleId="214">
    <w:name w:val="Grid Table 3 - Accent 5"/>
    <w:basedOn w:val="46"/>
    <w:qFormat/>
    <w:uiPriority w:val="99"/>
    <w:tblPr>
      <w:tblCellMar>
        <w:top w:w="0" w:type="dxa"/>
        <w:left w:w="0" w:type="dxa"/>
        <w:bottom w:w="0" w:type="dxa"/>
        <w:right w:w="0" w:type="dxa"/>
      </w:tblCellMar>
    </w:tblPr>
  </w:style>
  <w:style w:type="table" w:customStyle="1" w:styleId="215">
    <w:name w:val="Grid Table 3 - Accent 6"/>
    <w:basedOn w:val="46"/>
    <w:qFormat/>
    <w:uiPriority w:val="99"/>
    <w:tblPr>
      <w:tblCellMar>
        <w:top w:w="0" w:type="dxa"/>
        <w:left w:w="0" w:type="dxa"/>
        <w:bottom w:w="0" w:type="dxa"/>
        <w:right w:w="0" w:type="dxa"/>
      </w:tblCellMar>
    </w:tblPr>
  </w:style>
  <w:style w:type="table" w:customStyle="1" w:styleId="216">
    <w:name w:val="Grid Table 4 - Accent 1"/>
    <w:basedOn w:val="46"/>
    <w:qFormat/>
    <w:uiPriority w:val="59"/>
    <w:tblPr>
      <w:tblCellMar>
        <w:top w:w="0" w:type="dxa"/>
        <w:left w:w="0" w:type="dxa"/>
        <w:bottom w:w="0" w:type="dxa"/>
        <w:right w:w="0" w:type="dxa"/>
      </w:tblCellMar>
    </w:tblPr>
  </w:style>
  <w:style w:type="table" w:customStyle="1" w:styleId="217">
    <w:name w:val="Grid Table 4 - Accent 2"/>
    <w:basedOn w:val="46"/>
    <w:qFormat/>
    <w:uiPriority w:val="59"/>
    <w:tblPr>
      <w:tblCellMar>
        <w:top w:w="0" w:type="dxa"/>
        <w:left w:w="0" w:type="dxa"/>
        <w:bottom w:w="0" w:type="dxa"/>
        <w:right w:w="0" w:type="dxa"/>
      </w:tblCellMar>
    </w:tblPr>
  </w:style>
  <w:style w:type="table" w:customStyle="1" w:styleId="218">
    <w:name w:val="Grid Table 4 - Accent 3"/>
    <w:basedOn w:val="46"/>
    <w:qFormat/>
    <w:uiPriority w:val="59"/>
    <w:tblPr>
      <w:tblCellMar>
        <w:top w:w="0" w:type="dxa"/>
        <w:left w:w="0" w:type="dxa"/>
        <w:bottom w:w="0" w:type="dxa"/>
        <w:right w:w="0" w:type="dxa"/>
      </w:tblCellMar>
    </w:tblPr>
  </w:style>
  <w:style w:type="table" w:customStyle="1" w:styleId="219">
    <w:name w:val="Grid Table 4 - Accent 4"/>
    <w:basedOn w:val="46"/>
    <w:qFormat/>
    <w:uiPriority w:val="59"/>
    <w:tblPr>
      <w:tblCellMar>
        <w:top w:w="0" w:type="dxa"/>
        <w:left w:w="0" w:type="dxa"/>
        <w:bottom w:w="0" w:type="dxa"/>
        <w:right w:w="0" w:type="dxa"/>
      </w:tblCellMar>
    </w:tblPr>
  </w:style>
  <w:style w:type="table" w:customStyle="1" w:styleId="220">
    <w:name w:val="Grid Table 4 - Accent 5"/>
    <w:basedOn w:val="46"/>
    <w:qFormat/>
    <w:uiPriority w:val="59"/>
    <w:tblPr>
      <w:tblCellMar>
        <w:top w:w="0" w:type="dxa"/>
        <w:left w:w="0" w:type="dxa"/>
        <w:bottom w:w="0" w:type="dxa"/>
        <w:right w:w="0" w:type="dxa"/>
      </w:tblCellMar>
    </w:tblPr>
  </w:style>
  <w:style w:type="table" w:customStyle="1" w:styleId="221">
    <w:name w:val="Grid Table 4 - Accent 6"/>
    <w:basedOn w:val="46"/>
    <w:qFormat/>
    <w:uiPriority w:val="59"/>
    <w:tblPr>
      <w:tblCellMar>
        <w:top w:w="0" w:type="dxa"/>
        <w:left w:w="0" w:type="dxa"/>
        <w:bottom w:w="0" w:type="dxa"/>
        <w:right w:w="0" w:type="dxa"/>
      </w:tblCellMar>
    </w:tblPr>
  </w:style>
  <w:style w:type="table" w:customStyle="1" w:styleId="222">
    <w:name w:val="Grid Table 5 Dark- Accent 1"/>
    <w:basedOn w:val="46"/>
    <w:qFormat/>
    <w:uiPriority w:val="99"/>
    <w:tblPr>
      <w:tblCellMar>
        <w:top w:w="0" w:type="dxa"/>
        <w:left w:w="0" w:type="dxa"/>
        <w:bottom w:w="0" w:type="dxa"/>
        <w:right w:w="0" w:type="dxa"/>
      </w:tblCellMar>
    </w:tblPr>
  </w:style>
  <w:style w:type="table" w:customStyle="1" w:styleId="223">
    <w:name w:val="Grid Table 5 Dark - Accent 2"/>
    <w:basedOn w:val="46"/>
    <w:qFormat/>
    <w:uiPriority w:val="99"/>
    <w:tblPr>
      <w:tblCellMar>
        <w:top w:w="0" w:type="dxa"/>
        <w:left w:w="0" w:type="dxa"/>
        <w:bottom w:w="0" w:type="dxa"/>
        <w:right w:w="0" w:type="dxa"/>
      </w:tblCellMar>
    </w:tblPr>
  </w:style>
  <w:style w:type="table" w:customStyle="1" w:styleId="224">
    <w:name w:val="Grid Table 5 Dark - Accent 3"/>
    <w:basedOn w:val="46"/>
    <w:qFormat/>
    <w:uiPriority w:val="99"/>
    <w:tblPr>
      <w:tblCellMar>
        <w:top w:w="0" w:type="dxa"/>
        <w:left w:w="0" w:type="dxa"/>
        <w:bottom w:w="0" w:type="dxa"/>
        <w:right w:w="0" w:type="dxa"/>
      </w:tblCellMar>
    </w:tblPr>
  </w:style>
  <w:style w:type="table" w:customStyle="1" w:styleId="225">
    <w:name w:val="Grid Table 5 Dark- Accent 4"/>
    <w:basedOn w:val="46"/>
    <w:qFormat/>
    <w:uiPriority w:val="99"/>
    <w:tblPr>
      <w:tblCellMar>
        <w:top w:w="0" w:type="dxa"/>
        <w:left w:w="0" w:type="dxa"/>
        <w:bottom w:w="0" w:type="dxa"/>
        <w:right w:w="0" w:type="dxa"/>
      </w:tblCellMar>
    </w:tblPr>
  </w:style>
  <w:style w:type="table" w:customStyle="1" w:styleId="226">
    <w:name w:val="Grid Table 5 Dark - Accent 5"/>
    <w:basedOn w:val="46"/>
    <w:qFormat/>
    <w:uiPriority w:val="99"/>
    <w:tblPr>
      <w:tblCellMar>
        <w:top w:w="0" w:type="dxa"/>
        <w:left w:w="0" w:type="dxa"/>
        <w:bottom w:w="0" w:type="dxa"/>
        <w:right w:w="0" w:type="dxa"/>
      </w:tblCellMar>
    </w:tblPr>
  </w:style>
  <w:style w:type="table" w:customStyle="1" w:styleId="227">
    <w:name w:val="Grid Table 5 Dark - Accent 6"/>
    <w:basedOn w:val="46"/>
    <w:qFormat/>
    <w:uiPriority w:val="99"/>
    <w:tblPr>
      <w:tblCellMar>
        <w:top w:w="0" w:type="dxa"/>
        <w:left w:w="0" w:type="dxa"/>
        <w:bottom w:w="0" w:type="dxa"/>
        <w:right w:w="0" w:type="dxa"/>
      </w:tblCellMar>
    </w:tblPr>
  </w:style>
  <w:style w:type="table" w:customStyle="1" w:styleId="228">
    <w:name w:val="Grid Table 6 Colorful - Accent 1"/>
    <w:basedOn w:val="46"/>
    <w:qFormat/>
    <w:uiPriority w:val="99"/>
    <w:tblPr>
      <w:tblCellMar>
        <w:top w:w="0" w:type="dxa"/>
        <w:left w:w="0" w:type="dxa"/>
        <w:bottom w:w="0" w:type="dxa"/>
        <w:right w:w="0" w:type="dxa"/>
      </w:tblCellMar>
    </w:tblPr>
  </w:style>
  <w:style w:type="table" w:customStyle="1" w:styleId="229">
    <w:name w:val="Grid Table 6 Colorful - Accent 2"/>
    <w:basedOn w:val="46"/>
    <w:qFormat/>
    <w:uiPriority w:val="99"/>
    <w:tblPr>
      <w:tblCellMar>
        <w:top w:w="0" w:type="dxa"/>
        <w:left w:w="0" w:type="dxa"/>
        <w:bottom w:w="0" w:type="dxa"/>
        <w:right w:w="0" w:type="dxa"/>
      </w:tblCellMar>
    </w:tblPr>
  </w:style>
  <w:style w:type="table" w:customStyle="1" w:styleId="230">
    <w:name w:val="Grid Table 6 Colorful - Accent 3"/>
    <w:basedOn w:val="46"/>
    <w:qFormat/>
    <w:uiPriority w:val="99"/>
    <w:tblPr>
      <w:tblCellMar>
        <w:top w:w="0" w:type="dxa"/>
        <w:left w:w="0" w:type="dxa"/>
        <w:bottom w:w="0" w:type="dxa"/>
        <w:right w:w="0" w:type="dxa"/>
      </w:tblCellMar>
    </w:tblPr>
  </w:style>
  <w:style w:type="table" w:customStyle="1" w:styleId="231">
    <w:name w:val="Grid Table 6 Colorful - Accent 4"/>
    <w:basedOn w:val="46"/>
    <w:qFormat/>
    <w:uiPriority w:val="99"/>
    <w:tblPr>
      <w:tblCellMar>
        <w:top w:w="0" w:type="dxa"/>
        <w:left w:w="0" w:type="dxa"/>
        <w:bottom w:w="0" w:type="dxa"/>
        <w:right w:w="0" w:type="dxa"/>
      </w:tblCellMar>
    </w:tblPr>
  </w:style>
  <w:style w:type="table" w:customStyle="1" w:styleId="232">
    <w:name w:val="Grid Table 6 Colorful - Accent 5"/>
    <w:basedOn w:val="46"/>
    <w:qFormat/>
    <w:uiPriority w:val="99"/>
    <w:tblPr>
      <w:tblCellMar>
        <w:top w:w="0" w:type="dxa"/>
        <w:left w:w="0" w:type="dxa"/>
        <w:bottom w:w="0" w:type="dxa"/>
        <w:right w:w="0" w:type="dxa"/>
      </w:tblCellMar>
    </w:tblPr>
  </w:style>
  <w:style w:type="table" w:customStyle="1" w:styleId="233">
    <w:name w:val="Grid Table 6 Colorful - Accent 6"/>
    <w:basedOn w:val="46"/>
    <w:qFormat/>
    <w:uiPriority w:val="99"/>
    <w:tblPr>
      <w:tblCellMar>
        <w:top w:w="0" w:type="dxa"/>
        <w:left w:w="0" w:type="dxa"/>
        <w:bottom w:w="0" w:type="dxa"/>
        <w:right w:w="0" w:type="dxa"/>
      </w:tblCellMar>
    </w:tblPr>
  </w:style>
  <w:style w:type="table" w:customStyle="1" w:styleId="234">
    <w:name w:val="Grid Table 7 Colorful - Accent 1"/>
    <w:basedOn w:val="46"/>
    <w:qFormat/>
    <w:uiPriority w:val="99"/>
    <w:tblPr>
      <w:tblCellMar>
        <w:top w:w="0" w:type="dxa"/>
        <w:left w:w="0" w:type="dxa"/>
        <w:bottom w:w="0" w:type="dxa"/>
        <w:right w:w="0" w:type="dxa"/>
      </w:tblCellMar>
    </w:tblPr>
  </w:style>
  <w:style w:type="table" w:customStyle="1" w:styleId="235">
    <w:name w:val="Grid Table 7 Colorful - Accent 2"/>
    <w:basedOn w:val="46"/>
    <w:qFormat/>
    <w:uiPriority w:val="99"/>
    <w:tblPr>
      <w:tblCellMar>
        <w:top w:w="0" w:type="dxa"/>
        <w:left w:w="0" w:type="dxa"/>
        <w:bottom w:w="0" w:type="dxa"/>
        <w:right w:w="0" w:type="dxa"/>
      </w:tblCellMar>
    </w:tblPr>
  </w:style>
  <w:style w:type="table" w:customStyle="1" w:styleId="236">
    <w:name w:val="Grid Table 7 Colorful - Accent 3"/>
    <w:basedOn w:val="46"/>
    <w:qFormat/>
    <w:uiPriority w:val="99"/>
    <w:tblPr>
      <w:tblCellMar>
        <w:top w:w="0" w:type="dxa"/>
        <w:left w:w="0" w:type="dxa"/>
        <w:bottom w:w="0" w:type="dxa"/>
        <w:right w:w="0" w:type="dxa"/>
      </w:tblCellMar>
    </w:tblPr>
  </w:style>
  <w:style w:type="table" w:customStyle="1" w:styleId="237">
    <w:name w:val="Grid Table 7 Colorful - Accent 4"/>
    <w:basedOn w:val="46"/>
    <w:qFormat/>
    <w:uiPriority w:val="99"/>
    <w:tblPr>
      <w:tblCellMar>
        <w:top w:w="0" w:type="dxa"/>
        <w:left w:w="0" w:type="dxa"/>
        <w:bottom w:w="0" w:type="dxa"/>
        <w:right w:w="0" w:type="dxa"/>
      </w:tblCellMar>
    </w:tblPr>
  </w:style>
  <w:style w:type="table" w:customStyle="1" w:styleId="238">
    <w:name w:val="Grid Table 7 Colorful - Accent 5"/>
    <w:basedOn w:val="46"/>
    <w:qFormat/>
    <w:uiPriority w:val="99"/>
    <w:tblPr>
      <w:tblCellMar>
        <w:top w:w="0" w:type="dxa"/>
        <w:left w:w="0" w:type="dxa"/>
        <w:bottom w:w="0" w:type="dxa"/>
        <w:right w:w="0" w:type="dxa"/>
      </w:tblCellMar>
    </w:tblPr>
  </w:style>
  <w:style w:type="table" w:customStyle="1" w:styleId="239">
    <w:name w:val="Grid Table 7 Colorful - Accent 6"/>
    <w:basedOn w:val="46"/>
    <w:qFormat/>
    <w:uiPriority w:val="99"/>
    <w:tblPr>
      <w:tblCellMar>
        <w:top w:w="0" w:type="dxa"/>
        <w:left w:w="0" w:type="dxa"/>
        <w:bottom w:w="0" w:type="dxa"/>
        <w:right w:w="0" w:type="dxa"/>
      </w:tblCellMar>
    </w:tblPr>
  </w:style>
  <w:style w:type="table" w:customStyle="1" w:styleId="240">
    <w:name w:val="List Table 1 Light - Accent 1"/>
    <w:basedOn w:val="46"/>
    <w:qFormat/>
    <w:uiPriority w:val="99"/>
    <w:tblPr>
      <w:tblCellMar>
        <w:top w:w="0" w:type="dxa"/>
        <w:left w:w="0" w:type="dxa"/>
        <w:bottom w:w="0" w:type="dxa"/>
        <w:right w:w="0" w:type="dxa"/>
      </w:tblCellMar>
    </w:tblPr>
  </w:style>
  <w:style w:type="table" w:customStyle="1" w:styleId="241">
    <w:name w:val="List Table 1 Light - Accent 2"/>
    <w:basedOn w:val="46"/>
    <w:qFormat/>
    <w:uiPriority w:val="99"/>
    <w:tblPr>
      <w:tblCellMar>
        <w:top w:w="0" w:type="dxa"/>
        <w:left w:w="0" w:type="dxa"/>
        <w:bottom w:w="0" w:type="dxa"/>
        <w:right w:w="0" w:type="dxa"/>
      </w:tblCellMar>
    </w:tblPr>
  </w:style>
  <w:style w:type="table" w:customStyle="1" w:styleId="242">
    <w:name w:val="List Table 1 Light - Accent 3"/>
    <w:basedOn w:val="46"/>
    <w:qFormat/>
    <w:uiPriority w:val="99"/>
    <w:tblPr>
      <w:tblCellMar>
        <w:top w:w="0" w:type="dxa"/>
        <w:left w:w="0" w:type="dxa"/>
        <w:bottom w:w="0" w:type="dxa"/>
        <w:right w:w="0" w:type="dxa"/>
      </w:tblCellMar>
    </w:tblPr>
  </w:style>
  <w:style w:type="table" w:customStyle="1" w:styleId="243">
    <w:name w:val="List Table 1 Light - Accent 4"/>
    <w:basedOn w:val="46"/>
    <w:qFormat/>
    <w:uiPriority w:val="99"/>
    <w:tblPr>
      <w:tblCellMar>
        <w:top w:w="0" w:type="dxa"/>
        <w:left w:w="0" w:type="dxa"/>
        <w:bottom w:w="0" w:type="dxa"/>
        <w:right w:w="0" w:type="dxa"/>
      </w:tblCellMar>
    </w:tblPr>
  </w:style>
  <w:style w:type="table" w:customStyle="1" w:styleId="244">
    <w:name w:val="List Table 1 Light - Accent 5"/>
    <w:basedOn w:val="46"/>
    <w:qFormat/>
    <w:uiPriority w:val="99"/>
    <w:tblPr>
      <w:tblCellMar>
        <w:top w:w="0" w:type="dxa"/>
        <w:left w:w="0" w:type="dxa"/>
        <w:bottom w:w="0" w:type="dxa"/>
        <w:right w:w="0" w:type="dxa"/>
      </w:tblCellMar>
    </w:tblPr>
  </w:style>
  <w:style w:type="table" w:customStyle="1" w:styleId="245">
    <w:name w:val="List Table 1 Light - Accent 6"/>
    <w:basedOn w:val="46"/>
    <w:qFormat/>
    <w:uiPriority w:val="99"/>
    <w:tblPr>
      <w:tblCellMar>
        <w:top w:w="0" w:type="dxa"/>
        <w:left w:w="0" w:type="dxa"/>
        <w:bottom w:w="0" w:type="dxa"/>
        <w:right w:w="0" w:type="dxa"/>
      </w:tblCellMar>
    </w:tblPr>
  </w:style>
  <w:style w:type="table" w:customStyle="1" w:styleId="246">
    <w:name w:val="List Table 2 - Accent 1"/>
    <w:basedOn w:val="46"/>
    <w:qFormat/>
    <w:uiPriority w:val="99"/>
    <w:tblPr>
      <w:tblCellMar>
        <w:top w:w="0" w:type="dxa"/>
        <w:left w:w="0" w:type="dxa"/>
        <w:bottom w:w="0" w:type="dxa"/>
        <w:right w:w="0" w:type="dxa"/>
      </w:tblCellMar>
    </w:tblPr>
  </w:style>
  <w:style w:type="table" w:customStyle="1" w:styleId="247">
    <w:name w:val="List Table 2 - Accent 2"/>
    <w:basedOn w:val="46"/>
    <w:qFormat/>
    <w:uiPriority w:val="99"/>
    <w:tblPr>
      <w:tblCellMar>
        <w:top w:w="0" w:type="dxa"/>
        <w:left w:w="0" w:type="dxa"/>
        <w:bottom w:w="0" w:type="dxa"/>
        <w:right w:w="0" w:type="dxa"/>
      </w:tblCellMar>
    </w:tblPr>
  </w:style>
  <w:style w:type="table" w:customStyle="1" w:styleId="248">
    <w:name w:val="List Table 2 - Accent 3"/>
    <w:basedOn w:val="46"/>
    <w:qFormat/>
    <w:uiPriority w:val="99"/>
    <w:tblPr>
      <w:tblCellMar>
        <w:top w:w="0" w:type="dxa"/>
        <w:left w:w="0" w:type="dxa"/>
        <w:bottom w:w="0" w:type="dxa"/>
        <w:right w:w="0" w:type="dxa"/>
      </w:tblCellMar>
    </w:tblPr>
  </w:style>
  <w:style w:type="table" w:customStyle="1" w:styleId="249">
    <w:name w:val="List Table 2 - Accent 4"/>
    <w:basedOn w:val="46"/>
    <w:qFormat/>
    <w:uiPriority w:val="99"/>
    <w:tblPr>
      <w:tblCellMar>
        <w:top w:w="0" w:type="dxa"/>
        <w:left w:w="0" w:type="dxa"/>
        <w:bottom w:w="0" w:type="dxa"/>
        <w:right w:w="0" w:type="dxa"/>
      </w:tblCellMar>
    </w:tblPr>
  </w:style>
  <w:style w:type="table" w:customStyle="1" w:styleId="250">
    <w:name w:val="List Table 2 - Accent 5"/>
    <w:basedOn w:val="46"/>
    <w:qFormat/>
    <w:uiPriority w:val="99"/>
    <w:tblPr>
      <w:tblCellMar>
        <w:top w:w="0" w:type="dxa"/>
        <w:left w:w="0" w:type="dxa"/>
        <w:bottom w:w="0" w:type="dxa"/>
        <w:right w:w="0" w:type="dxa"/>
      </w:tblCellMar>
    </w:tblPr>
  </w:style>
  <w:style w:type="table" w:customStyle="1" w:styleId="251">
    <w:name w:val="List Table 2 - Accent 6"/>
    <w:basedOn w:val="46"/>
    <w:qFormat/>
    <w:uiPriority w:val="99"/>
    <w:tblPr>
      <w:tblCellMar>
        <w:top w:w="0" w:type="dxa"/>
        <w:left w:w="0" w:type="dxa"/>
        <w:bottom w:w="0" w:type="dxa"/>
        <w:right w:w="0" w:type="dxa"/>
      </w:tblCellMar>
    </w:tblPr>
  </w:style>
  <w:style w:type="table" w:customStyle="1" w:styleId="252">
    <w:name w:val="List Table 3 - Accent 1"/>
    <w:basedOn w:val="46"/>
    <w:qFormat/>
    <w:uiPriority w:val="99"/>
    <w:tblPr>
      <w:tblCellMar>
        <w:top w:w="0" w:type="dxa"/>
        <w:left w:w="0" w:type="dxa"/>
        <w:bottom w:w="0" w:type="dxa"/>
        <w:right w:w="0" w:type="dxa"/>
      </w:tblCellMar>
    </w:tblPr>
  </w:style>
  <w:style w:type="table" w:customStyle="1" w:styleId="253">
    <w:name w:val="List Table 3 - Accent 2"/>
    <w:basedOn w:val="46"/>
    <w:qFormat/>
    <w:uiPriority w:val="99"/>
    <w:tblPr>
      <w:tblCellMar>
        <w:top w:w="0" w:type="dxa"/>
        <w:left w:w="0" w:type="dxa"/>
        <w:bottom w:w="0" w:type="dxa"/>
        <w:right w:w="0" w:type="dxa"/>
      </w:tblCellMar>
    </w:tblPr>
  </w:style>
  <w:style w:type="table" w:customStyle="1" w:styleId="254">
    <w:name w:val="List Table 3 - Accent 3"/>
    <w:basedOn w:val="46"/>
    <w:qFormat/>
    <w:uiPriority w:val="99"/>
    <w:tblPr>
      <w:tblCellMar>
        <w:top w:w="0" w:type="dxa"/>
        <w:left w:w="0" w:type="dxa"/>
        <w:bottom w:w="0" w:type="dxa"/>
        <w:right w:w="0" w:type="dxa"/>
      </w:tblCellMar>
    </w:tblPr>
  </w:style>
  <w:style w:type="table" w:customStyle="1" w:styleId="255">
    <w:name w:val="List Table 3 - Accent 4"/>
    <w:basedOn w:val="46"/>
    <w:qFormat/>
    <w:uiPriority w:val="99"/>
    <w:tblPr>
      <w:tblCellMar>
        <w:top w:w="0" w:type="dxa"/>
        <w:left w:w="0" w:type="dxa"/>
        <w:bottom w:w="0" w:type="dxa"/>
        <w:right w:w="0" w:type="dxa"/>
      </w:tblCellMar>
    </w:tblPr>
  </w:style>
  <w:style w:type="table" w:customStyle="1" w:styleId="256">
    <w:name w:val="List Table 3 - Accent 5"/>
    <w:basedOn w:val="46"/>
    <w:qFormat/>
    <w:uiPriority w:val="99"/>
    <w:tblPr>
      <w:tblCellMar>
        <w:top w:w="0" w:type="dxa"/>
        <w:left w:w="0" w:type="dxa"/>
        <w:bottom w:w="0" w:type="dxa"/>
        <w:right w:w="0" w:type="dxa"/>
      </w:tblCellMar>
    </w:tblPr>
  </w:style>
  <w:style w:type="table" w:customStyle="1" w:styleId="257">
    <w:name w:val="List Table 3 - Accent 6"/>
    <w:basedOn w:val="46"/>
    <w:qFormat/>
    <w:uiPriority w:val="99"/>
    <w:tblPr>
      <w:tblCellMar>
        <w:top w:w="0" w:type="dxa"/>
        <w:left w:w="0" w:type="dxa"/>
        <w:bottom w:w="0" w:type="dxa"/>
        <w:right w:w="0" w:type="dxa"/>
      </w:tblCellMar>
    </w:tblPr>
  </w:style>
  <w:style w:type="table" w:customStyle="1" w:styleId="258">
    <w:name w:val="List Table 4 - Accent 1"/>
    <w:basedOn w:val="46"/>
    <w:qFormat/>
    <w:uiPriority w:val="99"/>
    <w:tblPr>
      <w:tblCellMar>
        <w:top w:w="0" w:type="dxa"/>
        <w:left w:w="0" w:type="dxa"/>
        <w:bottom w:w="0" w:type="dxa"/>
        <w:right w:w="0" w:type="dxa"/>
      </w:tblCellMar>
    </w:tblPr>
  </w:style>
  <w:style w:type="table" w:customStyle="1" w:styleId="259">
    <w:name w:val="List Table 4 - Accent 2"/>
    <w:basedOn w:val="46"/>
    <w:qFormat/>
    <w:uiPriority w:val="99"/>
    <w:tblPr>
      <w:tblCellMar>
        <w:top w:w="0" w:type="dxa"/>
        <w:left w:w="0" w:type="dxa"/>
        <w:bottom w:w="0" w:type="dxa"/>
        <w:right w:w="0" w:type="dxa"/>
      </w:tblCellMar>
    </w:tblPr>
  </w:style>
  <w:style w:type="table" w:customStyle="1" w:styleId="260">
    <w:name w:val="List Table 4 - Accent 3"/>
    <w:basedOn w:val="46"/>
    <w:qFormat/>
    <w:uiPriority w:val="99"/>
    <w:tblPr>
      <w:tblCellMar>
        <w:top w:w="0" w:type="dxa"/>
        <w:left w:w="0" w:type="dxa"/>
        <w:bottom w:w="0" w:type="dxa"/>
        <w:right w:w="0" w:type="dxa"/>
      </w:tblCellMar>
    </w:tblPr>
  </w:style>
  <w:style w:type="table" w:customStyle="1" w:styleId="261">
    <w:name w:val="List Table 4 - Accent 4"/>
    <w:basedOn w:val="46"/>
    <w:qFormat/>
    <w:uiPriority w:val="99"/>
    <w:tblPr>
      <w:tblCellMar>
        <w:top w:w="0" w:type="dxa"/>
        <w:left w:w="0" w:type="dxa"/>
        <w:bottom w:w="0" w:type="dxa"/>
        <w:right w:w="0" w:type="dxa"/>
      </w:tblCellMar>
    </w:tblPr>
  </w:style>
  <w:style w:type="table" w:customStyle="1" w:styleId="262">
    <w:name w:val="List Table 4 - Accent 5"/>
    <w:basedOn w:val="46"/>
    <w:qFormat/>
    <w:uiPriority w:val="99"/>
    <w:tblPr>
      <w:tblCellMar>
        <w:top w:w="0" w:type="dxa"/>
        <w:left w:w="0" w:type="dxa"/>
        <w:bottom w:w="0" w:type="dxa"/>
        <w:right w:w="0" w:type="dxa"/>
      </w:tblCellMar>
    </w:tblPr>
  </w:style>
  <w:style w:type="table" w:customStyle="1" w:styleId="263">
    <w:name w:val="List Table 4 - Accent 6"/>
    <w:basedOn w:val="46"/>
    <w:qFormat/>
    <w:uiPriority w:val="99"/>
    <w:tblPr>
      <w:tblCellMar>
        <w:top w:w="0" w:type="dxa"/>
        <w:left w:w="0" w:type="dxa"/>
        <w:bottom w:w="0" w:type="dxa"/>
        <w:right w:w="0" w:type="dxa"/>
      </w:tblCellMar>
    </w:tblPr>
  </w:style>
  <w:style w:type="table" w:customStyle="1" w:styleId="264">
    <w:name w:val="List Table 5 Dark - Accent 1"/>
    <w:basedOn w:val="46"/>
    <w:qFormat/>
    <w:uiPriority w:val="99"/>
    <w:tblPr>
      <w:tblCellMar>
        <w:top w:w="0" w:type="dxa"/>
        <w:left w:w="0" w:type="dxa"/>
        <w:bottom w:w="0" w:type="dxa"/>
        <w:right w:w="0" w:type="dxa"/>
      </w:tblCellMar>
    </w:tblPr>
  </w:style>
  <w:style w:type="table" w:customStyle="1" w:styleId="265">
    <w:name w:val="List Table 5 Dark - Accent 2"/>
    <w:basedOn w:val="46"/>
    <w:qFormat/>
    <w:uiPriority w:val="99"/>
    <w:tblPr>
      <w:tblCellMar>
        <w:top w:w="0" w:type="dxa"/>
        <w:left w:w="0" w:type="dxa"/>
        <w:bottom w:w="0" w:type="dxa"/>
        <w:right w:w="0" w:type="dxa"/>
      </w:tblCellMar>
    </w:tblPr>
  </w:style>
  <w:style w:type="table" w:customStyle="1" w:styleId="266">
    <w:name w:val="List Table 5 Dark - Accent 3"/>
    <w:basedOn w:val="46"/>
    <w:qFormat/>
    <w:uiPriority w:val="99"/>
    <w:tblPr>
      <w:tblCellMar>
        <w:top w:w="0" w:type="dxa"/>
        <w:left w:w="0" w:type="dxa"/>
        <w:bottom w:w="0" w:type="dxa"/>
        <w:right w:w="0" w:type="dxa"/>
      </w:tblCellMar>
    </w:tblPr>
  </w:style>
  <w:style w:type="table" w:customStyle="1" w:styleId="267">
    <w:name w:val="List Table 5 Dark - Accent 4"/>
    <w:basedOn w:val="46"/>
    <w:qFormat/>
    <w:uiPriority w:val="99"/>
    <w:tblPr>
      <w:tblCellMar>
        <w:top w:w="0" w:type="dxa"/>
        <w:left w:w="0" w:type="dxa"/>
        <w:bottom w:w="0" w:type="dxa"/>
        <w:right w:w="0" w:type="dxa"/>
      </w:tblCellMar>
    </w:tblPr>
  </w:style>
  <w:style w:type="table" w:customStyle="1" w:styleId="268">
    <w:name w:val="List Table 5 Dark - Accent 5"/>
    <w:basedOn w:val="46"/>
    <w:qFormat/>
    <w:uiPriority w:val="99"/>
    <w:tblPr>
      <w:tblCellMar>
        <w:top w:w="0" w:type="dxa"/>
        <w:left w:w="0" w:type="dxa"/>
        <w:bottom w:w="0" w:type="dxa"/>
        <w:right w:w="0" w:type="dxa"/>
      </w:tblCellMar>
    </w:tblPr>
  </w:style>
  <w:style w:type="table" w:customStyle="1" w:styleId="269">
    <w:name w:val="List Table 5 Dark - Accent 6"/>
    <w:basedOn w:val="46"/>
    <w:qFormat/>
    <w:uiPriority w:val="99"/>
    <w:tblPr>
      <w:tblCellMar>
        <w:top w:w="0" w:type="dxa"/>
        <w:left w:w="0" w:type="dxa"/>
        <w:bottom w:w="0" w:type="dxa"/>
        <w:right w:w="0" w:type="dxa"/>
      </w:tblCellMar>
    </w:tblPr>
  </w:style>
  <w:style w:type="table" w:customStyle="1" w:styleId="270">
    <w:name w:val="List Table 6 Colorful - Accent 1"/>
    <w:basedOn w:val="46"/>
    <w:qFormat/>
    <w:uiPriority w:val="99"/>
    <w:tblPr>
      <w:tblCellMar>
        <w:top w:w="0" w:type="dxa"/>
        <w:left w:w="0" w:type="dxa"/>
        <w:bottom w:w="0" w:type="dxa"/>
        <w:right w:w="0" w:type="dxa"/>
      </w:tblCellMar>
    </w:tblPr>
  </w:style>
  <w:style w:type="table" w:customStyle="1" w:styleId="271">
    <w:name w:val="List Table 6 Colorful - Accent 2"/>
    <w:basedOn w:val="46"/>
    <w:qFormat/>
    <w:uiPriority w:val="99"/>
    <w:tblPr>
      <w:tblCellMar>
        <w:top w:w="0" w:type="dxa"/>
        <w:left w:w="0" w:type="dxa"/>
        <w:bottom w:w="0" w:type="dxa"/>
        <w:right w:w="0" w:type="dxa"/>
      </w:tblCellMar>
    </w:tblPr>
  </w:style>
  <w:style w:type="table" w:customStyle="1" w:styleId="272">
    <w:name w:val="List Table 6 Colorful - Accent 3"/>
    <w:basedOn w:val="46"/>
    <w:qFormat/>
    <w:uiPriority w:val="99"/>
    <w:tblPr>
      <w:tblCellMar>
        <w:top w:w="0" w:type="dxa"/>
        <w:left w:w="0" w:type="dxa"/>
        <w:bottom w:w="0" w:type="dxa"/>
        <w:right w:w="0" w:type="dxa"/>
      </w:tblCellMar>
    </w:tblPr>
  </w:style>
  <w:style w:type="table" w:customStyle="1" w:styleId="273">
    <w:name w:val="List Table 6 Colorful - Accent 4"/>
    <w:basedOn w:val="46"/>
    <w:qFormat/>
    <w:uiPriority w:val="99"/>
    <w:tblPr>
      <w:tblCellMar>
        <w:top w:w="0" w:type="dxa"/>
        <w:left w:w="0" w:type="dxa"/>
        <w:bottom w:w="0" w:type="dxa"/>
        <w:right w:w="0" w:type="dxa"/>
      </w:tblCellMar>
    </w:tblPr>
  </w:style>
  <w:style w:type="table" w:customStyle="1" w:styleId="274">
    <w:name w:val="List Table 6 Colorful - Accent 5"/>
    <w:basedOn w:val="46"/>
    <w:qFormat/>
    <w:uiPriority w:val="99"/>
    <w:tblPr>
      <w:tblCellMar>
        <w:top w:w="0" w:type="dxa"/>
        <w:left w:w="0" w:type="dxa"/>
        <w:bottom w:w="0" w:type="dxa"/>
        <w:right w:w="0" w:type="dxa"/>
      </w:tblCellMar>
    </w:tblPr>
  </w:style>
  <w:style w:type="table" w:customStyle="1" w:styleId="275">
    <w:name w:val="List Table 6 Colorful - Accent 6"/>
    <w:basedOn w:val="46"/>
    <w:qFormat/>
    <w:uiPriority w:val="99"/>
    <w:tblPr>
      <w:tblCellMar>
        <w:top w:w="0" w:type="dxa"/>
        <w:left w:w="0" w:type="dxa"/>
        <w:bottom w:w="0" w:type="dxa"/>
        <w:right w:w="0" w:type="dxa"/>
      </w:tblCellMar>
    </w:tblPr>
  </w:style>
  <w:style w:type="table" w:customStyle="1" w:styleId="276">
    <w:name w:val="List Table 7 Colorful - Accent 1"/>
    <w:basedOn w:val="46"/>
    <w:qFormat/>
    <w:uiPriority w:val="99"/>
    <w:tblPr>
      <w:tblCellMar>
        <w:top w:w="0" w:type="dxa"/>
        <w:left w:w="0" w:type="dxa"/>
        <w:bottom w:w="0" w:type="dxa"/>
        <w:right w:w="0" w:type="dxa"/>
      </w:tblCellMar>
    </w:tblPr>
  </w:style>
  <w:style w:type="table" w:customStyle="1" w:styleId="277">
    <w:name w:val="List Table 7 Colorful - Accent 2"/>
    <w:basedOn w:val="46"/>
    <w:qFormat/>
    <w:uiPriority w:val="99"/>
    <w:tblPr>
      <w:tblCellMar>
        <w:top w:w="0" w:type="dxa"/>
        <w:left w:w="0" w:type="dxa"/>
        <w:bottom w:w="0" w:type="dxa"/>
        <w:right w:w="0" w:type="dxa"/>
      </w:tblCellMar>
    </w:tblPr>
  </w:style>
  <w:style w:type="table" w:customStyle="1" w:styleId="278">
    <w:name w:val="List Table 7 Colorful - Accent 3"/>
    <w:basedOn w:val="46"/>
    <w:qFormat/>
    <w:uiPriority w:val="99"/>
    <w:tblPr>
      <w:tblCellMar>
        <w:top w:w="0" w:type="dxa"/>
        <w:left w:w="0" w:type="dxa"/>
        <w:bottom w:w="0" w:type="dxa"/>
        <w:right w:w="0" w:type="dxa"/>
      </w:tblCellMar>
    </w:tblPr>
  </w:style>
  <w:style w:type="table" w:customStyle="1" w:styleId="279">
    <w:name w:val="List Table 7 Colorful - Accent 4"/>
    <w:basedOn w:val="46"/>
    <w:qFormat/>
    <w:uiPriority w:val="99"/>
    <w:tblPr>
      <w:tblCellMar>
        <w:top w:w="0" w:type="dxa"/>
        <w:left w:w="0" w:type="dxa"/>
        <w:bottom w:w="0" w:type="dxa"/>
        <w:right w:w="0" w:type="dxa"/>
      </w:tblCellMar>
    </w:tblPr>
  </w:style>
  <w:style w:type="table" w:customStyle="1" w:styleId="280">
    <w:name w:val="List Table 7 Colorful - Accent 5"/>
    <w:basedOn w:val="46"/>
    <w:qFormat/>
    <w:uiPriority w:val="99"/>
    <w:tblPr>
      <w:tblCellMar>
        <w:top w:w="0" w:type="dxa"/>
        <w:left w:w="0" w:type="dxa"/>
        <w:bottom w:w="0" w:type="dxa"/>
        <w:right w:w="0" w:type="dxa"/>
      </w:tblCellMar>
    </w:tblPr>
  </w:style>
  <w:style w:type="table" w:customStyle="1" w:styleId="281">
    <w:name w:val="List Table 7 Colorful - Accent 6"/>
    <w:basedOn w:val="46"/>
    <w:qFormat/>
    <w:uiPriority w:val="99"/>
    <w:tblPr>
      <w:tblCellMar>
        <w:top w:w="0" w:type="dxa"/>
        <w:left w:w="0" w:type="dxa"/>
        <w:bottom w:w="0" w:type="dxa"/>
        <w:right w:w="0" w:type="dxa"/>
      </w:tblCellMar>
    </w:tblPr>
  </w:style>
  <w:style w:type="table" w:customStyle="1" w:styleId="282">
    <w:name w:val="Lined - Accent"/>
    <w:basedOn w:val="46"/>
    <w:qFormat/>
    <w:uiPriority w:val="99"/>
    <w:rPr>
      <w:color w:val="404040"/>
    </w:rPr>
    <w:tblPr>
      <w:tblCellMar>
        <w:top w:w="0" w:type="dxa"/>
        <w:left w:w="0" w:type="dxa"/>
        <w:bottom w:w="0" w:type="dxa"/>
        <w:right w:w="0" w:type="dxa"/>
      </w:tblCellMar>
    </w:tblPr>
  </w:style>
  <w:style w:type="table" w:customStyle="1" w:styleId="283">
    <w:name w:val="Lined - Accent 1"/>
    <w:basedOn w:val="46"/>
    <w:qFormat/>
    <w:uiPriority w:val="99"/>
    <w:rPr>
      <w:color w:val="404040"/>
    </w:rPr>
    <w:tblPr>
      <w:tblCellMar>
        <w:top w:w="0" w:type="dxa"/>
        <w:left w:w="0" w:type="dxa"/>
        <w:bottom w:w="0" w:type="dxa"/>
        <w:right w:w="0" w:type="dxa"/>
      </w:tblCellMar>
    </w:tblPr>
  </w:style>
  <w:style w:type="table" w:customStyle="1" w:styleId="284">
    <w:name w:val="Lined - Accent 2"/>
    <w:basedOn w:val="46"/>
    <w:qFormat/>
    <w:uiPriority w:val="99"/>
    <w:rPr>
      <w:color w:val="404040"/>
    </w:rPr>
    <w:tblPr>
      <w:tblCellMar>
        <w:top w:w="0" w:type="dxa"/>
        <w:left w:w="0" w:type="dxa"/>
        <w:bottom w:w="0" w:type="dxa"/>
        <w:right w:w="0" w:type="dxa"/>
      </w:tblCellMar>
    </w:tblPr>
  </w:style>
  <w:style w:type="table" w:customStyle="1" w:styleId="285">
    <w:name w:val="Lined - Accent 3"/>
    <w:basedOn w:val="46"/>
    <w:qFormat/>
    <w:uiPriority w:val="99"/>
    <w:rPr>
      <w:color w:val="404040"/>
    </w:rPr>
    <w:tblPr>
      <w:tblCellMar>
        <w:top w:w="0" w:type="dxa"/>
        <w:left w:w="0" w:type="dxa"/>
        <w:bottom w:w="0" w:type="dxa"/>
        <w:right w:w="0" w:type="dxa"/>
      </w:tblCellMar>
    </w:tblPr>
  </w:style>
  <w:style w:type="table" w:customStyle="1" w:styleId="286">
    <w:name w:val="Lined - Accent 4"/>
    <w:basedOn w:val="46"/>
    <w:qFormat/>
    <w:uiPriority w:val="99"/>
    <w:rPr>
      <w:color w:val="404040"/>
    </w:rPr>
    <w:tblPr>
      <w:tblCellMar>
        <w:top w:w="0" w:type="dxa"/>
        <w:left w:w="0" w:type="dxa"/>
        <w:bottom w:w="0" w:type="dxa"/>
        <w:right w:w="0" w:type="dxa"/>
      </w:tblCellMar>
    </w:tblPr>
  </w:style>
  <w:style w:type="table" w:customStyle="1" w:styleId="287">
    <w:name w:val="Lined - Accent 5"/>
    <w:basedOn w:val="46"/>
    <w:qFormat/>
    <w:uiPriority w:val="99"/>
    <w:rPr>
      <w:color w:val="404040"/>
    </w:rPr>
    <w:tblPr>
      <w:tblCellMar>
        <w:top w:w="0" w:type="dxa"/>
        <w:left w:w="0" w:type="dxa"/>
        <w:bottom w:w="0" w:type="dxa"/>
        <w:right w:w="0" w:type="dxa"/>
      </w:tblCellMar>
    </w:tblPr>
  </w:style>
  <w:style w:type="table" w:customStyle="1" w:styleId="288">
    <w:name w:val="Lined - Accent 6"/>
    <w:basedOn w:val="46"/>
    <w:qFormat/>
    <w:uiPriority w:val="99"/>
    <w:rPr>
      <w:color w:val="404040"/>
    </w:rPr>
    <w:tblPr>
      <w:tblCellMar>
        <w:top w:w="0" w:type="dxa"/>
        <w:left w:w="0" w:type="dxa"/>
        <w:bottom w:w="0" w:type="dxa"/>
        <w:right w:w="0" w:type="dxa"/>
      </w:tblCellMar>
    </w:tblPr>
  </w:style>
  <w:style w:type="table" w:customStyle="1" w:styleId="289">
    <w:name w:val="Bordered &amp; Lined - Accent"/>
    <w:basedOn w:val="46"/>
    <w:qFormat/>
    <w:uiPriority w:val="99"/>
    <w:rPr>
      <w:color w:val="404040"/>
    </w:rPr>
    <w:tblPr>
      <w:tblCellMar>
        <w:top w:w="0" w:type="dxa"/>
        <w:left w:w="0" w:type="dxa"/>
        <w:bottom w:w="0" w:type="dxa"/>
        <w:right w:w="0" w:type="dxa"/>
      </w:tblCellMar>
    </w:tblPr>
  </w:style>
  <w:style w:type="table" w:customStyle="1" w:styleId="290">
    <w:name w:val="Bordered &amp; Lined - Accent 1"/>
    <w:basedOn w:val="46"/>
    <w:qFormat/>
    <w:uiPriority w:val="99"/>
    <w:rPr>
      <w:color w:val="404040"/>
    </w:rPr>
    <w:tblPr>
      <w:tblCellMar>
        <w:top w:w="0" w:type="dxa"/>
        <w:left w:w="0" w:type="dxa"/>
        <w:bottom w:w="0" w:type="dxa"/>
        <w:right w:w="0" w:type="dxa"/>
      </w:tblCellMar>
    </w:tblPr>
  </w:style>
  <w:style w:type="table" w:customStyle="1" w:styleId="291">
    <w:name w:val="Bordered &amp; Lined - Accent 2"/>
    <w:basedOn w:val="46"/>
    <w:qFormat/>
    <w:uiPriority w:val="99"/>
    <w:rPr>
      <w:color w:val="404040"/>
    </w:rPr>
    <w:tblPr>
      <w:tblCellMar>
        <w:top w:w="0" w:type="dxa"/>
        <w:left w:w="0" w:type="dxa"/>
        <w:bottom w:w="0" w:type="dxa"/>
        <w:right w:w="0" w:type="dxa"/>
      </w:tblCellMar>
    </w:tblPr>
  </w:style>
  <w:style w:type="table" w:customStyle="1" w:styleId="292">
    <w:name w:val="Bordered &amp; Lined - Accent 3"/>
    <w:basedOn w:val="46"/>
    <w:qFormat/>
    <w:uiPriority w:val="99"/>
    <w:rPr>
      <w:color w:val="404040"/>
    </w:rPr>
    <w:tblPr>
      <w:tblCellMar>
        <w:top w:w="0" w:type="dxa"/>
        <w:left w:w="0" w:type="dxa"/>
        <w:bottom w:w="0" w:type="dxa"/>
        <w:right w:w="0" w:type="dxa"/>
      </w:tblCellMar>
    </w:tblPr>
  </w:style>
  <w:style w:type="table" w:customStyle="1" w:styleId="293">
    <w:name w:val="Bordered &amp; Lined - Accent 4"/>
    <w:basedOn w:val="46"/>
    <w:qFormat/>
    <w:uiPriority w:val="99"/>
    <w:rPr>
      <w:color w:val="404040"/>
    </w:rPr>
    <w:tblPr>
      <w:tblCellMar>
        <w:top w:w="0" w:type="dxa"/>
        <w:left w:w="0" w:type="dxa"/>
        <w:bottom w:w="0" w:type="dxa"/>
        <w:right w:w="0" w:type="dxa"/>
      </w:tblCellMar>
    </w:tblPr>
  </w:style>
  <w:style w:type="table" w:customStyle="1" w:styleId="294">
    <w:name w:val="Bordered &amp; Lined - Accent 5"/>
    <w:basedOn w:val="46"/>
    <w:qFormat/>
    <w:uiPriority w:val="99"/>
    <w:rPr>
      <w:color w:val="404040"/>
    </w:rPr>
    <w:tblPr>
      <w:tblCellMar>
        <w:top w:w="0" w:type="dxa"/>
        <w:left w:w="0" w:type="dxa"/>
        <w:bottom w:w="0" w:type="dxa"/>
        <w:right w:w="0" w:type="dxa"/>
      </w:tblCellMar>
    </w:tblPr>
  </w:style>
  <w:style w:type="table" w:customStyle="1" w:styleId="295">
    <w:name w:val="Bordered &amp; Lined - Accent 6"/>
    <w:basedOn w:val="46"/>
    <w:qFormat/>
    <w:uiPriority w:val="99"/>
    <w:rPr>
      <w:color w:val="404040"/>
    </w:rPr>
    <w:tblPr>
      <w:tblCellMar>
        <w:top w:w="0" w:type="dxa"/>
        <w:left w:w="0" w:type="dxa"/>
        <w:bottom w:w="0" w:type="dxa"/>
        <w:right w:w="0" w:type="dxa"/>
      </w:tblCellMar>
    </w:tblPr>
  </w:style>
  <w:style w:type="table" w:customStyle="1" w:styleId="296">
    <w:name w:val="Bordered"/>
    <w:basedOn w:val="46"/>
    <w:qFormat/>
    <w:uiPriority w:val="99"/>
    <w:tblPr>
      <w:tblCellMar>
        <w:top w:w="0" w:type="dxa"/>
        <w:left w:w="0" w:type="dxa"/>
        <w:bottom w:w="0" w:type="dxa"/>
        <w:right w:w="0" w:type="dxa"/>
      </w:tblCellMar>
    </w:tblPr>
  </w:style>
  <w:style w:type="table" w:customStyle="1" w:styleId="297">
    <w:name w:val="Bordered - Accent 1"/>
    <w:basedOn w:val="46"/>
    <w:qFormat/>
    <w:uiPriority w:val="99"/>
    <w:tblPr>
      <w:tblCellMar>
        <w:top w:w="0" w:type="dxa"/>
        <w:left w:w="0" w:type="dxa"/>
        <w:bottom w:w="0" w:type="dxa"/>
        <w:right w:w="0" w:type="dxa"/>
      </w:tblCellMar>
    </w:tblPr>
  </w:style>
  <w:style w:type="table" w:customStyle="1" w:styleId="298">
    <w:name w:val="Bordered - Accent 2"/>
    <w:basedOn w:val="46"/>
    <w:qFormat/>
    <w:uiPriority w:val="99"/>
    <w:tblPr>
      <w:tblCellMar>
        <w:top w:w="0" w:type="dxa"/>
        <w:left w:w="0" w:type="dxa"/>
        <w:bottom w:w="0" w:type="dxa"/>
        <w:right w:w="0" w:type="dxa"/>
      </w:tblCellMar>
    </w:tblPr>
  </w:style>
  <w:style w:type="table" w:customStyle="1" w:styleId="299">
    <w:name w:val="Bordered - Accent 3"/>
    <w:basedOn w:val="46"/>
    <w:qFormat/>
    <w:uiPriority w:val="99"/>
    <w:tblPr>
      <w:tblCellMar>
        <w:top w:w="0" w:type="dxa"/>
        <w:left w:w="0" w:type="dxa"/>
        <w:bottom w:w="0" w:type="dxa"/>
        <w:right w:w="0" w:type="dxa"/>
      </w:tblCellMar>
    </w:tblPr>
  </w:style>
  <w:style w:type="table" w:customStyle="1" w:styleId="300">
    <w:name w:val="Bordered - Accent 4"/>
    <w:basedOn w:val="46"/>
    <w:qFormat/>
    <w:uiPriority w:val="99"/>
    <w:tblPr>
      <w:tblCellMar>
        <w:top w:w="0" w:type="dxa"/>
        <w:left w:w="0" w:type="dxa"/>
        <w:bottom w:w="0" w:type="dxa"/>
        <w:right w:w="0" w:type="dxa"/>
      </w:tblCellMar>
    </w:tblPr>
  </w:style>
  <w:style w:type="table" w:customStyle="1" w:styleId="301">
    <w:name w:val="Bordered - Accent 5"/>
    <w:basedOn w:val="46"/>
    <w:qFormat/>
    <w:uiPriority w:val="99"/>
    <w:tblPr>
      <w:tblCellMar>
        <w:top w:w="0" w:type="dxa"/>
        <w:left w:w="0" w:type="dxa"/>
        <w:bottom w:w="0" w:type="dxa"/>
        <w:right w:w="0" w:type="dxa"/>
      </w:tblCellMar>
    </w:tblPr>
  </w:style>
  <w:style w:type="table" w:customStyle="1" w:styleId="302">
    <w:name w:val="Bordered - Accent 6"/>
    <w:basedOn w:val="46"/>
    <w:qFormat/>
    <w:uiPriority w:val="99"/>
    <w:tblPr>
      <w:tblCellMar>
        <w:top w:w="0" w:type="dxa"/>
        <w:left w:w="0" w:type="dxa"/>
        <w:bottom w:w="0" w:type="dxa"/>
        <w:right w:w="0" w:type="dxa"/>
      </w:tblCellMar>
    </w:tblPr>
  </w:style>
  <w:style w:type="paragraph" w:customStyle="1" w:styleId="303">
    <w:name w:val="TOC 标题11"/>
    <w:unhideWhenUsed/>
    <w:qFormat/>
    <w:uiPriority w:val="39"/>
    <w:rPr>
      <w:rFonts w:ascii="Times New Roman" w:hAnsi="Times New Roman" w:eastAsia="宋体" w:cs="Times New Roman"/>
      <w:lang w:val="en-US" w:eastAsia="zh-CN" w:bidi="ar-SA"/>
    </w:rPr>
  </w:style>
  <w:style w:type="paragraph" w:customStyle="1" w:styleId="304">
    <w:name w:val="Normal_0"/>
    <w:qFormat/>
    <w:uiPriority w:val="0"/>
    <w:rPr>
      <w:rFonts w:ascii="黑体" w:hAnsi="黑体" w:eastAsia="黑体" w:cs="Times New Roman"/>
      <w:b/>
      <w:sz w:val="32"/>
      <w:szCs w:val="24"/>
      <w:lang w:val="en-US" w:eastAsia="zh-CN" w:bidi="ar-SA"/>
    </w:rPr>
  </w:style>
  <w:style w:type="paragraph" w:customStyle="1" w:styleId="305">
    <w:name w:val="正文1"/>
    <w:qFormat/>
    <w:uiPriority w:val="0"/>
    <w:rPr>
      <w:rFonts w:ascii="Times New Roman" w:hAnsi="Times New Roman" w:eastAsia="Times New Roman" w:cs="Times New Roman"/>
      <w:sz w:val="24"/>
      <w:szCs w:val="24"/>
      <w:lang w:val="en-US" w:eastAsia="zh-CN" w:bidi="ar-SA"/>
    </w:rPr>
  </w:style>
  <w:style w:type="paragraph" w:customStyle="1" w:styleId="306">
    <w:name w:val="Normal_0_3"/>
    <w:qFormat/>
    <w:uiPriority w:val="0"/>
    <w:rPr>
      <w:rFonts w:ascii="黑体" w:hAnsi="黑体" w:eastAsia="黑体" w:cs="黑体"/>
      <w:b/>
      <w:sz w:val="32"/>
      <w:szCs w:val="24"/>
      <w:lang w:val="en-US" w:eastAsia="zh-CN" w:bidi="ar-SA"/>
    </w:rPr>
  </w:style>
  <w:style w:type="paragraph" w:customStyle="1" w:styleId="307">
    <w:name w:val="正文首行缩进 2_0"/>
    <w:basedOn w:val="308"/>
    <w:qFormat/>
    <w:uiPriority w:val="0"/>
    <w:pPr>
      <w:spacing w:after="120"/>
      <w:ind w:left="200" w:firstLine="200"/>
    </w:pPr>
    <w:rPr>
      <w:rFonts w:ascii="Times New Roman" w:hAnsi="Times New Roman"/>
      <w:sz w:val="24"/>
      <w:szCs w:val="24"/>
    </w:rPr>
  </w:style>
  <w:style w:type="paragraph" w:customStyle="1" w:styleId="308">
    <w:name w:val="正文文本缩进_0"/>
    <w:basedOn w:val="309"/>
    <w:qFormat/>
    <w:uiPriority w:val="0"/>
    <w:pPr>
      <w:ind w:firstLine="225"/>
    </w:pPr>
    <w:rPr>
      <w:rFonts w:ascii="仿宋_GB2312" w:eastAsia="仿宋_GB2312"/>
      <w:sz w:val="32"/>
    </w:rPr>
  </w:style>
  <w:style w:type="paragraph" w:customStyle="1" w:styleId="309">
    <w:name w:val="正文_2"/>
    <w:next w:val="308"/>
    <w:qFormat/>
    <w:uiPriority w:val="0"/>
    <w:pPr>
      <w:widowControl w:val="0"/>
      <w:jc w:val="both"/>
    </w:pPr>
    <w:rPr>
      <w:rFonts w:ascii="Calibri" w:hAnsi="Calibri" w:eastAsia="宋体" w:cs="Times New Roman"/>
      <w:sz w:val="21"/>
      <w:szCs w:val="22"/>
      <w:lang w:val="en-US" w:eastAsia="zh-CN" w:bidi="ar-SA"/>
    </w:rPr>
  </w:style>
  <w:style w:type="paragraph" w:customStyle="1" w:styleId="310">
    <w:name w:val="Normal_0_2"/>
    <w:next w:val="311"/>
    <w:qFormat/>
    <w:uiPriority w:val="0"/>
    <w:rPr>
      <w:rFonts w:ascii="黑体" w:hAnsi="黑体" w:eastAsia="黑体" w:cs="黑体"/>
      <w:b/>
      <w:sz w:val="32"/>
      <w:szCs w:val="24"/>
      <w:lang w:val="en-US" w:eastAsia="zh-CN" w:bidi="ar-SA"/>
    </w:rPr>
  </w:style>
  <w:style w:type="paragraph" w:customStyle="1" w:styleId="311">
    <w:name w:val="Body Text First Indent_1"/>
    <w:basedOn w:val="70"/>
    <w:unhideWhenUsed/>
    <w:qFormat/>
    <w:uiPriority w:val="99"/>
    <w:pPr>
      <w:spacing w:after="120"/>
      <w:ind w:firstLine="420"/>
    </w:pPr>
    <w:rPr>
      <w:rFonts w:eastAsia="Times New Roman"/>
    </w:rPr>
  </w:style>
  <w:style w:type="paragraph" w:customStyle="1" w:styleId="312">
    <w:name w:val="Normal_1_2"/>
    <w:qFormat/>
    <w:uiPriority w:val="0"/>
    <w:rPr>
      <w:rFonts w:ascii="Times New Roman" w:hAnsi="Times New Roman" w:eastAsia="Times New Roman" w:cs="Times New Roman"/>
      <w:sz w:val="24"/>
      <w:szCs w:val="24"/>
      <w:lang w:val="en-US" w:eastAsia="zh-CN" w:bidi="ar-SA"/>
    </w:rPr>
  </w:style>
  <w:style w:type="paragraph" w:customStyle="1" w:styleId="313">
    <w:name w:val="Normal_0_1"/>
    <w:next w:val="314"/>
    <w:qFormat/>
    <w:uiPriority w:val="0"/>
    <w:rPr>
      <w:rFonts w:ascii="黑体" w:hAnsi="黑体" w:eastAsia="黑体" w:cs="黑体"/>
      <w:b/>
      <w:sz w:val="32"/>
      <w:szCs w:val="24"/>
      <w:lang w:val="en-US" w:eastAsia="zh-CN" w:bidi="ar-SA"/>
    </w:rPr>
  </w:style>
  <w:style w:type="paragraph" w:customStyle="1" w:styleId="314">
    <w:name w:val="Body Text First Indent_0"/>
    <w:basedOn w:val="315"/>
    <w:unhideWhenUsed/>
    <w:qFormat/>
    <w:uiPriority w:val="99"/>
    <w:pPr>
      <w:spacing w:after="120"/>
      <w:ind w:firstLine="420"/>
    </w:pPr>
  </w:style>
  <w:style w:type="paragraph" w:customStyle="1" w:styleId="315">
    <w:name w:val="正文3"/>
    <w:next w:val="316"/>
    <w:qFormat/>
    <w:uiPriority w:val="0"/>
    <w:rPr>
      <w:rFonts w:ascii="Times New Roman" w:hAnsi="Times New Roman" w:eastAsia="Times New Roman" w:cs="Times New Roman"/>
      <w:sz w:val="24"/>
      <w:szCs w:val="24"/>
      <w:lang w:val="en-US" w:eastAsia="zh-CN" w:bidi="ar-SA"/>
    </w:rPr>
  </w:style>
  <w:style w:type="paragraph" w:customStyle="1" w:styleId="316">
    <w:name w:val="正文首行缩进3"/>
    <w:basedOn w:val="305"/>
    <w:unhideWhenUsed/>
    <w:qFormat/>
    <w:uiPriority w:val="99"/>
    <w:pPr>
      <w:spacing w:after="120"/>
      <w:ind w:firstLine="420"/>
    </w:pPr>
    <w:rPr>
      <w:sz w:val="20"/>
    </w:rPr>
  </w:style>
  <w:style w:type="paragraph" w:customStyle="1" w:styleId="317">
    <w:name w:val="Normal_1_1"/>
    <w:qFormat/>
    <w:uiPriority w:val="0"/>
    <w:rPr>
      <w:rFonts w:ascii="黑体" w:hAnsi="黑体" w:eastAsia="黑体" w:cs="黑体"/>
      <w:b/>
      <w:sz w:val="32"/>
      <w:szCs w:val="24"/>
      <w:lang w:val="en-US" w:eastAsia="zh-CN" w:bidi="ar-SA"/>
    </w:rPr>
  </w:style>
  <w:style w:type="paragraph" w:customStyle="1" w:styleId="318">
    <w:name w:val="正文_0_1"/>
    <w:qFormat/>
    <w:uiPriority w:val="0"/>
    <w:pPr>
      <w:widowControl w:val="0"/>
      <w:jc w:val="both"/>
    </w:pPr>
    <w:rPr>
      <w:rFonts w:ascii="Calibri" w:hAnsi="Calibri" w:eastAsia="宋体" w:cs="Times New Roman"/>
      <w:sz w:val="21"/>
      <w:szCs w:val="22"/>
      <w:lang w:val="en-US" w:eastAsia="zh-CN" w:bidi="ar-SA"/>
    </w:rPr>
  </w:style>
  <w:style w:type="paragraph" w:customStyle="1" w:styleId="319">
    <w:name w:val="正文_1_1"/>
    <w:qFormat/>
    <w:uiPriority w:val="0"/>
    <w:pPr>
      <w:widowControl w:val="0"/>
      <w:jc w:val="both"/>
    </w:pPr>
    <w:rPr>
      <w:rFonts w:ascii="Calibri" w:hAnsi="Calibri" w:eastAsia="宋体" w:cs="Times New Roman"/>
      <w:sz w:val="21"/>
      <w:szCs w:val="22"/>
      <w:lang w:val="en-US" w:eastAsia="zh-CN" w:bidi="ar-SA"/>
    </w:rPr>
  </w:style>
  <w:style w:type="paragraph" w:customStyle="1" w:styleId="320">
    <w:name w:val="Normal_2_0"/>
    <w:qFormat/>
    <w:uiPriority w:val="0"/>
    <w:rPr>
      <w:rFonts w:ascii="黑体" w:hAnsi="黑体" w:eastAsia="黑体" w:cs="黑体"/>
      <w:b/>
      <w:sz w:val="32"/>
      <w:szCs w:val="24"/>
      <w:lang w:val="en-US" w:eastAsia="zh-CN" w:bidi="ar-SA"/>
    </w:rPr>
  </w:style>
  <w:style w:type="paragraph" w:customStyle="1" w:styleId="321">
    <w:name w:val="Normal_3_0"/>
    <w:qFormat/>
    <w:uiPriority w:val="0"/>
    <w:pPr>
      <w:widowControl w:val="0"/>
      <w:jc w:val="both"/>
    </w:pPr>
    <w:rPr>
      <w:rFonts w:ascii="Calibri" w:hAnsi="Calibri" w:eastAsia="宋体" w:cs="Times New Roman"/>
      <w:sz w:val="21"/>
      <w:szCs w:val="22"/>
      <w:lang w:val="en-US" w:eastAsia="zh-CN" w:bidi="ar-SA"/>
    </w:rPr>
  </w:style>
  <w:style w:type="paragraph" w:customStyle="1" w:styleId="322">
    <w:name w:val="Normal_4_0"/>
    <w:qFormat/>
    <w:uiPriority w:val="0"/>
    <w:rPr>
      <w:rFonts w:ascii="黑体" w:hAnsi="黑体" w:eastAsia="黑体" w:cs="黑体"/>
      <w:b/>
      <w:sz w:val="32"/>
      <w:szCs w:val="24"/>
      <w:lang w:val="en-US" w:eastAsia="zh-CN" w:bidi="ar-SA"/>
    </w:rPr>
  </w:style>
  <w:style w:type="paragraph" w:customStyle="1" w:styleId="323">
    <w:name w:val="Normal_5_0"/>
    <w:qFormat/>
    <w:uiPriority w:val="0"/>
    <w:pPr>
      <w:widowControl w:val="0"/>
      <w:jc w:val="both"/>
    </w:pPr>
    <w:rPr>
      <w:rFonts w:ascii="Calibri" w:hAnsi="Calibri" w:eastAsia="宋体" w:cs="Times New Roman"/>
      <w:sz w:val="21"/>
      <w:szCs w:val="22"/>
      <w:lang w:val="en-US" w:eastAsia="zh-CN" w:bidi="ar-SA"/>
    </w:rPr>
  </w:style>
  <w:style w:type="paragraph" w:customStyle="1" w:styleId="324">
    <w:name w:val="Normal_6_0"/>
    <w:qFormat/>
    <w:uiPriority w:val="0"/>
    <w:rPr>
      <w:rFonts w:ascii="黑体" w:hAnsi="黑体" w:eastAsia="黑体" w:cs="黑体"/>
      <w:b/>
      <w:sz w:val="32"/>
      <w:szCs w:val="24"/>
      <w:lang w:val="en-US" w:eastAsia="zh-CN" w:bidi="ar-SA"/>
    </w:rPr>
  </w:style>
  <w:style w:type="paragraph" w:customStyle="1" w:styleId="325">
    <w:name w:val="正文_1_0_0"/>
    <w:qFormat/>
    <w:uiPriority w:val="0"/>
    <w:pPr>
      <w:widowControl w:val="0"/>
      <w:jc w:val="both"/>
    </w:pPr>
    <w:rPr>
      <w:rFonts w:ascii="Times New Roman" w:hAnsi="Times New Roman" w:eastAsia="宋体" w:cs="Times New Roman"/>
      <w:sz w:val="21"/>
      <w:lang w:val="en-US" w:eastAsia="zh-CN" w:bidi="ar-SA"/>
    </w:rPr>
  </w:style>
  <w:style w:type="paragraph" w:customStyle="1" w:styleId="326">
    <w:name w:val="正文_0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27">
    <w:name w:val="正文_1_0_0_0"/>
    <w:qFormat/>
    <w:uiPriority w:val="0"/>
    <w:pPr>
      <w:widowControl w:val="0"/>
      <w:jc w:val="both"/>
    </w:pPr>
    <w:rPr>
      <w:rFonts w:ascii="Times New Roman" w:hAnsi="Times New Roman" w:eastAsia="宋体" w:cs="Times New Roman"/>
      <w:sz w:val="21"/>
      <w:lang w:val="en-US" w:eastAsia="zh-CN" w:bidi="ar-SA"/>
    </w:rPr>
  </w:style>
  <w:style w:type="paragraph" w:customStyle="1" w:styleId="328">
    <w:name w:val="Normal_7_0"/>
    <w:qFormat/>
    <w:uiPriority w:val="0"/>
    <w:rPr>
      <w:rFonts w:ascii="黑体" w:hAnsi="黑体" w:eastAsia="黑体" w:cs="黑体"/>
      <w:b/>
      <w:sz w:val="32"/>
      <w:szCs w:val="24"/>
      <w:lang w:val="en-US" w:eastAsia="zh-CN" w:bidi="ar-SA"/>
    </w:rPr>
  </w:style>
  <w:style w:type="paragraph" w:customStyle="1" w:styleId="329">
    <w:name w:val="Normal_8_0"/>
    <w:qFormat/>
    <w:uiPriority w:val="0"/>
    <w:rPr>
      <w:rFonts w:ascii="Times New Roman" w:hAnsi="Times New Roman" w:eastAsia="Times New Roman" w:cs="Times New Roman"/>
      <w:sz w:val="24"/>
      <w:szCs w:val="24"/>
      <w:lang w:val="en-US" w:eastAsia="zh-CN" w:bidi="ar-SA"/>
    </w:rPr>
  </w:style>
  <w:style w:type="paragraph" w:customStyle="1" w:styleId="330">
    <w:name w:val="Normal_9_0"/>
    <w:qFormat/>
    <w:uiPriority w:val="0"/>
    <w:rPr>
      <w:rFonts w:ascii="Times New Roman" w:hAnsi="Times New Roman" w:eastAsia="Times New Roman" w:cs="Times New Roman"/>
      <w:sz w:val="24"/>
      <w:szCs w:val="24"/>
      <w:lang w:val="en-US" w:eastAsia="zh-CN" w:bidi="ar-SA"/>
    </w:rPr>
  </w:style>
  <w:style w:type="paragraph" w:customStyle="1" w:styleId="331">
    <w:name w:val="Normal_10_0"/>
    <w:qFormat/>
    <w:uiPriority w:val="0"/>
    <w:rPr>
      <w:rFonts w:ascii="黑体" w:hAnsi="黑体" w:eastAsia="黑体" w:cs="黑体"/>
      <w:b/>
      <w:sz w:val="32"/>
      <w:szCs w:val="24"/>
      <w:lang w:val="en-US" w:eastAsia="zh-CN" w:bidi="ar-SA"/>
    </w:rPr>
  </w:style>
  <w:style w:type="paragraph" w:customStyle="1" w:styleId="332">
    <w:name w:val="正文_3"/>
    <w:next w:val="333"/>
    <w:qFormat/>
    <w:uiPriority w:val="0"/>
    <w:pPr>
      <w:widowControl w:val="0"/>
      <w:jc w:val="both"/>
    </w:pPr>
    <w:rPr>
      <w:rFonts w:ascii="Calibri" w:hAnsi="Calibri" w:eastAsia="宋体" w:cs="Times New Roman"/>
      <w:sz w:val="21"/>
      <w:szCs w:val="22"/>
      <w:lang w:val="en-US" w:eastAsia="zh-CN" w:bidi="ar-SA"/>
    </w:rPr>
  </w:style>
  <w:style w:type="paragraph" w:customStyle="1" w:styleId="333">
    <w:name w:val="正文首行缩进 2_1"/>
    <w:basedOn w:val="334"/>
    <w:next w:val="336"/>
    <w:qFormat/>
    <w:uiPriority w:val="0"/>
    <w:pPr>
      <w:spacing w:after="120"/>
      <w:ind w:left="200" w:firstLine="200"/>
    </w:pPr>
    <w:rPr>
      <w:rFonts w:ascii="Times New Roman"/>
      <w:szCs w:val="24"/>
    </w:rPr>
  </w:style>
  <w:style w:type="paragraph" w:customStyle="1" w:styleId="334">
    <w:name w:val="正文文本缩进_1"/>
    <w:basedOn w:val="335"/>
    <w:next w:val="333"/>
    <w:qFormat/>
    <w:uiPriority w:val="0"/>
    <w:pPr>
      <w:ind w:firstLine="225"/>
    </w:pPr>
    <w:rPr>
      <w:rFonts w:ascii="仿宋_GB2312" w:eastAsia="仿宋_GB2312"/>
      <w:sz w:val="32"/>
    </w:rPr>
  </w:style>
  <w:style w:type="paragraph" w:customStyle="1" w:styleId="335">
    <w:name w:val="正文_18"/>
    <w:next w:val="334"/>
    <w:qFormat/>
    <w:uiPriority w:val="0"/>
    <w:pPr>
      <w:widowControl w:val="0"/>
      <w:jc w:val="both"/>
    </w:pPr>
    <w:rPr>
      <w:rFonts w:ascii="Calibri" w:hAnsi="Calibri" w:eastAsia="宋体" w:cs="Times New Roman"/>
      <w:sz w:val="21"/>
      <w:szCs w:val="22"/>
      <w:lang w:val="en-US" w:eastAsia="zh-CN" w:bidi="ar-SA"/>
    </w:rPr>
  </w:style>
  <w:style w:type="paragraph" w:customStyle="1" w:styleId="336">
    <w:name w:val="xl53_0"/>
    <w:next w:val="332"/>
    <w:qFormat/>
    <w:uiPriority w:val="0"/>
    <w:pPr>
      <w:pBdr>
        <w:top w:val="single" w:color="000000" w:sz="4" w:space="0"/>
        <w:left w:val="single" w:color="000000" w:sz="8" w:space="0"/>
        <w:bottom w:val="single" w:color="000000" w:sz="8" w:space="0"/>
        <w:right w:val="single" w:color="000000" w:sz="4" w:space="0"/>
      </w:pBdr>
      <w:spacing w:before="100" w:beforeAutospacing="1" w:after="100" w:afterAutospacing="1"/>
      <w:jc w:val="center"/>
    </w:pPr>
    <w:rPr>
      <w:rFonts w:ascii="宋体" w:hAnsi="宋体" w:eastAsia="宋体" w:cs="Times New Roman"/>
      <w:b/>
      <w:bCs/>
      <w:lang w:val="en-US" w:eastAsia="zh-CN" w:bidi="ar-SA"/>
    </w:rPr>
  </w:style>
  <w:style w:type="paragraph" w:customStyle="1" w:styleId="337">
    <w:name w:val="正文_4_0"/>
    <w:qFormat/>
    <w:uiPriority w:val="0"/>
    <w:pPr>
      <w:widowControl w:val="0"/>
      <w:jc w:val="both"/>
    </w:pPr>
    <w:rPr>
      <w:rFonts w:ascii="Calibri" w:hAnsi="Calibri" w:eastAsia="宋体" w:cs="Times New Roman"/>
      <w:sz w:val="21"/>
      <w:szCs w:val="22"/>
      <w:lang w:val="en-US" w:eastAsia="zh-CN" w:bidi="ar-SA"/>
    </w:rPr>
  </w:style>
  <w:style w:type="paragraph" w:customStyle="1" w:styleId="338">
    <w:name w:val="Normal_11_0"/>
    <w:qFormat/>
    <w:uiPriority w:val="0"/>
    <w:rPr>
      <w:rFonts w:ascii="黑体" w:hAnsi="黑体" w:eastAsia="黑体" w:cs="黑体"/>
      <w:b/>
      <w:sz w:val="32"/>
      <w:szCs w:val="24"/>
      <w:lang w:val="en-US" w:eastAsia="zh-CN" w:bidi="ar-SA"/>
    </w:rPr>
  </w:style>
  <w:style w:type="paragraph" w:customStyle="1" w:styleId="339">
    <w:name w:val="Normal_12_0"/>
    <w:qFormat/>
    <w:uiPriority w:val="0"/>
    <w:pPr>
      <w:widowControl w:val="0"/>
      <w:jc w:val="both"/>
    </w:pPr>
    <w:rPr>
      <w:rFonts w:ascii="Calibri" w:hAnsi="Calibri" w:eastAsia="宋体" w:cs="Times New Roman"/>
      <w:sz w:val="21"/>
      <w:szCs w:val="22"/>
      <w:lang w:val="en-US" w:eastAsia="zh-CN" w:bidi="ar-SA"/>
    </w:rPr>
  </w:style>
  <w:style w:type="paragraph" w:customStyle="1" w:styleId="340">
    <w:name w:val="正文_9_0"/>
    <w:qFormat/>
    <w:uiPriority w:val="0"/>
    <w:pPr>
      <w:widowControl w:val="0"/>
      <w:jc w:val="both"/>
    </w:pPr>
    <w:rPr>
      <w:rFonts w:ascii="Calibri" w:hAnsi="Calibri" w:eastAsia="宋体" w:cs="Times New Roman"/>
      <w:sz w:val="21"/>
      <w:szCs w:val="22"/>
      <w:lang w:val="en-US" w:eastAsia="zh-CN" w:bidi="ar-SA"/>
    </w:rPr>
  </w:style>
  <w:style w:type="paragraph" w:customStyle="1" w:styleId="341">
    <w:name w:val="正文_8_1"/>
    <w:qFormat/>
    <w:uiPriority w:val="0"/>
    <w:pPr>
      <w:widowControl w:val="0"/>
      <w:jc w:val="both"/>
    </w:pPr>
    <w:rPr>
      <w:rFonts w:ascii="Calibri" w:hAnsi="Calibri" w:eastAsia="宋体" w:cs="Times New Roman"/>
      <w:sz w:val="21"/>
      <w:szCs w:val="22"/>
      <w:lang w:val="en-US" w:eastAsia="zh-CN" w:bidi="ar-SA"/>
    </w:rPr>
  </w:style>
  <w:style w:type="paragraph" w:customStyle="1" w:styleId="342">
    <w:name w:val="正文_1_0_0_0_0"/>
    <w:qFormat/>
    <w:uiPriority w:val="0"/>
    <w:pPr>
      <w:widowControl w:val="0"/>
      <w:jc w:val="both"/>
    </w:pPr>
    <w:rPr>
      <w:rFonts w:ascii="Times New Roman" w:hAnsi="Times New Roman" w:eastAsia="宋体" w:cs="Times New Roman"/>
      <w:sz w:val="21"/>
      <w:lang w:val="en-US" w:eastAsia="zh-CN" w:bidi="ar-SA"/>
    </w:rPr>
  </w:style>
  <w:style w:type="paragraph" w:customStyle="1" w:styleId="343">
    <w:name w:val="列出段落_2"/>
    <w:basedOn w:val="341"/>
    <w:qFormat/>
    <w:uiPriority w:val="34"/>
    <w:pPr>
      <w:ind w:firstLine="420"/>
    </w:pPr>
  </w:style>
  <w:style w:type="paragraph" w:customStyle="1" w:styleId="344">
    <w:name w:val="Normal_13_0"/>
    <w:qFormat/>
    <w:uiPriority w:val="0"/>
    <w:rPr>
      <w:rFonts w:ascii="黑体" w:hAnsi="黑体" w:eastAsia="黑体" w:cs="黑体"/>
      <w:b/>
      <w:sz w:val="32"/>
      <w:szCs w:val="24"/>
      <w:lang w:val="en-US" w:eastAsia="zh-CN" w:bidi="ar-SA"/>
    </w:rPr>
  </w:style>
  <w:style w:type="paragraph" w:customStyle="1" w:styleId="345">
    <w:name w:val="正文_7_1_0"/>
    <w:qFormat/>
    <w:uiPriority w:val="0"/>
    <w:pPr>
      <w:widowControl w:val="0"/>
      <w:jc w:val="both"/>
    </w:pPr>
    <w:rPr>
      <w:rFonts w:ascii="Calibri" w:hAnsi="Calibri" w:eastAsia="宋体" w:cs="Times New Roman"/>
      <w:sz w:val="21"/>
      <w:szCs w:val="22"/>
      <w:lang w:val="en-US" w:eastAsia="zh-CN" w:bidi="ar-SA"/>
    </w:rPr>
  </w:style>
  <w:style w:type="paragraph" w:customStyle="1" w:styleId="346">
    <w:name w:val="纯文本_0_0"/>
    <w:basedOn w:val="345"/>
    <w:unhideWhenUsed/>
    <w:qFormat/>
    <w:uiPriority w:val="0"/>
    <w:rPr>
      <w:rFonts w:ascii="宋体" w:hAnsi="Courier New"/>
      <w:szCs w:val="21"/>
    </w:rPr>
  </w:style>
  <w:style w:type="paragraph" w:customStyle="1" w:styleId="347">
    <w:name w:val="正文_8_0"/>
    <w:qFormat/>
    <w:uiPriority w:val="0"/>
    <w:pPr>
      <w:widowControl w:val="0"/>
      <w:jc w:val="both"/>
    </w:pPr>
    <w:rPr>
      <w:rFonts w:ascii="Calibri" w:hAnsi="Calibri" w:eastAsia="宋体" w:cs="Times New Roman"/>
      <w:sz w:val="21"/>
      <w:szCs w:val="22"/>
      <w:lang w:val="en-US" w:eastAsia="zh-CN" w:bidi="ar-SA"/>
    </w:rPr>
  </w:style>
  <w:style w:type="paragraph" w:customStyle="1" w:styleId="348">
    <w:name w:val="Normal_14_0"/>
    <w:qFormat/>
    <w:uiPriority w:val="0"/>
    <w:rPr>
      <w:rFonts w:ascii="黑体" w:hAnsi="黑体" w:eastAsia="黑体" w:cs="黑体"/>
      <w:b/>
      <w:sz w:val="32"/>
      <w:szCs w:val="24"/>
      <w:lang w:val="en-US" w:eastAsia="zh-CN" w:bidi="ar-SA"/>
    </w:rPr>
  </w:style>
  <w:style w:type="paragraph" w:customStyle="1" w:styleId="349">
    <w:name w:val="正文_6_0"/>
    <w:qFormat/>
    <w:uiPriority w:val="0"/>
    <w:pPr>
      <w:widowControl w:val="0"/>
      <w:jc w:val="both"/>
    </w:pPr>
    <w:rPr>
      <w:rFonts w:ascii="Calibri" w:hAnsi="Calibri" w:eastAsia="宋体" w:cs="Times New Roman"/>
      <w:sz w:val="21"/>
      <w:szCs w:val="22"/>
      <w:lang w:val="en-US" w:eastAsia="zh-CN" w:bidi="ar-SA"/>
    </w:rPr>
  </w:style>
  <w:style w:type="paragraph" w:customStyle="1" w:styleId="350">
    <w:name w:val="Normal_15_0"/>
    <w:qFormat/>
    <w:uiPriority w:val="0"/>
    <w:rPr>
      <w:rFonts w:ascii="黑体" w:hAnsi="黑体" w:eastAsia="黑体" w:cs="黑体"/>
      <w:b/>
      <w:sz w:val="32"/>
      <w:szCs w:val="24"/>
      <w:lang w:val="en-US" w:eastAsia="zh-CN" w:bidi="ar-SA"/>
    </w:rPr>
  </w:style>
  <w:style w:type="paragraph" w:customStyle="1" w:styleId="351">
    <w:name w:val="正文_7_0"/>
    <w:qFormat/>
    <w:uiPriority w:val="0"/>
    <w:pPr>
      <w:widowControl w:val="0"/>
      <w:jc w:val="both"/>
    </w:pPr>
    <w:rPr>
      <w:rFonts w:ascii="Calibri" w:hAnsi="Calibri" w:eastAsia="宋体" w:cs="Times New Roman"/>
      <w:sz w:val="21"/>
      <w:szCs w:val="22"/>
      <w:lang w:val="en-US" w:eastAsia="zh-CN" w:bidi="ar-SA"/>
    </w:rPr>
  </w:style>
  <w:style w:type="paragraph" w:customStyle="1" w:styleId="352">
    <w:name w:val="正文_9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3">
    <w:name w:val="Normal_16_0"/>
    <w:qFormat/>
    <w:uiPriority w:val="0"/>
    <w:rPr>
      <w:rFonts w:ascii="黑体" w:hAnsi="黑体" w:eastAsia="黑体" w:cs="黑体"/>
      <w:b/>
      <w:sz w:val="32"/>
      <w:szCs w:val="24"/>
      <w:lang w:val="en-US" w:eastAsia="zh-CN" w:bidi="ar-SA"/>
    </w:rPr>
  </w:style>
  <w:style w:type="paragraph" w:customStyle="1" w:styleId="354">
    <w:name w:val="正文_1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5">
    <w:name w:val="Normal_17_0"/>
    <w:qFormat/>
    <w:uiPriority w:val="0"/>
    <w:rPr>
      <w:rFonts w:ascii="黑体" w:hAnsi="黑体" w:eastAsia="黑体" w:cs="黑体"/>
      <w:b/>
      <w:sz w:val="32"/>
      <w:szCs w:val="24"/>
      <w:lang w:val="en-US" w:eastAsia="zh-CN" w:bidi="ar-SA"/>
    </w:rPr>
  </w:style>
  <w:style w:type="paragraph" w:customStyle="1" w:styleId="356">
    <w:name w:val="正文_1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57">
    <w:name w:val="Normal_18_0"/>
    <w:qFormat/>
    <w:uiPriority w:val="0"/>
    <w:rPr>
      <w:rFonts w:ascii="黑体" w:hAnsi="黑体" w:eastAsia="黑体" w:cs="黑体"/>
      <w:b/>
      <w:sz w:val="32"/>
      <w:szCs w:val="24"/>
      <w:lang w:val="en-US" w:eastAsia="zh-CN" w:bidi="ar-SA"/>
    </w:rPr>
  </w:style>
  <w:style w:type="paragraph" w:customStyle="1" w:styleId="358">
    <w:name w:val="正文_12_0"/>
    <w:qFormat/>
    <w:uiPriority w:val="0"/>
    <w:pPr>
      <w:widowControl w:val="0"/>
      <w:jc w:val="both"/>
    </w:pPr>
    <w:rPr>
      <w:rFonts w:ascii="Calibri" w:hAnsi="Calibri" w:eastAsia="宋体" w:cs="Times New Roman"/>
      <w:sz w:val="21"/>
      <w:szCs w:val="22"/>
      <w:lang w:val="en-US" w:eastAsia="zh-CN" w:bidi="ar-SA"/>
    </w:rPr>
  </w:style>
  <w:style w:type="paragraph" w:customStyle="1" w:styleId="359">
    <w:name w:val="正文_9_1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0">
    <w:name w:val="Normal_14_0_0"/>
    <w:qFormat/>
    <w:uiPriority w:val="0"/>
    <w:rPr>
      <w:rFonts w:ascii="黑体" w:hAnsi="黑体" w:eastAsia="黑体" w:cs="Times New Roman"/>
      <w:b/>
      <w:sz w:val="32"/>
      <w:szCs w:val="24"/>
      <w:lang w:val="en-US" w:eastAsia="zh-CN" w:bidi="ar-SA"/>
    </w:rPr>
  </w:style>
  <w:style w:type="paragraph" w:customStyle="1" w:styleId="361">
    <w:name w:val="正文_12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2">
    <w:name w:val="正文_12_0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3">
    <w:name w:val="正文_13_0"/>
    <w:qFormat/>
    <w:uiPriority w:val="0"/>
    <w:pPr>
      <w:widowControl w:val="0"/>
      <w:jc w:val="both"/>
    </w:pPr>
    <w:rPr>
      <w:rFonts w:ascii="Calibri" w:hAnsi="Calibri" w:eastAsia="宋体" w:cs="Times New Roman"/>
      <w:sz w:val="21"/>
      <w:szCs w:val="22"/>
      <w:lang w:val="en-US" w:eastAsia="zh-CN" w:bidi="ar-SA"/>
    </w:rPr>
  </w:style>
  <w:style w:type="paragraph" w:customStyle="1" w:styleId="364">
    <w:name w:val="正文_13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5">
    <w:name w:val="正文_14_0"/>
    <w:qFormat/>
    <w:uiPriority w:val="0"/>
    <w:pPr>
      <w:widowControl w:val="0"/>
      <w:jc w:val="both"/>
    </w:pPr>
    <w:rPr>
      <w:rFonts w:ascii="Calibri" w:hAnsi="Calibri" w:eastAsia="宋体" w:cs="Times New Roman"/>
      <w:sz w:val="21"/>
      <w:szCs w:val="22"/>
      <w:lang w:val="en-US" w:eastAsia="zh-CN" w:bidi="ar-SA"/>
    </w:rPr>
  </w:style>
  <w:style w:type="paragraph" w:customStyle="1" w:styleId="366">
    <w:name w:val="正文_14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367">
    <w:name w:val="Normal Indent_0"/>
    <w:basedOn w:val="165"/>
    <w:qFormat/>
    <w:uiPriority w:val="0"/>
    <w:pPr>
      <w:ind w:firstLine="420"/>
    </w:pPr>
    <w:rPr>
      <w:rFonts w:ascii="宋体" w:eastAsia="Times New Roman"/>
      <w:color w:val="000000"/>
      <w:sz w:val="24"/>
      <w:szCs w:val="20"/>
    </w:rPr>
  </w:style>
  <w:style w:type="paragraph" w:customStyle="1" w:styleId="368">
    <w:name w:val="Heading 3_0"/>
    <w:basedOn w:val="165"/>
    <w:next w:val="165"/>
    <w:qFormat/>
    <w:uiPriority w:val="0"/>
    <w:pPr>
      <w:keepNext/>
      <w:keepLines/>
      <w:spacing w:before="260" w:after="260" w:line="413" w:lineRule="auto"/>
      <w:outlineLvl w:val="2"/>
    </w:pPr>
    <w:rPr>
      <w:rFonts w:ascii="Times New Roman" w:hAnsi="Times New Roman" w:eastAsia="Times New Roman"/>
      <w:szCs w:val="20"/>
    </w:rPr>
  </w:style>
  <w:style w:type="paragraph" w:customStyle="1" w:styleId="369">
    <w:name w:val="正文_15_0"/>
    <w:qFormat/>
    <w:uiPriority w:val="0"/>
    <w:pPr>
      <w:widowControl w:val="0"/>
      <w:jc w:val="both"/>
    </w:pPr>
    <w:rPr>
      <w:rFonts w:ascii="Calibri" w:hAnsi="Calibri" w:eastAsia="宋体" w:cs="Times New Roman"/>
      <w:sz w:val="21"/>
      <w:szCs w:val="22"/>
      <w:lang w:val="en-US" w:eastAsia="zh-CN" w:bidi="ar-SA"/>
    </w:rPr>
  </w:style>
  <w:style w:type="paragraph" w:customStyle="1" w:styleId="370">
    <w:name w:val="正文2"/>
    <w:basedOn w:val="1"/>
    <w:qFormat/>
    <w:uiPriority w:val="0"/>
    <w:pPr>
      <w:spacing w:before="156" w:line="360" w:lineRule="auto"/>
      <w:ind w:firstLine="510"/>
    </w:pPr>
    <w:rPr>
      <w:sz w:val="24"/>
      <w:szCs w:val="20"/>
    </w:rPr>
  </w:style>
  <w:style w:type="paragraph" w:customStyle="1" w:styleId="371">
    <w:name w:val="Default"/>
    <w:qFormat/>
    <w:uiPriority w:val="0"/>
    <w:pPr>
      <w:widowControl w:val="0"/>
    </w:pPr>
    <w:rPr>
      <w:rFonts w:ascii="宋体" w:hAnsi="Times New Roman" w:eastAsia="宋体" w:cs="宋体"/>
      <w:color w:val="000000"/>
      <w:sz w:val="24"/>
      <w:szCs w:val="24"/>
      <w:lang w:val="en-US" w:eastAsia="zh-CN" w:bidi="ar-SA"/>
    </w:rPr>
  </w:style>
  <w:style w:type="paragraph" w:customStyle="1" w:styleId="372">
    <w:name w:val="正文_0_2_0"/>
    <w:qFormat/>
    <w:uiPriority w:val="0"/>
    <w:pPr>
      <w:widowControl w:val="0"/>
      <w:jc w:val="both"/>
    </w:pPr>
    <w:rPr>
      <w:rFonts w:ascii="Times New Roman" w:hAnsi="Times New Roman" w:eastAsia="宋体" w:cs="Times New Roman"/>
      <w:szCs w:val="24"/>
      <w:lang w:val="en-US" w:eastAsia="zh-CN" w:bidi="ar-SA"/>
    </w:rPr>
  </w:style>
  <w:style w:type="paragraph" w:customStyle="1" w:styleId="373">
    <w:name w:val="Normal_19_1_0"/>
    <w:next w:val="374"/>
    <w:qFormat/>
    <w:uiPriority w:val="0"/>
    <w:pPr>
      <w:widowControl w:val="0"/>
      <w:jc w:val="both"/>
    </w:pPr>
    <w:rPr>
      <w:rFonts w:ascii="Calibri" w:hAnsi="Calibri" w:eastAsia="宋体" w:cs="Times New Roman"/>
      <w:szCs w:val="24"/>
      <w:lang w:val="en-US" w:eastAsia="zh-CN" w:bidi="ar-SA"/>
    </w:rPr>
  </w:style>
  <w:style w:type="paragraph" w:customStyle="1" w:styleId="374">
    <w:name w:val="正文_16_0"/>
    <w:basedOn w:val="335"/>
    <w:next w:val="333"/>
    <w:qFormat/>
    <w:uiPriority w:val="0"/>
    <w:rPr>
      <w:rFonts w:ascii="Times New Roman" w:hAnsi="Times New Roman"/>
    </w:rPr>
  </w:style>
  <w:style w:type="paragraph" w:customStyle="1" w:styleId="375">
    <w:name w:val="Normal_19_0"/>
    <w:basedOn w:val="5"/>
    <w:next w:val="376"/>
    <w:qFormat/>
    <w:uiPriority w:val="0"/>
    <w:rPr>
      <w:szCs w:val="24"/>
    </w:rPr>
  </w:style>
  <w:style w:type="paragraph" w:customStyle="1" w:styleId="376">
    <w:name w:val="Body Text First Indent_1_0"/>
    <w:basedOn w:val="375"/>
    <w:qFormat/>
    <w:uiPriority w:val="0"/>
    <w:pPr>
      <w:spacing w:after="120"/>
      <w:ind w:firstLine="100"/>
    </w:pPr>
  </w:style>
  <w:style w:type="paragraph" w:customStyle="1" w:styleId="377">
    <w:name w:val="Body Text_0"/>
    <w:basedOn w:val="375"/>
    <w:qFormat/>
    <w:uiPriority w:val="0"/>
    <w:pPr>
      <w:spacing w:line="60" w:lineRule="auto"/>
    </w:pPr>
    <w:rPr>
      <w:rFonts w:ascii="仿宋_GB2312" w:eastAsia="仿宋_GB2312"/>
      <w:sz w:val="32"/>
    </w:rPr>
  </w:style>
  <w:style w:type="paragraph" w:customStyle="1" w:styleId="378">
    <w:name w:val="Normal_19_1"/>
    <w:next w:val="165"/>
    <w:qFormat/>
    <w:uiPriority w:val="0"/>
    <w:pPr>
      <w:widowControl w:val="0"/>
      <w:jc w:val="both"/>
    </w:pPr>
    <w:rPr>
      <w:rFonts w:ascii="Calibri" w:hAnsi="Calibri" w:eastAsia="宋体" w:cs="Times New Roman"/>
      <w:szCs w:val="24"/>
      <w:lang w:val="en-US" w:eastAsia="zh-CN" w:bidi="ar-SA"/>
    </w:rPr>
  </w:style>
  <w:style w:type="paragraph" w:customStyle="1" w:styleId="379">
    <w:name w:val="正文_6_0_0"/>
    <w:qFormat/>
    <w:uiPriority w:val="0"/>
    <w:pPr>
      <w:widowControl w:val="0"/>
      <w:jc w:val="both"/>
    </w:pPr>
    <w:rPr>
      <w:rFonts w:ascii="Calibri" w:hAnsi="Calibri" w:eastAsia="宋体" w:cs="Times New Roman"/>
      <w:lang w:val="en-US" w:eastAsia="zh-CN" w:bidi="ar-SA"/>
    </w:rPr>
  </w:style>
  <w:style w:type="paragraph" w:customStyle="1" w:styleId="380">
    <w:name w:val="正文_7_1"/>
    <w:qFormat/>
    <w:uiPriority w:val="0"/>
    <w:pPr>
      <w:widowControl w:val="0"/>
      <w:jc w:val="both"/>
    </w:pPr>
    <w:rPr>
      <w:rFonts w:ascii="Calibri" w:hAnsi="Calibri" w:eastAsia="宋体" w:cs="Times New Roman"/>
      <w:lang w:val="en-US" w:eastAsia="zh-CN" w:bidi="ar-SA"/>
    </w:rPr>
  </w:style>
  <w:style w:type="paragraph" w:customStyle="1" w:styleId="381">
    <w:name w:val="正文1_1"/>
    <w:basedOn w:val="329"/>
    <w:qFormat/>
    <w:uiPriority w:val="0"/>
    <w:pPr>
      <w:widowControl w:val="0"/>
      <w:jc w:val="both"/>
    </w:pPr>
    <w:rPr>
      <w:sz w:val="20"/>
      <w:szCs w:val="20"/>
    </w:rPr>
  </w:style>
  <w:style w:type="paragraph" w:customStyle="1" w:styleId="382">
    <w:name w:val="Normal_8_0_0"/>
    <w:qFormat/>
    <w:uiPriority w:val="0"/>
    <w:rPr>
      <w:rFonts w:ascii="Times New Roman" w:hAnsi="Times New Roman" w:eastAsia="Times New Roman" w:cs="Times New Roman"/>
      <w:sz w:val="24"/>
      <w:szCs w:val="24"/>
      <w:lang w:val="en-US" w:eastAsia="zh-CN" w:bidi="ar-SA"/>
    </w:rPr>
  </w:style>
  <w:style w:type="paragraph" w:customStyle="1" w:styleId="383">
    <w:name w:val="Normal_8_0_0_0"/>
    <w:qFormat/>
    <w:uiPriority w:val="0"/>
    <w:pPr>
      <w:widowControl w:val="0"/>
      <w:jc w:val="both"/>
    </w:pPr>
    <w:rPr>
      <w:rFonts w:ascii="Calibri" w:hAnsi="Calibri" w:eastAsia="宋体" w:cs="Times New Roman"/>
      <w:lang w:val="en-US" w:eastAsia="zh-CN" w:bidi="ar-SA"/>
    </w:rPr>
  </w:style>
  <w:style w:type="paragraph" w:customStyle="1" w:styleId="384">
    <w:name w:val="Normal_16_1"/>
    <w:qFormat/>
    <w:uiPriority w:val="0"/>
    <w:rPr>
      <w:rFonts w:ascii="黑体" w:hAnsi="黑体" w:eastAsia="黑体" w:cs="Times New Roman"/>
      <w:b/>
      <w:sz w:val="32"/>
      <w:szCs w:val="24"/>
      <w:lang w:val="en-US" w:eastAsia="zh-CN" w:bidi="ar-SA"/>
    </w:rPr>
  </w:style>
  <w:style w:type="paragraph" w:customStyle="1" w:styleId="385">
    <w:name w:val="Normal_19_0_1"/>
    <w:qFormat/>
    <w:uiPriority w:val="0"/>
    <w:rPr>
      <w:rFonts w:ascii="Tahoma" w:hAnsi="Tahoma" w:eastAsia="微软雅黑" w:cs="Times New Roman"/>
      <w:lang w:val="en-US" w:eastAsia="zh-CN" w:bidi="ar-SA"/>
    </w:rPr>
  </w:style>
  <w:style w:type="paragraph" w:customStyle="1" w:styleId="386">
    <w:name w:val="Normal_16_0_0"/>
    <w:qFormat/>
    <w:uiPriority w:val="0"/>
    <w:pPr>
      <w:widowControl w:val="0"/>
      <w:jc w:val="both"/>
    </w:pPr>
    <w:rPr>
      <w:rFonts w:ascii="Calibri" w:hAnsi="Calibri" w:eastAsia="宋体" w:cs="Times New Roman"/>
      <w:lang w:val="en-US" w:eastAsia="zh-CN" w:bidi="ar-SA"/>
    </w:rPr>
  </w:style>
  <w:style w:type="paragraph" w:customStyle="1" w:styleId="387">
    <w:name w:val="Normal_22_0"/>
    <w:qFormat/>
    <w:uiPriority w:val="0"/>
    <w:pPr>
      <w:widowControl w:val="0"/>
      <w:jc w:val="both"/>
    </w:pPr>
    <w:rPr>
      <w:rFonts w:ascii="Calibri" w:hAnsi="Calibri" w:eastAsia="宋体" w:cs="Times New Roman"/>
      <w:szCs w:val="24"/>
      <w:lang w:val="en-US" w:eastAsia="zh-CN" w:bidi="ar-SA"/>
    </w:rPr>
  </w:style>
  <w:style w:type="paragraph" w:customStyle="1" w:styleId="388">
    <w:name w:val="Normal_17_0_0"/>
    <w:qFormat/>
    <w:uiPriority w:val="0"/>
    <w:rPr>
      <w:rFonts w:ascii="黑体" w:hAnsi="黑体" w:eastAsia="黑体" w:cs="Times New Roman"/>
      <w:b/>
      <w:sz w:val="32"/>
      <w:szCs w:val="24"/>
      <w:lang w:val="en-US" w:eastAsia="zh-CN" w:bidi="ar-SA"/>
    </w:rPr>
  </w:style>
  <w:style w:type="paragraph" w:customStyle="1" w:styleId="389">
    <w:name w:val="Normal_19_0_1_0"/>
    <w:qFormat/>
    <w:uiPriority w:val="0"/>
    <w:rPr>
      <w:rFonts w:ascii="Tahoma" w:hAnsi="Tahoma" w:eastAsia="微软雅黑" w:cs="Times New Roman"/>
      <w:lang w:val="en-US" w:eastAsia="zh-CN" w:bidi="ar-SA"/>
    </w:rPr>
  </w:style>
  <w:style w:type="paragraph" w:customStyle="1" w:styleId="390">
    <w:name w:val="Normal_19_3"/>
    <w:next w:val="391"/>
    <w:qFormat/>
    <w:uiPriority w:val="0"/>
    <w:pPr>
      <w:widowControl w:val="0"/>
      <w:jc w:val="both"/>
    </w:pPr>
    <w:rPr>
      <w:rFonts w:ascii="Calibri" w:hAnsi="Calibri" w:eastAsia="Times New Roman" w:cs="Times New Roman"/>
      <w:szCs w:val="24"/>
      <w:lang w:val="en-US" w:eastAsia="zh-CN" w:bidi="ar-SA"/>
    </w:rPr>
  </w:style>
  <w:style w:type="paragraph" w:customStyle="1" w:styleId="391">
    <w:name w:val="正文_17_0"/>
    <w:qFormat/>
    <w:uiPriority w:val="0"/>
    <w:pPr>
      <w:widowControl w:val="0"/>
      <w:jc w:val="both"/>
    </w:pPr>
    <w:rPr>
      <w:rFonts w:ascii="Calibri" w:hAnsi="Calibri" w:eastAsia="宋体" w:cs="Times New Roman"/>
      <w:sz w:val="21"/>
      <w:szCs w:val="22"/>
      <w:lang w:val="en-US" w:eastAsia="zh-CN" w:bidi="ar-SA"/>
    </w:rPr>
  </w:style>
  <w:style w:type="paragraph" w:customStyle="1" w:styleId="392">
    <w:name w:val="Normal_22_0_0"/>
    <w:qFormat/>
    <w:uiPriority w:val="0"/>
    <w:pPr>
      <w:widowControl w:val="0"/>
      <w:jc w:val="both"/>
    </w:pPr>
    <w:rPr>
      <w:rFonts w:ascii="Calibri" w:hAnsi="Calibri" w:eastAsia="宋体" w:cs="Times New Roman"/>
      <w:szCs w:val="24"/>
      <w:lang w:val="en-US" w:eastAsia="zh-CN" w:bidi="ar-SA"/>
    </w:rPr>
  </w:style>
  <w:style w:type="character" w:customStyle="1" w:styleId="393">
    <w:name w:val="custom-tag-placeholder-class"/>
    <w:qFormat/>
    <w:uiPriority w:val="0"/>
  </w:style>
  <w:style w:type="paragraph" w:customStyle="1" w:styleId="394">
    <w:name w:val="Normal_19_0_0"/>
    <w:basedOn w:val="165"/>
    <w:next w:val="395"/>
    <w:qFormat/>
    <w:uiPriority w:val="0"/>
    <w:rPr>
      <w:rFonts w:ascii="Calibri" w:hAnsi="Calibri" w:eastAsia="Times New Roman"/>
      <w:sz w:val="24"/>
    </w:rPr>
  </w:style>
  <w:style w:type="paragraph" w:customStyle="1" w:styleId="395">
    <w:name w:val="Body Text First Indent_1_0_0"/>
    <w:basedOn w:val="394"/>
    <w:qFormat/>
    <w:uiPriority w:val="0"/>
    <w:pPr>
      <w:spacing w:after="120"/>
      <w:ind w:firstLine="100"/>
    </w:pPr>
  </w:style>
  <w:style w:type="paragraph" w:customStyle="1" w:styleId="396">
    <w:name w:val="正文首行缩进1"/>
    <w:basedOn w:val="397"/>
    <w:qFormat/>
    <w:uiPriority w:val="0"/>
    <w:pPr>
      <w:spacing w:after="120" w:line="240" w:lineRule="auto"/>
      <w:ind w:firstLine="100"/>
    </w:pPr>
    <w:rPr>
      <w:rFonts w:ascii="Times New Roman" w:hAnsi="Times New Roman" w:eastAsia="宋体"/>
      <w:sz w:val="21"/>
    </w:rPr>
  </w:style>
  <w:style w:type="paragraph" w:customStyle="1" w:styleId="397">
    <w:name w:val="正文文本1"/>
    <w:basedOn w:val="1"/>
    <w:qFormat/>
    <w:uiPriority w:val="0"/>
    <w:pPr>
      <w:spacing w:line="60" w:lineRule="auto"/>
    </w:pPr>
    <w:rPr>
      <w:rFonts w:ascii="仿宋_GB2312" w:eastAsia="仿宋_GB2312"/>
      <w:sz w:val="32"/>
    </w:rPr>
  </w:style>
  <w:style w:type="paragraph" w:customStyle="1" w:styleId="398">
    <w:name w:val="正文_2_0"/>
    <w:qFormat/>
    <w:uiPriority w:val="0"/>
    <w:pPr>
      <w:widowControl w:val="0"/>
      <w:jc w:val="both"/>
    </w:pPr>
    <w:rPr>
      <w:rFonts w:ascii="Calibri" w:hAnsi="Calibri" w:eastAsia="宋体" w:cs="Times New Roman"/>
      <w:sz w:val="21"/>
      <w:szCs w:val="22"/>
      <w:lang w:val="en-US" w:eastAsia="zh-CN" w:bidi="ar-SA"/>
    </w:rPr>
  </w:style>
  <w:style w:type="paragraph" w:customStyle="1" w:styleId="399">
    <w:name w:val="List Paragraph_0"/>
    <w:basedOn w:val="309"/>
    <w:qFormat/>
    <w:uiPriority w:val="0"/>
    <w:pPr>
      <w:ind w:firstLine="420"/>
    </w:pPr>
  </w:style>
  <w:style w:type="paragraph" w:customStyle="1" w:styleId="400">
    <w:name w:val="纯文本_1"/>
    <w:basedOn w:val="398"/>
    <w:qFormat/>
    <w:uiPriority w:val="0"/>
    <w:rPr>
      <w:rFonts w:ascii="宋体" w:hAnsi="Times New Roman"/>
      <w:sz w:val="20"/>
      <w:szCs w:val="21"/>
    </w:rPr>
  </w:style>
  <w:style w:type="paragraph" w:customStyle="1" w:styleId="401">
    <w:name w:val="正文_16_0_0"/>
    <w:next w:val="171"/>
    <w:qFormat/>
    <w:uiPriority w:val="0"/>
    <w:pPr>
      <w:widowControl w:val="0"/>
      <w:jc w:val="both"/>
    </w:pPr>
    <w:rPr>
      <w:rFonts w:ascii="Calibri" w:hAnsi="Calibri" w:eastAsia="宋体" w:cs="Times New Roman"/>
      <w:sz w:val="21"/>
      <w:szCs w:val="22"/>
      <w:lang w:val="en-US" w:eastAsia="zh-CN" w:bidi="ar-SA"/>
    </w:rPr>
  </w:style>
  <w:style w:type="paragraph" w:customStyle="1" w:styleId="402">
    <w:name w:val="正文_11_0"/>
    <w:basedOn w:val="171"/>
    <w:qFormat/>
    <w:uiPriority w:val="0"/>
    <w:rPr>
      <w:rFonts w:ascii="Calibri" w:hAnsi="Calibri"/>
      <w:szCs w:val="20"/>
    </w:rPr>
  </w:style>
  <w:style w:type="paragraph" w:customStyle="1" w:styleId="403">
    <w:name w:val="Normal_19_0_0_0"/>
    <w:basedOn w:val="5"/>
    <w:qFormat/>
    <w:uiPriority w:val="0"/>
    <w:rPr>
      <w:rFonts w:cs="黑体"/>
      <w:szCs w:val="24"/>
    </w:rPr>
  </w:style>
  <w:style w:type="paragraph" w:customStyle="1" w:styleId="404">
    <w:name w:val="无间隔11"/>
    <w:basedOn w:val="315"/>
    <w:qFormat/>
    <w:uiPriority w:val="0"/>
    <w:rPr>
      <w:rFonts w:ascii="Calibri" w:hAnsi="Calibri" w:cs="Calibri"/>
    </w:rPr>
  </w:style>
  <w:style w:type="paragraph" w:customStyle="1" w:styleId="405">
    <w:name w:val="标题 31"/>
    <w:basedOn w:val="315"/>
    <w:next w:val="315"/>
    <w:qFormat/>
    <w:uiPriority w:val="0"/>
    <w:pPr>
      <w:keepNext/>
      <w:keepLines/>
      <w:spacing w:before="260" w:after="260" w:line="413" w:lineRule="auto"/>
      <w:outlineLvl w:val="2"/>
    </w:pPr>
    <w:rPr>
      <w:b/>
      <w:sz w:val="32"/>
      <w:szCs w:val="20"/>
    </w:rPr>
  </w:style>
  <w:style w:type="character" w:customStyle="1" w:styleId="406">
    <w:name w:val="标题 2 Char_0"/>
    <w:link w:val="407"/>
    <w:qFormat/>
    <w:uiPriority w:val="0"/>
    <w:rPr>
      <w:rFonts w:ascii="Arial" w:hAnsi="Arial" w:eastAsia="黑体"/>
      <w:b/>
      <w:sz w:val="32"/>
      <w:szCs w:val="22"/>
    </w:rPr>
  </w:style>
  <w:style w:type="paragraph" w:customStyle="1" w:styleId="407">
    <w:name w:val="标题 21"/>
    <w:basedOn w:val="7"/>
    <w:next w:val="7"/>
    <w:link w:val="406"/>
    <w:unhideWhenUsed/>
    <w:qFormat/>
    <w:uiPriority w:val="0"/>
    <w:pPr>
      <w:keepNext/>
      <w:keepLines/>
      <w:spacing w:before="260" w:after="260" w:line="413" w:lineRule="auto"/>
      <w:outlineLvl w:val="1"/>
    </w:pPr>
    <w:rPr>
      <w:rFonts w:ascii="Arial" w:hAnsi="Arial"/>
      <w:szCs w:val="22"/>
    </w:rPr>
  </w:style>
  <w:style w:type="paragraph" w:customStyle="1" w:styleId="408">
    <w:name w:val="Normal_19_1_0_0"/>
    <w:next w:val="409"/>
    <w:qFormat/>
    <w:uiPriority w:val="0"/>
    <w:pPr>
      <w:widowControl w:val="0"/>
      <w:jc w:val="both"/>
    </w:pPr>
    <w:rPr>
      <w:rFonts w:ascii="Calibri" w:hAnsi="Calibri" w:eastAsia="宋体" w:cs="Times New Roman"/>
      <w:sz w:val="21"/>
      <w:szCs w:val="24"/>
      <w:lang w:val="en-US" w:eastAsia="zh-CN" w:bidi="ar-SA"/>
    </w:rPr>
  </w:style>
  <w:style w:type="paragraph" w:customStyle="1" w:styleId="409">
    <w:name w:val="正文_16_0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10">
    <w:name w:val="正文1_0_0"/>
    <w:basedOn w:val="7"/>
    <w:qFormat/>
    <w:uiPriority w:val="0"/>
    <w:pPr>
      <w:spacing w:line="360" w:lineRule="auto"/>
      <w:ind w:left="357" w:firstLine="420"/>
    </w:pPr>
    <w:rPr>
      <w:rFonts w:eastAsia="Times New Roman" w:cs="Arial"/>
    </w:rPr>
  </w:style>
  <w:style w:type="paragraph" w:customStyle="1" w:styleId="411">
    <w:name w:val="普通正文"/>
    <w:basedOn w:val="1"/>
    <w:qFormat/>
    <w:uiPriority w:val="0"/>
    <w:pPr>
      <w:spacing w:before="120" w:after="120" w:line="360" w:lineRule="auto"/>
      <w:ind w:firstLine="480"/>
      <w:jc w:val="left"/>
    </w:pPr>
    <w:rPr>
      <w:rFonts w:ascii="Arial" w:hAnsi="Arial"/>
      <w:sz w:val="24"/>
      <w:szCs w:val="24"/>
    </w:rPr>
  </w:style>
  <w:style w:type="paragraph" w:customStyle="1" w:styleId="412">
    <w:name w:val="正文空2字"/>
    <w:basedOn w:val="413"/>
    <w:qFormat/>
    <w:uiPriority w:val="99"/>
    <w:pPr>
      <w:widowControl w:val="0"/>
      <w:spacing w:line="560" w:lineRule="exact"/>
      <w:ind w:firstLine="640"/>
    </w:pPr>
    <w:rPr>
      <w:rFonts w:ascii="仿宋_GB2312" w:hAnsi="仿宋_GB2312" w:cs="仿宋_GB2312"/>
      <w:lang w:val="zh-TW"/>
    </w:rPr>
  </w:style>
  <w:style w:type="paragraph" w:customStyle="1" w:styleId="413">
    <w:name w:val="左对齐正文"/>
    <w:qFormat/>
    <w:uiPriority w:val="99"/>
    <w:rPr>
      <w:rFonts w:ascii="Calibri" w:hAnsi="Calibri" w:eastAsia="仿宋_GB2312" w:cs="Calibri"/>
      <w:sz w:val="32"/>
      <w:szCs w:val="32"/>
      <w:lang w:val="en-US" w:eastAsia="zh-CN" w:bidi="ar-SA"/>
    </w:rPr>
  </w:style>
  <w:style w:type="paragraph" w:customStyle="1" w:styleId="414">
    <w:name w:val="普通(网站)1"/>
    <w:basedOn w:val="1"/>
    <w:qFormat/>
    <w:uiPriority w:val="0"/>
    <w:rPr>
      <w:sz w:val="24"/>
    </w:rPr>
  </w:style>
  <w:style w:type="paragraph" w:customStyle="1" w:styleId="415">
    <w:name w:val="正文文本_0"/>
    <w:basedOn w:val="309"/>
    <w:next w:val="416"/>
    <w:qFormat/>
    <w:uiPriority w:val="0"/>
    <w:pPr>
      <w:spacing w:line="60" w:lineRule="auto"/>
    </w:pPr>
    <w:rPr>
      <w:rFonts w:ascii="仿宋_GB2312" w:eastAsia="仿宋_GB2312"/>
      <w:sz w:val="32"/>
    </w:rPr>
  </w:style>
  <w:style w:type="paragraph" w:customStyle="1" w:styleId="416">
    <w:name w:val="正文缩进_1"/>
    <w:basedOn w:val="309"/>
    <w:next w:val="309"/>
    <w:qFormat/>
    <w:uiPriority w:val="0"/>
    <w:pPr>
      <w:ind w:firstLine="420"/>
    </w:pPr>
    <w:rPr>
      <w:rFonts w:ascii="宋体"/>
      <w:color w:val="000000"/>
      <w:sz w:val="24"/>
      <w:szCs w:val="20"/>
    </w:rPr>
  </w:style>
  <w:style w:type="paragraph" w:customStyle="1" w:styleId="417">
    <w:name w:val="Table Paragraph"/>
    <w:basedOn w:val="165"/>
    <w:qFormat/>
    <w:uiPriority w:val="1"/>
    <w:rPr>
      <w:rFonts w:ascii="宋体" w:hAnsi="宋体" w:cs="宋体"/>
      <w:sz w:val="22"/>
      <w:lang w:val="zh-CN" w:bidi="zh-CN"/>
    </w:rPr>
  </w:style>
  <w:style w:type="paragraph" w:customStyle="1" w:styleId="418">
    <w:name w:val="Normal_19_2"/>
    <w:basedOn w:val="419"/>
    <w:qFormat/>
    <w:uiPriority w:val="0"/>
    <w:rPr>
      <w:rFonts w:ascii="Times New Roman" w:hAnsi="Times New Roman"/>
      <w:szCs w:val="21"/>
    </w:rPr>
  </w:style>
  <w:style w:type="paragraph" w:customStyle="1" w:styleId="419">
    <w:name w:val="正文_3_0"/>
    <w:qFormat/>
    <w:uiPriority w:val="0"/>
    <w:pPr>
      <w:widowControl w:val="0"/>
      <w:jc w:val="both"/>
    </w:pPr>
    <w:rPr>
      <w:rFonts w:ascii="Calibri" w:hAnsi="Calibri" w:eastAsia="宋体" w:cs="Times New Roman"/>
      <w:sz w:val="21"/>
      <w:szCs w:val="22"/>
      <w:lang w:val="en-US" w:eastAsia="zh-CN" w:bidi="ar-SA"/>
    </w:rPr>
  </w:style>
  <w:style w:type="paragraph" w:customStyle="1" w:styleId="420">
    <w:name w:val="正文文本2"/>
    <w:basedOn w:val="169"/>
    <w:qFormat/>
    <w:uiPriority w:val="0"/>
    <w:pPr>
      <w:spacing w:line="60" w:lineRule="auto"/>
    </w:pPr>
    <w:rPr>
      <w:rFonts w:ascii="仿宋_GB2312" w:eastAsia="仿宋_GB2312"/>
      <w:sz w:val="32"/>
      <w:szCs w:val="22"/>
    </w:rPr>
  </w:style>
  <w:style w:type="paragraph" w:customStyle="1" w:styleId="421">
    <w:name w:val="正文1_0"/>
    <w:basedOn w:val="398"/>
    <w:qFormat/>
    <w:uiPriority w:val="0"/>
    <w:pPr>
      <w:widowControl/>
      <w:spacing w:line="360" w:lineRule="auto"/>
      <w:ind w:left="357" w:firstLine="420"/>
      <w:jc w:val="left"/>
    </w:pPr>
    <w:rPr>
      <w:rFonts w:cs="Arial"/>
      <w:szCs w:val="20"/>
    </w:rPr>
  </w:style>
  <w:style w:type="paragraph" w:customStyle="1" w:styleId="422">
    <w:name w:val="Normal_19_2_0"/>
    <w:basedOn w:val="423"/>
    <w:qFormat/>
    <w:uiPriority w:val="0"/>
    <w:rPr>
      <w:rFonts w:ascii="Times New Roman" w:hAnsi="Times New Roman"/>
      <w:szCs w:val="21"/>
    </w:rPr>
  </w:style>
  <w:style w:type="paragraph" w:customStyle="1" w:styleId="423">
    <w:name w:val="正文_3_1"/>
    <w:qFormat/>
    <w:uiPriority w:val="0"/>
    <w:pPr>
      <w:widowControl w:val="0"/>
      <w:jc w:val="both"/>
    </w:pPr>
    <w:rPr>
      <w:rFonts w:ascii="Calibri" w:hAnsi="Calibri" w:eastAsia="宋体" w:cs="Times New Roman"/>
      <w:sz w:val="21"/>
      <w:szCs w:val="22"/>
      <w:lang w:val="en-US" w:eastAsia="zh-CN" w:bidi="ar-SA"/>
    </w:rPr>
  </w:style>
  <w:style w:type="paragraph" w:customStyle="1" w:styleId="424">
    <w:name w:val="纯文本1"/>
    <w:basedOn w:val="170"/>
    <w:qFormat/>
    <w:uiPriority w:val="0"/>
    <w:rPr>
      <w:rFonts w:ascii="宋体" w:hAnsi="Courier New"/>
    </w:rPr>
  </w:style>
  <w:style w:type="paragraph" w:customStyle="1" w:styleId="425">
    <w:name w:val="Normal_21_0"/>
    <w:next w:val="426"/>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426">
    <w:name w:val="Heading 1_0"/>
    <w:basedOn w:val="425"/>
    <w:next w:val="425"/>
    <w:qFormat/>
    <w:uiPriority w:val="0"/>
    <w:pPr>
      <w:keepNext/>
      <w:keepLines/>
      <w:spacing w:before="240" w:after="120" w:line="300" w:lineRule="auto"/>
      <w:jc w:val="center"/>
      <w:outlineLvl w:val="0"/>
    </w:pPr>
    <w:rPr>
      <w:rFonts w:ascii="宋体"/>
      <w:b/>
      <w:sz w:val="32"/>
      <w:szCs w:val="20"/>
    </w:rPr>
  </w:style>
  <w:style w:type="paragraph" w:customStyle="1" w:styleId="427">
    <w:name w:val="正文_12_0_0_0_0"/>
    <w:qFormat/>
    <w:uiPriority w:val="0"/>
    <w:pPr>
      <w:widowControl w:val="0"/>
      <w:jc w:val="both"/>
    </w:pPr>
    <w:rPr>
      <w:rFonts w:ascii="Times New Roman" w:hAnsi="Times New Roman" w:eastAsia="宋体" w:cs="Times New Roman"/>
      <w:sz w:val="21"/>
      <w:szCs w:val="24"/>
      <w:lang w:val="en-US" w:eastAsia="zh-CN" w:bidi="ar-SA"/>
    </w:rPr>
  </w:style>
  <w:style w:type="character" w:customStyle="1" w:styleId="428">
    <w:name w:val="正文文本 字符"/>
    <w:qFormat/>
    <w:uiPriority w:val="0"/>
    <w:rPr>
      <w:rFonts w:ascii="楷体_GB2312" w:hAnsi="Arial" w:eastAsia="楷体_GB2312" w:cs="Times New Roman"/>
      <w:sz w:val="28"/>
      <w:szCs w:val="28"/>
    </w:rPr>
  </w:style>
  <w:style w:type="character" w:customStyle="1" w:styleId="429">
    <w:name w:val="正文文本缩进 字符"/>
    <w:qFormat/>
    <w:uiPriority w:val="0"/>
    <w:rPr>
      <w:rFonts w:ascii="楷体_GB2312" w:hAnsi="Times New Roman" w:eastAsia="楷体_GB2312" w:cs="Times New Roman"/>
      <w:sz w:val="32"/>
      <w:szCs w:val="32"/>
    </w:rPr>
  </w:style>
  <w:style w:type="character" w:customStyle="1" w:styleId="430">
    <w:name w:val="正文文本 字符1"/>
    <w:qFormat/>
    <w:uiPriority w:val="0"/>
    <w:rPr>
      <w:rFonts w:ascii="Calibri" w:hAnsi="Calibri"/>
      <w:sz w:val="28"/>
      <w:szCs w:val="24"/>
    </w:rPr>
  </w:style>
  <w:style w:type="character" w:customStyle="1" w:styleId="431">
    <w:name w:val="正文文本首行缩进 字符"/>
    <w:qFormat/>
    <w:uiPriority w:val="0"/>
    <w:rPr>
      <w:rFonts w:ascii="仿宋_GB2312" w:hAnsi="Calibri" w:eastAsia="仿宋_GB2312"/>
      <w:sz w:val="30"/>
      <w:szCs w:val="30"/>
    </w:rPr>
  </w:style>
  <w:style w:type="paragraph" w:customStyle="1" w:styleId="432">
    <w:name w:val="索引 41"/>
    <w:basedOn w:val="1"/>
    <w:next w:val="1"/>
    <w:semiHidden/>
    <w:qFormat/>
    <w:uiPriority w:val="0"/>
    <w:pPr>
      <w:ind w:left="1260"/>
    </w:pPr>
    <w:rPr>
      <w:rFonts w:eastAsia="Calibri" w:cs="宋体"/>
      <w:sz w:val="20"/>
      <w:szCs w:val="21"/>
      <w:lang w:val="zh-CN"/>
    </w:rPr>
  </w:style>
  <w:style w:type="character" w:customStyle="1" w:styleId="433">
    <w:name w:val="font5 Char"/>
    <w:qFormat/>
    <w:uiPriority w:val="0"/>
    <w:rPr>
      <w:rFonts w:ascii="宋体" w:hAnsi="宋体" w:eastAsia="宋体"/>
      <w:sz w:val="28"/>
      <w:szCs w:val="28"/>
      <w:lang w:val="en-US" w:eastAsia="zh-CN" w:bidi="ar-SA"/>
    </w:rPr>
  </w:style>
  <w:style w:type="character" w:customStyle="1" w:styleId="434">
    <w:name w:val="二级目录 Char"/>
    <w:link w:val="435"/>
    <w:qFormat/>
    <w:uiPriority w:val="0"/>
    <w:rPr>
      <w:b/>
      <w:sz w:val="30"/>
      <w:szCs w:val="28"/>
    </w:rPr>
  </w:style>
  <w:style w:type="paragraph" w:customStyle="1" w:styleId="435">
    <w:name w:val="二级目录"/>
    <w:next w:val="1"/>
    <w:link w:val="434"/>
    <w:qFormat/>
    <w:uiPriority w:val="0"/>
    <w:pPr>
      <w:numPr>
        <w:ilvl w:val="0"/>
        <w:numId w:val="1"/>
      </w:numPr>
      <w:tabs>
        <w:tab w:val="left" w:pos="907"/>
        <w:tab w:val="left" w:pos="1145"/>
      </w:tabs>
      <w:outlineLvl w:val="1"/>
    </w:pPr>
    <w:rPr>
      <w:rFonts w:ascii="Times New Roman" w:hAnsi="Times New Roman" w:eastAsia="宋体" w:cs="Times New Roman"/>
      <w:b/>
      <w:sz w:val="30"/>
      <w:szCs w:val="28"/>
      <w:lang w:val="en-US" w:eastAsia="zh-CN" w:bidi="ar-SA"/>
    </w:rPr>
  </w:style>
  <w:style w:type="character" w:customStyle="1" w:styleId="436">
    <w:name w:val="列出段落 Char"/>
    <w:link w:val="437"/>
    <w:qFormat/>
    <w:uiPriority w:val="0"/>
    <w:rPr>
      <w:rFonts w:ascii="Calibri" w:hAnsi="Calibri"/>
      <w:sz w:val="24"/>
      <w:szCs w:val="24"/>
      <w:lang w:eastAsia="en-US" w:bidi="en-US"/>
    </w:rPr>
  </w:style>
  <w:style w:type="paragraph" w:customStyle="1" w:styleId="437">
    <w:name w:val="列出段落1"/>
    <w:basedOn w:val="1"/>
    <w:link w:val="436"/>
    <w:qFormat/>
    <w:uiPriority w:val="0"/>
    <w:pPr>
      <w:widowControl/>
      <w:ind w:left="720"/>
      <w:contextualSpacing/>
      <w:jc w:val="left"/>
    </w:pPr>
    <w:rPr>
      <w:sz w:val="24"/>
      <w:szCs w:val="24"/>
      <w:lang w:eastAsia="en-US" w:bidi="en-US"/>
    </w:rPr>
  </w:style>
  <w:style w:type="paragraph" w:customStyle="1" w:styleId="438">
    <w:name w:val="Body Text(ch)"/>
    <w:basedOn w:val="1"/>
    <w:qFormat/>
    <w:uiPriority w:val="0"/>
    <w:pPr>
      <w:spacing w:after="120"/>
    </w:pPr>
    <w:rPr>
      <w:rFonts w:ascii="宋体" w:hAnsi="Arial"/>
      <w:bCs/>
      <w:iCs/>
      <w:szCs w:val="24"/>
    </w:rPr>
  </w:style>
  <w:style w:type="paragraph" w:customStyle="1" w:styleId="439">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40">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441">
    <w:name w:val="Char"/>
    <w:basedOn w:val="1"/>
    <w:qFormat/>
    <w:uiPriority w:val="0"/>
    <w:pPr>
      <w:tabs>
        <w:tab w:val="left" w:pos="360"/>
      </w:tabs>
      <w:ind w:firstLine="200"/>
    </w:pPr>
    <w:rPr>
      <w:rFonts w:ascii="Times New Roman" w:hAnsi="Times New Roman"/>
      <w:sz w:val="28"/>
      <w:szCs w:val="30"/>
    </w:rPr>
  </w:style>
  <w:style w:type="paragraph" w:customStyle="1" w:styleId="442">
    <w:name w:val="Char1"/>
    <w:basedOn w:val="100"/>
    <w:qFormat/>
    <w:uiPriority w:val="0"/>
    <w:rPr>
      <w:rFonts w:ascii="Tahoma" w:hAnsi="Tahoma"/>
      <w:sz w:val="24"/>
      <w:szCs w:val="24"/>
    </w:rPr>
  </w:style>
  <w:style w:type="paragraph" w:customStyle="1" w:styleId="443">
    <w:name w:val="table_lines"/>
    <w:basedOn w:val="1"/>
    <w:qFormat/>
    <w:uiPriority w:val="0"/>
    <w:pPr>
      <w:widowControl/>
      <w:jc w:val="left"/>
    </w:pPr>
    <w:rPr>
      <w:rFonts w:ascii="Times New Roman" w:hAnsi="Times New Roman"/>
      <w:sz w:val="20"/>
      <w:szCs w:val="20"/>
      <w:lang w:val="de-DE" w:eastAsia="de-DE"/>
    </w:rPr>
  </w:style>
  <w:style w:type="paragraph" w:customStyle="1" w:styleId="444">
    <w:name w:val="附录1"/>
    <w:qFormat/>
    <w:uiPriority w:val="0"/>
    <w:pPr>
      <w:tabs>
        <w:tab w:val="left" w:pos="907"/>
      </w:tabs>
      <w:spacing w:before="240" w:line="600" w:lineRule="atLeast"/>
    </w:pPr>
    <w:rPr>
      <w:rFonts w:ascii="Times New Roman" w:hAnsi="Times New Roman" w:eastAsia="宋体" w:cs="Times New Roman"/>
      <w:b/>
      <w:i/>
      <w:sz w:val="28"/>
      <w:lang w:val="en-US" w:eastAsia="zh-CN" w:bidi="ar-SA"/>
    </w:rPr>
  </w:style>
  <w:style w:type="paragraph" w:customStyle="1" w:styleId="445">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446">
    <w:name w:val="Char Char Char Char"/>
    <w:basedOn w:val="100"/>
    <w:qFormat/>
    <w:uiPriority w:val="0"/>
    <w:pPr>
      <w:spacing w:line="360" w:lineRule="auto"/>
    </w:pPr>
    <w:rPr>
      <w:rFonts w:ascii="Tahoma" w:hAnsi="Tahoma"/>
      <w:sz w:val="24"/>
      <w:szCs w:val="24"/>
    </w:rPr>
  </w:style>
  <w:style w:type="paragraph" w:customStyle="1" w:styleId="447">
    <w:name w:val="4"/>
    <w:basedOn w:val="1"/>
    <w:next w:val="135"/>
    <w:qFormat/>
    <w:uiPriority w:val="0"/>
    <w:pPr>
      <w:spacing w:line="360" w:lineRule="auto"/>
      <w:ind w:firstLine="420"/>
    </w:pPr>
    <w:rPr>
      <w:rFonts w:ascii="Times New Roman" w:hAnsi="Times New Roman"/>
      <w:color w:val="FF0000"/>
      <w:sz w:val="24"/>
      <w:szCs w:val="24"/>
    </w:rPr>
  </w:style>
  <w:style w:type="paragraph" w:customStyle="1" w:styleId="448">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449">
    <w:name w:val="Char Char Char Char Char Char Char Char Char Char"/>
    <w:basedOn w:val="1"/>
    <w:qFormat/>
    <w:uiPriority w:val="0"/>
    <w:pPr>
      <w:spacing w:line="360" w:lineRule="auto"/>
    </w:pPr>
    <w:rPr>
      <w:rFonts w:ascii="Times New Roman" w:hAnsi="Times New Roman"/>
      <w:sz w:val="24"/>
      <w:szCs w:val="20"/>
    </w:rPr>
  </w:style>
  <w:style w:type="paragraph" w:customStyle="1" w:styleId="450">
    <w:name w:val="样式1"/>
    <w:basedOn w:val="1"/>
    <w:qFormat/>
    <w:uiPriority w:val="0"/>
    <w:pPr>
      <w:numPr>
        <w:ilvl w:val="0"/>
        <w:numId w:val="2"/>
      </w:numPr>
      <w:tabs>
        <w:tab w:val="left" w:pos="709"/>
      </w:tabs>
    </w:pPr>
    <w:rPr>
      <w:rFonts w:ascii="宋体" w:hAnsi="宋体"/>
      <w:szCs w:val="21"/>
    </w:rPr>
  </w:style>
  <w:style w:type="paragraph" w:customStyle="1" w:styleId="451">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452">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453">
    <w:name w:val="图标"/>
    <w:basedOn w:val="1"/>
    <w:next w:val="1"/>
    <w:qFormat/>
    <w:uiPriority w:val="0"/>
    <w:pPr>
      <w:tabs>
        <w:tab w:val="left" w:pos="567"/>
        <w:tab w:val="left" w:pos="840"/>
      </w:tabs>
      <w:spacing w:before="120" w:after="120" w:line="320" w:lineRule="atLeast"/>
      <w:ind w:left="840" w:hanging="420"/>
      <w:jc w:val="center"/>
    </w:pPr>
    <w:rPr>
      <w:rFonts w:ascii="Times New Roman" w:hAnsi="Times New Roman" w:eastAsia="仿宋_GB2312"/>
      <w:sz w:val="24"/>
      <w:szCs w:val="20"/>
    </w:rPr>
  </w:style>
  <w:style w:type="paragraph" w:customStyle="1" w:styleId="454">
    <w:name w:val="标题3"/>
    <w:basedOn w:val="1"/>
    <w:next w:val="1"/>
    <w:qFormat/>
    <w:uiPriority w:val="0"/>
    <w:pPr>
      <w:spacing w:line="590" w:lineRule="atLeast"/>
      <w:ind w:firstLine="624"/>
    </w:pPr>
    <w:rPr>
      <w:rFonts w:ascii="方正黑体_GBK" w:hAnsi="Times New Roman" w:eastAsia="方正黑体_GBK"/>
      <w:sz w:val="32"/>
      <w:szCs w:val="32"/>
    </w:rPr>
  </w:style>
  <w:style w:type="paragraph" w:customStyle="1" w:styleId="455">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456">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57">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458">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459">
    <w:name w:val="Char Char Char Char Char Char Char Char1"/>
    <w:basedOn w:val="1"/>
    <w:qFormat/>
    <w:uiPriority w:val="0"/>
    <w:pPr>
      <w:widowControl/>
      <w:spacing w:after="160" w:line="240" w:lineRule="exact"/>
      <w:jc w:val="left"/>
    </w:pPr>
    <w:rPr>
      <w:rFonts w:ascii="Verdana" w:hAnsi="Verdana"/>
      <w:sz w:val="20"/>
      <w:szCs w:val="20"/>
      <w:lang w:eastAsia="en-US"/>
    </w:rPr>
  </w:style>
  <w:style w:type="paragraph" w:customStyle="1" w:styleId="460">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461">
    <w:name w:val="Char Char Char Char1"/>
    <w:basedOn w:val="100"/>
    <w:qFormat/>
    <w:uiPriority w:val="0"/>
    <w:pPr>
      <w:spacing w:line="360" w:lineRule="auto"/>
    </w:pPr>
    <w:rPr>
      <w:rFonts w:ascii="Tahoma" w:hAnsi="Tahoma"/>
      <w:sz w:val="24"/>
      <w:szCs w:val="24"/>
    </w:rPr>
  </w:style>
  <w:style w:type="paragraph" w:customStyle="1" w:styleId="462">
    <w:name w:val="table_1stline"/>
    <w:basedOn w:val="1"/>
    <w:qFormat/>
    <w:uiPriority w:val="0"/>
    <w:pPr>
      <w:widowControl/>
      <w:spacing w:before="120"/>
      <w:jc w:val="left"/>
    </w:pPr>
    <w:rPr>
      <w:rFonts w:ascii="Times New Roman" w:hAnsi="Times New Roman"/>
      <w:bCs/>
      <w:sz w:val="20"/>
      <w:szCs w:val="20"/>
      <w:lang w:val="de-DE" w:eastAsia="de-DE"/>
    </w:rPr>
  </w:style>
  <w:style w:type="paragraph" w:customStyle="1" w:styleId="463">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464">
    <w:name w:val="标题1"/>
    <w:basedOn w:val="1"/>
    <w:next w:val="1"/>
    <w:qFormat/>
    <w:uiPriority w:val="0"/>
    <w:pPr>
      <w:tabs>
        <w:tab w:val="left" w:pos="9193"/>
        <w:tab w:val="left" w:pos="9827"/>
      </w:tabs>
      <w:spacing w:line="700" w:lineRule="atLeast"/>
      <w:jc w:val="center"/>
    </w:pPr>
    <w:rPr>
      <w:rFonts w:ascii="方正小标宋_GBK" w:hAnsi="Times New Roman" w:eastAsia="方正小标宋_GBK"/>
      <w:sz w:val="44"/>
      <w:szCs w:val="20"/>
    </w:rPr>
  </w:style>
  <w:style w:type="paragraph" w:customStyle="1" w:styleId="465">
    <w:name w:val="修订1"/>
    <w:semiHidden/>
    <w:qFormat/>
    <w:uiPriority w:val="99"/>
    <w:rPr>
      <w:rFonts w:ascii="Times New Roman" w:hAnsi="Times New Roman" w:eastAsia="宋体" w:cs="Times New Roman"/>
      <w:sz w:val="21"/>
      <w:szCs w:val="21"/>
      <w:lang w:val="en-US" w:eastAsia="zh-CN" w:bidi="ar-SA"/>
    </w:rPr>
  </w:style>
  <w:style w:type="table" w:customStyle="1" w:styleId="466">
    <w:name w:val="Table Normal"/>
    <w:qFormat/>
    <w:uiPriority w:val="0"/>
    <w:tblPr>
      <w:tblCellMar>
        <w:top w:w="0" w:type="dxa"/>
        <w:left w:w="0" w:type="dxa"/>
        <w:bottom w:w="0" w:type="dxa"/>
        <w:right w:w="0" w:type="dxa"/>
      </w:tblCellMar>
    </w:tblPr>
  </w:style>
  <w:style w:type="paragraph" w:customStyle="1" w:styleId="467">
    <w:name w:val="正文文本12"/>
    <w:basedOn w:val="1"/>
    <w:qFormat/>
    <w:uiPriority w:val="1"/>
    <w:pPr>
      <w:ind w:left="120"/>
    </w:pPr>
    <w:rPr>
      <w:rFonts w:ascii="宋体" w:hAnsi="宋体" w:cs="宋体"/>
      <w:szCs w:val="21"/>
      <w:lang w:val="zh-CN" w:bidi="zh-CN"/>
    </w:rPr>
  </w:style>
  <w:style w:type="paragraph" w:customStyle="1" w:styleId="468">
    <w:name w:val="首行缩进"/>
    <w:basedOn w:val="1"/>
    <w:qFormat/>
    <w:uiPriority w:val="0"/>
    <w:pPr>
      <w:ind w:firstLine="480"/>
    </w:pPr>
    <w:rPr>
      <w:rFonts w:ascii="Times New Roman" w:hAnsi="Times New Roman"/>
      <w:szCs w:val="21"/>
      <w:lang w:val="zh-CN"/>
    </w:rPr>
  </w:style>
  <w:style w:type="paragraph" w:customStyle="1" w:styleId="469">
    <w:name w:val="部分1"/>
    <w:basedOn w:val="1"/>
    <w:qFormat/>
    <w:uiPriority w:val="0"/>
    <w:pPr>
      <w:keepNext/>
      <w:pageBreakBefore/>
      <w:tabs>
        <w:tab w:val="left" w:pos="720"/>
      </w:tabs>
      <w:spacing w:line="360" w:lineRule="auto"/>
      <w:jc w:val="center"/>
      <w:outlineLvl w:val="0"/>
    </w:pPr>
    <w:rPr>
      <w:rFonts w:ascii="Times New Roman" w:hAnsi="Times New Roman" w:eastAsia="黑体"/>
      <w:b/>
      <w:sz w:val="36"/>
      <w:szCs w:val="20"/>
    </w:rPr>
  </w:style>
  <w:style w:type="character" w:customStyle="1" w:styleId="470">
    <w:name w:val="15"/>
    <w:qFormat/>
    <w:uiPriority w:val="0"/>
    <w:rPr>
      <w:rFonts w:ascii="Times New Roman" w:hAnsi="Times New Roman" w:cs="Times New Roman"/>
    </w:rPr>
  </w:style>
  <w:style w:type="paragraph" w:customStyle="1" w:styleId="471">
    <w:name w:val="正文文本缩进 2_0"/>
    <w:basedOn w:val="309"/>
    <w:qFormat/>
    <w:uiPriority w:val="0"/>
    <w:pPr>
      <w:spacing w:line="540" w:lineRule="exact"/>
      <w:ind w:firstLine="720"/>
      <w:jc w:val="left"/>
    </w:pPr>
    <w:rPr>
      <w:rFonts w:ascii="仿宋_GB2312" w:hAnsi="仿宋_GB2312" w:cs="宋体"/>
      <w:sz w:val="32"/>
      <w:szCs w:val="32"/>
    </w:rPr>
  </w:style>
  <w:style w:type="character" w:customStyle="1" w:styleId="472">
    <w:name w:val="10"/>
    <w:qFormat/>
    <w:uiPriority w:val="0"/>
    <w:rPr>
      <w:rFonts w:ascii="Times New Roman" w:hAnsi="Times New Roman" w:cs="Times New Roman"/>
    </w:rPr>
  </w:style>
  <w:style w:type="paragraph" w:customStyle="1" w:styleId="473">
    <w:name w:val="正文_16_1"/>
    <w:basedOn w:val="1"/>
    <w:qFormat/>
    <w:uiPriority w:val="0"/>
    <w:rPr>
      <w:rFonts w:ascii="Times New Roman" w:hAnsi="Times New Roman"/>
      <w:szCs w:val="21"/>
    </w:rPr>
  </w:style>
  <w:style w:type="paragraph" w:customStyle="1" w:styleId="474">
    <w:name w:val="页脚1"/>
    <w:basedOn w:val="1"/>
    <w:qFormat/>
    <w:uiPriority w:val="0"/>
    <w:pPr>
      <w:tabs>
        <w:tab w:val="center" w:pos="4153"/>
        <w:tab w:val="right" w:pos="8306"/>
      </w:tabs>
      <w:jc w:val="left"/>
    </w:pPr>
    <w:rPr>
      <w:sz w:val="18"/>
      <w:szCs w:val="18"/>
    </w:rPr>
  </w:style>
  <w:style w:type="character" w:customStyle="1" w:styleId="475">
    <w:name w:val="页码1"/>
    <w:qFormat/>
    <w:uiPriority w:val="0"/>
  </w:style>
  <w:style w:type="paragraph" w:customStyle="1" w:styleId="476">
    <w:name w:val="*正文"/>
    <w:basedOn w:val="97"/>
    <w:qFormat/>
    <w:uiPriority w:val="0"/>
    <w:pPr>
      <w:ind w:firstLine="200"/>
    </w:pPr>
    <w:rPr>
      <w:rFonts w:hAnsi="宋体"/>
      <w:szCs w:val="24"/>
    </w:rPr>
  </w:style>
  <w:style w:type="paragraph" w:customStyle="1" w:styleId="477">
    <w:name w:val="*正文_0"/>
    <w:basedOn w:val="478"/>
    <w:qFormat/>
    <w:uiPriority w:val="0"/>
    <w:pPr>
      <w:spacing w:line="360" w:lineRule="auto"/>
      <w:ind w:firstLine="200"/>
    </w:pPr>
    <w:rPr>
      <w:rFonts w:ascii="宋体" w:hAnsi="宋体" w:eastAsia="Arial" w:cs="Arial"/>
      <w:color w:val="000000"/>
      <w:sz w:val="24"/>
    </w:rPr>
  </w:style>
  <w:style w:type="paragraph" w:customStyle="1" w:styleId="478">
    <w:name w:val="正文缩进_2"/>
    <w:basedOn w:val="332"/>
    <w:unhideWhenUsed/>
    <w:qFormat/>
    <w:uiPriority w:val="0"/>
    <w:pPr>
      <w:widowControl/>
      <w:ind w:firstLine="420"/>
      <w:jc w:val="left"/>
    </w:pPr>
    <w:rPr>
      <w:rFonts w:ascii="Times New Roman" w:hAnsi="Times New Roman"/>
      <w:sz w:val="20"/>
      <w:szCs w:val="24"/>
    </w:rPr>
  </w:style>
  <w:style w:type="paragraph" w:customStyle="1" w:styleId="479">
    <w:name w:val="*正文_0_0"/>
    <w:basedOn w:val="332"/>
    <w:qFormat/>
    <w:uiPriority w:val="0"/>
    <w:pPr>
      <w:widowControl/>
      <w:spacing w:line="360" w:lineRule="auto"/>
      <w:ind w:firstLine="200"/>
      <w:jc w:val="left"/>
    </w:pPr>
    <w:rPr>
      <w:rFonts w:ascii="宋体" w:hAnsi="宋体" w:eastAsia="Arial" w:cs="Arial"/>
      <w:color w:val="000000"/>
      <w:sz w:val="24"/>
      <w:szCs w:val="24"/>
    </w:rPr>
  </w:style>
  <w:style w:type="paragraph" w:customStyle="1" w:styleId="480">
    <w:name w:val="无间隔1_0_0"/>
    <w:basedOn w:val="332"/>
    <w:qFormat/>
    <w:uiPriority w:val="0"/>
    <w:rPr>
      <w:rFonts w:ascii="Times New Roman" w:hAnsi="Times New Roman"/>
      <w:szCs w:val="21"/>
    </w:rPr>
  </w:style>
  <w:style w:type="paragraph" w:customStyle="1" w:styleId="481">
    <w:name w:val="正文_0_2"/>
    <w:qFormat/>
    <w:uiPriority w:val="0"/>
    <w:pPr>
      <w:widowControl w:val="0"/>
      <w:jc w:val="both"/>
    </w:pPr>
    <w:rPr>
      <w:rFonts w:ascii="Times New Roman" w:hAnsi="Times New Roman" w:eastAsia="宋体" w:cs="Times New Roman"/>
      <w:szCs w:val="24"/>
      <w:lang w:val="en-US" w:eastAsia="zh-CN" w:bidi="ar-SA"/>
    </w:rPr>
  </w:style>
  <w:style w:type="paragraph" w:customStyle="1" w:styleId="482">
    <w:name w:val="标题 4_0"/>
    <w:basedOn w:val="483"/>
    <w:next w:val="483"/>
    <w:unhideWhenUsed/>
    <w:qFormat/>
    <w:uiPriority w:val="9"/>
    <w:pPr>
      <w:keepNext/>
      <w:keepLines/>
      <w:spacing w:before="280" w:after="290" w:line="372" w:lineRule="auto"/>
      <w:outlineLvl w:val="3"/>
    </w:pPr>
    <w:rPr>
      <w:rFonts w:ascii="Arial" w:hAnsi="Arial" w:eastAsia="黑体"/>
      <w:b/>
      <w:sz w:val="28"/>
    </w:rPr>
  </w:style>
  <w:style w:type="paragraph" w:customStyle="1" w:styleId="483">
    <w:name w:val="正文4"/>
    <w:qFormat/>
    <w:uiPriority w:val="0"/>
    <w:pPr>
      <w:widowControl w:val="0"/>
      <w:jc w:val="both"/>
    </w:pPr>
    <w:rPr>
      <w:rFonts w:ascii="Calibri" w:hAnsi="Calibri" w:eastAsia="宋体" w:cs="Times New Roman"/>
      <w:lang w:val="en-US" w:eastAsia="zh-CN" w:bidi="ar-SA"/>
    </w:rPr>
  </w:style>
  <w:style w:type="paragraph" w:customStyle="1" w:styleId="484">
    <w:name w:val="正文_3_0_0"/>
    <w:qFormat/>
    <w:uiPriority w:val="0"/>
    <w:pPr>
      <w:widowControl w:val="0"/>
      <w:jc w:val="both"/>
    </w:pPr>
    <w:rPr>
      <w:rFonts w:ascii="Times New Roman" w:hAnsi="Times New Roman" w:eastAsia="宋体" w:cs="Times New Roman"/>
      <w:lang w:val="en-US" w:eastAsia="zh-CN" w:bidi="ar-SA"/>
    </w:rPr>
  </w:style>
  <w:style w:type="paragraph" w:customStyle="1" w:styleId="485">
    <w:name w:val="p17_0_0"/>
    <w:basedOn w:val="375"/>
    <w:qFormat/>
    <w:uiPriority w:val="0"/>
    <w:pPr>
      <w:widowControl/>
      <w:spacing w:before="100" w:beforeAutospacing="1" w:after="100" w:afterAutospacing="1"/>
      <w:jc w:val="left"/>
    </w:pPr>
    <w:rPr>
      <w:rFonts w:ascii="宋体" w:hAnsi="宋体" w:eastAsia="Times New Roman" w:cs="宋体"/>
      <w:sz w:val="24"/>
    </w:rPr>
  </w:style>
  <w:style w:type="paragraph" w:customStyle="1" w:styleId="486">
    <w:name w:val="p17_0"/>
    <w:basedOn w:val="7"/>
    <w:qFormat/>
    <w:uiPriority w:val="0"/>
    <w:pPr>
      <w:spacing w:before="100" w:beforeAutospacing="1" w:after="100" w:afterAutospacing="1"/>
    </w:pPr>
    <w:rPr>
      <w:rFonts w:ascii="宋体" w:hAnsi="宋体" w:eastAsia="Times New Roman" w:cs="宋体"/>
      <w:sz w:val="24"/>
    </w:rPr>
  </w:style>
  <w:style w:type="paragraph" w:customStyle="1" w:styleId="487">
    <w:name w:val="普通(网站)11"/>
    <w:basedOn w:val="1"/>
    <w:qFormat/>
    <w:uiPriority w:val="99"/>
    <w:rPr>
      <w:sz w:val="24"/>
    </w:rPr>
  </w:style>
  <w:style w:type="paragraph" w:customStyle="1" w:styleId="488">
    <w:name w:val="AONormal"/>
    <w:qFormat/>
    <w:uiPriority w:val="0"/>
    <w:pPr>
      <w:spacing w:line="400" w:lineRule="exact"/>
      <w:ind w:firstLine="440"/>
    </w:pPr>
    <w:rPr>
      <w:rFonts w:ascii="华文楷体" w:hAnsi="华文楷体" w:eastAsia="华文楷体" w:cs="华文楷体"/>
      <w:sz w:val="22"/>
      <w:szCs w:val="21"/>
      <w:lang w:val="en-US" w:eastAsia="zh-CN" w:bidi="ar-SA"/>
    </w:rPr>
  </w:style>
  <w:style w:type="paragraph" w:customStyle="1" w:styleId="489">
    <w:name w:val="普通(网站)11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490">
    <w:name w:val="批注文字1"/>
    <w:basedOn w:val="1"/>
    <w:qFormat/>
    <w:uiPriority w:val="99"/>
    <w:pPr>
      <w:jc w:val="left"/>
    </w:pPr>
    <w:rPr>
      <w:rFonts w:ascii="Times New Roman" w:hAnsi="Times New Roman"/>
      <w:szCs w:val="21"/>
    </w:rPr>
  </w:style>
  <w:style w:type="paragraph" w:customStyle="1" w:styleId="491">
    <w:name w:val="标题 511"/>
    <w:basedOn w:val="1"/>
    <w:next w:val="1"/>
    <w:qFormat/>
    <w:uiPriority w:val="9"/>
    <w:pPr>
      <w:keepNext/>
      <w:keepLines/>
      <w:spacing w:before="320" w:after="200"/>
      <w:outlineLvl w:val="4"/>
    </w:pPr>
    <w:rPr>
      <w:rFonts w:ascii="Arial" w:hAnsi="Arial" w:eastAsia="Arial" w:cs="Arial"/>
      <w:b/>
      <w:bCs/>
      <w:sz w:val="24"/>
      <w:szCs w:val="24"/>
    </w:rPr>
  </w:style>
  <w:style w:type="paragraph" w:customStyle="1" w:styleId="492">
    <w:name w:val="正文文本4"/>
    <w:basedOn w:val="169"/>
    <w:qFormat/>
    <w:uiPriority w:val="0"/>
    <w:pPr>
      <w:spacing w:line="60" w:lineRule="auto"/>
    </w:pPr>
    <w:rPr>
      <w:rFonts w:ascii="仿宋_GB2312" w:eastAsia="仿宋_GB2312"/>
      <w:sz w:val="32"/>
      <w:szCs w:val="22"/>
    </w:rPr>
  </w:style>
  <w:style w:type="paragraph" w:customStyle="1" w:styleId="493">
    <w:name w:val="正文文本11"/>
    <w:qFormat/>
    <w:uiPriority w:val="0"/>
    <w:pPr>
      <w:widowControl w:val="0"/>
      <w:jc w:val="both"/>
    </w:pPr>
    <w:rPr>
      <w:rFonts w:ascii="仿宋" w:hAnsi="仿宋" w:eastAsia="仿宋" w:cs="仿宋"/>
      <w:sz w:val="32"/>
      <w:szCs w:val="32"/>
      <w:lang w:val="en-US" w:eastAsia="en-US" w:bidi="ar-SA"/>
    </w:rPr>
  </w:style>
  <w:style w:type="paragraph" w:customStyle="1" w:styleId="494">
    <w:name w:val="页脚11"/>
    <w:basedOn w:val="1"/>
    <w:qFormat/>
    <w:uiPriority w:val="99"/>
    <w:pPr>
      <w:tabs>
        <w:tab w:val="center" w:pos="4153"/>
        <w:tab w:val="right" w:pos="8306"/>
      </w:tabs>
      <w:jc w:val="left"/>
    </w:pPr>
    <w:rPr>
      <w:sz w:val="18"/>
      <w:szCs w:val="18"/>
    </w:rPr>
  </w:style>
  <w:style w:type="paragraph" w:customStyle="1" w:styleId="495">
    <w:name w:val="修订2"/>
    <w:unhideWhenUsed/>
    <w:qFormat/>
    <w:uiPriority w:val="99"/>
    <w:rPr>
      <w:rFonts w:ascii="Calibri" w:hAnsi="Calibri" w:eastAsia="宋体" w:cs="Times New Roman"/>
      <w:sz w:val="21"/>
      <w:szCs w:val="22"/>
      <w:lang w:val="en-US" w:eastAsia="zh-CN" w:bidi="ar-SA"/>
    </w:rPr>
  </w:style>
  <w:style w:type="paragraph" w:customStyle="1" w:styleId="496">
    <w:name w:val="标题 211"/>
    <w:next w:val="97"/>
    <w:qFormat/>
    <w:uiPriority w:val="0"/>
    <w:pPr>
      <w:keepNext/>
      <w:keepLines/>
      <w:widowControl w:val="0"/>
      <w:spacing w:before="260" w:after="260" w:line="413" w:lineRule="auto"/>
      <w:jc w:val="both"/>
      <w:outlineLvl w:val="1"/>
    </w:pPr>
    <w:rPr>
      <w:rFonts w:ascii="Arial" w:hAnsi="Arial" w:eastAsia="黑体" w:cs="Times New Roman"/>
      <w:b/>
      <w:sz w:val="32"/>
      <w:lang w:val="en-US" w:eastAsia="zh-CN" w:bidi="ar-SA"/>
    </w:rPr>
  </w:style>
  <w:style w:type="paragraph" w:customStyle="1" w:styleId="497">
    <w:name w:val="正文_2_1"/>
    <w:qFormat/>
    <w:uiPriority w:val="0"/>
    <w:pPr>
      <w:widowControl w:val="0"/>
      <w:jc w:val="both"/>
    </w:pPr>
    <w:rPr>
      <w:rFonts w:ascii="Times New Roman" w:hAnsi="Times New Roman" w:eastAsia="宋体" w:cs="Times New Roman"/>
      <w:sz w:val="21"/>
      <w:szCs w:val="22"/>
      <w:lang w:val="en-US" w:eastAsia="zh-CN" w:bidi="ar-SA"/>
    </w:rPr>
  </w:style>
  <w:style w:type="paragraph" w:customStyle="1" w:styleId="498">
    <w:name w:val="修订3"/>
    <w:hidden/>
    <w:unhideWhenUsed/>
    <w:qFormat/>
    <w:uiPriority w:val="99"/>
    <w:rPr>
      <w:rFonts w:ascii="Calibri" w:hAnsi="Calibri" w:eastAsia="宋体" w:cs="Times New Roman"/>
      <w:sz w:val="21"/>
      <w:szCs w:val="22"/>
      <w:lang w:val="en-US" w:eastAsia="zh-CN" w:bidi="ar-SA"/>
    </w:rPr>
  </w:style>
  <w:style w:type="paragraph" w:customStyle="1" w:styleId="499">
    <w:name w:val="Table Text"/>
    <w:basedOn w:val="1"/>
    <w:semiHidden/>
    <w:qFormat/>
    <w:uiPriority w:val="0"/>
    <w:rPr>
      <w:rFonts w:ascii="宋体" w:hAnsi="宋体" w:cs="宋体"/>
      <w:sz w:val="25"/>
      <w:szCs w:val="25"/>
    </w:rPr>
  </w:style>
  <w:style w:type="paragraph" w:customStyle="1" w:styleId="500">
    <w:name w:val="修订4"/>
    <w:hidden/>
    <w:unhideWhenUsed/>
    <w:qFormat/>
    <w:uiPriority w:val="99"/>
    <w:rPr>
      <w:rFonts w:ascii="Calibri" w:hAnsi="Calibri" w:eastAsia="宋体" w:cs="Times New Roman"/>
      <w:sz w:val="21"/>
      <w:szCs w:val="22"/>
      <w:lang w:val="en-US" w:eastAsia="zh-CN" w:bidi="ar-SA"/>
    </w:rPr>
  </w:style>
  <w:style w:type="paragraph" w:customStyle="1" w:styleId="501">
    <w:name w:val="修订5"/>
    <w:hidden/>
    <w:unhideWhenUsed/>
    <w:qFormat/>
    <w:uiPriority w:val="99"/>
    <w:rPr>
      <w:rFonts w:ascii="Calibri" w:hAnsi="Calibri" w:eastAsia="宋体" w:cs="Times New Roman"/>
      <w:sz w:val="21"/>
      <w:szCs w:val="22"/>
      <w:lang w:val="en-US" w:eastAsia="zh-CN" w:bidi="ar-SA"/>
    </w:rPr>
  </w:style>
  <w:style w:type="character" w:customStyle="1" w:styleId="502">
    <w:name w:val="正文文本 Char"/>
    <w:basedOn w:val="40"/>
    <w:link w:val="19"/>
    <w:semiHidden/>
    <w:qFormat/>
    <w:uiPriority w:val="99"/>
    <w:rPr>
      <w:rFonts w:ascii="Calibri" w:hAnsi="Calibri"/>
      <w:sz w:val="21"/>
      <w:szCs w:val="22"/>
    </w:rPr>
  </w:style>
  <w:style w:type="character" w:customStyle="1" w:styleId="503">
    <w:name w:val="正文首行缩进 Char"/>
    <w:basedOn w:val="502"/>
    <w:link w:val="37"/>
    <w:qFormat/>
    <w:uiPriority w:val="99"/>
    <w:rPr>
      <w:rFonts w:ascii="Calibri" w:hAnsi="Calibri" w:cs="Calibri"/>
      <w:kern w:val="2"/>
      <w:sz w:val="21"/>
      <w:szCs w:val="21"/>
    </w:rPr>
  </w:style>
  <w:style w:type="character" w:customStyle="1" w:styleId="504">
    <w:name w:val="批注文字 Char"/>
    <w:basedOn w:val="40"/>
    <w:link w:val="18"/>
    <w:qFormat/>
    <w:uiPriority w:val="99"/>
    <w:rPr>
      <w:kern w:val="2"/>
      <w:sz w:val="21"/>
    </w:rPr>
  </w:style>
  <w:style w:type="character" w:customStyle="1" w:styleId="505">
    <w:name w:val="正文缩进 Char"/>
    <w:link w:val="16"/>
    <w:qFormat/>
    <w:uiPriority w:val="0"/>
    <w:rPr>
      <w:sz w:val="21"/>
      <w:szCs w:val="21"/>
    </w:rPr>
  </w:style>
  <w:style w:type="paragraph" w:customStyle="1" w:styleId="506">
    <w:name w:val="BodyText1I"/>
    <w:basedOn w:val="1"/>
    <w:qFormat/>
    <w:uiPriority w:val="0"/>
    <w:pPr>
      <w:spacing w:after="120"/>
      <w:ind w:firstLine="420" w:firstLineChars="100"/>
      <w:textAlignment w:val="baseline"/>
    </w:pPr>
    <w:rPr>
      <w:rFonts w:ascii="Times New Roman" w:hAnsi="Times New Roman"/>
      <w:kern w:val="2"/>
    </w:rPr>
  </w:style>
  <w:style w:type="character" w:customStyle="1" w:styleId="507">
    <w:name w:val="正文文本缩进 Char"/>
    <w:basedOn w:val="40"/>
    <w:link w:val="20"/>
    <w:qFormat/>
    <w:uiPriority w:val="0"/>
    <w:rPr>
      <w:rFonts w:ascii="Calibri" w:hAnsi="Calibri" w:cs="Calibri"/>
      <w:kern w:val="2"/>
      <w:sz w:val="21"/>
      <w:szCs w:val="24"/>
    </w:rPr>
  </w:style>
  <w:style w:type="paragraph" w:customStyle="1" w:styleId="508">
    <w:name w:val="ds-markdown-paragraph"/>
    <w:basedOn w:val="1"/>
    <w:qFormat/>
    <w:uiPriority w:val="0"/>
    <w:pPr>
      <w:widowControl/>
      <w:spacing w:before="100" w:beforeAutospacing="1" w:after="100" w:afterAutospacing="1"/>
      <w:jc w:val="left"/>
    </w:pPr>
    <w:rPr>
      <w:rFonts w:ascii="宋体" w:hAnsi="宋体" w:cs="宋体"/>
      <w:sz w:val="24"/>
      <w:szCs w:val="24"/>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Organi</Company>
  <Pages>59</Pages>
  <Words>25243</Words>
  <Characters>26298</Characters>
  <Lines>219</Lines>
  <Paragraphs>61</Paragraphs>
  <TotalTime>70</TotalTime>
  <ScaleCrop>false</ScaleCrop>
  <LinksUpToDate>false</LinksUpToDate>
  <CharactersWithSpaces>26537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2026-06-23T08:53:00Z</dcterms:created>
  <dc:creator>宿迁政府采</dc:creator>
  <cp:lastModifiedBy>瓜瓜乐</cp:lastModifiedBy>
  <cp:lastPrinted>2026-08-31T01:41:00Z</cp:lastPrinted>
  <dcterms:modified xsi:type="dcterms:W3CDTF">2026-09-01T08:30:44Z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eyJoZGlkIjoiNmNhMjY1MjUzN2ZiNGVjMTFiNzdhZTkyYjcwZTQ2M2EiLCJ1c2VySWQiOiI0NzI1NDY1NjgifQ==</vt:lpwstr>
  </property>
  <property fmtid="{D5CDD505-2E9C-101B-9397-08002B2CF9AE}" pid="3" name="KSOProductBuildVer">
    <vt:lpwstr>2052-12.1.0.28505</vt:lpwstr>
  </property>
  <property fmtid="{D5CDD505-2E9C-101B-9397-08002B2CF9AE}" pid="4" name="ICV">
    <vt:lpwstr>1C400E1F49CA4B8696AAFA4CDCAB5FF2_13</vt:lpwstr>
  </property>
</Properties>
</file>