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2"/>
        </w:rPr>
        <w:t xml:space="preserve">沭阳公用型保税仓库运营管理项目</w:t>
      </w:r>
      <w:r>
        <w:rPr>
          <w:rFonts w:ascii="SimSun" w:hAnsi="SimSun" w:eastAsia="SimSun" w:cs="SimSun"/>
          <w:b/>
          <w:color w:val="000000"/>
          <w:sz w:val="30"/>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146" w:right="0" w:hanging="159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 </w:t>
      </w:r>
      <w:r>
        <w:rPr>
          <w:rFonts w:ascii="Times New Roman" w:hAnsi="Times New Roman" w:eastAsia="Times New Roman" w:cs="Times New Roman"/>
          <w:b/>
          <w:color w:val="000000"/>
          <w:sz w:val="30"/>
        </w:rPr>
        <w:t xml:space="preserve">JSZC-321322-TYJT-G2026-0012</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购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沭阳经济技术开发区管理委员会</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江苏天园项目管理集团有限公司</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 </w:t>
      </w:r>
      <w:r>
        <w:rPr>
          <w:rFonts w:ascii="Arial" w:hAnsi="Arial" w:eastAsia="Arial" w:cs="Arial"/>
          <w:b/>
          <w:color w:val="000000"/>
          <w:sz w:val="32"/>
        </w:rPr>
        <w:t xml:space="preserve">30</w:t>
      </w:r>
      <w:r>
        <w:rPr>
          <w:rFonts w:ascii="SimSun" w:hAnsi="SimSun" w:eastAsia="SimSun" w:cs="SimSun"/>
          <w:b/>
          <w:color w:val="000000"/>
          <w:sz w:val="32"/>
        </w:rPr>
        <w:t xml:space="preserve">日</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0813" w:history="1">
        <w:r>
          <w:rPr>
            <w:rStyle w:val="796"/>
            <w:rFonts w:ascii="SimHei" w:hAnsi="SimHei" w:eastAsia="SimHei" w:cs="SimHei"/>
            <w:color w:val="000000"/>
            <w:sz w:val="32"/>
            <w:u w:val="single"/>
          </w:rPr>
          <w:t xml:space="preserve">第一章投标邀请</w:t>
        </w:r>
        <w:r>
          <w:rPr>
            <w:rStyle w:val="796"/>
            <w:rFonts w:ascii="Times New Roman" w:hAnsi="Times New Roman" w:eastAsia="Times New Roman" w:cs="Times New Roman"/>
            <w:color w:val="000000"/>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9425" w:history="1">
        <w:r>
          <w:rPr>
            <w:rStyle w:val="796"/>
            <w:rFonts w:ascii="SimHei" w:hAnsi="SimHei" w:eastAsia="SimHei" w:cs="SimHei"/>
            <w:color w:val="000000"/>
            <w:sz w:val="32"/>
            <w:u w:val="single"/>
          </w:rPr>
          <w:t xml:space="preserve">第二章投标人须知</w:t>
        </w:r>
        <w:r>
          <w:rPr>
            <w:rStyle w:val="796"/>
            <w:rFonts w:ascii="Times New Roman" w:hAnsi="Times New Roman" w:eastAsia="Times New Roman" w:cs="Times New Roman"/>
            <w:color w:val="000000"/>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7996" w:history="1">
        <w:r>
          <w:rPr>
            <w:rStyle w:val="796"/>
            <w:rFonts w:ascii="SimHei" w:hAnsi="SimHei" w:eastAsia="SimHei" w:cs="SimHei"/>
            <w:color w:val="000000"/>
            <w:sz w:val="32"/>
            <w:u w:val="single"/>
          </w:rPr>
          <w:t xml:space="preserve">第三章资格审查及评标办法</w:t>
        </w:r>
        <w:r>
          <w:rPr>
            <w:rStyle w:val="796"/>
            <w:rFonts w:ascii="Times New Roman" w:hAnsi="Times New Roman" w:eastAsia="Times New Roman" w:cs="Times New Roman"/>
            <w:color w:val="000000"/>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2314" w:history="1">
        <w:r>
          <w:rPr>
            <w:rStyle w:val="796"/>
            <w:rFonts w:ascii="SimHei" w:hAnsi="SimHei" w:eastAsia="SimHei" w:cs="SimHei"/>
            <w:color w:val="000000"/>
            <w:sz w:val="32"/>
            <w:u w:val="single"/>
          </w:rPr>
          <w:t xml:space="preserve">第四章</w:t>
        </w:r>
        <w:r>
          <w:rPr>
            <w:rStyle w:val="796"/>
            <w:rFonts w:ascii="Times New Roman" w:hAnsi="Times New Roman" w:eastAsia="Times New Roman" w:cs="Times New Roman"/>
            <w:color w:val="000000"/>
            <w:sz w:val="32"/>
            <w:u w:val="none"/>
          </w:rPr>
          <w:t xml:space="preserve">  </w:t>
        </w:r>
        <w:r>
          <w:rPr>
            <w:rStyle w:val="796"/>
            <w:rFonts w:ascii="SimHei" w:hAnsi="SimHei" w:eastAsia="SimHei" w:cs="SimHei"/>
            <w:color w:val="000000"/>
            <w:sz w:val="32"/>
            <w:u w:val="single"/>
          </w:rPr>
          <w:t xml:space="preserve">采购需求</w:t>
        </w:r>
        <w:r>
          <w:rPr>
            <w:rStyle w:val="796"/>
            <w:rFonts w:ascii="Times New Roman" w:hAnsi="Times New Roman" w:eastAsia="Times New Roman" w:cs="Times New Roman"/>
            <w:color w:val="000000"/>
            <w:sz w:val="32"/>
            <w:u w:val="single"/>
          </w:rPr>
          <w:tab/>
        </w:r>
      </w:hyperlink>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513" w:history="1">
        <w:r>
          <w:rPr>
            <w:rStyle w:val="796"/>
            <w:rFonts w:ascii="SimHei" w:hAnsi="SimHei" w:eastAsia="SimHei" w:cs="SimHei"/>
            <w:color w:val="000000"/>
            <w:sz w:val="32"/>
            <w:u w:val="single"/>
          </w:rPr>
          <w:t xml:space="preserve">第五章</w:t>
        </w:r>
        <w:r>
          <w:rPr>
            <w:rStyle w:val="796"/>
            <w:rFonts w:ascii="Times New Roman" w:hAnsi="Times New Roman" w:eastAsia="Times New Roman" w:cs="Times New Roman"/>
            <w:color w:val="000000"/>
            <w:sz w:val="32"/>
            <w:u w:val="none"/>
          </w:rPr>
          <w:t xml:space="preserve">  </w:t>
        </w:r>
        <w:r>
          <w:rPr>
            <w:rStyle w:val="796"/>
            <w:rFonts w:ascii="SimHei" w:hAnsi="SimHei" w:eastAsia="SimHei" w:cs="SimHei"/>
            <w:color w:val="000000"/>
            <w:sz w:val="32"/>
            <w:u w:val="single"/>
          </w:rPr>
          <w:t xml:space="preserve">合同文本</w:t>
        </w:r>
        <w:r>
          <w:rPr>
            <w:rStyle w:val="796"/>
            <w:rFonts w:ascii="Times New Roman" w:hAnsi="Times New Roman" w:eastAsia="Times New Roman" w:cs="Times New Roman"/>
            <w:color w:val="000000"/>
            <w:sz w:val="32"/>
            <w:u w:val="single"/>
          </w:rPr>
          <w:tab/>
          <w:t xml:space="preserve">4</w:t>
        </w:r>
      </w:hyperlink>
      <w:r>
        <w:rPr>
          <w:rFonts w:ascii="Times New Roman" w:hAnsi="Times New Roman" w:eastAsia="Times New Roman" w:cs="Times New Roman"/>
          <w:color w:val="000000"/>
          <w:sz w:val="32"/>
        </w:rPr>
        <w:t xml:space="preserve">5</w:t>
      </w:r>
      <w:r/>
    </w:p>
    <w:p>
      <w:pPr>
        <w:ind w:left="0" w:right="0" w:firstLine="0"/>
        <w:spacing w:before="240" w:after="240" w:line="600" w:lineRule="atLeast"/>
        <w:tabs>
          <w:tab w:val="left" w:pos="9185"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2937" w:history="1">
        <w:r>
          <w:rPr>
            <w:rStyle w:val="796"/>
            <w:rFonts w:ascii="SimHei" w:hAnsi="SimHei" w:eastAsia="SimHei" w:cs="SimHei"/>
            <w:color w:val="000000"/>
            <w:sz w:val="32"/>
            <w:u w:val="single"/>
          </w:rPr>
          <w:t xml:space="preserve">第六章投标文件格式</w:t>
        </w:r>
        <w:r>
          <w:rPr>
            <w:rStyle w:val="796"/>
            <w:rFonts w:ascii="Times New Roman" w:hAnsi="Times New Roman" w:eastAsia="Times New Roman" w:cs="Times New Roman"/>
            <w:color w:val="000000"/>
            <w:sz w:val="32"/>
            <w:u w:val="single"/>
          </w:rPr>
          <w:tab/>
        </w:r>
      </w:hyperlink>
      <w:r>
        <w:rPr>
          <w:rFonts w:ascii="Times New Roman" w:hAnsi="Times New Roman" w:eastAsia="Times New Roman" w:cs="Times New Roman"/>
          <w:color w:val="000000"/>
          <w:sz w:val="32"/>
        </w:rPr>
        <w:t xml:space="preserve">56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sz w:val="44"/>
        </w:rPr>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u w:val="none"/>
        </w:rPr>
      </w:r>
      <w:r>
        <w:rPr>
          <w:rFonts w:ascii="SimHei" w:hAnsi="SimHei" w:eastAsia="SimHei" w:cs="SimHei"/>
          <w:color w:val="000000"/>
          <w:sz w:val="44"/>
          <w:highlight w:val="none"/>
          <w:u w:val="none"/>
        </w:rPr>
      </w:r>
    </w:p>
    <w:p>
      <w:pPr>
        <w:ind w:left="0" w:right="0" w:firstLine="0"/>
        <w:jc w:val="center"/>
        <w:spacing w:before="200" w:after="240"/>
        <w:rPr>
          <w:rFonts w:ascii="SimHei" w:hAnsi="SimHei" w:eastAsia="SimHei" w:cs="SimHei"/>
          <w:color w:val="000000"/>
          <w:sz w:val="44"/>
          <w:szCs w:val="44"/>
          <w:highlight w:val="none"/>
          <w:u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沭阳经济技术开发区管理委员会</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沭阳公用型保税仓库运营管理项目（JSZC-321322-TYJT-G2026-0012）</w:t>
      </w:r>
      <w:r>
        <w:rPr>
          <w:rFonts w:ascii="SimSun" w:hAnsi="SimSun" w:eastAsia="SimSun" w:cs="SimSun"/>
          <w:color w:val="000000"/>
          <w:sz w:val="24"/>
        </w:rPr>
        <w:t xml:space="preserve">进行公开招标采购，欢迎符合条件的投标人投标。</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79" w:lineRule="atLeast"/>
        <w:rPr>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沭阳公用型保税仓库运营管理项目招标项目的潜在投标人可在“江苏政府采购网”“</w:t>
      </w:r>
      <w:r>
        <w:rPr>
          <w:rFonts w:ascii="SimSun" w:hAnsi="SimSun" w:eastAsia="SimSun" w:cs="SimSun"/>
          <w:color w:val="000000"/>
          <w:sz w:val="24"/>
          <w:u w:val="single"/>
        </w:rPr>
        <w:t xml:space="preserve">宿迁市政府采购网”自行免费</w:t>
      </w:r>
      <w:r>
        <w:rPr>
          <w:rFonts w:ascii="SimSun" w:hAnsi="SimSun" w:eastAsia="SimSun" w:cs="SimSun"/>
          <w:color w:val="000000"/>
          <w:sz w:val="24"/>
        </w:rPr>
        <w:t xml:space="preserve">获取招标文件，并</w:t>
      </w:r>
      <w:r>
        <w:rPr>
          <w:rFonts w:ascii="SimSun" w:hAnsi="SimSun" w:eastAsia="SimSun" w:cs="SimSun"/>
          <w:color w:val="000000"/>
          <w:sz w:val="24"/>
          <w:highlight w:val="none"/>
        </w:rPr>
        <w:t xml:space="preserve">于</w:t>
      </w:r>
      <w:r>
        <w:rPr>
          <w:rFonts w:ascii="SimSun" w:hAnsi="SimSun" w:eastAsia="SimSun" w:cs="SimSun"/>
          <w:color w:val="000000"/>
          <w:sz w:val="24"/>
          <w:highlight w:val="none"/>
          <w:u w:val="single"/>
        </w:rPr>
        <w:t xml:space="preserve">2</w:t>
      </w:r>
      <w:r>
        <w:rPr>
          <w:rFonts w:ascii="SimSun" w:hAnsi="SimSun" w:eastAsia="SimSun" w:cs="SimSun"/>
          <w:color w:val="000000"/>
          <w:sz w:val="24"/>
          <w:highlight w:val="none"/>
          <w:u w:val="single"/>
        </w:rPr>
        <w:t xml:space="preserve">026年10月21日9点30分（</w:t>
      </w:r>
      <w:r>
        <w:rPr>
          <w:rFonts w:ascii="SimSun" w:hAnsi="SimSun" w:eastAsia="SimSun" w:cs="SimSun"/>
          <w:color w:val="000000"/>
          <w:sz w:val="24"/>
          <w:highlight w:val="none"/>
        </w:rPr>
        <w:t xml:space="preserve">北京时间）前递交投标文件。</w:t>
      </w:r>
      <w:r>
        <w:rPr>
          <w:highlight w:val="none"/>
        </w:rPr>
      </w:r>
    </w:p>
    <w:p>
      <w:pPr>
        <w:ind w:left="0" w:right="0" w:firstLine="64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1.项目编号：JSZC-321322-TYJT-G2026-0012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2.项目名称：沭阳公用型保税仓库运营管理项目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预算金额：</w:t>
      </w:r>
      <w:r>
        <w:rPr>
          <w:rFonts w:ascii="SimSun" w:hAnsi="SimSun" w:eastAsia="SimSun" w:cs="SimSun"/>
          <w:color w:val="000000"/>
          <w:sz w:val="24"/>
        </w:rPr>
        <w:t xml:space="preserve">310万元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本项目设定最高限价：</w:t>
      </w:r>
      <w:r>
        <w:rPr>
          <w:rFonts w:ascii="SimSun" w:hAnsi="SimSun" w:eastAsia="SimSun" w:cs="SimSun"/>
          <w:color w:val="000000"/>
          <w:sz w:val="24"/>
        </w:rPr>
        <w:t xml:space="preserve">310万元，高于此限价作无效标处理。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沭阳公用型保税仓库运营管理项目，内容包括但不限于保税仓储、报关清关、货运代理、协助筹建及申报工作、供应链金融服务及后续出口监管仓、9610跨境电商监管中心的拓展运营等。（详细内容见本招标文件第四章）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6.合同履行期限：1年（合同期满评价通过可续签合同，最长不超过3年，合同一年一签）。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落实政府采购政策需满足的资格要求</w:t>
      </w:r>
      <w:r>
        <w:rPr>
          <w:rFonts w:ascii="SimSun" w:hAnsi="SimSun" w:eastAsia="SimSun" w:cs="SimSun"/>
          <w:color w:val="000000"/>
          <w:sz w:val="24"/>
        </w:rPr>
        <w:t xml:space="preserve">：本项目为专门面向中小企业采购的项目，供应商须为中小微企业、监狱与戒毒企业、残疾人福利性单位(须提供中小企业声明函或残疾人福利性单位声明函，或监狱企业证明文件)。非中小型企业参与本项目投标，将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u w:val="none"/>
        </w:rPr>
        <w:t xml:space="preserve">本项目的特定资格要求：</w:t>
      </w:r>
      <w:r>
        <w:rPr>
          <w:rFonts w:ascii="SimSun" w:hAnsi="SimSun" w:eastAsia="SimSun" w:cs="SimSun"/>
          <w:color w:val="000000"/>
          <w:sz w:val="24"/>
        </w:rPr>
        <w:t xml:space="preserve">无。</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1.时间：招标公告发布之日起5个工作</w:t>
      </w:r>
      <w:r>
        <w:rPr>
          <w:rFonts w:ascii="SimSun" w:hAnsi="SimSun" w:eastAsia="SimSun" w:cs="SimSun"/>
          <w:color w:val="000000"/>
          <w:sz w:val="24"/>
        </w:rPr>
        <w:t xml:space="preserve">日内。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2.方式：投标人应在招标文件提供的时间内，通过“苏采云”系统（网址： http://jszfcg.jsczt.cn/），使用CA锁登录系统后，找到本项目获取招标文件（后缀名为“kedt”）。</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3.本项目共分1个采购包。投标人参与多个采购包投标的，应按采购包分别获取招标文件。投标人未按要求获取招标文件，后果自负（其投标文件不予接受）。</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w:t>
      </w:r>
      <w:r>
        <w:rPr>
          <w:rFonts w:ascii="SimSun" w:hAnsi="SimSun" w:eastAsia="SimSun" w:cs="SimSun"/>
          <w:color w:val="000000"/>
          <w:sz w:val="24"/>
          <w:highlight w:val="none"/>
        </w:rPr>
        <w:t xml:space="preserve">间：</w:t>
      </w:r>
      <w:r>
        <w:rPr>
          <w:rFonts w:ascii="SimSun" w:hAnsi="SimSun" w:eastAsia="SimSun" w:cs="SimSun"/>
          <w:color w:val="000000"/>
          <w:sz w:val="24"/>
          <w:highlight w:val="none"/>
        </w:rPr>
        <w:t xml:space="preserve">2026年10月21日9点30分（北京时间）</w:t>
      </w:r>
      <w:r>
        <w:rPr>
          <w:highlight w:val="none"/>
        </w:rP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1.招标公告发布媒体：江苏政府采购网</w:t>
      </w:r>
      <w:r>
        <w:rPr>
          <w:rFonts w:ascii="SimSun" w:hAnsi="SimSun" w:eastAsia="SimSun" w:cs="SimSun"/>
          <w:color w:val="000000"/>
          <w:sz w:val="24"/>
        </w:rPr>
        <w:t xml:space="preserve">、宿迁市政府采购网等。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2.“CA”数字证书办理：“苏采云”系统目前仅支持“苏采云”系统下的意源CA。省内各地区办理的“苏采云”系统下的意源CA全省通用。宿迁地区CA数字证书办理联系方式：18351098172。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3.宿迁地区“苏采云”系统技术支持客服电话：0527-84363067、0519-86722806。</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4.质疑渠道：投标人登录“苏采云”系统“项目质疑申请”模块向采购人提出，质疑处理联系方式详见“采购人信息”；财政部门投诉受理电话：0527-83559270。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沭阳经济技术开发区管理委员会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沭阳县迎宾大道611号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张海燕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13851350816              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江苏天园项目管理集团有限公司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沭阳县杭州东路113号汽车运输公司9楼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张翠翠                        </w:t>
      </w:r>
      <w:r/>
    </w:p>
    <w:p>
      <w:pPr>
        <w:ind w:left="21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15370500708        </w:t>
      </w:r>
      <w:r/>
      <w:r>
        <w:rPr>
          <w:rFonts w:ascii="SimSun" w:hAnsi="SimSun" w:eastAsia="SimSun" w:cs="SimSun"/>
          <w:color w:val="000000"/>
          <w:sz w:val="24"/>
          <w:u w:val="single"/>
        </w:rPr>
        <w:t xml:space="preserve"> </w:t>
      </w: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第二章投标人须知</w:t>
      </w:r>
      <w:r/>
    </w:p>
    <w:p>
      <w:pPr>
        <w:ind w:left="0" w:right="0" w:firstLine="0"/>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1"/>
        <w:gridCol w:w="1629"/>
        <w:gridCol w:w="599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种方式确定中标人：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采购人按规定在评标委员会推荐的中标候选人中确定中标人；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采购人授权评标委员会直接确定中标人。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中标人在中标公告发出后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日内按照“苏招协【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002</w:t>
            </w:r>
            <w:r>
              <w:rPr>
                <w:rFonts w:ascii="SimSun" w:hAnsi="SimSun" w:eastAsia="SimSun" w:cs="SimSun"/>
                <w:color w:val="000000"/>
                <w:sz w:val="24"/>
              </w:rPr>
              <w:t xml:space="preserve">号”文件标准支付招标代理费。投标人应将其综合考虑在投标报价中，不单独列项。（可采用数字人民币方式支付）</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本项目落实“关于推动解决政府采购异常低价问题相关工作的通知(苏财购〔2025〕62号)”文件规定。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本次采购采取公开招标方式。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合格的投标人必须符合招标文件第一章《投标邀请》第二条及投标人须知前附表相关规定，且具备完成本项目的能力，中标后不允许转包。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满足本文件实质性要求的规定。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本次招标及由招标产生的合同受中华人民共和国的相关法律法规制约和保护。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投标人应自行承担所有参加投标有关的费用。</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第三章：资格审查及评标办法；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政府采购政策功能落实</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本项目落实的政府采购政策对应序号为</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6.1</w:t>
      </w:r>
      <w:r>
        <w:rPr>
          <w:rFonts w:ascii="SimSun" w:hAnsi="SimSun" w:eastAsia="SimSun" w:cs="SimSun"/>
          <w:b/>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中小企业政策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种政策落实：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）本项目专门面向中小企业（含监狱与戒毒企业、残疾人福利企业）采购。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）对符合规定情形的小微企业报价给予</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rPr>
        <w:t xml:space="preserve">扣除，用扣除后的价格参加评审。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u w:val="single"/>
        </w:rPr>
        <w:t xml:space="preserve">5</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u w:val="single"/>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⑤联合体各方均为小型、微型企业（残疾人福利单位、监狱企业）的，联合体享受</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w:t>
      </w:r>
      <w:r>
        <w:rPr>
          <w:rFonts w:ascii="SimSun" w:hAnsi="SimSun" w:eastAsia="SimSun" w:cs="SimSun"/>
          <w:color w:val="000000"/>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6.3.2</w:t>
      </w:r>
      <w:r>
        <w:rPr>
          <w:rFonts w:ascii="SimSun" w:hAnsi="SimSun" w:eastAsia="SimSun" w:cs="SimSun"/>
          <w:color w:val="000000"/>
          <w:sz w:val="24"/>
        </w:rPr>
        <w:t xml:space="preserve">绿色数据中心政府采购需求标准（试行）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6.3.3</w:t>
      </w:r>
      <w:r>
        <w:rPr>
          <w:rFonts w:ascii="SimSun" w:hAnsi="SimSun" w:eastAsia="SimSun" w:cs="SimSun"/>
          <w:color w:val="000000"/>
          <w:sz w:val="24"/>
        </w:rPr>
        <w:t xml:space="preserve">绿色建材政府采购需求标准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采购产品中涉及涂料、胶黏剂、油墨、清洗剂等挥发性有机物产品的，属于强制性标准的，供应商应当提供符合国家和江苏省相关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含量限制标准的产品。采购产品中涉及通用类货物、家具的，供应商应当优先使用低挥发性原辅材料，采购人将使用低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含量的涂料、胶黏剂等纳入政府采购合同条款的，供应商必须严格执行。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本国产品价格评审优惠（依据国办发〔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6.5.1</w:t>
      </w:r>
      <w:r>
        <w:rPr>
          <w:rFonts w:ascii="SimSun" w:hAnsi="SimSun" w:eastAsia="SimSun" w:cs="SimSun"/>
          <w:color w:val="000000"/>
          <w:sz w:val="24"/>
        </w:rPr>
        <w:t xml:space="preserve">本项目为非预留份额的货物类采购项目，执行本国产品价格扣除政策。投标人所投产品既有本国产品又有非本国产品参与竞争时，对符合条件的本国产品给予</w:t>
      </w:r>
      <w:r>
        <w:rPr>
          <w:rFonts w:ascii="Times New Roman" w:hAnsi="Times New Roman" w:eastAsia="Times New Roman" w:cs="Times New Roman"/>
          <w:color w:val="000000"/>
          <w:sz w:val="24"/>
        </w:rPr>
        <w:t xml:space="preserve">20% </w:t>
      </w:r>
      <w:r>
        <w:rPr>
          <w:rFonts w:ascii="SimSun" w:hAnsi="SimSun" w:eastAsia="SimSun" w:cs="SimSun"/>
          <w:color w:val="000000"/>
          <w:sz w:val="24"/>
        </w:rPr>
        <w:t xml:space="preserve">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）本国产品认定标准：指在中国关境内完成实质性生产（实现原材料、组件到成品的属性改变，不含简单贴牌、包装、上漆、分装等细微操作）。过渡期内，仅以境内生产作为认定依据。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）多产品比例规则：若项目含多种产品，投标人所投符合本国产品标准的产品成本之和占该供应商提供的全部产品成本之和的比例达到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招标文件的澄清或修改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日的，采购人、采购代理机构应当顺延提交投标文件的截止时间。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招标文件的澄清、修改将在原公告媒体上发布更正公告，澄清、修改文件均作为招标文件的组成部分，并对投标人具有约束力。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投标人应及时登录“苏采云”系统获取澄清答疑文件（修改后的招标文件），如投标人未能及时下载澄清答疑文件，造成的相关责任由投标人承担。</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投标文件的编制要求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投标人应仔细阅读“招标文件”的所有内容，保证所提供的全部资料的真实性、完整性及有效性，以使其投标对“招标文件”作出实质性响应。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投标文件构成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投标文件包括资格证明文件、开标一览表、分项报价表、响应及偏离表、投标函、其他证明文件等部分。投标文件构成资料为非中文时应提供中文译版。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投标报价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报价为一次报价，本项目不接受备选的投标方案或有选择的报价，只允许有一个报价。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报价注意事项：投标价格一律以人民币计算，以元为单位标注，最多保留至小数点后两位，招标文件有规定的按招标文件执行。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投标保证金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投标有效期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在投标人须知前附表规定的投标有效期内，投标有效期从提交投标文件的截止之日起算。投标有效期比规定短的将被视为未实质性响应招标文件。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投标文件的提交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投标文件的修改和撤回：在投标截止时间之前，投标人可以撤回或重新提交投标文件。投标文件以最终完成上传的为准。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投标文件被拒绝接收的情形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在招标文件规定的投标截止时间后上传的投标文件或对投标报价或其他实质性内容修正的文件。</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五、开标、评标程序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采购代理机构将在招标公告中规定的时间和地点组织公开开标。投标人应当按照《操作手册》规定，参加开标活动，在“苏采云”系统规定的时间内对投标文件解密。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开标仪式由采购代理机构组织。“苏采云”系统将自动对项目进行开标，并宣布各投标人名称和投标价格。</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投标人用于解密的</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证书应为该投标文件生成加密、上传的同一把</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证书。投标人应登录“苏采云”系统进入“开标大厅”，在系统约定时间内使用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证书解密，未成功解密的视为放弃投标。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投标人在开、评标全过程中应保持通信畅通，及时登录“苏采云”系统查阅、答复相关信息。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评标委员会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采购人应当在采购文件中明确，政府采购评审中出现下列情形之一的，评审委员会应当启动异常低价投标（响应）审查程序：</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项中启动异常低价投标（响应）审查的数值标准，但是最高不得超过</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评标程序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开标结束后，采购人依法根据招标文件的规定对投标人的资格证明文件等进行审查。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符合性检查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17.2.1</w:t>
      </w:r>
      <w:r>
        <w:rPr>
          <w:rFonts w:ascii="SimSun" w:hAnsi="SimSun" w:eastAsia="SimSun" w:cs="SimSun"/>
          <w:color w:val="000000"/>
          <w:sz w:val="24"/>
        </w:rPr>
        <w:t xml:space="preserve">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17.2.2</w:t>
      </w:r>
      <w:r>
        <w:rPr>
          <w:rFonts w:ascii="SimSun" w:hAnsi="SimSun" w:eastAsia="SimSun" w:cs="SimSun"/>
          <w:color w:val="000000"/>
          <w:sz w:val="24"/>
        </w:rPr>
        <w:t xml:space="preserve">在详细评标之前，评标委员会将首先审查每份投标文件是否实质性响应了招标文件的要求。实质性响应的投标应是与招标文件要求的全部条款、条件和规格相符，没有重大偏离的投标。</w:t>
      </w:r>
      <w:r>
        <w:rPr>
          <w:rFonts w:ascii="SimSun" w:hAnsi="SimSun" w:eastAsia="SimSun" w:cs="SimSun"/>
          <w:color w:val="000000"/>
          <w:sz w:val="24"/>
          <w:u w:val="none"/>
        </w:rPr>
        <w:t xml:space="preserve">所谓重大偏离是指投标人投标文件中所述设备质量、技术规格、数量、交货期、服务等明显不能满足招标文件要求。</w:t>
      </w:r>
      <w:r>
        <w:rPr>
          <w:rFonts w:ascii="SimSun" w:hAnsi="SimSun" w:eastAsia="SimSun" w:cs="SimSun"/>
          <w:color w:val="000000"/>
          <w:sz w:val="24"/>
        </w:rPr>
        <w:t xml:space="preserve">重大偏离的认定需经过评标委员会以少数服从多数的原则作出结论。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w:t>
      </w:r>
      <w:r>
        <w:rPr>
          <w:rFonts w:ascii="SimSun" w:hAnsi="SimSun" w:eastAsia="SimSun" w:cs="SimSun"/>
          <w:color w:val="000000"/>
          <w:sz w:val="24"/>
        </w:rPr>
        <w:t xml:space="preserve">评标委员会判断投标文件的响应性，仅基于投标文件本身而不靠外部证据。对非实质性响应的投标文件，投标人不能通过修正或撤销不符之处，而使其成为实质性响应。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w:t>
      </w:r>
      <w:r>
        <w:rPr>
          <w:rFonts w:ascii="SimSun" w:hAnsi="SimSun" w:eastAsia="SimSun" w:cs="SimSun"/>
          <w:color w:val="000000"/>
          <w:sz w:val="24"/>
        </w:rPr>
        <w:t xml:space="preserve">相同品牌产品投标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17.5.1</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17.5.2</w:t>
      </w: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17.5.3</w:t>
      </w:r>
      <w:r>
        <w:rPr>
          <w:rFonts w:ascii="SimSun" w:hAnsi="SimSun" w:eastAsia="SimSun" w:cs="SimSun"/>
          <w:color w:val="000000"/>
          <w:sz w:val="24"/>
        </w:rPr>
        <w:t xml:space="preserve">非单一产品采购项目，采购人确定核心产品，并在招标文件中载明。多家投标人提供的核心产品品牌相同的，按前两款规定处理。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17.6</w:t>
      </w:r>
      <w:r>
        <w:rPr>
          <w:rFonts w:ascii="SimSun" w:hAnsi="SimSun" w:eastAsia="SimSun" w:cs="SimSun"/>
          <w:b/>
          <w:color w:val="000000"/>
          <w:sz w:val="24"/>
        </w:rPr>
        <w:t xml:space="preserve">有关问题的澄清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17.6.1</w:t>
      </w:r>
      <w:r>
        <w:rPr>
          <w:rFonts w:ascii="SimSun" w:hAnsi="SimSun" w:eastAsia="SimSun" w:cs="SimSun"/>
          <w:color w:val="000000"/>
          <w:sz w:val="24"/>
        </w:rPr>
        <w:t xml:space="preserve">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17.6.2</w:t>
      </w:r>
      <w:r>
        <w:rPr>
          <w:rFonts w:ascii="SimSun" w:hAnsi="SimSun" w:eastAsia="SimSun" w:cs="SimSun"/>
          <w:color w:val="000000"/>
          <w:sz w:val="24"/>
        </w:rPr>
        <w:t xml:space="preserve">投标文件报价出现前后不一致的，除招标文件另有规定外，按照下列规定修正：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①投标文件中开标一览表（报价表）内容与投标文件中相应内容不一致的，以开标一览表（报价表）为准；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17.6.3</w:t>
      </w:r>
      <w:r>
        <w:rPr>
          <w:rFonts w:ascii="SimSun" w:hAnsi="SimSun" w:eastAsia="SimSun" w:cs="SimSun"/>
          <w:color w:val="000000"/>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17.7</w:t>
      </w:r>
      <w:r>
        <w:rPr>
          <w:rFonts w:ascii="SimSun" w:hAnsi="SimSun" w:eastAsia="SimSun" w:cs="SimSun"/>
          <w:color w:val="000000"/>
          <w:sz w:val="24"/>
        </w:rPr>
        <w:t xml:space="preserve">比较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评标委员会将按招标文件中规定的评标方法和标准，对符合性检查合格的投标文件进行商务和技术评比。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w:t>
      </w:r>
      <w:r>
        <w:rPr>
          <w:rFonts w:ascii="SimSun" w:hAnsi="SimSun" w:eastAsia="SimSun" w:cs="SimSun"/>
          <w:color w:val="000000"/>
          <w:sz w:val="24"/>
        </w:rPr>
        <w:t xml:space="preserve">推荐中标候选人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评标委员会按照招标文件中规定的评标方法和标准推荐中标候选人。</w:t>
      </w:r>
      <w:r/>
    </w:p>
    <w:p>
      <w:pPr>
        <w:ind w:left="0" w:right="0" w:firstLine="321"/>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六、无效投标、废标、串通投标</w:t>
      </w:r>
      <w:r>
        <w:rPr>
          <w:rFonts w:ascii="SimSun" w:hAnsi="SimSun" w:eastAsia="SimSun" w:cs="SimSun"/>
          <w:b/>
          <w:color w:val="000000"/>
          <w:sz w:val="32"/>
        </w:rPr>
        <w:t xml:space="preserve">及取消中标候选人资格情形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无效投标情形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投标人同一采购包提交两个（含两个）以上不同的投标报价的。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投标人不符合招标文件规定资格要求的或未按规定提交资质证件的。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w:t>
      </w:r>
      <w:r>
        <w:rPr>
          <w:rFonts w:ascii="SimSun" w:hAnsi="SimSun" w:eastAsia="SimSun" w:cs="SimSun"/>
          <w:color w:val="000000"/>
          <w:sz w:val="24"/>
        </w:rPr>
        <w:t xml:space="preserve">投标文件未通过符合性审查的。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rPr>
          <w:rFonts w:ascii="SimSun" w:hAnsi="SimSun" w:eastAsia="SimSun" w:cs="SimSun"/>
          <w:color w:val="000000"/>
          <w:sz w:val="24"/>
        </w:rPr>
        <w:t xml:space="preserve">投标文件出现重大偏离，不符合招标文件中规定的实质性要求的（★部分为实质性要求）。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18.8</w:t>
      </w:r>
      <w:r>
        <w:rPr>
          <w:rFonts w:ascii="SimSun" w:hAnsi="SimSun" w:eastAsia="SimSun" w:cs="SimSun"/>
          <w:color w:val="000000"/>
          <w:sz w:val="24"/>
        </w:rPr>
        <w:t xml:space="preserve">投标人有本招标文件规定的恶意串通投标情形的。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18.9</w:t>
      </w:r>
      <w:r>
        <w:rPr>
          <w:rFonts w:ascii="SimSun" w:hAnsi="SimSun" w:eastAsia="SimSun" w:cs="SimSun"/>
          <w:color w:val="000000"/>
          <w:sz w:val="24"/>
        </w:rPr>
        <w:t xml:space="preserve">投标文件含有采购人不能接受的附加条件的。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18.10</w:t>
      </w:r>
      <w:r>
        <w:rPr>
          <w:rFonts w:ascii="SimSun" w:hAnsi="SimSun" w:eastAsia="SimSun" w:cs="SimSun"/>
          <w:color w:val="000000"/>
          <w:sz w:val="24"/>
        </w:rPr>
        <w:t xml:space="preserve">其他法律法规及本招标文件规定的属于无效投标的情形。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废标情形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w:t>
      </w:r>
      <w:r>
        <w:rPr>
          <w:rFonts w:ascii="SimSun" w:hAnsi="SimSun" w:eastAsia="SimSun" w:cs="SimSun"/>
          <w:color w:val="000000"/>
          <w:sz w:val="24"/>
        </w:rPr>
        <w:t xml:space="preserve">评标委员会认定招标文件存在歧义、重大缺陷导致评审工作无法进行的。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19.5</w:t>
      </w:r>
      <w:r>
        <w:rPr>
          <w:rFonts w:ascii="SimSun" w:hAnsi="SimSun" w:eastAsia="SimSun" w:cs="SimSun"/>
          <w:color w:val="000000"/>
          <w:sz w:val="24"/>
        </w:rPr>
        <w:t xml:space="preserve">在“苏采云”系统规定时间内成功解密电子投标文件的投标人不足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投标人不足三家情形处理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投标截止后投标人不足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家或者通过资格审查或符合性审查的投标人不足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家的，除采购任务取消情形外，按财政部令第</w:t>
      </w: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号第四十三条条款进行处理。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串通投标情形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有下列情形之一的，属于恶意串通投标：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供应商直接或间接从采购人或采购代理机构处获得其他供应商的投标情况，并修改其投标文件；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评审活动开始前供应商直接或间接从采购人或采购代理机构处获得评标委员会组成人员情况；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供应商接受采购人或采购代理机构授意撤换、修改投标文件；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供应商之间协商投标报价、技术方案等投标文件实质性内容；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属于同一集团、协会、商会等组织成员的供应商按照该组织要求协同投标；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供应商之间事先约定由某一特定供应商中标、成交；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供应商之间商定部分供应商放弃投标或者放弃中标、成交；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供应商与采购人或采购代理机构之间、供应商相互之间为谋求特定供应商中标成交或者排斥其他供应商的其他串通行为；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有下列情形之一的，视为投标人串通投标，其投标无效：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21.10</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不同投标人的投标文件异常一致或者投标报价呈规律性差异；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21.13</w:t>
      </w:r>
      <w:r>
        <w:rPr>
          <w:rFonts w:ascii="SimSun" w:hAnsi="SimSun" w:eastAsia="SimSun" w:cs="SimSun"/>
          <w:color w:val="000000"/>
          <w:sz w:val="24"/>
        </w:rPr>
        <w:t xml:space="preserve">不同投标人的投标文件相互混装；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21.14</w:t>
      </w:r>
      <w:r>
        <w:rPr>
          <w:rFonts w:ascii="SimSun" w:hAnsi="SimSun" w:eastAsia="SimSun" w:cs="SimSun"/>
          <w:color w:val="000000"/>
          <w:sz w:val="24"/>
        </w:rPr>
        <w:t xml:space="preserve">不同投标人的投标保证金从同一单位或者个人的账户转出。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取消中标候选人资格情形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采取不正当手段诋毁、排挤其他投标人的；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与采购人、其他投标人或者采购代理机构恶意串通的；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rPr>
          <w:rFonts w:ascii="SimSun" w:hAnsi="SimSun" w:eastAsia="SimSun" w:cs="SimSun"/>
          <w:color w:val="000000"/>
          <w:sz w:val="24"/>
        </w:rPr>
        <w:t xml:space="preserve">未在规定时间内与采购人签订采购合同的；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22.6</w:t>
      </w:r>
      <w:r>
        <w:rPr>
          <w:rFonts w:ascii="SimSun" w:hAnsi="SimSun" w:eastAsia="SimSun" w:cs="SimSun"/>
          <w:color w:val="000000"/>
          <w:sz w:val="24"/>
        </w:rPr>
        <w:t xml:space="preserve">法律法规规定的其他情况。</w:t>
      </w:r>
      <w:r/>
    </w:p>
    <w:p>
      <w:pPr>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七、中标及合同签订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采购人应当自收到评审报告之日起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个工作日内在评审报告推荐的中标候选人中按顺序确定中标人。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个工作日内，采购人、采购代理机构将发布中标结果，中标公告的公告期限为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采购人确定正被列为失信被执行人的投标人为中标人的，中标结果无效。</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在公告中标结果的同时，采购代理机构将向中标人发出中标通知书。中标人使用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中标通知书发出后，采购人改变中标结果的，或者中标人放弃中标项目的，应当依法承担法律责任。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采用综合评分法评审的，未中标人可于中标结果公告期限届满之日起通过“苏采云”系统查看</w:t>
      </w:r>
      <w:r>
        <w:rPr>
          <w:rFonts w:ascii="SimSun" w:hAnsi="SimSun" w:eastAsia="SimSun" w:cs="SimSun"/>
          <w:color w:val="000000"/>
          <w:sz w:val="24"/>
          <w:u w:val="none"/>
        </w:rPr>
        <w:t xml:space="preserve">自己的评审得分及排序情况。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授予合同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采购人与中标人应当在中标通知书发出之日起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日内签订政府采购合同。招标文件、中标人的投标文件以及评标过程中有关澄清文件均作为合同附件。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采购人在自合同签订之日起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个工作日内，将合同在指定的媒体上公告。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w:t>
      </w:r>
      <w:r>
        <w:rPr>
          <w:rFonts w:ascii="SimSun" w:hAnsi="SimSun" w:eastAsia="SimSun" w:cs="SimSun"/>
          <w:color w:val="000000"/>
          <w:sz w:val="24"/>
        </w:rPr>
        <w:t xml:space="preserve">方式确定履约保证金收取方式。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履约保证金提交形式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履约保证金提交金额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支持和鼓励投标人使用江苏政府采购电子履约保函（保险）代替缴纳履约保证金，投标人如使用江苏政府采购电子履约保函（保险）的，可按采购合同总价的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3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履约保证金退还方式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履约保证金退还条件：项目运维期结束，无质量问题，无息退还。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履约保证金退还时间：采购人收到投标人退付申请后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履约保证金不予退还情形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除不可抗力外，中标人不履行与采购人订立的采购合同的，履约保证金不予退还，给采购人造成的损失超过履约保证金数额的，还应对超过部分予以赔偿。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逾期退还履约保证金违约责任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采购人逾期退还履约保证金的，除应退还履约保证金外，还应按中国人民银行同期贷款基准利率上浮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％后的利率支付逾期资金占用费，但因投标人自身原因导致无法及时退还的除外。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线上融资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中标人可凭政府采购合同办理融资贷款，详情见江苏政府采购网“政采贷”专栏。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合同履行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政府采购合同订立后，合同各方不得擅自变更、中止或者终止合同。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w:t>
      </w:r>
      <w:r>
        <w:rPr>
          <w:rFonts w:ascii="SimSun" w:hAnsi="SimSun" w:eastAsia="SimSun" w:cs="SimSun"/>
          <w:b/>
          <w:color w:val="000000"/>
          <w:sz w:val="32"/>
        </w:rPr>
        <w:t xml:space="preserve">质疑与投诉</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供应商认为采购文件、采购过程和中标结果使自己的权益受到损害的，可以在知道或者应知其权益受到损害之日起七个工作日内，</w:t>
      </w:r>
      <w:r>
        <w:rPr>
          <w:rFonts w:ascii="SimSun" w:hAnsi="SimSun" w:eastAsia="SimSun" w:cs="SimSun"/>
          <w:color w:val="ff0000"/>
          <w:sz w:val="24"/>
        </w:rPr>
        <w:t xml:space="preserve">供应商应在“苏采云”系统“质疑模块”中向采购人或者其委托的采购代理机构提出质疑。</w:t>
      </w:r>
      <w:r>
        <w:rPr>
          <w:rFonts w:ascii="SimSun" w:hAnsi="SimSun" w:eastAsia="SimSun" w:cs="SimSun"/>
          <w:color w:val="000000"/>
          <w:sz w:val="24"/>
        </w:rPr>
        <w:t xml:space="preserve">质疑超出采购机构代理范围的，供应商应当向采购人提出。质疑联系部门、联系电话、通讯地址详见采购公告。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）对本项目采购文件提出质疑的，为获取采购文件之日或者采购文件公告期限届满之日；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）对本项目采购过程提出质疑的，为各采购程序环节结束之日；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）对本项目中标结果提出质疑的，为中标结果公告期限届满之日。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供应商提出质疑应当提交质疑函和必要的证明材料。质疑函的必备内容：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）获取采购文件的时间；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）具体、明确的质疑事项和质疑事项相关的请求；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）供应商为自然人的，由本人签字；供应商为法人或者其他组织的，应当由法定代表人、主要负责人，或者其授权代表签字或者盖章，并加盖公章；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采购人在收到质疑函后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个工作日内作出答复，并以书面形式通知质疑供应商和其他有关供应商，但质疑答复的内容不涉及商业秘密。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质疑供应商对答复不满意或采购人、采购代理机构未在规定时间内作出答复的，可在答复期满后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第三章资格审查及评标方法</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7"/>
        <w:gridCol w:w="4867"/>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48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867" w:type="dxa"/>
            <w:vAlign w:val="center"/>
            <w:textDirection w:val="lrTb"/>
            <w:noWrap w:val="false"/>
          </w:tcPr>
          <w:p>
            <w:pPr>
              <w:ind w:left="0" w:right="0"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87" w:type="dxa"/>
            <w:vAlign w:val="center"/>
            <w:textDirection w:val="lrTb"/>
            <w:noWrap w:val="false"/>
          </w:tcPr>
          <w:p>
            <w:pPr>
              <w:ind w:left="0" w:right="0" w:firstLine="4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投标声明及承诺函</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67" w:type="dxa"/>
            <w:vAlign w:val="center"/>
            <w:textDirection w:val="lrTb"/>
            <w:noWrap w:val="false"/>
          </w:tcPr>
          <w:p>
            <w:pPr>
              <w:ind w:left="0" w:right="0" w:firstLine="4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87" w:type="dxa"/>
            <w:vAlign w:val="center"/>
            <w:textDirection w:val="lrTb"/>
            <w:noWrap w:val="false"/>
          </w:tcPr>
          <w:p>
            <w:pPr>
              <w:ind w:left="0" w:right="0" w:firstLine="4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信用信息</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67" w:type="dxa"/>
            <w:vAlign w:val="center"/>
            <w:textDirection w:val="lrTb"/>
            <w:noWrap w:val="false"/>
          </w:tcPr>
          <w:p>
            <w:pPr>
              <w:ind w:left="0" w:right="0" w:firstLine="4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487" w:type="dxa"/>
            <w:vAlign w:val="center"/>
            <w:textDirection w:val="lrTb"/>
            <w:noWrap w:val="false"/>
          </w:tcPr>
          <w:p>
            <w:pPr>
              <w:ind w:left="0" w:right="0" w:firstLine="4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联合体投标</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867" w:type="dxa"/>
            <w:vAlign w:val="center"/>
            <w:textDirection w:val="lrTb"/>
            <w:noWrap w:val="false"/>
          </w:tcPr>
          <w:p>
            <w:pPr>
              <w:ind w:left="0" w:right="0" w:firstLine="4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不接受联合体投标</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评标委员会对符合资格的投标人的投标文件进行符合性审查，未通过审查的为无效标，不再参与评审。</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8"/>
        <w:gridCol w:w="4857"/>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4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符合性审查因素</w:t>
            </w: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4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审查标准</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法定代表人身份证明或授权委托书</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符合招标文件要求</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开标一览表及投标报价</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格式、填写要求符合招标文件规定</w:t>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44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技术标准和要求</w:t>
            </w: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4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符合招标文件要求</w:t>
            </w:r>
            <w:r/>
          </w:p>
        </w:tc>
      </w:tr>
      <w:tr>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44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4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符合招标文件要求</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本项目采用综合评分法，评标结果按评审后得分由高到低顺序排列。得分相同的，按投标报价由低到高顺序排序。得分且投标报价相同的并列。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评标委员会根据评标后投标人排序推荐中标候选人，并形成评标报告。</w:t>
      </w:r>
      <w:r/>
    </w:p>
    <w:p>
      <w:pPr>
        <w:ind w:lef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rPr>
          <w:rFonts w:ascii="SimSun" w:hAnsi="SimSun" w:eastAsia="SimSun" w:cs="SimSun"/>
          <w:b/>
          <w:color w:val="000000"/>
          <w:sz w:val="24"/>
        </w:rPr>
        <w:t xml:space="preserve">评标标准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4"/>
        <w:gridCol w:w="1319"/>
        <w:gridCol w:w="1126"/>
        <w:gridCol w:w="5445"/>
      </w:tblGrid>
      <w:tr>
        <w:trPr>
          <w:trHeight w:val="451"/>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13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采用低价优先法计算，即满足招标文件要求且投标价格最低的投标报价为评标基准价，其价格分为满分。其他投标人投标报价得分＝（评标基准价/投标报价）*</w:t>
            </w:r>
            <w:r>
              <w:rPr>
                <w:rFonts w:ascii="SimSun" w:hAnsi="SimSun" w:eastAsia="SimSun" w:cs="SimSun"/>
                <w:color w:val="000000"/>
                <w:sz w:val="24"/>
              </w:rPr>
              <w:t xml:space="preserve">10。</w:t>
            </w:r>
            <w:r/>
          </w:p>
        </w:tc>
      </w:tr>
      <w:tr>
        <w:trPr>
          <w:trHeight w:val="11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团队配置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项目团队应配备满足采购需求中“人员配备要求”得12分，除项目负责人要求外每减少1人扣1分，本项最低得0分，最高得12分。</w:t>
            </w: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项目的方案设想与整体思路及理解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根据项目特点，阐述针对本项目采用的运行管理理念、工作重点、难点及对应措施和合理化建议，并有针对性地设置可行的服务目标等方面是否全面、专业、综合评价。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全面性(6分)：全面具体详实得6分；较全面得3分；不全面得1分。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针对性(6分)：针对性强得6分；针对性较强得3分；针对性不强得1分。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可行性(6分)：符合实际切实可行得6分；较切实可行得3分；可行性欠缺得1分。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75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管理运营方案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快速提升沭阳公用型保税仓运营管理能力的方案，对方案的全面、可行、针对性进行综合评价。方案中需包含WMS系统与海关系统对接方案、安全管理与应急预案（含消防、货物安全）、客户服务标准与投诉处理机制、运营管理制度台账体系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全面性(6分)：全面具体详实得6分；较全面得3分；不全面得1分。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针对性(6分)：针对性强得6分；针对性较强得3分；针对性不强得1分。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可行性(6分)：符合实际切实可行得6分；较切实可行得3分；可行性欠缺得1分。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75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全面性(6分)：全面具体详实得6分；较全面得2分；不全面得1分。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针对性(6分)：针对性强得6分；针对性较强得3分；针对性不强得1分。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可行性(6分)：符合实际切实可行得6分；较切实可行得2分；可行性欠缺得1分。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r>
        <w:trPr>
          <w:trHeight w:val="13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招商合作能力方案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能结合沭阳当地市场调研情况，提出科学可行的招商方案，吸引企业入驻沭阳公用型保税仓库。</w:t>
              <w:br/>
              <w:t xml:space="preserve">全面性(5分)：全面具体详实得5分；较全面得3分；不全面得1分。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针对性(5分)：针对性强得5分；针对性较强得3分；针对性不强得1分。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可行性(5分)：符合实际切实可行得5分；较切实可行得3分；可行性欠缺得1分。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 0 分。</w:t>
            </w:r>
            <w:r/>
          </w:p>
        </w:tc>
      </w:tr>
      <w:tr>
        <w:trPr>
          <w:trHeight w:val="72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运营效果分析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对内容的全面性、针对性、可行性进行评价。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全面性(3分)：全面具体详实得3分；较全面得2分；不全面得1分；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针对性(3分)：针对性强得3分；针对性较强得2分；针对性不强得1分；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可行性(3分)：符合实际切实可行得3分；较切实可行得2分；可行性欠缺得1分；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w:t>
            </w:r>
            <w:r/>
          </w:p>
        </w:tc>
      </w:tr>
    </w:tbl>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44"/>
          <w:u w:val="none"/>
        </w:rPr>
        <w:t xml:space="preserve">第四章</w:t>
      </w:r>
      <w:r>
        <w:rPr>
          <w:rFonts w:ascii="Calibri" w:hAnsi="Calibri" w:eastAsia="Calibri" w:cs="Calibri"/>
          <w:b/>
          <w:color w:val="000000"/>
          <w:sz w:val="44"/>
        </w:rPr>
        <w:t xml:space="preserve">  </w:t>
      </w:r>
      <w:r>
        <w:rPr>
          <w:rFonts w:ascii="SimSun" w:hAnsi="SimSun" w:eastAsia="SimSun" w:cs="SimSun"/>
          <w:b/>
          <w:color w:val="000000"/>
          <w:sz w:val="44"/>
        </w:rPr>
        <w:t xml:space="preserve">采购需求</w:t>
      </w: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w:t>
      </w:r>
      <w:r>
        <w:rPr>
          <w:rFonts w:ascii="SimSun" w:hAnsi="SimSun" w:eastAsia="SimSun" w:cs="SimSun"/>
          <w:color w:val="000000"/>
          <w:sz w:val="28"/>
        </w:rPr>
        <w:t xml:space="preserve">项目属性：服务类项目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w:t>
      </w:r>
      <w:r>
        <w:rPr>
          <w:rFonts w:ascii="SimSun" w:hAnsi="SimSun" w:eastAsia="SimSun" w:cs="SimSun"/>
          <w:color w:val="000000"/>
          <w:sz w:val="28"/>
        </w:rPr>
        <w:t xml:space="preserve">本项目采购标的对应的中小企业划分标准所属行业：其他未列明行业。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w:t>
      </w:r>
      <w:r>
        <w:rPr>
          <w:rFonts w:ascii="SimSun" w:hAnsi="SimSun" w:eastAsia="SimSun" w:cs="SimSun"/>
          <w:color w:val="000000"/>
          <w:sz w:val="28"/>
        </w:rPr>
        <w:t xml:space="preserve">本项目</w:t>
      </w:r>
      <w:r>
        <w:rPr>
          <w:rFonts w:ascii="SimSun" w:hAnsi="SimSun" w:eastAsia="SimSun" w:cs="SimSun"/>
          <w:color w:val="000000"/>
          <w:sz w:val="28"/>
          <w:u w:val="single"/>
        </w:rPr>
        <w:t xml:space="preserve">不接受</w:t>
      </w:r>
      <w:r>
        <w:rPr>
          <w:rFonts w:ascii="SimSun" w:hAnsi="SimSun" w:eastAsia="SimSun" w:cs="SimSun"/>
          <w:color w:val="000000"/>
          <w:sz w:val="28"/>
        </w:rPr>
        <w:t xml:space="preserve">进口产品。</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四、服务期、实施地点及质量标准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服务期：1年（合同期满评价通过可续签合同，最长不超过3年，合同一年一签）。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实施地点：沭阳县境内；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质量标准：合格，符合采购要求。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w:t>
      </w:r>
      <w:r>
        <w:rPr>
          <w:rFonts w:ascii="SimSun" w:hAnsi="SimSun" w:eastAsia="SimSun" w:cs="SimSun"/>
          <w:b/>
          <w:color w:val="000000"/>
          <w:sz w:val="28"/>
          <w:u w:val="none"/>
        </w:rPr>
        <w:t xml:space="preserve">付款方式</w:t>
      </w:r>
      <w:r>
        <w:rPr>
          <w:rFonts w:ascii="SimSun" w:hAnsi="SimSun" w:eastAsia="SimSun" w:cs="SimSun"/>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合同签订后支付至合同价款的50%，并于正式运营后的每季度末支付合同价的10%，达到本年度评价标准支付剩余款项。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注：在签订合同时，中标人明确表示无需预付款或者主动要求降低预付款比例的金额，采购人可不适用预付款规定。</w:t>
        <w:br/>
      </w:r>
      <w:r>
        <w:rPr>
          <w:rFonts w:ascii="SimSun" w:hAnsi="SimSun" w:eastAsia="SimSun" w:cs="SimSun"/>
          <w:b/>
          <w:color w:val="000000"/>
          <w:sz w:val="28"/>
        </w:rPr>
        <w:t xml:space="preserve">六、项目主要内容：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w:t>
      </w:r>
      <w:r>
        <w:rPr>
          <w:rFonts w:ascii="SimSun" w:hAnsi="SimSun" w:eastAsia="SimSun" w:cs="SimSun"/>
          <w:b/>
          <w:color w:val="000000"/>
          <w:sz w:val="28"/>
        </w:rPr>
        <w:t xml:space="preserve">服务内容与要求：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确定委托供应商为沭阳公用型保税仓运营管理后，供应商负责运营、管理团队组件、人员培训、系统搭建、流程梳理服务、保税仓储、报关清关、货运代理、供应链金融服务及后续出口监管仓、9610跨境电商监管中心的拓展运营、协助甲方招商并提供咨询指导等服务；同时负责园区内固定资产和生产设备的日常维护、保养、维修管理（涉及固定资产和生产设备损坏的原则应由侵权人负责赔偿，如供应商未及时告知甲方则由供应商承担）；确保管理经营期间的安全生产，生产及管理运营期内的安全责任均有供应商承担；供应商负责场站及办公区域的水电费用、网络费用、</w:t>
      </w:r>
      <w:r>
        <w:rPr>
          <w:rFonts w:ascii="SimSun" w:hAnsi="SimSun" w:eastAsia="SimSun" w:cs="SimSun"/>
          <w:color w:val="000000"/>
          <w:sz w:val="28"/>
        </w:rPr>
        <w:t xml:space="preserve">办公消耗品费用等其他杂费，甲方提供办公桌椅、打印机、空调等固定资产置备。</w:t>
      </w:r>
      <w:r/>
    </w:p>
    <w:p>
      <w:pPr>
        <w:ind w:left="479"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（二）评价标准及监督机制</w:t>
        <w:br/>
      </w:r>
      <w:r>
        <w:rPr>
          <w:rFonts w:ascii="SimSun" w:hAnsi="SimSun" w:eastAsia="SimSun" w:cs="SimSun"/>
          <w:color w:val="000000"/>
          <w:sz w:val="28"/>
        </w:rPr>
        <w:t xml:space="preserve">应按经营计划完成基本进出口额：首年运营期实现新增进出口额不低于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1500万美元；次年运营期实现当年净增进出口额不低于6500万美元；第三年运营期确保实现当年净增进出口额不低于12000万美元。进出口额数据以中国海关最终认定数据为准。</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执行的第一年期满前1个月内，甲方有权针对乙方本年度已提供的运行管理服务效果及现场管理情况，组织相关部门予以评估审核。满足甲方相关规范要求，可允许续约，按合同约定继续执行下一年度运行管理服务；若评估后不符合甲方相关规范要求，扣除本年度运行管理费用的10%，同时给予2个月的整改期，如整改期内仍达不到合格标准的，甲方有权终止合同执行，且不承担任何违约责任，若整改期年度评价合格后，甲方支付扣除的本年度运行管理费用的10%，双方签订下一年合作协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（三）现场人员及办公设施设备配备要求</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为保证保税仓高质量、规范化、专业化运行，要求管理团队组织架构合理、部门设置齐全、职责明确，主要岗位和人员要求如下：</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6"/>
        <w:gridCol w:w="1686"/>
        <w:gridCol w:w="1042"/>
        <w:gridCol w:w="3798"/>
      </w:tblGrid>
      <w:tr>
        <w:trPr>
          <w:trHeight w:val="7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工作内容要求</w:t>
            </w:r>
            <w:r/>
          </w:p>
        </w:tc>
      </w:tr>
      <w:tr>
        <w:trPr>
          <w:trHeight w:val="8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项目总经理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全面主持保税仓管理工作，负责保税区招商、运营，负责整体工作的协调和落实。</w:t>
            </w:r>
            <w:r/>
          </w:p>
        </w:tc>
      </w:tr>
      <w:tr>
        <w:trPr>
          <w:trHeight w:val="1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行政管理人员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负责保税区办公室及后勤日常工作，为保税区日常工作的开展提供基础保障；各类报表的汇总、上报</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会计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分管财务管理工作，负责保税仓预算、决算和核算工作；做好发票、资金、固定资产管理和税务申报工作；定期更新财税政策。</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业务招商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负责保税仓招商政策推介，走访客户，根据客户需求制定有针对性的物流解决方案，业务达成并实际落地。</w:t>
            </w:r>
            <w:r/>
          </w:p>
        </w:tc>
      </w:tr>
      <w:tr>
        <w:trPr>
          <w:trHeight w:val="1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场站管理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负责保税仓场站的系统操作，货物进出区及统计；负责场站弱电系统巡查，保障场站系统稳定运行。</w:t>
            </w:r>
            <w:r/>
          </w:p>
        </w:tc>
      </w:tr>
      <w:tr>
        <w:trPr>
          <w:trHeight w:val="1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硬件工程师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负责场站系统硬件设备设施的日常维护保养，做好日常巡查记录，发现问题及时上报并解决。</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负责保税仓的办公区、库区等区域的环境卫生，定期定时打扫，保证场站的清洁。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负责控制进出保税仓的人员和车辆；定期巡逻仓库，保证各个区域的安全；火灾及紧急情况的处理；安全设备的维护和记录。</w:t>
            </w: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协管员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协助海关日常检查和查验。</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（四）现场办公设施设备配备要求如下：</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现场由供应商配备公务用车及叉车等设备车辆。由供应商进行系统维护，具体为负责场站弱电系统监督巡查（含园区网络、监控视频系统专线、海关数据专线、服务器、防火墙），保障场站系统稳定运行；联系处理网络突发状况，排查网络故障；配置服务器环境及日常检查，检查网络及服务器网络安全设置，web发布相关系统的安装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Calibri" w:hAnsi="Calibri" w:eastAsia="Calibri" w:cs="Calibri"/>
          <w:b/>
          <w:color w:val="000000"/>
          <w:sz w:val="44"/>
        </w:rPr>
        <w:t xml:space="preserve">  </w:t>
      </w:r>
      <w:r>
        <w:rPr>
          <w:rFonts w:ascii="SimSun" w:hAnsi="SimSun" w:eastAsia="SimSun" w:cs="SimSun"/>
          <w:b/>
          <w:color w:val="000000"/>
          <w:sz w:val="44"/>
        </w:rPr>
        <w:t xml:space="preserve">合同文本</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甲方：</w:t>
      </w:r>
      <w:r>
        <w:rPr>
          <w:rFonts w:ascii="SimSun" w:hAnsi="SimSun" w:eastAsia="SimSun" w:cs="SimSun"/>
          <w:b/>
          <w:color w:val="000000"/>
          <w:sz w:val="28"/>
          <w:u w:val="single"/>
        </w:rPr>
        <w:t xml:space="preserve">沭阳经济技术开发区管理委员会</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乙方：</w:t>
      </w:r>
      <w:r>
        <w:rPr>
          <w:rFonts w:ascii="SimSun" w:hAnsi="SimSun" w:eastAsia="SimSun" w:cs="SimSun"/>
          <w:b/>
          <w:color w:val="000000"/>
          <w:sz w:val="28"/>
          <w:u w:val="single"/>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合同签订地点：沭阳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签订时间：2026年   月   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甲乙双方根据《中华人民共和国政府采购法》及《中华人民共和国民法典》等相关法律法规，遵循平等、自愿的原则，经友好协商，签订本合同。</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一、服务期限、地点、方式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1.运营管理服务期限：1年（合同期满评价通过可续签合同，最长不超过3年，合同一年一签）。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合同执行的第一年期满前1个月内，甲方有权针对乙方本年度已提供的运行管理服务效果及现场管理情况，组织相关部门予以评估审核。满足甲方相关规范要求，可允许续约，按合同约定继续执行下一年度运行管理服务；若评估后不符合甲方相关规范要求，扣除本年度运行管理费用的10%，同时给予2个月的整改期，如整改期内仍达不到合格标准的，甲方有权终止合同执行，且不承担任何违约责任，若整改期年度评价合格后，甲方支付扣除的本年度运行管理费用的10%，双方签订下一年合作协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以上评价标准，由甲方主管单位负责制定，并邀请政府相关部门和专业机构对本项目的运营服务进行年度评价及监督。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若在合同执行期间，乙方因自身原因无法继续履行合同约定条款，必须提前3个月书面提交申请材料，报送甲方确认。未经甲方允许，乙方不得擅自退场。乙方必须在新维保方进场、双方办理完交接工作并经甲方确认后方可退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2.运营管理服务起始日期： 年  月   日至     年   月   日 </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二、合同金额及支付方式</w:t>
      </w:r>
      <w:r/>
    </w:p>
    <w:p>
      <w:pPr>
        <w:ind w:left="279" w:right="0" w:firstLine="2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1.合同金额：</w:t>
      </w:r>
      <w:r/>
    </w:p>
    <w:p>
      <w:pPr>
        <w:ind w:left="279"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本合同合同金额为人民币：</w:t>
      </w:r>
      <w:r>
        <w:rPr>
          <w:rFonts w:ascii="SimSun" w:hAnsi="SimSun" w:eastAsia="SimSun" w:cs="SimSun"/>
          <w:color w:val="000000"/>
          <w:sz w:val="28"/>
          <w:u w:val="single"/>
        </w:rPr>
        <w:t xml:space="preserve">   元 </w:t>
      </w:r>
      <w:r>
        <w:rPr>
          <w:rFonts w:ascii="SimSun" w:hAnsi="SimSun" w:eastAsia="SimSun" w:cs="SimSun"/>
          <w:color w:val="000000"/>
          <w:sz w:val="28"/>
        </w:rPr>
        <w:t xml:space="preserve">（大写：</w:t>
      </w:r>
      <w:r>
        <w:rPr>
          <w:rFonts w:ascii="SimSun" w:hAnsi="SimSun" w:eastAsia="SimSun" w:cs="SimSun"/>
          <w:color w:val="000000"/>
          <w:sz w:val="28"/>
          <w:u w:val="single"/>
        </w:rPr>
        <w:t xml:space="preserve">         </w:t>
      </w:r>
      <w:r>
        <w:rPr>
          <w:rFonts w:ascii="SimSun" w:hAnsi="SimSun" w:eastAsia="SimSun" w:cs="SimSun"/>
          <w:color w:val="000000"/>
          <w:sz w:val="28"/>
        </w:rPr>
        <w:t xml:space="preserve">）（含税）。该服务费用包含乙方为实施本合同约定的运营服务项目所需支出的费用。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2.付款方式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合同签订后支付至合同价款的50%，并于正式运营后的每季度末支付合同价的10%，达到本年度评价标准支付剩余款项。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注：在签订合同时，中标人明确表示无需预付款或者主动要求降低预付款比例的金额，采购人可不适用预付款规定。</w:t>
        <w:br/>
      </w:r>
      <w:r>
        <w:rPr>
          <w:rFonts w:ascii="SimSun" w:hAnsi="SimSun" w:eastAsia="SimSun" w:cs="SimSun"/>
          <w:b/>
          <w:color w:val="000000"/>
          <w:sz w:val="28"/>
        </w:rPr>
        <w:t xml:space="preserve">三、甲乙双方的责任和义务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（一）甲方的权利义务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1.甲方必须及时提供与本项目有关的资料及其他相关文件交给乙方。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2.甲方应对其提供的资料及文件的真实性、准确性及合法性负责。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甲方有权对合同规定范围内乙方的服务行为进行监督和检查，拥有监管权。有权定期核对乙方提供服务所配备的人员数量。甲方认为不合理的部分有权下达整改通知书，并要求乙方限期整改。发现乙方有违规、违法行为的有权要求乙方改正或解约，并赔偿甲方的损失。</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4.甲方有权在乙方未完成年度评价标准时单方选择提前终止委托运营合同。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5.乙方根据规章制度提供管理服务时，甲方应给予相应协调和配合。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6.甲方应协助处理非乙方原因而产生的各种纠纷。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7.本合同一经双方签署，甲方不得再将本项目的运营管理服务工作委托给乙方以外的第三方（包括任何公司、机构或个人）。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8.甲方根据项目运营实际情况，可以适时召集乙方召开工作协调会议，乙方应给予积极配合。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（二）乙方的权利义务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1.对本合同规定的委托服务范围内的项目享有管理权及承担服务义务，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应按经营计划完成基本进出口额：首年运营期实现新增进出口额不低于1500万美元；次年运营期实现当年净增进出口额不低于6500万美元；第三年运营期确保实现当年净增进出口额不低于12000万美元。进出口额数据以中国海关最终认定数据为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3.乙方应每月向甲方提交本项目管理报告，及时向甲方报告本项目运营管理情况。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4.乙方应安排相关人员组成本项目经营团队，负责本项目运营管理工作，并指定与甲方进行联系工作，进行文件交收及信息沟通。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5.乙方应在首年运营期内协助甲方共同推进进口保税仓及出口监管仓申报工作。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6.在委托期限内应及时提出合同履行过程中所出现的各种问题的解决方案。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7.乙方对甲方各种商业设施的配备购置提供参考意见。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乙方应当根据法律法规的有关规定，制订商业运营的各项管理方法、规章制度、实施细则并报甲方审核通过，乙方开展各项管理经营活动，不得侵害甲方及他人的合法权益，不得利用管理服务的便利获取不当利益。</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9.乙方应按照《沭阳公用型保税仓运营服务清单》（详见附件）开展业务，所有服务均需满足海关监管标准。</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四、保密条款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1.甲、乙双方应就其在双方合作过程中知悉的对方的资料、信息承担保密责任，未经另一方书面同意，不得向任何人披露上述资料和信息。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2.任何一方违反保密义务而给另一方造成损失的，均由泄密方负责赔偿。</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3.本保密条款在本协议有效期内及终止后一直有效。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4.乙方须严格保密合作企业全部报关资料、进出口备案、贸易数据等涉密信息。经查实发生1次信息泄密的，乙方支付违约金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元，全额赔偿全部经济损失并限期整改；合同周期内泄密达2次（含2次）及以上，甲方可直接终止合作、没收全部履约保证金，乙方承担违约金</w:t>
      </w:r>
      <w:r>
        <w:rPr>
          <w:rFonts w:ascii="SimSun" w:hAnsi="SimSun" w:eastAsia="SimSun" w:cs="SimSun"/>
          <w:color w:val="000000"/>
          <w:sz w:val="28"/>
          <w:u w:val="single"/>
        </w:rPr>
        <w:t xml:space="preserve">     </w:t>
      </w:r>
      <w:r>
        <w:rPr>
          <w:rFonts w:ascii="SimSun" w:hAnsi="SimSun" w:eastAsia="SimSun" w:cs="SimSun"/>
          <w:color w:val="000000"/>
          <w:sz w:val="28"/>
        </w:rPr>
        <w:t xml:space="preserve">元，同时赔偿所有衍生损失。乙方外包报关、劳务人员泄密，视同乙方违约，全部责任由乙方承担。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五、违约责任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1.甲乙双方必须遵守本合同并执行合同中的各项规定，保证本合同的正常履行。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因乙方工作人员在履行职务过程中的疏忽、失职、过错等故意或过失原因给甲方造成损失或侵害，包括但不限于甲方本身的财产损失、由此而导致的甲方对任何第三方的法律责任等，乙方对此均应承担全部的赔偿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3.任何一方违反本合同条款所约定的义务即属违约。守约方向违约方发出书面整改通知之日起 3 日内违约方仍拒不改正的，则守约方有权单方终止本合同，并由违约方承担违约责任，违约责任包括但不限于：赔偿损失、返还已收取的款项、支付违约金等；守约方可向违约方主张合同总价款30%的违约金。</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六、安全生产与合规运营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为项目运营期间安全生产、合规经营第一责任人，须严格遵守安全生产、消防安全、海关监管、市场经营等法律法规，建立健全安全管理制度，落实安全巡查、隐患排查、应急处置机制，杜绝安全事故、违规经营问题发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2.运营期间发生安全事故、海关违规、行政处罚、货物损失等问题的，由乙方全权负责处置并承担全部损失及法律责任，甲方有权依规追责、扣除相应服务费直至解除合同。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严禁擅自改变保税仓海关备案用途、擅自转租、转包、分包本项目托管服务，严禁私自改造场地设施、更改作业流程。如需优化运营方案、调整作业模式、开展设施微调的，须提前7个工作日书面报备甲方，经甲方及海关监管部门审核同意后方可实施，违规操作造成的一切处罚和损失由乙方全权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七、不可抗力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因地震、洪水、台风、疫情、政策重大调整等不可抗力因素导致本合同无法正常履行的，根据不可抗力影响程度，部分或全部免除对应责任；因一方延迟履行合同后发生不可抗力的，不得免除违约责任。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遭遇不可抗力一方须在24小时内书面通知对方，积极采取有效止损措施，于不可抗力发生后7个工作日内提供官方有效证明文件，双方根据实际情况协商后续履约、延期、部分解除或终止合同等处置方案，因未及时报备、未止损造成的扩大损失由过错方自行承担。</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1.履约保证金提交金额：按采购合同总价的</w:t>
      </w:r>
      <w:r>
        <w:rPr>
          <w:rFonts w:ascii="SimSun" w:hAnsi="SimSun" w:eastAsia="SimSun" w:cs="SimSun"/>
          <w:color w:val="000000"/>
          <w:sz w:val="28"/>
          <w:u w:val="single"/>
        </w:rPr>
        <w:t xml:space="preserve"> 5 </w:t>
      </w:r>
      <w:r>
        <w:rPr>
          <w:rFonts w:ascii="SimSun" w:hAnsi="SimSun" w:eastAsia="SimSun" w:cs="SimSun"/>
          <w:color w:val="000000"/>
          <w:sz w:val="28"/>
        </w:rPr>
        <w:t xml:space="preserve">%提交。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乙方如使用江苏政府采购电子履约保函（保险）的，可按合同总价的</w:t>
      </w:r>
      <w:r>
        <w:rPr>
          <w:rFonts w:ascii="SimSun" w:hAnsi="SimSun" w:eastAsia="SimSun" w:cs="SimSun"/>
          <w:color w:val="000000"/>
          <w:sz w:val="28"/>
          <w:u w:val="single"/>
        </w:rPr>
        <w:t xml:space="preserve"> 3 </w:t>
      </w:r>
      <w:r>
        <w:rPr>
          <w:rFonts w:ascii="SimSun" w:hAnsi="SimSun" w:eastAsia="SimSun" w:cs="SimSun"/>
          <w:color w:val="000000"/>
          <w:sz w:val="28"/>
        </w:rPr>
        <w:t xml:space="preserve">%（履约保证金原提交金额的6折）提交。办理流程、偿付等内容见江苏政府采购网“保险保函”模块。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2.履约保证金提交形式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履约保证金应在采购合同签订前提交，除银行电汇、网上银行、数字人民币外，乙方还可选用银行保函、担保公司的保证担保或保险公司的保证保险等多种形式向甲方缴纳。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3.履约保证金退还方式</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4.履约保证金退还条件：项目运维期结束，无质量问题，无息退还。</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5.履约保证金退还时间：甲方收到乙方退付申请后5个工作日内退还。</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6.履约保证金不予退还情形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除不可抗力外，乙方不履行与甲方订立的采购合同的，履约保证金不予退还，给甲方造成的损失超过履约保证金数额的，还应对超过部分予以赔偿。</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7.逾期退还履约保证金违约责任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甲方逾期退还履约保证金的，除应退还履约保证金外，还应按中国人民银行同期贷款基准利率上20％后的利率支付逾期资金占用费，但因乙方自身原因导致无法及时退还的除外。</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九、其他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1.本合同未尽事宜，由甲乙双方另行签订补充协议，补充协议是本合同的组成部分，与本合同具有同等法律效力。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2.本合同自双方签字盖章后生效，甲乙双方必须认真履行合同条款，与本合同有关的一切纠纷，双方应友好协商解决，协商不成提交甲方所在地人民法院诉讼解决。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3.招标文件及相关资料是本合同的组成部分，与本合同具有同等法律效力。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4.本合同壹式肆份，甲方执叁份，乙方执壹份。自双方签字、盖章之日起生效。</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 （盖章）乙方： （盖章）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法定（授权）代表人：法定（授权）代表人：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沭阳公用型保税仓运营服务清单</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沭阳公用型保税仓运营管理方全权承担本保税仓海关合规运营、现场管理、业务操作、系统运维、安全管控等全部运营工作。后续出口监管仓、9610 跨境电商监管中心拓展运营工作，全部服务均应当符合海关监管相关标准，保障仓库常态化合规运行，实现零违规运营风险。</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一、人员队伍管理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1.搭建架构合理、部门设置齐全、岗位职责清晰的管理运营团队，保障保税仓高质量、规范化、专业化运行。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2.定期组织在岗人员开展海关监管政策、业务实操、安全管理、合规风控等专题培训，全体作业人员须熟练掌握保税业务相关规则，做到持证上岗、全流程合规操作。</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二、制度体系建设</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立健全仓库保税运营管理制度、岗位权责制度、业务操作流程、安全管理制度、突发事件应急处置制度，规范全体人员作业行为，防范人为因素引发的违规操作。上述全套制度文件，须于保税仓正式运营前15个工作日前报送甲方完成备案审核。</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三、日常运营服务管理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（一）海关合规监管服务（核心硬性职责）</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负责仓库相关资质维护、业务台账合规管理；开展业务系统申报、各类监管数据报送；落实保税货物全流程监管管控；配合海关开展稽查、核查等各项监管工作。</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（二）基础保税仓储运营服务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承接保税货物全流程仓储作业；落实仓库分级、分区仓储管理；动态做好库存台账管理，承担货物安全保管主体责任；配套提供保税业务通关相关辅助服务。</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（三）场所设施与系统运维服务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做好海关监管必备设施设备运维保养；开展业务信息化系统运维；落实作业场地日常维护，完成仓库设备资产台账及资产管理工作。</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（四）安全管理与应急处置服务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严格执行各项安全管理制度；定期组织消防演练、安全隐患排查，杜绝消防安全、仓储作业安全事故；常态化排查保税业务合规风险、库存风险、系统运行风险，建立风险预警机制；发生各类突发状况时第一时间启动应急预案，快速处置、及时向甲方及监管部门报备，完成事件闭环处置。</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四、对外招商与客户服务</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（一）公共招商运营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充分发挥公用型保税仓库公共服务属性，开发拓展保税仓储业务客户资源。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1.首年运营周期内，完成不少于 5 家企业实际入驻并使用保税仓服务；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2.协议签订生效后30日内，提交年度招商实施方案，方案包含目标企业清单、招商实施策略、时间推进计划；</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3.保税仓正式运营后3个月内，推动至少1家入驻企业完成首票货物入仓报关业务。</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（二）客户服务管理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建立完整客户管理台账，做好客户业务对接、需求响应、业务咨询答疑、售后跟进保障，保障入驻企业业务平稳开展，维护保税仓对外服务口碑。每季度协助沭阳经开区组织不少于 1 场保税业务专题宣讲培训，全年累计培训不少于 4 场，每场参训企业不少于 20 家。培训内容包含保税仓库政策解读、业务操作流程、海关监管要求、企业入驻办理流程、成本收益分析、报关及账册管理实务等相关内容。培训自保税仓正式运营后次季度启动；每场培训结束后7个工作日内向沭阳经开区报送参训企业名单、培训课件资料、现场影像资料、意向企业跟进台账，实现培训工</w:t>
      </w:r>
      <w:r>
        <w:rPr>
          <w:rFonts w:ascii="SimSun" w:hAnsi="SimSun" w:eastAsia="SimSun" w:cs="SimSun"/>
          <w:color w:val="000000"/>
          <w:sz w:val="28"/>
        </w:rPr>
        <w:t xml:space="preserve">作全程可追溯。</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五、工作报送与监督评价</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按季度向沭阳经开区提交《保税仓库运营季报》，报告内容涵盖库存业务数据、业务台账情况、合规自查情况、设施设备运维情况、问题整改落实情况等，主动接受沭阳经开区监督与评价。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五、中小企业或残疾人福利性单位声明函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六、项目组人员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七、项目实施方案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八、投标所需其他材料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一、投标函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的招标文件，我方在参加本项目招投标活动中，特作出如下承诺：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四、如果我方的投标文件被接受，我方将按照《中华人民共和国民法典（第三编合同）》及其他有关法律法规的规定，按期、按质、按量交付采购单位，全面做到履约守信；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二、投标人资质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按招标文件要求提供相应资质证书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三、</w:t>
      </w:r>
      <w:r>
        <w:rPr>
          <w:rFonts w:ascii="SimHei" w:hAnsi="SimHei" w:eastAsia="SimHei" w:cs="SimHei"/>
          <w:color w:val="000000"/>
          <w:sz w:val="32"/>
        </w:rPr>
        <w:t xml:space="preserve">法人授权书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号</w:t>
      </w:r>
      <w:r>
        <w:rPr>
          <w:rFonts w:ascii="SimSun" w:hAnsi="SimSun" w:eastAsia="SimSun" w:cs="SimSun"/>
          <w:color w:val="000000"/>
          <w:sz w:val="24"/>
          <w:u w:val="single"/>
        </w:rPr>
        <w:t xml:space="preserve">          （项目名称）项目</w:t>
      </w:r>
      <w:r>
        <w:rPr>
          <w:rFonts w:ascii="SimSun" w:hAnsi="SimSun" w:eastAsia="SimSun" w:cs="SimSun"/>
          <w:color w:val="000000"/>
          <w:sz w:val="24"/>
        </w:rPr>
        <w:t xml:space="preserve">采购活动的合法代理人，以本单位名义全权处理一切与该项目采购有关的事务。</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四</w:t>
      </w:r>
      <w:r>
        <w:rPr>
          <w:rFonts w:ascii="SimHei" w:hAnsi="SimHei" w:eastAsia="SimHei" w:cs="SimHei"/>
          <w:color w:val="000000"/>
          <w:sz w:val="32"/>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采购项目编号：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采购包号：分包号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          （人民币：元）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总价（大写）：金额大写 （人民币：元）</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color w:val="000000"/>
          <w:sz w:val="21"/>
        </w:rPr>
        <w:t xml:space="preserve">                   </w:t>
      </w:r>
      <w:r>
        <w:rPr>
          <w:rFonts w:ascii="SimSun" w:hAnsi="SimSun" w:eastAsia="SimSun" w:cs="SimSun"/>
          <w:color w:val="000000"/>
          <w:sz w:val="21"/>
        </w:rPr>
        <w:t xml:space="preserve">                   </w:t>
      </w:r>
      <w:r>
        <w:rPr>
          <w:rFonts w:ascii="Calibri" w:hAnsi="Calibri" w:eastAsia="Calibri" w:cs="Calibri"/>
          <w:color w:val="000000"/>
          <w:sz w:val="21"/>
        </w:rPr>
        <w:t xml:space="preserve">     </w:t>
      </w: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五</w:t>
      </w:r>
      <w:r>
        <w:rPr>
          <w:rFonts w:ascii="SimHei" w:hAnsi="SimHei" w:eastAsia="SimHei" w:cs="SimHei"/>
          <w:color w:val="000000"/>
          <w:sz w:val="32"/>
        </w:rPr>
        <w:t xml:space="preserve">、分项报价表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082"/>
        <w:gridCol w:w="1035"/>
        <w:gridCol w:w="758"/>
        <w:gridCol w:w="970"/>
        <w:gridCol w:w="1285"/>
        <w:gridCol w:w="142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“投标分项报价表”中“投标总报价”数额应当与“开标一览表”中“投标总报价”数额一致。</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strike/>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六、中小企业或残疾人福利性单位声明函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3629"/>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57"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非残疾人福利性单位不需提供此函。</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符合报价折扣情形的请将此函填报上传至“企业报价折扣证明”一栏中。</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七、技术响应偏离表（技术参数响应）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9"/>
        <w:gridCol w:w="2376"/>
        <w:gridCol w:w="1986"/>
        <w:gridCol w:w="221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none"/>
        </w:rPr>
        <w:t xml:space="preserve">.</w:t>
      </w:r>
      <w:r>
        <w:rPr>
          <w:rFonts w:ascii="SimSun" w:hAnsi="SimSun" w:eastAsia="SimSun" w:cs="SimSun"/>
          <w:color w:val="000000"/>
          <w:sz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SimSun" w:hAnsi="SimSun" w:eastAsia="SimSun" w:cs="SimSun"/>
          <w:b/>
          <w:color w:val="000000"/>
          <w:sz w:val="24"/>
        </w:rPr>
        <w:t xml:space="preserve">作无效响应处理。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对采购需求的其他非实质性要求，投标人按所投产品情况在此表中详细列出偏离情况（包括正偏离、负偏离、无偏离）并说明理由；未列明的均视为未响应招标文件要求。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八、项目组人员</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2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注：如投标人中标，项目组成员按本表承诺人员操作，不得随意更换。按采购文件要求附相关人员证书。</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21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21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九、项目实施方案</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十、投标所需其他材料</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请在此文档中增加投标所需其他相关内容（包括评分办法、采购需求中涉及的证件证明及其它投标人认为有必要提供的资料），如没有请将此空文档上传。</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81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425"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996"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1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93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张翠翠</cp:lastModifiedBy>
  <cp:revision>2</cp:revision>
  <dcterms:created xsi:type="dcterms:W3CDTF">2026-09-30T02:01:43Z</dcterms:created>
  <dcterms:modified xsi:type="dcterms:W3CDTF">2026-09-30T02:30:53Z</dcterms:modified>
</cp:coreProperties>
</file>