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宿迁市图书馆定制（儿童）读者阅览空间家具、装具、用具设计、制作及安装采购项目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JSZC-321300-JYGS-G2026-0022</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宿迁市图书馆</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2</w:t>
      </w:r>
      <w:r/>
    </w:p>
    <w:p>
      <w:pPr>
        <w:numPr>
          <w:ilvl w:val="0"/>
          <w:numId w:val="1"/>
        </w:numPr>
        <w:jc w:val="both"/>
        <w:spacing w:before="0" w:after="0"/>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5</w:t>
      </w:r>
      <w:r/>
    </w:p>
    <w:p>
      <w:pPr>
        <w:numPr>
          <w:ilvl w:val="0"/>
          <w:numId w:val="1"/>
        </w:numPr>
        <w:jc w:val="both"/>
        <w:spacing w:before="0" w:after="0"/>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23</w:t>
      </w:r>
      <w:r/>
    </w:p>
    <w:p>
      <w:pPr>
        <w:numPr>
          <w:ilvl w:val="0"/>
          <w:numId w:val="1"/>
        </w:numPr>
        <w:jc w:val="both"/>
        <w:spacing w:before="0" w:after="0"/>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30</w:t>
      </w:r>
      <w:r/>
    </w:p>
    <w:p>
      <w:pPr>
        <w:numPr>
          <w:ilvl w:val="0"/>
          <w:numId w:val="1"/>
        </w:numPr>
        <w:jc w:val="both"/>
        <w:spacing w:before="0" w:after="0"/>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46</w:t>
      </w:r>
      <w:r/>
    </w:p>
    <w:p>
      <w:pPr>
        <w:numPr>
          <w:ilvl w:val="0"/>
          <w:numId w:val="1"/>
        </w:numPr>
        <w:jc w:val="both"/>
        <w:spacing w:before="0" w:after="0"/>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54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宿迁市图书馆定制（儿童）读者阅览空间家具、装具、用具设计、制作及安装采购项目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JSZC-321300-JYGS-G2026-0022])</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（宿迁市图书馆定制（儿童）读者阅览空间家具、装具、用具设计、制作及安装采购项目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招标项目的潜在投标人应在“苏采云“系统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 http://jszfcg.jsczt.cn/)</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22</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JSZC-321300-JYGS-G2026-0022</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项目名称：宿迁市图书馆定制（儿童）读者阅览空间家具、装具、用具设计、制作及安装采购项目</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540</w:t>
      </w:r>
      <w:r>
        <w:rPr>
          <w:rFonts w:ascii="SimSun" w:hAnsi="SimSun" w:eastAsia="SimSun" w:cs="SimSun"/>
          <w:color w:val="000000"/>
          <w:sz w:val="24"/>
        </w:rPr>
        <w:t xml:space="preserve">万元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w:t>
      </w:r>
      <w:r>
        <w:rPr>
          <w:rFonts w:ascii="Times New Roman" w:hAnsi="Times New Roman" w:eastAsia="Times New Roman" w:cs="Times New Roman"/>
          <w:color w:val="000000"/>
          <w:sz w:val="24"/>
          <w:u w:val="single"/>
        </w:rPr>
        <w:t xml:space="preserve">540</w:t>
      </w:r>
      <w:r>
        <w:rPr>
          <w:rFonts w:ascii="SimSun" w:hAnsi="SimSun" w:eastAsia="SimSun" w:cs="SimSun"/>
          <w:color w:val="000000"/>
          <w:sz w:val="24"/>
        </w:rPr>
        <w:t xml:space="preserve">万元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本次涉及的儿童读者空间家具、装具及用具款式采用整体空间个性化设计与定制，主要包括适合儿童读者阅览的家具、装具用具、图书存放、自习及活动培训自修等用品定制、运输、装卸、安装、调试及售后三包服务等（详细内容见本招标文件第四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合同履行期限：合同生效之日起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日历天内完成定制生产、安装、调试、检测并经验收合格后交付甲方使用（含二次搬运费）。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属于专门面向中小企业采购的项目，投标人应为中小微企业、监狱企业、残疾人福利性单位。（须提供中小企业声明函或残疾人福利性单位声明函，或监狱企业证明文件）。非中小型企业参与本项目投标，将作无效标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年9月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22</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个工作日。招标公告发布媒体：宿迁市政府采购网、江苏省财政部门指定的媒体。</w:t>
      </w:r>
      <w:r/>
    </w:p>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0527-84363063</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宿迁市图书馆</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王景</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0527-84666609</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建银工程咨询有限责任公司</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沈鹏程</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15250968568</w:t>
      </w:r>
      <w:r/>
    </w:p>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0"/>
        <w:jc w:val="both"/>
        <w:spacing w:before="0" w:after="0" w:line="558"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642"/>
        <w:ind w:left="0" w:right="0" w:firstLine="643"/>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80"/>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具体评标办法详见招标文件第五章。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tc>
      </w:tr>
      <w:tr>
        <w:trPr>
          <w:trHeight w:val="1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履约保证金：按采购合同总价的</w:t>
            </w:r>
            <w:r>
              <w:rPr>
                <w:rFonts w:ascii="Times New Roman" w:hAnsi="Times New Roman" w:eastAsia="Times New Roman" w:cs="Times New Roman"/>
                <w:color w:val="000000"/>
                <w:sz w:val="24"/>
                <w:u w:val="single"/>
              </w:rPr>
              <w:t xml:space="preserve"> 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w:t>
            </w:r>
            <w:r/>
          </w:p>
        </w:tc>
      </w:tr>
    </w:tbl>
    <w:p>
      <w:pPr>
        <w:pStyle w:val="644"/>
        <w:ind w:left="0" w:right="0" w:firstLine="498"/>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Hei" w:hAnsi="SimHei" w:eastAsia="SimHei" w:cs="SimHei"/>
          <w:b/>
          <w:color w:val="000000"/>
          <w:sz w:val="28"/>
        </w:rPr>
        <w:t xml:space="preserve">、招标方式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Hei" w:hAnsi="SimHei" w:eastAsia="SimHei" w:cs="SimHei"/>
          <w:b/>
          <w:color w:val="000000"/>
          <w:sz w:val="28"/>
        </w:rPr>
        <w:t xml:space="preserve">、合格的投标人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满足本文件实质性要求和条件的规定。</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SimHei" w:hAnsi="SimHei" w:eastAsia="SimHei" w:cs="SimHei"/>
          <w:b/>
          <w:color w:val="000000"/>
          <w:sz w:val="28"/>
        </w:rPr>
        <w:t xml:space="preserve">、适用法律</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在本项目政府采购活动过程中，如果所执行的标准有更新的，按照最新标准执行。</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SimHei" w:hAnsi="SimHei" w:eastAsia="SimHei" w:cs="SimHei"/>
          <w:b/>
          <w:color w:val="000000"/>
          <w:sz w:val="28"/>
        </w:rPr>
        <w:t xml:space="preserve">、投标费用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p>
      <w:pPr>
        <w:pStyle w:val="646"/>
        <w:ind w:left="0" w:right="0" w:firstLine="60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b/>
          <w:color w:val="000000"/>
          <w:sz w:val="28"/>
        </w:rPr>
        <w:t xml:space="preserve">招标文件的约束力</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SimHei" w:hAnsi="SimHei" w:eastAsia="SimHei" w:cs="SimHei"/>
          <w:b/>
          <w:color w:val="000000"/>
          <w:sz w:val="28"/>
        </w:rPr>
        <w:t xml:space="preserve">、招标文件构成</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w:t>
      </w:r>
      <w:r>
        <w:rPr>
          <w:rFonts w:ascii="SimHei" w:hAnsi="SimHei" w:eastAsia="SimHei" w:cs="SimHei"/>
          <w:b/>
          <w:color w:val="000000"/>
          <w:sz w:val="28"/>
        </w:rPr>
        <w:t xml:space="preserve">、招标文件的澄清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8</w:t>
      </w:r>
      <w:r>
        <w:rPr>
          <w:rFonts w:ascii="SimHei" w:hAnsi="SimHei" w:eastAsia="SimHei" w:cs="SimHei"/>
          <w:b/>
          <w:color w:val="000000"/>
          <w:sz w:val="28"/>
        </w:rPr>
        <w:t xml:space="preserve">、招标文件的修改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w:t>
      </w:r>
      <w:r>
        <w:rPr>
          <w:rFonts w:ascii="SimHei" w:hAnsi="SimHei" w:eastAsia="SimHei" w:cs="SimHei"/>
          <w:b/>
          <w:color w:val="000000"/>
          <w:sz w:val="28"/>
        </w:rPr>
        <w:t xml:space="preserve">、投标文件的语言及度量衡单位</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除技术性能另有规定外，投标文件所使用的度量衡单位，均须采用国家法定计量单位。</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w:t>
      </w:r>
      <w:r>
        <w:rPr>
          <w:rFonts w:ascii="SimHei" w:hAnsi="SimHei" w:eastAsia="SimHei" w:cs="SimHei"/>
          <w:b/>
          <w:color w:val="000000"/>
          <w:sz w:val="28"/>
        </w:rPr>
        <w:t xml:space="preserve">、投标文件构成</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投标人编写的投标文件应包括资格证明文件、符合性证明文件、投标分项报价表、响应及偏离表、其他证明文件、开标一览表等部分。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w:t>
      </w:r>
      <w:r>
        <w:rPr>
          <w:rFonts w:ascii="SimHei" w:hAnsi="SimHei" w:eastAsia="SimHei" w:cs="SimHei"/>
          <w:b/>
          <w:color w:val="000000"/>
          <w:sz w:val="28"/>
        </w:rPr>
        <w:t xml:space="preserve">、证明投标人及投标标的符合招标文件规定的文件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w:t>
      </w:r>
      <w:r>
        <w:rPr>
          <w:rFonts w:ascii="SimHei" w:hAnsi="SimHei" w:eastAsia="SimHei" w:cs="SimHei"/>
          <w:b/>
          <w:color w:val="000000"/>
          <w:sz w:val="28"/>
        </w:rPr>
        <w:t xml:space="preserve">、投标分项报价表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投标人应按照招标文件规定格式填报投标分项报价表。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13</w:t>
      </w:r>
      <w:r>
        <w:rPr>
          <w:rFonts w:ascii="SimHei" w:hAnsi="SimHei" w:eastAsia="SimHei" w:cs="SimHei"/>
          <w:b/>
          <w:color w:val="000000"/>
          <w:sz w:val="28"/>
        </w:rPr>
        <w:t xml:space="preserve">、技术要求响应及偏离表、商务要求响应及偏离表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13.1投标人需对招标文件中的技术要求与商务要求作出响应或偏离，并说明原因。</w:t>
      </w:r>
      <w:r/>
    </w:p>
    <w:p>
      <w:pPr>
        <w:ind w:left="0" w:right="0" w:firstLine="480"/>
        <w:jc w:val="both"/>
        <w:spacing w:before="0" w:after="0" w:line="558"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投标人需根据招标文件要求提供所投标的的主要组成部分、功能设计、实现思路及关键技术等。</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15</w:t>
      </w:r>
      <w:r>
        <w:rPr>
          <w:rFonts w:ascii="SimHei" w:hAnsi="SimHei" w:eastAsia="SimHei" w:cs="SimHei"/>
          <w:b/>
          <w:color w:val="000000"/>
          <w:sz w:val="28"/>
        </w:rPr>
        <w:t xml:space="preserve">、投标声明及承诺函和开标一览表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16</w:t>
      </w:r>
      <w:r>
        <w:rPr>
          <w:rFonts w:ascii="SimHei" w:hAnsi="SimHei" w:eastAsia="SimHei" w:cs="SimHei"/>
          <w:b/>
          <w:color w:val="000000"/>
          <w:sz w:val="28"/>
        </w:rPr>
        <w:t xml:space="preserve">、投标有效期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17</w:t>
      </w:r>
      <w:r>
        <w:rPr>
          <w:rFonts w:ascii="SimHei" w:hAnsi="SimHei" w:eastAsia="SimHei" w:cs="SimHei"/>
          <w:b/>
          <w:color w:val="000000"/>
          <w:sz w:val="28"/>
        </w:rPr>
        <w:t xml:space="preserve">、投标有效期的延长</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中标人的投标文件作为项目合同的附件，其有效期至中标人全部合同义务履行完毕为止。 </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18</w:t>
      </w:r>
      <w:r>
        <w:rPr>
          <w:rFonts w:ascii="SimHei" w:hAnsi="SimHei" w:eastAsia="SimHei" w:cs="SimHei"/>
          <w:b/>
          <w:color w:val="000000"/>
          <w:sz w:val="28"/>
        </w:rPr>
        <w:t xml:space="preserve">、投标文件的递交</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w:t>
      </w:r>
      <w:r>
        <w:rPr>
          <w:rFonts w:ascii="SimHei" w:hAnsi="SimHei" w:eastAsia="SimHei" w:cs="SimHei"/>
          <w:b/>
          <w:color w:val="000000"/>
          <w:sz w:val="28"/>
        </w:rPr>
        <w:t xml:space="preserve">、投标截止时间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20</w:t>
      </w:r>
      <w:r>
        <w:rPr>
          <w:rFonts w:ascii="SimHei" w:hAnsi="SimHei" w:eastAsia="SimHei" w:cs="SimHei"/>
          <w:b/>
          <w:color w:val="000000"/>
          <w:sz w:val="28"/>
        </w:rPr>
        <w:t xml:space="preserve">、投标文件的拒收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采购代理机构拒绝接收在其规定的投标截止时间后上传的任何投标文件。</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21</w:t>
      </w:r>
      <w:r>
        <w:rPr>
          <w:rFonts w:ascii="SimHei" w:hAnsi="SimHei" w:eastAsia="SimHei" w:cs="SimHei"/>
          <w:b/>
          <w:color w:val="000000"/>
          <w:sz w:val="28"/>
        </w:rPr>
        <w:t xml:space="preserve">、投标文件的撤回和修改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投标文件的撤回</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电子投标文件的撤回</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投标文件的修改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在投标截止时间至招标文件中规定的投标有效期满之间的这段时间内，投标人不得撤回其投标。</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22</w:t>
      </w:r>
      <w:r>
        <w:rPr>
          <w:rFonts w:ascii="SimHei" w:hAnsi="SimHei" w:eastAsia="SimHei" w:cs="SimHei"/>
          <w:b/>
          <w:color w:val="000000"/>
          <w:sz w:val="28"/>
        </w:rPr>
        <w:t xml:space="preserve">、开标</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、评标委员会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开标后，采购代理机构将立即组织评标委员会（以下简称评委会）进行评标。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评委会独立工作，负责评审所有投标文件并确定中标侯选人。</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24</w:t>
      </w:r>
      <w:r>
        <w:rPr>
          <w:rFonts w:ascii="SimHei" w:hAnsi="SimHei" w:eastAsia="SimHei" w:cs="SimHei"/>
          <w:b/>
          <w:color w:val="000000"/>
          <w:sz w:val="28"/>
        </w:rPr>
        <w:t xml:space="preserve">、评标过程的保密与公正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25</w:t>
      </w:r>
      <w:r>
        <w:rPr>
          <w:rFonts w:ascii="SimHei" w:hAnsi="SimHei" w:eastAsia="SimHei" w:cs="SimHei"/>
          <w:b/>
          <w:color w:val="000000"/>
          <w:sz w:val="28"/>
        </w:rPr>
        <w:t xml:space="preserve">、投标文件的澄清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26</w:t>
      </w:r>
      <w:r>
        <w:rPr>
          <w:rFonts w:ascii="SimHei" w:hAnsi="SimHei" w:eastAsia="SimHei" w:cs="SimHei"/>
          <w:b/>
          <w:color w:val="000000"/>
          <w:sz w:val="28"/>
        </w:rPr>
        <w:t xml:space="preserve">、对投标文件的初审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27</w:t>
      </w:r>
      <w:r>
        <w:rPr>
          <w:rFonts w:ascii="SimHei" w:hAnsi="SimHei" w:eastAsia="SimHei" w:cs="SimHei"/>
          <w:b/>
          <w:color w:val="000000"/>
          <w:sz w:val="28"/>
        </w:rPr>
        <w:t xml:space="preserve">、无效投标条款和废标条款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w:t>
      </w:r>
      <w:r>
        <w:rPr>
          <w:rFonts w:ascii="SimSun" w:hAnsi="SimSun" w:eastAsia="SimSun" w:cs="SimSun"/>
          <w:color w:val="000000"/>
          <w:sz w:val="24"/>
        </w:rPr>
        <w:t xml:space="preserve">投标人被“信用中国”网站（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w:t>
      </w:r>
      <w:r>
        <w:rPr>
          <w:rFonts w:ascii="SimSun" w:hAnsi="SimSun" w:eastAsia="SimSun" w:cs="SimSun"/>
          <w:color w:val="000000"/>
          <w:sz w:val="24"/>
        </w:rPr>
        <w:t xml:space="preserve">投标文件含有采购人不能接受的附加条件的。</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包括但不限于原材料成本、人工成本、制造费用等，给予相关供应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用于准备相关材料。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w:t>
      </w:r>
      <w:r>
        <w:rPr>
          <w:rFonts w:ascii="SimSun" w:hAnsi="SimSun" w:eastAsia="SimSun" w:cs="SimSun"/>
          <w:color w:val="000000"/>
          <w:sz w:val="24"/>
        </w:rPr>
        <w:t xml:space="preserve">其他法律、法规及本招标文件规定的属无效投标的</w:t>
      </w: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废标条款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28</w:t>
      </w:r>
      <w:r>
        <w:rPr>
          <w:rFonts w:ascii="SimHei" w:hAnsi="SimHei" w:eastAsia="SimHei" w:cs="SimHei"/>
          <w:b/>
          <w:color w:val="000000"/>
          <w:sz w:val="28"/>
        </w:rPr>
        <w:t xml:space="preserve">、确定中标单位</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29</w:t>
      </w:r>
      <w:r>
        <w:rPr>
          <w:rFonts w:ascii="SimHei" w:hAnsi="SimHei" w:eastAsia="SimHei" w:cs="SimHei"/>
          <w:b/>
          <w:color w:val="000000"/>
          <w:sz w:val="28"/>
        </w:rPr>
        <w:t xml:space="preserve">、质疑处理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采购人或代理机构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0527-84666609</w:t>
      </w:r>
      <w:r>
        <w:rPr>
          <w:rFonts w:ascii="SimSun" w:hAnsi="SimSun" w:eastAsia="SimSun" w:cs="SimSun"/>
          <w:color w:val="000000"/>
          <w:sz w:val="24"/>
          <w:u w:val="single"/>
        </w:rPr>
        <w:t xml:space="preserve">或</w:t>
      </w:r>
      <w:r>
        <w:rPr>
          <w:rFonts w:ascii="Times New Roman" w:hAnsi="Times New Roman" w:eastAsia="Times New Roman" w:cs="Times New Roman"/>
          <w:color w:val="000000"/>
          <w:sz w:val="24"/>
          <w:u w:val="single"/>
        </w:rPr>
        <w:t xml:space="preserve">15250968568</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号或宿迁市宿城区黄河路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以下情形的质疑不予受理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w:t>
      </w:r>
      <w:r>
        <w:rPr>
          <w:rFonts w:ascii="SimSun" w:hAnsi="SimSun" w:eastAsia="SimSun" w:cs="SimSun"/>
          <w:color w:val="000000"/>
          <w:sz w:val="24"/>
        </w:rPr>
        <w:t xml:space="preserve">超出政府采购法定期限的质疑。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30</w:t>
      </w:r>
      <w:r>
        <w:rPr>
          <w:rFonts w:ascii="SimHei" w:hAnsi="SimHei" w:eastAsia="SimHei" w:cs="SimHei"/>
          <w:b/>
          <w:color w:val="000000"/>
          <w:sz w:val="28"/>
        </w:rPr>
        <w:t xml:space="preserve">、中标通知书</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44"/>
        <w:ind w:left="0" w:right="0" w:firstLine="64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w:t>
      </w:r>
      <w:r>
        <w:rPr>
          <w:rFonts w:ascii="SimHei" w:hAnsi="SimHei" w:eastAsia="SimHei" w:cs="SimHei"/>
          <w:b/>
          <w:color w:val="000000"/>
          <w:sz w:val="28"/>
        </w:rPr>
        <w:t xml:space="preserve">签订合同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方式确定履约保证收取方式。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32、货物（包含与货物相关的服务）的追加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33</w:t>
      </w:r>
      <w:r>
        <w:rPr>
          <w:rFonts w:ascii="SimHei" w:hAnsi="SimHei" w:eastAsia="SimHei" w:cs="SimHei"/>
          <w:b/>
          <w:color w:val="000000"/>
          <w:sz w:val="28"/>
        </w:rPr>
        <w:t xml:space="preserve">、政府采购履约资金扶持政策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46"/>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34</w:t>
      </w:r>
      <w:r>
        <w:rPr>
          <w:rFonts w:ascii="SimHei" w:hAnsi="SimHei" w:eastAsia="SimHei" w:cs="SimHei"/>
          <w:b/>
          <w:color w:val="000000"/>
          <w:sz w:val="28"/>
        </w:rPr>
        <w:t xml:space="preserve">、验收及付款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w:t>
      </w:r>
      <w:r>
        <w:rPr>
          <w:rFonts w:ascii="SimSun" w:hAnsi="SimSun" w:eastAsia="SimSun" w:cs="SimSun"/>
          <w:color w:val="000000"/>
          <w:sz w:val="24"/>
        </w:rPr>
        <w:t xml:space="preserve">钩。履约验收的各项资料应当存档备查。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35、付款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项目（项目编号：）公开招标的结果，签署本合同。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标的名称：</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标的质量：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标的数量（规模）：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履行时间（期限）：</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履行地点：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履行方式：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包装方式：</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1  </w:t>
      </w:r>
      <w:r>
        <w:rPr>
          <w:rFonts w:ascii="SimSun" w:hAnsi="SimSun" w:eastAsia="SimSun" w:cs="SimSun"/>
          <w:color w:val="000000"/>
          <w:sz w:val="24"/>
        </w:rPr>
        <w:t xml:space="preserve">种方式实行：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乙方不得将合同标的转包给他人履行。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乙方不得将合同标的分包给他人履行。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资金支付的方式：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当采购数量与实际使用数量不一致时，乙方应根据实际使用量供货。合同的最终结算金额按实际使用量乘以对应产品的成交单价进行计算（不超过合同总价）。</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本合同执行中相关的一切税费均由乙方负担。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⑴</w:t>
      </w:r>
      <w:r>
        <w:rPr>
          <w:rFonts w:ascii="SimSun" w:hAnsi="SimSun" w:eastAsia="SimSun" w:cs="SimSun"/>
          <w:color w:val="000000"/>
          <w:sz w:val="24"/>
        </w:rPr>
        <w:t xml:space="preserve">更换：由乙方承担所发生的全部费用。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⑵</w:t>
      </w:r>
      <w:r>
        <w:rPr>
          <w:rFonts w:ascii="SimSun" w:hAnsi="SimSun" w:eastAsia="SimSun" w:cs="SimSun"/>
          <w:color w:val="000000"/>
          <w:sz w:val="24"/>
        </w:rPr>
        <w:t xml:space="preserve">贬值处理：由甲乙双方合议定价。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⑶</w:t>
      </w:r>
      <w:r>
        <w:rPr>
          <w:rFonts w:ascii="SimSun" w:hAnsi="SimSun" w:eastAsia="SimSun" w:cs="SimSun"/>
          <w:color w:val="000000"/>
          <w:sz w:val="24"/>
        </w:rPr>
        <w:t xml:space="preserve">退货处理：乙方应退还甲方支付的合同款，同时应承担该货物的直接费用（运输、保险、检验、货款利息及银行手续费等）。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如在使用过程中发生质量问题，乙方在接到甲方通知后</w:t>
      </w:r>
      <w:r>
        <w:rPr>
          <w:rFonts w:ascii="SimSun" w:hAnsi="SimSun" w:eastAsia="SimSun" w:cs="SimSun"/>
          <w:color w:val="000000"/>
          <w:sz w:val="24"/>
          <w:u w:val="single"/>
        </w:rPr>
        <w:t xml:space="preserve">应在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小时内响应，</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rPr>
        <w:t xml:space="preserve">小时内到达甲方现场解决问题，无法维修时应替换故障产品。</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注：质保期内乙方不能及时到场维修，甲方有权安排第三方进行应急维修，产生的费用由乙方承担。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年（自交货验收合格之日起计），因人为因素出现的故障不在免费保修范围内。超过保修期的产品或机器设备，终生维修，维修时只收部件成本费。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甲方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甲方可以邀请参加本项目的其他投标人或者第三方机构参与验收。参与验收的投标人或者第三方机构的意见作为验收书的参考资料一并存档。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严格按照采购合同开展履约验收。甲方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钩</w:t>
      </w:r>
      <w:r>
        <w:rPr>
          <w:rFonts w:ascii="SimSun" w:hAnsi="SimSun" w:eastAsia="SimSun" w:cs="SimSun"/>
          <w:color w:val="000000"/>
          <w:sz w:val="24"/>
        </w:rPr>
        <w:t xml:space="preserve">。履约验收的各项资料应当存档备查。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验收合格的项目，甲方将根据采购合同的约定及时向乙方支付采购资金、退还履约保证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‰向乙方支付违约金。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的违约金，如造成甲方损失超过违约金的，超出部分由乙方继续承担赔偿责任。</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乙方所交的货物品种、型号、规格、技术参数、质量不符合合同规定、招标文件、甲方确定的规定标准的（</w:t>
      </w:r>
      <w:r>
        <w:rPr>
          <w:rFonts w:ascii="SimSun" w:hAnsi="SimSun" w:eastAsia="SimSun" w:cs="SimSun"/>
          <w:b/>
          <w:color w:val="000000"/>
          <w:sz w:val="24"/>
        </w:rPr>
        <w:t xml:space="preserve">含乙方供货时，甲方抽检10项定制清单里的家具产品（含破坏性检测），检测不合格的产品，乙方重新生产，并重新抽样检测，合格后方可投入使用，若同一产品连续两次检测均不合格，甲方有权拒收产品，相关损失及责任由乙方自行承担。</w:t>
      </w:r>
      <w:r>
        <w:rPr>
          <w:rFonts w:ascii="SimSun" w:hAnsi="SimSun" w:eastAsia="SimSun" w:cs="SimSun"/>
          <w:color w:val="000000"/>
          <w:sz w:val="24"/>
        </w:rPr>
        <w:t xml:space="preserve">），甲方有权拒收该货物，乙方愿意更换货物但逾期交货的，按乙方逾期交货处理。乙方拒绝更换货物的，甲方可单方面解除合同。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十四、供应商合法权益补偿机制</w:t>
      </w:r>
      <w:r/>
    </w:p>
    <w:p>
      <w:pPr>
        <w:ind w:left="0" w:right="0" w:firstLine="480"/>
        <w:spacing w:before="240" w:after="24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本合同未尽事宜，遵照中华人民共和国现行法律法规有关条文执行。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本合同正本一式六份，具有同等法律效力，甲方、乙方各执三份。</w:t>
      </w:r>
      <w:r/>
    </w:p>
    <w:p>
      <w:pPr>
        <w:ind w:left="77" w:right="0" w:hanging="77"/>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p>
    <w:p>
      <w:pPr>
        <w:ind w:left="77" w:right="0" w:hanging="77"/>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77" w:right="0" w:hanging="77"/>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77" w:right="0" w:hanging="77"/>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77" w:right="0" w:hanging="77"/>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rPr>
          <w:rFonts w:ascii="SimSun" w:hAnsi="SimSun" w:eastAsia="SimSun" w:cs="SimSun"/>
          <w:color w:val="000000"/>
          <w:sz w:val="21"/>
        </w:rPr>
        <w:t xml:space="preserve">               </w:t>
      </w:r>
      <w:r>
        <w:rPr>
          <w:rFonts w:ascii="SimSun" w:hAnsi="SimSun" w:eastAsia="SimSun" w:cs="SimSun"/>
          <w:color w:val="000000"/>
          <w:sz w:val="24"/>
        </w:rPr>
        <w:t xml:space="preserve">签订日期：年月日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工业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（接受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不接受）进口产品。</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本项目核心产品：清单序号</w:t>
      </w: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定制少儿阅览椅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项目名称：宿迁市图书馆定制（儿童）读者阅览空间家具、装具、用具设计、制作及安装采购项目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供货地点：采购人指定地点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供货时间：合同生效之日起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日历天内完成定制生产、安装、调试、检测并经验收合格后交付甲方使用（含二次搬运费）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售后服务期：不少于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年（自验收合格之日起计算）</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质量标准：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）采用中华人民共和国法定计量单位。</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）乙方所提供的货物应符合国家有关安全、环保、卫生的规定。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）乙方应向甲方提交所提供货物的技术文件，包括相应的中文技术文件，如：产品目录、图纸、操作手册、使用说明、维护手册或服务指南等。上述文件应包装好随货物一同发运。</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付款：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二、区域划分、定制（设计）情况概述及效果、现场平面图</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（一）区域划分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一楼（层）少儿阅览室包含：服务区、自助借还区、单人学习区、阅览区、卡座区、创意阅读区共计</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个区域；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一楼（层）幼儿阅览室包含：新书展示区、服务区、自助借还区、亲子阅览区、手工区、开放亲子阅览区、玩具区、活动故事区、讨论区、绘本阅览区、藏书区、家长等候区、共计</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个区域；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一楼（层）母婴室包含：母婴室，共计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个区域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三楼（层）活动室包含：活动室</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、活动室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、活动室</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，共计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个区域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（二）定制（设计）情况概述及效果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一楼（层）少儿阅览室</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）服务区：通体曲面圆角工艺，原木与奶白分层撞色，层次线条流畅柔和；背景墙设计采用一体式弧形木饰面搭配白色线条装饰，和创意玻璃门少儿书柜整体衔接，空间开阔温润，适配读者接待服务工作。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）自助借还区：书墙柜体分割三段绿色背景墙面，自助设备嵌入少儿书墙空间内，侧边搭配竖向开放式创意少儿书墙，顶面米色壁布材料装饰墙板显示功能标识文字，布局均衡规整、色调清新柔和。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卡座区：利用圆柱空间结构位置，在柱体之间嵌入浅木色曲面围合式定制卡座隔断，内侧设置撞色沙发卡座与配套定制阅览桌，营造松弛舒适的阅读体验。卡座外侧布置单面矮书柜，兼顾图书存放与空间分隔。柱体顶部搭配台灯造型装饰，柱底设置花槽木柜，搭配仿真绿植点缀，层次丰富，氛围轻松雅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单人学习区：圆弧形外框创意隔断，上下嵌入白色肌理饰面板，中部留白形成层次对比，整体规整有序；墙面浅色木饰面，上方长幅米色壁布文字装饰板，柔和木色弱化边界，独立隔间兼顾私密性与开阔视觉，适配少儿静心学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创意阅读区：采用原木围合单面矮书柜与创意长桌组合，兼具存书与阅览双重功能，空间布局设置巧妙，实现存书、阅读一体化功能。柜体全圆弧防撞工艺，搭配米白色长条沙发与字母软凳，中心圆柱木饰面搭配顶部台灯罩造型，多组不同规格儿童桌椅错落巧妙排布，布局灵动柔和，打造多元阅览特色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）阅览区：儿童阅览桌造型现代简约，采用原木与白色撞色拼接设计，阅览椅采用原木色与绿色，色彩层次清爽，整体风格干净利落，沿玻璃墙整齐排布，色彩清新配色简约，适配多人同步阅览学习。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一楼（层）幼儿阅览室：</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新书展示区：圆柱搭配弧形一体化矮书柜，柱体上部以白色为基底，搭配绿色波纹木饰面，柱周边布设豌豆儿童沙发，塑造树下沉浸式童趣阅读场景。柱体周边设置双面弧形书架和弧形软凳，书架上层预留平置书籍展示功能；柔和曲面造型与柱顶灯光、绿色波纹木饰面呼应，打造浑然一体的自然阅览展示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）服务区：船型曲面造型服务台搭配竖纹白色面板，背景采用圆弧艺术木饰面，图案手工绘制儿童卡通图案。顶面造型采用木格栅藏灯带，圆润线条暗合宿迁河湖曲线肌理。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）自助借还区：整面通顶弧形书墙，原木哑光板材配浅绿色圆弧收边工艺，书墙上部均匀划分方格存书区，柜体预留规整嵌入式空位，可整齐嵌入自助设备，整体线条圆润统一。</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亲子阅览区：采用专用儿童阅览桌椅，双面书架作为空间隔断，围合形成半独立的亲子阅读单元。书架兼具存书展示功能，底部配长条沙发，实现存书与休憩无缝衔接。区域采用定制地面进行空间界定，分区清晰，构建分段式阅览场景，方便家长陪伴孩子沉浸式共读，营造温馨的家庭式阅读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手工区：毛毛虫阅读桌与弧形手工大桌，满足集体创作、活动交流需求。开放格幼儿书墙收纳书籍与儿童作品，墙体内嵌休闲软座；墙面布设卡通主题壁布与涂鸦白板，丰富空间层次，整体充满童趣，构建灵动活泼的少儿手工体验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开放亲子阅览区：原木哑光儿童阅览桌椅，椅背设计卡通动物圆弧造型，所有桌体边角均采用全圆弧防撞工艺。家具规整有序排布，空间通透开阔，为儿童与家长营造轻松舒适、便于互动交流的开放式亲子共读阅览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玩具区：空间摆放o型绘本柜、长颈鹿书柜、字母软凳与长条沙发，配套矮书架及积木玩具。墙面设置益智知识翻转墙、双色球转动游戏墙，墙面铺贴卡通木饰面与壁布文化墙面。整体空间童趣化设计，将益智、阅读与游戏融为一体，寓教于乐，打造充满想象力的幼儿互动体验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活动故事区：设置台阶小舞台多功能区域，配套活动阅览凳，闲置时可收纳入柜体，设计灵活巧妙。区域布置小羊儿童动物书架、剑龙绘本柜等存放书籍的家具，墙面采用木饰面板搭配生机盎然的植物主题壁布，墙角做嵌入式墙体软座，建设集故事活动、幼儿培训、绘本阅读于一体的多元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讨论区：以圆柱为中心设双面弧形书架围合阅览场地，柱体上部以白色为基底，搭配黄色波纹木饰面，柱下围合柱体做阅览圆形桌家具，无尖锐棱角，区域设置绿色PVC定制地面，形成环抱式柔和阅读空间，层次错落，打造分区清晰、柔和治愈的半封闭式亲子阅览空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绘本阅览区：打造台阶式阅览场地，支持儿童趴、卧、坐多种姿态自由阅读。空间以定制弧形书架围合分隔，兼具存书与空间隔断功能；选取一个圆柱做圆形包柱书柜，柱顶增设氛围照明，柱下配套环形阅览桌。空间配置花瓣造型桌椅、向日葵期刊柜，书墙外侧采用植物主题壁布，以柔和曲线构建自然童趣场景，打造充满生机的儿童亲子阅读园地。</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）藏书区：采用原木曲线双面儿童书架，全圆角打磨工艺，两层错落如水流波纹，提取宿迁河湖柔和线条，有序延伸排布，空间开阔整洁，兼具收纳图书与装饰视觉效果。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家长等候区：设置创意幼儿书墙，陈列亲子教育类读物，墙面嵌入定制墙内软座，可供儿童独立阅读。空间配置单人沙发、长条沙发及趣味字母软凳，搭配带绿植花槽的装饰木柜。整体以温润木色融合清新色调，辅以圆形卡通墙面装饰，环境松弛舒适，方便家长休憩交流，打造温馨的家长等候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母婴室：护理操作台造型圆润安全；分区布帘隔开独立洗护位，搭配简约茶几，配色清新淡雅，空间干净通透，兼顾私密与舒适。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三楼（层）活动室</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）三层活动室</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桌子统一采用浅木面板配白色金属滚轮支架配套同色系座椅，圆润无尖角，可自由调整摆放形式；墙面配套拱形储物格，黄白撞色搭配趣味圆弧线条装饰，空间明亮童趣，桌椅灵活组合，满足少儿阅读、手工等集体活动需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）三层活动室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：可移动培训椅，采用白靠背与绿色软坐垫，带随身书写小桌，底部滚轮；全屋浅木饰面搭配绿黄分色墙裙，后方大型圆弧主题展示墙层次柔和，空间整洁明亮，适配集体活动。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）三层活动室</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用浅木色带滚轮活动桌配套同色系座椅，全圆弧防撞边角；左侧弧形地球造型开放式原木书架，前方超大圆弧木框背景墙搭配星球装饰，家具规整排布且可灵活调整，兼具科普氛围，适配少儿阅读、各类培训活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（三）现场平面图（示例摆放仅供参考）</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mc:AlternateContent>
          <mc:Choice Requires="wpg">
            <w:drawing>
              <wp:inline xmlns:wp="http://schemas.openxmlformats.org/drawingml/2006/wordprocessingDrawing" distT="0" distB="0" distL="0" distR="0">
                <wp:extent cx="5940000" cy="4385192"/>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0298" name=""/>
                        <pic:cNvPicPr>
                          <a:picLocks noChangeAspect="1"/>
                        </pic:cNvPicPr>
                        <pic:nvPr/>
                      </pic:nvPicPr>
                      <pic:blipFill>
                        <a:blip r:embed="rId9"/>
                        <a:stretch/>
                      </pic:blipFill>
                      <pic:spPr bwMode="auto">
                        <a:xfrm>
                          <a:off x="0" y="0"/>
                          <a:ext cx="5940000" cy="438519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7pt;height:345.3pt;mso-wrap-distance-left:0.0pt;mso-wrap-distance-top:0.0pt;mso-wrap-distance-right:0.0pt;mso-wrap-distance-bottom:0.0pt;" stroked="false">
                <v:path textboxrect="0,0,0,0"/>
                <v:imagedata r:id="rId9" o:title=""/>
              </v:shape>
            </w:pict>
          </mc:Fallback>
        </mc:AlternateContent>
      </w:r>
      <w:r>
        <w:rPr>
          <w:rFonts w:ascii="Times New Roman" w:hAnsi="Times New Roman" w:eastAsia="Times New Roman" w:cs="Times New Roman"/>
          <w:color w:val="000000"/>
          <w:sz w:val="21"/>
        </w:r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mc:AlternateContent>
          <mc:Choice Requires="wpg">
            <w:drawing>
              <wp:inline xmlns:wp="http://schemas.openxmlformats.org/drawingml/2006/wordprocessingDrawing" distT="0" distB="0" distL="0" distR="0">
                <wp:extent cx="5940000" cy="5844807"/>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86096" name=""/>
                        <pic:cNvPicPr>
                          <a:picLocks noChangeAspect="1"/>
                        </pic:cNvPicPr>
                        <pic:nvPr/>
                      </pic:nvPicPr>
                      <pic:blipFill>
                        <a:blip r:embed="rId10"/>
                        <a:stretch/>
                      </pic:blipFill>
                      <pic:spPr bwMode="auto">
                        <a:xfrm>
                          <a:off x="0" y="0"/>
                          <a:ext cx="5940000" cy="584480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7pt;height:460.2pt;mso-wrap-distance-left:0.0pt;mso-wrap-distance-top:0.0pt;mso-wrap-distance-right:0.0pt;mso-wrap-distance-bottom:0.0pt;" stroked="false">
                <v:path textboxrect="0,0,0,0"/>
                <v:imagedata r:id="rId10" o:title=""/>
              </v:shape>
            </w:pict>
          </mc:Fallback>
        </mc:AlternateContent>
      </w:r>
      <w:r>
        <mc:AlternateContent>
          <mc:Choice Requires="wpg">
            <w:drawing>
              <wp:inline xmlns:wp="http://schemas.openxmlformats.org/drawingml/2006/wordprocessingDrawing" distT="0" distB="0" distL="0" distR="0">
                <wp:extent cx="5940000" cy="6124038"/>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50599" name=""/>
                        <pic:cNvPicPr>
                          <a:picLocks noChangeAspect="1"/>
                        </pic:cNvPicPr>
                        <pic:nvPr/>
                      </pic:nvPicPr>
                      <pic:blipFill>
                        <a:blip r:embed="rId11"/>
                        <a:stretch/>
                      </pic:blipFill>
                      <pic:spPr bwMode="auto">
                        <a:xfrm>
                          <a:off x="0" y="0"/>
                          <a:ext cx="5940000" cy="61240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7pt;height:482.2pt;mso-wrap-distance-left:0.0pt;mso-wrap-distance-top:0.0pt;mso-wrap-distance-right:0.0pt;mso-wrap-distance-bottom:0.0pt;" stroked="false">
                <v:path textboxrect="0,0,0,0"/>
                <v:imagedata r:id="rId11" o:title=""/>
              </v:shape>
            </w:pict>
          </mc:Fallback>
        </mc:AlternateContent>
      </w:r>
      <w:r>
        <mc:AlternateContent>
          <mc:Choice Requires="wpg">
            <w:drawing>
              <wp:inline xmlns:wp="http://schemas.openxmlformats.org/drawingml/2006/wordprocessingDrawing" distT="0" distB="0" distL="0" distR="0">
                <wp:extent cx="5940000" cy="456776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79920" name=""/>
                        <pic:cNvPicPr>
                          <a:picLocks noChangeAspect="1"/>
                        </pic:cNvPicPr>
                        <pic:nvPr/>
                      </pic:nvPicPr>
                      <pic:blipFill>
                        <a:blip r:embed="rId12"/>
                        <a:stretch/>
                      </pic:blipFill>
                      <pic:spPr bwMode="auto">
                        <a:xfrm>
                          <a:off x="0" y="0"/>
                          <a:ext cx="5940000" cy="456776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7pt;height:359.7pt;mso-wrap-distance-left:0.0pt;mso-wrap-distance-top:0.0pt;mso-wrap-distance-right:0.0pt;mso-wrap-distance-bottom:0.0pt;" stroked="false">
                <v:path textboxrect="0,0,0,0"/>
                <v:imagedata r:id="rId12" o:title=""/>
              </v:shape>
            </w:pict>
          </mc:Fallback>
        </mc:AlternateContent>
      </w:r>
      <w:r>
        <mc:AlternateContent>
          <mc:Choice Requires="wpg">
            <w:drawing>
              <wp:inline xmlns:wp="http://schemas.openxmlformats.org/drawingml/2006/wordprocessingDrawing" distT="0" distB="0" distL="0" distR="0">
                <wp:extent cx="5940000" cy="6454588"/>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24309" name=""/>
                        <pic:cNvPicPr>
                          <a:picLocks noChangeAspect="1"/>
                        </pic:cNvPicPr>
                        <pic:nvPr/>
                      </pic:nvPicPr>
                      <pic:blipFill>
                        <a:blip r:embed="rId13"/>
                        <a:stretch/>
                      </pic:blipFill>
                      <pic:spPr bwMode="auto">
                        <a:xfrm>
                          <a:off x="0" y="0"/>
                          <a:ext cx="5940000" cy="645458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7.7pt;height:508.2pt;mso-wrap-distance-left:0.0pt;mso-wrap-distance-top:0.0pt;mso-wrap-distance-right:0.0pt;mso-wrap-distance-bottom:0.0pt;" stroked="false">
                <v:path textboxrect="0,0,0,0"/>
                <v:imagedata r:id="rId13" o:title=""/>
              </v:shape>
            </w:pict>
          </mc:Fallback>
        </mc:AlternateContent>
      </w:r>
      <w:r>
        <mc:AlternateContent>
          <mc:Choice Requires="wpg">
            <w:drawing>
              <wp:inline xmlns:wp="http://schemas.openxmlformats.org/drawingml/2006/wordprocessingDrawing" distT="0" distB="0" distL="0" distR="0">
                <wp:extent cx="5940000" cy="5013462"/>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07683" name=""/>
                        <pic:cNvPicPr>
                          <a:picLocks noChangeAspect="1"/>
                        </pic:cNvPicPr>
                        <pic:nvPr/>
                      </pic:nvPicPr>
                      <pic:blipFill>
                        <a:blip r:embed="rId14"/>
                        <a:stretch/>
                      </pic:blipFill>
                      <pic:spPr bwMode="auto">
                        <a:xfrm>
                          <a:off x="0" y="0"/>
                          <a:ext cx="5940000" cy="501346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7.7pt;height:394.8pt;mso-wrap-distance-left:0.0pt;mso-wrap-distance-top:0.0pt;mso-wrap-distance-right:0.0pt;mso-wrap-distance-bottom:0.0pt;" stroked="false">
                <v:path textboxrect="0,0,0,0"/>
                <v:imagedata r:id="rId14" o:title=""/>
              </v:shape>
            </w:pict>
          </mc:Fallback>
        </mc:AlternateContent>
      </w:r>
      <w:r>
        <w:rPr>
          <w:rFonts w:ascii="Times New Roman" w:hAnsi="Times New Roman" w:eastAsia="Times New Roman" w:cs="Times New Roman"/>
          <w:color w:val="000000"/>
          <w:sz w:val="24"/>
        </w:rPr>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三、定制清单</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另附</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四、方案要求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项目认知及理解：从建设内容、定制设计效果的理解、实施的重点难点分析等角度进行编制。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建设内容：投标人应根据本项目清单及现场勘察情况，了解本项具体工作内容，从而有重点的分析和理解项目的建设要求，进行编制。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定制设计效果的理解：投标人应根据本项目清单及现场勘察情况，分析各个区域定制设计效果（如产品布局、产品优化）及展现的风格，从更好贴近项目空间区域主题方面进行编制。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实施的重点难点：投标人应根据本项目清单及现场勘察情况，对本项目实施过程中出现的重点和难点进行分析和规划处理，可以从定制家具生产、装卸、运输、安装、效果展示以及其他重点事项等方面进行编制。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投标人提供的实施方案，从项目实施规划、质保保障及处理措施、供货进度计划、安装调试方案等方面进行编制，同时兼顾实施内容，以及各工序衔接的流畅性、工作内容的详细度等。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项目实施规划：投标人应从实施步骤、运输计划、安装描述保证措施及验收计划等方面进行编制。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质量保障及处理措施：投标人应根据投标货物的生产加工执行标准、质量保证及处理措施、原材料供应措施、生产管理措施、产品包装措施、安全保障措施、采购环节控制及家具生产质量控制等方面进行编制。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供货进度计划：投标人应根据投标货物的供货进度计划书、作业时间安排、实施计划安排等方面进行编制。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安装调试方案：投标人应根据投标货物的交货方案、产品组装方案、深化设计的配合及节点放样工作、工程放线及验线工作、交叉施工、组织协调方案、服务和运行验收测试计划及产品的验收标准和验收方案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投标人提供的售后服务方案，从售后服务承诺、售后服务体系、售后服务内容响应、故障响应时间承诺及响应方式等方面进行编制。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售后服务承诺：投标人应根据投标货物的技术服务和售后服务的承诺（不低于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年），售后服务人员配备及售后组织结构，回访定期巡检服务、售后服务内容保障措施、培训方案、其他服务等方面进行编制。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售后服务体系：投标人应根据投标货物的售后服务文化、服务规范管理制度、配送与安装制度、配件管理制度、维修服务制度、退换货管理制度、顾客投诉管理制度及售后服务人员礼仪规范等方式进行编制。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故障响应时间：投标人应根据投标货物的故障响应服务介绍、故障响应时间承诺等方面进行编制。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响应方式：投标人应根据投标货物的响应方式的保证措施说明、响应方式全面周到且适用于本项目实施（在质保期内，一旦发生质量问题，投标人保证在接到通知后的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小时内进行响应，并在</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小时内组织人员到现场进行检修，确因产品本身质量问题的，将组织原厂人员进行维修、更换或退货处理，费用由中标供应商负责。产品出现故障</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小时不能修复的，提供同等功能的产品供采购人使用，直至故障修复。质保期满后，能根据采购人要求提供充足的备品、备件）等方面进行编制。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五、演示要求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投标人提供的一楼（层）少儿阅览室、幼儿阅览室整体效果演示动画，包括：单一区域融入整体区间、区域与区域之间家具空间联动过渡柔和协调，整体视觉效果美观等方面进行演示。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注：投标人需按照招标文件规定的演示内容制作演示视频文件，视频文件的格式为</w:t>
      </w:r>
      <w:r>
        <w:rPr>
          <w:rFonts w:ascii="Times New Roman" w:hAnsi="Times New Roman" w:eastAsia="Times New Roman" w:cs="Times New Roman"/>
          <w:color w:val="000000"/>
          <w:sz w:val="24"/>
        </w:rPr>
        <w:t xml:space="preserve">*.mp4</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*.avi</w:t>
      </w:r>
      <w:r>
        <w:rPr>
          <w:rFonts w:ascii="SimSun" w:hAnsi="SimSun" w:eastAsia="SimSun" w:cs="SimSun"/>
          <w:color w:val="000000"/>
          <w:sz w:val="24"/>
        </w:rPr>
        <w:t xml:space="preserve">，投标人须将视频文件分段压缩为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文件上传（单个文件不得大于</w:t>
      </w:r>
      <w:r>
        <w:rPr>
          <w:rFonts w:ascii="Times New Roman" w:hAnsi="Times New Roman" w:eastAsia="Times New Roman" w:cs="Times New Roman"/>
          <w:color w:val="000000"/>
          <w:sz w:val="24"/>
        </w:rPr>
        <w:t xml:space="preserve">50M</w:t>
      </w:r>
      <w:r>
        <w:rPr>
          <w:rFonts w:ascii="SimSun" w:hAnsi="SimSun" w:eastAsia="SimSun" w:cs="SimSun"/>
          <w:color w:val="000000"/>
          <w:sz w:val="24"/>
        </w:rPr>
        <w:t xml:space="preserve">，所有文件总共不得大于</w:t>
      </w:r>
      <w:r>
        <w:rPr>
          <w:rFonts w:ascii="Times New Roman" w:hAnsi="Times New Roman" w:eastAsia="Times New Roman" w:cs="Times New Roman"/>
          <w:color w:val="000000"/>
          <w:sz w:val="24"/>
        </w:rPr>
        <w:t xml:space="preserve">300M</w:t>
      </w:r>
      <w:r>
        <w:rPr>
          <w:rFonts w:ascii="SimSun" w:hAnsi="SimSun" w:eastAsia="SimSun" w:cs="SimSun"/>
          <w:color w:val="000000"/>
          <w:sz w:val="24"/>
        </w:rPr>
        <w:t xml:space="preserve">）。文件上传方式见《操作手册》规定，上传的演示视频将作为投标文件的组成部分，视频时长总计不超过</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（一）采购标的需实现的功能或者目标，以及为落实政府采购政策需满足的要求；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采购本国货物、工程和服务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政府采购应当采购本国货物、工程和服务，但有《中华人民共和国政府采购法》第十条规定情形的除外。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如采购进口产品的，应当符合《政府采购进口产品管理办法》（财库</w:t>
      </w:r>
      <w:r>
        <w:rPr>
          <w:rFonts w:ascii="Times New Roman" w:hAnsi="Times New Roman" w:eastAsia="Times New Roman" w:cs="Times New Roman"/>
          <w:color w:val="000000"/>
          <w:sz w:val="24"/>
        </w:rPr>
        <w:t xml:space="preserve">(2007)119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(2008)248</w:t>
      </w:r>
      <w:r>
        <w:rPr>
          <w:rFonts w:ascii="SimSun" w:hAnsi="SimSun" w:eastAsia="SimSun" w:cs="SimSun"/>
          <w:color w:val="000000"/>
          <w:sz w:val="24"/>
        </w:rPr>
        <w:t xml:space="preserve">号文）等相关规定。本项目是否采购进口产品，以须知前附表确定的为准。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政府采购需求标准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商品包装、快递包装政府采购需求标准（试行）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号）的要求，投标人应当提供符合需求标准的产品及相关快递服务的包装。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、商品包装层数不得超过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、木质商品包装的原料应来源于可持续性森林。</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注：检测方法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商品包装中重金属（铅、汞、镉、六价铬）总量的检测按照</w:t>
      </w:r>
      <w:r>
        <w:rPr>
          <w:rFonts w:ascii="Times New Roman" w:hAnsi="Times New Roman" w:eastAsia="Times New Roman" w:cs="Times New Roman"/>
          <w:color w:val="000000"/>
          <w:sz w:val="24"/>
        </w:rPr>
        <w:t xml:space="preserve">GB/T10004-2008</w:t>
      </w:r>
      <w:r>
        <w:rPr>
          <w:rFonts w:ascii="SimSun" w:hAnsi="SimSun" w:eastAsia="SimSun" w:cs="SimSun"/>
          <w:color w:val="000000"/>
          <w:sz w:val="24"/>
        </w:rPr>
        <w:t xml:space="preserve">《包装用塑料复合膜、袋干法复合、挤出复合》规定的方法进行。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的检测按照</w:t>
      </w:r>
      <w:r>
        <w:rPr>
          <w:rFonts w:ascii="Times New Roman" w:hAnsi="Times New Roman" w:eastAsia="Times New Roman" w:cs="Times New Roman"/>
          <w:color w:val="000000"/>
          <w:sz w:val="24"/>
        </w:rPr>
        <w:t xml:space="preserve">GB/T23986-2009</w:t>
      </w:r>
      <w:r>
        <w:rPr>
          <w:rFonts w:ascii="SimSun" w:hAnsi="SimSun" w:eastAsia="SimSun" w:cs="SimSun"/>
          <w:color w:val="000000"/>
          <w:sz w:val="24"/>
        </w:rPr>
        <w:t xml:space="preserve">《色漆和清漆挥发性有机化合物</w:t>
      </w:r>
      <w:r>
        <w:rPr>
          <w:rFonts w:ascii="Times New Roman" w:hAnsi="Times New Roman" w:eastAsia="Times New Roman" w:cs="Times New Roman"/>
          <w:color w:val="000000"/>
          <w:sz w:val="24"/>
        </w:rPr>
        <w:t xml:space="preserve">(VOC)</w:t>
      </w:r>
      <w:r>
        <w:rPr>
          <w:rFonts w:ascii="SimSun" w:hAnsi="SimSun" w:eastAsia="SimSun" w:cs="SimSun"/>
          <w:color w:val="000000"/>
          <w:sz w:val="24"/>
        </w:rPr>
        <w:t xml:space="preserve">含量的测定气相色谱法》规定的方法。</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1.3.8</w:t>
      </w:r>
      <w:r>
        <w:rPr>
          <w:rFonts w:ascii="SimSun" w:hAnsi="SimSun" w:eastAsia="SimSun" w:cs="SimSun"/>
          <w:color w:val="000000"/>
          <w:sz w:val="24"/>
        </w:rPr>
        <w:t xml:space="preserve">快递包装中重金属（铅、汞、镉、六价铬）总量应不大于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1.3.9</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1.3.10</w:t>
      </w:r>
      <w:r>
        <w:rPr>
          <w:rFonts w:ascii="SimSun" w:hAnsi="SimSun" w:eastAsia="SimSun" w:cs="SimSun"/>
          <w:color w:val="000000"/>
          <w:sz w:val="24"/>
        </w:rPr>
        <w:t xml:space="preserve">快递包装中使用纸基材的包装材料，纸基材中的有机氯的含量应不大于</w:t>
      </w:r>
      <w:r>
        <w:rPr>
          <w:rFonts w:ascii="Times New Roman" w:hAnsi="Times New Roman" w:eastAsia="Times New Roman" w:cs="Times New Roman"/>
          <w:color w:val="000000"/>
          <w:sz w:val="24"/>
        </w:rPr>
        <w:t xml:space="preserve">150mg/kg</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1.3.11</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－乙基）己酯、邻苯二甲酸二异癸酯、邻苯二甲酸丁基苄基酯、邻苯二甲酸二丁酯等作为增塑剂；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1.3.12</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1.3.13</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1.3.14</w:t>
      </w:r>
      <w:r>
        <w:rPr>
          <w:rFonts w:ascii="SimSun" w:hAnsi="SimSun" w:eastAsia="SimSun" w:cs="SimSun"/>
          <w:color w:val="000000"/>
          <w:sz w:val="24"/>
        </w:rPr>
        <w:t xml:space="preserve">快递中使用的集装袋应为单一材质制成，其重复使用次数应不小于</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1.3.15</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w:t>
      </w:r>
      <w:r>
        <w:rPr>
          <w:rFonts w:ascii="SimSun" w:hAnsi="SimSun" w:eastAsia="SimSun" w:cs="SimSun"/>
          <w:color w:val="000000"/>
          <w:sz w:val="24"/>
        </w:rPr>
        <w:t xml:space="preserve">的生物降解胶带；</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1.3.16</w:t>
      </w:r>
      <w:r>
        <w:rPr>
          <w:rFonts w:ascii="SimSun" w:hAnsi="SimSun" w:eastAsia="SimSun" w:cs="SimSun"/>
          <w:color w:val="000000"/>
          <w:sz w:val="24"/>
        </w:rPr>
        <w:t xml:space="preserve">快递包装中不得使用溶剂型胶粘剂；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1.3.17</w:t>
      </w:r>
      <w:r>
        <w:rPr>
          <w:rFonts w:ascii="SimSun" w:hAnsi="SimSun" w:eastAsia="SimSun" w:cs="SimSun"/>
          <w:color w:val="000000"/>
          <w:sz w:val="24"/>
        </w:rPr>
        <w:t xml:space="preserve">快递应使用电子面单；</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1.3.18</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1.3.19</w:t>
      </w:r>
      <w:r>
        <w:rPr>
          <w:rFonts w:ascii="SimSun" w:hAnsi="SimSun" w:eastAsia="SimSun" w:cs="SimSun"/>
          <w:color w:val="000000"/>
          <w:sz w:val="24"/>
        </w:rPr>
        <w:t xml:space="preserve">快递包装产品质量和封装方式应符合相关国家或行业标准技术指标要求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中标人投标时候提供的各类效果图、平面图、鸟瞰图等内容不作为最终方案及生产内容，最终产品的花色、数量、五金配件、效果等内容应在生产前与招标人确认后方可实施，因中标人未确认而生产制作并安装的产品，采购人有权拒收，由此产生的返工风险由中标人自行承担。具体要求如下：</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中标人在产品出厂前，应提供产品清单明细交由招标人确认，包含产品名称、详细规格、材质、颜色等内容，由招标人确认后，方可进行供货；</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产品必须是正规厂家新品，不得以次充好；</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中标人负责货物的包装、保险，并运输至招标人指定的交货地点。零散及易损件需用木箱包装，确保防盗、防震、防潮、防破损，由于运输造成的设备损坏，丢失均由中标人负责处理；</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中标人负责货物装卸车、就位、组装、调试等工作，保证交给采购人货物的完好性。</w:t>
      </w:r>
      <w:r>
        <w:rPr>
          <w:rFonts w:ascii="SimSun" w:hAnsi="SimSun" w:eastAsia="SimSun" w:cs="SimSun"/>
          <w:b/>
          <w:color w:val="000000"/>
          <w:sz w:val="24"/>
        </w:rPr>
        <w:t xml:space="preserve">（注：字体内容、版面内容、颜色、型号、规格尺寸等制作时须由采购人确定，投标人应充分考虑这部分的风险并在报价时一并考虑。）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（三）未中标投标人的方案、效果图等内容，招标人不使用，也不提供任何方案</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设计等补偿。</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四）中标人供货时，甲方抽检10项定制清单里的家具产品（含破坏性检测），检测不合格的产品，中标人重新生产，并重新抽样检测，合格后方可投入使用，若同一产品连续两次检测均不合格，采购人有权拒收产品，相关损失及责任由中标人自行承担。中标人在供货前和项目整体供货安装结束后，应安排具有相关资质的专业检测机构依据GB/T18883-2022标准进行各个区域的空气检测，并出具空气环境检测报告，检测费用由中标人承担。如交货安装完成后空气检测不合格，由中标人进行整改，在合同期限内达到国家空气健康标准；如仍不合格，采购</w:t>
      </w:r>
      <w:r>
        <w:rPr>
          <w:rFonts w:ascii="SimSun" w:hAnsi="SimSun" w:eastAsia="SimSun" w:cs="SimSun"/>
          <w:b/>
          <w:color w:val="000000"/>
          <w:sz w:val="24"/>
        </w:rPr>
        <w:t xml:space="preserve">人有权拒付货款并要求中标人承担由此所造成的一切损失。</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（五）中标人供货安装应做好现场保护措施，因中标人操作不规范等原因导致采购人物资设备损坏的，由中标人承担赔偿责任。</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6"/>
        <w:gridCol w:w="1971"/>
        <w:gridCol w:w="897"/>
        <w:gridCol w:w="4485"/>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针对招标文件“第四章 采购需求，三、定制清单”中的所列内容进行评分，所投产品主要技术参数完全满足或优于招标文件要求的得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分。清单合计</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项产品（每一序号为一项），每项</w:t>
            </w:r>
            <w:r>
              <w:rPr>
                <w:rFonts w:ascii="Times New Roman" w:hAnsi="Times New Roman" w:eastAsia="Times New Roman" w:cs="Times New Roman"/>
                <w:color w:val="000000"/>
                <w:sz w:val="21"/>
              </w:rPr>
              <w:t xml:space="preserve">0.075</w:t>
            </w:r>
            <w:r>
              <w:rPr>
                <w:rFonts w:ascii="SimSun" w:hAnsi="SimSun" w:eastAsia="SimSun" w:cs="SimSun"/>
                <w:color w:val="000000"/>
                <w:sz w:val="21"/>
              </w:rPr>
              <w:t xml:space="preserve">分。每一项中任意一条参数存在负偏离的则该项不得分。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注：投标人针对本项评标内容在投标文件《技术要求响应及偏离表》中逐条列出响应及偏离情况，《技术要求响应及偏离表》中未列出的对应项按负偏离进行扣分处理。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质量检测指标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提供甲醛释放限量检测（检测结果≤</w:t>
            </w:r>
            <w:r>
              <w:rPr>
                <w:rFonts w:ascii="Times New Roman" w:hAnsi="Times New Roman" w:eastAsia="Times New Roman" w:cs="Times New Roman"/>
                <w:color w:val="000000"/>
                <w:sz w:val="21"/>
              </w:rPr>
              <w:t xml:space="preserve">0.075mg/m</w:t>
            </w:r>
            <w:r>
              <w:rPr>
                <w:rFonts w:ascii="SimSun" w:hAnsi="SimSun" w:eastAsia="SimSun" w:cs="SimSun"/>
                <w:color w:val="000000"/>
                <w:sz w:val="21"/>
              </w:rPr>
              <w:t xml:space="preserve">³）的“凳类、书墙类、木饰面类、隔断类、服务台类、阅览桌类、阅览椅类、书架类、书柜类、台阶类”成品的检验检测报告扫描件，每有一类符合要求的得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填写格式详见第六章；</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提供具备</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资质认定的第三方检测机构（法律法规或主管部门明确无需</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的除外）检验检测报告；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同类成品仅计一次分。</w:t>
            </w:r>
            <w:r>
              <w:rPr>
                <w:rFonts w:ascii="Times New Roman" w:hAnsi="Times New Roman" w:eastAsia="Times New Roman" w:cs="Times New Roman"/>
                <w:sz w:val="20"/>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效果展示图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投标人依据招标文件提供的“第四章 采购需求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二、区域划分、定制（设计）情况概述及效果、现场平面图；三、定制清单”的内容及要求，提供一楼（层）少儿阅览室、幼儿阅览室</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个区域的效果展示图（效果展示图须包括以下</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类：①平面摆放图、②区域鸟瞰图、③空间区域效果图、④家具在鸟瞰图上位置对应的清单，如将清单“序号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”标注至鸟瞰图中对应的家具位置），评标委员会按每个区域具体情况进行评审。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区域布局整体合理、颜色搭配美观、功能分区界限明显、家具动线流畅，优于定制效果要求的得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区域布局整体较合理、颜色搭配较美观、功能分区界限较明显、家具动线较流畅，满足定制效果要求的得</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区域布局部分合理、颜色搭配部分有冲突或影响美观、部分功能分区界限较不明显、部分家具动线缺少一定的流畅，承诺部分内容经过后期优化能满足定制效果要求的得</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区域布局多处不合理，颜色搭配多处冲突，功能分区界限不明显，家具动线多处不流畅，承诺多处可经过后期优化能满足定制效果要求的得</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每个区域最高得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分，最低得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每个区域</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类图缺少任意一种或任意一类图中显示的清单家具种类与招标文件清单家具种类不一致的或</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类图之间无法匹配的【如平面图上某种家具位置（或造型）与鸟瞰图对应位置（或造型）不一致或与其他图上对应位置（或造型）不一致的，属于无法匹配的情形）】；该区域不得分。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一楼（层）少儿阅览室包含：服务区、自助借还区、单人学习区、阅览区、卡座区、创意阅读区共计</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一楼（层）幼儿阅览室包含：新书展示区、服务区、自助借还区、亲子阅览区、手工区、开放亲子阅览区、玩具区、活动故事区、讨论区、绘本阅览区、藏书区、家长等候区、共计</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个区域。</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动画演示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根据投标人所提供的一楼（层）少儿阅览室、幼儿阅览室区域效果动画演示进行评审。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区域齐全，单一区域能融入整体区间、区域与区域之间家具空间联动过渡柔和协调，整体视觉效果美观，优于采购需求的得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区域齐全，单一区域较能融入整体区间、区域与区域之间家具空间联动过渡较柔和协调，整体视觉效果较美观，满足采购需求的得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少部分区域缺失或单一区域融入整体区间有较明显差别、区域与区域之间家具空间联动过渡差别较明显，需要少部分优化调整后可满足要求的得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大部分区域缺失或区域与区域之间、单一区域与整体区间融入差异明显，整体效果缺陷突出，需要整体优化调整才能满足采购需求的得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注：投标人使用单页图片拼接、</w:t>
            </w:r>
            <w:r>
              <w:rPr>
                <w:rFonts w:ascii="Times New Roman" w:hAnsi="Times New Roman" w:eastAsia="Times New Roman" w:cs="Times New Roman"/>
                <w:color w:val="000000"/>
                <w:sz w:val="21"/>
              </w:rPr>
              <w:t xml:space="preserve">PPT</w:t>
            </w:r>
            <w:r>
              <w:rPr>
                <w:rFonts w:ascii="SimSun" w:hAnsi="SimSun" w:eastAsia="SimSun" w:cs="SimSun"/>
                <w:color w:val="000000"/>
                <w:sz w:val="21"/>
              </w:rPr>
              <w:t xml:space="preserve">演示、投标人单位宣传资料不得分。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日（以合同签订时间为准）以来，承担过与本项目类似业绩，每提供一个得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注：提供业绩合同材料电子件，且业绩合同中主要内容、标的、金额等清晰可见，否则该业绩不得分。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环境标志认证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环境标志认证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投标文件提供上述证书电子件和在国家市场监督管理总局全国认证认可信息公共服务平台查询认证完整页面截图，未提供的不得分。</w:t>
            </w:r>
            <w:r/>
          </w:p>
        </w:tc>
      </w:tr>
      <w:tr>
        <w:trPr>
          <w:trHeight w:val="12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项目认知及理解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根据投标人提供的项目认知及理解，从建设内容、定制设计效果的理解、实施的重点难点分析等角度进行评审。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有详细的认知及理解说明、对定制设计效果有明确的解释并能结合采购人单位性质进行分析、明确项目的重点难点，且解决处理方案并优于采购需求的得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有较详细的认知及理解说明、对定制设计效果有较明确的解释并较能结合采购人单位性质进行分析、较明确项目的重点难点，且解决处理方案可满足采购需求的得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关键内容没有分析说明、少部分能符合项目实际情况，但承诺后期优化能满足的得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无实质性内容，或未提供的得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根据投标人提供的项目实施方案，从项目实施规划、质保保障及处理措施、供货进度计划、安装调试方案等方面，对方案实施内容，以及各工序衔接的流畅性、工作内容的详细度进行评审。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项目实施规划环节流程详尽；质保保障及处理措施全面；供货进度计划精准适配，能有效保障项目按时推进；安装调试方案细致且实操性强。整套方案紧密贴合项目实际，优于采购需求，得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项目实施规划较完整，具备主要环节；质保保障措施较完善，可满足项目基本要求；供货进度计划较为合理，能保证项目有序推进；安装调试方案较实用。较契合项目实际，可满足采购需求，得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项目实施规划关键环节缺失；质保保障措施存在部分缺漏；供货进度计划合理性一般；安装调试方案简单粗略，但投标人承诺后续优化，并确保能满足采购需求，得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方案无实质内容，在关键维度完全不满足采购需求，或未提供的得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根据投标人提供的售后服务方案，从售后承诺的详实、服务体系的完备性、服务内容响应的全面性及故障响应的及时性出发，依据以下标准进行评审：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售后承诺详实，服务体系内容全面，服务内容高效全面，故障响应高效。方案高度契合项目实际，优于满足采购要求，得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售后承诺覆盖核心要点，服务体系基本完备，服务内容涵盖项目主要需求，故障响应速度达标。方案基本贴合项目实际，可满足采购要求，得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售后承诺缺乏实质内容，服务体系存在缺陷；服务内容少量符合项目要求，方案整体针对性欠佳，少部分满足采购要求需要整体优化调整的，得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售后服务不符合要求，未提供或方案无实质内容的得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满足招标文件质保期</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年的基础上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每增加一年质保期得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注：以承诺函的质保期为准（格式详见第六章）。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评标委员会按照本办法规定推荐1名中标候选人，并形成评标报告。</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4</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5</w:t>
      </w:r>
      <w:r/>
    </w:p>
    <w:p>
      <w:pPr>
        <w:numPr>
          <w:ilvl w:val="0"/>
          <w:numId w:val="2"/>
        </w:numPr>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b/>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以上</w:t>
      </w:r>
      <w:r>
        <w:rPr>
          <w:rFonts w:ascii="SimSun" w:hAnsi="SimSun" w:eastAsia="SimSun" w:cs="SimSun"/>
          <w:color w:val="000000"/>
          <w:sz w:val="24"/>
        </w:rPr>
        <w:t xml:space="preserve">时（投标人需在“第六章投标文件格式”的“分项报价表”中填写比例数值），依法对该投标人提供的全部产品给予价格评审优惠，即对该投标人提供的全部产品的总报价给予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的价格扣除，用扣除后的价格参与评审。投标人未填写比例数值，或比例数值未达到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投标人需按照招标文件的要求提供《关于符合本国产品标准的声明函》，如不提供将不享受本国产品价格评审优惠。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号）和招标文件规定的，投标人提供的相关产品视为不符合本国产品标准。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1 </w:t>
      </w:r>
      <w:r>
        <w:rPr>
          <w:rFonts w:ascii="SimSun" w:hAnsi="SimSun" w:eastAsia="SimSun" w:cs="SimSun"/>
          <w:color w:val="000000"/>
          <w:sz w:val="24"/>
        </w:rPr>
        <w:t xml:space="preserve">种政策确定本项目落实的中小企业政策：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）投标人提供的货物符合下列情形的，对小微企业报价给予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的扣除，用扣除后的价格参加评审。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、政府采购需求标准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绿色数据中心政府采购需求标准（试行）</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按照财政部生态环境部工业和信息化部关于印发《绿色数据中心政府采购需求标准（试行）》的通知）要求执行，本项目绿色数据中心的具体需求详见第四章采购需求。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绿色建材政府采购需求标准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、采购产品中涉及涂料、胶黏剂、油墨、清洗剂等挥发性有机物产品的，属于强制性标准的，投标人应当提供符合国家和江苏省相关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含量限制标准的产品。采购产品中涉及通用类货物，投标人应当优先使用低挥发性原辅材料，采购人将使用低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含量的涂料、胶黏剂等纳入政府采购合同条款的，投标人必须严格执行。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一、投标人响应承诺函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四、法定代表人身份证明或授权委托书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十一、质量检测指标</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四、法定代表人身份证明或授权委托书</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法定代表人身份证明</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（采购人名称）</w:t>
      </w:r>
      <w:r>
        <w:rPr>
          <w:rFonts w:ascii="SimSun" w:hAnsi="SimSun" w:eastAsia="SimSun" w:cs="SimSun"/>
          <w:color w:val="000000"/>
          <w:sz w:val="28"/>
        </w:rPr>
        <w:t xml:space="preserve">：</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（法定代表人姓名）</w:t>
      </w:r>
      <w:r>
        <w:rPr>
          <w:rFonts w:ascii="SimSun" w:hAnsi="SimSun" w:eastAsia="SimSun" w:cs="SimSun"/>
          <w:color w:val="000000"/>
          <w:sz w:val="28"/>
        </w:rPr>
        <w:t xml:space="preserve">，身份证号：</w:t>
      </w:r>
      <w:r>
        <w:rPr>
          <w:rFonts w:ascii="SimSun" w:hAnsi="SimSun" w:eastAsia="SimSun" w:cs="SimSun"/>
          <w:color w:val="000000"/>
          <w:sz w:val="28"/>
          <w:u w:val="single"/>
        </w:rPr>
        <w:t xml:space="preserve">           </w:t>
      </w:r>
      <w:r>
        <w:rPr>
          <w:rFonts w:ascii="SimSun" w:hAnsi="SimSun" w:eastAsia="SimSun" w:cs="SimSun"/>
          <w:color w:val="000000"/>
          <w:sz w:val="28"/>
        </w:rPr>
        <w:t xml:space="preserve">，系</w:t>
      </w:r>
      <w:r>
        <w:rPr>
          <w:rFonts w:ascii="SimSun" w:hAnsi="SimSun" w:eastAsia="SimSun" w:cs="SimSun"/>
          <w:color w:val="000000"/>
          <w:sz w:val="28"/>
          <w:u w:val="single"/>
        </w:rPr>
        <w:t xml:space="preserve">                      （投标人名称）</w:t>
      </w:r>
      <w:r>
        <w:rPr>
          <w:rFonts w:ascii="SimSun" w:hAnsi="SimSun" w:eastAsia="SimSun" w:cs="SimSun"/>
          <w:color w:val="000000"/>
          <w:sz w:val="28"/>
        </w:rPr>
        <w:t xml:space="preserve">的法定代表人，处理此次</w:t>
      </w:r>
      <w:r>
        <w:rPr>
          <w:rFonts w:ascii="SimSun" w:hAnsi="SimSun" w:eastAsia="SimSun" w:cs="SimSun"/>
          <w:color w:val="000000"/>
          <w:sz w:val="28"/>
          <w:u w:val="single"/>
        </w:rPr>
        <w:t xml:space="preserve"> （项目名称、项目编号）</w:t>
      </w:r>
      <w:r>
        <w:rPr>
          <w:rFonts w:ascii="SimSun" w:hAnsi="SimSun" w:eastAsia="SimSun" w:cs="SimSun"/>
          <w:color w:val="000000"/>
          <w:sz w:val="28"/>
        </w:rPr>
        <w:t xml:space="preserve">招投标活动的一切事宜。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5"/>
        <w:jc w:val="center"/>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单位名称：</w:t>
      </w:r>
      <w:r>
        <w:rPr>
          <w:rFonts w:ascii="SimSun" w:hAnsi="SimSun" w:eastAsia="SimSun" w:cs="SimSun"/>
          <w:color w:val="000000"/>
          <w:sz w:val="28"/>
          <w:u w:val="single"/>
        </w:rPr>
        <w:t xml:space="preserve">         </w:t>
      </w:r>
      <w:r>
        <w:rPr>
          <w:rFonts w:ascii="SimSun" w:hAnsi="SimSun" w:eastAsia="SimSun" w:cs="SimSun"/>
          <w:color w:val="000000"/>
          <w:sz w:val="28"/>
        </w:rPr>
        <w:t xml:space="preserve">（加盖CA电子公章）</w:t>
      </w:r>
      <w:r/>
    </w:p>
    <w:p>
      <w:pPr>
        <w:ind w:left="0" w:right="0" w:firstLine="495"/>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法定代表人：</w:t>
      </w:r>
      <w:r>
        <w:rPr>
          <w:rFonts w:ascii="SimSun" w:hAnsi="SimSun" w:eastAsia="SimSun" w:cs="SimSun"/>
          <w:color w:val="000000"/>
          <w:sz w:val="28"/>
          <w:u w:val="single"/>
        </w:rPr>
        <w:t xml:space="preserve">           </w:t>
      </w:r>
      <w:r>
        <w:rPr>
          <w:rFonts w:ascii="SimSun" w:hAnsi="SimSun" w:eastAsia="SimSun" w:cs="SimSun"/>
          <w:color w:val="000000"/>
          <w:sz w:val="28"/>
        </w:rPr>
        <w:t xml:space="preserve">（签字或盖章）</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分包号：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2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分项报价表（货物类）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395"/>
        <w:gridCol w:w="569"/>
        <w:gridCol w:w="746"/>
        <w:gridCol w:w="982"/>
        <w:gridCol w:w="1482"/>
        <w:gridCol w:w="918"/>
        <w:gridCol w:w="1055"/>
        <w:gridCol w:w="854"/>
        <w:gridCol w:w="854"/>
        <w:gridCol w:w="104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仟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p>
        </w:tc>
      </w:tr>
      <w:tr>
        <w:trPr>
          <w:trHeight w:val="6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           </w:t>
            </w:r>
            <w:r>
              <w:rPr>
                <w:rFonts w:ascii="Arial" w:hAnsi="Arial" w:eastAsia="Arial" w:cs="Arial"/>
                <w:color w:val="000000"/>
                <w:sz w:val="28"/>
              </w:rPr>
              <w:t xml:space="preserve">%</w:t>
            </w:r>
            <w:r>
              <w:rPr>
                <w:rFonts w:ascii="SimSun" w:hAnsi="SimSun" w:eastAsia="SimSun" w:cs="SimSun"/>
                <w:color w:val="00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“投标分项报价表”中“投标总报价”数额应当与“开标一览表”中“投标总报价”数额一致。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本采购包中含有多种产品时，投标人未填写本采购包中提供的符合本国产品标准的产品成本之和占该采购包提供的全部产品成本之和的比例数值的，或比例数值未达到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七、中小（微）企业声明函（货物）（分包号：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中小微企业声明函（货物类项目）（采购包号：**）</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残疾人福利性单位声明函（货物类项目）（采购包号：**）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559" w:firstLine="624"/>
        <w:jc w:val="right"/>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Sun" w:hAnsi="SimSun" w:eastAsia="SimSun" w:cs="SimSun"/>
          <w:b/>
          <w:color w:val="000000"/>
          <w:sz w:val="32"/>
        </w:rPr>
        <w:t xml:space="preserve">、技术要求响应及偏离表（分包号：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（加盖CA电子公章）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投标人针对本项评标内容在投标文件《技术要求响应及偏离表》中逐条列出响应及偏离情况，《技术要求响应及偏离表》中未列出的对应项按负偏离进行扣分处理。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行数不够，可自行添加。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注：如供应商中标，项目组成员必须按本表承诺人员操作，不得随意更换。按招标文件要求附相关人员证书。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numPr>
          <w:ilvl w:val="0"/>
          <w:numId w:val="3"/>
        </w:numP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十一、质量检测指标</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602"/>
        <w:gridCol w:w="2487"/>
        <w:gridCol w:w="2013"/>
        <w:gridCol w:w="8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投标产品名称（所投产品名称）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定制清单同类产品的序号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甲醛释放限量检测检测结果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凳类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书墙类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木饰面类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隔断类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服务台类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阅览桌类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阅览椅类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书架类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书柜类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台阶类</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注：投标人按要求提供相关检测报告扫描件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十二、关于符合本国产品标准的声明函</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格式详见投标文件制作工具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十三、投标所需其他材料</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质保承诺函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致：</w:t>
      </w:r>
      <w:r>
        <w:rPr>
          <w:rFonts w:ascii="SimHei" w:hAnsi="SimHei" w:eastAsia="SimHei" w:cs="SimHei"/>
          <w:color w:val="000000"/>
          <w:sz w:val="32"/>
          <w:u w:val="single"/>
        </w:rPr>
        <w:t xml:space="preserve">（采购人全称）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我单位承诺，在满足招标文件质保期</w:t>
      </w:r>
      <w:r>
        <w:rPr>
          <w:rFonts w:ascii="Times New Roman" w:hAnsi="Times New Roman" w:eastAsia="Times New Roman" w:cs="Times New Roman"/>
          <w:color w:val="000000"/>
          <w:sz w:val="32"/>
        </w:rPr>
        <w:t xml:space="preserve">3</w:t>
      </w:r>
      <w:r>
        <w:rPr>
          <w:rFonts w:ascii="SimHei" w:hAnsi="SimHei" w:eastAsia="SimHei" w:cs="SimHei"/>
          <w:color w:val="000000"/>
          <w:sz w:val="32"/>
        </w:rPr>
        <w:t xml:space="preserve">年的基础上</w:t>
      </w:r>
      <w:r>
        <w:rPr>
          <w:rFonts w:ascii="Times New Roman" w:hAnsi="Times New Roman" w:eastAsia="Times New Roman" w:cs="Times New Roman"/>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增加</w:t>
      </w:r>
      <w:r>
        <w:rPr>
          <w:rFonts w:ascii="SimHei" w:hAnsi="SimHei" w:eastAsia="SimHei" w:cs="SimHei"/>
          <w:color w:val="000000"/>
          <w:sz w:val="32"/>
          <w:u w:val="single"/>
        </w:rPr>
        <w:t xml:space="preserve">    </w:t>
      </w:r>
      <w:r>
        <w:rPr>
          <w:rFonts w:ascii="SimHei" w:hAnsi="SimHei" w:eastAsia="SimHei" w:cs="SimHei"/>
          <w:color w:val="000000"/>
          <w:sz w:val="32"/>
        </w:rPr>
        <w:t xml:space="preserve">年质保期，共计质保期为</w:t>
      </w:r>
      <w:r>
        <w:rPr>
          <w:rFonts w:ascii="SimHei" w:hAnsi="SimHei" w:eastAsia="SimHei" w:cs="SimHei"/>
          <w:color w:val="000000"/>
          <w:sz w:val="32"/>
          <w:u w:val="single"/>
        </w:rPr>
        <w:t xml:space="preserve">      </w:t>
      </w:r>
      <w:r>
        <w:rPr>
          <w:rFonts w:ascii="SimHei" w:hAnsi="SimHei" w:eastAsia="SimHei" w:cs="SimHei"/>
          <w:color w:val="000000"/>
          <w:sz w:val="32"/>
        </w:rPr>
        <w:t xml:space="preserve">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3</cp:revision>
  <dcterms:created xsi:type="dcterms:W3CDTF">2026-09-01T06:01:10Z</dcterms:created>
  <dcterms:modified xsi:type="dcterms:W3CDTF">2026-09-01T09:05:44Z</dcterms:modified>
</cp:coreProperties>
</file>