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招　标　文　件</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w:t>
      </w:r>
      <w:r>
        <w:rPr>
          <w:rFonts w:ascii="FangSong" w:hAnsi="FangSong" w:eastAsia="FangSong" w:cs="FangSong"/>
          <w:b/>
          <w:color w:val="000000"/>
          <w:sz w:val="30"/>
        </w:rPr>
        <w:t xml:space="preserve">宿迁市长期护理保险委托商保公司承办项目</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项目编号：JSZC-321300-XKGL-G2026-0001</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（服务类项目，</w:t>
      </w:r>
      <w:r>
        <w:rPr>
          <w:rFonts w:ascii="FangSong" w:hAnsi="FangSong" w:eastAsia="FangSong" w:cs="FangSong"/>
          <w:b/>
          <w:color w:val="000000"/>
          <w:sz w:val="32"/>
          <w:u w:val="single"/>
        </w:rPr>
        <w:t xml:space="preserve"> 不 </w:t>
      </w:r>
      <w:r>
        <w:rPr>
          <w:rFonts w:ascii="FangSong" w:hAnsi="FangSong" w:eastAsia="FangSong" w:cs="FangSong"/>
          <w:b/>
          <w:color w:val="000000"/>
          <w:sz w:val="32"/>
        </w:rPr>
        <w:t xml:space="preserve">专门面向中小企业）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964"/>
        <w:jc w:val="both"/>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w:t>
      </w:r>
      <w:r>
        <w:rPr>
          <w:rFonts w:ascii="FangSong" w:hAnsi="FangSong" w:eastAsia="FangSong" w:cs="FangSong"/>
          <w:b/>
          <w:color w:val="000000"/>
          <w:sz w:val="32"/>
          <w:u w:val="single"/>
        </w:rPr>
        <w:t xml:space="preserve">宿迁市医疗保障局</w:t>
      </w:r>
      <w:r>
        <w:rPr>
          <w:rFonts w:ascii="FangSong" w:hAnsi="FangSong" w:eastAsia="FangSong" w:cs="FangSong"/>
          <w:b/>
          <w:color w:val="000000"/>
          <w:sz w:val="32"/>
        </w:rPr>
        <w:t xml:space="preserve">         </w:t>
      </w:r>
      <w:r/>
    </w:p>
    <w:p>
      <w:pPr>
        <w:ind w:left="0" w:right="0" w:firstLine="964"/>
        <w:jc w:val="both"/>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 </w:t>
      </w:r>
      <w:r>
        <w:rPr>
          <w:rFonts w:ascii="FangSong" w:hAnsi="FangSong" w:eastAsia="FangSong" w:cs="FangSong"/>
          <w:b/>
          <w:color w:val="000000"/>
          <w:sz w:val="32"/>
          <w:u w:val="single"/>
        </w:rPr>
        <w:t xml:space="preserve">江苏翔堃项目管理有限公司</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2026年09月09日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目录</w:t>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2897" w:history="1">
        <w:r>
          <w:rPr>
            <w:rStyle w:val="748"/>
            <w:rFonts w:ascii="FangSong" w:hAnsi="FangSong" w:eastAsia="FangSong" w:cs="FangSong"/>
            <w:color w:val="0000ee"/>
            <w:sz w:val="36"/>
            <w:u w:val="single"/>
          </w:rPr>
          <w:t xml:space="preserve">第一章投标邀请</w:t>
          <w:tab/>
          <w:t xml:space="preserve">1</w:t>
        </w:r>
      </w:hyperlink>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4806" w:history="1">
        <w:r>
          <w:rPr>
            <w:rStyle w:val="748"/>
            <w:rFonts w:ascii="FangSong" w:hAnsi="FangSong" w:eastAsia="FangSong" w:cs="FangSong"/>
            <w:color w:val="0000ee"/>
            <w:sz w:val="36"/>
            <w:u w:val="single"/>
          </w:rPr>
          <w:t xml:space="preserve">第二章</w:t>
        </w:r>
        <w:r>
          <w:rPr>
            <w:rStyle w:val="748"/>
            <w:rFonts w:ascii="FangSong" w:hAnsi="FangSong" w:eastAsia="FangSong" w:cs="FangSong"/>
            <w:color w:val="0000ee"/>
            <w:sz w:val="36"/>
            <w:u w:val="none"/>
          </w:rPr>
          <w:t xml:space="preserve"> </w:t>
        </w:r>
        <w:r>
          <w:rPr>
            <w:rStyle w:val="748"/>
            <w:rFonts w:ascii="FangSong" w:hAnsi="FangSong" w:eastAsia="FangSong" w:cs="FangSong"/>
            <w:color w:val="0000ee"/>
            <w:sz w:val="36"/>
            <w:u w:val="single"/>
          </w:rPr>
          <w:t xml:space="preserve">投标人须知</w:t>
          <w:tab/>
          <w:t xml:space="preserve">6</w:t>
        </w:r>
      </w:hyperlink>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0070" w:history="1">
        <w:r>
          <w:rPr>
            <w:rStyle w:val="748"/>
            <w:rFonts w:ascii="FangSong" w:hAnsi="FangSong" w:eastAsia="FangSong" w:cs="FangSong"/>
            <w:color w:val="0000ee"/>
            <w:sz w:val="36"/>
            <w:u w:val="single"/>
          </w:rPr>
          <w:t xml:space="preserve">第三章合同文本</w:t>
          <w:tab/>
        </w:r>
      </w:hyperlink>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5293" w:history="1">
        <w:r>
          <w:rPr>
            <w:rStyle w:val="748"/>
            <w:rFonts w:ascii="FangSong" w:hAnsi="FangSong" w:eastAsia="FangSong" w:cs="FangSong"/>
            <w:color w:val="0000ee"/>
            <w:sz w:val="36"/>
            <w:u w:val="single"/>
          </w:rPr>
          <w:t xml:space="preserve">第四章采购需求</w:t>
          <w:tab/>
        </w:r>
      </w:hyperlink>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3329" w:history="1">
        <w:r>
          <w:rPr>
            <w:rStyle w:val="748"/>
            <w:rFonts w:ascii="FangSong" w:hAnsi="FangSong" w:eastAsia="FangSong" w:cs="FangSong"/>
            <w:color w:val="0000ee"/>
            <w:sz w:val="36"/>
            <w:u w:val="single"/>
          </w:rPr>
          <w:t xml:space="preserve">第五章评标方法与评标标准</w:t>
          <w:tab/>
        </w:r>
      </w:hyperlink>
      <w:r/>
      <w:r/>
    </w:p>
    <w:p>
      <w:pPr>
        <w:ind w:left="0" w:right="0" w:firstLine="0"/>
        <w:spacing w:before="120" w:after="120" w:line="113" w:lineRule="atLeast"/>
        <w:tabs>
          <w:tab w:val="left" w:pos="8953"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15930" w:history="1">
        <w:r>
          <w:rPr>
            <w:rStyle w:val="748"/>
            <w:rFonts w:ascii="FangSong" w:hAnsi="FangSong" w:eastAsia="FangSong" w:cs="FangSong"/>
            <w:color w:val="0000ee"/>
            <w:sz w:val="36"/>
            <w:u w:val="single"/>
          </w:rPr>
          <w:t xml:space="preserve">第六章投标文件格式</w:t>
          <w:tab/>
        </w:r>
      </w:hyperlink>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shd w:val="nil"/>
      </w:pPr>
      <w:r>
        <w:rPr>
          <w:rFonts w:ascii="FangSong" w:hAnsi="FangSong" w:eastAsia="FangSong" w:cs="FangSong"/>
          <w:b/>
          <w:color w:val="000000"/>
          <w:sz w:val="40"/>
          <w:highlight w:val="none"/>
        </w:rPr>
        <w:br w:type="page" w:clear="all"/>
      </w:r>
      <w:r>
        <w:rPr>
          <w:rFonts w:ascii="FangSong" w:hAnsi="FangSong" w:eastAsia="FangSong" w:cs="FangSong"/>
          <w:b/>
          <w:color w:val="000000"/>
          <w:sz w:val="40"/>
          <w:highlight w:val="none"/>
        </w:rPr>
      </w:r>
    </w:p>
    <w:p>
      <w:pPr>
        <w:pStyle w:val="714"/>
        <w:ind w:left="0" w:right="0" w:firstLine="0"/>
        <w:jc w:val="center"/>
        <w:spacing w:before="0" w:after="0" w:line="113" w:lineRule="atLeast"/>
        <w:rPr>
          <w:rFonts w:ascii="FangSong" w:hAnsi="FangSong" w:eastAsia="FangSong" w:cs="FangSong"/>
          <w:b/>
          <w:bCs/>
          <w:color w:val="000000"/>
          <w:sz w:val="40"/>
          <w:szCs w:val="4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第一章   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w:t>
      </w:r>
      <w:r>
        <w:rPr>
          <w:rFonts w:ascii="FangSong" w:hAnsi="FangSong" w:eastAsia="FangSong" w:cs="FangSong"/>
          <w:color w:val="000000"/>
          <w:sz w:val="24"/>
          <w:u w:val="single"/>
        </w:rPr>
        <w:t xml:space="preserve">[宿迁市医疗保障局]</w:t>
      </w:r>
      <w:r>
        <w:rPr>
          <w:rFonts w:ascii="FangSong" w:hAnsi="FangSong" w:eastAsia="FangSong" w:cs="FangSong"/>
          <w:color w:val="000000"/>
          <w:sz w:val="24"/>
        </w:rPr>
        <w:t xml:space="preserve">的委托，</w:t>
      </w:r>
      <w:r>
        <w:rPr>
          <w:rFonts w:ascii="FangSong" w:hAnsi="FangSong" w:eastAsia="FangSong" w:cs="FangSong"/>
          <w:color w:val="000000"/>
          <w:sz w:val="24"/>
          <w:u w:val="single"/>
        </w:rPr>
        <w:t xml:space="preserve">[江苏翔堃项目管理有限公司]</w:t>
      </w:r>
      <w:r>
        <w:rPr>
          <w:rFonts w:ascii="FangSong" w:hAnsi="FangSong" w:eastAsia="FangSong" w:cs="FangSong"/>
          <w:color w:val="000000"/>
          <w:sz w:val="24"/>
        </w:rPr>
        <w:t xml:space="preserve">就</w:t>
      </w:r>
      <w:r>
        <w:rPr>
          <w:rFonts w:ascii="FangSong" w:hAnsi="FangSong" w:eastAsia="FangSong" w:cs="FangSong"/>
          <w:color w:val="000000"/>
          <w:sz w:val="24"/>
          <w:u w:val="single"/>
        </w:rPr>
        <w:t xml:space="preserve">[宿迁市长期护理保险委托商保公司承办项目]（[JSZC-321300-XKGL-G2026-0001]）</w:t>
      </w:r>
      <w:r>
        <w:rPr>
          <w:rFonts w:ascii="FangSong" w:hAnsi="FangSong" w:eastAsia="FangSong" w:cs="FangSong"/>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u w:val="single"/>
        </w:rPr>
        <w:t xml:space="preserve">（宿迁市长期护理保险委托商保公司承办项目）</w:t>
      </w:r>
      <w:r>
        <w:rPr>
          <w:rFonts w:ascii="FangSong" w:hAnsi="FangSong" w:eastAsia="FangSong" w:cs="FangSong"/>
          <w:color w:val="000000"/>
          <w:sz w:val="24"/>
        </w:rPr>
        <w:t xml:space="preserve">招标项目的潜在投标人可在</w:t>
      </w:r>
      <w:r>
        <w:rPr>
          <w:rFonts w:ascii="FangSong" w:hAnsi="FangSong" w:eastAsia="FangSong" w:cs="FangSong"/>
          <w:color w:val="000000"/>
          <w:sz w:val="24"/>
          <w:u w:val="single"/>
        </w:rPr>
        <w:t xml:space="preserve">“宿迁市政府采购网”自行免费下载</w:t>
      </w:r>
      <w:r>
        <w:rPr>
          <w:rFonts w:ascii="FangSong" w:hAnsi="FangSong" w:eastAsia="FangSong" w:cs="FangSong"/>
          <w:color w:val="000000"/>
          <w:sz w:val="24"/>
        </w:rPr>
        <w:t xml:space="preserve">招标文件，并于</w:t>
      </w:r>
      <w:r>
        <w:rPr>
          <w:rFonts w:ascii="FangSong" w:hAnsi="FangSong" w:eastAsia="FangSong" w:cs="FangSong"/>
          <w:color w:val="000000"/>
          <w:sz w:val="24"/>
          <w:u w:val="single"/>
        </w:rPr>
        <w:t xml:space="preserve">2026年09月30日09点30分（</w:t>
      </w:r>
      <w:r>
        <w:rPr>
          <w:rFonts w:ascii="FangSong" w:hAnsi="FangSong" w:eastAsia="FangSong" w:cs="FangSong"/>
          <w:color w:val="000000"/>
          <w:sz w:val="24"/>
        </w:rPr>
        <w:t xml:space="preserve">北京时间）前递交投标文件。</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1.项目编号：JSZC-321300-XKGL-G2026-0001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2.项目名称：宿迁市长期护理保险委托商保公司承办项目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预算金额：总预算为81178.9万元，其中分包一预算金额为40589.45万元，分包二预算金额为16235.78万元，分包三预算金额8117.89万元，分包四预算金额为4058.945万元，分包五预算金额为4058.945万元，分包六预算金额为4058.945万元，分包七预算金额为4058.945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4.本项目最高限价为：承办服务费最高限价为3.2元/人/年。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注：因苏采云系统原因，“开标一览表”中的“投标报价”请按照“承办服务费”的报价填写，本项目以单价形式进行报价。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需求（简介）：为贯彻落实党的二十大关于建立长期护理保险制度的决策部署，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按照承保份额分为七个采购包确定保险机构作为本项目的承保人：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分包一：40589.45万元，承保份额为50%；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分包二：16235.78万元，承保份额为20%；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分包三：8117.89万元，承保份额为10%；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分包四：4058.945万元，承保份额为5%；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分包五：4058.945万元，承保份额为5%；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分包六：4058.945万元，承保份额为5%；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分包七：4058.945万元，承保份额为5%。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投标分包选择：为保证上述分包所涉及的县（区）长护险工作推进的同步性，投标人可参与任意分包或全部分包的投标。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开标顺序：按分包序号从小到大依次，即先开分包一，再开分包二，后开分包三，以此类推。评标顺序同开标顺序。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标原则：按“兼投不兼中”的原则，每位投标人只能在一个分包上中标。如某投标人已在分包一被推荐为第一中标候选人的，则其参与分包二、分包三评标，但在分包二、分包三不参与推荐中标候选人的排序，以此类推，若有分包无合格中标候选人，则该分包份额由分包一中标候选人承担。（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注：评审结束后，若其中一个分包受到质疑投诉等原因，导致本分包评审结果改变，但不影响其他分包的评审结果。</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6.合同履行期限：2027年1月1日至2029年12月31日。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7.本项目七个分包均 </w:t>
      </w:r>
      <w:r>
        <w:rPr>
          <w:rFonts w:ascii="FangSong" w:hAnsi="FangSong" w:eastAsia="FangSong" w:cs="FangSong"/>
          <w:b/>
          <w:color w:val="000000"/>
          <w:sz w:val="24"/>
          <w:u w:val="single"/>
        </w:rPr>
        <w:t xml:space="preserve"> 接受 </w:t>
      </w:r>
      <w:r>
        <w:rPr>
          <w:rFonts w:ascii="FangSong" w:hAnsi="FangSong" w:eastAsia="FangSong" w:cs="FangSong"/>
          <w:b/>
          <w:color w:val="000000"/>
          <w:sz w:val="24"/>
        </w:rPr>
        <w:t xml:space="preserve">联合体投标（接受/不接受）（不超过2家）。</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二、申请人（分包一至分包</w:t>
      </w:r>
      <w:r>
        <w:rPr>
          <w:rFonts w:ascii="FangSong" w:hAnsi="FangSong" w:eastAsia="FangSong" w:cs="FangSong"/>
          <w:b/>
          <w:color w:val="000000"/>
          <w:sz w:val="24"/>
        </w:rPr>
        <w:t xml:space="preserve">七）的资格要求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（一）通用资格要求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1.具备《中华人民共和国政府采购法》第二十二条第一款规定的6项条件（按要求提供投标声明及承诺函）。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2.信用信息。信用信息查询渠道：“信用中国”网（www.creditchina.gov.cn）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（二）本项目（分包一至分包七）的特定资格要求</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1.投标人须是经中国银行保险监督管理委员会或国家金融监管局批准的中国境内保险公司，取得《保险公司法人许可证》、《经营保险业务许可证》的法人机构或其分支机构。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如果不具备独立法人资格的分公司，则须提供其具有独立法人资格的上级总（母）公司对其出具的有效授权。同一保险集团公司的不同分（子）公司，不得同时参加本项目投标，仅可组成一个联合体投标（独立参与本项目或联合体投标的成员不得再与其他任何单位组成联合体投标），否则相关投标人均按无效标处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1.时间：</w:t>
      </w:r>
      <w:r>
        <w:rPr>
          <w:rFonts w:ascii="FangSong" w:hAnsi="FangSong" w:eastAsia="FangSong" w:cs="FangSong"/>
          <w:b/>
          <w:color w:val="000000"/>
          <w:sz w:val="24"/>
        </w:rPr>
        <w:t xml:space="preserve">2026年09月10日09:00至2026年09月16日18:00（北京时间）。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3.本项目共分七个包。投标人参与多个包投标的，应按包分别获取招标文件。投标人未按要求获取招标文件导致无法投标的，后果自负（其投标文件不予接受）。</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1.提交投标文件截止时间、开标时间：2026年09月30日09点30分（北京时间）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2.地点：“苏采云”政府采购交易系统网上开标大厅。</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招标公告及招标文件公告期限为自本公告发布之日起5个工作日。招标公告发布媒体：宿迁市政府采购网、宿迁市公共资源交易平台、江苏省财政部门指定的媒体。</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1.财政部门监督电话：</w:t>
      </w:r>
      <w:r>
        <w:rPr>
          <w:rFonts w:ascii="FangSong" w:hAnsi="FangSong" w:eastAsia="FangSong" w:cs="FangSong"/>
          <w:color w:val="000000"/>
          <w:sz w:val="24"/>
        </w:rPr>
        <w:t xml:space="preserve">0527-84363063。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2.“CA”数字证书办理：“苏采云”系统目前仅支持“苏采云”系统下的意源CA。省内各地区办理的“苏采云”系统下的意源CA全省通用。宿迁地区CA数字证书办理联系方式：18762803891。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3.宿迁地区“苏采云”技术支持客服电话：0527-84363067、0519-86722806。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4.如果投标人通过苏采云系统参与政府采购项目，相关操作手册详见链接：http://www.ccgp-jiangsu.gov.cn/jiangsu/zlxz/ee/ee3a4bc5a3454aa2b0d9312230633ce9.html。</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5.现场勘察及答疑：本项目不组织集中勘察及答疑，投标人如对采购需求有疑问，请咨询采购单位联系人。</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七、本次招标联系方式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称：宿迁市医疗保障局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地址：宿迁市洪泽湖路889号便民方舟1号楼</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 马云晓</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none"/>
        </w:rPr>
        <w:t xml:space="preserve">0527-84368750</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称：江苏翔堃项目管理有限公司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址：宿迁市宿城新区曙光社区退役军人服务站2楼（时代名苑小区内物业办公室2楼）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联系人：何壹少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联系方式：18888194515</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八、其他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1、有关本次招标的事项若存在变动或修改，敬请及时关注“宿迁市政府采购网”等平台更正公告。</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2、本次招标不收取投标保证金。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0"/>
        </w:rPr>
        <w:t xml:space="preserve">第二章</w:t>
      </w:r>
      <w:r>
        <w:rPr>
          <w:rFonts w:ascii="FangSong" w:hAnsi="FangSong" w:eastAsia="FangSong" w:cs="FangSong"/>
          <w:b/>
          <w:color w:val="000000"/>
          <w:sz w:val="40"/>
        </w:rPr>
        <w:t xml:space="preserve">   </w:t>
      </w:r>
      <w:r>
        <w:rPr>
          <w:rFonts w:ascii="FangSong" w:hAnsi="FangSong" w:eastAsia="FangSong" w:cs="FangSong"/>
          <w:color w:val="000000"/>
          <w:sz w:val="40"/>
        </w:rPr>
        <w:t xml:space="preserve">投标人须知</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一、总则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w:t>
      </w:r>
      <w:r>
        <w:rPr>
          <w:rFonts w:ascii="FangSong" w:hAnsi="FangSong" w:eastAsia="FangSong" w:cs="FangSong"/>
          <w:b/>
          <w:color w:val="000000"/>
          <w:sz w:val="24"/>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本次招标采取公开招标方式，本招标文件仅适用于招标公告中所述项目。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2、合格的投标人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满足本文件实质性要求和条件的规定。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3、适用法律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本次招标及由此产生的合同受中华人民共和国有关的法律法规制约和保护。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4、投标费用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投标人应自行承担所有与参加投标有关的费用，无论投标过程中的做法和结果如何，</w:t>
      </w:r>
      <w:r>
        <w:rPr>
          <w:rFonts w:ascii="FangSong" w:hAnsi="FangSong" w:eastAsia="FangSong" w:cs="FangSong"/>
          <w:color w:val="000000"/>
          <w:sz w:val="24"/>
          <w:u w:val="single"/>
        </w:rPr>
        <w:t xml:space="preserve"> 江苏翔堃项目管理有限公司 </w:t>
      </w:r>
      <w:r>
        <w:rPr>
          <w:rFonts w:ascii="FangSong" w:hAnsi="FangSong" w:eastAsia="FangSong" w:cs="FangSong"/>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代理费用收取方式及标准：按以下第</w:t>
      </w:r>
      <w:r>
        <w:rPr>
          <w:rFonts w:ascii="FangSong" w:hAnsi="FangSong" w:eastAsia="FangSong" w:cs="FangSong"/>
          <w:color w:val="000000"/>
          <w:sz w:val="24"/>
          <w:u w:val="single"/>
        </w:rPr>
        <w:t xml:space="preserve">4.2.2</w:t>
      </w:r>
      <w:r>
        <w:rPr>
          <w:rFonts w:ascii="FangSong" w:hAnsi="FangSong" w:eastAsia="FangSong" w:cs="FangSong"/>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4.2.1 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4.2.2 采购人支付，具体方式及标准为：</w:t>
      </w:r>
      <w:r>
        <w:rPr>
          <w:rFonts w:ascii="FangSong" w:hAnsi="FangSong" w:eastAsia="FangSong" w:cs="FangSong"/>
          <w:color w:val="000000"/>
          <w:sz w:val="24"/>
          <w:u w:val="single"/>
        </w:rPr>
        <w:t xml:space="preserve">中标公告发布5个工作日内支付4.8万元，可以通过转账或数字人民币等方式支付 </w:t>
      </w:r>
      <w:r>
        <w:rPr>
          <w:rFonts w:ascii="FangSong" w:hAnsi="FangSong" w:eastAsia="FangSong" w:cs="FangSong"/>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4.2.3 中标人支付，具体方式及标准为，/。</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5.1投标人一旦参加本项目采购活动，即被认为接受了本招标文件的规定和约束。</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二、招标文件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6、招标文件构成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招标文件由以下部分组成：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（5）评标方法与评标标准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7、招标文件的澄清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前按招标公告中的通讯地址，以书面形式通知采购代理机构。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8、招标文件的修改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 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 投标人应及时登录“苏采云”系统获取澄清答疑文件（修改后招标文件），如因投标人原因未能及时下载澄清和修改后的招标文件，由此造成的相关责任，由投标人承担。</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三、投标文件的编制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9、投标文件的语言及度量衡单位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投标人提交的投标文件以及投标人与采购代理机构就有关投标的所有来往通知、函件和文件均应使用</w:t>
      </w:r>
      <w:r>
        <w:rPr>
          <w:rFonts w:ascii="FangSong" w:hAnsi="FangSong" w:eastAsia="FangSong" w:cs="FangSong"/>
          <w:b/>
          <w:color w:val="000000"/>
          <w:sz w:val="24"/>
        </w:rPr>
        <w:t xml:space="preserve">简体中文</w:t>
      </w:r>
      <w:r>
        <w:rPr>
          <w:rFonts w:ascii="FangSong" w:hAnsi="FangSong" w:eastAsia="FangSong" w:cs="FangSong"/>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除技术性能另有规定外，投标文件所使用的度量衡单位，均须采用国家法定计量单位。</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10、投标文件构成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各投标人在编制投标文件时请按照招标文件第六章规定的格式进行，混乱的编排导致投标文件被误读或评标委员会查找不到有效文件是投标人的风险。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投标人编写的投标文件应包括资格证明文件、符合性证明文件、响应及偏离表、其他证明文件、投标函、开标一览表等部分。投标文件构成资料为非中文时应提供中文译版。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 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10.4 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 如标书制作工具中格式、内容与“江苏政府采购网”“宿迁市政府采购网”发布的采购文件不一致的，以“江苏政府采购网”“宿迁市政府采购网”发布的采购文件为准。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 中标后按相关要求提供与电子投标文件一致的纸质打印投标文件2份。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11、证明投标人及投标标的符合招标文件规定的文件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11.1 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 招标文件对证明文件无明确形式要求的，证明文件可以以文字资料、图纸和数据等形式提交。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12.3本项目不接受备选的投标方案或有选择的报价，只允许有一个报价。投标报价内容包括：服务本身、人工费、服务费、税金以及交付使用过程中涉及到的其他一切费用。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13.1</w:t>
      </w:r>
      <w:r>
        <w:rPr>
          <w:rFonts w:ascii="FangSong" w:hAnsi="FangSong" w:eastAsia="FangSong" w:cs="FangSong"/>
          <w:color w:val="000000"/>
          <w:sz w:val="24"/>
        </w:rPr>
        <w:t xml:space="preserve"> 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投标人可在投标文件中提供认为需要的其他技术文件或说明。</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 报价注意事项：投标价格一律以人民币计算，以元为单位标注，最多保留至小数点后两位，招标文件另有规定的按招标文件执行</w:t>
      </w:r>
      <w:r>
        <w:rPr>
          <w:rFonts w:ascii="FangSong" w:hAnsi="FangSong" w:eastAsia="FangSong" w:cs="FangSong"/>
          <w:b/>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注：因苏采云系统原因，“开标一览表”中的“投标报价”请按照“承办服务费”的报价填写，本项目以单价形式进行报价。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15、投标有效期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投标有效期为开标之日后</w:t>
      </w:r>
      <w:r>
        <w:rPr>
          <w:rFonts w:ascii="FangSong" w:hAnsi="FangSong" w:eastAsia="FangSong" w:cs="FangSong"/>
          <w:b/>
          <w:color w:val="000000"/>
          <w:sz w:val="24"/>
          <w:u w:val="single"/>
        </w:rPr>
        <w:t xml:space="preserve">六十（60）天</w:t>
      </w:r>
      <w:r>
        <w:rPr>
          <w:rFonts w:ascii="FangSong" w:hAnsi="FangSong" w:eastAsia="FangSong" w:cs="FangSong"/>
          <w:color w:val="000000"/>
          <w:sz w:val="24"/>
        </w:rPr>
        <w:t xml:space="preserve">。投标有效期比规定短的将被视为未实质性响应招标文件而予以拒绝。</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16.2中标人的投标文件作为项目服务合同的附件，其有效期至中标人全部合同义务履行完毕为止。</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四、投标文件的递交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17、投标文件</w:t>
      </w:r>
      <w:r>
        <w:rPr>
          <w:rFonts w:ascii="FangSong" w:hAnsi="FangSong" w:eastAsia="FangSong" w:cs="FangSong"/>
          <w:color w:val="000000"/>
          <w:sz w:val="24"/>
        </w:rPr>
        <w:t xml:space="preserve">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17.2投标人通过“苏采云”系统不见面开标大厅在线参与开标活动。（具体操作详见《“苏采云”系统投标人操作手册》，网址链接http://www.ccgp-jiangsu.gov.cn//webfile/jiangsu/202311/1699268553318052447.pdf）</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18.2采购代理机构可以按照规定，通过修改招标文件酌情延长投标截止时间，在此情况下，投标人的所有权利和义务以及投标人受制的截止时间均应以延长后新的截止时间为准。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19、投标文件</w:t>
      </w:r>
      <w:r>
        <w:rPr>
          <w:rFonts w:ascii="FangSong" w:hAnsi="FangSong" w:eastAsia="FangSong" w:cs="FangSong"/>
          <w:color w:val="000000"/>
          <w:sz w:val="24"/>
        </w:rPr>
        <w:t xml:space="preserve">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 采购代理机构拒绝接收在招标文件规定的投标截止时间后上传的投标文件或对投标报价或其他实质性内容修正的文件。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20、投标文件的撤回和修改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20.1.1 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20.1.2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 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20.2.1投标人可在投标截止时间前，对其电子投标文件进行修改，具体操作方法见《操作手册》。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20.2.2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20.3在投标截止时间至招标文件中规定的投标有效期满之间的这段时间内，投标人不得撤回其投标。</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五、开标与评标</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21、开标</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21.1采购代理机构将在招标公告中规定的时间和地点组织公开开标。投标人应当按照《“苏采云”系统投标人操作手册》规定，参加开标活动和在“苏采云”系统规定的时间内对投标文件进行解密。</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21.3投标人在开标过程中涉及到的投标文件解密、开标结果确认等工作，应按照《操作手册》规定执行。</w:t>
      </w:r>
      <w:r>
        <w:rPr>
          <w:rFonts w:ascii="FangSong" w:hAnsi="FangSong" w:eastAsia="FangSong" w:cs="FangSong"/>
          <w:b/>
          <w:color w:val="000000"/>
          <w:sz w:val="24"/>
        </w:rPr>
        <w:t xml:space="preserve">投标人用于解密的CA证书应为该投标文件生成加密、上传的同一把CA证书。投标人应登录“苏采云”系统进入“开标大厅”，在系统约定时间内使用CA证书解密，未成功解密的视为放弃投标。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21.5投标人在开、评标全过程中应保持通讯畅通，及时登录“苏采云”系统查阅、答复相关信息。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22、评标委员会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w:t>
      </w:r>
      <w:r>
        <w:rPr>
          <w:rFonts w:ascii="FangSong" w:hAnsi="FangSong" w:eastAsia="FangSong" w:cs="FangSong"/>
          <w:b/>
          <w:color w:val="000000"/>
          <w:sz w:val="24"/>
        </w:rPr>
        <w:t xml:space="preserve"> </w:t>
      </w:r>
      <w:r>
        <w:rPr>
          <w:rFonts w:ascii="FangSong" w:hAnsi="FangSong" w:eastAsia="FangSong" w:cs="FangSong"/>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23.3采购代理机构和评标委员会不向未中标的投标人解释未中标原因，也不公布评标过程中的相关细节。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23.4采用综合评分法的项目，未中标的投标人可于中标结果公告期限届满之日起通过“苏采云”系统查看自己的评审得分及排序情况。</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24、投标文件的澄清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24.1评标期间，评标委员会对投标文件中含义不明确、同类问题表述不一致或者有明显文字和计算错误的内容，有权要求投标人作出必要的澄清、说明或者补正。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评标委员会并非对每个投标人都做澄清要求。</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对投标文件中含义不明确、同类问题表述不一致或者有明显文字和计算错误的内容，需要投标人进行澄清、说明和补正的，本项目投标人的澄清、说明或者补正采用线上澄清，评标委员会将通过“苏采云”系统向投标人发出“澄清要求函”，要求投标人作出必要的澄清、说明或者补正。投标人的澄清、说明或者补正应当采用书面形式且不得超出投标文件的范围或者改变投标文件的实质性内容。接到“澄清要求函”的投标人应当按照要求在规定时间内通过“苏采云”系统中提交“澄清响应函”并加盖CA电子公章。澄清、说明和补正的内容作为投标文件的补充部分，具</w:t>
      </w:r>
      <w:r>
        <w:rPr>
          <w:rFonts w:ascii="FangSong" w:hAnsi="FangSong" w:eastAsia="FangSong" w:cs="FangSong"/>
          <w:color w:val="000000"/>
          <w:sz w:val="24"/>
        </w:rPr>
        <w:t xml:space="preserve">体操作方式见《操作手册》。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24.3接到评标委员会澄清、说明和补正要求的投标人如未按规定做出澄清、说明和补正，其风险由投标人自行承担。</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25、对投标文件的初审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 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25.1.2符合性审查：依据招标文件的规定，由评标委员会从投标文件的有效性、完整性和对招标文件的响应程度进行审查，以确定是否对招标文件的实质性要求作出响应。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25.1.3对各投标人符合性审查过程中，对初步被认定为无效投标者，由评标委员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25.4评标委员会将对确定为实质性响应的投标进行进一步审核，确定其是否有计算上或累加上的算术错误，修正错误的原则如下：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评标过程中，不得去掉报价中的最高报价和最低报价。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25.6 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25.6.1评标过程中出现下列情形之一的，评标委员会应当启动异常低价投标审查程序：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（1）投标报价低于采购项目预算50%的，即投标报价＜采购项目预算×50%；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（2）投标报价低于采购项目最高限价45%的，即投标报价＜采购项目最高限价×45%；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（3）评标委员会认定的供应商报价过低（含明显低于其他通过符合性审查投标人的报价）、有可能影响产品质量或者不能诚信履约的其他情形。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25.6.2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25.6.3 投标人在开、评标全过程中应随时保持系统在线，及时在“苏采云”系统查阅、答复相关信息。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26.1无效投标条款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 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26.1.2 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26.1.3 投标人同一采购包提交两个（含两个）以上不同的投标报价的。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26.1.4 投标人不符合招标文件规定资格要求的或未按规定提交资质证件的。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26.1.5 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26.1.6 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26.1.7 投标文件出现重大偏离，不符合招标文件中规定的实质性要求的（★部分为实质性要求）。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26.1.8 评标委员会启动异常低价投标审查后，投标人不提供书面说明、证明材料，或者评标委员会认为投标人提供的书面说明、证明材料不能证明其报价合理性的，评标委员会应当将其作为无效投标处理。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26.1.9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26.1.10 投标文件含有采购人不能接受的附加条件的。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26.1.12 投标文件未按照招标文件要求加盖CA电子公章的。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26.1.13 投标人有本招标文件规定的恶意串通投标情形的。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26.1.14 其他法律、法规及本招标文件规定的属无效投标的情形。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 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26.2.1符合专业条件的投标人或者对招标文件作实质响应的投标人不足三家的。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26.2.2 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26.2.3 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26.2.4 评标委员会认定招标文件存在歧义、重大缺陷导致评审工作无法进行。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26.2.5 因“苏采云”系统故障原因造成开标不成功的。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26.2.6 在“苏采云”系统规定时间内成功解密电子投标文件的投标人不足3家的。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 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26.3.1投标截止后投标人不足3家或者通过资格审查或符合性审查的投标人不足3家的，除采购任务取消情形外，按财政部令第87号第四十三条条款进行处理。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 串通投标情形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有下列情形之一的，属于恶意串通投标：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26.4.1供应商直接或间接从采购人或采购代理机构处获得其他供应商的投标情况，并修改其投标文件；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26.4.2评审活动开始前供应商直接或间接从采购人或采购代理机构处获得评标委员会组成人员情况；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26.4.3供应商接受采购人或采购代理机构授意撤换、修改投标文件；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26.4.4供应商之间协商投标报价、技术方案等投标文件实质性内容；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26.4.5属于同一集团、协会、商会等组织成员的供应商按照该组织要求协同投标；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26.4.6供应商之间事先约定由某一特定供应商中标、成交；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26.4.7供应商之间商定部分供应商放弃投标或者放弃中标、成交；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26.4.8供应商与采购人或采购代理机构之间、供应商相互之间为谋求特定供应商中标成交或者排斥其他供应商的其他串通行为。</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六、定标</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27、</w:t>
      </w:r>
      <w:r>
        <w:rPr>
          <w:rFonts w:ascii="FangSong" w:hAnsi="FangSong" w:eastAsia="FangSong" w:cs="FangSong"/>
          <w:color w:val="000000"/>
          <w:sz w:val="24"/>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 中标候选人的选取原则和数量见招标文件第五章规定。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 按以下第</w:t>
      </w:r>
      <w:r>
        <w:rPr>
          <w:rFonts w:ascii="FangSong" w:hAnsi="FangSong" w:eastAsia="FangSong" w:cs="FangSong"/>
          <w:color w:val="000000"/>
          <w:sz w:val="24"/>
          <w:u w:val="single"/>
        </w:rPr>
        <w:t xml:space="preserve">（ 2 ）</w:t>
      </w:r>
      <w:r>
        <w:rPr>
          <w:rFonts w:ascii="FangSong" w:hAnsi="FangSong" w:eastAsia="FangSong" w:cs="FangSong"/>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（1）评标委员会直接确定排名第一的中标候选人为中标人；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（2）采购人在评标委员会推荐的中标候选人中按顺序确定中标人。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27.3中标人确定之日起2个工作日内，采购人、采购代理机构将发布中标结果，中标公告的公告期限为1个工作日。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采购人确定正被列为失信被执行人的投标人为中标人的，中标结果无效。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27.4.1 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27.4.2 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27.4.3 属于本文件规定的无效条件，但在评标过程中又未被评标委员会发现的。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27.4.4 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27.4.5 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 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27.5.1 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27.5.2 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27.5.3 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27.5.4 不同投标人的投标文件异常一致或者投标报价呈规律性差异。</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28.2投标人认为采购文件、采购过程和采购结果使自己的权益受到损害的，可以在知道或应知其权益受到损害之日起七个工作日内，</w:t>
      </w:r>
      <w:r>
        <w:rPr>
          <w:rFonts w:ascii="FangSong" w:hAnsi="FangSong" w:eastAsia="FangSong" w:cs="FangSong"/>
          <w:b/>
          <w:color w:val="000000"/>
          <w:sz w:val="24"/>
        </w:rPr>
        <w:t xml:space="preserve">登录“苏采云”系统，从“项目质疑申请”模块向采购人提出质疑。</w:t>
      </w:r>
      <w:r>
        <w:rPr>
          <w:rFonts w:ascii="FangSong" w:hAnsi="FangSong" w:eastAsia="FangSong" w:cs="FangSong"/>
          <w:color w:val="000000"/>
          <w:sz w:val="24"/>
        </w:rPr>
        <w:t xml:space="preserve">根据下述28.4条款的规定向采购代理机构或采购人提出质疑。上述应知其权益受到损害之日，是指：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28.2.1对可以质疑的采购文件提出质疑的，为收到采购文件之日或者采购文件公告期限届满之日；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28.2.2 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28.2.3对中标结果提出质疑的，为中标结果公告期限届满之日。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28.3质疑函必须按照本招标文件中《质疑函范本》要求的格式和内容进行填写。质疑函的必备内容：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（1）供应商的姓名或者名称、地址、邮编、联系人及联系电话；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（2）质疑项目的名称、编号；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（3）获取采购文件的时间；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（4）具体、明确的质疑事项和质疑事项相关的请求；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（5）事实依据；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（6）必要的法律依据；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（7）提出质疑的日期；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（8）供应商为自然人的，由本人签字；供应商为法人或者其他组织的，应当由法定代表人、主要负责人，或者其授权代表签字或者盖章，并加盖公章；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投标人应登录“苏采云”系统，从“项目质疑申请”模块向采购人、采购代理机构提出质疑或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接收纸质质疑函的方式：将质疑函以书面形式由法定代表人或法人授权代表邮寄或现场送达采购人或委托的采购代理机构。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w:t>
      </w:r>
      <w:r>
        <w:rPr>
          <w:rFonts w:ascii="FangSong" w:hAnsi="FangSong" w:eastAsia="FangSong" w:cs="FangSong"/>
          <w:color w:val="000000"/>
          <w:sz w:val="24"/>
          <w:u w:val="single"/>
        </w:rPr>
        <w:t xml:space="preserve">宿迁市医疗保障局/江苏翔堃项目管理有限公司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0527-84368750 /18888194515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通讯地址：</w:t>
      </w:r>
      <w:r>
        <w:rPr>
          <w:rFonts w:ascii="FangSong" w:hAnsi="FangSong" w:eastAsia="FangSong" w:cs="FangSong"/>
          <w:color w:val="000000"/>
          <w:sz w:val="24"/>
          <w:u w:val="single"/>
        </w:rPr>
        <w:t xml:space="preserve">宿迁市洪泽湖路889号便民方舟1号楼/宿迁市宿城新区曙光社区退役军人服务站2楼（时代名苑小区内物业办公室2楼）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 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 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 超出政府采购法定期限的质疑。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 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28.5.5投标人组成联合体参加投标，联合体中任何一方或多方未按要求签字、盖章、加盖公章的质疑。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28.7质疑投标人对采购人、采购代理机构的答复不满意，或者采购人、采购代理机构未在规定时间内作出答复的，可以在答复期满后15个工作日内向同级财政部门提起投诉。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l在公告中标结果的同时，采购代理机构将向中标人发出中标通知书。中标人使用CA数字证书登录“苏采云”系统及时下载中标通知书。中标人可自行下载打印《中标通知书》，《中标通知书》将作为授予合同资格的唯一合法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29.3采用综合评分法评审的，未中标人可于中标结果公告期限届满之日起通过“苏采云”系统查看自己的评审得分及排序情况。</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七、授予合同</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30.签订合同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30.l合同签订方式：网上签订。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采购人与中标人应当在中标通知书发出之日起15日内，按照招标文件确定的事项签订政府采购合同。采购人并在签订之日起2个工作日内将政府采购合同在指定的媒体上公告，但政府采购合同中涉及国家秘密、商业秘密的内容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30.3招标文件、中标人的投标文件及招标过程中有关澄清、承诺文件均应作为合同附件。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30.4签订合同后，中标人不得将合同标的进行转包。未经采购人同意，中标人也不得采用分包的形式履行合同，否则采购人有权终止合同。转包或分包造成采购人损失的，中标人应承担相应赔偿责任。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30.5本项目的非主体、非关键性工作是否允许分包按以下第</w:t>
      </w:r>
      <w:r>
        <w:rPr>
          <w:rFonts w:ascii="FangSong" w:hAnsi="FangSong" w:eastAsia="FangSong" w:cs="FangSong"/>
          <w:color w:val="000000"/>
          <w:sz w:val="24"/>
          <w:u w:val="single"/>
        </w:rPr>
        <w:t xml:space="preserve"> 2 </w:t>
      </w:r>
      <w:r>
        <w:rPr>
          <w:rFonts w:ascii="FangSong" w:hAnsi="FangSong" w:eastAsia="FangSong" w:cs="FangSong"/>
          <w:color w:val="000000"/>
          <w:sz w:val="24"/>
        </w:rPr>
        <w:t xml:space="preserve">种方式确定：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1.允许分包，允许大中型企业向一家或者多家小微企业分包，分包具体内容主要为：提供风险减量相关服务。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按照以下第</w:t>
      </w:r>
      <w:r>
        <w:rPr>
          <w:rFonts w:ascii="FangSong" w:hAnsi="FangSong" w:eastAsia="FangSong" w:cs="FangSong"/>
          <w:color w:val="000000"/>
          <w:sz w:val="24"/>
          <w:u w:val="single"/>
        </w:rPr>
        <w:t xml:space="preserve"> （1） </w:t>
      </w:r>
      <w:r>
        <w:rPr>
          <w:rFonts w:ascii="FangSong" w:hAnsi="FangSong" w:eastAsia="FangSong" w:cs="FangSong"/>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30.6.1履约保证金应在采购合同签订前提交，履约保证金的金额：</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按采购合同总价的</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%计取(如使用江苏政府采购电子履约保函(保险)代替缴纳履约保证金的，按采购合同总价的</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30.6.3履约保证金退还的条件：按以下方式实行：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服务类项目，项目履约期满评价合格，出具验收报告（履约评价报告）及履约保证金收据申请退付；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30.6.4履约保证金退还时间：采购单位收到投标人退付申请后5个工作日内退还；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30.6.5履约保证金不予退还情形：除不可抗力外，投标人不履行与采购人订立的采购合同的，履约保证金不予退还，给采购人造成的损失超过履约保证金数额的，还应当对超过部分予以赔偿；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30.6.6逾期退还履约保证金的违约责任：除应当退还履约保证金外，还应当按中国人民银行同期贷款基准利率上浮20％后的利率支付超期资金占用费，但因投标人自身原因导致无法及时退还的除外。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32、政府采购履约资金扶持政策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依据《关于转发江苏省财政厅、中国人民银行南京分行〈关于深入推进政府采购线上合同信用融资工作的通知〉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33、验收及付款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33.2采购人可以邀请参加本项目的其他投标人或者第三方机构参与验收。参与验收的投标人或者第三方机构的意见作为验收书的参考资料一并存档。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33.4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34、付款</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按照以下确定的付款方式，采购人及时办理付款手续。对于满足合同约定支付条件的，自收到发票后10个工作日内将资金支付到合同约定的投标人账户或投标人数字人民币账户。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预付款：合同金额的 </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 %，合同签订后按规定支付；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注：在签订合同时，中标人明确表示无需预付款或者主动要求降低预付款比例的金额，采购人可不适用预付款规定。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1.承办服务费。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合同期满如有结余，结余部分返还基金，如有亏损按照承保份额承担。招录的经办服务人员薪酬、保险</w:t>
      </w:r>
      <w:r>
        <w:rPr>
          <w:rFonts w:ascii="FangSong" w:hAnsi="FangSong" w:eastAsia="FangSong" w:cs="FangSong"/>
          <w:color w:val="000000"/>
          <w:sz w:val="24"/>
        </w:rPr>
        <w:t xml:space="preserve">及福利费用，办公经费，稽核费用，培训费，宣传费，交通工具相关费用，以及长护险服务场所建设费用、办公装备设施费用、信息系统费用(含软件开发、硬件设备、安全等保)一次性投入均摊等列入承办服务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注：预付款从第一期进度款中扣除。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参保失能人员发生的符合长护险失能评估、护理服务项目范围和标准的费用(由市医疗保障局另行制定),按规定从长护险基金中支付；超出长护险护理服务项目范围和标准的护理费用，长护险基金不予支付，由失能人员个人承担，并与定点服务机构直接结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3.采购人建立与服务对象满意度、评估质量、护理服务质量挂钩的考核结算机制。可通过约定预留款等方式，每期末根据考核结果进行费用清算。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4.根据上月长护险待遇享受人数、待遇标准和实际享受待遇时间，按照协议约定与定点服务机构结算费用。医保部门资金拨付周期，不构成承办机构延迟向定点服务机构付款的免责理由。</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5.每月由共保体向采购人提交长护险支付费用情况表(表样由采购人提供),每月编报长护险运行分析报告，按考核当期提交总结报告。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6.保费与承办服务费分别建账、核算、考核。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采购人按每保险期的筹资标准及期初人数（即年初参保缴费状态正常的人数），计算长护险基金收入，期末根据实际参保缴费人数确定长护基金收入。将基金收入划分长护险保费与长护险承办服务费两个科目。其中承办服务费按招标确定的承办服务费基准标准计提，其余计提划入长护险保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共保体相应建立以上两个科目。合同期内，每季度初采购人按不低于上季度长护险基金实际支出（首季按照保费收入的20%，如有结余从下一个季度预付资金中扣除）和本季度承办服务费的95%向共保体分别拨付两个科目的预付资金，其余部分留存采购人，分别用于对共保体各期末综合考核和承办服务质量考核，根据考核结果及时清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7.盈亏处理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护险按照“以收定支、收支平衡、略有盈余”的原则建立风险共担机制。长护险保费收支结余如出现亏损，亏损2%(含)以内的部分由承办商保机构承担，2%以上的部分，（亏损比例以第三方报告为唯一结算依据），经医疗保障行政部门综合评定后，对因政策调整导致的亏损部分，由基金承担，除政策调整原因以外导致的亏损部分，由承办商保机构承担；由采购人根据实际情况最终确定。如有盈利，则盈利部分全额返还基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承办服务费当期有结余的，结转到下一年。合同期内承办服务费结余归采购人所有，超支的由共保体承担。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盈利率或亏损率计算公式：[(本期长护险实际保费-本期长护险待遇支出-本期长护险评估费用支出)/本期长护险实际保费]×100%。本期长护险实际保费=当期长护险基金收入-本期长护险承办服务费计提费用。承办服务费含共保体招录的经办服务人员薪酬、保险及福利费用；办公经费；稽查稽核费用；培训费；宣传费；交通工具相关费用，以及长护险服务场所建设费用、办公装备设施费用、信息系统费用(含软件开发、硬件设备、安全等保)一次性投入均摊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注：1.在签订合同时，中标人明确表示无需预付款或者主动要求降低预付款比例的金额，采购人可不适用预付款规定。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2.由于各期参保人数中途可能发生变动，以各期实际划拨的保费为准。</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第三章合同文本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以下为中标后签定本项目合同的通用条款，</w:t>
      </w:r>
      <w:r>
        <w:rPr>
          <w:rFonts w:ascii="FangSong" w:hAnsi="FangSong" w:eastAsia="FangSong" w:cs="FangSong"/>
          <w:color w:val="000000"/>
          <w:sz w:val="24"/>
        </w:rPr>
        <w:t xml:space="preserve">乙方不得提出实质性的修改。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宿迁市长期护理保险委托商保公司承办项目政府采购合同</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（合同编号JSZC-321300-XKGL-G2026-0001001）</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（服务类）</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rPr>
          <w:rFonts w:ascii="FangSong" w:hAnsi="FangSong" w:eastAsia="FangSong" w:cs="FangSong"/>
          <w:color w:val="000000"/>
          <w:spacing w:val="-6"/>
          <w:sz w:val="28"/>
          <w:u w:val="single"/>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项目地点：</w:t>
      </w:r>
      <w:r>
        <w:rPr>
          <w:rFonts w:ascii="FangSong" w:hAnsi="FangSong" w:eastAsia="FangSong" w:cs="FangSong"/>
          <w:color w:val="000000"/>
          <w:sz w:val="28"/>
          <w:u w:val="single"/>
        </w:rPr>
        <w:t xml:space="preserve">               宿迁市</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甲方：</w:t>
      </w:r>
      <w:r>
        <w:rPr>
          <w:rFonts w:ascii="FangSong" w:hAnsi="FangSong" w:eastAsia="FangSong" w:cs="FangSong"/>
          <w:color w:val="000000"/>
          <w:sz w:val="28"/>
          <w:u w:val="single"/>
        </w:rPr>
        <w:t xml:space="preserve">             宿迁市医疗保障局</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乙方：</w:t>
      </w:r>
      <w:r>
        <w:rPr>
          <w:rFonts w:ascii="FangSong" w:hAnsi="FangSong" w:eastAsia="FangSong" w:cs="FangSong"/>
          <w:color w:val="000000"/>
          <w:sz w:val="32"/>
          <w:u w:val="single"/>
        </w:rPr>
        <w:t xml:space="preserve">     </w:t>
      </w:r>
      <w:r>
        <w:rPr>
          <w:rFonts w:ascii="FangSong" w:hAnsi="FangSong" w:eastAsia="FangSong" w:cs="FangSong"/>
          <w:color w:val="000000"/>
          <w:sz w:val="28"/>
          <w:u w:val="single"/>
        </w:rPr>
        <w:t xml:space="preserve">                                       </w:t>
      </w:r>
      <w:r/>
    </w:p>
    <w:p>
      <w:pPr>
        <w:ind w:left="0" w:right="0" w:firstLine="0"/>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center"/>
        <w:spacing w:before="24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r>
      <w:r/>
    </w:p>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项目名称：宿迁市长期护理保险委托商保公司承办项目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项目编号：JSZC-321300-XKGL-G2026-0001</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甲方（采购单位）：</w:t>
      </w:r>
      <w:r>
        <w:rPr>
          <w:rFonts w:ascii="FangSong" w:hAnsi="FangSong" w:eastAsia="FangSong" w:cs="FangSong"/>
          <w:color w:val="000000"/>
          <w:sz w:val="24"/>
          <w:u w:val="single"/>
        </w:rPr>
        <w:t xml:space="preserve">                                   </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乙方（共保体）：1.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（第一中标人）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（第二中标人）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（第三中标人）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（第四中标人）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（第五中标人）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（第六中标人）</w:t>
      </w:r>
      <w:r/>
    </w:p>
    <w:p>
      <w:pPr>
        <w:ind w:left="23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（第七中标人）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依照《中华人民共和国政府采购法》及其实施条例、《中华人民共和国民法典》、《国家医保局办公室民政部办公厅关于印发&lt;长期护理失能等级评估标准(试行)&gt;的通知》(医保办发〔2021〕37号)、《宿迁市人民政府关于建立长期护理保险制度的实施意见》(宿政规发〔2023〕6号)、《宿迁市居民长期护理保险试行方案》等有关文件规定，遵循平等、自愿、公平和诚实信用的原则，就</w:t>
      </w:r>
      <w:r>
        <w:rPr>
          <w:rFonts w:ascii="FangSong" w:hAnsi="FangSong" w:eastAsia="FangSong" w:cs="FangSong"/>
          <w:color w:val="000000"/>
          <w:sz w:val="24"/>
          <w:u w:val="single"/>
        </w:rPr>
        <w:t xml:space="preserve">宿迁市长期护理保险委托商保公司承办项目</w:t>
      </w:r>
      <w:r>
        <w:rPr>
          <w:rFonts w:ascii="FangSong" w:hAnsi="FangSong" w:eastAsia="FangSong" w:cs="FangSong"/>
          <w:color w:val="000000"/>
          <w:sz w:val="24"/>
        </w:rPr>
        <w:t xml:space="preserve">（项目编号：JSZC-321300-XKGL-G2026-0001）公开招标的结果，签署本合同。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标的名称：宿迁市长期护理保险委托商保公司承办项目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为贯彻落实党的二十大关于建立长期护理保险制度的决策部署，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长护险承办服务费采购人留存用于考核部分，根据各承办机构经办服务的每期末考核结果进行拨付。承办服务费计提基数为每合同期期初参保人数为准。（即年初参保缴费状态正常的人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（一）按照承保份额分为七个采购包确定保险机构作为本项目的承保人：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分包一：承保份额为50%；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分包二：承保份额为20%；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分包三：承保份额为10%；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分包四：承保份额为5%；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分包五：承保份额为5%；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分包六：承保份额为5%；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分包七：承保份额为5%。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（二）基本原则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坚持以人为本，着力解决重度失能人员长期护理保障问题。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坚持独立运行，独立险种，独立设计，统筹推进。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坚持保障基本，低水平起步，以收定支，合理确定保障范围和待遇标准。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坚持责任分担，遵循权利义务对等，多渠道筹资，合理划分筹资责任和保障责任。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坚持市级统筹，全市统一待遇政策、统一基金管理、统一经办管理、统一信息系统、统一监督管理。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（三）筹资标准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护险筹资标准：起步阶段，职工长护险由个人缴费、单位缴纳（调整职工基本医疗保险单位费率，从职工基本医保统筹基金中平移）两部分组成，其中个人缴费标准为每人每年20元、医保统筹基金平移每人每年20元；居民长护险由个人缴费和财政补助构成，筹资标准每人每年40元，其中个人缴费和财政补助各20元。今后，可根据经济社会发展水平和长护险实际需要，由市医疗保障局会同市财政局适时调整长护险筹资标准。如国家、省调整参保筹资政策，按新政策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（四）承保份额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市政府关于建立长期护理保险制度的实施意见》（宿政规发〔2023〕6号）要求，宿迁市长期护理保险制度（以下简称“长护险”）实行市级统筹，全市统一基金管理、统一经办服务，统一招标确定承办机构。承办方式实行共保体模式，由不超过7个商保公司共同组成长护险共保体。按照每个采购包投标人得分顺序确定第1—7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第一中标人为主承保单位，负责做好长护险共保体牵头工作；其余中标人为次承保单位，按得分排序，承保相应份额（具体份额占比详见下表），并根据中标份额承担相应人力物力等资源配置，根据政策、合同等规定做好长护险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4"/>
        <w:gridCol w:w="1876"/>
        <w:gridCol w:w="1743"/>
        <w:gridCol w:w="463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采购包序号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中标人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承保份额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参保人数</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1"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参保人数为515.38万人(其中职工87.23万人、居民428.15万人)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注：按实结算。</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如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长护险承办服务费采购人留存用于考核部分，根据各承办机构经办服务的每期末考核结果进行拨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 合同履行期限及地点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（一）合同签订方式：网上签订。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（二）服务期：2027年1月1日至2029年12月31日。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注：1.服务期内将进行考核；服务期满，采购人根据政府采购的相关规定，另行组织招标采购。因考核不合格或政策、经办管理模式发生重大变化等原因，采购人有权单方面终止服务合同，中标人应无条件服从。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2.合同一年一签，根据国家、省有关政策规定，逐步将保费模式过渡为经办模式，合同内容由甲乙双方根据政策协商调整，协商不一致的，乙方应退出本项目，相关份额由承担份额最多的商保公司承接。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（三）服务地点：宿迁市，具体由采购人指定。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 服务内容与要求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按《宿迁市人民政府关于建立长期护理保险制度的实施意见》(宿政规发〔2023〕6号)、《宿迁市居民长期护理保险试行方案》及相关的配套政策文件要求，在长护险经办管理机构(以下简称"医保经办机构")指导下协助或参与做好宿迁市长护险相关经办服务，并接受医保经办机构考核管理、服务群众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在协议服务期内，在经办机构指导下，承办商保机构协助经办机构或经经办机构授权开展以下工作：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1.政策宣传与咨询、投诉举报线索受理；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2.配合开展申请受理及材料审核工作；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3.根据中标顺序分别承办沭阳县、泗阳县、泗洪县、宿豫区、宿城区、经开区（洋河新区）、湖滨新区（苏宿园区）七个区域的失能评估工作，并与定点评估机构共同对评估结果负责。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组织责任区内评估机构开展失能评估和护理需求评估工作。派长护专员监督现场评估实施，并结合护理服务建议，与定点长护服务机构和参保人员沟通，形成护理服务计划；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4.协助开展失能等级评估机构和长护服务机构定点申请受理、材料初审、综合审核以及失能评估费用、护理服务费用初审等事务性工作；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5.协助做好定点评估机构和定点长护服务机构日常检查、评估结论及参保人员失能状态抽查、服务质量检查等工作；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6.协助开展异议复评、重新评估等工作；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7.长护险业务档案资料的整理和保存；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8.协助做好长护险从业人员的政策业务培训工作；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9.长护险待遇享受人员跟踪回访、稽核调查工作；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10.长护险基金运行监测分析，按月编报长护险运行分析报告；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11.协助做好长护险政策调整工作；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12.医保经办机构安排的其他工作。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（三）项目实施方案及要求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1.总体服务方案及启动工作安排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制定总体服务方案及启动工作安排，包括但不限于总体服务方案、启动进度安排、保证措施和风控措施以及服务费预算计划。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2.制定失能评估管理方案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承办机构在医保经办机构指导下，组织评估机构开展失能评估工作。方案包括以下几方面内容：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（1）失能评估申请的受理审核、上门评估的组织、评定结果公示及送达4个方面；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（2）承办机构应自接收申请材料之日起15个工作日内，且体态智能感知监管设备安装完成已满7天后，完成派单分配和现场评估。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注：原则上评估结论书应在申请受理之日起30个工作日内送达。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（3）有风险管控方案；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（4）方案对失能评估有完善的风险监督机制，申请评估人员满意度符合要求；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（5）有及时有效处理各类咨询、投诉的方案，方案科学，实际可行。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3.制定针对本项目的定点服务机构管理方案，包括以下几方面内容。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（1）需对定点机构的服务质量、长期护理保险费用管理、参保人员满意度等情况进行日常监督检查，并按规定结算流程，与定点评估机构及定点护理机构完成基金结算支付等方面，方案完整且可行；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（2）包括督促定点护理机构、定点评估机构做好协议签订、实名制管理等，在促进护理机构提升服务质量，强化费用控制方面的基础上合理、可行；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（3）满足15个工作日与定点护理机构、定点评估机构签订协议；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（4）满足每季度至少完成2次对定点护理机构、定点评估机构履行服务协议情况进行巡查，且日常检查达到100%，对违规行为进行处理的。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4.协助制定长护服务质量监督与稽核巡查方案(包括对定点服务机构、定点评估机构进行监管；待遇支付及核查工作等)；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制定巡查计划及措施，对定点护理机构、定点评估机构开展定时巡查，重点核查定点护理机构失能人员在院情况、护理服务提供、待遇结算、违规情况、待遇享受人员失能及恢复情况，核查定点评估机构评估流程规范、评估结果真实合规、档案资料完整等情况，并开展失能人员满意度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（2）配置具有录音、录像、等功能的执法记录仪以及平板等具有文字处理功能的移动终端设备开展日常巡查，并满足每季度巡查定点护理机构、定点评估机构不少于总数的25%，失能人员不少于总人数的10%；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协助建立有定点护理机构、定点评估机构退出机制，对定点机构服务场所、服务范围、服务人员情况等发生变化的，视情况重新进行服务能力评估，对不符合长期护理保险服务管理要求的，暂停或终止服务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5.协助制定待遇支付及基金管理方案(包括待遇支付、基金风险管理、基金运行情况分析等)；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（1）根据项目的实际要求，对长期护理保险的待遇支付及基金风险管理方面提出具体的工作方案。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（2）方案满足每月初前10个工作日完成对定点护理机构、定点评估机构费用的审核、对账、结算和支付工作，并提供有效审核方案。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（3）满足每月结束后的20个工作日内，报送长期护理保险运行情况统计分析材料。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（4）有完善的基金管理内控方案的。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6.制定宣传工作方案(包括宣传方向、宣传方式、宣传渠道、宣传频率等)；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（1）按照政策规定及政策调整，及时做好本项目的政策和业务培训的；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（2）投标人为本项目开通专门的咨询投诉热线电话，并对外公布；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（3）有承担失能评估申请和护理服务相关的政策和业务咨询，并受理失能人员投诉。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7.制定业务数据保密措施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包括但不限于对参保人员相关信息、数据、资料承担保密责任，不得用于其他用途，并不得向第三方泄露，不得利用经办之便推销或者变相推销其他商业保险产品。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8.制定创新服务方案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包括但不限于在长期护理保险创新性方面，特别是在利用互联网、大数据AI等先进技术对失能评估、护理服务、服务监管等方面，提供相应方案。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9.制定培训方案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包括但不限于培训内容、培训时间、培训地点、培训目标、培训人数、培训方法和培训师资等。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10.制定人员配置方案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包括但不限于针对本项目服务的管理职能部门、成立专业管理团队、建立管理制度。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11.项目组成员配备要求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应按承诺为本项目配备长护险经办服务全日制本科以上学历工作人员(工作人员与覆盖人群比不少于1:35000）,其中医学、康复、护理、信息、统计、财务等专业的人员比例不低于40%,派驻相应数量的工作人员至医保经办机构共同办理长护险经办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12.办公设备及交通工具配置要求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应为本项目提供独立的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及时提供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13.信息系统服务要求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使用江苏省医疗保障功能信息平台长护险系统开展业务经办，按要求完成系统对接、权限申请、数据上报及业务操作，按规定配置计算机和网络环境，配备与长护险业务相适应的信息管理人员，实现长护险待遇申请、失能评估、护理服务、基金结算、经办管理、服务监督、风险控制等全流程信息化运行。建立评估人员、上门护理人员库，将符合条件的评估人员、上门护理人员信息按要求录入省医保长护险信息系统，实行动态管理，并做好长护险信息系统各类用户的操作培训和业务指导工作。根据业务需求，及时升级业务模块，按照试点要求，完成智能监管信息系统建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 保障内容及要求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（一）保障对象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市职工基本医疗保险和城乡居民基本医疗保险参保人员为长护险参保对象。长护险制度运行期间根据宿迁市经济发展水平、基金运行情况、照护需求、照护服务成本等因素，适时扩大参保范围和保障对象，调整筹资水平和待遇标准等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（二）保障范围及补偿比例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参保人员因年老、疾病、伤残等原因，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等方式享受长护险待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2.失能人员接受护理服务期间，发生的符合长护险护理服务项目范围和标准的费用，由长护险基金按以下标准定额支付：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（1）入住服务机构的医疗床位接受护理服务的，按50元/天的标准与服务机构结算；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（2）入住服务机构的护理床位接受护理服务的，按40元/天的标准与服务机构结算；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（3）居家接受服务机构上门服务的，根据服务范围和标准以及质量考核情况，按30元/天的标准与服务机构结算；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（4）在社区服务机构接受日间照护服务的，根据服务范围和标准以及质量考核情况，按照30元/天的标准与服务机构结算。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3.服务结算支付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1.6经办模式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宿迁市长护险服务项目实行"运行风险共担、保险事务共办、购买承办服务"的运行模式。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（一）运行风险共担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护险委托承办商保机构参与经办，承办商保机构与长护险基金实行风险共担机制，长护险收入扣除长护险待遇支出(按“待遇支付标准”计算)、评估费用支出(初评评估费用+复评评估费用)、该统筹当期承办服务费（从当期长护险基金收入中计提，以中标人“承办服务费”报价中标价确定）后，长护险保费收支结余如出现亏损，亏损2%(含)以内的部分由承办商保机构承担，2%以上的部分（亏损比例以第三方报告为唯一结算依据），经医疗保障行政部门综合评定后，对因政策性原因导致的亏损部分，由基金承担，对非政策性原因导致的亏损部分，由承办商保机构承</w:t>
      </w:r>
      <w:r>
        <w:rPr>
          <w:rFonts w:ascii="FangSong" w:hAnsi="FangSong" w:eastAsia="FangSong" w:cs="FangSong"/>
          <w:color w:val="000000"/>
          <w:sz w:val="24"/>
        </w:rPr>
        <w:t xml:space="preserve">担；如有盈利，则盈利部分全额返还基金。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（二）保险事务共办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在医疗保障经办机构指导下，承保机构协助开展以下业务：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1.政策宣传与咨询、投诉举报线索受理；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2.配合开展申请受理及材料审核工作；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3.参与失能评估和护理需求评估工作。派长护专员监督现场评估实施，并结合护理服务建议，与定点长护服务机构和参保人员沟通，形成护理服务计划；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4.协助开展失能等级评估机构和长护服务机构定点申请受理、材料初审、综合审核以及失能评估费用、护理服务费用初审等事务性工作；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5.协助做好定点评估机构和定点长护服务机构日常检查、评估结论及参保人员失能状态抽查、服务质量检查等工作；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6.协助开展异议复评、重新评估等工作；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7.协助做好信息系统运用和档案管理工作；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8.协助做好相关业务培训及合同约定的其他工作；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9.医保经办机构安排的其他工作。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（三）购买承办服务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承办服务费当期有结余的，结转到下一年。合同期满如有结余，结余部分返还基金，如有亏损按照承保份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1.7考核与管理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保经办机构有权邀请相关专业机构组成考核小组对承办商保机构相关工作进行考核评价，内容包括但不限于：合同履行情况、基金运行管理情况、服务质效情况和促进参保扩面情况等，承办商保机构须积极配合。如有承办商保机构当期考核不合格，予以解除合同，相关职责及中标份额按照以下规则处理：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份额划转设置3个月业务交接期，原商保</w:t>
      </w:r>
      <w:r>
        <w:rPr>
          <w:rFonts w:ascii="FangSong" w:hAnsi="FangSong" w:eastAsia="FangSong" w:cs="FangSong"/>
          <w:color w:val="000000"/>
          <w:sz w:val="24"/>
        </w:rPr>
        <w:t xml:space="preserve">必须完整移交全部档案、系统权限、服务台账，交接期内业务差错由原承办商保全额承担。</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建立健全长护险基金监管机制，对基金使用情况、医疗护理服务、欺诈骗保等进行监督管理。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（三）医保经办机构建立举报投诉、信息披露、基金监管、欺诈防范等监管机制。对承办商保机构政策制度执行情况及业务经办情况进行实时督查。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承办商保机构应建立费用审核、内部控制、日常巡查、运行分析等管理制度，通过信息系统、抽查询访、满意度调查等途径，对评估机构评估质量、定点护理机构服务质量及待遇享受等情况进行跟踪管理，按月编报长护险运行分析报告报送至市财政局及医保经办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（六）承办商保机构、定点评估机构及其工作人员、参保人员等存在违法违规行为造成基金损失的，可参照医疗保障基金使用监督管理有关规定处理。构成犯罪的，移送司法机关追究刑事责任。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（七）建立健全长护险诚信档案，根据信用评价等级分级分类监督管理，对失信行为按照国家有关规定实施惩戒。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 项目实施依据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1.《国家医保局办公室民政部办公厅关于印发&lt;长期护理失能等级评估标准(试行)&gt;的通知》(医保办发〔2021〕37号)；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2.《宿迁市人民政府关于建立长期护理保险制度的实施意见》(宿政规发〔2023〕6号)；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3.《宿迁市居民长期护理保险试行方案》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二、合同组成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下列文件应作为本合同的组成部分：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本合同及附件；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 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 与本次招标有关的并经双方确认的其他文件。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三、双方权利和义务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（一）甲方权利与义务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甲方有权对合同规定范围内乙方的服务进行监督和检查，有权定期核对乙方提供服务所配备的人员信息、费用支出、办公设备、场所及相关交通工具等开展长护险业务必备资源。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1.甲方应协助提供长护险核查所需的相关资料。依托省医保长护险信息系统提供必要的信息。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2.甲方应加强长护险基金管理，完善付费方式及结算办法，及时审核并与乙方进行结算。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3.甲方为乙方进驻定点机构完成长护险评估核查工作尽可能提供支持。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4.乙方若对省医保长护险信息系统计算结果或对甲方审核的费用等有异议，可向甲方申请复核，甲方应积极予以配合。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5.甲方通过建立投诉受理渠道、日常抽查等多种方式对乙方提供服务及赔付情况进行考核，保证服务质量。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6.国家法律、法规所规定的由甲方承担的其他责任。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1.乙方应在承保区域提供必要的办公场所，用于开展长护险经办服务工作。根据承办片区参保人员数量、机构、分布等实际情况合理设置服务网点，服务网点的配置须满足待遇人员需求。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须按每3.5万参保人员配备不少于1名工作人员的比例落实人员，并保证人员的稳定性；负责支付工作人员相关费用；负责聘请专家、落实长护险异地调查人员和相关费用等。乙方在按照每3.5万参保人员不少于配备1名工作人员的基础上，另行增加的人员成本不纳入长护险合作经办人员成本，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组织评估人员开展评估相关工作、定点服务机构服务行为进行监管，包括协助审核参保人员身份、告知参保人员权益和义务以及护理服务合规性核查等，负责开展业务派单、失能人员评估、费用结算、待遇支付、基金运行监测、长护险待遇享受人员跟踪回访、稽核调查工作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充分发挥自身资源与宣传优势，配合采购人做好宿迁市参保群众长护险参保缴费政策宣讲工作：城乡居民随城乡居民基本医疗保险同步参加长期护理保险并缴费，重点做好政策告知；针对灵活就业人员、个体工商户参加职工基本医保进行动员引导，扩大长期护理保险参保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5.乙方对甲方提供的参保人信息以及相关资料承担保密责任，不得用于其他用途，不得向第三方泄露。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6.乙方应每月向甲方提交长护险支付费用情况表(表样由甲方提供),每月编报长护险运行分析报告，按考核当期提交总结报告。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7.未经甲方书面同意，乙方不得将本保险合同业务转让转包给任何第三方。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8.每期末，乙方需向甲方提供委托会计师事务所出具的长护险使用财务报告。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9.长护险政策宣传、公众号运维、咨询回复、投诉处理等工作。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10.医保经办机构安排的其他工作。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11.以宿迁市长护险相关政策文件为指导开展工作。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四、共保体成员责任分工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乙方根据中标结果组成共保体，分别负责本服务区域内长护险业务承办工作。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1.共保体成员在领取中标通知书15日内签订共保体协议，共保体协议为政府采购合同的附件。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2.主承保人组织并负责共保体成员按要求签订共保体协议，制定共保体服务章程，建立服务制度。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3.合同履约期内主承保人召集讨论经办过程中存在的问题并提出完善措施。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4.合同履约期内主承保人定期组织共保体成员开展业务培训，互学互评等提升经办业务的交流活动。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5.合同履约期内，主承保人根据甲方要求，按月出具长护险运行数据并提出建设性意见。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6.共保体成员需配合主承保人工作，按要求履行合同及共保体协议。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五、共同责任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接受监督。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甲乙双方签订协议的情况，以及长护险收入、赔付情况等定期按规定接受财政、审计、医保部门的监督。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2.合署办公。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乙方有关机构安排一定数量的工作人员至甲方服务窗口合署办公，共同制定管理制度、工作流程，在甲方的指导下开展长期护理服务监管等工作，有关情况及时向甲乙双方汇报。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3.相互沟通。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本项目相关政策发生调整时，甲方及时告知乙方；乙方办理长护险业务时出现新情况或遭遇突发事件，要及时通报甲方。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4.加强培训。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要按照本项目政策规定及政策调整，及时做好本项目的政策和业务培训；为本项目开通专门的咨询、投诉热线电话，并对外公布；承担失能鉴定申请和长期护理服务相关的政策和业务咨询，并受理参保人的相关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5.保证支付。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合同结束或提前终止前已发生但未结算的长期护理费用由乙方支付。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甲乙双方协商有效办法，落实结算责任，保障参保人、定点护理机构权益。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七、合同变更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7.1因国家政策和上级政府的规定发生变化，按照调整后政策要求执行。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八、合同款项支付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8.1.1对于满足合同约定支付条件的，自收到发票后10个工作日内将资金支付到合同约定的乙方账户或乙方数字人民币账户。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8.1.2签订合同且收到发票后10个工作日内，支付10%的合同款作为预付款；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承办服务费。</w:t>
      </w:r>
      <w:r>
        <w:rPr>
          <w:rFonts w:ascii="FangSong" w:hAnsi="FangSong" w:eastAsia="FangSong" w:cs="FangSong"/>
          <w:color w:val="000000"/>
          <w:sz w:val="24"/>
        </w:rPr>
        <w:t xml:space="preserve">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承办服务费当期有结余的，结转到下一年。合同期满如有结余，结余部分返还基金，如有亏损按照承保份额承担。招录的经办服务</w:t>
      </w:r>
      <w:r>
        <w:rPr>
          <w:rFonts w:ascii="FangSong" w:hAnsi="FangSong" w:eastAsia="FangSong" w:cs="FangSong"/>
          <w:color w:val="000000"/>
          <w:sz w:val="24"/>
        </w:rPr>
        <w:t xml:space="preserve">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能人员在待遇享受期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采购人建立与服务对象满意度、评估质量、护理服务质量挂钩的考核结算机制。可通过约定预留款等方式，每期末根据考核结果进行费用清算。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根据上月长护险待遇享受人数、待遇标准，按照协议约定与定点服务机构结算费用。医保部门资金拨付周期，不构成承办机构延迟向定点服务机构付款的免责理由。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每月由共保体向采购人提交长护险支付费用情况表(表样由采购人提供),每月编报长护险运行分析报告，按考核当期提交总结报告。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保费与承办服务费分别建账、核算、考核。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按每保险期的筹资标准及期初人数（即年初参保缴费状态正常的人数），计算长护险基金收入，期末根据实际参保缴费人数确定长护基金收入。将基金收入划分长护险保费与长护险承办服务费两个科目。其中承办服务费按招标确定的承办服务费基准标准计提，其余计提划入长护险保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共保体相应建立以上两个科目。合同期内，每季度初采购人按不低于上季度长护险基金实际支出（首季按照保费收入的20%，如有结余从下一个季度预付资金中扣除）和本季度承办服务费的95%向共保体分别拨付两个科目的预付资金，其余部分留存采购人，分别用于对共保体各期末综合考核和承办服务质量考核，根据考核结果及时清算，合同期满如有结余，结余部分返还基金，如有亏损按照承保份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盈亏处理：长护险按照“以收定支、收支平衡、略有盈余”的原则建立风险共担机制。长护险保费收支结余如出现亏损，亏损2%(含)以内的部分由承办商保机构承担，2%以上的部分（亏损比例以第三方报告为唯一结算依据），经医疗保障行政部门综合评定后，对因政策调整导致的亏损部分，由基金承担，除政策调整原因以外导致的亏损部分，由承办商保机构承担；由采购人根据实际情况最终确定。如有盈利，则盈利部分全额返还基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承办服务费当期有结余的，结转到下一年。合同期内承办服务费结余归采购人所有，超支的由共保体承担。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盈利率或亏损率计算公式：[(本期长护险实际保费-本期长护险待遇支出-本期长护险评估费用支出)/本期长护险实际保费]×100%。本期长护险实际保费=当期长护险基金收入-本期长护险承办服务费计提费用。承办服务费含共保体招录的经办服务人员薪酬、保险及福利费用；办公经费；稽核费用；培训费；宣传费；交通工具相关费用，以及长护险服务场所建设费用、办公装备设施费用、信息系统费用(含软件开发、硬件设备、安全等保)一次性投入均摊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注：1.在签订合同时，中标人明确表示无需预付款或者主动要求降低预付款比例的金额，采购人可不适用预付款规定。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8.2绩效考核、按月结算、评估机构全责约束条款。约定开展年度考核，考核结果作为承办服务费清算、份额调整、合同解除唯一依据。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8.2.1按月结算履约违约责任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乙方必须执行每月10个工作日内足额拨付上月定点护理机构、定点评估机构结算资金制度，不得以甲方季度预拨基金延迟、资金未到位为由拖欠、缓付定点机构款项，该抗辩理由甲方不予认可。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（1）单笔逾期拨付超5个工作日，按应付未付金额万分之五每日向甲方支付违约金；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（2）单季度出现3家及以上定点机构结算逾期，扣除当期全部考核预留服务费；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（3）因长期拖欠引发定点机构集体上访、媒体负面舆情，甲方有权单方解除合同，乙方承担全部基金损失及舆情处置成本。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8.2.2评估机构过错兜底追责约定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乙方为失能评估工作牵头责任方，配合经办机构与所有定点评估机构签订管理协议，建立保证金、违约追偿机制。凡评估机构出现以下情形，全部认定为乙方未尽管理义务，甲方直接向乙方追责：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（1）未按规定时限、标准开展评估，结论失真、虚假评估；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（2）评估人员收受财物、篡改材料、协助参保人骗取长护险待遇；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（3）未配合甲方抽查、拒不整改评估问题；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（4）评估差错造成基金流失、参保人大规模投诉。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出现上述情形，甲方有权：①每起扣年度考核10分；②追回全部违规支出基金；③要求乙方支付违规金额20%违约金；④情节严重直接终止承办合同。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乙方考核年度不合格，预留服务费不予支付；连续两次半年考核不合格，甲方有权提前终止本服务合同，乙方须配合完成3个月业务交接，交接期间产生的结算、评估差错全部由乙方承担。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8.3本合同金额以为准。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8.4发票开具方式：</w:t>
      </w:r>
      <w:r>
        <w:rPr>
          <w:rFonts w:ascii="FangSong" w:hAnsi="FangSong" w:eastAsia="FangSong" w:cs="FangSong"/>
          <w:color w:val="000000"/>
          <w:sz w:val="24"/>
          <w:u w:val="single"/>
        </w:rPr>
        <w:t xml:space="preserve">  具体由甲方指定  </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8.5乙方收款账户信息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乙方开户银行：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乙方开户名称：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乙方开户账号：</w:t>
      </w:r>
      <w:r>
        <w:rPr>
          <w:rFonts w:ascii="FangSong" w:hAnsi="FangSong" w:eastAsia="FangSong" w:cs="FangSong"/>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9.1本合同执行中相关的一切税费均由乙方负担。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（一）除不可抗力外，如果乙方没有按照本合同约定的期限、地点或方式履行，那么甲方可要求乙方支付违约金，违约金按每迟延履行一日的合同总价款的</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计算，逾期达30日以上，甲方享有单方解除权，在乙方收到甲方的书面解除通知后本合同视为解除，乙方除返还甲方已付款项外，另向甲方支付合同总价款30%违约金如不足弥补给甲方造成的损失，甲方有权索赔。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（二）非因甲方原因，乙方不履行本合同规定的其他义务之一的，甲方有权要求其继续履行，并要求乙方支付合同总价</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违约金；未按甲方要求进行整改的，甲方有权解除本合同，乙方除退还甲方已付款项外，乙方另应支付合同总价</w:t>
      </w:r>
      <w:r>
        <w:rPr>
          <w:rFonts w:ascii="FangSong" w:hAnsi="FangSong" w:eastAsia="FangSong" w:cs="FangSong"/>
          <w:color w:val="000000"/>
          <w:sz w:val="24"/>
          <w:u w:val="single"/>
        </w:rPr>
        <w:t xml:space="preserve">30%</w:t>
      </w:r>
      <w:r>
        <w:rPr>
          <w:rFonts w:ascii="FangSong" w:hAnsi="FangSong" w:eastAsia="FangSong" w:cs="FangSong"/>
          <w:color w:val="000000"/>
          <w:sz w:val="24"/>
        </w:rPr>
        <w:t xml:space="preserve">的违约金。不足弥补甲方损失的，仍需赔偿。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（三）本项目不得转让分包，如有发生，无条件清理退场，所造成的一切损失由乙方负责。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（四）甲方未按约定期限付款的，除向乙方支付货款外，须按中国人民银行有关规定向乙方支付滞纳金。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（八）如果出现政府采购监督管理部门在处理投诉事项期间，书面通知甲方暂停采购活动的情形，或者询问或质疑事项可能影响中标结果的，导致甲方中止或终止履行合同的情形，均不视为甲方违约。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11.1甲方依法组织履约验收工作。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11.3对于实际使用人和甲方分离的项目，甲方邀请实际使用人参与验收。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11.4如有必要，甲方邀请参加本项目的其他投标人或第三方专业机构及专家参与验收，相关意见将作为验收书的参考资料。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11.7合同履行期满，乙方向甲方提交项目验收资料以及验收申请单，甲方收到申请后3个工作日内组织验收且验收无问题后签署验收单。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十二、不可抗力事件处理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十三、解决争议的方法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13.1甲乙双方发生有关长护险争议时，可通过协商解决；协商不成甲乙双方一致同意提交甲方所在地人民法院管辖。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十四、特殊情况处理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如因乙方不能履行合同，影响了参保人权益，甲方按政策规定履行职能，停止拨付尚未拨付的长护险相关资金，甲方有权提前终止或解除合同，并报相关部门追究其责任。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十五、合同生效及其它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15.1合同经双方法定代表人或授权委托代表人签字并加盖单位公章后生效。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15.2本合同未尽事宜，遵照《民法典》、《政府采购法》有关条文执行。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15.3本合同正本一式拾壹份，合同各方各执壹份，具有同等法律效力。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乙方3：</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乙方4：</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乙方5：</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乙方6：</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乙方7：</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本项目采购标的对应的中小企业划分标准所属行业：</w:t>
      </w:r>
      <w:r>
        <w:rPr>
          <w:rFonts w:ascii="FangSong" w:hAnsi="FangSong" w:eastAsia="FangSong" w:cs="FangSong"/>
          <w:color w:val="000000"/>
          <w:sz w:val="24"/>
          <w:u w:val="single"/>
        </w:rPr>
        <w:t xml:space="preserve"> 其他未列明行业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w:t>
      </w:r>
      <w:r>
        <w:rPr>
          <w:rFonts w:ascii="FangSong" w:hAnsi="FangSong" w:eastAsia="FangSong" w:cs="FangSong"/>
          <w:color w:val="000000"/>
          <w:sz w:val="24"/>
          <w:u w:val="single"/>
        </w:rPr>
        <w:t xml:space="preserve">  不接受 </w:t>
      </w:r>
      <w:r>
        <w:rPr>
          <w:rFonts w:ascii="FangSong" w:hAnsi="FangSong" w:eastAsia="FangSong" w:cs="FangSong"/>
          <w:color w:val="000000"/>
          <w:sz w:val="24"/>
        </w:rPr>
        <w:t xml:space="preserve">（接受/不接受）进口产品。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（一）项目概述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贯彻落实党的二十大关于建立长期护理保险制度的决策部署，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采购宿迁市长期护理保险委托商保公司承办项目，总预算为81178.9万元，其中分包一预算金额为40589.45万元，分包二预算金额为16235.78万元，分包三预算金额8117.89万元，分包四预算金额为4058.945万元，分包五预算金额为4058.945万元，分包六预算金额为4058.945万元，分包七预算金额为4058.945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本项目最高限价：承办服务费最高限价为3.2元/人/年。（开标一览表报价为供应商最终结算单价）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注：亏损率（绝对值）期望值最高为2%。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按照承保份额分为七个采购包确定保险机构作为本项目的承保人：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分包一：40589.45万元，承保份额为50%；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分包二：16235.78万元，承保份额为20%；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分包三：8117.89万元，承保份额为10%；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分包四：4058.945万元，承保份额为5%；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分包五：4058.945万元，承保份额为5%；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分包六：4058.945万元，承保份额为5%；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分包七：4058.945万元，承保份额为5%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如联合体投标联合体成员其中一方承保份额不低于所投分包的40%。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投标分包选择：为保证上述分包所涉及的县（区）长护险工作推进的同步性，投标人可参与任意分包或全部分包的投标。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开标顺序：按分包序号从小到大依次，即先开分包一，再开分包二，后开分包三，以此类推。评标顺序同开标顺序。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标原则：按“兼投不兼中”的原则，每位投标人只能在一个分包上中标。如某投标人已在分包一被推荐为第一中标候选人的，则其参与分包二、分包三评标，但在分包二、分包三不参与推荐中标候选人的排序，以此类推，若有分包无合格中标候选人，则该分包份额由分包一中标候选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注：评审结束后，若其中一个分包受到质疑投诉等原因，导致本分包评审结果改变，但不影响其他分包的评审结果。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（二）基本原则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坚持以人为本，着力解决重度失能人员长期护理保障问题。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坚持独立运行，独立险种，独立设计，统筹推进。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坚持保障基本，低水平起步，以收定支，合理确定保障范围和待遇标准。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坚持责任分担，遵循权利义务对等，多渠道筹资，合理划分筹资责任和保障责任。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坚持市级统筹，全市统一待遇政策、统一基金管理、统一经办管理、统一信息系统、统一监督管理。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（三）筹资标准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护险筹资标准：起步阶段，职工长护险由个人缴费、单位缴纳（调整职工基本医疗保险单位费率，从职工基本医保统筹基金中平移）两部分组成，其中个人缴费标准为每人每年20元、医保统筹基金平移每人每年20元；居民长护险由个人缴费和财政补助构成，筹资标准每人每年40元，其中个人缴费和财政补助各20元。今后，可根据经济社会发展水平和长护险实际需要，由市医疗保障局会同市财政局适时调整长护险筹资标准。如国家、省调整参保筹资政策，按新政策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（四）承保份额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承办方式实行共保体模式，由不超过7个商保公司共同组成长护险共保体。按照每个采购包投标人得分顺序确定第1—7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第一中标人为主承保单位，负责做好长护险共保体牵头、各个区域长护险中心、信息系统建设等方面工作；其余中标人为次承保单位，按得分排序，承保相应份额（具体份额占比详见下表），并根据中标份额承担相应人力物力等资源配置，配合主承保单位做好长护险各项工作。</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4"/>
        <w:gridCol w:w="1876"/>
        <w:gridCol w:w="1743"/>
        <w:gridCol w:w="4631"/>
      </w:tblGrid>
      <w:tr>
        <w:trPr>
          <w:trHeight w:val="11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采购包序号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中标人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承保份额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参保人数</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1"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参保人数为515.38万人(其中职工87.23万人、居民428.15万人)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注：按实结算。</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如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长护险承办服务费采购人留存用于考核部分，根据各承办机构经办服务的每期末考核结果进行拨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二、合同签订方式、履行期限及地点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（一）合同签订方式：网上签订。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（二）服务期：2027年1月1日至2029年12月31日。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注：1.服务期内将进行考核；服务期满，采购人根据政府采购的相关规定，另行组织招标采购。因考核不合格或政策、经办管理模式发生重大变化等原因，采购人有权单方面终止服务合同，中标人应无条件服从。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2.合同一年一签，根据国家、省有关政策规定，逐步将保费模式过渡为经办模式，合同内容由甲乙双方根据政策协商调整，协商不一致的，乙方应退出本项目，相关份额由承担份额最多的商保公司承接。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（三）服务地点：宿迁市，具体由采购人指定。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对于满足合同约定支付条件的，自收到发票后10个工作日内将资金支付到合同约定的投标人账户或投标人数字人民币账户。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1.签订合同且收到发票后10个工作日内，支付10%的合同款作为预付款；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办服务费。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承办服务费当期有结余的，结转到下一年。合同期满如有结余，结余部分返还基金，如有亏损按照承保份额承担</w:t>
      </w:r>
      <w:r>
        <w:rPr>
          <w:rFonts w:ascii="FangSong" w:hAnsi="FangSong" w:eastAsia="FangSong" w:cs="FangSong"/>
          <w:color w:val="000000"/>
          <w:sz w:val="24"/>
        </w:rPr>
        <w:t xml:space="preserve">。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失能人员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4.采购人建立与服务对象满意度、评估质量、护理服务质量挂钩的考核结算机制。可通过约定预留款等方式，每期末根据考核结果进行费用清算。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5.根据上月长护险待遇享受人数、待遇标准，按照协议约定与定点服务机构结算费用。医保部门资金拨付周期，不构成承办机构延迟向定点服务机构付款的免责理由。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6.每月由共保体向采购人提交长护险支付费用情况表(表样由采购人提供),每月编报长护险运行分析报告，按考核当期提交总结报告。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7.保费与承办服务费分别建账、核算、考核。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采购人按每保险期的筹资标准及期初人数（即年初参保缴费状态正常的人数），计算长护险基金收入，期末根据实际参保缴费人数确定长护基金收入。将基金收入划分长护险保费与长护险承办服务费两个科目。其中承办服务费按招标确定的承办服务费基准标准计提，其余计提划入长护险保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 共保体相应建立以上两个科目。合同期内，每季度初采购人按不低于上季度长护险基金实际支出（首季按照保费收入的20%，如有结余从下一个季度预付资金中扣除）和本季度承办服务费的95%向共保体分别拨付两个科目的预付资金，其余部分留存采购人，分别用于对共保体各期末综合考核和承办服务质量考核，根据考核结果及时清算，合同期满如有结余，结余部分返还基金，如有亏损按照承保份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若甲方已完成全部拨款申报手续，因财政国库、长护险基金专户资金调度客观原因造成款项到账延迟，乙方给予甲方30日资金协调缓冲期；因乙方未及时提供发票、结算材料导致拨付滞后的，甲方不承担逾期付款相关责任，乙方不得中止长护险承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8.盈亏处理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长护险按照“以收定支、收支平衡、略有盈余”的原则建立风险共担机制。长护险保费收支结余如出现亏损，亏损2%(含)以内的部分由承办商保机构承担，2%以上的部分（亏损比例以第三方报告为唯一结算依据），经医疗保障行政部门综合评定后，对因政策调整导致的亏损部分，由基金承担，除政策调整原因以外导致的亏损部分，由承办商保机构承担；由采购人根据实际情况最终确定。如有盈利，则盈利部分全额返还基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8.2.承办服务费当期有结余的，结转到下一年。合同期内承办服务费结余归采购人所有，超支的由共保体承担。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盈利率或亏损率计算公式：[(本期长护险实际保费-本期长护险待遇支出-本期长护险评估费用支出)/本期长护险实际保费]×100%。本期长护险实际保费=当期长护险基金收入-本期长护险承办服务费计提费用。承办服务费含共保体招录的经办服务人员薪酬、保险及福利费用；办公经费；稽核费用；培训费；宣传费；交通工具相关费用，以及长护险服务场所建设费用、办公装备设施费用、信息系统费用(含软件开发、硬件设备、安全等保)一次性投入均摊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注：1.在签订合同时，中标人明确表示无需预付款或者主动要求降低预付款比例的金额，采购人可不适用预付款规定。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2.由于各期参保人数中途可能发生变动，以各期实际划拨的保费为准。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四、服务内容与要求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按《宿迁市人民政府关于建立长期护理保险制度的实施意见》(宿政规发〔2023〕6号)、《宿迁市居民长期护理保险试行方案》及相关的配套政策文件要求，在长护险经办管理机构(以下简称"医保经办机构")指导下，协助或参与做好宿迁市长护险相关经办服务，并接受医保经办机构考核管理、服务群众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在协议服务期内，在经办机构指导下，承办商保机构协助经办机构或经经办机构授权开展以下工作：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1.政策宣传与咨询、投诉举报线索受理；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2.配合开展申请受理及材料审核工作；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3.根据中标顺序分别承办沭阳县、泗阳县、泗洪县、宿豫区、宿城区、经开区（洋河新区）、湖滨新区（苏宿园区）七个区域的失能评估工作，并与定点评估机构共同对评估结果负责。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注：组织责任区内评估机构开展失能评估和护理需求评估工作。派长护专员监督现场评估实施，并结合护理服务建议，与定点长护服务机构和参保人员沟通，形成护理服务计划；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4.协助开展失能等级评估机构和长护服务机构定点申请受理、材料初审、综合审核以及失能评估费用、护理服务费用初审等事务性工作；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5.协助做好定点评估机构和定点长护服务机构日常检查、评估结论及参保人员失能状态抽查、服务质量检查等工作；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6.协助开展异议复评、重新评估等工作；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7.长护险业务档案资料的整理和保存；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8.协助做好长护险从业人员的政策业务培训工作；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9.长护险待遇享受人员跟踪回访、稽核调查工作；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10.长护险基金运行监测分析，按月编报长护险运行分析报告；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11.协助做好长护险政策调整工作；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12.医保经办机构安排的其他工作。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（三）项目实施方案及要求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1.总体服务方案及启动工作安排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制定总体服务方案及启动工作安排，包括但不限于总体服务方案、启动进度安排、保证措施和风控措施以及服务费预算计划。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2.制定失能评估管理方案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承办机构在医保经办机构指导下，组织评估机构开展失能评估工作。方案包括以下几方面内容：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（1）失能评估申请的受理审核、上门评估的组织、评定结果公示及送达4个方面；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（2）承办机构应自接收申请材料之日起15个工作日内，且体态智能感知监管设备安装完成已满7天后，完成派单分配和现场评估。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原则上评估结论书应在申请受理之日起30个工作日内送达。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（3）有风险管控方案；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（4）方案对失能评估有完善的风险监督机制，申请评估人员满意度符合要求；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（5）有及时有效处理各类咨询、投诉的方案，方案科学，实际可行。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3.制定针对本项目的定点服务机构管理方案，包括以下几方面内容。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（1）需对定点机构的服务质量、长期护理保险费用管理、参保人员满意度等情况进行日常监督检查，并按规定结算流程，与定点评估机构及定点护理机构完成基金结算支付等方面，方案完整且可行；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（2）包括督促定点护理机构、定点评估机构做好协议签订、实名制管理等，在促进护理机构提升服务质量，强化费用控制方面的基础上合理、可行；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（3）满足15个工作日与定点护理机构、定点评估机构签订协议；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（4）满足每季度至少完成2次对定点护理机构、定点评估机构履行服务协议情况进行巡查，且日常检查达到100%，对违规行为进行处理的。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4.协助制定长护服务质量监督与稽核巡查方案(包括对定点服务机构、定点评估机构进行监管；待遇支付及核查工作等)；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制定巡查计划及措施，对定点护理机构、定点评估机构开展定时巡查，重点核查定点护理机构失能人员在院情况、护理服务提供、待遇结算、违规情况、待遇享受人员失能及恢复情况，核查定点评估机构评估流程规范、评估结果真实合规、档案资料完整等情况，并开展失能人员满意度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（2）配置具有录音、录像、等功能的执法记录仪以及平板等具有文字处理功能的移动终端设备开展日常巡查，并满足每季度巡查定点护理机构、定点评估机构不少于总数的25%，失能人员不少于总人数的10%；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协助建立有定点护理机构、定点评估机构退出机制，对定点机构服务场所、服务范围、服务人员情况等发生变化的，视情况重新进行服务能力评估，对不符合长期护理保险服务管理要求的，暂停或终止服务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5.协助制定待遇支付及基金管理方案(包括待遇支付、基金风险管理、基金运行情况分析等)；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（1）根据项目的实际要求，对长期护理保险的待遇支付及基金风险管理方面提出具体的工作方案。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（2）方案满足每月初前10个工作日完成对定点护理机构、定点评估机构费用的审核、对账、结算和支付工作，并提供有效审核方案。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（3）满足每月结束后的20个工作日内，报送长期护理保险运行情况统计分析材料。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（4）有完善的基金管理内控方案的。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6.制定宣传工作方案(包括宣传方向、宣传方式、宣传渠道、宣传频率等)；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（1）按照政策规定及政策调整，及时做好本项目的政策和业务培训的；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（2）投标人为本项目开通专门的咨询投诉热线电话，并对外公布；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（3）有承担失能评估申请和护理服务相关的政策和业务咨询，并受理失能人员投诉。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7.制定业务数据保密措施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包括但不限于对参保人员相关信息、数据、资料承担保密责任，不得用于其他用途，并不得向第三方泄露，不得利用经办之便推销或者变相推销其他商业保险产品。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8.制定创新服务方案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包括但不限于在长期护理保险创新性方面，特别是在利用互联网、大数据等先进技术对失能评估、护理服务、服务监管等方面，提供相应方案。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9.制定培训方案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包括但不限于培训内容、培训时间、培训地点、培训目标、培训人数、培训方法和培训师资等。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10.制定人员配置方案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包括但不限于针对本项目服务的管理职能部门、成立专业管理团队、建立管理制度。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11.项目组成员配备要求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应按承诺为本项目配备长护险经办服务全日制本科以上学历工作人员(工作人员与覆盖人群比不少于1:35000）,其中医学、康复、护理、信息、统计、财务等专业的人员比例不低于40%,派驻相应数量的工作人员至医保经办机构共同办理长护险经办业务，投标人需提供承诺函（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12.办公设备及交通工具配置要求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应为本项目提供独立的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及时提供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13.信息系统服务要求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使用江苏省医疗保障功能信息平台长护险系统开展业务经办，按要求完成系统对接、权限申请、数据上报及业务操作，按规定配置计算机和网络环境，配备与长护险业务相适应的信息管理人员，实现长护险待遇申请、失能评估、护理服务、基金结算、经办管理、服务监督、风险控制等全流程信息化运行。建立评估人员、上门护理人员库，将符合条件的评估人员、上门护理人员信息按要求录入省医保长护险信息系统，实行动态管理，并做好长护险信息系统各类用户的操作培训和业务指导工作。根据业务需求，及时升级业务模块，按照试点要求，完成智能监管信息系统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五、保障内容及要求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1.保障对象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市职工基本医疗保险和城乡居民基本医疗保险参保人员为长护险参保对象。长护险制度运行期间根据宿迁市经济发展水平、基金运行情况、照护需求、照护服务成本等因素，适时扩大参保范围和保障对象，调整筹资水平和待遇标准等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保障范围及补偿比例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参保人员因年老、疾病、伤残等原因，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等方式享受长护险待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2.2失能人员接受护理服务期间，发生的符合长护险护理服务项目范围和标准的费用，由长护险基金按以下标准定额支付：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（1）入住服务机构的医疗床位接受护理服务的，按50元/天的标准与服务机构结算；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（2）入住服务机构的护理床位接受护理服务的，按40元/天的标准与服务机构结算；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（3）居家接受服务机构上门服务的，根据服务范围和标准以及质量考核情况，按30元/天的标准与服务机构结算；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（4）在社区服务机构接受日间照护服务的，根据服务范围和标准以及质量考核情况，按照30元/天的标准与服务机构结算。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服务结算支付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六、经办模式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宿迁市长护险服务项目实行"运行风险共担、保险事务共办、购买承办服务"的运行模式。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★1.运行风险共担(投标人须提供承诺函格式自拟，否则作无效标处理。)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护险委托承办商保机构参与经办，承办商保机构与长护险基金实行风险共担机制，长护险收入扣除长护险待遇支出(按“待遇支付标准”计算)、评估费用支出(初评评估费用+复评评估费用)、该统筹当期承办服务费（从当期长护险基金收入中计提，以中标人“承办服务费”报价中标价确定）后，长护险保费收支结余如出现亏损，亏损2%(含)以内的部分由承办商保机构承担，2%以上的部分（亏损比例以第三方报告为唯一结算依据），经医疗保障行政部门综合评定后，对因政策性原因导致的亏损部分，由基金承担，对非政策性原因导致的亏损部分，由承办商保机构承</w:t>
      </w:r>
      <w:r>
        <w:rPr>
          <w:rFonts w:ascii="FangSong" w:hAnsi="FangSong" w:eastAsia="FangSong" w:cs="FangSong"/>
          <w:color w:val="000000"/>
          <w:sz w:val="24"/>
        </w:rPr>
        <w:t xml:space="preserve">担；但如有盈利，则盈利部分全额返还基金。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2.保险事务共办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在医疗保障经办机构指导下，承保机构协助开展以下业务：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（1）政策宣传与咨询、投诉举报线索受理；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（2）配合开展申请受理及材料审核工作；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（3）参与失能评估和护理需求评估工作。派长护专员监督现场评估实施，并结合护理服务建议，与定点长护服务机构和参保人员沟通，形成护理服务计划；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（4）协助开展失能等级评估机构和长护服务机构定点申请受理、材料初审、综合审核以及失能评估费用、护理服务费用初审等事务性工作；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（5）协助做好定点评估机构和定点长护服务机构日常检查、评估结论及参保人员失能状态抽查、服务质量检查等工作；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（6）协助开展异议复评、重新评估等工作；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（7）协助做好信息系统运用和档案管理工作；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（8）协助做好相关业务培训及合同约定的其他工作；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（9）医保经办机构安排的其他工作。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3.购买承办服务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承办服务费当期有结余的，结转到下一年。合同期满如有结余，结余部分返还基金，如有亏损按照承保份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七、考核与管理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医保经办机构有权邀请相关专业机构组成考核小组对承办商保机构相关工作进行考核评价，内容包括但不限于：合同履行情况、基金运行管理情况、服务质效情况和促进参保扩面情况等，承办商保机构须积极配合。如有承办商保机构当期考核不合格，予以解除合同，相关职责及中标份额按照以下规则处理：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份额划转设置3个月业务交接期，原</w:t>
      </w:r>
      <w:r>
        <w:rPr>
          <w:rFonts w:ascii="FangSong" w:hAnsi="FangSong" w:eastAsia="FangSong" w:cs="FangSong"/>
          <w:color w:val="000000"/>
          <w:sz w:val="24"/>
        </w:rPr>
        <w:t xml:space="preserve">商保必须完整移交全部档案、系统权限、服务台账，交接期内业务差错由原承办商保全额承担。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2.建立健全长护险基金监管机制，对基金使用情况、医疗护理服务、欺诈骗保等进行监督管理。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3.医保经办机构建立举报投诉、信息披露、基金监管、欺诈防范等监管机制。对承办商保机构政策制度执行情况及业务经办情况进行实时督查。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承办商保机构应建立费用审核、内部控制、日常巡查、运行分析等管理制度，通过信息系统、抽查询访、满意度调查等途径，对评估机构评估质量、定点护理机构服务质量及待遇享受等情况进行跟踪管理，按月编报长护险运行分析报告报送至市财政局及医保经办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6.承办商保机构、定点服务机构、定点评估机构及其工作人员、参保人员等存在违法违规行为造成基金损失的，可参照医疗保障基金使用监督管理有关规定处理。构成犯罪的，移送司法机关追究刑事责任。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7.建立健全长护险诚信档案，根据信用评价等级分级分类监督管理，对失信行为按照国家有关规定实施惩戒。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8.考核主体与周期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级医保经办机构统筹全市长护险绩效考核，各县（区）医保经办机构每年开展一次承办机构现场考核，次年2月底前完成年度综合考评初评；最终考核结果直接与承办服务费预留款、承保份额、合同存续资格挂钩。承办机构设立长护险专职管理部门，牵头统筹失能评估工作，对评估机构行为承担主体管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（1）结算管理（10分）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①每月10个工作日内完成上月定点护理机构费用核对、审核、足额拨付，医保按季度预拨资金不得作为延迟付款、拖欠定点机构的免责理由；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因承办机构资金调度、审核滞后等自身原因，未按时完成月度结算拨付，每出现1家定点机构逾期扣1分，本项最多扣6分；财务业务台账、拨付凭证数据不一致的，每笔扣0.5分，最多扣3分；仅系统故障、医保专户客观延迟且提供书面证明可不扣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③出现定点机构因拖欠结算集体投诉、信访舆情的，本项直接0分。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（2）失能评估管理考核（30分）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机构为评估业务责任主体，全面负责评估业务落地执行、全流程过程管控、评估质量常态化抽查、合作评估机构日常监管与违规问题上报处置。评估机构发生的业务差错、流程违规、虚假评估、欺诈骗保等问题，均认定为承办机构日常监管缺位、履职不到位，对承办机构同步实施考核扣分并追责，具体扣分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①未建立评估人员动态管理库并动态维护，每次扣2分；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②评估流程不合规、结论失真、虚假评估、超时评估，查实1例扣1分，造成基金损失的1例扣10分；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③未及时督促、提请处置评估机构违规，暂停/终止评估合作协议，每起扣3分；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④因评估机构过错引发参保人复评、投诉、上访，全部计入承办机构考核扣分，每起扣3分。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（3）其余考核指标（60分）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①组织管理（8分）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设立独立长护险专职管理部门、配齐专项负责人得满分；未单独设立部门扣4分；无固定专人分管长护业务扣4分；市级区域服务点位设置不达标，扣4分。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②人员配置（8分）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按参保人口1:35000配备全职经办人员，医学、护理、统计等专业人员占比达标得满分；人员配比不足每少1人扣1分，医保经办机构统筹安排的除外；专业人员占比不达标每低1个百分点扣0.5分。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③信息系统管理（6分）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配合经办机构负责系统运维、按时完成系统升级、数据报送、人员培训；系统故障处置迟缓、未按期组织机构操作人员培训，单次扣2分；数据漏报、错报每批次扣1分；私自更改系统网络、泄露系统数据本项0分。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④宣传与信访投诉（6分）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配合经办机构开通专线咨询投诉电话、场所公示政策宣传材料得基础分；投诉超时限办结1件扣1分；信访处置推诿、未建立回访台账每例扣1分；无常态化政策宣传、无线下宣讲记录扣2分。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⑤档案管理（6分）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失能申请、评估档案、结算凭证、巡查台账分类完整归档；台账缺失、资料不完整每笔扣0.5分；档案保管不规范、丢失纸质/电子档案单次扣3分。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⑥定点机构监管（6分）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按要求季度全覆盖巡查、动态更新机构信息库；巡查频次不达标、未及时处置机构违规行为，每起扣2分；未定期组织机构培训扣3分；机构违规隐瞒不报每例扣2分。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⑦基金风险管控（8分）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建立费用稽核、欺诈骗保排查、月度资金预判机制；无风控预案扣3分；稽核发现违规未及时追回基金、未移送线索每笔扣3分；配合审计、基金核查不积极单次扣2分。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⑧服务满意度（6分）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失能人员年度综合满意度≥95%得满分；93%≤满意度＜95%得5分；低于93分本项不得分；有效投诉查实1起额外扣2分。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⑨稽核巡查（6分）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每季度按要求抽查定点机构、上门失能人员，留存音视频、纸质巡查记录；巡查覆盖率不达标每低5%扣2分；巡查发现问题未建立整改闭环每起扣2分。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考核等次与结果运用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（1）年度考核≥90分（优秀）：全额拨付考核预留承办服务费；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（2）70分≤年度考核&lt;90分（合格）：按实际得分比例折算拨付预留款；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（3）年度考核＜70分（不合格）：考核预留款全额不予拨付，直接解除承办合同、收回承保份额；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一票否决（直接判定年度不合格，可提前解除协议）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①拖延与定点机构月度结算，引发群体性信访、重大舆情；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②牵头管理评估不力，评估机构弄虚作假、造成长护险基金重大损失；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③未按投标承诺履行资金垫付、按月结算义务；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④泄露参保信息、恶意攻击信息系统、内外勾结欺诈骗保等情形。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考核报送要求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承办机构每月同步报送定点机构月度结算台账、资金拨付凭证、评估抽查记录；每年年底前提交自评报告，逾期未报送，当期考核直接扣5分。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八、项目实施依据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1.《国家医保局办公室民政部办公厅关于印发&lt;长期护理失能等级评估标准(试行)&gt;的通知》(医保办发〔2021〕37号)；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2.《宿迁市人民政府关于建立长期护理保险制度的实施意见》(宿政规发〔2023〕6号)；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3.宿迁市居民长期护理保险试行方案。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合同履行期满，中标人向采购人提交项目验收资料以及验收申请单，采购人收到申请后3个工作日内组织验收且验收无问题后签署验收单。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十、采购本国货物、工程和服务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政府采购应当采购本国货物、工程和服务，但有《中华人民共和国政府采购法》第十条规定情形的除外。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注：★部分为实质性要求，不接受负偏离。否则，作为无效标处理。具体事宜按照现行长护险政策执行。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第五章评标方法与评标标准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一、资格审查。</w:t>
      </w:r>
      <w:r>
        <w:rPr>
          <w:rFonts w:ascii="FangSong" w:hAnsi="FangSong" w:eastAsia="FangSong" w:cs="FangSong"/>
          <w:color w:val="000000"/>
          <w:sz w:val="24"/>
        </w:rPr>
        <w:t xml:space="preserve">资格审查人员按照下列指标对各投标人的资格进行审查，未通过审查的为无效标，不参与评标。</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0"/>
        <w:gridCol w:w="448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2" w:type="dxa"/>
            <w:vAlign w:val="center"/>
            <w:textDirection w:val="lrTb"/>
            <w:noWrap w:val="false"/>
          </w:tcPr>
          <w:p>
            <w:pPr>
              <w:ind w:left="0" w:right="0" w:firstLine="0"/>
              <w:spacing w:before="0" w:after="0" w:line="559" w:lineRule="atLeast"/>
              <w:tabs>
                <w:tab w:val="left" w:pos="72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接受联合体投标</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二、符合性审查。</w:t>
      </w:r>
      <w:r>
        <w:rPr>
          <w:rFonts w:ascii="FangSong" w:hAnsi="FangSong" w:eastAsia="FangSong" w:cs="FangSong"/>
          <w:color w:val="000000"/>
          <w:sz w:val="24"/>
        </w:rPr>
        <w:t xml:space="preserve">评标委员会首先按照下列指标对各投标人的投标文件进行符合性审查，未通过审查的为无效标，不再参与评审。</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64"/>
        <w:gridCol w:w="446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6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6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符合招标文件要求</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三、评分办法—综合评分法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FangSong" w:hAnsi="FangSong" w:eastAsia="FangSong" w:cs="FangSong"/>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评标委员会根据评审后投标人排序推荐中标候选人，并形成评标报告。投标文件满足招标文件全部实质性要求，且评审后排序第一的投标人为第一中标候选人，依次类推。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位投标人只能在一个分包上中标。如某投标人已在分包一被推荐为第一中标候选人的，则其参与分包二、分包三评标，但在分包二、分包三不参与推荐中标候选人的排序，以此类推，若有分包无合格中标候选人，则该分包份额由分包一中标候选人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注：评审结束后，若其中一个分包受到质疑投诉等原因，导致本分包评审结果改变，但不影响其他分包的评审结果。综合评分保留至小数点后两位。</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FangSong" w:hAnsi="FangSong" w:eastAsia="FangSong" w:cs="FangSong"/>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1"/>
        <w:gridCol w:w="1300"/>
        <w:gridCol w:w="895"/>
        <w:gridCol w:w="5607"/>
      </w:tblGrid>
      <w:tr>
        <w:trPr>
          <w:trHeight w:val="6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10.00分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采用低价优先法计算，即满足招标文件要求且承办服务费最低的报价为评标基准值价，其得分为10分，其他投标人承办服务费得分=（评标基准价/承办服务费报价）×10。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注：①符合规定的小微企业（含监狱企业和残疾人福利单位）报价给予 10%的扣除，用扣除后的价格参加评审。</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企业经营业绩、信誉等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投标人及投标人总公司或其下属分支机构自2023年1月1日（以合同签订时间为准）以来</w:t>
            </w:r>
            <w:r>
              <w:rPr>
                <w:rFonts w:ascii="FangSong" w:hAnsi="FangSong" w:eastAsia="FangSong" w:cs="FangSong"/>
                <w:b/>
                <w:color w:val="000000"/>
                <w:sz w:val="21"/>
              </w:rPr>
              <w:t xml:space="preserve">，</w:t>
            </w:r>
            <w:r>
              <w:rPr>
                <w:rFonts w:ascii="FangSong" w:hAnsi="FangSong" w:eastAsia="FangSong" w:cs="FangSong"/>
                <w:color w:val="000000"/>
                <w:sz w:val="21"/>
              </w:rPr>
              <w:t xml:space="preserve">承担过类似项目业绩的每提供一个得2分；本项最高得10分。注：①须提供保险项目业绩合同(合作协议书）及中标（成交）通知书电子件。同一项目与同一单位或部门连续签约的，计一次合作经验（与企业、社会组织等签订协议不得分），协议中能清晰反映投保人名称、签订日期，反映不全不得分。少提供或不提供不得分。②如联合体参与投标的每提供一个业绩只得1分。</w:t>
            </w:r>
            <w:r/>
          </w:p>
        </w:tc>
      </w:tr>
      <w:tr>
        <w:trPr>
          <w:trHeight w:val="2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核心偿付能力充足率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投标人总公司经审计的2025年末核心偿付能力充足率≥200%的，得6分；180%≤2025年末核心偿付能力充足率﹤200%的，得4分；2025年末核心偿付能力充足率﹤180%的，得2分。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注：①须提供投标人总公司经审计的2025年末核心偿付能力报告电子件，否则不得分。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如联合体参与投标的，联合体成员应提供各总公司经审计的2025年末核心偿付能力报告电子件，只有联合体成员一方提供的获得对应分值的1/2，如联合体成员同时提供取对应分值的平均值。（总（母）公司和其下属分支机构联合体除外）。</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及投标人总公司或其下属分支机构自2023年1月1日（以证书落款时间为准）以来，获得市级及以上政府或行政主管部门表彰的，每有一项得2分，本项最高得6分。注：①须提供以上证明材料电子件，否则不得分。②如无证书以文件落款时间为准，两时间不一致以证书落款时间为准。③如联合体参与投标的每提供一个荣誉只得1分。</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3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总体服务方案及启动工作安排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-1.总体服务方案及启动工作安排”要求，提供总体服务方案及启动工作安排。总体方案完整，实施措施详尽，保证措施和风控措施针对性强、可执行性高，服务费预算计划详实且优于采购需求，得6分；总体方案较完整，实施措施较详尽，保证措施和风控措施针对性较强、可执行性较高，服务费预算计划较详实能够满足采购需求，得4分；总体方案基本完善，实施措施基本详尽，保证措施和风控措施针对性、可执行性，服务费预算计划不强，通过后期优化能实现采购需求的，得2分</w:t>
            </w:r>
            <w:r>
              <w:rPr>
                <w:rFonts w:ascii="FangSong" w:hAnsi="FangSong" w:eastAsia="FangSong" w:cs="FangSong"/>
                <w:color w:val="000000"/>
                <w:sz w:val="21"/>
              </w:rPr>
              <w:t xml:space="preserve">；没有内容或其情况不满足招标文件需求的不得分。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失能评估管理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-2.制定失能评估管理方案”要求，提供失能评估管理。工作方案架构详实，流程清晰，方法描述切合实际，且优于采购需求，得10分；工作方案架构较详实，流程较清晰，方法描述较切合实际，能够满足采购需求，得6分；工作方案架构基本详细，流程基本完整，方法描述不详细，通过后期优化能实现采购需求的，得3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定点护理服务机构管理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-3.制定针对本项目的定点服务机构管理方案”要求，提供定点护理服务机构管理。管理方案细节详细、规划切合实际，针对性强、可执行性高，且优于采购需求，得6分；管理方案细节较详细、规划较切合实际，针对性较强、可执行性较高，能够满足采购需求，得4分；管理方案细节规划，针对性和可执行性不强，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长护服务质量监督与稽核巡查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-4.制定长护服务质量监督与稽核巡查方案”要求，提供长护服务质量监督与稽核巡查。监管方案设计切合实际，条理清晰，实用性强，且优于采购需求得6分；监管方案设计较切合实际，条理较清晰，实用性较强，能够满足采购需求，得4分；监管方案设计基本符合实际情况，条理基本清晰，实用性不强，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待遇支付及基金管理方案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-5.制定待遇支付及基金管理方案”要求，提供待遇支付及基金管理方案。总体方案完整，实施措施详尽，针对性强、可执行性高，且优于采购需求，得6分；总体方案较完整，实施措施较详尽，针对性较强、可执行性较高，能够满足采购需求，得4分；总体方案基本完善，实施措施基本详尽，针对性可执行性不强，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宣传方案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-6.制定宣传工作方案”要求，提供宣传方案。政策宣传方向正确，方案完整详实，标新立异，思路新颖、实用性强，且优于采购需求，得6分；政策宣传方向正确，方案较完整详实，思路普通，能够满足采购需求，得4分；政策宣传方向正确，方案思路陈旧，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业务数据保密措施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-7.制定业务数据保密措施”要求，提供业务数据保密措施。保密措施完整详实、切合实际、能够实现采购人保密要求的，且优于采购需求得6分；保密措施完整、较切合实际，能够满足采购需求得4分；保密措施不强，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创新服务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-8.制定创新服务方案”要求，提供创新服务。方案完整详实、思路新颖，且优于采购需求的得6分；方案基本详实，思路普通，能够满足采购需求，得4分；方案内容不完善、思路陈旧，通过后期优化能实现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-9.制定培训方案”要求，提供培训方案。培训方案内容详实，可执行性强、表述清晰准确，且优于采购需求，得6分；培训方案内容较详实，表述不够准确，但不影响实施，能够满足采购需求，得4分；有培训方案，但方案内容笼统，没有针对本项目细化制定，通过后期优化能满足采购需求的得2分；没有内容或其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 采购需求”中“四、服务内容与要求-（三）项目实施方案及要求-10.制定人员配置方案”要求，提供人员配备。内容结构严谨、思路清晰、描述详细、转化落地有较强可实施性、满足且优于项目需求，得6分；表述略有偏差、但不影响实质性意思表达、基本能够满足项目需求，得4分；内容有欠缺，通过后期优化能实现采购需求的，得2分；没有内容或其情况不满足招标文件需求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服务场所配置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针对采购文件“第四章采购需求”中四、服务内容与要求-（三）项目实施方案及要求-12.办公设备及交通工具配置要求要求，提供服务场所配置方案。方案完整详实，办公场所位置合理、面积充足且独立设置，办公设施、核查设备及车辆配备齐全、优于采购需求，服务网点设置科学合理、满足待遇人员需求，得4分；方案较完整，办公场所基本满足运营需求，办公设施、核查设备及车辆配备较齐全，服务网点设置基本合理，能够满足采购需求，得2分；方案实时性不强通过后期优化能实现采购需求的，得1分；没有内容或其情况不满足招标文件需求的不得分。</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FangSong" w:hAnsi="FangSong" w:eastAsia="FangSong" w:cs="FangSong"/>
          <w:color w:val="000000"/>
          <w:sz w:val="24"/>
        </w:rPr>
        <w:t xml:space="preserve">评标委员会按照本办法规定推荐中标候选人，并形成评标报告。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1、2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本项目按以下第</w:t>
      </w:r>
      <w:r>
        <w:rPr>
          <w:rFonts w:ascii="FangSong" w:hAnsi="FangSong" w:eastAsia="FangSong" w:cs="FangSong"/>
          <w:b/>
          <w:color w:val="000000"/>
          <w:sz w:val="24"/>
          <w:u w:val="single"/>
        </w:rPr>
        <w:t xml:space="preserve">  2</w:t>
      </w:r>
      <w:r>
        <w:rPr>
          <w:rFonts w:ascii="FangSong" w:hAnsi="FangSong" w:eastAsia="FangSong" w:cs="FangSong"/>
          <w:color w:val="000000"/>
          <w:sz w:val="24"/>
          <w:u w:val="single"/>
        </w:rPr>
        <w:t xml:space="preserve"> </w:t>
      </w:r>
      <w:r>
        <w:rPr>
          <w:rFonts w:ascii="FangSong" w:hAnsi="FangSong" w:eastAsia="FangSong" w:cs="FangSong"/>
          <w:b/>
          <w:color w:val="000000"/>
          <w:sz w:val="24"/>
          <w:u w:val="single"/>
        </w:rPr>
        <w:t xml:space="preserve"> </w:t>
      </w:r>
      <w:r>
        <w:rPr>
          <w:rFonts w:ascii="FangSong" w:hAnsi="FangSong" w:eastAsia="FangSong" w:cs="FangSong"/>
          <w:color w:val="000000"/>
          <w:sz w:val="24"/>
        </w:rPr>
        <w:t xml:space="preserve">种政策确定本项目落实的中小企业政策：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（1）本项目专门面向中小企业（含监狱企业、残疾人福利企业）采购。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（2）投标人提供的服务符合下列情形的，对小微企业报价给予</w:t>
      </w:r>
      <w:r>
        <w:rPr>
          <w:rFonts w:ascii="FangSong" w:hAnsi="FangSong" w:eastAsia="FangSong" w:cs="FangSong"/>
          <w:color w:val="000000"/>
          <w:sz w:val="24"/>
          <w:u w:val="single"/>
        </w:rPr>
        <w:t xml:space="preserve"> 10 %</w:t>
      </w:r>
      <w:r>
        <w:rPr>
          <w:rFonts w:ascii="FangSong" w:hAnsi="FangSong" w:eastAsia="FangSong" w:cs="FangSong"/>
          <w:color w:val="000000"/>
          <w:sz w:val="24"/>
        </w:rPr>
        <w:t xml:space="preserve">的扣除，用扣除后的价格参加评审。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3、政府采购节能产品、环境标志产品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（3）采购人拟采购的产品属于优先采购的节能环保品目清单范围的，按以下条件优先采购：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采用综合评分法的项目，对提供有效节能环保证书的投标人加分。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采用最低评标价法的项目，同等条件下优先推荐提供有效节能环保证书多的投标人为中标人。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4、商品包装、快递包装政府采购需求标准（试行）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5、绿色数据中心政府采购需求标准（试行）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第六章投标文件格式</w:t>
      </w:r>
      <w:r>
        <w:rPr>
          <w:rFonts w:ascii="FangSong" w:hAnsi="FangSong" w:eastAsia="FangSong" w:cs="FangSong"/>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三、满足特定资格要求的证明文件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四、法人（负责人）授权书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五、开标一览表及分项报价表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六、中小企业声明函或残疾人福利性单位声明函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八、项目组人员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十、联合体协议书（如联合体投标提供，非联合体投标无需提供）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一、投标声明及承诺函</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宿迁市医疗保障局：</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JSZC-321300-XKGL-G2026-0001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宿迁市长期护理保险委托商保公司承办项目</w:t>
      </w:r>
      <w:r>
        <w:rPr>
          <w:rFonts w:ascii="FangSong" w:hAnsi="FangSong" w:eastAsia="FangSong" w:cs="FangSong"/>
          <w:color w:val="000000"/>
          <w:sz w:val="24"/>
        </w:rPr>
        <w:t xml:space="preserve">的招标文件，我方在参加本项目招投标活动中，特做出如下承诺：</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一、我方具备《中华人民共和国政府采购法》第二十二条第一款规定的6项条件；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五、我方投标文件中提供的任何材料资料和技术、服务、商务等响应承诺情况都是真实的、有效的、合法的；</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六、我方若违背本声明及承诺约定，经查实，自愿接受采购人及相关主管部门相应的规定处理，并依法承担相应的法律责任。</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七、我方同意采购人、采购代理机构将本声明及承诺函上网公开。</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投标人基本情况表</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0"/>
        <w:gridCol w:w="2739"/>
        <w:gridCol w:w="1175"/>
        <w:gridCol w:w="27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法人单位注册资本（万元）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1"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三、满足特定资格要求的证明文件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四、法人（负责人）授权书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（投标人名称）授权</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（被授权人的姓名）为我方就</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号项目采购活动的合法代理人，以本单位名义全权处理一切与该项目采购有关的事务。</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日起生效，特此声明。</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法定代表人/负责人（签字或盖章）：</w:t>
      </w:r>
      <w:r>
        <w:rPr>
          <w:rFonts w:ascii="FangSong" w:hAnsi="FangSong" w:eastAsia="FangSong" w:cs="FangSong"/>
          <w:color w:val="000000"/>
          <w:sz w:val="24"/>
          <w:u w:val="single"/>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被授权人身份证号码：</w:t>
      </w:r>
      <w:r>
        <w:rPr>
          <w:rFonts w:ascii="FangSong" w:hAnsi="FangSong" w:eastAsia="FangSong" w:cs="FangSong"/>
          <w:color w:val="000000"/>
          <w:sz w:val="24"/>
          <w:u w:val="single"/>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授权人联系电话：（手机）</w:t>
      </w:r>
      <w:r>
        <w:rPr>
          <w:rFonts w:ascii="FangSong" w:hAnsi="FangSong" w:eastAsia="FangSong" w:cs="FangSong"/>
          <w:color w:val="000000"/>
          <w:sz w:val="24"/>
          <w:u w:val="single"/>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授权单位名称：</w:t>
      </w:r>
      <w:r>
        <w:rPr>
          <w:rFonts w:ascii="FangSong" w:hAnsi="FangSong" w:eastAsia="FangSong" w:cs="FangSong"/>
          <w:color w:val="000000"/>
          <w:sz w:val="24"/>
          <w:u w:val="single"/>
        </w:rPr>
        <w:t xml:space="preserve">（加盖CA电子公章）</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rPr>
          <w:rFonts w:ascii="FangSong" w:hAnsi="FangSong" w:eastAsia="FangSong" w:cs="FangSong"/>
          <w:color w:val="000000"/>
          <w:sz w:val="24"/>
          <w:u w:val="single"/>
        </w:rPr>
        <w:t xml:space="preserve">                                     </w:t>
      </w:r>
      <w:r/>
    </w:p>
    <w:p>
      <w:pPr>
        <w:ind w:left="0" w:right="0" w:firstLine="480"/>
        <w:spacing w:before="240" w:after="240" w:line="55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（授权委托书电子件可由授权代理人签字后扫描上传或直接加盖电子签章，并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加盖单位及法定代表人电子签章。）</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五、开标一览表及分项报价表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3"/>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投标人全称（加盖CA电子签章）：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项目名称：宿迁市长期护理保险委托商保公司承办项目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招标编号：JSZC-321300-XKGL-G2026-0001                分包号：</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承办服务费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元/人/年</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注：①因苏采云系统原因，“开标一览表”中的“投标报价”请按照“承办服务费”的报价填写报价。</w:t>
      </w:r>
      <w:r/>
    </w:p>
    <w:p>
      <w:pPr>
        <w:ind w:left="0" w:right="0" w:firstLine="787"/>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②开标一览表报价为供应商最终结算单价。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分项报价表（分包号：JSZC-321300-XKGL-G2026-0001）（服务类）</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401"/>
        <w:gridCol w:w="56"/>
        <w:gridCol w:w="3339"/>
        <w:gridCol w:w="1097"/>
        <w:gridCol w:w="1256"/>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服务费用简述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承办服务费</w:t>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FangSong" w:hAnsi="FangSong" w:eastAsia="FangSong" w:cs="FangSong"/>
                <w:color w:val="000000"/>
                <w:sz w:val="24"/>
              </w:rPr>
              <w:t xml:space="preserve">元/每服务一个参保人员·年）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实际人数以各期参保人数为准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vMerge w:val="restart"/>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报价总计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承办服务费为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元/每服务一个参保人员·年                </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六、中小企业声明函或残疾人福利性单位声明函（分包号：JSZC-321300-XKGL-G2026-0001）</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中小企业声明函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本公司郑重声明，根据《政府采购促进中小企业发展管理办法》（财库[2020]46号）的规定，本公司参加江苏省政府采购代理机构组织的</w:t>
      </w:r>
      <w:r>
        <w:rPr>
          <w:rFonts w:ascii="FangSong" w:hAnsi="FangSong" w:eastAsia="FangSong" w:cs="FangSong"/>
          <w:color w:val="000000"/>
          <w:sz w:val="24"/>
          <w:u w:val="single"/>
        </w:rPr>
        <w:t xml:space="preserve">（宿迁市医疗保障局）</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JSZC-321300-XKGL-G2026-0001</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（宿迁市长期护理保险委托商保公司承办项目）（分包号：JSZC-321300-XKGL-G2026-0001）</w:t>
      </w:r>
      <w:r>
        <w:rPr>
          <w:rFonts w:ascii="FangSong" w:hAnsi="FangSong" w:eastAsia="FangSong" w:cs="FangSong"/>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单位的采购文件编号为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项目（分包号：**）采购活动由本单位提供服务。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七、技术要求响应及偏离表（分包号：**）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2"/>
        <w:gridCol w:w="2800"/>
        <w:gridCol w:w="2480"/>
        <w:gridCol w:w="1205"/>
        <w:gridCol w:w="10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招标文件“第四章 采购需求”中所列内容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1.投标人必须对招标文件“第四章 采购需求”中所列内容</w:t>
      </w:r>
      <w:r>
        <w:rPr>
          <w:rFonts w:ascii="FangSong" w:hAnsi="FangSong" w:eastAsia="FangSong" w:cs="FangSong"/>
          <w:b/>
          <w:color w:val="000000"/>
          <w:sz w:val="24"/>
        </w:rPr>
        <w:t xml:space="preserve">分条目</w:t>
      </w:r>
      <w:r>
        <w:rPr>
          <w:rFonts w:ascii="FangSong" w:hAnsi="FangSong" w:eastAsia="FangSong" w:cs="FangSong"/>
          <w:color w:val="000000"/>
          <w:sz w:val="24"/>
        </w:rPr>
        <w:t xml:space="preserve">做出明确响应，否则作无效响应处理。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2.如果采购文件要求提供证明材料，投标人必须将证明材料列于该表之下。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3.投标人未对实质性要求作出明确响应的，或未按采购文件要求提供证明材料的，该分包作无效响应处理。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八、项目组人员</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
        <w:gridCol w:w="1629"/>
        <w:gridCol w:w="885"/>
        <w:gridCol w:w="1512"/>
        <w:gridCol w:w="1513"/>
        <w:gridCol w:w="795"/>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隶属分支机构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九、企业业绩</w:t>
      </w:r>
      <w:r/>
    </w:p>
    <w:p>
      <w:pPr>
        <w:ind w:left="0" w:right="0" w:firstLine="643"/>
        <w:jc w:val="center"/>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投标人承担类似项目业绩一览表</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1"/>
        <w:gridCol w:w="3786"/>
        <w:gridCol w:w="2408"/>
        <w:gridCol w:w="1382"/>
      </w:tblGrid>
      <w:tr>
        <w:trPr>
          <w:trHeight w:val="7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28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十、联合体协议书（如联合体投标提供，非联合体投标无需提供）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（所有成员单位名称）自愿组成</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（联合体名称）联合体，共同参加</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（项目名称）投标。现就联合体投标事宜订立如下协议。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（某成员单位名称）为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（联合体名称）牵头人。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3、联合体将严格按照招标文件的各项要求，递交投标文件，履行合同，并对外承担连带责任。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4、联合体各成员单位内部的职责分工如下：</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5、本协议书自签署之日起生效，合同履行完毕后自动失效。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6、如联合体投标联合体成员其中一方承保份额不低于所投分包的40%。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7、如联合体投标，投标文件中盖章由牵头人盖章即可。（除联合体协议书）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牵头人名称：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（盖单位章）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成员一名称：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（盖单位章）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十一、投标所需其他材料</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质疑函范本</w:t>
      </w:r>
      <w:r/>
    </w:p>
    <w:p>
      <w:pPr>
        <w:ind w:left="0" w:right="0" w:firstLine="480"/>
        <w:jc w:val="both"/>
        <w:spacing w:before="29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一、质疑投标人基本信息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质疑投标人：</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采购人名称：</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采购文件获取日期：</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三、质疑事项具体内容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四、与质疑事项相关的质疑请求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FangSong" w:hAnsi="FangSong" w:eastAsia="FangSong" w:cs="FangSong"/>
          <w:color w:val="000000"/>
          <w:sz w:val="24"/>
          <w:u w:val="singl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质疑函制作说明：</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1.投标人提出质疑时，应提交质疑函和必要的证明材料。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3.质疑投标人若对项目的某一分包进行质疑，质疑函中应列明具体分包号。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4.质疑函的质疑事项应具体、明确，并有必要的事实依据和法律依据。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5.质疑函的质疑请求应与质疑事项相关。</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erReference w:type="default" r:id="rId9"/>
      <w:footerReference w:type="first" r:id="rId1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FangSong">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ascii="宋体" w:hAnsi="宋体"/>
        <w:b/>
        <w:i/>
        <w:sz w:val="24"/>
        <w:szCs w:val="24"/>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宋体" w:hAnsi="宋体"/>
        <w:b/>
        <w:i/>
        <w:sz w:val="28"/>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2">
    <w:multiLevelType w:val="hybridMultilevel"/>
    <w:lvl w:ilvl="0">
      <w:start w:val="1"/>
      <w:numFmt w:val="decimal"/>
      <w:pStyle w:val="7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4">
    <w:name w:val="Heading 1"/>
    <w:basedOn w:val="713"/>
    <w:next w:val="713"/>
    <w:link w:val="750"/>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1"/>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2"/>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4"/>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5"/>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7"/>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8"/>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unhideWhenUsed/>
    <w:qFormat/>
  </w:style>
  <w:style w:type="table" w:styleId="724" w:default="1">
    <w:name w:val="Normal Table"/>
    <w:uiPriority w:val="99"/>
    <w:unhideWhenUsed/>
    <w:qFormat/>
    <w:tblPr>
      <w:tblCellMar>
        <w:left w:w="108" w:type="dxa"/>
        <w:top w:w="0" w:type="dxa"/>
        <w:right w:w="108" w:type="dxa"/>
        <w:bottom w:w="0" w:type="dxa"/>
      </w:tblCellMar>
    </w:tblPr>
  </w:style>
  <w:style w:type="paragraph" w:styleId="725">
    <w:name w:val="toc 7"/>
    <w:basedOn w:val="713"/>
    <w:next w:val="713"/>
    <w:uiPriority w:val="0"/>
    <w:semiHidden/>
    <w:qFormat/>
    <w:pPr>
      <w:ind w:left="1260"/>
      <w:jc w:val="left"/>
    </w:pPr>
  </w:style>
  <w:style w:type="paragraph" w:styleId="726">
    <w:name w:val="Caption"/>
    <w:basedOn w:val="713"/>
    <w:next w:val="713"/>
    <w:uiPriority w:val="35"/>
    <w:unhideWhenUsed/>
    <w:qFormat/>
    <w:pPr>
      <w:spacing w:line="276" w:lineRule="auto"/>
    </w:pPr>
    <w:rPr>
      <w:b/>
      <w:bCs/>
      <w:color w:val="4f81bd"/>
      <w:sz w:val="18"/>
      <w:szCs w:val="18"/>
    </w:rPr>
  </w:style>
  <w:style w:type="paragraph" w:styleId="727">
    <w:name w:val="annotation text"/>
    <w:basedOn w:val="713"/>
    <w:uiPriority w:val="99"/>
    <w:semiHidden/>
    <w:unhideWhenUsed/>
    <w:qFormat/>
    <w:pPr>
      <w:jc w:val="left"/>
    </w:pPr>
  </w:style>
  <w:style w:type="paragraph" w:styleId="728">
    <w:name w:val="Body Text"/>
    <w:basedOn w:val="713"/>
    <w:next w:val="713"/>
    <w:uiPriority w:val="0"/>
    <w:qFormat/>
  </w:style>
  <w:style w:type="paragraph" w:styleId="729">
    <w:name w:val="toc 5"/>
    <w:basedOn w:val="713"/>
    <w:next w:val="713"/>
    <w:uiPriority w:val="0"/>
    <w:semiHidden/>
    <w:qFormat/>
    <w:pPr>
      <w:ind w:left="840"/>
      <w:jc w:val="left"/>
    </w:pPr>
  </w:style>
  <w:style w:type="paragraph" w:styleId="730">
    <w:name w:val="toc 3"/>
    <w:basedOn w:val="713"/>
    <w:next w:val="713"/>
    <w:uiPriority w:val="0"/>
    <w:semiHidden/>
    <w:qFormat/>
    <w:pPr>
      <w:ind w:left="420"/>
      <w:jc w:val="left"/>
    </w:pPr>
    <w:rPr>
      <w:i/>
      <w:iCs/>
      <w:szCs w:val="24"/>
    </w:rPr>
  </w:style>
  <w:style w:type="paragraph" w:styleId="731">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32">
    <w:name w:val="toc 8"/>
    <w:basedOn w:val="713"/>
    <w:next w:val="713"/>
    <w:uiPriority w:val="0"/>
    <w:semiHidden/>
    <w:qFormat/>
    <w:pPr>
      <w:ind w:left="1470"/>
      <w:jc w:val="left"/>
    </w:pPr>
  </w:style>
  <w:style w:type="paragraph" w:styleId="733">
    <w:name w:val="endnote text"/>
    <w:basedOn w:val="713"/>
    <w:link w:val="759"/>
    <w:uiPriority w:val="99"/>
    <w:unhideWhenUsed/>
    <w:qFormat/>
    <w:pPr>
      <w:spacing w:after="0" w:line="240" w:lineRule="auto"/>
    </w:pPr>
    <w:rPr>
      <w:sz w:val="20"/>
    </w:rPr>
  </w:style>
  <w:style w:type="paragraph" w:styleId="734">
    <w:name w:val="Footer"/>
    <w:basedOn w:val="713"/>
    <w:link w:val="765"/>
    <w:uiPriority w:val="99"/>
    <w:unhideWhenUsed/>
    <w:qFormat/>
    <w:pPr>
      <w:spacing w:after="0" w:line="240" w:lineRule="auto"/>
      <w:tabs>
        <w:tab w:val="center" w:pos="7143" w:leader="none"/>
        <w:tab w:val="right" w:pos="14287" w:leader="none"/>
      </w:tabs>
    </w:pPr>
  </w:style>
  <w:style w:type="paragraph" w:styleId="735">
    <w:name w:val="Header"/>
    <w:basedOn w:val="713"/>
    <w:link w:val="761"/>
    <w:uiPriority w:val="99"/>
    <w:unhideWhenUsed/>
    <w:qFormat/>
    <w:pPr>
      <w:spacing w:after="0" w:line="240" w:lineRule="auto"/>
      <w:tabs>
        <w:tab w:val="center" w:pos="7143" w:leader="none"/>
        <w:tab w:val="right" w:pos="14287" w:leader="none"/>
      </w:tabs>
    </w:pPr>
  </w:style>
  <w:style w:type="paragraph" w:styleId="736">
    <w:name w:val="toc 1"/>
    <w:basedOn w:val="713"/>
    <w:next w:val="713"/>
    <w:uiPriority w:val="0"/>
    <w:semiHidden/>
    <w:qFormat/>
    <w:pPr>
      <w:jc w:val="left"/>
      <w:spacing w:before="120" w:after="120" w:line="400" w:lineRule="exact"/>
      <w:tabs>
        <w:tab w:val="right" w:pos="8720" w:leader="dot"/>
      </w:tabs>
    </w:pPr>
    <w:rPr>
      <w:rFonts w:ascii="宋体" w:hAnsi="宋体"/>
      <w:caps/>
      <w:sz w:val="24"/>
      <w:szCs w:val="24"/>
    </w:rPr>
  </w:style>
  <w:style w:type="paragraph" w:styleId="737">
    <w:name w:val="toc 4"/>
    <w:basedOn w:val="713"/>
    <w:next w:val="713"/>
    <w:uiPriority w:val="0"/>
    <w:semiHidden/>
    <w:qFormat/>
    <w:pPr>
      <w:ind w:left="630"/>
      <w:jc w:val="left"/>
    </w:pPr>
  </w:style>
  <w:style w:type="paragraph" w:styleId="738">
    <w:name w:val="Subtitle"/>
    <w:basedOn w:val="713"/>
    <w:next w:val="713"/>
    <w:link w:val="762"/>
    <w:uiPriority w:val="11"/>
    <w:qFormat/>
    <w:pPr>
      <w:spacing w:before="200" w:after="200"/>
    </w:pPr>
    <w:rPr>
      <w:sz w:val="24"/>
      <w:szCs w:val="24"/>
    </w:rPr>
  </w:style>
  <w:style w:type="paragraph" w:styleId="739">
    <w:name w:val="footnote text"/>
    <w:basedOn w:val="713"/>
    <w:link w:val="763"/>
    <w:uiPriority w:val="99"/>
    <w:unhideWhenUsed/>
    <w:qFormat/>
    <w:pPr>
      <w:spacing w:after="40" w:line="240" w:lineRule="auto"/>
    </w:pPr>
    <w:rPr>
      <w:sz w:val="18"/>
    </w:rPr>
  </w:style>
  <w:style w:type="paragraph" w:styleId="740">
    <w:name w:val="toc 6"/>
    <w:basedOn w:val="713"/>
    <w:next w:val="713"/>
    <w:uiPriority w:val="0"/>
    <w:semiHidden/>
    <w:qFormat/>
    <w:pPr>
      <w:ind w:left="1050"/>
      <w:jc w:val="left"/>
    </w:pPr>
  </w:style>
  <w:style w:type="paragraph" w:styleId="741">
    <w:name w:val="table of figures"/>
    <w:basedOn w:val="713"/>
    <w:next w:val="713"/>
    <w:uiPriority w:val="99"/>
    <w:unhideWhenUsed/>
    <w:qFormat/>
    <w:pPr>
      <w:spacing w:after="0" w:afterAutospacing="0"/>
    </w:pPr>
  </w:style>
  <w:style w:type="paragraph" w:styleId="742">
    <w:name w:val="toc 2"/>
    <w:basedOn w:val="713"/>
    <w:next w:val="713"/>
    <w:uiPriority w:val="0"/>
    <w:semiHidden/>
    <w:qFormat/>
    <w:pPr>
      <w:ind w:left="210"/>
      <w:jc w:val="left"/>
    </w:pPr>
    <w:rPr>
      <w:smallCaps/>
      <w:szCs w:val="24"/>
    </w:rPr>
  </w:style>
  <w:style w:type="paragraph" w:styleId="743">
    <w:name w:val="toc 9"/>
    <w:basedOn w:val="713"/>
    <w:next w:val="713"/>
    <w:uiPriority w:val="0"/>
    <w:semiHidden/>
    <w:qFormat/>
    <w:pPr>
      <w:ind w:left="1680"/>
      <w:jc w:val="left"/>
    </w:pPr>
  </w:style>
  <w:style w:type="paragraph" w:styleId="744">
    <w:name w:val="Body Text 2"/>
    <w:uiPriority w:val="0"/>
    <w:qFormat/>
    <w:pPr>
      <w:jc w:val="both"/>
      <w:widowControl w:val="off"/>
    </w:pPr>
    <w:rPr>
      <w:rFonts w:hint="default" w:ascii="宋体" w:hAnsi="宋体" w:eastAsia="宋体" w:cs="Times New Roman"/>
      <w:b/>
      <w:bCs/>
      <w:sz w:val="28"/>
      <w:szCs w:val="24"/>
      <w:lang w:val="en-US" w:eastAsia="zh-CN" w:bidi="ar-SA"/>
    </w:rPr>
  </w:style>
  <w:style w:type="paragraph" w:styleId="745">
    <w:name w:val="Title"/>
    <w:basedOn w:val="713"/>
    <w:next w:val="713"/>
    <w:link w:val="764"/>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unhideWhenUsed/>
    <w:qFormat/>
    <w:rPr>
      <w:vertAlign w:val="superscript"/>
    </w:rPr>
  </w:style>
  <w:style w:type="character" w:styleId="748">
    <w:name w:val="Hyperlink"/>
    <w:uiPriority w:val="99"/>
    <w:unhideWhenUsed/>
    <w:qFormat/>
    <w:rPr>
      <w:color w:val="0000ff"/>
      <w:u w:val="single"/>
    </w:rPr>
  </w:style>
  <w:style w:type="character" w:styleId="749">
    <w:name w:val="footnote reference"/>
    <w:uiPriority w:val="99"/>
    <w:unhideWhenUsed/>
    <w:qFormat/>
    <w:rPr>
      <w:vertAlign w:val="superscript"/>
    </w:rPr>
  </w:style>
  <w:style w:type="character" w:styleId="750" w:customStyle="1">
    <w:name w:val="Heading 1 Char"/>
    <w:link w:val="714"/>
    <w:uiPriority w:val="9"/>
    <w:qFormat/>
    <w:rPr>
      <w:rFonts w:ascii="Arial" w:hAnsi="Arial" w:eastAsia="Arial" w:cs="Arial"/>
      <w:sz w:val="40"/>
      <w:szCs w:val="40"/>
    </w:rPr>
  </w:style>
  <w:style w:type="character" w:styleId="751" w:customStyle="1">
    <w:name w:val="Heading 2 Char"/>
    <w:link w:val="715"/>
    <w:uiPriority w:val="9"/>
    <w:qFormat/>
    <w:rPr>
      <w:rFonts w:ascii="Arial" w:hAnsi="Arial" w:eastAsia="Arial" w:cs="Arial"/>
      <w:sz w:val="34"/>
    </w:rPr>
  </w:style>
  <w:style w:type="character" w:styleId="752" w:customStyle="1">
    <w:name w:val="Heading 3 Char"/>
    <w:link w:val="716"/>
    <w:uiPriority w:val="9"/>
    <w:qFormat/>
    <w:rPr>
      <w:rFonts w:ascii="Arial" w:hAnsi="Arial" w:eastAsia="Arial" w:cs="Arial"/>
      <w:sz w:val="30"/>
      <w:szCs w:val="30"/>
    </w:rPr>
  </w:style>
  <w:style w:type="character" w:styleId="753" w:customStyle="1">
    <w:name w:val="Heading 4 Char"/>
    <w:link w:val="717"/>
    <w:uiPriority w:val="9"/>
    <w:qFormat/>
    <w:rPr>
      <w:rFonts w:ascii="Arial" w:hAnsi="Arial" w:eastAsia="Arial" w:cs="Arial"/>
      <w:b/>
      <w:bCs/>
      <w:sz w:val="26"/>
      <w:szCs w:val="26"/>
    </w:rPr>
  </w:style>
  <w:style w:type="character" w:styleId="754" w:customStyle="1">
    <w:name w:val="Heading 5 Char"/>
    <w:link w:val="718"/>
    <w:uiPriority w:val="9"/>
    <w:qFormat/>
    <w:rPr>
      <w:rFonts w:ascii="Arial" w:hAnsi="Arial" w:eastAsia="Arial" w:cs="Arial"/>
      <w:b/>
      <w:bCs/>
      <w:sz w:val="24"/>
      <w:szCs w:val="24"/>
    </w:rPr>
  </w:style>
  <w:style w:type="character" w:styleId="755" w:customStyle="1">
    <w:name w:val="Heading 6 Char"/>
    <w:link w:val="719"/>
    <w:uiPriority w:val="9"/>
    <w:qFormat/>
    <w:rPr>
      <w:rFonts w:ascii="Arial" w:hAnsi="Arial" w:eastAsia="Arial" w:cs="Arial"/>
      <w:b/>
      <w:bCs/>
      <w:sz w:val="22"/>
      <w:szCs w:val="22"/>
    </w:rPr>
  </w:style>
  <w:style w:type="character" w:styleId="756" w:customStyle="1">
    <w:name w:val="Heading 7 Char"/>
    <w:link w:val="720"/>
    <w:uiPriority w:val="9"/>
    <w:qFormat/>
    <w:rPr>
      <w:rFonts w:ascii="Arial" w:hAnsi="Arial" w:eastAsia="Arial" w:cs="Arial"/>
      <w:b/>
      <w:bCs/>
      <w:i/>
      <w:iCs/>
      <w:sz w:val="22"/>
      <w:szCs w:val="22"/>
    </w:rPr>
  </w:style>
  <w:style w:type="character" w:styleId="757" w:customStyle="1">
    <w:name w:val="Heading 8 Char"/>
    <w:link w:val="721"/>
    <w:uiPriority w:val="9"/>
    <w:qFormat/>
    <w:rPr>
      <w:rFonts w:ascii="Arial" w:hAnsi="Arial" w:eastAsia="Arial" w:cs="Arial"/>
      <w:i/>
      <w:iCs/>
      <w:sz w:val="22"/>
      <w:szCs w:val="22"/>
    </w:rPr>
  </w:style>
  <w:style w:type="character" w:styleId="758" w:customStyle="1">
    <w:name w:val="Heading 9 Char"/>
    <w:link w:val="722"/>
    <w:uiPriority w:val="9"/>
    <w:qFormat/>
    <w:rPr>
      <w:rFonts w:ascii="Arial" w:hAnsi="Arial" w:eastAsia="Arial" w:cs="Arial"/>
      <w:i/>
      <w:iCs/>
      <w:sz w:val="21"/>
      <w:szCs w:val="21"/>
    </w:rPr>
  </w:style>
  <w:style w:type="character" w:styleId="759" w:customStyle="1">
    <w:name w:val="Endnote Text Char"/>
    <w:link w:val="733"/>
    <w:uiPriority w:val="99"/>
    <w:qFormat/>
    <w:rPr>
      <w:sz w:val="20"/>
    </w:rPr>
  </w:style>
  <w:style w:type="character" w:styleId="760" w:customStyle="1">
    <w:name w:val="Caption Char"/>
    <w:link w:val="734"/>
    <w:uiPriority w:val="99"/>
    <w:qFormat/>
  </w:style>
  <w:style w:type="character" w:styleId="761" w:customStyle="1">
    <w:name w:val="Header Char"/>
    <w:link w:val="735"/>
    <w:uiPriority w:val="99"/>
    <w:qFormat/>
  </w:style>
  <w:style w:type="character" w:styleId="762" w:customStyle="1">
    <w:name w:val="Subtitle Char"/>
    <w:link w:val="738"/>
    <w:uiPriority w:val="11"/>
    <w:qFormat/>
    <w:rPr>
      <w:sz w:val="24"/>
      <w:szCs w:val="24"/>
    </w:rPr>
  </w:style>
  <w:style w:type="character" w:styleId="763" w:customStyle="1">
    <w:name w:val="Footnote Text Char"/>
    <w:link w:val="739"/>
    <w:uiPriority w:val="99"/>
    <w:qFormat/>
    <w:rPr>
      <w:sz w:val="18"/>
    </w:rPr>
  </w:style>
  <w:style w:type="character" w:styleId="764" w:customStyle="1">
    <w:name w:val="Title Char"/>
    <w:link w:val="745"/>
    <w:uiPriority w:val="10"/>
    <w:qFormat/>
    <w:rPr>
      <w:sz w:val="48"/>
      <w:szCs w:val="48"/>
    </w:rPr>
  </w:style>
  <w:style w:type="character" w:styleId="765" w:customStyle="1">
    <w:name w:val="Footer Char"/>
    <w:link w:val="734"/>
    <w:uiPriority w:val="99"/>
    <w:qFormat/>
  </w:style>
  <w:style w:type="character" w:styleId="766" w:customStyle="1">
    <w:name w:val="10_0"/>
    <w:uiPriority w:val="0"/>
    <w:qFormat/>
    <w:rPr>
      <w:rFonts w:ascii="Times New Roman" w:hAnsi="Times New Roman" w:cs="Times New Roman"/>
    </w:rPr>
  </w:style>
  <w:style w:type="paragraph" w:styleId="767" w:customStyle="1">
    <w:name w:val="样式1"/>
    <w:basedOn w:val="713"/>
    <w:uiPriority w:val="0"/>
    <w:qFormat/>
    <w:pPr>
      <w:numPr>
        <w:ilvl w:val="0"/>
        <w:numId w:val="1"/>
      </w:numPr>
    </w:pPr>
    <w:rPr>
      <w:rFonts w:ascii="宋体" w:hAnsi="宋体"/>
    </w:rPr>
  </w:style>
  <w:style w:type="paragraph" w:styleId="768" w:customStyle="1">
    <w:name w:val="正文首行缩进 21"/>
    <w:basedOn w:val="769"/>
    <w:next w:val="713"/>
    <w:uiPriority w:val="0"/>
    <w:qFormat/>
    <w:pPr>
      <w:ind w:firstLine="420"/>
      <w:spacing w:line="360" w:lineRule="auto"/>
    </w:pPr>
    <w:rPr>
      <w:rFonts w:ascii="宋体" w:hAnsi="宋体" w:eastAsia="宋体"/>
      <w:sz w:val="21"/>
      <w:szCs w:val="20"/>
    </w:rPr>
  </w:style>
  <w:style w:type="paragraph" w:styleId="769" w:customStyle="1">
    <w:name w:val="正文文本缩进1"/>
    <w:basedOn w:val="713"/>
    <w:next w:val="770"/>
    <w:link w:val="771"/>
    <w:uiPriority w:val="0"/>
    <w:qFormat/>
    <w:pPr>
      <w:ind w:firstLine="645"/>
    </w:pPr>
    <w:rPr>
      <w:rFonts w:ascii="楷体_GB2312" w:eastAsia="楷体_GB2312"/>
      <w:sz w:val="32"/>
      <w:szCs w:val="32"/>
    </w:rPr>
  </w:style>
  <w:style w:type="paragraph" w:styleId="770" w:customStyle="1">
    <w:name w:val="寄信人地址1"/>
    <w:basedOn w:val="713"/>
    <w:uiPriority w:val="0"/>
    <w:qFormat/>
    <w:rPr>
      <w:rFonts w:ascii="Arial" w:hAnsi="Arial"/>
    </w:rPr>
  </w:style>
  <w:style w:type="character" w:styleId="771" w:customStyle="1">
    <w:name w:val="正文文本缩进 字符"/>
    <w:link w:val="769"/>
    <w:uiPriority w:val="0"/>
    <w:qFormat/>
    <w:rPr>
      <w:rFonts w:ascii="楷体_GB2312" w:hAnsi="Times New Roman" w:eastAsia="楷体_GB2312" w:cs="Times New Roman"/>
      <w:sz w:val="32"/>
      <w:szCs w:val="32"/>
    </w:rPr>
  </w:style>
  <w:style w:type="paragraph" w:styleId="772"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73">
    <w:name w:val="List Paragraph"/>
    <w:basedOn w:val="713"/>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713"/>
    <w:next w:val="713"/>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13"/>
    <w:next w:val="713"/>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table" w:styleId="779"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21"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22"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23"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824"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25"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26"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27"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42"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43"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44"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45"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46"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47"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48"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63"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64"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65"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66"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67"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68"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69"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0"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1"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2"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3"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4"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5"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6"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7"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
    <w:basedOn w:val="713"/>
    <w:next w:val="713"/>
    <w:link w:val="906"/>
    <w:uiPriority w:val="0"/>
    <w:qFormat/>
    <w:pPr>
      <w:jc w:val="center"/>
      <w:keepNext/>
      <w:outlineLvl w:val="0"/>
    </w:pPr>
    <w:rPr>
      <w:rFonts w:ascii="楷体_GB2312" w:eastAsia="楷体_GB2312"/>
      <w:sz w:val="28"/>
      <w:szCs w:val="28"/>
    </w:rPr>
  </w:style>
  <w:style w:type="character" w:styleId="906" w:customStyle="1">
    <w:name w:val="标题 1 字符"/>
    <w:link w:val="905"/>
    <w:uiPriority w:val="0"/>
    <w:qFormat/>
    <w:rPr>
      <w:rFonts w:ascii="楷体_GB2312" w:hAnsi="Times New Roman" w:eastAsia="楷体_GB2312" w:cs="Times New Roman"/>
      <w:sz w:val="28"/>
      <w:szCs w:val="28"/>
    </w:rPr>
  </w:style>
  <w:style w:type="paragraph" w:styleId="907" w:customStyle="1">
    <w:name w:val="标题 21"/>
    <w:basedOn w:val="713"/>
    <w:next w:val="713"/>
    <w:link w:val="90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8" w:customStyle="1">
    <w:name w:val="标题 2 字符"/>
    <w:link w:val="907"/>
    <w:uiPriority w:val="0"/>
    <w:qFormat/>
    <w:rPr>
      <w:rFonts w:ascii="Arial" w:hAnsi="Arial" w:eastAsia="幼圆" w:cs="Arial"/>
      <w:b/>
      <w:bCs/>
      <w:sz w:val="44"/>
      <w:szCs w:val="44"/>
    </w:rPr>
  </w:style>
  <w:style w:type="paragraph" w:styleId="909" w:customStyle="1">
    <w:name w:val="标题 31"/>
    <w:basedOn w:val="713"/>
    <w:next w:val="910"/>
    <w:link w:val="911"/>
    <w:uiPriority w:val="0"/>
    <w:qFormat/>
    <w:pPr>
      <w:keepLines/>
      <w:keepNext/>
      <w:spacing w:before="260" w:after="260" w:line="416" w:lineRule="auto"/>
      <w:outlineLvl w:val="2"/>
    </w:pPr>
    <w:rPr>
      <w:b/>
      <w:bCs/>
      <w:sz w:val="32"/>
      <w:szCs w:val="32"/>
    </w:rPr>
  </w:style>
  <w:style w:type="paragraph" w:styleId="910" w:customStyle="1">
    <w:name w:val="正文缩进1"/>
    <w:basedOn w:val="713"/>
    <w:next w:val="713"/>
    <w:link w:val="912"/>
    <w:uiPriority w:val="0"/>
    <w:qFormat/>
    <w:pPr>
      <w:ind w:firstLine="420"/>
    </w:pPr>
  </w:style>
  <w:style w:type="character" w:styleId="911" w:customStyle="1">
    <w:name w:val="标题 3 字符"/>
    <w:link w:val="909"/>
    <w:uiPriority w:val="0"/>
    <w:qFormat/>
    <w:rPr>
      <w:rFonts w:ascii="Times New Roman" w:hAnsi="Times New Roman" w:eastAsia="宋体" w:cs="Times New Roman"/>
      <w:b/>
      <w:bCs/>
      <w:sz w:val="32"/>
      <w:szCs w:val="32"/>
    </w:rPr>
  </w:style>
  <w:style w:type="character" w:styleId="912" w:customStyle="1">
    <w:name w:val="正文缩进 字符"/>
    <w:link w:val="910"/>
    <w:uiPriority w:val="0"/>
    <w:qFormat/>
    <w:rPr>
      <w:rFonts w:ascii="Times New Roman" w:hAnsi="Times New Roman" w:eastAsia="宋体" w:cs="Times New Roman"/>
      <w:szCs w:val="21"/>
    </w:rPr>
  </w:style>
  <w:style w:type="paragraph" w:styleId="913" w:customStyle="1">
    <w:name w:val="标题 41"/>
    <w:basedOn w:val="713"/>
    <w:next w:val="910"/>
    <w:link w:val="914"/>
    <w:uiPriority w:val="0"/>
    <w:qFormat/>
    <w:pPr>
      <w:keepLines/>
      <w:keepNext/>
      <w:spacing w:before="280" w:after="290" w:line="376" w:lineRule="auto"/>
      <w:outlineLvl w:val="3"/>
    </w:pPr>
    <w:rPr>
      <w:rFonts w:ascii="Arial" w:hAnsi="Arial" w:eastAsia="黑体" w:cs="Arial"/>
      <w:b/>
      <w:bCs/>
      <w:sz w:val="28"/>
      <w:szCs w:val="28"/>
    </w:rPr>
  </w:style>
  <w:style w:type="character" w:styleId="914" w:customStyle="1">
    <w:name w:val="标题 4 字符"/>
    <w:link w:val="913"/>
    <w:uiPriority w:val="0"/>
    <w:qFormat/>
    <w:rPr>
      <w:rFonts w:ascii="Arial" w:hAnsi="Arial" w:eastAsia="黑体" w:cs="Arial"/>
      <w:b/>
      <w:bCs/>
      <w:sz w:val="28"/>
      <w:szCs w:val="28"/>
    </w:rPr>
  </w:style>
  <w:style w:type="paragraph" w:styleId="915" w:customStyle="1">
    <w:name w:val="标题 51"/>
    <w:basedOn w:val="713"/>
    <w:next w:val="910"/>
    <w:link w:val="916"/>
    <w:uiPriority w:val="0"/>
    <w:qFormat/>
    <w:pPr>
      <w:keepNext/>
      <w:outlineLvl w:val="4"/>
    </w:pPr>
    <w:rPr>
      <w:rFonts w:ascii="宋体"/>
      <w:color w:val="000000"/>
      <w:sz w:val="28"/>
      <w:szCs w:val="28"/>
    </w:rPr>
  </w:style>
  <w:style w:type="character" w:styleId="916" w:customStyle="1">
    <w:name w:val="标题 5 字符"/>
    <w:link w:val="915"/>
    <w:uiPriority w:val="0"/>
    <w:qFormat/>
    <w:rPr>
      <w:rFonts w:ascii="宋体" w:hAnsi="Times New Roman" w:eastAsia="宋体" w:cs="Times New Roman"/>
      <w:color w:val="000000"/>
      <w:sz w:val="28"/>
      <w:szCs w:val="28"/>
    </w:rPr>
  </w:style>
  <w:style w:type="paragraph" w:styleId="917" w:customStyle="1">
    <w:name w:val="标题 61"/>
    <w:basedOn w:val="713"/>
    <w:next w:val="713"/>
    <w:link w:val="918"/>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18" w:customStyle="1">
    <w:name w:val="标题 6 字符"/>
    <w:link w:val="917"/>
    <w:uiPriority w:val="0"/>
    <w:qFormat/>
    <w:rPr>
      <w:rFonts w:ascii="Arial" w:hAnsi="Arial" w:eastAsia="黑体" w:cs="Times New Roman"/>
      <w:b/>
      <w:bCs/>
      <w:sz w:val="24"/>
      <w:szCs w:val="24"/>
    </w:rPr>
  </w:style>
  <w:style w:type="paragraph" w:styleId="919" w:customStyle="1">
    <w:name w:val="标题 71"/>
    <w:basedOn w:val="713"/>
    <w:next w:val="713"/>
    <w:link w:val="920"/>
    <w:uiPriority w:val="0"/>
    <w:qFormat/>
    <w:pPr>
      <w:numPr>
        <w:ilvl w:val="6"/>
        <w:numId w:val="2"/>
      </w:numPr>
      <w:keepLines/>
      <w:keepNext/>
      <w:spacing w:before="240" w:after="64" w:line="320" w:lineRule="auto"/>
      <w:outlineLvl w:val="6"/>
    </w:pPr>
    <w:rPr>
      <w:b/>
      <w:bCs/>
      <w:sz w:val="24"/>
      <w:szCs w:val="24"/>
    </w:rPr>
  </w:style>
  <w:style w:type="character" w:styleId="920" w:customStyle="1">
    <w:name w:val="标题 7 字符"/>
    <w:link w:val="919"/>
    <w:uiPriority w:val="0"/>
    <w:qFormat/>
    <w:rPr>
      <w:rFonts w:ascii="Times New Roman" w:hAnsi="Times New Roman" w:eastAsia="宋体" w:cs="Times New Roman"/>
      <w:b/>
      <w:bCs/>
      <w:sz w:val="24"/>
      <w:szCs w:val="24"/>
    </w:rPr>
  </w:style>
  <w:style w:type="paragraph" w:styleId="921" w:customStyle="1">
    <w:name w:val="标题 81"/>
    <w:basedOn w:val="713"/>
    <w:next w:val="713"/>
    <w:link w:val="922"/>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22" w:customStyle="1">
    <w:name w:val="标题 8 字符"/>
    <w:link w:val="921"/>
    <w:uiPriority w:val="0"/>
    <w:qFormat/>
    <w:rPr>
      <w:rFonts w:ascii="Arial" w:hAnsi="Arial" w:eastAsia="黑体" w:cs="Times New Roman"/>
      <w:sz w:val="24"/>
      <w:szCs w:val="24"/>
    </w:rPr>
  </w:style>
  <w:style w:type="paragraph" w:styleId="923" w:customStyle="1">
    <w:name w:val="标题 91"/>
    <w:basedOn w:val="713"/>
    <w:next w:val="713"/>
    <w:link w:val="924"/>
    <w:uiPriority w:val="0"/>
    <w:qFormat/>
    <w:pPr>
      <w:numPr>
        <w:ilvl w:val="8"/>
        <w:numId w:val="2"/>
      </w:numPr>
      <w:keepLines/>
      <w:keepNext/>
      <w:spacing w:before="240" w:after="64" w:line="320" w:lineRule="auto"/>
      <w:outlineLvl w:val="8"/>
    </w:pPr>
    <w:rPr>
      <w:rFonts w:ascii="Arial" w:hAnsi="Arial" w:eastAsia="黑体"/>
    </w:rPr>
  </w:style>
  <w:style w:type="character" w:styleId="924" w:customStyle="1">
    <w:name w:val="标题 9 字符"/>
    <w:link w:val="923"/>
    <w:uiPriority w:val="0"/>
    <w:qFormat/>
    <w:rPr>
      <w:rFonts w:ascii="Arial" w:hAnsi="Arial" w:eastAsia="黑体" w:cs="Times New Roman"/>
      <w:szCs w:val="21"/>
    </w:rPr>
  </w:style>
  <w:style w:type="character" w:styleId="925" w:customStyle="1">
    <w:name w:val="默认段落字体1"/>
    <w:uiPriority w:val="1"/>
    <w:unhideWhenUsed/>
    <w:qFormat/>
  </w:style>
  <w:style w:type="table" w:styleId="926" w:customStyle="1">
    <w:name w:val="普通表格1"/>
    <w:uiPriority w:val="99"/>
    <w:unhideWhenUsed/>
    <w:qFormat/>
    <w:tblPr/>
  </w:style>
  <w:style w:type="paragraph" w:styleId="927" w:customStyle="1">
    <w:name w:val="列表 31"/>
    <w:basedOn w:val="713"/>
    <w:uiPriority w:val="0"/>
    <w:qFormat/>
    <w:pPr>
      <w:ind w:left="100" w:hanging="200"/>
    </w:pPr>
  </w:style>
  <w:style w:type="paragraph" w:styleId="928" w:customStyle="1">
    <w:name w:val="文档结构图1"/>
    <w:basedOn w:val="713"/>
    <w:link w:val="929"/>
    <w:uiPriority w:val="0"/>
    <w:semiHidden/>
    <w:qFormat/>
    <w:pPr>
      <w:shd w:val="clear" w:color="auto" w:fill="000080"/>
    </w:pPr>
  </w:style>
  <w:style w:type="character" w:styleId="929" w:customStyle="1">
    <w:name w:val="文档结构图 字符"/>
    <w:link w:val="928"/>
    <w:uiPriority w:val="0"/>
    <w:semiHidden/>
    <w:qFormat/>
    <w:rPr>
      <w:rFonts w:ascii="Times New Roman" w:hAnsi="Times New Roman" w:eastAsia="宋体" w:cs="Times New Roman"/>
      <w:szCs w:val="21"/>
      <w:shd w:val="clear" w:color="auto" w:fill="000080"/>
    </w:rPr>
  </w:style>
  <w:style w:type="paragraph" w:styleId="930" w:customStyle="1">
    <w:name w:val="批注文字1"/>
    <w:basedOn w:val="713"/>
    <w:link w:val="931"/>
    <w:uiPriority w:val="0"/>
    <w:semiHidden/>
    <w:qFormat/>
    <w:pPr>
      <w:jc w:val="left"/>
    </w:pPr>
  </w:style>
  <w:style w:type="character" w:styleId="931" w:customStyle="1">
    <w:name w:val="批注文字 字符"/>
    <w:link w:val="930"/>
    <w:uiPriority w:val="0"/>
    <w:semiHidden/>
    <w:qFormat/>
    <w:rPr>
      <w:rFonts w:ascii="Times New Roman" w:hAnsi="Times New Roman" w:eastAsia="宋体" w:cs="Times New Roman"/>
      <w:szCs w:val="21"/>
    </w:rPr>
  </w:style>
  <w:style w:type="paragraph" w:styleId="932" w:customStyle="1">
    <w:name w:val="正文文本 31"/>
    <w:basedOn w:val="713"/>
    <w:link w:val="933"/>
    <w:uiPriority w:val="0"/>
    <w:qFormat/>
    <w:rPr>
      <w:rFonts w:ascii="仿宋_GB2312" w:hAnsi="Arial" w:eastAsia="仿宋_GB2312"/>
      <w:sz w:val="32"/>
      <w:szCs w:val="32"/>
    </w:rPr>
  </w:style>
  <w:style w:type="character" w:styleId="933" w:customStyle="1">
    <w:name w:val="正文文本 3 字符"/>
    <w:link w:val="932"/>
    <w:uiPriority w:val="0"/>
    <w:qFormat/>
    <w:rPr>
      <w:rFonts w:ascii="仿宋_GB2312" w:hAnsi="Arial" w:eastAsia="仿宋_GB2312" w:cs="Times New Roman"/>
      <w:sz w:val="32"/>
      <w:szCs w:val="32"/>
    </w:rPr>
  </w:style>
  <w:style w:type="paragraph" w:styleId="934" w:customStyle="1">
    <w:name w:val="正文文本1"/>
    <w:basedOn w:val="713"/>
    <w:next w:val="713"/>
    <w:link w:val="935"/>
    <w:uiPriority w:val="0"/>
    <w:qFormat/>
    <w:rPr>
      <w:rFonts w:ascii="楷体_GB2312" w:hAnsi="Arial" w:eastAsia="楷体_GB2312"/>
      <w:sz w:val="28"/>
      <w:szCs w:val="28"/>
    </w:rPr>
  </w:style>
  <w:style w:type="character" w:styleId="935" w:customStyle="1">
    <w:name w:val="正文文本 字符"/>
    <w:link w:val="934"/>
    <w:uiPriority w:val="0"/>
    <w:qFormat/>
    <w:rPr>
      <w:rFonts w:ascii="楷体_GB2312" w:hAnsi="Arial" w:eastAsia="楷体_GB2312" w:cs="Times New Roman"/>
      <w:sz w:val="28"/>
      <w:szCs w:val="28"/>
    </w:rPr>
  </w:style>
  <w:style w:type="paragraph" w:styleId="936" w:customStyle="1">
    <w:name w:val="列表 21"/>
    <w:basedOn w:val="713"/>
    <w:uiPriority w:val="0"/>
    <w:qFormat/>
    <w:pPr>
      <w:ind w:left="100" w:hanging="200"/>
    </w:pPr>
  </w:style>
  <w:style w:type="paragraph" w:styleId="937" w:customStyle="1">
    <w:name w:val="纯文本1"/>
    <w:basedOn w:val="713"/>
    <w:link w:val="938"/>
    <w:uiPriority w:val="0"/>
    <w:qFormat/>
    <w:rPr>
      <w:rFonts w:ascii="宋体" w:hAnsi="Courier New" w:cs="Courier New"/>
    </w:rPr>
  </w:style>
  <w:style w:type="character" w:styleId="938" w:customStyle="1">
    <w:name w:val="纯文本 字符"/>
    <w:link w:val="937"/>
    <w:uiPriority w:val="0"/>
    <w:qFormat/>
    <w:rPr>
      <w:rFonts w:ascii="宋体" w:hAnsi="Courier New" w:eastAsia="宋体" w:cs="Courier New"/>
      <w:szCs w:val="21"/>
    </w:rPr>
  </w:style>
  <w:style w:type="paragraph" w:styleId="939" w:customStyle="1">
    <w:name w:val="日期1"/>
    <w:basedOn w:val="713"/>
    <w:next w:val="713"/>
    <w:link w:val="940"/>
    <w:uiPriority w:val="0"/>
    <w:qFormat/>
    <w:rPr>
      <w:sz w:val="24"/>
      <w:szCs w:val="24"/>
    </w:rPr>
  </w:style>
  <w:style w:type="character" w:styleId="940" w:customStyle="1">
    <w:name w:val="日期 字符"/>
    <w:link w:val="939"/>
    <w:uiPriority w:val="0"/>
    <w:qFormat/>
    <w:rPr>
      <w:rFonts w:ascii="Times New Roman" w:hAnsi="Times New Roman" w:eastAsia="宋体" w:cs="Times New Roman"/>
      <w:sz w:val="24"/>
      <w:szCs w:val="24"/>
    </w:rPr>
  </w:style>
  <w:style w:type="paragraph" w:styleId="941" w:customStyle="1">
    <w:name w:val="正文文本缩进 21"/>
    <w:basedOn w:val="713"/>
    <w:link w:val="942"/>
    <w:uiPriority w:val="0"/>
    <w:qFormat/>
    <w:pPr>
      <w:ind w:left="630" w:firstLine="645"/>
    </w:pPr>
    <w:rPr>
      <w:rFonts w:ascii="Arial" w:hAnsi="Arial" w:eastAsia="仿宋_GB2312" w:cs="Arial"/>
      <w:sz w:val="32"/>
      <w:szCs w:val="32"/>
    </w:rPr>
  </w:style>
  <w:style w:type="character" w:styleId="942" w:customStyle="1">
    <w:name w:val="正文文本缩进 2 字符"/>
    <w:link w:val="941"/>
    <w:uiPriority w:val="0"/>
    <w:qFormat/>
    <w:rPr>
      <w:rFonts w:ascii="Arial" w:hAnsi="Arial" w:eastAsia="仿宋_GB2312" w:cs="Arial"/>
      <w:sz w:val="32"/>
      <w:szCs w:val="32"/>
    </w:rPr>
  </w:style>
  <w:style w:type="paragraph" w:styleId="943" w:customStyle="1">
    <w:name w:val="批注框文本1"/>
    <w:basedOn w:val="713"/>
    <w:link w:val="944"/>
    <w:uiPriority w:val="0"/>
    <w:semiHidden/>
    <w:qFormat/>
    <w:rPr>
      <w:sz w:val="18"/>
      <w:szCs w:val="18"/>
    </w:rPr>
  </w:style>
  <w:style w:type="character" w:styleId="944" w:customStyle="1">
    <w:name w:val="批注框文本 字符"/>
    <w:link w:val="943"/>
    <w:uiPriority w:val="0"/>
    <w:semiHidden/>
    <w:qFormat/>
    <w:rPr>
      <w:rFonts w:ascii="Times New Roman" w:hAnsi="Times New Roman" w:eastAsia="宋体" w:cs="Times New Roman"/>
      <w:sz w:val="18"/>
      <w:szCs w:val="18"/>
    </w:rPr>
  </w:style>
  <w:style w:type="paragraph" w:styleId="945" w:customStyle="1">
    <w:name w:val="页脚1"/>
    <w:basedOn w:val="713"/>
    <w:link w:val="946"/>
    <w:uiPriority w:val="0"/>
    <w:qFormat/>
    <w:pPr>
      <w:jc w:val="left"/>
      <w:tabs>
        <w:tab w:val="center" w:pos="4153" w:leader="none"/>
        <w:tab w:val="right" w:pos="8306" w:leader="none"/>
      </w:tabs>
    </w:pPr>
    <w:rPr>
      <w:sz w:val="18"/>
      <w:szCs w:val="18"/>
    </w:rPr>
  </w:style>
  <w:style w:type="character" w:styleId="946" w:customStyle="1">
    <w:name w:val="页脚 字符"/>
    <w:link w:val="945"/>
    <w:uiPriority w:val="0"/>
    <w:qFormat/>
    <w:rPr>
      <w:rFonts w:ascii="Times New Roman" w:hAnsi="Times New Roman" w:eastAsia="宋体" w:cs="Times New Roman"/>
      <w:sz w:val="18"/>
      <w:szCs w:val="18"/>
    </w:rPr>
  </w:style>
  <w:style w:type="paragraph" w:styleId="947" w:customStyle="1">
    <w:name w:val="页眉1"/>
    <w:basedOn w:val="713"/>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字符"/>
    <w:link w:val="947"/>
    <w:uiPriority w:val="0"/>
    <w:qFormat/>
    <w:rPr>
      <w:rFonts w:ascii="Times New Roman" w:hAnsi="Times New Roman" w:eastAsia="宋体" w:cs="Times New Roman"/>
      <w:sz w:val="18"/>
      <w:szCs w:val="18"/>
    </w:rPr>
  </w:style>
  <w:style w:type="paragraph" w:styleId="949" w:customStyle="1">
    <w:name w:val="列表1"/>
    <w:basedOn w:val="713"/>
    <w:uiPriority w:val="0"/>
    <w:qFormat/>
    <w:pPr>
      <w:ind w:left="200" w:hanging="200"/>
    </w:pPr>
  </w:style>
  <w:style w:type="paragraph" w:styleId="950" w:customStyle="1">
    <w:name w:val="正文文本缩进 31"/>
    <w:basedOn w:val="713"/>
    <w:link w:val="951"/>
    <w:uiPriority w:val="0"/>
    <w:qFormat/>
    <w:pPr>
      <w:ind w:left="645" w:firstLine="645"/>
    </w:pPr>
    <w:rPr>
      <w:rFonts w:ascii="Arial" w:hAnsi="Arial" w:eastAsia="仿宋_GB2312" w:cs="Arial"/>
      <w:color w:val="ffff00"/>
      <w:sz w:val="32"/>
      <w:szCs w:val="32"/>
    </w:rPr>
  </w:style>
  <w:style w:type="character" w:styleId="951" w:customStyle="1">
    <w:name w:val="正文文本缩进 3 字符"/>
    <w:link w:val="950"/>
    <w:uiPriority w:val="0"/>
    <w:qFormat/>
    <w:rPr>
      <w:rFonts w:ascii="Arial" w:hAnsi="Arial" w:eastAsia="仿宋_GB2312" w:cs="Arial"/>
      <w:color w:val="ffff00"/>
      <w:sz w:val="32"/>
      <w:szCs w:val="32"/>
    </w:rPr>
  </w:style>
  <w:style w:type="paragraph" w:styleId="952" w:customStyle="1">
    <w:name w:val="图表目录1"/>
    <w:basedOn w:val="713"/>
    <w:next w:val="713"/>
    <w:uiPriority w:val="0"/>
    <w:semiHidden/>
    <w:qFormat/>
    <w:pPr>
      <w:ind w:left="840" w:hanging="420"/>
    </w:pPr>
  </w:style>
  <w:style w:type="paragraph" w:styleId="953" w:customStyle="1">
    <w:name w:val="正文文本 21"/>
    <w:basedOn w:val="713"/>
    <w:link w:val="954"/>
    <w:uiPriority w:val="0"/>
    <w:qFormat/>
    <w:pPr>
      <w:jc w:val="center"/>
      <w:widowControl/>
    </w:pPr>
    <w:rPr>
      <w:rFonts w:ascii="楷体_GB2312" w:eastAsia="楷体_GB2312"/>
      <w:sz w:val="28"/>
      <w:szCs w:val="28"/>
    </w:rPr>
  </w:style>
  <w:style w:type="character" w:styleId="954" w:customStyle="1">
    <w:name w:val="正文文本 2 字符"/>
    <w:link w:val="953"/>
    <w:uiPriority w:val="0"/>
    <w:qFormat/>
    <w:rPr>
      <w:rFonts w:ascii="楷体_GB2312" w:hAnsi="Times New Roman" w:eastAsia="楷体_GB2312" w:cs="Times New Roman"/>
      <w:sz w:val="28"/>
      <w:szCs w:val="28"/>
    </w:rPr>
  </w:style>
  <w:style w:type="paragraph" w:styleId="955" w:customStyle="1">
    <w:name w:val="普通(网站)1"/>
    <w:basedOn w:val="713"/>
    <w:uiPriority w:val="99"/>
    <w:qFormat/>
    <w:pPr>
      <w:jc w:val="left"/>
      <w:spacing w:before="100" w:beforeAutospacing="1" w:after="100" w:afterAutospacing="1"/>
      <w:widowControl/>
    </w:pPr>
    <w:rPr>
      <w:rFonts w:ascii="宋体" w:hAnsi="宋体" w:cs="宋体"/>
      <w:sz w:val="24"/>
      <w:szCs w:val="24"/>
    </w:rPr>
  </w:style>
  <w:style w:type="paragraph" w:styleId="956" w:customStyle="1">
    <w:name w:val="索引 11"/>
    <w:basedOn w:val="713"/>
    <w:next w:val="713"/>
    <w:uiPriority w:val="0"/>
    <w:semiHidden/>
    <w:qFormat/>
    <w:pPr>
      <w:spacing w:line="240" w:lineRule="atLeast"/>
    </w:pPr>
    <w:rPr>
      <w:b/>
      <w:bCs/>
    </w:rPr>
  </w:style>
  <w:style w:type="paragraph" w:styleId="957" w:customStyle="1">
    <w:name w:val="批注主题1"/>
    <w:basedOn w:val="930"/>
    <w:next w:val="930"/>
    <w:link w:val="958"/>
    <w:uiPriority w:val="0"/>
    <w:semiHidden/>
    <w:qFormat/>
    <w:rPr>
      <w:b/>
      <w:bCs/>
    </w:rPr>
  </w:style>
  <w:style w:type="character" w:styleId="958" w:customStyle="1">
    <w:name w:val="批注主题 字符"/>
    <w:link w:val="957"/>
    <w:uiPriority w:val="0"/>
    <w:semiHidden/>
    <w:qFormat/>
    <w:rPr>
      <w:rFonts w:ascii="Times New Roman" w:hAnsi="Times New Roman" w:eastAsia="宋体" w:cs="Times New Roman"/>
      <w:b/>
      <w:bCs/>
      <w:szCs w:val="21"/>
    </w:rPr>
  </w:style>
  <w:style w:type="paragraph" w:styleId="959" w:customStyle="1">
    <w:name w:val="正文文本首行缩进"/>
    <w:basedOn w:val="713"/>
    <w:link w:val="960"/>
    <w:uiPriority w:val="0"/>
    <w:qFormat/>
    <w:pPr>
      <w:ind w:firstLine="200"/>
      <w:spacing w:line="360" w:lineRule="auto"/>
    </w:pPr>
    <w:rPr>
      <w:rFonts w:ascii="仿宋_GB2312" w:eastAsia="仿宋_GB2312"/>
      <w:sz w:val="30"/>
      <w:szCs w:val="30"/>
    </w:rPr>
  </w:style>
  <w:style w:type="character" w:styleId="960" w:customStyle="1">
    <w:name w:val="正文文本首行缩进 字符"/>
    <w:link w:val="959"/>
    <w:uiPriority w:val="0"/>
    <w:qFormat/>
    <w:rPr>
      <w:rFonts w:ascii="仿宋_GB2312" w:hAnsi="Times New Roman" w:eastAsia="仿宋_GB2312" w:cs="Times New Roman"/>
      <w:sz w:val="30"/>
      <w:szCs w:val="30"/>
    </w:rPr>
  </w:style>
  <w:style w:type="paragraph" w:styleId="961" w:customStyle="1">
    <w:name w:val="正文文本首行缩进 2"/>
    <w:basedOn w:val="769"/>
    <w:link w:val="962"/>
    <w:uiPriority w:val="0"/>
    <w:qFormat/>
    <w:pPr>
      <w:ind w:firstLine="420"/>
      <w:spacing w:line="360" w:lineRule="auto"/>
    </w:pPr>
    <w:rPr>
      <w:rFonts w:ascii="宋体" w:hAnsi="宋体" w:eastAsia="宋体"/>
      <w:sz w:val="21"/>
      <w:szCs w:val="20"/>
    </w:rPr>
  </w:style>
  <w:style w:type="character" w:styleId="962" w:customStyle="1">
    <w:name w:val="正文文本首行缩进 2 字符"/>
    <w:link w:val="961"/>
    <w:uiPriority w:val="0"/>
    <w:qFormat/>
    <w:rPr>
      <w:rFonts w:ascii="宋体" w:hAnsi="宋体" w:eastAsia="宋体" w:cs="Times New Roman"/>
      <w:sz w:val="32"/>
      <w:szCs w:val="20"/>
    </w:rPr>
  </w:style>
  <w:style w:type="table" w:styleId="963" w:customStyle="1">
    <w:name w:val="网格型1"/>
    <w:basedOn w:val="926"/>
    <w:uiPriority w:val="0"/>
    <w:qFormat/>
    <w:pPr>
      <w:jc w:val="both"/>
      <w:widowControl w:val="off"/>
    </w:pPr>
    <w:rPr>
      <w:rFonts w:ascii="Times New Roman" w:hAnsi="Times New Roman" w:eastAsia="宋体" w:cs="Times New Roman"/>
      <w:sz w:val="20"/>
      <w:szCs w:val="20"/>
    </w:rPr>
    <w:tblPr/>
  </w:style>
  <w:style w:type="character" w:styleId="964" w:customStyle="1">
    <w:name w:val="要点1"/>
    <w:uiPriority w:val="0"/>
    <w:qFormat/>
    <w:rPr>
      <w:b/>
      <w:bCs/>
    </w:rPr>
  </w:style>
  <w:style w:type="character" w:styleId="965" w:customStyle="1">
    <w:name w:val="页码1"/>
    <w:uiPriority w:val="0"/>
    <w:qFormat/>
  </w:style>
  <w:style w:type="character" w:styleId="966" w:customStyle="1">
    <w:name w:val="访问过的超链接"/>
    <w:uiPriority w:val="0"/>
    <w:qFormat/>
    <w:rPr>
      <w:color w:val="800080"/>
      <w:u w:val="single"/>
    </w:rPr>
  </w:style>
  <w:style w:type="character" w:styleId="967" w:customStyle="1">
    <w:name w:val="超链接1"/>
    <w:uiPriority w:val="0"/>
    <w:qFormat/>
    <w:rPr>
      <w:color w:val="0000ff"/>
      <w:u w:val="single"/>
    </w:rPr>
  </w:style>
  <w:style w:type="character" w:styleId="968" w:customStyle="1">
    <w:name w:val="批注引用1"/>
    <w:uiPriority w:val="0"/>
    <w:semiHidden/>
    <w:qFormat/>
    <w:rPr>
      <w:sz w:val="21"/>
      <w:szCs w:val="21"/>
    </w:rPr>
  </w:style>
  <w:style w:type="paragraph" w:styleId="969" w:customStyle="1">
    <w:name w:val="正文空2字"/>
    <w:basedOn w:val="970"/>
    <w:uiPriority w:val="99"/>
    <w:qFormat/>
    <w:pPr>
      <w:ind w:firstLine="640"/>
      <w:spacing w:line="560" w:lineRule="exact"/>
      <w:widowControl w:val="off"/>
    </w:pPr>
    <w:rPr>
      <w:rFonts w:ascii="仿宋_GB2312" w:hAnsi="仿宋_GB2312" w:cs="仿宋_GB2312"/>
      <w:lang w:val="zh-TW"/>
    </w:rPr>
  </w:style>
  <w:style w:type="paragraph" w:styleId="970" w:customStyle="1">
    <w:name w:val="左对齐正文"/>
    <w:uiPriority w:val="99"/>
    <w:qFormat/>
    <w:rPr>
      <w:rFonts w:hint="default" w:ascii="Calibri" w:hAnsi="Calibri" w:eastAsia="仿宋_GB2312" w:cs="Calibri"/>
      <w:sz w:val="32"/>
      <w:szCs w:val="32"/>
      <w:lang w:val="en-US" w:eastAsia="zh-CN" w:bidi="ar-SA"/>
    </w:rPr>
  </w:style>
  <w:style w:type="paragraph" w:styleId="971" w:customStyle="1">
    <w:name w:val="索引 41"/>
    <w:basedOn w:val="713"/>
    <w:next w:val="713"/>
    <w:uiPriority w:val="0"/>
    <w:semiHidden/>
    <w:qFormat/>
    <w:pPr>
      <w:ind w:left="1260"/>
    </w:pPr>
    <w:rPr>
      <w:rFonts w:ascii="Calibri" w:hAnsi="Calibri" w:eastAsia="Calibri" w:cs="宋体"/>
      <w:sz w:val="20"/>
      <w:lang w:val="zh-CN"/>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13"/>
    <w:link w:val="973"/>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13"/>
    <w:link w:val="975"/>
    <w:uiPriority w:val="0"/>
    <w:qFormat/>
    <w:pPr>
      <w:contextualSpacing/>
      <w:ind w:left="720"/>
      <w:jc w:val="left"/>
      <w:widowControl/>
    </w:pPr>
    <w:rPr>
      <w:rFonts w:ascii="Calibri" w:hAnsi="Calibri" w:eastAsia="宋体" w:cs="Times New Roman"/>
      <w:sz w:val="24"/>
      <w:szCs w:val="24"/>
      <w:lang w:eastAsia="en-US" w:bidi="en-US"/>
    </w:rPr>
  </w:style>
  <w:style w:type="paragraph" w:styleId="977" w:customStyle="1">
    <w:name w:val="Body Text(ch)"/>
    <w:basedOn w:val="713"/>
    <w:next w:val="934"/>
    <w:uiPriority w:val="0"/>
    <w:qFormat/>
    <w:pPr>
      <w:spacing w:after="120"/>
    </w:pPr>
    <w:rPr>
      <w:rFonts w:ascii="宋体" w:hAnsi="Arial"/>
      <w:bCs/>
      <w:iCs/>
      <w:szCs w:val="24"/>
    </w:rPr>
  </w:style>
  <w:style w:type="paragraph" w:styleId="978"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13"/>
    <w:uiPriority w:val="0"/>
    <w:qFormat/>
    <w:pPr>
      <w:ind w:firstLine="200"/>
      <w:tabs>
        <w:tab w:val="left" w:pos="360" w:leader="none"/>
      </w:tabs>
    </w:pPr>
    <w:rPr>
      <w:sz w:val="28"/>
      <w:szCs w:val="30"/>
    </w:rPr>
  </w:style>
  <w:style w:type="paragraph" w:styleId="981" w:customStyle="1">
    <w:name w:val=" Char"/>
    <w:basedOn w:val="928"/>
    <w:uiPriority w:val="0"/>
    <w:qFormat/>
    <w:rPr>
      <w:rFonts w:ascii="Tahoma" w:hAnsi="Tahoma"/>
      <w:sz w:val="24"/>
      <w:szCs w:val="24"/>
    </w:rPr>
  </w:style>
  <w:style w:type="paragraph" w:styleId="982" w:customStyle="1">
    <w:name w:val="普通正文"/>
    <w:basedOn w:val="713"/>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13"/>
    <w:uiPriority w:val="0"/>
    <w:qFormat/>
    <w:pPr>
      <w:jc w:val="left"/>
      <w:widowControl/>
    </w:pPr>
    <w:rPr>
      <w:sz w:val="20"/>
      <w:szCs w:val="20"/>
      <w:lang w:val="de-DE" w:eastAsia="de-DE"/>
    </w:rPr>
  </w:style>
  <w:style w:type="paragraph" w:styleId="98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font7"/>
    <w:basedOn w:val="713"/>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 Char Char Char Char"/>
    <w:basedOn w:val="928"/>
    <w:uiPriority w:val="0"/>
    <w:qFormat/>
    <w:pPr>
      <w:spacing w:line="360" w:lineRule="auto"/>
    </w:pPr>
    <w:rPr>
      <w:rFonts w:ascii="Tahoma" w:hAnsi="Tahoma"/>
      <w:sz w:val="24"/>
      <w:szCs w:val="24"/>
    </w:rPr>
  </w:style>
  <w:style w:type="paragraph" w:styleId="987" w:customStyle="1">
    <w:name w:val="列表段落"/>
    <w:basedOn w:val="713"/>
    <w:uiPriority w:val="99"/>
    <w:qFormat/>
    <w:pPr>
      <w:contextualSpacing/>
      <w:ind w:left="720"/>
      <w:jc w:val="left"/>
      <w:widowControl/>
    </w:pPr>
    <w:rPr>
      <w:rFonts w:ascii="Calibri" w:hAnsi="Calibri"/>
      <w:sz w:val="24"/>
      <w:szCs w:val="24"/>
      <w:lang w:eastAsia="en-US" w:bidi="en-US"/>
    </w:rPr>
  </w:style>
  <w:style w:type="paragraph" w:styleId="988" w:customStyle="1">
    <w:name w:val="4"/>
    <w:basedOn w:val="713"/>
    <w:next w:val="950"/>
    <w:uiPriority w:val="0"/>
    <w:qFormat/>
    <w:pPr>
      <w:ind w:firstLine="420"/>
      <w:spacing w:line="360" w:lineRule="auto"/>
    </w:pPr>
    <w:rPr>
      <w:color w:val="ff0000"/>
      <w:sz w:val="24"/>
      <w:szCs w:val="24"/>
    </w:rPr>
  </w:style>
  <w:style w:type="paragraph" w:styleId="989" w:customStyle="1">
    <w:name w:val="普通 (Web)"/>
    <w:basedOn w:val="713"/>
    <w:uiPriority w:val="0"/>
    <w:qFormat/>
    <w:pPr>
      <w:jc w:val="left"/>
      <w:spacing w:before="100" w:beforeAutospacing="1" w:after="100" w:afterAutospacing="1"/>
      <w:widowControl/>
    </w:pPr>
    <w:rPr>
      <w:rFonts w:ascii="宋体" w:hAnsi="宋体"/>
      <w:sz w:val="24"/>
      <w:szCs w:val="24"/>
    </w:rPr>
  </w:style>
  <w:style w:type="paragraph" w:styleId="990" w:customStyle="1">
    <w:name w:val=" Char Char Char Char Char Char Char Char Char Char"/>
    <w:basedOn w:val="713"/>
    <w:uiPriority w:val="0"/>
    <w:qFormat/>
    <w:pPr>
      <w:spacing w:line="360" w:lineRule="auto"/>
    </w:pPr>
    <w:rPr>
      <w:sz w:val="24"/>
      <w:szCs w:val="20"/>
    </w:rPr>
  </w:style>
  <w:style w:type="paragraph" w:styleId="991" w:customStyle="1">
    <w:name w:val="font6"/>
    <w:basedOn w:val="713"/>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713"/>
    <w:next w:val="713"/>
    <w:uiPriority w:val="0"/>
    <w:qFormat/>
    <w:pPr>
      <w:ind w:firstLine="624"/>
      <w:spacing w:line="590" w:lineRule="atLeast"/>
    </w:pPr>
    <w:rPr>
      <w:rFonts w:ascii="方正黑体_GBK" w:eastAsia="方正黑体_GBK"/>
      <w:sz w:val="32"/>
      <w:szCs w:val="32"/>
    </w:rPr>
  </w:style>
  <w:style w:type="paragraph" w:styleId="995"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713"/>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
    <w:basedOn w:val="928"/>
    <w:uiPriority w:val="0"/>
    <w:qFormat/>
    <w:pPr>
      <w:spacing w:line="360" w:lineRule="auto"/>
    </w:pPr>
    <w:rPr>
      <w:rFonts w:ascii="Tahoma" w:hAnsi="Tahoma"/>
      <w:sz w:val="24"/>
      <w:szCs w:val="24"/>
    </w:rPr>
  </w:style>
  <w:style w:type="paragraph" w:styleId="1002" w:customStyle="1">
    <w:name w:val="table_1stline"/>
    <w:basedOn w:val="713"/>
    <w:uiPriority w:val="0"/>
    <w:qFormat/>
    <w:pPr>
      <w:jc w:val="left"/>
      <w:spacing w:before="120"/>
      <w:widowControl/>
    </w:pPr>
    <w:rPr>
      <w:bCs/>
      <w:sz w:val="20"/>
      <w:szCs w:val="20"/>
      <w:lang w:val="de-DE" w:eastAsia="de-DE"/>
    </w:rPr>
  </w:style>
  <w:style w:type="paragraph" w:styleId="1003" w:customStyle="1">
    <w:name w:val="font5"/>
    <w:basedOn w:val="713"/>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713"/>
    <w:next w:val="7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7" w:customStyle="1">
    <w:name w:val="Table Normal"/>
    <w:uiPriority w:val="0"/>
    <w:qFormat/>
    <w:rPr>
      <w:lang w:val="en-US" w:eastAsia="zh-CN" w:bidi="ar-SA"/>
    </w:rPr>
    <w:tblPr/>
  </w:style>
  <w:style w:type="paragraph" w:styleId="100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Normal_6_0"/>
    <w:uiPriority w:val="0"/>
    <w:qFormat/>
    <w:rPr>
      <w:rFonts w:hint="default" w:ascii="黑体" w:hAnsi="黑体" w:eastAsia="黑体" w:cs="黑体"/>
      <w:b/>
      <w:sz w:val="32"/>
      <w:szCs w:val="24"/>
      <w:lang w:val="en-US" w:eastAsia="zh-CN" w:bidi="ar-SA"/>
    </w:rPr>
  </w:style>
  <w:style w:type="paragraph" w:styleId="101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1" w:customStyle="1">
    <w:name w:val="正文_2"/>
    <w:next w:val="101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文本_0"/>
    <w:basedOn w:val="1013"/>
    <w:next w:val="1011"/>
    <w:uiPriority w:val="0"/>
    <w:unhideWhenUsed/>
    <w:qFormat/>
    <w:pPr>
      <w:ind w:left="72" w:right="30"/>
      <w:jc w:val="center"/>
      <w:spacing w:after="60" w:line="360" w:lineRule="atLeast"/>
      <w:widowControl w:val="off"/>
    </w:pPr>
    <w:rPr>
      <w:rFonts w:ascii="Calibri" w:hAnsi="Calibri" w:eastAsia="宋体" w:cs="Times New Roman"/>
      <w:sz w:val="21"/>
      <w:szCs w:val="22"/>
      <w:lang w:val="en-US" w:eastAsia="zh-CN" w:bidi="ar-SA"/>
    </w:rPr>
  </w:style>
  <w:style w:type="paragraph" w:styleId="1013" w:customStyle="1">
    <w:name w:val="正文_4_0"/>
    <w:uiPriority w:val="0"/>
    <w:qFormat/>
    <w:pPr>
      <w:jc w:val="both"/>
      <w:widowControl w:val="off"/>
    </w:pPr>
    <w:rPr>
      <w:rFonts w:hint="default" w:ascii="Arial" w:hAnsi="Arial" w:eastAsia="Arial" w:cs="Times New Roman"/>
      <w:sz w:val="21"/>
      <w:szCs w:val="22"/>
      <w:lang w:val="en-US" w:eastAsia="zh-CN" w:bidi="ar-SA"/>
    </w:rPr>
  </w:style>
  <w:style w:type="paragraph" w:styleId="1014" w:customStyle="1">
    <w:name w:val="正文文本12"/>
    <w:basedOn w:val="713"/>
    <w:uiPriority w:val="1"/>
    <w:qFormat/>
    <w:pPr>
      <w:ind w:left="120"/>
    </w:pPr>
    <w:rPr>
      <w:rFonts w:ascii="宋体" w:hAnsi="宋体" w:eastAsia="宋体" w:cs="宋体"/>
      <w:sz w:val="21"/>
      <w:szCs w:val="21"/>
      <w:lang w:val="zh-CN" w:eastAsia="zh-CN" w:bidi="zh-CN"/>
    </w:rPr>
  </w:style>
  <w:style w:type="paragraph" w:styleId="1015" w:customStyle="1">
    <w:name w:val="正文2"/>
    <w:basedOn w:val="713"/>
    <w:uiPriority w:val="0"/>
    <w:qFormat/>
    <w:pPr>
      <w:ind w:firstLine="510"/>
      <w:spacing w:before="156" w:line="360" w:lineRule="auto"/>
    </w:pPr>
    <w:rPr>
      <w:sz w:val="24"/>
      <w:szCs w:val="20"/>
    </w:rPr>
  </w:style>
  <w:style w:type="paragraph" w:styleId="1016" w:customStyle="1">
    <w:name w:val="首行缩进"/>
    <w:basedOn w:val="713"/>
    <w:uiPriority w:val="0"/>
    <w:qFormat/>
    <w:pPr>
      <w:ind w:firstLine="480"/>
    </w:pPr>
    <w:rPr>
      <w:rFonts w:ascii="Times New Roman" w:hAnsi="Times New Roman" w:cs="Times New Roman"/>
      <w:lang w:val="zh-CN"/>
    </w:rPr>
  </w:style>
  <w:style w:type="paragraph" w:styleId="1017" w:customStyle="1">
    <w:name w:val="Normal_18_0"/>
    <w:uiPriority w:val="0"/>
    <w:qFormat/>
    <w:rPr>
      <w:rFonts w:hint="default" w:ascii="黑体" w:hAnsi="黑体" w:eastAsia="黑体" w:cs="黑体"/>
      <w:b/>
      <w:sz w:val="32"/>
      <w:szCs w:val="24"/>
      <w:lang w:val="en-US" w:eastAsia="zh-CN" w:bidi="ar-SA"/>
    </w:rPr>
  </w:style>
  <w:style w:type="paragraph" w:styleId="1018" w:customStyle="1">
    <w:name w:val="正文_12_0_0_0_0"/>
    <w:basedOn w:val="713"/>
    <w:uiPriority w:val="0"/>
    <w:qFormat/>
    <w:rPr>
      <w:rFonts w:ascii="Times New Roman" w:hAnsi="Times New Roman"/>
      <w:szCs w:val="24"/>
    </w:rPr>
  </w:style>
  <w:style w:type="paragraph" w:styleId="101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Normal_20"/>
    <w:uiPriority w:val="0"/>
    <w:qFormat/>
    <w:rPr>
      <w:rFonts w:hint="default" w:ascii="黑体" w:hAnsi="黑体" w:eastAsia="黑体" w:cs="黑体"/>
      <w:b/>
      <w:sz w:val="32"/>
      <w:szCs w:val="24"/>
      <w:lang w:val="en-US" w:eastAsia="zh-CN" w:bidi="ar-SA"/>
    </w:rPr>
  </w:style>
  <w:style w:type="paragraph" w:styleId="102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0"/>
    <w:uiPriority w:val="0"/>
    <w:qFormat/>
    <w:rPr>
      <w:rFonts w:hint="default" w:ascii="黑体" w:hAnsi="黑体" w:eastAsia="黑体" w:cs="Times New Roman"/>
      <w:b/>
      <w:sz w:val="32"/>
      <w:szCs w:val="24"/>
      <w:lang w:val="en-US" w:eastAsia="zh-CN" w:bidi="ar-SA"/>
    </w:rPr>
  </w:style>
  <w:style w:type="paragraph" w:styleId="1025" w:customStyle="1">
    <w:name w:val="部分1"/>
    <w:basedOn w:val="713"/>
    <w:uiPriority w:val="0"/>
    <w:qFormat/>
    <w:pPr>
      <w:jc w:val="center"/>
      <w:keepNext/>
      <w:pageBreakBefore/>
      <w:spacing w:line="360" w:lineRule="auto"/>
      <w:tabs>
        <w:tab w:val="left" w:pos="720" w:leader="none"/>
      </w:tabs>
      <w:outlineLvl w:val="0"/>
    </w:pPr>
    <w:rPr>
      <w:rFonts w:eastAsia="黑体"/>
      <w:b/>
      <w:sz w:val="36"/>
      <w:szCs w:val="20"/>
    </w:rPr>
  </w:style>
  <w:style w:type="paragraph" w:styleId="1026" w:customStyle="1">
    <w:name w:val="正文-公1"/>
    <w:next w:val="955"/>
    <w:uiPriority w:val="0"/>
    <w:qFormat/>
    <w:pPr>
      <w:ind w:firstLine="200"/>
      <w:jc w:val="both"/>
      <w:widowControl w:val="off"/>
    </w:pPr>
    <w:rPr>
      <w:rFonts w:hint="default" w:ascii="Calibri" w:hAnsi="Calibri" w:eastAsia="Arial" w:cs="黑体"/>
      <w:sz w:val="21"/>
      <w:szCs w:val="24"/>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WPSOffice手动目录 1"/>
    <w:uiPriority w:val="0"/>
    <w:qFormat/>
    <w:rPr>
      <w:rFonts w:hint="default" w:ascii="Times New Roman" w:hAnsi="Times New Roman" w:eastAsia="宋体" w:cs="Times New Roman"/>
      <w:sz w:val="20"/>
      <w:szCs w:val="20"/>
    </w:rPr>
  </w:style>
  <w:style w:type="paragraph" w:styleId="1029" w:customStyle="1">
    <w:name w:val="正文_2_0_0"/>
    <w:next w:val="103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列表接续 2_0"/>
    <w:next w:val="1029"/>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31"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文本_0_0"/>
    <w:next w:val="1032"/>
    <w:uiPriority w:val="99"/>
    <w:unhideWhenUsed/>
    <w:qFormat/>
    <w:pPr>
      <w:jc w:val="both"/>
      <w:spacing w:after="120"/>
      <w:widowControl w:val="off"/>
    </w:pPr>
    <w:rPr>
      <w:rFonts w:hint="default" w:ascii="Calibri" w:hAnsi="Calibri" w:eastAsia="宋体" w:cs="Times New Roman"/>
      <w:sz w:val="20"/>
      <w:szCs w:val="24"/>
      <w:lang w:val="en-US" w:eastAsia="zh-CN" w:bidi="ar-SA"/>
    </w:rPr>
  </w:style>
  <w:style w:type="paragraph" w:styleId="1034"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2_0_0_0_0_0"/>
    <w:next w:val="103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列表接续 2_0_0_0_0"/>
    <w:next w:val="1035"/>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37" w:customStyle="1">
    <w:name w:val="正文_14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正文缩进_1_0_0_0"/>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39" w:customStyle="1">
    <w:name w:val="正文_2_0_0_0_1"/>
    <w:next w:val="104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列表接续 2_0_0_1"/>
    <w:next w:val="1039"/>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41" w:customStyle="1">
    <w:name w:val="正文_14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普通正文_1_0"/>
    <w:uiPriority w:val="0"/>
    <w:qFormat/>
    <w:pPr>
      <w:ind w:firstLine="425"/>
      <w:jc w:val="left"/>
      <w:widowControl w:val="off"/>
    </w:pPr>
    <w:rPr>
      <w:rFonts w:hint="default" w:ascii="宋体" w:hAnsi="Calibri" w:eastAsia="宋体" w:cs="Times New Roman"/>
      <w:sz w:val="20"/>
      <w:szCs w:val="20"/>
      <w:lang w:val="en-US" w:eastAsia="zh-CN" w:bidi="ar-SA"/>
    </w:rPr>
  </w:style>
  <w:style w:type="paragraph" w:styleId="1043"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正文_3_0"/>
    <w:next w:val="1045"/>
    <w:uiPriority w:val="0"/>
    <w:qFormat/>
    <w:pPr>
      <w:jc w:val="both"/>
      <w:widowControl w:val="off"/>
    </w:pPr>
    <w:rPr>
      <w:rFonts w:hint="default" w:ascii="Times New Roman" w:hAnsi="Times New Roman" w:eastAsia="宋体" w:cs="Times New Roman"/>
      <w:sz w:val="21"/>
      <w:lang w:val="en-US" w:eastAsia="zh-CN" w:bidi="ar-SA"/>
    </w:rPr>
  </w:style>
  <w:style w:type="paragraph" w:styleId="1045" w:customStyle="1">
    <w:name w:val="标题 2_1"/>
    <w:next w:val="1044"/>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046" w:customStyle="1">
    <w:name w:val="正文_5_0"/>
    <w:uiPriority w:val="0"/>
    <w:qFormat/>
    <w:pPr>
      <w:jc w:val="both"/>
      <w:widowControl w:val="off"/>
    </w:pPr>
    <w:rPr>
      <w:rFonts w:hint="default" w:ascii="Times New Roman" w:hAnsi="Times New Roman" w:eastAsia="宋体" w:cs="Times New Roman"/>
      <w:sz w:val="21"/>
      <w:lang w:val="en-US" w:eastAsia="zh-CN" w:bidi="ar-SA"/>
    </w:rPr>
  </w:style>
  <w:style w:type="paragraph" w:styleId="1047"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正文文本_0_1"/>
    <w:next w:val="1049"/>
    <w:uiPriority w:val="99"/>
    <w:unhideWhenUsed/>
    <w:qFormat/>
    <w:pPr>
      <w:jc w:val="both"/>
      <w:spacing w:after="120"/>
      <w:widowControl w:val="off"/>
    </w:pPr>
    <w:rPr>
      <w:rFonts w:hint="default" w:ascii="Calibri" w:hAnsi="Calibri" w:eastAsia="宋体" w:cs="Times New Roman"/>
      <w:sz w:val="20"/>
      <w:szCs w:val="24"/>
      <w:lang w:val="en-US" w:eastAsia="zh-CN" w:bidi="ar-SA"/>
    </w:rPr>
  </w:style>
  <w:style w:type="paragraph" w:styleId="1049" w:customStyle="1">
    <w:name w:val="正文_2_1"/>
    <w:next w:val="1048"/>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4_1"/>
    <w:uiPriority w:val="0"/>
    <w:qFormat/>
    <w:pPr>
      <w:jc w:val="both"/>
      <w:widowControl w:val="off"/>
    </w:pPr>
    <w:rPr>
      <w:rFonts w:hint="default" w:ascii="Times New Roman" w:hAnsi="Times New Roman" w:eastAsia="宋体" w:cs="Times New Roman"/>
      <w:sz w:val="21"/>
      <w:lang w:val="en-US" w:eastAsia="zh-CN" w:bidi="ar-SA"/>
    </w:rPr>
  </w:style>
  <w:style w:type="paragraph" w:styleId="1051" w:customStyle="1">
    <w:name w:val="Normal_11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标题 2_2"/>
    <w:basedOn w:val="1032"/>
    <w:next w:val="1032"/>
    <w:uiPriority w:val="0"/>
    <w:qFormat/>
    <w:pPr>
      <w:keepLines/>
      <w:keepNext/>
      <w:spacing w:before="260" w:after="260" w:line="413" w:lineRule="auto"/>
      <w:outlineLvl w:val="1"/>
    </w:pPr>
    <w:rPr>
      <w:rFonts w:ascii="Arial" w:hAnsi="Arial" w:eastAsia="黑体"/>
      <w:b/>
      <w:sz w:val="32"/>
      <w:szCs w:val="20"/>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89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806"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7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32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3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何壹少</cp:lastModifiedBy>
  <cp:revision>510</cp:revision>
  <dcterms:created xsi:type="dcterms:W3CDTF">2024-07-16T01:02:00Z</dcterms:created>
  <dcterms:modified xsi:type="dcterms:W3CDTF">2026-09-09T07:58:59Z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B517388186E24E19AF77B4CCCF578939_13</vt:lpwstr>
  </property>
  <property fmtid="{D5CDD505-2E9C-101B-9397-08002B2CF9AE}" pid="4" name="KSOTemplateDocerSaveRecord">
    <vt:lpwstr>eyJoZGlkIjoiMmFiZmJkNGFmZjllOGUzNmRhZTUxNzQyNGFkOWVhNDAiLCJ1c2VySWQiOiI0MjU1NjQxODYifQ==</vt:lpwstr>
  </property>
</Properties>
</file>