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r>
      <w:r/>
    </w:p>
    <w:p>
      <w:pPr>
        <w:jc w:val="center"/>
        <w:spacing w:before="120" w:after="120" w:line="360" w:lineRule="auto"/>
        <w:rPr>
          <w:rFonts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单一来源采购文件</w:t>
      </w:r>
      <w:r/>
    </w:p>
    <w:p>
      <w:pPr>
        <w:ind w:firstLine="2249"/>
        <w:jc w:val="left"/>
        <w:spacing w:before="120" w:after="120" w:line="360" w:lineRule="auto"/>
        <w:widowControl w:val="off"/>
        <w:rPr>
          <w:rFonts w:ascii="Times New Roman" w:hAnsi="Times New Roman" w:eastAsia="宋体" w:cs="Times New Roman"/>
          <w:b/>
          <w:bCs/>
          <w:color w:val="auto"/>
          <w:sz w:val="32"/>
          <w:szCs w:val="24"/>
          <w:highlight w:val="none"/>
          <w:lang w:val="en-US" w:eastAsia="zh-CN" w:bidi="ar-SA"/>
        </w:rPr>
      </w:pPr>
      <w:r>
        <w:rPr>
          <w:rFonts w:ascii="Times New Roman" w:hAnsi="Times New Roman" w:eastAsia="宋体" w:cs="Times New Roman"/>
          <w:b/>
          <w:bCs/>
          <w:color w:val="auto"/>
          <w:sz w:val="32"/>
          <w:szCs w:val="24"/>
          <w:highlight w:val="none"/>
          <w:lang w:val="en-US" w:eastAsia="zh-CN" w:bidi="ar-SA"/>
        </w:rPr>
      </w:r>
      <w:r/>
    </w:p>
    <w:p>
      <w:pPr>
        <w:ind w:firstLine="0"/>
        <w:jc w:val="left"/>
        <w:spacing w:before="120" w:after="120" w:line="360" w:lineRule="auto"/>
        <w:widowControl w:val="off"/>
        <w:rPr>
          <w:rFonts w:ascii="Times New Roman" w:hAnsi="Times New Roman" w:eastAsia="宋体" w:cs="Times New Roman"/>
          <w:b/>
          <w:bCs/>
          <w:color w:val="auto"/>
          <w:sz w:val="32"/>
          <w:szCs w:val="24"/>
          <w:highlight w:val="none"/>
          <w:lang w:val="en-US" w:eastAsia="zh-CN" w:bidi="ar-SA"/>
        </w:rPr>
      </w:pPr>
      <w:r>
        <w:rPr>
          <w:rFonts w:ascii="Times New Roman" w:hAnsi="Times New Roman" w:eastAsia="宋体" w:cs="Times New Roman"/>
          <w:b/>
          <w:bCs/>
          <w:color w:val="auto"/>
          <w:sz w:val="32"/>
          <w:szCs w:val="24"/>
          <w:highlight w:val="none"/>
          <w:lang w:val="en-US" w:eastAsia="zh-CN" w:bidi="ar-SA"/>
        </w:rPr>
      </w:r>
      <w:r/>
    </w:p>
    <w:p>
      <w:pPr>
        <w:ind w:firstLine="480"/>
        <w:jc w:val="center"/>
        <w:spacing w:before="120" w:after="120" w:line="360" w:lineRule="auto"/>
        <w:widowControl w:val="off"/>
        <w:rPr>
          <w:rFonts w:ascii="Times New Roman" w:hAnsi="Times New Roman" w:eastAsia="宋体" w:cs="Times New Roman"/>
          <w:b/>
          <w:bCs/>
          <w:color w:val="auto"/>
          <w:sz w:val="32"/>
          <w:szCs w:val="24"/>
          <w:highlight w:val="none"/>
          <w:lang w:val="en-US" w:eastAsia="zh-CN" w:bidi="ar-SA"/>
        </w:rPr>
      </w:pPr>
      <w:r>
        <w:rPr>
          <w:rFonts w:hint="eastAsia" w:ascii="Times New Roman" w:hAnsi="Times New Roman" w:eastAsia="宋体" w:cs="Times New Roman"/>
          <w:b/>
          <w:bCs/>
          <w:color w:val="auto"/>
          <w:sz w:val="32"/>
          <w:szCs w:val="24"/>
          <w:highlight w:val="none"/>
          <w:lang w:val="en-US" w:eastAsia="zh-CN" w:bidi="ar-SA"/>
        </w:rPr>
        <w:t xml:space="preserve">项目名称：</w:t>
      </w:r>
      <w:r>
        <w:rPr>
          <w:rFonts w:hint="eastAsia" w:ascii="黑体" w:hAnsi="黑体" w:eastAsia="黑体" w:cs="黑体"/>
          <w:b w:val="0"/>
          <w:bCs w:val="0"/>
          <w:caps w:val="0"/>
          <w:color w:val="auto"/>
          <w:sz w:val="28"/>
          <w:szCs w:val="28"/>
          <w:highlight w:val="none"/>
          <w:lang w:eastAsia="zh-CN"/>
        </w:rPr>
        <w:t xml:space="preserve">基于DIP支付方式下“AI全病历”智能监管项目(二期)</w:t>
      </w:r>
      <w:r/>
    </w:p>
    <w:p>
      <w:pPr>
        <w:ind w:firstLine="1606"/>
        <w:jc w:val="left"/>
        <w:spacing w:line="360" w:lineRule="auto"/>
        <w:rPr>
          <w:rFonts w:hint="eastAsia" w:ascii="Times New Roman" w:hAnsi="Times New Roman" w:eastAsia="宋体" w:cs="Times New Roman"/>
          <w:b/>
          <w:bCs/>
          <w:color w:val="auto"/>
          <w:sz w:val="32"/>
          <w:szCs w:val="24"/>
          <w:highlight w:val="none"/>
          <w:lang w:val="en-US" w:eastAsia="zh-CN" w:bidi="ar-SA"/>
        </w:rPr>
      </w:pPr>
      <w:r>
        <w:rPr>
          <w:rFonts w:hint="eastAsia" w:ascii="Times New Roman" w:hAnsi="Times New Roman" w:eastAsia="宋体" w:cs="Times New Roman"/>
          <w:b/>
          <w:bCs/>
          <w:color w:val="auto"/>
          <w:sz w:val="32"/>
          <w:szCs w:val="22"/>
          <w:highlight w:val="none"/>
        </w:rPr>
        <w:t xml:space="preserve">项目编号</w:t>
      </w:r>
      <w:r>
        <w:rPr>
          <w:rFonts w:hint="eastAsia" w:ascii="Times New Roman" w:hAnsi="Times New Roman" w:eastAsia="宋体" w:cs="Times New Roman"/>
          <w:b/>
          <w:color w:val="auto"/>
          <w:sz w:val="30"/>
          <w:szCs w:val="30"/>
          <w:highlight w:val="none"/>
        </w:rPr>
        <w:t xml:space="preserve">：</w:t>
      </w:r>
      <w:r>
        <w:rPr>
          <w:rFonts w:hint="eastAsia" w:cs="Times New Roman"/>
          <w:b/>
          <w:color w:val="auto"/>
          <w:sz w:val="30"/>
          <w:szCs w:val="30"/>
          <w:highlight w:val="none"/>
          <w:lang w:eastAsia="zh-CN"/>
        </w:rPr>
        <w:t xml:space="preserve">JSZC-321300-SQYB-D2026-0002</w:t>
      </w:r>
      <w:r/>
    </w:p>
    <w:p>
      <w:pPr>
        <w:ind w:left="2100"/>
        <w:rPr>
          <w:rFonts w:ascii="Times New Roman" w:hAnsi="Times New Roman" w:eastAsia="宋体" w:cs="Times New Roman"/>
          <w:b/>
          <w:color w:val="auto"/>
          <w:sz w:val="30"/>
          <w:szCs w:val="30"/>
          <w:highlight w:val="none"/>
        </w:rPr>
      </w:pPr>
      <w:r>
        <w:rPr>
          <w:rFonts w:ascii="Times New Roman" w:hAnsi="Times New Roman" w:eastAsia="宋体" w:cs="Times New Roman"/>
          <w:b/>
          <w:color w:val="auto"/>
          <w:sz w:val="30"/>
          <w:szCs w:val="30"/>
          <w:highlight w:val="none"/>
        </w:rPr>
      </w:r>
      <w:r/>
    </w:p>
    <w:p>
      <w:pPr>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spacing w:before="120" w:after="120" w:line="360" w:lineRule="auto"/>
        <w:widowControl w:val="off"/>
        <w:rPr>
          <w:rFonts w:hint="eastAsia" w:cs="Times New Roman"/>
          <w:b/>
          <w:bCs/>
          <w:color w:val="auto"/>
          <w:sz w:val="32"/>
          <w:szCs w:val="24"/>
          <w:highlight w:val="none"/>
          <w:u w:val="single"/>
          <w:lang w:val="en-US" w:eastAsia="zh-CN" w:bidi="ar-SA"/>
        </w:rPr>
      </w:pPr>
      <w:r>
        <w:rPr>
          <w:rFonts w:hint="eastAsia" w:ascii="Times New Roman" w:hAnsi="Times New Roman" w:eastAsia="宋体" w:cs="Times New Roman"/>
          <w:b/>
          <w:bCs/>
          <w:color w:val="auto"/>
          <w:sz w:val="32"/>
          <w:szCs w:val="24"/>
          <w:highlight w:val="none"/>
          <w:lang w:val="en-US" w:eastAsia="zh-CN" w:bidi="ar-SA"/>
        </w:rPr>
        <w:t xml:space="preserve">采购人：</w:t>
      </w:r>
      <w:r>
        <w:rPr>
          <w:rFonts w:hint="eastAsia" w:cs="Times New Roman"/>
          <w:b/>
          <w:bCs/>
          <w:color w:val="auto"/>
          <w:sz w:val="32"/>
          <w:szCs w:val="24"/>
          <w:highlight w:val="none"/>
          <w:u w:val="single"/>
          <w:lang w:val="en-US" w:eastAsia="zh-CN" w:bidi="ar-SA"/>
        </w:rPr>
        <w:t xml:space="preserve">宿迁市医疗保障局</w:t>
      </w:r>
      <w:r/>
    </w:p>
    <w:p>
      <w:pPr>
        <w:ind w:firstLine="3855"/>
        <w:jc w:val="both"/>
        <w:spacing w:before="120" w:after="120" w:line="360" w:lineRule="auto"/>
        <w:widowControl w:val="off"/>
        <w:rPr>
          <w:rFonts w:hint="default" w:ascii="Times New Roman" w:hAnsi="Times New Roman" w:eastAsia="宋体" w:cs="Times New Roman"/>
          <w:b/>
          <w:bCs/>
          <w:color w:val="auto"/>
          <w:sz w:val="32"/>
          <w:szCs w:val="24"/>
          <w:highlight w:val="none"/>
          <w:u w:val="single"/>
          <w:lang w:val="en-US" w:eastAsia="zh-CN" w:bidi="ar-SA"/>
        </w:rPr>
      </w:pPr>
      <w:r>
        <w:rPr>
          <w:rFonts w:hint="eastAsia" w:ascii="Times New Roman" w:hAnsi="Times New Roman" w:eastAsia="宋体" w:cs="Times New Roman"/>
          <w:b/>
          <w:bCs/>
          <w:color w:val="auto"/>
          <w:sz w:val="32"/>
          <w:szCs w:val="24"/>
          <w:highlight w:val="none"/>
          <w:u w:val="single"/>
          <w:lang w:val="en-US" w:eastAsia="zh-CN" w:bidi="ar-SA"/>
        </w:rPr>
        <w:t xml:space="preserve">宿迁市楚润数据集团有限公司</w:t>
      </w:r>
      <w:r/>
    </w:p>
    <w:p>
      <w:pPr>
        <w:ind w:firstLine="2891"/>
        <w:jc w:val="both"/>
        <w:spacing w:before="120" w:after="120" w:line="360" w:lineRule="auto"/>
        <w:widowControl w:val="off"/>
        <w:rPr>
          <w:rFonts w:hint="eastAsia" w:ascii="Times New Roman" w:hAnsi="Times New Roman" w:eastAsia="宋体" w:cs="Times New Roman"/>
          <w:b/>
          <w:bCs/>
          <w:color w:val="auto"/>
          <w:sz w:val="32"/>
          <w:szCs w:val="24"/>
          <w:highlight w:val="none"/>
          <w:lang w:val="en-US" w:eastAsia="zh-CN" w:bidi="ar-SA"/>
        </w:rPr>
      </w:pPr>
      <w:r>
        <w:rPr>
          <w:rFonts w:hint="eastAsia" w:ascii="Times New Roman" w:hAnsi="Times New Roman" w:eastAsia="宋体" w:cs="Times New Roman"/>
          <w:b/>
          <w:bCs/>
          <w:color w:val="auto"/>
          <w:sz w:val="32"/>
          <w:szCs w:val="24"/>
          <w:highlight w:val="none"/>
          <w:u w:val="single"/>
          <w:lang w:val="en-US" w:eastAsia="zh-CN" w:bidi="ar-SA"/>
        </w:rPr>
        <w:t xml:space="preserve">2026</w:t>
      </w:r>
      <w:r>
        <w:rPr>
          <w:rFonts w:hint="eastAsia" w:ascii="Times New Roman" w:hAnsi="Times New Roman" w:eastAsia="宋体" w:cs="Times New Roman"/>
          <w:b/>
          <w:bCs/>
          <w:color w:val="auto"/>
          <w:sz w:val="32"/>
          <w:szCs w:val="24"/>
          <w:highlight w:val="none"/>
          <w:lang w:val="en-US" w:eastAsia="zh-CN" w:bidi="ar-SA"/>
        </w:rPr>
        <w:t xml:space="preserve">年</w:t>
      </w:r>
      <w:r>
        <w:rPr>
          <w:rFonts w:hint="eastAsia" w:ascii="Times New Roman" w:hAnsi="Times New Roman" w:eastAsia="宋体" w:cs="Times New Roman"/>
          <w:b/>
          <w:bCs/>
          <w:color w:val="auto"/>
          <w:sz w:val="32"/>
          <w:szCs w:val="24"/>
          <w:highlight w:val="none"/>
          <w:u w:val="single"/>
          <w:lang w:val="en-US" w:eastAsia="zh-CN" w:bidi="ar-SA"/>
        </w:rPr>
        <w:t xml:space="preserve"> </w:t>
      </w:r>
      <w:r>
        <w:rPr>
          <w:rFonts w:hint="eastAsia" w:cs="Times New Roman"/>
          <w:b/>
          <w:bCs/>
          <w:color w:val="auto"/>
          <w:sz w:val="32"/>
          <w:szCs w:val="24"/>
          <w:highlight w:val="none"/>
          <w:u w:val="single"/>
          <w:lang w:val="en-US" w:eastAsia="zh-CN" w:bidi="ar-SA"/>
        </w:rPr>
        <w:t xml:space="preserve">9</w:t>
      </w:r>
      <w:r>
        <w:rPr>
          <w:rFonts w:hint="eastAsia" w:ascii="Times New Roman" w:hAnsi="Times New Roman" w:eastAsia="宋体" w:cs="Times New Roman"/>
          <w:b/>
          <w:bCs/>
          <w:color w:val="auto"/>
          <w:sz w:val="32"/>
          <w:szCs w:val="24"/>
          <w:highlight w:val="none"/>
          <w:u w:val="single"/>
          <w:lang w:val="en-US" w:eastAsia="zh-CN" w:bidi="ar-SA"/>
        </w:rPr>
        <w:t xml:space="preserve"> </w:t>
      </w:r>
      <w:r>
        <w:rPr>
          <w:rFonts w:hint="eastAsia" w:ascii="Times New Roman" w:hAnsi="Times New Roman" w:eastAsia="宋体" w:cs="Times New Roman"/>
          <w:b/>
          <w:bCs/>
          <w:color w:val="auto"/>
          <w:sz w:val="32"/>
          <w:szCs w:val="24"/>
          <w:highlight w:val="none"/>
          <w:lang w:val="en-US" w:eastAsia="zh-CN" w:bidi="ar-SA"/>
        </w:rPr>
        <w:t xml:space="preserve">月</w:t>
      </w:r>
      <w:r>
        <w:rPr>
          <w:rFonts w:hint="eastAsia" w:ascii="Times New Roman" w:hAnsi="Times New Roman" w:eastAsia="宋体" w:cs="Times New Roman"/>
          <w:b/>
          <w:bCs/>
          <w:color w:val="auto"/>
          <w:sz w:val="32"/>
          <w:szCs w:val="24"/>
          <w:highlight w:val="none"/>
          <w:u w:val="single"/>
          <w:lang w:val="en-US" w:eastAsia="zh-CN" w:bidi="ar-SA"/>
        </w:rPr>
        <w:t xml:space="preserve"> </w:t>
      </w:r>
      <w:r>
        <w:rPr>
          <w:rFonts w:hint="eastAsia" w:cs="Times New Roman"/>
          <w:b/>
          <w:bCs/>
          <w:color w:val="auto"/>
          <w:sz w:val="32"/>
          <w:szCs w:val="24"/>
          <w:highlight w:val="none"/>
          <w:u w:val="single"/>
          <w:lang w:val="en-US" w:eastAsia="zh-CN" w:bidi="ar-SA"/>
        </w:rPr>
        <w:t xml:space="preserve">9</w:t>
      </w:r>
      <w:r>
        <w:rPr>
          <w:rFonts w:hint="eastAsia" w:ascii="Times New Roman" w:hAnsi="Times New Roman" w:eastAsia="宋体" w:cs="Times New Roman"/>
          <w:b/>
          <w:bCs/>
          <w:color w:val="auto"/>
          <w:sz w:val="32"/>
          <w:szCs w:val="24"/>
          <w:highlight w:val="none"/>
          <w:u w:val="single"/>
          <w:lang w:val="en-US" w:eastAsia="zh-CN" w:bidi="ar-SA"/>
        </w:rPr>
        <w:t xml:space="preserve"> </w:t>
      </w:r>
      <w:r>
        <w:rPr>
          <w:rFonts w:hint="eastAsia" w:ascii="Times New Roman" w:hAnsi="Times New Roman" w:eastAsia="宋体" w:cs="Times New Roman"/>
          <w:b/>
          <w:bCs/>
          <w:color w:val="auto"/>
          <w:sz w:val="32"/>
          <w:szCs w:val="24"/>
          <w:highlight w:val="none"/>
          <w:lang w:val="en-US" w:eastAsia="zh-CN" w:bidi="ar-SA"/>
        </w:rPr>
        <w:t xml:space="preserve">日</w:t>
      </w:r>
      <w:r/>
    </w:p>
    <w:p>
      <w:pPr>
        <w:pStyle w:val="684"/>
        <w:rPr>
          <w:lang w:val="en-US" w:eastAsia="zh-CN"/>
        </w:rPr>
      </w:pPr>
      <w:r>
        <w:rPr>
          <w:lang w:val="en-US" w:eastAsia="zh-CN"/>
        </w:rPr>
      </w:r>
      <w:r/>
    </w:p>
    <w:p>
      <w:pPr>
        <w:jc w:val="both"/>
        <w:spacing w:before="120" w:after="120" w:line="360" w:lineRule="auto"/>
        <w:rPr>
          <w:rFonts w:hint="eastAsia" w:ascii="Arial" w:hAnsi="Arial" w:eastAsia="黑体"/>
          <w:b/>
          <w:bCs/>
          <w:color w:val="auto"/>
          <w:sz w:val="84"/>
          <w:szCs w:val="24"/>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Arial" w:hAnsi="Arial" w:eastAsia="黑体"/>
          <w:b/>
          <w:bCs/>
          <w:color w:val="auto"/>
          <w:sz w:val="84"/>
          <w:szCs w:val="24"/>
          <w:highlight w:val="none"/>
        </w:rPr>
      </w:r>
      <w:r/>
    </w:p>
    <w:p>
      <w:pPr>
        <w:jc w:val="center"/>
        <w:spacing w:line="480" w:lineRule="auto"/>
        <w:rPr>
          <w:rFonts w:hint="eastAsia" w:ascii="仿宋" w:hAnsi="仿宋" w:eastAsia="仿宋" w:cs="仿宋"/>
          <w:b/>
          <w:color w:val="auto"/>
          <w:sz w:val="44"/>
          <w:szCs w:val="21"/>
          <w:highlight w:val="none"/>
        </w:rPr>
        <w:outlineLvl w:val="9"/>
      </w:pPr>
      <w:r/>
      <w:bookmarkStart w:id="0" w:name="_Toc20687"/>
      <w:r/>
      <w:bookmarkStart w:id="1" w:name="_Toc26510"/>
      <w:r/>
      <w:bookmarkStart w:id="2" w:name="_Toc120614210"/>
      <w:r/>
      <w:bookmarkStart w:id="3" w:name="_Toc513029200"/>
      <w:r/>
      <w:bookmarkStart w:id="4" w:name="_Toc20823272"/>
      <w:r/>
      <w:bookmarkStart w:id="5" w:name="_Toc523127445"/>
      <w:r/>
      <w:bookmarkStart w:id="6" w:name="_Toc16938516"/>
      <w:r/>
      <w:bookmarkStart w:id="7" w:name="_Toc479757206"/>
      <w:r>
        <w:rPr>
          <w:rFonts w:hint="eastAsia" w:ascii="仿宋" w:hAnsi="仿宋" w:eastAsia="仿宋" w:cs="仿宋"/>
          <w:b/>
          <w:color w:val="auto"/>
          <w:sz w:val="44"/>
          <w:szCs w:val="21"/>
          <w:highlight w:val="none"/>
        </w:rPr>
        <w:t xml:space="preserve">目</w:t>
      </w:r>
      <w:r>
        <w:rPr>
          <w:rFonts w:hint="eastAsia" w:ascii="仿宋" w:hAnsi="仿宋" w:eastAsia="仿宋" w:cs="仿宋"/>
          <w:b/>
          <w:color w:val="auto"/>
          <w:sz w:val="44"/>
          <w:szCs w:val="21"/>
          <w:highlight w:val="none"/>
          <w:lang w:val="en-US" w:eastAsia="zh-CN"/>
        </w:rPr>
        <w:t xml:space="preserve">  </w:t>
      </w:r>
      <w:r>
        <w:rPr>
          <w:rFonts w:hint="eastAsia" w:ascii="仿宋" w:hAnsi="仿宋" w:eastAsia="仿宋" w:cs="仿宋"/>
          <w:b/>
          <w:color w:val="auto"/>
          <w:sz w:val="44"/>
          <w:szCs w:val="21"/>
          <w:highlight w:val="none"/>
        </w:rPr>
        <w:t xml:space="preserve">录</w:t>
      </w:r>
      <w:bookmarkEnd w:id="0"/>
      <w:r/>
      <w:bookmarkEnd w:id="1"/>
      <w:r/>
      <w:r/>
    </w:p>
    <w:p>
      <w:pPr>
        <w:pStyle w:val="694"/>
        <w:tabs>
          <w:tab w:val="right" w:pos="8953"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_Toc7677 </w:instrText>
      </w:r>
      <w:r>
        <w:rPr>
          <w:color w:val="auto"/>
          <w:highlight w:val="none"/>
        </w:rPr>
        <w:fldChar w:fldCharType="separate"/>
      </w:r>
      <w:r>
        <w:rPr>
          <w:rFonts w:hint="eastAsia" w:ascii="黑体" w:hAnsi="黑体" w:eastAsia="黑体" w:cs="黑体"/>
          <w:color w:val="auto"/>
          <w:szCs w:val="44"/>
          <w:highlight w:val="none"/>
        </w:rPr>
        <w:t xml:space="preserve">第一章  单一来源采购邀请</w:t>
      </w:r>
      <w:r>
        <w:rPr>
          <w:color w:val="auto"/>
          <w:highlight w:val="none"/>
        </w:rPr>
        <w:tab/>
      </w:r>
      <w:r>
        <w:rPr>
          <w:rFonts w:hint="eastAsia"/>
          <w:color w:val="auto"/>
          <w:highlight w:val="none"/>
          <w:lang w:val="en-US" w:eastAsia="zh-CN"/>
        </w:rPr>
        <w:t xml:space="preserve">3</w:t>
      </w:r>
      <w:r>
        <w:rPr>
          <w:color w:val="auto"/>
          <w:highlight w:val="none"/>
        </w:rPr>
        <w:fldChar w:fldCharType="end"/>
      </w:r>
      <w:r/>
    </w:p>
    <w:p>
      <w:pPr>
        <w:pStyle w:val="694"/>
        <w:tabs>
          <w:tab w:val="right" w:pos="8953" w:leader="dot"/>
        </w:tabs>
        <w:rPr>
          <w:color w:val="auto"/>
          <w:highlight w:val="none"/>
        </w:rPr>
      </w:pPr>
      <w:r>
        <w:rPr>
          <w:color w:val="auto"/>
          <w:highlight w:val="none"/>
        </w:rPr>
        <w:fldChar w:fldCharType="begin"/>
      </w:r>
      <w:r>
        <w:rPr>
          <w:color w:val="auto"/>
          <w:highlight w:val="none"/>
        </w:rPr>
        <w:instrText xml:space="preserve"> HYPERLINK \l _Toc28595 </w:instrText>
      </w:r>
      <w:r>
        <w:rPr>
          <w:color w:val="auto"/>
          <w:highlight w:val="none"/>
        </w:rPr>
        <w:fldChar w:fldCharType="separate"/>
      </w:r>
      <w:r>
        <w:rPr>
          <w:rFonts w:hint="eastAsia" w:ascii="黑体" w:hAnsi="黑体" w:eastAsia="黑体" w:cs="黑体"/>
          <w:color w:val="auto"/>
          <w:szCs w:val="44"/>
          <w:highlight w:val="none"/>
        </w:rPr>
        <w:t xml:space="preserve">第二章  供应商须知</w:t>
      </w:r>
      <w:r>
        <w:rPr>
          <w:color w:val="auto"/>
          <w:highlight w:val="none"/>
        </w:rPr>
        <w:tab/>
      </w:r>
      <w:r>
        <w:rPr>
          <w:rFonts w:hint="eastAsia"/>
          <w:color w:val="auto"/>
          <w:highlight w:val="none"/>
          <w:lang w:val="en-US" w:eastAsia="zh-CN"/>
        </w:rPr>
        <w:t xml:space="preserve">5</w:t>
      </w:r>
      <w:r>
        <w:rPr>
          <w:color w:val="auto"/>
          <w:highlight w:val="none"/>
        </w:rPr>
        <w:fldChar w:fldCharType="end"/>
      </w:r>
      <w:r/>
    </w:p>
    <w:p>
      <w:pPr>
        <w:pStyle w:val="694"/>
        <w:tabs>
          <w:tab w:val="right" w:pos="895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_Toc18819 </w:instrText>
      </w:r>
      <w:r>
        <w:rPr>
          <w:color w:val="auto"/>
          <w:highlight w:val="none"/>
        </w:rPr>
        <w:fldChar w:fldCharType="separate"/>
      </w:r>
      <w:r>
        <w:rPr>
          <w:rFonts w:hint="eastAsia" w:ascii="黑体" w:hAnsi="黑体" w:eastAsia="黑体" w:cs="黑体"/>
          <w:color w:val="auto"/>
          <w:szCs w:val="44"/>
          <w:highlight w:val="none"/>
        </w:rPr>
        <w:t xml:space="preserve">第三章  合同文本</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5</w:t>
      </w:r>
      <w:r/>
    </w:p>
    <w:p>
      <w:pPr>
        <w:pStyle w:val="694"/>
        <w:tabs>
          <w:tab w:val="right" w:pos="8953" w:leader="dot"/>
        </w:tabs>
        <w:rPr>
          <w:rFonts w:hint="eastAsia"/>
          <w:color w:val="auto"/>
          <w:highlight w:val="none"/>
          <w:lang w:val="en-US" w:eastAsia="zh-CN"/>
        </w:rPr>
      </w:pPr>
      <w:r>
        <w:rPr>
          <w:color w:val="auto"/>
          <w:highlight w:val="none"/>
        </w:rPr>
        <w:fldChar w:fldCharType="begin"/>
      </w:r>
      <w:r>
        <w:rPr>
          <w:color w:val="auto"/>
          <w:highlight w:val="none"/>
        </w:rPr>
        <w:instrText xml:space="preserve"> HYPERLINK \l _Toc20762 </w:instrText>
      </w:r>
      <w:r>
        <w:rPr>
          <w:color w:val="auto"/>
          <w:highlight w:val="none"/>
        </w:rPr>
        <w:fldChar w:fldCharType="separate"/>
      </w:r>
      <w:r>
        <w:rPr>
          <w:rFonts w:hint="eastAsia" w:ascii="黑体" w:hAnsi="黑体" w:eastAsia="黑体" w:cs="黑体"/>
          <w:caps/>
          <w:color w:val="auto"/>
          <w:szCs w:val="44"/>
          <w:highlight w:val="none"/>
          <w:lang w:val="en-US" w:eastAsia="zh-CN"/>
        </w:rPr>
        <w:t xml:space="preserve">第四章  采购需求</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6</w:t>
      </w:r>
      <w:r/>
    </w:p>
    <w:p>
      <w:pPr>
        <w:pStyle w:val="694"/>
        <w:tabs>
          <w:tab w:val="right" w:pos="8953" w:leader="dot"/>
        </w:tabs>
        <w:rPr>
          <w:color w:val="auto"/>
          <w:highlight w:val="none"/>
        </w:rPr>
      </w:pPr>
      <w:r>
        <w:rPr>
          <w:color w:val="auto"/>
          <w:highlight w:val="none"/>
        </w:rPr>
        <w:fldChar w:fldCharType="begin"/>
      </w:r>
      <w:r>
        <w:rPr>
          <w:color w:val="auto"/>
          <w:highlight w:val="none"/>
        </w:rPr>
        <w:instrText xml:space="preserve"> HYPERLINK \l _Toc31136 </w:instrText>
      </w:r>
      <w:r>
        <w:rPr>
          <w:color w:val="auto"/>
          <w:highlight w:val="none"/>
        </w:rPr>
        <w:fldChar w:fldCharType="separate"/>
      </w:r>
      <w:r>
        <w:rPr>
          <w:rFonts w:hint="eastAsia" w:ascii="黑体" w:hAnsi="黑体" w:eastAsia="黑体" w:cs="黑体"/>
          <w:color w:val="auto"/>
          <w:szCs w:val="44"/>
          <w:highlight w:val="none"/>
        </w:rPr>
        <w:t xml:space="preserve">第</w:t>
      </w:r>
      <w:r>
        <w:rPr>
          <w:rFonts w:hint="eastAsia" w:ascii="黑体" w:hAnsi="黑体" w:eastAsia="黑体" w:cs="黑体"/>
          <w:color w:val="auto"/>
          <w:szCs w:val="44"/>
          <w:highlight w:val="none"/>
          <w:lang w:val="en-US" w:eastAsia="zh-CN"/>
        </w:rPr>
        <w:t xml:space="preserve">五</w:t>
      </w:r>
      <w:r>
        <w:rPr>
          <w:rFonts w:hint="eastAsia" w:ascii="黑体" w:hAnsi="黑体" w:eastAsia="黑体" w:cs="黑体"/>
          <w:color w:val="auto"/>
          <w:szCs w:val="44"/>
          <w:highlight w:val="none"/>
        </w:rPr>
        <w:t xml:space="preserve">章  评审方法与评审标准</w:t>
      </w:r>
      <w:r>
        <w:rPr>
          <w:color w:val="auto"/>
          <w:highlight w:val="none"/>
        </w:rPr>
        <w:tab/>
      </w:r>
      <w:r>
        <w:rPr>
          <w:color w:val="auto"/>
          <w:highlight w:val="none"/>
        </w:rPr>
        <w:fldChar w:fldCharType="end"/>
      </w:r>
      <w:r>
        <w:rPr>
          <w:rFonts w:hint="eastAsia"/>
          <w:color w:val="auto"/>
          <w:highlight w:val="none"/>
          <w:lang w:val="en-US" w:eastAsia="zh-CN"/>
        </w:rPr>
        <w:t xml:space="preserve">32</w:t>
      </w:r>
      <w:r/>
    </w:p>
    <w:p>
      <w:pPr>
        <w:pStyle w:val="694"/>
        <w:tabs>
          <w:tab w:val="right" w:pos="8953"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_Toc31136 </w:instrText>
      </w:r>
      <w:r>
        <w:rPr>
          <w:color w:val="auto"/>
          <w:highlight w:val="none"/>
        </w:rPr>
        <w:fldChar w:fldCharType="separate"/>
      </w:r>
      <w:r>
        <w:rPr>
          <w:rFonts w:hint="eastAsia" w:ascii="黑体" w:hAnsi="黑体" w:eastAsia="黑体" w:cs="黑体"/>
          <w:color w:val="auto"/>
          <w:szCs w:val="44"/>
          <w:highlight w:val="none"/>
        </w:rPr>
        <w:t xml:space="preserve">第</w:t>
      </w:r>
      <w:r>
        <w:rPr>
          <w:rFonts w:hint="eastAsia" w:ascii="黑体" w:hAnsi="黑体" w:eastAsia="黑体" w:cs="黑体"/>
          <w:color w:val="auto"/>
          <w:szCs w:val="44"/>
          <w:highlight w:val="none"/>
          <w:lang w:val="en-US" w:eastAsia="zh-CN"/>
        </w:rPr>
        <w:t xml:space="preserve">六</w:t>
      </w:r>
      <w:r>
        <w:rPr>
          <w:rFonts w:hint="eastAsia" w:ascii="黑体" w:hAnsi="黑体" w:eastAsia="黑体" w:cs="黑体"/>
          <w:color w:val="auto"/>
          <w:szCs w:val="44"/>
          <w:highlight w:val="none"/>
        </w:rPr>
        <w:t xml:space="preserve">章  响应文件格式</w:t>
      </w:r>
      <w:r>
        <w:rPr>
          <w:color w:val="auto"/>
          <w:highlight w:val="none"/>
        </w:rPr>
        <w:tab/>
      </w:r>
      <w:r>
        <w:rPr>
          <w:color w:val="auto"/>
          <w:highlight w:val="none"/>
        </w:rPr>
        <w:fldChar w:fldCharType="end"/>
      </w:r>
      <w:r>
        <w:rPr>
          <w:rFonts w:hint="eastAsia"/>
          <w:color w:val="auto"/>
          <w:highlight w:val="none"/>
          <w:lang w:val="en-US" w:eastAsia="zh-CN"/>
        </w:rPr>
        <w:t xml:space="preserve">35</w:t>
      </w:r>
      <w:r/>
    </w:p>
    <w:p>
      <w:pPr>
        <w:rPr>
          <w:rFonts w:hint="default"/>
          <w:color w:val="auto"/>
          <w:highlight w:val="none"/>
          <w:lang w:val="en-US" w:eastAsia="zh-CN"/>
        </w:rPr>
      </w:pPr>
      <w:r>
        <w:rPr>
          <w:rFonts w:hint="default"/>
          <w:color w:val="auto"/>
          <w:highlight w:val="none"/>
          <w:lang w:val="en-US" w:eastAsia="zh-CN"/>
        </w:rPr>
      </w:r>
      <w:r/>
    </w:p>
    <w:p>
      <w:pPr>
        <w:rPr>
          <w:color w:val="auto"/>
          <w:highlight w:val="none"/>
        </w:rPr>
      </w:pPr>
      <w:r>
        <w:rPr>
          <w:color w:val="auto"/>
          <w:highlight w:val="none"/>
        </w:rPr>
        <w:fldChar w:fldCharType="end"/>
      </w:r>
      <w:r/>
    </w:p>
    <w:p>
      <w:pPr>
        <w:rPr>
          <w:color w:val="auto"/>
          <w:highlight w:val="none"/>
        </w:rPr>
      </w:pPr>
      <w:r>
        <w:rPr>
          <w:color w:val="auto"/>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both"/>
        <w:keepNext/>
        <w:rPr>
          <w:rFonts w:ascii="黑体" w:hAnsi="Times New Roman" w:eastAsia="黑体"/>
          <w:color w:val="auto"/>
          <w:sz w:val="44"/>
          <w:szCs w:val="44"/>
          <w:highlight w:val="none"/>
        </w:rPr>
        <w:outlineLvl w:val="9"/>
      </w:pPr>
      <w:r>
        <w:rPr>
          <w:rFonts w:ascii="黑体" w:hAnsi="Times New Roman" w:eastAsia="黑体"/>
          <w:color w:val="auto"/>
          <w:sz w:val="44"/>
          <w:szCs w:val="44"/>
          <w:highlight w:val="none"/>
        </w:rPr>
      </w:r>
      <w:r/>
    </w:p>
    <w:p>
      <w:pPr>
        <w:pStyle w:val="695"/>
        <w:ind w:right="0"/>
        <w:jc w:val="center"/>
        <w:pageBreakBefore w:val="0"/>
        <w:spacing w:beforeAutospacing="0" w:line="240" w:lineRule="auto"/>
        <w:rPr>
          <w:rFonts w:hint="eastAsia" w:ascii="黑体" w:hAnsi="黑体" w:eastAsia="黑体" w:cs="黑体"/>
          <w:color w:val="auto"/>
          <w:sz w:val="44"/>
          <w:szCs w:val="4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bookmarkStart w:id="8" w:name="_Toc7677"/>
      <w:r/>
      <w:r/>
    </w:p>
    <w:p>
      <w:pPr>
        <w:pStyle w:val="695"/>
        <w:ind w:right="0"/>
        <w:jc w:val="center"/>
        <w:keepLines w:val="0"/>
        <w:keepNext/>
        <w:pageBreakBefore w:val="0"/>
        <w:spacing w:beforeAutospacing="0" w:after="181" w:line="24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第一章  </w:t>
      </w:r>
      <w:bookmarkEnd w:id="2"/>
      <w:r>
        <w:rPr>
          <w:rFonts w:hint="eastAsia" w:ascii="宋体" w:hAnsi="宋体" w:eastAsia="宋体" w:cs="宋体"/>
          <w:b/>
          <w:bCs/>
          <w:color w:val="auto"/>
          <w:sz w:val="36"/>
          <w:szCs w:val="36"/>
          <w:highlight w:val="none"/>
        </w:rPr>
        <w:t xml:space="preserve">单一来源采购邀请</w:t>
      </w:r>
      <w:bookmarkEnd w:id="8"/>
      <w:r/>
      <w:r/>
    </w:p>
    <w:p>
      <w:pPr>
        <w:ind w:left="0" w:right="0" w:firstLine="480"/>
        <w:jc w:val="both"/>
        <w:keepLines w:val="0"/>
        <w:keepNext w:val="0"/>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受</w:t>
      </w:r>
      <w:r>
        <w:rPr>
          <w:rFonts w:hint="eastAsia" w:ascii="宋体" w:hAnsi="宋体" w:cs="宋体"/>
          <w:color w:val="auto"/>
          <w:sz w:val="24"/>
          <w:szCs w:val="24"/>
          <w:highlight w:val="none"/>
          <w:lang w:val="en-US" w:eastAsia="zh-CN"/>
        </w:rPr>
        <w:t xml:space="preserve">宿迁市医疗保障局</w:t>
      </w:r>
      <w:r>
        <w:rPr>
          <w:rFonts w:hint="eastAsia" w:ascii="宋体" w:hAnsi="宋体" w:eastAsia="宋体" w:cs="宋体"/>
          <w:color w:val="auto"/>
          <w:sz w:val="24"/>
          <w:szCs w:val="24"/>
          <w:highlight w:val="none"/>
          <w:lang w:eastAsia="zh-CN"/>
        </w:rPr>
        <w:t xml:space="preserve">的委托，</w:t>
      </w:r>
      <w:r>
        <w:rPr>
          <w:rFonts w:hint="eastAsia" w:ascii="宋体" w:hAnsi="宋体" w:cs="宋体"/>
          <w:color w:val="auto"/>
          <w:sz w:val="24"/>
          <w:szCs w:val="24"/>
          <w:highlight w:val="none"/>
          <w:lang w:val="en-US" w:eastAsia="zh-CN"/>
        </w:rPr>
        <w:t xml:space="preserve">江苏鸿成工程项目管理有限公司</w:t>
      </w:r>
      <w:r>
        <w:rPr>
          <w:rFonts w:hint="eastAsia" w:ascii="宋体" w:hAnsi="宋体" w:eastAsia="宋体" w:cs="宋体"/>
          <w:color w:val="auto"/>
          <w:sz w:val="24"/>
          <w:szCs w:val="24"/>
          <w:highlight w:val="none"/>
          <w:lang w:eastAsia="zh-CN"/>
        </w:rPr>
        <w:t xml:space="preserve">就</w:t>
      </w:r>
      <w:r>
        <w:rPr>
          <w:rFonts w:hint="eastAsia" w:ascii="宋体" w:hAnsi="宋体" w:cs="宋体"/>
          <w:color w:val="auto"/>
          <w:sz w:val="24"/>
          <w:szCs w:val="24"/>
          <w:highlight w:val="none"/>
          <w:lang w:eastAsia="zh-CN"/>
        </w:rPr>
        <w:t xml:space="preserve">基于DIP支付方式下“AI全病历”智能监管项目(二期)</w:t>
      </w:r>
      <w:r>
        <w:rPr>
          <w:rFonts w:hint="eastAsia" w:ascii="宋体" w:hAnsi="宋体" w:eastAsia="宋体" w:cs="宋体"/>
          <w:color w:val="auto"/>
          <w:sz w:val="24"/>
          <w:szCs w:val="24"/>
          <w:highlight w:val="none"/>
          <w:lang w:eastAsia="zh-CN"/>
        </w:rPr>
        <w:t xml:space="preserve">进行单一来源采购，</w:t>
      </w:r>
      <w:r>
        <w:rPr>
          <w:rFonts w:hint="eastAsia" w:ascii="宋体" w:hAnsi="宋体" w:eastAsia="宋体" w:cs="宋体"/>
          <w:color w:val="auto"/>
          <w:sz w:val="24"/>
          <w:szCs w:val="24"/>
          <w:highlight w:val="none"/>
          <w:lang w:val="en-US" w:eastAsia="zh-CN"/>
        </w:rPr>
        <w:t xml:space="preserve">欢迎</w:t>
      </w:r>
      <w:r>
        <w:rPr>
          <w:rFonts w:hint="eastAsia" w:ascii="宋体" w:hAnsi="宋体" w:cs="宋体"/>
          <w:color w:val="auto"/>
          <w:sz w:val="24"/>
          <w:szCs w:val="24"/>
          <w:highlight w:val="none"/>
          <w:lang w:val="en-US" w:eastAsia="zh-CN"/>
        </w:rPr>
        <w:t xml:space="preserve">贵单位前来</w:t>
      </w:r>
      <w:r>
        <w:rPr>
          <w:rFonts w:hint="eastAsia" w:ascii="宋体" w:hAnsi="宋体" w:eastAsia="宋体" w:cs="宋体"/>
          <w:color w:val="auto"/>
          <w:sz w:val="24"/>
          <w:szCs w:val="24"/>
          <w:highlight w:val="none"/>
          <w:lang w:val="en-US" w:eastAsia="zh-CN"/>
        </w:rPr>
        <w:t xml:space="preserve">参加采购活动。</w:t>
      </w:r>
      <w:r/>
    </w:p>
    <w:p>
      <w:pPr>
        <w:ind w:left="0" w:right="0" w:firstLine="482"/>
        <w:jc w:val="both"/>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9" w:name="_Toc28359079"/>
      <w:r/>
      <w:bookmarkStart w:id="10" w:name="_Toc28359002"/>
      <w:r/>
      <w:bookmarkStart w:id="11" w:name="_Toc38985263"/>
      <w:r/>
      <w:bookmarkStart w:id="12" w:name="_Toc35393790"/>
      <w:r/>
      <w:bookmarkStart w:id="13" w:name="_Toc35393621"/>
      <w:r/>
      <w:bookmarkStart w:id="14" w:name="_Hlk24379207"/>
      <w:r>
        <w:rPr>
          <w:rFonts w:hint="eastAsia" w:ascii="宋体" w:hAnsi="宋体" w:eastAsia="宋体" w:cs="宋体"/>
          <w:b/>
          <w:bCs/>
          <w:color w:val="auto"/>
          <w:sz w:val="24"/>
          <w:szCs w:val="24"/>
          <w:highlight w:val="none"/>
        </w:rPr>
        <w:t xml:space="preserve">一、项目基本情况</w:t>
      </w:r>
      <w:bookmarkEnd w:id="9"/>
      <w:r/>
      <w:bookmarkEnd w:id="10"/>
      <w:r/>
      <w:bookmarkEnd w:id="11"/>
      <w:r/>
      <w:bookmarkEnd w:id="12"/>
      <w:r/>
      <w:bookmarkEnd w:id="13"/>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JSZC-321300-SQYB-D2026-0002</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基于DIP支付方式下“AI全病历”智能监管项目(二期)</w:t>
      </w:r>
      <w:bookmarkEnd w:id="14"/>
      <w:r/>
    </w:p>
    <w:p>
      <w:pPr>
        <w:ind w:left="0" w:right="0" w:firstLine="480"/>
        <w:jc w:val="both"/>
        <w:pageBreakBefore w:val="0"/>
        <w:spacing w:beforeAutospacing="0" w:line="48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160万</w:t>
      </w:r>
      <w:r>
        <w:rPr>
          <w:rFonts w:hint="eastAsia" w:ascii="宋体" w:hAnsi="宋体" w:eastAsia="宋体" w:cs="宋体"/>
          <w:color w:val="auto"/>
          <w:sz w:val="24"/>
          <w:szCs w:val="24"/>
          <w:highlight w:val="none"/>
          <w:lang w:val="en-US" w:eastAsia="zh-CN"/>
        </w:rPr>
        <w:t xml:space="preserve">元</w:t>
      </w:r>
      <w:r/>
    </w:p>
    <w:p>
      <w:pPr>
        <w:ind w:left="0" w:right="0" w:firstLine="480"/>
        <w:jc w:val="both"/>
        <w:pageBreakBefore w:val="0"/>
        <w:spacing w:beforeAutospacing="0" w:line="48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4.最高限价：160万元，高于此最高限价为无效标。</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基于DIP支付方式下“AI全病历”智能监管项目(二期)</w:t>
      </w:r>
      <w:r>
        <w:rPr>
          <w:rFonts w:hint="eastAsia" w:ascii="宋体" w:hAnsi="宋体" w:eastAsia="宋体" w:cs="宋体"/>
          <w:color w:val="auto"/>
          <w:sz w:val="24"/>
          <w:szCs w:val="24"/>
          <w:highlight w:val="none"/>
          <w:lang w:eastAsia="zh-CN"/>
        </w:rPr>
        <w:t xml:space="preserve">，详细内容见</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eastAsia="zh-CN"/>
        </w:rPr>
        <w:t xml:space="preserve">第四章。</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自合同签订之日起至</w:t>
      </w:r>
      <w:r>
        <w:rPr>
          <w:rFonts w:hint="eastAsia" w:ascii="宋体" w:hAnsi="宋体" w:cs="宋体"/>
          <w:color w:val="auto"/>
          <w:sz w:val="24"/>
          <w:szCs w:val="24"/>
          <w:highlight w:val="none"/>
          <w:u w:val="single"/>
          <w:lang w:val="en-US" w:eastAsia="zh-CN"/>
        </w:rPr>
        <w:t xml:space="preserve">2027年9月30日</w:t>
      </w:r>
      <w:r>
        <w:rPr>
          <w:rFonts w:hint="eastAsia" w:ascii="宋体" w:hAnsi="宋体" w:cs="宋体"/>
          <w:color w:val="auto"/>
          <w:sz w:val="24"/>
          <w:szCs w:val="24"/>
          <w:highlight w:val="none"/>
          <w:lang w:val="en-US" w:eastAsia="zh-CN"/>
        </w:rPr>
        <w:t xml:space="preserve">完成。</w:t>
      </w:r>
      <w:r/>
    </w:p>
    <w:p>
      <w:pPr>
        <w:ind w:left="0" w:right="0" w:firstLine="482"/>
        <w:jc w:val="both"/>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15" w:name="_Toc28359003"/>
      <w:r/>
      <w:bookmarkStart w:id="16" w:name="_Toc28359080"/>
      <w:r/>
      <w:bookmarkStart w:id="17" w:name="_Toc35393622"/>
      <w:r/>
      <w:bookmarkStart w:id="18" w:name="_Toc38985264"/>
      <w:r/>
      <w:bookmarkStart w:id="19" w:name="_Toc35393791"/>
      <w:r>
        <w:rPr>
          <w:rFonts w:hint="eastAsia" w:ascii="宋体" w:hAnsi="宋体" w:eastAsia="宋体" w:cs="宋体"/>
          <w:b/>
          <w:bCs/>
          <w:color w:val="auto"/>
          <w:sz w:val="24"/>
          <w:szCs w:val="24"/>
          <w:highlight w:val="none"/>
        </w:rPr>
        <w:t xml:space="preserve">二、</w:t>
      </w:r>
      <w:bookmarkEnd w:id="15"/>
      <w:r/>
      <w:bookmarkEnd w:id="16"/>
      <w:r/>
      <w:bookmarkEnd w:id="17"/>
      <w:r/>
      <w:bookmarkEnd w:id="18"/>
      <w:r/>
      <w:bookmarkEnd w:id="19"/>
      <w:r>
        <w:rPr>
          <w:rFonts w:hint="eastAsia" w:ascii="宋体" w:hAnsi="宋体" w:eastAsia="宋体" w:cs="宋体"/>
          <w:b/>
          <w:bCs/>
          <w:color w:val="auto"/>
          <w:sz w:val="24"/>
          <w:szCs w:val="24"/>
          <w:highlight w:val="none"/>
        </w:rPr>
        <w:t xml:space="preserve">合格单一来源供应商资格要求</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20" w:name="_Toc38985265"/>
      <w:r/>
      <w:bookmarkStart w:id="21" w:name="_Toc35393792"/>
      <w:r/>
      <w:bookmarkStart w:id="22" w:name="_Toc28359081"/>
      <w:r/>
      <w:bookmarkStart w:id="23" w:name="_Toc28359004"/>
      <w:r/>
      <w:bookmarkStart w:id="24" w:name="_Toc35393623"/>
      <w:r>
        <w:rPr>
          <w:rFonts w:hint="eastAsia" w:ascii="宋体" w:hAnsi="宋体" w:eastAsia="宋体" w:cs="宋体"/>
          <w:color w:val="auto"/>
          <w:sz w:val="24"/>
          <w:szCs w:val="24"/>
          <w:highlight w:val="none"/>
        </w:rPr>
        <w:t xml:space="preserve">（一）通用资格要求</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w:t>
      </w:r>
      <w:r>
        <w:rPr>
          <w:rFonts w:hint="eastAsia" w:ascii="宋体" w:hAnsi="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w:t>
      </w:r>
      <w:r/>
    </w:p>
    <w:p>
      <w:pPr>
        <w:ind w:left="0" w:right="0" w:firstLine="480"/>
        <w:jc w:val="both"/>
        <w:pageBreakBefore w:val="0"/>
        <w:spacing w:before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2.信用信息。信用信息查询渠道：“信用中国”网（www.creditchina.gov.cn）。    </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3.落实政府采购政策需满足的资格要求：无</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4.本项目不接受联合体参与单一来源采购活动</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bookmarkEnd w:id="20"/>
      <w:r/>
      <w:bookmarkEnd w:id="21"/>
      <w:r/>
      <w:bookmarkEnd w:id="22"/>
      <w:r/>
      <w:bookmarkEnd w:id="23"/>
      <w:r/>
      <w:bookmarkEnd w:id="24"/>
      <w:r/>
      <w:bookmarkStart w:id="25" w:name="_Toc28359082"/>
      <w:r/>
      <w:bookmarkStart w:id="26" w:name="_Toc28359005"/>
      <w:r/>
      <w:bookmarkStart w:id="27" w:name="_Toc35393624"/>
      <w:r/>
      <w:bookmarkStart w:id="28" w:name="_Toc38985266"/>
      <w:r/>
      <w:bookmarkStart w:id="29" w:name="_Toc35393793"/>
      <w:r>
        <w:rPr>
          <w:rFonts w:hint="eastAsia" w:ascii="宋体" w:hAnsi="宋体" w:cs="宋体"/>
          <w:color w:val="auto"/>
          <w:sz w:val="24"/>
          <w:szCs w:val="24"/>
          <w:highlight w:val="none"/>
          <w:lang w:eastAsia="zh-CN"/>
        </w:rPr>
        <w:t xml:space="preserve">无</w:t>
      </w:r>
      <w:r>
        <w:rPr>
          <w:rFonts w:hint="eastAsia" w:ascii="宋体" w:hAnsi="宋体" w:eastAsia="宋体" w:cs="宋体"/>
          <w:color w:val="auto"/>
          <w:sz w:val="24"/>
          <w:szCs w:val="24"/>
          <w:highlight w:val="none"/>
          <w:lang w:eastAsia="zh-CN"/>
        </w:rPr>
        <w:t xml:space="preserve">。</w:t>
      </w:r>
      <w:r/>
    </w:p>
    <w:p>
      <w:pPr>
        <w:numPr>
          <w:ilvl w:val="0"/>
          <w:numId w:val="0"/>
        </w:numPr>
        <w:ind w:right="0" w:firstLine="482"/>
        <w:jc w:val="both"/>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三、提交</w:t>
      </w:r>
      <w:bookmarkEnd w:id="25"/>
      <w:r/>
      <w:bookmarkEnd w:id="26"/>
      <w:r>
        <w:rPr>
          <w:rFonts w:hint="eastAsia" w:ascii="宋体" w:hAnsi="宋体" w:eastAsia="宋体" w:cs="宋体"/>
          <w:b/>
          <w:bCs/>
          <w:color w:val="auto"/>
          <w:sz w:val="24"/>
          <w:szCs w:val="24"/>
          <w:highlight w:val="none"/>
        </w:rPr>
        <w:t xml:space="preserve">响应文件截止时间</w:t>
      </w:r>
      <w:bookmarkEnd w:id="27"/>
      <w:r/>
      <w:bookmarkEnd w:id="28"/>
      <w:r/>
      <w:bookmarkEnd w:id="29"/>
      <w:r/>
      <w:r/>
    </w:p>
    <w:p>
      <w:pPr>
        <w:ind w:firstLine="480"/>
        <w:jc w:val="both"/>
        <w:pageBreakBefore w:val="0"/>
        <w:spacing w:line="480" w:lineRule="exact"/>
        <w:rPr>
          <w:rFonts w:hint="eastAsia" w:ascii="宋体" w:hAnsi="宋体" w:eastAsia="宋体" w:cs="宋体"/>
          <w:color w:val="auto"/>
          <w:sz w:val="24"/>
          <w:szCs w:val="24"/>
          <w:highlight w:val="none"/>
        </w:rPr>
        <w:outlineLvl w:val="9"/>
      </w:pPr>
      <w:r/>
      <w:bookmarkStart w:id="30" w:name="_Toc35393796"/>
      <w:r/>
      <w:bookmarkStart w:id="31" w:name="_Toc38985269"/>
      <w:r/>
      <w:bookmarkStart w:id="32" w:name="_Toc28359008"/>
      <w:r/>
      <w:bookmarkStart w:id="33" w:name="_Toc35393627"/>
      <w:r/>
      <w:bookmarkStart w:id="34" w:name="_Toc2835908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提交响应文件截止时间：20</w:t>
      </w: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月16</w:t>
      </w:r>
      <w:r>
        <w:rPr>
          <w:rFonts w:hint="eastAsia" w:ascii="宋体" w:hAnsi="宋体" w:eastAsia="宋体" w:cs="宋体"/>
          <w:bCs/>
          <w:color w:val="auto"/>
          <w:sz w:val="24"/>
          <w:szCs w:val="24"/>
          <w:highlight w:val="none"/>
        </w:rPr>
        <w:t xml:space="preserve">日09点30分（北京时间）。</w:t>
      </w:r>
      <w:r/>
    </w:p>
    <w:p>
      <w:pPr>
        <w:ind w:left="0" w:firstLine="480"/>
        <w:jc w:val="both"/>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地点：“苏采云”政府采购交易系统网上开标大厅。</w:t>
      </w:r>
      <w:r/>
    </w:p>
    <w:p>
      <w:pPr>
        <w:ind w:left="0" w:right="0" w:firstLine="482"/>
        <w:jc w:val="both"/>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四、本次单一来源采购联系方式</w:t>
      </w:r>
      <w:bookmarkEnd w:id="30"/>
      <w:r/>
      <w:bookmarkEnd w:id="31"/>
      <w:r/>
      <w:bookmarkEnd w:id="32"/>
      <w:r/>
      <w:bookmarkEnd w:id="33"/>
      <w:r/>
      <w:bookmarkEnd w:id="34"/>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采购人信息</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宿迁市医疗保障局、宿迁市楚润数据集团有限公司</w:t>
      </w:r>
      <w:r/>
    </w:p>
    <w:p>
      <w:pPr>
        <w:ind w:firstLine="480"/>
        <w:jc w:val="left"/>
        <w:keepLines w:val="0"/>
        <w:keepNext w:val="0"/>
        <w:pageBreakBefore w:val="0"/>
        <w:spacing w:line="480" w:lineRule="exact"/>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仿宋_GB2312"/>
          <w:color w:val="auto"/>
          <w:sz w:val="24"/>
          <w:szCs w:val="24"/>
          <w:highlight w:val="none"/>
          <w:lang w:val="en-US" w:eastAsia="zh-CN" w:bidi="ar-SA"/>
        </w:rPr>
        <w:t xml:space="preserve">宿迁市洪泽湖路889号便民方舟1号楼</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顾笑</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联系方式：</w:t>
      </w:r>
      <w:bookmarkStart w:id="35" w:name="_Toc28359009"/>
      <w:r/>
      <w:bookmarkStart w:id="36" w:name="_Toc28359086"/>
      <w:r>
        <w:rPr>
          <w:rFonts w:hint="eastAsia" w:ascii="宋体" w:hAnsi="宋体" w:cs="宋体"/>
          <w:color w:val="auto"/>
          <w:sz w:val="24"/>
          <w:szCs w:val="24"/>
          <w:highlight w:val="none"/>
          <w:lang w:eastAsia="zh-CN"/>
        </w:rPr>
        <w:t xml:space="preserve">0527-84368023</w:t>
      </w:r>
      <w:bookmarkEnd w:id="35"/>
      <w:bookmarkEnd w:id="36"/>
      <w:r/>
    </w:p>
    <w:p>
      <w:pPr>
        <w:ind w:left="0" w:right="0" w:firstLine="482"/>
        <w:jc w:val="both"/>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五、其他</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37" w:name="EB64e1f522fd8c43fcb4d3ba471386b3e7"/>
      <w:r>
        <w:rPr>
          <w:rFonts w:hint="eastAsia" w:ascii="宋体" w:hAnsi="宋体" w:eastAsia="宋体" w:cs="宋体"/>
          <w:color w:val="auto"/>
          <w:sz w:val="24"/>
          <w:szCs w:val="24"/>
          <w:highlight w:val="none"/>
        </w:rPr>
        <w:t xml:space="preserve">1.财政部门监督电话：0527-84363063。</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696"/>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3.宿迁地区“苏采云”技术支持客服电话：0527-84363067、0519-86722806。</w:t>
      </w:r>
      <w:r/>
    </w:p>
    <w:p>
      <w:pPr>
        <w:pStyle w:val="696"/>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rPr>
        <w:t xml:space="preserve">4.如果供应商通过苏采云系统参与政府采购项目，相关操作手册详见链接：http://www.ccgp-jiangsu.gov.cn/jiangsu/zlxz/ee/ee3a4bc5a3454aa2b0d9312230633ce9.html。</w:t>
      </w:r>
      <w:bookmarkEnd w:id="37"/>
      <w:r/>
    </w:p>
    <w:p>
      <w:pPr>
        <w:ind w:left="0" w:right="0" w:firstLine="480"/>
        <w:jc w:val="both"/>
        <w:pageBreakBefore w:val="0"/>
        <w:spacing w:beforeAutospacing="0"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.现场勘察及答疑：本项目不组织集中勘察及答疑，供应商如对采购需求有疑问，请咨询采购单位联系人。</w:t>
      </w:r>
      <w:r/>
    </w:p>
    <w:p>
      <w:pPr>
        <w:ind w:left="0" w:right="0" w:firstLine="480"/>
        <w:jc w:val="both"/>
        <w:pageBreakBefore w:val="0"/>
        <w:spacing w:beforeAutospacing="0" w:line="480" w:lineRule="exact"/>
        <w:widowControl w:val="off"/>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.本次单一来源采购不收取保证金。</w:t>
      </w:r>
      <w:r/>
    </w:p>
    <w:p>
      <w:pPr>
        <w:ind w:left="0" w:right="0" w:firstLine="480"/>
        <w:pageBreakBefore w:val="0"/>
        <w:spacing w:beforeAutospacing="0" w:line="44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ind w:left="0" w:right="0" w:firstLine="480"/>
        <w:pageBreakBefore w:val="0"/>
        <w:spacing w:beforeAutospacing="0" w:line="44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ind w:left="0" w:right="0" w:firstLine="480"/>
        <w:pageBreakBefore w:val="0"/>
        <w:spacing w:beforeAutospacing="0" w:line="44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695"/>
        <w:ind w:right="0"/>
        <w:jc w:val="both"/>
        <w:pageBreakBefore w:val="0"/>
        <w:spacing w:beforeAutospacing="0" w:line="240" w:lineRule="auto"/>
        <w:rPr>
          <w:rFonts w:hint="eastAsia" w:ascii="黑体" w:hAnsi="黑体" w:eastAsia="黑体" w:cs="黑体"/>
          <w:color w:val="auto"/>
          <w:sz w:val="44"/>
          <w:szCs w:val="44"/>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bookmarkStart w:id="38" w:name="_Toc120614211"/>
      <w:r/>
      <w:bookmarkStart w:id="39" w:name="_Toc28595"/>
      <w:r/>
      <w:r/>
    </w:p>
    <w:p>
      <w:pPr>
        <w:pStyle w:val="695"/>
        <w:ind w:right="0"/>
        <w:jc w:val="center"/>
        <w:pageBreakBefore w:val="0"/>
        <w:spacing w:beforeAutospacing="0" w:line="240" w:lineRule="auto"/>
        <w:rPr>
          <w:rFonts w:hint="eastAsia" w:ascii="黑体" w:hAnsi="黑体" w:eastAsia="黑体" w:cs="黑体"/>
          <w:color w:val="auto"/>
          <w:sz w:val="44"/>
          <w:szCs w:val="44"/>
          <w:highlight w:val="none"/>
        </w:rPr>
      </w:pPr>
      <w:r>
        <w:rPr>
          <w:rFonts w:hint="eastAsia" w:ascii="宋体" w:hAnsi="宋体" w:eastAsia="宋体" w:cs="宋体"/>
          <w:b/>
          <w:bCs/>
          <w:color w:val="auto"/>
          <w:sz w:val="36"/>
          <w:szCs w:val="36"/>
          <w:highlight w:val="none"/>
        </w:rPr>
        <w:t xml:space="preserve">第二章  </w:t>
      </w:r>
      <w:bookmarkEnd w:id="3"/>
      <w:r/>
      <w:bookmarkEnd w:id="4"/>
      <w:r/>
      <w:bookmarkEnd w:id="5"/>
      <w:r/>
      <w:bookmarkEnd w:id="6"/>
      <w:r/>
      <w:bookmarkEnd w:id="7"/>
      <w:r/>
      <w:bookmarkEnd w:id="38"/>
      <w:r>
        <w:rPr>
          <w:rFonts w:hint="eastAsia" w:ascii="宋体" w:hAnsi="宋体" w:eastAsia="宋体" w:cs="宋体"/>
          <w:b/>
          <w:bCs/>
          <w:color w:val="auto"/>
          <w:sz w:val="36"/>
          <w:szCs w:val="36"/>
          <w:highlight w:val="none"/>
        </w:rPr>
        <w:t xml:space="preserve">供应商须知</w:t>
      </w:r>
      <w:bookmarkEnd w:id="39"/>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40" w:name="_Toc20823275"/>
      <w:r/>
      <w:bookmarkStart w:id="41" w:name="_Toc120614214"/>
      <w:r/>
      <w:bookmarkStart w:id="42" w:name="_Toc16938519"/>
      <w:r/>
      <w:bookmarkStart w:id="43" w:name="_Toc513029203"/>
      <w:r>
        <w:rPr>
          <w:rFonts w:hint="eastAsia" w:ascii="宋体" w:hAnsi="宋体" w:eastAsia="宋体" w:cs="宋体"/>
          <w:b/>
          <w:bCs/>
          <w:color w:val="auto"/>
          <w:sz w:val="24"/>
          <w:szCs w:val="24"/>
          <w:highlight w:val="none"/>
        </w:rPr>
        <w:t xml:space="preserve">一、总则</w:t>
      </w:r>
      <w:bookmarkEnd w:id="40"/>
      <w:r/>
      <w:bookmarkEnd w:id="41"/>
      <w:r/>
      <w:bookmarkEnd w:id="42"/>
      <w:r/>
      <w:bookmarkEnd w:id="43"/>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44" w:name="_Hlt16619475"/>
      <w:r/>
      <w:bookmarkEnd w:id="44"/>
      <w:r/>
      <w:bookmarkStart w:id="45" w:name="_Toc458694821"/>
      <w:r/>
      <w:bookmarkStart w:id="46" w:name="_Toc16938520"/>
      <w:r/>
      <w:bookmarkStart w:id="47" w:name="_Toc513029204"/>
      <w:r/>
      <w:bookmarkStart w:id="48" w:name="_Toc20823276"/>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、采购方式</w:t>
      </w:r>
      <w:bookmarkEnd w:id="46"/>
      <w:r/>
      <w:bookmarkEnd w:id="47"/>
      <w:r/>
      <w:bookmarkEnd w:id="48"/>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w:t>
      </w:r>
      <w:r>
        <w:rPr>
          <w:rFonts w:hint="eastAsia" w:ascii="宋体" w:hAnsi="宋体" w:eastAsia="宋体" w:cs="宋体"/>
          <w:b/>
          <w:bCs/>
          <w:color w:val="auto"/>
          <w:sz w:val="24"/>
          <w:szCs w:val="24"/>
          <w:highlight w:val="none"/>
        </w:rPr>
        <w:t xml:space="preserve">单一来源</w:t>
      </w:r>
      <w:r>
        <w:rPr>
          <w:rFonts w:hint="eastAsia" w:ascii="宋体" w:hAnsi="宋体" w:eastAsia="宋体" w:cs="宋体"/>
          <w:color w:val="auto"/>
          <w:sz w:val="24"/>
          <w:szCs w:val="24"/>
          <w:highlight w:val="none"/>
        </w:rPr>
        <w:t xml:space="preserve">采购方式。</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w:t>
      </w:r>
      <w:bookmarkEnd w:id="49"/>
      <w:r/>
      <w:bookmarkEnd w:id="50"/>
      <w:r/>
      <w:bookmarkEnd w:id="51"/>
      <w:r>
        <w:rPr>
          <w:rFonts w:hint="eastAsia" w:ascii="宋体" w:hAnsi="宋体" w:eastAsia="宋体" w:cs="宋体"/>
          <w:color w:val="auto"/>
          <w:sz w:val="24"/>
          <w:szCs w:val="24"/>
          <w:highlight w:val="none"/>
        </w:rPr>
        <w:t xml:space="preserve">供应商</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52" w:name="_Toc513029206"/>
      <w:r/>
      <w:bookmarkStart w:id="53" w:name="_Toc16938522"/>
      <w:r/>
      <w:bookmarkStart w:id="54" w:name="_Toc20823278"/>
      <w:r>
        <w:rPr>
          <w:rFonts w:hint="eastAsia" w:ascii="宋体" w:hAnsi="宋体" w:eastAsia="宋体" w:cs="宋体"/>
          <w:color w:val="auto"/>
          <w:sz w:val="24"/>
          <w:szCs w:val="24"/>
          <w:highlight w:val="none"/>
        </w:rPr>
        <w:t xml:space="preserve">2. 1 满足采购文件中合格单一来源供应商资格要求的规定。</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2 满足本采购文件实质性条款的规定。</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3、适用法律</w:t>
      </w:r>
      <w:bookmarkEnd w:id="52"/>
      <w:r/>
      <w:bookmarkEnd w:id="53"/>
      <w:r/>
      <w:bookmarkEnd w:id="54"/>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55" w:name="_Toc462564067"/>
      <w:r/>
      <w:bookmarkStart w:id="56" w:name="_Toc16938523"/>
      <w:r/>
      <w:bookmarkStart w:id="57" w:name="_Toc20823279"/>
      <w:r/>
      <w:bookmarkStart w:id="58" w:name="_Toc513029207"/>
      <w:r>
        <w:rPr>
          <w:rFonts w:hint="eastAsia" w:ascii="宋体" w:hAnsi="宋体" w:eastAsia="宋体" w:cs="宋体"/>
          <w:color w:val="auto"/>
          <w:sz w:val="24"/>
          <w:szCs w:val="24"/>
          <w:highlight w:val="none"/>
        </w:rPr>
        <w:t xml:space="preserve">4、相关费用</w:t>
      </w:r>
      <w:bookmarkEnd w:id="55"/>
      <w:r/>
      <w:bookmarkEnd w:id="56"/>
      <w:r/>
      <w:bookmarkEnd w:id="57"/>
      <w:r/>
      <w:bookmarkEnd w:id="58"/>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供应商应自行承担所有与参加本次采购有关的费用，无论采购过程中的做法和结果如何，采购代理机构在任何情况下均无义务和责任承担这些费用。</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lang w:val="en-US" w:eastAsia="zh-CN"/>
        </w:rPr>
        <w:t xml:space="preserve"> 4.2.2 </w:t>
      </w:r>
      <w:r>
        <w:rPr>
          <w:rFonts w:hint="eastAsia" w:ascii="宋体" w:hAnsi="宋体" w:eastAsia="宋体" w:cs="宋体"/>
          <w:color w:val="auto"/>
          <w:sz w:val="24"/>
          <w:szCs w:val="24"/>
          <w:highlight w:val="none"/>
        </w:rPr>
        <w:t xml:space="preserve">种方式执行</w:t>
      </w:r>
      <w:r>
        <w:rPr>
          <w:rFonts w:hint="eastAsia" w:ascii="宋体" w:hAnsi="宋体" w:cs="宋体"/>
          <w:color w:val="auto"/>
          <w:sz w:val="24"/>
          <w:szCs w:val="24"/>
          <w:highlight w:val="none"/>
          <w:lang w:eastAsia="zh-CN"/>
        </w:rPr>
        <w:t xml:space="preserve">。</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4.2.1无需支付；</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4.2.2具体方式及标准为：</w:t>
      </w:r>
      <w:r>
        <w:rPr>
          <w:rFonts w:hint="eastAsia" w:ascii="宋体" w:hAnsi="宋体" w:cs="宋体"/>
          <w:color w:val="auto"/>
          <w:sz w:val="24"/>
          <w:szCs w:val="24"/>
          <w:highlight w:val="none"/>
          <w:lang w:val="en-US" w:eastAsia="zh-CN"/>
        </w:rPr>
        <w:t xml:space="preserve">代理服务费按代理合同约定计取，按合同约定向采购代理机构支付。</w:t>
      </w:r>
      <w:r>
        <w:rPr>
          <w:rFonts w:hint="eastAsia" w:ascii="宋体" w:hAnsi="宋体" w:eastAsia="宋体" w:cs="宋体"/>
          <w:color w:val="auto"/>
          <w:sz w:val="24"/>
          <w:szCs w:val="24"/>
          <w:highlight w:val="none"/>
          <w:lang w:val="en-US" w:eastAsia="zh-CN"/>
        </w:rPr>
        <w:t xml:space="preserve"> </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采购文件的约束力</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59" w:name="_Toc20823281"/>
      <w:r/>
      <w:bookmarkStart w:id="60" w:name="_Toc120614215"/>
      <w:r/>
      <w:bookmarkStart w:id="61" w:name="_Toc513029209"/>
      <w:r/>
      <w:bookmarkStart w:id="62" w:name="_Toc16938525"/>
      <w:r>
        <w:rPr>
          <w:rFonts w:hint="eastAsia" w:ascii="宋体" w:hAnsi="宋体" w:eastAsia="宋体" w:cs="宋体"/>
          <w:b/>
          <w:bCs/>
          <w:color w:val="auto"/>
          <w:sz w:val="24"/>
          <w:szCs w:val="24"/>
          <w:highlight w:val="none"/>
        </w:rPr>
        <w:t xml:space="preserve">二、</w:t>
      </w:r>
      <w:bookmarkEnd w:id="59"/>
      <w:r/>
      <w:bookmarkEnd w:id="60"/>
      <w:r/>
      <w:bookmarkEnd w:id="61"/>
      <w:r/>
      <w:bookmarkEnd w:id="62"/>
      <w:r>
        <w:rPr>
          <w:rFonts w:hint="eastAsia" w:ascii="宋体" w:hAnsi="宋体" w:eastAsia="宋体" w:cs="宋体"/>
          <w:b/>
          <w:bCs/>
          <w:color w:val="auto"/>
          <w:sz w:val="24"/>
          <w:szCs w:val="24"/>
          <w:highlight w:val="none"/>
        </w:rPr>
        <w:t xml:space="preserve">采购文件</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6、采购文件构成</w:t>
      </w:r>
      <w:bookmarkEnd w:id="63"/>
      <w:r/>
      <w:bookmarkEnd w:id="64"/>
      <w:r/>
      <w:bookmarkEnd w:id="65"/>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6.1采购文件由以下部分组成：</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（1）单一来源采购邀请</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（2）供应商须知</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（3）合同文本</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（4）采购需求</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）响应文件格式</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请仔细检查采购文件是否齐全，如有缺漏请立即与</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联系解决。</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66" w:name="_Toc20823283"/>
      <w:r/>
      <w:bookmarkStart w:id="67" w:name="_Toc513029211"/>
      <w:r/>
      <w:bookmarkStart w:id="68" w:name="_Toc462564070"/>
      <w:r/>
      <w:bookmarkStart w:id="69" w:name="_Toc16938527"/>
      <w:r>
        <w:rPr>
          <w:rFonts w:hint="eastAsia" w:ascii="宋体" w:hAnsi="宋体" w:eastAsia="宋体" w:cs="宋体"/>
          <w:color w:val="auto"/>
          <w:sz w:val="24"/>
          <w:szCs w:val="24"/>
          <w:highlight w:val="none"/>
        </w:rPr>
        <w:t xml:space="preserve">7、采购文件的澄清</w:t>
      </w:r>
      <w:bookmarkEnd w:id="66"/>
      <w:r/>
      <w:bookmarkEnd w:id="67"/>
      <w:r/>
      <w:bookmarkEnd w:id="68"/>
      <w:r/>
      <w:bookmarkEnd w:id="69"/>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70" w:name="_Toc462564071"/>
      <w:r/>
      <w:bookmarkStart w:id="71" w:name="_Toc16938528"/>
      <w:r/>
      <w:bookmarkStart w:id="72" w:name="_Toc513029212"/>
      <w:r/>
      <w:bookmarkStart w:id="73" w:name="_Toc20823284"/>
      <w:r>
        <w:rPr>
          <w:rFonts w:hint="eastAsia" w:ascii="宋体" w:hAnsi="宋体" w:eastAsia="宋体" w:cs="宋体"/>
          <w:color w:val="auto"/>
          <w:sz w:val="24"/>
          <w:szCs w:val="24"/>
          <w:highlight w:val="none"/>
        </w:rPr>
        <w:t xml:space="preserve">7.1 供应商如果要求对采购文件进行澄清的，应在响应文件接收截止时间（以下简称“截止时间”）三天前，在苏采云系统中通知</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将在苏采云系统中对澄清要求予以答复。</w:t>
      </w:r>
      <w:bookmarkEnd w:id="70"/>
      <w:bookmarkEnd w:id="71"/>
      <w:bookmarkEnd w:id="72"/>
      <w:bookmarkEnd w:id="73"/>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74" w:name="_Toc16938529"/>
      <w:r/>
      <w:bookmarkStart w:id="75" w:name="_Toc120614216"/>
      <w:r/>
      <w:bookmarkStart w:id="76" w:name="_Toc513029213"/>
      <w:r/>
      <w:bookmarkStart w:id="77" w:name="_Toc462564072"/>
      <w:r/>
      <w:bookmarkStart w:id="78" w:name="_Toc20823285"/>
      <w:r>
        <w:rPr>
          <w:rFonts w:hint="eastAsia" w:ascii="宋体" w:hAnsi="宋体" w:eastAsia="宋体" w:cs="宋体"/>
          <w:color w:val="auto"/>
          <w:sz w:val="24"/>
          <w:szCs w:val="24"/>
          <w:highlight w:val="none"/>
        </w:rPr>
        <w:t xml:space="preserve">8、采购文件的修改</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在截止时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可以以补充文件的方式对采购文件进行修改。</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有权按照政府采购的有关要求推迟截止时间。</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8.3采购文件的补充文件将作为采购文件的组成部分，并对供应商具有约束力。</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三、响应文件的编制</w:t>
      </w:r>
      <w:bookmarkEnd w:id="74"/>
      <w:r/>
      <w:bookmarkEnd w:id="75"/>
      <w:r/>
      <w:bookmarkEnd w:id="76"/>
      <w:r/>
      <w:bookmarkEnd w:id="77"/>
      <w:r/>
      <w:bookmarkEnd w:id="78"/>
      <w:r/>
      <w:r/>
    </w:p>
    <w:p>
      <w:pPr>
        <w:ind w:left="0" w:right="0" w:firstLine="480"/>
        <w:keepLines/>
        <w:keepNext/>
        <w:pageBreakBefore w:val="0"/>
        <w:spacing w:beforeAutospacing="0" w:line="480" w:lineRule="exact"/>
        <w:widowControl w:val="off"/>
        <w:rPr>
          <w:rFonts w:hint="eastAsia" w:ascii="宋体" w:hAnsi="宋体" w:eastAsia="宋体" w:cs="宋体"/>
          <w:b/>
          <w:color w:val="auto"/>
          <w:sz w:val="24"/>
          <w:szCs w:val="24"/>
          <w:highlight w:val="none"/>
        </w:rPr>
        <w:outlineLvl w:val="9"/>
      </w:pPr>
      <w:r/>
      <w:bookmarkStart w:id="79" w:name="_Toc16938530"/>
      <w:r/>
      <w:bookmarkStart w:id="80" w:name="_Toc513029214"/>
      <w:r/>
      <w:bookmarkStart w:id="81" w:name="_Toc462564073"/>
      <w:r/>
      <w:bookmarkStart w:id="82" w:name="_Toc20823286"/>
      <w:r>
        <w:rPr>
          <w:rFonts w:hint="eastAsia" w:ascii="宋体" w:hAnsi="宋体" w:eastAsia="宋体" w:cs="宋体"/>
          <w:color w:val="auto"/>
          <w:sz w:val="24"/>
          <w:szCs w:val="24"/>
          <w:highlight w:val="none"/>
        </w:rPr>
        <w:t xml:space="preserve">9、响应文件的语言及度量衡单位</w:t>
      </w:r>
      <w:bookmarkEnd w:id="79"/>
      <w:r/>
      <w:bookmarkEnd w:id="80"/>
      <w:r/>
      <w:bookmarkEnd w:id="81"/>
      <w:r/>
      <w:bookmarkEnd w:id="82"/>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就有关采购活动的所有来往通知、函件和文件均应使用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83" w:name="_Toc20823287"/>
      <w:r/>
      <w:bookmarkStart w:id="84" w:name="_Toc16938531"/>
      <w:r/>
      <w:bookmarkStart w:id="85" w:name="_Toc513029215"/>
      <w:r/>
      <w:bookmarkStart w:id="86" w:name="_Toc462564074"/>
      <w:r>
        <w:rPr>
          <w:rFonts w:hint="eastAsia" w:ascii="宋体" w:hAnsi="宋体" w:eastAsia="宋体" w:cs="宋体"/>
          <w:color w:val="auto"/>
          <w:sz w:val="24"/>
          <w:szCs w:val="24"/>
          <w:highlight w:val="none"/>
        </w:rPr>
        <w:t xml:space="preserve">10、响应文件构成</w:t>
      </w:r>
      <w:bookmarkEnd w:id="83"/>
      <w:r/>
      <w:bookmarkEnd w:id="84"/>
      <w:r/>
      <w:bookmarkEnd w:id="85"/>
      <w:r/>
      <w:bookmarkEnd w:id="86"/>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87" w:name="_Hlt26954838"/>
      <w:r/>
      <w:bookmarkEnd w:id="87"/>
      <w:r/>
      <w:bookmarkStart w:id="88" w:name="_Hlt26670360"/>
      <w:r/>
      <w:bookmarkEnd w:id="88"/>
      <w:r/>
      <w:bookmarkStart w:id="89" w:name="_Hlt26668975"/>
      <w:r/>
      <w:bookmarkEnd w:id="89"/>
      <w:r/>
      <w:bookmarkStart w:id="90" w:name="_Toc49090508"/>
      <w:r/>
      <w:bookmarkStart w:id="91" w:name="_Toc513029216"/>
      <w:r/>
      <w:bookmarkStart w:id="92" w:name="_Toc513029219"/>
      <w:r/>
      <w:bookmarkStart w:id="93" w:name="_Toc14577354"/>
      <w:r/>
      <w:bookmarkStart w:id="94" w:name="_Toc14577357"/>
      <w:r/>
      <w:bookmarkStart w:id="95" w:name="_Toc49090509"/>
      <w:r/>
      <w:bookmarkStart w:id="96" w:name="_Toc49090507"/>
      <w:r/>
      <w:bookmarkStart w:id="97" w:name="_Toc14577355"/>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供应商编写的响应文件应包括资格证明文件、符合性证明文件、分项报价表、响应及偏离表、其他证明文件、</w:t>
      </w:r>
      <w:r>
        <w:rPr>
          <w:rFonts w:hint="eastAsia" w:ascii="宋体" w:hAnsi="宋体" w:eastAsia="宋体" w:cs="宋体"/>
          <w:color w:val="auto"/>
          <w:sz w:val="24"/>
          <w:szCs w:val="24"/>
          <w:highlight w:val="none"/>
          <w:lang w:val="en-US" w:eastAsia="zh-CN"/>
        </w:rPr>
        <w:t xml:space="preserve">协商及声明函</w:t>
      </w:r>
      <w:r>
        <w:rPr>
          <w:rFonts w:hint="eastAsia" w:ascii="宋体" w:hAnsi="宋体" w:eastAsia="宋体" w:cs="宋体"/>
          <w:color w:val="auto"/>
          <w:sz w:val="24"/>
          <w:szCs w:val="24"/>
          <w:highlight w:val="none"/>
        </w:rPr>
        <w:t xml:space="preserve">等部分。</w:t>
      </w:r>
      <w:bookmarkEnd w:id="90"/>
      <w:bookmarkEnd w:id="91"/>
      <w:bookmarkEnd w:id="92"/>
      <w:bookmarkEnd w:id="93"/>
      <w:bookmarkEnd w:id="94"/>
      <w:bookmarkEnd w:id="95"/>
      <w:bookmarkEnd w:id="96"/>
      <w:bookmarkEnd w:id="97"/>
      <w:r/>
    </w:p>
    <w:p>
      <w:pPr>
        <w:pStyle w:val="697"/>
        <w:ind w:left="0" w:right="0" w:firstLine="480"/>
        <w:pageBreakBefore w:val="0"/>
        <w:spacing w:before="0" w:beforeAutospacing="0" w:after="0" w:line="48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11、证明供应商及响应标的符合采购文件规定的文件</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供应商应按照法律、法规、规章和规范性文件以及采购文件要求提交证明文件，证明其及响应标的符合采购文件规定。</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11.2采购文件对证明文件无明确形式要求的，证明文件可以以文字资料、图纸和数据等形式提交。</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12、分项报价表</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98" w:name="_Hlt26954846"/>
      <w:r/>
      <w:bookmarkEnd w:id="98"/>
      <w:r/>
      <w:bookmarkStart w:id="99" w:name="_Hlt26670486"/>
      <w:r/>
      <w:bookmarkEnd w:id="99"/>
      <w:r/>
      <w:bookmarkStart w:id="100" w:name="_Hlt26954731"/>
      <w:r/>
      <w:bookmarkEnd w:id="100"/>
      <w:r/>
      <w:bookmarkStart w:id="101" w:name="_Hlt26670482"/>
      <w:r/>
      <w:bookmarkEnd w:id="101"/>
      <w:r/>
      <w:bookmarkStart w:id="102" w:name="_Hlt26954848"/>
      <w:r/>
      <w:bookmarkEnd w:id="102"/>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供应商应按照采购文件规定格式填报分项报价表。</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报价货币。响应文件中的单价和总价无特殊规定的采用人民币报价，以元为单位标注。</w:t>
      </w:r>
      <w:r>
        <w:rPr>
          <w:rFonts w:hint="eastAsia" w:ascii="宋体" w:hAnsi="宋体" w:eastAsia="宋体" w:cs="宋体"/>
          <w:color w:val="auto"/>
          <w:sz w:val="24"/>
          <w:szCs w:val="24"/>
          <w:highlight w:val="none"/>
        </w:rPr>
        <w:t xml:space="preserve">采购文件中另有规定的按规定执行。</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13、技术要求响应及偏离表、商务要求响应及偏离表</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供应商需对采购文件中的技术要求与商务要求逐项作出响应或偏离，并说明原因。</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pStyle w:val="697"/>
        <w:ind w:left="0" w:right="0" w:firstLine="480"/>
        <w:pageBreakBefore w:val="0"/>
        <w:spacing w:before="0" w:beforeAutospacing="0" w:after="0" w:line="480" w:lineRule="exact"/>
        <w:widowControl w:val="off"/>
        <w:rPr>
          <w:rFonts w:hint="eastAsia" w:ascii="宋体" w:hAnsi="宋体" w:eastAsia="宋体" w:cs="宋体"/>
          <w:b w:val="0"/>
          <w:bCs w:val="0"/>
          <w:color w:val="auto"/>
          <w:sz w:val="24"/>
          <w:szCs w:val="24"/>
          <w:highlight w:val="none"/>
        </w:rPr>
        <w:outlineLvl w:val="9"/>
      </w:pPr>
      <w:r/>
      <w:bookmarkStart w:id="103" w:name="_Toc49090510"/>
      <w:r/>
      <w:bookmarkStart w:id="104" w:name="_Toc14577359"/>
      <w:r>
        <w:rPr>
          <w:rFonts w:hint="eastAsia" w:ascii="宋体" w:hAnsi="宋体" w:eastAsia="宋体" w:cs="宋体"/>
          <w:b w:val="0"/>
          <w:bCs w:val="0"/>
          <w:color w:val="auto"/>
          <w:sz w:val="24"/>
          <w:szCs w:val="24"/>
          <w:highlight w:val="none"/>
        </w:rPr>
        <w:t xml:space="preserve">14、服务承诺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人员安排</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需根据采购文件要求提供有关服务的管理制度，人员的数量、素质、技术水平及服务的反应能力等。</w:t>
      </w:r>
      <w:bookmarkEnd w:id="103"/>
      <w:bookmarkEnd w:id="104"/>
      <w:r/>
    </w:p>
    <w:p>
      <w:pPr>
        <w:pStyle w:val="697"/>
        <w:ind w:left="0" w:right="0" w:firstLine="480"/>
        <w:pageBreakBefore w:val="0"/>
        <w:spacing w:before="0" w:beforeAutospacing="0" w:after="0" w:line="480" w:lineRule="exact"/>
        <w:widowControl w:val="off"/>
        <w:rPr>
          <w:rFonts w:hint="eastAsia" w:ascii="宋体" w:hAnsi="宋体" w:eastAsia="宋体" w:cs="宋体"/>
          <w:b w:val="0"/>
          <w:bCs w:val="0"/>
          <w:color w:val="auto"/>
          <w:sz w:val="24"/>
          <w:szCs w:val="24"/>
          <w:highlight w:val="none"/>
          <w:lang w:val="en-US" w:eastAsia="zh-CN"/>
        </w:rPr>
        <w:outlineLvl w:val="9"/>
      </w:pPr>
      <w:r/>
      <w:bookmarkStart w:id="105" w:name="_Toc14577360"/>
      <w:r/>
      <w:bookmarkStart w:id="106" w:name="_Toc49090511"/>
      <w:r>
        <w:rPr>
          <w:rFonts w:hint="eastAsia" w:ascii="宋体" w:hAnsi="宋体" w:eastAsia="宋体" w:cs="宋体"/>
          <w:b w:val="0"/>
          <w:bCs w:val="0"/>
          <w:color w:val="auto"/>
          <w:sz w:val="24"/>
          <w:szCs w:val="24"/>
          <w:highlight w:val="none"/>
        </w:rPr>
        <w:t xml:space="preserve">15、</w:t>
      </w:r>
      <w:r>
        <w:rPr>
          <w:rFonts w:hint="eastAsia" w:ascii="宋体" w:hAnsi="宋体" w:eastAsia="宋体" w:cs="宋体"/>
          <w:b w:val="0"/>
          <w:bCs w:val="0"/>
          <w:color w:val="auto"/>
          <w:sz w:val="24"/>
          <w:szCs w:val="24"/>
          <w:highlight w:val="none"/>
          <w:lang w:val="en-US" w:eastAsia="zh-CN"/>
        </w:rPr>
        <w:t xml:space="preserve">协商及声明函</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 供应商应按照采购文件中提供的格式完整、正确填写</w:t>
      </w:r>
      <w:r>
        <w:rPr>
          <w:rFonts w:hint="eastAsia" w:ascii="宋体" w:hAnsi="宋体" w:eastAsia="宋体" w:cs="宋体"/>
          <w:color w:val="auto"/>
          <w:sz w:val="24"/>
          <w:szCs w:val="24"/>
          <w:highlight w:val="none"/>
          <w:lang w:val="en-US" w:eastAsia="zh-CN"/>
        </w:rPr>
        <w:t xml:space="preserve">协商及声明函</w:t>
      </w:r>
      <w:r>
        <w:rPr>
          <w:rFonts w:hint="eastAsia" w:ascii="宋体" w:hAnsi="宋体" w:eastAsia="宋体" w:cs="宋体"/>
          <w:color w:val="auto"/>
          <w:sz w:val="24"/>
          <w:szCs w:val="24"/>
          <w:highlight w:val="none"/>
        </w:rPr>
        <w:t xml:space="preserve">。</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16、单一来源采购有效期</w:t>
      </w:r>
      <w:bookmarkEnd w:id="105"/>
      <w:r/>
      <w:bookmarkEnd w:id="106"/>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单一来源采购有效期（以下简称“有效期”）为</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规定的响应文件接收截止之日后</w:t>
      </w:r>
      <w:r>
        <w:rPr>
          <w:rFonts w:hint="eastAsia" w:ascii="宋体" w:hAnsi="宋体" w:eastAsia="宋体" w:cs="宋体"/>
          <w:b/>
          <w:color w:val="auto"/>
          <w:sz w:val="24"/>
          <w:szCs w:val="24"/>
          <w:highlight w:val="none"/>
          <w:u w:val="single"/>
        </w:rPr>
        <w:t xml:space="preserve">三十（30）天</w:t>
      </w:r>
      <w:r>
        <w:rPr>
          <w:rFonts w:hint="eastAsia" w:ascii="宋体" w:hAnsi="宋体" w:eastAsia="宋体" w:cs="宋体"/>
          <w:bCs/>
          <w:color w:val="auto"/>
          <w:sz w:val="24"/>
          <w:szCs w:val="24"/>
          <w:highlight w:val="none"/>
        </w:rPr>
        <w:t xml:space="preserve">。有效期比规定期限短的将被视为未响应采购文件要求而予以拒绝。</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17、有效期的延长</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于原有效期满之前，可向供应商提出延长有效期的要求。这种要求与答复均应采用书面形式。供应商可以拒绝</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的这一要求而放弃单一来源采购活动，同意延长有效期的供应商既不能要求也不允许修改其响应文件。</w:t>
      </w:r>
      <w:r>
        <w:rPr>
          <w:rFonts w:hint="eastAsia" w:ascii="宋体" w:hAnsi="宋体" w:eastAsia="宋体" w:cs="宋体"/>
          <w:color w:val="auto"/>
          <w:sz w:val="24"/>
          <w:szCs w:val="24"/>
          <w:highlight w:val="none"/>
        </w:rPr>
        <w:t xml:space="preserve">受有效期约束的所有权利与义务均延长至新的有效期</w:t>
      </w:r>
      <w:r>
        <w:rPr>
          <w:rFonts w:hint="eastAsia" w:ascii="宋体" w:hAnsi="宋体" w:eastAsia="宋体" w:cs="宋体"/>
          <w:bCs/>
          <w:color w:val="auto"/>
          <w:sz w:val="24"/>
          <w:szCs w:val="24"/>
          <w:highlight w:val="none"/>
        </w:rPr>
        <w:t xml:space="preserve">。</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107" w:name="_Hlt26954739"/>
      <w:r/>
      <w:bookmarkEnd w:id="107"/>
      <w:r/>
      <w:bookmarkStart w:id="108" w:name="_Hlt26954852"/>
      <w:r/>
      <w:bookmarkEnd w:id="108"/>
      <w:r/>
      <w:bookmarkStart w:id="109" w:name="_Toc120614217"/>
      <w:r/>
      <w:bookmarkStart w:id="110" w:name="_Toc20823296"/>
      <w:r/>
      <w:bookmarkStart w:id="111" w:name="_Toc16938540"/>
      <w:r/>
      <w:bookmarkStart w:id="112" w:name="_Toc513029224"/>
      <w:r>
        <w:rPr>
          <w:rFonts w:hint="eastAsia" w:ascii="宋体" w:hAnsi="宋体" w:eastAsia="宋体" w:cs="宋体"/>
          <w:b/>
          <w:bCs/>
          <w:color w:val="auto"/>
          <w:sz w:val="24"/>
          <w:szCs w:val="24"/>
          <w:highlight w:val="none"/>
        </w:rPr>
        <w:t xml:space="preserve">四、响应文件的递交</w:t>
      </w:r>
      <w:bookmarkEnd w:id="109"/>
      <w:r/>
      <w:bookmarkEnd w:id="110"/>
      <w:r/>
      <w:bookmarkEnd w:id="111"/>
      <w:r/>
      <w:bookmarkEnd w:id="112"/>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13" w:name="_Toc462564084"/>
      <w:r/>
      <w:bookmarkStart w:id="114" w:name="_Toc513029225"/>
      <w:r/>
      <w:bookmarkStart w:id="115" w:name="_Toc20823297"/>
      <w:r/>
      <w:bookmarkStart w:id="116" w:name="_Toc16938541"/>
      <w:r>
        <w:rPr>
          <w:rFonts w:hint="eastAsia" w:ascii="宋体" w:hAnsi="宋体" w:eastAsia="宋体" w:cs="宋体"/>
          <w:color w:val="auto"/>
          <w:sz w:val="24"/>
          <w:szCs w:val="24"/>
          <w:highlight w:val="none"/>
        </w:rPr>
        <w:t xml:space="preserve">18、电子</w:t>
      </w:r>
      <w:bookmarkEnd w:id="113"/>
      <w:r/>
      <w:bookmarkEnd w:id="114"/>
      <w:r/>
      <w:bookmarkEnd w:id="115"/>
      <w:r/>
      <w:bookmarkEnd w:id="116"/>
      <w:r>
        <w:rPr>
          <w:rFonts w:hint="eastAsia" w:ascii="宋体" w:hAnsi="宋体" w:eastAsia="宋体" w:cs="宋体"/>
          <w:color w:val="auto"/>
          <w:sz w:val="24"/>
          <w:szCs w:val="24"/>
          <w:highlight w:val="none"/>
        </w:rPr>
        <w:t xml:space="preserve">响应文件的递交</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18.1供应商应当按照《操作手册》规定，在截止时间前制作并上传电子响应文件。</w:t>
      </w:r>
      <w:bookmarkStart w:id="117" w:name="_Toc513029226"/>
      <w:r/>
      <w:bookmarkStart w:id="118" w:name="_Toc16938542"/>
      <w:r/>
      <w:bookmarkStart w:id="119" w:name="_Toc20823298"/>
      <w:r/>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19、提交响应文件截止时间</w:t>
      </w:r>
      <w:bookmarkEnd w:id="117"/>
      <w:r/>
      <w:bookmarkEnd w:id="118"/>
      <w:r/>
      <w:bookmarkEnd w:id="119"/>
      <w:r/>
      <w:r/>
    </w:p>
    <w:p>
      <w:pPr>
        <w:ind w:left="0" w:right="0" w:firstLine="480"/>
        <w:pageBreakBefore w:val="0"/>
        <w:spacing w:beforeAutospacing="0" w:line="480" w:lineRule="exact"/>
        <w:widowControl w:val="off"/>
        <w:rPr>
          <w:rFonts w:hint="eastAsia" w:ascii="宋体" w:hAnsi="宋体" w:eastAsia="宋体" w:cs="宋体"/>
          <w:bCs/>
          <w:i w:val="0"/>
          <w:iCs/>
          <w:color w:val="auto"/>
          <w:sz w:val="24"/>
          <w:szCs w:val="24"/>
          <w:highlight w:val="none"/>
          <w:u w:val="none"/>
        </w:rPr>
        <w:outlineLvl w:val="9"/>
      </w:pPr>
      <w:r>
        <w:rPr>
          <w:rFonts w:hint="eastAsia" w:ascii="宋体" w:hAnsi="宋体" w:eastAsia="宋体" w:cs="宋体"/>
          <w:i w:val="0"/>
          <w:iCs/>
          <w:color w:val="auto"/>
          <w:sz w:val="24"/>
          <w:szCs w:val="24"/>
          <w:highlight w:val="none"/>
          <w:u w:val="none"/>
        </w:rPr>
        <w:t xml:space="preserve">19.1</w:t>
      </w:r>
      <w:r>
        <w:rPr>
          <w:rFonts w:hint="eastAsia" w:ascii="宋体" w:hAnsi="宋体" w:eastAsia="宋体" w:cs="宋体"/>
          <w:bCs/>
          <w:i w:val="0"/>
          <w:iCs/>
          <w:color w:val="auto"/>
          <w:sz w:val="24"/>
          <w:szCs w:val="24"/>
          <w:highlight w:val="none"/>
          <w:u w:val="none"/>
        </w:rPr>
        <w:t xml:space="preserve">供应商上传电子响应文件的时间不得迟于单一来源采购邀请中规定的截止时间。</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120" w:name="_Toc513029227"/>
      <w:r/>
      <w:bookmarkStart w:id="121" w:name="_Toc16938543"/>
      <w:r/>
      <w:bookmarkStart w:id="122" w:name="_Toc20823299"/>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可以按照规定，通过修改采购文件酌情延长截止时间，在此情况下，供应商的所有权利和义务以及供应商受制的截止时间以延长后新的截止时间为准。</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20、响应文件</w:t>
      </w:r>
      <w:bookmarkEnd w:id="120"/>
      <w:r/>
      <w:bookmarkEnd w:id="121"/>
      <w:r/>
      <w:bookmarkEnd w:id="122"/>
      <w:r>
        <w:rPr>
          <w:rFonts w:hint="eastAsia" w:ascii="宋体" w:hAnsi="宋体" w:eastAsia="宋体" w:cs="宋体"/>
          <w:color w:val="auto"/>
          <w:sz w:val="24"/>
          <w:szCs w:val="24"/>
          <w:highlight w:val="none"/>
        </w:rPr>
        <w:t xml:space="preserve">的拒收</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 </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拒绝接收在其规定的截止时间后上传的任何电子响应文件。</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23" w:name="_Toc16938544"/>
      <w:r/>
      <w:bookmarkStart w:id="124" w:name="_Toc513029228"/>
      <w:r/>
      <w:bookmarkStart w:id="125" w:name="_Toc20823300"/>
      <w:r>
        <w:rPr>
          <w:rFonts w:hint="eastAsia" w:ascii="宋体" w:hAnsi="宋体" w:eastAsia="宋体" w:cs="宋体"/>
          <w:color w:val="auto"/>
          <w:sz w:val="24"/>
          <w:szCs w:val="24"/>
          <w:highlight w:val="none"/>
        </w:rPr>
        <w:t xml:space="preserve">21、响应文件的撤回和修改</w:t>
      </w:r>
      <w:bookmarkEnd w:id="123"/>
      <w:r/>
      <w:bookmarkEnd w:id="124"/>
      <w:r/>
      <w:bookmarkEnd w:id="125"/>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21.1响应文件的撤回</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电子响应文件的撤回</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前，撤回其电子响应文件，具体操作方法见《操作手册》。</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21.1.2供应商撤回电子响应文件，则认为其不再参与本项目采购活动。</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21.2响应文件的修改</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前，对其电子响应文件进行修改，具体操作方法见《操作手册》。</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在截止时间之后，供应商不得对其电子响应文件作任何修改。</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在截止时间至有效期满之间的这段时间内，供应商不得撤回其响应文件。</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126" w:name="_Toc120614218"/>
      <w:r/>
      <w:bookmarkStart w:id="127" w:name="_Toc513029229"/>
      <w:r/>
      <w:bookmarkStart w:id="128" w:name="_Toc20823301"/>
      <w:r/>
      <w:bookmarkStart w:id="129" w:name="_Toc16938545"/>
      <w:r>
        <w:rPr>
          <w:rFonts w:hint="eastAsia" w:ascii="宋体" w:hAnsi="宋体" w:eastAsia="宋体" w:cs="宋体"/>
          <w:b/>
          <w:bCs/>
          <w:color w:val="auto"/>
          <w:sz w:val="24"/>
          <w:szCs w:val="24"/>
          <w:highlight w:val="none"/>
        </w:rPr>
        <w:t xml:space="preserve">五、响应文件的解密与评审</w:t>
      </w:r>
      <w:bookmarkEnd w:id="126"/>
      <w:r/>
      <w:bookmarkEnd w:id="127"/>
      <w:r/>
      <w:bookmarkEnd w:id="128"/>
      <w:r/>
      <w:bookmarkEnd w:id="129"/>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30" w:name="_Toc20823302"/>
      <w:r/>
      <w:bookmarkStart w:id="131" w:name="_Toc513029230"/>
      <w:r/>
      <w:bookmarkStart w:id="132" w:name="_Toc16938546"/>
      <w:r>
        <w:rPr>
          <w:rFonts w:hint="eastAsia" w:ascii="宋体" w:hAnsi="宋体" w:eastAsia="宋体" w:cs="宋体"/>
          <w:color w:val="auto"/>
          <w:sz w:val="24"/>
          <w:szCs w:val="24"/>
          <w:highlight w:val="none"/>
        </w:rPr>
        <w:t xml:space="preserve">22、</w:t>
      </w:r>
      <w:bookmarkEnd w:id="130"/>
      <w:r/>
      <w:bookmarkEnd w:id="131"/>
      <w:r/>
      <w:bookmarkEnd w:id="132"/>
      <w:r>
        <w:rPr>
          <w:rFonts w:hint="eastAsia" w:ascii="宋体" w:hAnsi="宋体" w:eastAsia="宋体" w:cs="宋体"/>
          <w:color w:val="auto"/>
          <w:sz w:val="24"/>
          <w:szCs w:val="24"/>
          <w:highlight w:val="none"/>
        </w:rPr>
        <w:t xml:space="preserve">响应文件解密</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22.1供应商应当按照《操作手册》规定，在苏采云系统规定的时间内对响应文件进行解密。</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33" w:name="_Toc20823303"/>
      <w:r/>
      <w:bookmarkStart w:id="134" w:name="_Toc16938547"/>
      <w:r/>
      <w:bookmarkStart w:id="135" w:name="_Toc513029231"/>
      <w:r>
        <w:rPr>
          <w:rFonts w:hint="eastAsia" w:ascii="宋体" w:hAnsi="宋体" w:eastAsia="宋体" w:cs="宋体"/>
          <w:color w:val="auto"/>
          <w:sz w:val="24"/>
          <w:szCs w:val="24"/>
          <w:highlight w:val="none"/>
        </w:rPr>
        <w:t xml:space="preserve">23、单一来源谈判小组</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23.1单一来源谈判小组（以下简称“谈判小组”）由政府采购评审专家、采购人代表组成，且人员构成符合政府采购有关规定。</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23.2谈判小组应当按照客观、公正、审慎的原则评审供应商的响应文件，并与</w:t>
      </w:r>
      <w:r>
        <w:rPr>
          <w:rFonts w:hint="eastAsia" w:ascii="宋体" w:hAnsi="宋体" w:eastAsia="宋体" w:cs="宋体"/>
          <w:bCs/>
          <w:color w:val="auto"/>
          <w:sz w:val="24"/>
          <w:szCs w:val="24"/>
          <w:highlight w:val="none"/>
        </w:rPr>
        <w:t xml:space="preserve">供应商协商采购标的的价格</w:t>
      </w:r>
      <w:r>
        <w:rPr>
          <w:rFonts w:hint="eastAsia" w:ascii="宋体" w:hAnsi="宋体" w:eastAsia="宋体" w:cs="宋体"/>
          <w:color w:val="auto"/>
          <w:sz w:val="24"/>
          <w:szCs w:val="24"/>
          <w:highlight w:val="none"/>
        </w:rPr>
        <w:t xml:space="preserve">。</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24、单一来源谈判过程的保密与公正</w:t>
      </w:r>
      <w:bookmarkEnd w:id="133"/>
      <w:bookmarkEnd w:id="134"/>
      <w:bookmarkEnd w:id="135"/>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136" w:name="_Toc16938548"/>
      <w:r/>
      <w:bookmarkStart w:id="137" w:name="_Toc513029232"/>
      <w:r/>
      <w:bookmarkStart w:id="138" w:name="_Toc20823304"/>
      <w:r>
        <w:rPr>
          <w:rFonts w:hint="eastAsia" w:ascii="宋体" w:hAnsi="宋体" w:eastAsia="宋体" w:cs="宋体"/>
          <w:bCs/>
          <w:color w:val="auto"/>
          <w:sz w:val="24"/>
          <w:szCs w:val="24"/>
          <w:highlight w:val="none"/>
        </w:rPr>
        <w:t xml:space="preserve">24.1谈判小组、采购人和</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工作人员、相关监督人员等与评审工作有关的人员，对评审、单一来源谈判情况以及在评审、单一来源谈判过程（以下简称“谈判过程”）中获悉的国家秘密、商业秘密负有保密责任。</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24.2在谈判过程中，供应商不得以任何行为影响评审及谈判过程，否则将会导致其响应文件被拒绝。</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25、评审及谈判过程中的澄清</w:t>
      </w:r>
      <w:bookmarkEnd w:id="136"/>
      <w:r/>
      <w:bookmarkEnd w:id="137"/>
      <w:r/>
      <w:bookmarkEnd w:id="138"/>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25.1项目评审及谈判过程中，谈判小组有权要求供应商对响应文件中含义不明确、同类问题表述不一致或者有明显文字和计算错误的内容等作出必要的澄清、说明或者更正。</w:t>
      </w:r>
      <w:r/>
    </w:p>
    <w:p>
      <w:pPr>
        <w:ind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接到谈判小组澄清、说明和更正要求的供应商如未按规定做出澄清、说明和 更正，其风险由供应商自行承担。</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39" w:name="_Toc20823305"/>
      <w:r/>
      <w:bookmarkStart w:id="140" w:name="_Toc16938549"/>
      <w:r/>
      <w:bookmarkStart w:id="141" w:name="_Toc513029233"/>
      <w:r>
        <w:rPr>
          <w:rFonts w:hint="eastAsia" w:ascii="宋体" w:hAnsi="宋体" w:eastAsia="宋体" w:cs="宋体"/>
          <w:color w:val="auto"/>
          <w:sz w:val="24"/>
          <w:szCs w:val="24"/>
          <w:highlight w:val="none"/>
        </w:rPr>
        <w:t xml:space="preserve">26、对响应文件的审</w:t>
      </w:r>
      <w:bookmarkEnd w:id="139"/>
      <w:r/>
      <w:bookmarkEnd w:id="140"/>
      <w:r/>
      <w:bookmarkEnd w:id="141"/>
      <w:r>
        <w:rPr>
          <w:rFonts w:hint="eastAsia" w:ascii="宋体" w:hAnsi="宋体" w:eastAsia="宋体" w:cs="宋体"/>
          <w:color w:val="auto"/>
          <w:sz w:val="24"/>
          <w:szCs w:val="24"/>
          <w:highlight w:val="none"/>
        </w:rPr>
        <w:t xml:space="preserve">查</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资格审查：由谈判小组依据法律法规和谈判文件的规定，对响应文件中的资格证明文件进行审查，以确定供应商是否具备参加单一来源谈判的资格。</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谈判小组在进行资格审查的同时，将在“信用中国”网站查询供应商的信用记录，以确定供应商是否具备谈判资格,查询结果留存并归档。</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未通过资格审查或符合性审查的供应商，谈判小组将在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中告知未通过资格审查或符合性审查的原因，评审结束后，谈判小组将不再告知未通过资格审查或符合性审查的原因。</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的权利或供应商的义务。重大偏离由谈判小组按照少数服从多数的原则认定。谈判小组决定响应文件的响应性只根据响应文件本身的内容，而不寻求外部的证据。</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26.3未实质性响应采购文件的情形</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26.3.2供应商未按照采购文件要求上传电子响应文件的。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26.3.3供应商提交两个（含两个）以上不同的响应文件或者最后报价的。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26.3.4供应商不具备采购文件中规定资格要求的。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26.3.5供应商的最后报价超过了采购预算。</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26.3.6不符合采购文件中规定的实质性要求和条件的</w:t>
      </w:r>
      <w:r>
        <w:rPr>
          <w:rFonts w:hint="eastAsia" w:ascii="宋体" w:hAnsi="宋体" w:eastAsia="宋体" w:cs="宋体"/>
          <w:bCs/>
          <w:color w:val="auto"/>
          <w:sz w:val="24"/>
          <w:szCs w:val="24"/>
          <w:highlight w:val="none"/>
          <w:lang w:eastAsia="zh-CN"/>
        </w:rPr>
        <w:t xml:space="preserve">。</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26.3.8  响应文件含有采购人不能接受的附加条件的。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26.3.9 本项目采购产品被财政部、</w:t>
      </w:r>
      <w:r>
        <w:rPr>
          <w:rFonts w:hint="eastAsia" w:ascii="宋体" w:hAnsi="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26.3.10响应文件未按照谈判文件要求加盖CA电子公章的。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26.4未实质性响应采购文件的响应文件按无效响应处理。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如果响应文件实质上没有响应采购文件的要求，谈判小组将予以拒绝。</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bookmarkStart w:id="142" w:name="_Toc16938550"/>
      <w:r/>
      <w:bookmarkStart w:id="143" w:name="_Toc513029234"/>
      <w:r/>
      <w:bookmarkStart w:id="144" w:name="_Toc20823306"/>
      <w:r>
        <w:rPr>
          <w:rFonts w:hint="eastAsia" w:ascii="宋体" w:hAnsi="宋体" w:eastAsia="宋体" w:cs="宋体"/>
          <w:color w:val="auto"/>
          <w:sz w:val="24"/>
          <w:szCs w:val="24"/>
          <w:highlight w:val="none"/>
        </w:rPr>
        <w:t xml:space="preserve">26.6供应商在项目评审及谈判全过程中应保持通讯畅通，并安排专人与</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及谈判小组联系。</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w:t>
      </w:r>
      <w:bookmarkEnd w:id="142"/>
      <w:r/>
      <w:bookmarkEnd w:id="143"/>
      <w:r/>
      <w:bookmarkEnd w:id="144"/>
      <w:r>
        <w:rPr>
          <w:rFonts w:hint="eastAsia" w:ascii="宋体" w:hAnsi="宋体" w:eastAsia="宋体" w:cs="宋体"/>
          <w:color w:val="auto"/>
          <w:sz w:val="24"/>
          <w:szCs w:val="24"/>
          <w:highlight w:val="none"/>
        </w:rPr>
        <w:t xml:space="preserve">单一来源谈判及成交原则</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27.1单一来源谈判</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 对于通过资格审查和符合性审查的供应商，谈判小组将通过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与其就采购标的的价格、服务等内容进行单一来源谈判。</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27.1.2</w:t>
      </w:r>
      <w:r>
        <w:rPr>
          <w:rFonts w:hint="eastAsia" w:ascii="宋体" w:hAnsi="宋体" w:eastAsia="宋体" w:cs="宋体"/>
          <w:color w:val="auto"/>
          <w:sz w:val="24"/>
          <w:szCs w:val="24"/>
          <w:highlight w:val="none"/>
        </w:rPr>
        <w:t xml:space="preserve">供应商应当在苏采云系统中以书面形式对谈判过程中做出的承诺与澄清进行确认，并在谈判小组规定的时间内完成最后报价。</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27.1.3 </w:t>
      </w:r>
      <w:r>
        <w:rPr>
          <w:rFonts w:hint="eastAsia" w:ascii="宋体" w:hAnsi="宋体" w:eastAsia="宋体" w:cs="宋体"/>
          <w:color w:val="auto"/>
          <w:sz w:val="24"/>
          <w:szCs w:val="24"/>
          <w:highlight w:val="none"/>
        </w:rPr>
        <w:t xml:space="preserve">供应商的最后报价在响应产品数量没有增加，配置、服务没有重大提高的情况下，一般不允许高于第一次报价（即单一来源谈判分项报价表</w:t>
      </w:r>
      <w:r>
        <w:rPr>
          <w:rFonts w:hint="eastAsia" w:ascii="宋体" w:hAnsi="宋体" w:eastAsia="宋体" w:cs="宋体"/>
          <w:bCs/>
          <w:color w:val="auto"/>
          <w:sz w:val="24"/>
          <w:szCs w:val="24"/>
          <w:highlight w:val="none"/>
        </w:rPr>
        <w:t xml:space="preserve">中的</w:t>
      </w:r>
      <w:r>
        <w:rPr>
          <w:rFonts w:hint="eastAsia" w:ascii="宋体" w:hAnsi="宋体" w:eastAsia="宋体" w:cs="宋体"/>
          <w:color w:val="auto"/>
          <w:sz w:val="24"/>
          <w:szCs w:val="24"/>
          <w:highlight w:val="none"/>
        </w:rPr>
        <w:t xml:space="preserve">报价）。否则，谈判小组有权拒绝该最后报价并不再给予报价补救机会。</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27.2成交原则</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谈判小组根据政府采购相关法律、规章的规定，在供应商的响应情况能保证采购项目质量且最后报价合理的基础上确定其为成交供应商。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27.3单一来源谈判终止情形处理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出现下列情形之一的，</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将终止采购活动，发布项目终止公告并说明原因，重新开展采购活动：</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27.3.1 因情况变化，不再符合规定的单一来源采购方式适用情形的；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27.3.2 出现影响采购公正的违法、违规行为的；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27.3.3供应商最后报价超过采购预算的；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27.3.4供应商的技术方案、服务承诺、商务条款等不能满足采购人或谈判小组的要求；</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27.3.5 </w:t>
      </w:r>
      <w:r>
        <w:rPr>
          <w:rFonts w:hint="eastAsia" w:ascii="宋体" w:hAnsi="宋体" w:eastAsia="宋体" w:cs="宋体"/>
          <w:color w:val="auto"/>
          <w:sz w:val="24"/>
          <w:szCs w:val="24"/>
          <w:highlight w:val="none"/>
        </w:rPr>
        <w:t xml:space="preserve">法律、法规、规章规定的其他应当终止的情形。</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六、成交</w:t>
      </w:r>
      <w:r/>
    </w:p>
    <w:p>
      <w:pPr>
        <w:ind w:left="0" w:right="0" w:firstLine="480"/>
        <w:keepLines/>
        <w:keepNext/>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28、确定成交供应商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28.1谈判小组根据谈判情况编写单一来源评审报告，推荐成交候选供应商。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28.2 采购人根据谈判小组推荐的成交候选供应商确定成交供应商。</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 若有充分证据证明，成交供应商出现下列情况之一的，一经查实，将被取消成交资格：</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28.3.1提供虚假材料谋取成交的。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28.3.2与评审专家、采购人、其他供应商或者</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工作人员恶意串通的。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28.3.3向评审专家、采购人或</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28.3.4恶意竞争，最后报价明显低于其自身合理成本且又无法提供证明的。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28.3.5不满足本采购文件规定的实质性要求，但在评审过程中又未被谈判小组发现的。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28.3.6成交后无正当理由拒不与采购人签订政府采购合同或者未按照采购文件确定的事项签订政府采购合同的。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28.3.7将政府采购合同转包的。</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成交供应商被取消成交资格后，</w:t>
      </w:r>
      <w:r>
        <w:rPr>
          <w:rFonts w:hint="eastAsia" w:ascii="宋体" w:hAnsi="宋体" w:eastAsia="宋体" w:cs="宋体"/>
          <w:bCs/>
          <w:color w:val="auto"/>
          <w:sz w:val="24"/>
          <w:szCs w:val="24"/>
          <w:highlight w:val="none"/>
          <w:lang w:eastAsia="zh-CN"/>
        </w:rPr>
        <w:t xml:space="preserve">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有权重新组织采购。</w:t>
      </w:r>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145" w:name="_Toc200451960"/>
      <w:r>
        <w:rPr>
          <w:rFonts w:hint="eastAsia" w:ascii="宋体" w:hAnsi="宋体" w:eastAsia="宋体" w:cs="宋体"/>
          <w:bCs/>
          <w:color w:val="auto"/>
          <w:sz w:val="24"/>
          <w:szCs w:val="24"/>
          <w:highlight w:val="none"/>
        </w:rPr>
        <w:t xml:space="preserve">29、质疑处理</w:t>
      </w:r>
      <w:bookmarkEnd w:id="145"/>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lang w:eastAsia="zh-CN"/>
        </w:rPr>
        <w:t xml:space="preserve">采购</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提出质疑。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 供应商应当在法定质疑期内一次性提出针对同一采购程序环节的质疑。供应商如在法定期限内对同一采购程序环节提出多次质疑的，采购人将只对供应商第一次质疑作出答复。</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 xml:space="preserve">供应商应以书面形式向采购人提出质疑。</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lang w:val="en-US" w:eastAsia="zh-CN"/>
        </w:rPr>
        <w:t xml:space="preserve">现场接收或邮寄接收</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u w:val="single"/>
          <w:lang w:val="en-US" w:eastAsia="zh-CN"/>
        </w:rPr>
        <w:t xml:space="preserve">宿迁市医疗保障局、宿迁市楚润数据集团有限公司</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u w:val="single"/>
          <w:lang w:eastAsia="zh-CN"/>
        </w:rPr>
        <w:t xml:space="preserve">0527-84368023</w:t>
      </w:r>
      <w:r/>
    </w:p>
    <w:p>
      <w:pPr>
        <w:ind w:left="0" w:right="0" w:firstLine="480"/>
        <w:jc w:val="both"/>
        <w:pageBreakBefore w:val="0"/>
        <w:spacing w:beforeAutospacing="0"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u w:val="single"/>
          <w:lang w:eastAsia="zh-CN"/>
        </w:rPr>
        <w:t xml:space="preserve">宿迁市洪泽湖路889号便民方舟1号楼</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 以下情形的质疑不予受理</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29.5.2 超出政府采购法定期限的质疑。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29.5.3 以传真、电子邮件等方式递交的非原件形式的质疑。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未参加单一来源采购活动的供应商所提出的质疑。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29.5.5供应商组成联合体参加谈判，联合体中任何一方或多方未按要求签字、盖章、加盖公章的质疑。</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30、成交通知书</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30.1成交结果确定后，将向成交人发出成交通知书。请成交人使用CA数字证书登录“苏采云系统”及时下载成交通知书。成交供应商可自行下载打印《成交通知书》，《成交通知书》将作为授予合同资格的唯一合法依据</w:t>
      </w:r>
      <w:r>
        <w:rPr>
          <w:rFonts w:hint="eastAsia" w:ascii="宋体" w:hAnsi="宋体" w:eastAsia="宋体" w:cs="宋体"/>
          <w:color w:val="auto"/>
          <w:sz w:val="24"/>
          <w:szCs w:val="24"/>
          <w:highlight w:val="none"/>
          <w:lang w:eastAsia="zh-CN"/>
        </w:rPr>
        <w:t xml:space="preserve">。</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beforeAutospacing="0" w:line="480" w:lineRule="exact"/>
        <w:widowControl w:val="off"/>
        <w:rPr>
          <w:rFonts w:hint="eastAsia" w:ascii="宋体" w:hAnsi="宋体" w:eastAsia="宋体" w:cs="宋体"/>
          <w:b/>
          <w:bCs/>
          <w:color w:val="auto"/>
          <w:sz w:val="24"/>
          <w:szCs w:val="24"/>
          <w:highlight w:val="none"/>
        </w:rPr>
        <w:outlineLvl w:val="9"/>
      </w:pPr>
      <w:r/>
      <w:bookmarkStart w:id="146" w:name="_Toc120614220"/>
      <w:r/>
      <w:bookmarkStart w:id="147" w:name="_Toc20823308"/>
      <w:r/>
      <w:bookmarkStart w:id="148" w:name="_Toc513029236"/>
      <w:r/>
      <w:bookmarkStart w:id="149" w:name="_Toc16938552"/>
      <w:r>
        <w:rPr>
          <w:rFonts w:hint="eastAsia" w:ascii="宋体" w:hAnsi="宋体" w:eastAsia="宋体" w:cs="宋体"/>
          <w:b/>
          <w:bCs/>
          <w:color w:val="auto"/>
          <w:sz w:val="24"/>
          <w:szCs w:val="24"/>
          <w:highlight w:val="none"/>
        </w:rPr>
        <w:t xml:space="preserve">七、授予合同</w:t>
      </w:r>
      <w:bookmarkEnd w:id="146"/>
      <w:r/>
      <w:bookmarkEnd w:id="147"/>
      <w:bookmarkEnd w:id="148"/>
      <w:bookmarkEnd w:id="149"/>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150" w:name="_Toc513029237"/>
      <w:r/>
      <w:bookmarkStart w:id="151" w:name="_Toc20823309"/>
      <w:r/>
      <w:bookmarkStart w:id="152" w:name="_Toc16938553"/>
      <w:r>
        <w:rPr>
          <w:rFonts w:hint="eastAsia" w:ascii="宋体" w:hAnsi="宋体" w:eastAsia="宋体" w:cs="宋体"/>
          <w:bCs/>
          <w:color w:val="auto"/>
          <w:sz w:val="24"/>
          <w:szCs w:val="24"/>
          <w:highlight w:val="none"/>
        </w:rPr>
        <w:t xml:space="preserve">31. 签订合同</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w:t>
      </w:r>
      <w:r>
        <w:rPr>
          <w:rFonts w:hint="eastAsia" w:ascii="宋体" w:hAnsi="宋体" w:eastAsia="宋体" w:cs="宋体"/>
          <w:color w:val="auto"/>
          <w:sz w:val="24"/>
          <w:szCs w:val="24"/>
          <w:highlight w:val="none"/>
          <w:lang w:val="en-US" w:eastAsia="zh-CN"/>
        </w:rPr>
        <w:t xml:space="preserve">十五</w:t>
      </w:r>
      <w:r>
        <w:rPr>
          <w:rFonts w:hint="eastAsia" w:ascii="宋体" w:hAnsi="宋体" w:eastAsia="宋体" w:cs="宋体"/>
          <w:color w:val="auto"/>
          <w:sz w:val="24"/>
          <w:szCs w:val="24"/>
          <w:highlight w:val="none"/>
        </w:rPr>
        <w:t xml:space="preserve">日内，按照采购文件确定的事项与采购人签订政府采购合同。</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31.2采购文件、成交供应商的响应文件及谈判过程中有关澄清、承诺文件均应作为合同附件。</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val="0"/>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31.4</w:t>
      </w:r>
      <w:r>
        <w:rPr>
          <w:rFonts w:hint="eastAsia" w:ascii="宋体" w:hAnsi="宋体" w:eastAsia="宋体" w:cs="宋体"/>
          <w:bCs/>
          <w:color w:val="auto"/>
          <w:sz w:val="24"/>
          <w:szCs w:val="24"/>
          <w:highlight w:val="none"/>
        </w:rPr>
        <w:t xml:space="preserve">履约保证金</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val="zh-CN"/>
        </w:rPr>
        <w:t xml:space="preserve">方式确定履约保证收取方式。</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）不收取履约保证金。</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（2）履约保证金应在采购合同签订前提交，履约保证金的金额按采购合同总价的</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计取（如使用江苏政府采购电子履约保函（保险）代替缴纳履约保证金的，按采购合同总价的</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eastAsia="zh-CN"/>
        </w:rPr>
        <w:outlineLvl w:val="9"/>
      </w:pPr>
      <w:r>
        <w:rPr>
          <w:rFonts w:hint="eastAsia" w:ascii="宋体" w:hAnsi="宋体" w:eastAsia="宋体" w:cs="宋体"/>
          <w:bCs/>
          <w:color w:val="auto"/>
          <w:sz w:val="24"/>
          <w:szCs w:val="24"/>
          <w:highlight w:val="none"/>
          <w:lang w:val="zh-CN"/>
        </w:rPr>
        <w:t xml:space="preserve">除银行电汇、网上银行、数字人民币外，</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还可选用银行保函、担保公司的保证担保或保险公司的保证保险</w:t>
      </w:r>
      <w:r>
        <w:rPr>
          <w:rFonts w:hint="eastAsia" w:ascii="宋体" w:hAnsi="宋体" w:cs="宋体"/>
          <w:bCs/>
          <w:color w:val="auto"/>
          <w:sz w:val="24"/>
          <w:szCs w:val="24"/>
          <w:highlight w:val="none"/>
          <w:lang w:val="zh-CN"/>
        </w:rPr>
        <w:t xml:space="preserve">等</w:t>
      </w:r>
      <w:r>
        <w:rPr>
          <w:rFonts w:hint="eastAsia" w:ascii="宋体" w:hAnsi="宋体" w:eastAsia="宋体" w:cs="宋体"/>
          <w:bCs/>
          <w:color w:val="auto"/>
          <w:sz w:val="24"/>
          <w:szCs w:val="24"/>
          <w:highlight w:val="none"/>
          <w:lang w:val="zh-CN"/>
        </w:rPr>
        <w:t xml:space="preserve">多种形式向采购人缴纳。</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存款账户或</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数字人民币账户；以保函、担保、保险等形式缴纳履约保证金的，在保函、担保、保险约定的保证期限届满之日起自行失效；</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履约保证金退还的条件：按以下</w:t>
      </w:r>
      <w:r>
        <w:rPr>
          <w:rFonts w:hint="eastAsia" w:ascii="宋体" w:hAnsi="宋体" w:eastAsia="宋体" w:cs="宋体"/>
          <w:bCs/>
          <w:color w:val="auto"/>
          <w:sz w:val="24"/>
          <w:szCs w:val="24"/>
          <w:highlight w:val="none"/>
          <w:u w:val="single"/>
          <w:lang w:val="en-US" w:eastAsia="zh-CN"/>
        </w:rPr>
        <w:t xml:space="preserve"> b </w:t>
      </w:r>
      <w:r>
        <w:rPr>
          <w:rFonts w:hint="eastAsia" w:ascii="宋体" w:hAnsi="宋体" w:eastAsia="宋体" w:cs="宋体"/>
          <w:bCs/>
          <w:color w:val="auto"/>
          <w:sz w:val="24"/>
          <w:szCs w:val="24"/>
          <w:highlight w:val="none"/>
          <w:u w:val="none"/>
          <w:lang w:val="en-US" w:eastAsia="zh-CN"/>
        </w:rPr>
        <w:t xml:space="preserve">种</w:t>
      </w:r>
      <w:r>
        <w:rPr>
          <w:rFonts w:hint="eastAsia" w:ascii="宋体" w:hAnsi="宋体" w:eastAsia="宋体" w:cs="宋体"/>
          <w:bCs/>
          <w:color w:val="auto"/>
          <w:sz w:val="24"/>
          <w:szCs w:val="24"/>
          <w:highlight w:val="none"/>
          <w:lang w:val="zh-CN"/>
        </w:rPr>
        <w:t xml:space="preserve">方式实行：</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a、货物类项目，项目验收合格，出具验收报告及履约保证金收据申请退付；</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b、服务类项目，项目履约期满评价合格，出具履约评价报告及履约保证金收据申请退付；</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c、工程类项目，项目完工验收合格，出具完工证明及履约保证金收据申请退付；</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履约保证金退还时间：采购单位收到</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退付申请后5个工作日内退还；</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履约保证金不予退还情形：除不可抗力外，</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不履行与采购人订立的采购合同的，履约保证金不予退还，给采购人造成的损失超过履约保证金数额的，还应当对超过部分予以赔偿；</w:t>
      </w:r>
      <w:r/>
    </w:p>
    <w:p>
      <w:pPr>
        <w:ind w:left="0" w:right="0" w:firstLine="480"/>
        <w:pageBreakBefore w:val="0"/>
        <w:spacing w:beforeAutospacing="0" w:line="480" w:lineRule="exact"/>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lang w:val="zh-CN"/>
        </w:rPr>
        <w:t xml:space="preserve">自身原因导致无法及时退还的除外。</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本项目支持和鼓励供应商使用江苏政府采购电子履约保函（保险）代替缴纳履约保证金。关于办理流程、偿付等内容详见江苏省政府采购网</w:t>
      </w:r>
      <w:r>
        <w:rPr>
          <w:rFonts w:hint="eastAsia" w:ascii="宋体" w:hAnsi="宋体" w:cs="宋体"/>
          <w:bCs/>
          <w:color w:val="auto"/>
          <w:sz w:val="24"/>
          <w:szCs w:val="24"/>
          <w:highlight w:val="none"/>
          <w:lang w:val="en-US" w:eastAsia="zh-CN"/>
        </w:rPr>
        <w:t xml:space="preserve">保险保函模块</w:t>
      </w:r>
      <w:r>
        <w:rPr>
          <w:rFonts w:hint="eastAsia" w:ascii="宋体" w:hAnsi="宋体" w:eastAsia="宋体" w:cs="宋体"/>
          <w:bCs/>
          <w:color w:val="auto"/>
          <w:sz w:val="24"/>
          <w:szCs w:val="24"/>
          <w:highlight w:val="none"/>
        </w:rPr>
        <w:t xml:space="preserve">。</w:t>
      </w:r>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32、标的物的追加</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0"/>
      <w:bookmarkEnd w:id="151"/>
      <w:bookmarkEnd w:id="152"/>
      <w:r/>
    </w:p>
    <w:p>
      <w:pPr>
        <w:ind w:left="0" w:right="0" w:firstLine="480"/>
        <w:keepLines/>
        <w:keepNext/>
        <w:pageBreakBefore w:val="0"/>
        <w:spacing w:beforeAutospacing="0" w:line="480" w:lineRule="exact"/>
        <w:widowControl w:val="off"/>
        <w:rPr>
          <w:rFonts w:hint="eastAsia" w:ascii="宋体" w:hAnsi="宋体" w:eastAsia="宋体" w:cs="宋体"/>
          <w:bCs/>
          <w:color w:val="auto"/>
          <w:sz w:val="24"/>
          <w:szCs w:val="24"/>
          <w:highlight w:val="none"/>
        </w:rPr>
        <w:outlineLvl w:val="9"/>
      </w:pPr>
      <w:r/>
      <w:bookmarkStart w:id="153" w:name="_Toc513029242"/>
      <w:r/>
      <w:bookmarkStart w:id="154" w:name="_Toc120614221"/>
      <w:r/>
      <w:bookmarkStart w:id="155" w:name="_Toc20823314"/>
      <w:r/>
      <w:bookmarkStart w:id="156" w:name="_Toc479757207"/>
      <w:r/>
      <w:bookmarkStart w:id="157" w:name="_Toc16938558"/>
      <w:r>
        <w:rPr>
          <w:rFonts w:hint="eastAsia" w:ascii="宋体" w:hAnsi="宋体" w:eastAsia="宋体" w:cs="宋体"/>
          <w:bCs/>
          <w:color w:val="auto"/>
          <w:sz w:val="24"/>
          <w:szCs w:val="24"/>
          <w:highlight w:val="none"/>
        </w:rPr>
        <w:t xml:space="preserve">33、政府采购履约资金扶持政策</w:t>
      </w:r>
      <w:r/>
    </w:p>
    <w:p>
      <w:pPr>
        <w:ind w:left="0" w:right="0" w:firstLine="480"/>
        <w:pageBreakBefore w:val="0"/>
        <w:spacing w:before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left="0" w:right="0" w:firstLine="880"/>
        <w:keepNext/>
        <w:pageBreakBefore w:val="0"/>
        <w:spacing w:beforeAutospacing="0" w:line="440" w:lineRule="exac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pStyle w:val="695"/>
        <w:ind w:left="0" w:right="0" w:firstLine="880"/>
        <w:pageBreakBefore w:val="0"/>
        <w:spacing w:beforeAutospacing="0" w:line="440" w:lineRule="exact"/>
        <w:rPr>
          <w:rFonts w:hint="eastAsia" w:ascii="黑体" w:hAnsi="黑体" w:eastAsia="黑体" w:cs="黑体"/>
          <w:color w:val="auto"/>
          <w:sz w:val="44"/>
          <w:szCs w:val="44"/>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bookmarkStart w:id="158" w:name="_Toc18819"/>
      <w:r/>
      <w:r/>
    </w:p>
    <w:p>
      <w:pPr>
        <w:pStyle w:val="695"/>
        <w:ind w:right="0"/>
        <w:jc w:val="center"/>
        <w:keepLines w:val="0"/>
        <w:pageBreakBefore w:val="0"/>
        <w:spacing w:beforeAutospacing="0"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36"/>
          <w:szCs w:val="36"/>
          <w:highlight w:val="none"/>
        </w:rPr>
        <w:t xml:space="preserve">第三章  合同</w:t>
      </w:r>
      <w:bookmarkEnd w:id="153"/>
      <w:r/>
      <w:bookmarkEnd w:id="154"/>
      <w:r/>
      <w:bookmarkEnd w:id="155"/>
      <w:r/>
      <w:bookmarkEnd w:id="156"/>
      <w:r/>
      <w:bookmarkEnd w:id="157"/>
      <w:r>
        <w:rPr>
          <w:rFonts w:hint="eastAsia" w:ascii="宋体" w:hAnsi="宋体" w:eastAsia="宋体" w:cs="宋体"/>
          <w:b/>
          <w:bCs/>
          <w:color w:val="auto"/>
          <w:sz w:val="36"/>
          <w:szCs w:val="36"/>
          <w:highlight w:val="none"/>
        </w:rPr>
        <w:t xml:space="preserve">文本</w:t>
      </w:r>
      <w:bookmarkEnd w:id="158"/>
      <w:r/>
      <w:bookmarkStart w:id="159" w:name="_Toc513029243"/>
      <w:r/>
      <w:bookmarkStart w:id="160" w:name="_Toc16938559"/>
      <w:r/>
      <w:bookmarkStart w:id="161" w:name="_Toc20823315"/>
      <w:r/>
      <w:bookmarkEnd w:id="159"/>
      <w:bookmarkEnd w:id="160"/>
      <w:bookmarkEnd w:id="161"/>
      <w:r/>
    </w:p>
    <w:p>
      <w:pPr>
        <w:jc w:val="center"/>
        <w:rPr>
          <w:rStyle w:val="721"/>
          <w:rFonts w:hint="eastAsia" w:ascii="宋体" w:hAnsi="宋体" w:eastAsia="宋体" w:cs="宋体"/>
          <w:sz w:val="36"/>
          <w:szCs w:val="20"/>
          <w:highlight w:val="none"/>
        </w:rPr>
      </w:pPr>
      <w:r/>
      <w:bookmarkStart w:id="162" w:name="_Hlt16619350"/>
      <w:r/>
      <w:bookmarkStart w:id="163" w:name="_Toc20823346"/>
      <w:r/>
      <w:bookmarkStart w:id="164" w:name="_Toc20762"/>
      <w:r/>
      <w:bookmarkStart w:id="165" w:name="_Toc120614244"/>
      <w:r/>
      <w:bookmarkStart w:id="166" w:name="_Toc16938590"/>
      <w:r/>
      <w:bookmarkStart w:id="167" w:name="_Toc479757211"/>
      <w:r/>
      <w:bookmarkStart w:id="168" w:name="_Toc462564139"/>
      <w:r>
        <w:rPr>
          <w:rStyle w:val="721"/>
          <w:rFonts w:hint="eastAsia" w:ascii="宋体" w:hAnsi="宋体" w:eastAsia="宋体" w:cs="宋体"/>
          <w:sz w:val="36"/>
          <w:szCs w:val="20"/>
          <w:highlight w:val="none"/>
        </w:rPr>
        <w:t xml:space="preserve">合同格式及条款（草案）</w:t>
      </w:r>
      <w:r/>
    </w:p>
    <w:p>
      <w:pPr>
        <w:rPr>
          <w:rFonts w:hint="eastAsia" w:ascii="宋体" w:hAnsi="宋体" w:eastAsia="宋体" w:cs="宋体"/>
          <w:highlight w:val="none"/>
        </w:rPr>
      </w:pPr>
      <w:r/>
      <w:bookmarkStart w:id="169" w:name="EB6741ddf28fc94cd0bc9ee20994bf1de5"/>
      <w:r/>
      <w:r/>
    </w:p>
    <w:p>
      <w:pPr>
        <w:rPr>
          <w:rFonts w:hint="eastAsia" w:ascii="宋体" w:hAnsi="宋体" w:eastAsia="宋体" w:cs="宋体"/>
          <w:sz w:val="20"/>
          <w:highlight w:val="none"/>
        </w:rPr>
      </w:pPr>
      <w:r>
        <w:rPr>
          <w:rFonts w:hint="eastAsia" w:ascii="宋体" w:hAnsi="宋体" w:eastAsia="宋体" w:cs="宋体"/>
          <w:sz w:val="20"/>
          <w:highlight w:val="none"/>
        </w:rPr>
        <w:t xml:space="preserve"> </w:t>
      </w:r>
      <w:bookmarkEnd w:id="169"/>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采购单位（全称）：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（简称甲方）</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中标供应商（全称）：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（简称乙方）</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依照《中华人民共和国政府采购法》及其实施条例、《中华人民共和国</w:t>
      </w:r>
      <w:r>
        <w:rPr>
          <w:rFonts w:hint="eastAsia" w:ascii="宋体" w:hAnsi="宋体" w:eastAsia="宋体" w:cs="宋体"/>
          <w:sz w:val="24"/>
          <w:highlight w:val="none"/>
          <w:lang w:eastAsia="zh-CN"/>
        </w:rPr>
        <w:t xml:space="preserve">民法典</w:t>
      </w:r>
      <w:r>
        <w:rPr>
          <w:rFonts w:hint="eastAsia" w:ascii="宋体" w:hAnsi="宋体" w:eastAsia="宋体" w:cs="宋体"/>
          <w:sz w:val="24"/>
          <w:highlight w:val="none"/>
        </w:rPr>
        <w:t xml:space="preserve">》及其他有关法律、行政法规，遵循平等、自愿、公平和诚实信用的原则，双方就采购编号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基于DIP支付方式下“AI全病历”智能监管项目(二期)</w:t>
      </w:r>
      <w:r>
        <w:rPr>
          <w:rFonts w:hint="eastAsia" w:ascii="宋体" w:hAnsi="宋体" w:eastAsia="宋体" w:cs="宋体"/>
          <w:sz w:val="24"/>
          <w:highlight w:val="none"/>
        </w:rPr>
        <w:t xml:space="preserve">相关事项协商一致，达成如下合同条款：</w:t>
      </w:r>
      <w:r/>
    </w:p>
    <w:p>
      <w:pPr>
        <w:ind w:firstLine="482"/>
        <w:spacing w:line="480" w:lineRule="exact"/>
        <w:rPr>
          <w:rFonts w:hint="eastAsia" w:ascii="宋体" w:hAnsi="宋体" w:eastAsia="宋体" w:cs="宋体"/>
          <w:sz w:val="24"/>
          <w:highlight w:val="none"/>
        </w:rPr>
      </w:pPr>
      <w:r>
        <w:rPr>
          <w:rFonts w:hint="eastAsia" w:ascii="宋体" w:hAnsi="宋体" w:eastAsia="宋体" w:cs="宋体"/>
          <w:b/>
          <w:sz w:val="24"/>
          <w:highlight w:val="none"/>
        </w:rPr>
        <w:t xml:space="preserve">一、乙方向甲方提供总价值为</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元的标的物（服务）</w:t>
      </w:r>
      <w:r>
        <w:rPr>
          <w:rFonts w:hint="eastAsia" w:ascii="宋体" w:hAnsi="宋体" w:eastAsia="宋体" w:cs="宋体"/>
          <w:sz w:val="24"/>
          <w:highlight w:val="none"/>
        </w:rPr>
        <w:t xml:space="preserve">。</w:t>
      </w:r>
      <w:r/>
    </w:p>
    <w:p>
      <w:pPr>
        <w:ind w:firstLine="301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主要标的物清单（详细列明）</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818"/>
        <w:gridCol w:w="1074"/>
        <w:gridCol w:w="1021"/>
        <w:gridCol w:w="1436"/>
        <w:gridCol w:w="1444"/>
      </w:tblGrid>
      <w:tr>
        <w:trPr>
          <w:jc w:val="center"/>
          <w:trHeight w:val="599"/>
        </w:trPr>
        <w:tc>
          <w:tcPr>
            <w:tcW w:w="1129"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2818"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服务内容</w:t>
            </w:r>
            <w:r/>
          </w:p>
        </w:tc>
        <w:tc>
          <w:tcPr>
            <w:tcW w:w="1074"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w:t>
            </w:r>
            <w:r/>
          </w:p>
        </w:tc>
        <w:tc>
          <w:tcPr>
            <w:tcW w:w="1021"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数量</w:t>
            </w:r>
            <w:r/>
          </w:p>
        </w:tc>
        <w:tc>
          <w:tcPr>
            <w:tcW w:w="1436"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单价（元）</w:t>
            </w:r>
            <w:r/>
          </w:p>
        </w:tc>
        <w:tc>
          <w:tcPr>
            <w:tcW w:w="1444" w:type="dxa"/>
            <w:vAlign w:val="top"/>
            <w:textDirection w:val="lrTb"/>
            <w:noWrap w:val="false"/>
          </w:tcPr>
          <w:p>
            <w:pPr>
              <w:jc w:val="cente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总价（元）</w:t>
            </w:r>
            <w:r/>
          </w:p>
        </w:tc>
      </w:tr>
      <w:tr>
        <w:trPr>
          <w:jc w:val="center"/>
        </w:trPr>
        <w:tc>
          <w:tcPr>
            <w:tcW w:w="1129"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74"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21"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36"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4"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1129"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74"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21"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36"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4"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gridSpan w:val="6"/>
            <w:tcW w:w="8922" w:type="dxa"/>
            <w:vAlign w:val="top"/>
            <w:textDirection w:val="lrTb"/>
            <w:noWrap w:val="false"/>
          </w:tcPr>
          <w:p>
            <w:pPr>
              <w:spacing w:before="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合计：人民币金额（大写）：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二、工作开展时间、地点</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lang w:eastAsia="zh-CN"/>
        </w:rPr>
        <w:t xml:space="preserve">合同履行期：</w:t>
      </w:r>
      <w:r>
        <w:rPr>
          <w:rFonts w:hint="default" w:ascii="宋体" w:hAnsi="宋体" w:eastAsia="宋体" w:cs="宋体"/>
          <w:sz w:val="24"/>
          <w:highlight w:val="none"/>
        </w:rPr>
        <w:t xml:space="preserve">自合同签订之日起至</w:t>
      </w:r>
      <w:r>
        <w:rPr>
          <w:rFonts w:hint="default" w:ascii="宋体" w:hAnsi="宋体" w:eastAsia="宋体" w:cs="宋体"/>
          <w:sz w:val="24"/>
          <w:highlight w:val="none"/>
          <w:u w:val="single"/>
        </w:rPr>
        <w:t xml:space="preserve">2027年</w:t>
      </w:r>
      <w:r>
        <w:rPr>
          <w:rFonts w:hint="eastAsia" w:ascii="宋体" w:hAnsi="宋体" w:cs="宋体"/>
          <w:sz w:val="24"/>
          <w:highlight w:val="none"/>
          <w:u w:val="single"/>
          <w:lang w:val="en-US" w:eastAsia="zh-CN"/>
        </w:rPr>
        <w:t xml:space="preserve">9</w:t>
      </w:r>
      <w:r>
        <w:rPr>
          <w:rFonts w:hint="default" w:ascii="宋体" w:hAnsi="宋体" w:eastAsia="宋体" w:cs="宋体"/>
          <w:sz w:val="24"/>
          <w:highlight w:val="none"/>
          <w:u w:val="single"/>
        </w:rPr>
        <w:t xml:space="preserve">月</w:t>
      </w:r>
      <w:r>
        <w:rPr>
          <w:rFonts w:hint="eastAsia" w:ascii="宋体" w:hAnsi="宋体" w:cs="宋体"/>
          <w:sz w:val="24"/>
          <w:highlight w:val="none"/>
          <w:u w:val="single"/>
          <w:lang w:val="en-US" w:eastAsia="zh-CN"/>
        </w:rPr>
        <w:t xml:space="preserve">30</w:t>
      </w:r>
      <w:r>
        <w:rPr>
          <w:rFonts w:hint="default" w:ascii="宋体" w:hAnsi="宋体" w:eastAsia="宋体" w:cs="宋体"/>
          <w:sz w:val="24"/>
          <w:highlight w:val="none"/>
          <w:u w:val="single"/>
        </w:rPr>
        <w:t xml:space="preserve">日</w:t>
      </w:r>
      <w:r>
        <w:rPr>
          <w:rFonts w:hint="default" w:ascii="宋体" w:hAnsi="宋体" w:eastAsia="宋体" w:cs="宋体"/>
          <w:sz w:val="24"/>
          <w:highlight w:val="none"/>
        </w:rPr>
        <w:t xml:space="preserve">完成。</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（二）工作开展地点：采购人指定地点。</w:t>
      </w:r>
      <w:r/>
    </w:p>
    <w:p>
      <w:pPr>
        <w:ind w:firstLine="48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（三）</w:t>
      </w:r>
      <w:r>
        <w:rPr>
          <w:rFonts w:hint="default" w:ascii="宋体" w:hAnsi="宋体" w:eastAsia="宋体" w:cs="宋体"/>
          <w:sz w:val="24"/>
          <w:highlight w:val="none"/>
        </w:rPr>
        <w:t xml:space="preserve">服务范围：覆盖宿迁市DIP付费医疗机构（具体以采购人实际要求为准）。</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三、质量技术标准</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拟采购服务单位承担本项目实施的各项具体工作，应严格遵循国家、省关于医保信息化建设相关文件规定，全过程接受宿迁市医疗保障局的监督指导，明确工作目标、完成时限和任务清单，确保交付质量，保证本项目的可行性和规范性，具体内容包括：1.完成全市医疗机构住院医保结算患者的全病历数据采集和治理；2.开展DIP病种监管模型构建；3.开展基于全病历的DIP违规审核与分析；4.提供驻场服务人员。</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四、工作开展及费用</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1.总体目标</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引入第三方服务，从监管数据基础、监管技术手段、服务内容和应用场景等方面创新服务模式，借助“人工智能”“大数据”等新技术开展“基于全病历的DIP智能监管”，全面覆盖我市DIP付费医疗机构。</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2.具体需求</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承担本项目实施的各项具体工作，应严格遵循国家、省关于信息化建设相关文件规定，全过程接受宿迁市医疗保障局的监督指导，明确工作目标、完成时限和任务清单，确保交付质量，保证本项目的可行性和规范性。具体需求如下：</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2.1 开展全病历数据采集和治理服务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通过与定点医疗机构的信息系统对接，采集医保患者全病历数据（患者基本信息、病案首页、入院记录、病程记录、手术记录、会诊记录、护理记录、出院记录、医嘱、院端结算清单等），并进行统一规范的数据治理、质控和数据应用，形成以参保人为索引的全病历数据中心，为DIP支付方式下的智能监管和医保管理决策提供数据基础。</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（2）全病历数据采集范围：全市DIP付费医疗机构（具体以采购人实际要求为准）。数据包括本地医保结算全部患者。</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2.2 开展DIP病种监管模型构建和优化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基于全病历数据对DIP病种监管模型构建，构建不低于100个病种审核要点，覆盖全市结算金额排名靠前病种，覆盖住院统筹基金占比不低于70%，精准匹配本地诊疗路径与付费规则。呈现相关病种的住院天数、年龄分布、单次住院总费用、常见项目费用、费用占比等重点指标，并对指标持续进行优化，提升监管模型适配性与识别精准度。</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2.3开展基于全病历的DIP违规审核与分析</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2.3.1提供人工智能医保智能审核系统</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结合新接入的数据，系统持续增强病历理解能力和审核知识库、规则库。基于医学自然语言理解、电子病历内涵解析、诊疗决策推理等人工智能核心技术，进行病历文书的内涵解析，通过对全量病历数据和医保费用结算数据的内涵分析，提供低码高编、高码低编、低标准入院、分解住院、转嫁费用等DIP审核模型并进行持续优化。审核知识库和规则库应涵盖西药、中成药、中药饮片、医疗服务、医用耗材、疾病、手术、检验、检查等内容。</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（1）针对病历中的非结构化文书进行医学实体抽取，覆盖疾病、症状、体征、检验检查结果、身体部位等不少于40类常见医学实体；</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（2）审核规则库涵盖西药、中成药、中药饮片、医疗服务、医用耗材、疾病、手术、检验、检查等内容。</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2.3.2 提供DIP违规日常自动审核服务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支持基于人工智能DIP审核模型开展日常自动审核，识别可能存在的DIP违规线索并形成违规分析报告，系统实现审核流程包括初审、申诉、复审、终审等环节。</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2.4 开展DIP综合监测</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2.4.1 提供监测指标配置服务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支持对DIP监测指标进行参数配置，配置完成后可自动分析输出指标的疑点数据。常见指标如：检查检验费用占比超过70%、高住院率等，可根据实际需要进行其他指标配置。</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2.4.2提供数据统计分析服务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支持提供不同维度的数据统计分析，可针对医疗机构的数据上报情况、DIP审核进度和违规情况进行统计分析。</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2.4.3 提供DIP监管驾驶舱服务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支持提供标准的驾驶舱大屏，用于展示全市医疗机构就诊结算、DIP运行情况、DIP违规情况和各区县、医疗机构违规人次、金额、排名内容，通过对全量数据的综合分析和监管大屏展示，为医保部门提供全方位的管理决策支撑。</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2.5 探索应用国家医保局审核规则</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应用国家医保局审核规则。探索在智能监管系统中部署国家医保局发布的相关智能监管“知识库、规则库”。针对在院的患者病历，提供AI违规预警提醒服务，实现“事前提醒”功能。</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3.服务要求</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宿迁市医疗保障局要求，提供本地化驻场人员服务。根据项目进度分阶段提供人员支持，数据治理阶段根据医院接入数量提供1-2名人员进行数据采集、数据治理支撑；模型验证阶段提供2-3名人员进行模型验证支撑；常态化运营阶段提供1名运营人员进行驻场支撑。</w:t>
      </w:r>
      <w:r>
        <w:rPr>
          <w:rFonts w:hint="eastAsia" w:ascii="宋体" w:hAnsi="宋体" w:cs="宋体"/>
          <w:sz w:val="24"/>
          <w:highlight w:val="none"/>
          <w:lang w:val="en-US" w:eastAsia="zh-CN"/>
        </w:rPr>
        <w:t xml:space="preserve">合同期满后，乙方继续提供1名驻场人员进行驻场服务至2027年12月31日。</w:t>
      </w:r>
      <w:r>
        <w:rPr>
          <w:rFonts w:hint="eastAsia" w:ascii="宋体" w:hAnsi="宋体" w:eastAsia="宋体" w:cs="宋体"/>
          <w:sz w:val="24"/>
          <w:highlight w:val="none"/>
        </w:rPr>
        <w:t xml:space="preserve">通过本地化驻场及远程服务方式，提供DIP监管驻场服务，成立现场服务团队，工作日常态开展响应服务，突发情况按半小时内响应，2小时内排查处理完毕或提供有效解决方案，特殊情况下，故障修复时间不大于 24 小时。如遇驻场人员无法解决的问题或采购人认为需要，供应商的技术人员应在24小时内赶到现场支持。</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工作内容主要包括：</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（1）提供专业技术支持，为政策和规范的制定提供数据支撑和技术支持。</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（2）提供运维和需求衔接服务，及时响应用户运维需求和业务需求，必要的情况下与产品研发和医生等专业技术团队衔接，确保服务的优质性和及时性。</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（3）建立监管反馈和沟通渠道，对数据清洗、监管结果等需要跟定点医疗机构沟通的工作内容建立沟通渠道，并保障渠道畅通和反馈及时。</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（4）供应商应按照要求做好对医保系统和医疗机构相关人员进行培训，确保其能够熟练操作使用系统。</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由乙方视情况自定实施方式，费用自负。甲方应为乙方派驻现场的工作人员提供工作、生活及交通等方面的便利条件及必要的劳动保护装备，负责和项目所在地的相关部门的联络以及相关事宜的协调。</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五、验收</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①成交供应商按要求提供足额、高品质的服务，专业团队和服务满足服务质量要求。</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②验收过程中所产生的一切费用均由成交供应商承担。报价时应考虑相关费用。</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③成交供应商在服务验收时由采购人按照采购文件、响应文件响应的要求全面核对检验，对所有要求出具的证明文件的原件进行核查，如不符合采购文件的服务需求及要求以及提供虚假结论或承诺的，按相关规定违约处理，成交供应商承担所有责任和费用，采购人保留进一步追究责任的权利。</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10）成交供应商签订合同后，须在项目实施前根据服务对象实际情况制定完善具体的实施方案，对项目进行各阶段在时间节点、进度控制、组织管理、质量要求等方面提出明确具体的安排，经采购人同意后组织实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（11）在履行本合同期间及以后，成交供应商未经采购人同意不得就本合同与任何第三方签订合同。否则，承担所有经济和法律责任。</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（12）成交供应商若无法在规定的时间内提交服务，采购人有权终止合同，并上报采购监督部门，追究相关法律责任，对造成的损失采购人保留索赔的权利。</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（13）合同履行期间，如成交供应商或法定代表人存在违法违规行为，在政府相关执法部门调查或被行政处罚期间，采购人可视情况中止合同。</w:t>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六、付款方式</w:t>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本项目合同款项分3期支付，成交人应根据采购人审核确认的合同款项开具相应的全额发票给采购人办理款项支付手续。</w:t>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①双方签订合同后采购人向政府采购支付部门申请支付资金落实到位后支付合同金额的30%；</w:t>
      </w:r>
      <w:r/>
    </w:p>
    <w:p>
      <w:pPr>
        <w:pStyle w:val="72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②完成全市医疗机构住院医保结算患者的全病历数据采集和治理，采购人在收到成交人申请材料后15日内支付至合同金额的90%；</w:t>
      </w:r>
      <w:r/>
    </w:p>
    <w:p>
      <w:pPr>
        <w:pStyle w:val="722"/>
        <w:ind w:firstLine="48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③成交人在</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rPr>
        <w:t xml:space="preserve">期满</w:t>
      </w:r>
      <w:r>
        <w:rPr>
          <w:rFonts w:hint="eastAsia" w:ascii="宋体" w:hAnsi="宋体" w:eastAsia="宋体" w:cs="宋体"/>
          <w:color w:val="000000"/>
          <w:highlight w:val="none"/>
          <w:lang w:val="en-US" w:eastAsia="zh-CN"/>
        </w:rPr>
        <w:t xml:space="preserve">后，可向采购人申请对本项目进行验收，</w:t>
      </w:r>
      <w:r>
        <w:rPr>
          <w:rFonts w:hint="eastAsia" w:ascii="宋体" w:hAnsi="宋体" w:eastAsia="宋体" w:cs="宋体"/>
          <w:color w:val="000000"/>
          <w:highlight w:val="none"/>
        </w:rPr>
        <w:t xml:space="preserve">服务质量通过采购人考核并验收合格，采购人在收到成交人申请材料后15日内支付至合同总金额的100%。</w:t>
      </w:r>
      <w:r/>
    </w:p>
    <w:p>
      <w:pPr>
        <w:ind w:firstLine="47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七、履约保证金</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无</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八、违约条款</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（一）甲方对本合同规定的义务未履行或履行不力的，乙方可依法向甲方要求经济赔偿；</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（二）甲方无正当理由拒收服务、拒付服务款的，甲方向乙方偿付合同总价的 5%违约金；</w:t>
      </w:r>
      <w:r/>
    </w:p>
    <w:p>
      <w:pPr>
        <w:pStyle w:val="684"/>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rPr>
          <w:rFonts w:hint="eastAsia"/>
          <w:highlight w:val="none"/>
          <w:lang w:val="zh-CN"/>
        </w:rPr>
      </w:pPr>
      <w:r>
        <w:rPr>
          <w:rFonts w:hint="eastAsia"/>
          <w:highlight w:val="none"/>
          <w:lang w:val="zh-CN"/>
        </w:rPr>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（三）甲方未按合同规定的期限向乙方支付服务款的，每逾期1天甲方向乙方偿付欠款总额的5‰滞纳金，但累计滞纳金总额不超过欠款总额的5% ；</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（四）乙方逾期交付的，每逾期 1 天，乙方向甲方偿付合同总额的5‰的滞纳金；</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（五）乙方不能按时完成合同成果，给甲方造成该项目的新增费用全部由乙方负责，同时不予退还乙方交纳的履约保证金，并向甲方支付项目成交总额的15%的违约金；</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六）乙方交付的成果未能通过验收，确定为不合格的，由乙方必须在时限内整改完成并通过验收，直至完成合同约定义务，如在整改的期限内乙方未完成任务，甲方停止支付一切费用，乙方并承担完成该项目所产生的一切费用和责任。</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九、知识产权</w:t>
      </w:r>
      <w:r/>
    </w:p>
    <w:p>
      <w:pPr>
        <w:pStyle w:val="690"/>
        <w:ind w:firstLine="480"/>
        <w:jc w:val="both"/>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十、合同生效及审核</w:t>
      </w:r>
      <w:r/>
    </w:p>
    <w:p>
      <w:pPr>
        <w:pStyle w:val="690"/>
        <w:ind w:firstLine="480"/>
        <w:jc w:val="both"/>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本合同经甲方、乙方签字盖章后生效，合同签订的内容不能超出竞标文件和投标文件的实质性内容。</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十一、合同的组成部分</w:t>
      </w:r>
      <w:r/>
    </w:p>
    <w:p>
      <w:pPr>
        <w:pStyle w:val="690"/>
        <w:ind w:firstLine="480"/>
        <w:jc w:val="both"/>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本合同条款、中标通知书、竞标文件、投标文件及竞标人在开标时的书面承诺等构成合同的组成部分。 </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十二、合同份数</w:t>
      </w:r>
      <w:r/>
    </w:p>
    <w:p>
      <w:pPr>
        <w:pStyle w:val="690"/>
        <w:ind w:firstLine="480"/>
        <w:jc w:val="both"/>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本合同一式</w:t>
      </w:r>
      <w:r>
        <w:rPr>
          <w:rFonts w:hint="eastAsia" w:ascii="宋体" w:hAnsi="宋体" w:eastAsia="宋体" w:cs="宋体"/>
          <w:sz w:val="24"/>
          <w:highlight w:val="none"/>
          <w:lang w:val="en-US" w:eastAsia="zh-CN"/>
        </w:rPr>
        <w:t xml:space="preserve">伍</w:t>
      </w:r>
      <w:r>
        <w:rPr>
          <w:rFonts w:hint="eastAsia" w:ascii="宋体" w:hAnsi="宋体" w:eastAsia="宋体" w:cs="宋体"/>
          <w:sz w:val="24"/>
          <w:highlight w:val="none"/>
          <w:lang w:val="zh-CN"/>
        </w:rPr>
        <w:t xml:space="preserve">份，以中文书写，甲方、乙方各执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lang w:val="zh-CN"/>
        </w:rPr>
        <w:t xml:space="preserve">份，财政监管部门各</w:t>
      </w:r>
      <w:r>
        <w:rPr>
          <w:rFonts w:hint="eastAsia" w:ascii="宋体" w:hAnsi="宋体" w:eastAsia="宋体" w:cs="宋体"/>
          <w:sz w:val="24"/>
          <w:highlight w:val="none"/>
          <w:lang w:val="en-US" w:eastAsia="zh-CN"/>
        </w:rPr>
        <w:t xml:space="preserve">壹</w:t>
      </w:r>
      <w:r>
        <w:rPr>
          <w:rFonts w:hint="eastAsia" w:ascii="宋体" w:hAnsi="宋体" w:eastAsia="宋体" w:cs="宋体"/>
          <w:sz w:val="24"/>
          <w:highlight w:val="none"/>
          <w:lang w:val="zh-CN"/>
        </w:rPr>
        <w:t xml:space="preserve">份。</w:t>
      </w:r>
      <w:r/>
    </w:p>
    <w:p>
      <w:pPr>
        <w:pStyle w:val="690"/>
        <w:ind w:firstLine="482"/>
        <w:jc w:val="both"/>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十三、争议处理</w:t>
      </w:r>
      <w:r/>
    </w:p>
    <w:p>
      <w:pPr>
        <w:pStyle w:val="690"/>
        <w:ind w:firstLine="480"/>
        <w:jc w:val="both"/>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本合同一切未尽事宜，按合同法有关规定执行，无相关规定的，由甲乙双方协商解决。</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十四、适用法律</w:t>
      </w:r>
      <w:r/>
    </w:p>
    <w:p>
      <w:pPr>
        <w:ind w:firstLine="480"/>
        <w:spacing w:line="48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本合同应按照中华人民共和国的现行法律进行解释。</w:t>
      </w:r>
      <w:r/>
    </w:p>
    <w:p>
      <w:pPr>
        <w:pStyle w:val="723"/>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23"/>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72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（盖章）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（盖章）      </w:t>
      </w:r>
      <w:r/>
    </w:p>
    <w:p>
      <w:pPr>
        <w:ind w:firstLine="720"/>
        <w:spacing w:line="500" w:lineRule="exact"/>
        <w:widowControl/>
        <w:rPr>
          <w:rFonts w:hint="eastAsia" w:ascii="宋体" w:hAnsi="宋体" w:eastAsia="宋体" w:cs="宋体"/>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地址：</w:t>
      </w:r>
      <w:r>
        <w:rPr>
          <w:rFonts w:hint="eastAsia" w:ascii="宋体" w:hAnsi="宋体" w:eastAsia="宋体" w:cs="宋体"/>
          <w:sz w:val="24"/>
          <w:highlight w:val="none"/>
          <w:u w:val="single"/>
        </w:rPr>
        <w:t xml:space="preserve">                    </w:t>
      </w:r>
      <w:r/>
    </w:p>
    <w:p>
      <w:pPr>
        <w:ind w:firstLine="720"/>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法定（授权）代表人：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法定（授权）代表人：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联系人：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联系人：</w:t>
      </w:r>
      <w:r>
        <w:rPr>
          <w:rFonts w:hint="eastAsia" w:ascii="宋体" w:hAnsi="宋体" w:eastAsia="宋体" w:cs="宋体"/>
          <w:sz w:val="24"/>
          <w:highlight w:val="none"/>
          <w:u w:val="single"/>
        </w:rPr>
        <w:t xml:space="preserve">              </w:t>
      </w:r>
      <w:r/>
    </w:p>
    <w:p>
      <w:pPr>
        <w:ind w:firstLine="720"/>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688"/>
        <w:spacing w:line="500" w:lineRule="exact"/>
        <w:widowControl/>
        <w:rPr>
          <w:rFonts w:hint="eastAsia" w:ascii="宋体" w:hAnsi="宋体" w:eastAsia="宋体" w:cs="宋体"/>
          <w:b/>
          <w:sz w:val="36"/>
          <w:szCs w:val="36"/>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highlight w:val="none"/>
        </w:rPr>
      </w:pPr>
      <w:r>
        <w:rPr>
          <w:highlight w:val="none"/>
        </w:rPr>
      </w:r>
      <w:r/>
    </w:p>
    <w:p>
      <w:pPr>
        <w:pStyle w:val="695"/>
        <w:jc w:val="center"/>
        <w:spacing w:before="200"/>
        <w:rPr>
          <w:rFonts w:hint="eastAsia" w:ascii="宋体" w:hAnsi="宋体" w:eastAsia="宋体" w:cs="宋体"/>
          <w:b/>
          <w:bCs/>
          <w:color w:val="auto"/>
          <w:sz w:val="36"/>
          <w:szCs w:val="36"/>
          <w:highlight w:val="none"/>
          <w:lang w:val="en-US" w:eastAsia="zh-CN"/>
        </w:rPr>
        <w:outlineLvl w:val="9"/>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pStyle w:val="695"/>
        <w:jc w:val="center"/>
        <w:spacing w:before="200"/>
        <w:rPr>
          <w:rFonts w:hint="default" w:ascii="Times New Roman" w:hAnsi="Times New Roman" w:eastAsia="方正仿宋_GBK" w:cs="Times New Roman"/>
          <w:sz w:val="32"/>
          <w:szCs w:val="32"/>
          <w:highlight w:val="none"/>
        </w:rPr>
      </w:pPr>
      <w:r>
        <w:rPr>
          <w:rFonts w:hint="eastAsia" w:ascii="宋体" w:hAnsi="宋体" w:eastAsia="宋体" w:cs="宋体"/>
          <w:b/>
          <w:bCs/>
          <w:color w:val="auto"/>
          <w:sz w:val="36"/>
          <w:szCs w:val="36"/>
          <w:highlight w:val="none"/>
          <w:lang w:val="en-US" w:eastAsia="zh-CN"/>
        </w:rPr>
        <w:t xml:space="preserve">第</w:t>
      </w:r>
      <w:bookmarkEnd w:id="162"/>
      <w:r>
        <w:rPr>
          <w:rFonts w:hint="eastAsia" w:ascii="宋体" w:hAnsi="宋体" w:eastAsia="宋体" w:cs="宋体"/>
          <w:b/>
          <w:bCs/>
          <w:color w:val="auto"/>
          <w:sz w:val="36"/>
          <w:szCs w:val="36"/>
          <w:highlight w:val="none"/>
          <w:lang w:val="en-US" w:eastAsia="zh-CN"/>
        </w:rPr>
        <w:t xml:space="preserve">四章  采购需求</w:t>
      </w:r>
      <w:bookmarkEnd w:id="163"/>
      <w:r/>
      <w:bookmarkEnd w:id="164"/>
      <w:r/>
      <w:bookmarkEnd w:id="165"/>
      <w:r/>
      <w:bookmarkEnd w:id="166"/>
      <w:r/>
      <w:bookmarkStart w:id="170" w:name="_Toc49090575"/>
      <w:r/>
      <w:bookmarkStart w:id="171" w:name="_Toc120614281"/>
      <w:r/>
      <w:bookmarkStart w:id="172" w:name="_Toc26554093"/>
      <w:r/>
      <w:r/>
    </w:p>
    <w:p>
      <w:pPr>
        <w:ind w:firstLine="640"/>
        <w:keepLines w:val="0"/>
        <w:keepNext w:val="0"/>
        <w:pageBreakBefore w:val="0"/>
        <w:spacing w:line="560" w:lineRule="exact"/>
        <w:widowControl w:val="off"/>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一、项目概况</w:t>
      </w:r>
      <w:r/>
    </w:p>
    <w:p>
      <w:pPr>
        <w:ind w:firstLine="640"/>
        <w:keepLines w:val="0"/>
        <w:keepNext w:val="0"/>
        <w:pageBreakBefore w:val="0"/>
        <w:spacing w:line="560" w:lineRule="exact"/>
        <w:widowControl w:val="off"/>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 xml:space="preserve">（一）采购内容</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本项目拟采购服务单位承担本项目实施的各项具体工作，应严格遵循国家、省关于医保信息化建设相关文件规定，全过程接受宿迁市医疗保障局的监督指导，明确工作目标、完成时限和任务清单，确保交付质量，保证本项目的可行性和规范性，具体内容包括：1.完成全市医疗机构住院医保结算患者的全病历数据采集和治理；2.开展DIP病种监管模型构建；3.开展基于全病历的DIP违规审核与分析；4.提供驻场服务人员。</w:t>
      </w:r>
      <w:r/>
    </w:p>
    <w:p>
      <w:pPr>
        <w:ind w:firstLine="640"/>
        <w:keepLines w:val="0"/>
        <w:keepNext w:val="0"/>
        <w:pageBreakBefore w:val="0"/>
        <w:spacing w:line="560" w:lineRule="exact"/>
        <w:widowControl w:val="off"/>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 xml:space="preserve">（二）采购内容及要求</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1</w:t>
      </w:r>
      <w:r>
        <w:rPr>
          <w:rFonts w:hint="eastAsia" w:ascii="Times New Roman" w:hAnsi="Times New Roman" w:eastAsia="方正仿宋_GBK" w:cs="Times New Roman"/>
          <w:b/>
          <w:bCs/>
          <w:sz w:val="32"/>
          <w:szCs w:val="32"/>
          <w:highlight w:val="none"/>
          <w:lang w:val="en-US" w:eastAsia="zh-CN"/>
        </w:rPr>
        <w:t xml:space="preserve">.</w:t>
      </w:r>
      <w:r>
        <w:rPr>
          <w:rFonts w:hint="default" w:ascii="Times New Roman" w:hAnsi="Times New Roman" w:eastAsia="方正仿宋_GBK" w:cs="Times New Roman"/>
          <w:b/>
          <w:bCs/>
          <w:sz w:val="32"/>
          <w:szCs w:val="32"/>
          <w:highlight w:val="none"/>
        </w:rPr>
        <w:t xml:space="preserve">总体目标</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引入第三方服务，从监管数据基础、监管技术手段、服务内容和应用场景等方面创新服务模式，借助</w:t>
      </w:r>
      <w:r>
        <w:rPr>
          <w:rFonts w:hint="eastAsia" w:ascii="方正仿宋_GBK" w:hAnsi="方正仿宋_GBK" w:eastAsia="方正仿宋_GBK" w:cs="方正仿宋_GBK"/>
          <w:sz w:val="32"/>
          <w:szCs w:val="32"/>
          <w:highlight w:val="none"/>
        </w:rPr>
        <w:t xml:space="preserve">“人工智能”“大数据”等新技术开展“基于全病历的</w:t>
      </w:r>
      <w:r>
        <w:rPr>
          <w:rFonts w:hint="default" w:ascii="Times New Roman" w:hAnsi="Times New Roman" w:eastAsia="方正仿宋_GBK" w:cs="Times New Roman"/>
          <w:sz w:val="32"/>
          <w:szCs w:val="32"/>
          <w:highlight w:val="none"/>
        </w:rPr>
        <w:t xml:space="preserve">DIP智能监管</w:t>
      </w:r>
      <w:r>
        <w:rPr>
          <w:rFonts w:hint="eastAsia" w:ascii="方正仿宋_GBK" w:hAnsi="方正仿宋_GBK" w:eastAsia="方正仿宋_GBK" w:cs="方正仿宋_GBK"/>
          <w:sz w:val="32"/>
          <w:szCs w:val="32"/>
          <w:highlight w:val="none"/>
        </w:rPr>
        <w:t xml:space="preserve">”</w:t>
      </w:r>
      <w:r>
        <w:rPr>
          <w:rFonts w:hint="default" w:ascii="Times New Roman" w:hAnsi="Times New Roman" w:eastAsia="方正仿宋_GBK" w:cs="Times New Roman"/>
          <w:sz w:val="32"/>
          <w:szCs w:val="32"/>
          <w:highlight w:val="none"/>
        </w:rPr>
        <w:t xml:space="preserve">，全面覆盖我市DIP付费医疗机构。</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w:t>
      </w:r>
      <w:r>
        <w:rPr>
          <w:rFonts w:hint="eastAsia" w:ascii="Times New Roman" w:hAnsi="Times New Roman" w:eastAsia="方正仿宋_GBK" w:cs="Times New Roman"/>
          <w:b/>
          <w:bCs/>
          <w:sz w:val="32"/>
          <w:szCs w:val="32"/>
          <w:highlight w:val="none"/>
          <w:lang w:val="en-US" w:eastAsia="zh-CN"/>
        </w:rPr>
        <w:t xml:space="preserve">.</w:t>
      </w:r>
      <w:r>
        <w:rPr>
          <w:rFonts w:hint="default" w:ascii="Times New Roman" w:hAnsi="Times New Roman" w:eastAsia="方正仿宋_GBK" w:cs="Times New Roman"/>
          <w:b/>
          <w:bCs/>
          <w:sz w:val="32"/>
          <w:szCs w:val="32"/>
          <w:highlight w:val="none"/>
        </w:rPr>
        <w:t xml:space="preserve">具体需求</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承担本项目实施的各项具体工作，应严格遵循国家、省关于信息化建设相关文件规定，全过程接受宿迁市医疗保障局的监督指导，明确工作目标、完成时限和任务清单，确保交付质量，保证本项目的可行性和规范性。具体需求如下：</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2.1 开展全病历数据采集和治理服务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通过与定点医疗机构的信息系统对接，采集医保患者全病历数据（患者基本信息、病案首页、入院记录、病程记录、手术记录、会诊记录、护理记录、出院记录、医嘱、院端结算清单等），并进行统一规范的数据治理、质控和数据应用，形成以参保人为索引的全病历数据中心，为DIP支付方式下的智能监管和医保管理决策提供数据基础。</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（2）全病历数据采集范围：全市DIP付费医疗机构（具体以采购人实际要求为准）。数据包括本地医保结算全部患者。</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2.2 开展DIP病种监管模型构建和优化</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基于全病历数据对DIP病种监管模型构建，构建不低于100个病种审核要点，覆盖全市结算金额排名靠前病种</w:t>
      </w:r>
      <w:r>
        <w:rPr>
          <w:rFonts w:hint="eastAsia" w:ascii="Times New Roman" w:hAnsi="Times New Roman" w:eastAsia="方正仿宋_GBK" w:cs="Times New Roman"/>
          <w:sz w:val="32"/>
          <w:szCs w:val="32"/>
          <w:highlight w:val="none"/>
          <w:lang w:eastAsia="zh-CN"/>
        </w:rPr>
        <w:t xml:space="preserve">，覆盖住院统筹基金占比不低于</w:t>
      </w:r>
      <w:r>
        <w:rPr>
          <w:rFonts w:hint="eastAsia" w:ascii="Times New Roman" w:hAnsi="Times New Roman" w:eastAsia="方正仿宋_GBK" w:cs="Times New Roman"/>
          <w:sz w:val="32"/>
          <w:szCs w:val="32"/>
          <w:highlight w:val="none"/>
          <w:lang w:val="en-US" w:eastAsia="zh-CN"/>
        </w:rPr>
        <w:t xml:space="preserve">70%</w:t>
      </w:r>
      <w:r>
        <w:rPr>
          <w:rFonts w:hint="default" w:ascii="Times New Roman" w:hAnsi="Times New Roman" w:eastAsia="方正仿宋_GBK" w:cs="Times New Roman"/>
          <w:sz w:val="32"/>
          <w:szCs w:val="32"/>
          <w:highlight w:val="none"/>
        </w:rPr>
        <w:t xml:space="preserve">，精准匹配本地诊疗路径与付费规则。呈现相关病种的住院天数、年龄分布、单次住院总费用、常见项目费用、费用占比等重点指标，并对指标持续进行优化，提升监管模型适配性与识别精准度。</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2.3开展基于全病历的DIP违规审核与分析</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2.3.1提供人工智能医保智能审核系统</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结合新接入的数据，系统持续增强病历理解能力和审核知识库、规则库。基于医学自然语言理解、电子病历内涵解析、诊疗决策推理等人工智能核心技术，进行病历文书的内涵解析，通过对全量病历数据和医保费用结算数据的内涵分析，提供低码高编、高码低编、低标准入院、分解住院、</w:t>
      </w:r>
      <w:r>
        <w:rPr>
          <w:rFonts w:hint="eastAsia" w:ascii="Times New Roman" w:hAnsi="Times New Roman" w:eastAsia="方正仿宋_GBK" w:cs="方正仿宋_GBK"/>
          <w:color w:val="auto"/>
          <w:sz w:val="32"/>
          <w:szCs w:val="32"/>
          <w:highlight w:val="none"/>
          <w:vertAlign w:val="baseline"/>
          <w:lang w:val="en-US" w:eastAsia="zh-CN"/>
        </w:rPr>
        <w:t xml:space="preserve">转嫁费用</w:t>
      </w:r>
      <w:r>
        <w:rPr>
          <w:rFonts w:hint="default" w:ascii="Times New Roman" w:hAnsi="Times New Roman" w:eastAsia="方正仿宋_GBK" w:cs="Times New Roman"/>
          <w:sz w:val="32"/>
          <w:szCs w:val="32"/>
          <w:highlight w:val="none"/>
        </w:rPr>
        <w:t xml:space="preserve">等DIP审核模型并进行持续优化。审核知识库和规则库应涵盖西药、中成药、中药饮片、医疗服务、医用耗材、疾病、手术、检验、检查等内容。</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1）针对病历中的非结构化文书进行医学实体抽取，覆盖疾病、症状、体征、检验</w:t>
      </w:r>
      <w:r>
        <w:rPr>
          <w:rFonts w:hint="eastAsia" w:ascii="Times New Roman" w:hAnsi="Times New Roman" w:eastAsia="方正仿宋_GBK" w:cs="Times New Roman"/>
          <w:sz w:val="32"/>
          <w:szCs w:val="32"/>
          <w:highlight w:val="none"/>
          <w:lang w:eastAsia="zh-CN"/>
        </w:rPr>
        <w:t xml:space="preserve">检查</w:t>
      </w:r>
      <w:r>
        <w:rPr>
          <w:rFonts w:hint="default" w:ascii="Times New Roman" w:hAnsi="Times New Roman" w:eastAsia="方正仿宋_GBK" w:cs="Times New Roman"/>
          <w:sz w:val="32"/>
          <w:szCs w:val="32"/>
          <w:highlight w:val="none"/>
        </w:rPr>
        <w:t xml:space="preserve">结果、身体部位等不少于40类常见医学实体；</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2）审核规则库涵盖西药、中成药、中药饮片、医疗服务、医用耗材、疾病、手术、检验、检查等内容。</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2.3.2 提供DIP违规日常自动审核服务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支持基于人工智能DIP审核模型开展日常自动审核，识别可能存在的DIP违规线索并形成违规分析报告，系统实现审核流程包括初审、申诉、复审、终审等环节。</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2.4 开展DIP综合监测</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2.4.1 提供监测指标配置服务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支持对DIP监测指标进行参数配置，配置完成后可自动分析输出指标的疑点数据。常见指标如：检查检验费用占比超过70%、</w:t>
      </w:r>
      <w:r>
        <w:rPr>
          <w:rFonts w:hint="eastAsia" w:ascii="Times New Roman" w:hAnsi="Times New Roman" w:eastAsia="方正仿宋_GBK" w:cs="Times New Roman"/>
          <w:sz w:val="32"/>
          <w:szCs w:val="32"/>
          <w:highlight w:val="none"/>
          <w:lang w:val="en-US" w:eastAsia="zh-CN"/>
        </w:rPr>
        <w:t xml:space="preserve">高</w:t>
      </w:r>
      <w:r>
        <w:rPr>
          <w:rFonts w:hint="default" w:ascii="Times New Roman" w:hAnsi="Times New Roman" w:eastAsia="方正仿宋_GBK" w:cs="Times New Roman"/>
          <w:sz w:val="32"/>
          <w:szCs w:val="32"/>
          <w:highlight w:val="none"/>
        </w:rPr>
        <w:t xml:space="preserve">住院率等，可根据实际需要进行其他指标配置。</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2.4.2提供数据统计分析服务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支持提供不同维度的数据统计分析，可针对医疗机构的数据上报情况、DIP审核进度和违规情况进行统计分析。</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2.4.3 提供DIP监管驾驶舱服务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支持提供标准的驾驶舱大屏，用于展示全市医疗机构就诊结算、DIP运行情况、DIP违规情况和各区县、医疗机构违规人次、金额、排名内容，通过对全量数据的综合分析和监管大屏展示，为医保部门提供全方位的管理决策支撑。</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2.5 探索应用国家医保局审核规则</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应用国家医保局审核规则。探索在智能监管系统中部署国家医保局发布的相关智能监管</w:t>
      </w:r>
      <w:r>
        <w:rPr>
          <w:rFonts w:hint="eastAsia" w:ascii="方正仿宋_GBK" w:hAnsi="方正仿宋_GBK" w:eastAsia="方正仿宋_GBK" w:cs="方正仿宋_GBK"/>
          <w:sz w:val="32"/>
          <w:szCs w:val="32"/>
          <w:highlight w:val="none"/>
        </w:rPr>
        <w:t xml:space="preserve">“知识库、规则库”</w:t>
      </w:r>
      <w:r>
        <w:rPr>
          <w:rFonts w:hint="default" w:ascii="Times New Roman" w:hAnsi="Times New Roman" w:eastAsia="方正仿宋_GBK" w:cs="Times New Roman"/>
          <w:sz w:val="32"/>
          <w:szCs w:val="32"/>
          <w:highlight w:val="none"/>
        </w:rPr>
        <w:t xml:space="preserve">。针对在院的患者病历，提供AI违规预警提醒服务，实现</w:t>
      </w:r>
      <w:r>
        <w:rPr>
          <w:rFonts w:hint="eastAsia" w:ascii="方正仿宋_GBK" w:hAnsi="方正仿宋_GBK" w:eastAsia="方正仿宋_GBK" w:cs="方正仿宋_GBK"/>
          <w:sz w:val="32"/>
          <w:szCs w:val="32"/>
          <w:highlight w:val="none"/>
        </w:rPr>
        <w:t xml:space="preserve">“事前提醒”</w:t>
      </w:r>
      <w:r>
        <w:rPr>
          <w:rFonts w:hint="default" w:ascii="Times New Roman" w:hAnsi="Times New Roman" w:eastAsia="方正仿宋_GBK" w:cs="Times New Roman"/>
          <w:sz w:val="32"/>
          <w:szCs w:val="32"/>
          <w:highlight w:val="none"/>
        </w:rPr>
        <w:t xml:space="preserve">功能。</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3.服务要求</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根据宿迁市医疗保障局要求，提供本地化驻场人员服务。根据项目进度分阶段提供人员支持，数据治理阶段根据医院接入数量提供1-2名人员进行数据采集、数据治理支撑；模型验证阶段提供2-3名人员进行模型验证支撑；常态化运营阶段提供1名运营人员进行驻场支撑</w:t>
      </w:r>
      <w:r>
        <w:rPr>
          <w:rFonts w:hint="eastAsia" w:ascii="Times New Roman" w:hAnsi="Times New Roman" w:eastAsia="方正仿宋_GBK" w:cs="Times New Roman"/>
          <w:sz w:val="32"/>
          <w:szCs w:val="32"/>
          <w:highlight w:val="none"/>
          <w:lang w:eastAsia="zh-CN"/>
        </w:rPr>
        <w:t xml:space="preserve">。合同期满后，乙方继续提供1名驻场人员进行驻场服务至2027年12月31日。</w:t>
      </w:r>
      <w:r>
        <w:rPr>
          <w:rFonts w:hint="default" w:ascii="Times New Roman" w:hAnsi="Times New Roman" w:eastAsia="方正仿宋_GBK" w:cs="Times New Roman"/>
          <w:sz w:val="32"/>
          <w:szCs w:val="32"/>
          <w:highlight w:val="none"/>
        </w:rPr>
        <w:t xml:space="preserve">通过本地化驻场及远程服务方式，提供DIP监管驻场服务，成立现场服务团队，工作日常态开展响应服务，突发情况按半小时内响应，2小时内排查处理完毕或提供有效解决方案，特殊情况下，故障修复时间不大于24小时。如遇驻场人员无法解决的问题或采购人认为需要，</w:t>
      </w:r>
      <w:r>
        <w:rPr>
          <w:rFonts w:hint="eastAsia" w:ascii="Times New Roman" w:hAnsi="Times New Roman" w:eastAsia="方正仿宋_GBK" w:cs="Times New Roman"/>
          <w:sz w:val="32"/>
          <w:szCs w:val="32"/>
          <w:highlight w:val="none"/>
          <w:lang w:eastAsia="zh-CN"/>
        </w:rPr>
        <w:t xml:space="preserve">供应商</w:t>
      </w:r>
      <w:r>
        <w:rPr>
          <w:rFonts w:hint="default" w:ascii="Times New Roman" w:hAnsi="Times New Roman" w:eastAsia="方正仿宋_GBK" w:cs="Times New Roman"/>
          <w:sz w:val="32"/>
          <w:szCs w:val="32"/>
          <w:highlight w:val="none"/>
        </w:rPr>
        <w:t xml:space="preserve">的技术人员应在24小时内赶到现场支持。</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工作内容主要包括：</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eastAsia" w:ascii="Times New Roman" w:hAnsi="Times New Roman" w:eastAsia="方正仿宋_GBK" w:cs="Times New Roman"/>
          <w:sz w:val="32"/>
          <w:szCs w:val="32"/>
          <w:highlight w:val="none"/>
          <w:lang w:val="en-US" w:eastAsia="zh-CN"/>
        </w:rPr>
        <w:t xml:space="preserve">1</w:t>
      </w: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提供专业技术支持，为政策和规范的制定提供数据支撑和技术支持。</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eastAsia" w:ascii="Times New Roman" w:hAnsi="Times New Roman" w:eastAsia="方正仿宋_GBK" w:cs="Times New Roman"/>
          <w:sz w:val="32"/>
          <w:szCs w:val="32"/>
          <w:highlight w:val="none"/>
          <w:lang w:val="en-US" w:eastAsia="zh-CN"/>
        </w:rPr>
        <w:t xml:space="preserve">2</w:t>
      </w: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提供运维和需求衔接服务，及时响应用户运维需求和业务需求，必要的情况下</w:t>
      </w:r>
      <w:r>
        <w:rPr>
          <w:rFonts w:hint="eastAsia" w:ascii="Times New Roman" w:hAnsi="Times New Roman" w:eastAsia="方正仿宋_GBK" w:cs="Times New Roman"/>
          <w:sz w:val="32"/>
          <w:szCs w:val="32"/>
          <w:highlight w:val="none"/>
          <w:lang w:val="en-US" w:eastAsia="zh-CN"/>
        </w:rPr>
        <w:t xml:space="preserve">与</w:t>
      </w:r>
      <w:r>
        <w:rPr>
          <w:rFonts w:hint="default" w:ascii="Times New Roman" w:hAnsi="Times New Roman" w:eastAsia="方正仿宋_GBK" w:cs="Times New Roman"/>
          <w:sz w:val="32"/>
          <w:szCs w:val="32"/>
          <w:highlight w:val="none"/>
        </w:rPr>
        <w:t xml:space="preserve">产品研发和医生等专业技术团队衔接，确保服务的优质性和及时性。</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eastAsia" w:ascii="Times New Roman" w:hAnsi="Times New Roman" w:eastAsia="方正仿宋_GBK" w:cs="Times New Roman"/>
          <w:sz w:val="32"/>
          <w:szCs w:val="32"/>
          <w:highlight w:val="none"/>
          <w:lang w:val="en-US" w:eastAsia="zh-CN"/>
        </w:rPr>
        <w:t xml:space="preserve">3</w:t>
      </w: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建立监管反馈和沟通渠道，对数据清洗、监管结果等需要跟定点医疗机构沟通的工作内容建立沟通渠道，并保障渠道畅通和反馈及时。</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 xml:space="preserve">（</w:t>
      </w:r>
      <w:r>
        <w:rPr>
          <w:rFonts w:hint="eastAsia" w:ascii="Times New Roman" w:hAnsi="Times New Roman" w:eastAsia="方正仿宋_GBK" w:cs="Times New Roman"/>
          <w:sz w:val="32"/>
          <w:szCs w:val="32"/>
          <w:highlight w:val="none"/>
          <w:lang w:val="en-US" w:eastAsia="zh-CN"/>
        </w:rPr>
        <w:t xml:space="preserve">4</w:t>
      </w: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供应商应按照要求做好对医保系统和医疗机构相关人员进行培训，确保其能够熟练操作使用系统。</w:t>
      </w:r>
      <w:r/>
    </w:p>
    <w:p>
      <w:pPr>
        <w:ind w:firstLine="643"/>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highlight w:val="none"/>
        </w:rPr>
        <w:t xml:space="preserve">4.实施要求</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（1）供应商必须确保为本项目服务的技术人员满足信息、医学、药学、病案学等专业技术要求。根据实际交付需要，在确保交付效果的情况下，进行不同阶段的人员安排。</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（2）持实用先进、安全可靠的原则，提供各项信息技术及配套服务，结合本地实际，优化和拓展相关功能，在项目服务过程中严格遵守数据保密有关规定，提供安全可靠的服务。</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（3）项目实施期间，采集的医疗机构病历数据所有权归采购方所有，供应商应按照相关要求，做好数据保密工作，因数据外泄造成的损失，由乙方承担。</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（4）本项目不允许转包，须由</w:t>
      </w:r>
      <w:r>
        <w:rPr>
          <w:rFonts w:hint="eastAsia" w:ascii="Times New Roman" w:hAnsi="Times New Roman" w:eastAsia="方正仿宋_GBK" w:cs="Times New Roman"/>
          <w:sz w:val="32"/>
          <w:szCs w:val="32"/>
          <w:highlight w:val="none"/>
          <w:lang w:eastAsia="zh-CN"/>
        </w:rPr>
        <w:t xml:space="preserve">供应商</w:t>
      </w:r>
      <w:r>
        <w:rPr>
          <w:rFonts w:hint="default" w:ascii="Times New Roman" w:hAnsi="Times New Roman" w:eastAsia="方正仿宋_GBK" w:cs="Times New Roman"/>
          <w:sz w:val="32"/>
          <w:szCs w:val="32"/>
          <w:highlight w:val="none"/>
        </w:rPr>
        <w:t xml:space="preserve">提供人员、技术力量实施本项目。一经发现转包情况，立即终止合约，</w:t>
      </w:r>
      <w:r>
        <w:rPr>
          <w:rFonts w:hint="eastAsia" w:ascii="Times New Roman" w:hAnsi="Times New Roman" w:eastAsia="方正仿宋_GBK" w:cs="Times New Roman"/>
          <w:sz w:val="32"/>
          <w:szCs w:val="32"/>
          <w:highlight w:val="none"/>
          <w:lang w:eastAsia="zh-CN"/>
        </w:rPr>
        <w:t xml:space="preserve">供应商</w:t>
      </w:r>
      <w:r>
        <w:rPr>
          <w:rFonts w:hint="default" w:ascii="Times New Roman" w:hAnsi="Times New Roman" w:eastAsia="方正仿宋_GBK" w:cs="Times New Roman"/>
          <w:sz w:val="32"/>
          <w:szCs w:val="32"/>
          <w:highlight w:val="none"/>
        </w:rPr>
        <w:t xml:space="preserve">自行承担前期所有投入，退回采购人已付款项，并承担一切法律后果。</w:t>
      </w:r>
      <w:r/>
    </w:p>
    <w:p>
      <w:pPr>
        <w:ind w:firstLine="643"/>
        <w:keepLines w:val="0"/>
        <w:keepNext w:val="0"/>
        <w:pageBreakBefore w:val="0"/>
        <w:spacing w:line="560" w:lineRule="exact"/>
        <w:widowControl w:val="off"/>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 xml:space="preserve">5</w:t>
      </w:r>
      <w:r>
        <w:rPr>
          <w:rFonts w:hint="eastAsia" w:ascii="Times New Roman" w:hAnsi="Times New Roman" w:eastAsia="方正仿宋_GBK" w:cs="Times New Roman"/>
          <w:b/>
          <w:bCs/>
          <w:sz w:val="32"/>
          <w:szCs w:val="32"/>
          <w:highlight w:val="none"/>
          <w:lang w:val="en-US" w:eastAsia="zh-CN"/>
        </w:rPr>
        <w:t xml:space="preserve">.</w:t>
      </w:r>
      <w:r>
        <w:rPr>
          <w:rFonts w:hint="default" w:ascii="Times New Roman" w:hAnsi="Times New Roman" w:eastAsia="方正仿宋_GBK" w:cs="Times New Roman"/>
          <w:b/>
          <w:bCs/>
          <w:sz w:val="32"/>
          <w:szCs w:val="32"/>
          <w:highlight w:val="none"/>
        </w:rPr>
        <w:t xml:space="preserve">商务要求</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（1）合同签订期：自成交通知书发出之日起15日内。</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（2）服务期限：自合同签订之日起至</w:t>
      </w:r>
      <w:r>
        <w:rPr>
          <w:rFonts w:hint="default" w:ascii="Times New Roman" w:hAnsi="Times New Roman" w:eastAsia="方正仿宋_GBK" w:cs="Times New Roman"/>
          <w:sz w:val="32"/>
          <w:szCs w:val="32"/>
          <w:highlight w:val="none"/>
          <w:u w:val="single"/>
        </w:rPr>
        <w:t xml:space="preserve">2027年</w:t>
      </w:r>
      <w:r>
        <w:rPr>
          <w:rFonts w:hint="eastAsia" w:eastAsia="方正仿宋_GBK" w:cs="Times New Roman"/>
          <w:sz w:val="32"/>
          <w:szCs w:val="32"/>
          <w:highlight w:val="none"/>
          <w:u w:val="single"/>
          <w:lang w:val="en-US" w:eastAsia="zh-CN"/>
        </w:rPr>
        <w:t xml:space="preserve">9</w:t>
      </w:r>
      <w:r>
        <w:rPr>
          <w:rFonts w:hint="default" w:ascii="Times New Roman" w:hAnsi="Times New Roman" w:eastAsia="方正仿宋_GBK" w:cs="Times New Roman"/>
          <w:sz w:val="32"/>
          <w:szCs w:val="32"/>
          <w:highlight w:val="none"/>
          <w:u w:val="single"/>
        </w:rPr>
        <w:t xml:space="preserve">月3</w:t>
      </w:r>
      <w:r>
        <w:rPr>
          <w:rFonts w:hint="eastAsia" w:eastAsia="方正仿宋_GBK" w:cs="Times New Roman"/>
          <w:sz w:val="32"/>
          <w:szCs w:val="32"/>
          <w:highlight w:val="none"/>
          <w:u w:val="single"/>
          <w:lang w:val="en-US" w:eastAsia="zh-CN"/>
        </w:rPr>
        <w:t xml:space="preserve">0</w:t>
      </w:r>
      <w:r>
        <w:rPr>
          <w:rFonts w:hint="default" w:ascii="Times New Roman" w:hAnsi="Times New Roman" w:eastAsia="方正仿宋_GBK" w:cs="Times New Roman"/>
          <w:sz w:val="32"/>
          <w:szCs w:val="32"/>
          <w:highlight w:val="none"/>
          <w:u w:val="single"/>
        </w:rPr>
        <w:t xml:space="preserve">日</w:t>
      </w:r>
      <w:r>
        <w:rPr>
          <w:rFonts w:hint="default" w:ascii="Times New Roman" w:hAnsi="Times New Roman" w:eastAsia="方正仿宋_GBK" w:cs="Times New Roman"/>
          <w:sz w:val="32"/>
          <w:szCs w:val="32"/>
          <w:highlight w:val="none"/>
        </w:rPr>
        <w:t xml:space="preserve">完成。</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（4）服务地点：采购人指定。</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（5）服务范围：覆盖宿迁市DIP付费医疗机构（具体以采购人实际要求为准）。</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（6）售后服务要求：①处理问题响应时间：成交供应商接到问题通知后在1小时内响应，24小时内到达采购人指定现场。②有完善的培训计划及实施方案，有相关的管理制度等。</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（7）报价必须含以下部分，包括：</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①服务的价格；</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②服务的价格包括但不限于项目实施期间全部驻场人员的住宿费（市内外）、伙食费（市外培训期间每天早、午、晚餐；食宿安排计划须在项目实施前与采购方确认）、劳务费等以及实施过程中的应预见和不可预见的费用等。供应商必须考虑本项目在实施期间的一切可能产生费用。在本项目实施过程中，响应总价不予调整，采购人将不再另行支付与本项目相关的任何费用；</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③与本项目有关的必要的保险费用和各项税金；</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④所产生的代理服务费；</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⑤报价是供应商在本次招标服务期内完成本项目的工作所需的费用；供应商所填报的服务内容如存在有漏项的情况且在评标时被接受，则将被认定为该遗漏项已包含在投标报价中，中标人在项目实施过程中提供完整的服务确保项目顺利完成，采购人对其漏报的项目不额外支付任何费用。</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（8）付款方式：</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本项目合同款项分3期支付</w:t>
      </w:r>
      <w:r>
        <w:rPr>
          <w:rFonts w:hint="eastAsia" w:ascii="Times New Roman" w:hAnsi="Times New Roman" w:eastAsia="方正仿宋_GBK" w:cs="Times New Roman"/>
          <w:sz w:val="32"/>
          <w:szCs w:val="32"/>
          <w:highlight w:val="none"/>
          <w:lang w:eastAsia="zh-CN"/>
        </w:rPr>
        <w:t xml:space="preserve">，</w:t>
      </w:r>
      <w:r>
        <w:rPr>
          <w:rFonts w:hint="default" w:ascii="Times New Roman" w:hAnsi="Times New Roman" w:eastAsia="方正仿宋_GBK" w:cs="Times New Roman"/>
          <w:sz w:val="32"/>
          <w:szCs w:val="32"/>
          <w:highlight w:val="none"/>
        </w:rPr>
        <w:t xml:space="preserve">成交人应根据采购人审核确认的合同款项开具相应的全额发票给采购人办理款项支付手续。</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①双方签订合同后采购人向政府采购支付部门申请支付资金落实到位后支付合同金额的30%；</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②完成全市医疗机构住院医保结算患者的全病历数据采集和治理，采购人在收到成交人申请材料后15日内支付至合同金额的90%；</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③成交人在合同期满后，可向采购人申请对本项目进行验收，服务质量通过采购人考核并验收合格，采购人在收到成交人申请材料后15日内支付至合同总金额的100%。</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（9）验收标准：</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①成交供应商按要求提供足额、高品质的服务，专业团队和服务满足服务质量要求。</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②验收过程中所产生的一切费用均由成交供应商承担。报价时应考虑相关费用。</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③成交供应商在服务验收时由采购人按照</w:t>
      </w:r>
      <w:r>
        <w:rPr>
          <w:rFonts w:hint="eastAsia" w:ascii="Times New Roman" w:hAnsi="Times New Roman" w:eastAsia="方正仿宋_GBK" w:cs="Times New Roman"/>
          <w:sz w:val="32"/>
          <w:szCs w:val="32"/>
          <w:highlight w:val="none"/>
          <w:lang w:eastAsia="zh-CN"/>
        </w:rPr>
        <w:t xml:space="preserve">采购</w:t>
      </w:r>
      <w:r>
        <w:rPr>
          <w:rFonts w:hint="default" w:ascii="Times New Roman" w:hAnsi="Times New Roman" w:eastAsia="方正仿宋_GBK" w:cs="Times New Roman"/>
          <w:sz w:val="32"/>
          <w:szCs w:val="32"/>
          <w:highlight w:val="none"/>
        </w:rPr>
        <w:t xml:space="preserve">文件、响应文件响应的要求全面核对检验，对所有要求出具的证明文件的原件进行核查，如不符合</w:t>
      </w:r>
      <w:r>
        <w:rPr>
          <w:rFonts w:hint="eastAsia" w:ascii="Times New Roman" w:hAnsi="Times New Roman" w:eastAsia="方正仿宋_GBK" w:cs="Times New Roman"/>
          <w:sz w:val="32"/>
          <w:szCs w:val="32"/>
          <w:highlight w:val="none"/>
          <w:lang w:eastAsia="zh-CN"/>
        </w:rPr>
        <w:t xml:space="preserve">采购文件</w:t>
      </w:r>
      <w:r>
        <w:rPr>
          <w:rFonts w:hint="default" w:ascii="Times New Roman" w:hAnsi="Times New Roman" w:eastAsia="方正仿宋_GBK" w:cs="Times New Roman"/>
          <w:sz w:val="32"/>
          <w:szCs w:val="32"/>
          <w:highlight w:val="none"/>
        </w:rPr>
        <w:t xml:space="preserve">的服务需求及要求以及提供虚假结论或承诺的，按相关规定违约处理，成交供应商承担所有责任和费用，采购人保留进一步追究责任的权利。</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10）成交供应商签订合同后，须在项目实施前根据服务对象实际情况制定完善具体的实施方案，对项目进行各阶段在时间节点、进度控制、组织管理、质量要求等方面提出明确具体的安排，经采购人同意后组织实施。</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（11）在履行本合同期间及以后，成交供应商未经采购人同意不得就本合同与任何第三方签订合同。否则，承担所有经济和法律责任。</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（12）成交供应商若无法在规定的时间内提交服务，采购人有权终止合同，并上报采购监督部门，追究相关法律责任，对造成的损失采购人保留索赔的权利。</w:t>
      </w:r>
      <w:r/>
    </w:p>
    <w:p>
      <w:pPr>
        <w:ind w:firstLine="640"/>
        <w:keepLines w:val="0"/>
        <w:keepNext w:val="0"/>
        <w:pageBreakBefore w:val="0"/>
        <w:spacing w:line="560" w:lineRule="exact"/>
        <w:widowControl w:val="off"/>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 xml:space="preserve">（13）合同履行期间，如成交供应商或法定代表人存在违法违规行为，在政府相关执法部门调查或被行政处罚期间，采购人可视情况中止合同。</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5"/>
        <w:jc w:val="center"/>
        <w:spacing w:before="200"/>
        <w:rPr>
          <w:color w:val="auto"/>
          <w:highlight w:val="none"/>
        </w:rPr>
      </w:pPr>
      <w:r>
        <w:rPr>
          <w:rFonts w:hint="eastAsia" w:ascii="宋体" w:hAnsi="宋体" w:eastAsia="宋体" w:cs="宋体"/>
          <w:b/>
          <w:bCs/>
          <w:color w:val="auto"/>
          <w:sz w:val="36"/>
          <w:szCs w:val="36"/>
          <w:highlight w:val="none"/>
          <w:lang w:val="en-US" w:eastAsia="zh-CN"/>
        </w:rPr>
        <w:br w:type="page" w:clear="all"/>
      </w:r>
      <w:bookmarkStart w:id="173" w:name="_Toc17996"/>
      <w:r>
        <w:rPr>
          <w:rFonts w:hint="eastAsia" w:ascii="宋体" w:hAnsi="宋体" w:eastAsia="宋体" w:cs="宋体"/>
          <w:b/>
          <w:bCs/>
          <w:color w:val="auto"/>
          <w:sz w:val="36"/>
          <w:szCs w:val="36"/>
          <w:highlight w:val="none"/>
          <w:lang w:val="en-US" w:eastAsia="zh-CN" w:bidi="ar-SA"/>
        </w:rPr>
        <w:t xml:space="preserve">第五章  资格审查及评标</w:t>
      </w:r>
      <w:bookmarkEnd w:id="173"/>
      <w:r>
        <w:rPr>
          <w:rFonts w:hint="eastAsia" w:ascii="宋体" w:hAnsi="宋体" w:eastAsia="宋体" w:cs="宋体"/>
          <w:b/>
          <w:bCs/>
          <w:color w:val="auto"/>
          <w:sz w:val="36"/>
          <w:szCs w:val="36"/>
          <w:highlight w:val="none"/>
          <w:lang w:val="en-US" w:eastAsia="zh-CN" w:bidi="ar-SA"/>
        </w:rPr>
        <w:t xml:space="preserve">方法</w:t>
      </w:r>
      <w:r/>
    </w:p>
    <w:p>
      <w:pPr>
        <w:ind w:firstLine="482"/>
        <w:jc w:val="left"/>
        <w:spacing w:line="48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一、资格审查</w:t>
      </w:r>
      <w:r/>
    </w:p>
    <w:p>
      <w:pPr>
        <w:ind w:firstLine="480"/>
        <w:jc w:val="left"/>
        <w:spacing w:line="480" w:lineRule="exact"/>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谈判小组</w:t>
      </w:r>
      <w:r>
        <w:rPr>
          <w:rFonts w:hint="eastAsia" w:ascii="宋体" w:hAnsi="宋体" w:eastAsia="宋体" w:cs="宋体"/>
          <w:color w:val="auto"/>
          <w:sz w:val="24"/>
          <w:szCs w:val="24"/>
          <w:highlight w:val="none"/>
        </w:rPr>
        <w:t xml:space="preserve">按照下列指标对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的资格进行审查，未通过审查的为无效标，不参与评标。</w:t>
      </w:r>
      <w:r/>
    </w:p>
    <w:tbl>
      <w:tblPr>
        <w:tblStyle w:val="683"/>
        <w:tblW w:w="5132" w:type="pct"/>
        <w:tblInd w:w="299"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928"/>
        <w:gridCol w:w="5278"/>
      </w:tblGrid>
      <w:tr>
        <w:trPr>
          <w:trHeight w:val="398"/>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评审标准</w:t>
            </w:r>
            <w:r/>
          </w:p>
        </w:tc>
      </w:tr>
      <w:tr>
        <w:trPr>
          <w:trHeight w:val="398"/>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协商及声明函</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符合单一来源采购文件要求</w:t>
            </w:r>
            <w:r/>
          </w:p>
        </w:tc>
      </w:tr>
      <w:tr>
        <w:trPr>
          <w:trHeight w:val="398"/>
        </w:trPr>
        <w:tc>
          <w:tcPr>
            <w:tcBorders>
              <w:top w:val="single" w:color="auto" w:sz="6" w:space="0"/>
              <w:left w:val="single" w:color="auto" w:sz="6" w:space="0"/>
              <w:bottom w:val="single" w:color="auto" w:sz="4" w:space="0"/>
              <w:right w:val="single" w:color="auto" w:sz="6" w:space="0"/>
            </w:tcBorders>
            <w:tcW w:w="2133"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特定的资格要求</w:t>
            </w:r>
            <w:r/>
          </w:p>
        </w:tc>
        <w:tc>
          <w:tcPr>
            <w:tcBorders>
              <w:top w:val="single" w:color="auto" w:sz="6" w:space="0"/>
              <w:left w:val="single" w:color="auto" w:sz="6" w:space="0"/>
              <w:bottom w:val="single" w:color="auto" w:sz="4" w:space="0"/>
              <w:right w:val="single" w:color="auto" w:sz="6" w:space="0"/>
            </w:tcBorders>
            <w:tcW w:w="286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符合单一来源采购文件要求</w:t>
            </w:r>
            <w:r/>
          </w:p>
        </w:tc>
      </w:tr>
      <w:tr>
        <w:trPr>
          <w:trHeight w:val="380"/>
        </w:trPr>
        <w:tc>
          <w:tcPr>
            <w:tcBorders>
              <w:top w:val="single" w:color="auto" w:sz="4" w:space="0"/>
              <w:left w:val="single" w:color="auto" w:sz="4" w:space="0"/>
              <w:bottom w:val="single" w:color="auto" w:sz="4" w:space="0"/>
              <w:right w:val="single" w:color="auto" w:sz="4" w:space="0"/>
            </w:tcBorders>
            <w:tcW w:w="213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信用信息</w:t>
            </w:r>
            <w:r/>
          </w:p>
        </w:tc>
        <w:tc>
          <w:tcPr>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符合单一来源采购文件要求</w:t>
            </w:r>
            <w:r/>
          </w:p>
        </w:tc>
      </w:tr>
      <w:tr>
        <w:trPr>
          <w:trHeight w:val="430"/>
        </w:trPr>
        <w:tc>
          <w:tcPr>
            <w:tcBorders>
              <w:top w:val="single" w:color="auto" w:sz="4" w:space="0"/>
              <w:left w:val="single" w:color="auto" w:sz="4" w:space="0"/>
              <w:bottom w:val="single" w:color="auto" w:sz="4" w:space="0"/>
              <w:right w:val="single" w:color="auto" w:sz="4" w:space="0"/>
            </w:tcBorders>
            <w:tcW w:w="213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联合体响应</w:t>
            </w:r>
            <w:r/>
          </w:p>
        </w:tc>
        <w:tc>
          <w:tcPr>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本项目不接受联合体响应</w:t>
            </w:r>
            <w:r/>
          </w:p>
        </w:tc>
      </w:tr>
    </w:tbl>
    <w:p>
      <w:pPr>
        <w:jc w:val="left"/>
        <w:spacing w:line="48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704"/>
        <w:ind w:firstLine="482"/>
        <w:spacing w:line="480" w:lineRule="exact"/>
        <w:rPr>
          <w:rFonts w:ascii="宋体" w:hAnsi="宋体" w:cs="宋体"/>
          <w:color w:val="auto"/>
          <w:szCs w:val="24"/>
          <w:highlight w:val="none"/>
        </w:rPr>
        <w:outlineLvl w:val="9"/>
      </w:pPr>
      <w:r>
        <w:rPr>
          <w:rFonts w:hint="eastAsia" w:ascii="宋体" w:hAnsi="宋体" w:eastAsia="宋体" w:cs="宋体"/>
          <w:b/>
          <w:bCs/>
          <w:color w:val="auto"/>
          <w:sz w:val="24"/>
          <w:szCs w:val="24"/>
          <w:highlight w:val="none"/>
          <w:shd w:val="clear" w:color="auto" w:fill="ffffff"/>
        </w:rPr>
        <w:t xml:space="preserve">二、评</w:t>
      </w:r>
      <w:r>
        <w:rPr>
          <w:rFonts w:hint="eastAsia" w:ascii="宋体" w:hAnsi="宋体" w:cs="宋体"/>
          <w:b/>
          <w:bCs/>
          <w:color w:val="auto"/>
          <w:szCs w:val="24"/>
          <w:highlight w:val="none"/>
          <w:shd w:val="clear" w:color="auto" w:fill="ffffff"/>
        </w:rPr>
        <w:t xml:space="preserve">分办法—最低评标价法</w:t>
      </w:r>
      <w:r/>
    </w:p>
    <w:p>
      <w:pPr>
        <w:pStyle w:val="704"/>
        <w:ind w:firstLine="480"/>
        <w:spacing w:line="480" w:lineRule="exact"/>
        <w:rPr>
          <w:rFonts w:ascii="宋体" w:hAnsi="宋体" w:cs="宋体"/>
          <w:color w:val="auto"/>
          <w:szCs w:val="24"/>
          <w:highlight w:val="none"/>
        </w:rPr>
        <w:outlineLvl w:val="9"/>
      </w:pPr>
      <w:r>
        <w:rPr>
          <w:rFonts w:hint="eastAsia" w:ascii="宋体" w:hAnsi="宋体" w:cs="宋体"/>
          <w:b/>
          <w:bCs/>
          <w:color w:val="auto"/>
          <w:szCs w:val="24"/>
          <w:highlight w:val="none"/>
          <w:shd w:val="clear" w:color="auto" w:fill="ffffff"/>
        </w:rPr>
        <w:t xml:space="preserve">1、评标办法：</w:t>
      </w:r>
      <w:r>
        <w:rPr>
          <w:rFonts w:hint="eastAsia" w:ascii="宋体" w:hAnsi="宋体" w:cs="宋体"/>
          <w:color w:val="auto"/>
          <w:szCs w:val="24"/>
          <w:highlight w:val="none"/>
          <w:shd w:val="clear" w:color="auto" w:fill="ffffff"/>
        </w:rPr>
        <w:t xml:space="preserve">本项目采用最低评标价法，评标结果按投标报价由低到高顺序排列。投标报价相同的并列。</w:t>
      </w:r>
      <w:r>
        <w:rPr>
          <w:rFonts w:hint="eastAsia" w:ascii="宋体" w:hAnsi="宋体" w:cs="宋体"/>
          <w:color w:val="auto"/>
          <w:szCs w:val="24"/>
          <w:highlight w:val="none"/>
          <w:shd w:val="clear" w:color="auto" w:fill="ffffff"/>
          <w:lang w:val="en-US" w:eastAsia="zh-CN"/>
        </w:rPr>
        <w:t xml:space="preserve">响应</w:t>
      </w:r>
      <w:r>
        <w:rPr>
          <w:rFonts w:hint="eastAsia" w:ascii="宋体" w:hAnsi="宋体" w:cs="宋体"/>
          <w:color w:val="auto"/>
          <w:szCs w:val="24"/>
          <w:highlight w:val="none"/>
          <w:shd w:val="clear" w:color="auto" w:fill="ffffff"/>
        </w:rPr>
        <w:t xml:space="preserve">文件满足</w:t>
      </w:r>
      <w:r>
        <w:rPr>
          <w:rFonts w:hint="eastAsia" w:ascii="宋体" w:hAnsi="宋体" w:cs="宋体"/>
          <w:color w:val="auto"/>
          <w:szCs w:val="24"/>
          <w:highlight w:val="none"/>
          <w:shd w:val="clear" w:color="auto" w:fill="ffffff"/>
          <w:lang w:val="en-US" w:eastAsia="zh-CN"/>
        </w:rPr>
        <w:t xml:space="preserve">采购</w:t>
      </w:r>
      <w:r>
        <w:rPr>
          <w:rFonts w:hint="eastAsia" w:ascii="宋体" w:hAnsi="宋体" w:cs="宋体"/>
          <w:color w:val="auto"/>
          <w:szCs w:val="24"/>
          <w:highlight w:val="none"/>
          <w:shd w:val="clear" w:color="auto" w:fill="ffffff"/>
        </w:rPr>
        <w:t xml:space="preserve">文件全部实质性要求且投标报价最低的</w:t>
      </w:r>
      <w:r>
        <w:rPr>
          <w:rFonts w:hint="eastAsia" w:ascii="宋体" w:hAnsi="宋体" w:cs="宋体"/>
          <w:color w:val="auto"/>
          <w:szCs w:val="24"/>
          <w:highlight w:val="none"/>
          <w:shd w:val="clear" w:color="auto" w:fill="ffffff"/>
          <w:lang w:val="en-US" w:eastAsia="zh-CN"/>
        </w:rPr>
        <w:t xml:space="preserve">供应商</w:t>
      </w:r>
      <w:r>
        <w:rPr>
          <w:rFonts w:hint="eastAsia" w:ascii="宋体" w:hAnsi="宋体" w:cs="宋体"/>
          <w:color w:val="auto"/>
          <w:szCs w:val="24"/>
          <w:highlight w:val="none"/>
          <w:shd w:val="clear" w:color="auto" w:fill="ffffff"/>
        </w:rPr>
        <w:t xml:space="preserve">为排名第一的</w:t>
      </w:r>
      <w:r>
        <w:rPr>
          <w:rFonts w:hint="eastAsia" w:ascii="宋体" w:hAnsi="宋体" w:cs="宋体"/>
          <w:color w:val="auto"/>
          <w:szCs w:val="24"/>
          <w:highlight w:val="none"/>
          <w:shd w:val="clear" w:color="auto" w:fill="ffffff"/>
          <w:lang w:val="en-US" w:eastAsia="zh-CN"/>
        </w:rPr>
        <w:t xml:space="preserve">成交</w:t>
      </w:r>
      <w:r>
        <w:rPr>
          <w:rFonts w:hint="eastAsia" w:ascii="宋体" w:hAnsi="宋体" w:cs="宋体"/>
          <w:color w:val="auto"/>
          <w:szCs w:val="24"/>
          <w:highlight w:val="none"/>
          <w:shd w:val="clear" w:color="auto" w:fill="ffffff"/>
        </w:rPr>
        <w:t xml:space="preserve">候选人。本项目选取 1家</w:t>
      </w:r>
      <w:r>
        <w:rPr>
          <w:rFonts w:hint="eastAsia" w:ascii="宋体" w:hAnsi="宋体" w:cs="宋体"/>
          <w:color w:val="auto"/>
          <w:szCs w:val="24"/>
          <w:highlight w:val="none"/>
          <w:shd w:val="clear" w:color="auto" w:fill="ffffff"/>
          <w:lang w:val="en-US" w:eastAsia="zh-CN"/>
        </w:rPr>
        <w:t xml:space="preserve">成交</w:t>
      </w:r>
      <w:r>
        <w:rPr>
          <w:rFonts w:hint="eastAsia" w:ascii="宋体" w:hAnsi="宋体" w:cs="宋体"/>
          <w:color w:val="auto"/>
          <w:szCs w:val="24"/>
          <w:highlight w:val="none"/>
          <w:shd w:val="clear" w:color="auto" w:fill="ffffff"/>
        </w:rPr>
        <w:t xml:space="preserve">候选人。 </w:t>
      </w:r>
      <w:r/>
    </w:p>
    <w:p>
      <w:pPr>
        <w:pStyle w:val="704"/>
        <w:ind w:firstLine="482"/>
        <w:spacing w:line="480" w:lineRule="exact"/>
        <w:rPr>
          <w:rFonts w:ascii="宋体" w:hAnsi="宋体" w:cs="宋体"/>
          <w:color w:val="auto"/>
          <w:szCs w:val="24"/>
          <w:highlight w:val="none"/>
        </w:rPr>
        <w:outlineLvl w:val="9"/>
      </w:pPr>
      <w:r>
        <w:rPr>
          <w:rFonts w:hint="eastAsia" w:ascii="宋体" w:hAnsi="宋体" w:cs="宋体"/>
          <w:b/>
          <w:bCs/>
          <w:color w:val="auto"/>
          <w:szCs w:val="24"/>
          <w:highlight w:val="none"/>
          <w:shd w:val="clear" w:color="auto" w:fill="ffffff"/>
        </w:rPr>
        <w:t xml:space="preserve">2、符合性审查。</w:t>
      </w:r>
      <w:r>
        <w:rPr>
          <w:rFonts w:hint="eastAsia" w:ascii="宋体" w:hAnsi="宋体" w:cs="宋体"/>
          <w:color w:val="auto"/>
          <w:szCs w:val="24"/>
          <w:highlight w:val="none"/>
          <w:shd w:val="clear" w:color="auto" w:fill="ffffff"/>
          <w:lang w:val="en-US" w:eastAsia="zh-CN"/>
        </w:rPr>
        <w:t xml:space="preserve">谈判小组</w:t>
      </w:r>
      <w:r>
        <w:rPr>
          <w:rFonts w:hint="eastAsia" w:ascii="宋体" w:hAnsi="宋体" w:cs="宋体"/>
          <w:color w:val="auto"/>
          <w:szCs w:val="24"/>
          <w:highlight w:val="none"/>
          <w:shd w:val="clear" w:color="auto" w:fill="ffffff"/>
        </w:rPr>
        <w:t xml:space="preserve">按照下列指标对</w:t>
      </w:r>
      <w:r>
        <w:rPr>
          <w:rFonts w:hint="eastAsia" w:ascii="宋体" w:hAnsi="宋体" w:cs="宋体"/>
          <w:color w:val="auto"/>
          <w:szCs w:val="24"/>
          <w:highlight w:val="none"/>
          <w:shd w:val="clear" w:color="auto" w:fill="ffffff"/>
          <w:lang w:val="en-US" w:eastAsia="zh-CN"/>
        </w:rPr>
        <w:t xml:space="preserve">供应商</w:t>
      </w:r>
      <w:r>
        <w:rPr>
          <w:rFonts w:hint="eastAsia" w:ascii="宋体" w:hAnsi="宋体" w:cs="宋体"/>
          <w:color w:val="auto"/>
          <w:szCs w:val="24"/>
          <w:highlight w:val="none"/>
          <w:shd w:val="clear" w:color="auto" w:fill="ffffff"/>
        </w:rPr>
        <w:t xml:space="preserve">的</w:t>
      </w:r>
      <w:r>
        <w:rPr>
          <w:rFonts w:hint="eastAsia" w:ascii="宋体" w:hAnsi="宋体" w:cs="宋体"/>
          <w:color w:val="auto"/>
          <w:szCs w:val="24"/>
          <w:highlight w:val="none"/>
          <w:shd w:val="clear" w:color="auto" w:fill="ffffff"/>
          <w:lang w:val="en-US" w:eastAsia="zh-CN"/>
        </w:rPr>
        <w:t xml:space="preserve">响应</w:t>
      </w:r>
      <w:r>
        <w:rPr>
          <w:rFonts w:hint="eastAsia" w:ascii="宋体" w:hAnsi="宋体" w:cs="宋体"/>
          <w:color w:val="auto"/>
          <w:szCs w:val="24"/>
          <w:highlight w:val="none"/>
          <w:shd w:val="clear" w:color="auto" w:fill="ffffff"/>
        </w:rPr>
        <w:t xml:space="preserve">文件进行符合性审查，未通过审查的为无效标，不再参与评审。</w:t>
      </w:r>
      <w:r/>
    </w:p>
    <w:tbl>
      <w:tblPr>
        <w:tblStyle w:val="683"/>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jc w:val="center"/>
              <w:spacing w:line="360" w:lineRule="exact"/>
              <w:rPr>
                <w:rFonts w:ascii="宋体" w:hAnsi="宋体" w:cs="宋体"/>
                <w:color w:val="auto"/>
                <w:sz w:val="24"/>
                <w:szCs w:val="24"/>
                <w:highlight w:val="none"/>
              </w:rPr>
              <w:outlineLvl w:val="9"/>
            </w:pPr>
            <w:r/>
            <w:bookmarkStart w:id="174" w:name="EB75d0996a6f1d4348a21f8c3293010436"/>
            <w:r>
              <w:rPr>
                <w:rFonts w:hint="eastAsia" w:ascii="宋体" w:hAnsi="宋体" w:cs="宋体"/>
                <w:color w:val="auto"/>
                <w:sz w:val="24"/>
                <w:szCs w:val="24"/>
                <w:highlight w:val="none"/>
              </w:rPr>
              <w:t xml:space="preserve">符合性审查因素</w:t>
            </w:r>
            <w:r/>
          </w:p>
        </w:tc>
        <w:tc>
          <w:tcPr>
            <w:tcW w:w="4849" w:type="dxa"/>
            <w:vAlign w:val="center"/>
            <w:textDirection w:val="lrTb"/>
            <w:noWrap/>
          </w:tcPr>
          <w:p>
            <w:pPr>
              <w:jc w:val="center"/>
              <w:spacing w:line="36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审查标准</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法定代表人身份证明或授权委托书</w:t>
            </w:r>
            <w:r/>
          </w:p>
        </w:tc>
        <w:tc>
          <w:tcPr>
            <w:tcW w:w="4849"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符合单一来源采购文件要求</w:t>
            </w:r>
            <w:r/>
          </w:p>
        </w:tc>
      </w:tr>
      <w:tr>
        <w:trPr/>
        <w:tc>
          <w:tcPr>
            <w:tcW w:w="4364" w:type="dxa"/>
            <w:vAlign w:val="center"/>
            <w:textDirection w:val="lrTb"/>
            <w:noWrap/>
          </w:tcPr>
          <w:p>
            <w:pPr>
              <w:jc w:val="left"/>
              <w:spacing w:line="36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开标一览表及</w:t>
            </w:r>
            <w:r>
              <w:rPr>
                <w:rFonts w:hint="eastAsia" w:ascii="宋体" w:hAnsi="宋体" w:cs="宋体"/>
                <w:color w:val="auto"/>
                <w:sz w:val="24"/>
                <w:szCs w:val="24"/>
                <w:highlight w:val="none"/>
              </w:rPr>
              <w:t xml:space="preserve">报价</w:t>
            </w:r>
            <w:r/>
          </w:p>
        </w:tc>
        <w:tc>
          <w:tcPr>
            <w:tcW w:w="4849" w:type="dxa"/>
            <w:vAlign w:val="center"/>
            <w:textDirection w:val="lrTb"/>
            <w:noWrap/>
          </w:tcPr>
          <w:p>
            <w:pPr>
              <w:jc w:val="left"/>
              <w:spacing w:line="3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符合单一来源采购文件要求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技术标准和要求</w:t>
            </w:r>
            <w:r/>
          </w:p>
        </w:tc>
        <w:tc>
          <w:tcPr>
            <w:tcW w:w="4849"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符合单一来源采购文件要求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其他</w:t>
            </w:r>
            <w:bookmarkEnd w:id="174"/>
            <w:r/>
          </w:p>
        </w:tc>
        <w:tc>
          <w:tcPr>
            <w:tcW w:w="4849" w:type="dxa"/>
            <w:vAlign w:val="center"/>
            <w:textDirection w:val="lrTb"/>
            <w:noWrap/>
          </w:tcPr>
          <w:p>
            <w:pPr>
              <w:jc w:val="left"/>
              <w:spacing w:line="360" w:lineRule="exact"/>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符合单一来源采购文件要求</w:t>
            </w:r>
            <w:r/>
          </w:p>
        </w:tc>
      </w:tr>
    </w:tbl>
    <w:p>
      <w:pPr>
        <w:numPr>
          <w:ilvl w:val="0"/>
          <w:numId w:val="0"/>
        </w:numPr>
        <w:ind w:right="0"/>
        <w:jc w:val="center"/>
        <w:keepNext/>
        <w:pageBreakBefore w:val="0"/>
        <w:spacing w:beforeAutospacing="0" w:line="240" w:lineRule="auto"/>
        <w:rPr>
          <w:rFonts w:hint="eastAsia" w:ascii="宋体" w:hAnsi="宋体" w:eastAsia="宋体" w:cs="宋体"/>
          <w:b/>
          <w:bCs/>
          <w:color w:val="auto"/>
          <w:sz w:val="24"/>
          <w:szCs w:val="24"/>
          <w:highlight w:val="none"/>
          <w:shd w:val="clear" w:color="auto" w:fill="ffffff"/>
          <w:lang w:val="en-US" w:eastAsia="zh-CN" w:bidi="ar-SA"/>
        </w:rPr>
        <w:outlineLvl w:val="9"/>
      </w:pPr>
      <w:r>
        <w:rPr>
          <w:rFonts w:hint="eastAsia" w:ascii="宋体" w:hAnsi="宋体" w:eastAsia="宋体" w:cs="宋体"/>
          <w:b/>
          <w:bCs/>
          <w:color w:val="auto"/>
          <w:sz w:val="24"/>
          <w:szCs w:val="24"/>
          <w:highlight w:val="none"/>
          <w:shd w:val="clear" w:color="auto" w:fill="ffffff"/>
          <w:lang w:val="en-US" w:eastAsia="zh-CN" w:bidi="ar-SA"/>
        </w:rPr>
      </w:r>
      <w:r/>
    </w:p>
    <w:p>
      <w:pPr>
        <w:numPr>
          <w:ilvl w:val="0"/>
          <w:numId w:val="0"/>
        </w:numPr>
        <w:ind w:right="0" w:firstLine="482"/>
        <w:jc w:val="left"/>
        <w:keepLines w:val="0"/>
        <w:keepNext/>
        <w:pageBreakBefore w:val="0"/>
        <w:spacing w:beforeAutospacing="0" w:line="440" w:lineRule="exact"/>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cs="宋体"/>
          <w:b/>
          <w:bCs/>
          <w:color w:val="auto"/>
          <w:sz w:val="24"/>
          <w:szCs w:val="24"/>
          <w:highlight w:val="none"/>
          <w:shd w:val="clear" w:color="auto" w:fill="ffffff"/>
          <w:lang w:val="en-US" w:eastAsia="zh-CN" w:bidi="ar-SA"/>
        </w:rPr>
        <w:t xml:space="preserve">3、</w:t>
      </w:r>
      <w:r>
        <w:rPr>
          <w:rFonts w:hint="eastAsia" w:ascii="宋体" w:hAnsi="宋体" w:eastAsia="宋体" w:cs="宋体"/>
          <w:b/>
          <w:bCs/>
          <w:color w:val="auto"/>
          <w:sz w:val="24"/>
          <w:szCs w:val="24"/>
          <w:highlight w:val="none"/>
          <w:shd w:val="clear" w:color="auto" w:fill="ffffff"/>
          <w:lang w:val="en-US" w:eastAsia="zh-CN" w:bidi="ar-SA"/>
        </w:rPr>
        <w:t xml:space="preserve">详细评审。</w:t>
      </w:r>
      <w:r>
        <w:rPr>
          <w:rFonts w:hint="eastAsia" w:ascii="宋体" w:hAnsi="宋体" w:cs="宋体"/>
          <w:color w:val="auto"/>
          <w:sz w:val="24"/>
          <w:szCs w:val="24"/>
          <w:highlight w:val="none"/>
          <w:shd w:val="clear" w:color="auto" w:fill="ffffff"/>
          <w:lang w:val="en-US" w:eastAsia="zh-CN" w:bidi="ar-SA"/>
        </w:rPr>
        <w:t xml:space="preserve">谈判</w:t>
      </w:r>
      <w:r>
        <w:rPr>
          <w:rFonts w:hint="eastAsia" w:ascii="宋体" w:hAnsi="宋体" w:eastAsia="宋体" w:cs="宋体"/>
          <w:color w:val="auto"/>
          <w:sz w:val="24"/>
          <w:szCs w:val="24"/>
          <w:highlight w:val="none"/>
          <w:shd w:val="clear" w:color="auto" w:fill="ffffff"/>
          <w:lang w:val="en-US" w:eastAsia="zh-CN" w:bidi="ar-SA"/>
        </w:rPr>
        <w:t xml:space="preserve">小组按照谈判文件规定的评审标准，对各响应文件进行进一步评审和比较。</w:t>
      </w:r>
      <w:r/>
    </w:p>
    <w:p>
      <w:pPr>
        <w:pStyle w:val="704"/>
        <w:ind w:firstLine="482"/>
        <w:spacing w:line="480" w:lineRule="exact"/>
        <w:rPr>
          <w:rFonts w:hint="eastAsia" w:ascii="宋体" w:hAnsi="宋体" w:eastAsia="宋体" w:cs="宋体"/>
          <w:b/>
          <w:bCs/>
          <w:color w:val="auto"/>
          <w:sz w:val="24"/>
          <w:szCs w:val="24"/>
          <w:highlight w:val="none"/>
          <w:shd w:val="clear" w:color="auto" w:fill="ffffff"/>
          <w:lang w:val="en-US" w:eastAsia="zh-CN"/>
        </w:rPr>
        <w:outlineLvl w:val="9"/>
      </w:pPr>
      <w:r>
        <w:rPr>
          <w:rFonts w:hint="eastAsia" w:ascii="宋体" w:hAnsi="宋体" w:eastAsia="宋体" w:cs="宋体"/>
          <w:b/>
          <w:bCs/>
          <w:color w:val="auto"/>
          <w:sz w:val="24"/>
          <w:szCs w:val="24"/>
          <w:highlight w:val="none"/>
          <w:shd w:val="clear" w:color="auto" w:fill="ffffff"/>
          <w:lang w:val="en-US" w:eastAsia="zh-CN"/>
        </w:rPr>
        <w:t xml:space="preserve">三、评标结果</w:t>
      </w:r>
      <w:r/>
    </w:p>
    <w:p>
      <w:pPr>
        <w:numPr>
          <w:ilvl w:val="0"/>
          <w:numId w:val="0"/>
        </w:numPr>
        <w:ind w:right="0" w:firstLine="480"/>
        <w:jc w:val="both"/>
        <w:keepNext/>
        <w:pageBreakBefore w:val="0"/>
        <w:spacing w:beforeAutospacing="0" w:line="240" w:lineRule="auto"/>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cs="宋体"/>
          <w:b w:val="0"/>
          <w:bCs w:val="0"/>
          <w:color w:val="auto"/>
          <w:sz w:val="24"/>
          <w:szCs w:val="24"/>
          <w:highlight w:val="none"/>
          <w:shd w:val="clear" w:color="auto" w:fill="ffffff"/>
          <w:lang w:val="en-US" w:eastAsia="zh-CN" w:bidi="ar-SA"/>
        </w:rPr>
        <w:t xml:space="preserve">谈判小组</w:t>
      </w:r>
      <w:r>
        <w:rPr>
          <w:rFonts w:hint="eastAsia" w:ascii="宋体" w:hAnsi="宋体" w:eastAsia="宋体" w:cs="宋体"/>
          <w:b w:val="0"/>
          <w:bCs w:val="0"/>
          <w:color w:val="auto"/>
          <w:sz w:val="24"/>
          <w:szCs w:val="24"/>
          <w:highlight w:val="none"/>
          <w:shd w:val="clear" w:color="auto" w:fill="ffffff"/>
          <w:lang w:val="en-US" w:eastAsia="zh-CN" w:bidi="ar-SA"/>
        </w:rPr>
        <w:t xml:space="preserve">按照本办法规定推荐</w:t>
      </w:r>
      <w:r>
        <w:rPr>
          <w:rFonts w:hint="eastAsia" w:ascii="宋体" w:hAnsi="宋体" w:cs="宋体"/>
          <w:b w:val="0"/>
          <w:bCs w:val="0"/>
          <w:color w:val="auto"/>
          <w:sz w:val="24"/>
          <w:szCs w:val="24"/>
          <w:highlight w:val="none"/>
          <w:shd w:val="clear" w:color="auto" w:fill="ffffff"/>
          <w:lang w:val="en-US" w:eastAsia="zh-CN" w:bidi="ar-SA"/>
        </w:rPr>
        <w:t xml:space="preserve">成交</w:t>
      </w:r>
      <w:r>
        <w:rPr>
          <w:rFonts w:hint="eastAsia" w:ascii="宋体" w:hAnsi="宋体" w:eastAsia="宋体" w:cs="宋体"/>
          <w:b w:val="0"/>
          <w:bCs w:val="0"/>
          <w:color w:val="auto"/>
          <w:sz w:val="24"/>
          <w:szCs w:val="24"/>
          <w:highlight w:val="none"/>
          <w:shd w:val="clear" w:color="auto" w:fill="ffffff"/>
          <w:lang w:val="en-US" w:eastAsia="zh-CN" w:bidi="ar-SA"/>
        </w:rPr>
        <w:t xml:space="preserve">候选人，并形成评标报告。</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政府采购政策功能落实</w:t>
      </w:r>
      <w:r/>
    </w:p>
    <w:p>
      <w:pPr>
        <w:ind w:firstLine="482"/>
        <w:keepLines w:val="0"/>
        <w:pageBreakBefore w:val="0"/>
        <w:spacing w:line="440" w:lineRule="exact"/>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 </w:t>
      </w:r>
      <w:r/>
    </w:p>
    <w:p>
      <w:pPr>
        <w:numPr>
          <w:ilvl w:val="0"/>
          <w:numId w:val="1"/>
        </w:num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采购本国货物、工程和服务</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2、中小企业政策</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（2）供应商提供的货物、工程或者服务符合下列情形的，对小微企业报价给予</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%）的扣除，用扣除后的价格参加评审。</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3、政府采购节能产品、环境标志产品</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采用最低评标价法的项目，同等条件下优先推荐提供有效节能环保证书多的供应商为成交人。</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4、商品包装、快递包装政府采购需求标准（试行）</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pageBreakBefore w:val="0"/>
        <w:spacing w:line="44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5、绿色数据中心政府采购需求标准（试行）</w:t>
      </w:r>
      <w:r/>
    </w:p>
    <w:p>
      <w:pPr>
        <w:numPr>
          <w:ilvl w:val="0"/>
          <w:numId w:val="0"/>
        </w:numPr>
        <w:ind w:right="0" w:firstLine="480"/>
        <w:jc w:val="both"/>
        <w:keepLines w:val="0"/>
        <w:keepNext/>
        <w:pageBreakBefore w:val="0"/>
        <w:spacing w:beforeAutospacing="0" w:line="440" w:lineRule="exact"/>
        <w:widowControl w:val="off"/>
        <w:rPr>
          <w:rFonts w:hint="eastAsia" w:ascii="宋体" w:hAnsi="宋体" w:eastAsia="宋体" w:cs="宋体"/>
          <w:b w:val="0"/>
          <w:bCs w:val="0"/>
          <w:color w:val="auto"/>
          <w:sz w:val="24"/>
          <w:szCs w:val="24"/>
          <w:highlight w:val="none"/>
          <w:shd w:val="clear" w:color="auto" w:fill="ffffff"/>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eastAsia="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695"/>
        <w:jc w:val="center"/>
        <w:spacing w:before="200"/>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第六章  响应文件格式</w:t>
      </w:r>
      <w:r/>
    </w:p>
    <w:p>
      <w:pPr>
        <w:numPr>
          <w:ilvl w:val="0"/>
          <w:numId w:val="0"/>
        </w:numPr>
        <w:ind w:left="0" w:right="0" w:firstLine="880"/>
        <w:jc w:val="center"/>
        <w:keepNext/>
        <w:pageBreakBefore w:val="0"/>
        <w:spacing w:beforeAutospacing="0" w:line="440" w:lineRule="exact"/>
        <w:widowControl w:val="off"/>
        <w:rPr>
          <w:rFonts w:ascii="黑体" w:hAnsi="黑体" w:eastAsia="黑体" w:cs="黑体"/>
          <w:color w:val="auto"/>
          <w:sz w:val="44"/>
          <w:szCs w:val="44"/>
          <w:highlight w:val="none"/>
          <w:lang w:val="en-US" w:eastAsia="zh-CN"/>
        </w:rPr>
        <w:outlineLvl w:val="9"/>
      </w:pPr>
      <w:r>
        <w:rPr>
          <w:rFonts w:ascii="黑体" w:hAnsi="黑体" w:eastAsia="黑体" w:cs="黑体"/>
          <w:color w:val="auto"/>
          <w:sz w:val="44"/>
          <w:szCs w:val="44"/>
          <w:highlight w:val="none"/>
          <w:lang w:val="en-US" w:eastAsia="zh-CN"/>
        </w:rPr>
      </w:r>
      <w:r/>
    </w:p>
    <w:p>
      <w:pPr>
        <w:numPr>
          <w:ilvl w:val="0"/>
          <w:numId w:val="0"/>
        </w:numPr>
        <w:ind w:left="0" w:right="0" w:firstLine="880"/>
        <w:jc w:val="center"/>
        <w:keepNext/>
        <w:pageBreakBefore w:val="0"/>
        <w:spacing w:beforeAutospacing="0" w:line="440" w:lineRule="exact"/>
        <w:widowControl w:val="off"/>
        <w:rPr>
          <w:rFonts w:ascii="黑体" w:hAnsi="黑体" w:eastAsia="黑体" w:cs="黑体"/>
          <w:color w:val="auto"/>
          <w:sz w:val="44"/>
          <w:szCs w:val="44"/>
          <w:highlight w:val="none"/>
          <w:lang w:val="en-US" w:eastAsia="zh-CN"/>
        </w:rPr>
        <w:outlineLvl w:val="9"/>
      </w:pPr>
      <w:r>
        <w:rPr>
          <w:rFonts w:ascii="黑体" w:hAnsi="黑体" w:eastAsia="黑体" w:cs="黑体"/>
          <w:color w:val="auto"/>
          <w:sz w:val="44"/>
          <w:szCs w:val="44"/>
          <w:highlight w:val="none"/>
          <w:lang w:val="en-US" w:eastAsia="zh-CN"/>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right="0"/>
        <w:jc w:val="center"/>
        <w:keepNext/>
        <w:pageBreakBefore w:val="0"/>
        <w:spacing w:beforeAutospacing="0" w:line="240" w:lineRule="auto"/>
        <w:widowControl w:val="off"/>
        <w:rPr>
          <w:rFonts w:hint="eastAsia" w:ascii="宋体" w:hAnsi="宋体"/>
          <w:b/>
          <w:color w:val="auto"/>
          <w:sz w:val="72"/>
          <w:szCs w:val="72"/>
          <w:highlight w:val="none"/>
        </w:rPr>
        <w:outlineLvl w:val="9"/>
      </w:pPr>
      <w:r>
        <w:rPr>
          <w:rFonts w:hint="eastAsia" w:ascii="宋体" w:hAnsi="宋体"/>
          <w:b/>
          <w:color w:val="auto"/>
          <w:sz w:val="72"/>
          <w:szCs w:val="72"/>
          <w:highlight w:val="none"/>
        </w:rPr>
        <w:t xml:space="preserve">响  应  文  件</w:t>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numPr>
          <w:ilvl w:val="0"/>
          <w:numId w:val="0"/>
        </w:numPr>
        <w:ind w:left="0" w:right="0" w:firstLine="1285"/>
        <w:jc w:val="left"/>
        <w:keepNext/>
        <w:pageBreakBefore w:val="0"/>
        <w:spacing w:beforeAutospacing="0" w:line="440" w:lineRule="exact"/>
        <w:widowControl w:val="off"/>
        <w:rPr>
          <w:rFonts w:ascii="宋体" w:hAnsi="宋体"/>
          <w:b/>
          <w:color w:val="auto"/>
          <w:sz w:val="32"/>
          <w:szCs w:val="32"/>
          <w:highlight w:val="none"/>
          <w:u w:val="single"/>
          <w:lang w:val="en-US" w:eastAsia="zh-CN"/>
        </w:rPr>
        <w:outlineLvl w:val="9"/>
      </w:pPr>
      <w:r>
        <w:rPr>
          <w:rFonts w:hint="eastAsia" w:ascii="宋体" w:hAnsi="宋体"/>
          <w:b/>
          <w:color w:val="auto"/>
          <w:sz w:val="32"/>
          <w:szCs w:val="32"/>
          <w:highlight w:val="none"/>
          <w:lang w:val="en-US" w:eastAsia="zh-CN"/>
        </w:rPr>
        <w:t xml:space="preserve">项目名称：</w:t>
      </w:r>
      <w:r>
        <w:rPr>
          <w:rFonts w:hint="eastAsia" w:ascii="宋体" w:hAnsi="宋体"/>
          <w:b/>
          <w:color w:val="auto"/>
          <w:sz w:val="32"/>
          <w:szCs w:val="32"/>
          <w:highlight w:val="none"/>
          <w:u w:val="single"/>
          <w:lang w:val="en-US" w:eastAsia="zh-CN"/>
        </w:rPr>
        <w:t xml:space="preserve">                     </w:t>
      </w:r>
      <w:r/>
    </w:p>
    <w:p>
      <w:pPr>
        <w:numPr>
          <w:ilvl w:val="0"/>
          <w:numId w:val="0"/>
        </w:numPr>
        <w:ind w:left="0" w:right="0" w:firstLine="1285"/>
        <w:jc w:val="left"/>
        <w:keepNext/>
        <w:pageBreakBefore w:val="0"/>
        <w:spacing w:beforeAutospacing="0" w:line="440" w:lineRule="exact"/>
        <w:widowControl w:val="off"/>
        <w:rPr>
          <w:rFonts w:hint="eastAsia" w:ascii="宋体" w:hAnsi="宋体"/>
          <w:b/>
          <w:color w:val="auto"/>
          <w:sz w:val="32"/>
          <w:szCs w:val="32"/>
          <w:highlight w:val="none"/>
          <w:lang w:val="en-US" w:eastAsia="zh-CN"/>
        </w:rPr>
        <w:outlineLvl w:val="9"/>
      </w:pPr>
      <w:r>
        <w:rPr>
          <w:rFonts w:hint="eastAsia" w:ascii="宋体" w:hAnsi="宋体"/>
          <w:b/>
          <w:color w:val="auto"/>
          <w:sz w:val="32"/>
          <w:szCs w:val="32"/>
          <w:highlight w:val="none"/>
          <w:lang w:val="en-US" w:eastAsia="zh-CN"/>
        </w:rPr>
        <w:t xml:space="preserve">采购编号：</w:t>
      </w:r>
      <w:r>
        <w:rPr>
          <w:rFonts w:hint="eastAsia" w:ascii="宋体" w:hAnsi="宋体"/>
          <w:b/>
          <w:color w:val="auto"/>
          <w:sz w:val="32"/>
          <w:szCs w:val="32"/>
          <w:highlight w:val="none"/>
          <w:u w:val="single"/>
          <w:lang w:val="en-US" w:eastAsia="zh-CN"/>
        </w:rPr>
        <w:t xml:space="preserve">                     </w:t>
      </w:r>
      <w:r/>
    </w:p>
    <w:p>
      <w:pPr>
        <w:numPr>
          <w:ilvl w:val="0"/>
          <w:numId w:val="0"/>
        </w:numPr>
        <w:ind w:left="0" w:right="0" w:firstLine="1285"/>
        <w:jc w:val="left"/>
        <w:keepNext/>
        <w:pageBreakBefore w:val="0"/>
        <w:spacing w:beforeAutospacing="0" w:line="440" w:lineRule="exact"/>
        <w:widowControl w:val="off"/>
        <w:rPr>
          <w:rFonts w:hint="eastAsia" w:ascii="宋体" w:hAnsi="宋体"/>
          <w:b/>
          <w:color w:val="auto"/>
          <w:sz w:val="32"/>
          <w:szCs w:val="32"/>
          <w:highlight w:val="none"/>
          <w:lang w:val="en-US" w:eastAsia="zh-CN"/>
        </w:rPr>
        <w:outlineLvl w:val="9"/>
      </w:pPr>
      <w:r>
        <w:rPr>
          <w:rFonts w:hint="eastAsia" w:ascii="宋体" w:hAnsi="宋体"/>
          <w:b/>
          <w:color w:val="auto"/>
          <w:sz w:val="32"/>
          <w:szCs w:val="32"/>
          <w:highlight w:val="none"/>
          <w:lang w:val="en-US" w:eastAsia="zh-CN"/>
        </w:rPr>
        <w:t xml:space="preserve">供应商名称：</w:t>
      </w:r>
      <w:r>
        <w:rPr>
          <w:rFonts w:hint="eastAsia" w:ascii="宋体" w:hAnsi="宋体"/>
          <w:b/>
          <w:color w:val="auto"/>
          <w:sz w:val="32"/>
          <w:szCs w:val="32"/>
          <w:highlight w:val="none"/>
          <w:u w:val="single"/>
          <w:lang w:val="en-US" w:eastAsia="zh-CN"/>
        </w:rPr>
        <w:t xml:space="preserve"> （加盖ca签章）   </w:t>
      </w:r>
      <w:r/>
    </w:p>
    <w:p>
      <w:pPr>
        <w:numPr>
          <w:ilvl w:val="0"/>
          <w:numId w:val="0"/>
        </w:numPr>
        <w:ind w:left="0" w:right="0" w:firstLine="1285"/>
        <w:jc w:val="left"/>
        <w:keepNext/>
        <w:pageBreakBefore w:val="0"/>
        <w:spacing w:beforeAutospacing="0" w:line="440" w:lineRule="exact"/>
        <w:widowControl w:val="off"/>
        <w:rPr>
          <w:rFonts w:ascii="宋体" w:hAnsi="宋体"/>
          <w:b/>
          <w:color w:val="auto"/>
          <w:sz w:val="32"/>
          <w:szCs w:val="32"/>
          <w:highlight w:val="none"/>
          <w:u w:val="single"/>
          <w:lang w:val="en-US" w:eastAsia="zh-CN"/>
        </w:rPr>
        <w:outlineLvl w:val="9"/>
      </w:pPr>
      <w:r>
        <w:rPr>
          <w:rFonts w:hint="eastAsia" w:ascii="宋体" w:hAnsi="宋体"/>
          <w:b/>
          <w:color w:val="auto"/>
          <w:sz w:val="32"/>
          <w:szCs w:val="32"/>
          <w:highlight w:val="none"/>
          <w:lang w:val="en-US" w:eastAsia="zh-CN"/>
        </w:rPr>
        <w:t xml:space="preserve">日期：</w:t>
      </w:r>
      <w:r>
        <w:rPr>
          <w:rFonts w:hint="eastAsia" w:ascii="宋体" w:hAnsi="宋体"/>
          <w:b/>
          <w:color w:val="auto"/>
          <w:sz w:val="32"/>
          <w:szCs w:val="32"/>
          <w:highlight w:val="none"/>
          <w:u w:val="single"/>
          <w:lang w:val="en-US" w:eastAsia="zh-CN"/>
        </w:rPr>
        <w:t xml:space="preserve">                         </w:t>
      </w:r>
      <w:r/>
    </w:p>
    <w:p>
      <w:pPr>
        <w:numPr>
          <w:ilvl w:val="0"/>
          <w:numId w:val="0"/>
        </w:numPr>
        <w:ind w:left="0" w:right="0" w:firstLine="643"/>
        <w:jc w:val="center"/>
        <w:keepNext/>
        <w:pageBreakBefore w:val="0"/>
        <w:spacing w:beforeAutospacing="0" w:line="440" w:lineRule="exact"/>
        <w:widowControl w:val="off"/>
        <w:rPr>
          <w:rFonts w:ascii="宋体" w:hAnsi="宋体"/>
          <w:b/>
          <w:color w:val="auto"/>
          <w:sz w:val="32"/>
          <w:szCs w:val="32"/>
          <w:highlight w:val="none"/>
          <w:lang w:val="en-US" w:eastAsia="zh-CN"/>
        </w:rPr>
        <w:outlineLvl w:val="9"/>
      </w:pPr>
      <w:r>
        <w:rPr>
          <w:rFonts w:ascii="宋体" w:hAnsi="宋体"/>
          <w:b/>
          <w:color w:val="auto"/>
          <w:sz w:val="32"/>
          <w:szCs w:val="32"/>
          <w:highlight w:val="none"/>
          <w:lang w:val="en-US" w:eastAsia="zh-CN"/>
        </w:rPr>
      </w:r>
      <w:r/>
    </w:p>
    <w:p>
      <w:pPr>
        <w:numPr>
          <w:ilvl w:val="0"/>
          <w:numId w:val="0"/>
        </w:numPr>
        <w:ind w:left="0" w:right="0" w:firstLine="1446"/>
        <w:jc w:val="center"/>
        <w:keepNext/>
        <w:pageBreakBefore w:val="0"/>
        <w:spacing w:beforeAutospacing="0" w:line="440" w:lineRule="exact"/>
        <w:widowControl w:val="off"/>
        <w:rPr>
          <w:rFonts w:hint="eastAsia" w:ascii="宋体" w:hAnsi="宋体"/>
          <w:b/>
          <w:color w:val="auto"/>
          <w:sz w:val="72"/>
          <w:szCs w:val="21"/>
          <w:highlight w:val="none"/>
        </w:rPr>
        <w:outlineLvl w:val="9"/>
      </w:pPr>
      <w:r>
        <w:rPr>
          <w:rFonts w:hint="eastAsia" w:ascii="宋体" w:hAnsi="宋体"/>
          <w:b/>
          <w:color w:val="auto"/>
          <w:sz w:val="72"/>
          <w:szCs w:val="21"/>
          <w:highlight w:val="none"/>
        </w:rPr>
      </w:r>
      <w:r/>
    </w:p>
    <w:p>
      <w:pPr>
        <w:ind w:left="0" w:right="0" w:firstLine="880"/>
        <w:jc w:val="center"/>
        <w:keepNext/>
        <w:pageBreakBefore w:val="0"/>
        <w:spacing w:beforeAutospacing="0" w:line="440" w:lineRule="exact"/>
        <w:rPr>
          <w:rFonts w:hint="eastAsia" w:ascii="黑体" w:hAnsi="黑体" w:eastAsia="黑体" w:cs="黑体"/>
          <w:color w:val="auto"/>
          <w:sz w:val="44"/>
          <w:szCs w:val="44"/>
          <w:highlight w:val="none"/>
        </w:rPr>
        <w:outlineLvl w:val="9"/>
      </w:pPr>
      <w:r>
        <w:rPr>
          <w:rFonts w:hint="eastAsia" w:ascii="黑体" w:hAnsi="黑体" w:eastAsia="黑体" w:cs="黑体"/>
          <w:color w:val="auto"/>
          <w:sz w:val="44"/>
          <w:szCs w:val="44"/>
          <w:highlight w:val="none"/>
        </w:rPr>
      </w:r>
      <w:r/>
    </w:p>
    <w:p>
      <w:pPr>
        <w:ind w:left="0" w:right="0" w:firstLine="880"/>
        <w:jc w:val="both"/>
        <w:keepNext/>
        <w:pageBreakBefore w:val="0"/>
        <w:spacing w:beforeAutospacing="0" w:line="440" w:lineRule="exact"/>
        <w:rPr>
          <w:rFonts w:ascii="黑体" w:hAnsi="Times New Roman" w:eastAsia="黑体"/>
          <w:bCs/>
          <w:color w:val="auto"/>
          <w:sz w:val="44"/>
          <w:szCs w:val="28"/>
          <w:highlight w:val="none"/>
        </w:rPr>
        <w:outlineLvl w:val="9"/>
      </w:pPr>
      <w:r>
        <w:rPr>
          <w:rFonts w:ascii="黑体" w:hAnsi="Times New Roman" w:eastAsia="黑体"/>
          <w:bCs/>
          <w:color w:val="auto"/>
          <w:sz w:val="44"/>
          <w:szCs w:val="28"/>
          <w:highlight w:val="none"/>
        </w:rPr>
      </w:r>
      <w:bookmarkEnd w:id="170"/>
      <w:bookmarkEnd w:id="171"/>
      <w:bookmarkEnd w:id="172"/>
      <w:r/>
    </w:p>
    <w:p>
      <w:pPr>
        <w:ind w:left="0" w:right="0" w:firstLine="643"/>
        <w:jc w:val="center"/>
        <w:pageBreakBefore w:val="0"/>
        <w:spacing w:beforeAutospacing="0"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bookmarkStart w:id="175" w:name="_Toc49090576"/>
      <w:r/>
      <w:bookmarkStart w:id="176" w:name="_Toc120614282"/>
      <w:r/>
      <w:bookmarkStart w:id="177" w:name="_Toc26554094"/>
      <w:r/>
      <w:r/>
    </w:p>
    <w:p>
      <w:pPr>
        <w:ind w:right="0"/>
        <w:jc w:val="center"/>
        <w:pageBreakBefore w:val="0"/>
        <w:spacing w:beforeAutospacing="0"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目</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录</w:t>
      </w:r>
      <w:r/>
    </w:p>
    <w:p>
      <w:pPr>
        <w:ind w:left="0" w:right="0" w:firstLine="643"/>
        <w:jc w:val="center"/>
        <w:pageBreakBefore w:val="0"/>
        <w:spacing w:beforeAutospacing="0"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0"/>
        </w:numPr>
        <w:ind w:left="0" w:right="0" w:firstLine="480"/>
        <w:pageBreakBefore w:val="0"/>
        <w:spacing w:beforeAutospacing="0" w:line="440" w:lineRule="exact"/>
        <w:rPr>
          <w:rFonts w:ascii="宋体" w:hAnsi="宋体"/>
          <w:i w:val="0"/>
          <w:iCs/>
          <w:color w:val="auto"/>
          <w:sz w:val="24"/>
          <w:szCs w:val="21"/>
          <w:highlight w:val="none"/>
          <w:u w:val="none"/>
          <w:lang w:val="en-US" w:eastAsia="zh-CN"/>
        </w:rPr>
      </w:pPr>
      <w:r>
        <w:rPr>
          <w:rFonts w:hint="eastAsia" w:ascii="宋体" w:hAnsi="宋体"/>
          <w:i w:val="0"/>
          <w:iCs/>
          <w:color w:val="auto"/>
          <w:sz w:val="24"/>
          <w:szCs w:val="21"/>
          <w:highlight w:val="none"/>
          <w:u w:val="none"/>
          <w:lang w:val="en-US" w:eastAsia="zh-CN"/>
        </w:rPr>
        <w:t xml:space="preserve">一、协商及声明函</w:t>
      </w:r>
      <w:r/>
    </w:p>
    <w:p>
      <w:pPr>
        <w:numPr>
          <w:ilvl w:val="0"/>
          <w:numId w:val="0"/>
        </w:numPr>
        <w:ind w:left="0" w:right="0" w:firstLine="480"/>
        <w:pageBreakBefore w:val="0"/>
        <w:spacing w:beforeAutospacing="0" w:line="440" w:lineRule="exact"/>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lang w:val="en-US" w:eastAsia="zh-CN"/>
        </w:rPr>
        <w:t xml:space="preserve">二、</w:t>
      </w:r>
      <w:r>
        <w:rPr>
          <w:rFonts w:hint="eastAsia" w:ascii="宋体" w:hAnsi="宋体"/>
          <w:i w:val="0"/>
          <w:iCs/>
          <w:color w:val="auto"/>
          <w:sz w:val="24"/>
          <w:szCs w:val="21"/>
          <w:highlight w:val="none"/>
          <w:u w:val="none"/>
        </w:rPr>
        <w:t xml:space="preserve">供应商基本信息</w:t>
      </w:r>
      <w:r/>
    </w:p>
    <w:p>
      <w:pPr>
        <w:ind w:left="0" w:right="0" w:firstLine="480"/>
        <w:pageBreakBefore w:val="0"/>
        <w:spacing w:beforeAutospacing="0" w:line="440" w:lineRule="exact"/>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lang w:val="en-US" w:eastAsia="zh-CN"/>
        </w:rPr>
        <w:t xml:space="preserve">三</w:t>
      </w:r>
      <w:r>
        <w:rPr>
          <w:rFonts w:hint="eastAsia" w:ascii="宋体" w:hAnsi="宋体"/>
          <w:i w:val="0"/>
          <w:iCs/>
          <w:color w:val="auto"/>
          <w:sz w:val="24"/>
          <w:szCs w:val="21"/>
          <w:highlight w:val="none"/>
          <w:u w:val="none"/>
        </w:rPr>
        <w:t xml:space="preserve">、</w:t>
      </w:r>
      <w:r>
        <w:rPr>
          <w:rFonts w:hint="eastAsia" w:ascii="宋体" w:hAnsi="宋体"/>
          <w:i w:val="0"/>
          <w:iCs/>
          <w:color w:val="auto"/>
          <w:sz w:val="24"/>
          <w:szCs w:val="21"/>
          <w:highlight w:val="none"/>
          <w:u w:val="none"/>
          <w:lang w:val="en-US" w:eastAsia="zh-CN"/>
        </w:rPr>
        <w:t xml:space="preserve">特定资格要求的证明文件</w:t>
      </w:r>
      <w:r/>
    </w:p>
    <w:p>
      <w:pPr>
        <w:ind w:left="0" w:right="0" w:firstLine="480"/>
        <w:pageBreakBefore w:val="0"/>
        <w:spacing w:beforeAutospacing="0" w:line="440" w:lineRule="exact"/>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lang w:val="en-US" w:eastAsia="zh-CN"/>
        </w:rPr>
        <w:t xml:space="preserve">四、</w:t>
      </w:r>
      <w:r>
        <w:rPr>
          <w:rFonts w:hint="eastAsia" w:ascii="宋体" w:hAnsi="宋体"/>
          <w:i w:val="0"/>
          <w:iCs/>
          <w:color w:val="auto"/>
          <w:sz w:val="24"/>
          <w:szCs w:val="21"/>
          <w:highlight w:val="none"/>
          <w:u w:val="none"/>
        </w:rPr>
        <w:t xml:space="preserve">法定代表人身份证明或授权委托书</w:t>
      </w:r>
      <w:r/>
    </w:p>
    <w:p>
      <w:pPr>
        <w:ind w:left="0" w:right="0" w:firstLine="480"/>
        <w:pageBreakBefore w:val="0"/>
        <w:spacing w:beforeAutospacing="0" w:line="440" w:lineRule="exact"/>
        <w:rPr>
          <w:rFonts w:ascii="宋体" w:hAnsi="宋体" w:eastAsia="宋体"/>
          <w:i w:val="0"/>
          <w:iCs/>
          <w:color w:val="auto"/>
          <w:sz w:val="24"/>
          <w:szCs w:val="21"/>
          <w:highlight w:val="none"/>
          <w:u w:val="none"/>
          <w:lang w:val="en-US" w:eastAsia="zh-CN"/>
        </w:rPr>
      </w:pPr>
      <w:r>
        <w:rPr>
          <w:rFonts w:hint="eastAsia" w:ascii="宋体" w:hAnsi="宋体"/>
          <w:i w:val="0"/>
          <w:iCs/>
          <w:color w:val="auto"/>
          <w:sz w:val="24"/>
          <w:szCs w:val="21"/>
          <w:highlight w:val="none"/>
          <w:u w:val="none"/>
          <w:lang w:val="en-US" w:eastAsia="zh-CN"/>
        </w:rPr>
        <w:t xml:space="preserve">五、开标一览表</w:t>
      </w:r>
      <w:r/>
    </w:p>
    <w:p>
      <w:pPr>
        <w:ind w:left="0" w:right="0" w:firstLine="480"/>
        <w:pageBreakBefore w:val="0"/>
        <w:spacing w:beforeAutospacing="0" w:line="440" w:lineRule="exact"/>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lang w:val="en-US" w:eastAsia="zh-CN"/>
        </w:rPr>
        <w:t xml:space="preserve">六</w:t>
      </w:r>
      <w:r>
        <w:rPr>
          <w:rFonts w:hint="eastAsia" w:ascii="宋体" w:hAnsi="宋体"/>
          <w:i w:val="0"/>
          <w:iCs/>
          <w:color w:val="auto"/>
          <w:sz w:val="24"/>
          <w:szCs w:val="21"/>
          <w:highlight w:val="none"/>
          <w:u w:val="none"/>
        </w:rPr>
        <w:t xml:space="preserve">、分项报价表</w:t>
      </w:r>
      <w:r/>
    </w:p>
    <w:p>
      <w:pPr>
        <w:ind w:left="0" w:right="0" w:firstLine="480"/>
        <w:pageBreakBefore w:val="0"/>
        <w:spacing w:beforeAutospacing="0" w:line="44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七、</w:t>
      </w:r>
      <w:r>
        <w:rPr>
          <w:rFonts w:hint="eastAsia" w:ascii="宋体" w:hAnsi="宋体"/>
          <w:color w:val="auto"/>
          <w:sz w:val="24"/>
          <w:szCs w:val="21"/>
          <w:highlight w:val="none"/>
        </w:rPr>
        <w:t xml:space="preserve">响应及偏离表</w:t>
      </w:r>
      <w:r/>
    </w:p>
    <w:p>
      <w:pPr>
        <w:ind w:left="0" w:right="0" w:firstLine="480"/>
        <w:pageBreakBefore w:val="0"/>
        <w:spacing w:beforeAutospacing="0" w:line="44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八、项目组人员</w:t>
      </w:r>
      <w:r/>
    </w:p>
    <w:p>
      <w:pPr>
        <w:ind w:left="0" w:right="0" w:firstLine="480"/>
        <w:pageBreakBefore w:val="0"/>
        <w:spacing w:beforeAutospacing="0" w:line="44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九、企业业绩</w:t>
      </w:r>
      <w:r/>
    </w:p>
    <w:p>
      <w:pPr>
        <w:ind w:left="0" w:right="0" w:firstLine="480"/>
        <w:pageBreakBefore w:val="0"/>
        <w:spacing w:beforeAutospacing="0" w:line="44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十、服务方案</w:t>
      </w:r>
      <w:r/>
    </w:p>
    <w:p>
      <w:pPr>
        <w:ind w:left="0" w:right="0" w:firstLine="480"/>
        <w:pageBreakBefore w:val="0"/>
        <w:spacing w:beforeAutospacing="0" w:line="44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t xml:space="preserve">十</w:t>
      </w:r>
      <w:r>
        <w:rPr>
          <w:rFonts w:hint="eastAsia" w:ascii="宋体" w:hAnsi="宋体"/>
          <w:color w:val="auto"/>
          <w:sz w:val="24"/>
          <w:szCs w:val="21"/>
          <w:highlight w:val="none"/>
          <w:lang w:val="en-US" w:eastAsia="zh-CN"/>
        </w:rPr>
        <w:t xml:space="preserve">一</w:t>
      </w:r>
      <w:r>
        <w:rPr>
          <w:rFonts w:hint="default" w:ascii="宋体" w:hAnsi="宋体"/>
          <w:color w:val="auto"/>
          <w:sz w:val="24"/>
          <w:szCs w:val="21"/>
          <w:highlight w:val="none"/>
          <w:lang w:val="en-US" w:eastAsia="zh-CN"/>
        </w:rPr>
        <w:t xml:space="preserve">、协商所需其他材料</w:t>
      </w:r>
      <w:r/>
    </w:p>
    <w:p>
      <w:pPr>
        <w:ind w:left="0" w:right="0" w:firstLine="480"/>
        <w:pageBreakBefore w:val="0"/>
        <w:spacing w:beforeAutospacing="0" w:line="44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ind w:left="0" w:right="0" w:firstLine="480"/>
        <w:pageBreakBefore w:val="0"/>
        <w:spacing w:beforeAutospacing="0" w:line="44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ind w:left="0" w:right="0" w:firstLine="480"/>
        <w:pageBreakBefore w:val="0"/>
        <w:spacing w:beforeAutospacing="0"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0" w:right="0" w:firstLine="480"/>
        <w:pageBreakBefore w:val="0"/>
        <w:spacing w:beforeAutospacing="0"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left="0" w:right="0" w:firstLine="480"/>
        <w:pageBreakBefore w:val="0"/>
        <w:spacing w:beforeAutospacing="0" w:line="440" w:lineRule="exact"/>
        <w:rPr>
          <w:rFonts w:ascii="宋体" w:hAnsi="宋体"/>
          <w:color w:val="auto"/>
          <w:sz w:val="24"/>
          <w:szCs w:val="21"/>
          <w:highlight w:val="none"/>
        </w:rPr>
      </w:pPr>
      <w:r>
        <w:rPr>
          <w:rFonts w:ascii="宋体" w:hAnsi="宋体"/>
          <w:color w:val="auto"/>
          <w:sz w:val="24"/>
          <w:szCs w:val="21"/>
          <w:highlight w:val="none"/>
        </w:rPr>
      </w:r>
      <w:r/>
    </w:p>
    <w:p>
      <w:pPr>
        <w:ind w:right="0"/>
        <w:pageBreakBefore w:val="0"/>
        <w:spacing w:beforeAutospacing="0" w:line="440" w:lineRule="exac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705"/>
        <w:ind w:left="0" w:right="0" w:firstLine="640"/>
        <w:jc w:val="both"/>
        <w:pageBreakBefore w:val="0"/>
        <w:spacing w:before="0" w:beforeAutospacing="0" w:after="0" w:line="440" w:lineRule="exact"/>
        <w:widowControl/>
        <w:rPr>
          <w:rFonts w:hint="eastAsia" w:ascii="黑体" w:hAnsi="黑体" w:eastAsia="黑体" w:cs="Times New Roman"/>
          <w:b w:val="0"/>
          <w:bCs w:val="0"/>
          <w:i w:val="0"/>
          <w:iCs/>
          <w:color w:val="auto"/>
          <w:sz w:val="32"/>
          <w:szCs w:val="32"/>
          <w:highlight w:val="none"/>
          <w:u w:val="none"/>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黑体" w:hAnsi="黑体" w:eastAsia="黑体" w:cs="Times New Roman"/>
          <w:b w:val="0"/>
          <w:bCs w:val="0"/>
          <w:i w:val="0"/>
          <w:iCs/>
          <w:color w:val="auto"/>
          <w:sz w:val="32"/>
          <w:szCs w:val="32"/>
          <w:highlight w:val="none"/>
          <w:u w:val="none"/>
          <w:lang w:val="en-US" w:eastAsia="zh-CN" w:bidi="ar-SA"/>
        </w:rPr>
      </w:r>
      <w:r/>
    </w:p>
    <w:p>
      <w:pPr>
        <w:pStyle w:val="705"/>
        <w:ind w:right="0"/>
        <w:jc w:val="both"/>
        <w:pageBreakBefore w:val="0"/>
        <w:spacing w:before="0" w:beforeAutospacing="0" w:after="0" w:line="480" w:lineRule="exact"/>
        <w:widowControl/>
        <w:rPr>
          <w:rFonts w:hint="eastAsia" w:ascii="宋体" w:hAnsi="宋体" w:eastAsia="宋体" w:cs="宋体"/>
          <w:b/>
          <w:bCs/>
          <w:i/>
          <w:color w:val="auto"/>
          <w:sz w:val="24"/>
          <w:szCs w:val="24"/>
          <w:highlight w:val="none"/>
          <w:u w:val="singl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一、协商及声明函</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u w:val="single"/>
          <w:lang w:val="en-US" w:eastAsia="zh-CN"/>
        </w:rPr>
        <w:t xml:space="preserve">（采购</w:t>
      </w:r>
      <w:bookmarkStart w:id="183" w:name="_GoBack"/>
      <w:r/>
      <w:bookmarkEnd w:id="183"/>
      <w:r>
        <w:rPr>
          <w:rFonts w:hint="eastAsia" w:ascii="宋体" w:hAnsi="宋体" w:eastAsia="宋体" w:cs="宋体"/>
          <w:color w:val="auto"/>
          <w:sz w:val="24"/>
          <w:szCs w:val="24"/>
          <w:highlight w:val="none"/>
          <w:u w:val="single"/>
          <w:lang w:val="en-US" w:eastAsia="zh-CN"/>
        </w:rPr>
        <w:t xml:space="preserve">单位名称）</w:t>
      </w:r>
      <w:r>
        <w:rPr>
          <w:rFonts w:hint="eastAsia" w:ascii="宋体" w:hAnsi="宋体" w:eastAsia="宋体" w:cs="宋体"/>
          <w:color w:val="auto"/>
          <w:sz w:val="24"/>
          <w:szCs w:val="24"/>
          <w:highlight w:val="none"/>
          <w:lang w:eastAsia="zh-CN"/>
        </w:rPr>
        <w:t xml:space="preserve">：</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根据已收到的项目编号为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val="en-US"/>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的单一来源协商采购文件，我方在参加本项目协商活动中，特做出如下承诺：</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一、我方具备《中华人民共和国政府采购法》第二十二条第一款规定的</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lang w:eastAsia="zh-CN"/>
        </w:rPr>
        <w:t xml:space="preserve">项条件；</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三、我方按采购文件要求提交协商文件，响应采购文件规定的投标有效期；</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四、如果我方的协商文件被接受，我方将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lang w:eastAsia="zh-CN"/>
        </w:rPr>
        <w:t xml:space="preserve">民法典》及其他有关法律、法规的规定，按期、按质、按量交付采购单位，全面做到履约守信；</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五、我方若违背本声明及承诺约定，经查实，自愿接受采购人及相关主管部门相应的规定处理，并依法承担相应的法律责任。</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六、我方同意采购人、采购代理机构将本声明及承诺函上网公开。</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eastAsia="zh-CN"/>
        </w:rPr>
        <w:t xml:space="preserve">供应商名称：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eastAsia="zh-CN"/>
        </w:rPr>
        <w:t xml:space="preserve">（加盖CA电子公章）</w:t>
      </w:r>
      <w:r/>
    </w:p>
    <w:p>
      <w:pPr>
        <w:pStyle w:val="706"/>
        <w:ind w:left="0" w:right="0" w:firstLine="480"/>
        <w:jc w:val="both"/>
        <w:pageBreakBefore w:val="0"/>
        <w:spacing w:before="0" w:beforeAutospacing="0" w:after="0" w:line="48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eastAsia="zh-CN"/>
        </w:rPr>
        <w:t xml:space="preserve">日</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i/>
          <w:color w:val="auto"/>
          <w:sz w:val="24"/>
          <w:szCs w:val="24"/>
          <w:highlight w:val="none"/>
          <w:u w:val="single"/>
        </w:rPr>
        <w:outlineLvl w:val="9"/>
      </w:pPr>
      <w:r>
        <w:rPr>
          <w:rFonts w:hint="eastAsia" w:ascii="宋体" w:hAnsi="宋体" w:eastAsia="宋体" w:cs="宋体"/>
          <w:i/>
          <w:color w:val="auto"/>
          <w:sz w:val="24"/>
          <w:szCs w:val="24"/>
          <w:highlight w:val="none"/>
          <w:u w:val="single"/>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i/>
          <w:color w:val="auto"/>
          <w:sz w:val="24"/>
          <w:szCs w:val="24"/>
          <w:highlight w:val="none"/>
          <w:u w:val="single"/>
        </w:rPr>
        <w:br w:type="page" w:clear="all"/>
      </w:r>
      <w:r>
        <w:rPr>
          <w:rFonts w:hint="eastAsia" w:ascii="宋体" w:hAnsi="宋体" w:eastAsia="宋体" w:cs="宋体"/>
          <w:b/>
          <w:bCs/>
          <w:i w:val="0"/>
          <w:iCs/>
          <w:color w:val="auto"/>
          <w:sz w:val="24"/>
          <w:szCs w:val="24"/>
          <w:highlight w:val="none"/>
          <w:u w:val="none"/>
          <w:lang w:val="en-US" w:eastAsia="zh-CN" w:bidi="ar-SA"/>
        </w:rPr>
        <w:t xml:space="preserve">二、供应商基本信息</w:t>
      </w:r>
      <w:r/>
    </w:p>
    <w:p>
      <w:pPr>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eastAsia="zh-CN" w:bidi="ar"/>
        </w:rPr>
        <w:t xml:space="preserve">供应商基本情况表</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jc w:val="center"/>
          <w:trHeight w:val="760"/>
        </w:trPr>
        <w:tc>
          <w:tcPr>
            <w:tcW w:w="1758" w:type="dxa"/>
            <w:vAlign w:val="center"/>
            <w:textDirection w:val="lrTb"/>
            <w:noWrap w:val="false"/>
          </w:tcPr>
          <w:p>
            <w:pPr>
              <w:pStyle w:val="708"/>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供应商名称</w:t>
            </w:r>
            <w:r/>
          </w:p>
        </w:tc>
        <w:tc>
          <w:tcPr>
            <w:gridSpan w:val="3"/>
            <w:tcW w:w="7661" w:type="dxa"/>
            <w:vAlign w:val="center"/>
            <w:textDirection w:val="lrTb"/>
            <w:noWrap w:val="false"/>
          </w:tcPr>
          <w:p>
            <w:pPr>
              <w:pStyle w:val="708"/>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482"/>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法定代表人</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注册地区</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cantSplit/>
          <w:jc w:val="center"/>
          <w:trHeight w:val="308"/>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地址</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邮政编码</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cantSplit/>
          <w:jc w:val="center"/>
          <w:trHeight w:val="308"/>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成立时间</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单位性质</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308"/>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注册号或社会信用代码</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注册资本（万元）</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165"/>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供应商类别</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i/>
                <w:color w:val="auto"/>
                <w:sz w:val="24"/>
                <w:szCs w:val="24"/>
                <w:highlight w:val="none"/>
                <w:lang w:val="en-US"/>
              </w:rPr>
              <w:outlineLvl w:val="9"/>
            </w:pPr>
            <w:r>
              <w:rPr>
                <w:rFonts w:hint="eastAsia" w:ascii="宋体" w:hAnsi="宋体" w:eastAsia="宋体" w:cs="宋体"/>
                <w:i/>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诚信等级</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330"/>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开户银行</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账号</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330"/>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联系人</w:t>
            </w:r>
            <w:r/>
          </w:p>
        </w:tc>
        <w:tc>
          <w:tcPr>
            <w:tcW w:w="2992"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222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rPr>
              <w:t xml:space="preserve">联系电话</w:t>
            </w:r>
            <w:r/>
          </w:p>
        </w:tc>
        <w:tc>
          <w:tcPr>
            <w:tcW w:w="244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2985"/>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经营范围</w:t>
            </w:r>
            <w:r/>
          </w:p>
        </w:tc>
        <w:tc>
          <w:tcPr>
            <w:gridSpan w:val="3"/>
            <w:tcW w:w="766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r>
        <w:trPr>
          <w:cantSplit/>
          <w:jc w:val="center"/>
          <w:trHeight w:val="1280"/>
        </w:trPr>
        <w:tc>
          <w:tcPr>
            <w:tcW w:w="1758"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备注</w:t>
            </w:r>
            <w:r/>
          </w:p>
        </w:tc>
        <w:tc>
          <w:tcPr>
            <w:gridSpan w:val="3"/>
            <w:tcW w:w="7661" w:type="dxa"/>
            <w:vAlign w:val="center"/>
            <w:textDirection w:val="lrTb"/>
            <w:noWrap w:val="false"/>
          </w:tcPr>
          <w:p>
            <w:pPr>
              <w:pStyle w:val="709"/>
              <w:ind w:left="0" w:right="0" w:firstLine="0"/>
              <w:jc w:val="both"/>
              <w:keepLines w:val="0"/>
              <w:keepNext w:val="0"/>
              <w:pageBreakBefore w:val="0"/>
              <w:spacing w:before="0" w:beforeAutospacing="0" w:after="0" w:line="400" w:lineRule="exact"/>
              <w:widowControl/>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rPr>
            </w:r>
            <w:r/>
          </w:p>
        </w:tc>
      </w:tr>
    </w:tbl>
    <w:p>
      <w:pPr>
        <w:ind w:left="0" w:right="0" w:firstLine="480"/>
        <w:jc w:val="both"/>
        <w:pageBreakBefore w:val="0"/>
        <w:spacing w:beforeAutospacing="0"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bookmarkEnd w:id="175"/>
      <w:bookmarkEnd w:id="176"/>
      <w:bookmarkEnd w:id="177"/>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lang w:val="en-US" w:eastAsia="zh-CN"/>
        </w:rPr>
        <w:outlineLvl w:val="9"/>
      </w:pPr>
      <w:r/>
      <w:bookmarkStart w:id="178" w:name="_Toc120614284"/>
      <w:r>
        <w:rPr>
          <w:rFonts w:hint="eastAsia" w:ascii="宋体" w:hAnsi="宋体" w:eastAsia="宋体" w:cs="宋体"/>
          <w:bCs/>
          <w:color w:val="auto"/>
          <w:sz w:val="24"/>
          <w:szCs w:val="24"/>
          <w:highlight w:val="none"/>
          <w:lang w:val="en-US" w:eastAsia="zh-CN"/>
        </w:rPr>
        <w:t xml:space="preserve">附件：营业执照扫描件</w:t>
      </w:r>
      <w:r/>
    </w:p>
    <w:p>
      <w:pPr>
        <w:numPr>
          <w:ilvl w:val="0"/>
          <w:numId w:val="0"/>
        </w:numPr>
        <w:ind w:right="0"/>
        <w:jc w:val="both"/>
        <w:pageBreakBefore w:val="0"/>
        <w:spacing w:beforeAutospacing="0" w:line="480" w:lineRule="exact"/>
        <w:rPr>
          <w:rFonts w:hint="eastAsia" w:ascii="宋体" w:hAnsi="宋体" w:eastAsia="宋体" w:cs="宋体"/>
          <w:i/>
          <w:color w:val="auto"/>
          <w:sz w:val="24"/>
          <w:szCs w:val="24"/>
          <w:highlight w:val="none"/>
          <w:u w:val="single"/>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eastAsia="宋体" w:cs="宋体"/>
          <w:i/>
          <w:color w:val="auto"/>
          <w:sz w:val="24"/>
          <w:szCs w:val="24"/>
          <w:highlight w:val="none"/>
          <w:u w:val="single"/>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三、特定资格要求的证明文件</w:t>
      </w:r>
      <w:r/>
    </w:p>
    <w:p>
      <w:pPr>
        <w:numPr>
          <w:ilvl w:val="0"/>
          <w:numId w:val="0"/>
        </w:numPr>
        <w:ind w:left="0" w:right="0" w:firstLine="480"/>
        <w:jc w:val="both"/>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i w:val="0"/>
          <w:iCs/>
          <w:color w:val="auto"/>
          <w:sz w:val="24"/>
          <w:szCs w:val="21"/>
          <w:highlight w:val="none"/>
          <w:u w:val="none"/>
        </w:rPr>
        <w:t xml:space="preserve">（如果本项目设置特定资格要求，则需要提供）</w:t>
      </w:r>
      <w:r/>
    </w:p>
    <w:p>
      <w:pPr>
        <w:pStyle w:val="705"/>
        <w:ind w:right="0"/>
        <w:jc w:val="both"/>
        <w:pageBreakBefore w:val="0"/>
        <w:spacing w:before="0" w:beforeAutospacing="0" w:after="0" w:line="480" w:lineRule="exact"/>
        <w:widowControl/>
        <w:rPr>
          <w:rFonts w:hint="default"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四、法定代表人身份证明或授权委托书</w:t>
      </w:r>
      <w:r/>
    </w:p>
    <w:p>
      <w:pPr>
        <w:jc w:val="center"/>
        <w:rPr>
          <w:rFonts w:hint="eastAsia" w:ascii="黑体" w:hAnsi="黑体" w:eastAsia="黑体"/>
          <w:iCs/>
          <w:color w:val="auto"/>
          <w:sz w:val="32"/>
          <w:szCs w:val="32"/>
          <w:highlight w:val="none"/>
        </w:rPr>
        <w:outlineLvl w:val="9"/>
      </w:pPr>
      <w:r>
        <w:rPr>
          <w:rFonts w:hint="eastAsia" w:ascii="黑体" w:hAnsi="黑体" w:eastAsia="黑体"/>
          <w:iCs/>
          <w:color w:val="auto"/>
          <w:sz w:val="32"/>
          <w:szCs w:val="32"/>
          <w:highlight w:val="none"/>
        </w:rPr>
      </w:r>
      <w:r/>
    </w:p>
    <w:p>
      <w:pPr>
        <w:jc w:val="center"/>
        <w:rPr>
          <w:rFonts w:hint="eastAsia" w:ascii="黑体" w:hAnsi="黑体" w:eastAsia="黑体"/>
          <w:iCs/>
          <w:color w:val="auto"/>
          <w:sz w:val="32"/>
          <w:szCs w:val="32"/>
          <w:highlight w:val="none"/>
        </w:rPr>
        <w:outlineLvl w:val="9"/>
      </w:pPr>
      <w:r>
        <w:rPr>
          <w:rFonts w:hint="eastAsia" w:ascii="宋体" w:hAnsi="宋体" w:eastAsia="宋体" w:cs="宋体"/>
          <w:b/>
          <w:bCs w:val="0"/>
          <w:i w:val="0"/>
          <w:iCs/>
          <w:color w:val="auto"/>
          <w:sz w:val="24"/>
          <w:szCs w:val="24"/>
          <w:highlight w:val="none"/>
          <w:u w:val="none"/>
          <w:lang w:val="en-US" w:eastAsia="zh-CN" w:bidi="ar-SA"/>
        </w:rPr>
        <w:t xml:space="preserve">法定代表人身份证明</w:t>
      </w:r>
      <w:r/>
    </w:p>
    <w:p>
      <w:pPr>
        <w:spacing w:line="36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firstLine="360"/>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供应商名称：</w:t>
      </w:r>
      <w:r>
        <w:rPr>
          <w:rFonts w:hint="eastAsia" w:ascii="宋体" w:hAnsi="宋体" w:eastAsia="宋体" w:cs="仿宋"/>
          <w:color w:val="auto"/>
          <w:sz w:val="24"/>
          <w:highlight w:val="none"/>
          <w:u w:val="single"/>
        </w:rPr>
        <w:t xml:space="preserve">                          </w:t>
      </w:r>
      <w:r/>
    </w:p>
    <w:p>
      <w:pPr>
        <w:ind w:firstLine="360"/>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单位性质：</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w:t>
      </w:r>
      <w:r/>
    </w:p>
    <w:p>
      <w:pPr>
        <w:ind w:firstLine="360"/>
        <w:spacing w:line="500" w:lineRule="exact"/>
        <w:rPr>
          <w:rFonts w:hint="eastAsia" w:ascii="宋体" w:hAnsi="宋体" w:eastAsia="宋体" w:cs="仿宋"/>
          <w:color w:val="auto"/>
          <w:sz w:val="24"/>
          <w:highlight w:val="none"/>
          <w:u w:val="single"/>
        </w:rPr>
        <w:outlineLvl w:val="9"/>
      </w:pPr>
      <w:r>
        <w:rPr>
          <w:rFonts w:hint="eastAsia" w:ascii="宋体" w:hAnsi="宋体" w:eastAsia="宋体" w:cs="仿宋"/>
          <w:color w:val="auto"/>
          <w:sz w:val="24"/>
          <w:highlight w:val="none"/>
        </w:rPr>
        <w:t xml:space="preserve">地址：</w:t>
      </w:r>
      <w:r>
        <w:rPr>
          <w:rFonts w:hint="eastAsia" w:ascii="宋体" w:hAnsi="宋体" w:eastAsia="宋体" w:cs="仿宋"/>
          <w:color w:val="auto"/>
          <w:sz w:val="24"/>
          <w:highlight w:val="none"/>
          <w:u w:val="single"/>
        </w:rPr>
        <w:t xml:space="preserve">                               </w:t>
      </w:r>
      <w:r/>
    </w:p>
    <w:p>
      <w:pPr>
        <w:ind w:firstLine="360"/>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成立时间：</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年</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月</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日</w:t>
      </w:r>
      <w:r/>
    </w:p>
    <w:p>
      <w:pPr>
        <w:ind w:firstLine="360"/>
        <w:spacing w:line="500" w:lineRule="exact"/>
        <w:rPr>
          <w:rFonts w:hint="eastAsia" w:ascii="宋体" w:hAnsi="宋体" w:eastAsia="宋体" w:cs="仿宋"/>
          <w:color w:val="auto"/>
          <w:sz w:val="24"/>
          <w:highlight w:val="none"/>
          <w:u w:val="single"/>
        </w:rPr>
        <w:outlineLvl w:val="9"/>
      </w:pPr>
      <w:r>
        <w:rPr>
          <w:rFonts w:hint="eastAsia" w:ascii="宋体" w:hAnsi="宋体" w:eastAsia="宋体" w:cs="仿宋"/>
          <w:color w:val="auto"/>
          <w:sz w:val="24"/>
          <w:highlight w:val="none"/>
        </w:rPr>
        <w:t xml:space="preserve">经营期限：</w:t>
      </w:r>
      <w:r>
        <w:rPr>
          <w:rFonts w:hint="eastAsia" w:ascii="宋体" w:hAnsi="宋体" w:eastAsia="宋体" w:cs="仿宋"/>
          <w:color w:val="auto"/>
          <w:sz w:val="24"/>
          <w:highlight w:val="none"/>
          <w:u w:val="single"/>
        </w:rPr>
        <w:t xml:space="preserve">                                 </w:t>
      </w:r>
      <w:r/>
    </w:p>
    <w:p>
      <w:pPr>
        <w:ind w:firstLine="360"/>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姓名：</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性别：</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年龄：</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职务：</w:t>
      </w:r>
      <w:r>
        <w:rPr>
          <w:rFonts w:hint="eastAsia" w:ascii="宋体" w:hAnsi="宋体" w:eastAsia="宋体" w:cs="仿宋"/>
          <w:color w:val="auto"/>
          <w:sz w:val="24"/>
          <w:highlight w:val="none"/>
          <w:u w:val="single"/>
        </w:rPr>
        <w:t xml:space="preserve">         </w:t>
      </w:r>
      <w:r/>
    </w:p>
    <w:p>
      <w:pPr>
        <w:ind w:firstLine="360"/>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系</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（供应商名称）的法定代表人。</w:t>
      </w:r>
      <w:r/>
    </w:p>
    <w:p>
      <w:pPr>
        <w:ind w:firstLine="360"/>
        <w:spacing w:line="500" w:lineRule="exact"/>
        <w:tabs>
          <w:tab w:val="left" w:pos="5952" w:leader="none"/>
        </w:tabs>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t xml:space="preserve">特此证明。</w:t>
      </w:r>
      <w:r>
        <w:rPr>
          <w:rFonts w:hint="eastAsia" w:ascii="宋体" w:hAnsi="宋体" w:eastAsia="宋体" w:cs="仿宋"/>
          <w:color w:val="auto"/>
          <w:sz w:val="24"/>
          <w:highlight w:val="none"/>
        </w:rPr>
        <w:tab/>
      </w:r>
      <w:r>
        <w:rPr>
          <w:rFonts w:hint="eastAsia" w:ascii="宋体" w:hAnsi="宋体" w:eastAsia="宋体" w:cs="仿宋"/>
          <w:color w:val="auto"/>
          <w:sz w:val="24"/>
          <w:highlight w:val="none"/>
        </w:rPr>
        <w:t xml:space="preserve">                       </w:t>
      </w:r>
      <w:r/>
    </w:p>
    <w:p>
      <w:pPr>
        <w:jc w:val="right"/>
        <w:spacing w:line="36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r>
      <w:r/>
    </w:p>
    <w:p>
      <w:pPr>
        <w:jc w:val="right"/>
        <w:spacing w:line="36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highlight w:val="none"/>
        </w:rPr>
      </w:r>
      <w:r/>
    </w:p>
    <w:p>
      <w:pPr>
        <w:ind w:firstLine="360"/>
        <w:jc w:val="left"/>
        <w:spacing w:line="500" w:lineRule="exact"/>
        <w:rPr>
          <w:rFonts w:hint="eastAsia" w:ascii="宋体" w:hAnsi="宋体" w:eastAsia="宋体" w:cs="仿宋"/>
          <w:color w:val="auto"/>
          <w:sz w:val="24"/>
          <w:highlight w:val="none"/>
        </w:rPr>
        <w:outlineLvl w:val="9"/>
      </w:pPr>
      <w:r>
        <w:rPr>
          <w:rFonts w:hint="eastAsia" w:ascii="宋体" w:hAnsi="宋体" w:eastAsia="宋体" w:cs="仿宋"/>
          <w:color w:val="auto"/>
          <w:sz w:val="24"/>
          <w:szCs w:val="24"/>
          <w:highlight w:val="none"/>
        </w:rPr>
        <w:t xml:space="preserve">单位名称</w:t>
      </w:r>
      <w:r>
        <w:rPr>
          <w:rFonts w:hint="eastAsia" w:ascii="宋体" w:hAnsi="宋体" w:eastAsia="宋体" w:cs="仿宋"/>
          <w:color w:val="auto"/>
          <w:sz w:val="24"/>
          <w:highlight w:val="none"/>
        </w:rPr>
        <w:t xml:space="preserve">：</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w:t>
      </w:r>
      <w:r>
        <w:rPr>
          <w:rFonts w:hint="eastAsia" w:ascii="宋体" w:hAnsi="宋体" w:eastAsia="宋体" w:cs="仿宋"/>
          <w:color w:val="auto"/>
          <w:sz w:val="24"/>
          <w:szCs w:val="24"/>
          <w:highlight w:val="none"/>
        </w:rPr>
        <w:t xml:space="preserve">电子签章</w:t>
      </w:r>
      <w:r>
        <w:rPr>
          <w:rFonts w:hint="eastAsia" w:ascii="宋体" w:hAnsi="宋体" w:eastAsia="宋体" w:cs="仿宋"/>
          <w:color w:val="auto"/>
          <w:sz w:val="24"/>
          <w:highlight w:val="none"/>
        </w:rPr>
        <w:t xml:space="preserve">）</w:t>
      </w:r>
      <w:r/>
    </w:p>
    <w:p>
      <w:pPr>
        <w:ind w:firstLine="360"/>
        <w:spacing w:line="500" w:lineRule="exact"/>
        <w:rPr>
          <w:rFonts w:hint="eastAsia" w:ascii="宋体" w:hAnsi="宋体" w:eastAsia="宋体" w:cs="仿宋"/>
          <w:color w:val="auto"/>
          <w:highlight w:val="none"/>
        </w:rPr>
        <w:outlineLvl w:val="9"/>
      </w:pPr>
      <w:r>
        <w:rPr>
          <w:rFonts w:hint="eastAsia" w:ascii="宋体" w:hAnsi="宋体" w:eastAsia="宋体" w:cs="仿宋"/>
          <w:color w:val="auto"/>
          <w:sz w:val="24"/>
          <w:szCs w:val="24"/>
          <w:highlight w:val="none"/>
        </w:rPr>
        <w:t xml:space="preserve">日期：    年    月   日</w:t>
      </w:r>
      <w:r/>
    </w:p>
    <w:p>
      <w:pPr>
        <w:jc w:val="left"/>
        <w:spacing w:line="50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r>
      <w:r/>
    </w:p>
    <w:p>
      <w:pPr>
        <w:numPr>
          <w:ilvl w:val="0"/>
          <w:numId w:val="0"/>
        </w:numPr>
        <w:ind w:right="0"/>
        <w:jc w:val="center"/>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outlineLvl w:val="9"/>
      </w:pPr>
      <w:r>
        <w:rPr>
          <w:rFonts w:hint="eastAsia" w:ascii="宋体" w:hAnsi="宋体" w:eastAsia="宋体" w:cs="宋体"/>
          <w:b w:val="0"/>
          <w:bCs/>
          <w:i w:val="0"/>
          <w:iCs/>
          <w:color w:val="auto"/>
          <w:sz w:val="24"/>
          <w:szCs w:val="24"/>
          <w:highlight w:val="none"/>
          <w:u w:val="none"/>
          <w:lang w:val="en-US" w:eastAsia="zh-CN" w:bidi="ar-SA"/>
        </w:rPr>
      </w:r>
      <w:r/>
    </w:p>
    <w:p>
      <w:pPr>
        <w:numPr>
          <w:ilvl w:val="0"/>
          <w:numId w:val="0"/>
        </w:numPr>
        <w:ind w:right="0"/>
        <w:jc w:val="center"/>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eastAsia="宋体" w:cs="宋体"/>
          <w:b w:val="0"/>
          <w:bCs/>
          <w:i w:val="0"/>
          <w:iCs/>
          <w:color w:val="auto"/>
          <w:sz w:val="24"/>
          <w:szCs w:val="24"/>
          <w:highlight w:val="none"/>
          <w:u w:val="none"/>
          <w:lang w:val="en-US" w:eastAsia="zh-CN" w:bidi="ar-SA"/>
        </w:rPr>
      </w:r>
      <w:r/>
    </w:p>
    <w:p>
      <w:pPr>
        <w:numPr>
          <w:ilvl w:val="0"/>
          <w:numId w:val="0"/>
        </w:numPr>
        <w:ind w:right="0"/>
        <w:jc w:val="center"/>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outlineLvl w:val="9"/>
      </w:pPr>
      <w:r>
        <w:rPr>
          <w:rFonts w:hint="eastAsia" w:ascii="宋体" w:hAnsi="宋体" w:eastAsia="宋体" w:cs="宋体"/>
          <w:b w:val="0"/>
          <w:bCs/>
          <w:i w:val="0"/>
          <w:iCs/>
          <w:color w:val="auto"/>
          <w:sz w:val="24"/>
          <w:szCs w:val="24"/>
          <w:highlight w:val="none"/>
          <w:u w:val="none"/>
          <w:lang w:val="en-US" w:eastAsia="zh-CN" w:bidi="ar-SA"/>
        </w:rPr>
      </w:r>
      <w:r/>
    </w:p>
    <w:p>
      <w:pPr>
        <w:numPr>
          <w:ilvl w:val="0"/>
          <w:numId w:val="0"/>
        </w:numPr>
        <w:ind w:right="0"/>
        <w:jc w:val="center"/>
        <w:pageBreakBefore w:val="0"/>
        <w:spacing w:beforeAutospacing="0" w:line="480" w:lineRule="exact"/>
        <w:rPr>
          <w:rFonts w:hint="eastAsia" w:ascii="宋体" w:hAnsi="宋体" w:eastAsia="宋体" w:cs="宋体"/>
          <w:b/>
          <w:bCs w:val="0"/>
          <w:i w:val="0"/>
          <w:iCs/>
          <w:color w:val="auto"/>
          <w:sz w:val="24"/>
          <w:szCs w:val="24"/>
          <w:highlight w:val="none"/>
          <w:u w:val="none"/>
          <w:lang w:val="en-US" w:eastAsia="zh-CN" w:bidi="ar-SA"/>
        </w:rPr>
        <w:outlineLvl w:val="9"/>
      </w:pPr>
      <w:r>
        <w:rPr>
          <w:rFonts w:hint="eastAsia" w:ascii="宋体" w:hAnsi="宋体" w:eastAsia="宋体" w:cs="宋体"/>
          <w:b/>
          <w:bCs w:val="0"/>
          <w:i w:val="0"/>
          <w:iCs/>
          <w:color w:val="auto"/>
          <w:sz w:val="24"/>
          <w:szCs w:val="24"/>
          <w:highlight w:val="none"/>
          <w:u w:val="none"/>
          <w:lang w:val="en-US" w:eastAsia="zh-CN" w:bidi="ar-SA"/>
        </w:rPr>
        <w:t xml:space="preserve">法人授权委托书</w:t>
      </w:r>
      <w:r/>
    </w:p>
    <w:p>
      <w:pPr>
        <w:pStyle w:val="710"/>
        <w:rPr>
          <w:rFonts w:hint="eastAsia"/>
          <w:color w:val="auto"/>
          <w:highlight w:val="none"/>
        </w:rPr>
        <w:outlineLvl w:val="9"/>
      </w:pPr>
      <w:r>
        <w:rPr>
          <w:rFonts w:hint="eastAsia"/>
          <w:color w:val="auto"/>
          <w:highlight w:val="none"/>
        </w:rPr>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本授权书于______年____月____日起生效，特此声明。</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日期：</w:t>
      </w:r>
      <w:bookmarkStart w:id="179" w:name="_Hlt26671380"/>
      <w:r/>
      <w:bookmarkEnd w:id="179"/>
      <w:r/>
      <w:bookmarkStart w:id="180" w:name="_Hlt26955070"/>
      <w:r/>
      <w:bookmarkEnd w:id="180"/>
      <w:r/>
      <w:bookmarkStart w:id="181" w:name="_格式3__银行出具的资信证明"/>
      <w:r/>
      <w:bookmarkEnd w:id="181"/>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ind w:left="0" w:right="0" w:firstLine="480"/>
        <w:jc w:val="both"/>
        <w:pageBreakBefore w:val="0"/>
        <w:spacing w:beforeAutospacing="0"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i/>
          <w:color w:val="auto"/>
          <w:sz w:val="24"/>
          <w:szCs w:val="24"/>
          <w:highlight w:val="none"/>
          <w:u w:val="single"/>
        </w:rPr>
        <w:outlineLvl w:val="9"/>
      </w:pPr>
      <w:r>
        <w:rPr>
          <w:rFonts w:hint="eastAsia" w:ascii="宋体" w:hAnsi="宋体" w:eastAsia="宋体" w:cs="宋体"/>
          <w:i/>
          <w:color w:val="auto"/>
          <w:sz w:val="24"/>
          <w:szCs w:val="24"/>
          <w:highlight w:val="none"/>
          <w:u w:val="singl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numPr>
          <w:ilvl w:val="0"/>
          <w:numId w:val="0"/>
        </w:numPr>
        <w:ind w:firstLine="240"/>
        <w:rPr>
          <w:rFonts w:hint="eastAsia" w:ascii="宋体" w:hAnsi="宋体"/>
          <w:i w:val="0"/>
          <w:iCs/>
          <w:color w:val="auto"/>
          <w:sz w:val="24"/>
          <w:szCs w:val="21"/>
          <w:highlight w:val="none"/>
          <w:u w:val="none"/>
        </w:rPr>
        <w:outlineLvl w:val="9"/>
      </w:pPr>
      <w:r>
        <w:rPr>
          <w:rFonts w:hint="eastAsia" w:ascii="宋体" w:hAnsi="宋体"/>
          <w:i w:val="0"/>
          <w:iCs/>
          <w:color w:val="auto"/>
          <w:sz w:val="24"/>
          <w:szCs w:val="21"/>
          <w:highlight w:val="none"/>
          <w:u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0"/>
        <w:jc w:val="both"/>
        <w:pageBreakBefore w:val="0"/>
        <w:spacing w:beforeAutospacing="0" w:line="480" w:lineRule="exact"/>
        <w:rPr>
          <w:rFonts w:hint="eastAsia" w:ascii="宋体" w:hAnsi="宋体" w:eastAsia="宋体" w:cs="宋体"/>
          <w:b/>
          <w:bCs w:val="0"/>
          <w:i w:val="0"/>
          <w:iCs/>
          <w:color w:val="auto"/>
          <w:sz w:val="24"/>
          <w:szCs w:val="24"/>
          <w:highlight w:val="none"/>
          <w:u w:val="none"/>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eastAsia="宋体" w:cs="宋体"/>
          <w:b/>
          <w:bCs w:val="0"/>
          <w:i w:val="0"/>
          <w:iCs/>
          <w:color w:val="auto"/>
          <w:sz w:val="24"/>
          <w:szCs w:val="24"/>
          <w:highlight w:val="none"/>
          <w:u w:val="none"/>
          <w:lang w:val="en-US" w:eastAsia="zh-CN" w:bidi="ar-SA"/>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五、开标一览表</w:t>
      </w:r>
      <w:r/>
    </w:p>
    <w:p>
      <w:pPr>
        <w:pStyle w:val="712"/>
        <w:numPr>
          <w:ilvl w:val="0"/>
          <w:numId w:val="0"/>
        </w:numPr>
        <w:ind w:left="0" w:right="0" w:firstLine="480"/>
        <w:jc w:val="both"/>
        <w:pageBreakBefore w:val="0"/>
        <w:spacing w:beforeAutospacing="0" w:line="48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p>
      <w:pPr>
        <w:pStyle w:val="713"/>
        <w:ind w:left="0" w:right="0" w:firstLine="480"/>
        <w:jc w:val="center"/>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outlineLvl w:val="9"/>
      </w:pPr>
      <w:r>
        <w:rPr>
          <w:rFonts w:hint="eastAsia" w:ascii="宋体" w:hAnsi="宋体" w:eastAsia="宋体" w:cs="宋体"/>
          <w:b w:val="0"/>
          <w:bCs/>
          <w:i w:val="0"/>
          <w:iCs/>
          <w:color w:val="auto"/>
          <w:sz w:val="24"/>
          <w:szCs w:val="24"/>
          <w:highlight w:val="none"/>
          <w:u w:val="none"/>
          <w:lang w:val="en-US" w:eastAsia="zh-CN" w:bidi="ar-SA"/>
        </w:rPr>
        <w:t xml:space="preserve">开标一览表</w:t>
      </w:r>
      <w:r/>
    </w:p>
    <w:p>
      <w:pPr>
        <w:pStyle w:val="713"/>
        <w:ind w:left="0" w:right="0" w:firstLine="480"/>
        <w:jc w:val="center"/>
        <w:pageBreakBefore w:val="0"/>
        <w:spacing w:beforeAutospacing="0" w:line="480" w:lineRule="exact"/>
        <w:rPr>
          <w:rFonts w:hint="eastAsia" w:ascii="宋体" w:hAnsi="宋体" w:eastAsia="宋体" w:cs="宋体"/>
          <w:b w:val="0"/>
          <w:bCs/>
          <w:i w:val="0"/>
          <w:iCs/>
          <w:color w:val="auto"/>
          <w:sz w:val="24"/>
          <w:szCs w:val="24"/>
          <w:highlight w:val="none"/>
          <w:u w:val="none"/>
          <w:lang w:val="en-US" w:eastAsia="zh-CN" w:bidi="ar-SA"/>
        </w:rPr>
        <w:outlineLvl w:val="9"/>
      </w:pPr>
      <w:r>
        <w:rPr>
          <w:rFonts w:hint="eastAsia" w:ascii="宋体" w:hAnsi="宋体" w:eastAsia="宋体" w:cs="宋体"/>
          <w:b w:val="0"/>
          <w:bCs/>
          <w:i w:val="0"/>
          <w:iCs/>
          <w:color w:val="auto"/>
          <w:sz w:val="24"/>
          <w:szCs w:val="24"/>
          <w:highlight w:val="none"/>
          <w:u w:val="none"/>
          <w:lang w:val="en-US" w:eastAsia="zh-CN" w:bidi="ar-SA"/>
        </w:rPr>
      </w:r>
      <w:r/>
    </w:p>
    <w:p>
      <w:pPr>
        <w:pStyle w:val="713"/>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全称(CA公章) ：</w:t>
      </w:r>
      <w:r>
        <w:rPr>
          <w:rFonts w:hint="eastAsia" w:ascii="宋体" w:hAnsi="宋体" w:eastAsia="宋体" w:cs="宋体"/>
          <w:color w:val="auto"/>
          <w:sz w:val="24"/>
          <w:szCs w:val="24"/>
          <w:highlight w:val="none"/>
          <w:u w:val="single"/>
        </w:rPr>
        <w:t xml:space="preserve">供应商名称</w:t>
      </w:r>
      <w:r/>
    </w:p>
    <w:p>
      <w:pPr>
        <w:ind w:left="0" w:right="0" w:firstLine="480"/>
        <w:jc w:val="both"/>
        <w:pageBreakBefore w:val="0"/>
        <w:spacing w:beforeAutospacing="0" w:line="480" w:lineRule="exact"/>
        <w:rPr>
          <w:rFonts w:hint="default"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采购项目编号：</w:t>
      </w:r>
      <w:r>
        <w:rPr>
          <w:rFonts w:hint="eastAsia" w:ascii="宋体" w:hAnsi="宋体" w:eastAsia="宋体" w:cs="宋体"/>
          <w:color w:val="auto"/>
          <w:sz w:val="24"/>
          <w:szCs w:val="24"/>
          <w:highlight w:val="none"/>
          <w:u w:val="single"/>
          <w:lang w:val="en-US" w:eastAsia="zh-CN"/>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cantSplit/>
          <w:trHeight w:val="1034"/>
        </w:trPr>
        <w:tc>
          <w:tcPr>
            <w:tcW w:w="906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投标总报价</w:t>
            </w:r>
            <w:r/>
          </w:p>
        </w:tc>
      </w:tr>
      <w:tr>
        <w:trPr>
          <w:cantSplit/>
          <w:trHeight w:val="875"/>
        </w:trPr>
        <w:tc>
          <w:tcPr>
            <w:tcW w:w="9060" w:type="dxa"/>
            <w:vAlign w:val="center"/>
            <w:textDirection w:val="lrTb"/>
            <w:noWrap w:val="false"/>
          </w:tcPr>
          <w:p>
            <w:pPr>
              <w:pStyle w:val="699"/>
              <w:ind w:firstLine="0"/>
              <w:jc w:val="both"/>
              <w:keepLines w:val="0"/>
              <w:keepNext w:val="0"/>
              <w:pageBreakBefore w:val="0"/>
              <w:spacing w:before="0" w:after="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小写：                             （人民币：元）</w:t>
            </w:r>
            <w:r/>
          </w:p>
        </w:tc>
      </w:tr>
      <w:tr>
        <w:trPr>
          <w:cantSplit/>
          <w:trHeight w:val="889"/>
        </w:trPr>
        <w:tc>
          <w:tcPr>
            <w:tcW w:w="9060" w:type="dxa"/>
            <w:vAlign w:val="center"/>
            <w:textDirection w:val="lrTb"/>
            <w:noWrap w:val="false"/>
          </w:tcPr>
          <w:p>
            <w:pPr>
              <w:pStyle w:val="699"/>
              <w:ind w:firstLine="0"/>
              <w:jc w:val="both"/>
              <w:keepLines w:val="0"/>
              <w:keepNext w:val="0"/>
              <w:pageBreakBefore w:val="0"/>
              <w:spacing w:before="0" w:after="0" w:line="44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lang w:eastAsia="zh-CN"/>
              </w:rPr>
              <w:t xml:space="preserve">大写：</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（人民币：元）</w:t>
            </w:r>
            <w:r/>
          </w:p>
        </w:tc>
      </w:tr>
      <w:tr>
        <w:trPr>
          <w:cantSplit/>
          <w:trHeight w:val="889"/>
        </w:trPr>
        <w:tc>
          <w:tcPr>
            <w:tcW w:w="9060" w:type="dxa"/>
            <w:vAlign w:val="center"/>
            <w:textDirection w:val="lrTb"/>
            <w:noWrap w:val="false"/>
          </w:tcPr>
          <w:p>
            <w:pPr>
              <w:pStyle w:val="699"/>
              <w:ind w:firstLine="0"/>
              <w:jc w:val="both"/>
              <w:keepLines w:val="0"/>
              <w:keepNext w:val="0"/>
              <w:pageBreakBefore w:val="0"/>
              <w:spacing w:before="0" w:after="0" w:line="440" w:lineRule="exact"/>
              <w:widowControl w:val="off"/>
              <w:rPr>
                <w:rFonts w:hint="default"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服务期限：                          年</w:t>
            </w:r>
            <w:r/>
          </w:p>
        </w:tc>
      </w:tr>
    </w:tbl>
    <w:p>
      <w:pPr>
        <w:pStyle w:val="714"/>
        <w:ind w:firstLine="482"/>
        <w:jc w:val="both"/>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   年    月   日</w:t>
      </w:r>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br w:type="page" w:clear="all"/>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六、分项报价表（服务类）</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2"/>
        <w:jc w:val="center"/>
        <w:pageBreakBefore w:val="0"/>
        <w:spacing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分项报价表（服务类）</w:t>
      </w:r>
      <w:r/>
    </w:p>
    <w:p>
      <w:pPr>
        <w:pStyle w:val="710"/>
        <w:rPr>
          <w:rFonts w:hint="eastAsia"/>
          <w:color w:val="auto"/>
          <w:highlight w:val="none"/>
        </w:rPr>
        <w:outlineLvl w:val="9"/>
      </w:pPr>
      <w:r>
        <w:rPr>
          <w:rFonts w:hint="eastAsia"/>
          <w:color w:val="auto"/>
          <w:highlight w:val="none"/>
        </w:rPr>
      </w:r>
      <w:r/>
    </w:p>
    <w:tbl>
      <w:tblPr>
        <w:tblStyle w:val="683"/>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1404"/>
        </w:trPr>
        <w:tc>
          <w:tcPr>
            <w:tcW w:w="94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27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分项服务名称</w:t>
            </w:r>
            <w:r/>
          </w:p>
        </w:tc>
        <w:tc>
          <w:tcPr>
            <w:tcW w:w="128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交付期</w:t>
            </w:r>
            <w:r/>
          </w:p>
        </w:tc>
        <w:tc>
          <w:tcPr>
            <w:tcW w:w="92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分项单位</w:t>
            </w:r>
            <w:r/>
          </w:p>
        </w:tc>
        <w:tc>
          <w:tcPr>
            <w:tcW w:w="1203"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W w:w="161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w:t>
            </w:r>
            <w:r/>
          </w:p>
        </w:tc>
        <w:tc>
          <w:tcPr>
            <w:tcW w:w="179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27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03"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1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9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27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03"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1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9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27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03"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1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9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127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128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03"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1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9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487"/>
        </w:trPr>
        <w:tc>
          <w:tcPr>
            <w:gridSpan w:val="6"/>
            <w:tcW w:w="725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总报价（人民币：元）</w:t>
            </w:r>
            <w:r/>
          </w:p>
        </w:tc>
        <w:tc>
          <w:tcPr>
            <w:tcW w:w="1798" w:type="dxa"/>
            <w:vAlign w:val="top"/>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480"/>
        <w:jc w:val="both"/>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 报价采用总承包方式，供应商的报价应包括项目本身服务费、人工费、材料费、监控设备、安装费、维护费、运输费、管理费、</w:t>
      </w:r>
      <w:r>
        <w:rPr>
          <w:rFonts w:hint="eastAsia" w:ascii="宋体" w:hAnsi="宋体" w:cs="宋体"/>
          <w:color w:val="auto"/>
          <w:sz w:val="24"/>
          <w:szCs w:val="24"/>
          <w:highlight w:val="none"/>
          <w:lang w:val="en-US" w:eastAsia="zh-CN"/>
        </w:rPr>
        <w:t xml:space="preserve">电费、</w:t>
      </w:r>
      <w:r>
        <w:rPr>
          <w:rFonts w:hint="eastAsia" w:ascii="宋体" w:hAnsi="宋体" w:eastAsia="宋体" w:cs="宋体"/>
          <w:color w:val="auto"/>
          <w:sz w:val="24"/>
          <w:szCs w:val="24"/>
          <w:highlight w:val="none"/>
        </w:rPr>
        <w:t xml:space="preserve">税费等全部费用以及完成本项目采购需求涉及到的一切相关费用。</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宋体" w:hAnsi="宋体" w:eastAsia="宋体" w:cs="宋体"/>
          <w:b/>
          <w:color w:val="auto"/>
          <w:sz w:val="24"/>
          <w:szCs w:val="24"/>
          <w:highlight w:val="none"/>
          <w:lang w:val="en-US" w:eastAsia="zh-CN"/>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七、响应偏离表</w:t>
      </w:r>
      <w:r/>
    </w:p>
    <w:p>
      <w:pPr>
        <w:pStyle w:val="715"/>
        <w:ind w:right="0"/>
        <w:jc w:val="center"/>
        <w:spacing w:beforeAutospacing="0" w:line="440" w:lineRule="exact"/>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响应偏离表</w:t>
      </w:r>
      <w:r/>
    </w:p>
    <w:p>
      <w:pPr>
        <w:pStyle w:val="715"/>
        <w:ind w:left="0" w:right="0" w:firstLine="480"/>
        <w:spacing w:beforeAutospacing="0" w:line="440" w:lineRule="exact"/>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715"/>
              <w:ind w:right="0"/>
              <w:jc w:val="center"/>
              <w:keepLines w:val="0"/>
              <w:keepNext w:val="0"/>
              <w:pageBreakBefore w:val="0"/>
              <w:spacing w:beforeAutospacing="0" w:line="440" w:lineRule="exact"/>
              <w:widowControl/>
              <w:rPr>
                <w:rFonts w:hint="default" w:ascii="宋体" w:hAnsi="宋体" w:eastAsia="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采购文件要求</w:t>
            </w:r>
            <w:r/>
          </w:p>
        </w:tc>
        <w:tc>
          <w:tcPr>
            <w:tcW w:w="2607" w:type="dxa"/>
            <w:vAlign w:val="center"/>
            <w:textDirection w:val="lrTb"/>
            <w:noWrap w:val="false"/>
          </w:tcPr>
          <w:p>
            <w:pPr>
              <w:pStyle w:val="715"/>
              <w:ind w:right="0"/>
              <w:jc w:val="center"/>
              <w:keepLines w:val="0"/>
              <w:keepNext w:val="0"/>
              <w:pageBreakBefore w:val="0"/>
              <w:spacing w:beforeAutospacing="0" w:line="44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响应文件内容</w:t>
            </w:r>
            <w:r/>
          </w:p>
        </w:tc>
        <w:tc>
          <w:tcPr>
            <w:tcW w:w="2607" w:type="dxa"/>
            <w:vAlign w:val="center"/>
            <w:textDirection w:val="lrTb"/>
            <w:noWrap w:val="false"/>
          </w:tcPr>
          <w:p>
            <w:pPr>
              <w:pStyle w:val="715"/>
              <w:ind w:right="0"/>
              <w:jc w:val="center"/>
              <w:keepLines w:val="0"/>
              <w:keepNext w:val="0"/>
              <w:pageBreakBefore w:val="0"/>
              <w:spacing w:beforeAutospacing="0" w:line="44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偏离内容及说明</w:t>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651"/>
        </w:trPr>
        <w:tc>
          <w:tcPr>
            <w:tcW w:w="3055"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607" w:type="dxa"/>
            <w:vAlign w:val="center"/>
            <w:textDirection w:val="lrTb"/>
            <w:noWrap w:val="false"/>
          </w:tcPr>
          <w:p>
            <w:pPr>
              <w:pStyle w:val="715"/>
              <w:ind w:left="0" w:right="0" w:firstLine="480"/>
              <w:jc w:val="center"/>
              <w:keepLines w:val="0"/>
              <w:keepNext w:val="0"/>
              <w:pageBreakBefore w:val="0"/>
              <w:spacing w:beforeAutospacing="0"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ind w:right="180" w:firstLine="360"/>
        <w:jc w:val="both"/>
        <w:spacing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必须对采购需求中的实质性要求（打“★”内容）做出明确响应，否则作无效响应处理。</w:t>
      </w:r>
      <w:r/>
    </w:p>
    <w:p>
      <w:pPr>
        <w:ind w:right="180" w:firstLine="360"/>
        <w:jc w:val="both"/>
        <w:spacing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2.如果采购文件要求提供证明材料，</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必须将证明材料列于该表之下。</w:t>
      </w:r>
      <w:r/>
    </w:p>
    <w:p>
      <w:pPr>
        <w:ind w:right="180" w:firstLine="360"/>
        <w:jc w:val="both"/>
        <w:spacing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未对实质性要求作出明确响应的，或未按采购文件要求提供证明材料的，该分包作无效响应处理。</w:t>
      </w:r>
      <w:r/>
    </w:p>
    <w:p>
      <w:pPr>
        <w:ind w:right="180" w:firstLine="360"/>
        <w:jc w:val="both"/>
        <w:spacing w:line="360" w:lineRule="auto"/>
        <w:rPr>
          <w:rFonts w:hint="eastAsia" w:ascii="宋体" w:hAnsi="宋体" w:eastAsia="宋体" w:cs="宋体"/>
          <w:color w:val="auto"/>
          <w:sz w:val="24"/>
          <w:szCs w:val="24"/>
          <w:highlight w:val="none"/>
        </w:rPr>
        <w:outlineLvl w:val="9"/>
      </w:pPr>
      <w:r>
        <w:rPr>
          <w:rFonts w:hint="eastAsia" w:ascii="宋体" w:hAnsi="宋体"/>
          <w:color w:val="auto"/>
          <w:sz w:val="24"/>
          <w:szCs w:val="24"/>
          <w:highlight w:val="none"/>
        </w:rPr>
        <w:t xml:space="preserve">4.行数不够，可自行添加。</w:t>
      </w:r>
      <w:r/>
    </w:p>
    <w:p>
      <w:pPr>
        <w:ind w:right="180" w:firstLine="36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692"/>
        <w:ind w:left="0" w:firstLine="0"/>
        <w:keepLines w:val="0"/>
        <w:keepNext w:val="0"/>
        <w:widowControl/>
        <w:rPr>
          <w:rFonts w:hint="eastAsia" w:ascii="微软雅黑" w:hAnsi="微软雅黑" w:eastAsia="微软雅黑" w:cs="微软雅黑"/>
          <w:i w:val="0"/>
          <w:iCs w:val="0"/>
          <w:caps w:val="0"/>
          <w:color w:val="auto"/>
          <w:spacing w:val="0"/>
          <w:sz w:val="27"/>
          <w:szCs w:val="27"/>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9"/>
        <w:suppressLineNumbers w:val="0"/>
      </w:pPr>
      <w:r>
        <w:rPr>
          <w:rFonts w:hint="eastAsia" w:ascii="微软雅黑" w:hAnsi="微软雅黑" w:eastAsia="微软雅黑" w:cs="微软雅黑"/>
          <w:i w:val="0"/>
          <w:iCs w:val="0"/>
          <w:caps w:val="0"/>
          <w:color w:val="auto"/>
          <w:spacing w:val="0"/>
          <w:sz w:val="27"/>
          <w:szCs w:val="27"/>
          <w:highlight w:val="none"/>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八、项目组人员</w:t>
      </w:r>
      <w:r/>
    </w:p>
    <w:tbl>
      <w:tblPr>
        <w:tblStyle w:val="68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ind w:firstLine="280"/>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spacing w:before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项目负责人</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692"/>
        <w:ind w:firstLine="398"/>
        <w:spacing w:line="460" w:lineRule="exact"/>
        <w:rPr>
          <w:rFonts w:hint="eastAsia" w:ascii="宋体" w:hAnsi="宋体" w:eastAsia="宋体" w:cs="宋体"/>
          <w:color w:val="auto"/>
          <w:szCs w:val="24"/>
          <w:highlight w:val="none"/>
        </w:rPr>
        <w:outlineLvl w:val="9"/>
      </w:pPr>
      <w:r>
        <w:rPr>
          <w:rFonts w:hint="eastAsia" w:ascii="宋体" w:hAnsi="宋体" w:eastAsia="宋体" w:cs="宋体"/>
          <w:b/>
          <w:color w:val="auto"/>
          <w:sz w:val="24"/>
          <w:szCs w:val="24"/>
          <w:highlight w:val="none"/>
          <w:lang w:bidi="ar"/>
        </w:rPr>
        <w:t xml:space="preserve">注：项目组成员必须按本表承诺人员操作，不得随意更换。</w:t>
      </w:r>
      <w:r>
        <w:rPr>
          <w:rFonts w:hint="eastAsia" w:ascii="宋体" w:hAnsi="宋体" w:eastAsia="宋体" w:cs="宋体"/>
          <w:b/>
          <w:color w:val="auto"/>
          <w:szCs w:val="24"/>
          <w:highlight w:val="none"/>
          <w:lang w:bidi="ar"/>
        </w:rPr>
        <w:t xml:space="preserve">按</w:t>
      </w:r>
      <w:r>
        <w:rPr>
          <w:rFonts w:hint="eastAsia" w:ascii="宋体" w:hAnsi="宋体" w:eastAsia="宋体" w:cs="宋体"/>
          <w:b/>
          <w:color w:val="auto"/>
          <w:szCs w:val="24"/>
          <w:highlight w:val="none"/>
          <w:lang w:val="en-US" w:eastAsia="zh-CN" w:bidi="ar"/>
        </w:rPr>
        <w:t xml:space="preserve">采购</w:t>
      </w:r>
      <w:r>
        <w:rPr>
          <w:rFonts w:hint="eastAsia" w:ascii="宋体" w:hAnsi="宋体" w:eastAsia="宋体" w:cs="宋体"/>
          <w:b/>
          <w:color w:val="auto"/>
          <w:szCs w:val="24"/>
          <w:highlight w:val="none"/>
          <w:lang w:bidi="ar"/>
        </w:rPr>
        <w:t xml:space="preserve">文件要求附相关人员证书。</w:t>
      </w:r>
      <w:r/>
    </w:p>
    <w:p>
      <w:pPr>
        <w:ind w:firstLine="398"/>
        <w:jc w:val="left"/>
        <w:spacing w:before="100" w:beforeAutospacing="1" w:after="100" w:afterAutospacing="1"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ind w:firstLine="241"/>
        <w:keepLines/>
        <w:keepNext/>
        <w:spacing w:before="145" w:after="145" w:line="360" w:lineRule="auto"/>
        <w:rPr>
          <w:rFonts w:hint="eastAsia" w:ascii="Times New Roman" w:hAnsi="Times New Roman" w:eastAsia="宋体"/>
          <w:b/>
          <w:bCs/>
          <w:color w:val="auto"/>
          <w:sz w:val="32"/>
          <w:szCs w:val="32"/>
          <w:highlight w:val="none"/>
          <w:lang w:eastAsia="zh-CN"/>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Times New Roman" w:hAnsi="Times New Roman" w:eastAsia="宋体"/>
          <w:b/>
          <w:bCs/>
          <w:color w:val="auto"/>
          <w:sz w:val="32"/>
          <w:szCs w:val="32"/>
          <w:highlight w:val="none"/>
          <w:lang w:eastAsia="zh-CN"/>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九、企业业绩</w:t>
      </w:r>
      <w:r/>
    </w:p>
    <w:p>
      <w:pPr>
        <w:numPr>
          <w:ilvl w:val="0"/>
          <w:numId w:val="0"/>
        </w:numPr>
        <w:jc w:val="both"/>
        <w:keepLines/>
        <w:keepNext/>
        <w:spacing w:before="145" w:after="145" w:line="360" w:lineRule="auto"/>
        <w:widowControl w:val="off"/>
        <w:rPr>
          <w:rFonts w:hint="default" w:ascii="宋体" w:hAnsi="宋体" w:eastAsia="宋体" w:cs="宋体"/>
          <w:b/>
          <w:bCs/>
          <w:iCs/>
          <w:color w:val="auto"/>
          <w:sz w:val="24"/>
          <w:szCs w:val="24"/>
          <w:highlight w:val="none"/>
          <w:lang w:val="en-US" w:eastAsia="zh-CN" w:bidi="ar-SA"/>
        </w:rPr>
        <w:outlineLvl w:val="9"/>
      </w:pPr>
      <w:r>
        <w:rPr>
          <w:rFonts w:hint="default" w:ascii="宋体" w:hAnsi="宋体" w:eastAsia="宋体" w:cs="宋体"/>
          <w:b/>
          <w:bCs/>
          <w:iCs/>
          <w:color w:val="auto"/>
          <w:sz w:val="24"/>
          <w:szCs w:val="24"/>
          <w:highlight w:val="none"/>
          <w:lang w:val="en-US" w:eastAsia="zh-CN" w:bidi="ar-SA"/>
        </w:rPr>
      </w:r>
      <w:r/>
    </w:p>
    <w:p>
      <w:pPr>
        <w:pStyle w:val="716"/>
        <w:jc w:val="center"/>
        <w:rPr>
          <w:rFonts w:hint="eastAsia" w:ascii="宋体" w:hAnsi="宋体" w:eastAsia="宋体" w:cs="宋体"/>
          <w:b/>
          <w:color w:val="auto"/>
          <w:sz w:val="32"/>
          <w:szCs w:val="32"/>
          <w:highlight w:val="none"/>
        </w:rPr>
        <w:outlineLvl w:val="9"/>
      </w:pPr>
      <w:r>
        <w:rPr>
          <w:rFonts w:hint="eastAsia" w:ascii="宋体" w:hAnsi="宋体" w:cs="宋体"/>
          <w:b/>
          <w:color w:val="auto"/>
          <w:sz w:val="32"/>
          <w:szCs w:val="32"/>
          <w:highlight w:val="none"/>
          <w:lang w:eastAsia="zh-CN"/>
        </w:rPr>
        <w:t xml:space="preserve">供应商</w:t>
      </w:r>
      <w:r>
        <w:rPr>
          <w:rFonts w:hint="eastAsia" w:ascii="宋体" w:hAnsi="宋体" w:eastAsia="宋体" w:cs="宋体"/>
          <w:b/>
          <w:color w:val="auto"/>
          <w:sz w:val="32"/>
          <w:szCs w:val="32"/>
          <w:highlight w:val="none"/>
        </w:rPr>
        <w:t xml:space="preserve">承担类似项目业绩一览表</w:t>
      </w:r>
      <w:r/>
    </w:p>
    <w:tbl>
      <w:tblPr>
        <w:tblStyle w:val="683"/>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016"/>
      </w:tblGrid>
      <w:tr>
        <w:trPr>
          <w:jc w:val="center"/>
          <w:trHeight w:val="753"/>
        </w:trPr>
        <w:tc>
          <w:tcPr>
            <w:tcW w:w="1229" w:type="dxa"/>
            <w:vAlign w:val="top"/>
            <w:textDirection w:val="lrTb"/>
            <w:noWrap w:val="false"/>
          </w:tcPr>
          <w:p>
            <w:pPr>
              <w:pStyle w:val="717"/>
              <w:jc w:val="center"/>
              <w:spacing w:line="56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717"/>
              <w:jc w:val="center"/>
              <w:spacing w:line="56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717"/>
              <w:jc w:val="center"/>
              <w:spacing w:line="56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采购单位</w:t>
            </w:r>
            <w:r/>
          </w:p>
        </w:tc>
        <w:tc>
          <w:tcPr>
            <w:tcW w:w="2016" w:type="dxa"/>
            <w:vAlign w:val="center"/>
            <w:textDirection w:val="lrTb"/>
            <w:noWrap w:val="false"/>
          </w:tcPr>
          <w:p>
            <w:pPr>
              <w:pStyle w:val="717"/>
              <w:jc w:val="center"/>
              <w:spacing w:line="56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3827"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433"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016"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3827"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433"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016"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3827"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433"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016"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3827"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433"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c>
          <w:tcPr>
            <w:tcW w:w="2016" w:type="dxa"/>
            <w:vAlign w:val="center"/>
            <w:textDirection w:val="lrTb"/>
            <w:noWrap w:val="false"/>
          </w:tcPr>
          <w:p>
            <w:pPr>
              <w:pStyle w:val="717"/>
              <w:jc w:val="center"/>
              <w:spacing w:line="560" w:lineRule="exact"/>
              <w:rPr>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tc>
      </w:tr>
    </w:tbl>
    <w:p>
      <w:pPr>
        <w:pStyle w:val="716"/>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注：请填写此表，并按要求上传业绩资料电子件。</w:t>
      </w:r>
      <w:r/>
    </w:p>
    <w:p>
      <w:pPr>
        <w:jc w:val="both"/>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numPr>
          <w:ilvl w:val="0"/>
          <w:numId w:val="0"/>
        </w:numPr>
        <w:jc w:val="both"/>
        <w:keepLines/>
        <w:keepNext/>
        <w:spacing w:before="145" w:after="145" w:line="360" w:lineRule="auto"/>
        <w:widowControl w:val="off"/>
        <w:rPr>
          <w:rFonts w:hint="default" w:ascii="宋体" w:hAnsi="宋体" w:eastAsia="宋体" w:cs="宋体"/>
          <w:b/>
          <w:bCs/>
          <w:iCs/>
          <w:color w:val="auto"/>
          <w:sz w:val="24"/>
          <w:szCs w:val="24"/>
          <w:highlight w:val="none"/>
          <w:lang w:val="en-US" w:eastAsia="zh-CN" w:bidi="ar-SA"/>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default" w:ascii="宋体" w:hAnsi="宋体" w:eastAsia="宋体" w:cs="宋体"/>
          <w:b/>
          <w:bCs/>
          <w:iCs/>
          <w:color w:val="auto"/>
          <w:sz w:val="24"/>
          <w:szCs w:val="24"/>
          <w:highlight w:val="none"/>
          <w:lang w:val="en-US" w:eastAsia="zh-CN" w:bidi="ar-SA"/>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十、服务方案</w:t>
      </w:r>
      <w:r/>
    </w:p>
    <w:p>
      <w:pPr>
        <w:keepLines/>
        <w:keepNext/>
        <w:spacing w:before="145" w:after="145" w:line="360" w:lineRule="auto"/>
        <w:rPr>
          <w:rFonts w:hint="eastAsia" w:ascii="Times New Roman" w:hAnsi="Times New Roman" w:eastAsia="宋体"/>
          <w:b/>
          <w:bCs/>
          <w:color w:val="auto"/>
          <w:sz w:val="24"/>
          <w:szCs w:val="24"/>
          <w:highlight w:val="none"/>
          <w:lang w:val="en-US" w:eastAsia="zh-CN"/>
        </w:rPr>
        <w:outlineLvl w:val="9"/>
      </w:pPr>
      <w:r>
        <w:rPr>
          <w:rFonts w:hint="eastAsia"/>
          <w:b/>
          <w:bCs/>
          <w:color w:val="auto"/>
          <w:sz w:val="24"/>
          <w:szCs w:val="24"/>
          <w:highlight w:val="none"/>
          <w:lang w:val="en-US" w:eastAsia="zh-CN"/>
        </w:rPr>
        <w:t xml:space="preserve">（格式自拟）</w:t>
      </w:r>
      <w:r/>
    </w:p>
    <w:p>
      <w:pPr>
        <w:keepLines/>
        <w:keepNext/>
        <w:spacing w:before="145" w:after="145" w:line="360" w:lineRule="auto"/>
        <w:rPr>
          <w:rFonts w:hint="eastAsia" w:ascii="Times New Roman" w:hAnsi="Times New Roman" w:eastAsia="宋体"/>
          <w:b/>
          <w:bCs/>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Times New Roman" w:hAnsi="Times New Roman" w:eastAsia="宋体"/>
          <w:b/>
          <w:bCs/>
          <w:color w:val="auto"/>
          <w:sz w:val="24"/>
          <w:szCs w:val="24"/>
          <w:highlight w:val="none"/>
          <w:lang w:val="en-US" w:eastAsia="zh-CN"/>
        </w:rPr>
      </w:r>
      <w:r/>
    </w:p>
    <w:p>
      <w:pPr>
        <w:pStyle w:val="705"/>
        <w:ind w:right="0"/>
        <w:jc w:val="both"/>
        <w:pageBreakBefore w:val="0"/>
        <w:spacing w:before="0" w:beforeAutospacing="0" w:after="0" w:line="480" w:lineRule="exact"/>
        <w:widowControl/>
        <w:rPr>
          <w:rFonts w:hint="eastAsia" w:ascii="宋体" w:hAnsi="宋体" w:eastAsia="宋体" w:cs="宋体"/>
          <w:b/>
          <w:bCs/>
          <w:i w:val="0"/>
          <w:iCs/>
          <w:color w:val="auto"/>
          <w:sz w:val="24"/>
          <w:szCs w:val="24"/>
          <w:highlight w:val="none"/>
          <w:u w:val="none"/>
          <w:lang w:val="en-US" w:eastAsia="zh-CN" w:bidi="ar-SA"/>
        </w:rPr>
        <w:outlineLvl w:val="1"/>
      </w:pPr>
      <w:r>
        <w:rPr>
          <w:rFonts w:hint="eastAsia" w:ascii="宋体" w:hAnsi="宋体" w:eastAsia="宋体" w:cs="宋体"/>
          <w:b/>
          <w:bCs/>
          <w:i w:val="0"/>
          <w:iCs/>
          <w:color w:val="auto"/>
          <w:sz w:val="24"/>
          <w:szCs w:val="24"/>
          <w:highlight w:val="none"/>
          <w:u w:val="none"/>
          <w:lang w:val="en-US" w:eastAsia="zh-CN" w:bidi="ar-SA"/>
        </w:rPr>
        <w:t xml:space="preserve">十一、协商所需其他材料</w:t>
      </w:r>
      <w:r/>
    </w:p>
    <w:p>
      <w:pPr>
        <w:ind w:firstLine="560"/>
        <w:spacing w:line="360" w:lineRule="auto"/>
        <w:rPr>
          <w:rFonts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请在此文档中增加</w:t>
      </w:r>
      <w:r>
        <w:rPr>
          <w:rFonts w:hint="eastAsia" w:ascii="宋体" w:hAnsi="宋体" w:eastAsia="宋体"/>
          <w:color w:val="auto"/>
          <w:sz w:val="24"/>
          <w:szCs w:val="24"/>
          <w:highlight w:val="none"/>
          <w:lang w:eastAsia="zh-CN"/>
        </w:rPr>
        <w:t xml:space="preserve">协商</w:t>
      </w:r>
      <w:r>
        <w:rPr>
          <w:rFonts w:hint="eastAsia" w:ascii="宋体" w:hAnsi="宋体" w:eastAsia="宋体"/>
          <w:color w:val="auto"/>
          <w:sz w:val="24"/>
          <w:szCs w:val="24"/>
          <w:highlight w:val="none"/>
        </w:rPr>
        <w:t xml:space="preserve">所需其他相关内容（包括资格要求、评分办法、采购需求中涉及的证件证明及其它</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认为有必要提供的资料），如没有请将此空文档上传。</w:t>
      </w:r>
      <w:r/>
    </w:p>
    <w:p>
      <w:pPr>
        <w:rPr>
          <w:color w:val="auto"/>
          <w:highlight w:val="none"/>
        </w:rPr>
        <w:outlineLvl w:val="9"/>
      </w:pPr>
      <w:r>
        <w:rPr>
          <w:color w:val="auto"/>
          <w:highlight w:val="none"/>
        </w:rPr>
      </w:r>
      <w:r/>
    </w:p>
    <w:p>
      <w:pPr>
        <w:rPr>
          <w:rFonts w:ascii="Times New Roman" w:hAnsi="Times New Roman"/>
          <w:color w:val="auto"/>
          <w:sz w:val="24"/>
          <w:szCs w:val="24"/>
          <w:highlight w:val="none"/>
          <w:u w:val="single"/>
        </w:rPr>
        <w:outlineLvl w:val="9"/>
      </w:pPr>
      <w:r>
        <w:rPr>
          <w:rFonts w:ascii="Times New Roman" w:hAnsi="Times New Roman"/>
          <w:color w:val="auto"/>
          <w:sz w:val="24"/>
          <w:szCs w:val="24"/>
          <w:highlight w:val="none"/>
          <w:u w:val="single"/>
        </w:rPr>
      </w:r>
      <w:r/>
    </w:p>
    <w:p>
      <w:pPr>
        <w:rPr>
          <w:rFonts w:ascii="Times New Roman" w:hAnsi="Times New Roman"/>
          <w:color w:val="auto"/>
          <w:sz w:val="24"/>
          <w:szCs w:val="24"/>
          <w:highlight w:val="none"/>
          <w:u w:val="single"/>
        </w:rPr>
        <w:outlineLvl w:val="9"/>
      </w:pPr>
      <w:r>
        <w:rPr>
          <w:rFonts w:ascii="Times New Roman" w:hAnsi="Times New Roman"/>
          <w:color w:val="auto"/>
          <w:sz w:val="24"/>
          <w:szCs w:val="24"/>
          <w:highlight w:val="none"/>
          <w:u w:val="singl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bookmarkEnd w:id="167"/>
      <w:bookmarkEnd w:id="168"/>
      <w:bookmarkEnd w:id="178"/>
      <w:r/>
    </w:p>
    <w:p>
      <w:pPr>
        <w:ind w:left="0" w:right="0" w:firstLine="482"/>
        <w:jc w:val="both"/>
        <w:pageBreakBefore w:val="0"/>
        <w:spacing w:beforeAutospacing="0" w:line="480" w:lineRule="exact"/>
        <w:rPr>
          <w:rFonts w:hint="eastAsia" w:ascii="宋体" w:hAnsi="宋体" w:eastAsia="宋体" w:cs="宋体"/>
          <w:b/>
          <w:bCs/>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9"/>
      </w:pPr>
      <w:r/>
      <w:bookmarkStart w:id="182" w:name="_Hlt26955054"/>
      <w:r/>
      <w:bookmarkEnd w:id="182"/>
      <w:r/>
      <w:r/>
    </w:p>
    <w:p>
      <w:pPr>
        <w:ind w:right="0"/>
        <w:jc w:val="center"/>
        <w:pageBreakBefore w:val="0"/>
        <w:spacing w:beforeAutospacing="0" w:line="48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质疑函范本</w:t>
      </w:r>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left="0" w:right="0" w:firstLine="480"/>
        <w:jc w:val="both"/>
        <w:pageBreakBefore w:val="0"/>
        <w:spacing w:beforeAutospacing="0"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签字(签章)：                   公章：                      </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p>
    <w:p>
      <w:pPr>
        <w:ind w:left="0" w:right="0" w:firstLine="482"/>
        <w:jc w:val="both"/>
        <w:pageBreakBefore w:val="0"/>
        <w:spacing w:beforeAutospacing="0"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质疑函制作说明：</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1.供应商提出质疑时，应提交质疑函和必要的证明材料。</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both"/>
        <w:pageBreakBefore w:val="0"/>
        <w:spacing w:beforeAutospacing="0" w:line="4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both"/>
        <w:pageBreakBefore w:val="0"/>
        <w:spacing w:beforeAutospacing="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color w:val="auto"/>
          <w:highlight w:val="none"/>
        </w:rPr>
        <w:outlineLvl w:val="9"/>
      </w:pPr>
      <w:r>
        <w:rPr>
          <w:color w:val="auto"/>
          <w:highlight w:val="none"/>
        </w:rPr>
      </w:r>
      <w:r/>
    </w:p>
    <w:p>
      <w:pPr>
        <w:rPr>
          <w:highlight w:val="none"/>
        </w:rPr>
        <w:outlineLvl w:val="9"/>
      </w:pPr>
      <w:r>
        <w:rPr>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幼圆">
    <w:panose1 w:val="020105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9"/>
                            <w:rPr>
                              <w:rStyle w:val="720"/>
                              <w:rFonts w:ascii="宋体" w:hAnsi="宋体"/>
                            </w:rPr>
                          </w:pPr>
                          <w:r>
                            <w:rPr>
                              <w:rFonts w:hint="eastAsia" w:ascii="仿宋" w:hAnsi="仿宋" w:eastAsia="仿宋" w:cs="仿宋"/>
                            </w:rPr>
                            <w:fldChar w:fldCharType="begin"/>
                          </w:r>
                          <w:r>
                            <w:rPr>
                              <w:rStyle w:val="720"/>
                              <w:rFonts w:hint="eastAsia" w:ascii="仿宋" w:hAnsi="仿宋" w:eastAsia="仿宋" w:cs="仿宋"/>
                            </w:rPr>
                            <w:instrText xml:space="preserve">PAGE  </w:instrText>
                          </w:r>
                          <w:r>
                            <w:rPr>
                              <w:rFonts w:hint="eastAsia" w:ascii="仿宋" w:hAnsi="仿宋" w:eastAsia="仿宋" w:cs="仿宋"/>
                            </w:rPr>
                            <w:fldChar w:fldCharType="separate"/>
                          </w:r>
                          <w:r>
                            <w:rPr>
                              <w:rStyle w:val="720"/>
                              <w:rFonts w:hint="eastAsia" w:ascii="仿宋" w:hAnsi="仿宋" w:eastAsia="仿宋" w:cs="仿宋"/>
                            </w:rPr>
                            <w:t xml:space="preserve">２８</w:t>
                          </w:r>
                          <w:r>
                            <w:rPr>
                              <w:rFonts w:hint="eastAsia" w:ascii="仿宋" w:hAnsi="仿宋" w:eastAsia="仿宋" w:cs="仿宋"/>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9"/>
                      <w:rPr>
                        <w:rStyle w:val="720"/>
                        <w:rFonts w:ascii="宋体" w:hAnsi="宋体"/>
                      </w:rPr>
                    </w:pPr>
                    <w:r>
                      <w:rPr>
                        <w:rFonts w:hint="eastAsia" w:ascii="仿宋" w:hAnsi="仿宋" w:eastAsia="仿宋" w:cs="仿宋"/>
                      </w:rPr>
                      <w:fldChar w:fldCharType="begin"/>
                    </w:r>
                    <w:r>
                      <w:rPr>
                        <w:rStyle w:val="720"/>
                        <w:rFonts w:hint="eastAsia" w:ascii="仿宋" w:hAnsi="仿宋" w:eastAsia="仿宋" w:cs="仿宋"/>
                      </w:rPr>
                      <w:instrText xml:space="preserve">PAGE  </w:instrText>
                    </w:r>
                    <w:r>
                      <w:rPr>
                        <w:rFonts w:hint="eastAsia" w:ascii="仿宋" w:hAnsi="仿宋" w:eastAsia="仿宋" w:cs="仿宋"/>
                      </w:rPr>
                      <w:fldChar w:fldCharType="separate"/>
                    </w:r>
                    <w:r>
                      <w:rPr>
                        <w:rStyle w:val="720"/>
                        <w:rFonts w:hint="eastAsia" w:ascii="仿宋" w:hAnsi="仿宋" w:eastAsia="仿宋" w:cs="仿宋"/>
                      </w:rPr>
                      <w:t xml:space="preserve">２８</w:t>
                    </w:r>
                    <w:r>
                      <w:rPr>
                        <w:rFonts w:hint="eastAsia" w:ascii="仿宋" w:hAnsi="仿宋" w:eastAsia="仿宋" w:cs="仿宋"/>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80"/>
    <w:uiPriority w:val="9"/>
    <w:rPr>
      <w:rFonts w:ascii="Arial" w:hAnsi="Arial" w:eastAsia="Arial" w:cs="Arial"/>
      <w:sz w:val="40"/>
      <w:szCs w:val="40"/>
    </w:rPr>
  </w:style>
  <w:style w:type="character" w:styleId="15">
    <w:name w:val="Heading 2 Char"/>
    <w:basedOn w:val="682"/>
    <w:link w:val="681"/>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2"/>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682"/>
    <w:link w:val="41"/>
    <w:uiPriority w:val="99"/>
  </w:style>
  <w:style w:type="character" w:styleId="44">
    <w:name w:val="Footer Char"/>
    <w:basedOn w:val="682"/>
    <w:link w:val="691"/>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7">
    <w:name w:val="Table Grid"/>
    <w:basedOn w:val="68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0">
    <w:name w:val="Heading 1"/>
    <w:basedOn w:val="679"/>
    <w:next w:val="679"/>
    <w:link w:val="721"/>
    <w:uiPriority w:val="0"/>
    <w:qFormat/>
    <w:pPr>
      <w:keepLines/>
      <w:keepNext/>
      <w:spacing w:before="340" w:after="330" w:line="576" w:lineRule="auto"/>
      <w:outlineLvl w:val="0"/>
    </w:pPr>
    <w:rPr>
      <w:rFonts w:ascii="Times New Roman" w:hAnsi="Times New Roman"/>
      <w:b/>
      <w:sz w:val="44"/>
      <w:szCs w:val="20"/>
    </w:rPr>
  </w:style>
  <w:style w:type="paragraph" w:styleId="681">
    <w:name w:val="Heading 2"/>
    <w:basedOn w:val="679"/>
    <w:next w:val="685"/>
    <w:uiPriority w:val="9"/>
    <w:unhideWhenUsed/>
    <w:qFormat/>
    <w:pPr>
      <w:keepLines/>
      <w:keepNext/>
      <w:spacing w:before="360" w:after="200"/>
      <w:outlineLvl w:val="1"/>
    </w:pPr>
    <w:rPr>
      <w:rFonts w:ascii="Arial" w:hAnsi="Arial" w:eastAsia="Arial" w:cs="Arial"/>
      <w:sz w:val="34"/>
    </w:rPr>
  </w:style>
  <w:style w:type="character" w:styleId="682" w:default="1">
    <w:name w:val="Default Paragraph Font"/>
    <w:uiPriority w:val="0"/>
    <w:semiHidden/>
    <w:qFormat/>
  </w:style>
  <w:style w:type="table" w:styleId="683" w:default="1">
    <w:name w:val="Normal Table"/>
    <w:uiPriority w:val="0"/>
    <w:semiHidden/>
    <w:qFormat/>
    <w:tblPr>
      <w:tblCellMar>
        <w:left w:w="108" w:type="dxa"/>
        <w:top w:w="0" w:type="dxa"/>
        <w:right w:w="108" w:type="dxa"/>
        <w:bottom w:w="0" w:type="dxa"/>
      </w:tblCellMar>
    </w:tblPr>
  </w:style>
  <w:style w:type="paragraph" w:styleId="684">
    <w:name w:val="Body Text"/>
    <w:basedOn w:val="679"/>
    <w:next w:val="679"/>
    <w:uiPriority w:val="0"/>
    <w:unhideWhenUsed/>
    <w:qFormat/>
    <w:pPr>
      <w:spacing w:after="120"/>
    </w:pPr>
  </w:style>
  <w:style w:type="paragraph" w:styleId="685">
    <w:name w:val="Normal Indent"/>
    <w:basedOn w:val="679"/>
    <w:uiPriority w:val="0"/>
    <w:qFormat/>
    <w:pPr>
      <w:ind w:firstLine="420"/>
    </w:pPr>
    <w:rPr>
      <w:szCs w:val="21"/>
    </w:rPr>
  </w:style>
  <w:style w:type="paragraph" w:styleId="686">
    <w:name w:val="annotation text"/>
    <w:basedOn w:val="679"/>
    <w:uiPriority w:val="0"/>
    <w:qFormat/>
    <w:pPr>
      <w:jc w:val="left"/>
    </w:pPr>
  </w:style>
  <w:style w:type="paragraph" w:styleId="687">
    <w:name w:val="Body Text Indent"/>
    <w:basedOn w:val="679"/>
    <w:next w:val="688"/>
    <w:uiPriority w:val="0"/>
    <w:unhideWhenUsed/>
    <w:qFormat/>
    <w:pPr>
      <w:ind w:left="420"/>
      <w:spacing w:after="120"/>
    </w:pPr>
  </w:style>
  <w:style w:type="paragraph" w:styleId="688">
    <w:name w:val="Body Text First Indent 2"/>
    <w:basedOn w:val="687"/>
    <w:next w:val="689"/>
    <w:uiPriority w:val="0"/>
    <w:qFormat/>
    <w:pPr>
      <w:ind w:left="0" w:firstLine="420"/>
      <w:spacing w:after="0" w:line="360" w:lineRule="auto"/>
    </w:pPr>
    <w:rPr>
      <w:rFonts w:ascii="宋体" w:hAnsi="宋体"/>
      <w:szCs w:val="20"/>
    </w:rPr>
  </w:style>
  <w:style w:type="paragraph" w:styleId="689" w:customStyle="1">
    <w:name w:val="xl53"/>
    <w:next w:val="679"/>
    <w:uiPriority w:val="0"/>
    <w:unhideWhenUsed/>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eastAsia" w:ascii="宋体" w:hAnsi="宋体" w:eastAsia="宋体" w:cs="Times New Roman"/>
      <w:b/>
      <w:sz w:val="24"/>
      <w:szCs w:val="24"/>
      <w:lang w:val="en-US" w:eastAsia="zh-CN" w:bidi="ar-SA"/>
    </w:rPr>
  </w:style>
  <w:style w:type="paragraph" w:styleId="690">
    <w:name w:val="Body Text Indent 2"/>
    <w:basedOn w:val="679"/>
    <w:uiPriority w:val="0"/>
    <w:qFormat/>
    <w:pPr>
      <w:ind w:firstLine="225"/>
      <w:jc w:val="left"/>
      <w:spacing w:line="540" w:lineRule="exact"/>
    </w:pPr>
    <w:rPr>
      <w:rFonts w:ascii="仿宋_GB2312" w:eastAsia="仿宋_GB2312"/>
      <w:sz w:val="32"/>
    </w:rPr>
  </w:style>
  <w:style w:type="paragraph" w:styleId="691">
    <w:name w:val="Footer"/>
    <w:basedOn w:val="679"/>
    <w:uiPriority w:val="99"/>
    <w:unhideWhenUsed/>
    <w:qFormat/>
    <w:pPr>
      <w:spacing w:after="0" w:line="240" w:lineRule="auto"/>
      <w:tabs>
        <w:tab w:val="center" w:pos="7143" w:leader="none"/>
        <w:tab w:val="right" w:pos="14287" w:leader="none"/>
      </w:tabs>
    </w:pPr>
  </w:style>
  <w:style w:type="paragraph" w:styleId="692">
    <w:name w:val="Normal (Web)"/>
    <w:basedOn w:val="679"/>
    <w:uiPriority w:val="99"/>
    <w:unhideWhenUsed/>
    <w:qFormat/>
    <w:pPr>
      <w:ind w:left="0" w:right="0"/>
      <w:jc w:val="left"/>
      <w:spacing w:before="100" w:beforeAutospacing="1" w:after="100" w:afterAutospacing="1"/>
    </w:pPr>
    <w:rPr>
      <w:sz w:val="24"/>
      <w:lang w:val="en-US" w:eastAsia="zh-CN" w:bidi="ar"/>
    </w:rPr>
  </w:style>
  <w:style w:type="paragraph" w:styleId="693">
    <w:name w:val="Body Text First Indent"/>
    <w:basedOn w:val="684"/>
    <w:uiPriority w:val="0"/>
    <w:qFormat/>
    <w:pPr>
      <w:ind w:firstLine="100"/>
    </w:pPr>
    <w:rPr>
      <w:rFonts w:ascii="仿宋_GB2312"/>
      <w:sz w:val="20"/>
    </w:rPr>
  </w:style>
  <w:style w:type="paragraph" w:styleId="694" w:customStyle="1">
    <w:name w:val="目录 11"/>
    <w:basedOn w:val="679"/>
    <w:next w:val="67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5" w:customStyle="1">
    <w:name w:val="标题 11"/>
    <w:basedOn w:val="679"/>
    <w:next w:val="679"/>
    <w:uiPriority w:val="0"/>
    <w:qFormat/>
    <w:pPr>
      <w:jc w:val="center"/>
      <w:keepNext/>
      <w:outlineLvl w:val="0"/>
    </w:pPr>
    <w:rPr>
      <w:rFonts w:ascii="楷体_GB2312" w:hAnsi="Times New Roman" w:eastAsia="楷体_GB2312" w:cs="Times New Roman"/>
      <w:sz w:val="28"/>
      <w:szCs w:val="28"/>
    </w:rPr>
  </w:style>
  <w:style w:type="paragraph" w:styleId="696" w:customStyle="1">
    <w:name w:val="正文空2字"/>
    <w:basedOn w:val="679"/>
    <w:uiPriority w:val="99"/>
    <w:qFormat/>
    <w:pPr>
      <w:ind w:firstLine="640"/>
      <w:jc w:val="left"/>
      <w:spacing w:line="560" w:lineRule="exact"/>
    </w:pPr>
    <w:rPr>
      <w:rFonts w:ascii="仿宋_GB2312" w:hAnsi="仿宋_GB2312" w:eastAsia="仿宋_GB2312" w:cs="仿宋_GB2312"/>
      <w:sz w:val="32"/>
      <w:szCs w:val="32"/>
      <w:lang w:val="zh-TW"/>
    </w:rPr>
  </w:style>
  <w:style w:type="paragraph" w:styleId="697" w:customStyle="1">
    <w:name w:val="标题 41"/>
    <w:basedOn w:val="679"/>
    <w:next w:val="698"/>
    <w:uiPriority w:val="0"/>
    <w:qFormat/>
    <w:pPr>
      <w:keepLines/>
      <w:keepNext/>
      <w:spacing w:before="280" w:after="290" w:line="376" w:lineRule="auto"/>
      <w:outlineLvl w:val="3"/>
    </w:pPr>
    <w:rPr>
      <w:rFonts w:ascii="Arial" w:hAnsi="Arial" w:eastAsia="黑体" w:cs="Arial"/>
      <w:b/>
      <w:bCs/>
      <w:sz w:val="28"/>
      <w:szCs w:val="28"/>
    </w:rPr>
  </w:style>
  <w:style w:type="paragraph" w:styleId="698" w:customStyle="1">
    <w:name w:val="正文缩进1"/>
    <w:basedOn w:val="679"/>
    <w:uiPriority w:val="0"/>
    <w:qFormat/>
    <w:pPr>
      <w:ind w:firstLine="420"/>
    </w:pPr>
    <w:rPr>
      <w:szCs w:val="21"/>
    </w:rPr>
  </w:style>
  <w:style w:type="paragraph" w:styleId="699" w:customStyle="1">
    <w:name w:val="普通正文"/>
    <w:basedOn w:val="679"/>
    <w:uiPriority w:val="0"/>
    <w:qFormat/>
    <w:pPr>
      <w:ind w:firstLine="480"/>
      <w:jc w:val="left"/>
      <w:spacing w:before="120" w:after="120" w:line="360" w:lineRule="auto"/>
    </w:pPr>
    <w:rPr>
      <w:rFonts w:ascii="Arial" w:hAnsi="Arial" w:eastAsia="宋体" w:cs="Times New Roman"/>
      <w:sz w:val="24"/>
      <w:szCs w:val="24"/>
    </w:rPr>
  </w:style>
  <w:style w:type="paragraph" w:styleId="700" w:customStyle="1">
    <w:name w:val="正文_21_1"/>
    <w:basedOn w:val="70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701"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character" w:styleId="702" w:customStyle="1">
    <w:name w:val="默认段落字体1"/>
    <w:uiPriority w:val="1"/>
    <w:unhideWhenUsed/>
    <w:qFormat/>
    <w:rPr>
      <w:rFonts w:ascii="Arial" w:hAnsi="Arial" w:eastAsia="Arial" w:cs="Arial"/>
      <w:color w:val="000000"/>
      <w:sz w:val="21"/>
      <w:szCs w:val="21"/>
      <w:lang w:val="en-US" w:eastAsia="en-US" w:bidi="ar-SA"/>
    </w:rPr>
  </w:style>
  <w:style w:type="paragraph" w:styleId="703" w:customStyle="1">
    <w:name w:val="Normal_0_1_0"/>
    <w:uiPriority w:val="0"/>
    <w:qFormat/>
    <w:pPr>
      <w:jc w:val="both"/>
      <w:widowControl w:val="off"/>
    </w:pPr>
    <w:rPr>
      <w:rFonts w:hint="default" w:ascii="Calibri" w:hAnsi="Calibri" w:eastAsia="宋体" w:cs="Times New Roman"/>
      <w:lang w:val="en-US" w:eastAsia="zh-CN" w:bidi="ar-SA"/>
    </w:rPr>
  </w:style>
  <w:style w:type="paragraph" w:styleId="704" w:customStyle="1">
    <w:name w:val="普通(网站)1"/>
    <w:basedOn w:val="679"/>
    <w:uiPriority w:val="0"/>
    <w:qFormat/>
    <w:rPr>
      <w:sz w:val="24"/>
    </w:rPr>
  </w:style>
  <w:style w:type="paragraph" w:styleId="705" w:customStyle="1">
    <w:name w:val="标题 21"/>
    <w:basedOn w:val="679"/>
    <w:next w:val="6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6" w:customStyle="1">
    <w:name w:val="正文_17"/>
    <w:basedOn w:val="67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07" w:customStyle="1">
    <w:name w:val="Normal_1_1"/>
    <w:basedOn w:val="679"/>
    <w:uiPriority w:val="0"/>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708" w:customStyle="1">
    <w:name w:val="正文_6_0_0"/>
    <w:basedOn w:val="67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09" w:customStyle="1">
    <w:name w:val="正文_11_0"/>
    <w:basedOn w:val="67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710" w:customStyle="1">
    <w:name w:val="标题11"/>
    <w:basedOn w:val="679"/>
    <w:next w:val="711"/>
    <w:uiPriority w:val="0"/>
    <w:qFormat/>
    <w:pPr>
      <w:jc w:val="center"/>
      <w:spacing w:before="240" w:after="60"/>
      <w:outlineLvl w:val="0"/>
    </w:pPr>
    <w:rPr>
      <w:rFonts w:ascii="Arial" w:hAnsi="Arial" w:cs="Arial"/>
      <w:b/>
      <w:bCs/>
      <w:sz w:val="32"/>
      <w:szCs w:val="32"/>
    </w:rPr>
  </w:style>
  <w:style w:type="paragraph" w:styleId="711" w:customStyle="1">
    <w:name w:val="正文文本缩进1"/>
    <w:basedOn w:val="679"/>
    <w:uiPriority w:val="0"/>
    <w:unhideWhenUsed/>
    <w:qFormat/>
    <w:pPr>
      <w:ind w:left="420"/>
      <w:spacing w:after="120"/>
    </w:pPr>
  </w:style>
  <w:style w:type="paragraph" w:styleId="712" w:customStyle="1">
    <w:name w:val="Normal_7_0"/>
    <w:uiPriority w:val="0"/>
    <w:qFormat/>
    <w:rPr>
      <w:rFonts w:hint="default" w:ascii="黑体" w:hAnsi="黑体" w:eastAsia="黑体" w:cs="黑体"/>
      <w:b/>
      <w:sz w:val="32"/>
      <w:szCs w:val="24"/>
      <w:lang w:val="en-US" w:eastAsia="zh-CN" w:bidi="ar-SA"/>
    </w:rPr>
  </w:style>
  <w:style w:type="paragraph" w:styleId="71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714" w:customStyle="1">
    <w:name w:val="标题二、"/>
    <w:basedOn w:val="679"/>
    <w:uiPriority w:val="99"/>
    <w:qFormat/>
    <w:pPr>
      <w:ind w:firstLine="200"/>
      <w:spacing w:line="360" w:lineRule="auto"/>
      <w:outlineLvl w:val="2"/>
    </w:pPr>
    <w:rPr>
      <w:rFonts w:ascii="宋体" w:hAnsi="宋体"/>
      <w:b/>
      <w:szCs w:val="21"/>
    </w:rPr>
  </w:style>
  <w:style w:type="paragraph" w:styleId="715"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71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71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customStyle="1">
    <w:name w:val="页眉1"/>
    <w:basedOn w:val="67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19" w:customStyle="1">
    <w:name w:val="页脚1"/>
    <w:basedOn w:val="6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20" w:customStyle="1">
    <w:name w:val="页码1"/>
    <w:uiPriority w:val="0"/>
    <w:qFormat/>
    <w:rPr>
      <w:rFonts w:hint="default" w:ascii="Times New Roman" w:hAnsi="Times New Roman" w:eastAsia="宋体" w:cs="Times New Roman"/>
      <w:sz w:val="21"/>
      <w:szCs w:val="22"/>
      <w:lang w:val="en-US" w:eastAsia="zh-CN" w:bidi="ar-SA"/>
    </w:rPr>
  </w:style>
  <w:style w:type="character" w:styleId="721" w:customStyle="1">
    <w:name w:val="标题 1 字符"/>
    <w:link w:val="680"/>
    <w:uiPriority w:val="0"/>
    <w:qFormat/>
    <w:rPr>
      <w:rFonts w:ascii="Times New Roman" w:hAnsi="Times New Roman"/>
      <w:b/>
      <w:sz w:val="44"/>
      <w:szCs w:val="20"/>
    </w:rPr>
  </w:style>
  <w:style w:type="paragraph" w:styleId="722" w:customStyle="1">
    <w:name w:val="Normal_19"/>
    <w:uiPriority w:val="0"/>
    <w:qFormat/>
    <w:rPr>
      <w:rFonts w:ascii="Times New Roman" w:hAnsi="Times New Roman" w:eastAsia="Times New Roman" w:cs="Times New Roman"/>
      <w:sz w:val="24"/>
      <w:szCs w:val="24"/>
      <w:lang w:bidi="ar-SA"/>
    </w:rPr>
  </w:style>
  <w:style w:type="paragraph" w:styleId="723" w:customStyle="1">
    <w:name w:val="正文1"/>
    <w:basedOn w:val="679"/>
    <w:uiPriority w:val="0"/>
    <w:qFormat/>
    <w:pPr>
      <w:ind w:left="357" w:firstLine="420"/>
      <w:jc w:val="left"/>
      <w:spacing w:line="360" w:lineRule="auto"/>
      <w:widowControl/>
    </w:pPr>
    <w:rPr>
      <w:rFonts w:cs="Arial"/>
      <w:szCs w:val="20"/>
      <w:lang w:bidi="ar-SA"/>
    </w:rPr>
  </w:style>
  <w:style w:type="numbering" w:styleId="7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综服中心顾笑</cp:lastModifiedBy>
  <cp:revision>1</cp:revision>
  <dcterms:created xsi:type="dcterms:W3CDTF">2026-09-03T01:23:00Z</dcterms:created>
  <dcterms:modified xsi:type="dcterms:W3CDTF">2026-09-09T10:06:53Z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eyJoZGlkIjoiNmM2ZDZhNTJiYzYxOTIyZDBkMDgxNGQ1OGRhZDg2ZTEiLCJ1c2VySWQiOiI0NDc3MTk3OTAifQ==</vt:lpwstr>
  </property>
  <property fmtid="{D5CDD505-2E9C-101B-9397-08002B2CF9AE}" pid="4" name="ICV">
    <vt:lpwstr>034C0EF0506344ABAC272AAD3ED1072C_13</vt:lpwstr>
  </property>
</Properties>
</file>