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C612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500" w:lineRule="exact"/>
        <w:jc w:val="center"/>
        <w:textAlignment w:val="auto"/>
        <w:rPr>
          <w:rFonts w:hint="eastAsia" w:ascii="方正仿宋_GB2312" w:hAnsi="方正仿宋_GB2312" w:eastAsia="方正仿宋_GB2312" w:cs="方正仿宋_GB2312"/>
          <w:b/>
          <w:bCs/>
          <w:color w:val="000000"/>
          <w:sz w:val="36"/>
          <w:szCs w:val="36"/>
          <w:highlight w:val="white"/>
          <w:u w:val="none"/>
          <w:lang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36"/>
          <w:szCs w:val="36"/>
          <w:highlight w:val="white"/>
          <w:u w:val="none"/>
          <w:lang w:eastAsia="zh-CN"/>
        </w:rPr>
        <w:t>宿城区失能特困人员集中护理机构采购项目征求意见公告</w:t>
      </w:r>
    </w:p>
    <w:p w14:paraId="3A374027">
      <w:pPr>
        <w:spacing w:line="500" w:lineRule="exact"/>
        <w:ind w:firstLine="560" w:firstLineChars="200"/>
        <w:rPr>
          <w:rFonts w:hint="eastAsia" w:ascii="方正仿宋_GB2312" w:hAnsi="方正仿宋_GB2312" w:eastAsia="方正仿宋_GB2312" w:cs="方正仿宋_GB2312"/>
          <w:color w:val="000000"/>
          <w:sz w:val="28"/>
          <w:szCs w:val="28"/>
          <w:highlight w:val="white"/>
        </w:rPr>
      </w:pPr>
      <w:bookmarkStart w:id="3" w:name="_GoBack"/>
      <w:r>
        <w:rPr>
          <w:rFonts w:hint="eastAsia" w:ascii="方正仿宋_GB2312" w:hAnsi="方正仿宋_GB2312" w:eastAsia="方正仿宋_GB2312" w:cs="方正仿宋_GB2312"/>
          <w:color w:val="000000"/>
          <w:sz w:val="28"/>
          <w:szCs w:val="28"/>
          <w:highlight w:val="white"/>
          <w:u w:val="single"/>
          <w:lang w:eastAsia="zh-CN"/>
        </w:rPr>
        <w:t>宿迁市宿城区民政局</w:t>
      </w:r>
      <w:r>
        <w:rPr>
          <w:rFonts w:hint="eastAsia" w:ascii="方正仿宋_GB2312" w:hAnsi="方正仿宋_GB2312" w:eastAsia="方正仿宋_GB2312" w:cs="方正仿宋_GB2312"/>
          <w:color w:val="000000"/>
          <w:sz w:val="28"/>
          <w:szCs w:val="28"/>
          <w:highlight w:val="white"/>
        </w:rPr>
        <w:t>就</w:t>
      </w:r>
      <w:r>
        <w:rPr>
          <w:rFonts w:hint="eastAsia" w:ascii="方正仿宋_GB2312" w:hAnsi="方正仿宋_GB2312" w:eastAsia="方正仿宋_GB2312" w:cs="方正仿宋_GB2312"/>
          <w:color w:val="000000"/>
          <w:sz w:val="28"/>
          <w:szCs w:val="28"/>
          <w:highlight w:val="white"/>
          <w:u w:val="single"/>
          <w:lang w:eastAsia="zh-CN"/>
        </w:rPr>
        <w:t>宿城区失能特困人员集中护理机构采购项目</w:t>
      </w:r>
      <w:r>
        <w:rPr>
          <w:rFonts w:hint="eastAsia" w:ascii="方正仿宋_GB2312" w:hAnsi="方正仿宋_GB2312" w:eastAsia="方正仿宋_GB2312" w:cs="方正仿宋_GB2312"/>
          <w:color w:val="000000"/>
          <w:sz w:val="28"/>
          <w:szCs w:val="28"/>
          <w:highlight w:val="white"/>
        </w:rPr>
        <w:t>进行市场调研，邀请合格的供应商参与市场调研。有关事项如下：</w:t>
      </w:r>
    </w:p>
    <w:p w14:paraId="5AC72AD9">
      <w:pPr>
        <w:spacing w:line="500" w:lineRule="exact"/>
        <w:ind w:firstLine="562" w:firstLineChars="200"/>
        <w:rPr>
          <w:rFonts w:hint="eastAsia" w:ascii="方正仿宋_GB2312" w:hAnsi="方正仿宋_GB2312" w:eastAsia="方正仿宋_GB2312" w:cs="方正仿宋_GB2312"/>
          <w:b/>
          <w:sz w:val="28"/>
          <w:szCs w:val="28"/>
          <w:highlight w:val="white"/>
        </w:rPr>
      </w:pPr>
      <w:r>
        <w:rPr>
          <w:rFonts w:hint="eastAsia" w:ascii="方正仿宋_GB2312" w:hAnsi="方正仿宋_GB2312" w:eastAsia="方正仿宋_GB2312" w:cs="方正仿宋_GB2312"/>
          <w:b/>
          <w:sz w:val="28"/>
          <w:szCs w:val="28"/>
          <w:highlight w:val="white"/>
        </w:rPr>
        <w:t>一、项目基本情况</w:t>
      </w:r>
    </w:p>
    <w:p w14:paraId="2CCEB9F6">
      <w:pPr>
        <w:spacing w:line="500" w:lineRule="exact"/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  <w:u w:val="single"/>
          <w:lang w:eastAsia="zh-CN"/>
        </w:rPr>
      </w:pPr>
      <w:r>
        <w:rPr>
          <w:rFonts w:hint="eastAsia" w:ascii="方正仿宋_GB2312" w:hAnsi="方正仿宋_GB2312" w:eastAsia="方正仿宋_GB2312" w:cs="方正仿宋_GB2312"/>
          <w:kern w:val="0"/>
          <w:sz w:val="28"/>
          <w:szCs w:val="28"/>
          <w:highlight w:val="white"/>
        </w:rPr>
        <w:t>（一）项目名称：</w:t>
      </w:r>
      <w:r>
        <w:rPr>
          <w:rFonts w:hint="eastAsia" w:ascii="方正仿宋_GB2312" w:hAnsi="方正仿宋_GB2312" w:eastAsia="方正仿宋_GB2312" w:cs="方正仿宋_GB2312"/>
          <w:kern w:val="0"/>
          <w:sz w:val="28"/>
          <w:szCs w:val="28"/>
          <w:highlight w:val="white"/>
          <w:lang w:eastAsia="zh-CN"/>
        </w:rPr>
        <w:t>宿城区失能特困人员集中护理机构采购项目</w:t>
      </w:r>
    </w:p>
    <w:p w14:paraId="6689FE19">
      <w:pPr>
        <w:spacing w:line="500" w:lineRule="exact"/>
        <w:ind w:firstLine="560" w:firstLineChars="200"/>
        <w:rPr>
          <w:rFonts w:hint="eastAsia" w:ascii="方正仿宋_GB2312" w:hAnsi="方正仿宋_GB2312" w:eastAsia="方正仿宋_GB2312" w:cs="方正仿宋_GB2312"/>
          <w:kern w:val="0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kern w:val="0"/>
          <w:sz w:val="28"/>
          <w:szCs w:val="28"/>
          <w:highlight w:val="white"/>
        </w:rPr>
        <w:t>（二）采购需求：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852"/>
        <w:gridCol w:w="4217"/>
        <w:gridCol w:w="1239"/>
      </w:tblGrid>
      <w:tr w14:paraId="56099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vAlign w:val="center"/>
          </w:tcPr>
          <w:p w14:paraId="4D654F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</w:rPr>
            </w:pPr>
            <w:bookmarkStart w:id="0" w:name="_Hlk109058146"/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</w:rPr>
              <w:t>序号</w:t>
            </w:r>
          </w:p>
        </w:tc>
        <w:tc>
          <w:tcPr>
            <w:tcW w:w="1852" w:type="dxa"/>
            <w:vAlign w:val="center"/>
          </w:tcPr>
          <w:p w14:paraId="63B9A7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</w:rPr>
              <w:t>标的</w:t>
            </w:r>
          </w:p>
        </w:tc>
        <w:tc>
          <w:tcPr>
            <w:tcW w:w="4217" w:type="dxa"/>
            <w:vAlign w:val="center"/>
          </w:tcPr>
          <w:p w14:paraId="3D087F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</w:rPr>
              <w:t>主要用途及功能</w:t>
            </w:r>
          </w:p>
        </w:tc>
        <w:tc>
          <w:tcPr>
            <w:tcW w:w="1239" w:type="dxa"/>
            <w:vAlign w:val="center"/>
          </w:tcPr>
          <w:p w14:paraId="41E6FD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</w:rPr>
              <w:t>估算价（万元）</w:t>
            </w:r>
          </w:p>
        </w:tc>
      </w:tr>
      <w:tr w14:paraId="43839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vAlign w:val="center"/>
          </w:tcPr>
          <w:p w14:paraId="0EE0A8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852" w:type="dxa"/>
            <w:vAlign w:val="center"/>
          </w:tcPr>
          <w:p w14:paraId="74AD2C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eastAsia="zh-CN"/>
              </w:rPr>
              <w:t>宿城区失能特困人员集中护理机构采购项目</w:t>
            </w:r>
          </w:p>
        </w:tc>
        <w:tc>
          <w:tcPr>
            <w:tcW w:w="4217" w:type="dxa"/>
            <w:vAlign w:val="center"/>
          </w:tcPr>
          <w:p w14:paraId="4E5BF2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eastAsia="zh-CN"/>
              </w:rPr>
              <w:t>根据特困人员入住意愿，为保障失能特困人员顺利入住，宿城区民政局拟选定两家具备护理资质的失能特困供养机构，分别承接两个片区约120名（以每月实际人数为准）失能特困人员的集中护理工作。护理内容主要包括清洁照料、睡眠照料、衣食照料、排泄照料、卧位和安全照料、病情观察、心理安慰、康复照护、临终关怀等，保障失能特困人员基本生存和生命尊严。失能特困人员集中供养费用标准固定，具体结算费用以每月实际护理人数为准。其中</w:t>
            </w:r>
          </w:p>
          <w:p w14:paraId="61BCCC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eastAsia="zh-CN"/>
              </w:rPr>
              <w:t>采购包1：幸福街道、河滨街道、项里街道、支口街道、古城街道、双庄街道、洋北街道、耿车镇、王官集镇、蔡集镇为一个片区，预算价为250.8万元；</w:t>
            </w:r>
          </w:p>
          <w:p w14:paraId="785A48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eastAsia="zh-CN"/>
              </w:rPr>
              <w:t>采购包2：龙河镇、埠子镇、陈集镇、屠园镇、中扬镇为一个片区，预算价为296.4万元。</w:t>
            </w:r>
          </w:p>
          <w:p w14:paraId="022EA9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eastAsia="zh-CN"/>
              </w:rPr>
              <w:t>（具体内容详见招标文件第四部分采购需求）</w:t>
            </w:r>
          </w:p>
          <w:p w14:paraId="499764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eastAsia="zh-CN"/>
              </w:rPr>
              <w:t>注：本次采购共分为两个采购包，兼投不兼中，即投标人可参与任意采购包或全部采购包的投标，需对拟参与采购包分别进行投标文件制作，但同一投标人最多只能中其中一个采购包。按采购包1至采购包2的顺序开标、评标、定标，已被推荐为采购包1的第一中标候选人的投标人参与后面采购包的评审，但不再被推荐为中标候选人。评审结束后，若其中一个采购包受到质疑投诉等原因，导致本采购包评审结果改变，但不影响其他采购包的评审。</w:t>
            </w:r>
          </w:p>
        </w:tc>
        <w:tc>
          <w:tcPr>
            <w:tcW w:w="1239" w:type="dxa"/>
            <w:vAlign w:val="center"/>
          </w:tcPr>
          <w:p w14:paraId="77052D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/>
              </w:rPr>
              <w:t>547.2</w:t>
            </w:r>
          </w:p>
        </w:tc>
      </w:tr>
      <w:bookmarkEnd w:id="0"/>
    </w:tbl>
    <w:p w14:paraId="2D1883BF">
      <w:pPr>
        <w:spacing w:line="500" w:lineRule="exact"/>
        <w:ind w:firstLine="562" w:firstLineChars="200"/>
        <w:rPr>
          <w:rFonts w:hint="eastAsia" w:ascii="方正仿宋_GB2312" w:hAnsi="方正仿宋_GB2312" w:eastAsia="方正仿宋_GB2312" w:cs="方正仿宋_GB2312"/>
          <w:kern w:val="0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sz w:val="28"/>
          <w:szCs w:val="28"/>
          <w:highlight w:val="white"/>
        </w:rPr>
        <w:t>二、供应商资格要求</w:t>
      </w:r>
    </w:p>
    <w:p w14:paraId="0A4D7EC6">
      <w:pPr>
        <w:spacing w:line="500" w:lineRule="exact"/>
        <w:ind w:firstLine="560" w:firstLineChars="200"/>
        <w:rPr>
          <w:rFonts w:hint="eastAsia" w:ascii="方正仿宋_GB2312" w:hAnsi="方正仿宋_GB2312" w:eastAsia="方正仿宋_GB2312" w:cs="方正仿宋_GB2312"/>
          <w:b w:val="0"/>
          <w:bCs/>
          <w:sz w:val="28"/>
          <w:szCs w:val="28"/>
          <w:highlight w:val="white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28"/>
          <w:szCs w:val="28"/>
          <w:highlight w:val="white"/>
        </w:rPr>
        <w:t>（一）通用资格要求</w:t>
      </w:r>
    </w:p>
    <w:p w14:paraId="389B347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Cs/>
          <w:color w:val="000000"/>
          <w:sz w:val="28"/>
          <w:szCs w:val="28"/>
          <w:highlight w:val="white"/>
        </w:rPr>
      </w:pPr>
      <w:r>
        <w:rPr>
          <w:rFonts w:hint="eastAsia" w:ascii="方正仿宋_GB2312" w:hAnsi="方正仿宋_GB2312" w:eastAsia="方正仿宋_GB2312" w:cs="方正仿宋_GB2312"/>
          <w:bCs/>
          <w:color w:val="000000"/>
          <w:sz w:val="28"/>
          <w:szCs w:val="28"/>
          <w:highlight w:val="white"/>
        </w:rPr>
        <w:t>1.具备《中华人民共和国政府采购法》第二十二条第一款规定的6项条件（按要求提供投标声明及承诺函）。</w:t>
      </w:r>
    </w:p>
    <w:p w14:paraId="482D9B8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Cs/>
          <w:color w:val="000000"/>
          <w:sz w:val="28"/>
          <w:szCs w:val="28"/>
          <w:highlight w:val="white"/>
        </w:rPr>
      </w:pPr>
      <w:r>
        <w:rPr>
          <w:rFonts w:hint="eastAsia" w:ascii="方正仿宋_GB2312" w:hAnsi="方正仿宋_GB2312" w:eastAsia="方正仿宋_GB2312" w:cs="方正仿宋_GB2312"/>
          <w:bCs/>
          <w:color w:val="000000"/>
          <w:sz w:val="28"/>
          <w:szCs w:val="28"/>
          <w:highlight w:val="white"/>
        </w:rPr>
        <w:t>2.信用信息。在“信用中国”网站（www.creditchina.gov.cn）查询，不存在被列入失信被执行人、重大税收违法案件当事人名单、政府采购严重失信行为记录名单及其他不符合《中华人民共和国政府采购法》第二十二条规定条件的信用记录情形（无需提供证明材料）。</w:t>
      </w:r>
    </w:p>
    <w:p w14:paraId="3F2F525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Cs/>
          <w:color w:val="000000"/>
          <w:sz w:val="28"/>
          <w:szCs w:val="28"/>
          <w:highlight w:val="white"/>
          <w:lang w:eastAsia="zh-CN"/>
        </w:rPr>
      </w:pPr>
      <w:r>
        <w:rPr>
          <w:rFonts w:hint="eastAsia" w:ascii="方正仿宋_GB2312" w:hAnsi="方正仿宋_GB2312" w:eastAsia="方正仿宋_GB2312" w:cs="方正仿宋_GB2312"/>
          <w:bCs/>
          <w:color w:val="000000"/>
          <w:sz w:val="28"/>
          <w:szCs w:val="28"/>
          <w:highlight w:val="white"/>
          <w:lang w:eastAsia="zh-CN"/>
        </w:rPr>
        <w:t>（二）落实政府采购政策需满足的资格要求：无</w:t>
      </w:r>
    </w:p>
    <w:p w14:paraId="5996B6D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Cs/>
          <w:color w:val="000000"/>
          <w:sz w:val="28"/>
          <w:szCs w:val="28"/>
          <w:highlight w:val="white"/>
          <w:lang w:eastAsia="zh-CN"/>
        </w:rPr>
      </w:pPr>
      <w:r>
        <w:rPr>
          <w:rFonts w:hint="eastAsia" w:ascii="方正仿宋_GB2312" w:hAnsi="方正仿宋_GB2312" w:eastAsia="方正仿宋_GB2312" w:cs="方正仿宋_GB2312"/>
          <w:bCs/>
          <w:color w:val="000000"/>
          <w:sz w:val="28"/>
          <w:szCs w:val="28"/>
          <w:highlight w:val="white"/>
          <w:lang w:eastAsia="zh-CN"/>
        </w:rPr>
        <w:t>（三）本项目的特定资格要求：</w:t>
      </w:r>
    </w:p>
    <w:p w14:paraId="209C58C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Cs/>
          <w:color w:val="000000"/>
          <w:sz w:val="28"/>
          <w:szCs w:val="28"/>
          <w:highlight w:val="white"/>
          <w:lang w:eastAsia="zh-CN"/>
        </w:rPr>
      </w:pPr>
      <w:r>
        <w:rPr>
          <w:rFonts w:hint="eastAsia" w:ascii="方正仿宋_GB2312" w:hAnsi="方正仿宋_GB2312" w:eastAsia="方正仿宋_GB2312" w:cs="方正仿宋_GB2312"/>
          <w:bCs/>
          <w:color w:val="000000"/>
          <w:sz w:val="28"/>
          <w:szCs w:val="28"/>
          <w:highlight w:val="white"/>
          <w:lang w:eastAsia="zh-CN"/>
        </w:rPr>
        <w:t>采购包1：投标人须具有卫健部门（原卫计部门）颁发的护理院医疗机构执业许可证且通过民政系统备案。</w:t>
      </w:r>
    </w:p>
    <w:p w14:paraId="7851340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Cs/>
          <w:color w:val="000000"/>
          <w:sz w:val="28"/>
          <w:szCs w:val="28"/>
          <w:highlight w:val="white"/>
          <w:lang w:eastAsia="zh-CN"/>
        </w:rPr>
      </w:pPr>
      <w:r>
        <w:rPr>
          <w:rFonts w:hint="eastAsia" w:ascii="方正仿宋_GB2312" w:hAnsi="方正仿宋_GB2312" w:eastAsia="方正仿宋_GB2312" w:cs="方正仿宋_GB2312"/>
          <w:bCs/>
          <w:color w:val="000000"/>
          <w:sz w:val="28"/>
          <w:szCs w:val="28"/>
          <w:highlight w:val="white"/>
          <w:lang w:eastAsia="zh-CN"/>
        </w:rPr>
        <w:t>采购包2：投标人须具有卫健部门（原卫计部门）颁发的护理院医疗机构执业许可证且通过民政系统备案。</w:t>
      </w:r>
    </w:p>
    <w:p w14:paraId="0A0B1E07">
      <w:pPr>
        <w:spacing w:line="500" w:lineRule="exact"/>
        <w:ind w:firstLine="562" w:firstLineChars="200"/>
        <w:rPr>
          <w:rFonts w:hint="eastAsia" w:ascii="方正仿宋_GB2312" w:hAnsi="方正仿宋_GB2312" w:eastAsia="方正仿宋_GB2312" w:cs="方正仿宋_GB2312"/>
          <w:b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sz w:val="28"/>
          <w:szCs w:val="28"/>
          <w:highlight w:val="white"/>
        </w:rPr>
        <w:t>三、公告时间</w:t>
      </w:r>
    </w:p>
    <w:p w14:paraId="3DFCEC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1123" w:firstLine="560" w:firstLineChars="200"/>
        <w:textAlignment w:val="auto"/>
        <w:rPr>
          <w:rFonts w:hint="eastAsia" w:ascii="方正仿宋_GB2312" w:hAnsi="方正仿宋_GB2312" w:eastAsia="方正仿宋_GB2312" w:cs="方正仿宋_GB2312"/>
          <w:bCs/>
          <w:color w:val="000000"/>
          <w:sz w:val="28"/>
          <w:szCs w:val="28"/>
        </w:rPr>
      </w:pPr>
      <w:bookmarkStart w:id="1" w:name="EBd6e08bd78d674b669f89e3eb71dbbd3d"/>
      <w:r>
        <w:rPr>
          <w:rFonts w:hint="eastAsia" w:ascii="方正仿宋_GB2312" w:hAnsi="方正仿宋_GB2312" w:eastAsia="方正仿宋_GB2312" w:cs="方正仿宋_GB2312"/>
          <w:bCs/>
          <w:color w:val="000000"/>
          <w:sz w:val="28"/>
          <w:szCs w:val="28"/>
          <w:highlight w:val="white"/>
          <w:u w:val="none"/>
          <w:lang w:val="en-US" w:eastAsia="zh-CN"/>
        </w:rPr>
        <w:t>2026</w:t>
      </w:r>
      <w:r>
        <w:rPr>
          <w:rFonts w:hint="eastAsia" w:ascii="方正仿宋_GB2312" w:hAnsi="方正仿宋_GB2312" w:eastAsia="方正仿宋_GB2312" w:cs="方正仿宋_GB2312"/>
          <w:bCs/>
          <w:color w:val="000000"/>
          <w:sz w:val="28"/>
          <w:szCs w:val="28"/>
          <w:highlight w:val="white"/>
          <w:u w:val="none"/>
        </w:rPr>
        <w:t>年</w:t>
      </w:r>
      <w:r>
        <w:rPr>
          <w:rFonts w:hint="eastAsia" w:ascii="方正仿宋_GB2312" w:hAnsi="方正仿宋_GB2312" w:eastAsia="方正仿宋_GB2312" w:cs="方正仿宋_GB2312"/>
          <w:bCs/>
          <w:color w:val="000000"/>
          <w:sz w:val="28"/>
          <w:szCs w:val="28"/>
          <w:highlight w:val="white"/>
          <w:u w:val="none"/>
          <w:lang w:val="en-US" w:eastAsia="zh-CN"/>
        </w:rPr>
        <w:t>10</w:t>
      </w:r>
      <w:r>
        <w:rPr>
          <w:rFonts w:hint="eastAsia" w:ascii="方正仿宋_GB2312" w:hAnsi="方正仿宋_GB2312" w:eastAsia="方正仿宋_GB2312" w:cs="方正仿宋_GB2312"/>
          <w:bCs/>
          <w:color w:val="000000"/>
          <w:sz w:val="28"/>
          <w:szCs w:val="28"/>
          <w:highlight w:val="white"/>
          <w:u w:val="none"/>
        </w:rPr>
        <w:t>月</w:t>
      </w:r>
      <w:r>
        <w:rPr>
          <w:rFonts w:hint="eastAsia" w:ascii="方正仿宋_GB2312" w:hAnsi="方正仿宋_GB2312" w:eastAsia="方正仿宋_GB2312" w:cs="方正仿宋_GB2312"/>
          <w:bCs/>
          <w:color w:val="000000"/>
          <w:sz w:val="28"/>
          <w:szCs w:val="28"/>
          <w:highlight w:val="white"/>
          <w:u w:val="none"/>
          <w:lang w:val="en-US" w:eastAsia="zh-CN"/>
        </w:rPr>
        <w:t>22</w:t>
      </w:r>
      <w:r>
        <w:rPr>
          <w:rFonts w:hint="eastAsia" w:ascii="方正仿宋_GB2312" w:hAnsi="方正仿宋_GB2312" w:eastAsia="方正仿宋_GB2312" w:cs="方正仿宋_GB2312"/>
          <w:bCs/>
          <w:color w:val="000000"/>
          <w:sz w:val="28"/>
          <w:szCs w:val="28"/>
          <w:highlight w:val="white"/>
          <w:u w:val="none"/>
        </w:rPr>
        <w:t>日</w:t>
      </w:r>
      <w:bookmarkEnd w:id="1"/>
      <w:r>
        <w:rPr>
          <w:rFonts w:hint="eastAsia" w:ascii="方正仿宋_GB2312" w:hAnsi="方正仿宋_GB2312" w:eastAsia="方正仿宋_GB2312" w:cs="方正仿宋_GB2312"/>
          <w:bCs/>
          <w:color w:val="000000"/>
          <w:sz w:val="28"/>
          <w:szCs w:val="28"/>
          <w:highlight w:val="white"/>
          <w:u w:val="none"/>
          <w:lang w:val="en-US" w:eastAsia="zh-CN"/>
        </w:rPr>
        <w:t>09:00</w:t>
      </w:r>
      <w:r>
        <w:rPr>
          <w:rFonts w:hint="eastAsia" w:ascii="方正仿宋_GB2312" w:hAnsi="方正仿宋_GB2312" w:eastAsia="方正仿宋_GB2312" w:cs="方正仿宋_GB2312"/>
          <w:bCs/>
          <w:color w:val="000000"/>
          <w:sz w:val="28"/>
          <w:szCs w:val="28"/>
          <w:highlight w:val="white"/>
          <w:u w:val="none"/>
        </w:rPr>
        <w:t>至</w:t>
      </w:r>
      <w:bookmarkStart w:id="2" w:name="EB4a82fe30d91a48338ebb02b9012d939c"/>
      <w:r>
        <w:rPr>
          <w:rFonts w:hint="eastAsia" w:ascii="方正仿宋_GB2312" w:hAnsi="方正仿宋_GB2312" w:eastAsia="方正仿宋_GB2312" w:cs="方正仿宋_GB2312"/>
          <w:bCs/>
          <w:color w:val="000000"/>
          <w:sz w:val="28"/>
          <w:szCs w:val="28"/>
          <w:highlight w:val="white"/>
          <w:u w:val="none"/>
          <w:lang w:val="en-US" w:eastAsia="zh-CN"/>
        </w:rPr>
        <w:t>2026</w:t>
      </w:r>
      <w:r>
        <w:rPr>
          <w:rFonts w:hint="eastAsia" w:ascii="方正仿宋_GB2312" w:hAnsi="方正仿宋_GB2312" w:eastAsia="方正仿宋_GB2312" w:cs="方正仿宋_GB2312"/>
          <w:bCs/>
          <w:color w:val="000000"/>
          <w:sz w:val="28"/>
          <w:szCs w:val="28"/>
          <w:highlight w:val="white"/>
          <w:u w:val="none"/>
        </w:rPr>
        <w:t>年</w:t>
      </w:r>
      <w:r>
        <w:rPr>
          <w:rFonts w:hint="eastAsia" w:ascii="方正仿宋_GB2312" w:hAnsi="方正仿宋_GB2312" w:eastAsia="方正仿宋_GB2312" w:cs="方正仿宋_GB2312"/>
          <w:bCs/>
          <w:color w:val="000000"/>
          <w:sz w:val="28"/>
          <w:szCs w:val="28"/>
          <w:highlight w:val="white"/>
          <w:u w:val="none"/>
          <w:lang w:val="en-US" w:eastAsia="zh-CN"/>
        </w:rPr>
        <w:t>10</w:t>
      </w:r>
      <w:r>
        <w:rPr>
          <w:rFonts w:hint="eastAsia" w:ascii="方正仿宋_GB2312" w:hAnsi="方正仿宋_GB2312" w:eastAsia="方正仿宋_GB2312" w:cs="方正仿宋_GB2312"/>
          <w:bCs/>
          <w:color w:val="000000"/>
          <w:sz w:val="28"/>
          <w:szCs w:val="28"/>
          <w:highlight w:val="white"/>
          <w:u w:val="none"/>
        </w:rPr>
        <w:t>月</w:t>
      </w:r>
      <w:r>
        <w:rPr>
          <w:rFonts w:hint="eastAsia" w:ascii="方正仿宋_GB2312" w:hAnsi="方正仿宋_GB2312" w:eastAsia="方正仿宋_GB2312" w:cs="方正仿宋_GB2312"/>
          <w:bCs/>
          <w:color w:val="000000"/>
          <w:sz w:val="28"/>
          <w:szCs w:val="28"/>
          <w:highlight w:val="white"/>
          <w:u w:val="none"/>
          <w:lang w:val="en-US" w:eastAsia="zh-CN"/>
        </w:rPr>
        <w:t>27</w:t>
      </w:r>
      <w:r>
        <w:rPr>
          <w:rFonts w:hint="eastAsia" w:ascii="方正仿宋_GB2312" w:hAnsi="方正仿宋_GB2312" w:eastAsia="方正仿宋_GB2312" w:cs="方正仿宋_GB2312"/>
          <w:bCs/>
          <w:color w:val="000000"/>
          <w:sz w:val="28"/>
          <w:szCs w:val="28"/>
          <w:highlight w:val="white"/>
          <w:u w:val="none"/>
        </w:rPr>
        <w:t>日</w:t>
      </w:r>
      <w:r>
        <w:rPr>
          <w:rFonts w:hint="eastAsia" w:ascii="方正仿宋_GB2312" w:hAnsi="方正仿宋_GB2312" w:eastAsia="方正仿宋_GB2312" w:cs="方正仿宋_GB2312"/>
          <w:bCs/>
          <w:color w:val="000000"/>
          <w:sz w:val="28"/>
          <w:szCs w:val="28"/>
          <w:highlight w:val="white"/>
          <w:u w:val="none"/>
          <w:lang w:val="en-US" w:eastAsia="zh-CN"/>
        </w:rPr>
        <w:t>17</w:t>
      </w:r>
      <w:r>
        <w:rPr>
          <w:rFonts w:hint="eastAsia" w:ascii="方正仿宋_GB2312" w:hAnsi="方正仿宋_GB2312" w:eastAsia="方正仿宋_GB2312" w:cs="方正仿宋_GB2312"/>
          <w:bCs/>
          <w:color w:val="000000"/>
          <w:sz w:val="28"/>
          <w:szCs w:val="28"/>
          <w:highlight w:val="white"/>
          <w:u w:val="none"/>
        </w:rPr>
        <w:t>:</w:t>
      </w:r>
      <w:bookmarkEnd w:id="2"/>
      <w:r>
        <w:rPr>
          <w:rFonts w:hint="eastAsia" w:ascii="方正仿宋_GB2312" w:hAnsi="方正仿宋_GB2312" w:eastAsia="方正仿宋_GB2312" w:cs="方正仿宋_GB2312"/>
          <w:bCs/>
          <w:color w:val="000000"/>
          <w:sz w:val="28"/>
          <w:szCs w:val="28"/>
          <w:highlight w:val="white"/>
          <w:u w:val="none"/>
          <w:lang w:val="en-US" w:eastAsia="zh-CN"/>
        </w:rPr>
        <w:t>30</w:t>
      </w:r>
      <w:r>
        <w:rPr>
          <w:rFonts w:hint="eastAsia" w:ascii="方正仿宋_GB2312" w:hAnsi="方正仿宋_GB2312" w:eastAsia="方正仿宋_GB2312" w:cs="方正仿宋_GB2312"/>
          <w:bCs/>
          <w:color w:val="000000"/>
          <w:sz w:val="28"/>
          <w:szCs w:val="28"/>
          <w:highlight w:val="white"/>
        </w:rPr>
        <w:t>。</w:t>
      </w:r>
    </w:p>
    <w:p w14:paraId="1ABA9FE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Cs/>
          <w:color w:val="000000"/>
          <w:sz w:val="28"/>
          <w:szCs w:val="28"/>
          <w:highlight w:val="green"/>
        </w:rPr>
      </w:pPr>
      <w:r>
        <w:rPr>
          <w:rFonts w:hint="eastAsia" w:ascii="方正仿宋_GB2312" w:hAnsi="方正仿宋_GB2312" w:eastAsia="方正仿宋_GB2312" w:cs="方正仿宋_GB2312"/>
          <w:bCs/>
          <w:color w:val="000000"/>
          <w:sz w:val="28"/>
          <w:szCs w:val="28"/>
          <w:highlight w:val="white"/>
        </w:rPr>
        <w:t>供应商在宿迁市政府采购网（http://zfcg.sqcz.suqian.gov.cn/）找到本项目获取相关调研文件。</w:t>
      </w:r>
    </w:p>
    <w:p w14:paraId="2168C128">
      <w:pPr>
        <w:spacing w:line="500" w:lineRule="exact"/>
        <w:ind w:firstLine="562" w:firstLineChars="200"/>
        <w:rPr>
          <w:rFonts w:hint="eastAsia" w:ascii="方正仿宋_GB2312" w:hAnsi="方正仿宋_GB2312" w:eastAsia="方正仿宋_GB2312" w:cs="方正仿宋_GB2312"/>
          <w:b/>
          <w:sz w:val="28"/>
          <w:szCs w:val="28"/>
          <w:highlight w:val="white"/>
        </w:rPr>
      </w:pPr>
      <w:r>
        <w:rPr>
          <w:rFonts w:hint="eastAsia" w:ascii="方正仿宋_GB2312" w:hAnsi="方正仿宋_GB2312" w:eastAsia="方正仿宋_GB2312" w:cs="方正仿宋_GB2312"/>
          <w:b/>
          <w:sz w:val="28"/>
          <w:szCs w:val="28"/>
          <w:highlight w:val="white"/>
        </w:rPr>
        <w:t>四、调研提交资料、截止时间和地点</w:t>
      </w:r>
    </w:p>
    <w:p w14:paraId="13F54DB7">
      <w:pPr>
        <w:spacing w:line="500" w:lineRule="exact"/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  <w:highlight w:val="white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white"/>
        </w:rPr>
        <w:t>（一）采购需求响应表</w:t>
      </w:r>
    </w:p>
    <w:tbl>
      <w:tblPr>
        <w:tblStyle w:val="9"/>
        <w:tblW w:w="8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1264"/>
        <w:gridCol w:w="3302"/>
        <w:gridCol w:w="1886"/>
        <w:gridCol w:w="1374"/>
      </w:tblGrid>
      <w:tr w14:paraId="6FD32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4" w:type="dxa"/>
            <w:vAlign w:val="center"/>
          </w:tcPr>
          <w:p w14:paraId="1F47BDFB">
            <w:pPr>
              <w:spacing w:line="500" w:lineRule="exac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</w:rPr>
              <w:t>序号</w:t>
            </w:r>
          </w:p>
        </w:tc>
        <w:tc>
          <w:tcPr>
            <w:tcW w:w="1264" w:type="dxa"/>
            <w:vAlign w:val="center"/>
          </w:tcPr>
          <w:p w14:paraId="434D6FCC">
            <w:pPr>
              <w:spacing w:line="500" w:lineRule="exac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</w:rPr>
              <w:t>标的</w:t>
            </w:r>
          </w:p>
        </w:tc>
        <w:tc>
          <w:tcPr>
            <w:tcW w:w="3302" w:type="dxa"/>
            <w:vAlign w:val="center"/>
          </w:tcPr>
          <w:p w14:paraId="2425AB3F">
            <w:pPr>
              <w:spacing w:line="500" w:lineRule="exac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</w:rPr>
              <w:t>详细功能、技术参数或服务要求</w:t>
            </w:r>
          </w:p>
        </w:tc>
        <w:tc>
          <w:tcPr>
            <w:tcW w:w="1886" w:type="dxa"/>
            <w:vAlign w:val="center"/>
          </w:tcPr>
          <w:p w14:paraId="259FA50E">
            <w:pPr>
              <w:spacing w:line="500" w:lineRule="exac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</w:rPr>
              <w:t>自身优势</w:t>
            </w:r>
          </w:p>
        </w:tc>
        <w:tc>
          <w:tcPr>
            <w:tcW w:w="1374" w:type="dxa"/>
            <w:vAlign w:val="center"/>
          </w:tcPr>
          <w:p w14:paraId="3527A1AD">
            <w:pPr>
              <w:spacing w:line="500" w:lineRule="exac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</w:rPr>
              <w:t>参考价</w:t>
            </w:r>
          </w:p>
          <w:p w14:paraId="1E165EFA">
            <w:pPr>
              <w:spacing w:line="500" w:lineRule="exac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</w:rPr>
              <w:t>（万元）</w:t>
            </w:r>
          </w:p>
        </w:tc>
      </w:tr>
      <w:tr w14:paraId="2F4BC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4" w:type="dxa"/>
            <w:vAlign w:val="center"/>
          </w:tcPr>
          <w:p w14:paraId="40C97111">
            <w:pPr>
              <w:spacing w:line="500" w:lineRule="exac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</w:rPr>
            </w:pPr>
          </w:p>
        </w:tc>
        <w:tc>
          <w:tcPr>
            <w:tcW w:w="1264" w:type="dxa"/>
            <w:vAlign w:val="center"/>
          </w:tcPr>
          <w:p w14:paraId="70677B7B">
            <w:pPr>
              <w:spacing w:line="500" w:lineRule="exac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</w:rPr>
            </w:pPr>
          </w:p>
        </w:tc>
        <w:tc>
          <w:tcPr>
            <w:tcW w:w="3302" w:type="dxa"/>
            <w:vAlign w:val="center"/>
          </w:tcPr>
          <w:p w14:paraId="72D0C042">
            <w:pPr>
              <w:spacing w:line="500" w:lineRule="exac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</w:rPr>
            </w:pPr>
          </w:p>
        </w:tc>
        <w:tc>
          <w:tcPr>
            <w:tcW w:w="1886" w:type="dxa"/>
            <w:vAlign w:val="center"/>
          </w:tcPr>
          <w:p w14:paraId="5408DFD8">
            <w:pPr>
              <w:spacing w:line="500" w:lineRule="exac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</w:rPr>
            </w:pPr>
          </w:p>
        </w:tc>
        <w:tc>
          <w:tcPr>
            <w:tcW w:w="1374" w:type="dxa"/>
          </w:tcPr>
          <w:p w14:paraId="50EA8757">
            <w:pPr>
              <w:spacing w:line="500" w:lineRule="exac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</w:rPr>
            </w:pPr>
          </w:p>
        </w:tc>
      </w:tr>
      <w:tr w14:paraId="3DDB7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4" w:type="dxa"/>
            <w:vAlign w:val="center"/>
          </w:tcPr>
          <w:p w14:paraId="1193F779">
            <w:pPr>
              <w:spacing w:line="500" w:lineRule="exac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</w:rPr>
            </w:pPr>
          </w:p>
        </w:tc>
        <w:tc>
          <w:tcPr>
            <w:tcW w:w="1264" w:type="dxa"/>
            <w:vAlign w:val="center"/>
          </w:tcPr>
          <w:p w14:paraId="5D070B9D">
            <w:pPr>
              <w:spacing w:line="500" w:lineRule="exac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</w:rPr>
            </w:pPr>
          </w:p>
        </w:tc>
        <w:tc>
          <w:tcPr>
            <w:tcW w:w="3302" w:type="dxa"/>
            <w:vAlign w:val="center"/>
          </w:tcPr>
          <w:p w14:paraId="23BEE78B">
            <w:pPr>
              <w:spacing w:line="500" w:lineRule="exac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</w:rPr>
            </w:pPr>
          </w:p>
        </w:tc>
        <w:tc>
          <w:tcPr>
            <w:tcW w:w="1886" w:type="dxa"/>
            <w:vAlign w:val="center"/>
          </w:tcPr>
          <w:p w14:paraId="66115479">
            <w:pPr>
              <w:spacing w:line="500" w:lineRule="exac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</w:rPr>
            </w:pPr>
          </w:p>
        </w:tc>
        <w:tc>
          <w:tcPr>
            <w:tcW w:w="1374" w:type="dxa"/>
          </w:tcPr>
          <w:p w14:paraId="54C97167">
            <w:pPr>
              <w:spacing w:line="500" w:lineRule="exac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</w:rPr>
            </w:pPr>
          </w:p>
        </w:tc>
      </w:tr>
      <w:tr w14:paraId="42618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4" w:type="dxa"/>
            <w:vAlign w:val="center"/>
          </w:tcPr>
          <w:p w14:paraId="6E7A0CBB">
            <w:pPr>
              <w:spacing w:line="500" w:lineRule="exac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</w:rPr>
            </w:pPr>
          </w:p>
        </w:tc>
        <w:tc>
          <w:tcPr>
            <w:tcW w:w="1264" w:type="dxa"/>
            <w:vAlign w:val="center"/>
          </w:tcPr>
          <w:p w14:paraId="68E8430E">
            <w:pPr>
              <w:spacing w:line="500" w:lineRule="exac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</w:rPr>
            </w:pPr>
          </w:p>
        </w:tc>
        <w:tc>
          <w:tcPr>
            <w:tcW w:w="3302" w:type="dxa"/>
            <w:vAlign w:val="center"/>
          </w:tcPr>
          <w:p w14:paraId="7588EED9">
            <w:pPr>
              <w:spacing w:line="500" w:lineRule="exac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</w:rPr>
            </w:pPr>
          </w:p>
        </w:tc>
        <w:tc>
          <w:tcPr>
            <w:tcW w:w="1886" w:type="dxa"/>
            <w:vAlign w:val="center"/>
          </w:tcPr>
          <w:p w14:paraId="2C39D6E8">
            <w:pPr>
              <w:spacing w:line="500" w:lineRule="exac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</w:rPr>
            </w:pPr>
          </w:p>
        </w:tc>
        <w:tc>
          <w:tcPr>
            <w:tcW w:w="1374" w:type="dxa"/>
          </w:tcPr>
          <w:p w14:paraId="18A57633">
            <w:pPr>
              <w:spacing w:line="500" w:lineRule="exac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</w:rPr>
            </w:pPr>
          </w:p>
        </w:tc>
      </w:tr>
    </w:tbl>
    <w:p w14:paraId="097DBF60">
      <w:pPr>
        <w:spacing w:line="500" w:lineRule="exact"/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  <w:highlight w:val="white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white"/>
        </w:rPr>
        <w:t>（二）提交证明资料：</w:t>
      </w:r>
    </w:p>
    <w:p w14:paraId="5EF013C2">
      <w:pPr>
        <w:spacing w:line="500" w:lineRule="exact"/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  <w:highlight w:val="white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white"/>
        </w:rPr>
        <w:t>1.</w:t>
      </w:r>
    </w:p>
    <w:p w14:paraId="1993DA57">
      <w:pPr>
        <w:spacing w:line="500" w:lineRule="exact"/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  <w:highlight w:val="white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white"/>
        </w:rPr>
        <w:t>2.</w:t>
      </w:r>
    </w:p>
    <w:p w14:paraId="7C1D47EE">
      <w:pPr>
        <w:spacing w:line="500" w:lineRule="exact"/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  <w:highlight w:val="white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white"/>
        </w:rPr>
        <w:t>3.</w:t>
      </w:r>
    </w:p>
    <w:p w14:paraId="66CFEFD0">
      <w:pPr>
        <w:spacing w:line="500" w:lineRule="exact"/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  <w:highlight w:val="white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white"/>
        </w:rPr>
        <w:t>……</w:t>
      </w:r>
    </w:p>
    <w:p w14:paraId="18CDD5CF">
      <w:pPr>
        <w:spacing w:line="500" w:lineRule="exact"/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</w:rPr>
        <w:t>以上资料加盖供应商公章后扫描发送至邮箱（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  <w:t>scqylfwzx@163.com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</w:rPr>
        <w:t>），其中明确要求产品制造商提供的调研资料请加盖制造商公章后上传。</w:t>
      </w:r>
    </w:p>
    <w:p w14:paraId="7B257ABF">
      <w:pPr>
        <w:spacing w:line="500" w:lineRule="exact"/>
        <w:ind w:firstLine="560" w:firstLineChars="200"/>
        <w:rPr>
          <w:rFonts w:hint="eastAsia" w:ascii="方正仿宋_GB2312" w:hAnsi="方正仿宋_GB2312" w:eastAsia="方正仿宋_GB2312" w:cs="方正仿宋_GB2312"/>
          <w:bCs/>
          <w:color w:val="000000"/>
          <w:sz w:val="28"/>
          <w:szCs w:val="28"/>
          <w:highlight w:val="none"/>
          <w:u w:val="single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</w:rPr>
        <w:t>（三）</w:t>
      </w:r>
      <w:r>
        <w:rPr>
          <w:rFonts w:hint="eastAsia" w:ascii="方正仿宋_GB2312" w:hAnsi="方正仿宋_GB2312" w:eastAsia="方正仿宋_GB2312" w:cs="方正仿宋_GB2312"/>
          <w:kern w:val="0"/>
          <w:sz w:val="28"/>
          <w:szCs w:val="28"/>
          <w:highlight w:val="none"/>
        </w:rPr>
        <w:t>提交截止时间：</w:t>
      </w:r>
      <w:r>
        <w:rPr>
          <w:rFonts w:hint="eastAsia" w:ascii="方正仿宋_GB2312" w:hAnsi="方正仿宋_GB2312" w:eastAsia="方正仿宋_GB2312" w:cs="方正仿宋_GB2312"/>
          <w:bCs/>
          <w:color w:val="000000"/>
          <w:sz w:val="28"/>
          <w:szCs w:val="28"/>
          <w:highlight w:val="none"/>
          <w:u w:val="none"/>
          <w:lang w:val="en-US" w:eastAsia="zh-CN"/>
        </w:rPr>
        <w:t>2026</w:t>
      </w:r>
      <w:r>
        <w:rPr>
          <w:rFonts w:hint="eastAsia" w:ascii="方正仿宋_GB2312" w:hAnsi="方正仿宋_GB2312" w:eastAsia="方正仿宋_GB2312" w:cs="方正仿宋_GB2312"/>
          <w:bCs/>
          <w:color w:val="000000"/>
          <w:sz w:val="28"/>
          <w:szCs w:val="28"/>
          <w:highlight w:val="none"/>
          <w:u w:val="none"/>
        </w:rPr>
        <w:t>年</w:t>
      </w:r>
      <w:r>
        <w:rPr>
          <w:rFonts w:hint="eastAsia" w:ascii="方正仿宋_GB2312" w:hAnsi="方正仿宋_GB2312" w:eastAsia="方正仿宋_GB2312" w:cs="方正仿宋_GB2312"/>
          <w:bCs/>
          <w:color w:val="000000"/>
          <w:sz w:val="28"/>
          <w:szCs w:val="28"/>
          <w:highlight w:val="none"/>
          <w:u w:val="none"/>
          <w:lang w:val="en-US" w:eastAsia="zh-CN"/>
        </w:rPr>
        <w:t>10</w:t>
      </w:r>
      <w:r>
        <w:rPr>
          <w:rFonts w:hint="eastAsia" w:ascii="方正仿宋_GB2312" w:hAnsi="方正仿宋_GB2312" w:eastAsia="方正仿宋_GB2312" w:cs="方正仿宋_GB2312"/>
          <w:bCs/>
          <w:color w:val="000000"/>
          <w:sz w:val="28"/>
          <w:szCs w:val="28"/>
          <w:highlight w:val="none"/>
          <w:u w:val="none"/>
        </w:rPr>
        <w:t>月</w:t>
      </w:r>
      <w:r>
        <w:rPr>
          <w:rFonts w:hint="eastAsia" w:ascii="方正仿宋_GB2312" w:hAnsi="方正仿宋_GB2312" w:eastAsia="方正仿宋_GB2312" w:cs="方正仿宋_GB2312"/>
          <w:bCs/>
          <w:color w:val="000000"/>
          <w:sz w:val="28"/>
          <w:szCs w:val="28"/>
          <w:highlight w:val="none"/>
          <w:u w:val="none"/>
          <w:lang w:val="en-US" w:eastAsia="zh-CN"/>
        </w:rPr>
        <w:t>27</w:t>
      </w:r>
      <w:r>
        <w:rPr>
          <w:rFonts w:hint="eastAsia" w:ascii="方正仿宋_GB2312" w:hAnsi="方正仿宋_GB2312" w:eastAsia="方正仿宋_GB2312" w:cs="方正仿宋_GB2312"/>
          <w:bCs/>
          <w:color w:val="000000"/>
          <w:sz w:val="28"/>
          <w:szCs w:val="28"/>
          <w:highlight w:val="none"/>
          <w:u w:val="none"/>
        </w:rPr>
        <w:t>日</w:t>
      </w:r>
      <w:r>
        <w:rPr>
          <w:rFonts w:hint="eastAsia" w:ascii="方正仿宋_GB2312" w:hAnsi="方正仿宋_GB2312" w:eastAsia="方正仿宋_GB2312" w:cs="方正仿宋_GB2312"/>
          <w:bCs/>
          <w:color w:val="000000"/>
          <w:sz w:val="28"/>
          <w:szCs w:val="28"/>
          <w:highlight w:val="none"/>
          <w:u w:val="none"/>
          <w:lang w:val="en-US" w:eastAsia="zh-CN"/>
        </w:rPr>
        <w:t>17</w:t>
      </w:r>
      <w:r>
        <w:rPr>
          <w:rFonts w:hint="eastAsia" w:ascii="方正仿宋_GB2312" w:hAnsi="方正仿宋_GB2312" w:eastAsia="方正仿宋_GB2312" w:cs="方正仿宋_GB2312"/>
          <w:bCs/>
          <w:color w:val="000000"/>
          <w:sz w:val="28"/>
          <w:szCs w:val="28"/>
          <w:highlight w:val="none"/>
          <w:u w:val="none"/>
        </w:rPr>
        <w:t>:</w:t>
      </w:r>
      <w:r>
        <w:rPr>
          <w:rFonts w:hint="eastAsia" w:ascii="方正仿宋_GB2312" w:hAnsi="方正仿宋_GB2312" w:eastAsia="方正仿宋_GB2312" w:cs="方正仿宋_GB2312"/>
          <w:bCs/>
          <w:color w:val="000000"/>
          <w:sz w:val="28"/>
          <w:szCs w:val="28"/>
          <w:highlight w:val="none"/>
          <w:u w:val="none"/>
          <w:lang w:val="en-US" w:eastAsia="zh-CN"/>
        </w:rPr>
        <w:t>30</w:t>
      </w:r>
    </w:p>
    <w:p w14:paraId="6A611DDC">
      <w:pPr>
        <w:spacing w:line="500" w:lineRule="exact"/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  <w:highlight w:val="white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</w:rPr>
        <w:t>（四）供应商应提交截止时间前将电子响应文件发送至邮箱（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eastAsia="zh-CN"/>
        </w:rPr>
        <w:t>scqylfwzx@163.com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</w:rPr>
        <w:t>），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white"/>
        </w:rPr>
        <w:t>逾期完成发送的，采购人不予受理。</w:t>
      </w:r>
    </w:p>
    <w:p w14:paraId="64D5F1B0">
      <w:pPr>
        <w:spacing w:line="500" w:lineRule="exact"/>
        <w:ind w:firstLine="562" w:firstLineChars="200"/>
        <w:rPr>
          <w:rFonts w:hint="eastAsia" w:ascii="方正仿宋_GB2312" w:hAnsi="方正仿宋_GB2312" w:eastAsia="方正仿宋_GB2312" w:cs="方正仿宋_GB2312"/>
          <w:b/>
          <w:bCs/>
          <w:iCs/>
          <w:sz w:val="28"/>
          <w:szCs w:val="28"/>
          <w:highlight w:val="white"/>
        </w:rPr>
      </w:pPr>
      <w:r>
        <w:rPr>
          <w:rFonts w:hint="eastAsia" w:ascii="方正仿宋_GB2312" w:hAnsi="方正仿宋_GB2312" w:eastAsia="方正仿宋_GB2312" w:cs="方正仿宋_GB2312"/>
          <w:b/>
          <w:bCs/>
          <w:iCs/>
          <w:sz w:val="28"/>
          <w:szCs w:val="28"/>
          <w:highlight w:val="white"/>
        </w:rPr>
        <w:t>五、本次采购联系方式</w:t>
      </w:r>
    </w:p>
    <w:p w14:paraId="544380C8">
      <w:pPr>
        <w:spacing w:line="500" w:lineRule="exact"/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  <w:highlight w:val="white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white"/>
        </w:rPr>
        <w:t>1.采购人信息</w:t>
      </w:r>
    </w:p>
    <w:p w14:paraId="080D25E8">
      <w:pPr>
        <w:spacing w:line="500" w:lineRule="exact"/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  <w:highlight w:val="white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white"/>
        </w:rPr>
        <w:t>名称：宿迁市宿城区民政局</w:t>
      </w:r>
    </w:p>
    <w:p w14:paraId="5AFC9285">
      <w:pPr>
        <w:spacing w:line="500" w:lineRule="exact"/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  <w:highlight w:val="white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white"/>
        </w:rPr>
        <w:t>地址：宿迁市宿城区市民服务中心西北侧主楼7楼</w:t>
      </w:r>
    </w:p>
    <w:p w14:paraId="2B97A874">
      <w:pPr>
        <w:spacing w:line="500" w:lineRule="exact"/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  <w:highlight w:val="white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white"/>
        </w:rPr>
        <w:t>联系人：夏速一</w:t>
      </w:r>
    </w:p>
    <w:p w14:paraId="67990FA0">
      <w:pPr>
        <w:spacing w:line="500" w:lineRule="exact"/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  <w:highlight w:val="white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white"/>
        </w:rPr>
        <w:t>联系方式：0527-82960579</w:t>
      </w:r>
      <w:bookmarkEnd w:id="3"/>
    </w:p>
    <w:p w14:paraId="0B46B667">
      <w:pPr>
        <w:rPr>
          <w:rFonts w:hint="eastAsia" w:ascii="方正仿宋_GB2312" w:hAnsi="方正仿宋_GB2312" w:eastAsia="方正仿宋_GB2312" w:cs="方正仿宋_GB231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917DD0C9-6D59-4FBA-82CC-4D2D457FF5F5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ZhNGE1ZjA3OWVhYTQxNzRkYmQwYTJjYjg4OGRkYTAifQ=="/>
  </w:docVars>
  <w:rsids>
    <w:rsidRoot w:val="00BB5496"/>
    <w:rsid w:val="00036EDD"/>
    <w:rsid w:val="0007684E"/>
    <w:rsid w:val="00077253"/>
    <w:rsid w:val="001066D9"/>
    <w:rsid w:val="00175B5B"/>
    <w:rsid w:val="0019698F"/>
    <w:rsid w:val="00222B7F"/>
    <w:rsid w:val="002468D0"/>
    <w:rsid w:val="002E2966"/>
    <w:rsid w:val="002E30A6"/>
    <w:rsid w:val="003D405A"/>
    <w:rsid w:val="005015FE"/>
    <w:rsid w:val="0050465C"/>
    <w:rsid w:val="00586ACF"/>
    <w:rsid w:val="005C035B"/>
    <w:rsid w:val="005D572E"/>
    <w:rsid w:val="005E71DB"/>
    <w:rsid w:val="008D5780"/>
    <w:rsid w:val="0094356E"/>
    <w:rsid w:val="00985763"/>
    <w:rsid w:val="009B1C42"/>
    <w:rsid w:val="009E2E99"/>
    <w:rsid w:val="009E4DDF"/>
    <w:rsid w:val="009F4FB3"/>
    <w:rsid w:val="00AA5B7C"/>
    <w:rsid w:val="00AC2E0D"/>
    <w:rsid w:val="00AE6CA7"/>
    <w:rsid w:val="00B13D2C"/>
    <w:rsid w:val="00B708B9"/>
    <w:rsid w:val="00B7209E"/>
    <w:rsid w:val="00BB09C1"/>
    <w:rsid w:val="00BB5496"/>
    <w:rsid w:val="00C02226"/>
    <w:rsid w:val="00CB56A5"/>
    <w:rsid w:val="00D31DB4"/>
    <w:rsid w:val="00DA5981"/>
    <w:rsid w:val="00DD023B"/>
    <w:rsid w:val="00EF61A3"/>
    <w:rsid w:val="00FA57A6"/>
    <w:rsid w:val="04D8694E"/>
    <w:rsid w:val="06283890"/>
    <w:rsid w:val="0A2F7EAD"/>
    <w:rsid w:val="0AE0740A"/>
    <w:rsid w:val="0B756CA4"/>
    <w:rsid w:val="0CF64FD9"/>
    <w:rsid w:val="0D085B39"/>
    <w:rsid w:val="0E7923B1"/>
    <w:rsid w:val="13946135"/>
    <w:rsid w:val="141A0584"/>
    <w:rsid w:val="15E3044B"/>
    <w:rsid w:val="17D731F6"/>
    <w:rsid w:val="18F15406"/>
    <w:rsid w:val="196F62FD"/>
    <w:rsid w:val="19947A8F"/>
    <w:rsid w:val="1BD60356"/>
    <w:rsid w:val="1C9E6B95"/>
    <w:rsid w:val="1D141E95"/>
    <w:rsid w:val="1EEE0DF0"/>
    <w:rsid w:val="20E245E0"/>
    <w:rsid w:val="21FA5CFD"/>
    <w:rsid w:val="22B21C62"/>
    <w:rsid w:val="23BA7796"/>
    <w:rsid w:val="24EF141E"/>
    <w:rsid w:val="2527114A"/>
    <w:rsid w:val="253B28B5"/>
    <w:rsid w:val="26914E82"/>
    <w:rsid w:val="28612632"/>
    <w:rsid w:val="2AD815A5"/>
    <w:rsid w:val="2C511062"/>
    <w:rsid w:val="2D260BCB"/>
    <w:rsid w:val="2DBD655D"/>
    <w:rsid w:val="2E5340CC"/>
    <w:rsid w:val="30936632"/>
    <w:rsid w:val="3205209D"/>
    <w:rsid w:val="331D184C"/>
    <w:rsid w:val="333C4FE6"/>
    <w:rsid w:val="363A0B09"/>
    <w:rsid w:val="365323FF"/>
    <w:rsid w:val="371107C6"/>
    <w:rsid w:val="382D7206"/>
    <w:rsid w:val="3BA40DCD"/>
    <w:rsid w:val="3C6167CA"/>
    <w:rsid w:val="3FED574D"/>
    <w:rsid w:val="40182BD7"/>
    <w:rsid w:val="405F5252"/>
    <w:rsid w:val="437D2BFE"/>
    <w:rsid w:val="4762455C"/>
    <w:rsid w:val="48AB0A5A"/>
    <w:rsid w:val="492D2391"/>
    <w:rsid w:val="4A0B1E98"/>
    <w:rsid w:val="4BFE1DC3"/>
    <w:rsid w:val="4C107D48"/>
    <w:rsid w:val="4CC9532C"/>
    <w:rsid w:val="4D2361EF"/>
    <w:rsid w:val="4DAC584E"/>
    <w:rsid w:val="506B51A7"/>
    <w:rsid w:val="54062B96"/>
    <w:rsid w:val="54362370"/>
    <w:rsid w:val="565F6AC4"/>
    <w:rsid w:val="5B6F3AEF"/>
    <w:rsid w:val="5DCD7847"/>
    <w:rsid w:val="5FF26CD5"/>
    <w:rsid w:val="64B41DD2"/>
    <w:rsid w:val="679F0F2F"/>
    <w:rsid w:val="67D07A22"/>
    <w:rsid w:val="6C9F4AA4"/>
    <w:rsid w:val="6E316CC5"/>
    <w:rsid w:val="6F617513"/>
    <w:rsid w:val="76F93003"/>
    <w:rsid w:val="778560AF"/>
    <w:rsid w:val="7B844B2A"/>
    <w:rsid w:val="7BA125C7"/>
    <w:rsid w:val="7C77046D"/>
    <w:rsid w:val="7DF12C86"/>
    <w:rsid w:val="7ECA4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qFormat="1" w:unhideWhenUsed="0" w:uiPriority="0" w:semiHidden="0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0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3"/>
    <w:autoRedefine/>
    <w:qFormat/>
    <w:uiPriority w:val="0"/>
    <w:pPr>
      <w:keepNext/>
      <w:keepLines/>
      <w:spacing w:before="340" w:after="330" w:line="576" w:lineRule="auto"/>
      <w:outlineLvl w:val="0"/>
    </w:pPr>
    <w:rPr>
      <w:rFonts w:ascii="Times New Roman" w:hAnsi="Times New Roman"/>
      <w:b/>
      <w:kern w:val="44"/>
      <w:sz w:val="44"/>
      <w:szCs w:val="20"/>
    </w:rPr>
  </w:style>
  <w:style w:type="paragraph" w:styleId="3">
    <w:name w:val="heading 2"/>
    <w:basedOn w:val="1"/>
    <w:next w:val="1"/>
    <w:autoRedefine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able of authorities"/>
    <w:basedOn w:val="1"/>
    <w:next w:val="1"/>
    <w:autoRedefine/>
    <w:qFormat/>
    <w:uiPriority w:val="0"/>
    <w:pPr>
      <w:ind w:left="420" w:leftChars="200"/>
    </w:pPr>
    <w:rPr>
      <w:rFonts w:ascii="Times New Roman" w:hAnsi="Times New Roman" w:eastAsia="宋体" w:cs="Times New Roman"/>
      <w:szCs w:val="20"/>
    </w:rPr>
  </w:style>
  <w:style w:type="paragraph" w:styleId="5">
    <w:name w:val="Normal Indent"/>
    <w:basedOn w:val="1"/>
    <w:autoRedefine/>
    <w:qFormat/>
    <w:uiPriority w:val="0"/>
    <w:pPr>
      <w:ind w:firstLine="420"/>
    </w:pPr>
    <w:rPr>
      <w:szCs w:val="21"/>
    </w:rPr>
  </w:style>
  <w:style w:type="paragraph" w:styleId="6">
    <w:name w:val="annotation text"/>
    <w:basedOn w:val="1"/>
    <w:autoRedefine/>
    <w:semiHidden/>
    <w:unhideWhenUsed/>
    <w:qFormat/>
    <w:uiPriority w:val="99"/>
    <w:pPr>
      <w:jc w:val="left"/>
    </w:pPr>
  </w:style>
  <w:style w:type="paragraph" w:styleId="7">
    <w:name w:val="Body Text Indent 2"/>
    <w:basedOn w:val="1"/>
    <w:link w:val="24"/>
    <w:autoRedefine/>
    <w:semiHidden/>
    <w:unhideWhenUsed/>
    <w:qFormat/>
    <w:uiPriority w:val="0"/>
    <w:pPr>
      <w:spacing w:line="540" w:lineRule="exact"/>
      <w:ind w:firstLine="225" w:firstLineChars="225"/>
      <w:jc w:val="left"/>
    </w:pPr>
    <w:rPr>
      <w:rFonts w:ascii="仿宋_GB2312" w:eastAsia="仿宋_GB2312"/>
      <w:sz w:val="32"/>
    </w:rPr>
  </w:style>
  <w:style w:type="table" w:styleId="9">
    <w:name w:val="Table Grid"/>
    <w:basedOn w:val="8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autoRedefine/>
    <w:qFormat/>
    <w:uiPriority w:val="22"/>
  </w:style>
  <w:style w:type="character" w:styleId="12">
    <w:name w:val="FollowedHyperlink"/>
    <w:basedOn w:val="10"/>
    <w:autoRedefine/>
    <w:semiHidden/>
    <w:unhideWhenUsed/>
    <w:qFormat/>
    <w:uiPriority w:val="99"/>
    <w:rPr>
      <w:color w:val="800080"/>
      <w:u w:val="none"/>
    </w:rPr>
  </w:style>
  <w:style w:type="character" w:styleId="13">
    <w:name w:val="Emphasis"/>
    <w:basedOn w:val="10"/>
    <w:autoRedefine/>
    <w:qFormat/>
    <w:uiPriority w:val="20"/>
  </w:style>
  <w:style w:type="character" w:styleId="14">
    <w:name w:val="HTML Definition"/>
    <w:basedOn w:val="10"/>
    <w:autoRedefine/>
    <w:semiHidden/>
    <w:unhideWhenUsed/>
    <w:qFormat/>
    <w:uiPriority w:val="99"/>
  </w:style>
  <w:style w:type="character" w:styleId="15">
    <w:name w:val="HTML Typewriter"/>
    <w:basedOn w:val="10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6">
    <w:name w:val="HTML Acronym"/>
    <w:basedOn w:val="10"/>
    <w:autoRedefine/>
    <w:semiHidden/>
    <w:unhideWhenUsed/>
    <w:qFormat/>
    <w:uiPriority w:val="99"/>
  </w:style>
  <w:style w:type="character" w:styleId="17">
    <w:name w:val="HTML Variable"/>
    <w:basedOn w:val="10"/>
    <w:autoRedefine/>
    <w:semiHidden/>
    <w:unhideWhenUsed/>
    <w:qFormat/>
    <w:uiPriority w:val="99"/>
  </w:style>
  <w:style w:type="character" w:styleId="18">
    <w:name w:val="Hyperlink"/>
    <w:basedOn w:val="10"/>
    <w:autoRedefine/>
    <w:semiHidden/>
    <w:unhideWhenUsed/>
    <w:qFormat/>
    <w:uiPriority w:val="99"/>
    <w:rPr>
      <w:color w:val="0000FF"/>
      <w:u w:val="none"/>
    </w:rPr>
  </w:style>
  <w:style w:type="character" w:styleId="19">
    <w:name w:val="HTML Code"/>
    <w:basedOn w:val="10"/>
    <w:autoRedefine/>
    <w:semiHidden/>
    <w:unhideWhenUsed/>
    <w:qFormat/>
    <w:uiPriority w:val="99"/>
    <w:rPr>
      <w:rFonts w:ascii="monospace" w:hAnsi="monospace" w:eastAsia="monospace" w:cs="monospace"/>
      <w:sz w:val="20"/>
    </w:rPr>
  </w:style>
  <w:style w:type="character" w:styleId="20">
    <w:name w:val="HTML Cite"/>
    <w:basedOn w:val="10"/>
    <w:autoRedefine/>
    <w:semiHidden/>
    <w:unhideWhenUsed/>
    <w:qFormat/>
    <w:uiPriority w:val="99"/>
  </w:style>
  <w:style w:type="character" w:styleId="21">
    <w:name w:val="HTML Keyboard"/>
    <w:basedOn w:val="10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2">
    <w:name w:val="HTML Sample"/>
    <w:basedOn w:val="10"/>
    <w:autoRedefine/>
    <w:semiHidden/>
    <w:unhideWhenUsed/>
    <w:qFormat/>
    <w:uiPriority w:val="99"/>
    <w:rPr>
      <w:rFonts w:hint="default" w:ascii="monospace" w:hAnsi="monospace" w:eastAsia="monospace" w:cs="monospace"/>
    </w:rPr>
  </w:style>
  <w:style w:type="character" w:customStyle="1" w:styleId="23">
    <w:name w:val="标题 1 字符"/>
    <w:basedOn w:val="10"/>
    <w:link w:val="2"/>
    <w:autoRedefine/>
    <w:qFormat/>
    <w:uiPriority w:val="0"/>
    <w:rPr>
      <w:rFonts w:ascii="Times New Roman" w:hAnsi="Times New Roman" w:eastAsia="宋体" w:cs="Times New Roman"/>
      <w:b/>
      <w:kern w:val="44"/>
      <w:sz w:val="44"/>
      <w:szCs w:val="20"/>
    </w:rPr>
  </w:style>
  <w:style w:type="character" w:customStyle="1" w:styleId="24">
    <w:name w:val="正文文本缩进 2 字符"/>
    <w:basedOn w:val="10"/>
    <w:link w:val="7"/>
    <w:autoRedefine/>
    <w:semiHidden/>
    <w:qFormat/>
    <w:uiPriority w:val="0"/>
    <w:rPr>
      <w:rFonts w:ascii="仿宋_GB2312" w:hAnsi="Calibri" w:eastAsia="仿宋_GB2312" w:cs="Times New Roman"/>
      <w:sz w:val="32"/>
    </w:rPr>
  </w:style>
  <w:style w:type="character" w:customStyle="1" w:styleId="25">
    <w:name w:val="old"/>
    <w:basedOn w:val="10"/>
    <w:autoRedefine/>
    <w:qFormat/>
    <w:uiPriority w:val="0"/>
    <w:rPr>
      <w:color w:val="999999"/>
    </w:rPr>
  </w:style>
  <w:style w:type="character" w:customStyle="1" w:styleId="26">
    <w:name w:val="layui-layer-tabnow"/>
    <w:basedOn w:val="10"/>
    <w:autoRedefine/>
    <w:qFormat/>
    <w:uiPriority w:val="0"/>
    <w:rPr>
      <w:bdr w:val="single" w:color="CCCCCC" w:sz="6" w:space="0"/>
      <w:shd w:val="clear" w:fill="FFFFFF"/>
    </w:rPr>
  </w:style>
  <w:style w:type="character" w:customStyle="1" w:styleId="27">
    <w:name w:val="glyphicon"/>
    <w:basedOn w:val="10"/>
    <w:autoRedefine/>
    <w:qFormat/>
    <w:uiPriority w:val="0"/>
  </w:style>
  <w:style w:type="character" w:customStyle="1" w:styleId="28">
    <w:name w:val="hour_am"/>
    <w:basedOn w:val="10"/>
    <w:autoRedefine/>
    <w:qFormat/>
    <w:uiPriority w:val="0"/>
  </w:style>
  <w:style w:type="character" w:customStyle="1" w:styleId="29">
    <w:name w:val="hover5"/>
    <w:basedOn w:val="10"/>
    <w:autoRedefine/>
    <w:qFormat/>
    <w:uiPriority w:val="0"/>
    <w:rPr>
      <w:shd w:val="clear" w:fill="EEEEEE"/>
    </w:rPr>
  </w:style>
  <w:style w:type="character" w:customStyle="1" w:styleId="30">
    <w:name w:val="hour_pm"/>
    <w:basedOn w:val="10"/>
    <w:autoRedefine/>
    <w:qFormat/>
    <w:uiPriority w:val="0"/>
  </w:style>
  <w:style w:type="character" w:customStyle="1" w:styleId="31">
    <w:name w:val="first-child"/>
    <w:basedOn w:val="10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21237B-81AE-4AF4-AB3A-081D35362E7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1291</Words>
  <Characters>1433</Characters>
  <Lines>5</Lines>
  <Paragraphs>1</Paragraphs>
  <TotalTime>1</TotalTime>
  <ScaleCrop>false</ScaleCrop>
  <LinksUpToDate>false</LinksUpToDate>
  <CharactersWithSpaces>1433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2022-07-18T08:10:00Z</dcterms:created>
  <dc:creator>sqzbbzbs@163.com</dc:creator>
  <cp:lastModifiedBy>春暖花开</cp:lastModifiedBy>
  <dcterms:modified xsi:type="dcterms:W3CDTF">2026-10-21T08:12:19Z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D0DBA5F50C7545B9AB07CE0AD9518293_13</vt:lpwstr>
  </property>
  <property fmtid="{D5CDD505-2E9C-101B-9397-08002B2CF9AE}" pid="4" name="KSOTemplateDocerSaveRecord">
    <vt:lpwstr>eyJoZGlkIjoiM2RiZDY3MGZmNmQwNWIyMzE4OGQwOGVlN2EwM2I1NjgiLCJ1c2VySWQiOiI0MTAzODI5MzAifQ==</vt:lpwstr>
  </property>
</Properties>
</file>