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F2584">
      <w:pPr>
        <w:spacing w:before="120" w:after="120" w:line="360" w:lineRule="auto"/>
        <w:jc w:val="left"/>
        <w:rPr>
          <w:rFonts w:hint="eastAsia" w:ascii="仿宋" w:hAnsi="仿宋" w:eastAsia="仿宋" w:cs="仿宋"/>
          <w:b/>
          <w:bCs/>
          <w:color w:val="auto"/>
          <w:sz w:val="84"/>
        </w:rPr>
      </w:pPr>
    </w:p>
    <w:p w14:paraId="04A287A7">
      <w:pPr>
        <w:spacing w:before="120" w:after="120" w:line="360" w:lineRule="auto"/>
        <w:jc w:val="center"/>
        <w:rPr>
          <w:rFonts w:hint="eastAsia" w:ascii="仿宋" w:hAnsi="仿宋" w:eastAsia="仿宋" w:cs="仿宋"/>
          <w:b/>
          <w:bCs/>
          <w:color w:val="auto"/>
          <w:sz w:val="84"/>
        </w:rPr>
      </w:pPr>
      <w:r>
        <w:rPr>
          <w:rFonts w:hint="eastAsia" w:ascii="仿宋" w:hAnsi="仿宋" w:eastAsia="仿宋" w:cs="仿宋"/>
          <w:b/>
          <w:bCs/>
          <w:color w:val="auto"/>
          <w:sz w:val="84"/>
        </w:rPr>
        <w:t>招　标　文　件</w:t>
      </w:r>
    </w:p>
    <w:p w14:paraId="341A9048">
      <w:pPr>
        <w:spacing w:before="120" w:after="120" w:line="360" w:lineRule="auto"/>
        <w:jc w:val="center"/>
        <w:rPr>
          <w:rFonts w:hint="eastAsia" w:ascii="黑体" w:hAnsi="黑体" w:eastAsia="黑体"/>
          <w:b/>
          <w:bCs/>
          <w:color w:val="auto"/>
          <w:sz w:val="32"/>
          <w:szCs w:val="32"/>
        </w:rPr>
      </w:pPr>
      <w:bookmarkStart w:id="0" w:name="_Toc120614210"/>
      <w:bookmarkStart w:id="1" w:name="_Toc479757206"/>
      <w:bookmarkStart w:id="2" w:name="_Toc513029200"/>
      <w:bookmarkStart w:id="3" w:name="_Toc16938516"/>
      <w:bookmarkStart w:id="4" w:name="_Toc20823272"/>
      <w:bookmarkStart w:id="5" w:name="_Toc523127445"/>
    </w:p>
    <w:p w14:paraId="67B8BE57">
      <w:pPr>
        <w:spacing w:before="120" w:after="120" w:line="360" w:lineRule="auto"/>
        <w:jc w:val="center"/>
        <w:rPr>
          <w:rFonts w:hint="eastAsia" w:ascii="黑体" w:hAnsi="黑体" w:eastAsia="黑体"/>
          <w:b/>
          <w:bCs/>
          <w:color w:val="auto"/>
          <w:sz w:val="32"/>
          <w:szCs w:val="32"/>
        </w:rPr>
      </w:pPr>
    </w:p>
    <w:p w14:paraId="7F61FB05">
      <w:pPr>
        <w:spacing w:before="120" w:after="120" w:line="360" w:lineRule="auto"/>
        <w:jc w:val="center"/>
        <w:rPr>
          <w:rFonts w:hint="eastAsia" w:ascii="黑体" w:hAnsi="黑体" w:eastAsia="黑体"/>
          <w:b/>
          <w:bCs/>
          <w:color w:val="auto"/>
          <w:sz w:val="32"/>
          <w:szCs w:val="32"/>
          <w:lang w:eastAsia="zh-CN"/>
        </w:rPr>
      </w:pPr>
      <w:r>
        <w:rPr>
          <w:rFonts w:hint="eastAsia" w:ascii="黑体" w:hAnsi="黑体" w:eastAsia="黑体"/>
          <w:b/>
          <w:bCs/>
          <w:color w:val="auto"/>
          <w:sz w:val="32"/>
          <w:szCs w:val="32"/>
        </w:rPr>
        <w:t>项目名称：</w:t>
      </w:r>
      <w:r>
        <w:rPr>
          <w:rFonts w:hint="eastAsia" w:ascii="黑体" w:hAnsi="黑体" w:eastAsia="黑体"/>
          <w:b/>
          <w:color w:val="auto"/>
          <w:sz w:val="32"/>
          <w:szCs w:val="32"/>
          <w:lang w:eastAsia="zh-CN"/>
        </w:rPr>
        <w:t>市教育局全市集成专网标准化考点维保项目</w:t>
      </w:r>
    </w:p>
    <w:p w14:paraId="0E06A5DB">
      <w:pPr>
        <w:spacing w:before="120" w:after="120" w:line="360" w:lineRule="auto"/>
        <w:jc w:val="center"/>
        <w:rPr>
          <w:rFonts w:hint="eastAsia" w:ascii="黑体" w:hAnsi="黑体" w:eastAsia="黑体"/>
          <w:b/>
          <w:bCs/>
          <w:color w:val="auto"/>
          <w:sz w:val="32"/>
          <w:szCs w:val="32"/>
          <w:lang w:eastAsia="zh-CN"/>
        </w:rPr>
      </w:pPr>
      <w:r>
        <w:rPr>
          <w:rFonts w:hint="eastAsia" w:ascii="黑体" w:hAnsi="黑体" w:eastAsia="黑体"/>
          <w:b/>
          <w:bCs/>
          <w:color w:val="auto"/>
          <w:sz w:val="32"/>
          <w:szCs w:val="32"/>
        </w:rPr>
        <w:t>项目编号：</w:t>
      </w:r>
      <w:r>
        <w:rPr>
          <w:rFonts w:hint="eastAsia" w:ascii="黑体" w:hAnsi="黑体" w:eastAsia="黑体"/>
          <w:b/>
          <w:bCs/>
          <w:color w:val="auto"/>
          <w:sz w:val="32"/>
          <w:szCs w:val="32"/>
          <w:lang w:eastAsia="zh-CN"/>
        </w:rPr>
        <w:t>JSZC-321300-SXHY-G2026-000</w:t>
      </w:r>
      <w:r>
        <w:rPr>
          <w:rFonts w:hint="eastAsia" w:ascii="黑体" w:hAnsi="黑体" w:eastAsia="黑体"/>
          <w:b/>
          <w:bCs/>
          <w:color w:val="auto"/>
          <w:sz w:val="32"/>
          <w:szCs w:val="32"/>
          <w:lang w:val="en-US" w:eastAsia="zh-CN"/>
        </w:rPr>
        <w:t>4</w:t>
      </w:r>
    </w:p>
    <w:p w14:paraId="3F17F6C4">
      <w:pPr>
        <w:spacing w:before="120" w:after="120" w:line="360" w:lineRule="auto"/>
        <w:jc w:val="center"/>
        <w:rPr>
          <w:rFonts w:hint="eastAsia" w:ascii="黑体" w:hAnsi="黑体" w:eastAsia="黑体"/>
          <w:b/>
          <w:bCs/>
          <w:color w:val="auto"/>
          <w:sz w:val="32"/>
          <w:szCs w:val="32"/>
        </w:rPr>
      </w:pPr>
      <w:r>
        <w:rPr>
          <w:rFonts w:hint="eastAsia" w:ascii="黑体" w:hAnsi="黑体" w:eastAsia="黑体"/>
          <w:b/>
          <w:bCs/>
          <w:color w:val="auto"/>
          <w:sz w:val="32"/>
          <w:szCs w:val="32"/>
        </w:rPr>
        <w:t>（</w:t>
      </w:r>
      <w:r>
        <w:rPr>
          <w:rFonts w:hint="eastAsia" w:ascii="黑体" w:hAnsi="黑体" w:eastAsia="黑体"/>
          <w:b/>
          <w:bCs/>
          <w:color w:val="auto"/>
          <w:sz w:val="32"/>
          <w:szCs w:val="32"/>
          <w:u w:val="single"/>
        </w:rPr>
        <w:t>服务</w:t>
      </w:r>
      <w:r>
        <w:rPr>
          <w:rFonts w:hint="eastAsia" w:ascii="黑体" w:hAnsi="黑体" w:eastAsia="黑体"/>
          <w:b/>
          <w:bCs/>
          <w:color w:val="auto"/>
          <w:sz w:val="32"/>
          <w:szCs w:val="32"/>
        </w:rPr>
        <w:t xml:space="preserve">类项目， </w:t>
      </w:r>
      <w:r>
        <w:rPr>
          <w:rFonts w:hint="eastAsia" w:ascii="黑体" w:hAnsi="黑体" w:eastAsia="黑体"/>
          <w:b/>
          <w:bCs/>
          <w:color w:val="auto"/>
          <w:sz w:val="32"/>
          <w:szCs w:val="32"/>
          <w:u w:val="single"/>
        </w:rPr>
        <w:t>非</w:t>
      </w:r>
      <w:r>
        <w:rPr>
          <w:rFonts w:hint="eastAsia" w:ascii="黑体" w:hAnsi="黑体" w:eastAsia="黑体"/>
          <w:b/>
          <w:bCs/>
          <w:color w:val="auto"/>
          <w:sz w:val="32"/>
          <w:szCs w:val="32"/>
        </w:rPr>
        <w:t>专门面向中小企业）</w:t>
      </w:r>
    </w:p>
    <w:p w14:paraId="164D2821">
      <w:pPr>
        <w:pStyle w:val="225"/>
        <w:spacing w:before="0" w:after="0"/>
        <w:ind w:firstLine="0"/>
        <w:rPr>
          <w:rFonts w:ascii="Times New Roman" w:hAnsi="Times New Roman"/>
          <w:color w:val="auto"/>
        </w:rPr>
      </w:pPr>
    </w:p>
    <w:p w14:paraId="654110D9">
      <w:pPr>
        <w:pStyle w:val="225"/>
        <w:spacing w:before="0" w:after="0"/>
        <w:ind w:firstLine="0"/>
        <w:rPr>
          <w:rFonts w:ascii="Times New Roman" w:hAnsi="Times New Roman"/>
          <w:color w:val="auto"/>
        </w:rPr>
      </w:pPr>
    </w:p>
    <w:p w14:paraId="70D8FC21">
      <w:pPr>
        <w:pStyle w:val="225"/>
        <w:spacing w:before="0" w:after="0"/>
        <w:ind w:firstLine="0"/>
        <w:rPr>
          <w:rFonts w:ascii="Times New Roman" w:hAnsi="Times New Roman"/>
          <w:color w:val="auto"/>
        </w:rPr>
      </w:pPr>
    </w:p>
    <w:p w14:paraId="581630A6">
      <w:pPr>
        <w:pStyle w:val="225"/>
        <w:ind w:firstLine="0"/>
        <w:jc w:val="both"/>
        <w:rPr>
          <w:rFonts w:hint="eastAsia" w:ascii="黑体" w:hAnsi="黑体" w:eastAsia="黑体"/>
          <w:b/>
          <w:bCs/>
          <w:color w:val="auto"/>
          <w:sz w:val="32"/>
        </w:rPr>
      </w:pPr>
    </w:p>
    <w:p w14:paraId="4856BFDA">
      <w:pPr>
        <w:pStyle w:val="225"/>
        <w:ind w:firstLine="1690"/>
        <w:jc w:val="both"/>
        <w:rPr>
          <w:rFonts w:hint="eastAsia" w:ascii="黑体" w:hAnsi="黑体" w:eastAsia="黑体"/>
          <w:b/>
          <w:bCs/>
          <w:color w:val="auto"/>
          <w:sz w:val="32"/>
        </w:rPr>
      </w:pPr>
    </w:p>
    <w:p w14:paraId="247BB5D0">
      <w:pPr>
        <w:pStyle w:val="225"/>
        <w:jc w:val="both"/>
        <w:rPr>
          <w:rFonts w:hint="eastAsia" w:ascii="黑体" w:hAnsi="黑体" w:eastAsia="黑体"/>
          <w:b/>
          <w:bCs/>
          <w:color w:val="auto"/>
          <w:sz w:val="32"/>
          <w:u w:val="single"/>
        </w:rPr>
      </w:pPr>
      <w:r>
        <w:rPr>
          <w:rFonts w:hint="eastAsia" w:ascii="黑体" w:hAnsi="黑体" w:eastAsia="黑体"/>
          <w:b/>
          <w:bCs/>
          <w:color w:val="auto"/>
          <w:sz w:val="32"/>
        </w:rPr>
        <w:t>采购人：</w:t>
      </w:r>
      <w:r>
        <w:rPr>
          <w:rFonts w:hint="eastAsia" w:ascii="黑体" w:hAnsi="黑体" w:eastAsia="黑体"/>
          <w:b/>
          <w:color w:val="auto"/>
          <w:sz w:val="30"/>
          <w:szCs w:val="30"/>
          <w:u w:val="single"/>
        </w:rPr>
        <w:t>宿迁市教育局、宿迁市楚润数据集团有限公司</w:t>
      </w:r>
    </w:p>
    <w:p w14:paraId="03D08C54">
      <w:pPr>
        <w:pStyle w:val="225"/>
        <w:jc w:val="both"/>
        <w:rPr>
          <w:rFonts w:hint="eastAsia" w:ascii="黑体" w:hAnsi="黑体" w:eastAsia="黑体"/>
          <w:b/>
          <w:bCs/>
          <w:color w:val="auto"/>
          <w:sz w:val="32"/>
          <w:u w:val="single"/>
        </w:rPr>
      </w:pPr>
      <w:r>
        <w:rPr>
          <w:rFonts w:hint="eastAsia" w:ascii="黑体" w:hAnsi="黑体" w:eastAsia="黑体"/>
          <w:b/>
          <w:bCs/>
          <w:color w:val="auto"/>
          <w:sz w:val="32"/>
        </w:rPr>
        <w:t>采购代理机构：</w:t>
      </w:r>
      <w:r>
        <w:rPr>
          <w:rFonts w:hint="eastAsia" w:ascii="黑体" w:hAnsi="黑体" w:eastAsia="黑体"/>
          <w:b/>
          <w:color w:val="auto"/>
          <w:sz w:val="30"/>
          <w:szCs w:val="30"/>
          <w:u w:val="single"/>
        </w:rPr>
        <w:t xml:space="preserve"> 江苏星河源房地产评估工程咨询有限公司</w:t>
      </w:r>
    </w:p>
    <w:p w14:paraId="3A7FC190">
      <w:pPr>
        <w:pStyle w:val="225"/>
        <w:ind w:firstLine="0"/>
        <w:jc w:val="center"/>
        <w:rPr>
          <w:rFonts w:hint="eastAsia" w:ascii="黑体" w:hAnsi="黑体" w:eastAsia="黑体"/>
          <w:b/>
          <w:bCs/>
          <w:color w:val="auto"/>
          <w:sz w:val="32"/>
          <w:u w:val="single"/>
        </w:rPr>
      </w:pPr>
      <w:r>
        <w:rPr>
          <w:rFonts w:hint="eastAsia" w:ascii="黑体" w:hAnsi="黑体" w:eastAsia="黑体"/>
          <w:b/>
          <w:bCs/>
          <w:color w:val="auto"/>
          <w:sz w:val="32"/>
          <w:u w:val="single"/>
        </w:rPr>
        <w:t>2026</w:t>
      </w:r>
      <w:r>
        <w:rPr>
          <w:rFonts w:hint="eastAsia" w:ascii="黑体" w:hAnsi="黑体" w:eastAsia="黑体"/>
          <w:b/>
          <w:bCs/>
          <w:color w:val="auto"/>
          <w:sz w:val="32"/>
        </w:rPr>
        <w:t>年</w:t>
      </w:r>
      <w:r>
        <w:rPr>
          <w:rFonts w:hint="eastAsia" w:ascii="黑体" w:hAnsi="黑体" w:eastAsia="黑体"/>
          <w:b/>
          <w:bCs/>
          <w:color w:val="auto"/>
          <w:sz w:val="32"/>
          <w:u w:val="single"/>
          <w:lang w:val="en-US" w:eastAsia="zh-CN"/>
        </w:rPr>
        <w:t>10</w:t>
      </w:r>
      <w:r>
        <w:rPr>
          <w:rFonts w:hint="eastAsia" w:ascii="黑体" w:hAnsi="黑体" w:eastAsia="黑体"/>
          <w:b/>
          <w:bCs/>
          <w:color w:val="auto"/>
          <w:sz w:val="32"/>
        </w:rPr>
        <w:t>月</w:t>
      </w:r>
      <w:r>
        <w:rPr>
          <w:rFonts w:hint="eastAsia" w:ascii="黑体" w:hAnsi="黑体" w:eastAsia="黑体"/>
          <w:b/>
          <w:bCs/>
          <w:color w:val="auto"/>
          <w:sz w:val="32"/>
          <w:u w:val="single"/>
          <w:lang w:val="en-US" w:eastAsia="zh-CN"/>
        </w:rPr>
        <w:t>14</w:t>
      </w:r>
      <w:r>
        <w:rPr>
          <w:rFonts w:hint="eastAsia" w:ascii="黑体" w:hAnsi="黑体" w:eastAsia="黑体"/>
          <w:b/>
          <w:bCs/>
          <w:color w:val="auto"/>
          <w:sz w:val="32"/>
        </w:rPr>
        <w:t>日</w:t>
      </w:r>
    </w:p>
    <w:p w14:paraId="04741710">
      <w:pPr>
        <w:spacing w:line="480" w:lineRule="auto"/>
        <w:jc w:val="center"/>
        <w:rPr>
          <w:rFonts w:hint="eastAsia" w:ascii="仿宋" w:hAnsi="仿宋" w:eastAsia="仿宋" w:cs="仿宋"/>
          <w:b/>
          <w:color w:val="auto"/>
          <w:sz w:val="44"/>
          <w:szCs w:val="21"/>
        </w:rPr>
        <w:sectPr>
          <w:headerReference r:id="rId3" w:type="default"/>
          <w:footerReference r:id="rId4" w:type="default"/>
          <w:footerReference r:id="rId5" w:type="even"/>
          <w:pgSz w:w="11906" w:h="16838"/>
          <w:pgMar w:top="1418" w:right="1588" w:bottom="1418" w:left="1365" w:header="851" w:footer="907" w:gutter="0"/>
          <w:pgNumType w:start="78"/>
          <w:cols w:space="720" w:num="1"/>
          <w:titlePg/>
          <w:docGrid w:linePitch="360" w:charSpace="0"/>
        </w:sectPr>
      </w:pPr>
    </w:p>
    <w:p w14:paraId="5EDFCDC9">
      <w:pPr>
        <w:spacing w:line="480" w:lineRule="auto"/>
        <w:jc w:val="center"/>
        <w:rPr>
          <w:rFonts w:hint="eastAsia" w:ascii="仿宋" w:hAnsi="仿宋" w:eastAsia="仿宋" w:cs="仿宋"/>
          <w:b/>
          <w:color w:val="auto"/>
          <w:sz w:val="28"/>
          <w:szCs w:val="21"/>
        </w:rPr>
      </w:pPr>
      <w:r>
        <w:rPr>
          <w:rFonts w:hint="eastAsia" w:ascii="仿宋" w:hAnsi="仿宋" w:eastAsia="仿宋" w:cs="仿宋"/>
          <w:b/>
          <w:color w:val="auto"/>
          <w:sz w:val="44"/>
          <w:szCs w:val="21"/>
        </w:rPr>
        <w:t>总  目  录</w:t>
      </w:r>
    </w:p>
    <w:p w14:paraId="52F46B2E">
      <w:pPr>
        <w:tabs>
          <w:tab w:val="right" w:leader="dot" w:pos="8953"/>
        </w:tabs>
        <w:spacing w:before="120" w:after="120" w:line="400" w:lineRule="exact"/>
        <w:jc w:val="left"/>
        <w:rPr>
          <w:rFonts w:hint="eastAsia" w:ascii="仿宋" w:hAnsi="仿宋" w:eastAsia="仿宋" w:cs="仿宋"/>
          <w:b/>
          <w:bCs/>
          <w:caps/>
          <w:color w:val="auto"/>
          <w:sz w:val="28"/>
          <w:szCs w:val="28"/>
        </w:rPr>
      </w:pPr>
      <w:r>
        <w:rPr>
          <w:rFonts w:hint="eastAsia" w:ascii="仿宋" w:hAnsi="仿宋" w:eastAsia="仿宋" w:cs="仿宋"/>
          <w:b/>
          <w:bCs/>
          <w:caps/>
          <w:color w:val="auto"/>
          <w:sz w:val="36"/>
          <w:szCs w:val="36"/>
        </w:rPr>
        <w:fldChar w:fldCharType="begin"/>
      </w:r>
      <w:r>
        <w:rPr>
          <w:rFonts w:hint="eastAsia" w:ascii="仿宋" w:hAnsi="仿宋" w:eastAsia="仿宋" w:cs="仿宋"/>
          <w:b/>
          <w:bCs/>
          <w:caps/>
          <w:color w:val="auto"/>
          <w:sz w:val="36"/>
          <w:szCs w:val="36"/>
        </w:rPr>
        <w:instrText xml:space="preserve">TOC \o "1-1" \h \u </w:instrText>
      </w:r>
      <w:r>
        <w:rPr>
          <w:rFonts w:hint="eastAsia" w:ascii="仿宋" w:hAnsi="仿宋" w:eastAsia="仿宋" w:cs="仿宋"/>
          <w:b/>
          <w:bCs/>
          <w:caps/>
          <w:color w:val="auto"/>
          <w:sz w:val="36"/>
          <w:szCs w:val="36"/>
        </w:rPr>
        <w:fldChar w:fldCharType="separate"/>
      </w:r>
      <w:r>
        <w:rPr>
          <w:color w:val="auto"/>
        </w:rPr>
        <w:fldChar w:fldCharType="begin"/>
      </w:r>
      <w:r>
        <w:rPr>
          <w:color w:val="auto"/>
        </w:rPr>
        <w:instrText xml:space="preserve"> HYPERLINK \l "_Toc3314" </w:instrText>
      </w:r>
      <w:r>
        <w:rPr>
          <w:color w:val="auto"/>
        </w:rPr>
        <w:fldChar w:fldCharType="separate"/>
      </w:r>
      <w:r>
        <w:rPr>
          <w:rFonts w:hint="eastAsia" w:ascii="仿宋" w:hAnsi="仿宋" w:eastAsia="仿宋" w:cs="仿宋"/>
          <w:b/>
          <w:bCs/>
          <w:caps/>
          <w:color w:val="auto"/>
          <w:sz w:val="28"/>
          <w:szCs w:val="48"/>
        </w:rPr>
        <w:t>第一章  投标邀请</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2</w:t>
      </w:r>
    </w:p>
    <w:p w14:paraId="09E85C17">
      <w:pPr>
        <w:tabs>
          <w:tab w:val="right" w:leader="dot" w:pos="8953"/>
        </w:tabs>
        <w:spacing w:before="120" w:after="120" w:line="400" w:lineRule="exact"/>
        <w:jc w:val="left"/>
        <w:rPr>
          <w:rFonts w:hint="eastAsia" w:ascii="仿宋" w:hAnsi="仿宋" w:eastAsia="仿宋" w:cs="仿宋"/>
          <w:b/>
          <w:bCs/>
          <w:caps/>
          <w:color w:val="auto"/>
          <w:sz w:val="28"/>
          <w:szCs w:val="28"/>
        </w:rPr>
      </w:pPr>
      <w:r>
        <w:rPr>
          <w:color w:val="auto"/>
        </w:rPr>
        <w:fldChar w:fldCharType="begin"/>
      </w:r>
      <w:r>
        <w:rPr>
          <w:color w:val="auto"/>
        </w:rPr>
        <w:instrText xml:space="preserve"> HYPERLINK \l "_Toc27712" </w:instrText>
      </w:r>
      <w:r>
        <w:rPr>
          <w:color w:val="auto"/>
        </w:rPr>
        <w:fldChar w:fldCharType="separate"/>
      </w:r>
      <w:r>
        <w:rPr>
          <w:rFonts w:hint="eastAsia" w:ascii="仿宋" w:hAnsi="仿宋" w:eastAsia="仿宋" w:cs="仿宋"/>
          <w:b/>
          <w:bCs/>
          <w:caps/>
          <w:color w:val="auto"/>
          <w:sz w:val="28"/>
          <w:szCs w:val="48"/>
        </w:rPr>
        <w:t>第二章  投标人须知</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5</w:t>
      </w:r>
    </w:p>
    <w:p w14:paraId="28A20610">
      <w:pPr>
        <w:tabs>
          <w:tab w:val="right" w:leader="dot" w:pos="8953"/>
        </w:tabs>
        <w:spacing w:before="120" w:after="120" w:line="400" w:lineRule="exact"/>
        <w:jc w:val="left"/>
        <w:rPr>
          <w:rFonts w:hint="eastAsia" w:ascii="仿宋" w:hAnsi="仿宋" w:eastAsia="仿宋" w:cs="仿宋"/>
          <w:b/>
          <w:bCs/>
          <w:caps/>
          <w:color w:val="auto"/>
          <w:sz w:val="28"/>
          <w:szCs w:val="28"/>
        </w:rPr>
      </w:pPr>
      <w:r>
        <w:rPr>
          <w:color w:val="auto"/>
        </w:rPr>
        <w:fldChar w:fldCharType="begin"/>
      </w:r>
      <w:r>
        <w:rPr>
          <w:color w:val="auto"/>
        </w:rPr>
        <w:instrText xml:space="preserve"> HYPERLINK \l "_Toc5462" </w:instrText>
      </w:r>
      <w:r>
        <w:rPr>
          <w:color w:val="auto"/>
        </w:rPr>
        <w:fldChar w:fldCharType="separate"/>
      </w:r>
      <w:r>
        <w:rPr>
          <w:rFonts w:hint="eastAsia" w:ascii="仿宋" w:hAnsi="仿宋" w:eastAsia="仿宋" w:cs="仿宋"/>
          <w:b/>
          <w:bCs/>
          <w:caps/>
          <w:color w:val="auto"/>
          <w:sz w:val="28"/>
          <w:szCs w:val="32"/>
        </w:rPr>
        <w:t>第三章  政府采购合同</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2</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2</w:t>
      </w:r>
    </w:p>
    <w:p w14:paraId="414D9B2C">
      <w:pPr>
        <w:tabs>
          <w:tab w:val="right" w:leader="dot" w:pos="8953"/>
        </w:tabs>
        <w:spacing w:before="120" w:after="120" w:line="400" w:lineRule="exact"/>
        <w:jc w:val="left"/>
        <w:rPr>
          <w:rFonts w:hint="eastAsia" w:ascii="仿宋" w:hAnsi="仿宋" w:eastAsia="仿宋" w:cs="仿宋"/>
          <w:b/>
          <w:bCs/>
          <w:caps/>
          <w:color w:val="auto"/>
          <w:sz w:val="28"/>
          <w:szCs w:val="28"/>
        </w:rPr>
      </w:pPr>
      <w:r>
        <w:rPr>
          <w:color w:val="auto"/>
        </w:rPr>
        <w:fldChar w:fldCharType="begin"/>
      </w:r>
      <w:r>
        <w:rPr>
          <w:color w:val="auto"/>
        </w:rPr>
        <w:instrText xml:space="preserve"> HYPERLINK \l "_Toc7680" </w:instrText>
      </w:r>
      <w:r>
        <w:rPr>
          <w:color w:val="auto"/>
        </w:rPr>
        <w:fldChar w:fldCharType="separate"/>
      </w:r>
      <w:r>
        <w:rPr>
          <w:rFonts w:hint="eastAsia" w:ascii="仿宋" w:hAnsi="仿宋" w:eastAsia="仿宋" w:cs="仿宋"/>
          <w:b/>
          <w:bCs/>
          <w:caps/>
          <w:color w:val="auto"/>
          <w:sz w:val="28"/>
          <w:szCs w:val="22"/>
        </w:rPr>
        <w:t>第四章  采购需求</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1</w:t>
      </w:r>
    </w:p>
    <w:p w14:paraId="4D45232D">
      <w:pPr>
        <w:tabs>
          <w:tab w:val="right" w:leader="dot" w:pos="8953"/>
        </w:tabs>
        <w:spacing w:before="120" w:after="120" w:line="400" w:lineRule="exact"/>
        <w:jc w:val="left"/>
        <w:rPr>
          <w:rFonts w:hint="eastAsia" w:ascii="仿宋" w:hAnsi="仿宋" w:eastAsia="仿宋" w:cs="仿宋"/>
          <w:b/>
          <w:bCs/>
          <w:caps/>
          <w:color w:val="auto"/>
          <w:sz w:val="28"/>
          <w:szCs w:val="28"/>
        </w:rPr>
      </w:pPr>
      <w:r>
        <w:rPr>
          <w:color w:val="auto"/>
        </w:rPr>
        <w:fldChar w:fldCharType="begin"/>
      </w:r>
      <w:r>
        <w:rPr>
          <w:color w:val="auto"/>
        </w:rPr>
        <w:instrText xml:space="preserve"> HYPERLINK \l "_Toc11633" </w:instrText>
      </w:r>
      <w:r>
        <w:rPr>
          <w:color w:val="auto"/>
        </w:rPr>
        <w:fldChar w:fldCharType="separate"/>
      </w:r>
      <w:r>
        <w:rPr>
          <w:rFonts w:hint="eastAsia" w:ascii="仿宋" w:hAnsi="仿宋" w:eastAsia="仿宋" w:cs="仿宋"/>
          <w:b/>
          <w:bCs/>
          <w:caps/>
          <w:color w:val="auto"/>
          <w:sz w:val="28"/>
          <w:szCs w:val="32"/>
        </w:rPr>
        <w:t>第五章  评标方法与评标标准</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8</w:t>
      </w:r>
    </w:p>
    <w:p w14:paraId="77803FC6">
      <w:pPr>
        <w:tabs>
          <w:tab w:val="right" w:leader="dot" w:pos="8953"/>
        </w:tabs>
        <w:spacing w:before="120" w:after="120" w:line="400" w:lineRule="exact"/>
        <w:jc w:val="left"/>
        <w:rPr>
          <w:rFonts w:hint="eastAsia" w:ascii="仿宋" w:hAnsi="仿宋" w:eastAsia="仿宋" w:cs="仿宋"/>
          <w:b/>
          <w:bCs/>
          <w:caps/>
          <w:color w:val="auto"/>
          <w:sz w:val="24"/>
        </w:rPr>
      </w:pPr>
      <w:r>
        <w:rPr>
          <w:color w:val="auto"/>
        </w:rPr>
        <w:fldChar w:fldCharType="begin"/>
      </w:r>
      <w:r>
        <w:rPr>
          <w:color w:val="auto"/>
        </w:rPr>
        <w:instrText xml:space="preserve"> HYPERLINK \l "_Toc9029" </w:instrText>
      </w:r>
      <w:r>
        <w:rPr>
          <w:color w:val="auto"/>
        </w:rPr>
        <w:fldChar w:fldCharType="separate"/>
      </w:r>
      <w:r>
        <w:rPr>
          <w:rFonts w:hint="eastAsia" w:ascii="仿宋" w:hAnsi="仿宋" w:eastAsia="仿宋" w:cs="仿宋"/>
          <w:b/>
          <w:bCs/>
          <w:caps/>
          <w:color w:val="auto"/>
          <w:sz w:val="28"/>
          <w:szCs w:val="32"/>
        </w:rPr>
        <w:t>第六章  投标文件格式</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4</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3</w:t>
      </w:r>
    </w:p>
    <w:p w14:paraId="699036F5">
      <w:pPr>
        <w:spacing w:line="480" w:lineRule="auto"/>
        <w:outlineLvl w:val="0"/>
        <w:rPr>
          <w:rFonts w:hint="eastAsia" w:ascii="仿宋" w:hAnsi="仿宋" w:eastAsia="仿宋" w:cs="仿宋"/>
          <w:color w:val="auto"/>
          <w:sz w:val="36"/>
          <w:szCs w:val="21"/>
        </w:rPr>
      </w:pPr>
      <w:r>
        <w:rPr>
          <w:rFonts w:hint="eastAsia" w:ascii="仿宋" w:hAnsi="仿宋" w:eastAsia="仿宋" w:cs="仿宋"/>
          <w:b/>
          <w:bCs/>
          <w:color w:val="auto"/>
          <w:szCs w:val="36"/>
        </w:rPr>
        <w:fldChar w:fldCharType="end"/>
      </w:r>
    </w:p>
    <w:p w14:paraId="25FB8F83">
      <w:pPr>
        <w:rPr>
          <w:rFonts w:hint="eastAsia" w:ascii="仿宋" w:hAnsi="仿宋" w:eastAsia="仿宋" w:cs="仿宋"/>
          <w:color w:val="auto"/>
          <w:szCs w:val="21"/>
        </w:rPr>
      </w:pPr>
    </w:p>
    <w:p w14:paraId="577ED337">
      <w:pPr>
        <w:rPr>
          <w:rFonts w:hint="eastAsia" w:ascii="仿宋" w:hAnsi="仿宋" w:eastAsia="仿宋" w:cs="仿宋"/>
          <w:color w:val="auto"/>
          <w:szCs w:val="21"/>
        </w:rPr>
      </w:pPr>
    </w:p>
    <w:p w14:paraId="67F647B7">
      <w:pPr>
        <w:rPr>
          <w:rFonts w:hint="eastAsia" w:ascii="仿宋" w:hAnsi="仿宋" w:eastAsia="仿宋" w:cs="仿宋"/>
          <w:color w:val="auto"/>
          <w:szCs w:val="21"/>
        </w:rPr>
      </w:pPr>
    </w:p>
    <w:p w14:paraId="1DCA983D">
      <w:pPr>
        <w:rPr>
          <w:rFonts w:hint="eastAsia" w:ascii="仿宋" w:hAnsi="仿宋" w:eastAsia="仿宋" w:cs="仿宋"/>
          <w:color w:val="auto"/>
          <w:szCs w:val="21"/>
        </w:rPr>
      </w:pPr>
    </w:p>
    <w:p w14:paraId="11E54607">
      <w:pPr>
        <w:rPr>
          <w:rFonts w:hint="eastAsia" w:ascii="仿宋" w:hAnsi="仿宋" w:eastAsia="仿宋" w:cs="仿宋"/>
          <w:color w:val="auto"/>
          <w:szCs w:val="21"/>
        </w:rPr>
      </w:pPr>
    </w:p>
    <w:p w14:paraId="04B82080">
      <w:pPr>
        <w:rPr>
          <w:rFonts w:hint="eastAsia" w:ascii="仿宋" w:hAnsi="仿宋" w:eastAsia="仿宋" w:cs="仿宋"/>
          <w:color w:val="auto"/>
          <w:szCs w:val="21"/>
        </w:rPr>
      </w:pPr>
    </w:p>
    <w:p w14:paraId="4DCF6168">
      <w:pPr>
        <w:rPr>
          <w:rFonts w:hint="eastAsia" w:ascii="仿宋" w:hAnsi="仿宋" w:eastAsia="仿宋" w:cs="仿宋"/>
          <w:color w:val="auto"/>
          <w:szCs w:val="21"/>
        </w:rPr>
      </w:pPr>
    </w:p>
    <w:p w14:paraId="52179170">
      <w:pPr>
        <w:rPr>
          <w:rFonts w:hint="eastAsia" w:ascii="仿宋" w:hAnsi="仿宋" w:eastAsia="仿宋" w:cs="仿宋"/>
          <w:color w:val="auto"/>
          <w:szCs w:val="21"/>
        </w:rPr>
      </w:pPr>
    </w:p>
    <w:p w14:paraId="5B1FBED8">
      <w:pPr>
        <w:rPr>
          <w:rFonts w:hint="eastAsia" w:ascii="仿宋" w:hAnsi="仿宋" w:eastAsia="仿宋" w:cs="仿宋"/>
          <w:color w:val="auto"/>
          <w:szCs w:val="21"/>
        </w:rPr>
      </w:pPr>
    </w:p>
    <w:p w14:paraId="450C7589">
      <w:pPr>
        <w:rPr>
          <w:rFonts w:hint="eastAsia" w:ascii="仿宋" w:hAnsi="仿宋" w:eastAsia="仿宋" w:cs="仿宋"/>
          <w:color w:val="auto"/>
          <w:szCs w:val="21"/>
        </w:rPr>
      </w:pPr>
    </w:p>
    <w:p w14:paraId="268EC522">
      <w:pPr>
        <w:rPr>
          <w:rFonts w:hint="eastAsia" w:ascii="仿宋" w:hAnsi="仿宋" w:eastAsia="仿宋" w:cs="仿宋"/>
          <w:color w:val="auto"/>
          <w:szCs w:val="21"/>
        </w:rPr>
      </w:pPr>
    </w:p>
    <w:p w14:paraId="4279C84F">
      <w:pPr>
        <w:rPr>
          <w:rFonts w:hint="eastAsia" w:ascii="仿宋" w:hAnsi="仿宋" w:eastAsia="仿宋" w:cs="仿宋"/>
          <w:color w:val="auto"/>
          <w:szCs w:val="21"/>
        </w:rPr>
      </w:pPr>
    </w:p>
    <w:p w14:paraId="7184E37E">
      <w:pPr>
        <w:rPr>
          <w:rFonts w:hint="eastAsia" w:ascii="仿宋" w:hAnsi="仿宋" w:eastAsia="仿宋" w:cs="仿宋"/>
          <w:color w:val="auto"/>
          <w:szCs w:val="21"/>
        </w:rPr>
      </w:pPr>
    </w:p>
    <w:p w14:paraId="341A7432">
      <w:pPr>
        <w:rPr>
          <w:rFonts w:hint="eastAsia" w:ascii="仿宋" w:hAnsi="仿宋" w:eastAsia="仿宋" w:cs="仿宋"/>
          <w:color w:val="auto"/>
          <w:szCs w:val="21"/>
        </w:rPr>
      </w:pPr>
    </w:p>
    <w:p w14:paraId="61C027FA">
      <w:pPr>
        <w:rPr>
          <w:rFonts w:hint="eastAsia" w:ascii="仿宋" w:hAnsi="仿宋" w:eastAsia="仿宋" w:cs="仿宋"/>
          <w:color w:val="auto"/>
          <w:szCs w:val="21"/>
        </w:rPr>
      </w:pPr>
    </w:p>
    <w:p w14:paraId="05CBFED4">
      <w:pPr>
        <w:rPr>
          <w:rFonts w:hint="eastAsia" w:ascii="仿宋" w:hAnsi="仿宋" w:eastAsia="仿宋" w:cs="仿宋"/>
          <w:color w:val="auto"/>
          <w:szCs w:val="21"/>
        </w:rPr>
      </w:pPr>
    </w:p>
    <w:p w14:paraId="67E7A729">
      <w:pPr>
        <w:rPr>
          <w:rFonts w:hint="eastAsia" w:ascii="仿宋" w:hAnsi="仿宋" w:eastAsia="仿宋" w:cs="仿宋"/>
          <w:color w:val="auto"/>
          <w:szCs w:val="21"/>
        </w:rPr>
      </w:pPr>
    </w:p>
    <w:p w14:paraId="0D053E52">
      <w:pPr>
        <w:rPr>
          <w:rFonts w:hint="eastAsia" w:ascii="仿宋" w:hAnsi="仿宋" w:eastAsia="仿宋" w:cs="仿宋"/>
          <w:color w:val="auto"/>
          <w:szCs w:val="21"/>
        </w:rPr>
      </w:pPr>
    </w:p>
    <w:p w14:paraId="486A343F">
      <w:pPr>
        <w:rPr>
          <w:rFonts w:hint="eastAsia" w:ascii="仿宋" w:hAnsi="仿宋" w:eastAsia="仿宋" w:cs="仿宋"/>
          <w:color w:val="auto"/>
          <w:szCs w:val="21"/>
        </w:rPr>
      </w:pPr>
    </w:p>
    <w:p w14:paraId="08A855BB">
      <w:pPr>
        <w:rPr>
          <w:rFonts w:hint="eastAsia" w:ascii="仿宋" w:hAnsi="仿宋" w:eastAsia="仿宋" w:cs="仿宋"/>
          <w:color w:val="auto"/>
          <w:szCs w:val="21"/>
        </w:rPr>
      </w:pPr>
    </w:p>
    <w:p w14:paraId="11226994">
      <w:pPr>
        <w:rPr>
          <w:rFonts w:hint="eastAsia" w:ascii="仿宋" w:hAnsi="仿宋" w:eastAsia="仿宋" w:cs="仿宋"/>
          <w:color w:val="auto"/>
          <w:szCs w:val="21"/>
        </w:rPr>
      </w:pPr>
    </w:p>
    <w:p w14:paraId="55379819">
      <w:pPr>
        <w:rPr>
          <w:rFonts w:hint="eastAsia" w:ascii="仿宋" w:hAnsi="仿宋" w:eastAsia="仿宋" w:cs="仿宋"/>
          <w:color w:val="auto"/>
          <w:szCs w:val="21"/>
        </w:rPr>
      </w:pPr>
    </w:p>
    <w:p w14:paraId="58E6229E">
      <w:pPr>
        <w:rPr>
          <w:rFonts w:hint="eastAsia" w:ascii="仿宋" w:hAnsi="仿宋" w:eastAsia="仿宋" w:cs="仿宋"/>
          <w:color w:val="auto"/>
          <w:szCs w:val="21"/>
        </w:rPr>
      </w:pPr>
    </w:p>
    <w:p w14:paraId="0C3B5582">
      <w:pPr>
        <w:rPr>
          <w:rFonts w:hint="eastAsia" w:ascii="仿宋" w:hAnsi="仿宋" w:eastAsia="仿宋" w:cs="仿宋"/>
          <w:color w:val="auto"/>
          <w:szCs w:val="21"/>
        </w:rPr>
      </w:pPr>
    </w:p>
    <w:p w14:paraId="1618F5EE">
      <w:pPr>
        <w:rPr>
          <w:rFonts w:hint="eastAsia" w:ascii="仿宋" w:hAnsi="仿宋" w:eastAsia="仿宋" w:cs="仿宋"/>
          <w:color w:val="auto"/>
          <w:szCs w:val="21"/>
        </w:rPr>
      </w:pPr>
    </w:p>
    <w:p w14:paraId="1F10C701">
      <w:pPr>
        <w:rPr>
          <w:rFonts w:hint="eastAsia" w:ascii="仿宋" w:hAnsi="仿宋" w:eastAsia="仿宋" w:cs="仿宋"/>
          <w:color w:val="auto"/>
          <w:szCs w:val="21"/>
        </w:rPr>
      </w:pPr>
    </w:p>
    <w:p w14:paraId="1C36C47E">
      <w:pPr>
        <w:rPr>
          <w:rFonts w:hint="eastAsia" w:ascii="仿宋" w:hAnsi="仿宋" w:eastAsia="仿宋" w:cs="仿宋"/>
          <w:color w:val="auto"/>
          <w:szCs w:val="21"/>
        </w:rPr>
      </w:pPr>
    </w:p>
    <w:p w14:paraId="1DCA05E1">
      <w:pPr>
        <w:rPr>
          <w:rFonts w:hint="eastAsia" w:ascii="仿宋" w:hAnsi="仿宋" w:eastAsia="仿宋" w:cs="仿宋"/>
          <w:color w:val="auto"/>
          <w:szCs w:val="21"/>
        </w:rPr>
      </w:pPr>
    </w:p>
    <w:p w14:paraId="7AFC27D5">
      <w:pPr>
        <w:rPr>
          <w:rFonts w:hint="eastAsia" w:ascii="仿宋" w:hAnsi="仿宋" w:eastAsia="仿宋" w:cs="仿宋"/>
          <w:color w:val="auto"/>
          <w:szCs w:val="21"/>
        </w:rPr>
      </w:pPr>
    </w:p>
    <w:p w14:paraId="18008621">
      <w:pPr>
        <w:keepNext/>
        <w:jc w:val="center"/>
        <w:outlineLvl w:val="0"/>
        <w:rPr>
          <w:rFonts w:hint="eastAsia" w:ascii="仿宋" w:hAnsi="仿宋" w:eastAsia="仿宋" w:cs="仿宋"/>
          <w:bCs/>
          <w:color w:val="auto"/>
          <w:sz w:val="44"/>
          <w:szCs w:val="44"/>
        </w:rPr>
      </w:pPr>
      <w:r>
        <w:rPr>
          <w:rFonts w:hint="eastAsia" w:ascii="仿宋" w:hAnsi="仿宋" w:eastAsia="仿宋" w:cs="仿宋"/>
          <w:color w:val="auto"/>
          <w:sz w:val="44"/>
          <w:szCs w:val="44"/>
        </w:rPr>
        <w:t>第一章</w:t>
      </w:r>
      <w:bookmarkEnd w:id="0"/>
      <w:r>
        <w:rPr>
          <w:rFonts w:hint="eastAsia" w:ascii="仿宋" w:hAnsi="仿宋" w:eastAsia="仿宋" w:cs="仿宋"/>
          <w:color w:val="auto"/>
          <w:sz w:val="44"/>
          <w:szCs w:val="44"/>
        </w:rPr>
        <w:t xml:space="preserve"> 投标邀请</w:t>
      </w:r>
    </w:p>
    <w:p w14:paraId="168C23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20" w:lineRule="exact"/>
        <w:ind w:left="0" w:right="0" w:firstLine="480"/>
        <w:jc w:val="both"/>
        <w:textAlignment w:val="auto"/>
        <w:rPr>
          <w:rFonts w:hint="eastAsia" w:ascii="仿宋" w:hAnsi="仿宋" w:eastAsia="仿宋" w:cs="仿宋"/>
          <w:color w:val="auto"/>
          <w:sz w:val="24"/>
        </w:rPr>
      </w:pPr>
      <w:r>
        <w:rPr>
          <w:rFonts w:hint="eastAsia" w:ascii="仿宋" w:hAnsi="仿宋" w:eastAsia="仿宋" w:cs="仿宋"/>
          <w:color w:val="auto"/>
          <w:sz w:val="24"/>
        </w:rPr>
        <w:t>受</w:t>
      </w:r>
      <w:r>
        <w:rPr>
          <w:rFonts w:hint="eastAsia" w:ascii="仿宋" w:hAnsi="仿宋" w:eastAsia="仿宋" w:cs="仿宋"/>
          <w:color w:val="auto"/>
          <w:sz w:val="24"/>
          <w:u w:val="single"/>
        </w:rPr>
        <w:t>宿迁市教育局、宿迁市楚润数据集团有限公司</w:t>
      </w:r>
      <w:r>
        <w:rPr>
          <w:rFonts w:hint="eastAsia" w:ascii="仿宋" w:hAnsi="仿宋" w:eastAsia="仿宋" w:cs="仿宋"/>
          <w:color w:val="auto"/>
          <w:sz w:val="24"/>
        </w:rPr>
        <w:t>的委托，</w:t>
      </w:r>
      <w:r>
        <w:rPr>
          <w:rFonts w:hint="eastAsia" w:ascii="仿宋" w:hAnsi="仿宋" w:eastAsia="仿宋" w:cs="仿宋"/>
          <w:color w:val="auto"/>
          <w:sz w:val="24"/>
          <w:u w:val="single"/>
        </w:rPr>
        <w:t>江苏星河源房地产评估工程咨询有限公司</w:t>
      </w:r>
      <w:r>
        <w:rPr>
          <w:rFonts w:hint="eastAsia" w:ascii="仿宋" w:hAnsi="仿宋" w:eastAsia="仿宋" w:cs="仿宋"/>
          <w:color w:val="auto"/>
          <w:sz w:val="24"/>
        </w:rPr>
        <w:t>就</w:t>
      </w:r>
      <w:r>
        <w:rPr>
          <w:rFonts w:hint="eastAsia" w:ascii="仿宋" w:hAnsi="仿宋" w:eastAsia="仿宋" w:cs="仿宋"/>
          <w:b w:val="0"/>
          <w:bCs w:val="0"/>
          <w:color w:val="auto"/>
          <w:sz w:val="24"/>
          <w:szCs w:val="24"/>
          <w:highlight w:val="none"/>
          <w:u w:val="single"/>
          <w:lang w:val="en-US" w:eastAsia="zh-CN" w:bidi="ar"/>
        </w:rPr>
        <w:t>市教育局全市集成专网标准化考点维保项目</w:t>
      </w:r>
      <w:bookmarkStart w:id="162" w:name="_GoBack"/>
      <w:r>
        <w:rPr>
          <w:rFonts w:hint="eastAsia" w:ascii="仿宋" w:hAnsi="仿宋" w:eastAsia="仿宋" w:cs="仿宋"/>
          <w:color w:val="auto"/>
          <w:sz w:val="24"/>
          <w:u w:val="single"/>
        </w:rPr>
        <w:t>(</w:t>
      </w:r>
      <w:bookmarkEnd w:id="162"/>
      <w:r>
        <w:rPr>
          <w:rFonts w:hint="eastAsia" w:ascii="仿宋" w:hAnsi="仿宋" w:eastAsia="仿宋" w:cs="仿宋"/>
          <w:color w:val="auto"/>
          <w:sz w:val="24"/>
          <w:u w:val="single"/>
          <w:lang w:eastAsia="zh-CN"/>
        </w:rPr>
        <w:t>JSZC-321300-SXHY-G2026-000</w:t>
      </w:r>
      <w:r>
        <w:rPr>
          <w:rFonts w:hint="eastAsia" w:ascii="仿宋" w:hAnsi="仿宋" w:eastAsia="仿宋" w:cs="仿宋"/>
          <w:color w:val="auto"/>
          <w:sz w:val="24"/>
          <w:u w:val="single"/>
          <w:lang w:val="en-US" w:eastAsia="zh-CN"/>
        </w:rPr>
        <w:t>4</w:t>
      </w:r>
      <w:r>
        <w:rPr>
          <w:rFonts w:hint="eastAsia" w:ascii="仿宋" w:hAnsi="仿宋" w:eastAsia="仿宋" w:cs="仿宋"/>
          <w:color w:val="auto"/>
          <w:sz w:val="24"/>
          <w:u w:val="single"/>
        </w:rPr>
        <w:t>)</w:t>
      </w:r>
      <w:r>
        <w:rPr>
          <w:rFonts w:hint="eastAsia" w:ascii="仿宋" w:hAnsi="仿宋" w:eastAsia="仿宋" w:cs="仿宋"/>
          <w:color w:val="auto"/>
          <w:sz w:val="24"/>
        </w:rPr>
        <w:t>项目进行公开招标采购，欢迎符合条件的投标人投标。</w:t>
      </w:r>
    </w:p>
    <w:p w14:paraId="58A99E43">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项目概况</w:t>
      </w:r>
    </w:p>
    <w:p w14:paraId="0BDC309C">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highlight w:val="none"/>
          <w:u w:val="single"/>
          <w:lang w:eastAsia="zh-CN"/>
        </w:rPr>
        <w:t>市教育局全市集成专网标准化考点维保项目</w:t>
      </w:r>
      <w:r>
        <w:rPr>
          <w:rFonts w:hint="eastAsia" w:ascii="仿宋" w:hAnsi="仿宋" w:eastAsia="仿宋" w:cs="仿宋"/>
          <w:color w:val="auto"/>
          <w:sz w:val="24"/>
          <w:u w:val="single"/>
        </w:rPr>
        <w:t>招</w:t>
      </w:r>
      <w:r>
        <w:rPr>
          <w:rFonts w:hint="eastAsia" w:ascii="仿宋" w:hAnsi="仿宋" w:eastAsia="仿宋" w:cs="仿宋"/>
          <w:color w:val="auto"/>
          <w:sz w:val="24"/>
        </w:rPr>
        <w:t>标项目的潜在投标人可</w:t>
      </w:r>
      <w:r>
        <w:rPr>
          <w:rFonts w:hint="eastAsia" w:ascii="仿宋" w:hAnsi="仿宋" w:eastAsia="仿宋" w:cs="仿宋"/>
          <w:color w:val="auto"/>
          <w:sz w:val="24"/>
          <w:u w:val="single"/>
        </w:rPr>
        <w:t>在“苏采云”系统（网址：http://jszfcg.jsczt.cn/）或宿迁市政府采购网点击“政府采购管理交易系统（苏采云）”自行免费下载</w:t>
      </w:r>
      <w:r>
        <w:rPr>
          <w:rFonts w:hint="eastAsia" w:ascii="仿宋" w:hAnsi="仿宋" w:eastAsia="仿宋" w:cs="仿宋"/>
          <w:color w:val="auto"/>
          <w:sz w:val="24"/>
        </w:rPr>
        <w:t>招标文件，并于</w:t>
      </w:r>
      <w:r>
        <w:rPr>
          <w:rFonts w:hint="eastAsia" w:ascii="仿宋" w:hAnsi="仿宋" w:eastAsia="仿宋" w:cs="仿宋"/>
          <w:color w:val="auto"/>
          <w:sz w:val="24"/>
          <w:u w:val="single"/>
        </w:rPr>
        <w:t>2026-</w:t>
      </w:r>
      <w:r>
        <w:rPr>
          <w:rFonts w:hint="eastAsia" w:ascii="仿宋" w:hAnsi="仿宋" w:eastAsia="仿宋" w:cs="仿宋"/>
          <w:color w:val="auto"/>
          <w:sz w:val="24"/>
          <w:u w:val="single"/>
          <w:lang w:val="en-US" w:eastAsia="zh-CN"/>
        </w:rPr>
        <w:t>11</w:t>
      </w:r>
      <w:r>
        <w:rPr>
          <w:rFonts w:hint="eastAsia" w:ascii="仿宋" w:hAnsi="仿宋" w:eastAsia="仿宋" w:cs="仿宋"/>
          <w:color w:val="auto"/>
          <w:sz w:val="24"/>
          <w:u w:val="single"/>
        </w:rPr>
        <w:t>-</w:t>
      </w:r>
      <w:r>
        <w:rPr>
          <w:rFonts w:hint="eastAsia" w:ascii="仿宋" w:hAnsi="仿宋" w:eastAsia="仿宋" w:cs="仿宋"/>
          <w:color w:val="auto"/>
          <w:sz w:val="24"/>
          <w:u w:val="single"/>
          <w:lang w:val="en-US" w:eastAsia="zh-CN"/>
        </w:rPr>
        <w:t>05</w:t>
      </w:r>
      <w:r>
        <w:rPr>
          <w:rFonts w:hint="eastAsia" w:ascii="仿宋" w:hAnsi="仿宋" w:eastAsia="仿宋" w:cs="仿宋"/>
          <w:color w:val="auto"/>
          <w:sz w:val="24"/>
          <w:u w:val="single"/>
        </w:rPr>
        <w:t>-09:30（北京时间）</w:t>
      </w:r>
      <w:r>
        <w:rPr>
          <w:rFonts w:hint="eastAsia" w:ascii="仿宋" w:hAnsi="仿宋" w:eastAsia="仿宋" w:cs="仿宋"/>
          <w:color w:val="auto"/>
          <w:sz w:val="24"/>
        </w:rPr>
        <w:t>前递交投标文件。</w:t>
      </w:r>
    </w:p>
    <w:p w14:paraId="390CA27C">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bookmarkStart w:id="6" w:name="_Toc35393790"/>
      <w:bookmarkStart w:id="7" w:name="_Toc28359079"/>
      <w:bookmarkStart w:id="8" w:name="_Toc38985263"/>
      <w:bookmarkStart w:id="9" w:name="_Toc35393621"/>
      <w:bookmarkStart w:id="10" w:name="_Toc28359002"/>
      <w:bookmarkStart w:id="11" w:name="_Hlk24379207"/>
      <w:r>
        <w:rPr>
          <w:rFonts w:hint="eastAsia" w:ascii="仿宋" w:hAnsi="仿宋" w:eastAsia="仿宋" w:cs="仿宋"/>
          <w:b/>
          <w:bCs/>
          <w:color w:val="auto"/>
          <w:sz w:val="32"/>
          <w:szCs w:val="32"/>
        </w:rPr>
        <w:t>一、项目基本情况</w:t>
      </w:r>
      <w:bookmarkEnd w:id="6"/>
      <w:bookmarkEnd w:id="7"/>
      <w:bookmarkEnd w:id="8"/>
      <w:bookmarkEnd w:id="9"/>
      <w:bookmarkEnd w:id="10"/>
    </w:p>
    <w:p w14:paraId="1671BA6E">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1.项目编号：</w:t>
      </w:r>
      <w:r>
        <w:rPr>
          <w:rFonts w:hint="eastAsia" w:ascii="仿宋" w:hAnsi="仿宋" w:eastAsia="仿宋" w:cs="仿宋"/>
          <w:color w:val="auto"/>
          <w:sz w:val="24"/>
          <w:szCs w:val="21"/>
          <w:lang w:eastAsia="zh-CN"/>
        </w:rPr>
        <w:t>JSZC-321300-SXHY-G2026-000</w:t>
      </w:r>
      <w:r>
        <w:rPr>
          <w:rFonts w:hint="eastAsia" w:ascii="仿宋" w:hAnsi="仿宋" w:eastAsia="仿宋" w:cs="仿宋"/>
          <w:color w:val="auto"/>
          <w:sz w:val="24"/>
          <w:szCs w:val="21"/>
          <w:lang w:val="en-US" w:eastAsia="zh-CN"/>
        </w:rPr>
        <w:t>4</w:t>
      </w:r>
    </w:p>
    <w:p w14:paraId="484BC8D8">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2.项目名称</w:t>
      </w:r>
      <w:r>
        <w:rPr>
          <w:rFonts w:hint="eastAsia" w:ascii="仿宋" w:hAnsi="仿宋" w:eastAsia="仿宋" w:cs="仿宋"/>
          <w:color w:val="auto"/>
          <w:sz w:val="24"/>
          <w:szCs w:val="21"/>
          <w:highlight w:val="none"/>
        </w:rPr>
        <w:t>：</w:t>
      </w:r>
      <w:bookmarkEnd w:id="11"/>
      <w:r>
        <w:rPr>
          <w:rFonts w:hint="eastAsia" w:ascii="仿宋" w:hAnsi="仿宋" w:eastAsia="仿宋" w:cs="仿宋"/>
          <w:color w:val="auto"/>
          <w:sz w:val="24"/>
          <w:szCs w:val="21"/>
          <w:highlight w:val="none"/>
          <w:lang w:eastAsia="zh-CN"/>
        </w:rPr>
        <w:t>市教育局全市集成专网标准化考点维保项目</w:t>
      </w:r>
    </w:p>
    <w:p w14:paraId="75489BD1">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3.预算金额：总预算4</w:t>
      </w:r>
      <w:r>
        <w:rPr>
          <w:rFonts w:hint="eastAsia" w:ascii="仿宋" w:hAnsi="仿宋" w:eastAsia="仿宋" w:cs="仿宋"/>
          <w:color w:val="auto"/>
          <w:sz w:val="24"/>
          <w:szCs w:val="21"/>
          <w:lang w:val="en-US" w:eastAsia="zh-CN"/>
        </w:rPr>
        <w:t>9</w:t>
      </w:r>
      <w:r>
        <w:rPr>
          <w:rFonts w:hint="eastAsia" w:ascii="仿宋" w:hAnsi="仿宋" w:eastAsia="仿宋" w:cs="仿宋"/>
          <w:color w:val="auto"/>
          <w:sz w:val="24"/>
          <w:szCs w:val="21"/>
        </w:rPr>
        <w:t>0万</w:t>
      </w:r>
      <w:r>
        <w:rPr>
          <w:rFonts w:hint="eastAsia" w:ascii="仿宋" w:hAnsi="仿宋" w:eastAsia="仿宋" w:cs="仿宋"/>
          <w:color w:val="auto"/>
          <w:sz w:val="24"/>
          <w:szCs w:val="21"/>
          <w:lang w:eastAsia="zh-CN"/>
        </w:rPr>
        <w:t>元</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其中</w:t>
      </w:r>
      <w:r>
        <w:rPr>
          <w:rFonts w:hint="eastAsia" w:ascii="仿宋" w:hAnsi="仿宋" w:eastAsia="仿宋" w:cs="仿宋"/>
          <w:color w:val="auto"/>
          <w:sz w:val="24"/>
          <w:szCs w:val="21"/>
        </w:rPr>
        <w:t>市本级100万元）</w:t>
      </w:r>
    </w:p>
    <w:p w14:paraId="7AC28E78">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4.本项目</w:t>
      </w:r>
      <w:r>
        <w:rPr>
          <w:rFonts w:hint="eastAsia" w:ascii="仿宋" w:hAnsi="仿宋" w:eastAsia="仿宋" w:cs="仿宋"/>
          <w:color w:val="auto"/>
          <w:sz w:val="24"/>
          <w:szCs w:val="21"/>
          <w:u w:val="single"/>
        </w:rPr>
        <w:t>设定</w:t>
      </w:r>
      <w:r>
        <w:rPr>
          <w:rFonts w:hint="eastAsia" w:ascii="仿宋" w:hAnsi="仿宋" w:eastAsia="仿宋" w:cs="仿宋"/>
          <w:color w:val="auto"/>
          <w:sz w:val="24"/>
          <w:szCs w:val="21"/>
        </w:rPr>
        <w:t>最高限价，最高限价为</w:t>
      </w:r>
      <w:r>
        <w:rPr>
          <w:rFonts w:hint="eastAsia" w:ascii="仿宋" w:hAnsi="仿宋" w:eastAsia="仿宋" w:cs="仿宋"/>
          <w:color w:val="auto"/>
          <w:sz w:val="24"/>
          <w:szCs w:val="21"/>
          <w:lang w:val="en-US" w:eastAsia="zh-CN"/>
        </w:rPr>
        <w:t>421.4</w:t>
      </w:r>
      <w:r>
        <w:rPr>
          <w:rFonts w:hint="eastAsia" w:ascii="仿宋" w:hAnsi="仿宋" w:eastAsia="仿宋" w:cs="仿宋"/>
          <w:color w:val="auto"/>
          <w:sz w:val="24"/>
          <w:szCs w:val="21"/>
        </w:rPr>
        <w:t>万元，其中市本级最高限价为98万元，宿城区最高限价为68.6万元，宿豫区最高限价为</w:t>
      </w:r>
      <w:r>
        <w:rPr>
          <w:rFonts w:hint="eastAsia" w:ascii="仿宋" w:hAnsi="仿宋" w:eastAsia="仿宋" w:cs="仿宋"/>
          <w:color w:val="auto"/>
          <w:sz w:val="24"/>
          <w:szCs w:val="21"/>
          <w:lang w:val="en-US" w:eastAsia="zh-CN"/>
        </w:rPr>
        <w:t>58.8</w:t>
      </w:r>
      <w:r>
        <w:rPr>
          <w:rFonts w:hint="eastAsia" w:ascii="仿宋" w:hAnsi="仿宋" w:eastAsia="仿宋" w:cs="仿宋"/>
          <w:color w:val="auto"/>
          <w:sz w:val="24"/>
          <w:szCs w:val="21"/>
        </w:rPr>
        <w:t>万元，沭阳县最高限价为</w:t>
      </w:r>
      <w:r>
        <w:rPr>
          <w:rFonts w:hint="eastAsia" w:ascii="仿宋" w:hAnsi="仿宋" w:eastAsia="仿宋" w:cs="仿宋"/>
          <w:color w:val="auto"/>
          <w:sz w:val="24"/>
          <w:szCs w:val="21"/>
          <w:lang w:val="en-US" w:eastAsia="zh-CN"/>
        </w:rPr>
        <w:t>78.4</w:t>
      </w:r>
      <w:r>
        <w:rPr>
          <w:rFonts w:hint="eastAsia" w:ascii="仿宋" w:hAnsi="仿宋" w:eastAsia="仿宋" w:cs="仿宋"/>
          <w:color w:val="auto"/>
          <w:sz w:val="24"/>
          <w:szCs w:val="21"/>
        </w:rPr>
        <w:t>万元，泗洪县最高限价为58.8万元，泗阳县最高限价为58.8万元。</w:t>
      </w:r>
    </w:p>
    <w:p w14:paraId="446F5DB3">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5.采购需求（简介）：根据省教育厅关于进一步加强国家教育考试标准化考点建设工作的通知，及宿迁市教育考试中心建设要求，为市直及三县两区标准化考场提供运维服务，具体详见采购需求部分。</w:t>
      </w:r>
    </w:p>
    <w:p w14:paraId="3D0AB83E">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6.合同履行期限：1年</w:t>
      </w:r>
    </w:p>
    <w:p w14:paraId="6E1F7B50">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7.本项目</w:t>
      </w:r>
      <w:r>
        <w:rPr>
          <w:rFonts w:hint="eastAsia" w:ascii="仿宋" w:hAnsi="仿宋" w:eastAsia="仿宋" w:cs="仿宋"/>
          <w:color w:val="auto"/>
          <w:sz w:val="24"/>
          <w:szCs w:val="21"/>
          <w:u w:val="single"/>
        </w:rPr>
        <w:t>不接受</w:t>
      </w:r>
      <w:r>
        <w:rPr>
          <w:rFonts w:hint="eastAsia" w:ascii="仿宋" w:hAnsi="仿宋" w:eastAsia="仿宋" w:cs="仿宋"/>
          <w:color w:val="auto"/>
          <w:sz w:val="24"/>
          <w:szCs w:val="21"/>
        </w:rPr>
        <w:t>联合体投标。</w:t>
      </w:r>
    </w:p>
    <w:p w14:paraId="143CE4AA">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bookmarkStart w:id="12" w:name="_Toc35393791"/>
      <w:bookmarkStart w:id="13" w:name="_Toc28359080"/>
      <w:bookmarkStart w:id="14" w:name="_Toc38985264"/>
      <w:bookmarkStart w:id="15" w:name="_Toc35393622"/>
      <w:bookmarkStart w:id="16" w:name="_Toc28359003"/>
      <w:r>
        <w:rPr>
          <w:rFonts w:hint="eastAsia" w:ascii="仿宋" w:hAnsi="仿宋" w:eastAsia="仿宋" w:cs="仿宋"/>
          <w:b/>
          <w:bCs/>
          <w:color w:val="auto"/>
          <w:sz w:val="32"/>
          <w:szCs w:val="32"/>
        </w:rPr>
        <w:t>二、申请人的资格要求：</w:t>
      </w:r>
      <w:bookmarkEnd w:id="12"/>
      <w:bookmarkEnd w:id="13"/>
      <w:bookmarkEnd w:id="14"/>
      <w:bookmarkEnd w:id="15"/>
      <w:bookmarkEnd w:id="16"/>
    </w:p>
    <w:p w14:paraId="0F407747">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bookmarkStart w:id="17" w:name="_Toc38985265"/>
      <w:bookmarkStart w:id="18" w:name="_Toc35393623"/>
      <w:bookmarkStart w:id="19" w:name="_Toc35393792"/>
      <w:bookmarkStart w:id="20" w:name="_Toc28359081"/>
      <w:bookmarkStart w:id="21" w:name="_Toc28359004"/>
      <w:r>
        <w:rPr>
          <w:rFonts w:hint="eastAsia" w:ascii="仿宋" w:hAnsi="仿宋" w:eastAsia="仿宋" w:cs="仿宋"/>
          <w:color w:val="auto"/>
          <w:sz w:val="24"/>
          <w:szCs w:val="21"/>
        </w:rPr>
        <w:t>（一）通用资格要求</w:t>
      </w:r>
    </w:p>
    <w:p w14:paraId="4D3FB52C">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1.具备《中华人民共和国政府采购法》第二十二条第一款规定的6项条件（按要求提供投标声明及承诺函）。</w:t>
      </w:r>
    </w:p>
    <w:p w14:paraId="39035050">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7F72FA7B">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3.落实政府采购政策需满足的资格要求：无</w:t>
      </w:r>
    </w:p>
    <w:p w14:paraId="13E64BE1">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（二）本项目的特定资格要求：无</w:t>
      </w:r>
    </w:p>
    <w:p w14:paraId="3AEFE3D6">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r>
        <w:rPr>
          <w:rFonts w:hint="eastAsia" w:ascii="仿宋" w:hAnsi="仿宋" w:eastAsia="仿宋" w:cs="仿宋"/>
          <w:b/>
          <w:bCs/>
          <w:color w:val="auto"/>
          <w:sz w:val="32"/>
          <w:szCs w:val="32"/>
        </w:rPr>
        <w:t>三、获取招标文件</w:t>
      </w:r>
      <w:bookmarkEnd w:id="17"/>
      <w:bookmarkEnd w:id="18"/>
      <w:bookmarkEnd w:id="19"/>
      <w:bookmarkEnd w:id="20"/>
      <w:bookmarkEnd w:id="21"/>
    </w:p>
    <w:p w14:paraId="77652C6A">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bookmarkStart w:id="22" w:name="_Toc28359005"/>
      <w:bookmarkStart w:id="23" w:name="_Toc28359082"/>
      <w:bookmarkStart w:id="24" w:name="_Toc38985266"/>
      <w:bookmarkStart w:id="25" w:name="_Toc35393793"/>
      <w:bookmarkStart w:id="26" w:name="_Toc35393624"/>
      <w:r>
        <w:rPr>
          <w:rFonts w:hint="eastAsia" w:ascii="仿宋" w:hAnsi="仿宋" w:eastAsia="仿宋" w:cs="仿宋"/>
          <w:color w:val="auto"/>
          <w:sz w:val="24"/>
          <w:szCs w:val="21"/>
        </w:rPr>
        <w:t>1.时间：招标公告发布之日起5个工作日。</w:t>
      </w:r>
    </w:p>
    <w:p w14:paraId="4BD04644">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p>
    <w:p w14:paraId="14311126">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bookmarkStart w:id="27" w:name="EB0c44ff4da61f4af989d119fe214be450"/>
      <w:r>
        <w:rPr>
          <w:rFonts w:hint="eastAsia" w:ascii="仿宋" w:hAnsi="仿宋" w:eastAsia="仿宋" w:cs="仿宋"/>
          <w:color w:val="auto"/>
          <w:sz w:val="24"/>
          <w:szCs w:val="21"/>
        </w:rPr>
        <w:t>3.本项目共分一个包。投标人未按要求获取招标文件导致无法投标的，后果自负（其投标文件不予接受）。</w:t>
      </w:r>
      <w:bookmarkEnd w:id="27"/>
    </w:p>
    <w:p w14:paraId="3B71695C">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r>
        <w:rPr>
          <w:rFonts w:hint="eastAsia" w:ascii="仿宋" w:hAnsi="仿宋" w:eastAsia="仿宋" w:cs="仿宋"/>
          <w:b/>
          <w:bCs/>
          <w:color w:val="auto"/>
          <w:sz w:val="32"/>
          <w:szCs w:val="32"/>
        </w:rPr>
        <w:t>四、提交投标文件</w:t>
      </w:r>
      <w:bookmarkEnd w:id="22"/>
      <w:bookmarkEnd w:id="23"/>
      <w:r>
        <w:rPr>
          <w:rFonts w:hint="eastAsia" w:ascii="仿宋" w:hAnsi="仿宋" w:eastAsia="仿宋" w:cs="仿宋"/>
          <w:b/>
          <w:bCs/>
          <w:color w:val="auto"/>
          <w:sz w:val="32"/>
          <w:szCs w:val="32"/>
        </w:rPr>
        <w:t>截止时间、开标时间和地点</w:t>
      </w:r>
      <w:bookmarkEnd w:id="24"/>
      <w:bookmarkEnd w:id="25"/>
      <w:bookmarkEnd w:id="26"/>
    </w:p>
    <w:p w14:paraId="3C78894B">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1.提交投标文件截止时间、开标时间：2026年</w:t>
      </w:r>
      <w:r>
        <w:rPr>
          <w:rFonts w:hint="eastAsia" w:ascii="仿宋" w:hAnsi="仿宋" w:eastAsia="仿宋" w:cs="仿宋"/>
          <w:color w:val="auto"/>
          <w:sz w:val="24"/>
          <w:szCs w:val="21"/>
          <w:lang w:val="en-US" w:eastAsia="zh-CN"/>
        </w:rPr>
        <w:t>11</w:t>
      </w:r>
      <w:r>
        <w:rPr>
          <w:rFonts w:hint="eastAsia" w:ascii="仿宋" w:hAnsi="仿宋" w:eastAsia="仿宋" w:cs="仿宋"/>
          <w:color w:val="auto"/>
          <w:sz w:val="24"/>
          <w:szCs w:val="21"/>
        </w:rPr>
        <w:t>月</w:t>
      </w:r>
      <w:r>
        <w:rPr>
          <w:rFonts w:hint="eastAsia" w:ascii="仿宋" w:hAnsi="仿宋" w:eastAsia="仿宋" w:cs="仿宋"/>
          <w:color w:val="auto"/>
          <w:sz w:val="24"/>
          <w:szCs w:val="21"/>
          <w:lang w:val="en-US" w:eastAsia="zh-CN"/>
        </w:rPr>
        <w:t>05</w:t>
      </w:r>
      <w:r>
        <w:rPr>
          <w:rFonts w:hint="eastAsia" w:ascii="仿宋" w:hAnsi="仿宋" w:eastAsia="仿宋" w:cs="仿宋"/>
          <w:color w:val="auto"/>
          <w:sz w:val="24"/>
          <w:szCs w:val="21"/>
        </w:rPr>
        <w:t>日09点30分（北京时间）</w:t>
      </w:r>
    </w:p>
    <w:p w14:paraId="014C467A">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2.地点：“苏采云”政府采购交易系统网上开标大厅。</w:t>
      </w:r>
    </w:p>
    <w:p w14:paraId="3A860DB8">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bookmarkStart w:id="28" w:name="_Toc28359084"/>
      <w:bookmarkStart w:id="29" w:name="_Toc38985267"/>
      <w:bookmarkStart w:id="30" w:name="_Toc28359007"/>
      <w:bookmarkStart w:id="31" w:name="_Toc35393625"/>
      <w:bookmarkStart w:id="32" w:name="_Toc35393794"/>
      <w:r>
        <w:rPr>
          <w:rFonts w:hint="eastAsia" w:ascii="仿宋" w:hAnsi="仿宋" w:eastAsia="仿宋" w:cs="仿宋"/>
          <w:b/>
          <w:bCs/>
          <w:color w:val="auto"/>
          <w:sz w:val="32"/>
          <w:szCs w:val="32"/>
        </w:rPr>
        <w:t>五、公告期限</w:t>
      </w:r>
      <w:bookmarkEnd w:id="28"/>
      <w:bookmarkEnd w:id="29"/>
      <w:bookmarkEnd w:id="30"/>
      <w:bookmarkEnd w:id="31"/>
      <w:bookmarkEnd w:id="32"/>
    </w:p>
    <w:p w14:paraId="7D3E12F8">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bookmarkStart w:id="33" w:name="_Toc38985268"/>
      <w:bookmarkStart w:id="34" w:name="_Toc35393795"/>
      <w:bookmarkStart w:id="35" w:name="_Toc35393626"/>
      <w:r>
        <w:rPr>
          <w:rFonts w:hint="eastAsia" w:ascii="仿宋" w:hAnsi="仿宋" w:eastAsia="仿宋" w:cs="仿宋"/>
          <w:color w:val="auto"/>
          <w:sz w:val="24"/>
          <w:szCs w:val="21"/>
        </w:rPr>
        <w:t>招标公告及招标文件公告期限为自本公告发布之日起5个工作日。招标公告发布媒体：江苏政府采购网、宿迁市政府采购网等。</w:t>
      </w:r>
    </w:p>
    <w:p w14:paraId="2909D0EA">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r>
        <w:rPr>
          <w:rFonts w:hint="eastAsia" w:ascii="仿宋" w:hAnsi="仿宋" w:eastAsia="仿宋" w:cs="仿宋"/>
          <w:b/>
          <w:bCs/>
          <w:color w:val="auto"/>
          <w:sz w:val="32"/>
          <w:szCs w:val="32"/>
        </w:rPr>
        <w:t>六、其他补充事宜</w:t>
      </w:r>
      <w:bookmarkEnd w:id="33"/>
      <w:bookmarkEnd w:id="34"/>
      <w:bookmarkEnd w:id="35"/>
    </w:p>
    <w:p w14:paraId="5ABC26E7">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bookmarkStart w:id="36" w:name="_Toc35393627"/>
      <w:bookmarkStart w:id="37" w:name="_Toc28359008"/>
      <w:bookmarkStart w:id="38" w:name="_Toc35393796"/>
      <w:bookmarkStart w:id="39" w:name="_Toc38985269"/>
      <w:bookmarkStart w:id="40" w:name="_Toc28359085"/>
      <w:r>
        <w:rPr>
          <w:rFonts w:hint="eastAsia" w:ascii="仿宋" w:hAnsi="仿宋" w:eastAsia="仿宋" w:cs="仿宋"/>
          <w:color w:val="auto"/>
          <w:sz w:val="24"/>
          <w:szCs w:val="21"/>
        </w:rPr>
        <w:t>1.财政部门监督电话：0527-84363063。</w:t>
      </w:r>
    </w:p>
    <w:p w14:paraId="5D4BAD7E">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2.“CA”数字证书办理：“苏采云”系统目前仅支持“苏采云”系统下的政务CA。省内各地区办理的“苏采云”系统下的政务CA全省通用。宿迁地区CA数字证书办理联系方式：18351098172。</w:t>
      </w:r>
    </w:p>
    <w:p w14:paraId="6156DDA4">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3.宿迁地区“苏采云”技术支持客服电话：0527-84363067、0519-86722806。</w:t>
      </w:r>
    </w:p>
    <w:p w14:paraId="03235259">
      <w:pPr>
        <w:pageBreakBefore w:val="0"/>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4.投标人通过苏采云系统参与政府采购项目，相关操作手册详见链接：http://www.ccgp-jiangsu.gov.cn/jiangsu/zlxz/ee/ee3a4bc5a3454aa2b0d9312230633ce9.html。</w:t>
      </w:r>
    </w:p>
    <w:p w14:paraId="65E8FBCD">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5.现场勘察及答疑：本项目不组织集中勘察及答疑，投标人如对采购需求有疑问，请咨询采购单位联系人。</w:t>
      </w:r>
    </w:p>
    <w:p w14:paraId="20E82C65">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r>
        <w:rPr>
          <w:rFonts w:hint="eastAsia" w:ascii="仿宋" w:hAnsi="仿宋" w:eastAsia="仿宋" w:cs="仿宋"/>
          <w:b/>
          <w:bCs/>
          <w:color w:val="auto"/>
          <w:sz w:val="32"/>
          <w:szCs w:val="32"/>
        </w:rPr>
        <w:t>七、本次招标联系方式</w:t>
      </w:r>
      <w:bookmarkEnd w:id="36"/>
      <w:bookmarkEnd w:id="37"/>
      <w:bookmarkEnd w:id="38"/>
      <w:bookmarkEnd w:id="39"/>
      <w:bookmarkEnd w:id="40"/>
    </w:p>
    <w:p w14:paraId="6598D07D">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1.招标人1信息</w:t>
      </w:r>
    </w:p>
    <w:p w14:paraId="620AC28A">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名称：宿迁市教育局</w:t>
      </w:r>
    </w:p>
    <w:p w14:paraId="5FFC6F76">
      <w:pPr>
        <w:pageBreakBefore w:val="0"/>
        <w:kinsoku/>
        <w:wordWrap/>
        <w:overflowPunct/>
        <w:topLinePunct w:val="0"/>
        <w:autoSpaceDE/>
        <w:autoSpaceDN/>
        <w:bidi w:val="0"/>
        <w:adjustRightInd/>
        <w:snapToGrid/>
        <w:spacing w:line="520" w:lineRule="exact"/>
        <w:ind w:firstLine="480"/>
        <w:jc w:val="left"/>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地址：宿迁市太湖路261号</w:t>
      </w:r>
    </w:p>
    <w:p w14:paraId="6E234907">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联系人：姜主任</w:t>
      </w:r>
    </w:p>
    <w:p w14:paraId="1BBD00AE">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联系方式：</w:t>
      </w:r>
      <w:bookmarkStart w:id="41" w:name="_Toc28359086"/>
      <w:bookmarkStart w:id="42" w:name="_Toc28359009"/>
      <w:r>
        <w:rPr>
          <w:rFonts w:hint="eastAsia" w:ascii="仿宋" w:hAnsi="仿宋" w:eastAsia="仿宋" w:cs="仿宋"/>
          <w:color w:val="auto"/>
          <w:sz w:val="24"/>
          <w:szCs w:val="21"/>
        </w:rPr>
        <w:t>0527-84389643</w:t>
      </w:r>
    </w:p>
    <w:p w14:paraId="00309EB4">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2.招标人2信息</w:t>
      </w:r>
    </w:p>
    <w:p w14:paraId="2FF9E2AA">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名称：宿迁市楚润数据集团有限公司</w:t>
      </w:r>
    </w:p>
    <w:p w14:paraId="71E027ED">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地址：宿迁市宿城区发展大道</w:t>
      </w:r>
      <w:r>
        <w:rPr>
          <w:rFonts w:hint="eastAsia" w:ascii="仿宋" w:hAnsi="仿宋" w:eastAsia="仿宋" w:cs="仿宋"/>
          <w:color w:val="auto"/>
          <w:sz w:val="24"/>
          <w:szCs w:val="21"/>
          <w:lang w:val="en-US" w:eastAsia="zh-CN"/>
        </w:rPr>
        <w:t>7</w:t>
      </w:r>
      <w:r>
        <w:rPr>
          <w:rFonts w:hint="eastAsia" w:ascii="仿宋" w:hAnsi="仿宋" w:eastAsia="仿宋" w:cs="仿宋"/>
          <w:color w:val="auto"/>
          <w:sz w:val="24"/>
          <w:szCs w:val="21"/>
        </w:rPr>
        <w:t>号</w:t>
      </w:r>
    </w:p>
    <w:p w14:paraId="1FB80539">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联系人：荣</w:t>
      </w:r>
      <w:r>
        <w:rPr>
          <w:rFonts w:hint="eastAsia" w:ascii="仿宋" w:hAnsi="仿宋" w:eastAsia="仿宋" w:cs="仿宋"/>
          <w:color w:val="auto"/>
          <w:sz w:val="24"/>
          <w:szCs w:val="21"/>
          <w:lang w:eastAsia="zh-CN"/>
        </w:rPr>
        <w:t>先生</w:t>
      </w:r>
    </w:p>
    <w:p w14:paraId="0261AFDD">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联系方式：0527-80522809</w:t>
      </w:r>
    </w:p>
    <w:p w14:paraId="58EB3048">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3.招标代理机构信息</w:t>
      </w:r>
      <w:bookmarkEnd w:id="41"/>
      <w:bookmarkEnd w:id="42"/>
    </w:p>
    <w:p w14:paraId="7A23B787">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bookmarkStart w:id="43" w:name="_Toc28359010"/>
      <w:bookmarkStart w:id="44" w:name="_Toc28359087"/>
      <w:r>
        <w:rPr>
          <w:rFonts w:hint="eastAsia" w:ascii="仿宋" w:hAnsi="仿宋" w:eastAsia="仿宋" w:cs="仿宋"/>
          <w:color w:val="auto"/>
          <w:sz w:val="24"/>
          <w:szCs w:val="21"/>
        </w:rPr>
        <w:t>名称：江苏星河源房地产评估工程咨询有限公司</w:t>
      </w:r>
    </w:p>
    <w:p w14:paraId="01187FD4">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地址：宿迁市宿城区兴邦商厦13楼1302</w:t>
      </w:r>
    </w:p>
    <w:p w14:paraId="100E330E">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联系人：周洁</w:t>
      </w:r>
    </w:p>
    <w:p w14:paraId="375EC4B2">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联系方式：</w:t>
      </w:r>
      <w:bookmarkEnd w:id="43"/>
      <w:bookmarkEnd w:id="44"/>
      <w:r>
        <w:rPr>
          <w:rFonts w:hint="eastAsia" w:ascii="仿宋" w:hAnsi="仿宋" w:eastAsia="仿宋" w:cs="仿宋"/>
          <w:color w:val="auto"/>
          <w:sz w:val="24"/>
          <w:szCs w:val="21"/>
        </w:rPr>
        <w:t>15162915595</w:t>
      </w:r>
    </w:p>
    <w:p w14:paraId="1F006D8C">
      <w:pPr>
        <w:keepNext/>
        <w:keepLines/>
        <w:pageBreakBefore w:val="0"/>
        <w:kinsoku/>
        <w:wordWrap/>
        <w:overflowPunct/>
        <w:topLinePunct w:val="0"/>
        <w:autoSpaceDE/>
        <w:autoSpaceDN/>
        <w:bidi w:val="0"/>
        <w:adjustRightInd/>
        <w:snapToGrid/>
        <w:spacing w:line="520" w:lineRule="exact"/>
        <w:ind w:firstLine="643"/>
        <w:textAlignment w:val="auto"/>
        <w:outlineLvl w:val="2"/>
        <w:rPr>
          <w:rFonts w:hint="eastAsia" w:ascii="仿宋" w:hAnsi="仿宋" w:eastAsia="仿宋" w:cs="仿宋"/>
          <w:b/>
          <w:bCs/>
          <w:color w:val="auto"/>
          <w:sz w:val="32"/>
          <w:szCs w:val="32"/>
        </w:rPr>
      </w:pPr>
      <w:r>
        <w:rPr>
          <w:rFonts w:hint="eastAsia" w:ascii="仿宋" w:hAnsi="仿宋" w:eastAsia="仿宋" w:cs="仿宋"/>
          <w:b/>
          <w:bCs/>
          <w:color w:val="auto"/>
          <w:sz w:val="32"/>
          <w:szCs w:val="32"/>
        </w:rPr>
        <w:t>八、其他</w:t>
      </w:r>
    </w:p>
    <w:p w14:paraId="175AFBB3">
      <w:pPr>
        <w:pageBreakBefore w:val="0"/>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1.有关本次招标的事项若存在变动或修改，敬请及时关注“宿迁市政府采购网”等平台更正公告。</w:t>
      </w:r>
    </w:p>
    <w:p w14:paraId="6A76105C">
      <w:pPr>
        <w:pageBreakBefore w:val="0"/>
        <w:kinsoku/>
        <w:wordWrap/>
        <w:overflowPunct/>
        <w:topLinePunct w:val="0"/>
        <w:autoSpaceDE/>
        <w:autoSpaceDN/>
        <w:bidi w:val="0"/>
        <w:adjustRightInd/>
        <w:snapToGrid/>
        <w:spacing w:line="480" w:lineRule="exact"/>
        <w:ind w:right="840"/>
        <w:textAlignment w:val="auto"/>
        <w:rPr>
          <w:rFonts w:hint="eastAsia" w:ascii="仿宋" w:hAnsi="仿宋" w:eastAsia="仿宋" w:cs="仿宋"/>
          <w:color w:val="auto"/>
          <w:sz w:val="24"/>
        </w:rPr>
      </w:pPr>
      <w:r>
        <w:rPr>
          <w:rFonts w:hint="eastAsia" w:ascii="仿宋" w:hAnsi="仿宋" w:eastAsia="仿宋" w:cs="仿宋"/>
          <w:color w:val="auto"/>
          <w:sz w:val="24"/>
        </w:rPr>
        <w:br w:type="page" w:clear="all"/>
      </w:r>
    </w:p>
    <w:p w14:paraId="5D33D710">
      <w:pPr>
        <w:pStyle w:val="2"/>
        <w:jc w:val="center"/>
        <w:rPr>
          <w:rFonts w:hint="eastAsia" w:ascii="仿宋" w:hAnsi="仿宋" w:eastAsia="仿宋" w:cs="仿宋"/>
          <w:color w:val="auto"/>
        </w:rPr>
      </w:pPr>
      <w:bookmarkStart w:id="45" w:name="_Toc81575191"/>
      <w:bookmarkStart w:id="46" w:name="_Toc81575154"/>
      <w:bookmarkStart w:id="47" w:name="_Toc29262"/>
      <w:bookmarkStart w:id="48" w:name="_Toc120614211"/>
      <w:r>
        <w:rPr>
          <w:rFonts w:hint="eastAsia" w:ascii="仿宋" w:hAnsi="仿宋" w:eastAsia="仿宋" w:cs="仿宋"/>
          <w:color w:val="auto"/>
          <w:sz w:val="44"/>
          <w:szCs w:val="44"/>
        </w:rPr>
        <w:t>第二章  投标人须知</w:t>
      </w:r>
    </w:p>
    <w:p w14:paraId="79FF47C5">
      <w:pPr>
        <w:pStyle w:val="3"/>
        <w:keepNext w:val="0"/>
        <w:keepLines w:val="0"/>
        <w:spacing w:line="500" w:lineRule="exact"/>
        <w:jc w:val="left"/>
        <w:rPr>
          <w:rFonts w:hint="eastAsia" w:ascii="仿宋" w:hAnsi="仿宋" w:eastAsia="仿宋" w:cs="仿宋"/>
          <w:color w:val="auto"/>
          <w:sz w:val="32"/>
          <w:szCs w:val="32"/>
        </w:rPr>
      </w:pPr>
      <w:r>
        <w:rPr>
          <w:rFonts w:hint="eastAsia" w:ascii="仿宋" w:hAnsi="仿宋" w:eastAsia="仿宋" w:cs="仿宋"/>
          <w:color w:val="auto"/>
          <w:sz w:val="32"/>
          <w:szCs w:val="32"/>
        </w:rPr>
        <w:t>投标人须知前附表：</w:t>
      </w:r>
      <w:bookmarkEnd w:id="45"/>
      <w:bookmarkEnd w:id="46"/>
      <w:bookmarkEnd w:id="47"/>
    </w:p>
    <w:tbl>
      <w:tblPr>
        <w:tblStyle w:val="31"/>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03CD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68FD0E2D">
            <w:pPr>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1772" w:type="dxa"/>
            <w:tcBorders>
              <w:top w:val="single" w:color="auto" w:sz="4" w:space="0"/>
              <w:left w:val="nil"/>
              <w:bottom w:val="single" w:color="auto" w:sz="4" w:space="0"/>
              <w:right w:val="single" w:color="auto" w:sz="4" w:space="0"/>
            </w:tcBorders>
            <w:noWrap w:val="0"/>
            <w:vAlign w:val="center"/>
          </w:tcPr>
          <w:p w14:paraId="09B11F66">
            <w:pPr>
              <w:jc w:val="center"/>
              <w:rPr>
                <w:rFonts w:hint="eastAsia" w:ascii="仿宋" w:hAnsi="仿宋" w:eastAsia="仿宋" w:cs="仿宋"/>
                <w:b/>
                <w:color w:val="auto"/>
                <w:sz w:val="24"/>
              </w:rPr>
            </w:pPr>
            <w:r>
              <w:rPr>
                <w:rFonts w:hint="eastAsia" w:ascii="仿宋" w:hAnsi="仿宋" w:eastAsia="仿宋" w:cs="仿宋"/>
                <w:b/>
                <w:color w:val="auto"/>
                <w:sz w:val="24"/>
              </w:rPr>
              <w:t>内容</w:t>
            </w:r>
          </w:p>
        </w:tc>
        <w:tc>
          <w:tcPr>
            <w:tcW w:w="6579" w:type="dxa"/>
            <w:tcBorders>
              <w:top w:val="single" w:color="auto" w:sz="4" w:space="0"/>
              <w:left w:val="nil"/>
              <w:bottom w:val="single" w:color="auto" w:sz="4" w:space="0"/>
              <w:right w:val="single" w:color="auto" w:sz="4" w:space="0"/>
            </w:tcBorders>
            <w:noWrap w:val="0"/>
            <w:vAlign w:val="center"/>
          </w:tcPr>
          <w:p w14:paraId="70E80C9C">
            <w:pPr>
              <w:jc w:val="center"/>
              <w:rPr>
                <w:rFonts w:hint="eastAsia" w:ascii="仿宋" w:hAnsi="仿宋" w:eastAsia="仿宋" w:cs="仿宋"/>
                <w:b/>
                <w:color w:val="auto"/>
                <w:sz w:val="24"/>
              </w:rPr>
            </w:pPr>
            <w:r>
              <w:rPr>
                <w:rFonts w:hint="eastAsia" w:ascii="仿宋" w:hAnsi="仿宋" w:eastAsia="仿宋" w:cs="仿宋"/>
                <w:b/>
                <w:color w:val="auto"/>
                <w:sz w:val="24"/>
              </w:rPr>
              <w:t>说明及要求</w:t>
            </w:r>
          </w:p>
        </w:tc>
      </w:tr>
      <w:tr w14:paraId="415F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0E8C80D">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1772" w:type="dxa"/>
            <w:tcBorders>
              <w:top w:val="single" w:color="auto" w:sz="4" w:space="0"/>
              <w:left w:val="nil"/>
              <w:bottom w:val="single" w:color="auto" w:sz="4" w:space="0"/>
              <w:right w:val="single" w:color="auto" w:sz="4" w:space="0"/>
            </w:tcBorders>
            <w:noWrap w:val="0"/>
            <w:vAlign w:val="center"/>
          </w:tcPr>
          <w:p w14:paraId="02EA92D7">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项目属性</w:t>
            </w:r>
          </w:p>
        </w:tc>
        <w:tc>
          <w:tcPr>
            <w:tcW w:w="6579" w:type="dxa"/>
            <w:tcBorders>
              <w:top w:val="single" w:color="auto" w:sz="4" w:space="0"/>
              <w:left w:val="nil"/>
              <w:bottom w:val="single" w:color="auto" w:sz="4" w:space="0"/>
              <w:right w:val="single" w:color="auto" w:sz="4" w:space="0"/>
            </w:tcBorders>
            <w:noWrap w:val="0"/>
            <w:vAlign w:val="center"/>
          </w:tcPr>
          <w:p w14:paraId="28C6C13E">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本项目</w:t>
            </w:r>
            <w:bookmarkStart w:id="49" w:name="EB9a5853ee094f4f0ea6ec3169265f6f2c"/>
            <w:r>
              <w:rPr>
                <w:rFonts w:hint="eastAsia" w:ascii="仿宋" w:hAnsi="仿宋" w:eastAsia="仿宋" w:cs="仿宋"/>
                <w:color w:val="auto"/>
                <w:sz w:val="24"/>
              </w:rPr>
              <w:t>属性按以下第</w:t>
            </w:r>
            <w:bookmarkEnd w:id="49"/>
            <w:r>
              <w:rPr>
                <w:rFonts w:hint="eastAsia" w:ascii="仿宋" w:hAnsi="仿宋" w:eastAsia="仿宋" w:cs="仿宋"/>
                <w:color w:val="auto"/>
                <w:sz w:val="24"/>
                <w:u w:val="single"/>
              </w:rPr>
              <w:t>2</w:t>
            </w:r>
            <w:r>
              <w:rPr>
                <w:rFonts w:hint="eastAsia" w:ascii="仿宋" w:hAnsi="仿宋" w:eastAsia="仿宋" w:cs="仿宋"/>
                <w:color w:val="auto"/>
                <w:sz w:val="24"/>
              </w:rPr>
              <w:t>种确定：</w:t>
            </w:r>
          </w:p>
          <w:p w14:paraId="7D2D7760">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1.货物</w:t>
            </w:r>
            <w:bookmarkStart w:id="50" w:name="EBd5c6c026f9674c39b21b31ecd0c1e7fa"/>
            <w:r>
              <w:rPr>
                <w:rFonts w:hint="eastAsia" w:ascii="仿宋" w:hAnsi="仿宋" w:eastAsia="仿宋" w:cs="仿宋"/>
                <w:color w:val="auto"/>
                <w:sz w:val="24"/>
              </w:rPr>
              <w:t>采购；2.</w:t>
            </w:r>
            <w:bookmarkEnd w:id="50"/>
            <w:r>
              <w:rPr>
                <w:rFonts w:hint="eastAsia" w:ascii="仿宋" w:hAnsi="仿宋" w:eastAsia="仿宋" w:cs="仿宋"/>
                <w:color w:val="auto"/>
                <w:sz w:val="24"/>
              </w:rPr>
              <w:t>服务</w:t>
            </w:r>
            <w:bookmarkStart w:id="51" w:name="EBf7d2a4f44ecb4166a93ea852e73be69f"/>
            <w:r>
              <w:rPr>
                <w:rFonts w:hint="eastAsia" w:ascii="仿宋" w:hAnsi="仿宋" w:eastAsia="仿宋" w:cs="仿宋"/>
                <w:color w:val="auto"/>
                <w:sz w:val="24"/>
              </w:rPr>
              <w:t>采购；3.</w:t>
            </w:r>
            <w:bookmarkEnd w:id="51"/>
            <w:r>
              <w:rPr>
                <w:rFonts w:hint="eastAsia" w:ascii="仿宋" w:hAnsi="仿宋" w:eastAsia="仿宋" w:cs="仿宋"/>
                <w:color w:val="auto"/>
                <w:sz w:val="24"/>
              </w:rPr>
              <w:t>工程采购。</w:t>
            </w:r>
          </w:p>
        </w:tc>
      </w:tr>
      <w:tr w14:paraId="2F24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75D9A52A">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1772" w:type="dxa"/>
            <w:tcBorders>
              <w:top w:val="single" w:color="auto" w:sz="4" w:space="0"/>
              <w:left w:val="nil"/>
              <w:bottom w:val="single" w:color="auto" w:sz="4" w:space="0"/>
              <w:right w:val="single" w:color="auto" w:sz="4" w:space="0"/>
            </w:tcBorders>
            <w:noWrap w:val="0"/>
            <w:vAlign w:val="center"/>
          </w:tcPr>
          <w:p w14:paraId="497A9906">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投标有效期</w:t>
            </w:r>
          </w:p>
        </w:tc>
        <w:tc>
          <w:tcPr>
            <w:tcW w:w="6579" w:type="dxa"/>
            <w:tcBorders>
              <w:top w:val="single" w:color="auto" w:sz="4" w:space="0"/>
              <w:left w:val="nil"/>
              <w:bottom w:val="single" w:color="auto" w:sz="4" w:space="0"/>
              <w:right w:val="single" w:color="auto" w:sz="4" w:space="0"/>
            </w:tcBorders>
            <w:noWrap w:val="0"/>
            <w:vAlign w:val="center"/>
          </w:tcPr>
          <w:p w14:paraId="33CB0E7D">
            <w:pPr>
              <w:spacing w:line="400" w:lineRule="exact"/>
              <w:jc w:val="left"/>
              <w:rPr>
                <w:rFonts w:hint="eastAsia" w:ascii="仿宋" w:hAnsi="仿宋" w:eastAsia="仿宋" w:cs="仿宋"/>
                <w:color w:val="auto"/>
                <w:sz w:val="24"/>
              </w:rPr>
            </w:pPr>
            <w:bookmarkStart w:id="52" w:name="EBd40b5fb42f2944a3b45e579ce3941f02"/>
            <w:bookmarkEnd w:id="52"/>
            <w:r>
              <w:rPr>
                <w:rFonts w:hint="eastAsia" w:ascii="仿宋" w:hAnsi="仿宋" w:eastAsia="仿宋" w:cs="仿宋"/>
                <w:color w:val="auto"/>
                <w:sz w:val="24"/>
              </w:rPr>
              <w:t>60日（从提交投标文件截止之日起算）</w:t>
            </w:r>
          </w:p>
        </w:tc>
      </w:tr>
      <w:tr w14:paraId="4A561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3E3D3812">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3</w:t>
            </w:r>
          </w:p>
        </w:tc>
        <w:tc>
          <w:tcPr>
            <w:tcW w:w="1772" w:type="dxa"/>
            <w:tcBorders>
              <w:top w:val="single" w:color="auto" w:sz="4" w:space="0"/>
              <w:left w:val="nil"/>
              <w:bottom w:val="single" w:color="auto" w:sz="4" w:space="0"/>
              <w:right w:val="single" w:color="auto" w:sz="4" w:space="0"/>
            </w:tcBorders>
            <w:noWrap w:val="0"/>
            <w:vAlign w:val="center"/>
          </w:tcPr>
          <w:p w14:paraId="617AF6BD">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投标文件份数</w:t>
            </w:r>
          </w:p>
        </w:tc>
        <w:tc>
          <w:tcPr>
            <w:tcW w:w="6579" w:type="dxa"/>
            <w:tcBorders>
              <w:top w:val="single" w:color="auto" w:sz="4" w:space="0"/>
              <w:left w:val="nil"/>
              <w:bottom w:val="single" w:color="auto" w:sz="4" w:space="0"/>
              <w:right w:val="single" w:color="auto" w:sz="4" w:space="0"/>
            </w:tcBorders>
            <w:noWrap w:val="0"/>
            <w:vAlign w:val="center"/>
          </w:tcPr>
          <w:p w14:paraId="462D3AA1">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提交加密电子投标文件</w:t>
            </w:r>
            <w:r>
              <w:rPr>
                <w:rFonts w:hint="eastAsia" w:ascii="仿宋" w:hAnsi="仿宋" w:eastAsia="仿宋" w:cs="仿宋"/>
                <w:color w:val="auto"/>
                <w:sz w:val="24"/>
                <w:u w:val="single"/>
              </w:rPr>
              <w:t>1</w:t>
            </w:r>
            <w:r>
              <w:rPr>
                <w:rFonts w:hint="eastAsia" w:ascii="仿宋" w:hAnsi="仿宋" w:eastAsia="仿宋" w:cs="仿宋"/>
                <w:color w:val="auto"/>
                <w:sz w:val="24"/>
              </w:rPr>
              <w:t>份。</w:t>
            </w:r>
          </w:p>
        </w:tc>
      </w:tr>
      <w:tr w14:paraId="0E95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2E3BA820">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4</w:t>
            </w:r>
          </w:p>
        </w:tc>
        <w:tc>
          <w:tcPr>
            <w:tcW w:w="1772" w:type="dxa"/>
            <w:tcBorders>
              <w:top w:val="single" w:color="auto" w:sz="4" w:space="0"/>
              <w:left w:val="nil"/>
              <w:bottom w:val="single" w:color="auto" w:sz="4" w:space="0"/>
              <w:right w:val="single" w:color="auto" w:sz="4" w:space="0"/>
            </w:tcBorders>
            <w:noWrap w:val="0"/>
            <w:vAlign w:val="center"/>
          </w:tcPr>
          <w:p w14:paraId="269D77AF">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开标</w:t>
            </w:r>
          </w:p>
        </w:tc>
        <w:tc>
          <w:tcPr>
            <w:tcW w:w="6579" w:type="dxa"/>
            <w:tcBorders>
              <w:top w:val="single" w:color="auto" w:sz="4" w:space="0"/>
              <w:left w:val="nil"/>
              <w:bottom w:val="single" w:color="auto" w:sz="4" w:space="0"/>
              <w:right w:val="single" w:color="auto" w:sz="4" w:space="0"/>
            </w:tcBorders>
            <w:noWrap w:val="0"/>
            <w:vAlign w:val="center"/>
          </w:tcPr>
          <w:p w14:paraId="0756B6D7">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“苏采云”政府采购交易系统网上开标大厅进行不见面开标。</w:t>
            </w:r>
          </w:p>
        </w:tc>
      </w:tr>
      <w:tr w14:paraId="5ECC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0241E76E">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5</w:t>
            </w:r>
          </w:p>
        </w:tc>
        <w:tc>
          <w:tcPr>
            <w:tcW w:w="1772" w:type="dxa"/>
            <w:tcBorders>
              <w:top w:val="single" w:color="auto" w:sz="4" w:space="0"/>
              <w:left w:val="nil"/>
              <w:bottom w:val="single" w:color="auto" w:sz="4" w:space="0"/>
              <w:right w:val="single" w:color="auto" w:sz="4" w:space="0"/>
            </w:tcBorders>
            <w:noWrap w:val="0"/>
            <w:vAlign w:val="center"/>
          </w:tcPr>
          <w:p w14:paraId="1BAD095B">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进口产品</w:t>
            </w:r>
          </w:p>
        </w:tc>
        <w:tc>
          <w:tcPr>
            <w:tcW w:w="6579" w:type="dxa"/>
            <w:tcBorders>
              <w:top w:val="single" w:color="auto" w:sz="4" w:space="0"/>
              <w:left w:val="nil"/>
              <w:bottom w:val="single" w:color="auto" w:sz="4" w:space="0"/>
              <w:right w:val="single" w:color="auto" w:sz="4" w:space="0"/>
            </w:tcBorders>
            <w:noWrap w:val="0"/>
            <w:vAlign w:val="center"/>
          </w:tcPr>
          <w:p w14:paraId="16EA62B4">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按以下第</w:t>
            </w:r>
            <w:r>
              <w:rPr>
                <w:rFonts w:hint="eastAsia" w:ascii="仿宋" w:hAnsi="仿宋" w:eastAsia="仿宋" w:cs="仿宋"/>
                <w:color w:val="auto"/>
                <w:sz w:val="24"/>
                <w:u w:val="single"/>
              </w:rPr>
              <w:t>2</w:t>
            </w:r>
            <w:r>
              <w:rPr>
                <w:rFonts w:hint="eastAsia" w:ascii="仿宋" w:hAnsi="仿宋" w:eastAsia="仿宋" w:cs="仿宋"/>
                <w:color w:val="auto"/>
                <w:sz w:val="24"/>
              </w:rPr>
              <w:t>种方式确定：</w:t>
            </w:r>
          </w:p>
          <w:p w14:paraId="1DA5FF1E">
            <w:pPr>
              <w:widowControl/>
              <w:spacing w:line="360" w:lineRule="exact"/>
              <w:jc w:val="left"/>
              <w:rPr>
                <w:rFonts w:hint="eastAsia" w:ascii="仿宋" w:hAnsi="仿宋" w:eastAsia="仿宋" w:cs="仿宋"/>
                <w:color w:val="auto"/>
                <w:sz w:val="24"/>
              </w:rPr>
            </w:pPr>
            <w:r>
              <w:rPr>
                <w:rFonts w:hint="eastAsia" w:ascii="仿宋" w:hAnsi="仿宋" w:eastAsia="仿宋" w:cs="仿宋"/>
                <w:color w:val="auto"/>
                <w:sz w:val="24"/>
              </w:rPr>
              <w:t>1.接受进口产品。</w:t>
            </w:r>
            <w:r>
              <w:rPr>
                <w:rFonts w:hint="eastAsia" w:ascii="仿宋" w:hAnsi="仿宋" w:eastAsia="仿宋" w:cs="仿宋"/>
                <w:color w:val="auto"/>
                <w:sz w:val="24"/>
                <w:szCs w:val="22"/>
              </w:rPr>
              <w:t>应当符合《政府采购进口产品管理办法》（财库〔2007〕119号）、《关于政府采购进口产品管理有关问题的通知》（财办库〔2008〕248号）等相关规定</w:t>
            </w:r>
            <w:r>
              <w:rPr>
                <w:rFonts w:hint="eastAsia" w:ascii="仿宋" w:hAnsi="仿宋" w:eastAsia="仿宋" w:cs="仿宋"/>
                <w:color w:val="auto"/>
                <w:sz w:val="24"/>
              </w:rPr>
              <w:t>；</w:t>
            </w:r>
          </w:p>
          <w:p w14:paraId="1467881D">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2.不接受进口产品。</w:t>
            </w:r>
          </w:p>
        </w:tc>
      </w:tr>
      <w:tr w14:paraId="236FA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5F0B5C0C">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6</w:t>
            </w:r>
          </w:p>
        </w:tc>
        <w:tc>
          <w:tcPr>
            <w:tcW w:w="1772" w:type="dxa"/>
            <w:tcBorders>
              <w:top w:val="single" w:color="auto" w:sz="4" w:space="0"/>
              <w:left w:val="nil"/>
              <w:bottom w:val="single" w:color="auto" w:sz="4" w:space="0"/>
              <w:right w:val="single" w:color="auto" w:sz="4" w:space="0"/>
            </w:tcBorders>
            <w:noWrap w:val="0"/>
            <w:vAlign w:val="center"/>
          </w:tcPr>
          <w:p w14:paraId="75D9B27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评标办法</w:t>
            </w:r>
          </w:p>
        </w:tc>
        <w:tc>
          <w:tcPr>
            <w:tcW w:w="6579" w:type="dxa"/>
            <w:tcBorders>
              <w:top w:val="single" w:color="auto" w:sz="4" w:space="0"/>
              <w:left w:val="nil"/>
              <w:bottom w:val="single" w:color="auto" w:sz="4" w:space="0"/>
              <w:right w:val="single" w:color="auto" w:sz="4" w:space="0"/>
            </w:tcBorders>
            <w:noWrap w:val="0"/>
            <w:vAlign w:val="center"/>
          </w:tcPr>
          <w:p w14:paraId="22F7AC55">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具体评标办法详见招标文件第</w:t>
            </w:r>
            <w:r>
              <w:rPr>
                <w:rFonts w:hint="eastAsia" w:ascii="仿宋" w:hAnsi="仿宋" w:eastAsia="仿宋" w:cs="仿宋"/>
                <w:color w:val="auto"/>
                <w:sz w:val="24"/>
                <w:lang w:eastAsia="zh-CN"/>
              </w:rPr>
              <w:t>五</w:t>
            </w:r>
            <w:r>
              <w:rPr>
                <w:rFonts w:hint="eastAsia" w:ascii="仿宋" w:hAnsi="仿宋" w:eastAsia="仿宋" w:cs="仿宋"/>
                <w:color w:val="auto"/>
                <w:sz w:val="24"/>
              </w:rPr>
              <w:t>章。</w:t>
            </w:r>
          </w:p>
          <w:p w14:paraId="4AA88081">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评标委员会依据招标文件规定的评标办法和标准推荐</w:t>
            </w:r>
            <w:r>
              <w:rPr>
                <w:rFonts w:hint="eastAsia" w:ascii="仿宋" w:hAnsi="仿宋" w:eastAsia="仿宋" w:cs="仿宋"/>
                <w:color w:val="auto"/>
                <w:sz w:val="24"/>
                <w:u w:val="single"/>
              </w:rPr>
              <w:t>3</w:t>
            </w:r>
            <w:r>
              <w:rPr>
                <w:rFonts w:hint="eastAsia" w:ascii="仿宋" w:hAnsi="仿宋" w:eastAsia="仿宋" w:cs="仿宋"/>
                <w:color w:val="auto"/>
                <w:sz w:val="24"/>
              </w:rPr>
              <w:t>名中标候选人。</w:t>
            </w:r>
          </w:p>
        </w:tc>
      </w:tr>
      <w:tr w14:paraId="1E96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7F63DE8">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7</w:t>
            </w:r>
          </w:p>
        </w:tc>
        <w:tc>
          <w:tcPr>
            <w:tcW w:w="1772" w:type="dxa"/>
            <w:tcBorders>
              <w:top w:val="single" w:color="auto" w:sz="4" w:space="0"/>
              <w:left w:val="nil"/>
              <w:bottom w:val="single" w:color="auto" w:sz="4" w:space="0"/>
              <w:right w:val="single" w:color="auto" w:sz="4" w:space="0"/>
            </w:tcBorders>
            <w:noWrap w:val="0"/>
            <w:vAlign w:val="center"/>
          </w:tcPr>
          <w:p w14:paraId="2B53B6EE">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确定中标人</w:t>
            </w:r>
          </w:p>
        </w:tc>
        <w:tc>
          <w:tcPr>
            <w:tcW w:w="6579" w:type="dxa"/>
            <w:tcBorders>
              <w:top w:val="single" w:color="auto" w:sz="4" w:space="0"/>
              <w:left w:val="nil"/>
              <w:bottom w:val="single" w:color="auto" w:sz="4" w:space="0"/>
              <w:right w:val="single" w:color="auto" w:sz="4" w:space="0"/>
            </w:tcBorders>
            <w:noWrap w:val="0"/>
            <w:vAlign w:val="center"/>
          </w:tcPr>
          <w:p w14:paraId="454DAB83">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采购人按规定在评标委员会推荐的中标候选人中确定中标人。</w:t>
            </w:r>
          </w:p>
        </w:tc>
      </w:tr>
      <w:tr w14:paraId="5285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8EF4D6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8</w:t>
            </w:r>
          </w:p>
        </w:tc>
        <w:tc>
          <w:tcPr>
            <w:tcW w:w="1772" w:type="dxa"/>
            <w:tcBorders>
              <w:top w:val="single" w:color="auto" w:sz="4" w:space="0"/>
              <w:left w:val="nil"/>
              <w:bottom w:val="single" w:color="auto" w:sz="4" w:space="0"/>
              <w:right w:val="single" w:color="auto" w:sz="4" w:space="0"/>
            </w:tcBorders>
            <w:noWrap w:val="0"/>
            <w:vAlign w:val="center"/>
          </w:tcPr>
          <w:p w14:paraId="1BC2D93B">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分包要求</w:t>
            </w:r>
          </w:p>
        </w:tc>
        <w:tc>
          <w:tcPr>
            <w:tcW w:w="6579" w:type="dxa"/>
            <w:tcBorders>
              <w:top w:val="single" w:color="auto" w:sz="4" w:space="0"/>
              <w:left w:val="nil"/>
              <w:bottom w:val="single" w:color="auto" w:sz="4" w:space="0"/>
              <w:right w:val="single" w:color="auto" w:sz="4" w:space="0"/>
            </w:tcBorders>
            <w:noWrap w:val="0"/>
            <w:vAlign w:val="center"/>
          </w:tcPr>
          <w:p w14:paraId="6A85C5E0">
            <w:pPr>
              <w:spacing w:line="400" w:lineRule="exact"/>
              <w:jc w:val="left"/>
              <w:rPr>
                <w:rFonts w:hint="eastAsia" w:ascii="仿宋" w:hAnsi="仿宋" w:eastAsia="仿宋" w:cs="仿宋"/>
                <w:color w:val="auto"/>
                <w:sz w:val="24"/>
              </w:rPr>
            </w:pPr>
            <w:bookmarkStart w:id="53" w:name="EBebac1462c5d9459fbda8a75065c2455d"/>
            <w:r>
              <w:rPr>
                <w:rFonts w:hint="eastAsia" w:ascii="仿宋" w:hAnsi="仿宋" w:eastAsia="仿宋" w:cs="仿宋"/>
                <w:color w:val="auto"/>
                <w:sz w:val="24"/>
              </w:rPr>
              <w:t>本项目的非主体、非关键性工作是否允许分包</w:t>
            </w:r>
            <w:bookmarkEnd w:id="53"/>
            <w:r>
              <w:rPr>
                <w:rFonts w:hint="eastAsia" w:ascii="仿宋" w:hAnsi="仿宋" w:eastAsia="仿宋" w:cs="仿宋"/>
                <w:color w:val="auto"/>
                <w:sz w:val="24"/>
              </w:rPr>
              <w:t>按以下第</w:t>
            </w:r>
            <w:r>
              <w:rPr>
                <w:rFonts w:hint="eastAsia" w:ascii="仿宋" w:hAnsi="仿宋" w:eastAsia="仿宋" w:cs="仿宋"/>
                <w:color w:val="auto"/>
                <w:sz w:val="24"/>
                <w:u w:val="single"/>
              </w:rPr>
              <w:t>  2  </w:t>
            </w:r>
            <w:r>
              <w:rPr>
                <w:rFonts w:hint="eastAsia" w:ascii="仿宋" w:hAnsi="仿宋" w:eastAsia="仿宋" w:cs="仿宋"/>
                <w:color w:val="auto"/>
                <w:sz w:val="24"/>
              </w:rPr>
              <w:t>种方式确定：</w:t>
            </w:r>
          </w:p>
          <w:p w14:paraId="05B326A0">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1.允许分包，</w:t>
            </w:r>
            <w:bookmarkStart w:id="54" w:name="EB512ba06683724173802e2aae54a26079"/>
            <w:r>
              <w:rPr>
                <w:rFonts w:hint="eastAsia" w:ascii="仿宋" w:hAnsi="仿宋" w:eastAsia="仿宋" w:cs="仿宋"/>
                <w:color w:val="auto"/>
                <w:sz w:val="24"/>
              </w:rPr>
              <w:t>允许大中型企业向一家或者多家小微企业分包，分包具体内容、金额或比例：</w:t>
            </w:r>
            <w:bookmarkEnd w:id="54"/>
            <w:r>
              <w:rPr>
                <w:rFonts w:hint="eastAsia" w:ascii="仿宋" w:hAnsi="仿宋" w:eastAsia="仿宋" w:cs="仿宋"/>
                <w:color w:val="auto"/>
                <w:sz w:val="24"/>
              </w:rPr>
              <w:t>无</w:t>
            </w:r>
          </w:p>
          <w:p w14:paraId="5EA72973">
            <w:p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2.不允许分包。</w:t>
            </w:r>
          </w:p>
        </w:tc>
      </w:tr>
      <w:tr w14:paraId="54B6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3FF3578C">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9</w:t>
            </w:r>
          </w:p>
        </w:tc>
        <w:tc>
          <w:tcPr>
            <w:tcW w:w="1772" w:type="dxa"/>
            <w:tcBorders>
              <w:top w:val="single" w:color="auto" w:sz="4" w:space="0"/>
              <w:left w:val="nil"/>
              <w:bottom w:val="single" w:color="auto" w:sz="4" w:space="0"/>
              <w:right w:val="single" w:color="auto" w:sz="4" w:space="0"/>
            </w:tcBorders>
            <w:noWrap w:val="0"/>
            <w:vAlign w:val="center"/>
          </w:tcPr>
          <w:p w14:paraId="323B341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其他</w:t>
            </w:r>
          </w:p>
        </w:tc>
        <w:tc>
          <w:tcPr>
            <w:tcW w:w="6579" w:type="dxa"/>
            <w:tcBorders>
              <w:top w:val="single" w:color="auto" w:sz="4" w:space="0"/>
              <w:left w:val="nil"/>
              <w:bottom w:val="single" w:color="auto" w:sz="4" w:space="0"/>
              <w:right w:val="single" w:color="auto" w:sz="4" w:space="0"/>
            </w:tcBorders>
            <w:noWrap w:val="0"/>
            <w:vAlign w:val="center"/>
          </w:tcPr>
          <w:p w14:paraId="034B3674">
            <w:pPr>
              <w:numPr>
                <w:ilvl w:val="0"/>
                <w:numId w:val="0"/>
              </w:numPr>
              <w:spacing w:line="400" w:lineRule="exact"/>
              <w:jc w:val="left"/>
              <w:rPr>
                <w:rFonts w:hint="eastAsia" w:ascii="仿宋" w:hAnsi="仿宋" w:eastAsia="仿宋" w:cs="仿宋"/>
                <w:color w:val="auto"/>
                <w:sz w:val="24"/>
              </w:rPr>
            </w:pPr>
            <w:r>
              <w:rPr>
                <w:rFonts w:hint="eastAsia" w:ascii="仿宋" w:hAnsi="仿宋" w:eastAsia="仿宋" w:cs="仿宋"/>
                <w:color w:val="auto"/>
                <w:sz w:val="24"/>
              </w:rPr>
              <w:t>信用信息查询截止时间：资格审查结束前。由采购人在资格审查现场查询信用信息，网页截屏打印，查询结果留存并归档。</w:t>
            </w:r>
          </w:p>
        </w:tc>
      </w:tr>
    </w:tbl>
    <w:p w14:paraId="1B4D70ED">
      <w:pPr>
        <w:rPr>
          <w:rFonts w:hint="eastAsia" w:ascii="仿宋" w:hAnsi="仿宋" w:eastAsia="仿宋" w:cs="仿宋"/>
          <w:b/>
          <w:bCs/>
          <w:color w:val="auto"/>
          <w:sz w:val="44"/>
          <w:szCs w:val="44"/>
        </w:rPr>
      </w:pPr>
      <w:r>
        <w:rPr>
          <w:rFonts w:hint="eastAsia" w:ascii="仿宋" w:hAnsi="仿宋" w:eastAsia="仿宋" w:cs="仿宋"/>
          <w:b/>
          <w:bCs/>
          <w:color w:val="auto"/>
          <w:sz w:val="44"/>
          <w:szCs w:val="44"/>
        </w:rPr>
        <w:br w:type="page" w:clear="all"/>
      </w:r>
      <w:bookmarkEnd w:id="1"/>
      <w:bookmarkEnd w:id="2"/>
      <w:bookmarkEnd w:id="3"/>
      <w:bookmarkEnd w:id="4"/>
      <w:bookmarkEnd w:id="5"/>
      <w:bookmarkEnd w:id="48"/>
    </w:p>
    <w:p w14:paraId="545A2F98">
      <w:pPr>
        <w:pStyle w:val="4"/>
        <w:spacing w:before="0" w:after="0" w:line="480" w:lineRule="exact"/>
        <w:ind w:firstLine="498"/>
        <w:rPr>
          <w:rFonts w:hint="eastAsia" w:ascii="仿宋" w:hAnsi="仿宋" w:eastAsia="仿宋" w:cs="仿宋"/>
          <w:b/>
          <w:bCs/>
          <w:color w:val="auto"/>
        </w:rPr>
      </w:pPr>
      <w:bookmarkStart w:id="55" w:name="_Toc16938558"/>
      <w:bookmarkStart w:id="56" w:name="_Toc513029242"/>
      <w:bookmarkStart w:id="57" w:name="_Toc20823314"/>
      <w:bookmarkStart w:id="58" w:name="_Toc479757207"/>
      <w:bookmarkStart w:id="59" w:name="_Toc120614221"/>
      <w:r>
        <w:rPr>
          <w:rFonts w:hint="eastAsia" w:ascii="仿宋" w:hAnsi="仿宋" w:eastAsia="仿宋" w:cs="仿宋"/>
          <w:b/>
          <w:bCs/>
          <w:color w:val="auto"/>
        </w:rPr>
        <w:t>一、总则</w:t>
      </w:r>
    </w:p>
    <w:p w14:paraId="3C1D799E">
      <w:pPr>
        <w:spacing w:line="480" w:lineRule="exact"/>
        <w:ind w:firstLine="482"/>
        <w:rPr>
          <w:rFonts w:hint="eastAsia" w:ascii="仿宋" w:hAnsi="仿宋" w:eastAsia="仿宋" w:cs="仿宋"/>
          <w:b/>
          <w:color w:val="auto"/>
          <w:sz w:val="24"/>
          <w:szCs w:val="22"/>
        </w:rPr>
      </w:pPr>
      <w:bookmarkStart w:id="60" w:name="_Hlt16619475"/>
      <w:bookmarkEnd w:id="60"/>
      <w:r>
        <w:rPr>
          <w:rFonts w:hint="eastAsia" w:ascii="仿宋" w:hAnsi="仿宋" w:eastAsia="仿宋" w:cs="仿宋"/>
          <w:b/>
          <w:color w:val="auto"/>
          <w:sz w:val="24"/>
          <w:szCs w:val="22"/>
        </w:rPr>
        <w:t>1、招标方式</w:t>
      </w:r>
    </w:p>
    <w:p w14:paraId="46F0F87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本次采购采取公开招标方式。</w:t>
      </w:r>
    </w:p>
    <w:p w14:paraId="0396EC65">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2、合格的投标人</w:t>
      </w:r>
    </w:p>
    <w:p w14:paraId="16E8DD3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2.1满足招标公告中投标人的资格要求的规定。</w:t>
      </w:r>
    </w:p>
    <w:p w14:paraId="32CCCD6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2.2满足本文件实质性要求的规定。</w:t>
      </w:r>
    </w:p>
    <w:p w14:paraId="4DFD06DF">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3、适用法律和标准</w:t>
      </w:r>
    </w:p>
    <w:p w14:paraId="67F17AA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3.1本次招标及由招标产生的合同受中华人民共和国的相关法律、法规制约和保护。</w:t>
      </w:r>
    </w:p>
    <w:p w14:paraId="1CB8A9B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3.2 在本项目政府采购活动过程中，如果所执行的标准有更新的，按照最新标准执行。</w:t>
      </w:r>
    </w:p>
    <w:p w14:paraId="18BA716F">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4、投标费用</w:t>
      </w:r>
    </w:p>
    <w:p w14:paraId="349A9090">
      <w:pPr>
        <w:pStyle w:val="4"/>
        <w:spacing w:before="0" w:after="0" w:line="480" w:lineRule="exact"/>
        <w:ind w:firstLine="321"/>
        <w:rPr>
          <w:rFonts w:hint="eastAsia" w:ascii="仿宋" w:hAnsi="仿宋" w:eastAsia="仿宋" w:cs="仿宋"/>
          <w:color w:val="auto"/>
          <w:sz w:val="24"/>
          <w:szCs w:val="22"/>
        </w:rPr>
      </w:pPr>
      <w:bookmarkStart w:id="61" w:name="_Toc20823281"/>
      <w:bookmarkStart w:id="62" w:name="_Toc16938525"/>
      <w:bookmarkStart w:id="63" w:name="_Toc120614215"/>
      <w:bookmarkStart w:id="64" w:name="_Toc513029209"/>
      <w:r>
        <w:rPr>
          <w:rFonts w:hint="eastAsia" w:ascii="仿宋" w:hAnsi="仿宋" w:eastAsia="仿宋" w:cs="仿宋"/>
          <w:color w:val="auto"/>
          <w:sz w:val="24"/>
          <w:szCs w:val="22"/>
        </w:rPr>
        <w:t>4.1 投标人应自行承担所有与参加投标有关的费用，无论投标过程中的做法和结果如何，招标代理机构在任何情况下均无义务和责任承担这些费用。</w:t>
      </w:r>
    </w:p>
    <w:p w14:paraId="4B00B1C9">
      <w:pPr>
        <w:pStyle w:val="4"/>
        <w:spacing w:before="0" w:after="0" w:line="480" w:lineRule="exact"/>
        <w:ind w:firstLine="321"/>
        <w:rPr>
          <w:rFonts w:hint="eastAsia" w:ascii="仿宋" w:hAnsi="仿宋" w:eastAsia="仿宋" w:cs="仿宋"/>
          <w:color w:val="auto"/>
          <w:sz w:val="24"/>
          <w:szCs w:val="22"/>
        </w:rPr>
      </w:pPr>
      <w:r>
        <w:rPr>
          <w:rFonts w:hint="eastAsia" w:ascii="仿宋" w:hAnsi="仿宋" w:eastAsia="仿宋" w:cs="仿宋"/>
          <w:color w:val="auto"/>
          <w:sz w:val="24"/>
          <w:szCs w:val="22"/>
        </w:rPr>
        <w:t>4.2代理费用收取方式及标准：按以下第</w:t>
      </w:r>
      <w:r>
        <w:rPr>
          <w:rFonts w:hint="eastAsia" w:ascii="仿宋" w:hAnsi="仿宋" w:eastAsia="仿宋" w:cs="仿宋"/>
          <w:color w:val="auto"/>
          <w:sz w:val="24"/>
          <w:szCs w:val="22"/>
          <w:u w:val="single"/>
        </w:rPr>
        <w:t xml:space="preserve"> 4.2.2</w:t>
      </w:r>
      <w:r>
        <w:rPr>
          <w:rFonts w:hint="eastAsia" w:ascii="仿宋" w:hAnsi="仿宋" w:eastAsia="仿宋" w:cs="仿宋"/>
          <w:color w:val="auto"/>
          <w:sz w:val="24"/>
          <w:szCs w:val="22"/>
        </w:rPr>
        <w:t>种方式执行</w:t>
      </w:r>
    </w:p>
    <w:p w14:paraId="57AE62AA">
      <w:pPr>
        <w:pStyle w:val="4"/>
        <w:spacing w:before="0" w:after="0" w:line="480" w:lineRule="exact"/>
        <w:ind w:firstLine="321"/>
        <w:rPr>
          <w:rFonts w:hint="eastAsia" w:ascii="仿宋" w:hAnsi="仿宋" w:eastAsia="仿宋" w:cs="仿宋"/>
          <w:color w:val="auto"/>
          <w:sz w:val="24"/>
          <w:szCs w:val="22"/>
        </w:rPr>
      </w:pPr>
      <w:r>
        <w:rPr>
          <w:rFonts w:hint="eastAsia" w:ascii="仿宋" w:hAnsi="仿宋" w:eastAsia="仿宋" w:cs="仿宋"/>
          <w:color w:val="auto"/>
          <w:sz w:val="24"/>
          <w:szCs w:val="22"/>
        </w:rPr>
        <w:t>4.2.1无需支付；</w:t>
      </w:r>
    </w:p>
    <w:p w14:paraId="2E86CBD9">
      <w:pPr>
        <w:pStyle w:val="4"/>
        <w:spacing w:before="0" w:after="0" w:line="480" w:lineRule="exact"/>
        <w:ind w:firstLine="321"/>
        <w:rPr>
          <w:rFonts w:hint="eastAsia" w:ascii="仿宋" w:hAnsi="仿宋" w:eastAsia="仿宋" w:cs="仿宋"/>
          <w:color w:val="auto"/>
          <w:sz w:val="24"/>
          <w:szCs w:val="22"/>
        </w:rPr>
      </w:pPr>
      <w:r>
        <w:rPr>
          <w:rFonts w:hint="eastAsia" w:ascii="仿宋" w:hAnsi="仿宋" w:eastAsia="仿宋" w:cs="仿宋"/>
          <w:color w:val="auto"/>
          <w:sz w:val="24"/>
          <w:szCs w:val="22"/>
        </w:rPr>
        <w:t>4.2.2中标人支付，具体方式及标准为：参照计价格[2002]1980号文规定标准的58%缴纳代理服务费。注：数字人民币为支付方式之一。</w:t>
      </w:r>
    </w:p>
    <w:p w14:paraId="34EEB97E">
      <w:pPr>
        <w:pStyle w:val="4"/>
        <w:spacing w:before="0" w:after="0" w:line="480" w:lineRule="exact"/>
        <w:ind w:firstLine="321"/>
        <w:rPr>
          <w:rFonts w:hint="eastAsia" w:ascii="仿宋" w:hAnsi="仿宋" w:eastAsia="仿宋" w:cs="仿宋"/>
          <w:b/>
          <w:bCs/>
          <w:color w:val="auto"/>
        </w:rPr>
      </w:pPr>
      <w:r>
        <w:rPr>
          <w:rFonts w:hint="eastAsia" w:ascii="仿宋" w:hAnsi="仿宋" w:eastAsia="仿宋" w:cs="仿宋"/>
          <w:b/>
          <w:bCs/>
          <w:color w:val="auto"/>
        </w:rPr>
        <w:t>二、招标文件</w:t>
      </w:r>
      <w:bookmarkEnd w:id="61"/>
      <w:bookmarkEnd w:id="62"/>
      <w:bookmarkEnd w:id="63"/>
      <w:bookmarkEnd w:id="64"/>
    </w:p>
    <w:p w14:paraId="5BE923E3">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5、招标文件构成</w:t>
      </w:r>
    </w:p>
    <w:p w14:paraId="5AA48E4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5.1招标文件由以下部分组成：</w:t>
      </w:r>
    </w:p>
    <w:p w14:paraId="6DBE958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第一章：投标邀请；</w:t>
      </w:r>
    </w:p>
    <w:p w14:paraId="5906111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第二章：投标人须知；</w:t>
      </w:r>
    </w:p>
    <w:p w14:paraId="5829D0C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第三章：合同文本；</w:t>
      </w:r>
    </w:p>
    <w:p w14:paraId="70BB386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第四章：采购需求；</w:t>
      </w:r>
    </w:p>
    <w:p w14:paraId="4C1B2B3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第五章：资格审查及评标办法；</w:t>
      </w:r>
    </w:p>
    <w:p w14:paraId="507DFC4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第六章：投标文件格式。</w:t>
      </w:r>
    </w:p>
    <w:p w14:paraId="219A881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请仔细检查招标文件是否齐全，如有缺漏请立即与代理机构联系解决。</w:t>
      </w:r>
    </w:p>
    <w:p w14:paraId="0B728F9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5.2投标人应认真阅读招标文件中所有的事项、格式、条款和规范等要求，按招标文件要求和规定编制投标文件。</w:t>
      </w:r>
    </w:p>
    <w:p w14:paraId="40293910">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6、政府采购政策功能落实</w:t>
      </w:r>
    </w:p>
    <w:p w14:paraId="0B87CDA7">
      <w:pPr>
        <w:spacing w:line="480" w:lineRule="exact"/>
        <w:ind w:firstLine="482"/>
        <w:rPr>
          <w:rFonts w:hint="eastAsia" w:ascii="仿宋" w:hAnsi="仿宋" w:eastAsia="仿宋" w:cs="仿宋"/>
          <w:b/>
          <w:bCs/>
          <w:color w:val="auto"/>
          <w:sz w:val="24"/>
          <w:szCs w:val="22"/>
          <w:u w:val="single"/>
        </w:rPr>
      </w:pPr>
      <w:r>
        <w:rPr>
          <w:rFonts w:hint="eastAsia" w:ascii="仿宋" w:hAnsi="仿宋" w:eastAsia="仿宋" w:cs="仿宋"/>
          <w:b/>
          <w:bCs/>
          <w:color w:val="auto"/>
          <w:sz w:val="24"/>
          <w:szCs w:val="22"/>
        </w:rPr>
        <w:t>本项目落实的政府采购政策对应序号为</w:t>
      </w:r>
      <w:r>
        <w:rPr>
          <w:rFonts w:hint="eastAsia" w:ascii="仿宋" w:hAnsi="仿宋" w:eastAsia="仿宋" w:cs="仿宋"/>
          <w:b/>
          <w:bCs/>
          <w:color w:val="auto"/>
          <w:sz w:val="24"/>
          <w:szCs w:val="22"/>
          <w:u w:val="single"/>
        </w:rPr>
        <w:t xml:space="preserve">6.1 </w:t>
      </w:r>
    </w:p>
    <w:p w14:paraId="689E993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6.1中小企业政策</w:t>
      </w:r>
    </w:p>
    <w:p w14:paraId="7F230A5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本项目按第</w:t>
      </w:r>
      <w:r>
        <w:rPr>
          <w:rFonts w:hint="eastAsia" w:ascii="仿宋" w:hAnsi="仿宋" w:eastAsia="仿宋" w:cs="仿宋"/>
          <w:color w:val="auto"/>
          <w:sz w:val="24"/>
          <w:szCs w:val="22"/>
          <w:u w:val="single"/>
        </w:rPr>
        <w:t>（2）</w:t>
      </w:r>
      <w:r>
        <w:rPr>
          <w:rFonts w:hint="eastAsia" w:ascii="仿宋" w:hAnsi="仿宋" w:eastAsia="仿宋" w:cs="仿宋"/>
          <w:color w:val="auto"/>
          <w:sz w:val="24"/>
          <w:szCs w:val="22"/>
        </w:rPr>
        <w:t>种政策落实：</w:t>
      </w:r>
    </w:p>
    <w:p w14:paraId="6B85839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（1）本项目专门面向中小企业（含监狱与戒毒企业、残疾人福利企业）采购。</w:t>
      </w:r>
    </w:p>
    <w:p w14:paraId="2EDEDCC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（2）对符合规定情形的小微企业报价给予</w:t>
      </w:r>
      <w:r>
        <w:rPr>
          <w:rFonts w:hint="eastAsia" w:ascii="仿宋" w:hAnsi="仿宋" w:eastAsia="仿宋" w:cs="仿宋"/>
          <w:color w:val="auto"/>
          <w:sz w:val="24"/>
          <w:szCs w:val="22"/>
          <w:u w:val="single"/>
        </w:rPr>
        <w:t>10%</w:t>
      </w:r>
      <w:r>
        <w:rPr>
          <w:rFonts w:hint="eastAsia" w:ascii="仿宋" w:hAnsi="仿宋" w:eastAsia="仿宋" w:cs="仿宋"/>
          <w:color w:val="auto"/>
          <w:sz w:val="24"/>
          <w:szCs w:val="22"/>
        </w:rPr>
        <w:t>扣除，用扣除后的价格参加评审。</w:t>
      </w:r>
    </w:p>
    <w:p w14:paraId="3975EEA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在服务采购项目中，服务由中小企业承接，即提供服务的人员为中小企业依照《中华人民共和国劳动合同法》订立劳动合同的从业人员。</w:t>
      </w:r>
    </w:p>
    <w:p w14:paraId="7D5D77A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注：①参加投标的中小企业，应当按照《政府采购促进中小企业发展管理办法》（财库〔2020〕46号）规定，出具《中小企业声明函》，中小企业划型依据《关于印发中小企业划型标准规定的通知》（工信部联企业〔2011〕300号）。</w:t>
      </w:r>
    </w:p>
    <w:p w14:paraId="4257D46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459651E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3CA6A6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2"/>
          <w:u w:val="single"/>
        </w:rPr>
        <w:t>5</w:t>
      </w:r>
      <w:r>
        <w:rPr>
          <w:rFonts w:hint="eastAsia" w:ascii="仿宋" w:hAnsi="仿宋" w:eastAsia="仿宋" w:cs="仿宋"/>
          <w:color w:val="auto"/>
          <w:sz w:val="24"/>
          <w:szCs w:val="22"/>
        </w:rPr>
        <w:t>%（工程项目为</w:t>
      </w:r>
      <w:r>
        <w:rPr>
          <w:rFonts w:hint="eastAsia" w:ascii="仿宋" w:hAnsi="仿宋" w:eastAsia="仿宋" w:cs="仿宋"/>
          <w:color w:val="auto"/>
          <w:sz w:val="24"/>
          <w:szCs w:val="22"/>
          <w:u w:val="single"/>
        </w:rPr>
        <w:t>2</w:t>
      </w:r>
      <w:r>
        <w:rPr>
          <w:rFonts w:hint="eastAsia" w:ascii="仿宋" w:hAnsi="仿宋" w:eastAsia="仿宋" w:cs="仿宋"/>
          <w:color w:val="auto"/>
          <w:sz w:val="24"/>
          <w:szCs w:val="22"/>
        </w:rPr>
        <w:t>%）的扣除，用扣除后的价格参加评审。（是否接受联合体以“项目基本情况”相关内容为准，是否允许大中型企业向一家或者多家小微企业分包以“须知前附表”、“采购需求”相关内容为准。）</w:t>
      </w:r>
    </w:p>
    <w:p w14:paraId="05C6DB2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⑤联合体各方均为小型、微型企业（残疾人福利单位、监狱企业）的，联合体享受15%价格扣除，用扣除后的价格参与评审。</w:t>
      </w:r>
    </w:p>
    <w:p w14:paraId="0AC5409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6.2采购本国产品的支持政策</w:t>
      </w:r>
    </w:p>
    <w:p w14:paraId="131F899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 xml:space="preserve">6.2.1 </w:t>
      </w:r>
      <w:r>
        <w:rPr>
          <w:rFonts w:hint="eastAsia" w:ascii="仿宋" w:hAnsi="仿宋" w:eastAsia="仿宋" w:cs="仿宋"/>
          <w:bCs/>
          <w:color w:val="auto"/>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606D69">
      <w:pPr>
        <w:spacing w:line="480" w:lineRule="exact"/>
        <w:ind w:firstLine="480"/>
        <w:rPr>
          <w:rFonts w:hint="eastAsia" w:ascii="仿宋" w:hAnsi="仿宋" w:eastAsia="仿宋" w:cs="仿宋"/>
          <w:color w:val="auto"/>
          <w:sz w:val="24"/>
          <w:szCs w:val="22"/>
        </w:rPr>
      </w:pPr>
      <w:r>
        <w:rPr>
          <w:rFonts w:hint="eastAsia" w:ascii="仿宋" w:hAnsi="仿宋" w:eastAsia="仿宋" w:cs="仿宋"/>
          <w:bCs/>
          <w:color w:val="auto"/>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4C2C0E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6.2.2本项目政府采购活动中既有本国产品又有非本国产品参与竞争的，</w:t>
      </w:r>
      <w:bookmarkStart w:id="65" w:name="OLE_LINK7"/>
      <w:r>
        <w:rPr>
          <w:rFonts w:hint="eastAsia" w:ascii="仿宋" w:hAnsi="仿宋" w:eastAsia="仿宋" w:cs="仿宋"/>
          <w:color w:val="auto"/>
          <w:sz w:val="24"/>
          <w:szCs w:val="22"/>
        </w:rPr>
        <w:t>依法对本国产品给予价格评审优惠，对本国产品的报价给予</w:t>
      </w:r>
      <w:r>
        <w:rPr>
          <w:rFonts w:hint="eastAsia" w:ascii="仿宋" w:hAnsi="仿宋" w:eastAsia="仿宋" w:cs="仿宋"/>
          <w:b w:val="0"/>
          <w:bCs w:val="0"/>
          <w:color w:val="auto"/>
          <w:sz w:val="24"/>
          <w:szCs w:val="22"/>
          <w:u w:val="single"/>
        </w:rPr>
        <w:t>20%</w:t>
      </w:r>
      <w:r>
        <w:rPr>
          <w:rFonts w:hint="eastAsia" w:ascii="仿宋" w:hAnsi="仿宋" w:eastAsia="仿宋" w:cs="仿宋"/>
          <w:color w:val="auto"/>
          <w:sz w:val="24"/>
          <w:szCs w:val="22"/>
        </w:rPr>
        <w:t>的价格扣除，用扣除后的价格参与评审。</w:t>
      </w:r>
      <w:bookmarkEnd w:id="65"/>
    </w:p>
    <w:p w14:paraId="7C73F14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val="0"/>
          <w:bCs w:val="0"/>
          <w:color w:val="auto"/>
          <w:sz w:val="24"/>
          <w:szCs w:val="22"/>
        </w:rPr>
        <w:t>80%以上</w:t>
      </w:r>
      <w:r>
        <w:rPr>
          <w:rFonts w:hint="eastAsia" w:ascii="仿宋" w:hAnsi="仿宋" w:eastAsia="仿宋" w:cs="仿宋"/>
          <w:color w:val="auto"/>
          <w:sz w:val="24"/>
          <w:szCs w:val="22"/>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C4BA68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6.2.4 投标人需按照招标文件的要求提供《关于符合本国产品标准的声明函》，如不提供将不享受本国产品价格评审优惠。</w:t>
      </w:r>
    </w:p>
    <w:p w14:paraId="662F00E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576A7E7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546814A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6.3节能产品、环境标志产品</w:t>
      </w:r>
    </w:p>
    <w:p w14:paraId="01F2FDA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拟采购的产品属于品目清单范围的，采购人将依据国家确定的认证机构出具的、处于有效期之内的节能产品、环境标志产品认证证书，对获得证书的产品实施政府优先采购或强制采购。</w:t>
      </w:r>
    </w:p>
    <w:p w14:paraId="3294BEA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6.3.1拟采购的产品属于政府强制采购的节能产品品目清单范围的，投标人须提供国家确定的认证机构出具的、处于有效期之内的节能产品认证证书，否则其投标文件作无效标处理。</w:t>
      </w:r>
    </w:p>
    <w:p w14:paraId="7842F78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6.3.2采购人拟采购的产品属于优先采购的节能产品、环境标志产品清单范围的，按以下条件优先采购：</w:t>
      </w:r>
    </w:p>
    <w:p w14:paraId="62127F0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采用综合评分法的项目，对提供有效节能产品、环境标志证书产品的投标人加分。</w:t>
      </w:r>
    </w:p>
    <w:p w14:paraId="2196C93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采用最低评标价法的项目，同等条件下优先推荐提供有效节能产品、环境标志产品证书多的投标人为中标人。</w:t>
      </w:r>
    </w:p>
    <w:p w14:paraId="7E2E083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6.4政府采购需求标准</w:t>
      </w:r>
    </w:p>
    <w:p w14:paraId="0592CB7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6.4.1商品包装、快递包装政府采购需求标准（试行）</w:t>
      </w:r>
    </w:p>
    <w:p w14:paraId="29E1365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按照财政部印发的《商品包装政府采购需求标准（试行）》《快递包装政府采购需求标准（试行）》要求执行，本项目商品包装和快递包装的具体需求详见第四章采购需求。</w:t>
      </w:r>
    </w:p>
    <w:p w14:paraId="7F873BC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6.4.2绿色数据中心政府采购需求标准（试行）</w:t>
      </w:r>
    </w:p>
    <w:p w14:paraId="58D24E6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按照财政部 生态环境部 工业和信息化部关于印发《绿色数据中心政府采购需求标准（试行）》的通知）要求执行，本项目绿色数据中心的具体需求详见第四章采购需求。</w:t>
      </w:r>
    </w:p>
    <w:p w14:paraId="539FDAB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6.4.3绿色建材政府采购需求标准</w:t>
      </w:r>
    </w:p>
    <w:p w14:paraId="0701A9A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按照财政部 住房和城乡建设部 工业和信息化部关于印发《关于扩大政府采购支持绿色建材促进建筑品质提升政策实施范围的通知》要求执行，本项目绿色建材的具体需求详见第四章采购需求。</w:t>
      </w:r>
    </w:p>
    <w:p w14:paraId="7F2FB4E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26036677">
      <w:pPr>
        <w:numPr>
          <w:ilvl w:val="0"/>
          <w:numId w:val="1"/>
        </w:num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招标文件的澄清或修改</w:t>
      </w:r>
    </w:p>
    <w:p w14:paraId="52CF559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7.1</w:t>
      </w:r>
      <w:r>
        <w:rPr>
          <w:rFonts w:hint="eastAsia" w:ascii="仿宋" w:hAnsi="仿宋" w:eastAsia="仿宋" w:cs="仿宋"/>
          <w:color w:val="auto"/>
          <w:sz w:val="24"/>
          <w:szCs w:val="22"/>
        </w:rPr>
        <w:t>任何要求对招标文件进行澄清的投标人，应在投标截止期十日前按招标公告中的通讯地址，以书面形式通知采购代理机构。</w:t>
      </w:r>
    </w:p>
    <w:p w14:paraId="2529C01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7.</w:t>
      </w:r>
      <w:r>
        <w:rPr>
          <w:rFonts w:hint="eastAsia" w:ascii="仿宋" w:hAnsi="仿宋" w:eastAsia="仿宋" w:cs="仿宋"/>
          <w:color w:val="auto"/>
          <w:sz w:val="24"/>
          <w:szCs w:val="22"/>
          <w:lang w:val="en-US" w:eastAsia="zh-CN"/>
        </w:rPr>
        <w:t>2</w:t>
      </w:r>
      <w:r>
        <w:rPr>
          <w:rFonts w:hint="eastAsia" w:ascii="仿宋" w:hAnsi="仿宋" w:eastAsia="仿宋" w:cs="仿宋"/>
          <w:color w:val="auto"/>
          <w:sz w:val="24"/>
          <w:szCs w:val="22"/>
        </w:rPr>
        <w:t>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p>
    <w:p w14:paraId="5E9AC08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7.</w:t>
      </w:r>
      <w:r>
        <w:rPr>
          <w:rFonts w:hint="eastAsia" w:ascii="仿宋" w:hAnsi="仿宋" w:eastAsia="仿宋" w:cs="仿宋"/>
          <w:color w:val="auto"/>
          <w:sz w:val="24"/>
          <w:szCs w:val="22"/>
          <w:lang w:val="en-US" w:eastAsia="zh-CN"/>
        </w:rPr>
        <w:t>3</w:t>
      </w:r>
      <w:r>
        <w:rPr>
          <w:rFonts w:hint="eastAsia" w:ascii="仿宋" w:hAnsi="仿宋" w:eastAsia="仿宋" w:cs="仿宋"/>
          <w:color w:val="auto"/>
          <w:sz w:val="24"/>
          <w:szCs w:val="22"/>
        </w:rPr>
        <w:t>招标文件的澄清、修改将在原公告媒体上发布更正公告，澄清、修改文件均作为招标文件的组成部分，并对投标人具有约束力</w:t>
      </w:r>
      <w:r>
        <w:rPr>
          <w:rFonts w:hint="eastAsia" w:ascii="仿宋" w:hAnsi="仿宋" w:eastAsia="仿宋" w:cs="仿宋"/>
          <w:color w:val="auto"/>
          <w:sz w:val="24"/>
          <w:szCs w:val="22"/>
          <w:lang w:eastAsia="zh-CN"/>
        </w:rPr>
        <w:t>，</w:t>
      </w:r>
      <w:r>
        <w:rPr>
          <w:rFonts w:hint="eastAsia" w:ascii="仿宋" w:hAnsi="仿宋" w:eastAsia="仿宋" w:cs="仿宋"/>
          <w:color w:val="auto"/>
          <w:sz w:val="24"/>
          <w:szCs w:val="22"/>
        </w:rPr>
        <w:t>发布的更正公告视同为以书面形式通知所有获取招标文件的潜在投标人。</w:t>
      </w:r>
    </w:p>
    <w:p w14:paraId="24B6022A">
      <w:pPr>
        <w:spacing w:line="480" w:lineRule="exact"/>
        <w:ind w:firstLine="480"/>
        <w:rPr>
          <w:rFonts w:hint="eastAsia" w:ascii="仿宋" w:hAnsi="仿宋" w:eastAsia="仿宋" w:cs="仿宋"/>
          <w:bCs/>
          <w:color w:val="auto"/>
          <w:sz w:val="24"/>
        </w:rPr>
      </w:pPr>
      <w:r>
        <w:rPr>
          <w:rFonts w:hint="eastAsia" w:ascii="仿宋" w:hAnsi="仿宋" w:eastAsia="仿宋" w:cs="仿宋"/>
          <w:color w:val="auto"/>
          <w:sz w:val="24"/>
          <w:szCs w:val="22"/>
        </w:rPr>
        <w:t>7.</w:t>
      </w:r>
      <w:r>
        <w:rPr>
          <w:rFonts w:hint="eastAsia" w:ascii="仿宋" w:hAnsi="仿宋" w:eastAsia="仿宋" w:cs="仿宋"/>
          <w:color w:val="auto"/>
          <w:sz w:val="24"/>
          <w:szCs w:val="22"/>
          <w:lang w:val="en-US" w:eastAsia="zh-CN"/>
        </w:rPr>
        <w:t>4</w:t>
      </w:r>
      <w:r>
        <w:rPr>
          <w:rFonts w:hint="eastAsia" w:ascii="仿宋" w:hAnsi="仿宋" w:eastAsia="仿宋" w:cs="仿宋"/>
          <w:color w:val="auto"/>
          <w:sz w:val="24"/>
          <w:szCs w:val="22"/>
        </w:rPr>
        <w:t>投标人应及时登录“苏采云”系统获取、查看澄清答疑文件（修改后的招标文件），如因投标人原因未能及时下载澄清和修改后的招标文件，由此造成的相关责任，由投标人承担。</w:t>
      </w:r>
    </w:p>
    <w:p w14:paraId="74D8E95C">
      <w:pPr>
        <w:pStyle w:val="4"/>
        <w:spacing w:before="0" w:after="0" w:line="480" w:lineRule="exact"/>
        <w:ind w:firstLine="482"/>
        <w:rPr>
          <w:rFonts w:hint="eastAsia" w:ascii="仿宋" w:hAnsi="仿宋" w:eastAsia="仿宋" w:cs="仿宋"/>
          <w:b/>
          <w:bCs/>
          <w:color w:val="auto"/>
        </w:rPr>
      </w:pPr>
      <w:bookmarkStart w:id="66" w:name="_Toc513029213"/>
      <w:bookmarkStart w:id="67" w:name="_Toc16938529"/>
      <w:bookmarkStart w:id="68" w:name="_Toc20823285"/>
      <w:bookmarkStart w:id="69" w:name="_Toc462564072"/>
      <w:bookmarkStart w:id="70" w:name="_Toc120614216"/>
      <w:r>
        <w:rPr>
          <w:rFonts w:hint="eastAsia" w:ascii="仿宋" w:hAnsi="仿宋" w:eastAsia="仿宋" w:cs="仿宋"/>
          <w:b/>
          <w:bCs/>
          <w:color w:val="auto"/>
        </w:rPr>
        <w:t>三、投标文件的编制</w:t>
      </w:r>
      <w:bookmarkEnd w:id="66"/>
      <w:bookmarkEnd w:id="67"/>
      <w:bookmarkEnd w:id="68"/>
      <w:bookmarkEnd w:id="69"/>
      <w:bookmarkEnd w:id="70"/>
    </w:p>
    <w:p w14:paraId="577DBE15">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8、投标文件的编制要求</w:t>
      </w:r>
    </w:p>
    <w:p w14:paraId="68245A21">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8</w:t>
      </w:r>
      <w:r>
        <w:rPr>
          <w:rFonts w:hint="eastAsia" w:ascii="仿宋" w:hAnsi="仿宋" w:eastAsia="仿宋" w:cs="仿宋"/>
          <w:color w:val="auto"/>
          <w:sz w:val="24"/>
          <w:szCs w:val="22"/>
        </w:rPr>
        <w:t>.投标文件的语言及度量衡单位</w:t>
      </w:r>
    </w:p>
    <w:p w14:paraId="22E8DEC9">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8</w:t>
      </w:r>
      <w:r>
        <w:rPr>
          <w:rFonts w:hint="eastAsia" w:ascii="仿宋" w:hAnsi="仿宋" w:eastAsia="仿宋" w:cs="仿宋"/>
          <w:color w:val="auto"/>
          <w:sz w:val="24"/>
          <w:szCs w:val="22"/>
        </w:rPr>
        <w:t>.1投标人提交的投标文件以及投标人与采购代理机构就有关投标的所有来往通知、函件和文件均应使用简体中文。</w:t>
      </w:r>
    </w:p>
    <w:p w14:paraId="5E53C825">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8</w:t>
      </w:r>
      <w:r>
        <w:rPr>
          <w:rFonts w:hint="eastAsia" w:ascii="仿宋" w:hAnsi="仿宋" w:eastAsia="仿宋" w:cs="仿宋"/>
          <w:color w:val="auto"/>
          <w:sz w:val="24"/>
          <w:szCs w:val="22"/>
        </w:rPr>
        <w:t>.2除技术性能另有规定外，投标文件所使用的度量衡单位，均须采用国家法定计量单位。</w:t>
      </w:r>
    </w:p>
    <w:p w14:paraId="14B86163">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9、投标文件构成</w:t>
      </w:r>
    </w:p>
    <w:p w14:paraId="5BD8DB85">
      <w:pPr>
        <w:spacing w:line="480" w:lineRule="exact"/>
        <w:ind w:firstLine="482"/>
        <w:rPr>
          <w:rFonts w:hint="eastAsia" w:ascii="仿宋" w:hAnsi="仿宋" w:eastAsia="仿宋" w:cs="仿宋"/>
          <w:color w:val="auto"/>
          <w:sz w:val="24"/>
          <w:szCs w:val="22"/>
        </w:rPr>
      </w:pPr>
      <w:bookmarkStart w:id="71" w:name="EBc50e2bb832bb43068403b10c1cce6141"/>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480EE64C">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rPr>
        <w:t>各投标人在编制投标文件时请按照招标文件第六章规定的格式进行，混乱的编排导致投标文件被误读或评委会查找不到有效文件是投标人的风险。</w:t>
      </w:r>
    </w:p>
    <w:p w14:paraId="25CDBC7B">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.2投标人编写的投标文件应包括资格证明文件、符合性证明文件、清单明细及报价表、响应及偏离表、其他证明文件、投标函、开标一览表等部分。</w:t>
      </w:r>
    </w:p>
    <w:p w14:paraId="79917714">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.3投标文件须加盖电子签章之处，应按要求加盖投标人数字证书的电子签章。其他需要盖章但未明确要求电子签章的，投标人可按要求加盖公章后上传材料电子件或直接加盖电子签章。</w:t>
      </w:r>
    </w:p>
    <w:p w14:paraId="17BB77CB">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4D8E3B92">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w:t>
      </w:r>
      <w:r>
        <w:rPr>
          <w:rFonts w:hint="eastAsia" w:ascii="仿宋" w:hAnsi="仿宋" w:eastAsia="仿宋" w:cs="仿宋"/>
          <w:color w:val="auto"/>
          <w:sz w:val="24"/>
          <w:szCs w:val="22"/>
          <w:lang w:val="en-US" w:eastAsia="zh-CN"/>
        </w:rPr>
        <w:t>5</w:t>
      </w:r>
      <w:r>
        <w:rPr>
          <w:rFonts w:hint="eastAsia" w:ascii="仿宋" w:hAnsi="仿宋" w:eastAsia="仿宋" w:cs="仿宋"/>
          <w:color w:val="auto"/>
          <w:sz w:val="24"/>
          <w:szCs w:val="22"/>
        </w:rPr>
        <w:t>如标书制作工具中格式和内容与“宿迁市政府采购网”发布的招标文件不一致，请以“宿迁市政府采购网”发布的招标文件为准。</w:t>
      </w:r>
      <w:bookmarkEnd w:id="71"/>
    </w:p>
    <w:p w14:paraId="4D6E9392">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.6中标后按相关要求提供与电子投标文件一致的纸质打印投标文件4份。</w:t>
      </w:r>
    </w:p>
    <w:p w14:paraId="28CAD3DE">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p>
    <w:p w14:paraId="3B42B5CA">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10、投标报价</w:t>
      </w:r>
    </w:p>
    <w:p w14:paraId="305B6FD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10.1报价为一次报价，本项目不接受备选的投标方案或有选择的报价，只允许有一个报价。</w:t>
      </w:r>
    </w:p>
    <w:p w14:paraId="6A732A0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10.2报价注意事项：投标价格一律以人民币计算，以元为单位标注，最多保留至小数点后两位，招标文件有规定的按招标文件执行。</w:t>
      </w:r>
    </w:p>
    <w:p w14:paraId="4740C34C">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11、投标保证金</w:t>
      </w:r>
      <w:bookmarkStart w:id="72" w:name="EB183a0bf075204c54a4ff090f1aecaaa7"/>
    </w:p>
    <w:p w14:paraId="6881CA6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本项目不收取投标保证金。</w:t>
      </w:r>
      <w:bookmarkEnd w:id="72"/>
    </w:p>
    <w:p w14:paraId="51566FAC">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12、投标有效期</w:t>
      </w:r>
    </w:p>
    <w:p w14:paraId="11A1FD6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12.1在投标人须知前附表规定的投标有效期内，投标有效期从提交投标文件的截止之日起算。投标有效期比规定短的将被视为未实质性响应招标文件。</w:t>
      </w:r>
    </w:p>
    <w:p w14:paraId="42B2C85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szCs w:val="22"/>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仿宋" w:hAnsi="仿宋" w:eastAsia="仿宋" w:cs="仿宋"/>
          <w:color w:val="auto"/>
          <w:sz w:val="24"/>
        </w:rPr>
        <w:t xml:space="preserve"> </w:t>
      </w:r>
    </w:p>
    <w:p w14:paraId="4A154BA9">
      <w:pPr>
        <w:pStyle w:val="4"/>
        <w:spacing w:before="0" w:after="0" w:line="480" w:lineRule="exact"/>
        <w:ind w:firstLine="482"/>
        <w:rPr>
          <w:rFonts w:hint="eastAsia" w:ascii="仿宋" w:hAnsi="仿宋" w:eastAsia="仿宋" w:cs="仿宋"/>
          <w:b/>
          <w:bCs/>
          <w:color w:val="auto"/>
        </w:rPr>
      </w:pPr>
      <w:bookmarkStart w:id="73" w:name="_Hlt26954852"/>
      <w:bookmarkEnd w:id="73"/>
      <w:bookmarkStart w:id="74" w:name="_Hlt26954739"/>
      <w:bookmarkEnd w:id="74"/>
      <w:bookmarkStart w:id="75" w:name="_Toc20823296"/>
      <w:bookmarkStart w:id="76" w:name="_Toc16938540"/>
      <w:bookmarkStart w:id="77" w:name="_Toc120614217"/>
      <w:bookmarkStart w:id="78" w:name="_Toc513029224"/>
      <w:r>
        <w:rPr>
          <w:rFonts w:hint="eastAsia" w:ascii="仿宋" w:hAnsi="仿宋" w:eastAsia="仿宋" w:cs="仿宋"/>
          <w:b/>
          <w:bCs/>
          <w:color w:val="auto"/>
        </w:rPr>
        <w:t>四、投标文件的</w:t>
      </w:r>
      <w:bookmarkEnd w:id="75"/>
      <w:bookmarkEnd w:id="76"/>
      <w:bookmarkEnd w:id="77"/>
      <w:bookmarkEnd w:id="78"/>
      <w:r>
        <w:rPr>
          <w:rFonts w:hint="eastAsia" w:ascii="仿宋" w:hAnsi="仿宋" w:eastAsia="仿宋" w:cs="仿宋"/>
          <w:b/>
          <w:bCs/>
          <w:color w:val="auto"/>
        </w:rPr>
        <w:t>提交</w:t>
      </w:r>
    </w:p>
    <w:p w14:paraId="38721E57">
      <w:pPr>
        <w:spacing w:line="480" w:lineRule="exact"/>
        <w:ind w:firstLine="482"/>
        <w:rPr>
          <w:rFonts w:hint="eastAsia" w:ascii="仿宋" w:hAnsi="仿宋" w:eastAsia="仿宋" w:cs="仿宋"/>
          <w:b/>
          <w:color w:val="auto"/>
          <w:sz w:val="24"/>
          <w:szCs w:val="22"/>
        </w:rPr>
      </w:pPr>
      <w:bookmarkStart w:id="79" w:name="_Toc20823301"/>
      <w:bookmarkStart w:id="80" w:name="_Toc16938545"/>
      <w:bookmarkStart w:id="81" w:name="_Toc513029229"/>
      <w:bookmarkStart w:id="82" w:name="_Toc120614218"/>
      <w:r>
        <w:rPr>
          <w:rFonts w:hint="eastAsia" w:ascii="仿宋" w:hAnsi="仿宋" w:eastAsia="仿宋" w:cs="仿宋"/>
          <w:b/>
          <w:color w:val="auto"/>
          <w:sz w:val="24"/>
          <w:szCs w:val="22"/>
        </w:rPr>
        <w:t>13、投标文件的提交</w:t>
      </w:r>
    </w:p>
    <w:p w14:paraId="1D8C6CB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13.1投标人应在招标文件规定的投标截止时间前提交投标文件并将电子投标文件上传至“苏采云”系统对应的本次开标采购包中。除招标文件另有规定外，投标人所提交的投标文件不予退还。</w:t>
      </w:r>
    </w:p>
    <w:p w14:paraId="243CF7B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13.2投标文件的修改和撤回：在投标截止时间前，投标人可以撤回或重新提交投标文件。投标文件以最终完成上传的为准。</w:t>
      </w:r>
    </w:p>
    <w:p w14:paraId="479FD92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13.3采购人、采购代理机构可以通过修改招标文件酌情延长投标文件接收截止日期，在此情况下，投标人的所有权利和义务以及投标人受制约的截止日期均应以延长后新的截止日期为准。</w:t>
      </w:r>
    </w:p>
    <w:p w14:paraId="24B9AD86">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14、投标文件被拒绝接收的情形</w:t>
      </w:r>
    </w:p>
    <w:p w14:paraId="7A0CF594">
      <w:pPr>
        <w:spacing w:line="480" w:lineRule="exact"/>
        <w:ind w:firstLine="480"/>
        <w:rPr>
          <w:rFonts w:hint="eastAsia" w:ascii="仿宋" w:hAnsi="仿宋" w:eastAsia="仿宋" w:cs="仿宋"/>
          <w:bCs/>
          <w:color w:val="auto"/>
          <w:sz w:val="24"/>
        </w:rPr>
      </w:pPr>
      <w:r>
        <w:rPr>
          <w:rFonts w:hint="eastAsia" w:ascii="仿宋" w:hAnsi="仿宋" w:eastAsia="仿宋" w:cs="仿宋"/>
          <w:color w:val="auto"/>
          <w:sz w:val="24"/>
          <w:szCs w:val="22"/>
        </w:rPr>
        <w:t>在招标文件规定的投标截止时间后上传的投标文件或对投标报价或其他实质性内容修正的文件。</w:t>
      </w:r>
    </w:p>
    <w:p w14:paraId="63B15EED">
      <w:pPr>
        <w:pStyle w:val="4"/>
        <w:spacing w:before="0" w:after="0" w:line="480" w:lineRule="exact"/>
        <w:ind w:firstLine="482"/>
        <w:rPr>
          <w:rFonts w:hint="eastAsia" w:ascii="仿宋" w:hAnsi="仿宋" w:eastAsia="仿宋" w:cs="仿宋"/>
          <w:b/>
          <w:bCs/>
          <w:color w:val="auto"/>
        </w:rPr>
      </w:pPr>
      <w:r>
        <w:rPr>
          <w:rFonts w:hint="eastAsia" w:ascii="仿宋" w:hAnsi="仿宋" w:eastAsia="仿宋" w:cs="仿宋"/>
          <w:b/>
          <w:bCs/>
          <w:color w:val="auto"/>
        </w:rPr>
        <w:t>五、</w:t>
      </w:r>
      <w:bookmarkEnd w:id="79"/>
      <w:bookmarkEnd w:id="80"/>
      <w:bookmarkEnd w:id="81"/>
      <w:bookmarkEnd w:id="82"/>
      <w:r>
        <w:rPr>
          <w:rFonts w:hint="eastAsia" w:ascii="仿宋" w:hAnsi="仿宋" w:eastAsia="仿宋" w:cs="仿宋"/>
          <w:b/>
          <w:bCs/>
          <w:color w:val="auto"/>
        </w:rPr>
        <w:t>开标、评标程序</w:t>
      </w:r>
    </w:p>
    <w:p w14:paraId="14092A4F">
      <w:pPr>
        <w:spacing w:line="480" w:lineRule="exact"/>
        <w:ind w:firstLine="482"/>
        <w:rPr>
          <w:rFonts w:hint="eastAsia" w:ascii="仿宋" w:hAnsi="仿宋" w:eastAsia="仿宋" w:cs="仿宋"/>
          <w:b/>
          <w:color w:val="auto"/>
          <w:sz w:val="24"/>
          <w:szCs w:val="22"/>
        </w:rPr>
      </w:pPr>
      <w:bookmarkStart w:id="83" w:name="_Toc513029235"/>
      <w:bookmarkStart w:id="84" w:name="_Toc20823307"/>
      <w:bookmarkStart w:id="85" w:name="_Toc16938551"/>
      <w:r>
        <w:rPr>
          <w:rFonts w:hint="eastAsia" w:ascii="仿宋" w:hAnsi="仿宋" w:eastAsia="仿宋" w:cs="仿宋"/>
          <w:b/>
          <w:color w:val="auto"/>
          <w:sz w:val="24"/>
          <w:szCs w:val="22"/>
        </w:rPr>
        <w:t>15、开标</w:t>
      </w:r>
    </w:p>
    <w:p w14:paraId="0340741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15.1采购代理机构将在招标公告中规定的时间和地点组织公开开标。投标人应当按照规定参加开标活动，在“苏采云”系统规定的时间内对投标文件解密。</w:t>
      </w:r>
    </w:p>
    <w:p w14:paraId="19FC38E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15.2开标仪式由采购代理机构组织。“苏采云”系统将自动对项目进行开标，并宣布各投标人名称和投标价格。</w:t>
      </w:r>
    </w:p>
    <w:p w14:paraId="2F164C83">
      <w:pPr>
        <w:spacing w:line="480" w:lineRule="exact"/>
        <w:ind w:firstLine="482"/>
        <w:rPr>
          <w:rFonts w:hint="eastAsia" w:ascii="仿宋" w:hAnsi="仿宋" w:eastAsia="仿宋" w:cs="仿宋"/>
          <w:b/>
          <w:bCs/>
          <w:color w:val="auto"/>
          <w:sz w:val="24"/>
          <w:szCs w:val="22"/>
        </w:rPr>
      </w:pPr>
      <w:r>
        <w:rPr>
          <w:rFonts w:hint="eastAsia" w:ascii="仿宋" w:hAnsi="仿宋" w:eastAsia="仿宋" w:cs="仿宋"/>
          <w:b/>
          <w:bCs/>
          <w:color w:val="auto"/>
          <w:sz w:val="24"/>
          <w:szCs w:val="22"/>
        </w:rPr>
        <w:t>15.3投标人用于解密的CA证书应为该投标文件生成加密、上传的同一把CA证书。投标人应登录“苏采云”系统进入“开标大厅”，在系统约定时间内使用CA证书解密，未成功解密的视为放弃投标。</w:t>
      </w:r>
    </w:p>
    <w:p w14:paraId="71C1B87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15.4投标人如果对开标过程和开标记录有疑义，应当按规定提出。如“苏采云”系统中《开标记录表》宣布后5分钟内未提出的，视同认可开标结果。</w:t>
      </w:r>
    </w:p>
    <w:p w14:paraId="636FE88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15.5投标人在开、评标全过程中应保持通讯畅通，及时登录“苏采云”系统查阅、答复相关信息。</w:t>
      </w:r>
    </w:p>
    <w:p w14:paraId="7EC4427F">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16、评标委员会</w:t>
      </w:r>
    </w:p>
    <w:p w14:paraId="3DFE2AD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采购人应根据本项目的特点依法组建评标委员会，评标委员会由采购人代表和评审专家等组成，且人员构成符合政府采购有关规定。评标委员会负责具体评标事务，按公平、公正、客观、择优的原则独立履行相关职责。</w:t>
      </w:r>
    </w:p>
    <w:p w14:paraId="392F1CE2">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17、评标程序</w:t>
      </w:r>
    </w:p>
    <w:p w14:paraId="1BA79D1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17.1资格审查</w:t>
      </w:r>
      <w:bookmarkStart w:id="86" w:name="EBa9c0a2c9e523494487594c65b2a92370"/>
    </w:p>
    <w:p w14:paraId="3AD99B2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开标结束后，采购人依法根据招标文件的规定对投标人的资格证明文件等进行审查。</w:t>
      </w:r>
      <w:bookmarkEnd w:id="86"/>
    </w:p>
    <w:p w14:paraId="05087BB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17.2符合性检查</w:t>
      </w:r>
    </w:p>
    <w:p w14:paraId="4CA75FD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87" w:name="EB1499356fad43416eb16398733accabf7"/>
      <w:r>
        <w:rPr>
          <w:rFonts w:hint="eastAsia" w:ascii="仿宋" w:hAnsi="仿宋" w:eastAsia="仿宋" w:cs="仿宋"/>
          <w:color w:val="auto"/>
          <w:sz w:val="24"/>
          <w:szCs w:val="22"/>
        </w:rPr>
        <w:t>所谓重大偏离是指投标人投标文件中所述设备质量、技术规格、数量、交货期、服务等明显不能满足招标文件要求。</w:t>
      </w:r>
      <w:bookmarkEnd w:id="87"/>
      <w:r>
        <w:rPr>
          <w:rFonts w:hint="eastAsia" w:ascii="仿宋" w:hAnsi="仿宋" w:eastAsia="仿宋" w:cs="仿宋"/>
          <w:color w:val="auto"/>
          <w:sz w:val="24"/>
          <w:szCs w:val="22"/>
        </w:rPr>
        <w:t>重大偏离的认定需经过评标委员会以少数服从多数的原则作出结论。</w:t>
      </w:r>
    </w:p>
    <w:p w14:paraId="1DA6DCE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17.3未通过资格审查或符合性审查的投标人，采购代理机构将在“苏采云”系统中告知未通过资格审查或符合性审查的原因。评标结束后，采购代理机构将不再告知未通过资格审查或符合性审查的原因。</w:t>
      </w:r>
    </w:p>
    <w:p w14:paraId="1995E3C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17.4评标委员会判断投标文件的响应性，仅基于投标文件本身而不靠外部证据。对非实质性响应的投标文件，投标人不能通过修正或撤销不符之处，而使其成为实质性响应。</w:t>
      </w:r>
    </w:p>
    <w:p w14:paraId="0FC57E4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17.5相同品牌产品投标</w:t>
      </w:r>
    </w:p>
    <w:p w14:paraId="58D50D9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298B199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569295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17.5.3非单一产品采购项目，采购人确定核心产品，并在招标文件中载明。多家投标人提供的核心产品品牌相同的，按前两款规定处理。</w:t>
      </w:r>
    </w:p>
    <w:p w14:paraId="35BB3663">
      <w:pPr>
        <w:spacing w:line="480" w:lineRule="exact"/>
        <w:ind w:firstLine="480"/>
        <w:rPr>
          <w:rFonts w:hint="eastAsia" w:ascii="仿宋" w:hAnsi="仿宋" w:eastAsia="仿宋" w:cs="仿宋"/>
          <w:bCs/>
          <w:color w:val="auto"/>
          <w:sz w:val="24"/>
          <w:szCs w:val="22"/>
        </w:rPr>
      </w:pPr>
      <w:r>
        <w:rPr>
          <w:rFonts w:hint="eastAsia" w:ascii="仿宋" w:hAnsi="仿宋" w:eastAsia="仿宋" w:cs="仿宋"/>
          <w:bCs/>
          <w:color w:val="auto"/>
          <w:sz w:val="24"/>
          <w:szCs w:val="22"/>
        </w:rPr>
        <w:t>17.6有关问题的澄清</w:t>
      </w:r>
    </w:p>
    <w:p w14:paraId="0ABD8E4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615D783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17.6.2投标文件报价出现前后不一致的，除招标文件另有规定外，按照下列规定修正：</w:t>
      </w:r>
    </w:p>
    <w:p w14:paraId="186B1DA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①投标文件中开标一览表（报价表）内容与投标文件中相应内容不一致的，以开标一览表（报价表）为准；</w:t>
      </w:r>
    </w:p>
    <w:p w14:paraId="66DB670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②大写金额和小写金额不一致的，以大写金额为准；</w:t>
      </w:r>
    </w:p>
    <w:p w14:paraId="3F84CFD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③单价金额小数点或者百分比有明显错位的，以开标一览表的总价为准，并修改单价；</w:t>
      </w:r>
    </w:p>
    <w:p w14:paraId="439CFF6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④总价金额与单价汇总金额不一致的，以单价金额计算结果为准。</w:t>
      </w:r>
    </w:p>
    <w:p w14:paraId="17653CA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同时出现两种以上不一致的，按照前款规定的顺序修正。</w:t>
      </w:r>
    </w:p>
    <w:p w14:paraId="269865D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17.6.3评标委员会将按上述修正错误的方法调整投标文件中的投标报价，并通过“苏采云”系统告知投标人，调整后的价格应对投标人具有约束力。投标人不接受修正后的价格，其投标将被拒绝。</w:t>
      </w:r>
    </w:p>
    <w:p w14:paraId="1FC0290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评标过程中，不得去掉报价中的最高报价和最低报价。</w:t>
      </w:r>
    </w:p>
    <w:p w14:paraId="6859FE6F">
      <w:pPr>
        <w:spacing w:line="480" w:lineRule="exact"/>
        <w:ind w:firstLine="480"/>
        <w:rPr>
          <w:rFonts w:hint="eastAsia" w:ascii="仿宋" w:hAnsi="仿宋" w:eastAsia="仿宋" w:cs="仿宋"/>
          <w:b/>
          <w:bCs/>
          <w:color w:val="auto"/>
          <w:sz w:val="24"/>
          <w:szCs w:val="22"/>
        </w:rPr>
      </w:pPr>
      <w:r>
        <w:rPr>
          <w:rFonts w:hint="eastAsia" w:ascii="仿宋" w:hAnsi="仿宋" w:eastAsia="仿宋" w:cs="仿宋"/>
          <w:b/>
          <w:bCs/>
          <w:color w:val="auto"/>
          <w:sz w:val="24"/>
          <w:szCs w:val="22"/>
        </w:rPr>
        <w:t>17.7 异常低价投标审查</w:t>
      </w:r>
    </w:p>
    <w:p w14:paraId="5B2C608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17.7.1 评标过程中出现下列情形之一的，评标委员会应当启动异常低价投标审查程序：</w:t>
      </w:r>
    </w:p>
    <w:p w14:paraId="64AD06A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（1）投标（响应）报价低于全部通过符合性审查供应商投标（响应）报价平均值50%的，即投标（响应）报价〈全部通过符合性审查供应商投标（响应）报价平均值×50%； </w:t>
      </w:r>
    </w:p>
    <w:p w14:paraId="5BD2CBD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 xml:space="preserve">（2）投标（响应）报价低于通过符合性审查的次低报价供应商投标（响应）报价50%的，即投标（响应）报价〈通过符合性审查的次低报价供应商投标（响应）报价×50%； </w:t>
      </w:r>
    </w:p>
    <w:p w14:paraId="6211B37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（3）投标（响应）报价低于采购项目最高限价45%的，即投标（响应）报价〈采购项目最高限价×45%；</w:t>
      </w:r>
    </w:p>
    <w:p w14:paraId="2EFD43C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（4）评标委员会基于专业判断，认为供应商报价过低，有可能影响产品质量或者不能诚信履约的其他情形。</w:t>
      </w:r>
    </w:p>
    <w:p w14:paraId="328F157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17.7.2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3895B8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336805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lang w:eastAsia="zh-CN"/>
        </w:rPr>
        <w:t>招标</w:t>
      </w:r>
      <w:r>
        <w:rPr>
          <w:rFonts w:hint="eastAsia" w:ascii="仿宋" w:hAnsi="仿宋" w:eastAsia="仿宋" w:cs="仿宋"/>
          <w:color w:val="auto"/>
          <w:sz w:val="24"/>
          <w:szCs w:val="22"/>
        </w:rPr>
        <w:t>人、</w:t>
      </w:r>
      <w:r>
        <w:rPr>
          <w:rFonts w:hint="eastAsia" w:ascii="仿宋" w:hAnsi="仿宋" w:eastAsia="仿宋" w:cs="仿宋"/>
          <w:color w:val="auto"/>
          <w:sz w:val="24"/>
          <w:szCs w:val="22"/>
          <w:lang w:eastAsia="zh-CN"/>
        </w:rPr>
        <w:t>招标</w:t>
      </w:r>
      <w:r>
        <w:rPr>
          <w:rFonts w:hint="eastAsia" w:ascii="仿宋" w:hAnsi="仿宋" w:eastAsia="仿宋" w:cs="仿宋"/>
          <w:color w:val="auto"/>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8B8D94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异常低价投标（响应）审查的启动原因、审查意见和审查结果应当在评审报告中记录，并随供应商提供的相关书面说明及证明材料，以及评审委员会有关互联网浏览、查询历史一并归档。</w:t>
      </w:r>
    </w:p>
    <w:p w14:paraId="11B48948">
      <w:pPr>
        <w:spacing w:line="480" w:lineRule="exact"/>
        <w:ind w:firstLine="480"/>
        <w:rPr>
          <w:rFonts w:hint="eastAsia" w:ascii="仿宋" w:hAnsi="仿宋" w:eastAsia="仿宋" w:cs="仿宋"/>
          <w:bCs/>
          <w:color w:val="auto"/>
          <w:sz w:val="24"/>
          <w:szCs w:val="22"/>
        </w:rPr>
      </w:pPr>
      <w:r>
        <w:rPr>
          <w:rFonts w:hint="eastAsia" w:ascii="仿宋" w:hAnsi="仿宋" w:eastAsia="仿宋" w:cs="仿宋"/>
          <w:bCs/>
          <w:color w:val="auto"/>
          <w:sz w:val="24"/>
          <w:szCs w:val="22"/>
        </w:rPr>
        <w:t>17.8比较</w:t>
      </w:r>
    </w:p>
    <w:p w14:paraId="4E49009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评标委员会将按招标文件中规定的评标方法和标准，对符合性检查合格的投标文件进行商务和技术评比。</w:t>
      </w:r>
    </w:p>
    <w:p w14:paraId="3CCA8AE3">
      <w:pPr>
        <w:spacing w:line="480" w:lineRule="exact"/>
        <w:ind w:firstLine="480"/>
        <w:rPr>
          <w:rFonts w:hint="eastAsia" w:ascii="仿宋" w:hAnsi="仿宋" w:eastAsia="仿宋" w:cs="仿宋"/>
          <w:bCs/>
          <w:color w:val="auto"/>
          <w:sz w:val="24"/>
          <w:szCs w:val="22"/>
        </w:rPr>
      </w:pPr>
      <w:r>
        <w:rPr>
          <w:rFonts w:hint="eastAsia" w:ascii="仿宋" w:hAnsi="仿宋" w:eastAsia="仿宋" w:cs="仿宋"/>
          <w:bCs/>
          <w:color w:val="auto"/>
          <w:sz w:val="24"/>
          <w:szCs w:val="22"/>
        </w:rPr>
        <w:t>17.9推荐中标候选人</w:t>
      </w:r>
    </w:p>
    <w:p w14:paraId="3E52FFF0">
      <w:pPr>
        <w:spacing w:line="480" w:lineRule="exact"/>
        <w:ind w:firstLine="480"/>
        <w:rPr>
          <w:rFonts w:hint="eastAsia" w:ascii="仿宋" w:hAnsi="仿宋" w:eastAsia="仿宋" w:cs="仿宋"/>
          <w:bCs/>
          <w:color w:val="auto"/>
          <w:sz w:val="24"/>
        </w:rPr>
      </w:pPr>
      <w:r>
        <w:rPr>
          <w:rFonts w:hint="eastAsia" w:ascii="仿宋" w:hAnsi="仿宋" w:eastAsia="仿宋" w:cs="仿宋"/>
          <w:color w:val="auto"/>
          <w:sz w:val="24"/>
          <w:szCs w:val="22"/>
        </w:rPr>
        <w:t>评标委员会按照招标文件中规定的评标方法和标准推荐中标候选人。</w:t>
      </w:r>
    </w:p>
    <w:p w14:paraId="0767ACBF">
      <w:pPr>
        <w:pStyle w:val="4"/>
        <w:spacing w:before="0" w:after="0" w:line="480" w:lineRule="exact"/>
        <w:ind w:firstLine="482"/>
        <w:rPr>
          <w:rFonts w:hint="eastAsia" w:ascii="仿宋" w:hAnsi="仿宋" w:eastAsia="仿宋" w:cs="仿宋"/>
          <w:b/>
          <w:bCs/>
          <w:color w:val="auto"/>
        </w:rPr>
      </w:pPr>
      <w:bookmarkStart w:id="88" w:name="_Toc120614219"/>
      <w:r>
        <w:rPr>
          <w:rFonts w:hint="eastAsia" w:ascii="仿宋" w:hAnsi="仿宋" w:eastAsia="仿宋" w:cs="仿宋"/>
          <w:b/>
          <w:bCs/>
          <w:color w:val="auto"/>
        </w:rPr>
        <w:t>六、</w:t>
      </w:r>
      <w:bookmarkEnd w:id="83"/>
      <w:bookmarkEnd w:id="84"/>
      <w:bookmarkEnd w:id="85"/>
      <w:bookmarkEnd w:id="88"/>
      <w:r>
        <w:rPr>
          <w:rFonts w:hint="eastAsia" w:ascii="仿宋" w:hAnsi="仿宋" w:eastAsia="仿宋" w:cs="仿宋"/>
          <w:b/>
          <w:bCs/>
          <w:color w:val="auto"/>
        </w:rPr>
        <w:t>无效投标、废标、串通投标及取消中标候选人资格情形</w:t>
      </w:r>
    </w:p>
    <w:p w14:paraId="3F129CBE">
      <w:pPr>
        <w:spacing w:line="480" w:lineRule="exact"/>
        <w:ind w:firstLine="482"/>
        <w:rPr>
          <w:rFonts w:hint="eastAsia" w:ascii="仿宋" w:hAnsi="仿宋" w:eastAsia="仿宋" w:cs="仿宋"/>
          <w:b/>
          <w:color w:val="auto"/>
          <w:sz w:val="24"/>
          <w:szCs w:val="22"/>
        </w:rPr>
      </w:pPr>
      <w:bookmarkStart w:id="89" w:name="_Toc120614220"/>
      <w:bookmarkStart w:id="90" w:name="_Toc20823308"/>
      <w:bookmarkStart w:id="91" w:name="_Toc513029236"/>
      <w:bookmarkStart w:id="92" w:name="_Toc16938552"/>
      <w:r>
        <w:rPr>
          <w:rFonts w:hint="eastAsia" w:ascii="仿宋" w:hAnsi="仿宋" w:eastAsia="仿宋" w:cs="仿宋"/>
          <w:b/>
          <w:color w:val="auto"/>
          <w:sz w:val="24"/>
          <w:szCs w:val="22"/>
        </w:rPr>
        <w:t>18、无效投标情形</w:t>
      </w:r>
    </w:p>
    <w:p w14:paraId="5EECC18D">
      <w:pPr>
        <w:spacing w:line="480" w:lineRule="exact"/>
        <w:ind w:firstLine="480"/>
        <w:rPr>
          <w:rFonts w:hint="eastAsia" w:ascii="仿宋" w:hAnsi="仿宋" w:eastAsia="仿宋" w:cs="仿宋"/>
          <w:strike/>
          <w:color w:val="auto"/>
          <w:sz w:val="24"/>
          <w:szCs w:val="22"/>
        </w:rPr>
      </w:pPr>
      <w:r>
        <w:rPr>
          <w:rFonts w:hint="eastAsia" w:ascii="仿宋" w:hAnsi="仿宋" w:eastAsia="仿宋" w:cs="仿宋"/>
          <w:color w:val="auto"/>
          <w:sz w:val="24"/>
          <w:szCs w:val="22"/>
        </w:rPr>
        <w:t>18.1投标人同一采购包提交两个（含两个）以上不同的投标报价的。</w:t>
      </w:r>
    </w:p>
    <w:p w14:paraId="67EA789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18.2投标人不符合招标文件规定资格要求的或未按规定提交资质证件的。</w:t>
      </w:r>
    </w:p>
    <w:p w14:paraId="064F676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18.3投标人的报价超过了采购预算或最高限价的。</w:t>
      </w:r>
    </w:p>
    <w:p w14:paraId="1510CED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18.4投标文件未通过符合性审查的。</w:t>
      </w:r>
    </w:p>
    <w:p w14:paraId="1D4480D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18.5投标文件出现重大偏离，不符合招标文件中规定的实质性要求的（★部分为实质性要求）。</w:t>
      </w:r>
    </w:p>
    <w:p w14:paraId="34CC299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18.6评标委员会启动异常低价投标审查后，投标人不能提供书面说明、证明材料，或者评标委员会认为投标人提供的书面说明、证明材料不能证明其报价合理性的。</w:t>
      </w:r>
    </w:p>
    <w:p w14:paraId="30FCFAA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18.7投标文件未按照招标文件要求加盖CA电子公章的。</w:t>
      </w:r>
    </w:p>
    <w:p w14:paraId="67409F2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18.8投标人有本招标文件规定的恶意串通投标情形的。</w:t>
      </w:r>
    </w:p>
    <w:p w14:paraId="2954E57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18.9投标文件含有采购人不能接受的附加条件的。</w:t>
      </w:r>
    </w:p>
    <w:p w14:paraId="735E0EA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18.1</w:t>
      </w:r>
      <w:r>
        <w:rPr>
          <w:rFonts w:hint="eastAsia" w:ascii="仿宋" w:hAnsi="仿宋" w:eastAsia="仿宋" w:cs="仿宋"/>
          <w:color w:val="auto"/>
          <w:sz w:val="24"/>
          <w:szCs w:val="22"/>
          <w:lang w:val="en-US" w:eastAsia="zh-CN"/>
        </w:rPr>
        <w:t>0</w:t>
      </w:r>
      <w:r>
        <w:rPr>
          <w:rFonts w:hint="eastAsia" w:ascii="仿宋" w:hAnsi="仿宋" w:eastAsia="仿宋" w:cs="仿宋"/>
          <w:color w:val="auto"/>
          <w:sz w:val="24"/>
          <w:szCs w:val="22"/>
        </w:rPr>
        <w:t>其他法律、法规及本招标文件规定的属无效投标的情形。</w:t>
      </w:r>
    </w:p>
    <w:p w14:paraId="73EC4B68">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19、废标情形</w:t>
      </w:r>
    </w:p>
    <w:p w14:paraId="4C5AA1C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19.1符合专业条件的投标人或者对招标文件作实质响应的投标人不足三家的。</w:t>
      </w:r>
    </w:p>
    <w:p w14:paraId="4DA1ECB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19.2出现影响采购公正的违法、违规行为的。</w:t>
      </w:r>
    </w:p>
    <w:p w14:paraId="01E5AC3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19.3因重大变故，采购任务取消的。</w:t>
      </w:r>
    </w:p>
    <w:p w14:paraId="6449A0C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19.4评标委员会认定招标文件存在歧义、重大缺陷导致评审工作无法进行的。</w:t>
      </w:r>
    </w:p>
    <w:p w14:paraId="115D4D4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19.5在“苏采云”系统规定时间内成功解密电子投标文件的投标人不足三家的。</w:t>
      </w:r>
    </w:p>
    <w:p w14:paraId="6EFD590D">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20、投标人不足三家情形处理</w:t>
      </w:r>
    </w:p>
    <w:p w14:paraId="79D04B1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投标截止后投标人不足三家或者通过资格审查或符合性审查的投标人不足三家的，除采购任务取消情形外，按财政部令第87号第四十三条条款进行处理。</w:t>
      </w:r>
    </w:p>
    <w:p w14:paraId="55F5E3AF">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21、串通投标情形</w:t>
      </w:r>
    </w:p>
    <w:p w14:paraId="273C250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有下列情形之一的，属于恶意串通投标，其投标无效：</w:t>
      </w:r>
    </w:p>
    <w:p w14:paraId="74EAB4A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21.1投标人直接或间接从采购人或采购代理机构处获得其他投标人的投标情况，并修改其投标文件；</w:t>
      </w:r>
    </w:p>
    <w:p w14:paraId="28C11A3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21.2评审活动开始前投标人直接或间接从采购人或采购代理机构处获得评标委员会组成人员情况；</w:t>
      </w:r>
    </w:p>
    <w:p w14:paraId="0322D2D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21.3投标人接受采购人或采购代理机构授意撤换、修改投标文件；</w:t>
      </w:r>
    </w:p>
    <w:p w14:paraId="0FB947C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21.4投标人之间协商投标报价、技术方案等投标文件实质性内容；</w:t>
      </w:r>
    </w:p>
    <w:p w14:paraId="5030504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21.5属于同一集团、协会、商会等组织成员的投标人按照该组织要求协同投标；</w:t>
      </w:r>
    </w:p>
    <w:p w14:paraId="683F165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21.6投标人之间事先约定由某一特定投标人中标、成交；</w:t>
      </w:r>
    </w:p>
    <w:p w14:paraId="124B9B0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21.7投标人之间商定部分投标人放弃投标或者放弃中标、成交；</w:t>
      </w:r>
    </w:p>
    <w:p w14:paraId="4815B06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21.8投标人与采购人或采购代理机构之间、投标人相互之间为谋求特定投标人中标成交或者排斥其他投标人的其他串通行为；</w:t>
      </w:r>
    </w:p>
    <w:p w14:paraId="04C75A48">
      <w:pPr>
        <w:spacing w:line="480" w:lineRule="exact"/>
        <w:ind w:firstLine="482"/>
        <w:rPr>
          <w:rFonts w:hint="eastAsia" w:ascii="仿宋" w:hAnsi="仿宋" w:eastAsia="仿宋" w:cs="仿宋"/>
          <w:color w:val="auto"/>
          <w:sz w:val="24"/>
          <w:szCs w:val="22"/>
        </w:rPr>
      </w:pPr>
      <w:r>
        <w:rPr>
          <w:rFonts w:hint="eastAsia" w:ascii="仿宋" w:hAnsi="仿宋" w:eastAsia="仿宋" w:cs="仿宋"/>
          <w:color w:val="auto"/>
          <w:sz w:val="24"/>
          <w:szCs w:val="22"/>
        </w:rPr>
        <w:t>有下列情形之一的，视为投标人串通投标，其投标无效：</w:t>
      </w:r>
    </w:p>
    <w:p w14:paraId="683F131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21.9 不同投标人的投标文件由同一单位或者个人编制；</w:t>
      </w:r>
    </w:p>
    <w:p w14:paraId="32FD9E6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21.10不同投标人的电子投标文件由同一台电子设备编制、打包、加密或者上传；</w:t>
      </w:r>
    </w:p>
    <w:p w14:paraId="4B2B5EC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21.11不同投标人委托同一单位或者个人办理投标事宜；</w:t>
      </w:r>
    </w:p>
    <w:p w14:paraId="5CFD249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21.12不同投标人的投标文件载明的项目管理成员或者联系人员为同一人；</w:t>
      </w:r>
    </w:p>
    <w:p w14:paraId="34FD383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21.13不同投标人的投标文件异常一致或者投标报价呈规律性差异；</w:t>
      </w:r>
    </w:p>
    <w:p w14:paraId="5220ADC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21.14不同投标人的投标文件相互混装；</w:t>
      </w:r>
    </w:p>
    <w:p w14:paraId="47F120E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21.15不同投标人的投标保证金从同一单位或者个人的账户转出。</w:t>
      </w:r>
    </w:p>
    <w:p w14:paraId="43DCB6DF">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22、取消中标候选人资格情形</w:t>
      </w:r>
    </w:p>
    <w:p w14:paraId="36423F1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22.1提供虚假材料谋取中标的；</w:t>
      </w:r>
    </w:p>
    <w:p w14:paraId="0F1E8CE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22.2采取不正当手段诋毁、排挤其他投标人的；</w:t>
      </w:r>
    </w:p>
    <w:p w14:paraId="4F7F5B5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22.3与采购人、其他投标人或者采购代理机构恶意串通的；</w:t>
      </w:r>
    </w:p>
    <w:p w14:paraId="4FFFA8E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22.4向采购人、采购代理机构行贿或者提供其他不正当利益的；</w:t>
      </w:r>
    </w:p>
    <w:p w14:paraId="1D5E237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22.5未在规定时间内与采购人签订采购合同的；</w:t>
      </w:r>
    </w:p>
    <w:p w14:paraId="6A24F569">
      <w:pPr>
        <w:spacing w:line="480" w:lineRule="exact"/>
        <w:ind w:firstLine="600"/>
        <w:rPr>
          <w:rFonts w:hint="eastAsia" w:ascii="仿宋" w:hAnsi="仿宋" w:eastAsia="仿宋" w:cs="仿宋"/>
          <w:color w:val="auto"/>
          <w:sz w:val="24"/>
        </w:rPr>
      </w:pPr>
      <w:r>
        <w:rPr>
          <w:rFonts w:hint="eastAsia" w:ascii="仿宋" w:hAnsi="仿宋" w:eastAsia="仿宋" w:cs="仿宋"/>
          <w:color w:val="auto"/>
          <w:sz w:val="24"/>
          <w:szCs w:val="22"/>
        </w:rPr>
        <w:t>22.6法律、法规规定的其</w:t>
      </w:r>
      <w:r>
        <w:rPr>
          <w:rFonts w:hint="eastAsia" w:ascii="仿宋" w:hAnsi="仿宋" w:eastAsia="仿宋" w:cs="仿宋"/>
          <w:color w:val="auto"/>
          <w:sz w:val="24"/>
          <w:szCs w:val="22"/>
          <w:lang w:eastAsia="zh-CN"/>
        </w:rPr>
        <w:t>他</w:t>
      </w:r>
      <w:r>
        <w:rPr>
          <w:rFonts w:hint="eastAsia" w:ascii="仿宋" w:hAnsi="仿宋" w:eastAsia="仿宋" w:cs="仿宋"/>
          <w:color w:val="auto"/>
          <w:sz w:val="24"/>
          <w:szCs w:val="22"/>
        </w:rPr>
        <w:t>情况</w:t>
      </w:r>
      <w:r>
        <w:rPr>
          <w:rFonts w:hint="eastAsia" w:ascii="仿宋" w:hAnsi="仿宋" w:eastAsia="仿宋" w:cs="仿宋"/>
          <w:color w:val="auto"/>
          <w:sz w:val="24"/>
        </w:rPr>
        <w:t>。</w:t>
      </w:r>
    </w:p>
    <w:p w14:paraId="502F4476">
      <w:pPr>
        <w:pStyle w:val="4"/>
        <w:spacing w:before="0" w:after="0" w:line="480" w:lineRule="exact"/>
        <w:rPr>
          <w:rFonts w:hint="eastAsia" w:ascii="仿宋" w:hAnsi="仿宋" w:eastAsia="仿宋" w:cs="仿宋"/>
          <w:b/>
          <w:bCs/>
          <w:color w:val="auto"/>
        </w:rPr>
      </w:pPr>
      <w:r>
        <w:rPr>
          <w:rFonts w:hint="eastAsia" w:ascii="仿宋" w:hAnsi="仿宋" w:eastAsia="仿宋" w:cs="仿宋"/>
          <w:b/>
          <w:bCs/>
          <w:color w:val="auto"/>
        </w:rPr>
        <w:t>七、</w:t>
      </w:r>
      <w:bookmarkEnd w:id="89"/>
      <w:r>
        <w:rPr>
          <w:rFonts w:hint="eastAsia" w:ascii="仿宋" w:hAnsi="仿宋" w:eastAsia="仿宋" w:cs="仿宋"/>
          <w:b/>
          <w:bCs/>
          <w:color w:val="auto"/>
        </w:rPr>
        <w:t>中标及合同签订</w:t>
      </w:r>
      <w:bookmarkEnd w:id="90"/>
      <w:bookmarkEnd w:id="91"/>
      <w:bookmarkEnd w:id="92"/>
    </w:p>
    <w:p w14:paraId="4FE4DF58">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23、确定中标人</w:t>
      </w:r>
    </w:p>
    <w:p w14:paraId="1CA98B7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23.1采购人应当自收到评审报告之日起5个工作日内在评审报告推荐的中标候选人中按顺序确定中标人。</w:t>
      </w:r>
    </w:p>
    <w:p w14:paraId="1C784E7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23.2中标人确定之日起2个工作日内，采购人、采购代理机构将在财政部门指定信息媒体上发布中标结果公告，公告的公告期限为1个工作日。</w:t>
      </w:r>
    </w:p>
    <w:p w14:paraId="6C7C4C1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23.3采购人确定正被列为失信被执行人的投标人为中标人的，中标结果无效。</w:t>
      </w:r>
    </w:p>
    <w:p w14:paraId="535C47AA">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24、中标通知书</w:t>
      </w:r>
    </w:p>
    <w:p w14:paraId="7F43C12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24.1在公告中标结果的同时，采购代理机构将向中标人发出中标通知书。中标人使用CA数字证书登录“苏采云”系统及时下载中标通知书。</w:t>
      </w:r>
    </w:p>
    <w:p w14:paraId="4D800D1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24.2中标通知书发出后，采购人改变中标结果的，或者中标人放弃中标项目的，应当依法承担法律责任。</w:t>
      </w:r>
    </w:p>
    <w:p w14:paraId="4F6FB98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24.3采用综合评分法评审的，未中标人可于中标结果公告期限届满之日起通过“苏采云”系统查看自己的评审得分及排序情况。</w:t>
      </w:r>
    </w:p>
    <w:p w14:paraId="66BB937F">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25、授予合同</w:t>
      </w:r>
    </w:p>
    <w:p w14:paraId="4812996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25.1采购人与中标人应当在中标通知书发出之日起30日内签订政府采购合同。招标文件、中标人的投标文件以及评标过程中有关澄清文件均作为合同附件。</w:t>
      </w:r>
    </w:p>
    <w:p w14:paraId="7E3B42D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25.2采购人在自合同签订之日起2个工作日内，将合同在指定的媒体上公告。</w:t>
      </w:r>
    </w:p>
    <w:p w14:paraId="4B0D1E42">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26、履约保证金</w:t>
      </w:r>
    </w:p>
    <w:p w14:paraId="0BFD21F9">
      <w:pPr>
        <w:spacing w:line="480" w:lineRule="exact"/>
        <w:ind w:firstLine="480"/>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按照以下第</w:t>
      </w:r>
      <w:r>
        <w:rPr>
          <w:rFonts w:hint="eastAsia" w:ascii="仿宋" w:hAnsi="仿宋" w:eastAsia="仿宋" w:cs="仿宋"/>
          <w:color w:val="auto"/>
          <w:sz w:val="24"/>
          <w:szCs w:val="22"/>
          <w:u w:val="single"/>
        </w:rPr>
        <w:t>（1）</w:t>
      </w:r>
      <w:r>
        <w:rPr>
          <w:rFonts w:hint="eastAsia" w:ascii="仿宋" w:hAnsi="仿宋" w:eastAsia="仿宋" w:cs="仿宋"/>
          <w:color w:val="auto"/>
          <w:sz w:val="24"/>
          <w:szCs w:val="22"/>
          <w:lang w:val="zh-CN"/>
        </w:rPr>
        <w:t>方式确定履约保证</w:t>
      </w:r>
      <w:r>
        <w:rPr>
          <w:rFonts w:hint="eastAsia" w:ascii="仿宋" w:hAnsi="仿宋" w:eastAsia="仿宋" w:cs="仿宋"/>
          <w:color w:val="auto"/>
          <w:sz w:val="24"/>
          <w:szCs w:val="22"/>
        </w:rPr>
        <w:t>金</w:t>
      </w:r>
      <w:r>
        <w:rPr>
          <w:rFonts w:hint="eastAsia" w:ascii="仿宋" w:hAnsi="仿宋" w:eastAsia="仿宋" w:cs="仿宋"/>
          <w:color w:val="auto"/>
          <w:sz w:val="24"/>
          <w:szCs w:val="22"/>
          <w:lang w:val="zh-CN"/>
        </w:rPr>
        <w:t>收取方式。</w:t>
      </w:r>
    </w:p>
    <w:p w14:paraId="428D313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（1）本项目不收取履约保证金。</w:t>
      </w:r>
    </w:p>
    <w:p w14:paraId="0373A73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（2）本项目收取履约保证金。</w:t>
      </w:r>
    </w:p>
    <w:p w14:paraId="5C082B9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26.1履约保证金提交形式</w:t>
      </w:r>
    </w:p>
    <w:p w14:paraId="12D9B59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履约保证金应在采购合同签订前提交，除银行电汇、网上银行、数字人民币外，投标人还可选用银行保函、担保公司的保证担保或保险公司的保证保险等多种形式向采购人缴纳。</w:t>
      </w:r>
    </w:p>
    <w:p w14:paraId="7E1F0DE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26.2履约保证金提交金额</w:t>
      </w:r>
    </w:p>
    <w:p w14:paraId="303B77B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按采购合同总价的</w:t>
      </w:r>
      <w:r>
        <w:rPr>
          <w:rFonts w:hint="eastAsia" w:ascii="仿宋" w:hAnsi="仿宋" w:eastAsia="仿宋" w:cs="仿宋"/>
          <w:color w:val="auto"/>
          <w:sz w:val="24"/>
          <w:szCs w:val="22"/>
          <w:u w:val="single"/>
        </w:rPr>
        <w:t xml:space="preserve"> / </w:t>
      </w:r>
      <w:r>
        <w:rPr>
          <w:rFonts w:hint="eastAsia" w:ascii="仿宋" w:hAnsi="仿宋" w:eastAsia="仿宋" w:cs="仿宋"/>
          <w:color w:val="auto"/>
          <w:sz w:val="24"/>
          <w:szCs w:val="22"/>
        </w:rPr>
        <w:t>%提交。</w:t>
      </w:r>
    </w:p>
    <w:p w14:paraId="198ADC9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szCs w:val="22"/>
          <w:u w:val="single"/>
        </w:rPr>
        <w:t xml:space="preserve"> /</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u w:val="single"/>
        </w:rPr>
        <w:t>（以履约保证金原提交金额的6折）</w:t>
      </w:r>
      <w:r>
        <w:rPr>
          <w:rFonts w:hint="eastAsia" w:ascii="仿宋" w:hAnsi="仿宋" w:eastAsia="仿宋" w:cs="仿宋"/>
          <w:color w:val="auto"/>
          <w:sz w:val="24"/>
          <w:szCs w:val="22"/>
        </w:rPr>
        <w:t>提交。办理流程、偿付等内容见江苏政府采购网“保险保函”模块。</w:t>
      </w:r>
    </w:p>
    <w:p w14:paraId="62D4709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26.3履约保证金退还方式</w:t>
      </w:r>
    </w:p>
    <w:p w14:paraId="2A734F2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以银行电汇、网上银行、数字人民币形式缴纳履约保证金的，退回至投标人存款账户或数字人民币账户；以保函、担保、保险等形式缴纳履约保证金的，在保函、担保、保险约定的保证期限届满之日起自行失效。</w:t>
      </w:r>
    </w:p>
    <w:p w14:paraId="228CAD4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26.4履约保证金退还条件</w:t>
      </w:r>
    </w:p>
    <w:p w14:paraId="450C1B1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具有验收合格相关证明材料。</w:t>
      </w:r>
    </w:p>
    <w:p w14:paraId="6F7D51D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26.5履约保证金退还时间</w:t>
      </w:r>
    </w:p>
    <w:p w14:paraId="13A1227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采购人收到投标人退付申请后5个工作日内退还。</w:t>
      </w:r>
    </w:p>
    <w:p w14:paraId="47B79D2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26.6履约保证金不予退还情形</w:t>
      </w:r>
    </w:p>
    <w:p w14:paraId="3D83824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除不可抗力外，中标人不履行与采购人订立的采购合同的，履约保证金不予退还，给采购人造成的损失超过履约保证金数额的，还应对超过部分予以赔偿。</w:t>
      </w:r>
    </w:p>
    <w:p w14:paraId="086D082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26.7逾期退还履约保证金违约责任</w:t>
      </w:r>
    </w:p>
    <w:p w14:paraId="7F65AB3F">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采购人逾期退还履约保证金的，除应退还履约保证金外，还应按中国人民银行同期贷款基准利率上浮20％后的利率支付超期资金占用费，但因投标人自身原因导致无法及时退还的除外。</w:t>
      </w:r>
    </w:p>
    <w:p w14:paraId="54D2D80B">
      <w:pPr>
        <w:spacing w:line="480" w:lineRule="exact"/>
        <w:ind w:firstLine="482"/>
        <w:rPr>
          <w:rFonts w:hint="eastAsia" w:ascii="仿宋" w:hAnsi="仿宋" w:eastAsia="仿宋" w:cs="仿宋"/>
          <w:b/>
          <w:bCs/>
          <w:color w:val="auto"/>
          <w:sz w:val="24"/>
        </w:rPr>
      </w:pPr>
      <w:r>
        <w:rPr>
          <w:rFonts w:hint="eastAsia" w:ascii="仿宋" w:hAnsi="仿宋" w:eastAsia="仿宋" w:cs="仿宋"/>
          <w:b/>
          <w:color w:val="auto"/>
          <w:sz w:val="24"/>
          <w:szCs w:val="22"/>
        </w:rPr>
        <w:t>27、线上融资</w:t>
      </w:r>
    </w:p>
    <w:p w14:paraId="2F2B9440">
      <w:pPr>
        <w:spacing w:line="480" w:lineRule="exact"/>
        <w:ind w:firstLine="480"/>
        <w:rPr>
          <w:rFonts w:hint="eastAsia" w:ascii="仿宋" w:hAnsi="仿宋" w:eastAsia="仿宋" w:cs="仿宋"/>
          <w:b/>
          <w:bCs/>
          <w:color w:val="auto"/>
          <w:sz w:val="24"/>
        </w:rPr>
      </w:pPr>
      <w:r>
        <w:rPr>
          <w:rFonts w:hint="eastAsia" w:ascii="仿宋" w:hAnsi="仿宋" w:eastAsia="仿宋" w:cs="仿宋"/>
          <w:bCs/>
          <w:color w:val="auto"/>
          <w:sz w:val="24"/>
        </w:rPr>
        <w:t>中标人可凭政府采购合同办理融资贷款，详情见江苏政府采购网“政采贷”专栏。</w:t>
      </w:r>
    </w:p>
    <w:p w14:paraId="6845DC17">
      <w:pPr>
        <w:spacing w:line="480" w:lineRule="exact"/>
        <w:ind w:firstLine="482"/>
        <w:rPr>
          <w:rFonts w:hint="eastAsia" w:ascii="仿宋" w:hAnsi="仿宋" w:eastAsia="仿宋" w:cs="仿宋"/>
          <w:color w:val="auto"/>
          <w:sz w:val="24"/>
          <w:szCs w:val="22"/>
        </w:rPr>
      </w:pPr>
      <w:r>
        <w:rPr>
          <w:rFonts w:hint="eastAsia" w:ascii="仿宋" w:hAnsi="仿宋" w:eastAsia="仿宋" w:cs="仿宋"/>
          <w:b/>
          <w:color w:val="auto"/>
          <w:sz w:val="24"/>
          <w:szCs w:val="22"/>
        </w:rPr>
        <w:t>28、合同履行</w:t>
      </w:r>
    </w:p>
    <w:p w14:paraId="58C6AD6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28.1政府采购合同订立后，合同各方不得擅自变更、中止或者终止合同。</w:t>
      </w:r>
    </w:p>
    <w:p w14:paraId="59D9A59D">
      <w:pPr>
        <w:spacing w:line="480" w:lineRule="exact"/>
        <w:ind w:firstLine="482"/>
        <w:rPr>
          <w:rFonts w:hint="eastAsia" w:ascii="仿宋" w:hAnsi="仿宋" w:eastAsia="仿宋" w:cs="仿宋"/>
          <w:bCs/>
          <w:color w:val="auto"/>
          <w:sz w:val="24"/>
        </w:rPr>
      </w:pPr>
      <w:r>
        <w:rPr>
          <w:rFonts w:hint="eastAsia" w:ascii="仿宋" w:hAnsi="仿宋" w:eastAsia="仿宋" w:cs="仿宋"/>
          <w:color w:val="auto"/>
          <w:sz w:val="24"/>
          <w:szCs w:val="22"/>
        </w:rPr>
        <w:t>28.2政府采购合同履行中，采购人需追加与合同标的相同的货物、工程或者服务的，在不改变合同其他条款的前提下，可以与中标人签订补充合同，但所补充合同的采购金额不得超过原合同采购金额的百分之十。</w:t>
      </w:r>
    </w:p>
    <w:p w14:paraId="79F80DEE">
      <w:pPr>
        <w:spacing w:line="480" w:lineRule="exact"/>
        <w:outlineLvl w:val="2"/>
        <w:rPr>
          <w:rFonts w:hint="eastAsia" w:ascii="仿宋" w:hAnsi="仿宋" w:eastAsia="仿宋" w:cs="仿宋"/>
          <w:b/>
          <w:bCs/>
          <w:color w:val="auto"/>
          <w:sz w:val="32"/>
          <w:szCs w:val="32"/>
        </w:rPr>
      </w:pPr>
      <w:bookmarkStart w:id="93" w:name="_Toc141869969"/>
      <w:bookmarkStart w:id="94" w:name="_Toc15853"/>
      <w:bookmarkStart w:id="95" w:name="_Toc7550"/>
      <w:bookmarkStart w:id="96" w:name="_Toc22084"/>
      <w:bookmarkStart w:id="97" w:name="_Toc81575162"/>
      <w:bookmarkStart w:id="98" w:name="_Toc81575199"/>
      <w:r>
        <w:rPr>
          <w:rFonts w:hint="eastAsia" w:ascii="仿宋" w:hAnsi="仿宋" w:eastAsia="仿宋" w:cs="仿宋"/>
          <w:b/>
          <w:bCs/>
          <w:color w:val="auto"/>
          <w:sz w:val="32"/>
          <w:szCs w:val="32"/>
        </w:rPr>
        <w:t>八、验收及付款</w:t>
      </w:r>
      <w:bookmarkEnd w:id="93"/>
      <w:bookmarkEnd w:id="94"/>
    </w:p>
    <w:p w14:paraId="1716DEEB">
      <w:pPr>
        <w:spacing w:line="480" w:lineRule="exact"/>
        <w:ind w:firstLine="480"/>
        <w:rPr>
          <w:rFonts w:hint="eastAsia" w:ascii="仿宋" w:hAnsi="仿宋" w:eastAsia="仿宋" w:cs="仿宋"/>
          <w:b/>
          <w:bCs/>
          <w:color w:val="auto"/>
          <w:sz w:val="24"/>
          <w:szCs w:val="22"/>
        </w:rPr>
      </w:pPr>
      <w:r>
        <w:rPr>
          <w:rFonts w:hint="eastAsia" w:ascii="仿宋" w:hAnsi="仿宋" w:eastAsia="仿宋" w:cs="仿宋"/>
          <w:b/>
          <w:bCs/>
          <w:color w:val="auto"/>
          <w:sz w:val="24"/>
          <w:szCs w:val="22"/>
        </w:rPr>
        <w:t>29、验收</w:t>
      </w:r>
    </w:p>
    <w:p w14:paraId="2D761F5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29.1采购人应当根据采购项目的具体情况，自行组织项目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7BA9625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29.2采购人可以邀请参加本项目的其他投标人或者第三方机构参与验收。参与验收的投标人或者第三方机构的意见作为验收书的参考资料一并存档。</w:t>
      </w:r>
    </w:p>
    <w:p w14:paraId="0BE6F9E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29.3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14:paraId="0ECB680A">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29.4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2B59B62">
      <w:pPr>
        <w:spacing w:line="480" w:lineRule="exact"/>
        <w:ind w:firstLine="480"/>
        <w:rPr>
          <w:rFonts w:hint="eastAsia" w:ascii="仿宋" w:hAnsi="仿宋" w:eastAsia="仿宋" w:cs="仿宋"/>
          <w:b/>
          <w:bCs/>
          <w:color w:val="auto"/>
          <w:sz w:val="24"/>
          <w:szCs w:val="22"/>
        </w:rPr>
      </w:pPr>
      <w:r>
        <w:rPr>
          <w:rFonts w:hint="eastAsia" w:ascii="仿宋" w:hAnsi="仿宋" w:eastAsia="仿宋" w:cs="仿宋"/>
          <w:b/>
          <w:bCs/>
          <w:color w:val="auto"/>
          <w:sz w:val="24"/>
          <w:szCs w:val="22"/>
        </w:rPr>
        <w:t>30、付款</w:t>
      </w:r>
    </w:p>
    <w:p w14:paraId="3A81414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 xml:space="preserve">  </w:t>
      </w:r>
      <w:bookmarkStart w:id="99" w:name="EBec7f529f50594afd871ea9378869e456"/>
      <w:r>
        <w:rPr>
          <w:rFonts w:hint="eastAsia" w:ascii="仿宋" w:hAnsi="仿宋" w:eastAsia="仿宋" w:cs="仿宋"/>
          <w:color w:val="auto"/>
          <w:sz w:val="24"/>
          <w:szCs w:val="22"/>
        </w:rPr>
        <w:t>按照以下确定的付款方式，采购人及时办理付款手续。对于满足合同约定支付条件的，自收到发票后10个工作日内将资金支付到合同约定的投标人账户或投标人数字人民币账户。</w:t>
      </w:r>
      <w:bookmarkEnd w:id="99"/>
    </w:p>
    <w:p w14:paraId="1EEDF67F">
      <w:pPr>
        <w:spacing w:line="480" w:lineRule="exact"/>
        <w:ind w:firstLine="482"/>
        <w:rPr>
          <w:rFonts w:hint="eastAsia" w:ascii="仿宋" w:hAnsi="仿宋" w:eastAsia="仿宋" w:cs="仿宋"/>
          <w:bCs/>
          <w:color w:val="auto"/>
          <w:sz w:val="24"/>
        </w:rPr>
      </w:pPr>
      <w:r>
        <w:rPr>
          <w:rFonts w:hint="eastAsia" w:ascii="仿宋" w:hAnsi="仿宋" w:eastAsia="仿宋" w:cs="仿宋"/>
          <w:bCs/>
          <w:color w:val="auto"/>
          <w:sz w:val="24"/>
        </w:rPr>
        <w:t xml:space="preserve">预付款：合同签订后，采购人在收到供应商合规发票后10 个工作日内，支付合同金额的30%作为预付款； </w:t>
      </w:r>
    </w:p>
    <w:p w14:paraId="4FB58654">
      <w:pPr>
        <w:spacing w:line="480" w:lineRule="exact"/>
        <w:ind w:firstLine="480"/>
        <w:rPr>
          <w:rFonts w:hint="eastAsia" w:ascii="仿宋" w:hAnsi="仿宋" w:eastAsia="仿宋" w:cs="仿宋"/>
          <w:bCs/>
          <w:color w:val="auto"/>
          <w:sz w:val="24"/>
        </w:rPr>
      </w:pPr>
      <w:r>
        <w:rPr>
          <w:rFonts w:hint="eastAsia" w:ascii="仿宋" w:hAnsi="仿宋" w:eastAsia="仿宋" w:cs="仿宋"/>
          <w:bCs/>
          <w:color w:val="auto"/>
          <w:sz w:val="24"/>
        </w:rPr>
        <w:t>进度款：</w:t>
      </w:r>
      <w:bookmarkStart w:id="100" w:name="EBf1f8b954f7504a2cb44cef25707c76a6"/>
      <w:bookmarkEnd w:id="100"/>
      <w:r>
        <w:rPr>
          <w:rFonts w:hint="eastAsia" w:ascii="仿宋" w:hAnsi="仿宋" w:eastAsia="仿宋" w:cs="仿宋"/>
          <w:bCs/>
          <w:color w:val="auto"/>
          <w:sz w:val="24"/>
        </w:rPr>
        <w:t>运维服务满半年后，供应商提交半年维保服务报告等材料，采购人在收到合规发票后10个工作日内，</w:t>
      </w:r>
      <w:r>
        <w:rPr>
          <w:rFonts w:hint="eastAsia" w:ascii="仿宋" w:hAnsi="仿宋" w:eastAsia="仿宋" w:cs="仿宋"/>
          <w:bCs/>
          <w:color w:val="auto"/>
          <w:sz w:val="24"/>
          <w:highlight w:val="none"/>
        </w:rPr>
        <w:t>支付合同</w:t>
      </w:r>
      <w:r>
        <w:rPr>
          <w:rFonts w:hint="eastAsia" w:ascii="仿宋" w:hAnsi="仿宋" w:eastAsia="仿宋" w:cs="仿宋"/>
          <w:bCs/>
          <w:color w:val="auto"/>
          <w:sz w:val="24"/>
          <w:highlight w:val="none"/>
          <w:lang w:val="en-US" w:eastAsia="zh-CN"/>
        </w:rPr>
        <w:t>总</w:t>
      </w:r>
      <w:r>
        <w:rPr>
          <w:rFonts w:hint="eastAsia" w:ascii="仿宋" w:hAnsi="仿宋" w:eastAsia="仿宋" w:cs="仿宋"/>
          <w:bCs/>
          <w:color w:val="auto"/>
          <w:sz w:val="24"/>
          <w:highlight w:val="none"/>
        </w:rPr>
        <w:t>金额的35%</w:t>
      </w:r>
      <w:r>
        <w:rPr>
          <w:rFonts w:hint="eastAsia" w:ascii="仿宋" w:hAnsi="仿宋" w:eastAsia="仿宋" w:cs="仿宋"/>
          <w:bCs/>
          <w:color w:val="auto"/>
          <w:sz w:val="24"/>
        </w:rPr>
        <w:t>；服务期满且验收合格后，采购人在收到合规发票后10个工作日内，付清剩余款项。</w:t>
      </w:r>
    </w:p>
    <w:p w14:paraId="40E78583">
      <w:pPr>
        <w:spacing w:line="480" w:lineRule="exact"/>
        <w:ind w:firstLine="482"/>
        <w:rPr>
          <w:rFonts w:hint="eastAsia" w:ascii="仿宋" w:hAnsi="仿宋" w:eastAsia="仿宋" w:cs="仿宋"/>
          <w:bCs/>
          <w:color w:val="auto"/>
          <w:sz w:val="24"/>
        </w:rPr>
      </w:pPr>
      <w:bookmarkStart w:id="101" w:name="EB11398ec6946f4019bc4c35221e27b04f"/>
      <w:r>
        <w:rPr>
          <w:rFonts w:hint="eastAsia" w:ascii="仿宋" w:hAnsi="仿宋" w:eastAsia="仿宋" w:cs="仿宋"/>
          <w:bCs/>
          <w:color w:val="auto"/>
          <w:sz w:val="24"/>
        </w:rPr>
        <w:t>注：1、在签订合同时，中标人明确表示无需预付款或者主动要求降低预付款比例的金额，采购人可不适用预付款规定。</w:t>
      </w:r>
      <w:bookmarkEnd w:id="101"/>
    </w:p>
    <w:p w14:paraId="4B8CEC80">
      <w:pPr>
        <w:spacing w:line="480" w:lineRule="exact"/>
        <w:ind w:firstLine="482"/>
        <w:rPr>
          <w:rFonts w:hint="eastAsia" w:ascii="仿宋" w:hAnsi="仿宋" w:eastAsia="仿宋" w:cs="仿宋"/>
          <w:bCs/>
          <w:color w:val="auto"/>
          <w:sz w:val="24"/>
        </w:rPr>
      </w:pPr>
      <w:r>
        <w:rPr>
          <w:rFonts w:hint="eastAsia" w:ascii="仿宋" w:hAnsi="仿宋" w:eastAsia="仿宋" w:cs="仿宋"/>
          <w:bCs/>
          <w:color w:val="auto"/>
          <w:sz w:val="24"/>
        </w:rPr>
        <w:t>2、资金支付的主体：由宿迁市楚润数据集团有限公司支付，宿迁市教育局负责协调各相关单位的资金支付。</w:t>
      </w:r>
    </w:p>
    <w:p w14:paraId="242A37D4">
      <w:pPr>
        <w:spacing w:line="480" w:lineRule="exact"/>
        <w:ind w:firstLine="482"/>
        <w:rPr>
          <w:rFonts w:hint="eastAsia" w:ascii="仿宋" w:hAnsi="仿宋" w:eastAsia="仿宋" w:cs="仿宋"/>
          <w:bCs/>
          <w:color w:val="auto"/>
          <w:sz w:val="24"/>
        </w:rPr>
      </w:pPr>
      <w:r>
        <w:rPr>
          <w:rFonts w:hint="eastAsia" w:ascii="仿宋" w:hAnsi="仿宋" w:eastAsia="仿宋" w:cs="仿宋"/>
          <w:bCs/>
          <w:color w:val="auto"/>
          <w:sz w:val="24"/>
        </w:rPr>
        <w:t>3、项目验收与考核由宿迁市教育局、宿迁市楚润数据集团负责组织，相关区县级提供各自领域使用服务的评价报告。</w:t>
      </w:r>
    </w:p>
    <w:p w14:paraId="4C537441">
      <w:pPr>
        <w:spacing w:line="480" w:lineRule="exact"/>
        <w:ind w:firstLine="482"/>
        <w:rPr>
          <w:rFonts w:hint="eastAsia" w:ascii="仿宋" w:hAnsi="仿宋" w:eastAsia="仿宋" w:cs="仿宋"/>
          <w:bCs/>
          <w:color w:val="auto"/>
          <w:sz w:val="24"/>
        </w:rPr>
      </w:pPr>
      <w:r>
        <w:rPr>
          <w:rFonts w:hint="eastAsia" w:ascii="仿宋" w:hAnsi="仿宋" w:eastAsia="仿宋" w:cs="仿宋"/>
          <w:bCs/>
          <w:color w:val="auto"/>
          <w:sz w:val="24"/>
        </w:rPr>
        <w:t>4、付款条件：</w:t>
      </w:r>
    </w:p>
    <w:p w14:paraId="51B743CB">
      <w:pPr>
        <w:spacing w:line="480" w:lineRule="exact"/>
        <w:ind w:firstLine="482"/>
        <w:rPr>
          <w:rFonts w:hint="eastAsia" w:ascii="仿宋" w:hAnsi="仿宋" w:eastAsia="仿宋" w:cs="仿宋"/>
          <w:bCs/>
          <w:color w:val="auto"/>
          <w:sz w:val="24"/>
        </w:rPr>
      </w:pPr>
      <w:r>
        <w:rPr>
          <w:rFonts w:hint="eastAsia" w:ascii="仿宋" w:hAnsi="仿宋" w:eastAsia="仿宋" w:cs="仿宋"/>
          <w:bCs/>
          <w:color w:val="auto"/>
          <w:sz w:val="24"/>
        </w:rPr>
        <w:t>（1）每次考试后，市及区县两级教育考试中心，严格按照采购文件要求，对中标供应商提供的服务质量进行考核，并由承担考试服务的考试指挥中心填写《标准化考点运维服务考核评价表》，并将评价表上交至市教育考试中心。</w:t>
      </w:r>
    </w:p>
    <w:p w14:paraId="57AC0C3C">
      <w:pPr>
        <w:spacing w:line="480" w:lineRule="exact"/>
        <w:ind w:firstLine="482"/>
        <w:rPr>
          <w:rFonts w:hint="eastAsia" w:ascii="仿宋" w:hAnsi="仿宋" w:eastAsia="仿宋" w:cs="仿宋"/>
          <w:bCs/>
          <w:color w:val="auto"/>
          <w:sz w:val="24"/>
        </w:rPr>
      </w:pPr>
      <w:r>
        <w:rPr>
          <w:rFonts w:hint="eastAsia" w:ascii="仿宋" w:hAnsi="仿宋" w:eastAsia="仿宋" w:cs="仿宋"/>
          <w:bCs/>
          <w:color w:val="auto"/>
          <w:sz w:val="24"/>
        </w:rPr>
        <w:t>（2）半年度服务结束后，由各级教育考试中心负责汇总各区域半年内考核分数，计算得出考核综合得分。按如下方式付款：</w:t>
      </w:r>
    </w:p>
    <w:p w14:paraId="429E0245">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①半年度考核得分</w:t>
      </w:r>
      <w:r>
        <w:rPr>
          <w:rFonts w:hint="eastAsia" w:ascii="仿宋" w:hAnsi="仿宋" w:eastAsia="仿宋" w:cs="仿宋"/>
          <w:bCs/>
          <w:color w:val="auto"/>
          <w:sz w:val="24"/>
          <w:highlight w:val="none"/>
          <w:lang w:val="en-US" w:eastAsia="zh-CN"/>
        </w:rPr>
        <w:t>90分及以上的，全额支付当期应付基准金额</w:t>
      </w:r>
      <w:r>
        <w:rPr>
          <w:rFonts w:hint="eastAsia" w:ascii="仿宋" w:hAnsi="仿宋" w:eastAsia="仿宋" w:cs="仿宋"/>
          <w:bCs/>
          <w:color w:val="auto"/>
          <w:sz w:val="24"/>
          <w:highlight w:val="none"/>
        </w:rPr>
        <w:t>；</w:t>
      </w:r>
    </w:p>
    <w:p w14:paraId="59CB9CC8">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w:t>
      </w:r>
      <w:r>
        <w:rPr>
          <w:rFonts w:hint="eastAsia" w:ascii="仿宋" w:hAnsi="仿宋" w:eastAsia="仿宋" w:cs="仿宋"/>
          <w:bCs/>
          <w:color w:val="auto"/>
          <w:sz w:val="24"/>
          <w:highlight w:val="none"/>
          <w:lang w:val="en-US" w:eastAsia="zh-CN"/>
        </w:rPr>
        <w:t>半年度考核得分在75分（含）至90分之间的，按当期应付基准金额的90%支付；</w:t>
      </w:r>
    </w:p>
    <w:p w14:paraId="5807A0EF">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sz w:val="24"/>
          <w:highlight w:val="none"/>
          <w:lang w:val="en-US" w:eastAsia="zh-CN"/>
        </w:rPr>
        <w:t>半年度考核得分在60分（含）至75分之间的，按当期应付基准金额的85%支付</w:t>
      </w:r>
      <w:r>
        <w:rPr>
          <w:rFonts w:hint="eastAsia" w:ascii="仿宋" w:hAnsi="仿宋" w:eastAsia="仿宋" w:cs="仿宋"/>
          <w:bCs/>
          <w:color w:val="auto"/>
          <w:sz w:val="24"/>
          <w:highlight w:val="none"/>
        </w:rPr>
        <w:t>；</w:t>
      </w:r>
    </w:p>
    <w:p w14:paraId="3942C7F4">
      <w:pPr>
        <w:keepNext/>
        <w:keepLines/>
        <w:spacing w:line="480" w:lineRule="exact"/>
        <w:ind w:firstLine="480"/>
        <w:outlineLvl w:val="2"/>
        <w:rPr>
          <w:rFonts w:hint="eastAsia" w:ascii="仿宋" w:hAnsi="仿宋" w:eastAsia="仿宋" w:cs="仿宋"/>
          <w:color w:val="auto"/>
          <w:sz w:val="24"/>
          <w:szCs w:val="24"/>
          <w:highlight w:val="none"/>
          <w:lang w:val="en-US" w:eastAsia="zh-CN" w:bidi="ar"/>
        </w:rPr>
      </w:pPr>
      <w:r>
        <w:rPr>
          <w:rFonts w:hint="eastAsia" w:ascii="仿宋" w:hAnsi="仿宋" w:eastAsia="仿宋" w:cs="仿宋"/>
          <w:bCs/>
          <w:color w:val="auto"/>
          <w:sz w:val="24"/>
          <w:highlight w:val="none"/>
        </w:rPr>
        <w:t>④</w:t>
      </w:r>
      <w:r>
        <w:rPr>
          <w:rFonts w:hint="eastAsia" w:ascii="仿宋" w:hAnsi="仿宋" w:eastAsia="仿宋" w:cs="仿宋"/>
          <w:color w:val="auto"/>
          <w:sz w:val="24"/>
          <w:szCs w:val="24"/>
          <w:highlight w:val="none"/>
          <w:lang w:val="en-US" w:eastAsia="zh-CN" w:bidi="ar"/>
        </w:rPr>
        <w:t>半年度考核综合得分低于60分，无保底，当期应付金额 = 实际考核得分÷100×当期应付基准金额，按计算后结果据实支付。</w:t>
      </w:r>
    </w:p>
    <w:p w14:paraId="2CB26862">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lang w:val="en-US" w:eastAsia="zh-CN" w:bidi="ar"/>
        </w:rPr>
        <w:t>考核周期内，因乙方维保责任引发影响国家教育考试正常组织的重大责任事故的，甲方有权不予支付当期全部维保款项，并依法追究乙方赔偿责任。</w:t>
      </w:r>
    </w:p>
    <w:p w14:paraId="3076E83D">
      <w:pPr>
        <w:keepNext/>
        <w:keepLines/>
        <w:spacing w:line="480" w:lineRule="exact"/>
        <w:outlineLvl w:val="2"/>
        <w:rPr>
          <w:rFonts w:hint="eastAsia" w:ascii="仿宋" w:hAnsi="仿宋" w:eastAsia="仿宋" w:cs="仿宋"/>
          <w:b/>
          <w:bCs/>
          <w:color w:val="auto"/>
          <w:sz w:val="32"/>
          <w:szCs w:val="22"/>
          <w:highlight w:val="none"/>
        </w:rPr>
      </w:pPr>
      <w:r>
        <w:rPr>
          <w:rFonts w:hint="eastAsia" w:ascii="仿宋" w:hAnsi="仿宋" w:eastAsia="仿宋" w:cs="仿宋"/>
          <w:b/>
          <w:bCs/>
          <w:color w:val="auto"/>
          <w:sz w:val="32"/>
          <w:szCs w:val="22"/>
          <w:highlight w:val="none"/>
        </w:rPr>
        <w:t>九、</w:t>
      </w:r>
      <w:bookmarkEnd w:id="95"/>
      <w:bookmarkEnd w:id="96"/>
      <w:bookmarkEnd w:id="97"/>
      <w:bookmarkEnd w:id="98"/>
      <w:bookmarkStart w:id="102" w:name="_Toc81575163"/>
      <w:bookmarkStart w:id="103" w:name="_Toc12263"/>
      <w:bookmarkStart w:id="104" w:name="_Toc81575200"/>
      <w:bookmarkStart w:id="105" w:name="_Toc31888"/>
      <w:r>
        <w:rPr>
          <w:rFonts w:hint="eastAsia" w:ascii="仿宋" w:hAnsi="仿宋" w:eastAsia="仿宋" w:cs="仿宋"/>
          <w:b/>
          <w:bCs/>
          <w:color w:val="auto"/>
          <w:sz w:val="32"/>
          <w:szCs w:val="22"/>
          <w:highlight w:val="none"/>
        </w:rPr>
        <w:t>质疑与投诉</w:t>
      </w:r>
      <w:bookmarkEnd w:id="102"/>
      <w:bookmarkEnd w:id="103"/>
      <w:bookmarkEnd w:id="104"/>
      <w:bookmarkEnd w:id="105"/>
    </w:p>
    <w:p w14:paraId="3ED50A76">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31、质疑</w:t>
      </w:r>
    </w:p>
    <w:p w14:paraId="76FABAB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31.1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p>
    <w:p w14:paraId="49D4002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本项目接收质疑函的方式：现场接收或邮寄接收。</w:t>
      </w:r>
    </w:p>
    <w:p w14:paraId="646AF195">
      <w:pPr>
        <w:spacing w:line="480" w:lineRule="exact"/>
        <w:ind w:firstLine="480"/>
        <w:rPr>
          <w:rFonts w:hint="eastAsia" w:ascii="仿宋" w:hAnsi="仿宋" w:eastAsia="仿宋" w:cs="仿宋"/>
          <w:color w:val="auto"/>
          <w:sz w:val="24"/>
          <w:u w:val="single"/>
        </w:rPr>
      </w:pPr>
      <w:r>
        <w:rPr>
          <w:rFonts w:hint="eastAsia" w:ascii="仿宋" w:hAnsi="仿宋" w:eastAsia="仿宋" w:cs="仿宋"/>
          <w:color w:val="auto"/>
          <w:sz w:val="24"/>
        </w:rPr>
        <w:t>联系部门：</w:t>
      </w:r>
      <w:r>
        <w:rPr>
          <w:rFonts w:hint="eastAsia" w:ascii="仿宋" w:hAnsi="仿宋" w:eastAsia="仿宋" w:cs="仿宋"/>
          <w:color w:val="auto"/>
          <w:sz w:val="24"/>
          <w:u w:val="single"/>
        </w:rPr>
        <w:t>宿迁市教育局</w:t>
      </w:r>
      <w:r>
        <w:rPr>
          <w:rFonts w:hint="eastAsia" w:ascii="仿宋" w:hAnsi="仿宋" w:eastAsia="仿宋" w:cs="仿宋"/>
          <w:color w:val="auto"/>
          <w:sz w:val="24"/>
        </w:rPr>
        <w:t>、</w:t>
      </w:r>
      <w:r>
        <w:rPr>
          <w:rFonts w:hint="eastAsia" w:ascii="仿宋" w:hAnsi="仿宋" w:eastAsia="仿宋" w:cs="仿宋"/>
          <w:color w:val="auto"/>
          <w:sz w:val="24"/>
          <w:u w:val="single"/>
        </w:rPr>
        <w:t>宿迁市楚润数据集团有限公司或江苏星河源房地产评估工程咨询有限公司</w:t>
      </w:r>
    </w:p>
    <w:p w14:paraId="31650F05">
      <w:pPr>
        <w:spacing w:line="480" w:lineRule="exact"/>
        <w:ind w:firstLine="480"/>
        <w:rPr>
          <w:rFonts w:hint="eastAsia" w:ascii="仿宋" w:hAnsi="仿宋" w:eastAsia="仿宋" w:cs="仿宋"/>
          <w:color w:val="auto"/>
          <w:sz w:val="24"/>
          <w:u w:val="single"/>
        </w:rPr>
      </w:pPr>
      <w:r>
        <w:rPr>
          <w:rFonts w:hint="eastAsia" w:ascii="仿宋" w:hAnsi="仿宋" w:eastAsia="仿宋" w:cs="仿宋"/>
          <w:color w:val="auto"/>
          <w:sz w:val="24"/>
        </w:rPr>
        <w:t>联系电话：</w:t>
      </w:r>
      <w:r>
        <w:rPr>
          <w:rFonts w:hint="eastAsia" w:ascii="仿宋" w:hAnsi="仿宋" w:eastAsia="仿宋" w:cs="仿宋"/>
          <w:color w:val="auto"/>
          <w:sz w:val="24"/>
          <w:szCs w:val="22"/>
          <w:u w:val="single"/>
        </w:rPr>
        <w:t>0527-84389643、0527-80522809或15162915595</w:t>
      </w:r>
    </w:p>
    <w:p w14:paraId="24D16F90">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rPr>
        <w:t>通讯地址：</w:t>
      </w:r>
      <w:r>
        <w:rPr>
          <w:rFonts w:hint="eastAsia" w:ascii="仿宋" w:hAnsi="仿宋" w:eastAsia="仿宋" w:cs="仿宋"/>
          <w:color w:val="auto"/>
          <w:sz w:val="24"/>
          <w:u w:val="single"/>
        </w:rPr>
        <w:t>宿迁市太湖路261号</w:t>
      </w:r>
      <w:r>
        <w:rPr>
          <w:rFonts w:hint="eastAsia" w:ascii="仿宋" w:hAnsi="仿宋" w:eastAsia="仿宋" w:cs="仿宋"/>
          <w:color w:val="auto"/>
          <w:sz w:val="24"/>
        </w:rPr>
        <w:t>、</w:t>
      </w:r>
      <w:r>
        <w:rPr>
          <w:rFonts w:hint="eastAsia" w:ascii="仿宋" w:hAnsi="仿宋" w:eastAsia="仿宋" w:cs="仿宋"/>
          <w:color w:val="auto"/>
          <w:sz w:val="24"/>
          <w:u w:val="single"/>
        </w:rPr>
        <w:t>宿迁市宿城区发展大道</w:t>
      </w:r>
      <w:r>
        <w:rPr>
          <w:rFonts w:hint="eastAsia" w:ascii="仿宋" w:hAnsi="仿宋" w:eastAsia="仿宋" w:cs="仿宋"/>
          <w:color w:val="auto"/>
          <w:sz w:val="24"/>
          <w:u w:val="single"/>
          <w:lang w:val="en-US" w:eastAsia="zh-CN"/>
        </w:rPr>
        <w:t>7</w:t>
      </w:r>
      <w:r>
        <w:rPr>
          <w:rFonts w:hint="eastAsia" w:ascii="仿宋" w:hAnsi="仿宋" w:eastAsia="仿宋" w:cs="仿宋"/>
          <w:color w:val="auto"/>
          <w:sz w:val="24"/>
          <w:u w:val="single"/>
        </w:rPr>
        <w:t>号或宿迁市宿城区兴邦商厦13楼1302</w:t>
      </w:r>
    </w:p>
    <w:p w14:paraId="44C5262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31.2投标人应知其权益受到损害之日，是指：</w:t>
      </w:r>
    </w:p>
    <w:p w14:paraId="147264D3">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（1）对本项目采购文件提出质疑的，为获取采购文件之日或者采购文件公告期限届满之日；</w:t>
      </w:r>
    </w:p>
    <w:p w14:paraId="19EE1089">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（2）对本项目采购过程提出质疑的，为各采购程序环节结束之日；</w:t>
      </w:r>
    </w:p>
    <w:p w14:paraId="2FB56A88">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（3）对本项目中标结果提出质疑的，为中标结果公告期限届满之日。</w:t>
      </w:r>
    </w:p>
    <w:p w14:paraId="4257DA9C">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31.3质疑投标人应当是参与所质疑项目采购活动的投标人。潜在投标人已依法获取其可质疑的采购文件的，方可对该文件提出质疑。投标人在法定质疑期内应一次性提出针对同一采购程序环节的质疑。</w:t>
      </w:r>
    </w:p>
    <w:p w14:paraId="3A7BC63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31.4投标人提出质疑应当提交质疑函和必要的证明材料。质疑函的必备内容：</w:t>
      </w:r>
    </w:p>
    <w:p w14:paraId="7286EFDB">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（1）投标人的姓名或者名称、地址、邮编、联系人及联系电话；</w:t>
      </w:r>
    </w:p>
    <w:p w14:paraId="383F7601">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（2）质疑项目的名称、编号；</w:t>
      </w:r>
    </w:p>
    <w:p w14:paraId="0FB77FC5">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（3）获取采购文件的时间；</w:t>
      </w:r>
    </w:p>
    <w:p w14:paraId="630E908E">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（4）具体、明确的质疑事项和质疑事项相关的请求；</w:t>
      </w:r>
    </w:p>
    <w:p w14:paraId="2C91DDA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（5）事实依据；</w:t>
      </w:r>
    </w:p>
    <w:p w14:paraId="173089B7">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（6）必要的法律依据；</w:t>
      </w:r>
    </w:p>
    <w:p w14:paraId="0E403B8D">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（7）提出质疑的日期；</w:t>
      </w:r>
    </w:p>
    <w:p w14:paraId="5E7C799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（8）投标人为自然人的，由本人签字；投标人为法人或者其他组织的，应当由法定代表人、主要负责人，或者其授权代表签字或者盖章，并加盖公章；</w:t>
      </w:r>
    </w:p>
    <w:p w14:paraId="40C55334">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4B0AAFA2">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31.5采购人在收到质疑函后7个工作日内作出答复，并以书面形式通知质疑投标人和其他有关投标人，但质疑答复的内容不涉及商业秘密。</w:t>
      </w:r>
    </w:p>
    <w:p w14:paraId="24F2DCC0">
      <w:pPr>
        <w:spacing w:line="48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szCs w:val="22"/>
        </w:rPr>
        <w:t>32、投诉</w:t>
      </w:r>
    </w:p>
    <w:p w14:paraId="73E58346">
      <w:pPr>
        <w:spacing w:line="480" w:lineRule="exact"/>
        <w:ind w:firstLine="480"/>
        <w:rPr>
          <w:rFonts w:hint="eastAsia" w:ascii="仿宋" w:hAnsi="仿宋" w:eastAsia="仿宋" w:cs="仿宋"/>
          <w:color w:val="auto"/>
          <w:sz w:val="24"/>
          <w:szCs w:val="22"/>
        </w:rPr>
      </w:pPr>
      <w:r>
        <w:rPr>
          <w:rFonts w:hint="eastAsia" w:ascii="仿宋" w:hAnsi="仿宋" w:eastAsia="仿宋" w:cs="仿宋"/>
          <w:color w:val="auto"/>
          <w:sz w:val="24"/>
          <w:szCs w:val="22"/>
        </w:rPr>
        <w:t>质疑投标人对答复不满意或采购人、采购代理机构未在规定时间内作出答复的，可在答复期满后15个工作日内向同级财政部门提起投诉。</w:t>
      </w:r>
    </w:p>
    <w:p w14:paraId="229AD8CD">
      <w:pPr>
        <w:rPr>
          <w:rFonts w:hint="eastAsia" w:ascii="仿宋" w:hAnsi="仿宋" w:eastAsia="仿宋" w:cs="仿宋"/>
          <w:color w:val="auto"/>
          <w:szCs w:val="21"/>
        </w:rPr>
      </w:pPr>
    </w:p>
    <w:p w14:paraId="29C6B0B6">
      <w:pPr>
        <w:rPr>
          <w:rFonts w:hint="eastAsia" w:ascii="仿宋" w:hAnsi="仿宋" w:eastAsia="仿宋" w:cs="仿宋"/>
          <w:color w:val="auto"/>
          <w:szCs w:val="21"/>
        </w:rPr>
      </w:pPr>
    </w:p>
    <w:p w14:paraId="0094AEEC">
      <w:pPr>
        <w:rPr>
          <w:rFonts w:hint="eastAsia" w:ascii="仿宋" w:hAnsi="仿宋" w:eastAsia="仿宋" w:cs="仿宋"/>
          <w:color w:val="auto"/>
          <w:szCs w:val="21"/>
        </w:rPr>
      </w:pPr>
    </w:p>
    <w:p w14:paraId="777C4946">
      <w:pPr>
        <w:rPr>
          <w:rFonts w:hint="eastAsia" w:ascii="仿宋" w:hAnsi="仿宋" w:eastAsia="仿宋" w:cs="仿宋"/>
          <w:color w:val="auto"/>
          <w:szCs w:val="21"/>
        </w:rPr>
      </w:pPr>
    </w:p>
    <w:p w14:paraId="781EE856">
      <w:pPr>
        <w:rPr>
          <w:rFonts w:hint="eastAsia" w:ascii="仿宋" w:hAnsi="仿宋" w:eastAsia="仿宋" w:cs="仿宋"/>
          <w:color w:val="auto"/>
          <w:szCs w:val="21"/>
        </w:rPr>
      </w:pPr>
    </w:p>
    <w:p w14:paraId="7FFA87DD">
      <w:pPr>
        <w:rPr>
          <w:rFonts w:hint="eastAsia" w:ascii="仿宋" w:hAnsi="仿宋" w:eastAsia="仿宋" w:cs="仿宋"/>
          <w:color w:val="auto"/>
          <w:szCs w:val="21"/>
        </w:rPr>
      </w:pPr>
    </w:p>
    <w:p w14:paraId="20FC8C48">
      <w:pPr>
        <w:rPr>
          <w:rFonts w:hint="eastAsia" w:ascii="仿宋" w:hAnsi="仿宋" w:eastAsia="仿宋" w:cs="仿宋"/>
          <w:color w:val="auto"/>
          <w:szCs w:val="21"/>
        </w:rPr>
      </w:pPr>
    </w:p>
    <w:p w14:paraId="354754EC">
      <w:pPr>
        <w:rPr>
          <w:rFonts w:hint="eastAsia" w:ascii="仿宋" w:hAnsi="仿宋" w:eastAsia="仿宋" w:cs="仿宋"/>
          <w:color w:val="auto"/>
          <w:szCs w:val="21"/>
        </w:rPr>
      </w:pPr>
    </w:p>
    <w:bookmarkEnd w:id="55"/>
    <w:bookmarkEnd w:id="56"/>
    <w:bookmarkEnd w:id="57"/>
    <w:bookmarkEnd w:id="58"/>
    <w:bookmarkEnd w:id="59"/>
    <w:p w14:paraId="2F0E0502">
      <w:pPr>
        <w:rPr>
          <w:rFonts w:hint="eastAsia" w:ascii="仿宋" w:hAnsi="仿宋" w:eastAsia="仿宋" w:cs="仿宋"/>
          <w:color w:val="auto"/>
          <w:szCs w:val="21"/>
        </w:rPr>
      </w:pPr>
    </w:p>
    <w:p w14:paraId="5D2C32FD">
      <w:pPr>
        <w:keepNext/>
        <w:ind w:firstLine="2640"/>
        <w:outlineLvl w:val="0"/>
        <w:rPr>
          <w:rFonts w:hint="eastAsia" w:ascii="仿宋" w:hAnsi="仿宋" w:eastAsia="仿宋" w:cs="仿宋"/>
          <w:bCs/>
          <w:color w:val="auto"/>
          <w:sz w:val="44"/>
          <w:szCs w:val="28"/>
        </w:rPr>
      </w:pPr>
      <w:bookmarkStart w:id="106" w:name="_Toc104802328"/>
      <w:bookmarkStart w:id="107" w:name="_Toc155086566"/>
      <w:bookmarkStart w:id="108" w:name="_Toc118461986"/>
      <w:bookmarkStart w:id="109" w:name="_Hlt16619350"/>
      <w:bookmarkStart w:id="110" w:name="_Toc120614244"/>
      <w:bookmarkStart w:id="111" w:name="_Toc16938590"/>
      <w:bookmarkStart w:id="112" w:name="_Toc20823346"/>
      <w:bookmarkStart w:id="113" w:name="_Toc462564139"/>
      <w:bookmarkStart w:id="114" w:name="_Toc479757211"/>
    </w:p>
    <w:p w14:paraId="712F59B0">
      <w:pPr>
        <w:pStyle w:val="75"/>
        <w:rPr>
          <w:rFonts w:hint="eastAsia"/>
          <w:color w:val="auto"/>
        </w:rPr>
      </w:pPr>
    </w:p>
    <w:p w14:paraId="7CF3A539">
      <w:pPr>
        <w:keepNext/>
        <w:outlineLvl w:val="0"/>
        <w:rPr>
          <w:rFonts w:hint="eastAsia" w:ascii="仿宋" w:hAnsi="仿宋" w:eastAsia="仿宋" w:cs="仿宋"/>
          <w:bCs/>
          <w:color w:val="auto"/>
          <w:sz w:val="44"/>
          <w:szCs w:val="28"/>
        </w:rPr>
      </w:pPr>
    </w:p>
    <w:p w14:paraId="22F6A8C0">
      <w:pPr>
        <w:keepNext/>
        <w:outlineLvl w:val="0"/>
        <w:rPr>
          <w:rFonts w:hint="eastAsia" w:ascii="仿宋" w:hAnsi="仿宋" w:eastAsia="仿宋" w:cs="仿宋"/>
          <w:bCs/>
          <w:color w:val="auto"/>
          <w:sz w:val="44"/>
          <w:szCs w:val="28"/>
        </w:rPr>
      </w:pPr>
    </w:p>
    <w:p w14:paraId="3346B432">
      <w:pPr>
        <w:keepNext/>
        <w:ind w:firstLine="2640"/>
        <w:outlineLvl w:val="0"/>
        <w:rPr>
          <w:rFonts w:hint="eastAsia" w:ascii="仿宋" w:hAnsi="仿宋" w:eastAsia="仿宋" w:cs="仿宋"/>
          <w:bCs/>
          <w:color w:val="auto"/>
          <w:sz w:val="44"/>
          <w:szCs w:val="28"/>
        </w:rPr>
      </w:pPr>
    </w:p>
    <w:p w14:paraId="5A674738">
      <w:pPr>
        <w:keepNext w:val="0"/>
        <w:keepLines w:val="0"/>
        <w:pageBreakBefore w:val="0"/>
        <w:widowControl w:val="0"/>
        <w:outlineLvl w:val="0"/>
        <w:rPr>
          <w:rFonts w:hint="eastAsia" w:ascii="仿宋" w:hAnsi="仿宋" w:eastAsia="仿宋" w:cs="仿宋"/>
          <w:bCs/>
          <w:color w:val="auto"/>
          <w:sz w:val="44"/>
          <w:szCs w:val="28"/>
        </w:rPr>
      </w:pPr>
    </w:p>
    <w:p w14:paraId="1EDEFA48">
      <w:pPr>
        <w:keepNext/>
        <w:jc w:val="center"/>
        <w:outlineLvl w:val="0"/>
        <w:rPr>
          <w:rFonts w:hint="eastAsia" w:ascii="仿宋" w:hAnsi="仿宋" w:eastAsia="仿宋" w:cs="仿宋"/>
          <w:bCs/>
          <w:color w:val="auto"/>
          <w:sz w:val="44"/>
          <w:szCs w:val="28"/>
        </w:rPr>
      </w:pPr>
      <w:r>
        <w:rPr>
          <w:rFonts w:hint="eastAsia" w:ascii="仿宋" w:hAnsi="仿宋" w:eastAsia="仿宋" w:cs="仿宋"/>
          <w:bCs/>
          <w:color w:val="auto"/>
          <w:sz w:val="44"/>
          <w:szCs w:val="28"/>
        </w:rPr>
        <w:t>第三章合同文本</w:t>
      </w:r>
      <w:bookmarkEnd w:id="106"/>
      <w:bookmarkEnd w:id="107"/>
      <w:bookmarkEnd w:id="108"/>
    </w:p>
    <w:p w14:paraId="22309E20">
      <w:pPr>
        <w:keepNext/>
        <w:ind w:firstLine="2640"/>
        <w:outlineLvl w:val="0"/>
        <w:rPr>
          <w:rFonts w:hint="eastAsia" w:ascii="仿宋" w:hAnsi="仿宋" w:eastAsia="仿宋" w:cs="仿宋"/>
          <w:bCs/>
          <w:color w:val="auto"/>
          <w:sz w:val="44"/>
          <w:szCs w:val="28"/>
        </w:rPr>
      </w:pPr>
    </w:p>
    <w:p w14:paraId="7CAC018D">
      <w:pPr>
        <w:spacing w:after="200"/>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政府采购合同</w:t>
      </w:r>
    </w:p>
    <w:p w14:paraId="12050564">
      <w:pPr>
        <w:widowControl/>
        <w:spacing w:line="480" w:lineRule="auto"/>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（服务类）</w:t>
      </w:r>
    </w:p>
    <w:p w14:paraId="099F6A85">
      <w:pPr>
        <w:spacing w:after="200"/>
        <w:rPr>
          <w:rFonts w:hint="eastAsia" w:ascii="仿宋" w:hAnsi="仿宋" w:eastAsia="仿宋" w:cs="仿宋"/>
          <w:b/>
          <w:color w:val="auto"/>
          <w:sz w:val="24"/>
          <w:szCs w:val="20"/>
        </w:rPr>
      </w:pPr>
    </w:p>
    <w:p w14:paraId="44D01E1B">
      <w:pPr>
        <w:spacing w:line="360" w:lineRule="auto"/>
        <w:ind w:firstLine="600"/>
        <w:rPr>
          <w:rFonts w:hint="eastAsia" w:ascii="仿宋" w:hAnsi="仿宋" w:eastAsia="仿宋" w:cs="仿宋"/>
          <w:color w:val="auto"/>
          <w:sz w:val="30"/>
          <w:szCs w:val="30"/>
        </w:rPr>
      </w:pPr>
    </w:p>
    <w:p w14:paraId="0EAF7E9A">
      <w:pPr>
        <w:spacing w:after="200"/>
        <w:rPr>
          <w:rFonts w:hint="eastAsia" w:ascii="仿宋" w:hAnsi="仿宋" w:eastAsia="仿宋" w:cs="仿宋"/>
          <w:color w:val="auto"/>
          <w:sz w:val="28"/>
          <w:szCs w:val="28"/>
        </w:rPr>
      </w:pPr>
    </w:p>
    <w:p w14:paraId="7FEC44E7">
      <w:pPr>
        <w:spacing w:after="200"/>
        <w:rPr>
          <w:rFonts w:hint="eastAsia" w:ascii="仿宋" w:hAnsi="仿宋" w:eastAsia="仿宋" w:cs="仿宋"/>
          <w:color w:val="auto"/>
          <w:spacing w:val="-6"/>
          <w:sz w:val="28"/>
          <w:szCs w:val="28"/>
          <w:lang w:eastAsia="zh-CN"/>
        </w:rPr>
      </w:pPr>
      <w:r>
        <w:rPr>
          <w:rFonts w:hint="eastAsia" w:ascii="仿宋" w:hAnsi="仿宋" w:eastAsia="仿宋" w:cs="仿宋"/>
          <w:color w:val="auto"/>
          <w:sz w:val="28"/>
          <w:szCs w:val="28"/>
        </w:rPr>
        <w:t>项 目 名 称：</w:t>
      </w:r>
      <w:r>
        <w:rPr>
          <w:rFonts w:hint="eastAsia" w:ascii="仿宋" w:hAnsi="仿宋" w:eastAsia="仿宋" w:cs="仿宋"/>
          <w:color w:val="auto"/>
          <w:sz w:val="28"/>
          <w:szCs w:val="28"/>
          <w:u w:val="single"/>
          <w:lang w:eastAsia="zh-CN"/>
        </w:rPr>
        <w:t>市教育局全市集成专网标准化考点维保项目</w:t>
      </w:r>
    </w:p>
    <w:p w14:paraId="39E8FB6E">
      <w:pPr>
        <w:spacing w:after="2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rPr>
        <w:t>甲方1（全称）：</w:t>
      </w:r>
      <w:r>
        <w:rPr>
          <w:rFonts w:hint="eastAsia" w:ascii="仿宋" w:hAnsi="仿宋" w:eastAsia="仿宋" w:cs="仿宋"/>
          <w:color w:val="auto"/>
          <w:sz w:val="28"/>
          <w:szCs w:val="28"/>
          <w:u w:val="single"/>
          <w:lang w:val="en-US" w:eastAsia="zh-CN"/>
        </w:rPr>
        <w:t xml:space="preserve">                                   </w:t>
      </w:r>
    </w:p>
    <w:p w14:paraId="66E673CC">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甲方2（全称）：</w:t>
      </w:r>
      <w:r>
        <w:rPr>
          <w:rFonts w:hint="eastAsia" w:ascii="仿宋" w:hAnsi="仿宋" w:eastAsia="仿宋" w:cs="仿宋"/>
          <w:color w:val="auto"/>
          <w:sz w:val="28"/>
          <w:szCs w:val="28"/>
          <w:u w:val="single"/>
        </w:rPr>
        <w:t>宿迁市楚润数据集团有限公司</w:t>
      </w:r>
    </w:p>
    <w:p w14:paraId="35A27DF3">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乙       方：</w:t>
      </w:r>
      <w:r>
        <w:rPr>
          <w:rFonts w:hint="eastAsia" w:ascii="仿宋" w:hAnsi="仿宋" w:eastAsia="仿宋" w:cs="仿宋"/>
          <w:color w:val="auto"/>
          <w:sz w:val="28"/>
          <w:szCs w:val="28"/>
          <w:u w:val="single"/>
        </w:rPr>
        <w:t xml:space="preserve">                                   </w:t>
      </w:r>
    </w:p>
    <w:p w14:paraId="56BCF3E7">
      <w:pPr>
        <w:rPr>
          <w:rFonts w:hint="eastAsia" w:ascii="仿宋" w:hAnsi="仿宋" w:eastAsia="仿宋" w:cs="仿宋"/>
          <w:color w:val="auto"/>
          <w:sz w:val="28"/>
          <w:szCs w:val="28"/>
        </w:rPr>
      </w:pPr>
      <w:r>
        <w:rPr>
          <w:rFonts w:hint="eastAsia" w:ascii="仿宋" w:hAnsi="仿宋" w:eastAsia="仿宋" w:cs="仿宋"/>
          <w:color w:val="auto"/>
          <w:sz w:val="28"/>
          <w:szCs w:val="28"/>
        </w:rPr>
        <w:t>签 订 日 期：      年      月      日</w:t>
      </w:r>
    </w:p>
    <w:p w14:paraId="5CEB34B1">
      <w:pPr>
        <w:pStyle w:val="237"/>
        <w:spacing w:before="120" w:after="120" w:line="360" w:lineRule="auto"/>
        <w:ind w:firstLine="422"/>
        <w:rPr>
          <w:rFonts w:hint="eastAsia" w:ascii="仿宋" w:hAnsi="仿宋" w:eastAsia="仿宋" w:cs="仿宋"/>
          <w:bCs/>
          <w:color w:val="auto"/>
          <w:sz w:val="24"/>
        </w:rPr>
      </w:pPr>
      <w:r>
        <w:rPr>
          <w:rFonts w:hint="eastAsia" w:ascii="仿宋" w:hAnsi="仿宋" w:eastAsia="仿宋" w:cs="仿宋"/>
          <w:bCs/>
          <w:color w:val="auto"/>
          <w:sz w:val="24"/>
        </w:rPr>
        <w:br w:type="page" w:clear="all"/>
      </w:r>
    </w:p>
    <w:p w14:paraId="3249E408">
      <w:pPr>
        <w:spacing w:line="560" w:lineRule="exact"/>
        <w:jc w:val="center"/>
        <w:rPr>
          <w:rFonts w:hint="eastAsia" w:ascii="仿宋" w:hAnsi="仿宋" w:eastAsia="仿宋" w:cs="仿宋"/>
          <w:color w:val="auto"/>
          <w:sz w:val="24"/>
        </w:rPr>
      </w:pPr>
      <w:r>
        <w:rPr>
          <w:rFonts w:hint="eastAsia" w:ascii="宋体" w:hAnsi="宋体" w:cs="宋体"/>
          <w:color w:val="auto"/>
          <w:sz w:val="44"/>
          <w:szCs w:val="44"/>
        </w:rPr>
        <w:t>合同条款</w:t>
      </w:r>
    </w:p>
    <w:p w14:paraId="447E7F94">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甲方1：</w:t>
      </w:r>
      <w:r>
        <w:rPr>
          <w:rFonts w:hint="eastAsia" w:ascii="仿宋" w:hAnsi="仿宋" w:eastAsia="仿宋" w:cs="仿宋"/>
          <w:color w:val="auto"/>
          <w:sz w:val="24"/>
          <w:szCs w:val="24"/>
          <w:u w:val="single"/>
        </w:rPr>
        <w:t xml:space="preserve">                    </w:t>
      </w:r>
    </w:p>
    <w:p w14:paraId="7E60421A">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甲方2：</w:t>
      </w:r>
      <w:r>
        <w:rPr>
          <w:rFonts w:hint="eastAsia" w:ascii="仿宋" w:hAnsi="仿宋" w:eastAsia="仿宋" w:cs="仿宋"/>
          <w:color w:val="auto"/>
          <w:sz w:val="24"/>
          <w:szCs w:val="24"/>
          <w:u w:val="single"/>
        </w:rPr>
        <w:t xml:space="preserve"> 宿迁市楚润数据集团有限公司 </w:t>
      </w:r>
      <w:r>
        <w:rPr>
          <w:rFonts w:hint="eastAsia" w:ascii="仿宋" w:hAnsi="仿宋" w:eastAsia="仿宋" w:cs="仿宋"/>
          <w:color w:val="auto"/>
          <w:sz w:val="24"/>
          <w:szCs w:val="24"/>
        </w:rPr>
        <w:t xml:space="preserve"> </w:t>
      </w:r>
    </w:p>
    <w:p w14:paraId="7BDE2832">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乙方： ____________________</w:t>
      </w:r>
    </w:p>
    <w:p w14:paraId="671CEB31">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根据本项目采购需求及公开招标结果，甲乙三方经平等协商，就乙方向甲方提供考点维保服务事宜，达成如下条款。</w:t>
      </w:r>
    </w:p>
    <w:p w14:paraId="0D4BFD74">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一、服务内容</w:t>
      </w:r>
    </w:p>
    <w:p w14:paraId="30E20D76">
      <w:pPr>
        <w:pStyle w:val="237"/>
        <w:spacing w:before="120" w:after="120" w:line="360" w:lineRule="auto"/>
        <w:ind w:firstLine="42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1.项目名称：</w:t>
      </w:r>
      <w:r>
        <w:rPr>
          <w:rFonts w:hint="eastAsia" w:ascii="仿宋" w:hAnsi="仿宋" w:eastAsia="仿宋" w:cs="仿宋"/>
          <w:color w:val="auto"/>
          <w:sz w:val="24"/>
          <w:szCs w:val="24"/>
          <w:lang w:eastAsia="zh-CN"/>
        </w:rPr>
        <w:t>市教育局全市集成专网标准化考点维保项目</w:t>
      </w:r>
    </w:p>
    <w:p w14:paraId="676D8AB9">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2.项目服务内容：乙方须完整响应采购需求</w:t>
      </w:r>
    </w:p>
    <w:p w14:paraId="28F08250">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二、合同金额</w:t>
      </w:r>
    </w:p>
    <w:p w14:paraId="75F2DF7F">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1.本合同金额为（大写）：____________________圆（_______________元）人民币。</w:t>
      </w:r>
    </w:p>
    <w:p w14:paraId="4C144C70">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三、技术资料</w:t>
      </w:r>
    </w:p>
    <w:p w14:paraId="5C88B54F">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1.乙方应按招标文件规定的时间向甲方提供与合同标的有关的技术资料。</w:t>
      </w:r>
    </w:p>
    <w:p w14:paraId="6DB3F9AF">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6C4AE66">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四、保密及知识产权</w:t>
      </w:r>
    </w:p>
    <w:p w14:paraId="1BBED9ED">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1、乙方应该保护甲方的知识产权，未经甲方同意，乙方不得对甲方的资料及文件擅自修改、复制或向</w:t>
      </w:r>
      <w:r>
        <w:rPr>
          <w:rFonts w:hint="eastAsia" w:ascii="仿宋" w:hAnsi="仿宋" w:eastAsia="仿宋" w:cs="仿宋"/>
          <w:color w:val="auto"/>
          <w:sz w:val="24"/>
          <w:szCs w:val="24"/>
          <w:lang w:eastAsia="zh-CN"/>
        </w:rPr>
        <w:t>第三方</w:t>
      </w:r>
      <w:r>
        <w:rPr>
          <w:rFonts w:hint="eastAsia" w:ascii="仿宋" w:hAnsi="仿宋" w:eastAsia="仿宋" w:cs="仿宋"/>
          <w:color w:val="auto"/>
          <w:sz w:val="24"/>
          <w:szCs w:val="24"/>
        </w:rPr>
        <w:t>转让或用于本合同以外的项目。如发生以上情况，乙方需向甲方承担一切由此引起的后果及赔偿责任。</w:t>
      </w:r>
    </w:p>
    <w:p w14:paraId="4ECFF1F5">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p>
    <w:p w14:paraId="0D82D64D">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3、本项目所产生的一切成果及知识产权均归甲方所有。乙方不得以任何方式向第三方披露、转让、发表和许可使用有关的成果、信息、资料和文件。</w:t>
      </w:r>
    </w:p>
    <w:p w14:paraId="36BB56C5">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b/>
          <w:bCs/>
          <w:color w:val="auto"/>
          <w:sz w:val="24"/>
          <w:szCs w:val="24"/>
        </w:rPr>
        <w:t>五、履约保证金</w:t>
      </w:r>
    </w:p>
    <w:p w14:paraId="0FA6389A">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本项目不收取履约保证金</w:t>
      </w:r>
    </w:p>
    <w:p w14:paraId="290E9000">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六、转包或分包</w:t>
      </w:r>
    </w:p>
    <w:p w14:paraId="31C797FC">
      <w:pPr>
        <w:pStyle w:val="237"/>
        <w:spacing w:before="120" w:after="120" w:line="360" w:lineRule="auto"/>
        <w:ind w:left="315" w:firstLine="105"/>
        <w:rPr>
          <w:rFonts w:hint="eastAsia" w:ascii="仿宋" w:hAnsi="仿宋" w:eastAsia="仿宋" w:cs="仿宋"/>
          <w:color w:val="auto"/>
          <w:sz w:val="24"/>
          <w:szCs w:val="24"/>
        </w:rPr>
      </w:pPr>
      <w:r>
        <w:rPr>
          <w:rFonts w:hint="eastAsia" w:ascii="仿宋" w:hAnsi="仿宋" w:eastAsia="仿宋" w:cs="仿宋"/>
          <w:color w:val="auto"/>
          <w:sz w:val="24"/>
          <w:szCs w:val="24"/>
        </w:rPr>
        <w:t>1.乙方不得将合同标的转包给他人履行。</w:t>
      </w:r>
    </w:p>
    <w:p w14:paraId="3D9DBC83">
      <w:pPr>
        <w:pStyle w:val="237"/>
        <w:spacing w:before="120" w:after="120" w:line="360" w:lineRule="auto"/>
        <w:ind w:left="315" w:firstLine="105"/>
        <w:rPr>
          <w:rFonts w:hint="eastAsia" w:ascii="仿宋" w:hAnsi="仿宋" w:eastAsia="仿宋" w:cs="仿宋"/>
          <w:color w:val="auto"/>
          <w:sz w:val="24"/>
          <w:szCs w:val="24"/>
        </w:rPr>
      </w:pPr>
      <w:r>
        <w:rPr>
          <w:rFonts w:hint="eastAsia" w:ascii="仿宋" w:hAnsi="仿宋" w:eastAsia="仿宋" w:cs="仿宋"/>
          <w:color w:val="auto"/>
          <w:sz w:val="24"/>
          <w:szCs w:val="24"/>
        </w:rPr>
        <w:t>2.乙方不得将合同标的分包给他人履行。</w:t>
      </w:r>
    </w:p>
    <w:p w14:paraId="522252FF">
      <w:pPr>
        <w:pStyle w:val="237"/>
        <w:spacing w:before="120" w:after="120" w:line="360" w:lineRule="auto"/>
        <w:ind w:left="315" w:firstLine="105"/>
        <w:rPr>
          <w:rFonts w:hint="eastAsia" w:ascii="仿宋" w:hAnsi="仿宋" w:eastAsia="仿宋" w:cs="仿宋"/>
          <w:color w:val="auto"/>
          <w:sz w:val="24"/>
          <w:szCs w:val="24"/>
        </w:rPr>
      </w:pPr>
      <w:r>
        <w:rPr>
          <w:rFonts w:hint="eastAsia" w:ascii="仿宋" w:hAnsi="仿宋" w:eastAsia="仿宋" w:cs="仿宋"/>
          <w:color w:val="auto"/>
          <w:sz w:val="24"/>
          <w:szCs w:val="24"/>
        </w:rPr>
        <w:t>3.乙方如有转包或未经甲方同意的分包行为，甲方有权解除合同。</w:t>
      </w:r>
    </w:p>
    <w:p w14:paraId="207ACF20">
      <w:pPr>
        <w:pStyle w:val="237"/>
        <w:spacing w:before="120" w:after="120" w:line="360" w:lineRule="auto"/>
        <w:ind w:left="315" w:firstLine="105"/>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七、</w:t>
      </w:r>
      <w:r>
        <w:rPr>
          <w:rFonts w:hint="eastAsia" w:ascii="仿宋" w:hAnsi="仿宋" w:eastAsia="仿宋" w:cs="仿宋"/>
          <w:b/>
          <w:bCs/>
          <w:color w:val="auto"/>
          <w:sz w:val="24"/>
          <w:szCs w:val="24"/>
          <w:lang w:eastAsia="zh-CN"/>
        </w:rPr>
        <w:t>合同履行期限</w:t>
      </w:r>
    </w:p>
    <w:p w14:paraId="008AC91C">
      <w:pPr>
        <w:pStyle w:val="237"/>
        <w:spacing w:before="120" w:after="120" w:line="360" w:lineRule="auto"/>
        <w:ind w:firstLine="420"/>
        <w:rPr>
          <w:rFonts w:hint="eastAsia" w:ascii="仿宋" w:hAnsi="仿宋" w:eastAsia="仿宋" w:cs="仿宋"/>
          <w:color w:val="auto"/>
          <w:sz w:val="24"/>
          <w:szCs w:val="24"/>
          <w:u w:val="single"/>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合同履行期限</w:t>
      </w:r>
      <w:r>
        <w:rPr>
          <w:rFonts w:hint="eastAsia" w:ascii="仿宋" w:hAnsi="仿宋" w:eastAsia="仿宋" w:cs="仿宋"/>
          <w:color w:val="auto"/>
          <w:sz w:val="24"/>
          <w:szCs w:val="24"/>
        </w:rPr>
        <w:t>：</w:t>
      </w:r>
      <w:r>
        <w:rPr>
          <w:rFonts w:hint="eastAsia" w:ascii="仿宋" w:hAnsi="仿宋" w:eastAsia="仿宋" w:cs="仿宋"/>
          <w:color w:val="auto"/>
          <w:sz w:val="24"/>
          <w:szCs w:val="24"/>
          <w:u w:val="single"/>
          <w:lang w:val="en-US" w:eastAsia="zh-CN"/>
        </w:rPr>
        <w:t>1</w:t>
      </w:r>
      <w:r>
        <w:rPr>
          <w:rFonts w:hint="eastAsia" w:ascii="仿宋" w:hAnsi="仿宋" w:eastAsia="仿宋" w:cs="仿宋"/>
          <w:color w:val="auto"/>
          <w:sz w:val="24"/>
          <w:szCs w:val="24"/>
          <w:u w:val="single"/>
        </w:rPr>
        <w:t>年。</w:t>
      </w:r>
    </w:p>
    <w:p w14:paraId="032E2D34">
      <w:pPr>
        <w:pStyle w:val="235"/>
        <w:spacing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八、服务方式及地点</w:t>
      </w:r>
    </w:p>
    <w:p w14:paraId="6CF50B3E">
      <w:pPr>
        <w:pStyle w:val="235"/>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1.服务方式：</w:t>
      </w:r>
      <w:r>
        <w:rPr>
          <w:rFonts w:hint="eastAsia" w:ascii="仿宋" w:hAnsi="仿宋" w:eastAsia="仿宋" w:cs="仿宋"/>
          <w:bCs/>
          <w:color w:val="auto"/>
          <w:sz w:val="24"/>
          <w:szCs w:val="24"/>
          <w:u w:val="single"/>
        </w:rPr>
        <w:t>按照招标文件及甲方要求</w:t>
      </w:r>
    </w:p>
    <w:p w14:paraId="1EFDBABC">
      <w:pPr>
        <w:pStyle w:val="235"/>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2.服务地点：</w:t>
      </w:r>
      <w:r>
        <w:rPr>
          <w:rFonts w:hint="eastAsia" w:ascii="仿宋" w:hAnsi="仿宋" w:eastAsia="仿宋" w:cs="仿宋"/>
          <w:color w:val="auto"/>
          <w:sz w:val="24"/>
          <w:szCs w:val="24"/>
          <w:u w:val="single"/>
        </w:rPr>
        <w:t>甲方指定地点</w:t>
      </w:r>
    </w:p>
    <w:p w14:paraId="23C25B45">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九、合同款项支付</w:t>
      </w:r>
    </w:p>
    <w:p w14:paraId="394CFC4F">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 xml:space="preserve">付款方式：合同签订后，采购人在收到供应商合规发票后10 个工作日内，支付合同金额的30%作为预付款； </w:t>
      </w:r>
    </w:p>
    <w:p w14:paraId="2A8973FD">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运维服务满半年后，供应商提交半年维保服务报告等材料，采购人在收到合规发票后10个工作日内，</w:t>
      </w:r>
      <w:r>
        <w:rPr>
          <w:rFonts w:hint="eastAsia" w:ascii="仿宋" w:hAnsi="仿宋" w:eastAsia="仿宋" w:cs="仿宋"/>
          <w:color w:val="auto"/>
          <w:sz w:val="24"/>
          <w:highlight w:val="none"/>
        </w:rPr>
        <w:t>支付合同</w:t>
      </w:r>
      <w:r>
        <w:rPr>
          <w:rFonts w:hint="eastAsia" w:ascii="仿宋" w:hAnsi="仿宋" w:eastAsia="仿宋" w:cs="仿宋"/>
          <w:color w:val="auto"/>
          <w:sz w:val="24"/>
          <w:highlight w:val="none"/>
          <w:lang w:val="en-US" w:eastAsia="zh-CN"/>
        </w:rPr>
        <w:t>总</w:t>
      </w:r>
      <w:r>
        <w:rPr>
          <w:rFonts w:hint="eastAsia" w:ascii="仿宋" w:hAnsi="仿宋" w:eastAsia="仿宋" w:cs="仿宋"/>
          <w:color w:val="auto"/>
          <w:sz w:val="24"/>
          <w:highlight w:val="none"/>
        </w:rPr>
        <w:t>金额的35%</w:t>
      </w:r>
      <w:r>
        <w:rPr>
          <w:rFonts w:hint="eastAsia" w:ascii="仿宋" w:hAnsi="仿宋" w:eastAsia="仿宋" w:cs="仿宋"/>
          <w:color w:val="auto"/>
          <w:sz w:val="24"/>
        </w:rPr>
        <w:t>；服务期满且验收合格后，采购人在收到合规发票后10个工作日内，付清剩余款项。</w:t>
      </w:r>
    </w:p>
    <w:p w14:paraId="6D40CB47">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注：1、在签订合同时，中标人明确表示无需预付款或者主动要求降低预付款比例的金额，招标人可不适用预付款规定。</w:t>
      </w:r>
    </w:p>
    <w:p w14:paraId="507B10B3">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2、资金支付的主体：由宿迁市楚润数据集团有限公司支付，宿迁市教育局负责协调各相关单位的资金支付。</w:t>
      </w:r>
    </w:p>
    <w:p w14:paraId="1E4253C5">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3、项目验收与考核由宿迁市教育局、宿迁市楚润数据集团负责组织，相关区县级提供各自领域使用服务的评价报告。</w:t>
      </w:r>
    </w:p>
    <w:p w14:paraId="289614DB">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4、付款条件：</w:t>
      </w:r>
    </w:p>
    <w:p w14:paraId="573F0FE0">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每次考试后，市及区县两级教育考试中心，严格按照采购文件要求，对中标供应商提供的服务质量进行考核，并由承担考试服务的考试指挥中心填写《标准化考点运维服务考核评价表》，并将评价表上交至市教育考试中心。</w:t>
      </w:r>
    </w:p>
    <w:p w14:paraId="4BD82585">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（2）半年度服务结束后，由各级教育考试中心负责汇总各区域半年内考核分数，计算得出考核综合得分。按如下方式付款：</w:t>
      </w:r>
    </w:p>
    <w:p w14:paraId="123D8D1A">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①半年度考核得分</w:t>
      </w:r>
      <w:r>
        <w:rPr>
          <w:rFonts w:hint="eastAsia" w:ascii="仿宋" w:hAnsi="仿宋" w:eastAsia="仿宋" w:cs="仿宋"/>
          <w:bCs/>
          <w:color w:val="auto"/>
          <w:sz w:val="24"/>
          <w:highlight w:val="none"/>
          <w:lang w:val="en-US" w:eastAsia="zh-CN"/>
        </w:rPr>
        <w:t>90分及以上的，全额支付当期应付基准金额</w:t>
      </w:r>
      <w:r>
        <w:rPr>
          <w:rFonts w:hint="eastAsia" w:ascii="仿宋" w:hAnsi="仿宋" w:eastAsia="仿宋" w:cs="仿宋"/>
          <w:bCs/>
          <w:color w:val="auto"/>
          <w:sz w:val="24"/>
          <w:highlight w:val="none"/>
        </w:rPr>
        <w:t>；</w:t>
      </w:r>
    </w:p>
    <w:p w14:paraId="18A6F7B8">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w:t>
      </w:r>
      <w:r>
        <w:rPr>
          <w:rFonts w:hint="eastAsia" w:ascii="仿宋" w:hAnsi="仿宋" w:eastAsia="仿宋" w:cs="仿宋"/>
          <w:bCs/>
          <w:color w:val="auto"/>
          <w:sz w:val="24"/>
          <w:highlight w:val="none"/>
          <w:lang w:val="en-US" w:eastAsia="zh-CN"/>
        </w:rPr>
        <w:t>半年度考核得分在75分（含）至90分之间的，按当期应付基准金额的90%支付；</w:t>
      </w:r>
    </w:p>
    <w:p w14:paraId="155E800B">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sz w:val="24"/>
          <w:highlight w:val="none"/>
          <w:lang w:val="en-US" w:eastAsia="zh-CN"/>
        </w:rPr>
        <w:t>半年度考核得分在60分（含）至75分之间的，按当期应付基准金额的85%支付</w:t>
      </w:r>
      <w:r>
        <w:rPr>
          <w:rFonts w:hint="eastAsia" w:ascii="仿宋" w:hAnsi="仿宋" w:eastAsia="仿宋" w:cs="仿宋"/>
          <w:bCs/>
          <w:color w:val="auto"/>
          <w:sz w:val="24"/>
          <w:highlight w:val="none"/>
        </w:rPr>
        <w:t>；</w:t>
      </w:r>
    </w:p>
    <w:p w14:paraId="7EC121E5">
      <w:pPr>
        <w:keepNext/>
        <w:keepLines/>
        <w:spacing w:line="480" w:lineRule="exact"/>
        <w:ind w:firstLine="480"/>
        <w:outlineLvl w:val="2"/>
        <w:rPr>
          <w:rFonts w:hint="eastAsia" w:ascii="仿宋" w:hAnsi="仿宋" w:eastAsia="仿宋" w:cs="仿宋"/>
          <w:color w:val="auto"/>
          <w:sz w:val="24"/>
          <w:szCs w:val="24"/>
          <w:highlight w:val="none"/>
          <w:lang w:val="en-US" w:eastAsia="zh-CN" w:bidi="ar"/>
        </w:rPr>
      </w:pPr>
      <w:r>
        <w:rPr>
          <w:rFonts w:hint="eastAsia" w:ascii="仿宋" w:hAnsi="仿宋" w:eastAsia="仿宋" w:cs="仿宋"/>
          <w:bCs/>
          <w:color w:val="auto"/>
          <w:sz w:val="24"/>
          <w:highlight w:val="none"/>
        </w:rPr>
        <w:t>④</w:t>
      </w:r>
      <w:r>
        <w:rPr>
          <w:rFonts w:hint="eastAsia" w:ascii="仿宋" w:hAnsi="仿宋" w:eastAsia="仿宋" w:cs="仿宋"/>
          <w:color w:val="auto"/>
          <w:sz w:val="24"/>
          <w:szCs w:val="24"/>
          <w:highlight w:val="none"/>
          <w:lang w:val="en-US" w:eastAsia="zh-CN" w:bidi="ar"/>
        </w:rPr>
        <w:t>半年度考核综合得分低于60分，无保底，当期应付金额 = 实际考核得分÷100×当期应付基准金额，按计算后结果据实支付。</w:t>
      </w:r>
    </w:p>
    <w:p w14:paraId="55CCD85C">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lang w:val="en-US" w:eastAsia="zh-CN" w:bidi="ar"/>
        </w:rPr>
        <w:t>考核周期内，因乙方维保责任引发影响国家教育考试正常组织的重大责任事故的，甲方有权不予支付当期全部维保款项，并依法追究乙方赔偿责任。</w:t>
      </w:r>
    </w:p>
    <w:p w14:paraId="5B64C0C6">
      <w:pPr>
        <w:spacing w:line="360" w:lineRule="auto"/>
        <w:ind w:firstLine="420"/>
        <w:rPr>
          <w:rFonts w:hint="eastAsia" w:ascii="仿宋" w:hAnsi="仿宋" w:eastAsia="仿宋" w:cs="仿宋"/>
          <w:b/>
          <w:bCs/>
          <w:color w:val="auto"/>
          <w:sz w:val="24"/>
          <w:szCs w:val="24"/>
        </w:rPr>
      </w:pPr>
      <w:r>
        <w:rPr>
          <w:rFonts w:hint="eastAsia" w:ascii="仿宋" w:hAnsi="仿宋" w:eastAsia="仿宋" w:cs="仿宋"/>
          <w:b/>
          <w:bCs/>
          <w:color w:val="auto"/>
          <w:sz w:val="24"/>
          <w:szCs w:val="24"/>
        </w:rPr>
        <w:t>十、税费</w:t>
      </w:r>
    </w:p>
    <w:p w14:paraId="67F01F4C">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1.本合同执行中相关的一切税费均由乙方负担。</w:t>
      </w:r>
    </w:p>
    <w:p w14:paraId="6A0CB2FF">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十一、服务保证</w:t>
      </w:r>
    </w:p>
    <w:p w14:paraId="77E4BDAF">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1.乙方所提供的服务应与采购文件规定的要求及所附的偏离表相一致；若无特殊说明，按国家有关部门颁布的标准及规范为准。</w:t>
      </w:r>
    </w:p>
    <w:p w14:paraId="6EBD53F6">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2.乙方应保证服务完全符合合同规定的要求。</w:t>
      </w:r>
    </w:p>
    <w:p w14:paraId="7C977759">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十二、项目验收</w:t>
      </w:r>
    </w:p>
    <w:p w14:paraId="3685B76B">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1.甲方依法组织履约验收工作。</w:t>
      </w:r>
    </w:p>
    <w:p w14:paraId="5228CE4F">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C411CA3">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3.对于实际使用人和甲方分离的项目，甲方邀请实际使用人参与验收。</w:t>
      </w:r>
    </w:p>
    <w:p w14:paraId="5BCF7A59">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4.如有必要，甲方邀请参加本项目的其他供应商或第三方专业机构及专家参与验收，相关意见将作为验收书的参考资料。</w:t>
      </w:r>
    </w:p>
    <w:p w14:paraId="331AD599">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19EF5D02">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4144753">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十三、违约责任</w:t>
      </w:r>
    </w:p>
    <w:p w14:paraId="25A8C72C">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1.甲方无正当理由拒收服务的，甲方向乙方偿付拒收款项总值的</w:t>
      </w:r>
      <w:r>
        <w:rPr>
          <w:rFonts w:hint="eastAsia" w:ascii="仿宋" w:hAnsi="仿宋" w:eastAsia="仿宋" w:cs="仿宋"/>
          <w:color w:val="auto"/>
          <w:sz w:val="24"/>
          <w:szCs w:val="24"/>
          <w:u w:val="single"/>
        </w:rPr>
        <w:t>万分之二每日</w:t>
      </w:r>
      <w:r>
        <w:rPr>
          <w:rFonts w:hint="eastAsia" w:ascii="仿宋" w:hAnsi="仿宋" w:eastAsia="仿宋" w:cs="仿宋"/>
          <w:color w:val="auto"/>
          <w:sz w:val="24"/>
          <w:szCs w:val="24"/>
        </w:rPr>
        <w:t>违约金</w:t>
      </w:r>
      <w:r>
        <w:rPr>
          <w:rFonts w:hint="eastAsia" w:ascii="仿宋" w:hAnsi="仿宋" w:eastAsia="仿宋" w:cs="仿宋"/>
          <w:color w:val="auto"/>
          <w:sz w:val="24"/>
          <w:szCs w:val="24"/>
          <w:lang w:eastAsia="zh-CN"/>
        </w:rPr>
        <w:t xml:space="preserve">，违约金总额不超过拒收款项总值的 </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p>
    <w:p w14:paraId="1FA2C66C">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2.甲方无故逾期验收和办理款项支付手续的,甲方应按逾期付款总额</w:t>
      </w:r>
      <w:r>
        <w:rPr>
          <w:rFonts w:hint="eastAsia" w:ascii="仿宋" w:hAnsi="仿宋" w:eastAsia="仿宋" w:cs="仿宋"/>
          <w:color w:val="auto"/>
          <w:sz w:val="24"/>
          <w:szCs w:val="24"/>
          <w:u w:val="single"/>
        </w:rPr>
        <w:t>万分之二</w:t>
      </w:r>
      <w:r>
        <w:rPr>
          <w:rFonts w:hint="eastAsia" w:ascii="仿宋" w:hAnsi="仿宋" w:eastAsia="仿宋" w:cs="仿宋"/>
          <w:color w:val="auto"/>
          <w:sz w:val="24"/>
          <w:szCs w:val="24"/>
        </w:rPr>
        <w:t>每日向乙方支付违约金，违约金总额不超过逾期付款总额的5%。</w:t>
      </w:r>
    </w:p>
    <w:p w14:paraId="42D7B2CC">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eastAsia="zh-CN"/>
        </w:rPr>
        <w:t>乙方未按合同、招标文件及投标文件履行维保、考试保障等服务义务的，每发生逾期或未按要求完成服务事项，乙方应按对应部分服务金额每日万分之二向甲方支付违约金，由甲方从待付款项中扣除。逾期超过约定日期10个工作日不能交付的，甲方有权单方解除本合同。乙方因发生重大过失导致逾期交付或因其他违约行为导致甲方解除合同的，乙方应向甲方支付合同总值30%的违约金，如造成甲方损失超过违约金的，超出部分由乙方继续承担赔偿责任</w:t>
      </w:r>
      <w:r>
        <w:rPr>
          <w:rFonts w:hint="eastAsia" w:ascii="仿宋" w:hAnsi="仿宋" w:eastAsia="仿宋" w:cs="仿宋"/>
          <w:color w:val="auto"/>
          <w:sz w:val="24"/>
          <w:szCs w:val="24"/>
        </w:rPr>
        <w:t xml:space="preserve">。 </w:t>
      </w:r>
    </w:p>
    <w:p w14:paraId="3F4AD5F0">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4.乙方所交的服务数量、质量不符合合同规定及招标文件规定标准的，甲方有权拒收该服务，乙方愿意更换服务但逾期交付的，按乙方逾期交付处理。乙方拒绝更换服务的，甲方可单方面解除合同。</w:t>
      </w:r>
    </w:p>
    <w:p w14:paraId="49B63DC2">
      <w:pPr>
        <w:pStyle w:val="237"/>
        <w:spacing w:before="120" w:after="120" w:line="360" w:lineRule="auto"/>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服务期内，若新增标准化考场、临时增加各类考试场次的，乙方须无偿提供对应设备巡检、故障维修、考试驻场值守、应急处置等全部配套服务，不得以此为由要求增加合同价款、降低服务标准或拒绝提供服务，违者视为乙方严重违约，采购人有权扣除相应年度考核尾款。</w:t>
      </w:r>
    </w:p>
    <w:p w14:paraId="32F9298F">
      <w:pPr>
        <w:pStyle w:val="237"/>
        <w:spacing w:before="120" w:after="120" w:line="360" w:lineRule="auto"/>
        <w:ind w:firstLine="42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r>
        <w:rPr>
          <w:rFonts w:hint="default" w:ascii="仿宋" w:hAnsi="仿宋" w:eastAsia="仿宋" w:cs="仿宋"/>
          <w:color w:val="auto"/>
          <w:sz w:val="24"/>
          <w:szCs w:val="24"/>
          <w:lang w:val="en-US" w:eastAsia="zh-CN"/>
        </w:rPr>
        <w:t>因乙方人员发生考试相关失泄密事件，除考核扣分外，甲方有权单方解除合同，乙方支付合同总金额 30% 的违约金，造成损失的全额赔偿；涉嫌违法犯罪的移交司法机关处理。</w:t>
      </w:r>
    </w:p>
    <w:p w14:paraId="326EACF7">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十四、不可抗力事件处理</w:t>
      </w:r>
    </w:p>
    <w:p w14:paraId="61D2FB37">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1.在合同有效期内，任何一方因不可抗力事件导致不能履行合同，则合同履行期可延长，其延长期与不可抗力影响期相同。</w:t>
      </w:r>
    </w:p>
    <w:p w14:paraId="66F89CE9">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2.不可抗力事件发生后，应立即通知对方，并寄送有关权威机构出具的证明。</w:t>
      </w:r>
    </w:p>
    <w:p w14:paraId="2E40AE76">
      <w:pPr>
        <w:pStyle w:val="237"/>
        <w:spacing w:before="120" w:after="12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3.不可抗力事件延续120天以上，双方应通过友好协商，确定是否继续履行合同。</w:t>
      </w:r>
    </w:p>
    <w:p w14:paraId="5A65E817">
      <w:pPr>
        <w:spacing w:line="560" w:lineRule="exact"/>
        <w:ind w:firstLine="482"/>
        <w:rPr>
          <w:rFonts w:hint="eastAsia" w:ascii="仿宋" w:hAnsi="仿宋" w:eastAsia="仿宋" w:cs="仿宋"/>
          <w:b/>
          <w:bCs/>
          <w:color w:val="auto"/>
          <w:sz w:val="24"/>
        </w:rPr>
      </w:pPr>
      <w:r>
        <w:rPr>
          <w:rFonts w:hint="eastAsia" w:ascii="仿宋" w:hAnsi="仿宋" w:eastAsia="仿宋" w:cs="仿宋"/>
          <w:b/>
          <w:bCs/>
          <w:color w:val="auto"/>
          <w:sz w:val="24"/>
        </w:rPr>
        <w:t>十五、争议解决</w:t>
      </w:r>
    </w:p>
    <w:p w14:paraId="7D2BF419">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在合同履行过程中,如发生争议,双方应通过友好协商解决。如协商不成，则依法向甲方1所在地人民法院提起诉讼。</w:t>
      </w:r>
    </w:p>
    <w:p w14:paraId="0C0F2750">
      <w:pPr>
        <w:pStyle w:val="237"/>
        <w:spacing w:before="120" w:after="120" w:line="360" w:lineRule="auto"/>
        <w:ind w:firstLine="422"/>
        <w:rPr>
          <w:rFonts w:hint="eastAsia" w:ascii="仿宋" w:hAnsi="仿宋" w:eastAsia="仿宋" w:cs="仿宋"/>
          <w:b/>
          <w:bCs/>
          <w:color w:val="auto"/>
          <w:sz w:val="24"/>
          <w:szCs w:val="24"/>
        </w:rPr>
      </w:pPr>
      <w:r>
        <w:rPr>
          <w:rFonts w:hint="eastAsia" w:ascii="仿宋" w:hAnsi="仿宋" w:eastAsia="仿宋" w:cs="仿宋"/>
          <w:b/>
          <w:bCs/>
          <w:color w:val="auto"/>
          <w:sz w:val="24"/>
          <w:szCs w:val="24"/>
        </w:rPr>
        <w:t>十六、其它</w:t>
      </w:r>
    </w:p>
    <w:p w14:paraId="18B15F89">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1.本合同一式陆份，甲方1、甲方2各执贰份，乙方执贰份，具有同等法律效力。本合同附件包括《采购需求》《成交通知书》、乙方投标响应文件等，作为合同不可分割的组成部分。</w:t>
      </w:r>
    </w:p>
    <w:p w14:paraId="168F64BF">
      <w:pPr>
        <w:pStyle w:val="237"/>
        <w:spacing w:before="120" w:after="120" w:line="360" w:lineRule="auto"/>
        <w:ind w:firstLine="422"/>
        <w:rPr>
          <w:rFonts w:hint="eastAsia" w:ascii="仿宋" w:hAnsi="仿宋" w:eastAsia="仿宋" w:cs="仿宋"/>
          <w:color w:val="auto"/>
          <w:sz w:val="24"/>
          <w:szCs w:val="24"/>
        </w:rPr>
      </w:pPr>
      <w:r>
        <w:rPr>
          <w:rFonts w:hint="eastAsia" w:ascii="仿宋" w:hAnsi="仿宋" w:eastAsia="仿宋" w:cs="仿宋"/>
          <w:color w:val="auto"/>
          <w:sz w:val="24"/>
          <w:szCs w:val="24"/>
        </w:rPr>
        <w:t>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p>
    <w:p w14:paraId="0DCF4D95">
      <w:pPr>
        <w:pStyle w:val="237"/>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甲方1：（盖章）                乙方：（盖章）</w:t>
      </w:r>
    </w:p>
    <w:p w14:paraId="0D40408D">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地址：                         地址：</w:t>
      </w:r>
    </w:p>
    <w:p w14:paraId="743CB3D7">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法定（授权）代表人：           法定（授权）代表人：</w:t>
      </w:r>
    </w:p>
    <w:p w14:paraId="4DB6B016">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联系电话：                     联系电话：</w:t>
      </w:r>
    </w:p>
    <w:p w14:paraId="436E9A0D">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2026年  月  日                 2026年  月  日</w:t>
      </w:r>
    </w:p>
    <w:p w14:paraId="7A6EB463">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甲方2：（盖章）</w:t>
      </w:r>
    </w:p>
    <w:p w14:paraId="69840C4E">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地址：</w:t>
      </w:r>
    </w:p>
    <w:p w14:paraId="3C935492">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法定（授权）代表人：</w:t>
      </w:r>
    </w:p>
    <w:p w14:paraId="3FCFCB79">
      <w:pPr>
        <w:widowControl/>
        <w:spacing w:line="360" w:lineRule="auto"/>
        <w:rPr>
          <w:rFonts w:hint="eastAsia" w:ascii="仿宋" w:hAnsi="仿宋" w:eastAsia="仿宋" w:cs="仿宋"/>
          <w:color w:val="auto"/>
          <w:sz w:val="24"/>
        </w:rPr>
      </w:pPr>
      <w:r>
        <w:rPr>
          <w:rFonts w:hint="eastAsia" w:ascii="仿宋" w:hAnsi="仿宋" w:eastAsia="仿宋" w:cs="仿宋"/>
          <w:color w:val="auto"/>
          <w:sz w:val="24"/>
        </w:rPr>
        <w:t>联系电话：</w:t>
      </w:r>
    </w:p>
    <w:p w14:paraId="010BD55F">
      <w:pPr>
        <w:widowControl/>
        <w:spacing w:line="360" w:lineRule="auto"/>
        <w:rPr>
          <w:rFonts w:hint="eastAsia" w:ascii="宋体" w:hAnsi="宋体" w:cs="宋体"/>
          <w:color w:val="auto"/>
          <w:sz w:val="24"/>
        </w:rPr>
      </w:pPr>
      <w:r>
        <w:rPr>
          <w:rFonts w:hint="eastAsia" w:ascii="仿宋" w:hAnsi="仿宋" w:eastAsia="仿宋" w:cs="仿宋"/>
          <w:color w:val="auto"/>
          <w:sz w:val="24"/>
        </w:rPr>
        <w:t xml:space="preserve">2026年  月  日 </w:t>
      </w:r>
      <w:r>
        <w:rPr>
          <w:rFonts w:hint="eastAsia" w:ascii="宋体" w:hAnsi="宋体" w:cs="宋体"/>
          <w:color w:val="auto"/>
          <w:sz w:val="24"/>
        </w:rPr>
        <w:t xml:space="preserve">       </w:t>
      </w:r>
    </w:p>
    <w:p w14:paraId="16257692">
      <w:pPr>
        <w:widowControl/>
        <w:spacing w:line="400" w:lineRule="exact"/>
        <w:jc w:val="left"/>
        <w:rPr>
          <w:rStyle w:val="226"/>
          <w:rFonts w:hint="eastAsia" w:ascii="仿宋" w:hAnsi="仿宋" w:eastAsia="仿宋" w:cs="仿宋"/>
          <w:color w:val="auto"/>
          <w:sz w:val="24"/>
          <w:lang w:bidi="ar"/>
        </w:rPr>
      </w:pPr>
      <w:r>
        <w:rPr>
          <w:rFonts w:hint="eastAsia" w:ascii="仿宋" w:hAnsi="仿宋" w:eastAsia="仿宋" w:cs="仿宋"/>
          <w:bCs/>
          <w:color w:val="auto"/>
          <w:sz w:val="44"/>
          <w:szCs w:val="21"/>
        </w:rPr>
        <w:br w:type="page" w:clear="all"/>
      </w:r>
      <w:r>
        <w:rPr>
          <w:rStyle w:val="226"/>
          <w:rFonts w:hint="eastAsia" w:ascii="仿宋" w:hAnsi="仿宋" w:eastAsia="仿宋" w:cs="仿宋"/>
          <w:color w:val="auto"/>
          <w:sz w:val="24"/>
          <w:lang w:bidi="ar"/>
        </w:rPr>
        <w:t>附考核评分表</w:t>
      </w:r>
    </w:p>
    <w:tbl>
      <w:tblPr>
        <w:tblStyle w:val="31"/>
        <w:tblW w:w="5590" w:type="pct"/>
        <w:tblInd w:w="-431" w:type="dxa"/>
        <w:tblLayout w:type="fixed"/>
        <w:tblCellMar>
          <w:top w:w="0" w:type="dxa"/>
          <w:left w:w="108" w:type="dxa"/>
          <w:bottom w:w="0" w:type="dxa"/>
          <w:right w:w="108" w:type="dxa"/>
        </w:tblCellMar>
      </w:tblPr>
      <w:tblGrid>
        <w:gridCol w:w="932"/>
        <w:gridCol w:w="640"/>
        <w:gridCol w:w="6481"/>
        <w:gridCol w:w="764"/>
        <w:gridCol w:w="613"/>
        <w:gridCol w:w="821"/>
      </w:tblGrid>
      <w:tr w14:paraId="30D79FD9">
        <w:tblPrEx>
          <w:tblCellMar>
            <w:top w:w="0" w:type="dxa"/>
            <w:left w:w="108" w:type="dxa"/>
            <w:bottom w:w="0" w:type="dxa"/>
            <w:right w:w="108" w:type="dxa"/>
          </w:tblCellMar>
        </w:tblPrEx>
        <w:trPr>
          <w:trHeight w:val="478" w:hRule="atLeast"/>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F9A82E5">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考核项目</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62EE0054">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序号</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6C500CB0">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评分要求与标准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641A7FB9">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分值</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CCA6348">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得分</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8C77603">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14:ligatures w14:val="standardContextual"/>
              </w:rPr>
              <w:t>扣分理由</w:t>
            </w:r>
          </w:p>
        </w:tc>
      </w:tr>
      <w:tr w14:paraId="08C4A022">
        <w:tblPrEx>
          <w:tblCellMar>
            <w:top w:w="0" w:type="dxa"/>
            <w:left w:w="108" w:type="dxa"/>
            <w:bottom w:w="0" w:type="dxa"/>
            <w:right w:w="108" w:type="dxa"/>
          </w:tblCellMar>
        </w:tblPrEx>
        <w:trPr>
          <w:trHeight w:val="735" w:hRule="atLeast"/>
        </w:trPr>
        <w:tc>
          <w:tcPr>
            <w:tcW w:w="866" w:type="dxa"/>
            <w:vMerge w:val="restart"/>
            <w:tcBorders>
              <w:top w:val="single" w:color="000000" w:sz="4" w:space="0"/>
              <w:left w:val="single" w:color="000000" w:sz="4" w:space="0"/>
              <w:bottom w:val="single" w:color="000000" w:sz="4" w:space="0"/>
              <w:right w:val="single" w:color="000000" w:sz="4" w:space="0"/>
            </w:tcBorders>
            <w:noWrap w:val="0"/>
            <w:vAlign w:val="center"/>
          </w:tcPr>
          <w:p w14:paraId="07EBC05E">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标准化考点运维服务</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4A01203A">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443DFD4F">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2</w:t>
            </w:r>
            <w:r>
              <w:rPr>
                <w:rFonts w:hint="eastAsia" w:ascii="仿宋" w:hAnsi="仿宋" w:eastAsia="仿宋" w:cs="仿宋"/>
                <w:color w:val="auto"/>
                <w:spacing w:val="-2"/>
                <w:sz w:val="24"/>
                <w:szCs w:val="24"/>
                <w:highlight w:val="none"/>
                <w:lang w:bidi="ar"/>
                <w14:ligatures w14:val="standardContextual"/>
              </w:rPr>
              <w:t>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各级考试中心</w:t>
            </w:r>
            <w:r>
              <w:rPr>
                <w:rFonts w:hint="eastAsia" w:ascii="仿宋" w:hAnsi="仿宋" w:eastAsia="仿宋" w:cs="仿宋"/>
                <w:color w:val="auto"/>
                <w:spacing w:val="-2"/>
                <w:sz w:val="24"/>
                <w:szCs w:val="24"/>
                <w:highlight w:val="none"/>
                <w:lang w:bidi="ar"/>
                <w14:ligatures w14:val="standardContextual"/>
              </w:rPr>
              <w:t>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每例</w:t>
            </w:r>
            <w:r>
              <w:rPr>
                <w:rFonts w:hint="eastAsia" w:ascii="仿宋" w:hAnsi="仿宋" w:eastAsia="仿宋" w:cs="仿宋"/>
                <w:color w:val="auto"/>
                <w:spacing w:val="-2"/>
                <w:sz w:val="24"/>
                <w:szCs w:val="24"/>
                <w:highlight w:val="none"/>
                <w:lang w:bidi="ar"/>
                <w14:ligatures w14:val="standardContextual"/>
              </w:rPr>
              <w:t>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分，维修超时</w:t>
            </w:r>
            <w:r>
              <w:rPr>
                <w:rFonts w:hint="eastAsia" w:ascii="仿宋" w:hAnsi="仿宋" w:eastAsia="仿宋" w:cs="仿宋"/>
                <w:color w:val="auto"/>
                <w:spacing w:val="-2"/>
                <w:sz w:val="24"/>
                <w:szCs w:val="24"/>
                <w:highlight w:val="none"/>
                <w:lang w:val="en-US" w:eastAsia="zh-CN" w:bidi="ar"/>
                <w14:ligatures w14:val="standardContextual"/>
              </w:rPr>
              <w:t>每例</w:t>
            </w:r>
            <w:r>
              <w:rPr>
                <w:rFonts w:hint="eastAsia" w:ascii="仿宋" w:hAnsi="仿宋" w:eastAsia="仿宋" w:cs="仿宋"/>
                <w:color w:val="auto"/>
                <w:spacing w:val="-2"/>
                <w:sz w:val="24"/>
                <w:szCs w:val="24"/>
                <w:highlight w:val="none"/>
                <w:lang w:bidi="ar"/>
                <w14:ligatures w14:val="standardContextual"/>
              </w:rPr>
              <w:t>扣</w:t>
            </w:r>
            <w:r>
              <w:rPr>
                <w:rFonts w:hint="eastAsia" w:ascii="仿宋" w:hAnsi="仿宋" w:eastAsia="仿宋" w:cs="仿宋"/>
                <w:color w:val="auto"/>
                <w:spacing w:val="-2"/>
                <w:sz w:val="24"/>
                <w:szCs w:val="24"/>
                <w:highlight w:val="none"/>
                <w:lang w:val="en-US" w:eastAsia="zh-CN" w:bidi="ar"/>
                <w14:ligatures w14:val="standardContextual"/>
              </w:rPr>
              <w:t>0.5</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5C862FF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20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DD5922E">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0E510ED">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2186DDC0">
        <w:tblPrEx>
          <w:tblCellMar>
            <w:top w:w="0" w:type="dxa"/>
            <w:left w:w="108" w:type="dxa"/>
            <w:bottom w:w="0" w:type="dxa"/>
            <w:right w:w="108" w:type="dxa"/>
          </w:tblCellMar>
        </w:tblPrEx>
        <w:trPr>
          <w:trHeight w:val="710"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274C4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367C7A3D">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2</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06F459A3">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2</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5203A0E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15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485B937">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C6103EA">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28BE4A24">
        <w:tblPrEx>
          <w:tblCellMar>
            <w:top w:w="0" w:type="dxa"/>
            <w:left w:w="108" w:type="dxa"/>
            <w:bottom w:w="0" w:type="dxa"/>
            <w:right w:w="108" w:type="dxa"/>
          </w:tblCellMar>
        </w:tblPrEx>
        <w:trPr>
          <w:trHeight w:val="247"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5A7D88">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2F74D1AB">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3</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105AAD1C">
            <w:pPr>
              <w:keepNext w:val="0"/>
              <w:keepLines w:val="0"/>
              <w:widowControl/>
              <w:suppressLineNumbers w:val="0"/>
              <w:spacing w:before="0" w:beforeAutospacing="0" w:after="0" w:afterAutospacing="0"/>
              <w:ind w:left="0" w:right="0" w:firstLine="0"/>
              <w:jc w:val="left"/>
              <w:rPr>
                <w:rFonts w:hint="eastAsia" w:ascii="仿宋" w:hAnsi="仿宋" w:eastAsia="仿宋" w:cs="仿宋"/>
                <w:b w:val="0"/>
                <w:bCs w:val="0"/>
                <w:color w:val="auto"/>
                <w:spacing w:val="-2"/>
                <w:sz w:val="24"/>
                <w:szCs w:val="24"/>
                <w:highlight w:val="none"/>
                <w14:ligatures w14:val="standardContextual"/>
              </w:rPr>
            </w:pPr>
            <w:r>
              <w:rPr>
                <w:rFonts w:hint="eastAsia" w:ascii="仿宋" w:hAnsi="仿宋" w:eastAsia="仿宋" w:cs="仿宋"/>
                <w:b w:val="0"/>
                <w:bCs w:val="0"/>
                <w:color w:val="auto"/>
                <w:spacing w:val="-2"/>
                <w:sz w:val="24"/>
                <w:szCs w:val="24"/>
                <w:highlight w:val="none"/>
                <w:lang w:bidi="ar"/>
                <w14:ligatures w14:val="standardContextual"/>
              </w:rPr>
              <w:t>每个考点考试期间</w:t>
            </w:r>
            <w:r>
              <w:rPr>
                <w:rFonts w:hint="eastAsia" w:ascii="仿宋" w:hAnsi="仿宋" w:eastAsia="仿宋" w:cs="仿宋"/>
                <w:color w:val="auto"/>
                <w:spacing w:val="-2"/>
                <w:sz w:val="24"/>
                <w:szCs w:val="24"/>
                <w:highlight w:val="none"/>
                <w:lang w:val="en-US" w:eastAsia="zh-CN" w:bidi="ar"/>
                <w14:ligatures w14:val="standardContextual"/>
              </w:rPr>
              <w:t>中标方需</w:t>
            </w:r>
            <w:r>
              <w:rPr>
                <w:rFonts w:hint="eastAsia" w:ascii="仿宋" w:hAnsi="仿宋" w:eastAsia="仿宋" w:cs="仿宋"/>
                <w:b w:val="0"/>
                <w:bCs w:val="0"/>
                <w:color w:val="auto"/>
                <w:spacing w:val="-2"/>
                <w:sz w:val="24"/>
                <w:szCs w:val="24"/>
                <w:highlight w:val="none"/>
                <w:lang w:bidi="ar"/>
                <w14:ligatures w14:val="standardContextual"/>
              </w:rPr>
              <w:t>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3</w:t>
            </w:r>
            <w:r>
              <w:rPr>
                <w:rFonts w:hint="eastAsia" w:ascii="仿宋" w:hAnsi="仿宋" w:eastAsia="仿宋" w:cs="仿宋"/>
                <w:b w:val="0"/>
                <w:bCs w:val="0"/>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267E3120">
            <w:pPr>
              <w:keepNext w:val="0"/>
              <w:keepLines w:val="0"/>
              <w:widowControl/>
              <w:suppressLineNumbers w:val="0"/>
              <w:spacing w:before="0" w:beforeAutospacing="0" w:after="0" w:afterAutospacing="0"/>
              <w:ind w:left="0" w:right="0" w:firstLine="0"/>
              <w:jc w:val="center"/>
              <w:rPr>
                <w:rFonts w:hint="eastAsia" w:ascii="仿宋" w:hAnsi="仿宋" w:eastAsia="仿宋" w:cs="仿宋"/>
                <w:b w:val="0"/>
                <w:bCs w:val="0"/>
                <w:color w:val="auto"/>
                <w:spacing w:val="-2"/>
                <w:sz w:val="24"/>
                <w:szCs w:val="24"/>
                <w:highlight w:val="none"/>
                <w:lang w:val="en-US" w:eastAsia="zh-CN"/>
                <w14:ligatures w14:val="standardContextual"/>
              </w:rPr>
            </w:pPr>
            <w:r>
              <w:rPr>
                <w:rFonts w:hint="eastAsia" w:ascii="仿宋" w:hAnsi="仿宋" w:eastAsia="仿宋" w:cs="仿宋"/>
                <w:b w:val="0"/>
                <w:bCs w:val="0"/>
                <w:color w:val="auto"/>
                <w:spacing w:val="-2"/>
                <w:sz w:val="24"/>
                <w:szCs w:val="24"/>
                <w:highlight w:val="none"/>
                <w:lang w:val="en-US" w:eastAsia="zh-CN"/>
                <w14:ligatures w14:val="standardContextual"/>
              </w:rPr>
              <w:t>15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1DC3CEF">
            <w:pPr>
              <w:keepNext w:val="0"/>
              <w:keepLines w:val="0"/>
              <w:widowControl/>
              <w:suppressLineNumbers w:val="0"/>
              <w:spacing w:before="0" w:beforeAutospacing="0" w:after="0" w:afterAutospacing="0"/>
              <w:ind w:left="0" w:right="0" w:firstLine="0"/>
              <w:jc w:val="center"/>
              <w:rPr>
                <w:rFonts w:hint="eastAsia" w:ascii="仿宋" w:hAnsi="仿宋" w:eastAsia="仿宋" w:cs="仿宋"/>
                <w:b w:val="0"/>
                <w:bCs w:val="0"/>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17DB6E8">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1AA614D2">
        <w:tblPrEx>
          <w:tblCellMar>
            <w:top w:w="0" w:type="dxa"/>
            <w:left w:w="108" w:type="dxa"/>
            <w:bottom w:w="0" w:type="dxa"/>
            <w:right w:w="108" w:type="dxa"/>
          </w:tblCellMar>
        </w:tblPrEx>
        <w:trPr>
          <w:trHeight w:val="1022"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55236">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0099A5D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4</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68D14B25">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w:t>
            </w:r>
            <w:r>
              <w:rPr>
                <w:rFonts w:hint="eastAsia" w:ascii="仿宋" w:hAnsi="仿宋" w:eastAsia="仿宋" w:cs="仿宋"/>
                <w:color w:val="auto"/>
                <w:spacing w:val="-2"/>
                <w:sz w:val="24"/>
                <w:szCs w:val="24"/>
                <w:highlight w:val="none"/>
                <w:lang w:val="en-US" w:eastAsia="zh-CN" w:bidi="ar"/>
                <w14:ligatures w14:val="standardContextual"/>
              </w:rPr>
              <w:t>在</w:t>
            </w:r>
            <w:r>
              <w:rPr>
                <w:rFonts w:hint="eastAsia" w:ascii="仿宋" w:hAnsi="仿宋" w:eastAsia="仿宋" w:cs="仿宋"/>
                <w:color w:val="auto"/>
                <w:spacing w:val="-2"/>
                <w:sz w:val="24"/>
                <w:szCs w:val="24"/>
                <w:highlight w:val="none"/>
                <w:lang w:bidi="ar"/>
                <w14:ligatures w14:val="standardContextual"/>
              </w:rPr>
              <w:t>下场考试前及时修复，</w:t>
            </w:r>
            <w:r>
              <w:rPr>
                <w:rFonts w:hint="eastAsia" w:ascii="仿宋" w:hAnsi="仿宋" w:eastAsia="仿宋" w:cs="仿宋"/>
                <w:color w:val="auto"/>
                <w:spacing w:val="-2"/>
                <w:sz w:val="24"/>
                <w:szCs w:val="24"/>
                <w:highlight w:val="none"/>
                <w:lang w:val="en-US" w:eastAsia="zh-CN" w:bidi="ar"/>
                <w14:ligatures w14:val="standardContextual"/>
              </w:rPr>
              <w:t>不扣分</w:t>
            </w:r>
            <w:r>
              <w:rPr>
                <w:rFonts w:hint="eastAsia" w:ascii="仿宋" w:hAnsi="仿宋" w:eastAsia="仿宋" w:cs="仿宋"/>
                <w:color w:val="auto"/>
                <w:spacing w:val="-2"/>
                <w:sz w:val="24"/>
                <w:szCs w:val="24"/>
                <w:highlight w:val="none"/>
                <w:lang w:bidi="ar"/>
                <w14:ligatures w14:val="standardContextual"/>
              </w:rPr>
              <w:t>；故障处理不及时影响下一场考试，每起扣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5</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35454AD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20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3936650">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DF3F7A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5BD946EB">
        <w:tblPrEx>
          <w:tblCellMar>
            <w:top w:w="0" w:type="dxa"/>
            <w:left w:w="108" w:type="dxa"/>
            <w:bottom w:w="0" w:type="dxa"/>
            <w:right w:w="108" w:type="dxa"/>
          </w:tblCellMar>
        </w:tblPrEx>
        <w:trPr>
          <w:trHeight w:val="697"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6FA51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16A1E1D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5</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4A0CEB09">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中标方协助各考点</w:t>
            </w:r>
            <w:r>
              <w:rPr>
                <w:rFonts w:hint="eastAsia" w:ascii="仿宋" w:hAnsi="仿宋" w:eastAsia="仿宋" w:cs="仿宋"/>
                <w:color w:val="auto"/>
                <w:spacing w:val="-2"/>
                <w:sz w:val="24"/>
                <w:szCs w:val="24"/>
                <w:highlight w:val="none"/>
                <w:lang w:bidi="ar"/>
                <w14:ligatures w14:val="standardContextual"/>
              </w:rPr>
              <w:t>按规定格式</w:t>
            </w:r>
            <w:r>
              <w:rPr>
                <w:rFonts w:hint="eastAsia" w:ascii="仿宋" w:hAnsi="仿宋" w:eastAsia="仿宋" w:cs="仿宋"/>
                <w:color w:val="auto"/>
                <w:spacing w:val="-2"/>
                <w:sz w:val="24"/>
                <w:szCs w:val="24"/>
                <w:highlight w:val="none"/>
                <w:lang w:val="en-US" w:eastAsia="zh-CN" w:bidi="ar"/>
                <w14:ligatures w14:val="standardContextual"/>
              </w:rPr>
              <w:t>备份，抽查录像</w:t>
            </w:r>
            <w:r>
              <w:rPr>
                <w:rFonts w:hint="eastAsia" w:ascii="仿宋" w:hAnsi="仿宋" w:eastAsia="仿宋" w:cs="仿宋"/>
                <w:color w:val="auto"/>
                <w:spacing w:val="-2"/>
                <w:sz w:val="24"/>
                <w:szCs w:val="24"/>
                <w:highlight w:val="none"/>
                <w:lang w:bidi="ar"/>
                <w14:ligatures w14:val="standardContextual"/>
              </w:rPr>
              <w:t>及时上传至</w:t>
            </w:r>
            <w:r>
              <w:rPr>
                <w:rFonts w:hint="eastAsia" w:ascii="仿宋" w:hAnsi="仿宋" w:eastAsia="仿宋" w:cs="仿宋"/>
                <w:color w:val="auto"/>
                <w:spacing w:val="-2"/>
                <w:sz w:val="24"/>
                <w:szCs w:val="24"/>
                <w:highlight w:val="none"/>
                <w:lang w:val="en-US" w:eastAsia="zh-CN" w:bidi="ar"/>
                <w14:ligatures w14:val="standardContextual"/>
              </w:rPr>
              <w:t>市教育考试中心</w:t>
            </w:r>
            <w:r>
              <w:rPr>
                <w:rFonts w:hint="eastAsia" w:ascii="仿宋" w:hAnsi="仿宋" w:eastAsia="仿宋" w:cs="仿宋"/>
                <w:color w:val="auto"/>
                <w:spacing w:val="-2"/>
                <w:sz w:val="24"/>
                <w:szCs w:val="24"/>
                <w:highlight w:val="none"/>
                <w:lang w:bidi="ar"/>
                <w14:ligatures w14:val="standardContextual"/>
              </w:rPr>
              <w:t>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分。无法提供省</w:t>
            </w:r>
            <w:r>
              <w:rPr>
                <w:rFonts w:hint="eastAsia" w:ascii="仿宋" w:hAnsi="仿宋" w:eastAsia="仿宋" w:cs="仿宋"/>
                <w:color w:val="auto"/>
                <w:spacing w:val="-2"/>
                <w:sz w:val="24"/>
                <w:szCs w:val="24"/>
                <w:highlight w:val="none"/>
                <w:lang w:eastAsia="zh-CN" w:bidi="ar"/>
                <w14:ligatures w14:val="standardContextual"/>
              </w:rPr>
              <w:t>、</w:t>
            </w:r>
            <w:r>
              <w:rPr>
                <w:rFonts w:hint="eastAsia" w:ascii="仿宋" w:hAnsi="仿宋" w:eastAsia="仿宋" w:cs="仿宋"/>
                <w:color w:val="auto"/>
                <w:spacing w:val="-2"/>
                <w:sz w:val="24"/>
                <w:szCs w:val="24"/>
                <w:highlight w:val="none"/>
                <w:lang w:val="en-US" w:eastAsia="zh-CN" w:bidi="ar"/>
                <w14:ligatures w14:val="standardContextual"/>
              </w:rPr>
              <w:t>市</w:t>
            </w:r>
            <w:r>
              <w:rPr>
                <w:rFonts w:hint="eastAsia" w:ascii="仿宋" w:hAnsi="仿宋" w:eastAsia="仿宋" w:cs="仿宋"/>
                <w:color w:val="auto"/>
                <w:spacing w:val="-2"/>
                <w:sz w:val="24"/>
                <w:szCs w:val="24"/>
                <w:highlight w:val="none"/>
                <w:lang w:bidi="ar"/>
                <w14:ligatures w14:val="standardContextual"/>
              </w:rPr>
              <w:t>抽查录像，扣</w:t>
            </w:r>
            <w:r>
              <w:rPr>
                <w:rFonts w:hint="eastAsia" w:ascii="仿宋" w:hAnsi="仿宋" w:eastAsia="仿宋" w:cs="仿宋"/>
                <w:color w:val="auto"/>
                <w:spacing w:val="-2"/>
                <w:sz w:val="24"/>
                <w:szCs w:val="24"/>
                <w:highlight w:val="none"/>
                <w:lang w:val="en-US" w:eastAsia="zh-CN" w:bidi="ar"/>
                <w14:ligatures w14:val="standardContextual"/>
              </w:rPr>
              <w:t>3</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4E15387E">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eastAsia="zh-CN"/>
                <w14:ligatures w14:val="standardContextual"/>
              </w:rPr>
            </w:pPr>
            <w:r>
              <w:rPr>
                <w:rFonts w:hint="eastAsia" w:ascii="仿宋" w:hAnsi="仿宋" w:eastAsia="仿宋" w:cs="仿宋"/>
                <w:color w:val="auto"/>
                <w:spacing w:val="-2"/>
                <w:sz w:val="24"/>
                <w:szCs w:val="24"/>
                <w:highlight w:val="none"/>
                <w:lang w:bidi="ar"/>
                <w14:ligatures w14:val="standardContextual"/>
              </w:rPr>
              <w:t>1</w:t>
            </w:r>
            <w:r>
              <w:rPr>
                <w:rFonts w:hint="eastAsia" w:ascii="仿宋" w:hAnsi="仿宋" w:eastAsia="仿宋" w:cs="仿宋"/>
                <w:color w:val="auto"/>
                <w:spacing w:val="-2"/>
                <w:sz w:val="24"/>
                <w:szCs w:val="24"/>
                <w:highlight w:val="none"/>
                <w:lang w:val="en-US" w:eastAsia="zh-CN" w:bidi="ar"/>
                <w14:ligatures w14:val="standardContextual"/>
              </w:rPr>
              <w:t>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A92CD33">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39A433B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2355EE65">
        <w:tblPrEx>
          <w:tblCellMar>
            <w:top w:w="0" w:type="dxa"/>
            <w:left w:w="108" w:type="dxa"/>
            <w:bottom w:w="0" w:type="dxa"/>
            <w:right w:w="108" w:type="dxa"/>
          </w:tblCellMar>
        </w:tblPrEx>
        <w:trPr>
          <w:trHeight w:val="448"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B3E4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472F7FA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6</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3C884E81">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若启用考场智能巡查，</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丢失</w:t>
            </w:r>
            <w:r>
              <w:rPr>
                <w:rFonts w:hint="eastAsia" w:ascii="仿宋" w:hAnsi="仿宋" w:eastAsia="仿宋" w:cs="仿宋"/>
                <w:color w:val="auto"/>
                <w:spacing w:val="-2"/>
                <w:sz w:val="24"/>
                <w:szCs w:val="24"/>
                <w:highlight w:val="none"/>
                <w:lang w:bidi="ar"/>
                <w14:ligatures w14:val="standardContextual"/>
              </w:rPr>
              <w:t>，每例扣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分，无法提供违纪视频扣</w:t>
            </w:r>
            <w:r>
              <w:rPr>
                <w:rFonts w:hint="eastAsia" w:ascii="仿宋" w:hAnsi="仿宋" w:eastAsia="仿宋" w:cs="仿宋"/>
                <w:color w:val="auto"/>
                <w:spacing w:val="-2"/>
                <w:sz w:val="24"/>
                <w:szCs w:val="24"/>
                <w:highlight w:val="none"/>
                <w:lang w:val="en-US" w:eastAsia="zh-CN" w:bidi="ar"/>
                <w14:ligatures w14:val="standardContextual"/>
              </w:rPr>
              <w:t>5</w:t>
            </w:r>
            <w:r>
              <w:rPr>
                <w:rFonts w:hint="eastAsia" w:ascii="仿宋" w:hAnsi="仿宋" w:eastAsia="仿宋" w:cs="仿宋"/>
                <w:color w:val="auto"/>
                <w:spacing w:val="-2"/>
                <w:sz w:val="24"/>
                <w:szCs w:val="24"/>
                <w:highlight w:val="none"/>
                <w:lang w:bidi="ar"/>
                <w14:ligatures w14:val="standardContextual"/>
              </w:rPr>
              <w:t>分；未启用则不扣分。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3B88C759">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6205F19">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21E356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5F0489AD">
        <w:tblPrEx>
          <w:tblCellMar>
            <w:top w:w="0" w:type="dxa"/>
            <w:left w:w="108" w:type="dxa"/>
            <w:bottom w:w="0" w:type="dxa"/>
            <w:right w:w="108" w:type="dxa"/>
          </w:tblCellMar>
        </w:tblPrEx>
        <w:trPr>
          <w:trHeight w:val="920"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83EC62">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6528987F">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7</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337B3B95">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根据考点需求，</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0083E86B">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68C231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F07AE53">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5A5C22F3">
        <w:tblPrEx>
          <w:tblCellMar>
            <w:top w:w="0" w:type="dxa"/>
            <w:left w:w="108" w:type="dxa"/>
            <w:bottom w:w="0" w:type="dxa"/>
            <w:right w:w="108" w:type="dxa"/>
          </w:tblCellMar>
        </w:tblPrEx>
        <w:trPr>
          <w:trHeight w:val="440" w:hRule="atLeast"/>
        </w:trPr>
        <w:tc>
          <w:tcPr>
            <w:tcW w:w="7485" w:type="dxa"/>
            <w:gridSpan w:val="3"/>
            <w:tcBorders>
              <w:top w:val="single" w:color="000000" w:sz="4" w:space="0"/>
              <w:left w:val="single" w:color="000000" w:sz="4" w:space="0"/>
              <w:bottom w:val="single" w:color="000000" w:sz="4" w:space="0"/>
              <w:right w:val="single" w:color="000000" w:sz="4" w:space="0"/>
            </w:tcBorders>
            <w:noWrap/>
            <w:vAlign w:val="center"/>
          </w:tcPr>
          <w:p w14:paraId="2E60D256">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总分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5ABBB080">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100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6642E29">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723AD82">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bl>
    <w:p w14:paraId="3F1AD6C2">
      <w:pPr>
        <w:keepNext w:val="0"/>
        <w:keepLines w:val="0"/>
        <w:pageBreakBefore w:val="0"/>
        <w:widowControl/>
        <w:spacing w:line="480" w:lineRule="exact"/>
        <w:ind w:firstLine="0"/>
        <w:jc w:val="left"/>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考核说明：</w:t>
      </w:r>
    </w:p>
    <w:p w14:paraId="40E00A9E">
      <w:pPr>
        <w:keepNext w:val="0"/>
        <w:keepLines w:val="0"/>
        <w:pageBreakBefore w:val="0"/>
        <w:widowControl/>
        <w:spacing w:line="480" w:lineRule="exact"/>
        <w:ind w:firstLine="472"/>
        <w:jc w:val="left"/>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1.考核表评分应基于事实证据，扣分点需明确记录具体事由，每一小项分数扣完为止。</w:t>
      </w:r>
    </w:p>
    <w:p w14:paraId="5F8ECDEB">
      <w:pPr>
        <w:keepNext w:val="0"/>
        <w:keepLines w:val="0"/>
        <w:pageBreakBefore w:val="0"/>
        <w:widowControl/>
        <w:spacing w:line="480" w:lineRule="exact"/>
        <w:ind w:firstLine="472"/>
        <w:jc w:val="left"/>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0分，并依法依规追究相关人员责任。</w:t>
      </w:r>
    </w:p>
    <w:p w14:paraId="6C6AE0EA">
      <w:pPr>
        <w:rPr>
          <w:rFonts w:hint="eastAsia" w:ascii="仿宋" w:hAnsi="仿宋" w:eastAsia="仿宋" w:cs="仿宋"/>
          <w:bCs/>
          <w:color w:val="auto"/>
          <w:sz w:val="44"/>
          <w:szCs w:val="21"/>
        </w:rPr>
      </w:pPr>
      <w:r>
        <w:rPr>
          <w:rFonts w:hint="eastAsia" w:ascii="仿宋" w:hAnsi="仿宋" w:eastAsia="仿宋" w:cs="仿宋"/>
          <w:bCs/>
          <w:color w:val="auto"/>
          <w:sz w:val="44"/>
          <w:szCs w:val="21"/>
        </w:rPr>
        <w:br w:type="page" w:clear="all"/>
      </w:r>
    </w:p>
    <w:p w14:paraId="7EA6DB9C">
      <w:pPr>
        <w:spacing w:before="120" w:after="120" w:line="0" w:lineRule="atLeast"/>
        <w:jc w:val="center"/>
        <w:outlineLvl w:val="0"/>
        <w:rPr>
          <w:rFonts w:hint="eastAsia" w:ascii="仿宋" w:hAnsi="仿宋" w:eastAsia="仿宋" w:cs="仿宋"/>
          <w:color w:val="auto"/>
          <w:sz w:val="24"/>
        </w:rPr>
      </w:pPr>
      <w:r>
        <w:rPr>
          <w:rFonts w:hint="eastAsia" w:ascii="仿宋" w:hAnsi="仿宋" w:eastAsia="仿宋" w:cs="仿宋"/>
          <w:bCs/>
          <w:color w:val="auto"/>
          <w:sz w:val="44"/>
          <w:szCs w:val="28"/>
        </w:rPr>
        <w:t>第</w:t>
      </w:r>
      <w:bookmarkEnd w:id="109"/>
      <w:r>
        <w:rPr>
          <w:rFonts w:hint="eastAsia" w:ascii="仿宋" w:hAnsi="仿宋" w:eastAsia="仿宋" w:cs="仿宋"/>
          <w:bCs/>
          <w:color w:val="auto"/>
          <w:sz w:val="44"/>
          <w:szCs w:val="28"/>
        </w:rPr>
        <w:t>四章采购需求</w:t>
      </w:r>
      <w:bookmarkEnd w:id="110"/>
      <w:bookmarkEnd w:id="111"/>
      <w:bookmarkEnd w:id="112"/>
    </w:p>
    <w:p w14:paraId="28EBE3A5">
      <w:pPr>
        <w:spacing w:before="120" w:after="120" w:line="0" w:lineRule="atLeast"/>
        <w:rPr>
          <w:rFonts w:hint="eastAsia" w:ascii="仿宋" w:hAnsi="仿宋" w:eastAsia="仿宋" w:cs="仿宋"/>
          <w:color w:val="auto"/>
          <w:sz w:val="24"/>
        </w:rPr>
      </w:pPr>
      <w:bookmarkStart w:id="115" w:name="_Toc49090575"/>
      <w:bookmarkStart w:id="116" w:name="_Toc26554093"/>
      <w:r>
        <w:rPr>
          <w:rFonts w:hint="eastAsia" w:ascii="仿宋" w:hAnsi="仿宋" w:eastAsia="仿宋" w:cs="仿宋"/>
          <w:color w:val="auto"/>
          <w:sz w:val="24"/>
        </w:rPr>
        <w:t>项目属性：服务类项目</w:t>
      </w:r>
    </w:p>
    <w:p w14:paraId="5FE85FC0">
      <w:pPr>
        <w:spacing w:before="120" w:after="120" w:line="0" w:lineRule="atLeast"/>
        <w:rPr>
          <w:rFonts w:hint="eastAsia" w:ascii="仿宋" w:hAnsi="仿宋" w:eastAsia="仿宋" w:cs="仿宋"/>
          <w:color w:val="auto"/>
          <w:sz w:val="24"/>
          <w:u w:val="single"/>
        </w:rPr>
      </w:pPr>
      <w:r>
        <w:rPr>
          <w:rFonts w:hint="eastAsia" w:ascii="仿宋" w:hAnsi="仿宋" w:eastAsia="仿宋" w:cs="仿宋"/>
          <w:color w:val="auto"/>
          <w:sz w:val="24"/>
        </w:rPr>
        <w:t>本项目采购标的对应的中小企业划分标准所属行业：</w:t>
      </w:r>
      <w:r>
        <w:rPr>
          <w:rFonts w:hint="eastAsia" w:ascii="仿宋" w:hAnsi="仿宋" w:eastAsia="仿宋" w:cs="仿宋"/>
          <w:color w:val="auto"/>
          <w:sz w:val="24"/>
          <w:u w:val="single"/>
        </w:rPr>
        <w:t>软件和信息技术服务业</w:t>
      </w:r>
    </w:p>
    <w:p w14:paraId="48FA8B1B">
      <w:pPr>
        <w:pStyle w:val="3"/>
        <w:keepNext w:val="0"/>
        <w:keepLines w:val="0"/>
        <w:pageBreakBefore w:val="0"/>
        <w:numPr>
          <w:ilvl w:val="1"/>
          <w:numId w:val="2"/>
        </w:numPr>
        <w:spacing w:before="0" w:beforeAutospacing="0" w:after="0" w:afterAutospacing="0" w:line="480" w:lineRule="exact"/>
        <w:ind w:left="0" w:firstLine="0"/>
        <w:jc w:val="both"/>
        <w:rPr>
          <w:rFonts w:hint="eastAsia" w:ascii="仿宋" w:hAnsi="仿宋" w:eastAsia="仿宋" w:cs="仿宋"/>
          <w:b w:val="0"/>
          <w:bCs w:val="0"/>
          <w:color w:val="auto"/>
          <w:sz w:val="32"/>
          <w:szCs w:val="32"/>
          <w:highlight w:val="none"/>
          <w:lang w:val="en-US" w:eastAsia="zh-CN"/>
        </w:rPr>
      </w:pPr>
      <w:bookmarkStart w:id="117" w:name="_Toc5396"/>
      <w:bookmarkStart w:id="118" w:name="_Toc12852"/>
      <w:bookmarkStart w:id="119" w:name="_Toc432413948"/>
      <w:bookmarkStart w:id="120" w:name="_Toc120614281"/>
      <w:r>
        <w:rPr>
          <w:rFonts w:hint="eastAsia" w:ascii="仿宋" w:hAnsi="仿宋" w:eastAsia="仿宋" w:cs="仿宋"/>
          <w:b w:val="0"/>
          <w:bCs w:val="0"/>
          <w:color w:val="auto"/>
          <w:sz w:val="32"/>
          <w:szCs w:val="32"/>
          <w:highlight w:val="none"/>
          <w:lang w:val="en-US" w:eastAsia="zh-CN"/>
        </w:rPr>
        <w:t>采购标的</w:t>
      </w:r>
      <w:bookmarkEnd w:id="117"/>
      <w:bookmarkEnd w:id="118"/>
    </w:p>
    <w:p w14:paraId="1B76FFCA">
      <w:pPr>
        <w:pStyle w:val="4"/>
        <w:keepNext w:val="0"/>
        <w:keepLines w:val="0"/>
        <w:pageBreakBefore w:val="0"/>
        <w:widowControl w:val="0"/>
        <w:numPr>
          <w:ilvl w:val="0"/>
          <w:numId w:val="0"/>
        </w:numPr>
        <w:spacing w:before="0" w:beforeAutospacing="0" w:after="0" w:afterAutospacing="0" w:line="480" w:lineRule="exact"/>
        <w:ind w:firstLine="560"/>
        <w:outlineLvl w:val="2"/>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1.采购标的：</w:t>
      </w:r>
    </w:p>
    <w:p w14:paraId="5B1A2F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市教育局全市集成专网标准化考点维保项目</w:t>
      </w:r>
    </w:p>
    <w:p w14:paraId="301B83FE">
      <w:pPr>
        <w:pStyle w:val="4"/>
        <w:keepNext w:val="0"/>
        <w:keepLines w:val="0"/>
        <w:pageBreakBefore w:val="0"/>
        <w:widowControl w:val="0"/>
        <w:numPr>
          <w:ilvl w:val="0"/>
          <w:numId w:val="0"/>
        </w:numPr>
        <w:spacing w:before="0" w:beforeAutospacing="0" w:after="0" w:afterAutospacing="0" w:line="480" w:lineRule="exact"/>
        <w:ind w:firstLine="560"/>
        <w:outlineLvl w:val="2"/>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2.项目概况：</w:t>
      </w:r>
    </w:p>
    <w:p w14:paraId="0356A023">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60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依据</w:t>
      </w:r>
      <w:r>
        <w:rPr>
          <w:rFonts w:hint="eastAsia" w:ascii="仿宋" w:hAnsi="仿宋" w:eastAsia="仿宋" w:cs="仿宋"/>
          <w:b w:val="0"/>
          <w:bCs w:val="0"/>
          <w:color w:val="auto"/>
          <w:sz w:val="24"/>
          <w:szCs w:val="24"/>
          <w:highlight w:val="none"/>
          <w:lang w:val="en-US" w:eastAsia="zh-CN"/>
        </w:rPr>
        <w:t>《省教育厅关于进一步加强国家教育考试标准化考点建设工作的通知》（苏教考函〔2025〕2号）</w:t>
      </w:r>
      <w:r>
        <w:rPr>
          <w:rFonts w:hint="eastAsia" w:ascii="仿宋" w:hAnsi="仿宋" w:eastAsia="仿宋" w:cs="仿宋"/>
          <w:color w:val="auto"/>
          <w:sz w:val="24"/>
          <w:szCs w:val="24"/>
          <w:highlight w:val="none"/>
          <w:lang w:val="en-US" w:eastAsia="zh-CN" w:bidi="ar"/>
        </w:rPr>
        <w:t>相关要求，针对即将到期的2018年建设的宿迁市标准化考点集成专网服务项目，启动2026-2027年度运维服务保障工作。本次运维覆盖全市及区县共6个考试指挥中心、64所标准化考点学校，服务周期为1年。</w:t>
      </w:r>
    </w:p>
    <w:p w14:paraId="6338E64D">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在维保服务期限内，如遇国家教育部、省教育厅针对标准化考场服务内容出台政策管理规范，中标人应主动研判并免费实施相应优化、调整、整改工作，保障项目持续符合最新合规要求，上述服务已综合包含在维保报价内，采购人不另行付费。因硬件本体换代、大规模新增硬件设备产生的采购成本另行协商，适配调试、软件配置、流程整改等实施工作由中标人免费承担。</w:t>
      </w:r>
    </w:p>
    <w:p w14:paraId="7BDDBA28">
      <w:pPr>
        <w:pStyle w:val="4"/>
        <w:keepNext w:val="0"/>
        <w:keepLines w:val="0"/>
        <w:pageBreakBefore w:val="0"/>
        <w:numPr>
          <w:ilvl w:val="0"/>
          <w:numId w:val="0"/>
        </w:numPr>
        <w:spacing w:before="0" w:beforeAutospacing="0" w:after="0" w:afterAutospacing="0" w:line="480" w:lineRule="exact"/>
        <w:ind w:firstLine="560"/>
        <w:outlineLvl w:val="2"/>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3.项目服务内容清单</w:t>
      </w:r>
    </w:p>
    <w:tbl>
      <w:tblPr>
        <w:tblStyle w:val="3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7"/>
        <w:gridCol w:w="1042"/>
        <w:gridCol w:w="3621"/>
        <w:gridCol w:w="1042"/>
        <w:gridCol w:w="1042"/>
        <w:gridCol w:w="1941"/>
      </w:tblGrid>
      <w:tr w14:paraId="47D3A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0516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序号</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0EAC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类别</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5E6D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服务描述</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7956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单位</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40C3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数量</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664C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备注</w:t>
            </w:r>
          </w:p>
        </w:tc>
      </w:tr>
      <w:tr w14:paraId="16C3C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D759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62F01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CE4E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高考、中考、研考考试保障服务，包含但不限于考前巡检、故障处理、考试驻场保障、突发故障处理等</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654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场次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FDAC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4834</w:t>
            </w:r>
          </w:p>
        </w:tc>
        <w:tc>
          <w:tcPr>
            <w:tcW w:w="1058"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59A7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按照每次考试使用考场数量进行保障服务报价，1考场1次考试记为1场次。</w:t>
            </w:r>
          </w:p>
        </w:tc>
      </w:tr>
      <w:tr w14:paraId="60986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6513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E536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CA46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除高考、中考、研考外的其他考试保障服务，包含但不限于考前巡检、故障处理、考试驻场保障、突发故障处理等</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648E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场次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F66B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5802</w:t>
            </w:r>
          </w:p>
        </w:tc>
        <w:tc>
          <w:tcPr>
            <w:tcW w:w="1058"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5BF3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6E2A2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7820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3</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30D4F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D205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以市直、区县为单位组织巡检，每季度巡检一次，包含故障处理、设备保养、设备维修及高考考点考务通道监控全覆盖补盲服务等服务。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10A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4E11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058"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7D8B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按市直、区县为单位分别记为一项服务。</w:t>
            </w:r>
          </w:p>
        </w:tc>
      </w:tr>
      <w:tr w14:paraId="080A7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48C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B8C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ADE155">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包含保密室升级改造、指挥中心设备维保、车载双定位、各类考试保障等服务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DB37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5434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058"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16F8D">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0F7A0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2DC2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5</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F76A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组网线路服务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6944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64个考点组网专线；10条市-区县组网专线（每个点位主备共2条）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AC82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B724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74</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639FF">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04ABB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AD1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51FE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E8289">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高考、中考、研考智能巡查巡检服务（含专项组网网络服务），高考、研考考场全覆盖，中考考场覆盖数量同高考考场数量（约占中考数量40%）。</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BFE55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场次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BEF7A">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2955</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0032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按照每次考试使用考场数量进行保障服务报价，1考场1次考试记为1场次。</w:t>
            </w:r>
          </w:p>
        </w:tc>
      </w:tr>
      <w:tr w14:paraId="28291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637D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7</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4649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市教育考试指挥中心可视化显示系统升级改造服务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83BA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市教育考试指挥中心</w:t>
            </w:r>
            <w:r>
              <w:rPr>
                <w:rFonts w:hint="eastAsia" w:ascii="仿宋" w:hAnsi="仿宋" w:eastAsia="仿宋" w:cs="仿宋"/>
                <w:color w:val="auto"/>
                <w:sz w:val="24"/>
                <w:szCs w:val="24"/>
                <w:highlight w:val="none"/>
                <w:u w:val="none"/>
                <w:lang w:bidi="ar"/>
              </w:rPr>
              <w:t>可视化显示系统升级改造服务</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7356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A4BA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E962">
            <w:pPr>
              <w:keepNext w:val="0"/>
              <w:keepLines w:val="0"/>
              <w:suppressLineNumbers w:val="0"/>
              <w:spacing w:before="0" w:beforeAutospacing="0" w:after="0" w:afterAutospacing="0"/>
              <w:ind w:left="0" w:right="0"/>
              <w:rPr>
                <w:rFonts w:hint="eastAsia" w:ascii="仿宋" w:hAnsi="仿宋" w:eastAsia="仿宋" w:cs="仿宋"/>
                <w:i w:val="0"/>
                <w:iCs w:val="0"/>
                <w:color w:val="auto"/>
                <w:sz w:val="24"/>
                <w:szCs w:val="24"/>
                <w:highlight w:val="none"/>
                <w:u w:val="none"/>
              </w:rPr>
            </w:pPr>
          </w:p>
        </w:tc>
      </w:tr>
      <w:tr w14:paraId="13132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2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3ECE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8</w:t>
            </w:r>
          </w:p>
        </w:tc>
        <w:tc>
          <w:tcPr>
            <w:tcW w:w="5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85B3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宿城区黄海路初中监控室可视化系统建设服务</w:t>
            </w:r>
          </w:p>
        </w:tc>
        <w:tc>
          <w:tcPr>
            <w:tcW w:w="19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E8441">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bidi="ar"/>
              </w:rPr>
              <w:t>宿城区黄海路初中监控室可视化系统建设服务</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DDE3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项</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08DC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4EBB">
            <w:pPr>
              <w:keepNext w:val="0"/>
              <w:keepLines w:val="0"/>
              <w:suppressLineNumbers w:val="0"/>
              <w:spacing w:before="0" w:beforeAutospacing="0" w:after="0" w:afterAutospacing="0"/>
              <w:ind w:left="0" w:right="0"/>
              <w:rPr>
                <w:rFonts w:hint="eastAsia" w:ascii="仿宋" w:hAnsi="仿宋" w:eastAsia="仿宋" w:cs="仿宋"/>
                <w:i w:val="0"/>
                <w:iCs w:val="0"/>
                <w:color w:val="auto"/>
                <w:sz w:val="24"/>
                <w:szCs w:val="24"/>
                <w:highlight w:val="none"/>
                <w:u w:val="none"/>
              </w:rPr>
            </w:pPr>
          </w:p>
        </w:tc>
      </w:tr>
    </w:tbl>
    <w:p w14:paraId="0D0D48BF">
      <w:pPr>
        <w:keepNext w:val="0"/>
        <w:keepLines w:val="0"/>
        <w:pageBreakBefore w:val="0"/>
        <w:widowControl w:val="0"/>
        <w:spacing w:line="6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附：本次项目服务内容清单对应市直及各区县的数量如下：</w:t>
      </w:r>
    </w:p>
    <w:tbl>
      <w:tblPr>
        <w:tblStyle w:val="31"/>
        <w:tblW w:w="90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3176"/>
        <w:gridCol w:w="911"/>
        <w:gridCol w:w="716"/>
        <w:gridCol w:w="716"/>
        <w:gridCol w:w="717"/>
        <w:gridCol w:w="717"/>
        <w:gridCol w:w="717"/>
        <w:gridCol w:w="718"/>
      </w:tblGrid>
      <w:tr w14:paraId="61E67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65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2BE5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序号</w:t>
            </w:r>
          </w:p>
        </w:tc>
        <w:tc>
          <w:tcPr>
            <w:tcW w:w="31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9806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类别</w:t>
            </w:r>
          </w:p>
        </w:tc>
        <w:tc>
          <w:tcPr>
            <w:tcW w:w="91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C19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单位</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A355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数量</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6EE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沭阳</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数量</w:t>
            </w:r>
          </w:p>
        </w:tc>
        <w:tc>
          <w:tcPr>
            <w:tcW w:w="71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738F2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泗阳</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数量</w:t>
            </w:r>
          </w:p>
        </w:tc>
        <w:tc>
          <w:tcPr>
            <w:tcW w:w="71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D6CE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泗洪</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数量</w:t>
            </w:r>
          </w:p>
        </w:tc>
        <w:tc>
          <w:tcPr>
            <w:tcW w:w="71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09C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宿城</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数量</w:t>
            </w:r>
          </w:p>
        </w:tc>
        <w:tc>
          <w:tcPr>
            <w:tcW w:w="71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36DE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宿豫</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数量</w:t>
            </w:r>
          </w:p>
        </w:tc>
      </w:tr>
      <w:tr w14:paraId="2BF8A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7F9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6BD9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2A60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场次</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CEC1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bidi="ar"/>
              </w:rPr>
            </w:pPr>
            <w:r>
              <w:rPr>
                <w:rFonts w:hint="eastAsia" w:ascii="仿宋" w:hAnsi="仿宋" w:eastAsia="仿宋" w:cs="仿宋"/>
                <w:i w:val="0"/>
                <w:iCs w:val="0"/>
                <w:color w:val="auto"/>
                <w:sz w:val="24"/>
                <w:szCs w:val="24"/>
                <w:highlight w:val="none"/>
                <w:u w:val="none"/>
                <w:lang w:val="en-US" w:eastAsia="zh-CN" w:bidi="ar"/>
              </w:rPr>
              <w:t>846</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461F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bidi="ar"/>
              </w:rPr>
            </w:pPr>
            <w:r>
              <w:rPr>
                <w:rFonts w:hint="eastAsia" w:ascii="仿宋" w:hAnsi="仿宋" w:eastAsia="仿宋" w:cs="仿宋"/>
                <w:i w:val="0"/>
                <w:iCs w:val="0"/>
                <w:color w:val="auto"/>
                <w:sz w:val="24"/>
                <w:szCs w:val="24"/>
                <w:highlight w:val="none"/>
                <w:u w:val="none"/>
                <w:lang w:val="en-US" w:eastAsia="zh-CN" w:bidi="ar"/>
              </w:rPr>
              <w:t>1476</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01D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bidi="ar"/>
              </w:rPr>
            </w:pPr>
            <w:r>
              <w:rPr>
                <w:rFonts w:hint="eastAsia" w:ascii="仿宋" w:hAnsi="仿宋" w:eastAsia="仿宋" w:cs="仿宋"/>
                <w:i w:val="0"/>
                <w:iCs w:val="0"/>
                <w:color w:val="auto"/>
                <w:sz w:val="24"/>
                <w:szCs w:val="24"/>
                <w:highlight w:val="none"/>
                <w:u w:val="none"/>
                <w:lang w:val="en-US" w:eastAsia="zh-CN" w:bidi="ar"/>
              </w:rPr>
              <w:t>950</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DC9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bidi="ar"/>
              </w:rPr>
            </w:pPr>
            <w:r>
              <w:rPr>
                <w:rFonts w:hint="eastAsia" w:ascii="仿宋" w:hAnsi="仿宋" w:eastAsia="仿宋" w:cs="仿宋"/>
                <w:i w:val="0"/>
                <w:iCs w:val="0"/>
                <w:color w:val="auto"/>
                <w:sz w:val="24"/>
                <w:szCs w:val="24"/>
                <w:highlight w:val="none"/>
                <w:u w:val="none"/>
                <w:lang w:val="en-US" w:eastAsia="zh-CN" w:bidi="ar"/>
              </w:rPr>
              <w:t>962</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5DE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bidi="ar"/>
              </w:rPr>
            </w:pPr>
            <w:r>
              <w:rPr>
                <w:rFonts w:hint="eastAsia" w:ascii="仿宋" w:hAnsi="仿宋" w:eastAsia="仿宋" w:cs="仿宋"/>
                <w:i w:val="0"/>
                <w:iCs w:val="0"/>
                <w:color w:val="auto"/>
                <w:sz w:val="24"/>
                <w:szCs w:val="24"/>
                <w:highlight w:val="none"/>
                <w:u w:val="none"/>
                <w:lang w:val="en-US" w:eastAsia="zh-CN" w:bidi="ar"/>
              </w:rPr>
              <w:t>345</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842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bidi="ar"/>
              </w:rPr>
            </w:pPr>
            <w:r>
              <w:rPr>
                <w:rFonts w:hint="eastAsia" w:ascii="仿宋" w:hAnsi="仿宋" w:eastAsia="仿宋" w:cs="仿宋"/>
                <w:i w:val="0"/>
                <w:iCs w:val="0"/>
                <w:color w:val="auto"/>
                <w:sz w:val="24"/>
                <w:szCs w:val="24"/>
                <w:highlight w:val="none"/>
                <w:u w:val="none"/>
                <w:lang w:val="en-US" w:eastAsia="zh-CN" w:bidi="ar"/>
              </w:rPr>
              <w:t>255</w:t>
            </w:r>
          </w:p>
        </w:tc>
      </w:tr>
      <w:tr w14:paraId="020EE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0DA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1F2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6800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场次</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78C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bidi="ar"/>
              </w:rPr>
            </w:pPr>
            <w:r>
              <w:rPr>
                <w:rFonts w:hint="eastAsia" w:ascii="仿宋" w:hAnsi="仿宋" w:eastAsia="仿宋" w:cs="仿宋"/>
                <w:i w:val="0"/>
                <w:iCs w:val="0"/>
                <w:color w:val="auto"/>
                <w:sz w:val="24"/>
                <w:szCs w:val="24"/>
                <w:highlight w:val="none"/>
                <w:u w:val="none"/>
                <w:lang w:val="en-US" w:eastAsia="zh-CN" w:bidi="ar"/>
              </w:rPr>
              <w:t>2300</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60FE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bidi="ar"/>
              </w:rPr>
            </w:pPr>
            <w:r>
              <w:rPr>
                <w:rFonts w:hint="eastAsia" w:ascii="仿宋" w:hAnsi="仿宋" w:eastAsia="仿宋" w:cs="仿宋"/>
                <w:i w:val="0"/>
                <w:iCs w:val="0"/>
                <w:color w:val="auto"/>
                <w:sz w:val="24"/>
                <w:szCs w:val="24"/>
                <w:highlight w:val="none"/>
                <w:u w:val="none"/>
                <w:lang w:val="en-US" w:eastAsia="zh-CN" w:bidi="ar"/>
              </w:rPr>
              <w:t>1133</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4D7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bidi="ar"/>
              </w:rPr>
            </w:pPr>
            <w:r>
              <w:rPr>
                <w:rFonts w:hint="eastAsia" w:ascii="仿宋" w:hAnsi="仿宋" w:eastAsia="仿宋" w:cs="仿宋"/>
                <w:i w:val="0"/>
                <w:iCs w:val="0"/>
                <w:color w:val="auto"/>
                <w:sz w:val="24"/>
                <w:szCs w:val="24"/>
                <w:highlight w:val="none"/>
                <w:u w:val="none"/>
                <w:lang w:val="en-US" w:eastAsia="zh-CN" w:bidi="ar"/>
              </w:rPr>
              <w:t>861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F96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726</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D81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bidi="ar"/>
              </w:rPr>
            </w:pPr>
            <w:r>
              <w:rPr>
                <w:rFonts w:hint="eastAsia" w:ascii="仿宋" w:hAnsi="仿宋" w:eastAsia="仿宋" w:cs="仿宋"/>
                <w:i w:val="0"/>
                <w:iCs w:val="0"/>
                <w:color w:val="auto"/>
                <w:sz w:val="24"/>
                <w:szCs w:val="24"/>
                <w:highlight w:val="none"/>
                <w:u w:val="none"/>
                <w:lang w:val="en-US" w:eastAsia="zh-CN" w:bidi="ar"/>
              </w:rPr>
              <w:t>387</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AD0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395</w:t>
            </w:r>
          </w:p>
        </w:tc>
      </w:tr>
      <w:tr w14:paraId="2734E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9C08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3</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DD29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E767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0BD1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D4C9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F04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3934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248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F84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r>
      <w:tr w14:paraId="53400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03E8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B47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3F9B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DE0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B5F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1C0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434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DF96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8BFB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r>
      <w:tr w14:paraId="69A3F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6799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5</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FE4B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组网线路服务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ED27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条</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5F38F">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21</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2399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20</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EB2D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C20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11</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5DB4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1BC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5</w:t>
            </w:r>
          </w:p>
        </w:tc>
      </w:tr>
      <w:tr w14:paraId="00AB0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53B3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D6A6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FC3B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场次</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5AB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726</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8F9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873</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8BE4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540</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E507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556</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893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140</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D7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120</w:t>
            </w:r>
          </w:p>
        </w:tc>
      </w:tr>
      <w:tr w14:paraId="3E130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6F43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7</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CFA1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市教育考试指挥中心可视化显示系统升级改造服务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021A1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8C8A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FA76">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2448">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9861">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7E5A">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C8BD">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r>
      <w:tr w14:paraId="49F51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4239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bookmarkStart w:id="121" w:name="_Toc27023"/>
            <w:r>
              <w:rPr>
                <w:rFonts w:hint="eastAsia" w:ascii="仿宋" w:hAnsi="仿宋" w:eastAsia="仿宋" w:cs="仿宋"/>
                <w:i w:val="0"/>
                <w:iCs w:val="0"/>
                <w:color w:val="auto"/>
                <w:sz w:val="24"/>
                <w:szCs w:val="24"/>
                <w:highlight w:val="none"/>
                <w:u w:val="none"/>
                <w:lang w:val="en-US" w:eastAsia="zh-CN" w:bidi="ar"/>
              </w:rPr>
              <w:t>8</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FF91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宿城区黄海路初中监控室可视化系统建设服务</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1482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B7D4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rPr>
              <w:t>/</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1DB38">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EB2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A8B5">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709A">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473B6">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w:t>
            </w:r>
          </w:p>
        </w:tc>
      </w:tr>
    </w:tbl>
    <w:p w14:paraId="618701D0">
      <w:pPr>
        <w:pStyle w:val="3"/>
        <w:keepNext w:val="0"/>
        <w:keepLines w:val="0"/>
        <w:pageBreakBefore w:val="0"/>
        <w:numPr>
          <w:ilvl w:val="1"/>
          <w:numId w:val="2"/>
        </w:numPr>
        <w:spacing w:before="0" w:beforeAutospacing="0" w:after="0" w:afterAutospacing="0" w:line="480" w:lineRule="exact"/>
        <w:ind w:left="0" w:firstLine="0"/>
        <w:jc w:val="both"/>
        <w:rPr>
          <w:rFonts w:hint="eastAsia" w:ascii="仿宋" w:hAnsi="仿宋" w:eastAsia="仿宋" w:cs="仿宋"/>
          <w:b w:val="0"/>
          <w:bCs w:val="0"/>
          <w:color w:val="auto"/>
          <w:sz w:val="32"/>
          <w:szCs w:val="32"/>
          <w:highlight w:val="none"/>
          <w:lang w:val="en-US" w:eastAsia="zh-CN"/>
        </w:rPr>
      </w:pPr>
      <w:bookmarkStart w:id="122" w:name="_Toc715"/>
      <w:r>
        <w:rPr>
          <w:rFonts w:hint="eastAsia" w:ascii="仿宋" w:hAnsi="仿宋" w:eastAsia="仿宋" w:cs="仿宋"/>
          <w:b w:val="0"/>
          <w:bCs w:val="0"/>
          <w:color w:val="auto"/>
          <w:sz w:val="32"/>
          <w:szCs w:val="32"/>
          <w:highlight w:val="none"/>
          <w:lang w:val="en-US" w:eastAsia="zh-CN"/>
        </w:rPr>
        <w:t>商务要求</w:t>
      </w:r>
      <w:bookmarkEnd w:id="121"/>
      <w:bookmarkEnd w:id="122"/>
    </w:p>
    <w:p w14:paraId="495E2D4C">
      <w:pPr>
        <w:pStyle w:val="227"/>
        <w:keepNext w:val="0"/>
        <w:keepLines w:val="0"/>
        <w:pageBreakBefore w:val="0"/>
        <w:spacing w:beforeAutospacing="0" w:afterAutospacing="0" w:line="480" w:lineRule="exact"/>
        <w:ind w:left="0" w:firstLine="56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val="0"/>
          <w:color w:val="auto"/>
          <w:sz w:val="28"/>
          <w:szCs w:val="28"/>
          <w:highlight w:val="none"/>
        </w:rPr>
        <w:t>1．合同履行期限</w:t>
      </w:r>
    </w:p>
    <w:p w14:paraId="5C008DDB">
      <w:pPr>
        <w:pStyle w:val="227"/>
        <w:keepNext w:val="0"/>
        <w:keepLines w:val="0"/>
        <w:pageBreakBefore w:val="0"/>
        <w:spacing w:beforeAutospacing="0" w:afterAutospacing="0" w:line="480" w:lineRule="exact"/>
        <w:ind w:left="0"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本项目合同履行期限为1年。</w:t>
      </w:r>
    </w:p>
    <w:p w14:paraId="0BCA8BF6">
      <w:pPr>
        <w:pStyle w:val="4"/>
        <w:keepNext w:val="0"/>
        <w:keepLines w:val="0"/>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采购预算</w:t>
      </w:r>
    </w:p>
    <w:p w14:paraId="1F3C6E7D">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32"/>
          <w:szCs w:val="32"/>
          <w:highlight w:val="none"/>
          <w:lang w:val="en-US" w:eastAsia="zh-CN" w:bidi="ar"/>
        </w:rPr>
      </w:pPr>
      <w:r>
        <w:rPr>
          <w:rFonts w:hint="eastAsia" w:ascii="仿宋" w:hAnsi="仿宋" w:eastAsia="仿宋" w:cs="仿宋"/>
          <w:color w:val="auto"/>
          <w:sz w:val="24"/>
          <w:szCs w:val="24"/>
          <w:highlight w:val="none"/>
          <w:lang w:val="en-US" w:eastAsia="zh-CN" w:bidi="ar"/>
        </w:rPr>
        <w:t>本项目预算：总预算490万元（其中市本级100万元）。</w:t>
      </w:r>
    </w:p>
    <w:p w14:paraId="15BDBF9A">
      <w:pPr>
        <w:pStyle w:val="4"/>
        <w:keepNext w:val="0"/>
        <w:keepLines w:val="0"/>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采购模式</w:t>
      </w:r>
    </w:p>
    <w:p w14:paraId="62BFC751">
      <w:pPr>
        <w:keepNext w:val="0"/>
        <w:keepLines w:val="0"/>
        <w:pageBreakBefore w:val="0"/>
        <w:widowControl/>
        <w:suppressLineNumbers w:val="0"/>
        <w:spacing w:line="480" w:lineRule="exact"/>
        <w:ind w:firstLine="480"/>
        <w:jc w:val="both"/>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本项目采用统一采购、分别签约的统采分签模式，确定中标供应商后，各需求单位分别与宿迁市楚润数据集团有限公司联合作为相对独立的采购主体，分别与中标供应商独立签订采购合同。本次采购所确定的价格标准、技术参数、服务要求及全部商务条款对各采购主体及中标供应商均具有约束力，所有分签合同实质性内容须与招标文件、中标人投标文件及中标结果保持一致，不得擅自变更、调整核心条款。</w:t>
      </w:r>
    </w:p>
    <w:p w14:paraId="286E0705">
      <w:pPr>
        <w:pStyle w:val="4"/>
        <w:keepNext w:val="0"/>
        <w:keepLines w:val="0"/>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付款方式</w:t>
      </w:r>
    </w:p>
    <w:p w14:paraId="3B005F41">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合同签订后，采购人在收到供应商合规发票后10 个工作日内，支付合同金额的30%作为预付款；运维服务满半年后，供应商提交半年维保服务报告等材料，采购人在收到合规发票后10个工作日内，</w:t>
      </w:r>
      <w:r>
        <w:rPr>
          <w:rFonts w:hint="eastAsia" w:ascii="仿宋" w:hAnsi="仿宋" w:eastAsia="仿宋" w:cs="仿宋"/>
          <w:color w:val="auto"/>
          <w:sz w:val="24"/>
          <w:highlight w:val="none"/>
        </w:rPr>
        <w:t>支付合同</w:t>
      </w:r>
      <w:r>
        <w:rPr>
          <w:rFonts w:hint="eastAsia" w:ascii="仿宋" w:hAnsi="仿宋" w:eastAsia="仿宋" w:cs="仿宋"/>
          <w:color w:val="auto"/>
          <w:sz w:val="24"/>
          <w:highlight w:val="none"/>
          <w:lang w:val="en-US" w:eastAsia="zh-CN"/>
        </w:rPr>
        <w:t>总</w:t>
      </w:r>
      <w:r>
        <w:rPr>
          <w:rFonts w:hint="eastAsia" w:ascii="仿宋" w:hAnsi="仿宋" w:eastAsia="仿宋" w:cs="仿宋"/>
          <w:color w:val="auto"/>
          <w:sz w:val="24"/>
          <w:highlight w:val="none"/>
        </w:rPr>
        <w:t>金额的35%</w:t>
      </w:r>
      <w:r>
        <w:rPr>
          <w:rFonts w:hint="eastAsia" w:ascii="仿宋" w:hAnsi="仿宋" w:eastAsia="仿宋" w:cs="仿宋"/>
          <w:color w:val="auto"/>
          <w:sz w:val="24"/>
          <w:szCs w:val="24"/>
          <w:highlight w:val="none"/>
          <w:lang w:val="en-US" w:eastAsia="zh-CN" w:bidi="ar"/>
        </w:rPr>
        <w:t>；服务期满且验收合格后，采购人在收到合规发票后10个工作日内，付清剩余款项。</w:t>
      </w:r>
    </w:p>
    <w:p w14:paraId="77697529">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注：1、在签订合同时，中标人明确表示无需预付款或者主动要求降低预付款比例的金额，采购人可不适用预付款规定。</w:t>
      </w:r>
    </w:p>
    <w:p w14:paraId="090E5326">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2、资金支付的主体：由宿迁市楚润数据集团有限公司支付，宿迁市教育局负责协调各相关单位的资金支付。</w:t>
      </w:r>
    </w:p>
    <w:p w14:paraId="3449466D">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3、项目验收与考核由宿迁市教育局、宿迁市楚润数据集团负责组织，相关区县级提供各自领域使用服务的评价报告。</w:t>
      </w:r>
    </w:p>
    <w:p w14:paraId="7D4E568E">
      <w:pPr>
        <w:pStyle w:val="4"/>
        <w:keepNext w:val="0"/>
        <w:keepLines w:val="0"/>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付款条件</w:t>
      </w:r>
    </w:p>
    <w:p w14:paraId="35B23077">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每次考试后，市及区县两级教育考试中心，严格按照采购文件要求，对中标供应商提供的服务质量进行考核，并由承担考试服务的考试指挥中心填写《标准化考点运维服务考核评价表》，并将评价表上交至市教育考试中心。</w:t>
      </w:r>
    </w:p>
    <w:p w14:paraId="41355D0C">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（2）半</w:t>
      </w:r>
      <w:r>
        <w:rPr>
          <w:rFonts w:hint="eastAsia" w:ascii="仿宋" w:hAnsi="仿宋" w:eastAsia="仿宋" w:cs="仿宋"/>
          <w:color w:val="auto"/>
          <w:sz w:val="24"/>
          <w:szCs w:val="24"/>
          <w:highlight w:val="none"/>
          <w:lang w:val="en-US" w:eastAsia="zh-CN"/>
        </w:rPr>
        <w:t>年度服务结束后，由各级教育考试中心负责汇总各区域半年内考核分数，计算得出考核综合得分</w:t>
      </w:r>
      <w:r>
        <w:rPr>
          <w:rFonts w:hint="eastAsia" w:ascii="仿宋" w:hAnsi="仿宋" w:eastAsia="仿宋" w:cs="仿宋"/>
          <w:color w:val="auto"/>
          <w:sz w:val="24"/>
          <w:szCs w:val="24"/>
          <w:highlight w:val="none"/>
          <w:lang w:val="en-US" w:eastAsia="zh-CN" w:bidi="ar"/>
        </w:rPr>
        <w:t>。按如下方式付款：</w:t>
      </w:r>
    </w:p>
    <w:p w14:paraId="309DC9EA">
      <w:pPr>
        <w:keepNext/>
        <w:keepLines/>
        <w:spacing w:line="480" w:lineRule="exact"/>
        <w:ind w:firstLine="480"/>
        <w:outlineLvl w:val="2"/>
        <w:rPr>
          <w:rFonts w:hint="eastAsia" w:ascii="仿宋" w:hAnsi="仿宋" w:eastAsia="仿宋" w:cs="仿宋"/>
          <w:bCs/>
          <w:color w:val="auto"/>
          <w:sz w:val="24"/>
          <w:highlight w:val="none"/>
        </w:rPr>
      </w:pPr>
      <w:bookmarkStart w:id="123" w:name="_Toc17412"/>
      <w:bookmarkStart w:id="124" w:name="_Toc11760"/>
      <w:r>
        <w:rPr>
          <w:rFonts w:hint="eastAsia" w:ascii="仿宋" w:hAnsi="仿宋" w:eastAsia="仿宋" w:cs="仿宋"/>
          <w:bCs/>
          <w:color w:val="auto"/>
          <w:sz w:val="24"/>
          <w:highlight w:val="none"/>
        </w:rPr>
        <w:t>①半年度考核得分</w:t>
      </w:r>
      <w:r>
        <w:rPr>
          <w:rFonts w:hint="eastAsia" w:ascii="仿宋" w:hAnsi="仿宋" w:eastAsia="仿宋" w:cs="仿宋"/>
          <w:bCs/>
          <w:color w:val="auto"/>
          <w:sz w:val="24"/>
          <w:highlight w:val="none"/>
          <w:lang w:val="en-US" w:eastAsia="zh-CN"/>
        </w:rPr>
        <w:t>90分及以上的，全额支付当期应付基准金额</w:t>
      </w:r>
      <w:r>
        <w:rPr>
          <w:rFonts w:hint="eastAsia" w:ascii="仿宋" w:hAnsi="仿宋" w:eastAsia="仿宋" w:cs="仿宋"/>
          <w:bCs/>
          <w:color w:val="auto"/>
          <w:sz w:val="24"/>
          <w:highlight w:val="none"/>
        </w:rPr>
        <w:t>；</w:t>
      </w:r>
    </w:p>
    <w:p w14:paraId="340E2DF8">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w:t>
      </w:r>
      <w:r>
        <w:rPr>
          <w:rFonts w:hint="eastAsia" w:ascii="仿宋" w:hAnsi="仿宋" w:eastAsia="仿宋" w:cs="仿宋"/>
          <w:bCs/>
          <w:color w:val="auto"/>
          <w:sz w:val="24"/>
          <w:highlight w:val="none"/>
          <w:lang w:val="en-US" w:eastAsia="zh-CN"/>
        </w:rPr>
        <w:t>半年度考核得分在75分（含）至90分之间的，按当期应付基准金额的90%支付；</w:t>
      </w:r>
    </w:p>
    <w:p w14:paraId="7FF856CC">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sz w:val="24"/>
          <w:highlight w:val="none"/>
          <w:lang w:val="en-US" w:eastAsia="zh-CN"/>
        </w:rPr>
        <w:t>半年度考核得分在60分（含）至75分之间的，按当期应付基准金额的85%支付</w:t>
      </w:r>
      <w:r>
        <w:rPr>
          <w:rFonts w:hint="eastAsia" w:ascii="仿宋" w:hAnsi="仿宋" w:eastAsia="仿宋" w:cs="仿宋"/>
          <w:bCs/>
          <w:color w:val="auto"/>
          <w:sz w:val="24"/>
          <w:highlight w:val="none"/>
        </w:rPr>
        <w:t>；</w:t>
      </w:r>
    </w:p>
    <w:p w14:paraId="3346E829">
      <w:pPr>
        <w:keepNext/>
        <w:keepLines/>
        <w:spacing w:line="480" w:lineRule="exact"/>
        <w:ind w:firstLine="480"/>
        <w:outlineLvl w:val="2"/>
        <w:rPr>
          <w:rFonts w:hint="eastAsia" w:ascii="仿宋" w:hAnsi="仿宋" w:eastAsia="仿宋" w:cs="仿宋"/>
          <w:color w:val="auto"/>
          <w:sz w:val="24"/>
          <w:szCs w:val="24"/>
          <w:highlight w:val="none"/>
          <w:lang w:val="en-US" w:eastAsia="zh-CN" w:bidi="ar"/>
        </w:rPr>
      </w:pPr>
      <w:r>
        <w:rPr>
          <w:rFonts w:hint="eastAsia" w:ascii="仿宋" w:hAnsi="仿宋" w:eastAsia="仿宋" w:cs="仿宋"/>
          <w:bCs/>
          <w:color w:val="auto"/>
          <w:sz w:val="24"/>
          <w:highlight w:val="none"/>
        </w:rPr>
        <w:t>④</w:t>
      </w:r>
      <w:r>
        <w:rPr>
          <w:rFonts w:hint="eastAsia" w:ascii="仿宋" w:hAnsi="仿宋" w:eastAsia="仿宋" w:cs="仿宋"/>
          <w:color w:val="auto"/>
          <w:sz w:val="24"/>
          <w:szCs w:val="24"/>
          <w:highlight w:val="none"/>
          <w:lang w:val="en-US" w:eastAsia="zh-CN" w:bidi="ar"/>
        </w:rPr>
        <w:t>半年度考核综合得分低于60分，无保底，当期应付金额 = 实际考核得分÷100×当期应付基准金额，按计算后结果据实支付。</w:t>
      </w:r>
    </w:p>
    <w:p w14:paraId="7CD1B0D6">
      <w:pPr>
        <w:keepNext/>
        <w:keepLines/>
        <w:spacing w:line="480" w:lineRule="exact"/>
        <w:ind w:firstLine="480"/>
        <w:outlineLvl w:val="2"/>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lang w:val="en-US" w:eastAsia="zh-CN" w:bidi="ar"/>
        </w:rPr>
        <w:t>考核周期内，因乙方维保责任引发影响国家教育考试正常组织的重大责任事故的，甲方有权不予支付当期全部维保款项，并依法追究乙方赔偿责任。</w:t>
      </w:r>
    </w:p>
    <w:p w14:paraId="0DDFEC80">
      <w:pPr>
        <w:pStyle w:val="3"/>
        <w:numPr>
          <w:ilvl w:val="1"/>
          <w:numId w:val="2"/>
        </w:numPr>
        <w:spacing w:before="0" w:beforeAutospacing="0" w:after="0" w:afterAutospacing="0" w:line="600" w:lineRule="exact"/>
        <w:ind w:left="0" w:firstLine="0"/>
        <w:jc w:val="both"/>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技术要求</w:t>
      </w:r>
      <w:bookmarkEnd w:id="123"/>
      <w:bookmarkEnd w:id="124"/>
    </w:p>
    <w:p w14:paraId="1CF1C66B">
      <w:pPr>
        <w:pStyle w:val="4"/>
        <w:keepNext w:val="0"/>
        <w:keepLines w:val="0"/>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服务范围</w:t>
      </w:r>
    </w:p>
    <w:p w14:paraId="3CE40F57">
      <w:pPr>
        <w:pStyle w:val="227"/>
        <w:keepNext w:val="0"/>
        <w:keepLines w:val="0"/>
        <w:pageBreakBefore w:val="0"/>
        <w:widowControl/>
        <w:spacing w:beforeAutospacing="0" w:afterAutospacing="0" w:line="480" w:lineRule="exact"/>
        <w:ind w:left="0"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本项目服务范围覆盖宿迁市全部教育考试标准化考点相关业务系统，包含全市 64个标准化考点、市及各区县两级考试指挥中心、试卷保密室及全部配套软硬件设施。服务涵盖</w:t>
      </w:r>
      <w:r>
        <w:rPr>
          <w:rFonts w:hint="eastAsia" w:ascii="仿宋" w:hAnsi="仿宋" w:eastAsia="仿宋" w:cs="仿宋"/>
          <w:color w:val="auto"/>
          <w:sz w:val="24"/>
          <w:szCs w:val="24"/>
          <w:highlight w:val="none"/>
          <w:lang w:val="en-US" w:eastAsia="zh-CN" w:bidi="ar"/>
        </w:rPr>
        <w:t>网上巡查、身份验证、AI智能巡查巡检、作弊防控、网络时钟、视频会议、考点专网及专线、试卷流转车载等系统，提供日常运维、定期巡检、故障抢修、系统升级、优化调试、数据备份恢复、考试现场保障及应急处置等技术服务；同步配套提供市教育局指挥中心拼接屏升级改造、AI智能巡查巡检配套算力服务、考点1000M专线租赁等专项配套服务，</w:t>
      </w:r>
      <w:r>
        <w:rPr>
          <w:rFonts w:hint="eastAsia" w:ascii="仿宋" w:hAnsi="仿宋" w:eastAsia="仿宋" w:cs="仿宋"/>
          <w:b w:val="0"/>
          <w:bCs/>
          <w:color w:val="auto"/>
          <w:sz w:val="24"/>
          <w:szCs w:val="24"/>
          <w:highlight w:val="none"/>
          <w:lang w:val="en-US" w:eastAsia="zh-CN"/>
        </w:rPr>
        <w:t>具体包括：</w:t>
      </w:r>
    </w:p>
    <w:p w14:paraId="376C9526">
      <w:pPr>
        <w:pStyle w:val="227"/>
        <w:keepNext w:val="0"/>
        <w:keepLines w:val="0"/>
        <w:pageBreakBefore w:val="0"/>
        <w:widowControl/>
        <w:numPr>
          <w:ilvl w:val="0"/>
          <w:numId w:val="0"/>
        </w:numPr>
        <w:spacing w:beforeAutospacing="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①标准化考点：全市已建成的64个标准化考点设备及配套服务；</w:t>
      </w:r>
    </w:p>
    <w:p w14:paraId="44FF93F1">
      <w:pPr>
        <w:pStyle w:val="227"/>
        <w:keepNext w:val="0"/>
        <w:keepLines w:val="0"/>
        <w:pageBreakBefore w:val="0"/>
        <w:widowControl/>
        <w:numPr>
          <w:ilvl w:val="0"/>
          <w:numId w:val="0"/>
        </w:numPr>
        <w:spacing w:beforeAutospacing="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②指挥中心：宿迁市、宿城区、宿豫区、沭阳县、泗阳县、泗洪县考试指挥中心；</w:t>
      </w:r>
    </w:p>
    <w:p w14:paraId="5A3E9060">
      <w:pPr>
        <w:pStyle w:val="227"/>
        <w:keepNext w:val="0"/>
        <w:keepLines w:val="0"/>
        <w:pageBreakBefore w:val="0"/>
        <w:widowControl/>
        <w:numPr>
          <w:ilvl w:val="0"/>
          <w:numId w:val="0"/>
        </w:numPr>
        <w:spacing w:beforeAutospacing="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③保密场所：宿迁市、宿城区、宿豫区、沭阳县、泗阳县、泗洪县试卷保密室；</w:t>
      </w:r>
    </w:p>
    <w:p w14:paraId="300A3016">
      <w:pPr>
        <w:pStyle w:val="227"/>
        <w:keepNext w:val="0"/>
        <w:keepLines w:val="0"/>
        <w:pageBreakBefore w:val="0"/>
        <w:widowControl/>
        <w:numPr>
          <w:ilvl w:val="0"/>
          <w:numId w:val="0"/>
        </w:numPr>
        <w:spacing w:beforeAutospacing="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fldChar w:fldCharType="begin"/>
      </w:r>
      <w:r>
        <w:rPr>
          <w:rFonts w:hint="eastAsia" w:ascii="仿宋" w:hAnsi="仿宋" w:eastAsia="仿宋" w:cs="仿宋"/>
          <w:b w:val="0"/>
          <w:bCs/>
          <w:color w:val="auto"/>
          <w:sz w:val="24"/>
          <w:szCs w:val="24"/>
          <w:highlight w:val="none"/>
          <w:lang w:val="en-US" w:eastAsia="zh-CN"/>
        </w:rPr>
        <w:instrText xml:space="preserve"> = 4 \* GB3 \* MERGEFORMAT </w:instrText>
      </w:r>
      <w:r>
        <w:rPr>
          <w:rFonts w:hint="eastAsia" w:ascii="仿宋" w:hAnsi="仿宋" w:eastAsia="仿宋" w:cs="仿宋"/>
          <w:b w:val="0"/>
          <w:bCs/>
          <w:color w:val="auto"/>
          <w:sz w:val="24"/>
          <w:szCs w:val="24"/>
          <w:highlight w:val="none"/>
          <w:lang w:val="en-US" w:eastAsia="zh-CN"/>
        </w:rPr>
        <w:fldChar w:fldCharType="separate"/>
      </w:r>
      <w:r>
        <w:rPr>
          <w:rFonts w:hint="eastAsia" w:ascii="仿宋" w:hAnsi="仿宋" w:eastAsia="仿宋" w:cs="仿宋"/>
          <w:b w:val="0"/>
          <w:bCs/>
          <w:color w:val="auto"/>
          <w:sz w:val="24"/>
          <w:szCs w:val="24"/>
          <w:highlight w:val="none"/>
          <w:lang w:val="en-US" w:eastAsia="zh-CN"/>
        </w:rPr>
        <w:t>④</w:t>
      </w:r>
      <w:r>
        <w:rPr>
          <w:rFonts w:hint="eastAsia" w:ascii="仿宋" w:hAnsi="仿宋" w:eastAsia="仿宋" w:cs="仿宋"/>
          <w:b w:val="0"/>
          <w:bCs/>
          <w:color w:val="auto"/>
          <w:sz w:val="24"/>
          <w:szCs w:val="24"/>
          <w:highlight w:val="none"/>
          <w:lang w:val="en-US" w:eastAsia="zh-CN"/>
        </w:rPr>
        <w:fldChar w:fldCharType="end"/>
      </w:r>
      <w:r>
        <w:rPr>
          <w:rFonts w:hint="eastAsia" w:ascii="仿宋" w:hAnsi="仿宋" w:eastAsia="仿宋" w:cs="仿宋"/>
          <w:b w:val="0"/>
          <w:bCs/>
          <w:color w:val="auto"/>
          <w:sz w:val="24"/>
          <w:szCs w:val="24"/>
          <w:highlight w:val="none"/>
          <w:lang w:val="en-US" w:eastAsia="zh-CN"/>
        </w:rPr>
        <w:t>考试相关系统：网上巡查系统、考生身份验证系统、保密室与考场智能巡查系统、作弊防控系统、网络时钟系统、视频会议系统、考点专网及专线、试卷流转车载系统等相关配套设备与平台等</w:t>
      </w:r>
    </w:p>
    <w:p w14:paraId="71822F78">
      <w:pPr>
        <w:pStyle w:val="227"/>
        <w:keepNext w:val="0"/>
        <w:keepLines w:val="0"/>
        <w:pageBreakBefore w:val="0"/>
        <w:numPr>
          <w:ilvl w:val="0"/>
          <w:numId w:val="0"/>
        </w:numPr>
        <w:spacing w:beforeAutospacing="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⑤AI智能巡查巡检：包括AI智能巡查巡检算法软件、管理平台及配套算力服务等；</w:t>
      </w:r>
    </w:p>
    <w:p w14:paraId="75DD1B23">
      <w:pPr>
        <w:pStyle w:val="227"/>
        <w:keepNext w:val="0"/>
        <w:keepLines w:val="0"/>
        <w:pageBreakBefore w:val="0"/>
        <w:numPr>
          <w:ilvl w:val="0"/>
          <w:numId w:val="0"/>
        </w:numPr>
        <w:spacing w:beforeAutospacing="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⑥市教育考试指挥中心可视化显示系统升级改造服务。</w:t>
      </w:r>
    </w:p>
    <w:p w14:paraId="5AAEE919">
      <w:pPr>
        <w:keepNext w:val="0"/>
        <w:keepLines w:val="0"/>
        <w:pageBreakBefore w:val="0"/>
        <w:widowControl/>
        <w:numPr>
          <w:ilvl w:val="0"/>
          <w:numId w:val="0"/>
        </w:numPr>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⑦高考考点试卷流转通道须实现监控无盲区服务，并全部接入考点网上巡查系统，实现统一管理与巡查;试卷流转车载系统升级为北斗与GPS双定位模式服务;保密室视频监控系统存储容量升级服务。</w:t>
      </w:r>
    </w:p>
    <w:p w14:paraId="06A47868">
      <w:pPr>
        <w:keepNext w:val="0"/>
        <w:keepLines w:val="0"/>
        <w:pageBreakBefore w:val="0"/>
        <w:widowControl/>
        <w:numPr>
          <w:ilvl w:val="0"/>
          <w:numId w:val="0"/>
        </w:numPr>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⑧宿城区黄海路初中监控室可视化系统建设服务。</w:t>
      </w:r>
    </w:p>
    <w:p w14:paraId="0D5D6E0C">
      <w:pPr>
        <w:keepNext w:val="0"/>
        <w:keepLines w:val="0"/>
        <w:pageBreakBefore w:val="0"/>
        <w:suppressLineNumbers w:val="0"/>
        <w:spacing w:before="0" w:beforeAutospacing="0" w:after="0" w:afterAutospacing="0" w:line="480" w:lineRule="exact"/>
        <w:ind w:left="0" w:right="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注：投标人如需详细了解各考点建设及设备维护情况，可以自行勘察。</w:t>
      </w:r>
    </w:p>
    <w:p w14:paraId="3BDB1DBD">
      <w:pPr>
        <w:pStyle w:val="4"/>
        <w:numPr>
          <w:ilvl w:val="2"/>
          <w:numId w:val="2"/>
        </w:numPr>
        <w:spacing w:before="0" w:beforeAutospacing="0" w:after="0" w:afterAutospacing="0" w:line="60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服务标准与规范</w:t>
      </w:r>
    </w:p>
    <w:p w14:paraId="7E7E90E2">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480" w:lineRule="exact"/>
        <w:ind w:left="0" w:right="0" w:firstLine="480"/>
        <w:jc w:val="both"/>
        <w:rPr>
          <w:rFonts w:hint="eastAsia" w:ascii="仿宋" w:hAnsi="仿宋" w:eastAsia="仿宋" w:cs="仿宋"/>
          <w:color w:val="auto"/>
          <w:sz w:val="24"/>
          <w:szCs w:val="24"/>
          <w:highlight w:val="none"/>
          <w:lang w:val="en-US" w:eastAsia="zh-CN" w:bidi="ar"/>
        </w:rPr>
      </w:pPr>
      <w:bookmarkStart w:id="125" w:name="_Toc30140"/>
      <w:bookmarkStart w:id="126" w:name="_Toc17242"/>
      <w:r>
        <w:rPr>
          <w:rFonts w:hint="eastAsia" w:ascii="仿宋" w:hAnsi="仿宋" w:eastAsia="仿宋" w:cs="仿宋"/>
          <w:color w:val="auto"/>
          <w:sz w:val="24"/>
          <w:szCs w:val="24"/>
          <w:highlight w:val="none"/>
          <w:lang w:val="en-US" w:eastAsia="zh-CN" w:bidi="ar"/>
        </w:rPr>
        <w:t>本次维保服务严格遵循国家、行业、地方相关标准规范及项目建设、运维管理要求执行，主要依据如下：</w:t>
      </w:r>
    </w:p>
    <w:p w14:paraId="0B241D5F">
      <w:pPr>
        <w:pStyle w:val="229"/>
        <w:keepNext w:val="0"/>
        <w:keepLines w:val="0"/>
        <w:pageBreakBefore w:val="0"/>
        <w:widowControl/>
        <w:numPr>
          <w:ilvl w:val="0"/>
          <w:numId w:val="0"/>
        </w:numPr>
        <w:spacing w:beforeAutospacing="0" w:afterAutospacing="0" w:line="480" w:lineRule="exact"/>
        <w:ind w:firstLine="480"/>
        <w:jc w:val="both"/>
        <w:outlineLvl w:val="9"/>
        <w:rPr>
          <w:rStyle w:val="33"/>
          <w:rFonts w:hint="eastAsia" w:ascii="仿宋" w:hAnsi="仿宋" w:eastAsia="仿宋" w:cs="仿宋"/>
          <w:color w:val="auto"/>
          <w:sz w:val="24"/>
          <w:szCs w:val="24"/>
          <w:highlight w:val="none"/>
          <w:lang w:val="en-US" w:eastAsia="zh-CN" w:bidi="ar-SA"/>
        </w:rPr>
      </w:pPr>
      <w:r>
        <w:rPr>
          <w:rStyle w:val="33"/>
          <w:rFonts w:hint="eastAsia" w:ascii="仿宋" w:hAnsi="仿宋" w:eastAsia="仿宋" w:cs="仿宋"/>
          <w:color w:val="auto"/>
          <w:sz w:val="24"/>
          <w:szCs w:val="24"/>
          <w:highlight w:val="none"/>
          <w:lang w:val="en-US" w:eastAsia="zh-CN" w:bidi="ar-SA"/>
        </w:rPr>
        <w:t>《公共安全视频监控联网系统信息传输、交换、控制技术要求》GB/T 28181-2022</w:t>
      </w:r>
    </w:p>
    <w:p w14:paraId="73517D55">
      <w:pPr>
        <w:pStyle w:val="229"/>
        <w:keepNext w:val="0"/>
        <w:keepLines w:val="0"/>
        <w:pageBreakBefore w:val="0"/>
        <w:widowControl/>
        <w:numPr>
          <w:ilvl w:val="0"/>
          <w:numId w:val="0"/>
        </w:numPr>
        <w:spacing w:beforeAutospacing="0" w:afterAutospacing="0" w:line="480" w:lineRule="exact"/>
        <w:ind w:firstLine="480"/>
        <w:jc w:val="both"/>
        <w:outlineLvl w:val="9"/>
        <w:rPr>
          <w:rStyle w:val="33"/>
          <w:rFonts w:hint="eastAsia" w:ascii="仿宋" w:hAnsi="仿宋" w:eastAsia="仿宋" w:cs="仿宋"/>
          <w:color w:val="auto"/>
          <w:sz w:val="24"/>
          <w:szCs w:val="24"/>
          <w:highlight w:val="none"/>
          <w:lang w:val="en-US" w:eastAsia="zh-CN" w:bidi="ar-SA"/>
        </w:rPr>
      </w:pPr>
      <w:r>
        <w:rPr>
          <w:rStyle w:val="33"/>
          <w:rFonts w:hint="eastAsia" w:ascii="仿宋" w:hAnsi="仿宋" w:eastAsia="仿宋" w:cs="仿宋"/>
          <w:color w:val="auto"/>
          <w:sz w:val="24"/>
          <w:szCs w:val="24"/>
          <w:highlight w:val="none"/>
          <w:lang w:val="en-US" w:eastAsia="zh-CN" w:bidi="ar-SA"/>
        </w:rPr>
        <w:t>《教育部办公厅关于全面开展国家教育考试综合管理平台建设工作的通知》（教学厅〔2021〕19 号）</w:t>
      </w:r>
    </w:p>
    <w:p w14:paraId="755426F3">
      <w:pPr>
        <w:pStyle w:val="229"/>
        <w:keepNext w:val="0"/>
        <w:keepLines w:val="0"/>
        <w:pageBreakBefore w:val="0"/>
        <w:widowControl/>
        <w:numPr>
          <w:ilvl w:val="0"/>
          <w:numId w:val="0"/>
        </w:numPr>
        <w:spacing w:beforeAutospacing="0" w:afterAutospacing="0" w:line="480" w:lineRule="exact"/>
        <w:ind w:firstLine="480"/>
        <w:jc w:val="both"/>
        <w:outlineLvl w:val="9"/>
        <w:rPr>
          <w:rStyle w:val="33"/>
          <w:rFonts w:hint="eastAsia" w:ascii="仿宋" w:hAnsi="仿宋" w:eastAsia="仿宋" w:cs="仿宋"/>
          <w:color w:val="auto"/>
          <w:sz w:val="24"/>
          <w:szCs w:val="24"/>
          <w:highlight w:val="none"/>
          <w:lang w:val="en-US" w:eastAsia="zh-CN" w:bidi="ar-SA"/>
        </w:rPr>
      </w:pPr>
      <w:r>
        <w:rPr>
          <w:rStyle w:val="33"/>
          <w:rFonts w:hint="eastAsia" w:ascii="仿宋" w:hAnsi="仿宋" w:eastAsia="仿宋" w:cs="仿宋"/>
          <w:color w:val="auto"/>
          <w:sz w:val="24"/>
          <w:szCs w:val="24"/>
          <w:highlight w:val="none"/>
          <w:lang w:val="en-US" w:eastAsia="zh-CN" w:bidi="ar-SA"/>
        </w:rPr>
        <w:t>《省教育厅关于进一步加强国家教育考试标准化考点建设工作的通知》（苏教考函〔2025〕2 号）</w:t>
      </w:r>
    </w:p>
    <w:p w14:paraId="64C20646">
      <w:pPr>
        <w:pStyle w:val="229"/>
        <w:keepNext w:val="0"/>
        <w:keepLines w:val="0"/>
        <w:pageBreakBefore w:val="0"/>
        <w:widowControl/>
        <w:numPr>
          <w:ilvl w:val="0"/>
          <w:numId w:val="0"/>
        </w:numPr>
        <w:spacing w:beforeAutospacing="0" w:afterAutospacing="0" w:line="480" w:lineRule="exact"/>
        <w:ind w:firstLine="480"/>
        <w:jc w:val="both"/>
        <w:outlineLvl w:val="9"/>
        <w:rPr>
          <w:rStyle w:val="33"/>
          <w:rFonts w:hint="eastAsia" w:ascii="仿宋" w:hAnsi="仿宋" w:eastAsia="仿宋" w:cs="仿宋"/>
          <w:color w:val="auto"/>
          <w:sz w:val="24"/>
          <w:szCs w:val="24"/>
          <w:highlight w:val="none"/>
          <w:lang w:val="en-US" w:eastAsia="zh-CN" w:bidi="ar-SA"/>
        </w:rPr>
      </w:pPr>
      <w:r>
        <w:rPr>
          <w:rStyle w:val="33"/>
          <w:rFonts w:hint="eastAsia" w:ascii="仿宋" w:hAnsi="仿宋" w:eastAsia="仿宋" w:cs="仿宋"/>
          <w:color w:val="auto"/>
          <w:sz w:val="24"/>
          <w:szCs w:val="24"/>
          <w:highlight w:val="none"/>
          <w:lang w:val="en-US" w:eastAsia="zh-CN" w:bidi="ar-SA"/>
        </w:rPr>
        <w:t>《国家教育考试网上巡查系统视频标准技术规范（2017 版）》</w:t>
      </w:r>
    </w:p>
    <w:p w14:paraId="21A49DD5">
      <w:pPr>
        <w:pStyle w:val="229"/>
        <w:keepNext w:val="0"/>
        <w:keepLines w:val="0"/>
        <w:pageBreakBefore w:val="0"/>
        <w:widowControl/>
        <w:numPr>
          <w:ilvl w:val="0"/>
          <w:numId w:val="0"/>
        </w:numPr>
        <w:spacing w:beforeAutospacing="0" w:afterAutospacing="0" w:line="480" w:lineRule="exact"/>
        <w:ind w:firstLine="480"/>
        <w:jc w:val="both"/>
        <w:outlineLvl w:val="9"/>
        <w:rPr>
          <w:rStyle w:val="33"/>
          <w:rFonts w:hint="eastAsia" w:ascii="仿宋" w:hAnsi="仿宋" w:eastAsia="仿宋" w:cs="仿宋"/>
          <w:color w:val="auto"/>
          <w:sz w:val="24"/>
          <w:szCs w:val="24"/>
          <w:highlight w:val="none"/>
          <w:lang w:val="en-US" w:eastAsia="zh-CN" w:bidi="ar-SA"/>
        </w:rPr>
      </w:pPr>
      <w:r>
        <w:rPr>
          <w:rStyle w:val="33"/>
          <w:rFonts w:hint="eastAsia" w:ascii="仿宋" w:hAnsi="仿宋" w:eastAsia="仿宋" w:cs="仿宋"/>
          <w:color w:val="auto"/>
          <w:sz w:val="24"/>
          <w:szCs w:val="24"/>
          <w:highlight w:val="none"/>
          <w:lang w:val="en-US" w:eastAsia="zh-CN" w:bidi="ar-SA"/>
        </w:rPr>
        <w:t>《国家教育考试综合管理平台建设指南（2017）》</w:t>
      </w:r>
    </w:p>
    <w:p w14:paraId="6563909B">
      <w:pPr>
        <w:pStyle w:val="229"/>
        <w:keepNext w:val="0"/>
        <w:keepLines w:val="0"/>
        <w:pageBreakBefore w:val="0"/>
        <w:widowControl/>
        <w:numPr>
          <w:ilvl w:val="0"/>
          <w:numId w:val="0"/>
        </w:numPr>
        <w:spacing w:beforeAutospacing="0" w:afterAutospacing="0" w:line="480" w:lineRule="exact"/>
        <w:ind w:firstLine="480"/>
        <w:jc w:val="both"/>
        <w:outlineLvl w:val="9"/>
        <w:rPr>
          <w:rStyle w:val="33"/>
          <w:rFonts w:hint="eastAsia" w:ascii="仿宋" w:hAnsi="仿宋" w:eastAsia="仿宋" w:cs="仿宋"/>
          <w:color w:val="auto"/>
          <w:sz w:val="24"/>
          <w:szCs w:val="24"/>
          <w:highlight w:val="none"/>
          <w:lang w:val="en-US" w:eastAsia="zh-CN" w:bidi="ar-SA"/>
        </w:rPr>
      </w:pPr>
      <w:r>
        <w:rPr>
          <w:rStyle w:val="33"/>
          <w:rFonts w:hint="eastAsia" w:ascii="仿宋" w:hAnsi="仿宋" w:eastAsia="仿宋" w:cs="仿宋"/>
          <w:color w:val="auto"/>
          <w:sz w:val="24"/>
          <w:szCs w:val="24"/>
          <w:highlight w:val="none"/>
          <w:lang w:val="en-US" w:eastAsia="zh-CN" w:bidi="ar-SA"/>
        </w:rPr>
        <w:t>国家教育考试考务安全保密系统运行维护管理相关行业规范</w:t>
      </w:r>
    </w:p>
    <w:p w14:paraId="0AF472AD">
      <w:pPr>
        <w:pStyle w:val="4"/>
        <w:keepNext w:val="0"/>
        <w:keepLines w:val="0"/>
        <w:pageBreakBefore w:val="0"/>
        <w:widowControl w:val="0"/>
        <w:numPr>
          <w:ilvl w:val="2"/>
          <w:numId w:val="2"/>
        </w:numPr>
        <w:spacing w:before="0" w:beforeAutospacing="0" w:after="0" w:afterAutospacing="0" w:line="480" w:lineRule="exact"/>
        <w:ind w:left="-11" w:firstLine="641"/>
        <w:jc w:val="both"/>
        <w:outlineLvl w:val="1"/>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服务细项内容</w:t>
      </w:r>
    </w:p>
    <w:p w14:paraId="1B0935B1">
      <w:pPr>
        <w:pStyle w:val="5"/>
        <w:keepNext/>
        <w:keepLines/>
        <w:pageBreakBefore w:val="0"/>
        <w:widowControl w:val="0"/>
        <w:spacing w:before="0" w:after="0" w:line="600" w:lineRule="exac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3.1考试保障服务</w:t>
      </w:r>
    </w:p>
    <w:p w14:paraId="30ED4D9E">
      <w:pPr>
        <w:pStyle w:val="229"/>
        <w:spacing w:beforeAutospacing="0" w:afterAutospacing="0" w:line="600" w:lineRule="exact"/>
        <w:ind w:firstLine="480"/>
        <w:jc w:val="both"/>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本项目维保周期内，涉及考试项目、考生规模及预计启用考点明细如下</w:t>
      </w:r>
      <w:r>
        <w:rPr>
          <w:rFonts w:hint="eastAsia" w:ascii="仿宋" w:hAnsi="仿宋" w:eastAsia="仿宋" w:cs="仿宋"/>
          <w:b w:val="0"/>
          <w:color w:val="auto"/>
          <w:sz w:val="24"/>
          <w:szCs w:val="24"/>
          <w:highlight w:val="none"/>
          <w:lang w:val="en-US" w:eastAsia="zh-CN" w:bidi="ar-SA"/>
        </w:rPr>
        <w:t>：</w:t>
      </w:r>
    </w:p>
    <w:tbl>
      <w:tblPr>
        <w:tblStyle w:val="31"/>
        <w:tblW w:w="9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2"/>
        <w:gridCol w:w="1173"/>
        <w:gridCol w:w="1022"/>
        <w:gridCol w:w="3150"/>
        <w:gridCol w:w="1087"/>
        <w:gridCol w:w="825"/>
        <w:gridCol w:w="975"/>
        <w:gridCol w:w="866"/>
      </w:tblGrid>
      <w:tr w14:paraId="3BBD5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D5FAF">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sz w:val="24"/>
                <w:szCs w:val="24"/>
                <w:highlight w:val="none"/>
                <w:u w:val="none"/>
                <w:lang w:val="en-US" w:eastAsia="zh-CN" w:bidi="ar"/>
              </w:rPr>
              <w:t>宿迁全市标准化考点启用情况表</w:t>
            </w:r>
          </w:p>
        </w:tc>
      </w:tr>
      <w:tr w14:paraId="35929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DC94">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sz w:val="28"/>
                <w:szCs w:val="28"/>
                <w:highlight w:val="none"/>
                <w:u w:val="none"/>
                <w:lang w:val="en-US" w:eastAsia="zh-CN" w:bidi="ar"/>
              </w:rPr>
              <w:t>一、市直考点</w:t>
            </w:r>
          </w:p>
        </w:tc>
      </w:tr>
      <w:tr w14:paraId="51A54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FE6F4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2BE35">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考试项目</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E775F">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考试年月</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90634">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预启用标准化考点</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8D1E1">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预计考生数量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154E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启用考场数量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6D9C4">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考务通数量</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0899A">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是否启用智能巡查</w:t>
            </w:r>
          </w:p>
        </w:tc>
      </w:tr>
      <w:tr w14:paraId="556AA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D6A1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2456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高考艺术省统考（美术、音乐、书法、表导演）</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4D8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2026.12</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E6E4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宿迁市文昌高级中学（宿豫实高）</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FF43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最大1200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5E5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B929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2288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02BC3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28E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3C96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研究生考试笔试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B7EF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2026.12</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6ECA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宿迁学院、钟吾初中（崇文初中、宿豫中专）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BEC48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0D8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220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C5F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275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02E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3A55E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3984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B6C3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学考信息技术考试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5EDD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2F58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宿迁中学、马陵中学、宿豫中学、第一高中、宿豫实高、文昌高中、湖滨高中（洋河高中）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1EE9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高二16000+1000补考</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628A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34</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BC89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C43D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1CE2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496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4918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学考文化考试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B61F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4AED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宿迁中学、马陵中学、宿豫中学、第一高中、宿豫实高、文昌高中、湖滨高中（自建）、宿豫中专（洋河高中）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1378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高二16000+2000补考</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A37B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626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3B7A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13A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A28E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A12B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409A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职教高考文化考试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42A8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C8F18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开放大学（自建，SIP+专线）、泽达学院（自建）、宿豫中专、宿城中专、宿迁幼专、宿豫中专、（宿迁卫校）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1AAB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073B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5390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DBC1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9ECA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C59B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A2D3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677D6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5D92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宿迁中学、马陵中学、宿豫中学、宿豫实高、文昌高中、第一高中（湖滨高中）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F9B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0D0F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426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B48F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561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2D299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5BA6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AE9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自学考试（增考）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138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129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南师附中城北路校区（宿豫中专）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3FCC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8917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F04C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431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7328E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6CFF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EBCA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自学考试（增考）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BE0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2027.7</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5134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南师附中城北路校区（宿豫中专）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C887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3FDE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7764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2199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4BD8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5B66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358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全国计算机等级考试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AD69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2026.9</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FF37F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宿迁开放大学、宿迁泽达职业技术学院（自建）、宿迁职业技术学院（自建）、宿迁学院、宿迁卫生中等专业学校（自建）、江苏省淮海技师学院（自建）、幼儿师范高等专科学校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7AB8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8B982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6D38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70D9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C49F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35DF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C36B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全国计算机等级考试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88E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2027.3</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0677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宿迁开放大学、宿迁泽达职业技术学院、宿迁职业技术学院、宿迁学院、宿迁卫生中等专业学校、江苏省淮海技师学院、幼儿师范高等专科学校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48C5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593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8E9F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B1C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FB0E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F1F5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1725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教师资格面试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255E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2026.12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D9C7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宿迁高师（宿迁中专、宿豫中专）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6ED1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C0E0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B7C96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D57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BAF1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245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0626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教师资格面试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7FF2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2026.12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1B8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宿迁高师（宿迁中专、宿豫中专）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789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0A0C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FCDC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1A44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B3BC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2D0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47A0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成人高考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1EF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2026.10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9FA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宿迁幼专、钟吾初中、崇文初中、（泽达学院）</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83DE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A3A6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83C4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240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4689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8081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21E4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7834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17B8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6307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钟吾初中、崇文初中、厦门路实验学校、经开区第一实验学校、洋河初级中学、宿迁市苏州外国语实验学校、湖滨海门实验</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3A7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00E9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200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CBF7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D63A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6DAE2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4F0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A048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中职学考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235D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5225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泽达、开放大学(宿迁卫校)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8DCB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F46B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3A1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F239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w:t>
            </w:r>
          </w:p>
        </w:tc>
      </w:tr>
      <w:tr w14:paraId="727D4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A035">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二、宿城区</w:t>
            </w:r>
          </w:p>
        </w:tc>
      </w:tr>
      <w:tr w14:paraId="1C979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1154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43DC6">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考试项目</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494AA">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考试年月</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42B5A7">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预启用标准化考点（考场数）</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CB77F">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预计考生数量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CEEB2">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启用考场数量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5EDB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考务通数量</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24F87">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是否启用智能巡查</w:t>
            </w:r>
          </w:p>
        </w:tc>
      </w:tr>
      <w:tr w14:paraId="066E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932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ADFF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3F5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EB4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南师附中城北路校区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8EAD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BC840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84A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9DD4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9111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8035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CD8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B183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A784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南师附中城北路校区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3CF9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F787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B02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3A94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0E0A1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D6B63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E70A4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成人高考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6399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A6ED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南师附中城北路校区、宿城中专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DEE8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B073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876D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5BD1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048C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114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314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中职学考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D317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DC35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宿城中专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82A4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2100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AA1F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EB7C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4051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42923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37C0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0A0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全国计算机等级考试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14EB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2026.9</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8E5B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宿城中专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410D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D41F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813D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0FD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C08F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C2D6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1357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46A9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E5E6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南师附中宿迁分校成子湖校区</w:t>
            </w:r>
            <w:r>
              <w:rPr>
                <w:rStyle w:val="238"/>
                <w:rFonts w:hint="eastAsia" w:ascii="仿宋" w:hAnsi="仿宋" w:eastAsia="仿宋" w:cs="仿宋"/>
                <w:color w:val="auto"/>
                <w:sz w:val="20"/>
                <w:szCs w:val="20"/>
                <w:highlight w:val="none"/>
                <w:lang w:val="en-US" w:eastAsia="zh-CN" w:bidi="ar"/>
              </w:rPr>
              <w:t>（自建，SIP+专线）</w:t>
            </w:r>
            <w:r>
              <w:rPr>
                <w:rStyle w:val="239"/>
                <w:rFonts w:hint="eastAsia" w:ascii="仿宋" w:hAnsi="仿宋" w:eastAsia="仿宋" w:cs="仿宋"/>
                <w:color w:val="auto"/>
                <w:sz w:val="20"/>
                <w:szCs w:val="20"/>
                <w:highlight w:val="none"/>
                <w:lang w:val="en-US" w:eastAsia="zh-CN" w:bidi="ar"/>
              </w:rPr>
              <w:t>、宿城中专、黄海路初中、马陵高中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1BD1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3D6F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345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BC9D1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D6146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060F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330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38E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F6B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2026.9</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C3DD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南师附中宿迁分校成子湖校区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FD44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4800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3DBB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135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81EB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18F1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AE21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C5302">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三、宿豫区</w:t>
            </w:r>
          </w:p>
        </w:tc>
      </w:tr>
      <w:tr w14:paraId="572F8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02EB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FC32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考试项目</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0814">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考试年月</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EB5C">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预启用标准化考点</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2559F">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预计考生数量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1AF1D">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启用考场数量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B1EF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考务通数量</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A691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是否启用智能巡查</w:t>
            </w:r>
          </w:p>
        </w:tc>
      </w:tr>
      <w:tr w14:paraId="52FB0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ED1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E952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成人高考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19D20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180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宿迁技师学院</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7F7B4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CCDB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FDDC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F744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A641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B56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40E0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4507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20D6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宿迁技师学院</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4A3E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425B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A2F5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DDF1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C53F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1AD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FA0F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中职学考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FDA7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990F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宿迁技师学院</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D99A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64EC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9A62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B5F12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48FD8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1F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54EC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8FED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2027.3</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3083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宿迁技师学院</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6ABE6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724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EEF2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190B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4C018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DEDD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D20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7698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D11C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宿迁技师学院</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5CD5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69FD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C8F3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15DC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4A4E5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617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AB9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81E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F774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宿迁技师学院、玉泉山路、豫新小学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DB60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8636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255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424C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7F8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8100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E04B4">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四、沭阳县</w:t>
            </w:r>
          </w:p>
        </w:tc>
      </w:tr>
      <w:tr w14:paraId="36551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E0D4">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852BA">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考试项目</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A35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考试年月</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26455">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预启用标准化考点</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92610">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预计考生数量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27CF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启用考场数量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CB398">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考务通数量</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B6D0C7">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是否启用智能巡查</w:t>
            </w:r>
          </w:p>
        </w:tc>
      </w:tr>
      <w:tr w14:paraId="0C72B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8763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C48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高考艺术省统考（美术）</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6D9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2026.12</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E9D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华冲高级中学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167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2100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83BA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6C778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0DA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27996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DD0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C2AD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学考信息技术考试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6C4F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24C5F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沭阳如东中学、沭阳高级中学、建陵高级中学、华冲高级中学、塘沟高级中学</w:t>
            </w:r>
            <w:r>
              <w:rPr>
                <w:rStyle w:val="238"/>
                <w:rFonts w:hint="eastAsia" w:ascii="仿宋" w:hAnsi="仿宋" w:eastAsia="仿宋" w:cs="仿宋"/>
                <w:color w:val="auto"/>
                <w:sz w:val="20"/>
                <w:szCs w:val="20"/>
                <w:highlight w:val="none"/>
                <w:lang w:val="en-US" w:eastAsia="zh-CN" w:bidi="ar"/>
              </w:rPr>
              <w:t>（自建）</w:t>
            </w:r>
            <w:r>
              <w:rPr>
                <w:rFonts w:hint="eastAsia" w:ascii="仿宋" w:hAnsi="仿宋" w:eastAsia="仿宋" w:cs="仿宋"/>
                <w:i w:val="0"/>
                <w:iCs w:val="0"/>
                <w:color w:val="auto"/>
                <w:sz w:val="20"/>
                <w:szCs w:val="20"/>
                <w:highlight w:val="none"/>
                <w:u w:val="none"/>
                <w:lang w:val="en-US" w:eastAsia="zh-CN" w:bidi="ar"/>
              </w:rPr>
              <w:t>、修远中学、梦溪中学、潼阳中学、正德中学、南湖高级中学</w:t>
            </w:r>
            <w:r>
              <w:rPr>
                <w:rStyle w:val="238"/>
                <w:rFonts w:hint="eastAsia" w:ascii="仿宋" w:hAnsi="仿宋" w:eastAsia="仿宋" w:cs="仿宋"/>
                <w:color w:val="auto"/>
                <w:sz w:val="20"/>
                <w:szCs w:val="20"/>
                <w:highlight w:val="none"/>
                <w:lang w:val="en-US" w:eastAsia="zh-CN" w:bidi="ar"/>
              </w:rPr>
              <w:t>（自建）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B8E1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高二19000+1000补考</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AA76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331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6710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BA3F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F3B1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33ED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学考文化考试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BA68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9FA35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沭阳如东中学、沭阳高级中学、建陵高级中学、华冲高级中学、塘沟高级中学</w:t>
            </w:r>
            <w:r>
              <w:rPr>
                <w:rStyle w:val="238"/>
                <w:rFonts w:hint="eastAsia" w:ascii="仿宋" w:hAnsi="仿宋" w:eastAsia="仿宋" w:cs="仿宋"/>
                <w:color w:val="auto"/>
                <w:sz w:val="20"/>
                <w:szCs w:val="20"/>
                <w:highlight w:val="none"/>
                <w:lang w:val="en-US" w:eastAsia="zh-CN" w:bidi="ar"/>
              </w:rPr>
              <w:t>（自建）</w:t>
            </w:r>
            <w:r>
              <w:rPr>
                <w:rStyle w:val="239"/>
                <w:rFonts w:hint="eastAsia" w:ascii="仿宋" w:hAnsi="仿宋" w:eastAsia="仿宋" w:cs="仿宋"/>
                <w:color w:val="auto"/>
                <w:sz w:val="20"/>
                <w:szCs w:val="20"/>
                <w:highlight w:val="none"/>
                <w:lang w:val="en-US" w:eastAsia="zh-CN" w:bidi="ar"/>
              </w:rPr>
              <w:t>、修远中学、梦溪中学、沭阳如东实验学校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4CC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高二19000+2100补考</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D2C5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703</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07EF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19EA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0F041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97C0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F95E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教师资格考试笔试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6CB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2027.3</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F4F8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B22B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1800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46E5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4DFB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5D95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F5F2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020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65B6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E153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1FAF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1FD8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CFC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BB75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DE9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795C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94B2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F13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职教高考文化考试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70907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B3F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C29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2700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F68A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B61A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847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0FBEE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90A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C73F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2DC5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9E9B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沭阳如东中学、沭阳高级中学、建陵高级中学、 怀文学府路校区、梦溪中学、沭阳如东实验学校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0666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ADAE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FEF3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D2F4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3CD6A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043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6A40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E20D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6D4B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沭阳如东中学、沭阳高级中学、建陵高级中学、华冲高级中学、塘沟高级中学</w:t>
            </w:r>
            <w:r>
              <w:rPr>
                <w:rStyle w:val="238"/>
                <w:rFonts w:hint="eastAsia" w:ascii="仿宋" w:hAnsi="仿宋" w:eastAsia="仿宋" w:cs="仿宋"/>
                <w:color w:val="auto"/>
                <w:sz w:val="20"/>
                <w:szCs w:val="20"/>
                <w:highlight w:val="none"/>
                <w:lang w:val="en-US" w:eastAsia="zh-CN" w:bidi="ar"/>
              </w:rPr>
              <w:t>（自建）</w:t>
            </w:r>
            <w:r>
              <w:rPr>
                <w:rStyle w:val="239"/>
                <w:rFonts w:hint="eastAsia" w:ascii="仿宋" w:hAnsi="仿宋" w:eastAsia="仿宋" w:cs="仿宋"/>
                <w:color w:val="auto"/>
                <w:sz w:val="20"/>
                <w:szCs w:val="20"/>
                <w:highlight w:val="none"/>
                <w:lang w:val="en-US" w:eastAsia="zh-CN" w:bidi="ar"/>
              </w:rPr>
              <w:t>、南湖高级中学</w:t>
            </w:r>
            <w:r>
              <w:rPr>
                <w:rStyle w:val="238"/>
                <w:rFonts w:hint="eastAsia" w:ascii="仿宋" w:hAnsi="仿宋" w:eastAsia="仿宋" w:cs="仿宋"/>
                <w:color w:val="auto"/>
                <w:sz w:val="20"/>
                <w:szCs w:val="20"/>
                <w:highlight w:val="none"/>
                <w:lang w:val="en-US" w:eastAsia="zh-CN" w:bidi="ar"/>
              </w:rPr>
              <w:t>（自建）</w:t>
            </w:r>
            <w:r>
              <w:rPr>
                <w:rStyle w:val="239"/>
                <w:rFonts w:hint="eastAsia" w:ascii="仿宋" w:hAnsi="仿宋" w:eastAsia="仿宋" w:cs="仿宋"/>
                <w:color w:val="auto"/>
                <w:sz w:val="20"/>
                <w:szCs w:val="20"/>
                <w:highlight w:val="none"/>
                <w:lang w:val="en-US" w:eastAsia="zh-CN" w:bidi="ar"/>
              </w:rPr>
              <w:t>、修远中学、梦溪中学、沭阳如东实验学校、怀文学府路校区、怀文宁波路校区、实验中学、沭河中学、智慧路初中、外国语初中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3351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67CC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40FE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997A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29DA5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7A1F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F2FD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教师资格考试笔试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ED0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2027.9</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7F28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22A4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1800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86B3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37B2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0A24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FDA9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B64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C924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B708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51C7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3366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51B1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97EF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B506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AE2E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83C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16DB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中职学考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6B69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03FA4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沭阳中专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772C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4EDD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BAE3D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E2F0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A809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EC5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五、泗洪县</w:t>
            </w:r>
          </w:p>
        </w:tc>
      </w:tr>
      <w:tr w14:paraId="1F41E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91DC">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A3D8C">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考试项目</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46AF7">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考试年月</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C861">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预启用标准化考点</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BC8E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预计考生数量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BF30C">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启用考场数量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DE67C">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考务通数量</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02056">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是否启用智能巡查</w:t>
            </w:r>
          </w:p>
        </w:tc>
      </w:tr>
      <w:tr w14:paraId="49626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0CC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173" w:type="dxa"/>
            <w:tcBorders>
              <w:top w:val="single" w:color="000000" w:sz="4" w:space="0"/>
              <w:left w:val="single" w:color="000000" w:sz="4" w:space="0"/>
              <w:bottom w:val="nil"/>
              <w:right w:val="single" w:color="000000" w:sz="4" w:space="0"/>
            </w:tcBorders>
            <w:shd w:val="clear" w:color="auto" w:fill="auto"/>
            <w:noWrap w:val="0"/>
            <w:vAlign w:val="center"/>
          </w:tcPr>
          <w:p w14:paraId="0100758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高考艺术省统考</w:t>
            </w:r>
            <w:r>
              <w:rPr>
                <w:rFonts w:hint="eastAsia" w:ascii="仿宋" w:hAnsi="仿宋" w:eastAsia="仿宋" w:cs="仿宋"/>
                <w:i w:val="0"/>
                <w:iCs w:val="0"/>
                <w:color w:val="auto"/>
                <w:sz w:val="20"/>
                <w:szCs w:val="20"/>
                <w:highlight w:val="none"/>
                <w:u w:val="none"/>
                <w:lang w:val="en-US" w:eastAsia="zh-CN" w:bidi="ar"/>
              </w:rPr>
              <w:br w:type="textWrapping"/>
            </w:r>
            <w:r>
              <w:rPr>
                <w:rFonts w:hint="eastAsia" w:ascii="仿宋" w:hAnsi="仿宋" w:eastAsia="仿宋" w:cs="仿宋"/>
                <w:i w:val="0"/>
                <w:iCs w:val="0"/>
                <w:color w:val="auto"/>
                <w:sz w:val="20"/>
                <w:szCs w:val="20"/>
                <w:highlight w:val="none"/>
                <w:u w:val="none"/>
                <w:lang w:val="en-US" w:eastAsia="zh-CN" w:bidi="ar"/>
              </w:rPr>
              <w:t>（美术）</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16F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2026.12</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12B5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淮北中学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FA4B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最大1200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56D9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0584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63E6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2A91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FD7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27E4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学考信息技术考试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79EC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BE7B5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泗洪中学、淮北中学、姜堰高级中学、第一高级中学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6866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高二10500+800补考</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A7F62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09C2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EEB47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73107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75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4A47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学考文化考试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0613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2027.1</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7535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泗洪中学、淮北中学、育才实验学校、第一高级中学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7E35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高二10500+1600补考</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6721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416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7D90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080B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E47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D960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91BD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职教高考文化考试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ACA0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6BE45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育才实验学校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652F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2700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C5D4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BDF9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4CAB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7670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FE6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3BD8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6A78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4DA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泗洪中学、淮北中学、姜堰高级中学、第一高级中学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D821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4FB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286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52A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5C9B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0F415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7FCC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08B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70D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2027.4</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42EA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明德学校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C5A6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4E95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DDE30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41AA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6FC4A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DD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80FD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8383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2026.10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CECA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明德学校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1F1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B6C0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9CFF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22D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5C3F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452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125E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557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2027.6</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C750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泗洪中学、淮北中学、姜堰高级中学、第一高级中学、育才实验学校、第一实验、第二实验、明德学校、姜堰实验学校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6E7F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6A6E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676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CEB7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D720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2248D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CD2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6116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BE8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2027.3</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12B2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泗洪县姜堰实验学校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3CC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45EE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3AA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D5CE4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CF70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AFFC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3834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F2D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2027.9</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44FE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泗洪县姜堰实验学校</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D25C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1F3E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D498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D2CA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EEF8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6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5ECA">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六、泗阳县</w:t>
            </w:r>
          </w:p>
        </w:tc>
      </w:tr>
      <w:tr w14:paraId="35CC5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4083">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F9B6">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考试项目</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F0D9">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考试年月</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9DC8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预启用标准化考点</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FD615">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预计考生数量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45CD2">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启用考场数量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38B6B">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考务通数量</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F66D0">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sz w:val="20"/>
                <w:szCs w:val="20"/>
                <w:highlight w:val="none"/>
                <w:u w:val="none"/>
                <w:lang w:val="en-US" w:eastAsia="zh-CN" w:bidi="ar"/>
              </w:rPr>
              <w:t>是否启用智能巡查</w:t>
            </w:r>
          </w:p>
        </w:tc>
      </w:tr>
      <w:tr w14:paraId="23C23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904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2D62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教师资格考试笔试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955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2026.09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ECF7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泗阳中专</w:t>
            </w:r>
            <w:r>
              <w:rPr>
                <w:rStyle w:val="238"/>
                <w:rFonts w:hint="eastAsia" w:ascii="仿宋" w:hAnsi="仿宋" w:eastAsia="仿宋" w:cs="仿宋"/>
                <w:color w:val="auto"/>
                <w:sz w:val="20"/>
                <w:szCs w:val="20"/>
                <w:highlight w:val="none"/>
                <w:lang w:val="en-US" w:eastAsia="zh-CN" w:bidi="ar"/>
              </w:rPr>
              <w:t>（自建，SIP+专线）</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B3A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151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5B9F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C122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9470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6638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3771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全国计算机等级考试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4E81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2026.09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5C35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泗阳中专、成子湖中专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3879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26C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49D9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DD3E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2FA2E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47E0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ECCE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成人高考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70CC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2026.10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B7E5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县实验初中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EDA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DCA2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016B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7E1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4A292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09DD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BFE8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C50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2026.10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47F1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致远中学繁荣路校区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69CA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4832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EBAF2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9D5A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E3A0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F9A6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A8DD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中职学考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E404E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2027.11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0660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泗阳中专、成子湖中专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72B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39FC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30F4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6FD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53D1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D4F3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94E6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高考艺术省统考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34B9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2026.12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2E12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致远中学泗阳大道校区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E4725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60D2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7B64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B154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2623B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3B5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95C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合格性考试(机试)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539E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2027.01 </w:t>
            </w:r>
          </w:p>
        </w:tc>
        <w:tc>
          <w:tcPr>
            <w:tcW w:w="3150" w:type="dxa"/>
            <w:tcBorders>
              <w:top w:val="single" w:color="000000" w:sz="4" w:space="0"/>
              <w:left w:val="single" w:color="000000" w:sz="4" w:space="0"/>
              <w:bottom w:val="nil"/>
              <w:right w:val="single" w:color="000000" w:sz="4" w:space="0"/>
            </w:tcBorders>
            <w:shd w:val="clear" w:color="auto" w:fill="auto"/>
            <w:noWrap w:val="0"/>
            <w:vAlign w:val="center"/>
          </w:tcPr>
          <w:p w14:paraId="6954DBD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泗阳中学、致远中学、桃州中学、实验高中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633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D0F3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89F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41C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11009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602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1B1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合格性考试(笔试)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5AB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2027.01 </w:t>
            </w:r>
          </w:p>
        </w:tc>
        <w:tc>
          <w:tcPr>
            <w:tcW w:w="3150" w:type="dxa"/>
            <w:tcBorders>
              <w:top w:val="single" w:color="000000" w:sz="4" w:space="0"/>
              <w:left w:val="single" w:color="000000" w:sz="4" w:space="0"/>
              <w:bottom w:val="nil"/>
              <w:right w:val="single" w:color="000000" w:sz="4" w:space="0"/>
            </w:tcBorders>
            <w:shd w:val="clear" w:color="auto" w:fill="auto"/>
            <w:noWrap w:val="0"/>
            <w:vAlign w:val="center"/>
          </w:tcPr>
          <w:p w14:paraId="5C225A3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泗阳中学、致远中学、实验高中、桃州中学</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A22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91F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370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FC7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FD63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5EAE8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92D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24C0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全国计算机等级考试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CE6679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2027.03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AFB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泗阳中专、成子湖中专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AA1138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E7BE3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00FCC4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ABF82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7DAF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6C0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28A3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教师资格考试笔试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E77A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2027.03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0100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30AA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5B19A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E3BBC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4ED0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45646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6B4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ECD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D139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2027.04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0B0D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致远中学繁荣路校区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956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98A1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7AC4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8DC5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71DF2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591E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F8D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中职职教高考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6FF1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2027.04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C9A6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泗阳中专、成子湖中专</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B74E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C7B2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4BDE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E7E6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35187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D4D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869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5F55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2027.06 </w:t>
            </w:r>
          </w:p>
        </w:tc>
        <w:tc>
          <w:tcPr>
            <w:tcW w:w="3150" w:type="dxa"/>
            <w:tcBorders>
              <w:top w:val="single" w:color="000000" w:sz="4" w:space="0"/>
              <w:left w:val="single" w:color="000000" w:sz="4" w:space="0"/>
              <w:bottom w:val="nil"/>
              <w:right w:val="single" w:color="000000" w:sz="4" w:space="0"/>
            </w:tcBorders>
            <w:shd w:val="clear" w:color="auto" w:fill="auto"/>
            <w:noWrap w:val="0"/>
            <w:vAlign w:val="center"/>
          </w:tcPr>
          <w:p w14:paraId="78EE646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泗阳中学、致远中学、实验高中、桃州中学、实验初中</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0958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F8FA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350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7AA7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lang w:val="en-US"/>
              </w:rPr>
            </w:pPr>
            <w:r>
              <w:rPr>
                <w:rFonts w:hint="eastAsia" w:ascii="仿宋" w:hAnsi="仿宋" w:eastAsia="仿宋" w:cs="仿宋"/>
                <w:i w:val="0"/>
                <w:iCs w:val="0"/>
                <w:color w:val="auto"/>
                <w:sz w:val="20"/>
                <w:szCs w:val="20"/>
                <w:highlight w:val="none"/>
                <w:u w:val="none"/>
                <w:lang w:val="en-US" w:eastAsia="zh-CN" w:bidi="ar"/>
              </w:rPr>
              <w:t>400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293C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6CA2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976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65A7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自学考试</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6D2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2027.07 </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21CF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致远中学繁荣路校区</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961B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0823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B6D0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6B74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否</w:t>
            </w:r>
          </w:p>
        </w:tc>
      </w:tr>
      <w:tr w14:paraId="75433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C5D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A958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中考</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BAA0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 xml:space="preserve">2027.06 </w:t>
            </w:r>
          </w:p>
        </w:tc>
        <w:tc>
          <w:tcPr>
            <w:tcW w:w="3150" w:type="dxa"/>
            <w:tcBorders>
              <w:top w:val="single" w:color="000000" w:sz="4" w:space="0"/>
              <w:left w:val="single" w:color="000000" w:sz="4" w:space="0"/>
              <w:bottom w:val="nil"/>
              <w:right w:val="single" w:color="000000" w:sz="4" w:space="0"/>
            </w:tcBorders>
            <w:shd w:val="clear" w:color="auto" w:fill="auto"/>
            <w:noWrap w:val="0"/>
            <w:vAlign w:val="center"/>
          </w:tcPr>
          <w:p w14:paraId="12181D0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泗阳中学、致远中学上海路校区、实验高中、桃州中学、县实验初中、致远中学繁荣路校区、泗阳中学附属初中（自建，SIP+专线）</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5B3B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17000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6FAB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600</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09E9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670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BDA5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是</w:t>
            </w:r>
          </w:p>
        </w:tc>
      </w:tr>
      <w:tr w14:paraId="7B740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640" w:type="dxa"/>
            <w:gridSpan w:val="8"/>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16931">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lang w:val="en-US" w:eastAsia="zh-CN" w:bidi="ar"/>
              </w:rPr>
            </w:pPr>
            <w:r>
              <w:rPr>
                <w:rFonts w:hint="eastAsia" w:ascii="仿宋" w:hAnsi="仿宋" w:eastAsia="仿宋" w:cs="仿宋"/>
                <w:i w:val="0"/>
                <w:iCs w:val="0"/>
                <w:color w:val="auto"/>
                <w:sz w:val="20"/>
                <w:szCs w:val="20"/>
                <w:highlight w:val="none"/>
                <w:u w:val="none"/>
                <w:lang w:val="en-US" w:eastAsia="zh-CN" w:bidi="ar"/>
              </w:rPr>
              <w:t>备注：1、启用考点设备维保未到期由原维保商负责，到期后由中标单位负责考试期间设备维保。考试期间，中标单位负责设备联调联试、现场保障，指导考点OSD等系统进行设置。</w:t>
            </w:r>
          </w:p>
          <w:p w14:paraId="16A762A9">
            <w:pPr>
              <w:keepNext w:val="0"/>
              <w:keepLines w:val="0"/>
              <w:widowControl/>
              <w:numPr>
                <w:ilvl w:val="0"/>
                <w:numId w:val="3"/>
              </w:numPr>
              <w:suppressLineNumbers w:val="0"/>
              <w:spacing w:before="0" w:beforeAutospacing="0" w:after="0" w:afterAutospacing="0"/>
              <w:ind w:left="600" w:right="0" w:firstLine="0"/>
              <w:jc w:val="left"/>
              <w:rPr>
                <w:rFonts w:hint="eastAsia" w:ascii="仿宋" w:hAnsi="仿宋" w:eastAsia="仿宋" w:cs="仿宋"/>
                <w:i w:val="0"/>
                <w:iCs w:val="0"/>
                <w:color w:val="auto"/>
                <w:sz w:val="20"/>
                <w:szCs w:val="20"/>
                <w:highlight w:val="none"/>
                <w:u w:val="none"/>
                <w:lang w:val="en-US" w:eastAsia="zh-CN" w:bidi="ar"/>
              </w:rPr>
            </w:pPr>
            <w:r>
              <w:rPr>
                <w:rFonts w:hint="eastAsia" w:ascii="仿宋" w:hAnsi="仿宋" w:eastAsia="仿宋" w:cs="仿宋"/>
                <w:i w:val="0"/>
                <w:iCs w:val="0"/>
                <w:color w:val="auto"/>
                <w:sz w:val="20"/>
                <w:szCs w:val="20"/>
                <w:highlight w:val="none"/>
                <w:u w:val="none"/>
                <w:lang w:val="en-US" w:eastAsia="zh-CN" w:bidi="ar"/>
              </w:rPr>
              <w:t>以上考生人数及考场数为测算数，实际考场数可能发生变化，如实际考场数上浮10%以内，中标方无条件做好服务，不增加费用。</w:t>
            </w:r>
          </w:p>
          <w:p w14:paraId="314571A8">
            <w:pPr>
              <w:keepNext w:val="0"/>
              <w:keepLines w:val="0"/>
              <w:widowControl/>
              <w:numPr>
                <w:ilvl w:val="0"/>
                <w:numId w:val="3"/>
              </w:numPr>
              <w:suppressLineNumbers w:val="0"/>
              <w:spacing w:before="0" w:beforeAutospacing="0" w:after="0" w:afterAutospacing="0"/>
              <w:ind w:left="600" w:right="0" w:firstLine="0"/>
              <w:jc w:val="left"/>
              <w:rPr>
                <w:rFonts w:hint="eastAsia" w:ascii="仿宋" w:hAnsi="仿宋" w:eastAsia="仿宋" w:cs="仿宋"/>
                <w:i w:val="0"/>
                <w:iCs w:val="0"/>
                <w:color w:val="auto"/>
                <w:sz w:val="20"/>
                <w:szCs w:val="20"/>
                <w:highlight w:val="none"/>
                <w:u w:val="none"/>
                <w:lang w:val="en-US" w:eastAsia="zh-CN" w:bidi="ar"/>
              </w:rPr>
            </w:pPr>
            <w:r>
              <w:rPr>
                <w:rFonts w:hint="eastAsia" w:ascii="仿宋" w:hAnsi="仿宋" w:eastAsia="仿宋" w:cs="仿宋"/>
                <w:i w:val="0"/>
                <w:iCs w:val="0"/>
                <w:color w:val="auto"/>
                <w:sz w:val="20"/>
                <w:szCs w:val="20"/>
                <w:highlight w:val="none"/>
                <w:u w:val="none"/>
                <w:lang w:val="en-US" w:eastAsia="zh-CN" w:bidi="ar"/>
              </w:rPr>
              <w:t>各考点考场、考务通道、考务室、司铃室、监控室等标准化考点实施设备，纳入标准化考点统一管理。高考考点考务通道须覆盖试卷流转全线路。</w:t>
            </w:r>
          </w:p>
        </w:tc>
      </w:tr>
      <w:tr w14:paraId="20846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640"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37244">
            <w:pPr>
              <w:keepNext w:val="0"/>
              <w:keepLines w:val="0"/>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p>
        </w:tc>
      </w:tr>
      <w:bookmarkEnd w:id="125"/>
      <w:bookmarkEnd w:id="126"/>
    </w:tbl>
    <w:p w14:paraId="350F20E6">
      <w:pPr>
        <w:rPr>
          <w:rFonts w:hint="eastAsia" w:ascii="仿宋" w:hAnsi="仿宋" w:eastAsia="仿宋" w:cs="仿宋"/>
          <w:color w:val="auto"/>
          <w:highlight w:val="none"/>
          <w:lang w:val="en-US" w:eastAsia="zh-CN"/>
        </w:rPr>
      </w:pPr>
    </w:p>
    <w:p w14:paraId="3F0A5D3F">
      <w:pPr>
        <w:pStyle w:val="5"/>
        <w:keepNext/>
        <w:keepLines/>
        <w:pageBreakBefore w:val="0"/>
        <w:widowControl w:val="0"/>
        <w:spacing w:before="0" w:after="0" w:line="600" w:lineRule="exact"/>
        <w:ind w:firstLine="480"/>
        <w:rPr>
          <w:rFonts w:hint="eastAsia" w:ascii="仿宋" w:hAnsi="仿宋" w:eastAsia="仿宋" w:cs="仿宋"/>
          <w:b w:val="0"/>
          <w:bCs/>
          <w:color w:val="auto"/>
          <w:sz w:val="24"/>
          <w:szCs w:val="24"/>
          <w:highlight w:val="none"/>
          <w:lang w:val="en-US" w:eastAsia="zh-CN"/>
        </w:rPr>
      </w:pPr>
      <w:bookmarkStart w:id="127" w:name="_Toc28748"/>
      <w:bookmarkStart w:id="128" w:name="_Toc6891"/>
      <w:r>
        <w:rPr>
          <w:rFonts w:hint="eastAsia" w:ascii="仿宋" w:hAnsi="仿宋" w:eastAsia="仿宋" w:cs="仿宋"/>
          <w:b w:val="0"/>
          <w:bCs/>
          <w:color w:val="auto"/>
          <w:sz w:val="24"/>
          <w:szCs w:val="24"/>
          <w:highlight w:val="none"/>
          <w:lang w:val="en-US" w:eastAsia="zh-CN"/>
        </w:rPr>
        <w:t>3.2考点设备维保清单</w:t>
      </w:r>
    </w:p>
    <w:tbl>
      <w:tblPr>
        <w:tblStyle w:val="31"/>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01"/>
      </w:tblGrid>
      <w:tr w14:paraId="219AB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701" w:type="dxa"/>
            <w:tcBorders>
              <w:top w:val="nil"/>
              <w:left w:val="nil"/>
              <w:bottom w:val="nil"/>
              <w:right w:val="nil"/>
            </w:tcBorders>
            <w:shd w:val="clear" w:color="auto" w:fill="auto"/>
            <w:noWrap/>
            <w:vAlign w:val="center"/>
          </w:tcPr>
          <w:p w14:paraId="0F5D1A2D">
            <w:pPr>
              <w:keepNext w:val="0"/>
              <w:keepLines w:val="0"/>
              <w:pageBreakBefore w:val="0"/>
              <w:widowControl/>
              <w:suppressLineNumbers w:val="0"/>
              <w:spacing w:before="0" w:beforeAutospacing="0" w:after="0" w:afterAutospacing="0" w:line="480" w:lineRule="exact"/>
              <w:ind w:left="0" w:right="0" w:firstLine="480"/>
              <w:jc w:val="both"/>
              <w:outlineLvl w:val="9"/>
              <w:rPr>
                <w:rFonts w:hint="eastAsia" w:ascii="仿宋" w:hAnsi="仿宋" w:eastAsia="仿宋" w:cs="仿宋"/>
                <w:i w:val="0"/>
                <w:iCs w:val="0"/>
                <w:color w:val="auto"/>
                <w:sz w:val="32"/>
                <w:szCs w:val="32"/>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本次服务范围涉及64个考点，其中2018年统计建设的考点36个，2019年以后建设的考点数28个，具体设备清单如下（设备数量仅供参考，潜在供应商如需了解实际数量，需自行组织实地勘察）：</w:t>
            </w:r>
          </w:p>
        </w:tc>
      </w:tr>
      <w:tr w14:paraId="27FDA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701" w:type="dxa"/>
            <w:tcBorders>
              <w:top w:val="nil"/>
              <w:left w:val="nil"/>
              <w:bottom w:val="nil"/>
              <w:right w:val="nil"/>
            </w:tcBorders>
            <w:shd w:val="clear" w:color="auto" w:fill="auto"/>
            <w:noWrap/>
            <w:vAlign w:val="center"/>
          </w:tcPr>
          <w:tbl>
            <w:tblPr>
              <w:tblStyle w:val="31"/>
              <w:tblW w:w="8384"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7"/>
              <w:gridCol w:w="1276"/>
              <w:gridCol w:w="783"/>
              <w:gridCol w:w="998"/>
              <w:gridCol w:w="2059"/>
              <w:gridCol w:w="1188"/>
              <w:gridCol w:w="707"/>
              <w:gridCol w:w="826"/>
            </w:tblGrid>
            <w:tr w14:paraId="378D0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2FCA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序号</w:t>
                  </w:r>
                </w:p>
              </w:tc>
              <w:tc>
                <w:tcPr>
                  <w:tcW w:w="12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E50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设备名称</w:t>
                  </w:r>
                </w:p>
              </w:tc>
              <w:tc>
                <w:tcPr>
                  <w:tcW w:w="384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DC1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2018建设</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228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2019年及以后建设</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3C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合计</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51C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备注</w:t>
                  </w:r>
                </w:p>
              </w:tc>
            </w:tr>
            <w:tr w14:paraId="5E78E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5B78F">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5244">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16EB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数量</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AF9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品牌</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6C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型号</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B9C5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数量</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09B37">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75A6F">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72374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3CA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BC301">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核心交换机</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0022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B82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H3C</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280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LS-5560X-30C-EI</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8A3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26</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8B5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62</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CC6A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0A478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E257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CB9AB">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接入交换机</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031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323</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19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H3C</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C8ED8">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LS-5130S-52TP-EI</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EC9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210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C8E1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533</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9D0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2233A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88D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E826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防火墙</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55C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EC19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迪普</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6D6A6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FW1000-ME-N</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F74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26</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BC8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62</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59E9F">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05DBB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8DB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D93A8">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考点综合考务移动终端（平板电脑）</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396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72</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CF5E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联想</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808B">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YOGA Tab3 Pro</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7C33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4</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B2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76</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33FCD">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1882C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393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12FF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考务管理机</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9A4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453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戴尔</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6C2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OptiPlex3046MT</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40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28</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444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64</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F334">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3142C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14D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61EB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网络音视频解码器</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013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C4C3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51A6">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CD-NVD4000K</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A8A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4F4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56</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DA38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0726E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3AD1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529A7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SIP服务器</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C89A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0868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B0C7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CD-SIP9000</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8B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26</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199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62</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FCCD">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21B36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1408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49AB6">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媒体分发服务器</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CC8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728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8FE8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CD-SIP9000</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10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98B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3E30">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305F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E43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8EF3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NVR存储</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BA8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125</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DF54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3A1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CD-NVR9000K</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F78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96</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0D74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221</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0EA0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1B1A6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96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28C47">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硬盘</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4218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250</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9AA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希捷</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CD0A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ST4000VX007</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B6F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192</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AEEE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442</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ED89E">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1382D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EF3F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7AE8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网上巡查配套管理软件</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339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717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A8C9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巡查管理平台</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4BB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26</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AC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62</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99E42">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0E6A0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BD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C1B8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高清半球摄像机</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78C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3396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FD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3EBE">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CD-IPC-HDBW9000E</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DC74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2269</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7B9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5665</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D48F">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4CDB7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2FB8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3C2B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高清枪式摄像机</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23A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72</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D0B8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大华</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BC325">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DH-IPC-HFW52XYZF-ABCD</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84B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214</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026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286</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EEE4">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5B85B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3633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40DD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拾音器</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D1A1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3468</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095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睿声</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C309">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RealSD-H805</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D22B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2269</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201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5737</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F4ACD">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4374E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2A7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9F1C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网络时钟终端（配套时钟管理平台）</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5C5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3488</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35A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烟台钟表</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DD73E">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YZF450S-N</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C4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2250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6FAA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5738</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C0BBE">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548B6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DD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2263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侦测服务器</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CDEB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19</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A7B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67EE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跨域mart-Spectrum侦测服务器</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79D8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7</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B76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26</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2EBE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631B5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F2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74CC6">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作弊防控管理服务器（含管理软件）</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24BB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C63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C2C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跨域无线信号监测屏蔽系统管理服务器</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5C83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27</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8EE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63</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66B2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2BDA8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1EA6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13BE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作弊防控屏蔽终端</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F83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1827</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666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0B4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跨域Smart-Shield 5000增强型考场无线信号屏蔽器</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E234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751</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EF0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2578</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3A90">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2268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B0B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82EE1">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屏蔽终端</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853E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1326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9D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BF9E">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跨域Smart-Shield增强型考场无线信号屏蔽器</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B93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1450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99A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2776</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96269">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1A2AA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396F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7578E">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考务终端（手持身份识别仪）</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833E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1927</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5A48">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神思</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55E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SS628-700B</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0BE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600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8792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2527</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AA162">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337A9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55A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02CD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手持式金属探测仪</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816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3153</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5DD2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跨域</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D5D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SUPER-SCAN 1000</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AFEF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2250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FED6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5403</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1A27">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12D53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15C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D4B6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液晶拼接屏</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81A7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132</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E61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大华</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3910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DHL550UCM-EF</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16B0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100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465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232</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A6A3C">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2ED22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DD56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5BAD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UPS（含电池组）</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074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FAE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英威腾</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55B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HR1106XL</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6A9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21</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38F6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57</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F70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p>
              </w:tc>
            </w:tr>
            <w:tr w14:paraId="44775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DA4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9701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传输电路</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25D8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36</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4DD95">
                  <w:pPr>
                    <w:keepNext w:val="0"/>
                    <w:keepLines w:val="0"/>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570F0">
                  <w:pPr>
                    <w:keepNext w:val="0"/>
                    <w:keepLines w:val="0"/>
                    <w:suppressLineNumbers w:val="0"/>
                    <w:spacing w:before="0" w:beforeAutospacing="0" w:after="0" w:afterAutospacing="0"/>
                    <w:ind w:left="0" w:right="0"/>
                    <w:jc w:val="left"/>
                    <w:rPr>
                      <w:rFonts w:hint="eastAsia" w:ascii="仿宋" w:hAnsi="仿宋" w:eastAsia="仿宋" w:cs="仿宋"/>
                      <w:i w:val="0"/>
                      <w:iCs w:val="0"/>
                      <w:color w:val="auto"/>
                      <w:sz w:val="20"/>
                      <w:szCs w:val="20"/>
                      <w:highlight w:val="none"/>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4D74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lang w:val="en-US" w:eastAsia="zh-CN" w:bidi="ar"/>
                    </w:rPr>
                    <w:t>28</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01B9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val="en-US" w:eastAsia="zh-CN" w:bidi="ar"/>
                    </w:rPr>
                    <w:t>64</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B00C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2"/>
                      <w:szCs w:val="22"/>
                      <w:highlight w:val="none"/>
                      <w:u w:val="none"/>
                    </w:rPr>
                  </w:pPr>
                </w:p>
              </w:tc>
            </w:tr>
          </w:tbl>
          <w:p w14:paraId="21BF1F65">
            <w:pPr>
              <w:pStyle w:val="232"/>
              <w:keepNext w:val="0"/>
              <w:keepLines w:val="0"/>
              <w:pageBreakBefore w:val="0"/>
              <w:widowControl w:val="0"/>
              <w:numPr>
                <w:ilvl w:val="0"/>
                <w:numId w:val="0"/>
              </w:numPr>
              <w:suppressLineNumbers w:val="0"/>
              <w:spacing w:before="0" w:beforeAutospacing="0" w:after="0" w:afterAutospacing="0" w:line="480" w:lineRule="exact"/>
              <w:ind w:left="0" w:righ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p w14:paraId="3ADEB0B1">
            <w:pPr>
              <w:pStyle w:val="232"/>
              <w:keepNext w:val="0"/>
              <w:keepLines w:val="0"/>
              <w:pageBreakBefore w:val="0"/>
              <w:widowControl w:val="0"/>
              <w:numPr>
                <w:ilvl w:val="0"/>
                <w:numId w:val="0"/>
              </w:numPr>
              <w:suppressLineNumbers w:val="0"/>
              <w:spacing w:before="0" w:beforeAutospacing="0" w:after="0" w:afterAutospacing="0" w:line="480" w:lineRule="exact"/>
              <w:ind w:left="0" w:righ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1.标准化考点-各区县指挥中心传输电路共计64条。</w:t>
            </w:r>
          </w:p>
          <w:p w14:paraId="52F7C63E">
            <w:pPr>
              <w:keepNext/>
              <w:keepLines/>
              <w:pageBreakBefore w:val="0"/>
              <w:widowControl w:val="0"/>
              <w:suppressLineNumbers w:val="0"/>
              <w:spacing w:before="0" w:beforeAutospacing="0" w:after="0" w:afterAutospacing="0" w:line="480" w:lineRule="exact"/>
              <w:ind w:left="0" w:right="0" w:firstLine="48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启用考点设备维保未到期由原维保单位负责，到期后由中标单位负责维保、现场保障。对于自建考点，提供SIP服务器维保服务（仅针对“SIP+专线”模式考点），考前检查网上巡查系统对接状态、对接调试、拉流测试、OSD检查等服务，考点内部各系统设备维保及考试保障由考点自行负责。</w:t>
            </w:r>
          </w:p>
          <w:p w14:paraId="5939E419">
            <w:pPr>
              <w:keepNext/>
              <w:keepLines/>
              <w:pageBreakBefore w:val="0"/>
              <w:widowControl w:val="0"/>
              <w:suppressLineNumbers w:val="0"/>
              <w:spacing w:before="0" w:beforeAutospacing="0" w:after="0" w:afterAutospacing="0" w:line="480" w:lineRule="exact"/>
              <w:ind w:left="0" w:right="0" w:firstLine="480"/>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3.2018年建设的考点主要设备技术参数如下所示。</w:t>
            </w:r>
          </w:p>
          <w:p w14:paraId="34005009">
            <w:pPr>
              <w:keepNext w:val="0"/>
              <w:keepLines w:val="0"/>
              <w:widowControl/>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附：2018年建设考点设备主要技术参数</w:t>
            </w:r>
          </w:p>
          <w:tbl>
            <w:tblPr>
              <w:tblStyle w:val="31"/>
              <w:tblW w:w="83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3"/>
              <w:gridCol w:w="812"/>
              <w:gridCol w:w="7016"/>
            </w:tblGrid>
            <w:tr w14:paraId="31EA7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nil"/>
                    <w:right w:val="single" w:color="000000" w:sz="4" w:space="0"/>
                  </w:tcBorders>
                  <w:shd w:val="clear" w:color="auto" w:fill="auto"/>
                  <w:noWrap/>
                  <w:vAlign w:val="center"/>
                </w:tcPr>
                <w:p w14:paraId="0E4FACA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序号</w:t>
                  </w:r>
                </w:p>
              </w:tc>
              <w:tc>
                <w:tcPr>
                  <w:tcW w:w="489" w:type="pct"/>
                  <w:tcBorders>
                    <w:top w:val="single" w:color="000000" w:sz="4" w:space="0"/>
                    <w:left w:val="single" w:color="000000" w:sz="4" w:space="0"/>
                    <w:bottom w:val="nil"/>
                    <w:right w:val="single" w:color="000000" w:sz="4" w:space="0"/>
                  </w:tcBorders>
                  <w:shd w:val="clear" w:color="auto" w:fill="auto"/>
                  <w:noWrap/>
                  <w:vAlign w:val="center"/>
                </w:tcPr>
                <w:p w14:paraId="6EA4B1B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设备名称</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991D">
                  <w:pPr>
                    <w:keepNext w:val="0"/>
                    <w:keepLines w:val="0"/>
                    <w:pageBreakBefore w:val="0"/>
                    <w:widowControl/>
                    <w:suppressLineNumbers w:val="0"/>
                    <w:spacing w:before="0" w:beforeAutospacing="0" w:after="0" w:afterAutospacing="0" w:line="28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主要技术参数</w:t>
                  </w:r>
                </w:p>
              </w:tc>
            </w:tr>
            <w:tr w14:paraId="03F8B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2C2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301A79C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核心交换机</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D59F">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1.整机性能 交换容量≥590Gbps，包转发率≥210Mpps，风扇和电源均采用内置冗余设计。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2.二层特性 支持基于端口、协议、子网和MAC的VLAN划分，支持QinQ，支持灵活QinQ</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3.三层特性 支持RIPv1/v2、OSPF；支持等价路由、策略路由支持OSPFv3、RIPng，如需软件授权支持则必须实际配置软件授权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4.QOS支持SP、WRR、WFQ、SP+WRR、WDRR等队列调度机制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5.业务特性 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7.管理 支持Console/AUX Modem/Telnet/SSH2.0 命令行配置支持SNMP V1/V2/V3</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9.配置要求 单台设备实配千兆电口≥24，千兆光口≥4，并可以提供一个额外的扩展插槽，支持万兆、40G以太口的扩展。</w:t>
                  </w:r>
                </w:p>
              </w:tc>
            </w:tr>
            <w:tr w14:paraId="18ED5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15A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1AE2906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接入交换机</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A33F">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1.整机性能 交换容量≥330Gbps，包转发率≥144Mpps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2.二层特性 支持基于端口、协议、子网和MAC的VLAN划分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3.三层特性 支持RIPv1/v2、OSPF；支持OSPFv3、RIPng，如需软件授权支持则必须实际配置软件授权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4.QOS 支持SP、WRR、WFQ、SP+WRR、WDRR等队列调度机制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5.业务特性 支持在横向、纵向维度上N:1虚拟化技术（多台物理设备虚拟成一台逻辑交换机，简化网络管理且提高可靠性）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7.管理 支持Console/AUX Modem/Telnet/SSH2.0 命令行配置 支持SNMP V1/V2/V3</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9.配置要求 单台设备实配千兆电口≥48，千兆光口≥4</w:t>
                  </w:r>
                </w:p>
              </w:tc>
            </w:tr>
            <w:tr w14:paraId="2BED7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2A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3</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4BE23C7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防火墙</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CD5B8">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整机要求内存≥1G，≥1U机架设备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不少于8个千兆接口，其中至少包含2个千兆光口，百兆/千兆自适应。</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2.产品性能 最大并发连接数≥20万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IPSec VPN并发连接数≥512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每秒新建连接数≥10K</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整机大包吞吐量≥1Gbps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整机DPI深度防御吞吐量≥400M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3DES加密≥600M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AES256加密≥600M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基本功能 支持安全区域管理，可基于接口、VLAN划分安全区域</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支持ASPF状态检查，协议包括：dns | ftp | h323 | http | sccp | sip | smtp| gtp | ils | mgcp | nbt | pptp | rsh | rtsp | sqlnet | tftp ，支持时间段安全策略设置。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免费支持高性能IPSec、L2TP、GRE VPN功能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支持高性能SSL VPN功能，最大并发可扩展≥128</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能实现与安卓、IOS系统自带VPN组件的L2TP、IPSec 、L2TP Over IPSec对接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提供客户端与安卓、IOS、Windows对接。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基于病毒特征进行检测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支持病毒库手动和自动升级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报文流处理模式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支持HTTP、FTP、SMTP、POP3协议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支持的病毒类型：Backdoor、Email-Worm、IM-Worm、P2P-Worm、Trojan、AdWare、Virus等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支持病毒日志和报表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支持对黑客攻击、蠕虫/病毒、后门/木马、恶意代码/软件、间谍软件/广告软件、垃圾邮件、漏洞扫描、Web攻击、DoS/DDoS等常见的攻击防御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支持攻击特征库的分类（根据攻击类型、目标机系统进行分类）</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支持攻击特征库的手动和自动升级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支持对BT等P2P/IM识别和控制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 支持应用层防护：应用流控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 支持链路负载均衡功能、服务器负载均衡功能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 支持IPV6动态路由协议、IPV6对象及策略、IPV6状态防火墙、IPV6攻击防范、IPV6 GRE\IPSEC VPN、IPV6日志审计、IPV6会话热备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 支持静态路由、RIP v1/2、OSPF、ISIS、BGP、策略路由等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 支持防火墙\NAT日志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支持域间策略匹配日志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支持攻击防范\黑名单日志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支持NAT444用户端口块溯源日志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支持IPV6防火墙及防攻击日志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日志格式支持SYSLOG及二进制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日志开启会设备新建性能影响小于10%</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 支持一对一、地址池等NAT方式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 支持一个公网IP地址NAT无限连接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支持NAT二进制日志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 能够防范DOS/DDOS攻击：</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Smurf、WinNuke、Ping of Death、SYN Flood、ICMP Flood、UDP Flood、ARP欺骗、TCP报文标志位不合法、超大ICMP报文、地址扫描的防范、端口扫描的防范、DNS Flood、ACK Flood、FIN Flood、分片Flood、Tiny-Fragment</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14.智能管理 支持统一管理软件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 支持基于角色的权限访问控制技术：基于功能、web菜单、命令界别的基于用户角色的授权</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部署模式 支持路由模式、透明模式和混杂模式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16. 配套管理 支持SNMPv1、SNMPv2C、SNMPv3，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支持CONSOLE、TELNET、SSH管理方式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支持NTP时间同步</w:t>
                  </w:r>
                </w:p>
              </w:tc>
            </w:tr>
            <w:tr w14:paraId="1F2ED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CFEA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6A0B485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考点综合考务移动终端（平板电脑）</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DFE6">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硬盘：≥64G</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分辨率：超高清屏（2K/3K/4K）</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尺寸：≥9英寸</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系统内存：≥4GB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扩展支持：Micro SD</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WiFi功能：支持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蓝牙功能：支持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具有4G LTE接口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摄像头像素：后置500万摄像头/前置200万摄像头</w:t>
                  </w:r>
                </w:p>
              </w:tc>
            </w:tr>
            <w:tr w14:paraId="041BF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302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5</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771340C6">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考务管理机</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FF794">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不低于以下配置：CPU性能相当于Intel Core i5/4G内存 /500G 7200转SATA/DVD刻录(16倍速）/集成显卡/10/100/1000以太网口/光电鼠标 标准键盘/19英寸宽屏显示器/立式机箱。</w:t>
                  </w:r>
                </w:p>
              </w:tc>
            </w:tr>
            <w:tr w14:paraId="481E3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3F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1C9739E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网络音视频解码器</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D6FE">
                  <w:pPr>
                    <w:keepNext w:val="0"/>
                    <w:keepLines w:val="0"/>
                    <w:pageBreakBefore w:val="0"/>
                    <w:widowControl/>
                    <w:suppressLineNumbers w:val="0"/>
                    <w:spacing w:before="0" w:beforeAutospacing="0" w:after="0" w:afterAutospacing="0" w:line="280" w:lineRule="exact"/>
                    <w:ind w:left="0" w:right="0"/>
                    <w:jc w:val="both"/>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符合《国家教育考试网上巡查系统视频标准技术规范（2017版）》，须提供承诺书，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支持不少于4路HDMI或DVI接口。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画面分割显示功能。图像切换应能通过手动或编程实现，能够完成独立轮巡和组合轮巡、定点轮巡和定长轮巡。输出支持4画面、9画面等画面分割模式，网上巡查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音视频同步。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支持多路视频拼接输出。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必须提供二次开发的软件接口，不得设置技术壁垒。</w:t>
                  </w:r>
                </w:p>
              </w:tc>
            </w:tr>
            <w:tr w14:paraId="2BF16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CBA3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7</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43AD701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SIP服务器</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79D7">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应符合《国家教育考试网上巡查系统视频标准技术规范（2017版）》技术要求，须提供承诺书。SIP服务器应当具有较高的兼容性，支持符合《国家标准GB/T28181－2016〈公共安全视频监控联网系统信息传输、交换、控制技术要求〉》标准的设备。SIP服务器须承诺实现与国家教育部考试中心网上巡查平台互联互通、新建系统与原有系统相兼容，能够与原有系统实现互联互通。</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CPU：相当于1.3G嵌入式四核处理器的性能及以上；内存：4G/DDR4。</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提供近5年省级平台项目的实施案例，或5年以前实施但一直在正常运行的项目，需持有省级招考机构的证明与合同复印件；或持有考试中心近1年的证明，证明可与教育部考试中心平台互联互通；或持有产品连通性检验报告。</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应是嵌入式设备，本身具有抗病毒和抗攻击能力。具有10M/100M/1000M自适应以太网接口。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具有用于实现对各路音视频的实时点播，对监控设备的远程控制；录像的回放以及检索等功能。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必须提供二次开发的软件接口，不得设置技术壁垒。</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支持GPS/北斗，支持GPS外置有源天线接口，保证环境较差时可以接收信号，支持串口接口，授时精度（1PPS）：＜40ns，须集成到SIP服务器中实现时间同步，采用模块集成或另配授时服务器方式均可。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具有视频自动检测功能。</w:t>
                  </w:r>
                </w:p>
              </w:tc>
            </w:tr>
            <w:tr w14:paraId="43326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DC8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8</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4611F2A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媒体分发服务器</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1AADA">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规范标准符合《国家教育考试网上巡查系统视频标准技术规范（2017版）》，须提供承诺书，同时兼容《国家标准GB/T28181－2016〈公共安全视频监控联网系统信息传输、交换、控制技术要求〉》。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CPU：相当于1.3G嵌入式、四核CPU的性能及以上；内存：4G/DDR4。</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网络协议 支持TCP/IP、SIP、RTP、RTCP、DHCP和PPPOE等网络协议。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网络接口 10M/100M/1000M自适应以太网接口。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分发功能 采用组播、分发或广播的方式将音视频流转发给用户，同一时间分发路数不小于64路。需提供多级转发、带宽自动适应等功能。还需提供极低延迟的控制信号转发、媒体流的分发功能。支持视频传输优先级控制；支持网络拥塞控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未经业主方额外书面提出需求，不得在转发前对转发视音频流做任何校验，应该直接转发。</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设备要求应是嵌入式设备，具备实时操作系统，本身具有抗病毒和抗攻击能力。</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扩充性：必须提供二次开发的软件接口，不得设置技术壁垒。</w:t>
                  </w:r>
                </w:p>
              </w:tc>
            </w:tr>
            <w:tr w14:paraId="5EC12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6881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9</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4CE842A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NVR存储</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B7EB6">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应符合《国家教育考试网上巡查系统视频标准技术规范（2017版）》技术要求。NVR存储设备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嵌入式系统，四核CPU。</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支持≥50路1080P视频输入及IPC复合音频输入，可以由多台设备组合。</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支持≥4块SATA硬盘，每块容量≥4T，应当满足同时50路以上至少5天连续不间断存储。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支持LINUX操作系统。</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输入接口≥1个10/100/1000Mbps自适应。</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支持HDMI、VGA、USB等接口。</w:t>
                  </w:r>
                </w:p>
              </w:tc>
            </w:tr>
            <w:tr w14:paraId="5A438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FD2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10</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30892B54">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硬盘</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66FF">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监控专用硬盘，SATA 硬盘，支持7*24小时工作、4T容量。</w:t>
                  </w:r>
                </w:p>
              </w:tc>
            </w:tr>
            <w:tr w14:paraId="21B7E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D5C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11</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7EF5A846">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网上巡查配套管理软件</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2263">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功能如下：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提供二次开发接口，特别是与综合管理平台的接口进行数据交互，允许第三方软件对其进行连接启动、嵌入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1.业务层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一般来说，业务层可包括报警、网上巡查、视频资料的快速查找等方面的业务。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2.应用层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网上巡查系统管理平台的应用层是巡查中心完成各种系统功能和音视频流调度管理的核心控制系统，可以分为音视频流管理子层和系统管理子层。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音视频流管理子层可完成实时音视频流点播、实时音视频流的双向解码、历史音视频流检索和回放、设备控制、存储和备份、报警联动、音频自动检测等功能。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系统管理子层负责对网上巡查系统的用户和设备进行管理。功能如下：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a) 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b) 设备管理：软硬件资源的配置及查询；系统性能的实时监视；系统设备的故障告警监视、故障诊断及定位分析，报警日志的创建及维护；可对摄像头传输的图像进行自动检测并报警等。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c) 安全认证：验用户的访问权限和优先级，监测记录进行操作等； 安全认证：验用户的访问权限和优先级，监测记录进行操作等；验证接入设备的合法性，并注册。</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d）智能巡查：可对图像中的人像进行识别；具有智能环境变化侦测；可自动跳转关键帧，方便回看。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3.服务层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网上巡查系统管理平台的服务层是由不同功能的软件模块组成，为应用层和业务层提供服务。服务层可分为数据库服务、存储服务、视频转发服务、Web服务等。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a）数据库服务：应采用分布式数据库，存储设备和音视频流的索引信息、报警信息、用户资料和权限、系统运行日志，为数据和音视频流检索、身份认证和权限管理提供存储和检索服务。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b）存储服务：主要完成音视频数据的存储管理、数据备份。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d）Web服务：非专职管理用户可以以B/S方式登录系统、访问音视频流资源、控制前端设备等操作。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4.系统层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系统协议层包括数据定义、通信协议和音视频编解码协议等。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部分要求可见本章节前文描述。</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另需满足：界面友好、功能齐全、各类用户操作方便</w:t>
                  </w:r>
                </w:p>
              </w:tc>
            </w:tr>
            <w:tr w14:paraId="3D635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F17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12</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207DE8A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高清半球摄像机</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4E02">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图像传感器：1/3英寸 CMOS。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水平分辨率：≧1920*1080。</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水平视角：广角≧93。</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最低照度：0.01Lux（F1.2）。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信噪比：≧45dB。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镜头：2.8mm定焦镜头。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红外照射：红外照射距离可达10-30米。</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11.视频输出：10M/100M网口，支持二码流输出。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12.电源：DC 12V或AC 24V，支持POE供电。</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13.外壳 防暴力破坏。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16.支持ROI技术，具有移动侦测功能。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17.具有视频分析功能，包括人脸识别、人数统计、人群聚集、值岗检测、场景变换、周界入侵、目标徘徊等，可使用配套软件支持，但软件应当提供第三方开发接口，且包含在报价中。</w:t>
                  </w:r>
                </w:p>
              </w:tc>
            </w:tr>
            <w:tr w14:paraId="378E7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D519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13</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30DDC04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高清枪式摄像机</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E5D0">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图像传感器：1/3英寸 CMOS。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水平分辨率：≧1920*1080。</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水平视角：广角≧93。</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最低照度：0.01Lux（F1.2）。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高清升级支持H.264、H.265视频编码标准，图像分辨率应支持主码流1080P，子码流支持720P。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信噪比：≧45dB。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镜头：2.8mm定焦镜头。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红外照射：红外照射距离可达10-30米。</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11.视频输出：10M/100M网口，支持二码流输出。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12.电源：DC 12V或AC 24V，支持POE供电。</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13.外壳 防暴力破坏。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16.支持ROI技术，具有移动侦测功能。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17.具有视频分析功能，包括人脸识别、人数统计、人群聚集、值岗检测、场景变换、周界入侵、目标徘徊等，可使用配套软件支持，但软件应当提供第三方开发接口，且包含在报价中。</w:t>
                  </w:r>
                </w:p>
              </w:tc>
            </w:tr>
            <w:tr w14:paraId="06D3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60D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14</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57B10F7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拾音器</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7903">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基本要求：采用高灵敏度全指向性电容咪头，全面拾音，保真度高，回放的语音清晰、干净、低噪音；咪头经过防潮技术处理，寿命更长。自适应动态降噪处理，内置高速DSP数字信号处理器，有效防止语音信号失真及衰减。内置自动识别噪声模块，最大限度降低环境噪声。自动抑制高强度声音，可靠保护后端音频监控设备。回声消除技术有效减少空旷房间的严重回音。</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输出阻抗：600Ω非平衡。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工作电压：DC 6-15V。</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灵敏度：-33dB。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频率范围：20Hz-20kHz。</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输出信号幅度：2.5Vpp/-35dB。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信噪比：80dB （1米40 dB音源）40dB （10米40 dB音源）1KHz at 1 Pa。</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动态范围：104 dB（1kHz at Max dB SPL）。</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其他：具有80平方米的拾音面积，有效距离可手动调节。具有雷击保护、电源极性反接保护、ESD静电防护等。</w:t>
                  </w:r>
                </w:p>
              </w:tc>
            </w:tr>
            <w:tr w14:paraId="51EC2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BA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15</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0B1635D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网络时钟终端（配套时钟管理平台）</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7D3E">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1.接口：RJ45，传输协议：标准NTP协议。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2.具有主动同步功能，在外部时码驱动下，子钟间同步时差不超过100us。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3.自动消除累积误差，连续运行无累积误差，无校时信号自动切换到内部时钟状态。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4.支持网管功能，故障主动上报，并将运行情况通过TCP/IP协议传输到网络集中监控平台实时监控，以确保稳定可靠运行，与服务器时间同步。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5.可壁挂方式安装，也可吊装。</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6.平均使用寿命〉=10万小时，MTBF〉=2万小时。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7.数据传送时间间隔≦5秒。</w:t>
                  </w:r>
                </w:p>
              </w:tc>
            </w:tr>
            <w:tr w14:paraId="50BB2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E5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16</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233064B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侦测服务器</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4C68">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监测频率范围：40MHz~3000MHz（可扩展）。</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接收机：采用双通道技术。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工作模式：支持无人值守式侦测引导阻断工作模式；支持自动发现异常信号并引导屏蔽终端对异常信号的阻断功能；可完成无线电信号实时侦测、可疑信号自动采集和自动引导阻断；支持平台远程管理。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作弊信号还原能力：支持包括语音和数传类型的专业作弊设备信号采集和还原；支持自动保存捕获信号文件和还原内容生成；支持对可疑作弊信号频点信息的平台上传及管理。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作弊信号还原方式：采用多通道设计，支持信号实时侦测和对可疑作弊信号进行采集并进行还原，信号还原对侦测和阻断无影响。</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数据接口：RJ45，10M/100M。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可靠性：MTBF≥2000 小时。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工作环境温度：-20℃~ +55℃。</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可设置黑白名单：设置黑名单时对应黑名单信号一旦出现即优先引</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导屏蔽终端进行阻断。用户可根据考务等工作需要自定义白名单频点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（频段），其通信不受系统影响。</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10.整套系统具备主流作弊设备实时还原能力，对于语音作弊信号能进</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行实时监听.</w:t>
                  </w:r>
                </w:p>
              </w:tc>
            </w:tr>
            <w:tr w14:paraId="29557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BCA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17</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1462BEC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作弊防控管理服务器（含管理软件）</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6350">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管理功能 对本地所有的终端设备进行集中调试、查看和管理，支持远程授权控制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数据管理 支持智能化、自动化考试模式管理，提供考前、考中及考后自动工作模式，可根据考试计划实现无人值守式管理；支持作弊信息的汇总统计和逐级上报，同时支持生成和打印报表；支持本级黑白名单的管理，支持作弊信号数据的统计管理；支持多级级联架构，可查看下级系统相关信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应当根据省平台的要求，开发数据接口，自动下载考试计划，上传侦测结果。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黑白名单 根据本地域的情况，支持对黑白名单的设置和管理维护。</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可扩展性 支持分布式网络部署架构，可根据业务需要不断扩展。</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可靠性 持续工作时间不小于 24 小时，MTBF≥2000 小时。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数据接口 RJ45，支持与侦测设备及屏蔽终端组网</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工作环境 工作温度：0℃- +40℃；相对湿度：20%-80%（无凝露）。</w:t>
                  </w:r>
                </w:p>
              </w:tc>
            </w:tr>
            <w:tr w14:paraId="6CD3F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D32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18</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5B7F5CB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作弊防控屏蔽终端</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03E7D">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并发阻断能力：支持不少于18路。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可靠性 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阻断方式：采用侦测引导阻断方式，支持平台远程集中控制管理，针对不同区域可实现远程开启与关闭。</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引导屏蔽干扰范围：100MHz~1300MHz。</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支持在没有侦测引导下，独立全频段阻断，全频段阻断的范围为100MHZ~2700MHz，另外应当支持5G信号屏蔽，暂定为3300MHZ-3600MHZ，4800MHZ-5000MHZ，并根据最终5G商用频谱调整。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8.设备运行期间，应当实现不间断持续阻断。</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数据接口RJ45，10M/100M。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10.天线类型 隐蔽式天线阵列设计。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11.外观设计：阻断器应采用一体化设计，电源和天线内置，采用隐蔽式设计，整机无散热金属外露，避免人为破坏、烫伤和触电等事故发生。</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 考场环境无噪声干扰。符合《GB3096-2008(声环境质量标准)》中I类环境要求。</w:t>
                  </w:r>
                </w:p>
              </w:tc>
            </w:tr>
            <w:tr w14:paraId="1629C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4998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19</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080245B9">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屏蔽终端</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C6DCE">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 xml:space="preserve">系入围产品，参数如下：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并发阻断能力：支持不少于18路。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可靠性：安全散热，支持7*24小时，连续工作，性能稳定，MTBF≥2000小时。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5.设备运行期间，应当实现不间断持续阻断。</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考场环境无噪声干扰。符合《GB3096-2008(声环境质量标准)》中I类环境要求。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独立全频段阻断，范围与工作频率保持一致。</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数据接口：RJ45，10M/100M，支持分组远程任意通道的开关设备。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天线类型 隐蔽式天线阵列设计。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11.辐射标准：符合GB8702-2014《电磁环境控制限值》。</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12.外观设计：阻断器应采用一体化设计，电源和天线内置，采用隐蔽式设计，整机无散热金属外露，避免人为破坏、烫伤和触电等事故发生。</w:t>
                  </w:r>
                </w:p>
              </w:tc>
            </w:tr>
            <w:tr w14:paraId="13CC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BBF7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20</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3223949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考务终端（手持身份识别仪）</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DB495">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1.尺寸屏幕：≥7寸显示屏，触控。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2.人脸识别时间：≤2s，在一般考场环境下，人脸准确率≥99%。</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3.验证方法：支持混合验证模式，包括：人脸、二代身份证、指纹。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4.配有符合公安部《GA 1153-2014 手持式居民身份证阅读器》或符合公安部《GA450-2013 台式居民身份证阅读器通用技术要求》标准的居民身份证读卡器，内置公安部指定安全模块，非接触性自动读取身份证芯片中的指纹、照片、文字等信息，防止使用假冒身份证的行为。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5.指纹识别：指纹算法遵循《居民身份证指纹采集和比对技术规范 GA1012-2012》，具备公安部安全与警用电子产品质量检测中心颁发的指纹算法软件测试报告，为确保身份认证的准确性，防止误识，当错误拒绝率为0.5%时错误接受率不大于0.05%。指纹模组为公安部居民身份证指纹采集设备所用的指纹模组。指纹采集设备接口按照《GA/T 1011-2012居民身份证指纹采集器通用技术要求》，指纹采集模块支持半导体电容传感器或光学传感器，根据现场情况选择。</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6.操作系统：安卓系统或Windows平台。</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7.网络接口：支持WiFi/以太网。</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8.屏幕分辨率：≧1024*600。</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9.内置存储 2G内存、≧32G存储。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10.摄像头：≥300W像素，电池容量 ≥6000mah或终端续航能力在8小时以上，摄像头在光线条件不好的情况下应当有技术措施保障正常工作，完成人像采集比对工作。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11.应用软件：提供具有考务应用软件，并根据甲方要求提供二次开发。</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12.可放置于桌面上，高度适合进行人脸识别；同时支持壁挂式安装，按照要求提供相应的支撑装置或者是壁挂装置，2选1。</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13.含集中的存储和供电装置，方便存储和集中供电。</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14.既可以用于验证也可以用于采集。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15.除支持二代证、指纹、人脸验证外，还另外支持其他生物识别技术（如指静脉、虹膜、声纹）。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15.应用软件：能够应用并提供考务应用软件(如报名终端、网上体检、考中管理等)，并根据甲方要求提供二次开发。</w:t>
                  </w:r>
                </w:p>
              </w:tc>
            </w:tr>
            <w:tr w14:paraId="0783D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5F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21</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030586C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手持式金属探测仪</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CCB4">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样式：手持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电源：9V标准电池或可充电电池</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工作电压：直流7-12V</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工作湿度：-10度到50度</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功能：声音/震动双报警模式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探测灵敏度：一元硬币或大头针大小物体探测距离≥50mm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可充电电池，连续续航40h以上。</w:t>
                  </w:r>
                </w:p>
              </w:tc>
            </w:tr>
            <w:tr w14:paraId="30DE4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C55C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22</w:t>
                  </w:r>
                </w:p>
              </w:tc>
              <w:tc>
                <w:tcPr>
                  <w:tcW w:w="489" w:type="pct"/>
                  <w:tcBorders>
                    <w:top w:val="single" w:color="000000" w:sz="4" w:space="0"/>
                    <w:left w:val="single" w:color="000000" w:sz="4" w:space="0"/>
                    <w:bottom w:val="single" w:color="000000" w:sz="4" w:space="0"/>
                    <w:right w:val="nil"/>
                  </w:tcBorders>
                  <w:shd w:val="clear" w:color="auto" w:fill="auto"/>
                  <w:noWrap w:val="0"/>
                  <w:vAlign w:val="center"/>
                </w:tcPr>
                <w:p w14:paraId="75DBBC65">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液晶拼接屏</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380F">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1.屏幕尺寸55寸，LED光源；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2.双边拼缝≦3.5mm，响应时间≦8ms；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3.亮度不低于500cd/m2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6.液晶显示单元漏光度低于 0.02cd/m²；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8.考虑系统兼容稳定性，整机与面板采用同一厂家产品；</w:t>
                  </w:r>
                </w:p>
              </w:tc>
            </w:tr>
            <w:tr w14:paraId="6FD6D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00E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23</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7CD3E">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UPS（含电池组）</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8C6B">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4、UPS输出配电模块须为机架式安装、高度3U之内，含一个32A总断路器，4个10A支路断路器，6个6A支路断路器。</w:t>
                  </w:r>
                </w:p>
              </w:tc>
            </w:tr>
            <w:tr w14:paraId="7BCF3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CF514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24</w:t>
                  </w:r>
                </w:p>
              </w:tc>
              <w:tc>
                <w:tcPr>
                  <w:tcW w:w="4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4EF7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传输电路</w:t>
                  </w:r>
                </w:p>
              </w:tc>
              <w:tc>
                <w:tcPr>
                  <w:tcW w:w="42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52836">
                  <w:pPr>
                    <w:keepNext w:val="0"/>
                    <w:keepLines w:val="0"/>
                    <w:pageBreakBefore w:val="0"/>
                    <w:widowControl/>
                    <w:suppressLineNumbers w:val="0"/>
                    <w:spacing w:before="0" w:beforeAutospacing="0" w:after="0" w:afterAutospacing="0" w:line="28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1.建设和运行好专网是投标方基本要求。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4.招标方仅支付线路租赁费用，线路服务所需设备由投标方提供，不承担相关线路建设及所需的设备费用。</w:t>
                  </w:r>
                </w:p>
              </w:tc>
            </w:tr>
            <w:tr w14:paraId="39FDF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000" w:type="pct"/>
                  <w:gridSpan w:val="3"/>
                  <w:tcBorders>
                    <w:top w:val="nil"/>
                    <w:left w:val="nil"/>
                    <w:bottom w:val="nil"/>
                    <w:right w:val="nil"/>
                  </w:tcBorders>
                  <w:shd w:val="clear" w:color="auto" w:fill="auto"/>
                  <w:noWrap/>
                  <w:vAlign w:val="center"/>
                </w:tcPr>
                <w:p w14:paraId="67546965">
                  <w:pPr>
                    <w:keepNext w:val="0"/>
                    <w:keepLines w:val="0"/>
                    <w:pageBreakBefore w:val="0"/>
                    <w:suppressLineNumbers w:val="0"/>
                    <w:spacing w:before="0" w:beforeAutospacing="0" w:after="0" w:afterAutospacing="0" w:line="280" w:lineRule="exact"/>
                    <w:ind w:left="0" w:right="0"/>
                    <w:rPr>
                      <w:rFonts w:hint="eastAsia" w:ascii="仿宋" w:hAnsi="仿宋" w:eastAsia="仿宋" w:cs="仿宋"/>
                      <w:color w:val="auto"/>
                      <w:sz w:val="24"/>
                      <w:szCs w:val="24"/>
                      <w:highlight w:val="none"/>
                    </w:rPr>
                  </w:pPr>
                </w:p>
              </w:tc>
            </w:tr>
          </w:tbl>
          <w:p w14:paraId="018318A3">
            <w:pPr>
              <w:keepNext w:val="0"/>
              <w:keepLines w:val="0"/>
              <w:suppressLineNumbers w:val="0"/>
              <w:spacing w:before="0" w:beforeAutospacing="0" w:after="0" w:afterAutospacing="0"/>
              <w:ind w:left="0" w:right="0"/>
              <w:rPr>
                <w:rFonts w:hint="eastAsia" w:ascii="仿宋" w:hAnsi="仿宋" w:eastAsia="仿宋" w:cs="仿宋"/>
                <w:i w:val="0"/>
                <w:iCs w:val="0"/>
                <w:color w:val="auto"/>
                <w:szCs w:val="22"/>
                <w:highlight w:val="none"/>
                <w:u w:val="none"/>
              </w:rPr>
            </w:pPr>
          </w:p>
        </w:tc>
      </w:tr>
    </w:tbl>
    <w:p w14:paraId="508C0D5C">
      <w:pPr>
        <w:pStyle w:val="5"/>
        <w:keepNext/>
        <w:keepLines/>
        <w:pageBreakBefore w:val="0"/>
        <w:widowControl w:val="0"/>
        <w:spacing w:before="0" w:after="0" w:line="600" w:lineRule="exact"/>
        <w:ind w:firstLine="48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3.3市县区考试中心设备维保清单（含保密室）</w:t>
      </w:r>
    </w:p>
    <w:p w14:paraId="70DFB8BC">
      <w:pPr>
        <w:keepNext w:val="0"/>
        <w:keepLines w:val="0"/>
        <w:pageBreakBefore w:val="0"/>
        <w:widowControl w:val="0"/>
        <w:spacing w:line="48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本次服务范围涉及6个市县区考试中心，均为2018年建设，具体设备清单如下</w:t>
      </w:r>
      <w:r>
        <w:rPr>
          <w:rFonts w:hint="eastAsia" w:ascii="仿宋" w:hAnsi="仿宋" w:eastAsia="仿宋" w:cs="仿宋"/>
          <w:i w:val="0"/>
          <w:iCs w:val="0"/>
          <w:color w:val="auto"/>
          <w:sz w:val="24"/>
          <w:szCs w:val="24"/>
          <w:highlight w:val="none"/>
          <w:u w:val="none"/>
          <w:lang w:val="en-US" w:eastAsia="zh-CN" w:bidi="ar"/>
        </w:rPr>
        <w:t>（设备数量仅供参考，潜在供应商如需了解实际数量，需自行组织实地勘察）</w:t>
      </w:r>
      <w:r>
        <w:rPr>
          <w:rFonts w:hint="eastAsia" w:ascii="仿宋" w:hAnsi="仿宋" w:eastAsia="仿宋" w:cs="仿宋"/>
          <w:color w:val="auto"/>
          <w:sz w:val="24"/>
          <w:szCs w:val="24"/>
          <w:highlight w:val="none"/>
          <w:lang w:val="en-US" w:eastAsia="zh-CN" w:bidi="ar-SA"/>
        </w:rPr>
        <w:t>：</w:t>
      </w:r>
    </w:p>
    <w:tbl>
      <w:tblPr>
        <w:tblStyle w:val="31"/>
        <w:tblpPr w:leftFromText="180" w:rightFromText="180" w:vertAnchor="text" w:horzAnchor="page" w:tblpX="1804" w:tblpY="30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8"/>
        <w:gridCol w:w="2713"/>
        <w:gridCol w:w="2919"/>
        <w:gridCol w:w="749"/>
        <w:gridCol w:w="2040"/>
      </w:tblGrid>
      <w:tr w14:paraId="29E26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4475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序号</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57FD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设备名称</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D686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单位</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C50B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数量</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97C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备注</w:t>
            </w:r>
          </w:p>
        </w:tc>
      </w:tr>
      <w:tr w14:paraId="74339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6E85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67EA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核心交换机(一)</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7163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市区、沭阳</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9981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B8D1">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3AC08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753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45E9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核心交换机(二)</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B592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泗阳、泗洪、宿城、宿豫</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5710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6639">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6F695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4B4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3</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DC94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接入交换机</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5A8B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6216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179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76876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CED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519A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 xml:space="preserve"> 防火墙（1G）</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D65E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1BC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E88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5E97C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4F7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5</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C68D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车载GPS（带摄像）</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D67E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市区、沭阳、泗阳、泗洪</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730C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8E3E">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44BF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9EE7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A4BD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平板电脑</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78CF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2A27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12</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90931">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5E0B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5EC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7</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0E72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管理计算机</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0CDC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8EC7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18</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5624">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6331D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F663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8</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9733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笔记本电脑</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D7A3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B09A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13</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C2F07">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026CC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26B1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9</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EDD7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UPS（含电池组）</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408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D4FD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12</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15E16">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495BD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4EF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10</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2E4B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液晶拼接显示大屏（县区）</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DDC4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沭阳、泗阳、泗洪、宿城、宿豫</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4AEF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33</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CE5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16E3B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283A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11</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81D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液晶拼接显示大屏（市）</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056C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FCE9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12</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2CFB">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79521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29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12</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FF22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显示屏安装架及辅材</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AD52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1360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7F6C">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E98D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832F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13</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D626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高清解码器（一）</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3519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409C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D178">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47BC1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E67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14</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9896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高清解码器（二）</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3F3F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泗阳</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D82D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88A49">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4B0D0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FE1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15</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A766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高清解码器（三）</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4C37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沭阳、泗洪、宿城、宿豫</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B4D4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0CA5">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6BA47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04C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16</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F4D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高清图像处理器</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DB8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32E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0FFF6">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BCD6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D291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17</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97D6C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分布式回声消除处理器</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8230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7A21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00E7">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59A31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57EE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18</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A168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网络时钟终端</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EBEE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AA08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9767">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6F7C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65D7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19</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23ED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扩声系统（套）</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7063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BA13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B572">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1B7CB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FD4A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20</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A810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操作台</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3CCB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6EB87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C8C36">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0BBF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EDC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21</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4DB3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多点控制单元（MCU）</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4241A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1798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7F6DA">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BAFE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02E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22</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661F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视频会议终端（含话筒）</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F32E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03F6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A312">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8450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75A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23</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5B03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软视频会议终端</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46A1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各高考考点</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DDB5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ECBAA">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5B15B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8E69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24</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79DF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录播服务器</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A3C9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EC92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E053">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111D9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84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25</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CF6A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高清半球摄像机</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8A8D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A18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30</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308C1">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6C5D2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FAA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26</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BEC1E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硬盘录像机</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F39A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市、区县6个考试指挥中心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E36C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6</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0B9E">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p>
        </w:tc>
      </w:tr>
      <w:tr w14:paraId="506C4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4D10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27</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3E01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上网行为审计</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98A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579B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1B74">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47916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E4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28</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1356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网络管理平台</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47A5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122F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C990">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736BB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BB9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29</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8DEC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日志审计平台</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DC17B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市区</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C672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B6A9">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p>
        </w:tc>
      </w:tr>
      <w:tr w14:paraId="20F6E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525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30</w:t>
            </w:r>
          </w:p>
        </w:tc>
        <w:tc>
          <w:tcPr>
            <w:tcW w:w="14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E870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传输电路</w:t>
            </w:r>
          </w:p>
        </w:tc>
        <w:tc>
          <w:tcPr>
            <w:tcW w:w="15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3026E">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沭阳、泗阳、泗洪、宿城、宿豫</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08A9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10</w:t>
            </w:r>
          </w:p>
        </w:tc>
        <w:tc>
          <w:tcPr>
            <w:tcW w:w="11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7EBB1">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县到市主备电路</w:t>
            </w:r>
          </w:p>
        </w:tc>
      </w:tr>
    </w:tbl>
    <w:p w14:paraId="5A9215D5">
      <w:p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备注：</w:t>
      </w:r>
    </w:p>
    <w:p w14:paraId="45080A96">
      <w:pPr>
        <w:numPr>
          <w:ilvl w:val="0"/>
          <w:numId w:val="0"/>
        </w:numPr>
        <w:tabs>
          <w:tab w:val="left" w:pos="312"/>
        </w:tabs>
        <w:jc w:val="lef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lang w:val="en-US" w:eastAsia="zh-CN" w:bidi="ar"/>
        </w:rPr>
        <w:t>1.</w:t>
      </w:r>
      <w:r>
        <w:rPr>
          <w:rFonts w:hint="eastAsia" w:ascii="仿宋" w:hAnsi="仿宋" w:eastAsia="仿宋" w:cs="仿宋"/>
          <w:i w:val="0"/>
          <w:iCs w:val="0"/>
          <w:color w:val="auto"/>
          <w:sz w:val="24"/>
          <w:szCs w:val="24"/>
          <w:highlight w:val="none"/>
          <w:u w:val="none"/>
          <w:lang w:val="en-US" w:eastAsia="zh-CN" w:bidi="ar"/>
        </w:rPr>
        <w:t>指挥中心：全年保障。中标单位负责日常会议联调与保障，考试期间派驻人员现场保障。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2.保密室：全年保障；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3.车载监控：按考试要求，提供保障。</w:t>
      </w:r>
    </w:p>
    <w:p w14:paraId="55E00B8E">
      <w:pPr>
        <w:keepNext/>
        <w:keepLines/>
        <w:pageBreakBefore w:val="0"/>
        <w:widowControl w:val="0"/>
        <w:suppressLineNumbers w:val="0"/>
        <w:spacing w:before="0" w:beforeAutospacing="0" w:after="0" w:afterAutospacing="0" w:line="480" w:lineRule="exact"/>
        <w:ind w:right="0"/>
        <w:outlineLvl w:val="9"/>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4.</w:t>
      </w:r>
      <w:r>
        <w:rPr>
          <w:rFonts w:hint="eastAsia" w:ascii="仿宋" w:hAnsi="仿宋" w:eastAsia="仿宋" w:cs="仿宋"/>
          <w:color w:val="auto"/>
          <w:sz w:val="24"/>
          <w:szCs w:val="24"/>
          <w:highlight w:val="none"/>
          <w:lang w:val="en-US" w:eastAsia="zh-CN"/>
        </w:rPr>
        <w:t>2018年建设的考试中心主要设备技术参数如下所示。</w:t>
      </w:r>
    </w:p>
    <w:p w14:paraId="307B4A5B">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附：2018年建设的市县区考试中心设备主要技术参数</w:t>
      </w:r>
    </w:p>
    <w:tbl>
      <w:tblPr>
        <w:tblStyle w:val="31"/>
        <w:tblW w:w="88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3"/>
        <w:gridCol w:w="863"/>
        <w:gridCol w:w="7328"/>
      </w:tblGrid>
      <w:tr w14:paraId="040BE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14FC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序号</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648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设备名称</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7A1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主要技术参数</w:t>
            </w:r>
          </w:p>
        </w:tc>
      </w:tr>
      <w:tr w14:paraId="610CC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71F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57B5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核心交换机(一)</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5216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1.性能：交换容量≥19Tbps，三层包转发率≥2880 Mpps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9.管理特性：支持SNMPV1/V2/V3；支持enable密码认证，支持光模块数字诊断，支持系统日志、支持告警管理，支持风扇监控，支持硬件环境监控，支持CPU监控，支持Loopback，Ping和Traceroute；</w:t>
            </w:r>
          </w:p>
        </w:tc>
      </w:tr>
      <w:tr w14:paraId="0ADD3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BE87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4396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核心交换机(二)</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E2E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1.性能：交换容量≥590Gbps，三层包转发率≥210 Mpps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9.管理特性：支持SNMPV1/V2/V3；支持enable密码认证，支持光模块数字诊断，支持系统日志、支持告警管理，支持风扇监控，支持硬件环境监控，支持CPU监控，支持Loopback，Ping和Traceroute；</w:t>
            </w:r>
          </w:p>
        </w:tc>
      </w:tr>
      <w:tr w14:paraId="49BA2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469B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3</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2BD3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接入交换机</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5BB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1、性能：交换容量≥336Gbps，三层包转发率≥130 Mpps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2、端口数量：≥48个10/100/1000M电口，≥4端口千兆/万兆SFP+接口，1个带外管理口，1个Console口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3、二层特性：支持16K MAC地址表容量，支持4K个VLAN空间，支持基本QinQ，灵活QinQ，支持 VLAN Mapping功能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4、三层特性：支持IPv4和IPv6静态路由，RIP和RIPng</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安全特性：支持用户分级管理和口令保护，支持基于端口和MAC的801.X认证，支持CPU保护和ARP防攻击功能，支持IP、MAC、端口、VLAN的组合绑定，支持黑洞MAC地址，支持MAC地址学习数目限制，支持AAA认证，支持Radius、TACACS+，支持端口隔离，支持安全MAC</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7、端口防雷：业务端口防雷能力：6KV</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8、技能环保：支持802.3az以太网节能，为无风扇静音设计</w:t>
            </w:r>
          </w:p>
        </w:tc>
      </w:tr>
      <w:tr w14:paraId="362CB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3C1E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4</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D171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 xml:space="preserve"> 防火墙（1G）</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385B">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1.采用非X86 64位多核高性能处理器和高速存储器，主控模块内存≥16G。</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2.2U及以下盒式设备，内置模块化双电源。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3.整机提供≥12个千兆光口+12个千兆电口+ 4个万兆端口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提供≥1个扩展槽位，整机最大可扩展接口数量48千兆端口＋10个万兆端口。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整机吞吐量≥40Gbps，最大并发连接数≥3000万，每秒新建连接数≥600K</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5.支持静态路由、RIP v1/2、OSPF、ISIS、BGP、策略路由等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6.支持IPV6动态路由协议、IPV6对象及策略和IPV6状态防火墙。</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7.所投设备须支持虚拟设备的创建、修改、删除，能够针对CPU、内存、VLAN、吞吐、新建、并发等参数进行灵活分配，支持虚拟设备的独立启动和关闭。</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8.支持高性能IPSec、L2TP、GRE VPN功能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9.支持高性能SSL VPN功能，最大并发可扩展≥10000</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支持SSL VPN双机状态备份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10.基于病毒特征进行检测，支持病毒库手动和自动升级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支持对黑客攻击、蠕虫/病毒、木马、恶意代码、间谍软件/广告软件、DoS/DDoS等常见的攻击防御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12.支持攻击特征库的分类。</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13.支持生成防火墙\NAT日志、域间策略匹配日志和攻击防范\黑名单日志，日志格式支持SYSLOG及二进制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支持实现一对一、多对一、多对多等多种形式的NAT，实现DNS、FTP、H.323等多种NAT ALG功能。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14.实现内网用户访问外网资源时对DNS解析的过程的优化，所有DNS请求不受客户端填写DNS服务器地址的影响，由设备重新解析，并提供web界面配置截图。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15.支持VXLAN，实现SDN转发。</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16.支持VRRP的链路备份，支持两框集群，集群之后的设备可以统一管理，使用同一个IP地址。</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17.配置与投标人承诺免费维护期相同年份的AV防病毒授权。</w:t>
            </w:r>
          </w:p>
        </w:tc>
      </w:tr>
      <w:tr w14:paraId="68054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CBAF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5</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8680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车载GPS（带摄像）</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99F9">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应提供相应的管理使用平台，使其具备车辆定位，实时跟踪、车辆信息查询、轨迹回放、图像监控、电子地图、车辆调度、车辆超速、越界及偏离路线报警、报表统计等功能。不少于1个摄像头，配备拾音功能，录像分辨率至少可达1080P，配备硬盘录像机，硬盘容量不少于1T、USB录像备份，网络备份，具有减振技术、内置GPS或北斗，WIFI无线模块、配备2G(GPRS/CDMA)/3G(EVDO/WCDMA/TD-SCDMA)/4G(TDD-LTE/FDD-LTE)通讯模块、支持报警图像抓拍、密封机壳，便于在车辆上安装。且要提供第三方开发接口，内置移动数据卡，并包含免费维保期内接送卷期间设备装拆及数据流量费用。</w:t>
            </w:r>
          </w:p>
        </w:tc>
      </w:tr>
      <w:tr w14:paraId="21B52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8BB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6</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1C6B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平板电脑</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DD9C5">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硬盘：≥64G</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分辨率：超高清屏（2K/3K/4K）</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尺寸：≥9英寸</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系统内存：≥4GB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扩展支持：Micro SD</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WiFi功能：支持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蓝牙功能：支持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具有4G LTE接口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摄像头像素：后置500万摄像头/前置200万摄像头</w:t>
            </w:r>
          </w:p>
        </w:tc>
      </w:tr>
      <w:tr w14:paraId="14885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84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7</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6F32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管理计算机</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84476">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不低于类似Intel Core i7-8700/内存8G/1TB硬盘（7200转 SATA硬盘）/DVD±RW/4G独立显卡1000兆以太网口/光电鼠标/标准键盘/标准立式机箱/屏幕尺寸≥19.5英寸LED/预装正版操作系统/4小时现场响应或提供备机。</w:t>
            </w:r>
          </w:p>
        </w:tc>
      </w:tr>
      <w:tr w14:paraId="3A60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85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8</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50C6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笔记本电脑</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5A1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不低于类似i5-7200/8G内存/128G SSD+1T/14英寸FHD（1920×1080）/显卡独立2GB/ DVD±RW/1000兆以太网口</w:t>
            </w:r>
          </w:p>
        </w:tc>
      </w:tr>
      <w:tr w14:paraId="10DF5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246D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9</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1E1E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UPS（含电池组）</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8FEF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4、UPS输出配电模块须为机架式安装、高度3U之内，含一个32A总断路器，4个10A支路断路器，6个6A支路断路器</w:t>
            </w:r>
          </w:p>
        </w:tc>
      </w:tr>
      <w:tr w14:paraId="02E5A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401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10</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AFBB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液晶拼接显示大屏（县区）</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07DB">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1.屏幕尺寸55寸，LED光源；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2.双边拼缝≦3.5mm，响应时间≦8ms；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3.亮度不低于500cd/m2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6.液晶显示单元漏光度低于 0.02cd/m²；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8.考虑系统兼容稳定性，整机与面板采用同一厂家产品；</w:t>
            </w:r>
          </w:p>
        </w:tc>
      </w:tr>
      <w:tr w14:paraId="70061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F0F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11</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3C88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液晶拼接显示大屏（市）</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3BA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1.屏幕尺寸55寸，LED光源；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2.双边拼缝≦1.8mm，响应时间≦8ms；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3.亮度不低于500cd/m2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4.自然分辨率：1920×1080，对比度不低于4000:1，水平可视角度≧178°，垂直可视角度≧178°，水平分辨力≥800TVL，亮度5.鉴别等级≥10级；色彩饱和度：92%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6.液晶显示单元漏光度低于 0.02cd/m²；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8.考虑系统兼容稳定性，整机与面板采用同一厂家产品；</w:t>
            </w:r>
          </w:p>
        </w:tc>
      </w:tr>
      <w:tr w14:paraId="5BF9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FA06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12</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2D06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显示屏安装架及辅材</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56EF">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全钢或铝合金结构，根据显示大屏尺寸及现场安装方式，定制安装支架。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包含拼接显示屏安装配件及线缆。</w:t>
            </w:r>
          </w:p>
        </w:tc>
      </w:tr>
      <w:tr w14:paraId="05BED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2F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13</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771D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高清解码器（一）</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49F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支持不少于12路HDMI或DVI接口。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音视频同步。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支持多路视频拼接输出。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必须提供二次开发的软件接口，不得设置技术壁垒。</w:t>
            </w:r>
          </w:p>
        </w:tc>
      </w:tr>
      <w:tr w14:paraId="7FD58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81B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14</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D167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高清解码器（二）</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12AD">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支持不少于9路HDMI或DVI接口。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音视频同步。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支持多路视频拼接输出。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必须提供二次开发的软件接口，不得设置技术壁垒。</w:t>
            </w:r>
          </w:p>
        </w:tc>
      </w:tr>
      <w:tr w14:paraId="738FD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27A6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15</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E6A7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高清解码器（三）</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059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支持不少于6路HDMI或DVI接口。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音视频同步。</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支持多路视频拼接输出。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必须提供二次开发的软件接口，不得设置技术壁垒。</w:t>
            </w:r>
          </w:p>
        </w:tc>
      </w:tr>
      <w:tr w14:paraId="3AD04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1DD9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16</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9934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高清图像处理器</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79C2">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既可以作为高清矩阵使用，也可以作为拼接处理器使用；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1.背板交换架构，单路输出通道带宽达到20Gbps，每路输出通道彼此独立，确保系统不会因运行路数的增多而导致整体性能下降。</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2.模块化插卡式设计，输入卡、输出卡、切换卡、控制卡、风扇、电源等全部采用模块化设计，便于日后系统的升级和维护。</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3.信号可在拼接屏的任意位置开窗、叠加、拉伸、漫游、跨屏、缩放或画中画显示，单屏至少支持4个图层显示。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4.支持开窗及场景的预布局，预布局过程中，拼接屏显示画面不受影响。</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5.支持全面热插拔，带电拔出不影响其他模块的正常运行。输入板卡热插拔恢复时间&lt;3s；输出板卡热插拔恢复时间&lt;5s。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支持冗余电源，单个电源的故障不会影响整机的运行。</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支持设备运行状态及温度的监测，管理人员可以实时了解设备的运行情况。</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 支持异常告警提示，便于及时排查及处理，可对历史告警信息进行搜索及管理。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 支持设备生产信息查询、设备固件版本在线查询。</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 支持系统的整体升级，支持输入板卡、输出板卡、功能板卡等每一张板卡的升级。</w:t>
            </w:r>
          </w:p>
        </w:tc>
      </w:tr>
      <w:tr w14:paraId="5827B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832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17</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2638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分布式回声消除处理器</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3660">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与省考试院分布式回声消除处理协同工作；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具有回声消除技术和噪声抑制功能；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不少于8通道的分布式回声消除；</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20Hz~22KHz全频段回声处理；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轻触开关发言的麦克风兼容能力；</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内置多通道数字功放，实现动态自动消除反馈控制；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内置电话接口，实现电话扩声；</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支持Dante网络传输；</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支持12路输入，12路输出，可通过网络扩展，实现满足现场实际使用需求的大路数输入和输出；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具有 ALC和AGC功能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具有EQ,滤波器,路由,压限,延时,自动增益控制,噪声门控等模块；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提供32个预制模式，255条宏命令,可扩展串行指令数量，通过发布指令实现控制管理；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先进的网络管理功能 (SNMP和HTML)；</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事件日程安排；</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自动系统检查；</w:t>
            </w:r>
          </w:p>
        </w:tc>
      </w:tr>
      <w:tr w14:paraId="6E6FF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CC7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18</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82AC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网络时钟终端</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18EB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与考点网络时钟相同</w:t>
            </w:r>
          </w:p>
        </w:tc>
      </w:tr>
      <w:tr w14:paraId="2AAB8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3BED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19</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734D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扩声系统（套）</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1F05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扩声音箱分全频音箱和吸顶音箱。</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配套功率放大器使用。</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全频音箱：主要用于多媒体扩声。</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频率响应≥(±3dB) 75 Hz -20 kHz</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额定阻抗 8Ω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灵敏度(1W@1m) 115.5 dB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最大声压级输出 121.5dB（峰值:126dB）</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额定功率 250W 连续, 1000W 峰值</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覆盖角度(H×V) 100°×40°</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吸顶音箱：主要用于语言类扩声。</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最大声压（额定功率/1m）：108dB@8Ω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频率响应（-10dB）70Hz-25kHz</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覆盖角度：（4kHz/1kHz）: 65°/140°</w:t>
            </w:r>
          </w:p>
        </w:tc>
      </w:tr>
      <w:tr w14:paraId="351F9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500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20</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2479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操作台</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B348">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定制两联操作控制台</w:t>
            </w:r>
          </w:p>
        </w:tc>
      </w:tr>
      <w:tr w14:paraId="1E4DF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F007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21</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2ADC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多点控制单元（MCU）</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A9F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 硬件架构：采用电信级非PC架构和嵌入式操作系统，支持7×24小时长期连续运行,能够通过软件许可的方式进行系统扩容。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 媒体框架协议：符合ITU-T H.323、SIP标准，具备强大的兼容能力，设备支持1080P 60fps处理能力。视频编解码协议：支持ITU-T H.263、H.264、H.264 HighProfile 、扩展支持H.264 SVC视频协议。支持1080P60帧、1080P30帧、720P60帧、720P30帧，并向下兼容4CIF、CIF图像格式。音频编解码协议：支持ITU-T G.711、G.722、G.728、G.729、G.719音频协议,支持一个会场同时传输两路音频区分左右声道，实现立体声效果。</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3.MCU配置全适配能力，支持对称1080P 60帧编解码能力，最大可配置80路720P30帧 （并可换算为40路1080P30帧或20路1080P60帧）高清接入能力、每一路均可进行速率协议适配和配置16路720P高清多画面功能，各会场均可同时显示在多画面中；最低支持同时召开4组720P 的16分屏会议，会议中同时支持全路混音。</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 支持H.239双流，可以同时传送主摄像头画面(HD 1080P 30帧/秒)和辅流PC画面(1080P 30帧/秒)，并可同步传输PC多媒体音频信号。</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 需支持第三方会管系统对MCU设备进行管理；MCU设备需完全开放第三方会管系统功能所需接口，并支持省指挥中心维护管理平台进行统一维护管理。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 可支持MCU设备双机热备或其他热备方式功能，支持双电源模块。</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 应具有良好的网络适应性，支持丢包恢复功能，在IP网络发生20%丢包时仍能够进行流畅的音视频沟通，图像无马赛克、停顿。在IP网络发生70%丢包时仍能保持音频通信畅通。</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另需满足：须与省考试院视频会议系统无缝对接。</w:t>
            </w:r>
          </w:p>
        </w:tc>
      </w:tr>
      <w:tr w14:paraId="2E161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ABE5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22</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4E96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视频会议终端（含话筒）</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466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1.要求自带摄像头，其性能可以达到视频会议终端支持的最高要求，可充分发挥视频会议终端性能，包括但不限于分辨率等。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2.架构：采用嵌入式操作系统，非Windows系统；非PC架构，非工控机架构，摄像头及主机分体式结构。</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3.协议：多媒体框架协议：支持多种线路类型，支持H.323/SIP协议标准，支持IP接入速率128Kbps-6Mbps。视频编解码协议：支持H.263、H.264、H.264 HighProfile、H.264 SVC视频图像编码协议，图像格式支持1080P60帧、1080P30帧、720P60帧、720P30帧、4CIF， CIF，本次要求配置对称1080P 60帧编解码能力。</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4.双流性能 支持标准H.239协议的双流收发，主流视频图像和辅流PC桌面数据输入输出都能达到1080P分辨率。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5.网络适应性 应具有良好的网络适应性，支持丢包恢复功能，在IP网络发生20%丢包时仍能够进行流畅的音视频沟通，图像无马赛克、停顿。在IP网络发生70%丢包时仍能保持音频通信畅通。</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7.支持省指挥中心维护管理平台进行统一维护管理。</w:t>
            </w:r>
          </w:p>
        </w:tc>
      </w:tr>
      <w:tr w14:paraId="57204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C963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23</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A0C1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软视频会议终端</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5BFC">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1.需满足所高考（研究生）考点同时在线视频需求。</w:t>
            </w:r>
          </w:p>
        </w:tc>
      </w:tr>
      <w:tr w14:paraId="2C4BE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A2C6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24</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5313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录播服务器</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F0B5">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系入围产品，参数如下：</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1.处理能力</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录制：30路1080p60/1080p30/720p60/720p30 双流会议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直播：20路720p30 / 10路1080p30 / 5路1080p60 视频流。</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点播：2000路@256Kbps /1000路@512Kbps / 512路@1Mbps / 256路@2Mbps。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2.存储容量≧4T，支持2T+2T热备。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3.录制时长:4000小时512Kbps双流码流的录制。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4.安全可靠性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备份机制：电源热备份、硬盘热备份、芯片热备份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网络存储扩容：IP SAN、 NAS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用户认证：LDAP/AD用户登录认证，实现集中用户管理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用户权限管理：按视频分组、用户分组的多用户分级分权权限管理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安全性设计：HTTPS加密、H.235加密、TLS/SRTP加密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5.音视频协议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多媒体框架协议：ITU-T H.323 、IETF SIP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视频编解码协议：H.264 BP、H.264 HP、H.263、H.263+、H.263++</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音频编解码协议：AAC-LD、AAC-LC、G.711a、G.711u、G.722</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双流协议：H.239、BFCP</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6.录制特性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支持单点、 点到点和多点视频会议组网下的单流、双流录制、定点录制；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离线转码，文字索引；</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存储文件格式：MP4、AVI、WMV、ASF、FLV；</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音频IVR，录制语音提示；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录制带宽：128Kbps～8Mbps。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7.直播/点播特性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会议终端和移动Web终端的直播和点播回放；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基于组播和单播方式的直播；</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基于单播的点播；</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下载后离线播放；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支持的浏览器：Windows PC:IE8+、firefox19+、chrome25+ ； MAC &amp; IOS: safari5+ ；Android: Andriod2.3+。</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8.移动播放特点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Web界面搜索、预览和播放存档内容；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视频分组和标签，快速索引到播放的视频源；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支持Web点播过程中的暂停、拖动、PPT图片索引等控制；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支持播放布局灵活切换，满足多种观看需求。</w:t>
            </w:r>
          </w:p>
        </w:tc>
      </w:tr>
      <w:tr w14:paraId="3A12D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86B9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25</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4D62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高清半球摄像机</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B69CB">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与考点相同</w:t>
            </w:r>
          </w:p>
        </w:tc>
      </w:tr>
      <w:tr w14:paraId="7ED29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76E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26</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E54E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硬盘录像机</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C8C98">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支持8路视频接入。</w:t>
            </w:r>
          </w:p>
        </w:tc>
      </w:tr>
      <w:tr w14:paraId="18BC0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84A2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27</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8AE2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上网行为审计</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80D1A">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1.机架式独立硬件设备，标准2U机箱</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2.采用多核架构设计，CPU核数目≥8个，内置1TB硬盘</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3.固化提供≥4个千兆Combo口，支持3个业务扩展插槽，可扩展至16Combo接口或12SFP+接口，本次配置≥4个千兆Combo口，≥4个万兆SFP＋口。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4.配置内置双电源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5.网络吞吐量≥40Gbps，应用吞吐量≥20Gbps</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6.支持路由模式、透明（网桥）模式、混合模式，部署模式切换无需重启设备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7.支持静态路由、策略路由、RIP、OSPF、ISP路由，其中ISP路由支持自定义，并可提供基于应用的策略路由，提供web配置界面截图。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8.支持基于带宽和优先级的多链路负载均衡，可支持链路过载保护，提供web配置界面截图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9.对目标地址提供基于ping、TCP、DNS等协议类型探测，可统计最近一周、一天、一小时的探测延时及成功率趋势，提供web界面截图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10.支持主流P2P、IM、在线视频、网络游戏、网络炒股等应用识别；</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11.支持BYOD特征库，可识别ios版和安卓版移动互联网软件如微博、微信等特征，并提供web界面配置截图；应用特征库可提供在线升级和手动升级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12.内置URL分类库，支持约100个URL分类，URL库可在线升级</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13.支持自定义URL过滤，并支持URL的模糊匹配，提供web界面配置截图；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14.支持自定义关键字对象，匹配类型包含关键字和数字，提供web界面配置截图；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15.支持即时通讯应用管控的精细化管理，提供web配置界面截图；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16.支持网络社区应用管控的精细化管理提供web配置界面截图；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17.支持基于某个用户的QQ、微信、淘宝等虚拟账号关联汇总，可对某个用户一天的上网行为轨迹以时间轴方式进行呈现，提供web界面截图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18.支持应用、用户流量统计，应用流量支持趋势图、饼状图呈现，可查看某一应用的流量趋势图和其Top流量用户,提供web界面截图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19.支持对指定URL的文件内容进行缓存加速，需缓存文件可手动上传及更新；可查看缓存可用空间和命中次数，提供web配置界面截图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20.支持中文Web界面管理及命令行管理，支持基于SSL协议的远程安全管理；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21.设备web管理界面提供在线抓包工具，可针对某种应用单独进行抓包，抓包文件可在web界面下载，提供web界面配置截图</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22.支持本地日志记录和远程日志输出；</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23.提供公安部销售许可证，提供有效证书复印件。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24.配置应用识别&amp;URL特征库升级服务时间与承诺免费维护期一致。</w:t>
            </w:r>
          </w:p>
        </w:tc>
      </w:tr>
      <w:tr w14:paraId="2563E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C5D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28</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B326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网络管理平台</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14FC1">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1.服务器高度：≥2U，标配原厂导轨、走线管理支架。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2.处理器：CPU：不低于类似于Intel XeonE5-2620 v4性能，实配2颗。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3.内存：内存实配规格：≥2*8GB DDR4，可扩展≥24个内存插槽，支持最大容量1.5TB。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4.存储：（1）单台实配硬盘及托架：≥2*300GB 12G SAS 10k 硬盘 , ≥1.8TB 12G SAS 10K</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（2）配置≥8个2.5寸热插拔硬盘槽位，最多可扩展至≥31个热插拔硬盘槽位。</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5.阵列控制器：配置独立的阵列卡：独立Raid阵列卡，支持Raid0/1/10/5/50/6/60，≥1GB缓存，支持缓存数据保护，且后备保护时间 不受限制。</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6.网卡：本次配置≥4个10/100/1000M-BaseT 以太网接口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 xml:space="preserve">7.可用性：（1）冗余电源：2个≥550w铂金版热插拔冗余电源； </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（2）冗余风扇：配置热插拔冗余风扇。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8.服务器外形：机架式。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9.I/O：最多提供≥10个PCIE3.0插槽。</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10.GPU：最高≥3个双宽GPU。</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11.可管理性：配置≥1Gb的远程管理控制端口。</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12.支持对全网设备进行统一管理、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13.支持IP拓扑、二层拓扑、邻居拓扑、网络拓扑视图（支持网络区域的任意划分、命名、拖拽、折叠和展开）、业务拓扑、STP拓扑、MSTP拓扑等多种拓扑类型；二层拓扑支持多协议，包括Bridge、NDP、CDP、MSTP、STP、LLDP、DISMAN-PING等二层协议，支持聚合链路，支持第三方的设备；拓扑可融合链路状态、设备告警等多种信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14.支持设备与用户统一管理：支持网络管理与用户管理联动，如通过点击拓扑楼层接入交换机图标，可查看该设备所有接入用户账户信息，查询在线用户列表、强制用户下线、下发消息、总在线用户数统计、不安全用户数统计等。</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15.支持设备配置集中管理：配置库包括配置文件和配置片段，配置内容可带有参数，在部署时根据设备的差异设置不同的值；配置文件可部署到设备的启动配置或者运行配置；配置片段只能部署到设备的运行配置；</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16.支持设备与流量分析统一管理：支持网络管理平台实现设备管理与流量分析联动，如通过点击拓扑某链路可查看该链路的关键应用流量分布、关键用户流量使用等。</w:t>
            </w:r>
          </w:p>
        </w:tc>
      </w:tr>
      <w:tr w14:paraId="377C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6D7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29</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5F19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日志审计平台</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2EB8">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1.支持全网安全设备的日志收集和风险展示。支持对全网所有局点的防火墙和行为管理设备进行管理（不少于600个节点）</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安全事件概览中列出了最近的攻击状态，包括攻击趋势和设备的新建连接数、并发连接数统计图，同时能够提供针对攻击目的IP、攻击源IP、攻击协议和攻击事件的TopN列表，详细列出最近发生最多的攻击者（源地址）、被攻击者（目的地址）、事件名称和协议，从而为用户提供当前网络安全事件的概览信息，帮助管理员直观地了解到最新的安全状况。</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3.提供基于天、周、月及特定时间段内的攻击趋势分析，展示了根据事件严重级别划分的攻击趋势图，包括攻击事件分析、攻击目的分析、攻击来源分析和攻击协议分析。</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显示每条攻击日志发生的时间、日志级别、源域、目的域、源IP/端口、目的IP/端口、协议、动作以及攻击的设备名称，帮助操作员直观地了解域间访问控制日志的行为状况。提供基于时间段、设备名称、源域、目的域、协议等查询条件，方便操作员查询需要的日志信息。</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5.提供黑名单访问日志，用于审计被屏蔽掉的特定IP地址的日志，用来记录日志生成的时间和IP地址、被认为是黑名单日志的原因以及对系统环境的影响级别，另外还显示日志的老化时间和执行的操作方式。</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6．提供NAT日志的接收和查询能力，日志中支持NAT转换前后的源IP、目的IP、源端口、目的端口以及NAT转换发生的时间、转换的设备。</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7.支持对虚拟化设备的增加、删除、修改等操作，虚拟设备管理指通过虚拟化技术将一台物理防火墙划分成多台逻辑防火墙，每台逻辑防火墙就称为一个虚拟设备Context。每个虚拟设备拥有自己专属的软硬件资源，独立运行，独立转发数据，对于用户来说，每个虚拟设备就是一台独立的防火墙。</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8.支持与接入认证的关联能力，通过关联对应日志中的IP地址，可转换成对应的用户名，方便从IP到人的管理。</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9.规则优化管理主要用于显示设备上每条规则的匹配速率和最后一次匹配时间，查看规则的匹配历史记录，方便客户优化防火墙域间规则。</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10.系统提供丰富的统计报表查询和定制功能，可直接打印、查看报表，也可将报表导出为PDF、Word、Excel等格式，可以以天、周、月、季度等周期发送到指定管理员的Email邮箱中，帮助管理员对网络中的安全设备进行综合而全面的管理。</w:t>
            </w:r>
          </w:p>
        </w:tc>
      </w:tr>
      <w:tr w14:paraId="3DC87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605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30</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A2AB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传输电路</w:t>
            </w:r>
          </w:p>
        </w:tc>
        <w:tc>
          <w:tcPr>
            <w:tcW w:w="7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A3AA3">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bidi="ar"/>
              </w:rPr>
              <w:t>1.建设和运行好专网是投标方基本要求。</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4.招标方仅支付线路租赁费用，线路服务所需设备由投标方提供，不承担相关线路建设及所需的设备费用。</w:t>
            </w:r>
          </w:p>
        </w:tc>
      </w:tr>
    </w:tbl>
    <w:p w14:paraId="0440F365">
      <w:pPr>
        <w:rPr>
          <w:rFonts w:hint="eastAsia" w:ascii="仿宋" w:hAnsi="仿宋" w:eastAsia="仿宋" w:cs="仿宋"/>
          <w:color w:val="auto"/>
          <w:highlight w:val="none"/>
          <w:lang w:val="en-US" w:eastAsia="zh-CN"/>
        </w:rPr>
      </w:pPr>
    </w:p>
    <w:p w14:paraId="35800F80">
      <w:pPr>
        <w:keepNext/>
        <w:keepLines/>
        <w:pageBreakBefore w:val="0"/>
        <w:widowControl w:val="0"/>
        <w:spacing w:beforeAutospacing="0" w:afterAutospacing="0" w:line="480" w:lineRule="exact"/>
        <w:ind w:firstLine="480"/>
        <w:jc w:val="both"/>
        <w:outlineLvl w:val="3"/>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3.4智能巡查巡检及市教育考试指挥中心可视化显示系统升级改造服务</w:t>
      </w:r>
    </w:p>
    <w:p w14:paraId="21E698C8">
      <w:pPr>
        <w:pStyle w:val="6"/>
        <w:keepNext w:val="0"/>
        <w:keepLines w:val="0"/>
        <w:pageBreakBefore w:val="0"/>
        <w:widowControl w:val="0"/>
        <w:spacing w:before="0" w:beforeAutospacing="0" w:after="0" w:afterAutospacing="0" w:line="480" w:lineRule="exact"/>
        <w:ind w:firstLine="480"/>
        <w:jc w:val="both"/>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3.4.1智能巡查巡检服务</w:t>
      </w:r>
    </w:p>
    <w:p w14:paraId="773AD4B1">
      <w:pPr>
        <w:keepNext w:val="0"/>
        <w:keepLines w:val="0"/>
        <w:pageBreakBefore w:val="0"/>
        <w:widowControl w:val="0"/>
        <w:spacing w:beforeAutospacing="0" w:afterAutospacing="0" w:line="480" w:lineRule="exact"/>
        <w:ind w:firstLine="480"/>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（1）须满足全市高考、中考（部分考点，考场数量不超过高考考场数量）、研考考场实时智能巡查及市、区县保密室实时智能巡检需求；</w:t>
      </w:r>
      <w:r>
        <w:rPr>
          <w:rFonts w:hint="eastAsia" w:ascii="仿宋" w:hAnsi="仿宋" w:eastAsia="仿宋" w:cs="仿宋"/>
          <w:b w:val="0"/>
          <w:bCs/>
          <w:color w:val="auto"/>
          <w:sz w:val="24"/>
          <w:szCs w:val="24"/>
          <w:highlight w:val="none"/>
          <w:lang w:val="en-US" w:eastAsia="zh-CN" w:bidi="ar-SA"/>
        </w:rPr>
        <w:br w:type="textWrapping"/>
      </w:r>
      <w:r>
        <w:rPr>
          <w:rFonts w:hint="eastAsia" w:ascii="仿宋" w:hAnsi="仿宋" w:eastAsia="仿宋" w:cs="仿宋"/>
          <w:b w:val="0"/>
          <w:bCs/>
          <w:color w:val="auto"/>
          <w:sz w:val="24"/>
          <w:szCs w:val="24"/>
          <w:highlight w:val="none"/>
          <w:lang w:val="en-US" w:eastAsia="zh-CN" w:bidi="ar-SA"/>
        </w:rPr>
        <w:t xml:space="preserve">    （2）智能巡查系统须包含智能巡考管理平台、智能巡考算法、网上巡查平台、AI云巡考客户端、AI即时通等子系统等。</w:t>
      </w:r>
    </w:p>
    <w:p w14:paraId="4A8450BF">
      <w:pPr>
        <w:pStyle w:val="6"/>
        <w:keepNext w:val="0"/>
        <w:keepLines w:val="0"/>
        <w:pageBreakBefore w:val="0"/>
        <w:widowControl w:val="0"/>
        <w:spacing w:before="0" w:beforeAutospacing="0" w:after="0" w:afterAutospacing="0" w:line="480" w:lineRule="exact"/>
        <w:ind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3.4.2市教育考试指挥中心可视化显示系统升级改造服务</w:t>
      </w:r>
    </w:p>
    <w:p w14:paraId="079E1251">
      <w:pPr>
        <w:keepNext w:val="0"/>
        <w:keepLines w:val="0"/>
        <w:pageBreakBefore w:val="0"/>
        <w:widowControl w:val="0"/>
        <w:spacing w:beforeAutospacing="0" w:afterAutospacing="0" w:line="480" w:lineRule="exact"/>
        <w:ind w:firstLine="480"/>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为市级考试指挥中心全域态势调度体系提供一体化升级集成服务，重构本级考务总览、考场视频汇聚、多级会商联动可视化交互能力，打通省 - 市 - 区县四级考务平台视频调度链路，实现所有考场监控、保密室画面、车载定位数据、会议信号统一可视化呈现、多场景一键切换、分区漫游调度。</w:t>
      </w:r>
    </w:p>
    <w:p w14:paraId="5548E2FF">
      <w:pPr>
        <w:pStyle w:val="6"/>
        <w:keepNext w:val="0"/>
        <w:keepLines w:val="0"/>
        <w:pageBreakBefore w:val="0"/>
        <w:widowControl w:val="0"/>
        <w:spacing w:before="0" w:beforeAutospacing="0" w:after="0" w:afterAutospacing="0" w:line="480" w:lineRule="exact"/>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服务整体包含原有可视化交互载体拆除清运、全新全域态势呈现系统一体化集成部署、配套信号调度控制体系搭建、机房线路规整、现场装饰配套施工、全系统联调适配、常态化运维保障全流程工作。</w:t>
      </w:r>
    </w:p>
    <w:p w14:paraId="10BBBE2C">
      <w:pPr>
        <w:pStyle w:val="6"/>
        <w:keepNext w:val="0"/>
        <w:keepLines w:val="0"/>
        <w:pageBreakBefore w:val="0"/>
        <w:widowControl w:val="0"/>
        <w:spacing w:before="0" w:beforeAutospacing="0" w:after="0" w:afterAutospacing="0" w:line="480" w:lineRule="exact"/>
        <w:ind w:firstLine="480"/>
        <w:jc w:val="both"/>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rPr>
        <w:t>3.4.3智能巡查巡检及市级指挥中心可视化显示系统升级改造服务的服务要求</w:t>
      </w:r>
    </w:p>
    <w:tbl>
      <w:tblPr>
        <w:tblStyle w:val="31"/>
        <w:tblW w:w="54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3"/>
        <w:gridCol w:w="1126"/>
        <w:gridCol w:w="4779"/>
        <w:gridCol w:w="755"/>
        <w:gridCol w:w="569"/>
        <w:gridCol w:w="985"/>
        <w:gridCol w:w="118"/>
        <w:gridCol w:w="849"/>
      </w:tblGrid>
      <w:tr w14:paraId="5A9B4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92A12">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序号</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CA4E17">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项目</w:t>
            </w:r>
          </w:p>
        </w:tc>
        <w:tc>
          <w:tcPr>
            <w:tcW w:w="23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40C59">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lang w:val="en-US"/>
              </w:rPr>
            </w:pPr>
            <w:r>
              <w:rPr>
                <w:rFonts w:hint="eastAsia" w:ascii="仿宋" w:hAnsi="仿宋" w:eastAsia="仿宋" w:cs="仿宋"/>
                <w:b/>
                <w:bCs/>
                <w:i w:val="0"/>
                <w:iCs w:val="0"/>
                <w:color w:val="auto"/>
                <w:sz w:val="24"/>
                <w:szCs w:val="24"/>
                <w:highlight w:val="none"/>
                <w:u w:val="none"/>
                <w:lang w:val="en-US" w:eastAsia="zh-CN" w:bidi="ar"/>
              </w:rPr>
              <w:t>服务要求</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BD612">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数量</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2B09A">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单位</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F9605">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地点</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EE726">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备注</w:t>
            </w:r>
          </w:p>
        </w:tc>
      </w:tr>
      <w:tr w14:paraId="0A820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51921D">
            <w:pPr>
              <w:keepNext w:val="0"/>
              <w:keepLines w:val="0"/>
              <w:pageBreakBefore w:val="0"/>
              <w:widowControl/>
              <w:suppressLineNumbers w:val="0"/>
              <w:spacing w:before="0" w:beforeAutospacing="0" w:after="0" w:afterAutospacing="0" w:line="400" w:lineRule="exact"/>
              <w:ind w:left="0" w:right="0" w:firstLine="482"/>
              <w:jc w:val="left"/>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一、智能巡查巡检服务</w:t>
            </w:r>
          </w:p>
        </w:tc>
      </w:tr>
      <w:tr w14:paraId="4ED0A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AE388">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p>
          <w:p w14:paraId="13069B51">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bidi="ar"/>
              </w:rPr>
            </w:pPr>
          </w:p>
          <w:p w14:paraId="05A95125">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bidi="ar"/>
              </w:rPr>
            </w:pPr>
          </w:p>
          <w:p w14:paraId="65FD5FFC">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bidi="ar"/>
              </w:rPr>
            </w:pPr>
          </w:p>
          <w:p w14:paraId="66E611A8">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05763">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p>
          <w:p w14:paraId="3564B624">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bidi="ar"/>
              </w:rPr>
            </w:pPr>
          </w:p>
          <w:p w14:paraId="5C820B52">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bidi="ar"/>
              </w:rPr>
            </w:pPr>
          </w:p>
          <w:p w14:paraId="0B5D7E4F">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bidi="ar"/>
              </w:rPr>
            </w:pPr>
          </w:p>
          <w:p w14:paraId="1D5BCCA8">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智能巡查巡检服务</w:t>
            </w:r>
          </w:p>
        </w:tc>
        <w:tc>
          <w:tcPr>
            <w:tcW w:w="23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18916">
            <w:pPr>
              <w:keepNext w:val="0"/>
              <w:keepLines w:val="0"/>
              <w:pageBreakBefore w:val="0"/>
              <w:widowControl/>
              <w:numPr>
                <w:ilvl w:val="0"/>
                <w:numId w:val="4"/>
              </w:numPr>
              <w:suppressLineNumbers w:val="0"/>
              <w:spacing w:before="0" w:beforeAutospacing="0" w:after="0" w:afterAutospacing="0" w:line="400" w:lineRule="exact"/>
              <w:ind w:left="0" w:right="0"/>
              <w:jc w:val="both"/>
              <w:rPr>
                <w:rFonts w:hint="eastAsia" w:ascii="仿宋" w:hAnsi="仿宋" w:eastAsia="仿宋" w:cs="仿宋"/>
                <w:b/>
                <w:color w:val="auto"/>
                <w:spacing w:val="8"/>
                <w:sz w:val="24"/>
                <w:szCs w:val="24"/>
                <w:highlight w:val="none"/>
                <w:lang w:val="en-US" w:eastAsia="zh-CN"/>
              </w:rPr>
            </w:pPr>
            <w:r>
              <w:rPr>
                <w:rFonts w:hint="eastAsia" w:ascii="仿宋" w:hAnsi="仿宋" w:eastAsia="仿宋" w:cs="仿宋"/>
                <w:b/>
                <w:color w:val="auto"/>
                <w:spacing w:val="8"/>
                <w:sz w:val="24"/>
                <w:szCs w:val="24"/>
                <w:highlight w:val="none"/>
                <w:lang w:val="en-US" w:eastAsia="zh-CN"/>
              </w:rPr>
              <w:t>智能巡考管理平台</w:t>
            </w:r>
          </w:p>
          <w:p w14:paraId="2DDA09A7">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下载“考试计划导入模板.xlsx”导入考试计划信息，应包含考试计划名称、考试计划编号、考试开始日期、考试结束日期、是否当前考试计划、场次名称、场次编号、科目名称、科目编号、场次开始时间、场次结束时间等；</w:t>
            </w:r>
          </w:p>
          <w:p w14:paraId="2A260059">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支持下载“考点管理导入模板.xlsx”导入考点信息，应包含所属考试计划编号、机构代码、机构名称、所属上级机构名称、所属上级机构代码、机构类型、SIP服务器名称、SIP服务器域名等；</w:t>
            </w:r>
          </w:p>
          <w:p w14:paraId="28AEFDCD">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支持下载“考场场次关联导入模板.xlsx”导入考场场次关联数据，应包含所属考试计划编码、考试计划名称、场次编号、场次名称、考点所属机构代码、考点名称、考场编码、考场名称、应考人数等；</w:t>
            </w:r>
          </w:p>
          <w:p w14:paraId="60D6DE11">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下载“报警类型管理导入模板.xlsx”导入报警类型数据，应包含所属类型编码、所属类型名称、异常行为编码、异常行为名称、异常行为风险等级、异常行为启用状态、阈值、疑似状况1、疑似状况2、疑似状况3、疑似状况4等；</w:t>
            </w:r>
          </w:p>
          <w:p w14:paraId="4165FFAD">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支持全部导出考试机构数据、用户数据、考点学校数据、考点考场数据、考场场次关联数据、算力主机数据、报警类型数据，并能够根据导出的时间进行命名管理；</w:t>
            </w:r>
          </w:p>
          <w:p w14:paraId="18938FB1">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支持通过考试计划名称、考试场次、所属地市、所属区县、考点名称、考场名称、座位号/监考员、预警等级、预警起止时间、异常行为、审核状态、审核结果等查询异常行为预警记录；</w:t>
            </w:r>
          </w:p>
          <w:p w14:paraId="1C6D7973">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支持根据考试场次创建AI分析任务，可设定考前开始分析时间和具体分析任务的执行时间，可实时显示未开始、运行中、已完成的AI分析任务，并可支持AI分析任务的停止、删除等管理操作；</w:t>
            </w:r>
          </w:p>
          <w:p w14:paraId="278C9792">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▲支持按地图展示所属区域，审核预警数、AI分析预警数，考点总数、考场总数、预警考场数、预警考场率，考生应考总数、实到人数、缺考人数、缺考率</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i w:val="0"/>
                <w:iCs w:val="0"/>
                <w:color w:val="auto"/>
                <w:sz w:val="24"/>
                <w:szCs w:val="24"/>
                <w:highlight w:val="none"/>
                <w:u w:val="none"/>
                <w:lang w:val="en-US" w:eastAsia="zh-CN" w:bidi="ar"/>
              </w:rPr>
              <w:t>；</w:t>
            </w:r>
          </w:p>
          <w:p w14:paraId="6E859589">
            <w:pPr>
              <w:keepNext w:val="0"/>
              <w:keepLines w:val="0"/>
              <w:pageBreakBefore w:val="0"/>
              <w:numPr>
                <w:ilvl w:val="0"/>
                <w:numId w:val="5"/>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支持按应考人数、实到人数、缺考人数、缺考率等统计考生信息，同时可按考生个人、考生群体、监考员三大类,分别统计展示异常行为名称，审核数/AI分析数，审核数占比/AI分析数占比；</w:t>
            </w:r>
          </w:p>
          <w:p w14:paraId="2B5629BF">
            <w:pPr>
              <w:keepNext w:val="0"/>
              <w:keepLines w:val="0"/>
              <w:pageBreakBefore w:val="0"/>
              <w:numPr>
                <w:ilvl w:val="0"/>
                <w:numId w:val="0"/>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10.▲支持按照《国家教育考试综合管理平台信息标准》对接标准与上级平台（如综合考务）对接，将考试任务产生的告警统计信息、详细告警信息上报到上级平台</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i w:val="0"/>
                <w:iCs w:val="0"/>
                <w:color w:val="auto"/>
                <w:sz w:val="24"/>
                <w:szCs w:val="24"/>
                <w:highlight w:val="none"/>
                <w:u w:val="none"/>
                <w:lang w:val="en-US" w:eastAsia="zh-CN" w:bidi="ar"/>
              </w:rPr>
              <w:t>；</w:t>
            </w:r>
          </w:p>
          <w:p w14:paraId="04262551">
            <w:pPr>
              <w:keepNext w:val="0"/>
              <w:keepLines w:val="0"/>
              <w:pageBreakBefore w:val="0"/>
              <w:numPr>
                <w:ilvl w:val="0"/>
                <w:numId w:val="0"/>
              </w:numPr>
              <w:suppressLineNumbers w:val="0"/>
              <w:spacing w:before="0" w:beforeAutospacing="0" w:after="0" w:afterAutospacing="0" w:line="400" w:lineRule="exact"/>
              <w:ind w:left="0" w:right="0"/>
              <w:jc w:val="both"/>
              <w:rPr>
                <w:rFonts w:hint="eastAsia" w:ascii="仿宋" w:hAnsi="仿宋" w:eastAsia="仿宋" w:cs="仿宋"/>
                <w:b w:val="0"/>
                <w:bCs w:val="0"/>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11.▲支持按照《国家教育考试综合管理平台信息标准》对接标准与上级平台（如综</w:t>
            </w:r>
            <w:r>
              <w:rPr>
                <w:rFonts w:hint="eastAsia" w:ascii="仿宋" w:hAnsi="仿宋" w:eastAsia="仿宋" w:cs="仿宋"/>
                <w:b w:val="0"/>
                <w:bCs w:val="0"/>
                <w:i w:val="0"/>
                <w:iCs w:val="0"/>
                <w:color w:val="auto"/>
                <w:sz w:val="24"/>
                <w:szCs w:val="24"/>
                <w:highlight w:val="none"/>
                <w:u w:val="none"/>
                <w:lang w:val="en-US" w:eastAsia="zh-CN" w:bidi="ar"/>
              </w:rPr>
              <w:t>合考务）对接，从考务获取考生座次信息，结合本地基础座次分析，显示考生智能定位信息，考生人桌关联信息（</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b w:val="0"/>
                <w:bCs w:val="0"/>
                <w:i w:val="0"/>
                <w:iCs w:val="0"/>
                <w:color w:val="auto"/>
                <w:sz w:val="24"/>
                <w:szCs w:val="24"/>
                <w:highlight w:val="none"/>
                <w:u w:val="none"/>
                <w:lang w:val="en-US" w:eastAsia="zh-CN" w:bidi="ar"/>
              </w:rPr>
              <w:t>；</w:t>
            </w:r>
          </w:p>
          <w:p w14:paraId="7DD62A92">
            <w:pPr>
              <w:keepNext w:val="0"/>
              <w:keepLines w:val="0"/>
              <w:pageBreakBefore w:val="0"/>
              <w:numPr>
                <w:ilvl w:val="0"/>
                <w:numId w:val="0"/>
              </w:numPr>
              <w:suppressLineNumbers w:val="0"/>
              <w:spacing w:before="0" w:beforeAutospacing="0" w:after="0" w:afterAutospacing="0" w:line="400" w:lineRule="exact"/>
              <w:ind w:left="0" w:right="0"/>
              <w:jc w:val="both"/>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i w:val="0"/>
                <w:iCs w:val="0"/>
                <w:color w:val="auto"/>
                <w:sz w:val="24"/>
                <w:szCs w:val="24"/>
                <w:highlight w:val="none"/>
                <w:u w:val="none"/>
                <w:lang w:val="en-US" w:eastAsia="zh-CN" w:bidi="ar"/>
              </w:rPr>
              <w:t>12.▲支持按照《国家教育考试网上巡查系统视频标准技术规范（2017版）》对接标准与下级平台、本级平台（如网上巡查系统）对接，成功获取考点考场视频进行异常行为预警分析（</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b w:val="0"/>
                <w:bCs w:val="0"/>
                <w:i w:val="0"/>
                <w:iCs w:val="0"/>
                <w:color w:val="auto"/>
                <w:sz w:val="24"/>
                <w:szCs w:val="24"/>
                <w:highlight w:val="none"/>
                <w:u w:val="none"/>
                <w:lang w:val="en-US" w:eastAsia="zh-CN" w:bidi="ar"/>
              </w:rPr>
              <w:t>；</w:t>
            </w:r>
          </w:p>
          <w:p w14:paraId="265069C6">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u w:val="none"/>
                <w:lang w:val="en-US" w:eastAsia="zh-CN" w:bidi="ar"/>
              </w:rPr>
              <w:t>13.▲符合《国家教育考试网上巡查系统视频标准技术规范（2017版）》、《国家教育考试综合管理平台信息标准》、《电子考场系统通用要求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35114-2017）、《国家教育考试考务管理人工智能识别分析异常行为分类参考》等文件要求（</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b w:val="0"/>
                <w:bCs w:val="0"/>
                <w:i w:val="0"/>
                <w:iCs w:val="0"/>
                <w:color w:val="auto"/>
                <w:sz w:val="24"/>
                <w:szCs w:val="24"/>
                <w:highlight w:val="none"/>
                <w:u w:val="none"/>
                <w:lang w:val="en-US" w:eastAsia="zh-CN" w:bidi="ar"/>
              </w:rPr>
              <w:t>。</w:t>
            </w:r>
          </w:p>
          <w:p w14:paraId="7592B30D">
            <w:pPr>
              <w:keepNext w:val="0"/>
              <w:keepLines w:val="0"/>
              <w:pageBreakBefore w:val="0"/>
              <w:widowControl/>
              <w:numPr>
                <w:ilvl w:val="0"/>
                <w:numId w:val="4"/>
              </w:numPr>
              <w:suppressLineNumbers w:val="0"/>
              <w:spacing w:before="0" w:beforeAutospacing="0" w:after="0" w:afterAutospacing="0" w:line="400" w:lineRule="exact"/>
              <w:ind w:left="0" w:right="0"/>
              <w:jc w:val="both"/>
              <w:rPr>
                <w:rFonts w:hint="eastAsia" w:ascii="仿宋" w:hAnsi="仿宋" w:eastAsia="仿宋" w:cs="仿宋"/>
                <w:b/>
                <w:bCs/>
                <w:color w:val="auto"/>
                <w:spacing w:val="8"/>
                <w:sz w:val="24"/>
                <w:szCs w:val="24"/>
                <w:highlight w:val="none"/>
                <w:lang w:val="en-US" w:eastAsia="zh-CN"/>
              </w:rPr>
            </w:pPr>
            <w:r>
              <w:rPr>
                <w:rFonts w:hint="eastAsia" w:ascii="仿宋" w:hAnsi="仿宋" w:eastAsia="仿宋" w:cs="仿宋"/>
                <w:b/>
                <w:bCs/>
                <w:color w:val="auto"/>
                <w:spacing w:val="8"/>
                <w:sz w:val="24"/>
                <w:szCs w:val="24"/>
                <w:highlight w:val="none"/>
                <w:lang w:val="en-US" w:eastAsia="zh-CN"/>
              </w:rPr>
              <w:t>智能巡考算法</w:t>
            </w:r>
          </w:p>
          <w:p w14:paraId="3E88106C">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rPr>
              <w:t>1.采用人桌模型、图像动作检测模型、视频时空动作检测模型、深度学习模型、VIT视觉大模型、人体姿态关键点</w:t>
            </w:r>
            <w:r>
              <w:rPr>
                <w:rFonts w:hint="eastAsia" w:ascii="仿宋" w:hAnsi="仿宋" w:eastAsia="仿宋" w:cs="仿宋"/>
                <w:color w:val="auto"/>
                <w:sz w:val="24"/>
                <w:szCs w:val="24"/>
                <w:highlight w:val="none"/>
                <w:lang w:val="en-US"/>
              </w:rPr>
              <w:t>检测模型。</w:t>
            </w:r>
          </w:p>
          <w:p w14:paraId="01C3A501">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2.支持H.264、H.264H、H.264M、H.264B、H.265、MJPEG视频编码标准、兼容MPEG4视频编码格式，支持G.722、G.711A、G.726、G.711U、MPEG2-L2、AAC音频编码标准、兼容MPEG Layer II音频编码标准，支持PS系统流和TS传输流的封装，符合《国家教育考试网上巡查系统视频标准技术规范（2017版）》</w:t>
            </w:r>
          </w:p>
          <w:p w14:paraId="6FFF4DBD">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3.支持按照《国家教育考试综合管理平台信息标准》对接标准与上级平台（如综合考务）对接，从考务获取考生座次信息，结合本地基础座次分析，显示考生智能定位信息，考生人桌关联信息。</w:t>
            </w:r>
          </w:p>
          <w:p w14:paraId="386B1258">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支持根据考务数据的考生座位编排规则，按照标准化考场人数、考场座次起始位置（前左手位、前右手位、后左手位、后右手位）、座位布局方式（66666、7788、8877、7887、8778、7878、8787、555555、77772）、座位排列方式（S型竖排、S型横排、Z型横排、Z型竖排），进行考生座位号与视频分析人桌模型关联</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784BCCDB">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5.支持12种考生个人行为分析：提前作答、左右偏头、向后偏头、考生站立、传递可疑物品、捡可疑物品、携带可疑物品、手放桌下并埋头、考生中途出入考场、考生举手、销毁试卷答案、考后继续作答。</w:t>
            </w:r>
          </w:p>
          <w:p w14:paraId="22F12134">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6.支持8种考试群体行为分析：考生长时间不离场、多人向同一方向偏头、考生群体举手、考生群体起立、考生群体交头接耳、考生群体停止作答、考生群体考后继续作答、考生人数统计(缺考率分析)。</w:t>
            </w:r>
          </w:p>
          <w:p w14:paraId="2D0C8AD0">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7.支持20种监考员行为:监考员未按时到达考场、监考员未核对钟表时间、监考员未展示试卷袋/答题卡袋、监考员提前发卷、监</w:t>
            </w:r>
            <w:r>
              <w:rPr>
                <w:rFonts w:hint="eastAsia" w:ascii="仿宋" w:hAnsi="仿宋" w:eastAsia="仿宋" w:cs="仿宋"/>
                <w:color w:val="auto"/>
                <w:sz w:val="24"/>
                <w:szCs w:val="24"/>
                <w:highlight w:val="none"/>
                <w:lang w:val="en-US" w:eastAsia="zh-CN"/>
              </w:rPr>
              <w:t>考</w:t>
            </w:r>
            <w:r>
              <w:rPr>
                <w:rFonts w:hint="eastAsia" w:ascii="仿宋" w:hAnsi="仿宋" w:eastAsia="仿宋" w:cs="仿宋"/>
                <w:color w:val="auto"/>
                <w:sz w:val="24"/>
                <w:szCs w:val="24"/>
                <w:highlight w:val="none"/>
                <w:lang w:val="en-US"/>
              </w:rPr>
              <w:t>员未按时发放答题卡/试卷、监考员发卷不规范、监考员在考生位置就</w:t>
            </w:r>
            <w:r>
              <w:rPr>
                <w:rFonts w:hint="eastAsia" w:ascii="仿宋" w:hAnsi="仿宋" w:eastAsia="仿宋" w:cs="仿宋"/>
                <w:color w:val="auto"/>
                <w:sz w:val="24"/>
                <w:szCs w:val="24"/>
                <w:highlight w:val="none"/>
                <w:lang w:val="en-US" w:eastAsia="zh-CN"/>
              </w:rPr>
              <w:t>座</w:t>
            </w:r>
            <w:r>
              <w:rPr>
                <w:rFonts w:hint="eastAsia" w:ascii="仿宋" w:hAnsi="仿宋" w:eastAsia="仿宋" w:cs="仿宋"/>
                <w:color w:val="auto"/>
                <w:sz w:val="24"/>
                <w:szCs w:val="24"/>
                <w:highlight w:val="none"/>
                <w:lang w:val="en-US"/>
              </w:rPr>
              <w:t>、监考员少于两人、监考员手持可疑物品、监考员注意力不集中、监考员位置不规范（监考员未规范就</w:t>
            </w:r>
            <w:r>
              <w:rPr>
                <w:rFonts w:hint="eastAsia" w:ascii="仿宋" w:hAnsi="仿宋" w:eastAsia="仿宋" w:cs="仿宋"/>
                <w:color w:val="auto"/>
                <w:sz w:val="24"/>
                <w:szCs w:val="24"/>
                <w:highlight w:val="none"/>
                <w:lang w:val="en-US" w:eastAsia="zh-CN"/>
              </w:rPr>
              <w:t>座</w:t>
            </w:r>
            <w:r>
              <w:rPr>
                <w:rFonts w:hint="eastAsia" w:ascii="仿宋" w:hAnsi="仿宋" w:eastAsia="仿宋" w:cs="仿宋"/>
                <w:color w:val="auto"/>
                <w:sz w:val="24"/>
                <w:szCs w:val="24"/>
                <w:highlight w:val="none"/>
                <w:lang w:val="en-US"/>
              </w:rPr>
              <w:t>）、监考员长时间停留在考生旁边、监考员在固定区域时间过长、两名监考员在固定区域时间过长、监考员聊天、监考员抽烟、讲台桌面不整洁、监考员提前收卷、监考员延迟收卷、监考员未在讲台监督收卷。</w:t>
            </w:r>
          </w:p>
          <w:p w14:paraId="584B5E64">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8.▲支持720p及以上分辨率视频流的实时分析，在不同光照条件、不同的摄像头角度和复杂背景中能够实现长时间连续稳定运行，且算法具备较高识别准确率与召回水平，告警响应迅速，误报率可控（提供有CMA或CNAS认证的检测机构出具的检验报告或产品材料（彩页、功能截图或产品文档等））。</w:t>
            </w:r>
          </w:p>
          <w:p w14:paraId="4880ED2A">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9.▲支持对考场监控视频进行实时监测分析，通过人桌模型算法，实现桌子和人体识别，并支持座位标记展示；可统计显示考生报考人数、实到人数、监考员人数、缺考人数等信息；当考生在座时显示绿色，考生离座时显示红色</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459EB1F7">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10.▲支持对实时视频流进行行为识别分析，支持实时视频与考场座位关联互动显示，点击实时视频座位，可关联显示座位表信息、考生座位号、考生本场次所有异常行为信息和异常行为预警截图及截图前后各10秒的完整异常行为过程短视频</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76AECE5B">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11.支持在主流服务器架构上运行，包括ARM、X86架构等。GPU加速：算法支持主流GPU加速，包括NVIDIA CUDA、NVIDIA Tesla T4、V100、A100等。操作系统：算法兼容主流操作系统，如Linux、Ubuntu、OPENEULER、CentOS等。数据库：算法支持主流数据库系统，如mysql、GreatSQL、opengauss、OceanBase、TDSQL、DM等。</w:t>
            </w:r>
          </w:p>
          <w:p w14:paraId="03A9B20E">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12.支持适配主流国产化算力卡，适配机型包括华为昇腾算卡（910系列、Atlas 300、Atlas 900系列等）、鲲鹏系列算卡等</w:t>
            </w:r>
          </w:p>
          <w:p w14:paraId="0A161CAF">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13.支持将考场预警信息（预警截图、预警短视频、考生基本信息等）推送至AI即时通/AI云巡考客户端，通过考点视频审核员进行审核研判，并可将审核结果和处置单、预警信息等存储归档。</w:t>
            </w:r>
          </w:p>
          <w:p w14:paraId="7602EE8B">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14.支持通过巡考通或巡考网关(考点网上巡</w:t>
            </w:r>
            <w:r>
              <w:rPr>
                <w:rFonts w:hint="eastAsia" w:ascii="仿宋" w:hAnsi="仿宋" w:eastAsia="仿宋" w:cs="仿宋"/>
                <w:color w:val="auto"/>
                <w:sz w:val="24"/>
                <w:szCs w:val="24"/>
                <w:highlight w:val="none"/>
                <w:lang w:val="en-US" w:eastAsia="zh-CN"/>
              </w:rPr>
              <w:t>查</w:t>
            </w:r>
            <w:r>
              <w:rPr>
                <w:rFonts w:hint="eastAsia" w:ascii="仿宋" w:hAnsi="仿宋" w:eastAsia="仿宋" w:cs="仿宋"/>
                <w:color w:val="auto"/>
                <w:sz w:val="24"/>
                <w:szCs w:val="24"/>
                <w:highlight w:val="none"/>
                <w:lang w:val="en-US"/>
              </w:rPr>
              <w:t>系统)将考点考场实时视频全量上传至云端算力机，边分析边存储；支持在算力机进行全量视频缓存，并将缓存视频转存至用户云存储平台。</w:t>
            </w:r>
          </w:p>
          <w:p w14:paraId="3AC17AB7">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等文件要求（</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2BF8DC2B">
            <w:pPr>
              <w:keepNext w:val="0"/>
              <w:keepLines w:val="0"/>
              <w:pageBreakBefore w:val="0"/>
              <w:widowControl/>
              <w:numPr>
                <w:ilvl w:val="0"/>
                <w:numId w:val="4"/>
              </w:numPr>
              <w:suppressLineNumbers w:val="0"/>
              <w:spacing w:before="0" w:beforeAutospacing="0" w:after="0" w:afterAutospacing="0" w:line="400" w:lineRule="exact"/>
              <w:ind w:left="0" w:right="0"/>
              <w:jc w:val="both"/>
              <w:rPr>
                <w:rFonts w:hint="eastAsia" w:ascii="仿宋" w:hAnsi="仿宋" w:eastAsia="仿宋" w:cs="仿宋"/>
                <w:b/>
                <w:color w:val="auto"/>
                <w:spacing w:val="8"/>
                <w:sz w:val="24"/>
                <w:szCs w:val="24"/>
                <w:highlight w:val="none"/>
                <w:lang w:val="en-US" w:eastAsia="zh-CN"/>
              </w:rPr>
            </w:pPr>
            <w:r>
              <w:rPr>
                <w:rFonts w:hint="eastAsia" w:ascii="仿宋" w:hAnsi="仿宋" w:eastAsia="仿宋" w:cs="仿宋"/>
                <w:b/>
                <w:color w:val="auto"/>
                <w:spacing w:val="8"/>
                <w:sz w:val="24"/>
                <w:szCs w:val="24"/>
                <w:highlight w:val="none"/>
                <w:lang w:val="en-US" w:eastAsia="zh-CN"/>
              </w:rPr>
              <w:t>网上巡查平台</w:t>
            </w:r>
          </w:p>
          <w:p w14:paraId="136CA4BD">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应集成sip路由、流媒体转发分发、流媒体转码、中心管理功能，专为国家教育考试的标准化考场建设提供业务支撑；具有合法合规的第三方检测机构出具符合《国家教育考试网上巡查系统视频标准技术规范（2017版）》的检测报告。</w:t>
            </w:r>
          </w:p>
          <w:p w14:paraId="5D20CA30">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2.应支持TCP/IP、SIP、RTSP、RTP、RTCP、HTTPS等网络协议；支持TCP、UDP、RTP音视频传输协议，可同时组合使用。</w:t>
            </w:r>
          </w:p>
          <w:p w14:paraId="60BB281A">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3.应支持SIP2.0协议，支持sip地址解析，信令转发、路由，支持SIP URI统一命名规则，分级命名；支持SIP URI组、用户、树形列表管理和SIP终端接入认证功能；支持SIP终端访问过程控制，建立SIP之间的路由信任关系；支持流媒体汇聚。已符合《国家教育考试网上巡查系统视频标准技术规范（2017版）》。</w:t>
            </w:r>
          </w:p>
          <w:p w14:paraId="0FF5C524">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4.▲应支持跨平台（Windows、ios，Android）播放本级、下级实时视频和网页无插件（HTML5）播放本级和下级实时音视频</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24950B05">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应支持摄像机、编码器添加、修改、删除、查询，支持自定义设备分组添加、删除、修改，支持摄像机配置信息导入、导出，支持编码器、摄像机的批量添加、修改、删除，可根据考试类型对摄像机修改是否启用、是否当前考试用，并对摄像机进行过滤。</w:t>
            </w:r>
          </w:p>
          <w:p w14:paraId="01BA52D8">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6.应支持网络检测功能，可检测本级与上级上下行传输速率、网络抖动、网络丢包率、网络延迟等。</w:t>
            </w:r>
          </w:p>
          <w:p w14:paraId="7621FE2D">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7.应支持运行服务及性能检测，可检测本级Mediaproxy、VAS、tomcat、kamailio、mysql、redis服务运行状态；CPU、内存、硬盘使用状态。</w:t>
            </w:r>
          </w:p>
          <w:p w14:paraId="2FBDA436">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8.应支持告警信息统计并一键告警异常修复，并可对异常告警信息给出相应的解决方案。</w:t>
            </w:r>
          </w:p>
          <w:p w14:paraId="7139EFD1">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9.应支持互联互通检测，可检测下级SIP向上级注册状态、视频列表情况、音视频流情况；下级注册列表统计、视频列表获取检测、视频流获取检测。</w:t>
            </w:r>
          </w:p>
          <w:p w14:paraId="58785998">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10.应支持视频质量诊断功能，可对网上巡查系统视频进行无信号检测、画面冻结检测、偏色检测、雪花检测、遮挡异常检测、亮点异常检测、条纹检测、画面模糊检测、对比度异常检测、抖动异常检测。</w:t>
            </w:r>
          </w:p>
          <w:p w14:paraId="31CC2043">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11.应支持日志查询，包括：操作人登录账号、操作类型、操作时间、操作平台、学校名称、IP地址信息。支持日志统计，包括统计用户操作内容，操作次数、登录在线时长等信息，并可一键导出统计信息。应可根据考试类型、时间节点对下级考点联调日志进行查询，包括：下级考点域名名称、考点名称、联通结果、联调人、联调时间，并可双击查看具体联调信息结果。</w:t>
            </w:r>
          </w:p>
          <w:p w14:paraId="620E2B07">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12.▲应具有地图功能，可将下属各个考点学校信息在电子地图上显示，并可按考点名称定位查询。考点经纬度可根据考点名称自动获取，并可在子域管理中进行设置。可在地图上获取下属视频列表无插件（HTML5）调取相关学校考场的实时图像</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69F1B6F2">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13.应支持一个或多个摄像机录像下载，支持同个摄像机不同时间段录像下载。支持视频录像回放、录像回放视频截图，可对回放的视频进行快速播放、慢速播放、时间进度条控制播放。</w:t>
            </w:r>
          </w:p>
          <w:p w14:paraId="3ADB4BA4">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14.应支持宇视、海康、大华、星际安防、鹏视等厂家摄像机接入管理。</w:t>
            </w:r>
          </w:p>
          <w:p w14:paraId="2D6056EB">
            <w:pPr>
              <w:keepNext w:val="0"/>
              <w:keepLines w:val="0"/>
              <w:pageBreakBefore w:val="0"/>
              <w:widowControl/>
              <w:numPr>
                <w:ilvl w:val="0"/>
                <w:numId w:val="4"/>
              </w:numPr>
              <w:suppressLineNumbers w:val="0"/>
              <w:spacing w:before="0" w:beforeAutospacing="0" w:after="0" w:afterAutospacing="0" w:line="400" w:lineRule="exact"/>
              <w:ind w:left="0" w:right="0"/>
              <w:jc w:val="both"/>
              <w:rPr>
                <w:rFonts w:hint="eastAsia" w:ascii="仿宋" w:hAnsi="仿宋" w:eastAsia="仿宋" w:cs="仿宋"/>
                <w:b/>
                <w:color w:val="auto"/>
                <w:spacing w:val="8"/>
                <w:sz w:val="24"/>
                <w:szCs w:val="24"/>
                <w:highlight w:val="none"/>
                <w:lang w:val="en-US" w:eastAsia="zh-CN"/>
              </w:rPr>
            </w:pPr>
            <w:r>
              <w:rPr>
                <w:rFonts w:hint="eastAsia" w:ascii="仿宋" w:hAnsi="仿宋" w:eastAsia="仿宋" w:cs="仿宋"/>
                <w:b/>
                <w:color w:val="auto"/>
                <w:spacing w:val="8"/>
                <w:sz w:val="24"/>
                <w:szCs w:val="24"/>
                <w:highlight w:val="none"/>
                <w:lang w:val="en-US" w:eastAsia="zh-CN"/>
              </w:rPr>
              <w:t>AI云巡考客户端</w:t>
            </w:r>
          </w:p>
          <w:p w14:paraId="7052FDE5">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1.支持按考试列表、场所列表、自定义列表方式获取及展示考点列表名称、保密室列表名称、视频通道列表名称。</w:t>
            </w:r>
          </w:p>
          <w:p w14:paraId="39815665">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2.支持实时音视频播放，并在实时视频AI分析时，对检测到的异常行为进行实时画框标记显示。画框内容包括座位号/监考员、预警等级和异常行为描述。分析结果根据预警等级以不同颜色标记：Ⅳ级（一般）为蓝色，Ⅲ级（较重）为黄色，Ⅱ级（严重）为橙色，Ⅰ级（特别严重）为红色，以便用户快速识别和区分异常行为的严重程度。</w:t>
            </w:r>
          </w:p>
          <w:p w14:paraId="3DA82D86">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3.支持展示当前窗口视频播放的考场（摄像机）预警信息，包括考场名称、座位号、预警等级、预警起止时间以及异常行为描述，并可通过点击“详情”按钮查看“预警记录”的详细信息。</w:t>
            </w:r>
          </w:p>
          <w:p w14:paraId="19CEF645">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rPr>
              <w:t>4.▲支持《国家教育考试网上巡查系统视频标准技术规范（2017版）》标准，接入前端设备和音视频播放</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b w:val="0"/>
                <w:bCs w:val="0"/>
                <w:color w:val="auto"/>
                <w:sz w:val="24"/>
                <w:szCs w:val="24"/>
                <w:highlight w:val="none"/>
                <w:lang w:val="en-US"/>
              </w:rPr>
              <w:t>。</w:t>
            </w:r>
          </w:p>
          <w:p w14:paraId="76C67ACF">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5.支持对考场监控视频实时监测分析，通过自研人桌模型算法，实现对桌子和人体识别关联并进行座位标记，并统计显示考生报考人数、实到人数、监考员人数、缺考人数等信息供视频监考员手动确认上报，也支持系统动态实时上传。</w:t>
            </w:r>
          </w:p>
          <w:p w14:paraId="3564BBD6">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6.支持考场座位表查看，可按考场座位数量、座次起始位置、座位布局方式、座位排列方式布局显示，当考生在座时显示绿色，考生离座时显示红色。</w:t>
            </w:r>
          </w:p>
          <w:p w14:paraId="75D432B2">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7.▲支持实时视频与考场座位关联互动显示，点击实时视频座位，可关联显示座位表信息、考生座位号、考生本场次所有异常行为信息和异常行为预警截图；支持座位表关联查询预警信息，点击座位号自动展示该考生该场次所有异常行为信息和预警截图</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b w:val="0"/>
                <w:bCs w:val="0"/>
                <w:color w:val="auto"/>
                <w:sz w:val="24"/>
                <w:szCs w:val="24"/>
                <w:highlight w:val="none"/>
                <w:lang w:val="en-US"/>
              </w:rPr>
              <w:t>。</w:t>
            </w:r>
          </w:p>
          <w:p w14:paraId="0C7FEAF9">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8.支持自动检测硬件资源CPU、内存、SIP服务器内存、SIP服务器CUP的使用情况和当前播放视频的传输速率、丢包率。</w:t>
            </w:r>
          </w:p>
          <w:p w14:paraId="6024B8AB">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9.支持全屏显示考场智能分析窗口，实时展示当前考场的视频画面、座位表、预警信息及预警截图等。同时，预警信息列表支持自动刷新，能够实时显示最新的预警信息，包括预警时间、座位号/监考员、预警等级、异常行为描述，以及预警截图和预警前后各10秒的完整异常行为过程短视频。</w:t>
            </w:r>
          </w:p>
          <w:p w14:paraId="61A643CE">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rPr>
              <w:t>10.▲支持一级预警列表展示：一级预警按“待审核”、“已审核异常”、“已审核正常”划分列表展示异常行为的实时考场视频、预警截图、预警录像、异常行为名称、预警时间、考场名称、审核结果、疑似状况、文字补充说明、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b w:val="0"/>
                <w:bCs w:val="0"/>
                <w:color w:val="auto"/>
                <w:sz w:val="24"/>
                <w:szCs w:val="24"/>
                <w:highlight w:val="none"/>
                <w:lang w:val="en-US"/>
              </w:rPr>
              <w:t>。</w:t>
            </w:r>
          </w:p>
          <w:p w14:paraId="0A94893B">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11.支持按用户所属机构等级登录AI云巡考客户端，省级用户登录显示省级统计数据页面，地市用户登录显示地市级统计数据页面，区县用户登录显示区县级统计页面。</w:t>
            </w:r>
          </w:p>
          <w:p w14:paraId="43E51DCA">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12.支持按地图展示所属区域，审核预警数、AI分析预警数，考点总数、考场总数、预警考场数、预警考场率，考生应考总数、实到人数、缺考人数、缺考率。</w:t>
            </w:r>
          </w:p>
          <w:p w14:paraId="159F6B79">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13.支持SIP2.0协议，支持</w:t>
            </w:r>
            <w:r>
              <w:rPr>
                <w:rFonts w:hint="eastAsia" w:ascii="仿宋" w:hAnsi="仿宋" w:eastAsia="仿宋" w:cs="仿宋"/>
                <w:b w:val="0"/>
                <w:bCs w:val="0"/>
                <w:color w:val="auto"/>
                <w:sz w:val="24"/>
                <w:szCs w:val="24"/>
                <w:highlight w:val="none"/>
                <w:lang w:val="en-US" w:eastAsia="zh-CN"/>
              </w:rPr>
              <w:t>SIP</w:t>
            </w:r>
            <w:r>
              <w:rPr>
                <w:rFonts w:hint="eastAsia" w:ascii="仿宋" w:hAnsi="仿宋" w:eastAsia="仿宋" w:cs="仿宋"/>
                <w:b w:val="0"/>
                <w:bCs w:val="0"/>
                <w:color w:val="auto"/>
                <w:sz w:val="24"/>
                <w:szCs w:val="24"/>
                <w:highlight w:val="none"/>
                <w:lang w:val="en-US"/>
              </w:rPr>
              <w:t>地址解析，信令转发、路由，支持SIP URI统一命名规则，分级命名；支持SIP URI组、用户、树形列表管理和SIP终端接入认证功能；支持SIP终端访问过程控制，建立SIP之间的路由信任关系；支持流媒体汇聚。支持SIP向上级的主动注册及同时向多个上级同时注册管理,支持反向通道（上级能够反向找到下级进行通信)。支持SIP录像文件播放请求与停止回放信令控制。符合《国家教育考试网上巡查系统视频标准技术规范（2017版）》。</w:t>
            </w:r>
          </w:p>
          <w:p w14:paraId="5DC00176">
            <w:pPr>
              <w:pStyle w:val="14"/>
              <w:keepNext w:val="0"/>
              <w:keepLines w:val="0"/>
              <w:pageBreakBefore w:val="0"/>
              <w:numPr>
                <w:ilvl w:val="0"/>
                <w:numId w:val="0"/>
              </w:numPr>
              <w:suppressLineNumbers w:val="0"/>
              <w:spacing w:before="0" w:beforeAutospacing="0" w:after="0" w:afterAutospacing="0" w:line="400" w:lineRule="exact"/>
              <w:ind w:right="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14.支持H.264、H.265视频编码标准、兼容MPEG4视频编码格式，支持G.711和AAC音频编码标准、兼容MPEG Layer II音频编码标准，支持PS系统流和TS传输流的封装，符合《国家教育考试网上巡查系统视频标准技术规范（2017版）》。</w:t>
            </w:r>
          </w:p>
          <w:p w14:paraId="649FABEA">
            <w:pPr>
              <w:pStyle w:val="14"/>
              <w:keepNext w:val="0"/>
              <w:keepLines w:val="0"/>
              <w:pageBreakBefore w:val="0"/>
              <w:numPr>
                <w:ilvl w:val="-1"/>
                <w:numId w:val="0"/>
              </w:numPr>
              <w:suppressLineNumbers w:val="0"/>
              <w:spacing w:before="0" w:beforeAutospacing="0" w:after="0" w:afterAutospacing="0" w:line="400" w:lineRule="exact"/>
              <w:ind w:left="0" w:right="0" w:firstLine="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rPr>
              <w:t>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等文件要求（</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p>
          <w:p w14:paraId="79436F9A">
            <w:pPr>
              <w:keepNext w:val="0"/>
              <w:keepLines w:val="0"/>
              <w:pageBreakBefore w:val="0"/>
              <w:widowControl/>
              <w:numPr>
                <w:ilvl w:val="0"/>
                <w:numId w:val="4"/>
              </w:numPr>
              <w:suppressLineNumbers w:val="0"/>
              <w:spacing w:before="0" w:beforeAutospacing="0" w:after="0" w:afterAutospacing="0" w:line="400" w:lineRule="exact"/>
              <w:ind w:left="0" w:right="0"/>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pacing w:val="8"/>
                <w:sz w:val="24"/>
                <w:szCs w:val="24"/>
                <w:highlight w:val="none"/>
                <w:lang w:val="en-US" w:eastAsia="zh-CN"/>
              </w:rPr>
              <w:t>AI即时通</w:t>
            </w:r>
          </w:p>
          <w:p w14:paraId="468BBCE9">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1.用户登录后可自动获取当前考试计划，并显示登录的用户名、所属机构、考试场次的时间</w:t>
            </w:r>
            <w:r>
              <w:rPr>
                <w:rFonts w:hint="eastAsia" w:ascii="仿宋" w:hAnsi="仿宋" w:eastAsia="仿宋" w:cs="仿宋"/>
                <w:color w:val="auto"/>
                <w:sz w:val="24"/>
                <w:szCs w:val="24"/>
                <w:highlight w:val="none"/>
                <w:lang w:val="en-US" w:eastAsia="zh-CN"/>
              </w:rPr>
              <w:t>；</w:t>
            </w:r>
          </w:p>
          <w:p w14:paraId="47CBB48C">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2.支持查看关注考场/所有考场列表，列表包含：待审核（数量）/已审核异常（数量）/已审核正常（数量）。支持根据考点所有考场列表，设置所要关注的考场。同时，也</w:t>
            </w:r>
            <w:r>
              <w:rPr>
                <w:rFonts w:hint="eastAsia" w:ascii="仿宋" w:hAnsi="仿宋" w:eastAsia="仿宋" w:cs="仿宋"/>
                <w:color w:val="auto"/>
                <w:sz w:val="24"/>
                <w:szCs w:val="24"/>
                <w:highlight w:val="none"/>
                <w:lang w:val="en-US" w:eastAsia="zh-CN"/>
              </w:rPr>
              <w:t>可</w:t>
            </w:r>
            <w:r>
              <w:rPr>
                <w:rFonts w:hint="eastAsia" w:ascii="仿宋" w:hAnsi="仿宋" w:eastAsia="仿宋" w:cs="仿宋"/>
                <w:color w:val="auto"/>
                <w:sz w:val="24"/>
                <w:szCs w:val="24"/>
                <w:highlight w:val="none"/>
                <w:lang w:val="en-US"/>
              </w:rPr>
              <w:t>取消关注的考场</w:t>
            </w:r>
            <w:r>
              <w:rPr>
                <w:rFonts w:hint="eastAsia" w:ascii="仿宋" w:hAnsi="仿宋" w:eastAsia="仿宋" w:cs="仿宋"/>
                <w:color w:val="auto"/>
                <w:sz w:val="24"/>
                <w:szCs w:val="24"/>
                <w:highlight w:val="none"/>
                <w:lang w:val="en-US" w:eastAsia="zh-CN"/>
              </w:rPr>
              <w:t>；</w:t>
            </w:r>
          </w:p>
          <w:p w14:paraId="6C9E158C">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3.▲支持一级预警列表展示：一级预警按“待审核”、“已审核异常”、“已审核正常”划分列表展示异常行为的预警截图、预警短视频、预警时间、审核结果、疑似状况、文字补充说明、处置单、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p>
          <w:p w14:paraId="0D298EFC">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4.▲支持二级预警提示列表展示：二级预警按考场排序展示预警排名、预警时间、预警截图、预警短视频、预警列表、审核状态、座位表关联信息、待审核数量、已审核异常数量、已审核正常数量等</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p>
          <w:p w14:paraId="1128937A">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5.支持按预警图片、异常行为、预警时间、考场名称、座位号/监考员显示推送的预警信息，点击审核按钮可查看异常行为、预警等级、预警时间、考场名称、座位号/监考员、预警截图、预警短视频</w:t>
            </w:r>
            <w:r>
              <w:rPr>
                <w:rFonts w:hint="eastAsia" w:ascii="仿宋" w:hAnsi="仿宋" w:eastAsia="仿宋" w:cs="仿宋"/>
                <w:color w:val="auto"/>
                <w:sz w:val="24"/>
                <w:szCs w:val="24"/>
                <w:highlight w:val="none"/>
                <w:lang w:val="en-US" w:eastAsia="zh-CN"/>
              </w:rPr>
              <w:t>；</w:t>
            </w:r>
          </w:p>
          <w:p w14:paraId="320BEDA3">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6.支持对未审核的预警信息以红点状态提示，并通过审核页面展示异常行为、预警等级、预警时间、考场名称、座位号/监考员、预警截图、预警短视频</w:t>
            </w:r>
            <w:r>
              <w:rPr>
                <w:rFonts w:hint="eastAsia" w:ascii="仿宋" w:hAnsi="仿宋" w:eastAsia="仿宋" w:cs="仿宋"/>
                <w:color w:val="auto"/>
                <w:sz w:val="24"/>
                <w:szCs w:val="24"/>
                <w:highlight w:val="none"/>
                <w:lang w:val="en-US" w:eastAsia="zh-CN"/>
              </w:rPr>
              <w:t>；</w:t>
            </w:r>
          </w:p>
          <w:p w14:paraId="4F7CAAF9">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7.支持根据所发生的考场、时间、场次科目、审核记录等信息查看违纪记录情况，支持在缩略图中框选出异常行为所发生区域并标注行为类型，可一键放大缩略图及查看异常行为录像回放</w:t>
            </w:r>
            <w:r>
              <w:rPr>
                <w:rFonts w:hint="eastAsia" w:ascii="仿宋" w:hAnsi="仿宋" w:eastAsia="仿宋" w:cs="仿宋"/>
                <w:color w:val="auto"/>
                <w:sz w:val="24"/>
                <w:szCs w:val="24"/>
                <w:highlight w:val="none"/>
                <w:lang w:val="en-US" w:eastAsia="zh-CN"/>
              </w:rPr>
              <w:t>；</w:t>
            </w:r>
          </w:p>
          <w:p w14:paraId="033EB810">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8.▲支持查看预警事件，根据异常行为截图（支持自动框选异常人员并标记异常行为）、录像片段、关联事件、实时视频等信息进行解除异常</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val="en-US"/>
              </w:rPr>
              <w:t>疑似违规</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val="en-US"/>
              </w:rPr>
              <w:t>判定违规的操作</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rPr>
              <w:t>；</w:t>
            </w:r>
          </w:p>
          <w:p w14:paraId="26F4EF99">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9.支持预警信息审核结果操作，判定为正常或异常，同时还可对已判定为异常行为的预警信息文字补充说明</w:t>
            </w:r>
            <w:r>
              <w:rPr>
                <w:rFonts w:hint="eastAsia" w:ascii="仿宋" w:hAnsi="仿宋" w:eastAsia="仿宋" w:cs="仿宋"/>
                <w:color w:val="auto"/>
                <w:sz w:val="24"/>
                <w:szCs w:val="24"/>
                <w:highlight w:val="none"/>
                <w:lang w:val="en-US" w:eastAsia="zh-CN"/>
              </w:rPr>
              <w:t>；</w:t>
            </w:r>
          </w:p>
          <w:p w14:paraId="36AA1D59">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10.可对已审核的预警信息结果复核确认操作，保存最终的审核结果、预警信息以及文字说明等上报留存归档</w:t>
            </w:r>
            <w:r>
              <w:rPr>
                <w:rFonts w:hint="eastAsia" w:ascii="仿宋" w:hAnsi="仿宋" w:eastAsia="仿宋" w:cs="仿宋"/>
                <w:color w:val="auto"/>
                <w:sz w:val="24"/>
                <w:szCs w:val="24"/>
                <w:highlight w:val="none"/>
                <w:lang w:val="en-US" w:eastAsia="zh-CN"/>
              </w:rPr>
              <w:t>；</w:t>
            </w:r>
          </w:p>
          <w:p w14:paraId="15326A59">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11.▲支持处置单打印操作，可自动调用系统打印机打印，处置单内容包括考点名称、编号、科目、告警时间、考场号、座位号、告警类型、异常行为描述、告警截图、现场处置情况等信息</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p>
          <w:p w14:paraId="28696461">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12.支持视频审核员现场录入处置结果，并自动上传至智能巡考管理平台录入归档</w:t>
            </w:r>
            <w:r>
              <w:rPr>
                <w:rFonts w:hint="eastAsia" w:ascii="仿宋" w:hAnsi="仿宋" w:eastAsia="仿宋" w:cs="仿宋"/>
                <w:color w:val="auto"/>
                <w:sz w:val="24"/>
                <w:szCs w:val="24"/>
                <w:highlight w:val="none"/>
                <w:lang w:val="en-US" w:eastAsia="zh-CN"/>
              </w:rPr>
              <w:t>；</w:t>
            </w:r>
          </w:p>
          <w:p w14:paraId="50D622D7">
            <w:pPr>
              <w:pStyle w:val="14"/>
              <w:keepNext w:val="0"/>
              <w:keepLines w:val="0"/>
              <w:pageBreakBefore w:val="0"/>
              <w:suppressLineNumbers w:val="0"/>
              <w:spacing w:before="0" w:beforeAutospacing="0" w:after="0" w:afterAutospacing="0" w:line="400" w:lineRule="exact"/>
              <w:ind w:left="0" w:right="0" w:firstLine="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lang w:val="en-US"/>
              </w:rPr>
              <w:t>▲符合《国家教育考试网上巡查系统视频标准技术规范（2017版）》、《国家教育考试综合管理平台信息标准》、《电子考场系统通用要求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等文件要求（</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68B14">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A9211">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5A6F8">
            <w:pPr>
              <w:keepNext w:val="0"/>
              <w:keepLines w:val="0"/>
              <w:pageBreakBefore w:val="0"/>
              <w:widowControl/>
              <w:suppressLineNumbers w:val="0"/>
              <w:spacing w:before="0" w:beforeAutospacing="0" w:after="0" w:afterAutospacing="0" w:line="400" w:lineRule="exact"/>
              <w:ind w:left="0" w:right="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覆盖全市考点及市、区县保密室</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77C0D">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eastAsia="zh-CN"/>
              </w:rPr>
            </w:pPr>
          </w:p>
        </w:tc>
      </w:tr>
      <w:tr w14:paraId="676F8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D312A">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2</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D6C1E">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算力资源服务及组网服务</w:t>
            </w:r>
          </w:p>
        </w:tc>
        <w:tc>
          <w:tcPr>
            <w:tcW w:w="23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1C9D1">
            <w:pPr>
              <w:keepNext w:val="0"/>
              <w:keepLines w:val="0"/>
              <w:pageBreakBefore w:val="0"/>
              <w:widowControl/>
              <w:numPr>
                <w:ilvl w:val="0"/>
                <w:numId w:val="0"/>
              </w:numPr>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w:t>
            </w:r>
            <w:r>
              <w:rPr>
                <w:rFonts w:hint="eastAsia" w:ascii="仿宋" w:hAnsi="仿宋" w:eastAsia="仿宋" w:cs="仿宋"/>
                <w:i w:val="0"/>
                <w:iCs w:val="0"/>
                <w:color w:val="auto"/>
                <w:sz w:val="24"/>
                <w:szCs w:val="24"/>
                <w:highlight w:val="none"/>
                <w:lang w:val="en-US" w:eastAsia="zh-CN" w:bidi="ar"/>
              </w:rPr>
              <w:t>1、</w:t>
            </w:r>
            <w:r>
              <w:rPr>
                <w:rFonts w:hint="eastAsia" w:ascii="仿宋" w:hAnsi="仿宋" w:eastAsia="仿宋" w:cs="仿宋"/>
                <w:i w:val="0"/>
                <w:iCs w:val="0"/>
                <w:color w:val="auto"/>
                <w:sz w:val="24"/>
                <w:szCs w:val="24"/>
                <w:highlight w:val="none"/>
                <w:u w:val="none"/>
                <w:lang w:val="en-US" w:eastAsia="zh-CN" w:bidi="ar"/>
              </w:rPr>
              <w:t>须根据考试规模及时间，配套足够的云端算力资源，以满足全市高考、中考（部分考点）、研究生考场及市、区县保密室实时智能巡查需求，投标人需提供承诺函。</w:t>
            </w:r>
          </w:p>
          <w:p w14:paraId="2FD890B6">
            <w:pPr>
              <w:keepNext w:val="0"/>
              <w:keepLines w:val="0"/>
              <w:pageBreakBefore w:val="0"/>
              <w:widowControl/>
              <w:numPr>
                <w:ilvl w:val="0"/>
                <w:numId w:val="0"/>
              </w:numPr>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2、为所有高考、中考（部分考点）、研究生考点及市、区县保密室网络接入提供组网服务。</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26C56">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F5BCC">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项</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078C0">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覆盖全市考点及市、区县保密室</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8C5E0">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rPr>
            </w:pPr>
          </w:p>
        </w:tc>
      </w:tr>
      <w:tr w14:paraId="2B5B0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849" w:type="dxa"/>
          <w:trHeight w:val="0" w:hRule="atLeast"/>
        </w:trPr>
        <w:tc>
          <w:tcPr>
            <w:tcW w:w="4576"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CB034">
            <w:pPr>
              <w:keepNext w:val="0"/>
              <w:keepLines w:val="0"/>
              <w:pageBreakBefore w:val="0"/>
              <w:widowControl/>
              <w:suppressLineNumbers w:val="0"/>
              <w:spacing w:before="0" w:beforeAutospacing="0" w:after="0" w:afterAutospacing="0" w:line="400" w:lineRule="exact"/>
              <w:ind w:left="0" w:right="0" w:firstLine="482"/>
              <w:jc w:val="left"/>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bidi="ar"/>
              </w:rPr>
              <w:t>二、市教育考试指挥中心可视化显示系统升级改造服务</w:t>
            </w:r>
          </w:p>
        </w:tc>
      </w:tr>
      <w:tr w14:paraId="75E22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D4F96">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4A27E7">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可视化显示系统升级改造服务</w:t>
            </w:r>
          </w:p>
        </w:tc>
        <w:tc>
          <w:tcPr>
            <w:tcW w:w="23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26673">
            <w:pPr>
              <w:keepNext w:val="0"/>
              <w:keepLines w:val="0"/>
              <w:pageBreakBefore w:val="0"/>
              <w:widowControl/>
              <w:numPr>
                <w:ilvl w:val="0"/>
                <w:numId w:val="0"/>
              </w:numPr>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lang w:val="en-US" w:eastAsia="zh-CN" w:bidi="ar"/>
              </w:rPr>
              <w:t>1、</w:t>
            </w:r>
            <w:r>
              <w:rPr>
                <w:rFonts w:hint="eastAsia" w:ascii="仿宋" w:hAnsi="仿宋" w:eastAsia="仿宋" w:cs="仿宋"/>
                <w:i w:val="0"/>
                <w:iCs w:val="0"/>
                <w:color w:val="auto"/>
                <w:sz w:val="24"/>
                <w:szCs w:val="24"/>
                <w:highlight w:val="none"/>
                <w:u w:val="none"/>
                <w:lang w:val="en-US" w:eastAsia="zh-CN" w:bidi="ar"/>
              </w:rPr>
              <w:t>完成 P0.9 COB 微间距可视化显示系统整体配套实施服务，可视有效面积≥9.98㎡，像素间距≤0.93mm、倒装晶片、16:9压铸铝箱体、全前维护安装、静音无风扇、SELV 低压安全电路、RG0光生物安全豁免级，亮度、对比度、色域、刷新率等参数达标；</w:t>
            </w:r>
          </w:p>
          <w:p w14:paraId="69D90353">
            <w:pPr>
              <w:keepNext w:val="0"/>
              <w:keepLines w:val="0"/>
              <w:pageBreakBefore w:val="0"/>
              <w:widowControl/>
              <w:numPr>
                <w:ilvl w:val="0"/>
                <w:numId w:val="0"/>
              </w:numPr>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lang w:val="en-US" w:eastAsia="zh-CN" w:bidi="ar"/>
              </w:rPr>
              <w:t>2、</w:t>
            </w:r>
            <w:r>
              <w:rPr>
                <w:rFonts w:hint="eastAsia" w:ascii="仿宋" w:hAnsi="仿宋" w:eastAsia="仿宋" w:cs="仿宋"/>
                <w:i w:val="0"/>
                <w:iCs w:val="0"/>
                <w:color w:val="auto"/>
                <w:sz w:val="24"/>
                <w:szCs w:val="24"/>
                <w:highlight w:val="none"/>
                <w:u w:val="none"/>
                <w:lang w:val="en-US" w:eastAsia="zh-CN" w:bidi="ar"/>
              </w:rPr>
              <w:t>▲屏体采用全前维护、前安装设计，灯板与连接板采用硬连方式(两块板卡连接无需排线、电源线)，灯板支持热插拔，所有元器件皆可从正面拆装、维护，有效节约安装空间</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i w:val="0"/>
                <w:iCs w:val="0"/>
                <w:color w:val="auto"/>
                <w:sz w:val="24"/>
                <w:szCs w:val="24"/>
                <w:highlight w:val="none"/>
                <w:u w:val="none"/>
                <w:lang w:val="en-US" w:eastAsia="zh-CN" w:bidi="ar"/>
              </w:rPr>
              <w:t>。</w:t>
            </w:r>
          </w:p>
          <w:p w14:paraId="634541F8">
            <w:pPr>
              <w:keepNext w:val="0"/>
              <w:keepLines w:val="0"/>
              <w:pageBreakBefore w:val="0"/>
              <w:widowControl/>
              <w:numPr>
                <w:ilvl w:val="0"/>
                <w:numId w:val="0"/>
              </w:numPr>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lang w:val="en-US" w:eastAsia="zh-CN" w:bidi="ar"/>
              </w:rPr>
              <w:t>3、</w:t>
            </w:r>
            <w:r>
              <w:rPr>
                <w:rFonts w:hint="eastAsia" w:ascii="仿宋" w:hAnsi="仿宋" w:eastAsia="仿宋" w:cs="仿宋"/>
                <w:i w:val="0"/>
                <w:iCs w:val="0"/>
                <w:color w:val="auto"/>
                <w:sz w:val="24"/>
                <w:szCs w:val="24"/>
                <w:highlight w:val="none"/>
                <w:u w:val="none"/>
                <w:lang w:val="en-US" w:eastAsia="zh-CN" w:bidi="ar"/>
              </w:rPr>
              <w:t>▲屏体校正后亮度损失≤30%；具有颜色、灰度校正，具有校正数据存储及自动回读功能</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p>
          <w:p w14:paraId="1BACBEE9">
            <w:pPr>
              <w:keepNext w:val="0"/>
              <w:keepLines w:val="0"/>
              <w:pageBreakBefore w:val="0"/>
              <w:widowControl/>
              <w:suppressLineNumbers w:val="0"/>
              <w:spacing w:before="0" w:beforeAutospacing="0" w:after="0" w:afterAutospacing="0" w:line="400" w:lineRule="exact"/>
              <w:ind w:left="0" w:right="0"/>
              <w:jc w:val="both"/>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lang w:val="en-US" w:eastAsia="zh-CN" w:bidi="ar-SA"/>
              </w:rPr>
              <w:t>4、</w:t>
            </w:r>
            <w:r>
              <w:rPr>
                <w:rFonts w:hint="eastAsia" w:ascii="仿宋" w:hAnsi="仿宋" w:eastAsia="仿宋" w:cs="仿宋"/>
                <w:i w:val="0"/>
                <w:iCs w:val="0"/>
                <w:color w:val="auto"/>
                <w:sz w:val="24"/>
                <w:szCs w:val="24"/>
                <w:highlight w:val="none"/>
                <w:u w:val="none"/>
                <w:lang w:val="en-US" w:eastAsia="zh-CN" w:bidi="ar"/>
              </w:rPr>
              <w:t>▲屏体应符合IEC62471光生物安全性等级豁免级（RG0），产生的光辐射对人体不构成任何危害，无需特殊防护措施</w:t>
            </w:r>
            <w:r>
              <w:rPr>
                <w:rFonts w:hint="eastAsia" w:ascii="仿宋" w:hAnsi="仿宋" w:eastAsia="仿宋" w:cs="仿宋"/>
                <w:b w:val="0"/>
                <w:bCs w:val="0"/>
                <w:i w:val="0"/>
                <w:iCs w:val="0"/>
                <w:color w:val="auto"/>
                <w:sz w:val="24"/>
                <w:szCs w:val="24"/>
                <w:highlight w:val="none"/>
                <w:u w:val="none"/>
                <w:lang w:val="en-US" w:eastAsia="zh-CN"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rPr>
              <w:t>。</w:t>
            </w:r>
            <w:r>
              <w:rPr>
                <w:rFonts w:hint="eastAsia" w:ascii="仿宋" w:hAnsi="仿宋" w:eastAsia="仿宋" w:cs="仿宋"/>
                <w:i w:val="0"/>
                <w:iCs w:val="0"/>
                <w:color w:val="auto"/>
                <w:sz w:val="24"/>
                <w:szCs w:val="24"/>
                <w:highlight w:val="none"/>
                <w:u w:val="none"/>
                <w:lang w:val="en-US" w:eastAsia="zh-CN" w:bidi="ar"/>
              </w:rPr>
              <w:br w:type="textWrapping"/>
            </w:r>
            <w:r>
              <w:rPr>
                <w:rFonts w:hint="eastAsia" w:ascii="仿宋" w:hAnsi="仿宋" w:eastAsia="仿宋" w:cs="仿宋"/>
                <w:i w:val="0"/>
                <w:iCs w:val="0"/>
                <w:color w:val="auto"/>
                <w:sz w:val="24"/>
                <w:szCs w:val="24"/>
                <w:highlight w:val="none"/>
                <w:u w:val="none"/>
                <w:lang w:val="en-US" w:eastAsia="zh-CN" w:bidi="ar"/>
              </w:rPr>
              <w:t>5、配套1套显示系统播控软件、1台高性能视频处理设备，该设备具备多路信号输入输出能力、支持不少于 5 个画面分层显示、20 组以上场景预案存储、集成智能节能、设备运行状态实时监测功能。</w:t>
            </w:r>
          </w:p>
          <w:p w14:paraId="0EDEC801">
            <w:pPr>
              <w:keepNext w:val="0"/>
              <w:keepLines w:val="0"/>
              <w:pageBreakBefore w:val="0"/>
              <w:widowControl/>
              <w:numPr>
                <w:ilvl w:val="0"/>
                <w:numId w:val="0"/>
              </w:numPr>
              <w:suppressLineNumbers w:val="0"/>
              <w:spacing w:before="0" w:beforeAutospacing="0" w:after="0" w:afterAutospacing="0" w:line="400" w:lineRule="exact"/>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i w:val="0"/>
                <w:iCs w:val="0"/>
                <w:color w:val="auto"/>
                <w:sz w:val="24"/>
                <w:szCs w:val="24"/>
                <w:highlight w:val="none"/>
                <w:lang w:val="en-US" w:eastAsia="zh-CN" w:bidi="ar"/>
              </w:rPr>
              <w:t>6、服务包含现有12块拼接屏拆除及全新显示系统配套包边装饰。</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3FFDA">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1</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B6592">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E6311">
            <w:pPr>
              <w:keepNext w:val="0"/>
              <w:keepLines w:val="0"/>
              <w:pageBreakBefore w:val="0"/>
              <w:widowControl/>
              <w:suppressLineNumbers w:val="0"/>
              <w:spacing w:before="0" w:beforeAutospacing="0" w:after="0" w:afterAutospacing="0" w:line="400" w:lineRule="exact"/>
              <w:ind w:left="0" w:right="0"/>
              <w:jc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bidi="ar"/>
              </w:rPr>
              <w:t>市教育局指挥中心</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28919">
            <w:pPr>
              <w:keepNext w:val="0"/>
              <w:keepLines w:val="0"/>
              <w:pageBreakBefore w:val="0"/>
              <w:suppressLineNumbers w:val="0"/>
              <w:spacing w:before="0" w:beforeAutospacing="0" w:after="0" w:afterAutospacing="0" w:line="400" w:lineRule="exact"/>
              <w:ind w:left="0" w:right="0" w:firstLine="480"/>
              <w:jc w:val="both"/>
              <w:rPr>
                <w:rFonts w:hint="eastAsia" w:ascii="仿宋" w:hAnsi="仿宋" w:eastAsia="仿宋" w:cs="仿宋"/>
                <w:i w:val="0"/>
                <w:iCs w:val="0"/>
                <w:color w:val="auto"/>
                <w:sz w:val="24"/>
                <w:szCs w:val="24"/>
                <w:highlight w:val="none"/>
                <w:u w:val="none"/>
              </w:rPr>
            </w:pPr>
          </w:p>
        </w:tc>
      </w:tr>
    </w:tbl>
    <w:p w14:paraId="389A0964">
      <w:pPr>
        <w:keepNext w:val="0"/>
        <w:keepLines w:val="0"/>
        <w:pageBreakBefore w:val="0"/>
        <w:widowControl/>
        <w:suppressLineNumbers w:val="0"/>
        <w:spacing w:line="400" w:lineRule="exact"/>
        <w:jc w:val="both"/>
        <w:rPr>
          <w:rFonts w:hint="eastAsia" w:ascii="仿宋" w:hAnsi="仿宋" w:eastAsia="仿宋" w:cs="仿宋"/>
          <w:i w:val="0"/>
          <w:iCs w:val="0"/>
          <w:color w:val="auto"/>
          <w:sz w:val="28"/>
          <w:szCs w:val="28"/>
          <w:highlight w:val="none"/>
          <w:u w:val="none"/>
          <w:lang w:val="en-US" w:eastAsia="zh-CN" w:bidi="ar"/>
        </w:rPr>
      </w:pPr>
    </w:p>
    <w:p w14:paraId="6B596DD4">
      <w:pPr>
        <w:keepNext w:val="0"/>
        <w:keepLines w:val="0"/>
        <w:pageBreakBefore w:val="0"/>
        <w:widowControl w:val="0"/>
        <w:spacing w:line="480" w:lineRule="exact"/>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3.5宿城区黄海路初中监控室可视化系统建设服务</w:t>
      </w:r>
    </w:p>
    <w:p w14:paraId="370BE998">
      <w:pPr>
        <w:keepNext w:val="0"/>
        <w:keepLines w:val="0"/>
        <w:pageBreakBefore w:val="0"/>
        <w:widowControl w:val="0"/>
        <w:numPr>
          <w:ilvl w:val="-1"/>
          <w:numId w:val="0"/>
        </w:numPr>
        <w:suppressLineNumbers w:val="0"/>
        <w:spacing w:line="480" w:lineRule="exact"/>
        <w:ind w:firstLine="480"/>
        <w:jc w:val="both"/>
        <w:rPr>
          <w:rFonts w:hint="eastAsia" w:ascii="仿宋" w:hAnsi="仿宋" w:eastAsia="仿宋" w:cs="仿宋"/>
          <w:b w:val="0"/>
          <w:bCs/>
          <w:i w:val="0"/>
          <w:iCs w:val="0"/>
          <w:color w:val="auto"/>
          <w:sz w:val="24"/>
          <w:szCs w:val="24"/>
          <w:highlight w:val="none"/>
          <w:u w:val="none"/>
          <w:lang w:val="en-US" w:eastAsia="zh-CN" w:bidi="ar-SA"/>
        </w:rPr>
      </w:pPr>
      <w:r>
        <w:rPr>
          <w:rFonts w:hint="eastAsia" w:ascii="仿宋" w:hAnsi="仿宋" w:eastAsia="仿宋" w:cs="仿宋"/>
          <w:b w:val="0"/>
          <w:bCs/>
          <w:i w:val="0"/>
          <w:iCs w:val="0"/>
          <w:color w:val="auto"/>
          <w:sz w:val="24"/>
          <w:szCs w:val="24"/>
          <w:highlight w:val="none"/>
          <w:u w:val="none"/>
          <w:lang w:val="en-US" w:eastAsia="zh-CN" w:bidi="ar-SA"/>
        </w:rPr>
        <w:t>宿城区黄海路初中监控室可视化系统建设服务，为学校监控室新建一套完整的视频可视化显控系统，配置网络音视频解码设备及高清可视化显示单元，采用2 行 2 列（2×2）规整布局完成整套系统集成建设，服务内容包含全套设备供货、运输、现场安装、线路布设、信号调试、系统联调、交付验收等全部相关工作，设备安装点位、现场排布细节可结合现场实际环境由供需双方现场确认优化。</w:t>
      </w:r>
    </w:p>
    <w:p w14:paraId="37269FCA">
      <w:pPr>
        <w:pStyle w:val="6"/>
        <w:keepNext w:val="0"/>
        <w:keepLines w:val="0"/>
        <w:pageBreakBefore w:val="0"/>
        <w:widowControl w:val="0"/>
        <w:suppressLineNumbers w:val="0"/>
        <w:spacing w:before="0" w:beforeAutospacing="0" w:after="0" w:afterAutospacing="0" w:line="480" w:lineRule="exact"/>
        <w:ind w:firstLine="480"/>
        <w:jc w:val="both"/>
        <w:rPr>
          <w:rFonts w:hint="eastAsia" w:ascii="仿宋" w:hAnsi="仿宋" w:eastAsia="仿宋" w:cs="仿宋"/>
          <w:b w:val="0"/>
          <w:bCs/>
          <w:i w:val="0"/>
          <w:iCs w:val="0"/>
          <w:color w:val="auto"/>
          <w:sz w:val="24"/>
          <w:szCs w:val="24"/>
          <w:highlight w:val="none"/>
          <w:u w:val="none"/>
          <w:lang w:val="en-US" w:eastAsia="zh-CN" w:bidi="ar-SA"/>
        </w:rPr>
      </w:pPr>
      <w:r>
        <w:rPr>
          <w:rFonts w:hint="eastAsia" w:ascii="仿宋" w:hAnsi="仿宋" w:eastAsia="仿宋" w:cs="仿宋"/>
          <w:b w:val="0"/>
          <w:bCs/>
          <w:i w:val="0"/>
          <w:iCs w:val="0"/>
          <w:color w:val="auto"/>
          <w:sz w:val="24"/>
          <w:szCs w:val="24"/>
          <w:highlight w:val="none"/>
          <w:u w:val="none"/>
          <w:lang w:val="en-US" w:eastAsia="zh-CN" w:bidi="ar-SA"/>
        </w:rPr>
        <w:t>3.5.1 可视化系统建设清单</w:t>
      </w:r>
    </w:p>
    <w:p w14:paraId="0263E531">
      <w:pPr>
        <w:keepNext w:val="0"/>
        <w:keepLines w:val="0"/>
        <w:pageBreakBefore w:val="0"/>
        <w:widowControl w:val="0"/>
        <w:numPr>
          <w:ilvl w:val="-1"/>
          <w:numId w:val="0"/>
        </w:numPr>
        <w:suppressLineNumbers w:val="0"/>
        <w:spacing w:line="480" w:lineRule="exact"/>
        <w:ind w:firstLine="480"/>
        <w:jc w:val="both"/>
        <w:rPr>
          <w:rFonts w:hint="eastAsia" w:ascii="仿宋" w:hAnsi="仿宋" w:eastAsia="仿宋" w:cs="仿宋"/>
          <w:b w:val="0"/>
          <w:bCs/>
          <w:i w:val="0"/>
          <w:iCs w:val="0"/>
          <w:color w:val="auto"/>
          <w:sz w:val="24"/>
          <w:szCs w:val="24"/>
          <w:highlight w:val="none"/>
          <w:u w:val="none"/>
          <w:lang w:val="en-US" w:eastAsia="zh-CN" w:bidi="ar-SA"/>
        </w:rPr>
      </w:pPr>
      <w:r>
        <w:rPr>
          <w:rFonts w:hint="eastAsia" w:ascii="仿宋" w:hAnsi="仿宋" w:eastAsia="仿宋" w:cs="仿宋"/>
          <w:b w:val="0"/>
          <w:bCs/>
          <w:i w:val="0"/>
          <w:iCs w:val="0"/>
          <w:color w:val="auto"/>
          <w:sz w:val="24"/>
          <w:szCs w:val="24"/>
          <w:highlight w:val="none"/>
          <w:u w:val="none"/>
          <w:lang w:val="en-US" w:eastAsia="zh-CN" w:bidi="ar-SA"/>
        </w:rPr>
        <w:t xml:space="preserve">（1）高清显示单元部署服务：55 英寸液晶拼接屏 4 块，2×2 拼接布局； </w:t>
      </w:r>
    </w:p>
    <w:p w14:paraId="7C76F0F6">
      <w:pPr>
        <w:keepNext w:val="0"/>
        <w:keepLines w:val="0"/>
        <w:pageBreakBefore w:val="0"/>
        <w:widowControl w:val="0"/>
        <w:numPr>
          <w:ilvl w:val="-1"/>
          <w:numId w:val="0"/>
        </w:numPr>
        <w:suppressLineNumbers w:val="0"/>
        <w:spacing w:line="480" w:lineRule="exact"/>
        <w:ind w:firstLine="480"/>
        <w:jc w:val="both"/>
        <w:rPr>
          <w:rFonts w:hint="eastAsia" w:ascii="仿宋" w:hAnsi="仿宋" w:eastAsia="仿宋" w:cs="仿宋"/>
          <w:b w:val="0"/>
          <w:bCs/>
          <w:i w:val="0"/>
          <w:iCs w:val="0"/>
          <w:color w:val="auto"/>
          <w:sz w:val="24"/>
          <w:szCs w:val="24"/>
          <w:highlight w:val="none"/>
          <w:u w:val="none"/>
          <w:lang w:val="en-US" w:eastAsia="zh-CN" w:bidi="ar-SA"/>
        </w:rPr>
      </w:pPr>
      <w:r>
        <w:rPr>
          <w:rFonts w:hint="eastAsia" w:ascii="仿宋" w:hAnsi="仿宋" w:eastAsia="仿宋" w:cs="仿宋"/>
          <w:b w:val="0"/>
          <w:bCs/>
          <w:i w:val="0"/>
          <w:iCs w:val="0"/>
          <w:color w:val="auto"/>
          <w:sz w:val="24"/>
          <w:szCs w:val="24"/>
          <w:highlight w:val="none"/>
          <w:u w:val="none"/>
          <w:lang w:val="en-US" w:eastAsia="zh-CN" w:bidi="ar-SA"/>
        </w:rPr>
        <w:t xml:space="preserve">（2）音视频解码上墙服务：网络音视频解码器 1 台； </w:t>
      </w:r>
    </w:p>
    <w:p w14:paraId="56DA5F76">
      <w:pPr>
        <w:keepNext w:val="0"/>
        <w:keepLines w:val="0"/>
        <w:pageBreakBefore w:val="0"/>
        <w:widowControl w:val="0"/>
        <w:numPr>
          <w:ilvl w:val="-1"/>
          <w:numId w:val="0"/>
        </w:numPr>
        <w:suppressLineNumbers w:val="0"/>
        <w:spacing w:line="480" w:lineRule="exact"/>
        <w:ind w:firstLine="480"/>
        <w:jc w:val="both"/>
        <w:rPr>
          <w:rFonts w:hint="eastAsia" w:ascii="仿宋" w:hAnsi="仿宋" w:eastAsia="仿宋" w:cs="仿宋"/>
          <w:b w:val="0"/>
          <w:bCs/>
          <w:i w:val="0"/>
          <w:iCs w:val="0"/>
          <w:color w:val="auto"/>
          <w:sz w:val="24"/>
          <w:szCs w:val="24"/>
          <w:highlight w:val="none"/>
          <w:u w:val="none"/>
          <w:lang w:val="en-US" w:eastAsia="zh-CN" w:bidi="ar-SA"/>
        </w:rPr>
      </w:pPr>
      <w:r>
        <w:rPr>
          <w:rFonts w:hint="eastAsia" w:ascii="仿宋" w:hAnsi="仿宋" w:eastAsia="仿宋" w:cs="仿宋"/>
          <w:b w:val="0"/>
          <w:bCs/>
          <w:i w:val="0"/>
          <w:iCs w:val="0"/>
          <w:color w:val="auto"/>
          <w:sz w:val="24"/>
          <w:szCs w:val="24"/>
          <w:highlight w:val="none"/>
          <w:u w:val="none"/>
          <w:lang w:val="en-US" w:eastAsia="zh-CN" w:bidi="ar-SA"/>
        </w:rPr>
        <w:t>（3）配套实施服务：设备运输、支架、线缆敷设、供电改造、安装固定、信号调试、系统联调、画面校准、会议模式配置、现场清理等全部配套服务。</w:t>
      </w:r>
    </w:p>
    <w:p w14:paraId="6814BD4A">
      <w:pPr>
        <w:pStyle w:val="6"/>
        <w:keepNext w:val="0"/>
        <w:keepLines w:val="0"/>
        <w:pageBreakBefore w:val="0"/>
        <w:widowControl w:val="0"/>
        <w:suppressLineNumbers w:val="0"/>
        <w:spacing w:before="0" w:beforeAutospacing="0" w:after="0" w:afterAutospacing="0" w:line="480" w:lineRule="exact"/>
        <w:ind w:firstLine="480"/>
        <w:jc w:val="both"/>
        <w:rPr>
          <w:rFonts w:hint="eastAsia" w:ascii="仿宋" w:hAnsi="仿宋" w:eastAsia="仿宋" w:cs="仿宋"/>
          <w:b w:val="0"/>
          <w:bCs/>
          <w:i w:val="0"/>
          <w:iCs w:val="0"/>
          <w:color w:val="auto"/>
          <w:sz w:val="24"/>
          <w:szCs w:val="24"/>
          <w:highlight w:val="none"/>
          <w:u w:val="none"/>
          <w:lang w:val="en-US" w:eastAsia="zh-CN" w:bidi="ar-SA"/>
        </w:rPr>
      </w:pPr>
      <w:r>
        <w:rPr>
          <w:rFonts w:hint="eastAsia" w:ascii="仿宋" w:hAnsi="仿宋" w:eastAsia="仿宋" w:cs="仿宋"/>
          <w:b w:val="0"/>
          <w:bCs/>
          <w:i w:val="0"/>
          <w:iCs w:val="0"/>
          <w:color w:val="auto"/>
          <w:sz w:val="24"/>
          <w:szCs w:val="24"/>
          <w:highlight w:val="none"/>
          <w:u w:val="none"/>
          <w:lang w:val="en-US" w:eastAsia="zh-CN" w:bidi="ar-SA"/>
        </w:rPr>
        <w:t>3.5.2 可视化系统建设技术要求</w:t>
      </w:r>
    </w:p>
    <w:p w14:paraId="245FB0CC">
      <w:pPr>
        <w:keepNext w:val="0"/>
        <w:keepLines w:val="0"/>
        <w:pageBreakBefore w:val="0"/>
        <w:widowControl w:val="0"/>
        <w:numPr>
          <w:ilvl w:val="0"/>
          <w:numId w:val="0"/>
        </w:numPr>
        <w:suppressLineNumbers w:val="0"/>
        <w:spacing w:line="480" w:lineRule="exact"/>
        <w:jc w:val="left"/>
        <w:rPr>
          <w:rFonts w:hint="eastAsia" w:ascii="仿宋" w:hAnsi="仿宋" w:eastAsia="仿宋" w:cs="仿宋"/>
          <w:b w:val="0"/>
          <w:bCs/>
          <w:color w:val="auto"/>
          <w:sz w:val="24"/>
          <w:szCs w:val="24"/>
          <w:highlight w:val="none"/>
          <w:u w:val="none"/>
          <w:lang w:val="en-US" w:eastAsia="zh-CN" w:bidi="ar-SA"/>
        </w:rPr>
      </w:pPr>
      <w:r>
        <w:rPr>
          <w:rFonts w:hint="eastAsia" w:ascii="仿宋" w:hAnsi="仿宋" w:eastAsia="仿宋" w:cs="仿宋"/>
          <w:b w:val="0"/>
          <w:bCs/>
          <w:color w:val="auto"/>
          <w:sz w:val="24"/>
          <w:szCs w:val="24"/>
          <w:highlight w:val="none"/>
          <w:u w:val="none"/>
          <w:lang w:val="en-US" w:eastAsia="zh-CN" w:bidi="ar-SA"/>
        </w:rPr>
        <w:t>（1）音视频解码器：</w:t>
      </w:r>
    </w:p>
    <w:p w14:paraId="74918BDE">
      <w:pPr>
        <w:pStyle w:val="75"/>
        <w:keepNext w:val="0"/>
        <w:keepLines w:val="0"/>
        <w:pageBreakBefore w:val="0"/>
        <w:widowControl w:val="0"/>
        <w:numPr>
          <w:ilvl w:val="0"/>
          <w:numId w:val="0"/>
        </w:numPr>
        <w:spacing w:line="480" w:lineRule="exact"/>
        <w:ind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1、</w:t>
      </w:r>
      <w:r>
        <w:rPr>
          <w:rFonts w:hint="eastAsia" w:ascii="仿宋" w:hAnsi="仿宋" w:eastAsia="仿宋" w:cs="仿宋"/>
          <w:b w:val="0"/>
          <w:bCs/>
          <w:color w:val="auto"/>
          <w:sz w:val="24"/>
          <w:szCs w:val="24"/>
          <w:highlight w:val="none"/>
          <w:u w:val="none"/>
          <w:lang w:val="en-US" w:eastAsia="zh-CN" w:bidi="ar"/>
        </w:rPr>
        <w:t>符合《国家教育考试网上巡查系统视频标准技术规范（2017版）》，须提供承诺书，应当具有较高的兼容性，支持符合《国家标准GB/T28181－2016〈公共安全视频监控联网系统信息传输、交换、控制技术要求〉》标准的设备。</w:t>
      </w:r>
    </w:p>
    <w:p w14:paraId="19704EB2">
      <w:pPr>
        <w:pStyle w:val="76"/>
        <w:keepNext w:val="0"/>
        <w:keepLines w:val="0"/>
        <w:pageBreakBefore w:val="0"/>
        <w:widowControl w:val="0"/>
        <w:numPr>
          <w:ilvl w:val="0"/>
          <w:numId w:val="0"/>
        </w:numPr>
        <w:spacing w:line="480" w:lineRule="exact"/>
        <w:ind w:firstLine="42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2、高清升级支持H.264、H.265视频编码标准，图像分辨率应支持主码流1080P，子码流支持720P。支持G.711、AAC音频编码标准，并支持Program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p>
    <w:p w14:paraId="338ADFC9">
      <w:pPr>
        <w:keepNext w:val="0"/>
        <w:keepLines w:val="0"/>
        <w:pageBreakBefore w:val="0"/>
        <w:widowControl w:val="0"/>
        <w:spacing w:line="480" w:lineRule="exact"/>
        <w:ind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3、应具有以太网接口，支持TCP/IP协议；应支持SIP、RTP、RTCP等网络协议。</w:t>
      </w:r>
    </w:p>
    <w:p w14:paraId="18F14F1B">
      <w:pPr>
        <w:pStyle w:val="75"/>
        <w:keepNext w:val="0"/>
        <w:keepLines w:val="0"/>
        <w:pageBreakBefore w:val="0"/>
        <w:widowControl w:val="0"/>
        <w:spacing w:line="480" w:lineRule="exact"/>
        <w:ind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4、10M/100M/1000M自适应以太网接口，支持IP高清信号输入。</w:t>
      </w:r>
    </w:p>
    <w:p w14:paraId="541952AA">
      <w:pPr>
        <w:pStyle w:val="76"/>
        <w:keepNext w:val="0"/>
        <w:keepLines w:val="0"/>
        <w:pageBreakBefore w:val="0"/>
        <w:widowControl w:val="0"/>
        <w:numPr>
          <w:ilvl w:val="0"/>
          <w:numId w:val="0"/>
        </w:numPr>
        <w:spacing w:line="480" w:lineRule="exact"/>
        <w:ind w:left="0"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5、</w:t>
      </w:r>
      <w:r>
        <w:rPr>
          <w:rFonts w:hint="eastAsia" w:ascii="仿宋" w:hAnsi="仿宋" w:eastAsia="仿宋" w:cs="仿宋"/>
          <w:b w:val="0"/>
          <w:bCs/>
          <w:color w:val="auto"/>
          <w:sz w:val="24"/>
          <w:szCs w:val="24"/>
          <w:highlight w:val="none"/>
          <w:u w:val="none"/>
          <w:lang w:val="en-US" w:eastAsia="zh-CN" w:bidi="ar"/>
        </w:rPr>
        <w:t>支持不少于4路HDMI或DVI接口。</w:t>
      </w:r>
    </w:p>
    <w:p w14:paraId="55650E76">
      <w:pPr>
        <w:keepNext w:val="0"/>
        <w:keepLines w:val="0"/>
        <w:pageBreakBefore w:val="0"/>
        <w:widowControl w:val="0"/>
        <w:numPr>
          <w:ilvl w:val="0"/>
          <w:numId w:val="0"/>
        </w:numPr>
        <w:spacing w:line="480" w:lineRule="exact"/>
        <w:ind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6、画面分割显示功能。图像切换应能通过手动或编程实现，能够完成独立轮巡和组合轮巡、定点轮巡和定长轮巡。输出支持4画面、9画面等画面分割模式，网上巡查图像可任意组合显示。整机解码能力不低于输出接口数量*4。</w:t>
      </w:r>
    </w:p>
    <w:p w14:paraId="7380E12E">
      <w:pPr>
        <w:pStyle w:val="75"/>
        <w:keepNext w:val="0"/>
        <w:keepLines w:val="0"/>
        <w:pageBreakBefore w:val="0"/>
        <w:widowControl w:val="0"/>
        <w:spacing w:line="480" w:lineRule="exact"/>
        <w:ind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7、音视频同步。</w:t>
      </w:r>
    </w:p>
    <w:p w14:paraId="4BF4907B">
      <w:pPr>
        <w:pStyle w:val="76"/>
        <w:keepNext w:val="0"/>
        <w:keepLines w:val="0"/>
        <w:pageBreakBefore w:val="0"/>
        <w:widowControl w:val="0"/>
        <w:spacing w:line="480" w:lineRule="exact"/>
        <w:ind w:left="0"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8、支持多路视频拼接输出</w:t>
      </w:r>
    </w:p>
    <w:p w14:paraId="5FBE0A9B">
      <w:pPr>
        <w:keepNext w:val="0"/>
        <w:keepLines w:val="0"/>
        <w:pageBreakBefore w:val="0"/>
        <w:widowControl w:val="0"/>
        <w:spacing w:line="480" w:lineRule="exact"/>
        <w:ind w:firstLine="480"/>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9、必须提供二次开发的软件接口，不得设置技术壁垒。</w:t>
      </w:r>
    </w:p>
    <w:p w14:paraId="69920638">
      <w:pPr>
        <w:keepNext w:val="0"/>
        <w:keepLines w:val="0"/>
        <w:pageBreakBefore w:val="0"/>
        <w:widowControl w:val="0"/>
        <w:spacing w:line="480" w:lineRule="exact"/>
        <w:ind w:firstLine="482"/>
        <w:rPr>
          <w:rFonts w:hint="eastAsia" w:ascii="仿宋" w:hAnsi="仿宋" w:eastAsia="仿宋" w:cs="仿宋"/>
          <w:b w:val="0"/>
          <w:bCs/>
          <w:color w:val="auto"/>
          <w:highlight w:val="none"/>
          <w:lang w:val="en-US"/>
        </w:rPr>
      </w:pPr>
      <w:r>
        <w:rPr>
          <w:rFonts w:hint="eastAsia" w:ascii="仿宋" w:hAnsi="仿宋" w:eastAsia="仿宋" w:cs="仿宋"/>
          <w:b/>
          <w:bCs/>
          <w:color w:val="auto"/>
          <w:sz w:val="24"/>
          <w:szCs w:val="24"/>
          <w:highlight w:val="none"/>
          <w:u w:val="none"/>
          <w:lang w:val="en-US" w:eastAsia="zh-CN" w:bidi="ar-SA"/>
        </w:rPr>
        <w:t>★</w:t>
      </w:r>
      <w:r>
        <w:rPr>
          <w:rFonts w:hint="eastAsia" w:ascii="仿宋" w:hAnsi="仿宋" w:eastAsia="仿宋" w:cs="仿宋"/>
          <w:b w:val="0"/>
          <w:bCs/>
          <w:color w:val="auto"/>
          <w:sz w:val="24"/>
          <w:szCs w:val="24"/>
          <w:highlight w:val="none"/>
          <w:u w:val="none"/>
          <w:lang w:val="en-US" w:eastAsia="zh-CN" w:bidi="ar"/>
        </w:rPr>
        <w:t>10、须接入考点现有网上巡查系统，通过现有网上巡查配套管理软件实现监控画面上墙、轮巡等功能，</w:t>
      </w:r>
      <w:r>
        <w:rPr>
          <w:rFonts w:hint="eastAsia" w:ascii="仿宋" w:hAnsi="仿宋" w:eastAsia="仿宋" w:cs="仿宋"/>
          <w:bCs/>
          <w:color w:val="auto"/>
          <w:sz w:val="24"/>
          <w:szCs w:val="24"/>
          <w:highlight w:val="none"/>
          <w:u w:val="none"/>
          <w:lang w:bidi="ar"/>
        </w:rPr>
        <w:t>确保无缝兼容对接</w:t>
      </w:r>
      <w:r>
        <w:rPr>
          <w:rFonts w:hint="eastAsia" w:ascii="仿宋" w:hAnsi="仿宋" w:eastAsia="仿宋" w:cs="仿宋"/>
          <w:b w:val="0"/>
          <w:bCs/>
          <w:color w:val="auto"/>
          <w:sz w:val="24"/>
          <w:szCs w:val="24"/>
          <w:highlight w:val="none"/>
          <w:u w:val="none"/>
        </w:rPr>
        <w:t>（提供承诺函）</w:t>
      </w:r>
      <w:r>
        <w:rPr>
          <w:rFonts w:hint="eastAsia" w:ascii="仿宋" w:hAnsi="仿宋" w:eastAsia="仿宋" w:cs="仿宋"/>
          <w:b w:val="0"/>
          <w:bCs/>
          <w:color w:val="auto"/>
          <w:sz w:val="24"/>
          <w:szCs w:val="24"/>
          <w:highlight w:val="none"/>
          <w:u w:val="none"/>
          <w:lang w:val="en-US" w:eastAsia="zh-CN" w:bidi="ar"/>
        </w:rPr>
        <w:t>。</w:t>
      </w:r>
    </w:p>
    <w:p w14:paraId="74DC46E4">
      <w:pPr>
        <w:keepNext w:val="0"/>
        <w:keepLines w:val="0"/>
        <w:pageBreakBefore w:val="0"/>
        <w:widowControl w:val="0"/>
        <w:numPr>
          <w:ilvl w:val="0"/>
          <w:numId w:val="0"/>
        </w:numPr>
        <w:suppressLineNumbers w:val="0"/>
        <w:spacing w:line="480" w:lineRule="exact"/>
        <w:jc w:val="left"/>
        <w:rPr>
          <w:rFonts w:hint="eastAsia" w:ascii="仿宋" w:hAnsi="仿宋" w:eastAsia="仿宋" w:cs="仿宋"/>
          <w:b w:val="0"/>
          <w:bCs/>
          <w:color w:val="auto"/>
          <w:sz w:val="24"/>
          <w:szCs w:val="24"/>
          <w:highlight w:val="none"/>
          <w:u w:val="none"/>
          <w:lang w:val="en-US" w:eastAsia="zh-CN" w:bidi="ar-SA"/>
        </w:rPr>
      </w:pPr>
      <w:r>
        <w:rPr>
          <w:rFonts w:hint="eastAsia" w:ascii="仿宋" w:hAnsi="仿宋" w:eastAsia="仿宋" w:cs="仿宋"/>
          <w:b w:val="0"/>
          <w:bCs/>
          <w:color w:val="auto"/>
          <w:sz w:val="24"/>
          <w:szCs w:val="24"/>
          <w:highlight w:val="none"/>
          <w:u w:val="none"/>
          <w:lang w:val="en-US" w:eastAsia="zh-CN" w:bidi="ar-SA"/>
        </w:rPr>
        <w:t>（2）高清显示单元服务</w:t>
      </w:r>
    </w:p>
    <w:p w14:paraId="3CB85AF5">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1、屏幕尺寸55寸，LED光源。</w:t>
      </w:r>
      <w:r>
        <w:rPr>
          <w:rFonts w:hint="eastAsia" w:ascii="仿宋" w:hAnsi="仿宋" w:eastAsia="仿宋" w:cs="仿宋"/>
          <w:b w:val="0"/>
          <w:bCs/>
          <w:color w:val="auto"/>
          <w:sz w:val="24"/>
          <w:szCs w:val="24"/>
          <w:highlight w:val="none"/>
          <w:u w:val="none"/>
          <w:lang w:val="en-US" w:eastAsia="zh-CN" w:bidi="ar"/>
        </w:rPr>
        <w:tab/>
      </w:r>
      <w:r>
        <w:rPr>
          <w:rFonts w:hint="eastAsia" w:ascii="仿宋" w:hAnsi="仿宋" w:eastAsia="仿宋" w:cs="仿宋"/>
          <w:b w:val="0"/>
          <w:bCs/>
          <w:color w:val="auto"/>
          <w:sz w:val="24"/>
          <w:szCs w:val="24"/>
          <w:highlight w:val="none"/>
          <w:u w:val="none"/>
          <w:lang w:val="en-US" w:eastAsia="zh-CN" w:bidi="ar"/>
        </w:rPr>
        <w:tab/>
      </w:r>
    </w:p>
    <w:p w14:paraId="2E77C9B8">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2、分辨率：1920*1080，双边拼缝≤3.5mm。</w:t>
      </w:r>
    </w:p>
    <w:p w14:paraId="3938D342">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3、亮度不低于500cd/m2，对比度不低于1400:1；图像显示清晰度≥950TVL，亮度鉴别等级≥11级；（提供 CNAS 盖章第三方检测报告复印件并加盖投标人公章）。</w:t>
      </w:r>
    </w:p>
    <w:p w14:paraId="70204CBC">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4、项目配套可视化显示终端具备国家3C强制认证，设备合规安全。</w:t>
      </w:r>
    </w:p>
    <w:p w14:paraId="3275DEDB">
      <w:pPr>
        <w:keepNext w:val="0"/>
        <w:keepLines w:val="0"/>
        <w:pageBreakBefore w:val="0"/>
        <w:widowControl/>
        <w:suppressLineNumbers w:val="0"/>
        <w:spacing w:line="480" w:lineRule="exact"/>
        <w:ind w:firstLine="480"/>
        <w:jc w:val="left"/>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5、配套终端具备中国节能产品认证，</w:t>
      </w:r>
      <w:r>
        <w:rPr>
          <w:rFonts w:hint="default" w:ascii="仿宋" w:hAnsi="仿宋" w:eastAsia="仿宋" w:cs="仿宋"/>
          <w:b w:val="0"/>
          <w:bCs/>
          <w:color w:val="auto"/>
          <w:sz w:val="24"/>
          <w:szCs w:val="24"/>
          <w:highlight w:val="none"/>
          <w:u w:val="none"/>
          <w:lang w:val="en-US" w:eastAsia="zh-CN" w:bidi="ar"/>
        </w:rPr>
        <w:t>降低后期运维能耗成本</w:t>
      </w:r>
      <w:r>
        <w:rPr>
          <w:rFonts w:hint="eastAsia" w:ascii="仿宋" w:hAnsi="仿宋" w:eastAsia="仿宋" w:cs="仿宋"/>
          <w:b w:val="0"/>
          <w:bCs/>
          <w:color w:val="auto"/>
          <w:sz w:val="24"/>
          <w:szCs w:val="24"/>
          <w:highlight w:val="none"/>
          <w:u w:val="none"/>
          <w:lang w:val="en-US" w:eastAsia="zh-CN" w:bidi="ar"/>
        </w:rPr>
        <w:t>。</w:t>
      </w:r>
      <w:r>
        <w:rPr>
          <w:rFonts w:hint="eastAsia" w:ascii="仿宋" w:hAnsi="仿宋" w:eastAsia="仿宋" w:cs="仿宋"/>
          <w:b w:val="0"/>
          <w:bCs/>
          <w:color w:val="auto"/>
          <w:sz w:val="24"/>
          <w:szCs w:val="24"/>
          <w:highlight w:val="none"/>
          <w:u w:val="none"/>
          <w:lang w:val="en-US" w:eastAsia="zh-CN" w:bidi="ar"/>
        </w:rPr>
        <w:tab/>
      </w:r>
    </w:p>
    <w:p w14:paraId="4B28351D">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color w:val="auto"/>
          <w:sz w:val="24"/>
          <w:szCs w:val="24"/>
          <w:highlight w:val="none"/>
          <w:u w:val="none"/>
          <w:lang w:val="en-US" w:eastAsia="zh-CN" w:bidi="ar"/>
        </w:rPr>
      </w:pPr>
      <w:r>
        <w:rPr>
          <w:rFonts w:hint="eastAsia" w:ascii="仿宋" w:hAnsi="仿宋" w:eastAsia="仿宋" w:cs="仿宋"/>
          <w:b w:val="0"/>
          <w:color w:val="auto"/>
          <w:sz w:val="24"/>
          <w:szCs w:val="24"/>
          <w:highlight w:val="none"/>
          <w:u w:val="none"/>
          <w:lang w:val="en-US" w:eastAsia="zh-CN" w:bidi="ar"/>
        </w:rPr>
        <w:t>▲6、闪烁频率符合GB/T40230.2-2021视疲劳测试要求</w:t>
      </w:r>
      <w:r>
        <w:rPr>
          <w:rFonts w:hint="eastAsia" w:ascii="仿宋" w:hAnsi="仿宋" w:eastAsia="仿宋" w:cs="仿宋"/>
          <w:color w:val="auto"/>
          <w:sz w:val="24"/>
          <w:szCs w:val="24"/>
          <w:highlight w:val="none"/>
          <w:u w:val="none"/>
          <w:lang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w:t>
      </w:r>
      <w:r>
        <w:rPr>
          <w:rFonts w:hint="eastAsia" w:ascii="仿宋" w:hAnsi="仿宋" w:eastAsia="仿宋" w:cs="仿宋"/>
          <w:b w:val="0"/>
          <w:color w:val="auto"/>
          <w:sz w:val="24"/>
          <w:szCs w:val="24"/>
          <w:highlight w:val="none"/>
          <w:u w:val="none"/>
          <w:lang w:val="en-US" w:eastAsia="zh-CN" w:bidi="ar"/>
        </w:rPr>
        <w:t>。</w:t>
      </w:r>
    </w:p>
    <w:p w14:paraId="1C769227">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color w:val="auto"/>
          <w:sz w:val="24"/>
          <w:szCs w:val="24"/>
          <w:highlight w:val="none"/>
          <w:u w:val="none"/>
          <w:lang w:val="en-US" w:eastAsia="zh-CN" w:bidi="ar"/>
        </w:rPr>
      </w:pPr>
      <w:r>
        <w:rPr>
          <w:rFonts w:hint="eastAsia" w:ascii="仿宋" w:hAnsi="仿宋" w:eastAsia="仿宋" w:cs="仿宋"/>
          <w:b w:val="0"/>
          <w:color w:val="auto"/>
          <w:sz w:val="24"/>
          <w:szCs w:val="24"/>
          <w:highlight w:val="none"/>
          <w:u w:val="none"/>
          <w:lang w:val="en-US" w:eastAsia="zh-CN" w:bidi="ar"/>
        </w:rPr>
        <w:t>▲7、LCD 显示单元具备阔屏技术，在图像亮度调节过程中，通过 Gamma 变化不丢失灰阶保证图像细节</w:t>
      </w:r>
      <w:r>
        <w:rPr>
          <w:rFonts w:hint="eastAsia" w:ascii="仿宋" w:hAnsi="仿宋" w:eastAsia="仿宋" w:cs="仿宋"/>
          <w:color w:val="auto"/>
          <w:sz w:val="24"/>
          <w:szCs w:val="24"/>
          <w:highlight w:val="none"/>
          <w:u w:val="none"/>
          <w:lang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w:t>
      </w:r>
      <w:r>
        <w:rPr>
          <w:rFonts w:hint="eastAsia" w:ascii="仿宋" w:hAnsi="仿宋" w:eastAsia="仿宋" w:cs="仿宋"/>
          <w:b w:val="0"/>
          <w:color w:val="auto"/>
          <w:sz w:val="24"/>
          <w:szCs w:val="24"/>
          <w:highlight w:val="none"/>
          <w:u w:val="none"/>
          <w:lang w:val="en-US" w:eastAsia="zh-CN" w:bidi="ar"/>
        </w:rPr>
        <w:t>。</w:t>
      </w:r>
    </w:p>
    <w:p w14:paraId="5BB2355B">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b w:val="0"/>
          <w:color w:val="auto"/>
          <w:sz w:val="24"/>
          <w:szCs w:val="24"/>
          <w:highlight w:val="none"/>
          <w:u w:val="none"/>
          <w:lang w:val="en-US" w:eastAsia="zh-CN" w:bidi="ar"/>
        </w:rPr>
      </w:pPr>
      <w:r>
        <w:rPr>
          <w:rFonts w:hint="eastAsia" w:ascii="仿宋" w:hAnsi="仿宋" w:eastAsia="仿宋" w:cs="仿宋"/>
          <w:b w:val="0"/>
          <w:color w:val="auto"/>
          <w:sz w:val="24"/>
          <w:szCs w:val="24"/>
          <w:highlight w:val="none"/>
          <w:u w:val="none"/>
          <w:lang w:val="en-US" w:eastAsia="zh-CN" w:bidi="ar"/>
        </w:rPr>
        <w:t>▲8、具备智能背光灯调节功能，智能感应环 境及实时图像光线的强弱，可自动 调节液晶屏幕背光亮度及图像亮度 和对比度。可外接光控模块，根据 环境光线强弱自动调整整块大屏显 示亮度</w:t>
      </w:r>
      <w:r>
        <w:rPr>
          <w:rFonts w:hint="eastAsia" w:ascii="仿宋" w:hAnsi="仿宋" w:eastAsia="仿宋" w:cs="仿宋"/>
          <w:color w:val="auto"/>
          <w:sz w:val="24"/>
          <w:szCs w:val="24"/>
          <w:highlight w:val="none"/>
          <w:u w:val="none"/>
          <w:lang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w:t>
      </w:r>
      <w:r>
        <w:rPr>
          <w:rFonts w:hint="eastAsia" w:ascii="仿宋" w:hAnsi="仿宋" w:eastAsia="仿宋" w:cs="仿宋"/>
          <w:b w:val="0"/>
          <w:color w:val="auto"/>
          <w:sz w:val="24"/>
          <w:szCs w:val="24"/>
          <w:highlight w:val="none"/>
          <w:u w:val="none"/>
          <w:lang w:val="en-US" w:eastAsia="zh-CN" w:bidi="ar"/>
        </w:rPr>
        <w:t>。</w:t>
      </w:r>
    </w:p>
    <w:p w14:paraId="5BF2C45D">
      <w:pPr>
        <w:keepNext w:val="0"/>
        <w:keepLines w:val="0"/>
        <w:pageBreakBefore w:val="0"/>
        <w:widowControl w:val="0"/>
        <w:numPr>
          <w:ilvl w:val="0"/>
          <w:numId w:val="0"/>
        </w:numPr>
        <w:suppressLineNumbers w:val="0"/>
        <w:spacing w:line="480" w:lineRule="exact"/>
        <w:ind w:firstLine="480"/>
        <w:jc w:val="both"/>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b w:val="0"/>
          <w:color w:val="auto"/>
          <w:sz w:val="24"/>
          <w:szCs w:val="24"/>
          <w:highlight w:val="none"/>
          <w:u w:val="none"/>
          <w:lang w:val="en-US" w:eastAsia="zh-CN" w:bidi="ar"/>
        </w:rPr>
        <w:t>▲9、拼接单元具备便捷安装拆卸与维护装置</w:t>
      </w:r>
      <w:r>
        <w:rPr>
          <w:rFonts w:hint="eastAsia" w:ascii="仿宋" w:hAnsi="仿宋" w:eastAsia="仿宋" w:cs="仿宋"/>
          <w:color w:val="auto"/>
          <w:sz w:val="24"/>
          <w:szCs w:val="24"/>
          <w:highlight w:val="none"/>
          <w:u w:val="none"/>
          <w:lang w:bidi="ar"/>
        </w:rPr>
        <w:t>（</w:t>
      </w:r>
      <w:r>
        <w:rPr>
          <w:rFonts w:hint="eastAsia" w:ascii="仿宋" w:hAnsi="仿宋" w:eastAsia="仿宋" w:cs="仿宋"/>
          <w:color w:val="auto"/>
          <w:sz w:val="24"/>
          <w:szCs w:val="24"/>
          <w:highlight w:val="none"/>
          <w:lang w:bidi="ar"/>
        </w:rPr>
        <w:t>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w:t>
      </w:r>
    </w:p>
    <w:p w14:paraId="4B53255E">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3.6备品备件</w:t>
      </w:r>
    </w:p>
    <w:p w14:paraId="00EE6949">
      <w:pPr>
        <w:keepNext w:val="0"/>
        <w:keepLines w:val="0"/>
        <w:pageBreakBefore w:val="0"/>
        <w:widowControl w:val="0"/>
        <w:spacing w:line="480" w:lineRule="exact"/>
        <w:ind w:firstLine="480"/>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★本项目需提供足够数量的备件，满足维保服务期内，各项应急保障需要，主要设备备件数量不少于下表要求，产品性能不低于本项目设备清单中对应的主要技术参数（提供承诺函）。</w:t>
      </w:r>
    </w:p>
    <w:tbl>
      <w:tblPr>
        <w:tblStyle w:val="3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42"/>
        <w:gridCol w:w="4560"/>
        <w:gridCol w:w="2763"/>
      </w:tblGrid>
      <w:tr w14:paraId="31B18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E139D">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序号</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00B418">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备件设备名称</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BBBDD">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备件数量</w:t>
            </w:r>
          </w:p>
        </w:tc>
      </w:tr>
      <w:tr w14:paraId="5831A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9F74">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1</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30601">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SIP服务器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C5F6B5">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2</w:t>
            </w:r>
          </w:p>
        </w:tc>
      </w:tr>
      <w:tr w14:paraId="38253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F698A">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2</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74A0F">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核心交换机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0550C">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1</w:t>
            </w:r>
          </w:p>
        </w:tc>
      </w:tr>
      <w:tr w14:paraId="6149A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8029">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3</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6D353A">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考务通服务器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20F6E9">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1</w:t>
            </w:r>
          </w:p>
        </w:tc>
      </w:tr>
      <w:tr w14:paraId="1CFFE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359F8">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4</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0906E6">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NVR存储</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F3FC8">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4</w:t>
            </w:r>
          </w:p>
        </w:tc>
      </w:tr>
      <w:tr w14:paraId="6AF48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0096">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5</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87E1F">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网络音视频解码器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8206CA">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rPr>
            </w:pPr>
            <w:r>
              <w:rPr>
                <w:rFonts w:hint="eastAsia" w:ascii="仿宋" w:hAnsi="仿宋" w:eastAsia="仿宋" w:cs="仿宋"/>
                <w:b w:val="0"/>
                <w:bCs/>
                <w:i w:val="0"/>
                <w:iCs w:val="0"/>
                <w:color w:val="auto"/>
                <w:sz w:val="24"/>
                <w:szCs w:val="24"/>
                <w:highlight w:val="none"/>
                <w:u w:val="none"/>
                <w:lang w:val="en-US" w:eastAsia="zh-CN" w:bidi="ar"/>
              </w:rPr>
              <w:t>1</w:t>
            </w:r>
          </w:p>
        </w:tc>
      </w:tr>
      <w:tr w14:paraId="54102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8B14">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6</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F1ECB0">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接入交换机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44B19C">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4</w:t>
            </w:r>
          </w:p>
        </w:tc>
      </w:tr>
      <w:tr w14:paraId="134A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0551">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7</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9635E">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屏蔽终端</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514BCF">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8</w:t>
            </w:r>
          </w:p>
        </w:tc>
      </w:tr>
      <w:tr w14:paraId="2DEF5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B2A9E">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8</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BCBB8A">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金属探测仪</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F53752">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40</w:t>
            </w:r>
          </w:p>
        </w:tc>
      </w:tr>
      <w:tr w14:paraId="56D78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DD71E">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9</w:t>
            </w:r>
          </w:p>
        </w:tc>
        <w:tc>
          <w:tcPr>
            <w:tcW w:w="24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E09A51">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网络时钟终端</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38D83D">
            <w:pPr>
              <w:keepNext w:val="0"/>
              <w:keepLines w:val="0"/>
              <w:widowControl/>
              <w:suppressLineNumbers w:val="0"/>
              <w:spacing w:before="0" w:beforeAutospacing="0" w:after="0" w:afterAutospacing="0"/>
              <w:ind w:left="0" w:right="0"/>
              <w:jc w:val="center"/>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i w:val="0"/>
                <w:iCs w:val="0"/>
                <w:color w:val="auto"/>
                <w:sz w:val="24"/>
                <w:szCs w:val="24"/>
                <w:highlight w:val="none"/>
                <w:u w:val="none"/>
                <w:lang w:val="en-US" w:eastAsia="zh-CN" w:bidi="ar"/>
              </w:rPr>
              <w:t>12</w:t>
            </w:r>
          </w:p>
        </w:tc>
      </w:tr>
    </w:tbl>
    <w:p w14:paraId="18538730">
      <w:pPr>
        <w:pageBreakBefore w:val="0"/>
        <w:spacing w:line="480" w:lineRule="exact"/>
        <w:ind w:firstLine="480"/>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★中标供应商与采购人签订政府采购合同后10 个工作日内，将本项目上表所述主要设备备件实物送达宿迁市教育考试指挥中心，因不可抗力或供应商排产等客观原因导致延迟的，经采购人书面同意可适当延长，并提供备件清单，具备接入现有的宿迁市标准化考点集成专网系统使用，交由采购人现场清点核验确认；备件规格、数量、品质须完全响应招标文件技术要求，逾期未完成送达核验的，视为严重违约行为，采购人有权单方解除合同，并追究中标人全部损失。（提供承诺函）</w:t>
      </w:r>
      <w:bookmarkEnd w:id="127"/>
      <w:bookmarkEnd w:id="128"/>
    </w:p>
    <w:p w14:paraId="3EB3AB18">
      <w:pPr>
        <w:pStyle w:val="4"/>
        <w:keepNext w:val="0"/>
        <w:keepLines w:val="0"/>
        <w:pageBreakBefore w:val="0"/>
        <w:numPr>
          <w:ilvl w:val="2"/>
          <w:numId w:val="2"/>
        </w:numPr>
        <w:spacing w:before="0" w:beforeAutospacing="0" w:after="0" w:afterAutospacing="0" w:line="480" w:lineRule="exact"/>
        <w:ind w:left="-13" w:firstLine="643"/>
        <w:jc w:val="both"/>
        <w:outlineLvl w:val="1"/>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rPr>
        <w:t>其他要求</w:t>
      </w:r>
    </w:p>
    <w:p w14:paraId="761D0D73">
      <w:pPr>
        <w:pageBreakBefore w:val="0"/>
        <w:spacing w:line="480" w:lineRule="exact"/>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本项目不组织统一集中现场勘查，潜在供应商可根据自身业务需求及项目实施需要，自行前往项目现场开展勘查工作，全面核实项目场地现状、实施条件、环境限制及相关潜在风险，结合现场实际情况编制投标文件及投标报价。</w:t>
      </w:r>
    </w:p>
    <w:p w14:paraId="530811C7">
      <w:pPr>
        <w:pStyle w:val="3"/>
        <w:pageBreakBefore w:val="0"/>
        <w:numPr>
          <w:ilvl w:val="1"/>
          <w:numId w:val="2"/>
        </w:numPr>
        <w:spacing w:before="0" w:beforeAutospacing="0" w:after="0" w:afterAutospacing="0" w:line="480" w:lineRule="exact"/>
        <w:ind w:left="0" w:firstLine="640"/>
        <w:jc w:val="both"/>
        <w:rPr>
          <w:rFonts w:hint="eastAsia" w:ascii="仿宋" w:hAnsi="仿宋" w:eastAsia="仿宋" w:cs="仿宋"/>
          <w:color w:val="auto"/>
          <w:sz w:val="32"/>
          <w:szCs w:val="32"/>
          <w:highlight w:val="none"/>
          <w:lang w:val="en-US" w:eastAsia="zh-CN"/>
        </w:rPr>
      </w:pPr>
      <w:bookmarkStart w:id="129" w:name="_Toc12789"/>
      <w:bookmarkStart w:id="130" w:name="_Toc26340"/>
      <w:r>
        <w:rPr>
          <w:rFonts w:hint="eastAsia" w:ascii="仿宋" w:hAnsi="仿宋" w:eastAsia="仿宋" w:cs="仿宋"/>
          <w:color w:val="auto"/>
          <w:sz w:val="32"/>
          <w:szCs w:val="32"/>
          <w:highlight w:val="none"/>
          <w:lang w:val="en-US" w:eastAsia="zh-CN"/>
        </w:rPr>
        <w:t>项目总体理解要求</w:t>
      </w:r>
      <w:bookmarkEnd w:id="119"/>
      <w:bookmarkEnd w:id="129"/>
      <w:bookmarkEnd w:id="130"/>
    </w:p>
    <w:p w14:paraId="332B3572">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b w:val="0"/>
          <w:bCs w:val="0"/>
          <w:color w:val="auto"/>
          <w:sz w:val="24"/>
          <w:szCs w:val="24"/>
          <w:highlight w:val="none"/>
          <w:lang w:val="en-US" w:eastAsia="zh-CN"/>
        </w:rPr>
      </w:pPr>
      <w:bookmarkStart w:id="131" w:name="_Toc12946"/>
      <w:r>
        <w:rPr>
          <w:rFonts w:hint="eastAsia" w:ascii="仿宋" w:hAnsi="仿宋" w:eastAsia="仿宋" w:cs="仿宋"/>
          <w:b w:val="0"/>
          <w:bCs w:val="0"/>
          <w:color w:val="auto"/>
          <w:sz w:val="24"/>
          <w:szCs w:val="24"/>
          <w:highlight w:val="none"/>
          <w:lang w:val="en-US" w:eastAsia="zh-CN"/>
        </w:rPr>
        <w:t>投标人需充分理解本项目的服务内容，基于本项目实际运维场景、服务内容、考核标准及专项保障要求，完整、精准、贴合落地地阐述项目整体实施思路。方案必须严格包含项目背景、现状分析、需求分析、重难点分析、方案设计、项目目标六大固定模块，具体要求如下：</w:t>
      </w:r>
    </w:p>
    <w:p w14:paraId="49B8E2B4">
      <w:pPr>
        <w:pStyle w:val="4"/>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总体理解要求</w:t>
      </w:r>
    </w:p>
    <w:p w14:paraId="1732F409">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投标人须准确认知本项目为</w:t>
      </w:r>
      <w:r>
        <w:rPr>
          <w:rStyle w:val="34"/>
          <w:rFonts w:hint="eastAsia" w:ascii="仿宋" w:hAnsi="仿宋" w:eastAsia="仿宋" w:cs="仿宋"/>
          <w:b w:val="0"/>
          <w:bCs w:val="0"/>
          <w:color w:val="auto"/>
          <w:sz w:val="24"/>
          <w:szCs w:val="24"/>
          <w:highlight w:val="none"/>
          <w:lang w:val="en-US" w:eastAsia="zh-CN" w:bidi="ar"/>
        </w:rPr>
        <w:t>全市统一标准化考点常态化、专业化、闭环式运维保障项目</w:t>
      </w:r>
      <w:r>
        <w:rPr>
          <w:rFonts w:hint="eastAsia" w:ascii="仿宋" w:hAnsi="仿宋" w:eastAsia="仿宋" w:cs="仿宋"/>
          <w:b w:val="0"/>
          <w:bCs w:val="0"/>
          <w:color w:val="auto"/>
          <w:sz w:val="24"/>
          <w:szCs w:val="24"/>
          <w:highlight w:val="none"/>
          <w:lang w:val="en-US" w:eastAsia="zh-CN" w:bidi="ar"/>
        </w:rPr>
        <w:t>，服务依据严格对标教育部、江苏省教育考试院运维管理规范及《国家教育考试网上巡查系统视频标准技术规范（2017版）》。项目核心目标为保障全市标准化考点全业务系统全年稳定运行，依托AI智能巡查实现考场违规行为精准识别与闭环处置，建成扁平化、可视化、一体化的市级考试指挥调度保障体系，全面满足日常运维、故障处置、网络保障、设备维保、重大考试专项保障、信息安全防护等全场景工作要求，且所有运维工作必须严格达标招标文件明确的各项量化技术指标。</w:t>
      </w:r>
    </w:p>
    <w:p w14:paraId="20D7B542">
      <w:pPr>
        <w:pStyle w:val="4"/>
        <w:pageBreakBefore w:val="0"/>
        <w:numPr>
          <w:ilvl w:val="2"/>
          <w:numId w:val="2"/>
        </w:numPr>
        <w:spacing w:before="0" w:beforeAutospacing="0" w:after="0" w:afterAutospacing="0" w:line="480" w:lineRule="exact"/>
        <w:ind w:left="-13" w:firstLine="643"/>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分项模块编制硬性要求</w:t>
      </w:r>
    </w:p>
    <w:p w14:paraId="38E9391C">
      <w:pPr>
        <w:pStyle w:val="5"/>
        <w:keepNext/>
        <w:keepLines/>
        <w:pageBreakBefore w:val="0"/>
        <w:widowControl w:val="0"/>
        <w:spacing w:before="0" w:after="0" w:line="480" w:lineRule="exac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2.1项目背景理解要求</w:t>
      </w:r>
    </w:p>
    <w:p w14:paraId="53372949">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投标人须结合当前省市标准化考点运维政策、常态化考试保障要求、现有系统运行痛点，阐述本项目实施的必要性、合规性与现实意义。</w:t>
      </w:r>
    </w:p>
    <w:p w14:paraId="5AD31D75">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2.2现状分析理解要求</w:t>
      </w:r>
    </w:p>
    <w:p w14:paraId="3C97DA2D">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
        </w:rPr>
        <w:t>投标人须针对宿迁市全市标准化考点现状开展系统性分析，内容不得笼统泛谈，</w:t>
      </w:r>
      <w:r>
        <w:rPr>
          <w:rFonts w:hint="eastAsia" w:ascii="仿宋" w:hAnsi="仿宋" w:eastAsia="仿宋" w:cs="仿宋"/>
          <w:b w:val="0"/>
          <w:bCs w:val="0"/>
          <w:color w:val="auto"/>
          <w:sz w:val="24"/>
          <w:szCs w:val="24"/>
          <w:highlight w:val="none"/>
          <w:lang w:val="en-US" w:eastAsia="zh-CN" w:bidi="ar"/>
        </w:rPr>
        <w:t>必须包含但不限于系统架构图、考试业务分析、</w:t>
      </w:r>
      <w:r>
        <w:rPr>
          <w:rStyle w:val="34"/>
          <w:rFonts w:hint="eastAsia" w:ascii="仿宋" w:hAnsi="仿宋" w:eastAsia="仿宋" w:cs="仿宋"/>
          <w:b w:val="0"/>
          <w:bCs w:val="0"/>
          <w:color w:val="auto"/>
          <w:sz w:val="24"/>
          <w:szCs w:val="24"/>
          <w:highlight w:val="none"/>
          <w:lang w:val="en-US" w:eastAsia="zh-CN" w:bidi="ar"/>
        </w:rPr>
        <w:t>系统整体运行状态分析、当前运维工作中问题与挑战分析等内容。</w:t>
      </w:r>
    </w:p>
    <w:p w14:paraId="0A3831B8">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2.3需求分析理解要求</w:t>
      </w:r>
    </w:p>
    <w:p w14:paraId="6DDC6F6F">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bidi="ar"/>
        </w:rPr>
        <w:t>投标人须精准拆解本项目全部服务需求，完整对应招标文件</w:t>
      </w:r>
      <w:r>
        <w:rPr>
          <w:rFonts w:hint="eastAsia" w:ascii="仿宋" w:hAnsi="仿宋" w:eastAsia="仿宋" w:cs="仿宋"/>
          <w:b w:val="0"/>
          <w:bCs w:val="0"/>
          <w:color w:val="auto"/>
          <w:sz w:val="24"/>
          <w:szCs w:val="24"/>
          <w:highlight w:val="none"/>
          <w:lang w:val="en-US" w:eastAsia="zh-CN" w:bidi="ar"/>
        </w:rPr>
        <w:t>运维服务要求</w:t>
      </w:r>
      <w:r>
        <w:rPr>
          <w:rFonts w:hint="eastAsia" w:ascii="仿宋" w:hAnsi="仿宋" w:eastAsia="仿宋" w:cs="仿宋"/>
          <w:b w:val="0"/>
          <w:bCs/>
          <w:color w:val="auto"/>
          <w:sz w:val="24"/>
          <w:szCs w:val="24"/>
          <w:highlight w:val="none"/>
          <w:lang w:val="en-US" w:eastAsia="zh-CN" w:bidi="ar"/>
        </w:rPr>
        <w:t>，必须包含</w:t>
      </w:r>
      <w:r>
        <w:rPr>
          <w:rStyle w:val="34"/>
          <w:rFonts w:hint="eastAsia" w:ascii="仿宋" w:hAnsi="仿宋" w:eastAsia="仿宋" w:cs="仿宋"/>
          <w:b w:val="0"/>
          <w:bCs/>
          <w:color w:val="auto"/>
          <w:sz w:val="24"/>
          <w:szCs w:val="24"/>
          <w:highlight w:val="none"/>
          <w:lang w:val="en-US" w:eastAsia="zh-CN" w:bidi="ar"/>
        </w:rPr>
        <w:t>硬件维保需求、日常运维服务需求、</w:t>
      </w:r>
      <w:r>
        <w:rPr>
          <w:rFonts w:hint="eastAsia" w:ascii="仿宋" w:hAnsi="仿宋" w:eastAsia="仿宋" w:cs="仿宋"/>
          <w:b w:val="0"/>
          <w:bCs/>
          <w:color w:val="auto"/>
          <w:sz w:val="24"/>
          <w:szCs w:val="24"/>
          <w:highlight w:val="none"/>
          <w:lang w:val="en-US" w:eastAsia="zh-CN" w:bidi="ar"/>
        </w:rPr>
        <w:t xml:space="preserve"> </w:t>
      </w:r>
      <w:r>
        <w:rPr>
          <w:rStyle w:val="34"/>
          <w:rFonts w:hint="eastAsia" w:ascii="仿宋" w:hAnsi="仿宋" w:eastAsia="仿宋" w:cs="仿宋"/>
          <w:b w:val="0"/>
          <w:bCs w:val="0"/>
          <w:color w:val="auto"/>
          <w:sz w:val="24"/>
          <w:szCs w:val="24"/>
          <w:highlight w:val="none"/>
          <w:lang w:val="en-US" w:eastAsia="zh-CN" w:bidi="ar"/>
        </w:rPr>
        <w:t>应急处理预案</w:t>
      </w:r>
      <w:r>
        <w:rPr>
          <w:rStyle w:val="34"/>
          <w:rFonts w:hint="eastAsia" w:ascii="仿宋" w:hAnsi="仿宋" w:eastAsia="仿宋" w:cs="仿宋"/>
          <w:b w:val="0"/>
          <w:bCs/>
          <w:color w:val="auto"/>
          <w:sz w:val="24"/>
          <w:szCs w:val="24"/>
          <w:highlight w:val="none"/>
          <w:lang w:val="en-US" w:eastAsia="zh-CN" w:bidi="ar"/>
        </w:rPr>
        <w:t>等内容。</w:t>
      </w:r>
    </w:p>
    <w:p w14:paraId="513D66FC">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2.4重难点分析理解要求</w:t>
      </w:r>
    </w:p>
    <w:p w14:paraId="559BC92A">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bidi="ar"/>
        </w:rPr>
        <w:t>投标人须精准识别本项目运维工作核心难点与保障重点，分析需贴合实际、具备实操性，必须包含</w:t>
      </w:r>
      <w:r>
        <w:rPr>
          <w:rStyle w:val="34"/>
          <w:rFonts w:hint="eastAsia" w:ascii="仿宋" w:hAnsi="仿宋" w:eastAsia="仿宋" w:cs="仿宋"/>
          <w:b w:val="0"/>
          <w:bCs/>
          <w:color w:val="auto"/>
          <w:sz w:val="24"/>
          <w:szCs w:val="24"/>
          <w:highlight w:val="none"/>
          <w:lang w:val="en-US" w:eastAsia="zh-CN" w:bidi="ar"/>
        </w:rPr>
        <w:t>老旧设备兼容适配难点、</w:t>
      </w:r>
      <w:r>
        <w:rPr>
          <w:rFonts w:hint="eastAsia" w:ascii="仿宋" w:hAnsi="仿宋" w:eastAsia="仿宋" w:cs="仿宋"/>
          <w:b w:val="0"/>
          <w:bCs/>
          <w:color w:val="auto"/>
          <w:sz w:val="24"/>
          <w:szCs w:val="24"/>
          <w:highlight w:val="none"/>
          <w:lang w:val="en-US" w:eastAsia="zh-CN" w:bidi="ar"/>
        </w:rPr>
        <w:t xml:space="preserve"> 中高考及研考</w:t>
      </w:r>
      <w:r>
        <w:rPr>
          <w:rStyle w:val="34"/>
          <w:rFonts w:hint="eastAsia" w:ascii="仿宋" w:hAnsi="仿宋" w:eastAsia="仿宋" w:cs="仿宋"/>
          <w:b w:val="0"/>
          <w:bCs/>
          <w:color w:val="auto"/>
          <w:sz w:val="24"/>
          <w:szCs w:val="24"/>
          <w:highlight w:val="none"/>
          <w:lang w:val="en-US" w:eastAsia="zh-CN" w:bidi="ar"/>
        </w:rPr>
        <w:t>专项保障重点、</w:t>
      </w:r>
      <w:r>
        <w:rPr>
          <w:rStyle w:val="34"/>
          <w:rFonts w:hint="eastAsia" w:ascii="仿宋" w:hAnsi="仿宋" w:eastAsia="仿宋" w:cs="仿宋"/>
          <w:b w:val="0"/>
          <w:bCs w:val="0"/>
          <w:color w:val="auto"/>
          <w:sz w:val="24"/>
          <w:szCs w:val="24"/>
          <w:highlight w:val="none"/>
          <w:lang w:val="en-US" w:eastAsia="zh-CN" w:bidi="ar"/>
        </w:rPr>
        <w:t>考场智能作弊防控研判重点、AI巡查部署</w:t>
      </w:r>
      <w:r>
        <w:rPr>
          <w:rStyle w:val="34"/>
          <w:rFonts w:hint="eastAsia" w:ascii="仿宋" w:hAnsi="仿宋" w:eastAsia="仿宋" w:cs="仿宋"/>
          <w:b w:val="0"/>
          <w:bCs/>
          <w:color w:val="auto"/>
          <w:sz w:val="24"/>
          <w:szCs w:val="24"/>
          <w:highlight w:val="none"/>
          <w:lang w:val="en-US" w:eastAsia="zh-CN" w:bidi="ar"/>
        </w:rPr>
        <w:t>等内容。</w:t>
      </w:r>
    </w:p>
    <w:p w14:paraId="368840C8">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2.5方案设计理解要求</w:t>
      </w:r>
    </w:p>
    <w:p w14:paraId="58D1AB6A">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bidi="ar"/>
        </w:rPr>
        <w:t>投标人方案设计须合规、科学、可落地，完整包含</w:t>
      </w:r>
      <w:r>
        <w:rPr>
          <w:rStyle w:val="34"/>
          <w:rFonts w:hint="eastAsia" w:ascii="仿宋" w:hAnsi="仿宋" w:eastAsia="仿宋" w:cs="仿宋"/>
          <w:b w:val="0"/>
          <w:bCs/>
          <w:color w:val="auto"/>
          <w:sz w:val="24"/>
          <w:szCs w:val="24"/>
          <w:highlight w:val="none"/>
          <w:lang w:val="en-US" w:eastAsia="zh-CN" w:bidi="ar"/>
        </w:rPr>
        <w:t>适用国家及行业标准规范、整体设计原则、整体实施规划思路等内容。</w:t>
      </w:r>
    </w:p>
    <w:p w14:paraId="54A382B2">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2.6项目目标理解要求</w:t>
      </w:r>
    </w:p>
    <w:p w14:paraId="48068FA6">
      <w:pPr>
        <w:keepNext w:val="0"/>
        <w:keepLines w:val="0"/>
        <w:pageBreakBefore w:val="0"/>
        <w:widowControl/>
        <w:suppressLineNumbers w:val="0"/>
        <w:spacing w:beforeAutospacing="0" w:afterAutospacing="0" w:line="480" w:lineRule="exact"/>
        <w:ind w:firstLine="48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
        </w:rPr>
        <w:t>投标人须结合招标文件量化考核指标，明确可落地、可考核的项目实施目标，必须包含</w:t>
      </w:r>
      <w:r>
        <w:rPr>
          <w:rStyle w:val="34"/>
          <w:rFonts w:hint="eastAsia" w:ascii="仿宋" w:hAnsi="仿宋" w:eastAsia="仿宋" w:cs="仿宋"/>
          <w:b w:val="0"/>
          <w:bCs w:val="0"/>
          <w:color w:val="auto"/>
          <w:sz w:val="24"/>
          <w:szCs w:val="24"/>
          <w:highlight w:val="none"/>
          <w:lang w:val="en-US" w:eastAsia="zh-CN" w:bidi="ar"/>
        </w:rPr>
        <w:t>硬件升级改造目标、常态化运维落地目标、考务信息安全防护目标等内容。</w:t>
      </w:r>
    </w:p>
    <w:p w14:paraId="5B6B4C40">
      <w:pPr>
        <w:pStyle w:val="3"/>
        <w:pageBreakBefore w:val="0"/>
        <w:numPr>
          <w:ilvl w:val="1"/>
          <w:numId w:val="2"/>
        </w:numPr>
        <w:spacing w:before="0" w:beforeAutospacing="0" w:after="0" w:afterAutospacing="0" w:line="480" w:lineRule="exact"/>
        <w:ind w:left="0" w:firstLine="640"/>
        <w:jc w:val="both"/>
        <w:rPr>
          <w:rFonts w:hint="eastAsia" w:ascii="仿宋" w:hAnsi="仿宋" w:eastAsia="仿宋" w:cs="仿宋"/>
          <w:color w:val="auto"/>
          <w:sz w:val="32"/>
          <w:szCs w:val="32"/>
          <w:highlight w:val="none"/>
          <w:lang w:val="en-US" w:eastAsia="zh-CN"/>
        </w:rPr>
      </w:pPr>
      <w:bookmarkStart w:id="132" w:name="_Toc31161"/>
      <w:bookmarkStart w:id="133" w:name="_Toc16635"/>
      <w:r>
        <w:rPr>
          <w:rFonts w:hint="eastAsia" w:ascii="仿宋" w:hAnsi="仿宋" w:eastAsia="仿宋" w:cs="仿宋"/>
          <w:color w:val="auto"/>
          <w:sz w:val="32"/>
          <w:szCs w:val="32"/>
          <w:highlight w:val="none"/>
          <w:lang w:val="en-US" w:eastAsia="zh-CN"/>
        </w:rPr>
        <w:t>项目运维服务要求</w:t>
      </w:r>
      <w:bookmarkEnd w:id="132"/>
      <w:bookmarkEnd w:id="133"/>
    </w:p>
    <w:p w14:paraId="76E396A9">
      <w:pPr>
        <w:keepNext w:val="0"/>
        <w:keepLines w:val="0"/>
        <w:pageBreakBefore w:val="0"/>
        <w:widowControl/>
        <w:suppressLineNumbers w:val="0"/>
        <w:spacing w:line="480" w:lineRule="exact"/>
        <w:ind w:firstLine="480"/>
        <w:jc w:val="left"/>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24"/>
          <w:szCs w:val="24"/>
          <w:highlight w:val="none"/>
          <w:lang w:val="en-US" w:eastAsia="zh-CN" w:bidi="ar-SA"/>
        </w:rPr>
        <w:t>投标人须严格遵照教育部、江苏省教育考试院标准化考点运维规范，依托AI智能巡查巡检系统，构建常态化、标准化、闭环式全域运维服务体系。全面覆盖日常运维、隐患预判、故障快处、各类统考专项保障，实现全市标准化考场全业务系统、全设备、全网络全年稳定运行，保障考风考纪智能管控、四级平台互联互通、指挥调度可视化运转，所有运维指标须100%达标</w:t>
      </w:r>
      <w:r>
        <w:rPr>
          <w:rFonts w:hint="eastAsia" w:ascii="仿宋" w:hAnsi="仿宋" w:eastAsia="仿宋" w:cs="仿宋"/>
          <w:color w:val="auto"/>
          <w:sz w:val="32"/>
          <w:szCs w:val="32"/>
          <w:highlight w:val="none"/>
          <w:lang w:val="en-US" w:eastAsia="zh-CN" w:bidi="ar-SA"/>
        </w:rPr>
        <w:t>。</w:t>
      </w:r>
    </w:p>
    <w:p w14:paraId="334CF59F">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核心运维量化硬性指标</w:t>
      </w:r>
    </w:p>
    <w:p w14:paraId="013EE2C0">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本项目所有运维工作实行量化刚性考核，必须满足以下标准：</w:t>
      </w:r>
    </w:p>
    <w:p w14:paraId="59C976AC">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（1）设备故障率：标考核心设备全年综合故障率≤5%；</w:t>
      </w:r>
    </w:p>
    <w:p w14:paraId="4C255C8B">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（2）视频可用率：考场及保密室视频全年在线可用率≥95%，省市级抽查录像通过率≥99%，杜绝黑屏、丢流、存储异常等问题；</w:t>
      </w:r>
    </w:p>
    <w:p w14:paraId="26882D01">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（3）专线网络指标：1000M标考专线全年可用率≥95%，常态延迟≤10ms、丢包率≤0.1%，考期杜绝大面积网络中断；</w:t>
      </w:r>
    </w:p>
    <w:p w14:paraId="181672D0">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（4）应急响应时效：设立7×24小时应急热线，在故障上报后30分钟内远程响应、介入排查；</w:t>
      </w:r>
    </w:p>
    <w:p w14:paraId="7BC4BF64">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（5）隐患整改闭环率：故障点位2日内完成维修或备件更换，所有隐患、故障整改闭环率100%。</w:t>
      </w:r>
    </w:p>
    <w:p w14:paraId="4042F3E0">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整体运维体系建设要求</w:t>
      </w:r>
    </w:p>
    <w:p w14:paraId="4542647F">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投标人须搭建全覆盖标准化运维体系，包含六大核心模块：服务无缝对接机制、分级运维管控体系、专职专业运维团队、常态化核心运维服务、分级故障处置方案、分级考试专项保障方案，实现全流程规范化、可追溯、可考核运维管理。</w:t>
      </w:r>
    </w:p>
    <w:p w14:paraId="0E0FE1F9">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设备保障核心要求</w:t>
      </w:r>
    </w:p>
    <w:p w14:paraId="092289B9">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3.1全面保障考场监控全覆盖无死角、画面清晰完好。建立应急备件储备机制，考试期间专人负责设备及时更换。落实7×24小时不间断运维，保障指挥中心、考点所涉及的软硬件设备、网络及安全设备稳定运行，杜绝影响考试的死机、断流、报错等故障。每半年组织一次考点操作人员专项培训，保障人员熟练掌握设备操作及基础运维技能。</w:t>
      </w:r>
    </w:p>
    <w:p w14:paraId="2D43790F">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全流程考试专项保障要求</w:t>
      </w:r>
    </w:p>
    <w:p w14:paraId="1014D34D">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服务覆盖高考、中考、研究生考试、职教高考、成人高考、自学考试等国家教育考试，严格按照考前、考中、考后全流程落实专项保障。</w:t>
      </w:r>
    </w:p>
    <w:p w14:paraId="20DF6671">
      <w:pPr>
        <w:pStyle w:val="5"/>
        <w:keepNext/>
        <w:keepLines/>
        <w:pageBreakBefore w:val="0"/>
        <w:widowControl w:val="0"/>
        <w:spacing w:before="0" w:after="0" w:line="480" w:lineRule="exac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4.1考前保障（分阶段实施）</w:t>
      </w:r>
    </w:p>
    <w:p w14:paraId="6C7F25FE">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考前两周完成信号屏蔽仪启用报备工作；考前一周提交专项考试保障方案，完成全域考点网络、网上巡查系统、监控机房、网络授时系统、屏蔽系列设备全量排查调试，确保考场互联互通、录像存储正常、授时精准、设备运行达标，并协助考点完成OSD参数修改。</w:t>
      </w:r>
    </w:p>
    <w:p w14:paraId="7AA1B762">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（2）考前三天完成所有涉考考点考务通设备检查、数据下载、上传测试及调试工作。</w:t>
      </w:r>
    </w:p>
    <w:p w14:paraId="69CAAEEE">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4.2考中保障（专人驻场值守）</w:t>
      </w:r>
    </w:p>
    <w:p w14:paraId="2E9F180B">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（1）市、区县指挥中心及各涉考考点全程派驻技术人员驻场保障，足额配备应急备件，随时处置突发故障。</w:t>
      </w:r>
    </w:p>
    <w:p w14:paraId="36C2F04D">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w:t>
      </w:r>
      <w:r>
        <w:rPr>
          <w:rFonts w:hint="eastAsia" w:ascii="仿宋" w:hAnsi="仿宋" w:eastAsia="仿宋" w:cs="仿宋"/>
          <w:b w:val="0"/>
          <w:bCs/>
          <w:color w:val="auto"/>
          <w:sz w:val="24"/>
          <w:szCs w:val="24"/>
          <w:highlight w:val="none"/>
          <w:lang w:val="en-US" w:eastAsia="zh-CN"/>
        </w:rPr>
        <w:t>（2）高考、自考、研考、学考等重点考试，每个考场楼栋专属配置1名技术人员，专项负责考务通网络、数据、充电全流程保障（提供承诺函）。</w:t>
      </w:r>
    </w:p>
    <w:p w14:paraId="2D967D00">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（3）全程协助考点完成信号屏蔽设备规范启停、运行管控工作。</w:t>
      </w:r>
    </w:p>
    <w:p w14:paraId="34FE3812">
      <w:pPr>
        <w:pStyle w:val="5"/>
        <w:keepNext/>
        <w:keepLines/>
        <w:pageBreakBefore w:val="0"/>
        <w:widowControl w:val="0"/>
        <w:spacing w:before="0" w:after="0" w:line="480" w:lineRule="exact"/>
        <w:ind w:firstLine="48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4.3考后闭环管理</w:t>
      </w:r>
    </w:p>
    <w:p w14:paraId="25005DBC">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完成考务通设备检查、回收整理；协助考点完成考试录像、违纪录像上传上报及数据备份工作；配合各级考试中心完成服务量化考核，考核结果纳入年度履约评价。</w:t>
      </w:r>
    </w:p>
    <w:p w14:paraId="198933AE">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日常巡检常态化服务要求</w:t>
      </w:r>
    </w:p>
    <w:p w14:paraId="45547DF8">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按季度开展全市考点100%全覆盖巡检，核查设备、系统、专线带宽、延迟、丢包等核心指标，巡检结束48小时内提交正式巡检报告。常态化开展设备养护管护，保障多级会议系统稳定联通，针对考点改造、搬迁、设备迁移提供全程技术指导，动态更新设备台账。</w:t>
      </w:r>
    </w:p>
    <w:p w14:paraId="3EADA21A">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专项硬性履约要求</w:t>
      </w:r>
    </w:p>
    <w:p w14:paraId="66D0169F">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bidi="ar-SA"/>
        </w:rPr>
        <w:t>1.巡检整改备案：依据巡检结果及时开展设备维修、更换、升级工作，所有设备更换、升级事项须报市教育考试中心审批备案；设备维修更换需经校方工单签字确认，工单复印件提交各级考试中心备案（提供承诺函）。</w:t>
      </w:r>
    </w:p>
    <w:p w14:paraId="589986B5">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bidi="ar-SA"/>
        </w:rPr>
        <w:t>2.驻场人员要求：常驻宿迁市教育考试指挥中心专职技术人员不少于2名，人员须具备3年及以上标准化考场运维经验，熟练掌握全业务系统运维技能，服务期内未经采购人书面同意，不得擅自更换驻场人员（提供承诺函）。</w:t>
      </w:r>
    </w:p>
    <w:p w14:paraId="7EA66A34">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bidi="ar-SA"/>
        </w:rPr>
        <w:t>3.平台对接要求：保障所有标准化考场业务系统无缝接入宿迁市标准化考场系统平台，同时完成与省平台精准对接，实现省、市、区县、考点四级专网畅通，考务数据同步、视频流实时稳定传输，视频码流稳定维持在2M-4M区间（提供承诺函）。</w:t>
      </w:r>
    </w:p>
    <w:p w14:paraId="076E7AA8">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bidi="ar-SA"/>
        </w:rPr>
        <w:t>4.标准合规要求：所有软硬件设施设备严格遵循《国家教育考试网上巡查系统视频标准技术规范（2017版）》，未涵盖内容严格执行国家及行业现行标准（提供承诺函）。</w:t>
      </w:r>
    </w:p>
    <w:p w14:paraId="6264BB8C">
      <w:pPr>
        <w:keepNext w:val="0"/>
        <w:keepLines w:val="0"/>
        <w:pageBreakBefore w:val="0"/>
        <w:widowControl/>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bidi="ar-SA"/>
        </w:rPr>
        <w:t>5.系统升级要求:本项目须完成以下系统升级建设，相关费用全部包含在投标报价中，投标人须提供承诺函:</w:t>
      </w:r>
    </w:p>
    <w:p w14:paraId="12B1457A">
      <w:pPr>
        <w:keepNext w:val="0"/>
        <w:keepLines w:val="0"/>
        <w:pageBreakBefore w:val="0"/>
        <w:widowControl/>
        <w:numPr>
          <w:ilvl w:val="0"/>
          <w:numId w:val="0"/>
        </w:numPr>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eastAsia="zh-CN" w:bidi="ar-SA"/>
        </w:rPr>
        <w:t>高考考点试卷流转通道须实现监控无盲区，投标人应根据各考点实际情况增补监控点位，并全部接入考点网上巡查系统，实现统一管理与巡查;</w:t>
      </w:r>
    </w:p>
    <w:p w14:paraId="4E5DA6F9">
      <w:pPr>
        <w:keepNext w:val="0"/>
        <w:keepLines w:val="0"/>
        <w:pageBreakBefore w:val="0"/>
        <w:widowControl/>
        <w:numPr>
          <w:ilvl w:val="0"/>
          <w:numId w:val="0"/>
        </w:numPr>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en-US" w:eastAsia="zh-CN" w:bidi="ar-SA"/>
        </w:rPr>
        <w:t>市、县试卷流转车载系统须升级支持北斗与GPS双定位模式;</w:t>
      </w:r>
    </w:p>
    <w:p w14:paraId="7507EB60">
      <w:pPr>
        <w:keepNext w:val="0"/>
        <w:keepLines w:val="0"/>
        <w:pageBreakBefore w:val="0"/>
        <w:widowControl/>
        <w:numPr>
          <w:ilvl w:val="0"/>
          <w:numId w:val="0"/>
        </w:numPr>
        <w:suppressLineNumbers w:val="0"/>
        <w:spacing w:line="48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eastAsia="zh-CN" w:bidi="ar-SA"/>
        </w:rPr>
        <w:t>市、区、县保密室视频监控系统须升级满足6个月不间断存储的容量要求。</w:t>
      </w:r>
    </w:p>
    <w:p w14:paraId="29947E93">
      <w:pPr>
        <w:pStyle w:val="4"/>
        <w:pageBreakBefore w:val="0"/>
        <w:numPr>
          <w:ilvl w:val="2"/>
          <w:numId w:val="6"/>
        </w:numPr>
        <w:spacing w:before="0" w:beforeAutospacing="0" w:after="0" w:afterAutospacing="0" w:line="480" w:lineRule="exact"/>
        <w:ind w:left="0" w:firstLine="560"/>
        <w:jc w:val="both"/>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服务考核管理要求</w:t>
      </w:r>
    </w:p>
    <w:p w14:paraId="6C838EDA">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（1）单次考核：每场考试结束后，市、区县两级教育考试中心依据《标准化考点运维服务考核评分表》开展单次服务量化考核打分。</w:t>
      </w:r>
    </w:p>
    <w:p w14:paraId="106F177E">
      <w:pPr>
        <w:pStyle w:val="232"/>
        <w:keepNext w:val="0"/>
        <w:keepLines w:val="0"/>
        <w:pageBreakBefore w:val="0"/>
        <w:numPr>
          <w:ilvl w:val="0"/>
          <w:numId w:val="0"/>
        </w:numPr>
        <w:spacing w:beforeAutospacing="0" w:afterAutospacing="0" w:line="480" w:lineRule="exact"/>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（2）半年度综合考核：每半年汇总周期内所有场次考核得分，采用算术平均法计算综合考核成绩，考核结果作为服务费支付、年度履约评价及后续合同续期的核心依据。</w:t>
      </w:r>
    </w:p>
    <w:p w14:paraId="2FEF26FD">
      <w:pPr>
        <w:widowControl/>
        <w:spacing w:line="400" w:lineRule="exact"/>
        <w:ind w:firstLine="0"/>
        <w:jc w:val="center"/>
        <w:rPr>
          <w:rFonts w:hint="eastAsia" w:ascii="仿宋" w:hAnsi="仿宋" w:eastAsia="仿宋" w:cs="仿宋"/>
          <w:color w:val="auto"/>
          <w:spacing w:val="-2"/>
          <w:sz w:val="24"/>
          <w:szCs w:val="24"/>
          <w:highlight w:val="none"/>
          <w:lang w:eastAsia="zh-CN" w:bidi="ar"/>
          <w14:ligatures w14:val="standardContextual"/>
        </w:rPr>
      </w:pPr>
      <w:r>
        <w:rPr>
          <w:rFonts w:hint="eastAsia" w:ascii="仿宋" w:hAnsi="仿宋" w:eastAsia="仿宋" w:cs="仿宋"/>
          <w:b/>
          <w:bCs w:val="0"/>
          <w:color w:val="auto"/>
          <w:spacing w:val="-2"/>
          <w:sz w:val="24"/>
          <w:szCs w:val="24"/>
          <w:highlight w:val="none"/>
          <w:u w:val="none"/>
          <w:lang w:bidi="ar"/>
          <w14:ligatures w14:val="standardContextual"/>
        </w:rPr>
        <w:t>标准化考点运维服务考核评分表</w:t>
      </w:r>
    </w:p>
    <w:tbl>
      <w:tblPr>
        <w:tblStyle w:val="31"/>
        <w:tblW w:w="5590" w:type="pct"/>
        <w:tblInd w:w="-431" w:type="dxa"/>
        <w:tblLayout w:type="fixed"/>
        <w:tblCellMar>
          <w:top w:w="0" w:type="dxa"/>
          <w:left w:w="108" w:type="dxa"/>
          <w:bottom w:w="0" w:type="dxa"/>
          <w:right w:w="108" w:type="dxa"/>
        </w:tblCellMar>
      </w:tblPr>
      <w:tblGrid>
        <w:gridCol w:w="932"/>
        <w:gridCol w:w="640"/>
        <w:gridCol w:w="6481"/>
        <w:gridCol w:w="764"/>
        <w:gridCol w:w="613"/>
        <w:gridCol w:w="821"/>
      </w:tblGrid>
      <w:tr w14:paraId="42E89D9C">
        <w:tblPrEx>
          <w:tblCellMar>
            <w:top w:w="0" w:type="dxa"/>
            <w:left w:w="108" w:type="dxa"/>
            <w:bottom w:w="0" w:type="dxa"/>
            <w:right w:w="108" w:type="dxa"/>
          </w:tblCellMar>
        </w:tblPrEx>
        <w:trPr>
          <w:trHeight w:val="478" w:hRule="atLeast"/>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3E942C15">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考核项目</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75553500">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序号</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224DF963">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评分要求与标准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081437F2">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分值</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67DE262">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lang w:bidi="ar"/>
                <w14:ligatures w14:val="standardContextual"/>
              </w:rPr>
              <w:t>得分</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A82092C">
            <w:pPr>
              <w:keepNext w:val="0"/>
              <w:keepLines w:val="0"/>
              <w:widowControl/>
              <w:suppressLineNumbers w:val="0"/>
              <w:spacing w:before="0" w:beforeAutospacing="0" w:after="0" w:afterAutospacing="0"/>
              <w:ind w:left="0" w:right="0" w:firstLine="0"/>
              <w:jc w:val="center"/>
              <w:rPr>
                <w:rFonts w:hint="eastAsia" w:ascii="仿宋" w:hAnsi="仿宋" w:eastAsia="仿宋" w:cs="仿宋"/>
                <w:bCs/>
                <w:color w:val="auto"/>
                <w:spacing w:val="-2"/>
                <w:sz w:val="24"/>
                <w:szCs w:val="24"/>
                <w:highlight w:val="none"/>
                <w14:ligatures w14:val="standardContextual"/>
              </w:rPr>
            </w:pPr>
            <w:r>
              <w:rPr>
                <w:rFonts w:hint="eastAsia" w:ascii="仿宋" w:hAnsi="仿宋" w:eastAsia="仿宋" w:cs="仿宋"/>
                <w:bCs/>
                <w:color w:val="auto"/>
                <w:spacing w:val="-2"/>
                <w:sz w:val="24"/>
                <w:szCs w:val="24"/>
                <w:highlight w:val="none"/>
                <w14:ligatures w14:val="standardContextual"/>
              </w:rPr>
              <w:t>扣分理由</w:t>
            </w:r>
          </w:p>
        </w:tc>
      </w:tr>
      <w:tr w14:paraId="7D49F1B0">
        <w:tblPrEx>
          <w:tblCellMar>
            <w:top w:w="0" w:type="dxa"/>
            <w:left w:w="108" w:type="dxa"/>
            <w:bottom w:w="0" w:type="dxa"/>
            <w:right w:w="108" w:type="dxa"/>
          </w:tblCellMar>
        </w:tblPrEx>
        <w:trPr>
          <w:trHeight w:val="735" w:hRule="atLeast"/>
        </w:trPr>
        <w:tc>
          <w:tcPr>
            <w:tcW w:w="866" w:type="dxa"/>
            <w:vMerge w:val="restart"/>
            <w:tcBorders>
              <w:top w:val="single" w:color="000000" w:sz="4" w:space="0"/>
              <w:left w:val="single" w:color="000000" w:sz="4" w:space="0"/>
              <w:bottom w:val="single" w:color="000000" w:sz="4" w:space="0"/>
              <w:right w:val="single" w:color="000000" w:sz="4" w:space="0"/>
            </w:tcBorders>
            <w:noWrap w:val="0"/>
            <w:vAlign w:val="center"/>
          </w:tcPr>
          <w:p w14:paraId="744A48A9">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标准化考点运维服务</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6FB995D6">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13E49BD9">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2</w:t>
            </w:r>
            <w:r>
              <w:rPr>
                <w:rFonts w:hint="eastAsia" w:ascii="仿宋" w:hAnsi="仿宋" w:eastAsia="仿宋" w:cs="仿宋"/>
                <w:color w:val="auto"/>
                <w:spacing w:val="-2"/>
                <w:sz w:val="24"/>
                <w:szCs w:val="24"/>
                <w:highlight w:val="none"/>
                <w:lang w:bidi="ar"/>
                <w14:ligatures w14:val="standardContextual"/>
              </w:rPr>
              <w:t>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各级考试中心</w:t>
            </w:r>
            <w:r>
              <w:rPr>
                <w:rFonts w:hint="eastAsia" w:ascii="仿宋" w:hAnsi="仿宋" w:eastAsia="仿宋" w:cs="仿宋"/>
                <w:color w:val="auto"/>
                <w:spacing w:val="-2"/>
                <w:sz w:val="24"/>
                <w:szCs w:val="24"/>
                <w:highlight w:val="none"/>
                <w:lang w:bidi="ar"/>
                <w14:ligatures w14:val="standardContextual"/>
              </w:rPr>
              <w:t>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每例</w:t>
            </w:r>
            <w:r>
              <w:rPr>
                <w:rFonts w:hint="eastAsia" w:ascii="仿宋" w:hAnsi="仿宋" w:eastAsia="仿宋" w:cs="仿宋"/>
                <w:color w:val="auto"/>
                <w:spacing w:val="-2"/>
                <w:sz w:val="24"/>
                <w:szCs w:val="24"/>
                <w:highlight w:val="none"/>
                <w:lang w:bidi="ar"/>
                <w14:ligatures w14:val="standardContextual"/>
              </w:rPr>
              <w:t>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分，维修超时</w:t>
            </w:r>
            <w:r>
              <w:rPr>
                <w:rFonts w:hint="eastAsia" w:ascii="仿宋" w:hAnsi="仿宋" w:eastAsia="仿宋" w:cs="仿宋"/>
                <w:color w:val="auto"/>
                <w:spacing w:val="-2"/>
                <w:sz w:val="24"/>
                <w:szCs w:val="24"/>
                <w:highlight w:val="none"/>
                <w:lang w:val="en-US" w:eastAsia="zh-CN" w:bidi="ar"/>
                <w14:ligatures w14:val="standardContextual"/>
              </w:rPr>
              <w:t>每例</w:t>
            </w:r>
            <w:r>
              <w:rPr>
                <w:rFonts w:hint="eastAsia" w:ascii="仿宋" w:hAnsi="仿宋" w:eastAsia="仿宋" w:cs="仿宋"/>
                <w:color w:val="auto"/>
                <w:spacing w:val="-2"/>
                <w:sz w:val="24"/>
                <w:szCs w:val="24"/>
                <w:highlight w:val="none"/>
                <w:lang w:bidi="ar"/>
                <w14:ligatures w14:val="standardContextual"/>
              </w:rPr>
              <w:t>扣</w:t>
            </w:r>
            <w:r>
              <w:rPr>
                <w:rFonts w:hint="eastAsia" w:ascii="仿宋" w:hAnsi="仿宋" w:eastAsia="仿宋" w:cs="仿宋"/>
                <w:color w:val="auto"/>
                <w:spacing w:val="-2"/>
                <w:sz w:val="24"/>
                <w:szCs w:val="24"/>
                <w:highlight w:val="none"/>
                <w:lang w:val="en-US" w:eastAsia="zh-CN" w:bidi="ar"/>
                <w14:ligatures w14:val="standardContextual"/>
              </w:rPr>
              <w:t>0.5</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7FA9565D">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20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A33E733">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2B3DBFA">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0CCAA8EB">
        <w:tblPrEx>
          <w:tblCellMar>
            <w:top w:w="0" w:type="dxa"/>
            <w:left w:w="108" w:type="dxa"/>
            <w:bottom w:w="0" w:type="dxa"/>
            <w:right w:w="108" w:type="dxa"/>
          </w:tblCellMar>
        </w:tblPrEx>
        <w:trPr>
          <w:trHeight w:val="710"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C1F3DF">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5B6AFAEF">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2</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5210A048">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2</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6AF860C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15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9990C00">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3BCEE76">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6D99C150">
        <w:tblPrEx>
          <w:tblCellMar>
            <w:top w:w="0" w:type="dxa"/>
            <w:left w:w="108" w:type="dxa"/>
            <w:bottom w:w="0" w:type="dxa"/>
            <w:right w:w="108" w:type="dxa"/>
          </w:tblCellMar>
        </w:tblPrEx>
        <w:trPr>
          <w:trHeight w:val="247"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8BA7E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111B869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3</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5517DE93">
            <w:pPr>
              <w:keepNext w:val="0"/>
              <w:keepLines w:val="0"/>
              <w:widowControl/>
              <w:suppressLineNumbers w:val="0"/>
              <w:spacing w:before="0" w:beforeAutospacing="0" w:after="0" w:afterAutospacing="0"/>
              <w:ind w:left="0" w:right="0" w:firstLine="0"/>
              <w:jc w:val="left"/>
              <w:rPr>
                <w:rFonts w:hint="eastAsia" w:ascii="仿宋" w:hAnsi="仿宋" w:eastAsia="仿宋" w:cs="仿宋"/>
                <w:b w:val="0"/>
                <w:bCs w:val="0"/>
                <w:color w:val="auto"/>
                <w:spacing w:val="-2"/>
                <w:sz w:val="24"/>
                <w:szCs w:val="24"/>
                <w:highlight w:val="none"/>
                <w14:ligatures w14:val="standardContextual"/>
              </w:rPr>
            </w:pPr>
            <w:r>
              <w:rPr>
                <w:rFonts w:hint="eastAsia" w:ascii="仿宋" w:hAnsi="仿宋" w:eastAsia="仿宋" w:cs="仿宋"/>
                <w:b w:val="0"/>
                <w:bCs w:val="0"/>
                <w:color w:val="auto"/>
                <w:spacing w:val="-2"/>
                <w:sz w:val="24"/>
                <w:szCs w:val="24"/>
                <w:highlight w:val="none"/>
                <w:lang w:bidi="ar"/>
                <w14:ligatures w14:val="standardContextual"/>
              </w:rPr>
              <w:t>每个考点考试期间</w:t>
            </w:r>
            <w:r>
              <w:rPr>
                <w:rFonts w:hint="eastAsia" w:ascii="仿宋" w:hAnsi="仿宋" w:eastAsia="仿宋" w:cs="仿宋"/>
                <w:color w:val="auto"/>
                <w:spacing w:val="-2"/>
                <w:sz w:val="24"/>
                <w:szCs w:val="24"/>
                <w:highlight w:val="none"/>
                <w:lang w:val="en-US" w:eastAsia="zh-CN" w:bidi="ar"/>
                <w14:ligatures w14:val="standardContextual"/>
              </w:rPr>
              <w:t>中标方需</w:t>
            </w:r>
            <w:r>
              <w:rPr>
                <w:rFonts w:hint="eastAsia" w:ascii="仿宋" w:hAnsi="仿宋" w:eastAsia="仿宋" w:cs="仿宋"/>
                <w:b w:val="0"/>
                <w:bCs w:val="0"/>
                <w:color w:val="auto"/>
                <w:spacing w:val="-2"/>
                <w:sz w:val="24"/>
                <w:szCs w:val="24"/>
                <w:highlight w:val="none"/>
                <w:lang w:bidi="ar"/>
                <w14:ligatures w14:val="standardContextual"/>
              </w:rPr>
              <w:t>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3</w:t>
            </w:r>
            <w:r>
              <w:rPr>
                <w:rFonts w:hint="eastAsia" w:ascii="仿宋" w:hAnsi="仿宋" w:eastAsia="仿宋" w:cs="仿宋"/>
                <w:b w:val="0"/>
                <w:bCs w:val="0"/>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0D5CEE0E">
            <w:pPr>
              <w:keepNext w:val="0"/>
              <w:keepLines w:val="0"/>
              <w:widowControl/>
              <w:suppressLineNumbers w:val="0"/>
              <w:spacing w:before="0" w:beforeAutospacing="0" w:after="0" w:afterAutospacing="0"/>
              <w:ind w:left="0" w:right="0" w:firstLine="0"/>
              <w:jc w:val="center"/>
              <w:rPr>
                <w:rFonts w:hint="eastAsia" w:ascii="仿宋" w:hAnsi="仿宋" w:eastAsia="仿宋" w:cs="仿宋"/>
                <w:b w:val="0"/>
                <w:bCs w:val="0"/>
                <w:color w:val="auto"/>
                <w:spacing w:val="-2"/>
                <w:sz w:val="24"/>
                <w:szCs w:val="24"/>
                <w:highlight w:val="none"/>
                <w:lang w:val="en-US" w:eastAsia="zh-CN"/>
                <w14:ligatures w14:val="standardContextual"/>
              </w:rPr>
            </w:pPr>
            <w:r>
              <w:rPr>
                <w:rFonts w:hint="eastAsia" w:ascii="仿宋" w:hAnsi="仿宋" w:eastAsia="仿宋" w:cs="仿宋"/>
                <w:b w:val="0"/>
                <w:bCs w:val="0"/>
                <w:color w:val="auto"/>
                <w:spacing w:val="-2"/>
                <w:sz w:val="24"/>
                <w:szCs w:val="24"/>
                <w:highlight w:val="none"/>
                <w:lang w:val="en-US" w:eastAsia="zh-CN"/>
                <w14:ligatures w14:val="standardContextual"/>
              </w:rPr>
              <w:t>15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350431F">
            <w:pPr>
              <w:keepNext w:val="0"/>
              <w:keepLines w:val="0"/>
              <w:widowControl/>
              <w:suppressLineNumbers w:val="0"/>
              <w:spacing w:before="0" w:beforeAutospacing="0" w:after="0" w:afterAutospacing="0"/>
              <w:ind w:left="0" w:right="0" w:firstLine="0"/>
              <w:jc w:val="center"/>
              <w:rPr>
                <w:rFonts w:hint="eastAsia" w:ascii="仿宋" w:hAnsi="仿宋" w:eastAsia="仿宋" w:cs="仿宋"/>
                <w:b w:val="0"/>
                <w:bCs w:val="0"/>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212AE8A">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32BF923A">
        <w:tblPrEx>
          <w:tblCellMar>
            <w:top w:w="0" w:type="dxa"/>
            <w:left w:w="108" w:type="dxa"/>
            <w:bottom w:w="0" w:type="dxa"/>
            <w:right w:w="108" w:type="dxa"/>
          </w:tblCellMar>
        </w:tblPrEx>
        <w:trPr>
          <w:trHeight w:val="1022"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E314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77B56853">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4</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4AC25374">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w:t>
            </w:r>
            <w:r>
              <w:rPr>
                <w:rFonts w:hint="eastAsia" w:ascii="仿宋" w:hAnsi="仿宋" w:eastAsia="仿宋" w:cs="仿宋"/>
                <w:color w:val="auto"/>
                <w:spacing w:val="-2"/>
                <w:sz w:val="24"/>
                <w:szCs w:val="24"/>
                <w:highlight w:val="none"/>
                <w:lang w:val="en-US" w:eastAsia="zh-CN" w:bidi="ar"/>
                <w14:ligatures w14:val="standardContextual"/>
              </w:rPr>
              <w:t>在</w:t>
            </w:r>
            <w:r>
              <w:rPr>
                <w:rFonts w:hint="eastAsia" w:ascii="仿宋" w:hAnsi="仿宋" w:eastAsia="仿宋" w:cs="仿宋"/>
                <w:color w:val="auto"/>
                <w:spacing w:val="-2"/>
                <w:sz w:val="24"/>
                <w:szCs w:val="24"/>
                <w:highlight w:val="none"/>
                <w:lang w:bidi="ar"/>
                <w14:ligatures w14:val="standardContextual"/>
              </w:rPr>
              <w:t>下场考试前及时修复，</w:t>
            </w:r>
            <w:r>
              <w:rPr>
                <w:rFonts w:hint="eastAsia" w:ascii="仿宋" w:hAnsi="仿宋" w:eastAsia="仿宋" w:cs="仿宋"/>
                <w:color w:val="auto"/>
                <w:spacing w:val="-2"/>
                <w:sz w:val="24"/>
                <w:szCs w:val="24"/>
                <w:highlight w:val="none"/>
                <w:lang w:val="en-US" w:eastAsia="zh-CN" w:bidi="ar"/>
                <w14:ligatures w14:val="standardContextual"/>
              </w:rPr>
              <w:t>不扣分</w:t>
            </w:r>
            <w:r>
              <w:rPr>
                <w:rFonts w:hint="eastAsia" w:ascii="仿宋" w:hAnsi="仿宋" w:eastAsia="仿宋" w:cs="仿宋"/>
                <w:color w:val="auto"/>
                <w:spacing w:val="-2"/>
                <w:sz w:val="24"/>
                <w:szCs w:val="24"/>
                <w:highlight w:val="none"/>
                <w:lang w:bidi="ar"/>
                <w14:ligatures w14:val="standardContextual"/>
              </w:rPr>
              <w:t>；故障处理不及时影响下一场考试，每起扣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5</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40B25489">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20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18DDD60">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19A4C60">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04C559CE">
        <w:tblPrEx>
          <w:tblCellMar>
            <w:top w:w="0" w:type="dxa"/>
            <w:left w:w="108" w:type="dxa"/>
            <w:bottom w:w="0" w:type="dxa"/>
            <w:right w:w="108" w:type="dxa"/>
          </w:tblCellMar>
        </w:tblPrEx>
        <w:trPr>
          <w:trHeight w:val="697"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1C239B">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6DC94356">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5</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5121D225">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中标方协助各考点</w:t>
            </w:r>
            <w:r>
              <w:rPr>
                <w:rFonts w:hint="eastAsia" w:ascii="仿宋" w:hAnsi="仿宋" w:eastAsia="仿宋" w:cs="仿宋"/>
                <w:color w:val="auto"/>
                <w:spacing w:val="-2"/>
                <w:sz w:val="24"/>
                <w:szCs w:val="24"/>
                <w:highlight w:val="none"/>
                <w:lang w:bidi="ar"/>
                <w14:ligatures w14:val="standardContextual"/>
              </w:rPr>
              <w:t>按规定格式</w:t>
            </w:r>
            <w:r>
              <w:rPr>
                <w:rFonts w:hint="eastAsia" w:ascii="仿宋" w:hAnsi="仿宋" w:eastAsia="仿宋" w:cs="仿宋"/>
                <w:color w:val="auto"/>
                <w:spacing w:val="-2"/>
                <w:sz w:val="24"/>
                <w:szCs w:val="24"/>
                <w:highlight w:val="none"/>
                <w:lang w:val="en-US" w:eastAsia="zh-CN" w:bidi="ar"/>
                <w14:ligatures w14:val="standardContextual"/>
              </w:rPr>
              <w:t>备份，抽查录像</w:t>
            </w:r>
            <w:r>
              <w:rPr>
                <w:rFonts w:hint="eastAsia" w:ascii="仿宋" w:hAnsi="仿宋" w:eastAsia="仿宋" w:cs="仿宋"/>
                <w:color w:val="auto"/>
                <w:spacing w:val="-2"/>
                <w:sz w:val="24"/>
                <w:szCs w:val="24"/>
                <w:highlight w:val="none"/>
                <w:lang w:bidi="ar"/>
                <w14:ligatures w14:val="standardContextual"/>
              </w:rPr>
              <w:t>及时上传至</w:t>
            </w:r>
            <w:r>
              <w:rPr>
                <w:rFonts w:hint="eastAsia" w:ascii="仿宋" w:hAnsi="仿宋" w:eastAsia="仿宋" w:cs="仿宋"/>
                <w:color w:val="auto"/>
                <w:spacing w:val="-2"/>
                <w:sz w:val="24"/>
                <w:szCs w:val="24"/>
                <w:highlight w:val="none"/>
                <w:lang w:val="en-US" w:eastAsia="zh-CN" w:bidi="ar"/>
                <w14:ligatures w14:val="standardContextual"/>
              </w:rPr>
              <w:t>市教育考试中心</w:t>
            </w:r>
            <w:r>
              <w:rPr>
                <w:rFonts w:hint="eastAsia" w:ascii="仿宋" w:hAnsi="仿宋" w:eastAsia="仿宋" w:cs="仿宋"/>
                <w:color w:val="auto"/>
                <w:spacing w:val="-2"/>
                <w:sz w:val="24"/>
                <w:szCs w:val="24"/>
                <w:highlight w:val="none"/>
                <w:lang w:bidi="ar"/>
                <w14:ligatures w14:val="standardContextual"/>
              </w:rPr>
              <w:t>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分。无法提供省</w:t>
            </w:r>
            <w:r>
              <w:rPr>
                <w:rFonts w:hint="eastAsia" w:ascii="仿宋" w:hAnsi="仿宋" w:eastAsia="仿宋" w:cs="仿宋"/>
                <w:color w:val="auto"/>
                <w:spacing w:val="-2"/>
                <w:sz w:val="24"/>
                <w:szCs w:val="24"/>
                <w:highlight w:val="none"/>
                <w:lang w:eastAsia="zh-CN" w:bidi="ar"/>
                <w14:ligatures w14:val="standardContextual"/>
              </w:rPr>
              <w:t>、</w:t>
            </w:r>
            <w:r>
              <w:rPr>
                <w:rFonts w:hint="eastAsia" w:ascii="仿宋" w:hAnsi="仿宋" w:eastAsia="仿宋" w:cs="仿宋"/>
                <w:color w:val="auto"/>
                <w:spacing w:val="-2"/>
                <w:sz w:val="24"/>
                <w:szCs w:val="24"/>
                <w:highlight w:val="none"/>
                <w:lang w:val="en-US" w:eastAsia="zh-CN" w:bidi="ar"/>
                <w14:ligatures w14:val="standardContextual"/>
              </w:rPr>
              <w:t>市</w:t>
            </w:r>
            <w:r>
              <w:rPr>
                <w:rFonts w:hint="eastAsia" w:ascii="仿宋" w:hAnsi="仿宋" w:eastAsia="仿宋" w:cs="仿宋"/>
                <w:color w:val="auto"/>
                <w:spacing w:val="-2"/>
                <w:sz w:val="24"/>
                <w:szCs w:val="24"/>
                <w:highlight w:val="none"/>
                <w:lang w:bidi="ar"/>
                <w14:ligatures w14:val="standardContextual"/>
              </w:rPr>
              <w:t>抽查录像，扣</w:t>
            </w:r>
            <w:r>
              <w:rPr>
                <w:rFonts w:hint="eastAsia" w:ascii="仿宋" w:hAnsi="仿宋" w:eastAsia="仿宋" w:cs="仿宋"/>
                <w:color w:val="auto"/>
                <w:spacing w:val="-2"/>
                <w:sz w:val="24"/>
                <w:szCs w:val="24"/>
                <w:highlight w:val="none"/>
                <w:lang w:val="en-US" w:eastAsia="zh-CN" w:bidi="ar"/>
                <w14:ligatures w14:val="standardContextual"/>
              </w:rPr>
              <w:t>3</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0C79667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eastAsia="zh-CN"/>
                <w14:ligatures w14:val="standardContextual"/>
              </w:rPr>
            </w:pPr>
            <w:r>
              <w:rPr>
                <w:rFonts w:hint="eastAsia" w:ascii="仿宋" w:hAnsi="仿宋" w:eastAsia="仿宋" w:cs="仿宋"/>
                <w:color w:val="auto"/>
                <w:spacing w:val="-2"/>
                <w:sz w:val="24"/>
                <w:szCs w:val="24"/>
                <w:highlight w:val="none"/>
                <w:lang w:bidi="ar"/>
                <w14:ligatures w14:val="standardContextual"/>
              </w:rPr>
              <w:t>1</w:t>
            </w:r>
            <w:r>
              <w:rPr>
                <w:rFonts w:hint="eastAsia" w:ascii="仿宋" w:hAnsi="仿宋" w:eastAsia="仿宋" w:cs="仿宋"/>
                <w:color w:val="auto"/>
                <w:spacing w:val="-2"/>
                <w:sz w:val="24"/>
                <w:szCs w:val="24"/>
                <w:highlight w:val="none"/>
                <w:lang w:val="en-US" w:eastAsia="zh-CN" w:bidi="ar"/>
                <w14:ligatures w14:val="standardContextual"/>
              </w:rPr>
              <w:t>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5637E82">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498A07B">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43E93D9D">
        <w:tblPrEx>
          <w:tblCellMar>
            <w:top w:w="0" w:type="dxa"/>
            <w:left w:w="108" w:type="dxa"/>
            <w:bottom w:w="0" w:type="dxa"/>
            <w:right w:w="108" w:type="dxa"/>
          </w:tblCellMar>
        </w:tblPrEx>
        <w:trPr>
          <w:trHeight w:val="448"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C7FFF1">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1018D4C5">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6</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2BCE9534">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若启用考场智能巡查，</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丢失</w:t>
            </w:r>
            <w:r>
              <w:rPr>
                <w:rFonts w:hint="eastAsia" w:ascii="仿宋" w:hAnsi="仿宋" w:eastAsia="仿宋" w:cs="仿宋"/>
                <w:color w:val="auto"/>
                <w:spacing w:val="-2"/>
                <w:sz w:val="24"/>
                <w:szCs w:val="24"/>
                <w:highlight w:val="none"/>
                <w:lang w:bidi="ar"/>
                <w14:ligatures w14:val="standardContextual"/>
              </w:rPr>
              <w:t>，每例扣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分，无法提供违纪视频扣</w:t>
            </w:r>
            <w:r>
              <w:rPr>
                <w:rFonts w:hint="eastAsia" w:ascii="仿宋" w:hAnsi="仿宋" w:eastAsia="仿宋" w:cs="仿宋"/>
                <w:color w:val="auto"/>
                <w:spacing w:val="-2"/>
                <w:sz w:val="24"/>
                <w:szCs w:val="24"/>
                <w:highlight w:val="none"/>
                <w:lang w:val="en-US" w:eastAsia="zh-CN" w:bidi="ar"/>
                <w14:ligatures w14:val="standardContextual"/>
              </w:rPr>
              <w:t>5</w:t>
            </w:r>
            <w:r>
              <w:rPr>
                <w:rFonts w:hint="eastAsia" w:ascii="仿宋" w:hAnsi="仿宋" w:eastAsia="仿宋" w:cs="仿宋"/>
                <w:color w:val="auto"/>
                <w:spacing w:val="-2"/>
                <w:sz w:val="24"/>
                <w:szCs w:val="24"/>
                <w:highlight w:val="none"/>
                <w:lang w:bidi="ar"/>
                <w14:ligatures w14:val="standardContextual"/>
              </w:rPr>
              <w:t>分；未启用则不扣分。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36A35ACF">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4CF28A7">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6F4B56E">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74C8DCA3">
        <w:tblPrEx>
          <w:tblCellMar>
            <w:top w:w="0" w:type="dxa"/>
            <w:left w:w="108" w:type="dxa"/>
            <w:bottom w:w="0" w:type="dxa"/>
            <w:right w:w="108" w:type="dxa"/>
          </w:tblCellMar>
        </w:tblPrEx>
        <w:trPr>
          <w:trHeight w:val="920" w:hRule="atLeast"/>
        </w:trPr>
        <w:tc>
          <w:tcPr>
            <w:tcW w:w="8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7F529">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643F1B32">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7</w:t>
            </w:r>
          </w:p>
        </w:tc>
        <w:tc>
          <w:tcPr>
            <w:tcW w:w="6024" w:type="dxa"/>
            <w:tcBorders>
              <w:top w:val="single" w:color="000000" w:sz="4" w:space="0"/>
              <w:left w:val="single" w:color="000000" w:sz="4" w:space="0"/>
              <w:bottom w:val="single" w:color="000000" w:sz="4" w:space="0"/>
              <w:right w:val="single" w:color="000000" w:sz="4" w:space="0"/>
            </w:tcBorders>
            <w:noWrap w:val="0"/>
            <w:vAlign w:val="center"/>
          </w:tcPr>
          <w:p w14:paraId="3197CF7F">
            <w:pPr>
              <w:keepNext w:val="0"/>
              <w:keepLines w:val="0"/>
              <w:widowControl/>
              <w:suppressLineNumbers w:val="0"/>
              <w:spacing w:before="0" w:beforeAutospacing="0" w:after="0" w:afterAutospacing="0"/>
              <w:ind w:left="0" w:right="0" w:firstLine="0"/>
              <w:jc w:val="left"/>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根据考点需求，</w:t>
            </w:r>
            <w:r>
              <w:rPr>
                <w:rFonts w:hint="eastAsia" w:ascii="仿宋" w:hAnsi="仿宋" w:eastAsia="仿宋" w:cs="仿宋"/>
                <w:color w:val="auto"/>
                <w:spacing w:val="-2"/>
                <w:sz w:val="24"/>
                <w:szCs w:val="24"/>
                <w:highlight w:val="none"/>
                <w:lang w:val="en-US" w:eastAsia="zh-CN" w:bidi="ar"/>
                <w14:ligatures w14:val="standardContextual"/>
              </w:rPr>
              <w:t>中标方</w:t>
            </w:r>
            <w:r>
              <w:rPr>
                <w:rFonts w:hint="eastAsia" w:ascii="仿宋" w:hAnsi="仿宋" w:eastAsia="仿宋" w:cs="仿宋"/>
                <w:color w:val="auto"/>
                <w:spacing w:val="-2"/>
                <w:sz w:val="24"/>
                <w:szCs w:val="24"/>
                <w:highlight w:val="none"/>
                <w:lang w:bidi="ar"/>
                <w14:ligatures w14:val="standardContextual"/>
              </w:rPr>
              <w:t>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3E803BF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lang w:val="en-US" w:eastAsia="zh-CN"/>
                <w14:ligatures w14:val="standardContextual"/>
              </w:rPr>
            </w:pPr>
            <w:r>
              <w:rPr>
                <w:rFonts w:hint="eastAsia" w:ascii="仿宋" w:hAnsi="仿宋" w:eastAsia="仿宋" w:cs="仿宋"/>
                <w:color w:val="auto"/>
                <w:spacing w:val="-2"/>
                <w:sz w:val="24"/>
                <w:szCs w:val="24"/>
                <w:highlight w:val="none"/>
                <w:lang w:val="en-US" w:eastAsia="zh-CN" w:bidi="ar"/>
                <w14:ligatures w14:val="standardContextual"/>
              </w:rPr>
              <w:t>5</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3AF25E6">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502718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r w14:paraId="3D8D28AF">
        <w:tblPrEx>
          <w:tblCellMar>
            <w:top w:w="0" w:type="dxa"/>
            <w:left w:w="108" w:type="dxa"/>
            <w:bottom w:w="0" w:type="dxa"/>
            <w:right w:w="108" w:type="dxa"/>
          </w:tblCellMar>
        </w:tblPrEx>
        <w:trPr>
          <w:trHeight w:val="440" w:hRule="atLeast"/>
        </w:trPr>
        <w:tc>
          <w:tcPr>
            <w:tcW w:w="7485" w:type="dxa"/>
            <w:gridSpan w:val="3"/>
            <w:tcBorders>
              <w:top w:val="single" w:color="000000" w:sz="4" w:space="0"/>
              <w:left w:val="single" w:color="000000" w:sz="4" w:space="0"/>
              <w:bottom w:val="single" w:color="000000" w:sz="4" w:space="0"/>
              <w:right w:val="single" w:color="000000" w:sz="4" w:space="0"/>
            </w:tcBorders>
            <w:noWrap/>
            <w:vAlign w:val="center"/>
          </w:tcPr>
          <w:p w14:paraId="10BD8C94">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总分</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6F758383">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100</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B0ACC8F">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6F051FC">
            <w:pPr>
              <w:keepNext w:val="0"/>
              <w:keepLines w:val="0"/>
              <w:widowControl/>
              <w:suppressLineNumbers w:val="0"/>
              <w:spacing w:before="0" w:beforeAutospacing="0" w:after="0" w:afterAutospacing="0"/>
              <w:ind w:left="0" w:right="0" w:firstLine="0"/>
              <w:jc w:val="center"/>
              <w:rPr>
                <w:rFonts w:hint="eastAsia" w:ascii="仿宋" w:hAnsi="仿宋" w:eastAsia="仿宋" w:cs="仿宋"/>
                <w:b/>
                <w:color w:val="auto"/>
                <w:spacing w:val="-2"/>
                <w:sz w:val="24"/>
                <w:szCs w:val="24"/>
                <w:highlight w:val="none"/>
                <w14:ligatures w14:val="standardContextual"/>
              </w:rPr>
            </w:pPr>
          </w:p>
        </w:tc>
      </w:tr>
    </w:tbl>
    <w:p w14:paraId="05F6D95E">
      <w:pPr>
        <w:keepNext w:val="0"/>
        <w:keepLines w:val="0"/>
        <w:pageBreakBefore w:val="0"/>
        <w:widowControl/>
        <w:spacing w:line="480" w:lineRule="exact"/>
        <w:ind w:firstLine="0"/>
        <w:jc w:val="left"/>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考核说明：</w:t>
      </w:r>
    </w:p>
    <w:p w14:paraId="1F3FEA82">
      <w:pPr>
        <w:keepNext w:val="0"/>
        <w:keepLines w:val="0"/>
        <w:pageBreakBefore w:val="0"/>
        <w:widowControl/>
        <w:spacing w:line="480" w:lineRule="exact"/>
        <w:ind w:firstLine="472"/>
        <w:jc w:val="left"/>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1.考核表评分应基于事实证据，扣分点需明确记录具体事由，每一小项分数扣完为止。</w:t>
      </w:r>
    </w:p>
    <w:p w14:paraId="14B8AB33">
      <w:pPr>
        <w:keepNext w:val="0"/>
        <w:keepLines w:val="0"/>
        <w:pageBreakBefore w:val="0"/>
        <w:widowControl/>
        <w:spacing w:line="480" w:lineRule="exact"/>
        <w:ind w:firstLine="472"/>
        <w:jc w:val="left"/>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1</w:t>
      </w:r>
      <w:r>
        <w:rPr>
          <w:rFonts w:hint="eastAsia" w:ascii="仿宋" w:hAnsi="仿宋" w:eastAsia="仿宋" w:cs="仿宋"/>
          <w:color w:val="auto"/>
          <w:spacing w:val="-2"/>
          <w:sz w:val="24"/>
          <w:szCs w:val="24"/>
          <w:highlight w:val="none"/>
          <w:lang w:bidi="ar"/>
          <w14:ligatures w14:val="standardContextual"/>
        </w:rPr>
        <w:t>0分，并依法依规追究相关人员责任。</w:t>
      </w:r>
    </w:p>
    <w:p w14:paraId="3B306EBC">
      <w:pPr>
        <w:pStyle w:val="3"/>
        <w:pageBreakBefore w:val="0"/>
        <w:numPr>
          <w:ilvl w:val="1"/>
          <w:numId w:val="2"/>
        </w:numPr>
        <w:spacing w:before="0" w:beforeAutospacing="0" w:after="0" w:afterAutospacing="0" w:line="480" w:lineRule="exact"/>
        <w:ind w:left="0" w:firstLine="640"/>
        <w:jc w:val="both"/>
        <w:rPr>
          <w:rFonts w:hint="eastAsia" w:ascii="仿宋" w:hAnsi="仿宋" w:eastAsia="仿宋" w:cs="仿宋"/>
          <w:color w:val="auto"/>
          <w:sz w:val="32"/>
          <w:szCs w:val="32"/>
          <w:highlight w:val="none"/>
          <w:lang w:val="en-US" w:eastAsia="zh-CN"/>
        </w:rPr>
      </w:pPr>
      <w:bookmarkStart w:id="134" w:name="_Toc22608"/>
      <w:bookmarkStart w:id="135" w:name="_Toc93"/>
      <w:r>
        <w:rPr>
          <w:rFonts w:hint="eastAsia" w:ascii="仿宋" w:hAnsi="仿宋" w:eastAsia="仿宋" w:cs="仿宋"/>
          <w:color w:val="auto"/>
          <w:sz w:val="32"/>
          <w:szCs w:val="32"/>
          <w:highlight w:val="none"/>
          <w:lang w:val="en-US" w:eastAsia="zh-CN"/>
        </w:rPr>
        <w:t>安全保障服务要求</w:t>
      </w:r>
      <w:bookmarkEnd w:id="131"/>
      <w:bookmarkEnd w:id="134"/>
      <w:bookmarkEnd w:id="135"/>
    </w:p>
    <w:p w14:paraId="4A318AF3">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color w:val="auto"/>
          <w:sz w:val="24"/>
          <w:szCs w:val="24"/>
          <w:highlight w:val="none"/>
        </w:rPr>
      </w:pPr>
      <w:bookmarkStart w:id="136" w:name="_Toc4866"/>
      <w:bookmarkStart w:id="137" w:name="_Toc12861"/>
      <w:r>
        <w:rPr>
          <w:rFonts w:hint="eastAsia" w:ascii="仿宋" w:hAnsi="仿宋" w:eastAsia="仿宋" w:cs="仿宋"/>
          <w:color w:val="auto"/>
          <w:sz w:val="24"/>
          <w:szCs w:val="24"/>
          <w:highlight w:val="none"/>
          <w:lang w:val="en-US" w:eastAsia="zh-CN" w:bidi="ar"/>
        </w:rPr>
        <w:t>投标人须搭建覆盖人员、技术、管理、设备、网络、数据的全维度常态化安全保障体系，贯穿项目维保全周期，防范系统故障、网络攻击、数据泄露等各类安全风险，保障考试期间系统安全稳定运行，杜绝重大安全事故。具体硬性要求如下：</w:t>
      </w:r>
    </w:p>
    <w:p w14:paraId="135CCCD4">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6.1 数据与人员信息安全管控</w:t>
      </w:r>
    </w:p>
    <w:p w14:paraId="03DF51DA">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建立数据分级授权、分级管控机制，对考生、考务人员及业务运维等敏感涉密数据实行最小权限赋权、操作全程留痕。规范数据存储、定期备份、异地备份及恢复全流程管理，明确校验标准，严防数据篡改、丢失、泄漏及非法滥用，所有操作日志定期留存，支持采购人随时审计核查。</w:t>
      </w:r>
    </w:p>
    <w:p w14:paraId="6863CB6F">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6.2 网络与软硬件系统安全防护</w:t>
      </w:r>
    </w:p>
    <w:p w14:paraId="1D75D99F">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严格执行考场内外网</w:t>
      </w:r>
      <w:r>
        <w:rPr>
          <w:rStyle w:val="34"/>
          <w:rFonts w:hint="eastAsia" w:ascii="仿宋" w:hAnsi="仿宋" w:eastAsia="仿宋" w:cs="仿宋"/>
          <w:b w:val="0"/>
          <w:bCs w:val="0"/>
          <w:color w:val="auto"/>
          <w:sz w:val="24"/>
          <w:szCs w:val="24"/>
          <w:highlight w:val="none"/>
          <w:lang w:val="en-US" w:eastAsia="zh-CN" w:bidi="ar"/>
        </w:rPr>
        <w:t>物理完全隔离</w:t>
      </w:r>
      <w:r>
        <w:rPr>
          <w:rFonts w:hint="eastAsia" w:ascii="仿宋" w:hAnsi="仿宋" w:eastAsia="仿宋" w:cs="仿宋"/>
          <w:b w:val="0"/>
          <w:bCs w:val="0"/>
          <w:color w:val="auto"/>
          <w:sz w:val="24"/>
          <w:szCs w:val="24"/>
          <w:highlight w:val="none"/>
          <w:lang w:val="en-US" w:eastAsia="zh-CN" w:bidi="ar"/>
        </w:rPr>
        <w:t>，杜绝网络串接与外网入侵风险。建立常态化安全运维机制，定期开展设备漏洞扫描、系统补丁更新、病毒查杀，常态化部署防火墙、入侵检测等安全防护措施，前置化解设备、网络、系统运行风险，保障整套考试系统7×24小时稳定运行。</w:t>
      </w:r>
    </w:p>
    <w:p w14:paraId="49FE85D4">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6.3 安全培训与风险防控常态化</w:t>
      </w:r>
    </w:p>
    <w:p w14:paraId="06B87751">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投标人须常态化组织运维、考务人员开展安全实操、隐患排查、应急处置专项培训，压实全员安全责任，前置排查化解设备运行、网络传输、数据运维等各类安全隐患，实现风险提前防控、闭环治理。</w:t>
      </w:r>
    </w:p>
    <w:p w14:paraId="74352100">
      <w:pPr>
        <w:pStyle w:val="3"/>
        <w:pageBreakBefore w:val="0"/>
        <w:numPr>
          <w:ilvl w:val="1"/>
          <w:numId w:val="2"/>
        </w:numPr>
        <w:spacing w:before="0" w:beforeAutospacing="0" w:after="0" w:afterAutospacing="0" w:line="480" w:lineRule="exact"/>
        <w:ind w:left="0" w:firstLine="640"/>
        <w:jc w:val="both"/>
        <w:rPr>
          <w:rFonts w:hint="eastAsia" w:ascii="仿宋" w:hAnsi="仿宋" w:eastAsia="仿宋" w:cs="仿宋"/>
          <w:color w:val="auto"/>
          <w:sz w:val="32"/>
          <w:szCs w:val="32"/>
          <w:highlight w:val="none"/>
          <w:lang w:val="en-US" w:eastAsia="zh-CN"/>
        </w:rPr>
      </w:pPr>
      <w:bookmarkStart w:id="138" w:name="_Toc967"/>
      <w:bookmarkStart w:id="139" w:name="_Toc6906"/>
      <w:r>
        <w:rPr>
          <w:rFonts w:hint="eastAsia" w:ascii="仿宋" w:hAnsi="仿宋" w:eastAsia="仿宋" w:cs="仿宋"/>
          <w:color w:val="auto"/>
          <w:sz w:val="32"/>
          <w:szCs w:val="32"/>
          <w:highlight w:val="none"/>
          <w:lang w:val="en-US" w:eastAsia="zh-CN"/>
        </w:rPr>
        <w:t>培训服务要求</w:t>
      </w:r>
      <w:bookmarkEnd w:id="138"/>
      <w:bookmarkEnd w:id="139"/>
    </w:p>
    <w:p w14:paraId="57D682C8">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投标人须结合全市标准化考场日常运维、考前保障、新人上岗等实际工作需求，制定标准化、可落地、可考核的全套培训方案，明确培训内容、频次周期、授课方式、考核及档案管理要求。本项目所有培训费用</w:t>
      </w:r>
      <w:r>
        <w:rPr>
          <w:rStyle w:val="34"/>
          <w:rFonts w:hint="eastAsia" w:ascii="仿宋" w:hAnsi="仿宋" w:eastAsia="仿宋" w:cs="仿宋"/>
          <w:b w:val="0"/>
          <w:bCs w:val="0"/>
          <w:color w:val="auto"/>
          <w:sz w:val="24"/>
          <w:szCs w:val="24"/>
          <w:highlight w:val="none"/>
          <w:lang w:val="en-US" w:eastAsia="zh-CN" w:bidi="ar"/>
        </w:rPr>
        <w:t>全部包含在投标总价内，采购人无需额外付费</w:t>
      </w:r>
      <w:r>
        <w:rPr>
          <w:rFonts w:hint="eastAsia" w:ascii="仿宋" w:hAnsi="仿宋" w:eastAsia="仿宋" w:cs="仿宋"/>
          <w:b w:val="0"/>
          <w:bCs w:val="0"/>
          <w:color w:val="auto"/>
          <w:sz w:val="24"/>
          <w:szCs w:val="24"/>
          <w:highlight w:val="none"/>
          <w:lang w:val="en-US" w:eastAsia="zh-CN" w:bidi="ar"/>
        </w:rPr>
        <w:t>。具体要求如下：</w:t>
      </w:r>
    </w:p>
    <w:p w14:paraId="493858D7">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7.1 培训模式与频次要求</w:t>
      </w:r>
    </w:p>
    <w:p w14:paraId="35B7EB10">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采用</w:t>
      </w:r>
      <w:r>
        <w:rPr>
          <w:rStyle w:val="34"/>
          <w:rFonts w:hint="eastAsia" w:ascii="仿宋" w:hAnsi="仿宋" w:eastAsia="仿宋" w:cs="仿宋"/>
          <w:b w:val="0"/>
          <w:bCs w:val="0"/>
          <w:color w:val="auto"/>
          <w:sz w:val="24"/>
          <w:szCs w:val="24"/>
          <w:highlight w:val="none"/>
          <w:lang w:val="en-US" w:eastAsia="zh-CN" w:bidi="ar"/>
        </w:rPr>
        <w:t>理论授课+现场实操+案例复盘</w:t>
      </w:r>
      <w:r>
        <w:rPr>
          <w:rFonts w:hint="eastAsia" w:ascii="仿宋" w:hAnsi="仿宋" w:eastAsia="仿宋" w:cs="仿宋"/>
          <w:b w:val="0"/>
          <w:bCs w:val="0"/>
          <w:color w:val="auto"/>
          <w:sz w:val="24"/>
          <w:szCs w:val="24"/>
          <w:highlight w:val="none"/>
          <w:lang w:val="en-US" w:eastAsia="zh-CN" w:bidi="ar"/>
        </w:rPr>
        <w:t>培训模式。投标人每年至少组织</w:t>
      </w:r>
      <w:r>
        <w:rPr>
          <w:rStyle w:val="34"/>
          <w:rFonts w:hint="eastAsia" w:ascii="仿宋" w:hAnsi="仿宋" w:eastAsia="仿宋" w:cs="仿宋"/>
          <w:b w:val="0"/>
          <w:bCs w:val="0"/>
          <w:color w:val="auto"/>
          <w:sz w:val="24"/>
          <w:szCs w:val="24"/>
          <w:highlight w:val="none"/>
          <w:lang w:val="en-US" w:eastAsia="zh-CN" w:bidi="ar"/>
        </w:rPr>
        <w:t>1次全市统一运维集中培训</w:t>
      </w:r>
      <w:r>
        <w:rPr>
          <w:rFonts w:hint="eastAsia" w:ascii="仿宋" w:hAnsi="仿宋" w:eastAsia="仿宋" w:cs="仿宋"/>
          <w:b w:val="0"/>
          <w:bCs w:val="0"/>
          <w:color w:val="auto"/>
          <w:sz w:val="24"/>
          <w:szCs w:val="24"/>
          <w:highlight w:val="none"/>
          <w:lang w:val="en-US" w:eastAsia="zh-CN" w:bidi="ar"/>
        </w:rPr>
        <w:t>，单次培训时长不低于4学时，覆盖全市考场运维及考务人员；按需开展考前专项培训、新入职人员岗前实操培训，确保在岗人员业务熟练、新进人员持证上岗、考前保障到位。</w:t>
      </w:r>
    </w:p>
    <w:p w14:paraId="6BF2E2DA">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7.2 培训核心内容要求</w:t>
      </w:r>
    </w:p>
    <w:p w14:paraId="2C921A2C">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培训内容须全覆盖本项目业务系统操作、日常运维保养、常见故障排查、突发应急处置及AI智能巡查设备实操等核心内容，贴合考场运维实际场景，杜绝形式化培训，切实提升人员实操与应急保障能力。</w:t>
      </w:r>
    </w:p>
    <w:p w14:paraId="7765BCA4">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7.3 培训成果与档案管理</w:t>
      </w:r>
    </w:p>
    <w:p w14:paraId="60AF1850">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投标人须配套提供全套标准化操作手册、运维指南及故障处置资料。每期培训结束后须开展</w:t>
      </w:r>
      <w:r>
        <w:rPr>
          <w:rStyle w:val="34"/>
          <w:rFonts w:hint="eastAsia" w:ascii="仿宋" w:hAnsi="仿宋" w:eastAsia="仿宋" w:cs="仿宋"/>
          <w:b w:val="0"/>
          <w:bCs w:val="0"/>
          <w:color w:val="auto"/>
          <w:sz w:val="24"/>
          <w:szCs w:val="24"/>
          <w:highlight w:val="none"/>
          <w:lang w:val="en-US" w:eastAsia="zh-CN" w:bidi="ar"/>
        </w:rPr>
        <w:t>实操考核与效果验收</w:t>
      </w:r>
      <w:r>
        <w:rPr>
          <w:rFonts w:hint="eastAsia" w:ascii="仿宋" w:hAnsi="仿宋" w:eastAsia="仿宋" w:cs="仿宋"/>
          <w:b w:val="0"/>
          <w:bCs w:val="0"/>
          <w:color w:val="auto"/>
          <w:sz w:val="24"/>
          <w:szCs w:val="24"/>
          <w:highlight w:val="none"/>
          <w:lang w:val="en-US" w:eastAsia="zh-CN" w:bidi="ar"/>
        </w:rPr>
        <w:t>，考核不合格人员须组织复训，确保参训人员技能达标。同时完整留存培训课件、签到记录、考核结果、现场资料等培训档案，全程可追溯、可核查。</w:t>
      </w:r>
    </w:p>
    <w:p w14:paraId="4E38DEF5">
      <w:pPr>
        <w:pStyle w:val="3"/>
        <w:pageBreakBefore w:val="0"/>
        <w:numPr>
          <w:ilvl w:val="1"/>
          <w:numId w:val="2"/>
        </w:numPr>
        <w:spacing w:before="0" w:beforeAutospacing="0" w:after="0" w:afterAutospacing="0" w:line="480" w:lineRule="exact"/>
        <w:ind w:left="0" w:firstLine="640"/>
        <w:jc w:val="both"/>
        <w:rPr>
          <w:rFonts w:hint="eastAsia" w:ascii="仿宋" w:hAnsi="仿宋" w:eastAsia="仿宋" w:cs="仿宋"/>
          <w:color w:val="auto"/>
          <w:sz w:val="32"/>
          <w:szCs w:val="32"/>
          <w:highlight w:val="none"/>
          <w:lang w:val="en-US" w:eastAsia="zh-CN"/>
        </w:rPr>
      </w:pPr>
      <w:bookmarkStart w:id="140" w:name="_Toc3227"/>
      <w:bookmarkStart w:id="141" w:name="_Toc24581"/>
      <w:r>
        <w:rPr>
          <w:rFonts w:hint="eastAsia" w:ascii="仿宋" w:hAnsi="仿宋" w:eastAsia="仿宋" w:cs="仿宋"/>
          <w:color w:val="auto"/>
          <w:sz w:val="32"/>
          <w:szCs w:val="32"/>
          <w:highlight w:val="none"/>
          <w:lang w:val="en-US" w:eastAsia="zh-CN"/>
        </w:rPr>
        <w:t>应急响应要求</w:t>
      </w:r>
      <w:bookmarkEnd w:id="140"/>
      <w:bookmarkEnd w:id="141"/>
    </w:p>
    <w:p w14:paraId="437E4EFC">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投标人须建立7×24小时全天候、分级分类、快速闭环、全程报备的专项应</w:t>
      </w:r>
      <w:r>
        <w:rPr>
          <w:rFonts w:hint="eastAsia" w:ascii="仿宋" w:hAnsi="仿宋" w:eastAsia="仿宋" w:cs="仿宋"/>
          <w:b w:val="0"/>
          <w:bCs w:val="0"/>
          <w:color w:val="auto"/>
          <w:sz w:val="24"/>
          <w:szCs w:val="24"/>
          <w:highlight w:val="none"/>
          <w:lang w:val="en-US" w:eastAsia="zh-CN"/>
        </w:rPr>
        <w:t>急响应保障体系，针对考场设备故障、系统宕机、网络中断、数据异常、安全隐患、考试突发险情等各类突发场景，制定完善可落地的应急预案，明确团队配置、响应时限、处置流程、物资保障及责任追责机制，确保日常运维及考试关键期故障快速处置、隐患清零。具体硬性要求如下：</w:t>
      </w:r>
    </w:p>
    <w:p w14:paraId="2416AB76">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8.1 应急服务体系搭建</w:t>
      </w:r>
    </w:p>
    <w:p w14:paraId="52A8212C">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投标人须设立</w:t>
      </w:r>
      <w:r>
        <w:rPr>
          <w:rStyle w:val="34"/>
          <w:rFonts w:hint="eastAsia" w:ascii="仿宋" w:hAnsi="仿宋" w:eastAsia="仿宋" w:cs="仿宋"/>
          <w:b w:val="0"/>
          <w:bCs w:val="0"/>
          <w:color w:val="auto"/>
          <w:sz w:val="24"/>
          <w:szCs w:val="24"/>
          <w:highlight w:val="none"/>
          <w:lang w:val="en-US" w:eastAsia="zh-CN" w:bidi="ar"/>
        </w:rPr>
        <w:t>7×24小时专属应急联络通道</w:t>
      </w:r>
      <w:r>
        <w:rPr>
          <w:rFonts w:hint="eastAsia" w:ascii="仿宋" w:hAnsi="仿宋" w:eastAsia="仿宋" w:cs="仿宋"/>
          <w:b w:val="0"/>
          <w:bCs w:val="0"/>
          <w:color w:val="auto"/>
          <w:sz w:val="24"/>
          <w:szCs w:val="24"/>
          <w:highlight w:val="none"/>
          <w:lang w:val="en-US" w:eastAsia="zh-CN" w:bidi="ar"/>
        </w:rPr>
        <w:t>，组建固定专职应急团队，配备原厂技术支撑。按需配齐应急备品备件、调试工具、应急车辆、备用电源及通信设备，根据故障等级制定分级应急预案，严格明确各类故障的</w:t>
      </w:r>
      <w:r>
        <w:rPr>
          <w:rStyle w:val="34"/>
          <w:rFonts w:hint="eastAsia" w:ascii="仿宋" w:hAnsi="仿宋" w:eastAsia="仿宋" w:cs="仿宋"/>
          <w:b w:val="0"/>
          <w:bCs w:val="0"/>
          <w:color w:val="auto"/>
          <w:sz w:val="24"/>
          <w:szCs w:val="24"/>
          <w:highlight w:val="none"/>
          <w:lang w:val="en-US" w:eastAsia="zh-CN" w:bidi="ar"/>
        </w:rPr>
        <w:t>响应、到场、修复硬性时限</w:t>
      </w:r>
      <w:r>
        <w:rPr>
          <w:rFonts w:hint="eastAsia" w:ascii="仿宋" w:hAnsi="仿宋" w:eastAsia="仿宋" w:cs="仿宋"/>
          <w:b w:val="0"/>
          <w:bCs w:val="0"/>
          <w:color w:val="auto"/>
          <w:sz w:val="24"/>
          <w:szCs w:val="24"/>
          <w:highlight w:val="none"/>
          <w:lang w:val="en-US" w:eastAsia="zh-CN" w:bidi="ar"/>
        </w:rPr>
        <w:t>，保障突发问题快速处置。</w:t>
      </w:r>
    </w:p>
    <w:p w14:paraId="17200E49">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8.2 故障分级处置与闭环管理</w:t>
      </w:r>
    </w:p>
    <w:p w14:paraId="601E2ECD">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故障排查处置实行分级闭环管理：可现场修复的故障须</w:t>
      </w:r>
      <w:r>
        <w:rPr>
          <w:rStyle w:val="34"/>
          <w:rFonts w:hint="eastAsia" w:ascii="仿宋" w:hAnsi="仿宋" w:eastAsia="仿宋" w:cs="仿宋"/>
          <w:b w:val="0"/>
          <w:bCs w:val="0"/>
          <w:color w:val="auto"/>
          <w:sz w:val="24"/>
          <w:szCs w:val="24"/>
          <w:highlight w:val="none"/>
          <w:lang w:val="en-US" w:eastAsia="zh-CN" w:bidi="ar"/>
        </w:rPr>
        <w:t>即时处置、即刻恢复运行</w:t>
      </w:r>
      <w:r>
        <w:rPr>
          <w:rFonts w:hint="eastAsia" w:ascii="仿宋" w:hAnsi="仿宋" w:eastAsia="仿宋" w:cs="仿宋"/>
          <w:b w:val="0"/>
          <w:bCs w:val="0"/>
          <w:color w:val="auto"/>
          <w:sz w:val="24"/>
          <w:szCs w:val="24"/>
          <w:highlight w:val="none"/>
          <w:lang w:val="en-US" w:eastAsia="zh-CN" w:bidi="ar"/>
        </w:rPr>
        <w:t>；无法现场修复的，须第一时间向采购人报备，同步提交专项修复方案及明确工期，全程跟踪整改。所有故障须建立台账，实现接报、处置、修复、验收、复盘全流程可追溯管理。</w:t>
      </w:r>
    </w:p>
    <w:p w14:paraId="6D114AC5">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8.3 责任界定要求</w:t>
      </w:r>
    </w:p>
    <w:p w14:paraId="64C44B8E">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因投标人巡检不到位、故障漏报迟报、应急处置不及时、运维操作不规范等原因，造成系统故障、考试事故、数据损毁及各类损失或不良影响的，</w:t>
      </w:r>
      <w:r>
        <w:rPr>
          <w:rStyle w:val="34"/>
          <w:rFonts w:hint="eastAsia" w:ascii="仿宋" w:hAnsi="仿宋" w:eastAsia="仿宋" w:cs="仿宋"/>
          <w:b w:val="0"/>
          <w:bCs w:val="0"/>
          <w:color w:val="auto"/>
          <w:sz w:val="24"/>
          <w:szCs w:val="24"/>
          <w:highlight w:val="none"/>
          <w:lang w:val="en-US" w:eastAsia="zh-CN" w:bidi="ar"/>
        </w:rPr>
        <w:t>由投标人承担全部责任，并全额赔付所有经济及相关损失</w:t>
      </w:r>
      <w:r>
        <w:rPr>
          <w:rFonts w:hint="eastAsia" w:ascii="仿宋" w:hAnsi="仿宋" w:eastAsia="仿宋" w:cs="仿宋"/>
          <w:b w:val="0"/>
          <w:bCs w:val="0"/>
          <w:color w:val="auto"/>
          <w:sz w:val="24"/>
          <w:szCs w:val="24"/>
          <w:highlight w:val="none"/>
          <w:lang w:val="en-US" w:eastAsia="zh-CN" w:bidi="ar"/>
        </w:rPr>
        <w:t>。</w:t>
      </w:r>
    </w:p>
    <w:p w14:paraId="2FD17459">
      <w:pPr>
        <w:pStyle w:val="3"/>
        <w:pageBreakBefore w:val="0"/>
        <w:numPr>
          <w:ilvl w:val="1"/>
          <w:numId w:val="2"/>
        </w:numPr>
        <w:spacing w:before="0" w:beforeAutospacing="0" w:after="0" w:afterAutospacing="0" w:line="480" w:lineRule="exact"/>
        <w:ind w:left="0" w:firstLine="640"/>
        <w:jc w:val="both"/>
        <w:rPr>
          <w:rFonts w:hint="eastAsia" w:ascii="仿宋" w:hAnsi="仿宋" w:eastAsia="仿宋" w:cs="仿宋"/>
          <w:color w:val="auto"/>
          <w:sz w:val="32"/>
          <w:szCs w:val="32"/>
          <w:highlight w:val="none"/>
          <w:lang w:val="en-US" w:eastAsia="zh-CN"/>
        </w:rPr>
      </w:pPr>
      <w:bookmarkStart w:id="142" w:name="_Toc19468"/>
      <w:bookmarkStart w:id="143" w:name="_Toc22085"/>
      <w:r>
        <w:rPr>
          <w:rFonts w:hint="eastAsia" w:ascii="仿宋" w:hAnsi="仿宋" w:eastAsia="仿宋" w:cs="仿宋"/>
          <w:color w:val="auto"/>
          <w:sz w:val="32"/>
          <w:szCs w:val="32"/>
          <w:highlight w:val="none"/>
          <w:lang w:val="en-US" w:eastAsia="zh-CN"/>
        </w:rPr>
        <w:t>安全审查和保密要求</w:t>
      </w:r>
      <w:bookmarkEnd w:id="136"/>
      <w:bookmarkEnd w:id="137"/>
      <w:bookmarkEnd w:id="142"/>
      <w:bookmarkEnd w:id="143"/>
    </w:p>
    <w:p w14:paraId="581B1551">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本项目涉及大量考务涉密信息，投标人须严格遵守国家保密法规及采购人保密管理制度，对项目涉密内容履行</w:t>
      </w:r>
      <w:r>
        <w:rPr>
          <w:rStyle w:val="34"/>
          <w:rFonts w:hint="eastAsia" w:ascii="仿宋" w:hAnsi="仿宋" w:eastAsia="仿宋" w:cs="仿宋"/>
          <w:b w:val="0"/>
          <w:bCs w:val="0"/>
          <w:color w:val="auto"/>
          <w:sz w:val="24"/>
          <w:szCs w:val="24"/>
          <w:highlight w:val="none"/>
          <w:lang w:val="en-US" w:eastAsia="zh-CN" w:bidi="ar"/>
        </w:rPr>
        <w:t>终身保密义务</w:t>
      </w:r>
      <w:r>
        <w:rPr>
          <w:rFonts w:hint="eastAsia" w:ascii="仿宋" w:hAnsi="仿宋" w:eastAsia="仿宋" w:cs="仿宋"/>
          <w:b w:val="0"/>
          <w:bCs w:val="0"/>
          <w:color w:val="auto"/>
          <w:sz w:val="24"/>
          <w:szCs w:val="24"/>
          <w:highlight w:val="none"/>
          <w:lang w:val="en-US" w:eastAsia="zh-CN" w:bidi="ar"/>
        </w:rPr>
        <w:t>，落实全周期安全审查与保密管控，具体刚性要求如下：</w:t>
      </w:r>
    </w:p>
    <w:p w14:paraId="3CCF9278">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9.1 涉密内容全覆盖保密约束</w:t>
      </w:r>
    </w:p>
    <w:p w14:paraId="4DD29E12">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投标人对履职期间接触的系统资料、考务数据、考场监控、考生及考务人员信息、采购人业务与技术秘密等涉密内容，承担终身保密责任，严禁私自留存、拷贝、外传、商用及向第三方泄露涉密信息。</w:t>
      </w:r>
    </w:p>
    <w:p w14:paraId="3A24AACD">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9.2 系统安全审查与权限管控</w:t>
      </w:r>
    </w:p>
    <w:p w14:paraId="4915E68D">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项目实施全周期须执行分级授权、实名账号、操作全程审计管理，常态化开展系统安全自查、漏洞整改，部署防入侵、防篡改、防泄漏安全防护，杜绝越权访问、非法入侵、违规操作等安全隐患。</w:t>
      </w:r>
    </w:p>
    <w:p w14:paraId="562A2106">
      <w:pPr>
        <w:pStyle w:val="4"/>
        <w:keepNext w:val="0"/>
        <w:keepLines w:val="0"/>
        <w:pageBreakBefore w:val="0"/>
        <w:widowControl/>
        <w:suppressLineNumbers w:val="0"/>
        <w:spacing w:before="0" w:beforeAutospacing="0" w:after="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9.3 违约责任界定</w:t>
      </w:r>
    </w:p>
    <w:p w14:paraId="47865CD4">
      <w:pPr>
        <w:keepNext w:val="0"/>
        <w:keepLines w:val="0"/>
        <w:pageBreakBefore w:val="0"/>
        <w:widowControl/>
        <w:suppressLineNumbers w:val="0"/>
        <w:spacing w:beforeAutospacing="0" w:afterAutospacing="0" w:line="480" w:lineRule="exact"/>
        <w:ind w:firstLine="48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若发生涉密信息泄露、资料外流、违规访问、私自留存数据等违约行为，投标人须承担</w:t>
      </w:r>
      <w:r>
        <w:rPr>
          <w:rStyle w:val="34"/>
          <w:rFonts w:hint="eastAsia" w:ascii="仿宋" w:hAnsi="仿宋" w:eastAsia="仿宋" w:cs="仿宋"/>
          <w:b w:val="0"/>
          <w:bCs w:val="0"/>
          <w:color w:val="auto"/>
          <w:sz w:val="24"/>
          <w:szCs w:val="24"/>
          <w:highlight w:val="none"/>
          <w:lang w:val="en-US" w:eastAsia="zh-CN" w:bidi="ar"/>
        </w:rPr>
        <w:t>全部法律责任及经济赔偿责任</w:t>
      </w:r>
      <w:r>
        <w:rPr>
          <w:rFonts w:hint="eastAsia" w:ascii="仿宋" w:hAnsi="仿宋" w:eastAsia="仿宋" w:cs="仿宋"/>
          <w:b w:val="0"/>
          <w:bCs w:val="0"/>
          <w:color w:val="auto"/>
          <w:sz w:val="24"/>
          <w:szCs w:val="24"/>
          <w:highlight w:val="none"/>
          <w:lang w:val="en-US" w:eastAsia="zh-CN" w:bidi="ar"/>
        </w:rPr>
        <w:t>，采购人有权单方终止合同，并依法追责。</w:t>
      </w:r>
    </w:p>
    <w:p w14:paraId="30D652C6">
      <w:pPr>
        <w:keepNext w:val="0"/>
        <w:keepLines w:val="0"/>
        <w:pageBreakBefore w:val="0"/>
        <w:widowControl/>
        <w:suppressLineNumbers w:val="0"/>
        <w:spacing w:beforeAutospacing="0" w:afterAutospacing="0" w:line="480" w:lineRule="exact"/>
        <w:ind w:firstLine="880"/>
        <w:jc w:val="both"/>
        <w:rPr>
          <w:rFonts w:hint="eastAsia" w:ascii="仿宋" w:hAnsi="仿宋" w:eastAsia="仿宋" w:cs="仿宋"/>
          <w:bCs/>
          <w:color w:val="auto"/>
          <w:sz w:val="44"/>
          <w:szCs w:val="28"/>
        </w:rPr>
      </w:pPr>
      <w:r>
        <w:rPr>
          <w:rFonts w:hint="eastAsia" w:ascii="仿宋" w:hAnsi="仿宋" w:eastAsia="仿宋" w:cs="仿宋"/>
          <w:bCs/>
          <w:color w:val="auto"/>
          <w:sz w:val="44"/>
          <w:szCs w:val="28"/>
        </w:rPr>
        <w:br w:type="page" w:clear="all"/>
      </w:r>
    </w:p>
    <w:p w14:paraId="4BD88428">
      <w:pPr>
        <w:keepNext/>
        <w:jc w:val="center"/>
        <w:outlineLvl w:val="0"/>
        <w:rPr>
          <w:rFonts w:hint="eastAsia" w:ascii="仿宋" w:hAnsi="仿宋" w:eastAsia="仿宋" w:cs="仿宋"/>
          <w:bCs/>
          <w:color w:val="auto"/>
          <w:sz w:val="44"/>
          <w:szCs w:val="28"/>
        </w:rPr>
      </w:pPr>
      <w:r>
        <w:rPr>
          <w:rFonts w:hint="eastAsia" w:ascii="仿宋" w:hAnsi="仿宋" w:eastAsia="仿宋" w:cs="仿宋"/>
          <w:bCs/>
          <w:color w:val="auto"/>
          <w:sz w:val="44"/>
          <w:szCs w:val="28"/>
        </w:rPr>
        <w:t>第五章</w:t>
      </w:r>
      <w:r>
        <w:rPr>
          <w:rFonts w:hint="eastAsia" w:ascii="仿宋" w:hAnsi="仿宋" w:eastAsia="仿宋" w:cs="仿宋"/>
          <w:b/>
          <w:bCs/>
          <w:color w:val="auto"/>
          <w:sz w:val="44"/>
          <w:szCs w:val="28"/>
        </w:rPr>
        <w:t>评标方法与评标标准</w:t>
      </w:r>
    </w:p>
    <w:p w14:paraId="5ABE2EE1">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一、资格审查。</w:t>
      </w:r>
      <w:r>
        <w:rPr>
          <w:rFonts w:hint="eastAsia" w:ascii="仿宋" w:hAnsi="仿宋" w:eastAsia="仿宋" w:cs="仿宋"/>
          <w:color w:val="auto"/>
          <w:sz w:val="24"/>
          <w:szCs w:val="21"/>
        </w:rPr>
        <w:t>资格审查人员按照下列指标对各投标人的资格进行审查，未通过审查的为无效标，不参与评标。</w:t>
      </w:r>
    </w:p>
    <w:tbl>
      <w:tblPr>
        <w:tblStyle w:val="31"/>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498"/>
        <w:gridCol w:w="4500"/>
      </w:tblGrid>
      <w:tr w14:paraId="598BDA8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noWrap w:val="0"/>
            <w:vAlign w:val="center"/>
          </w:tcPr>
          <w:p w14:paraId="4395227B">
            <w:pPr>
              <w:jc w:val="center"/>
              <w:rPr>
                <w:rFonts w:hint="eastAsia" w:ascii="仿宋" w:hAnsi="仿宋" w:eastAsia="仿宋" w:cs="仿宋"/>
                <w:color w:val="auto"/>
                <w:sz w:val="24"/>
              </w:rPr>
            </w:pPr>
            <w:r>
              <w:rPr>
                <w:rFonts w:hint="eastAsia" w:ascii="仿宋" w:hAnsi="仿宋" w:eastAsia="仿宋" w:cs="仿宋"/>
                <w:color w:val="auto"/>
                <w:sz w:val="24"/>
              </w:rPr>
              <w:t>资格审查因素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484C7B56">
            <w:pPr>
              <w:jc w:val="center"/>
              <w:rPr>
                <w:rFonts w:hint="eastAsia" w:ascii="仿宋" w:hAnsi="仿宋" w:eastAsia="仿宋" w:cs="仿宋"/>
                <w:color w:val="auto"/>
                <w:sz w:val="24"/>
              </w:rPr>
            </w:pPr>
            <w:r>
              <w:rPr>
                <w:rFonts w:hint="eastAsia" w:ascii="仿宋" w:hAnsi="仿宋" w:eastAsia="仿宋" w:cs="仿宋"/>
                <w:color w:val="auto"/>
                <w:sz w:val="24"/>
              </w:rPr>
              <w:t>审查标准</w:t>
            </w:r>
          </w:p>
        </w:tc>
      </w:tr>
      <w:tr w14:paraId="76023BF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2479ABBA">
            <w:pPr>
              <w:jc w:val="left"/>
              <w:rPr>
                <w:rFonts w:hint="eastAsia" w:ascii="仿宋" w:hAnsi="仿宋" w:eastAsia="仿宋" w:cs="仿宋"/>
                <w:color w:val="auto"/>
                <w:sz w:val="24"/>
              </w:rPr>
            </w:pPr>
            <w:r>
              <w:rPr>
                <w:rFonts w:hint="eastAsia" w:ascii="仿宋" w:hAnsi="仿宋" w:eastAsia="仿宋" w:cs="仿宋"/>
                <w:color w:val="auto"/>
                <w:sz w:val="24"/>
              </w:rPr>
              <w:t>投标声明及承诺函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6112695">
            <w:pPr>
              <w:jc w:val="left"/>
              <w:rPr>
                <w:rFonts w:hint="eastAsia" w:ascii="仿宋" w:hAnsi="仿宋" w:eastAsia="仿宋" w:cs="仿宋"/>
                <w:color w:val="auto"/>
                <w:sz w:val="24"/>
              </w:rPr>
            </w:pPr>
            <w:r>
              <w:rPr>
                <w:rFonts w:hint="eastAsia" w:ascii="仿宋" w:hAnsi="仿宋" w:eastAsia="仿宋" w:cs="仿宋"/>
                <w:color w:val="auto"/>
                <w:sz w:val="24"/>
              </w:rPr>
              <w:t>符合招标文件要求</w:t>
            </w:r>
          </w:p>
        </w:tc>
      </w:tr>
      <w:tr w14:paraId="6FB80D2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677F1124">
            <w:pPr>
              <w:jc w:val="left"/>
              <w:rPr>
                <w:rFonts w:hint="eastAsia" w:ascii="仿宋" w:hAnsi="仿宋" w:eastAsia="仿宋" w:cs="仿宋"/>
                <w:color w:val="auto"/>
                <w:sz w:val="24"/>
              </w:rPr>
            </w:pPr>
            <w:r>
              <w:rPr>
                <w:rFonts w:hint="eastAsia" w:ascii="仿宋" w:hAnsi="仿宋" w:eastAsia="仿宋" w:cs="仿宋"/>
                <w:color w:val="auto"/>
                <w:sz w:val="24"/>
              </w:rPr>
              <w:t>信用信息</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9324B33">
            <w:pPr>
              <w:jc w:val="left"/>
              <w:rPr>
                <w:rFonts w:hint="eastAsia" w:ascii="仿宋" w:hAnsi="仿宋" w:eastAsia="仿宋" w:cs="仿宋"/>
                <w:color w:val="auto"/>
                <w:sz w:val="24"/>
              </w:rPr>
            </w:pPr>
            <w:r>
              <w:rPr>
                <w:rFonts w:hint="eastAsia" w:ascii="仿宋" w:hAnsi="仿宋" w:eastAsia="仿宋" w:cs="仿宋"/>
                <w:color w:val="auto"/>
                <w:sz w:val="24"/>
              </w:rPr>
              <w:t>符合招标文件要求</w:t>
            </w:r>
          </w:p>
        </w:tc>
      </w:tr>
    </w:tbl>
    <w:p w14:paraId="39576684">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二、符合性审查。</w:t>
      </w:r>
      <w:r>
        <w:rPr>
          <w:rFonts w:hint="eastAsia" w:ascii="仿宋" w:hAnsi="仿宋" w:eastAsia="仿宋" w:cs="仿宋"/>
          <w:color w:val="auto"/>
          <w:sz w:val="24"/>
          <w:szCs w:val="21"/>
        </w:rPr>
        <w:t>评标委员会首先按照下列指标对各投标人的投标文件进行符合性审查，未通过审查的为无效标，不再参与评审。</w:t>
      </w:r>
    </w:p>
    <w:tbl>
      <w:tblPr>
        <w:tblStyle w:val="31"/>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522"/>
        <w:gridCol w:w="4524"/>
      </w:tblGrid>
      <w:tr w14:paraId="0D0B39B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noWrap w:val="0"/>
            <w:vAlign w:val="center"/>
          </w:tcPr>
          <w:p w14:paraId="796826C1">
            <w:pPr>
              <w:jc w:val="center"/>
              <w:rPr>
                <w:rFonts w:hint="eastAsia" w:ascii="仿宋" w:hAnsi="仿宋" w:eastAsia="仿宋" w:cs="仿宋"/>
                <w:color w:val="auto"/>
                <w:sz w:val="24"/>
              </w:rPr>
            </w:pPr>
            <w:r>
              <w:rPr>
                <w:rFonts w:hint="eastAsia" w:ascii="仿宋" w:hAnsi="仿宋" w:eastAsia="仿宋" w:cs="仿宋"/>
                <w:color w:val="auto"/>
                <w:sz w:val="24"/>
              </w:rPr>
              <w:t>符合性审查因素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11E7B3F8">
            <w:pPr>
              <w:jc w:val="center"/>
              <w:rPr>
                <w:rFonts w:hint="eastAsia" w:ascii="仿宋" w:hAnsi="仿宋" w:eastAsia="仿宋" w:cs="仿宋"/>
                <w:color w:val="auto"/>
                <w:sz w:val="24"/>
              </w:rPr>
            </w:pPr>
            <w:r>
              <w:rPr>
                <w:rFonts w:hint="eastAsia" w:ascii="仿宋" w:hAnsi="仿宋" w:eastAsia="仿宋" w:cs="仿宋"/>
                <w:color w:val="auto"/>
                <w:sz w:val="24"/>
              </w:rPr>
              <w:t>审查标准</w:t>
            </w:r>
          </w:p>
        </w:tc>
      </w:tr>
      <w:tr w14:paraId="15BBA04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1"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4EA4D9BF">
            <w:pPr>
              <w:jc w:val="left"/>
              <w:rPr>
                <w:rFonts w:hint="eastAsia" w:ascii="仿宋" w:hAnsi="仿宋" w:eastAsia="仿宋" w:cs="仿宋"/>
                <w:color w:val="auto"/>
                <w:sz w:val="24"/>
              </w:rPr>
            </w:pPr>
            <w:r>
              <w:rPr>
                <w:rFonts w:hint="eastAsia" w:ascii="仿宋" w:hAnsi="仿宋" w:eastAsia="仿宋" w:cs="仿宋"/>
                <w:color w:val="auto"/>
                <w:sz w:val="24"/>
              </w:rPr>
              <w:t>法人授权书</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729BD75">
            <w:pPr>
              <w:jc w:val="left"/>
              <w:rPr>
                <w:rFonts w:hint="eastAsia" w:ascii="仿宋" w:hAnsi="仿宋" w:eastAsia="仿宋" w:cs="仿宋"/>
                <w:color w:val="auto"/>
                <w:sz w:val="24"/>
              </w:rPr>
            </w:pPr>
            <w:r>
              <w:rPr>
                <w:rFonts w:hint="eastAsia" w:ascii="仿宋" w:hAnsi="仿宋" w:eastAsia="仿宋" w:cs="仿宋"/>
                <w:color w:val="auto"/>
                <w:sz w:val="24"/>
              </w:rPr>
              <w:t>符合招标文件要求</w:t>
            </w:r>
          </w:p>
        </w:tc>
      </w:tr>
      <w:tr w14:paraId="356EAA0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474C5E97">
            <w:pPr>
              <w:jc w:val="left"/>
              <w:rPr>
                <w:rFonts w:hint="eastAsia" w:ascii="仿宋" w:hAnsi="仿宋" w:eastAsia="仿宋" w:cs="仿宋"/>
                <w:color w:val="auto"/>
                <w:sz w:val="24"/>
              </w:rPr>
            </w:pPr>
            <w:r>
              <w:rPr>
                <w:rFonts w:hint="eastAsia" w:ascii="仿宋" w:hAnsi="仿宋" w:eastAsia="仿宋" w:cs="仿宋"/>
                <w:color w:val="auto"/>
                <w:sz w:val="24"/>
              </w:rPr>
              <w:t>技术标准和要求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9D73150">
            <w:pPr>
              <w:jc w:val="left"/>
              <w:rPr>
                <w:rFonts w:hint="eastAsia" w:ascii="仿宋" w:hAnsi="仿宋" w:eastAsia="仿宋" w:cs="仿宋"/>
                <w:color w:val="auto"/>
                <w:sz w:val="24"/>
              </w:rPr>
            </w:pPr>
            <w:r>
              <w:rPr>
                <w:rFonts w:hint="eastAsia" w:ascii="仿宋" w:hAnsi="仿宋" w:eastAsia="仿宋" w:cs="仿宋"/>
                <w:color w:val="auto"/>
                <w:sz w:val="24"/>
              </w:rPr>
              <w:t>符合招标文件要求</w:t>
            </w:r>
          </w:p>
        </w:tc>
      </w:tr>
      <w:tr w14:paraId="5640579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0FCAFF89">
            <w:pPr>
              <w:jc w:val="left"/>
              <w:rPr>
                <w:rFonts w:hint="eastAsia" w:ascii="仿宋" w:hAnsi="仿宋" w:eastAsia="仿宋" w:cs="仿宋"/>
                <w:color w:val="auto"/>
                <w:sz w:val="24"/>
              </w:rPr>
            </w:pPr>
            <w:r>
              <w:rPr>
                <w:rFonts w:hint="eastAsia" w:ascii="仿宋" w:hAnsi="仿宋" w:eastAsia="仿宋" w:cs="仿宋"/>
                <w:color w:val="auto"/>
                <w:sz w:val="24"/>
              </w:rPr>
              <w:t>其他</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D8AD275">
            <w:pPr>
              <w:jc w:val="left"/>
              <w:rPr>
                <w:rFonts w:hint="eastAsia" w:ascii="仿宋" w:hAnsi="仿宋" w:eastAsia="仿宋" w:cs="仿宋"/>
                <w:color w:val="auto"/>
                <w:sz w:val="24"/>
              </w:rPr>
            </w:pPr>
            <w:r>
              <w:rPr>
                <w:rFonts w:hint="eastAsia" w:ascii="仿宋" w:hAnsi="仿宋" w:eastAsia="仿宋" w:cs="仿宋"/>
                <w:color w:val="auto"/>
                <w:sz w:val="24"/>
              </w:rPr>
              <w:t>符合招标文件要求</w:t>
            </w:r>
          </w:p>
        </w:tc>
      </w:tr>
    </w:tbl>
    <w:p w14:paraId="78A572A2">
      <w:pPr>
        <w:spacing w:line="500" w:lineRule="exact"/>
        <w:rPr>
          <w:rFonts w:hint="eastAsia" w:ascii="仿宋" w:hAnsi="仿宋" w:eastAsia="仿宋" w:cs="仿宋"/>
          <w:b/>
          <w:color w:val="auto"/>
          <w:sz w:val="28"/>
          <w:szCs w:val="22"/>
        </w:rPr>
      </w:pPr>
      <w:r>
        <w:rPr>
          <w:rFonts w:hint="eastAsia" w:ascii="仿宋" w:hAnsi="仿宋" w:eastAsia="仿宋" w:cs="仿宋"/>
          <w:b/>
          <w:color w:val="auto"/>
          <w:sz w:val="28"/>
          <w:szCs w:val="22"/>
        </w:rPr>
        <w:t>三、评分办法</w:t>
      </w:r>
    </w:p>
    <w:p w14:paraId="328C9CD5">
      <w:pPr>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（一）评标办法</w:t>
      </w:r>
      <w:r>
        <w:rPr>
          <w:rFonts w:hint="eastAsia" w:ascii="仿宋" w:hAnsi="仿宋" w:eastAsia="仿宋" w:cs="仿宋"/>
          <w:color w:val="auto"/>
          <w:sz w:val="24"/>
          <w:szCs w:val="28"/>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01FDC032">
      <w:pPr>
        <w:spacing w:line="500" w:lineRule="exact"/>
        <w:ind w:firstLine="480"/>
        <w:rPr>
          <w:rFonts w:hint="eastAsia" w:ascii="仿宋" w:hAnsi="仿宋" w:eastAsia="仿宋" w:cs="仿宋"/>
          <w:color w:val="auto"/>
          <w:sz w:val="24"/>
          <w:szCs w:val="28"/>
        </w:rPr>
      </w:pPr>
      <w:r>
        <w:rPr>
          <w:rFonts w:hint="eastAsia" w:ascii="仿宋" w:hAnsi="仿宋" w:eastAsia="仿宋" w:cs="仿宋"/>
          <w:color w:val="auto"/>
          <w:sz w:val="24"/>
          <w:szCs w:val="28"/>
        </w:rPr>
        <w:t>评标委员会根据评审后投标人排序推荐3名中标候选人。投标文件满足招标文件全部实质性要求，且评审后排序第一的投标人为第一中标候选人，依次类推。</w:t>
      </w:r>
    </w:p>
    <w:p w14:paraId="26B9C99C">
      <w:pPr>
        <w:spacing w:line="500" w:lineRule="exact"/>
        <w:ind w:firstLine="480"/>
        <w:rPr>
          <w:rFonts w:hint="eastAsia" w:ascii="仿宋" w:hAnsi="仿宋" w:eastAsia="仿宋" w:cs="仿宋"/>
          <w:color w:val="auto"/>
          <w:sz w:val="24"/>
          <w:szCs w:val="28"/>
        </w:rPr>
      </w:pPr>
      <w:r>
        <w:rPr>
          <w:rFonts w:hint="eastAsia" w:ascii="仿宋" w:hAnsi="仿宋" w:eastAsia="仿宋" w:cs="仿宋"/>
          <w:color w:val="auto"/>
          <w:sz w:val="24"/>
          <w:szCs w:val="28"/>
        </w:rPr>
        <w:t xml:space="preserve">综合评分保留至小数点后两位。 </w:t>
      </w:r>
    </w:p>
    <w:p w14:paraId="62793829">
      <w:pPr>
        <w:numPr>
          <w:ilvl w:val="0"/>
          <w:numId w:val="7"/>
        </w:numPr>
        <w:spacing w:line="500" w:lineRule="exact"/>
        <w:ind w:left="0" w:firstLine="0"/>
        <w:rPr>
          <w:rFonts w:hint="eastAsia" w:ascii="仿宋" w:hAnsi="仿宋" w:eastAsia="仿宋" w:cs="仿宋"/>
          <w:color w:val="auto"/>
          <w:sz w:val="24"/>
          <w:szCs w:val="28"/>
        </w:rPr>
      </w:pPr>
      <w:r>
        <w:rPr>
          <w:rFonts w:hint="eastAsia" w:ascii="仿宋" w:hAnsi="仿宋" w:eastAsia="仿宋" w:cs="仿宋"/>
          <w:b/>
          <w:bCs/>
          <w:color w:val="auto"/>
          <w:sz w:val="24"/>
          <w:szCs w:val="28"/>
        </w:rPr>
        <w:t>详细评审</w:t>
      </w:r>
      <w:r>
        <w:rPr>
          <w:rFonts w:hint="eastAsia" w:ascii="仿宋" w:hAnsi="仿宋" w:eastAsia="仿宋" w:cs="仿宋"/>
          <w:color w:val="auto"/>
          <w:sz w:val="24"/>
          <w:szCs w:val="28"/>
        </w:rPr>
        <w:t>。评标委员会按照招标文件规定的评分标准，对各投标文件进行详细评审打分。评标委员会组长对各评审专家的打分情况进行复核无误后汇总，形成评审报告。</w:t>
      </w:r>
    </w:p>
    <w:p w14:paraId="383A3AD7">
      <w:pPr>
        <w:rPr>
          <w:rFonts w:hint="eastAsia" w:ascii="仿宋" w:hAnsi="仿宋" w:eastAsia="仿宋" w:cs="仿宋"/>
          <w:color w:val="auto"/>
          <w:szCs w:val="21"/>
        </w:rPr>
      </w:pPr>
    </w:p>
    <w:tbl>
      <w:tblPr>
        <w:tblStyle w:val="31"/>
        <w:tblW w:w="87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1618"/>
        <w:gridCol w:w="1103"/>
        <w:gridCol w:w="893"/>
        <w:gridCol w:w="5184"/>
      </w:tblGrid>
      <w:tr w14:paraId="2F061B9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blHeader/>
          <w:jc w:val="center"/>
        </w:trPr>
        <w:tc>
          <w:tcPr>
            <w:tcW w:w="2721" w:type="dxa"/>
            <w:gridSpan w:val="2"/>
            <w:tcBorders>
              <w:top w:val="single" w:color="auto" w:sz="6" w:space="0"/>
              <w:left w:val="single" w:color="auto" w:sz="6" w:space="0"/>
              <w:bottom w:val="single" w:color="auto" w:sz="6" w:space="0"/>
              <w:right w:val="single" w:color="auto" w:sz="6" w:space="0"/>
            </w:tcBorders>
            <w:noWrap w:val="0"/>
            <w:vAlign w:val="center"/>
          </w:tcPr>
          <w:p w14:paraId="1A9D9291">
            <w:pPr>
              <w:keepNext w:val="0"/>
              <w:keepLines w:val="0"/>
              <w:pageBreakBefore w:val="0"/>
              <w:widowControl w:val="0"/>
              <w:suppressLineNumbers w:val="0"/>
              <w:spacing w:before="0" w:beforeAutospacing="0" w:after="0" w:afterAutospacing="0" w:line="240" w:lineRule="auto"/>
              <w:ind w:left="0" w:right="0" w:firstLine="0"/>
              <w:jc w:val="center"/>
              <w:rPr>
                <w:rFonts w:hint="eastAsia" w:ascii="仿宋" w:hAnsi="仿宋" w:eastAsia="仿宋" w:cs="仿宋"/>
                <w:b/>
                <w:caps w:val="0"/>
                <w:color w:val="auto"/>
                <w:sz w:val="24"/>
                <w:szCs w:val="24"/>
                <w:highlight w:val="none"/>
                <w:lang w:val="en-US" w:eastAsia="zh-CN" w:bidi="ar-SA"/>
              </w:rPr>
            </w:pPr>
            <w:bookmarkStart w:id="144" w:name="EBe0cfd1035ea44f689f97db50fccddc8b"/>
            <w:r>
              <w:rPr>
                <w:rFonts w:hint="eastAsia" w:ascii="仿宋" w:hAnsi="仿宋" w:eastAsia="仿宋" w:cs="仿宋"/>
                <w:b/>
                <w:caps w:val="0"/>
                <w:color w:val="auto"/>
                <w:sz w:val="24"/>
                <w:szCs w:val="24"/>
                <w:highlight w:val="none"/>
                <w:rtl w:val="0"/>
                <w:lang w:val="en-US" w:eastAsia="zh-CN" w:bidi="ar-SA"/>
              </w:rPr>
              <w:t>评审因素</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54CBAF05">
            <w:pPr>
              <w:keepNext w:val="0"/>
              <w:keepLines w:val="0"/>
              <w:pageBreakBefore w:val="0"/>
              <w:widowControl w:val="0"/>
              <w:suppressLineNumbers w:val="0"/>
              <w:spacing w:before="0" w:beforeAutospacing="0" w:after="0" w:afterAutospacing="0" w:line="240" w:lineRule="auto"/>
              <w:ind w:left="0" w:right="0" w:firstLine="0"/>
              <w:jc w:val="center"/>
              <w:rPr>
                <w:rFonts w:hint="eastAsia" w:ascii="仿宋" w:hAnsi="仿宋" w:eastAsia="仿宋" w:cs="仿宋"/>
                <w:b/>
                <w:caps w:val="0"/>
                <w:color w:val="auto"/>
                <w:sz w:val="24"/>
                <w:szCs w:val="24"/>
                <w:highlight w:val="none"/>
                <w:lang w:val="en-US" w:eastAsia="zh-CN" w:bidi="ar-SA"/>
              </w:rPr>
            </w:pPr>
            <w:r>
              <w:rPr>
                <w:rFonts w:hint="eastAsia" w:ascii="仿宋" w:hAnsi="仿宋" w:eastAsia="仿宋" w:cs="仿宋"/>
                <w:b/>
                <w:caps w:val="0"/>
                <w:color w:val="auto"/>
                <w:sz w:val="24"/>
                <w:szCs w:val="24"/>
                <w:highlight w:val="none"/>
                <w:rtl w:val="0"/>
                <w:lang w:val="en-US" w:eastAsia="zh-CN" w:bidi="ar-SA"/>
              </w:rPr>
              <w:t>分数</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18A5B49B">
            <w:pPr>
              <w:keepNext w:val="0"/>
              <w:keepLines w:val="0"/>
              <w:pageBreakBefore w:val="0"/>
              <w:widowControl w:val="0"/>
              <w:suppressLineNumbers w:val="0"/>
              <w:spacing w:before="0" w:beforeAutospacing="0" w:after="0" w:afterAutospacing="0" w:line="240" w:lineRule="auto"/>
              <w:ind w:left="0" w:right="0" w:firstLine="0"/>
              <w:jc w:val="center"/>
              <w:rPr>
                <w:rFonts w:hint="eastAsia" w:ascii="仿宋" w:hAnsi="仿宋" w:eastAsia="仿宋" w:cs="仿宋"/>
                <w:b/>
                <w:caps w:val="0"/>
                <w:color w:val="auto"/>
                <w:sz w:val="24"/>
                <w:szCs w:val="24"/>
                <w:highlight w:val="none"/>
                <w:lang w:val="en-US" w:eastAsia="zh-CN" w:bidi="ar-SA"/>
              </w:rPr>
            </w:pPr>
            <w:r>
              <w:rPr>
                <w:rFonts w:hint="eastAsia" w:ascii="仿宋" w:hAnsi="仿宋" w:eastAsia="仿宋" w:cs="仿宋"/>
                <w:b/>
                <w:caps w:val="0"/>
                <w:color w:val="auto"/>
                <w:sz w:val="24"/>
                <w:szCs w:val="24"/>
                <w:highlight w:val="none"/>
                <w:rtl w:val="0"/>
                <w:lang w:val="en-US" w:eastAsia="zh-CN" w:bidi="ar-SA"/>
              </w:rPr>
              <w:t>评审标准</w:t>
            </w:r>
          </w:p>
        </w:tc>
      </w:tr>
      <w:tr w14:paraId="63662BB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tcBorders>
              <w:top w:val="single" w:color="auto" w:sz="6" w:space="0"/>
              <w:left w:val="single" w:color="auto" w:sz="6" w:space="0"/>
              <w:bottom w:val="single" w:color="auto" w:sz="6" w:space="0"/>
              <w:right w:val="single" w:color="auto" w:sz="6" w:space="0"/>
            </w:tcBorders>
            <w:noWrap w:val="0"/>
            <w:vAlign w:val="center"/>
          </w:tcPr>
          <w:p w14:paraId="7678D632">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rtl w:val="0"/>
                <w:lang w:val="en-US" w:eastAsia="zh-CN" w:bidi="ar"/>
              </w:rPr>
              <w:t>报价分</w:t>
            </w:r>
          </w:p>
        </w:tc>
        <w:tc>
          <w:tcPr>
            <w:tcW w:w="1103" w:type="dxa"/>
            <w:tcBorders>
              <w:top w:val="single" w:color="auto" w:sz="6" w:space="0"/>
              <w:left w:val="single" w:color="auto" w:sz="6" w:space="0"/>
              <w:bottom w:val="single" w:color="auto" w:sz="6" w:space="0"/>
              <w:right w:val="single" w:color="auto" w:sz="6" w:space="0"/>
            </w:tcBorders>
            <w:noWrap w:val="0"/>
            <w:vAlign w:val="center"/>
          </w:tcPr>
          <w:p w14:paraId="6CB61106">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rtl w:val="0"/>
                <w:lang w:val="en-US" w:eastAsia="zh-CN" w:bidi="ar"/>
              </w:rPr>
              <w:t>投标报价</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3F891FB1">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rtl w:val="0"/>
                <w:lang w:val="en-US" w:eastAsia="zh-CN" w:bidi="ar"/>
              </w:rPr>
              <w:t>15.00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18A5BF5D">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rtl w:val="0"/>
                <w:lang w:val="en-US" w:eastAsia="zh-CN" w:bidi="ar"/>
              </w:rPr>
              <w:t>采用低价优先法计算，即满足招标文件要求且投标价格最低的投标报价为评标基准价，其价格分为满分。其他投标人投标报价得分＝（评标基准价/投标报价）*15。</w:t>
            </w:r>
            <w:r>
              <w:rPr>
                <w:rFonts w:hint="eastAsia" w:ascii="仿宋" w:hAnsi="仿宋" w:eastAsia="仿宋" w:cs="仿宋"/>
                <w:color w:val="auto"/>
                <w:sz w:val="24"/>
                <w:szCs w:val="24"/>
                <w:highlight w:val="none"/>
                <w:lang w:bidi="ar"/>
              </w:rPr>
              <w:t>注：符合规定的小微企业（含监狱企业和残疾人福利单位）报价给予10%的扣除，用扣除后的价格参加评审。</w:t>
            </w:r>
          </w:p>
        </w:tc>
      </w:tr>
      <w:tr w14:paraId="180E57F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restart"/>
            <w:tcBorders>
              <w:top w:val="single" w:color="auto" w:sz="6" w:space="0"/>
              <w:left w:val="single" w:color="auto" w:sz="6" w:space="0"/>
              <w:right w:val="single" w:color="auto" w:sz="6" w:space="0"/>
            </w:tcBorders>
            <w:noWrap w:val="0"/>
            <w:vAlign w:val="center"/>
          </w:tcPr>
          <w:p w14:paraId="6C8DF865">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技术响应</w:t>
            </w:r>
          </w:p>
        </w:tc>
        <w:tc>
          <w:tcPr>
            <w:tcW w:w="1103" w:type="dxa"/>
            <w:tcBorders>
              <w:top w:val="single" w:color="auto" w:sz="6" w:space="0"/>
              <w:left w:val="single" w:color="auto" w:sz="6" w:space="0"/>
              <w:bottom w:val="single" w:color="auto" w:sz="6" w:space="0"/>
              <w:right w:val="single" w:color="auto" w:sz="6" w:space="0"/>
            </w:tcBorders>
            <w:noWrap w:val="0"/>
            <w:vAlign w:val="center"/>
          </w:tcPr>
          <w:p w14:paraId="47A8C67E">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技术参数响应</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24AAB7E2">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28.00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1D81F932">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针对招标文件第四部分、采购需求中标注▲的技术条款（共 28 条，★实质性条款不纳入本项评分）：投标产品满足或优于招标文件▲条款要求，每条得 1 分；投标产品存在负偏离的▲条款，对应条款不得分；本项得分 = 有效响应▲条款数量 ×1 分，最高28分，最低0分。</w:t>
            </w:r>
          </w:p>
          <w:p w14:paraId="7D0DF173">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bidi="ar"/>
              </w:rPr>
              <w:t>注：投标人针对本项评标内容在招标文件《技术响应偏离表》中逐条列出响应及偏离情况，采购需求中要求提供证明材料的，以证明材料为准，若《技术响应偏离表》与提供证明材料的内容不一致，以证明材料为准，《技术响应偏离表》中未列出的对应项按负偏离处理。</w:t>
            </w:r>
          </w:p>
        </w:tc>
      </w:tr>
      <w:tr w14:paraId="1AD56D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continue"/>
            <w:tcBorders>
              <w:left w:val="single" w:color="auto" w:sz="6" w:space="0"/>
              <w:right w:val="single" w:color="auto" w:sz="6" w:space="0"/>
            </w:tcBorders>
            <w:noWrap w:val="0"/>
            <w:vAlign w:val="center"/>
          </w:tcPr>
          <w:p w14:paraId="37A37F54">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p>
        </w:tc>
        <w:tc>
          <w:tcPr>
            <w:tcW w:w="110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623BFE4">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企业业绩</w:t>
            </w:r>
          </w:p>
        </w:tc>
        <w:tc>
          <w:tcPr>
            <w:tcW w:w="89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5AD4E74">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6.00</w:t>
            </w:r>
          </w:p>
        </w:tc>
        <w:tc>
          <w:tcPr>
            <w:tcW w:w="518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3D3E4B">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投标人自2023年1月1日以来（以合同签订时间为准）承担过类似项目业绩（至少包含标准化考点/考场建设或维保等相关内容）的，每提供一个得2分，最高得6分。</w:t>
            </w:r>
          </w:p>
          <w:p w14:paraId="59B0BDEF">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注：投标人须提供中标（成交）通知书、合同证明、验收合格（或履约评价为“优”等同等履约评价)证明材料电子件,未提供或提供不全的不得分。</w:t>
            </w:r>
          </w:p>
        </w:tc>
      </w:tr>
      <w:tr w14:paraId="3063AA6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restart"/>
            <w:tcBorders>
              <w:top w:val="single" w:color="auto" w:sz="6" w:space="0"/>
              <w:left w:val="single" w:color="auto" w:sz="6" w:space="0"/>
              <w:bottom w:val="single" w:color="auto" w:sz="6" w:space="0"/>
              <w:right w:val="single" w:color="auto" w:sz="6" w:space="0"/>
            </w:tcBorders>
            <w:noWrap w:val="0"/>
            <w:vAlign w:val="center"/>
          </w:tcPr>
          <w:p w14:paraId="781634BC">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rtl w:val="0"/>
                <w:lang w:val="en-US" w:eastAsia="zh-CN" w:bidi="ar"/>
              </w:rPr>
              <w:t>技术方案</w:t>
            </w:r>
          </w:p>
        </w:tc>
        <w:tc>
          <w:tcPr>
            <w:tcW w:w="1103" w:type="dxa"/>
            <w:tcBorders>
              <w:top w:val="single" w:color="auto" w:sz="6" w:space="0"/>
              <w:left w:val="single" w:color="auto" w:sz="6" w:space="0"/>
              <w:bottom w:val="single" w:color="auto" w:sz="6" w:space="0"/>
              <w:right w:val="single" w:color="auto" w:sz="6" w:space="0"/>
            </w:tcBorders>
            <w:noWrap w:val="0"/>
            <w:vAlign w:val="center"/>
          </w:tcPr>
          <w:p w14:paraId="6C26AE2E">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项目理解</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5D0907C0">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10.00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23F0C875">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bidi="ar"/>
              </w:rPr>
              <w:t>针对第四章采购需求“四、项目总体理解要求”，提供项目总体理解要求方案，包括但不限于项目背景、现状分析、需求分析、重难点分析、项目目标、方案设计等，评标小组根据投标人提供的</w:t>
            </w:r>
            <w:r>
              <w:rPr>
                <w:rFonts w:hint="eastAsia" w:ascii="仿宋" w:hAnsi="仿宋" w:eastAsia="仿宋" w:cs="仿宋"/>
                <w:color w:val="auto"/>
                <w:sz w:val="24"/>
                <w:szCs w:val="24"/>
                <w:highlight w:val="none"/>
                <w:lang w:eastAsia="zh-CN" w:bidi="ar"/>
              </w:rPr>
              <w:t>项目</w:t>
            </w:r>
            <w:r>
              <w:rPr>
                <w:rFonts w:hint="eastAsia" w:ascii="仿宋" w:hAnsi="仿宋" w:eastAsia="仿宋" w:cs="仿宋"/>
                <w:color w:val="auto"/>
                <w:sz w:val="24"/>
                <w:szCs w:val="24"/>
                <w:highlight w:val="none"/>
                <w:lang w:bidi="ar"/>
              </w:rPr>
              <w:t>总体理解要求方案进行打分。方案优于采购需求的得</w:t>
            </w:r>
            <w:r>
              <w:rPr>
                <w:rFonts w:hint="eastAsia" w:ascii="仿宋" w:hAnsi="仿宋" w:eastAsia="仿宋" w:cs="仿宋"/>
                <w:color w:val="auto"/>
                <w:sz w:val="24"/>
                <w:szCs w:val="24"/>
                <w:highlight w:val="none"/>
                <w:lang w:val="en-US" w:eastAsia="zh-CN" w:bidi="ar"/>
              </w:rPr>
              <w:t>10</w:t>
            </w:r>
            <w:r>
              <w:rPr>
                <w:rFonts w:hint="eastAsia" w:ascii="仿宋" w:hAnsi="仿宋" w:eastAsia="仿宋" w:cs="仿宋"/>
                <w:color w:val="auto"/>
                <w:sz w:val="24"/>
                <w:szCs w:val="24"/>
                <w:highlight w:val="none"/>
                <w:lang w:bidi="ar"/>
              </w:rPr>
              <w:t>分，满足采购需求的得</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bidi="ar"/>
              </w:rPr>
              <w:t>分；方案有缺陷但通过后期优化可以满足采购需求的得</w:t>
            </w:r>
            <w:r>
              <w:rPr>
                <w:rFonts w:hint="eastAsia" w:ascii="仿宋" w:hAnsi="仿宋" w:eastAsia="仿宋" w:cs="仿宋"/>
                <w:color w:val="auto"/>
                <w:sz w:val="24"/>
                <w:szCs w:val="24"/>
                <w:highlight w:val="none"/>
                <w:lang w:val="en-US" w:eastAsia="zh-CN" w:bidi="ar"/>
              </w:rPr>
              <w:t>4</w:t>
            </w:r>
            <w:r>
              <w:rPr>
                <w:rFonts w:hint="eastAsia" w:ascii="仿宋" w:hAnsi="仿宋" w:eastAsia="仿宋" w:cs="仿宋"/>
                <w:color w:val="auto"/>
                <w:sz w:val="24"/>
                <w:szCs w:val="24"/>
                <w:highlight w:val="none"/>
                <w:lang w:bidi="ar"/>
              </w:rPr>
              <w:t>分；其他情况不得分。</w:t>
            </w:r>
          </w:p>
        </w:tc>
      </w:tr>
      <w:tr w14:paraId="2A9933E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continue"/>
            <w:tcBorders>
              <w:top w:val="single" w:color="auto" w:sz="6" w:space="0"/>
              <w:left w:val="single" w:color="auto" w:sz="6" w:space="0"/>
              <w:bottom w:val="single" w:color="auto" w:sz="6" w:space="0"/>
              <w:right w:val="single" w:color="auto" w:sz="6" w:space="0"/>
            </w:tcBorders>
            <w:noWrap w:val="0"/>
            <w:vAlign w:val="center"/>
          </w:tcPr>
          <w:p w14:paraId="205EC5DB">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p>
        </w:tc>
        <w:tc>
          <w:tcPr>
            <w:tcW w:w="1103" w:type="dxa"/>
            <w:tcBorders>
              <w:top w:val="single" w:color="auto" w:sz="6" w:space="0"/>
              <w:left w:val="single" w:color="auto" w:sz="6" w:space="0"/>
              <w:bottom w:val="single" w:color="auto" w:sz="6" w:space="0"/>
              <w:right w:val="single" w:color="auto" w:sz="6" w:space="0"/>
            </w:tcBorders>
            <w:noWrap w:val="0"/>
            <w:vAlign w:val="center"/>
          </w:tcPr>
          <w:p w14:paraId="1E20A5CF">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运维服务方案</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0D4FFBD2">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10.00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688D3561">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bidi="ar"/>
              </w:rPr>
              <w:t>针对第四章采购需求“五、项目运维服务要求”，提供项目运维服务要求方案，包括但不限于无缝对接方案、运维服务体系、运维服务团队、服务内容、故障处置方案、重点考试保障方案等，评标小组根据投标人提供的项目运维服务要求方案进行打分。方案优于采购需求的得</w:t>
            </w:r>
            <w:r>
              <w:rPr>
                <w:rFonts w:hint="eastAsia" w:ascii="仿宋" w:hAnsi="仿宋" w:eastAsia="仿宋" w:cs="仿宋"/>
                <w:color w:val="auto"/>
                <w:sz w:val="24"/>
                <w:szCs w:val="24"/>
                <w:highlight w:val="none"/>
                <w:lang w:val="en-US" w:eastAsia="zh-CN" w:bidi="ar"/>
              </w:rPr>
              <w:t>10</w:t>
            </w:r>
            <w:r>
              <w:rPr>
                <w:rFonts w:hint="eastAsia" w:ascii="仿宋" w:hAnsi="仿宋" w:eastAsia="仿宋" w:cs="仿宋"/>
                <w:color w:val="auto"/>
                <w:sz w:val="24"/>
                <w:szCs w:val="24"/>
                <w:highlight w:val="none"/>
                <w:lang w:bidi="ar"/>
              </w:rPr>
              <w:t>分，满足采购需求的得</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bidi="ar"/>
              </w:rPr>
              <w:t>分；方案有缺陷但通过后期优化可以满足采购需求的得</w:t>
            </w:r>
            <w:r>
              <w:rPr>
                <w:rFonts w:hint="eastAsia" w:ascii="仿宋" w:hAnsi="仿宋" w:eastAsia="仿宋" w:cs="仿宋"/>
                <w:color w:val="auto"/>
                <w:sz w:val="24"/>
                <w:szCs w:val="24"/>
                <w:highlight w:val="none"/>
                <w:lang w:val="en-US" w:eastAsia="zh-CN" w:bidi="ar"/>
              </w:rPr>
              <w:t>4</w:t>
            </w:r>
            <w:r>
              <w:rPr>
                <w:rFonts w:hint="eastAsia" w:ascii="仿宋" w:hAnsi="仿宋" w:eastAsia="仿宋" w:cs="仿宋"/>
                <w:color w:val="auto"/>
                <w:sz w:val="24"/>
                <w:szCs w:val="24"/>
                <w:highlight w:val="none"/>
                <w:lang w:bidi="ar"/>
              </w:rPr>
              <w:t>分；其他情况不得分。</w:t>
            </w:r>
          </w:p>
        </w:tc>
      </w:tr>
      <w:tr w14:paraId="4CC7E30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continue"/>
            <w:tcBorders>
              <w:top w:val="single" w:color="auto" w:sz="6" w:space="0"/>
              <w:left w:val="single" w:color="auto" w:sz="6" w:space="0"/>
              <w:bottom w:val="single" w:color="auto" w:sz="6" w:space="0"/>
              <w:right w:val="single" w:color="auto" w:sz="6" w:space="0"/>
            </w:tcBorders>
            <w:noWrap w:val="0"/>
            <w:vAlign w:val="center"/>
          </w:tcPr>
          <w:p w14:paraId="31101DFB">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p>
        </w:tc>
        <w:tc>
          <w:tcPr>
            <w:tcW w:w="1103" w:type="dxa"/>
            <w:tcBorders>
              <w:top w:val="single" w:color="auto" w:sz="6" w:space="0"/>
              <w:left w:val="single" w:color="auto" w:sz="6" w:space="0"/>
              <w:bottom w:val="single" w:color="auto" w:sz="6" w:space="0"/>
              <w:right w:val="single" w:color="auto" w:sz="6" w:space="0"/>
            </w:tcBorders>
            <w:noWrap w:val="0"/>
            <w:vAlign w:val="center"/>
          </w:tcPr>
          <w:p w14:paraId="7F79CC86">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安全保障方案</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70B4662F">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7.00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42251D5F">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针对第四章采购需求“六、安全保障服务要求”，提供安全保障服务要求方案，包括但不限于安全保障体系、安全管理规范制度、具体举措等，评标小组根据投标人提供的安全保障服务要求方案进行打分。方案优于采购需求的得</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bidi="ar"/>
              </w:rPr>
              <w:t>分，满足采购需求的得</w:t>
            </w:r>
            <w:r>
              <w:rPr>
                <w:rFonts w:hint="eastAsia" w:ascii="仿宋" w:hAnsi="仿宋" w:eastAsia="仿宋" w:cs="仿宋"/>
                <w:color w:val="auto"/>
                <w:sz w:val="24"/>
                <w:szCs w:val="24"/>
                <w:highlight w:val="none"/>
                <w:lang w:val="en-US" w:eastAsia="zh-CN" w:bidi="ar"/>
              </w:rPr>
              <w:t>4</w:t>
            </w:r>
            <w:r>
              <w:rPr>
                <w:rFonts w:hint="eastAsia" w:ascii="仿宋" w:hAnsi="仿宋" w:eastAsia="仿宋" w:cs="仿宋"/>
                <w:color w:val="auto"/>
                <w:sz w:val="24"/>
                <w:szCs w:val="24"/>
                <w:highlight w:val="none"/>
                <w:lang w:bidi="ar"/>
              </w:rPr>
              <w:t>分；方案有缺陷但通过后期优化可以满足采购需求的得</w:t>
            </w:r>
            <w:r>
              <w:rPr>
                <w:rFonts w:hint="eastAsia" w:ascii="仿宋" w:hAnsi="仿宋" w:eastAsia="仿宋" w:cs="仿宋"/>
                <w:color w:val="auto"/>
                <w:sz w:val="24"/>
                <w:szCs w:val="24"/>
                <w:highlight w:val="none"/>
                <w:lang w:val="en-US" w:eastAsia="zh-CN" w:bidi="ar"/>
              </w:rPr>
              <w:t>2</w:t>
            </w:r>
            <w:r>
              <w:rPr>
                <w:rFonts w:hint="eastAsia" w:ascii="仿宋" w:hAnsi="仿宋" w:eastAsia="仿宋" w:cs="仿宋"/>
                <w:color w:val="auto"/>
                <w:sz w:val="24"/>
                <w:szCs w:val="24"/>
                <w:highlight w:val="none"/>
                <w:lang w:bidi="ar"/>
              </w:rPr>
              <w:t>分；其他情况不得分。</w:t>
            </w:r>
          </w:p>
        </w:tc>
      </w:tr>
      <w:tr w14:paraId="1DE8C1F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continue"/>
            <w:tcBorders>
              <w:top w:val="single" w:color="auto" w:sz="6" w:space="0"/>
              <w:left w:val="single" w:color="auto" w:sz="6" w:space="0"/>
              <w:bottom w:val="single" w:color="auto" w:sz="6" w:space="0"/>
              <w:right w:val="single" w:color="auto" w:sz="6" w:space="0"/>
            </w:tcBorders>
            <w:noWrap w:val="0"/>
            <w:vAlign w:val="center"/>
          </w:tcPr>
          <w:p w14:paraId="2782AF13">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p>
        </w:tc>
        <w:tc>
          <w:tcPr>
            <w:tcW w:w="1103" w:type="dxa"/>
            <w:tcBorders>
              <w:top w:val="single" w:color="auto" w:sz="6" w:space="0"/>
              <w:left w:val="single" w:color="auto" w:sz="6" w:space="0"/>
              <w:bottom w:val="single" w:color="auto" w:sz="6" w:space="0"/>
              <w:right w:val="single" w:color="auto" w:sz="6" w:space="0"/>
            </w:tcBorders>
            <w:noWrap w:val="0"/>
            <w:vAlign w:val="center"/>
          </w:tcPr>
          <w:p w14:paraId="32F8D0D2">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培训服务方案</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315C18CB">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7.00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47AA9DD5">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bidi="ar"/>
              </w:rPr>
              <w:t>针对第四章采购需求“七、培训服务要求”，提供培训服务方案，包括但不限于培训内容、培训课程安排、培训方式等，评标小组根据投标人提供的培训服务要求方案进行打分。方案优于采购需求的得</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bidi="ar"/>
              </w:rPr>
              <w:t>分，满足采购需求的得</w:t>
            </w:r>
            <w:r>
              <w:rPr>
                <w:rFonts w:hint="eastAsia" w:ascii="仿宋" w:hAnsi="仿宋" w:eastAsia="仿宋" w:cs="仿宋"/>
                <w:color w:val="auto"/>
                <w:sz w:val="24"/>
                <w:szCs w:val="24"/>
                <w:highlight w:val="none"/>
                <w:lang w:val="en-US" w:eastAsia="zh-CN" w:bidi="ar"/>
              </w:rPr>
              <w:t>4</w:t>
            </w:r>
            <w:r>
              <w:rPr>
                <w:rFonts w:hint="eastAsia" w:ascii="仿宋" w:hAnsi="仿宋" w:eastAsia="仿宋" w:cs="仿宋"/>
                <w:color w:val="auto"/>
                <w:sz w:val="24"/>
                <w:szCs w:val="24"/>
                <w:highlight w:val="none"/>
                <w:lang w:bidi="ar"/>
              </w:rPr>
              <w:t>分；方案有缺陷但通过后期优化可以满足采购需求的得</w:t>
            </w:r>
            <w:r>
              <w:rPr>
                <w:rFonts w:hint="eastAsia" w:ascii="仿宋" w:hAnsi="仿宋" w:eastAsia="仿宋" w:cs="仿宋"/>
                <w:color w:val="auto"/>
                <w:sz w:val="24"/>
                <w:szCs w:val="24"/>
                <w:highlight w:val="none"/>
                <w:lang w:val="en-US" w:eastAsia="zh-CN" w:bidi="ar"/>
              </w:rPr>
              <w:t>2</w:t>
            </w:r>
            <w:r>
              <w:rPr>
                <w:rFonts w:hint="eastAsia" w:ascii="仿宋" w:hAnsi="仿宋" w:eastAsia="仿宋" w:cs="仿宋"/>
                <w:color w:val="auto"/>
                <w:sz w:val="24"/>
                <w:szCs w:val="24"/>
                <w:highlight w:val="none"/>
                <w:lang w:bidi="ar"/>
              </w:rPr>
              <w:t>分；其他情况不得分。</w:t>
            </w:r>
          </w:p>
        </w:tc>
      </w:tr>
      <w:tr w14:paraId="7687D21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vMerge w:val="continue"/>
            <w:tcBorders>
              <w:top w:val="single" w:color="auto" w:sz="6" w:space="0"/>
              <w:left w:val="single" w:color="auto" w:sz="6" w:space="0"/>
              <w:bottom w:val="single" w:color="auto" w:sz="6" w:space="0"/>
              <w:right w:val="single" w:color="auto" w:sz="6" w:space="0"/>
            </w:tcBorders>
            <w:noWrap w:val="0"/>
            <w:vAlign w:val="center"/>
          </w:tcPr>
          <w:p w14:paraId="5BE9AB34">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p>
        </w:tc>
        <w:tc>
          <w:tcPr>
            <w:tcW w:w="1103" w:type="dxa"/>
            <w:tcBorders>
              <w:top w:val="single" w:color="auto" w:sz="6" w:space="0"/>
              <w:left w:val="single" w:color="auto" w:sz="6" w:space="0"/>
              <w:bottom w:val="single" w:color="auto" w:sz="6" w:space="0"/>
              <w:right w:val="single" w:color="auto" w:sz="6" w:space="0"/>
            </w:tcBorders>
            <w:noWrap w:val="0"/>
            <w:vAlign w:val="center"/>
          </w:tcPr>
          <w:p w14:paraId="195011E1">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应急响应方案</w:t>
            </w:r>
          </w:p>
        </w:tc>
        <w:tc>
          <w:tcPr>
            <w:tcW w:w="893" w:type="dxa"/>
            <w:tcBorders>
              <w:top w:val="single" w:color="auto" w:sz="6" w:space="0"/>
              <w:left w:val="single" w:color="auto" w:sz="6" w:space="0"/>
              <w:bottom w:val="single" w:color="auto" w:sz="6" w:space="0"/>
              <w:right w:val="single" w:color="auto" w:sz="6" w:space="0"/>
            </w:tcBorders>
            <w:noWrap w:val="0"/>
            <w:vAlign w:val="center"/>
          </w:tcPr>
          <w:p w14:paraId="7506367E">
            <w:pPr>
              <w:keepNext w:val="0"/>
              <w:keepLines w:val="0"/>
              <w:widowControl/>
              <w:suppressLineNumbers w:val="0"/>
              <w:spacing w:before="0" w:beforeAutospacing="0" w:after="0" w:afterAutospacing="0"/>
              <w:ind w:left="0" w:right="0" w:firstLine="0"/>
              <w:jc w:val="righ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val="en-US" w:eastAsia="zh-CN" w:bidi="ar"/>
              </w:rPr>
              <w:t>7.00</w:t>
            </w:r>
          </w:p>
        </w:tc>
        <w:tc>
          <w:tcPr>
            <w:tcW w:w="5184" w:type="dxa"/>
            <w:tcBorders>
              <w:top w:val="single" w:color="auto" w:sz="6" w:space="0"/>
              <w:left w:val="single" w:color="auto" w:sz="6" w:space="0"/>
              <w:bottom w:val="single" w:color="auto" w:sz="6" w:space="0"/>
              <w:right w:val="single" w:color="auto" w:sz="6" w:space="0"/>
            </w:tcBorders>
            <w:noWrap w:val="0"/>
            <w:vAlign w:val="center"/>
          </w:tcPr>
          <w:p w14:paraId="66C27081">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tl w:val="0"/>
                <w:lang w:val="en-US" w:eastAsia="zh-CN" w:bidi="ar"/>
              </w:rPr>
            </w:pPr>
            <w:r>
              <w:rPr>
                <w:rFonts w:hint="eastAsia" w:ascii="仿宋" w:hAnsi="仿宋" w:eastAsia="仿宋" w:cs="仿宋"/>
                <w:color w:val="auto"/>
                <w:sz w:val="24"/>
                <w:szCs w:val="24"/>
                <w:highlight w:val="none"/>
                <w:lang w:bidi="ar"/>
              </w:rPr>
              <w:t>针对第四章采购需求“八、应急响应要求”，提供应急响应方案，包括但不限于应急响应流程、响应团队、响应时间、支撑保障等，评标小组根据投标人提供的应急响应方案进行打分。优于采购需求得</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bidi="ar"/>
              </w:rPr>
              <w:t>分；满足采购需求得</w:t>
            </w:r>
            <w:r>
              <w:rPr>
                <w:rFonts w:hint="eastAsia" w:ascii="仿宋" w:hAnsi="仿宋" w:eastAsia="仿宋" w:cs="仿宋"/>
                <w:color w:val="auto"/>
                <w:sz w:val="24"/>
                <w:szCs w:val="24"/>
                <w:highlight w:val="none"/>
                <w:lang w:val="en-US" w:eastAsia="zh-CN" w:bidi="ar"/>
              </w:rPr>
              <w:t>4</w:t>
            </w:r>
            <w:r>
              <w:rPr>
                <w:rFonts w:hint="eastAsia" w:ascii="仿宋" w:hAnsi="仿宋" w:eastAsia="仿宋" w:cs="仿宋"/>
                <w:color w:val="auto"/>
                <w:sz w:val="24"/>
                <w:szCs w:val="24"/>
                <w:highlight w:val="none"/>
                <w:lang w:bidi="ar"/>
              </w:rPr>
              <w:t>分；方案有缺陷但通过后期优化可以满足采购需求的得</w:t>
            </w:r>
            <w:r>
              <w:rPr>
                <w:rFonts w:hint="eastAsia" w:ascii="仿宋" w:hAnsi="仿宋" w:eastAsia="仿宋" w:cs="仿宋"/>
                <w:color w:val="auto"/>
                <w:sz w:val="24"/>
                <w:szCs w:val="24"/>
                <w:highlight w:val="none"/>
                <w:lang w:val="en-US" w:eastAsia="zh-CN" w:bidi="ar"/>
              </w:rPr>
              <w:t>2</w:t>
            </w:r>
            <w:r>
              <w:rPr>
                <w:rFonts w:hint="eastAsia" w:ascii="仿宋" w:hAnsi="仿宋" w:eastAsia="仿宋" w:cs="仿宋"/>
                <w:color w:val="auto"/>
                <w:sz w:val="24"/>
                <w:szCs w:val="24"/>
                <w:highlight w:val="none"/>
                <w:lang w:bidi="ar"/>
              </w:rPr>
              <w:t>分；其他情况或未提供不得分。</w:t>
            </w:r>
          </w:p>
        </w:tc>
      </w:tr>
      <w:tr w14:paraId="00F714E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618" w:type="dxa"/>
            <w:tcBorders>
              <w:top w:val="single" w:color="auto" w:sz="4" w:space="0"/>
              <w:left w:val="single" w:color="auto" w:sz="4" w:space="0"/>
              <w:bottom w:val="single" w:color="auto" w:sz="4" w:space="0"/>
              <w:right w:val="single" w:color="auto" w:sz="4" w:space="0"/>
            </w:tcBorders>
            <w:noWrap w:val="0"/>
            <w:vAlign w:val="center"/>
          </w:tcPr>
          <w:p w14:paraId="3EFF9254">
            <w:pPr>
              <w:keepNext w:val="0"/>
              <w:keepLines w:val="0"/>
              <w:pageBreakBefore w:val="0"/>
              <w:widowControl w:val="0"/>
              <w:suppressLineNumbers w:val="0"/>
              <w:spacing w:before="0" w:beforeAutospacing="0" w:after="0" w:afterAutospacing="0" w:line="240" w:lineRule="auto"/>
              <w:ind w:left="0" w:right="0" w:firstLine="0"/>
              <w:jc w:val="left"/>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lang w:val="en-US" w:eastAsia="zh-CN" w:bidi="ar-SA"/>
              </w:rPr>
              <w:t>项目组人员</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505075A2">
            <w:pPr>
              <w:keepNext w:val="0"/>
              <w:keepLines w:val="0"/>
              <w:pageBreakBefore w:val="0"/>
              <w:widowControl w:val="0"/>
              <w:suppressLineNumbers w:val="0"/>
              <w:spacing w:before="0" w:beforeAutospacing="0" w:after="0" w:afterAutospacing="0" w:line="240" w:lineRule="auto"/>
              <w:ind w:left="0" w:right="0" w:firstLine="0"/>
              <w:jc w:val="left"/>
              <w:rPr>
                <w:rFonts w:hint="eastAsia" w:ascii="仿宋" w:hAnsi="仿宋" w:eastAsia="仿宋" w:cs="仿宋"/>
                <w:caps w:val="0"/>
                <w:color w:val="auto"/>
                <w:sz w:val="24"/>
                <w:szCs w:val="24"/>
                <w:highlight w:val="none"/>
                <w:rtl w:val="0"/>
                <w:lang w:val="en-US" w:eastAsia="zh-CN" w:bidi="ar-SA"/>
              </w:rPr>
            </w:pPr>
            <w:r>
              <w:rPr>
                <w:rFonts w:hint="eastAsia" w:ascii="仿宋" w:hAnsi="仿宋" w:eastAsia="仿宋" w:cs="仿宋"/>
                <w:color w:val="auto"/>
                <w:sz w:val="24"/>
                <w:szCs w:val="24"/>
                <w:highlight w:val="none"/>
              </w:rPr>
              <w:t>项目核心人员配备</w:t>
            </w:r>
          </w:p>
        </w:tc>
        <w:tc>
          <w:tcPr>
            <w:tcW w:w="893" w:type="dxa"/>
            <w:tcBorders>
              <w:top w:val="single" w:color="auto" w:sz="4" w:space="0"/>
              <w:left w:val="single" w:color="auto" w:sz="4" w:space="0"/>
              <w:bottom w:val="single" w:color="auto" w:sz="4" w:space="0"/>
              <w:right w:val="single" w:color="auto" w:sz="4" w:space="0"/>
            </w:tcBorders>
            <w:noWrap w:val="0"/>
            <w:vAlign w:val="center"/>
          </w:tcPr>
          <w:p w14:paraId="130D8021">
            <w:pPr>
              <w:keepNext w:val="0"/>
              <w:keepLines w:val="0"/>
              <w:pageBreakBefore w:val="0"/>
              <w:widowControl w:val="0"/>
              <w:suppressLineNumbers w:val="0"/>
              <w:spacing w:before="0" w:beforeAutospacing="0" w:after="0" w:afterAutospacing="0" w:line="240" w:lineRule="auto"/>
              <w:ind w:left="0" w:right="0" w:firstLine="0"/>
              <w:jc w:val="right"/>
              <w:rPr>
                <w:rFonts w:hint="eastAsia" w:ascii="仿宋" w:hAnsi="仿宋" w:eastAsia="仿宋" w:cs="仿宋"/>
                <w:caps w:val="0"/>
                <w:color w:val="auto"/>
                <w:sz w:val="24"/>
                <w:szCs w:val="24"/>
                <w:highlight w:val="none"/>
                <w:rtl w:val="0"/>
                <w:lang w:val="en-US" w:eastAsia="zh-CN" w:bidi="ar-SA"/>
              </w:rPr>
            </w:pPr>
            <w:r>
              <w:rPr>
                <w:rFonts w:hint="eastAsia" w:ascii="仿宋" w:hAnsi="仿宋" w:eastAsia="仿宋" w:cs="仿宋"/>
                <w:caps w:val="0"/>
                <w:color w:val="auto"/>
                <w:sz w:val="24"/>
                <w:szCs w:val="24"/>
                <w:highlight w:val="none"/>
                <w:rtl w:val="0"/>
                <w:lang w:val="en-US" w:eastAsia="zh-CN" w:bidi="ar-SA"/>
              </w:rPr>
              <w:t>10.00</w:t>
            </w:r>
          </w:p>
        </w:tc>
        <w:tc>
          <w:tcPr>
            <w:tcW w:w="5184" w:type="dxa"/>
            <w:tcBorders>
              <w:top w:val="single" w:color="auto" w:sz="6" w:space="0"/>
              <w:left w:val="single" w:color="auto" w:sz="4" w:space="0"/>
              <w:bottom w:val="single" w:color="auto" w:sz="6" w:space="0"/>
              <w:right w:val="single" w:color="auto" w:sz="6" w:space="0"/>
            </w:tcBorders>
            <w:noWrap w:val="0"/>
            <w:vAlign w:val="center"/>
          </w:tcPr>
          <w:p w14:paraId="5D6C959B">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1.项目负责人1人，具有信息系统项目管理师或系统架构设计师或系统分析师或系统规划与管理师或高级工程师（电子信息），每有一个证书得1分，最多得4分；</w:t>
            </w:r>
          </w:p>
          <w:p w14:paraId="74E1E134">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2.技术负责人1人（不得与项目负责人为同一人员），具有信息系统项目管理师或系统规划与管理师或网络规划设计师或高级工程师（电子信息）证书，每有一个证书得1分，最多得3分；</w:t>
            </w:r>
          </w:p>
          <w:p w14:paraId="241DF302">
            <w:pPr>
              <w:keepNext w:val="0"/>
              <w:keepLines w:val="0"/>
              <w:widowControl/>
              <w:suppressLineNumbers w:val="0"/>
              <w:spacing w:before="0" w:beforeAutospacing="0" w:after="0" w:afterAutospacing="0"/>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3.其他项目成员（项目负责人、技术负责人除外）具有网络规划设计师或系统架构设计师或信息系统项目管理师或信息安全工程师或系统集成项目管理工程师或软件设计师，每有一个证书得0.5分，同一人具有多个证书或不同人具有同一证书的，不重复计分，未提供的不得分，本项最多得3分。注：1.以上证书（证书颁发单位为中华人民共和国人力资源和社会保障部、中华人民共和国工业和信息化部或</w:t>
            </w:r>
            <w:r>
              <w:rPr>
                <w:rFonts w:hint="eastAsia" w:ascii="仿宋" w:hAnsi="仿宋" w:eastAsia="仿宋" w:cs="仿宋"/>
                <w:color w:val="auto"/>
                <w:sz w:val="24"/>
                <w:szCs w:val="24"/>
                <w:highlight w:val="none"/>
                <w:lang w:bidi="ar"/>
              </w:rPr>
              <w:t>各省、自治区、直辖市人力资源和社会保障</w:t>
            </w:r>
            <w:r>
              <w:rPr>
                <w:rFonts w:hint="eastAsia" w:ascii="仿宋" w:hAnsi="仿宋" w:eastAsia="仿宋" w:cs="仿宋"/>
                <w:color w:val="auto"/>
                <w:sz w:val="24"/>
                <w:szCs w:val="24"/>
                <w:highlight w:val="none"/>
                <w:lang w:eastAsia="zh-CN" w:bidi="ar"/>
              </w:rPr>
              <w:t>局</w:t>
            </w:r>
            <w:r>
              <w:rPr>
                <w:rFonts w:hint="eastAsia" w:ascii="仿宋" w:hAnsi="仿宋" w:eastAsia="仿宋" w:cs="仿宋"/>
                <w:color w:val="auto"/>
                <w:sz w:val="24"/>
                <w:szCs w:val="24"/>
                <w:highlight w:val="none"/>
                <w:lang w:val="en-US" w:eastAsia="zh-CN" w:bidi="ar"/>
              </w:rPr>
              <w:t>）均须提供</w:t>
            </w:r>
            <w:r>
              <w:rPr>
                <w:rFonts w:hint="eastAsia" w:ascii="仿宋" w:hAnsi="仿宋" w:eastAsia="仿宋" w:cs="仿宋"/>
                <w:color w:val="auto"/>
                <w:sz w:val="24"/>
                <w:szCs w:val="24"/>
                <w:highlight w:val="none"/>
                <w:lang w:bidi="ar"/>
              </w:rPr>
              <w:t>电子件</w:t>
            </w:r>
            <w:r>
              <w:rPr>
                <w:rFonts w:hint="eastAsia" w:ascii="仿宋" w:hAnsi="仿宋" w:eastAsia="仿宋" w:cs="仿宋"/>
                <w:color w:val="auto"/>
                <w:sz w:val="24"/>
                <w:szCs w:val="24"/>
                <w:highlight w:val="none"/>
                <w:lang w:val="en-US" w:eastAsia="zh-CN" w:bidi="ar"/>
              </w:rPr>
              <w:t>并加盖单位公章；2.拟投入本项目人员必须为投标人本单位正式员工，提供2026年3月份以来任意1个月人员社保缴纳证明（证明以社保主管部门出具为准）。</w:t>
            </w:r>
          </w:p>
        </w:tc>
      </w:tr>
      <w:bookmarkEnd w:id="144"/>
    </w:tbl>
    <w:p w14:paraId="0E5F2264">
      <w:pPr>
        <w:rPr>
          <w:rFonts w:hint="eastAsia" w:ascii="仿宋" w:hAnsi="仿宋" w:eastAsia="仿宋" w:cs="仿宋"/>
          <w:color w:val="auto"/>
          <w:szCs w:val="21"/>
        </w:rPr>
      </w:pPr>
    </w:p>
    <w:p w14:paraId="041D3B70">
      <w:pPr>
        <w:spacing w:line="400" w:lineRule="exact"/>
        <w:rPr>
          <w:rFonts w:hint="eastAsia" w:ascii="仿宋" w:hAnsi="仿宋" w:eastAsia="仿宋" w:cs="仿宋"/>
          <w:color w:val="auto"/>
          <w:sz w:val="44"/>
          <w:szCs w:val="44"/>
        </w:rPr>
      </w:pPr>
      <w:r>
        <w:rPr>
          <w:rFonts w:hint="eastAsia" w:ascii="仿宋" w:hAnsi="仿宋" w:eastAsia="仿宋" w:cs="仿宋"/>
          <w:b/>
          <w:color w:val="auto"/>
          <w:sz w:val="24"/>
          <w:szCs w:val="21"/>
        </w:rPr>
        <w:t>（三）评标结果。</w:t>
      </w:r>
      <w:r>
        <w:rPr>
          <w:rFonts w:hint="eastAsia" w:ascii="仿宋" w:hAnsi="仿宋" w:eastAsia="仿宋" w:cs="仿宋"/>
          <w:color w:val="auto"/>
          <w:sz w:val="24"/>
          <w:szCs w:val="21"/>
        </w:rPr>
        <w:t>评标委员会按照本办法规定推荐中标候选人，并形成评标报告。</w:t>
      </w:r>
    </w:p>
    <w:p w14:paraId="56A659E1">
      <w:pPr>
        <w:jc w:val="cente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rPr>
          <w:rFonts w:hint="eastAsia" w:ascii="仿宋" w:hAnsi="仿宋" w:eastAsia="仿宋" w:cs="仿宋"/>
          <w:color w:val="auto"/>
          <w:sz w:val="44"/>
          <w:szCs w:val="44"/>
        </w:rPr>
        <w:t>第六章投标</w:t>
      </w:r>
      <w:bookmarkEnd w:id="115"/>
      <w:bookmarkEnd w:id="116"/>
      <w:bookmarkEnd w:id="120"/>
      <w:r>
        <w:rPr>
          <w:rFonts w:hint="eastAsia" w:ascii="仿宋" w:hAnsi="仿宋" w:eastAsia="仿宋" w:cs="仿宋"/>
          <w:color w:val="auto"/>
          <w:sz w:val="44"/>
          <w:szCs w:val="44"/>
        </w:rPr>
        <w:t>文件格式</w:t>
      </w:r>
    </w:p>
    <w:p w14:paraId="10DE20DA">
      <w:pPr>
        <w:jc w:val="center"/>
        <w:rPr>
          <w:rFonts w:hint="eastAsia" w:ascii="仿宋" w:hAnsi="仿宋" w:eastAsia="仿宋" w:cs="仿宋"/>
          <w:b/>
          <w:color w:val="auto"/>
          <w:sz w:val="72"/>
          <w:szCs w:val="21"/>
        </w:rPr>
      </w:pPr>
      <w:bookmarkStart w:id="145" w:name="_Hlt26671244"/>
      <w:bookmarkEnd w:id="145"/>
      <w:bookmarkStart w:id="146" w:name="_Hlt26955039"/>
      <w:bookmarkEnd w:id="146"/>
      <w:bookmarkStart w:id="147" w:name="_Toc26554094"/>
      <w:bookmarkStart w:id="148" w:name="_Toc49090576"/>
      <w:bookmarkStart w:id="149" w:name="_Toc120614282"/>
    </w:p>
    <w:p w14:paraId="511D6A51">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投标文件</w:t>
      </w:r>
    </w:p>
    <w:p w14:paraId="15630F7D">
      <w:pPr>
        <w:jc w:val="center"/>
        <w:rPr>
          <w:rFonts w:hint="eastAsia" w:ascii="仿宋" w:hAnsi="仿宋" w:eastAsia="仿宋" w:cs="仿宋"/>
          <w:b/>
          <w:color w:val="auto"/>
          <w:sz w:val="72"/>
          <w:szCs w:val="21"/>
        </w:rPr>
      </w:pPr>
    </w:p>
    <w:p w14:paraId="57C74A61">
      <w:pPr>
        <w:jc w:val="center"/>
        <w:rPr>
          <w:rFonts w:hint="eastAsia" w:ascii="仿宋" w:hAnsi="仿宋" w:eastAsia="仿宋" w:cs="仿宋"/>
          <w:b/>
          <w:color w:val="auto"/>
          <w:sz w:val="72"/>
          <w:szCs w:val="21"/>
        </w:rPr>
      </w:pPr>
    </w:p>
    <w:p w14:paraId="2D743794">
      <w:pPr>
        <w:jc w:val="center"/>
        <w:rPr>
          <w:rFonts w:hint="eastAsia" w:ascii="仿宋" w:hAnsi="仿宋" w:eastAsia="仿宋" w:cs="仿宋"/>
          <w:b/>
          <w:color w:val="auto"/>
          <w:sz w:val="36"/>
          <w:szCs w:val="21"/>
        </w:rPr>
      </w:pPr>
    </w:p>
    <w:p w14:paraId="4DED6255">
      <w:pPr>
        <w:jc w:val="center"/>
        <w:rPr>
          <w:rFonts w:hint="eastAsia" w:ascii="仿宋" w:hAnsi="仿宋" w:eastAsia="仿宋" w:cs="仿宋"/>
          <w:b/>
          <w:color w:val="auto"/>
          <w:sz w:val="36"/>
          <w:szCs w:val="21"/>
        </w:rPr>
      </w:pPr>
    </w:p>
    <w:p w14:paraId="67F086CD">
      <w:pPr>
        <w:jc w:val="center"/>
        <w:rPr>
          <w:rFonts w:hint="eastAsia" w:ascii="仿宋" w:hAnsi="仿宋" w:eastAsia="仿宋" w:cs="仿宋"/>
          <w:b/>
          <w:color w:val="auto"/>
          <w:sz w:val="36"/>
          <w:szCs w:val="21"/>
        </w:rPr>
      </w:pPr>
    </w:p>
    <w:p w14:paraId="7D44D1C7">
      <w:pPr>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项目名称：</w:t>
      </w:r>
    </w:p>
    <w:p w14:paraId="2E37CFB0">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项目编号：</w:t>
      </w:r>
    </w:p>
    <w:p w14:paraId="0F5A7245">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投标人名称：</w:t>
      </w:r>
      <w:r>
        <w:rPr>
          <w:rFonts w:hint="eastAsia" w:ascii="仿宋" w:hAnsi="仿宋" w:eastAsia="仿宋" w:cs="仿宋"/>
          <w:b/>
          <w:color w:val="auto"/>
          <w:sz w:val="36"/>
          <w:szCs w:val="21"/>
          <w:u w:val="single"/>
        </w:rPr>
        <w:t>（加盖CA电子公章）</w:t>
      </w:r>
    </w:p>
    <w:p w14:paraId="74A3C3BF">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日期：</w:t>
      </w:r>
      <w:r>
        <w:rPr>
          <w:rFonts w:hint="eastAsia" w:ascii="仿宋" w:hAnsi="仿宋" w:eastAsia="仿宋" w:cs="仿宋"/>
          <w:b/>
          <w:color w:val="auto"/>
          <w:sz w:val="36"/>
          <w:szCs w:val="21"/>
          <w:u w:val="single"/>
        </w:rPr>
        <w:t xml:space="preserve">                       </w:t>
      </w:r>
    </w:p>
    <w:p w14:paraId="1CD40F10">
      <w:pPr>
        <w:spacing w:line="440" w:lineRule="exact"/>
        <w:jc w:val="center"/>
        <w:rPr>
          <w:rFonts w:hint="eastAsia" w:ascii="仿宋" w:hAnsi="仿宋" w:eastAsia="仿宋" w:cs="仿宋"/>
          <w:b/>
          <w:bCs/>
          <w:color w:val="auto"/>
          <w:sz w:val="32"/>
          <w:szCs w:val="32"/>
        </w:rPr>
      </w:pPr>
    </w:p>
    <w:p w14:paraId="47AC5CCB">
      <w:pPr>
        <w:spacing w:line="440" w:lineRule="exact"/>
        <w:rPr>
          <w:rFonts w:hint="eastAsia" w:ascii="仿宋" w:hAnsi="仿宋" w:eastAsia="仿宋" w:cs="仿宋"/>
          <w:color w:val="auto"/>
          <w:szCs w:val="21"/>
        </w:rPr>
      </w:pPr>
    </w:p>
    <w:p w14:paraId="13217769">
      <w:pPr>
        <w:keepNext/>
        <w:keepLines/>
        <w:spacing w:before="280" w:after="290" w:line="376" w:lineRule="auto"/>
        <w:outlineLvl w:val="3"/>
        <w:rPr>
          <w:rFonts w:hint="eastAsia" w:ascii="仿宋" w:hAnsi="仿宋" w:eastAsia="仿宋" w:cs="仿宋"/>
          <w:b/>
          <w:bCs/>
          <w:color w:val="auto"/>
          <w:sz w:val="28"/>
          <w:szCs w:val="28"/>
        </w:rPr>
      </w:pPr>
    </w:p>
    <w:p w14:paraId="0DBCA060">
      <w:pPr>
        <w:rPr>
          <w:rFonts w:hint="eastAsia" w:ascii="仿宋" w:hAnsi="仿宋" w:eastAsia="仿宋" w:cs="仿宋"/>
          <w:color w:val="auto"/>
          <w:szCs w:val="21"/>
        </w:rPr>
      </w:pPr>
    </w:p>
    <w:p w14:paraId="7C18259D">
      <w:pPr>
        <w:keepNext/>
        <w:keepLines/>
        <w:spacing w:before="280" w:after="290" w:line="376" w:lineRule="auto"/>
        <w:outlineLvl w:val="3"/>
        <w:rPr>
          <w:rFonts w:hint="eastAsia" w:ascii="仿宋" w:hAnsi="仿宋" w:eastAsia="仿宋" w:cs="仿宋"/>
          <w:b/>
          <w:bCs/>
          <w:color w:val="auto"/>
          <w:sz w:val="28"/>
          <w:szCs w:val="28"/>
        </w:rPr>
      </w:pPr>
    </w:p>
    <w:p w14:paraId="376E9C1F">
      <w:pPr>
        <w:rPr>
          <w:rFonts w:ascii="Times New Roman" w:hAnsi="Times New Roman"/>
          <w:color w:val="auto"/>
          <w:szCs w:val="21"/>
        </w:rPr>
      </w:pPr>
    </w:p>
    <w:p w14:paraId="5CDBE9F5">
      <w:pPr>
        <w:ind w:firstLine="1084"/>
        <w:rPr>
          <w:rFonts w:hint="eastAsia" w:ascii="仿宋" w:hAnsi="仿宋" w:eastAsia="仿宋" w:cs="仿宋"/>
          <w:b/>
          <w:bCs/>
          <w:color w:val="auto"/>
          <w:sz w:val="32"/>
          <w:szCs w:val="32"/>
        </w:rPr>
      </w:pPr>
    </w:p>
    <w:p w14:paraId="475FA15E">
      <w:pPr>
        <w:spacing w:line="440" w:lineRule="exact"/>
        <w:jc w:val="center"/>
        <w:rPr>
          <w:rFonts w:hint="eastAsia" w:ascii="仿宋" w:hAnsi="仿宋" w:eastAsia="仿宋" w:cs="仿宋"/>
          <w:b/>
          <w:bCs/>
          <w:color w:val="auto"/>
          <w:sz w:val="32"/>
          <w:szCs w:val="32"/>
        </w:rPr>
      </w:pPr>
    </w:p>
    <w:p w14:paraId="54EB3D24">
      <w:pPr>
        <w:spacing w:line="440" w:lineRule="exact"/>
        <w:jc w:val="center"/>
        <w:rPr>
          <w:rFonts w:hint="eastAsia" w:ascii="仿宋" w:hAnsi="仿宋" w:eastAsia="仿宋" w:cs="仿宋"/>
          <w:b/>
          <w:bCs/>
          <w:color w:val="auto"/>
          <w:sz w:val="32"/>
          <w:szCs w:val="32"/>
        </w:rPr>
      </w:pPr>
    </w:p>
    <w:p w14:paraId="0CB9D1B1">
      <w:pPr>
        <w:spacing w:line="440" w:lineRule="exact"/>
        <w:jc w:val="center"/>
        <w:rPr>
          <w:rFonts w:hint="eastAsia" w:ascii="仿宋" w:hAnsi="仿宋" w:eastAsia="仿宋" w:cs="仿宋"/>
          <w:b/>
          <w:bCs/>
          <w:color w:val="auto"/>
          <w:sz w:val="32"/>
          <w:szCs w:val="32"/>
        </w:rPr>
      </w:pPr>
    </w:p>
    <w:p w14:paraId="2CD25361">
      <w:pPr>
        <w:spacing w:line="440" w:lineRule="exact"/>
        <w:jc w:val="center"/>
        <w:rPr>
          <w:rFonts w:hint="eastAsia" w:ascii="仿宋" w:hAnsi="仿宋" w:eastAsia="仿宋" w:cs="仿宋"/>
          <w:b/>
          <w:bCs/>
          <w:color w:val="auto"/>
          <w:sz w:val="32"/>
          <w:szCs w:val="32"/>
        </w:rPr>
      </w:pPr>
    </w:p>
    <w:p w14:paraId="55506A75">
      <w:pPr>
        <w:spacing w:line="440" w:lineRule="exact"/>
        <w:jc w:val="center"/>
        <w:rPr>
          <w:rFonts w:hint="eastAsia" w:ascii="仿宋" w:hAnsi="仿宋" w:eastAsia="仿宋" w:cs="仿宋"/>
          <w:b/>
          <w:bCs/>
          <w:color w:val="auto"/>
          <w:sz w:val="32"/>
          <w:szCs w:val="32"/>
        </w:rPr>
      </w:pPr>
    </w:p>
    <w:p w14:paraId="74717557">
      <w:pPr>
        <w:spacing w:line="44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投标文件目录</w:t>
      </w:r>
    </w:p>
    <w:p w14:paraId="3F11FEA3">
      <w:pPr>
        <w:spacing w:line="440" w:lineRule="exact"/>
        <w:jc w:val="center"/>
        <w:rPr>
          <w:rFonts w:hint="eastAsia" w:ascii="仿宋" w:hAnsi="仿宋" w:eastAsia="仿宋" w:cs="仿宋"/>
          <w:b/>
          <w:bCs/>
          <w:color w:val="auto"/>
          <w:sz w:val="32"/>
          <w:szCs w:val="32"/>
        </w:rPr>
      </w:pPr>
    </w:p>
    <w:p w14:paraId="239A6E2E">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投标声明及承诺函</w:t>
      </w:r>
    </w:p>
    <w:p w14:paraId="2C614454">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投标人基本信息</w:t>
      </w:r>
    </w:p>
    <w:p w14:paraId="160E6DB1">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法人授权书</w:t>
      </w:r>
    </w:p>
    <w:p w14:paraId="504265F8">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开标一览表</w:t>
      </w:r>
    </w:p>
    <w:p w14:paraId="53F949EC">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投标分项报价表</w:t>
      </w:r>
    </w:p>
    <w:p w14:paraId="42297F72">
      <w:pPr>
        <w:numPr>
          <w:ilvl w:val="0"/>
          <w:numId w:val="8"/>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中小（微）企业声明函</w:t>
      </w:r>
    </w:p>
    <w:p w14:paraId="45809BA0">
      <w:pPr>
        <w:numPr>
          <w:ilvl w:val="0"/>
          <w:numId w:val="8"/>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技术要求响应及偏离表</w:t>
      </w:r>
    </w:p>
    <w:p w14:paraId="51D8E3C6">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项目组人员</w:t>
      </w:r>
    </w:p>
    <w:p w14:paraId="73AC1604">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企业业绩</w:t>
      </w:r>
    </w:p>
    <w:p w14:paraId="79C180F6">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投标所需其他材料</w:t>
      </w:r>
    </w:p>
    <w:p w14:paraId="0E94FF28">
      <w:pPr>
        <w:tabs>
          <w:tab w:val="right" w:leader="dot" w:pos="8720"/>
        </w:tabs>
        <w:spacing w:before="120" w:after="120" w:line="400" w:lineRule="exact"/>
        <w:jc w:val="left"/>
        <w:rPr>
          <w:rFonts w:hint="eastAsia" w:ascii="仿宋" w:hAnsi="仿宋" w:eastAsia="仿宋" w:cs="仿宋"/>
          <w:color w:val="auto"/>
          <w:sz w:val="24"/>
        </w:rPr>
      </w:pPr>
    </w:p>
    <w:p w14:paraId="565854C6">
      <w:pPr>
        <w:spacing w:line="440" w:lineRule="exact"/>
        <w:ind w:firstLine="480"/>
        <w:rPr>
          <w:rFonts w:hint="eastAsia" w:ascii="仿宋" w:hAnsi="仿宋" w:eastAsia="仿宋" w:cs="仿宋"/>
          <w:color w:val="auto"/>
          <w:sz w:val="24"/>
          <w:szCs w:val="21"/>
        </w:rPr>
      </w:pPr>
    </w:p>
    <w:p w14:paraId="2B61161D">
      <w:pPr>
        <w:spacing w:line="440" w:lineRule="exact"/>
        <w:ind w:firstLine="480"/>
        <w:rPr>
          <w:rFonts w:hint="eastAsia" w:ascii="仿宋" w:hAnsi="仿宋" w:eastAsia="仿宋" w:cs="仿宋"/>
          <w:color w:val="auto"/>
          <w:sz w:val="24"/>
          <w:szCs w:val="21"/>
        </w:rPr>
      </w:pPr>
    </w:p>
    <w:p w14:paraId="260CCAF9">
      <w:pPr>
        <w:spacing w:line="440" w:lineRule="exact"/>
        <w:ind w:firstLine="480"/>
        <w:rPr>
          <w:rFonts w:hint="eastAsia" w:ascii="仿宋" w:hAnsi="仿宋" w:eastAsia="仿宋" w:cs="仿宋"/>
          <w:color w:val="auto"/>
          <w:sz w:val="24"/>
          <w:szCs w:val="21"/>
        </w:rPr>
      </w:pPr>
    </w:p>
    <w:p w14:paraId="1357FB66">
      <w:pPr>
        <w:spacing w:line="440" w:lineRule="exact"/>
        <w:ind w:firstLine="480"/>
        <w:rPr>
          <w:rFonts w:hint="eastAsia" w:ascii="仿宋" w:hAnsi="仿宋" w:eastAsia="仿宋" w:cs="仿宋"/>
          <w:color w:val="auto"/>
          <w:sz w:val="24"/>
          <w:szCs w:val="21"/>
        </w:rPr>
      </w:pPr>
    </w:p>
    <w:p w14:paraId="64294DAF">
      <w:pPr>
        <w:spacing w:line="440" w:lineRule="exact"/>
        <w:ind w:firstLine="480"/>
        <w:rPr>
          <w:rFonts w:hint="eastAsia" w:ascii="仿宋" w:hAnsi="仿宋" w:eastAsia="仿宋" w:cs="仿宋"/>
          <w:color w:val="auto"/>
          <w:sz w:val="24"/>
          <w:szCs w:val="21"/>
        </w:rPr>
      </w:pPr>
    </w:p>
    <w:p w14:paraId="62EFEB6F">
      <w:pPr>
        <w:rPr>
          <w:rFonts w:hint="eastAsia" w:ascii="仿宋" w:hAnsi="仿宋" w:eastAsia="仿宋" w:cs="仿宋"/>
          <w:color w:val="auto"/>
          <w:sz w:val="24"/>
        </w:rPr>
      </w:pPr>
      <w:bookmarkStart w:id="150" w:name="_Toc23838"/>
    </w:p>
    <w:bookmarkEnd w:id="147"/>
    <w:bookmarkEnd w:id="148"/>
    <w:bookmarkEnd w:id="149"/>
    <w:bookmarkEnd w:id="150"/>
    <w:p w14:paraId="0C4656ED">
      <w:pPr>
        <w:rPr>
          <w:rFonts w:hint="eastAsia" w:ascii="仿宋" w:hAnsi="仿宋" w:eastAsia="仿宋" w:cs="仿宋"/>
          <w:color w:val="auto"/>
          <w:sz w:val="24"/>
        </w:rPr>
      </w:pPr>
    </w:p>
    <w:p w14:paraId="4B35A13D">
      <w:pPr>
        <w:rPr>
          <w:rFonts w:hint="eastAsia" w:ascii="仿宋" w:hAnsi="仿宋" w:eastAsia="仿宋" w:cs="仿宋"/>
          <w:color w:val="auto"/>
          <w:sz w:val="24"/>
        </w:rPr>
      </w:pPr>
    </w:p>
    <w:p w14:paraId="11798AF8">
      <w:pPr>
        <w:rPr>
          <w:rFonts w:hint="eastAsia" w:ascii="仿宋" w:hAnsi="仿宋" w:eastAsia="仿宋" w:cs="仿宋"/>
          <w:color w:val="auto"/>
          <w:sz w:val="24"/>
        </w:rPr>
      </w:pPr>
    </w:p>
    <w:p w14:paraId="0EEDBA23">
      <w:pPr>
        <w:rPr>
          <w:rFonts w:hint="eastAsia" w:ascii="仿宋" w:hAnsi="仿宋" w:eastAsia="仿宋" w:cs="仿宋"/>
          <w:b/>
          <w:color w:val="auto"/>
          <w:sz w:val="32"/>
          <w:szCs w:val="32"/>
        </w:rPr>
      </w:pPr>
      <w:bookmarkStart w:id="151" w:name="_Toc120614284"/>
    </w:p>
    <w:p w14:paraId="01236BED">
      <w:pPr>
        <w:rPr>
          <w:rFonts w:hint="eastAsia" w:ascii="仿宋" w:hAnsi="仿宋" w:eastAsia="仿宋" w:cs="仿宋"/>
          <w:b/>
          <w:color w:val="auto"/>
          <w:sz w:val="32"/>
          <w:szCs w:val="32"/>
        </w:rPr>
      </w:pPr>
    </w:p>
    <w:p w14:paraId="2AECB0E4">
      <w:pPr>
        <w:rPr>
          <w:rFonts w:hint="eastAsia" w:ascii="仿宋" w:hAnsi="仿宋" w:eastAsia="仿宋" w:cs="仿宋"/>
          <w:b/>
          <w:color w:val="auto"/>
          <w:sz w:val="32"/>
          <w:szCs w:val="32"/>
        </w:rPr>
      </w:pPr>
    </w:p>
    <w:p w14:paraId="7EE6E642">
      <w:pPr>
        <w:rPr>
          <w:rFonts w:hint="eastAsia" w:ascii="仿宋" w:hAnsi="仿宋" w:eastAsia="仿宋" w:cs="仿宋"/>
          <w:b/>
          <w:color w:val="auto"/>
          <w:sz w:val="32"/>
          <w:szCs w:val="32"/>
        </w:rPr>
      </w:pPr>
    </w:p>
    <w:p w14:paraId="574F03BF">
      <w:pPr>
        <w:rPr>
          <w:rFonts w:hint="eastAsia" w:ascii="仿宋" w:hAnsi="仿宋" w:eastAsia="仿宋" w:cs="仿宋"/>
          <w:b/>
          <w:color w:val="auto"/>
          <w:sz w:val="32"/>
          <w:szCs w:val="32"/>
        </w:rPr>
      </w:pPr>
    </w:p>
    <w:p w14:paraId="4A4C33B4">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p>
    <w:p w14:paraId="42ACAC3B">
      <w:pPr>
        <w:rPr>
          <w:rFonts w:hint="eastAsia" w:ascii="仿宋" w:hAnsi="仿宋" w:eastAsia="仿宋" w:cs="仿宋"/>
          <w:b/>
          <w:color w:val="auto"/>
          <w:sz w:val="32"/>
          <w:szCs w:val="32"/>
        </w:rPr>
      </w:pPr>
      <w:r>
        <w:rPr>
          <w:rFonts w:hint="eastAsia" w:ascii="仿宋" w:hAnsi="仿宋" w:eastAsia="仿宋" w:cs="仿宋"/>
          <w:b/>
          <w:color w:val="auto"/>
          <w:sz w:val="32"/>
          <w:szCs w:val="32"/>
        </w:rPr>
        <w:t>一、投标声明及承诺函</w:t>
      </w:r>
    </w:p>
    <w:p w14:paraId="59D7FA2E">
      <w:pPr>
        <w:spacing w:line="500" w:lineRule="exact"/>
        <w:jc w:val="left"/>
        <w:rPr>
          <w:rFonts w:hint="eastAsia" w:ascii="仿宋" w:hAnsi="仿宋" w:eastAsia="仿宋" w:cs="仿宋"/>
          <w:color w:val="auto"/>
          <w:sz w:val="24"/>
          <w:u w:val="single"/>
        </w:rPr>
      </w:pPr>
      <w:r>
        <w:rPr>
          <w:rFonts w:hint="eastAsia" w:ascii="仿宋" w:hAnsi="仿宋" w:eastAsia="仿宋" w:cs="仿宋"/>
          <w:color w:val="auto"/>
          <w:sz w:val="24"/>
          <w:u w:val="single"/>
        </w:rPr>
        <w:t>宿迁市教育局、宿迁市楚润数据集团有限公司：</w:t>
      </w:r>
    </w:p>
    <w:p w14:paraId="4276A60D">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根据已收到的项目编号为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ab/>
      </w:r>
      <w:r>
        <w:rPr>
          <w:rFonts w:hint="eastAsia" w:ascii="仿宋" w:hAnsi="仿宋" w:eastAsia="仿宋" w:cs="仿宋"/>
          <w:color w:val="auto"/>
          <w:sz w:val="24"/>
        </w:rPr>
        <w:t>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项目招标文件，我方在参加本项目招投标活动中，特做出如下承诺：</w:t>
      </w:r>
    </w:p>
    <w:p w14:paraId="0F7B2171">
      <w:pPr>
        <w:spacing w:line="500" w:lineRule="exact"/>
        <w:ind w:firstLine="480"/>
        <w:jc w:val="left"/>
        <w:rPr>
          <w:rFonts w:hint="eastAsia" w:ascii="仿宋" w:hAnsi="仿宋" w:eastAsia="仿宋" w:cs="仿宋"/>
          <w:color w:val="auto"/>
          <w:sz w:val="24"/>
          <w:szCs w:val="22"/>
        </w:rPr>
      </w:pPr>
      <w:r>
        <w:rPr>
          <w:rFonts w:hint="eastAsia" w:ascii="仿宋" w:hAnsi="仿宋" w:eastAsia="仿宋" w:cs="仿宋"/>
          <w:color w:val="auto"/>
          <w:sz w:val="24"/>
        </w:rPr>
        <w:t>一、我方</w:t>
      </w:r>
      <w:r>
        <w:rPr>
          <w:rFonts w:hint="eastAsia" w:ascii="仿宋" w:hAnsi="仿宋" w:eastAsia="仿宋" w:cs="仿宋"/>
          <w:color w:val="auto"/>
          <w:sz w:val="24"/>
          <w:szCs w:val="22"/>
        </w:rPr>
        <w:t>具备《中华人民共和国政府采购法》第二十二条第一款规定的6项条件；</w:t>
      </w:r>
    </w:p>
    <w:p w14:paraId="2684995E">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2924CB1A">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三、我方按招标文件要求提交投标文件，响应招标文件规定的投标有效期；</w:t>
      </w:r>
    </w:p>
    <w:p w14:paraId="10E293FE">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四、如果我方的投标文件被接受，我方将按《中华人民共和国民法典（第三编合同）》及其他有关法律、法规的规定，按期、按质、按量交付采购单位，全面做到履约守信；</w:t>
      </w:r>
    </w:p>
    <w:p w14:paraId="4B680F13">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五、我方若违背本声明及承诺约定，经查实，自愿接受招标人及相关主管部门相应的规定处理，并依法承担相应的法律责任。</w:t>
      </w:r>
    </w:p>
    <w:p w14:paraId="208A42B2">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六、我方同意招标人、采购代理机构将本声明及承诺函上网公开。</w:t>
      </w:r>
    </w:p>
    <w:p w14:paraId="3E4C7154">
      <w:pPr>
        <w:spacing w:line="500" w:lineRule="exact"/>
        <w:ind w:firstLine="480"/>
        <w:jc w:val="left"/>
        <w:rPr>
          <w:rFonts w:hint="eastAsia" w:ascii="仿宋" w:hAnsi="仿宋" w:eastAsia="仿宋" w:cs="仿宋"/>
          <w:color w:val="auto"/>
          <w:sz w:val="24"/>
        </w:rPr>
      </w:pPr>
    </w:p>
    <w:p w14:paraId="50417CAA">
      <w:pPr>
        <w:spacing w:line="500" w:lineRule="exact"/>
        <w:jc w:val="left"/>
        <w:rPr>
          <w:rFonts w:hint="eastAsia" w:ascii="仿宋" w:hAnsi="仿宋" w:eastAsia="仿宋" w:cs="仿宋"/>
          <w:color w:val="auto"/>
          <w:sz w:val="24"/>
        </w:rPr>
      </w:pPr>
    </w:p>
    <w:p w14:paraId="45E3D855">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投标人名称：（加盖CA电子公章）</w:t>
      </w:r>
    </w:p>
    <w:p w14:paraId="7DFFB5DB">
      <w:pPr>
        <w:ind w:firstLine="480"/>
        <w:rPr>
          <w:rFonts w:hint="eastAsia" w:ascii="仿宋" w:hAnsi="仿宋" w:eastAsia="仿宋" w:cs="仿宋"/>
          <w:color w:val="auto"/>
          <w:szCs w:val="22"/>
        </w:rPr>
      </w:pPr>
      <w:r>
        <w:rPr>
          <w:rFonts w:hint="eastAsia" w:ascii="仿宋" w:hAnsi="仿宋" w:eastAsia="仿宋" w:cs="仿宋"/>
          <w:color w:val="auto"/>
          <w:sz w:val="24"/>
        </w:rPr>
        <w:t>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7BEA7F09">
      <w:pPr>
        <w:rPr>
          <w:rFonts w:hint="eastAsia" w:ascii="仿宋" w:hAnsi="仿宋" w:eastAsia="仿宋" w:cs="仿宋"/>
          <w:color w:val="auto"/>
          <w:sz w:val="24"/>
        </w:rPr>
      </w:pPr>
      <w:r>
        <w:rPr>
          <w:rFonts w:hint="eastAsia" w:ascii="仿宋" w:hAnsi="仿宋" w:eastAsia="仿宋" w:cs="仿宋"/>
          <w:color w:val="auto"/>
          <w:sz w:val="24"/>
        </w:rPr>
        <w:br w:type="page" w:clear="all"/>
      </w:r>
      <w:r>
        <w:rPr>
          <w:rFonts w:hint="eastAsia" w:ascii="仿宋" w:hAnsi="仿宋" w:eastAsia="仿宋" w:cs="仿宋"/>
          <w:b/>
          <w:color w:val="auto"/>
          <w:sz w:val="32"/>
          <w:szCs w:val="32"/>
        </w:rPr>
        <w:t>二、投标人基本情况</w:t>
      </w:r>
    </w:p>
    <w:p w14:paraId="4C3DDA4E">
      <w:pPr>
        <w:jc w:val="center"/>
        <w:rPr>
          <w:rFonts w:hint="eastAsia" w:ascii="仿宋" w:hAnsi="仿宋" w:eastAsia="仿宋" w:cs="仿宋"/>
          <w:color w:val="auto"/>
          <w:sz w:val="44"/>
          <w:szCs w:val="44"/>
        </w:rPr>
      </w:pPr>
      <w:r>
        <w:rPr>
          <w:rFonts w:hint="eastAsia" w:ascii="仿宋" w:hAnsi="仿宋" w:eastAsia="仿宋" w:cs="仿宋"/>
          <w:color w:val="auto"/>
          <w:sz w:val="44"/>
          <w:szCs w:val="44"/>
        </w:rPr>
        <w:t>投标人基本情况表</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24CA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6BFE1C61">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投标人名称</w:t>
            </w:r>
          </w:p>
        </w:tc>
        <w:tc>
          <w:tcPr>
            <w:tcW w:w="6998" w:type="dxa"/>
            <w:gridSpan w:val="3"/>
            <w:noWrap w:val="0"/>
            <w:vAlign w:val="center"/>
          </w:tcPr>
          <w:p w14:paraId="4DD44783">
            <w:pPr>
              <w:spacing w:line="600" w:lineRule="exact"/>
              <w:jc w:val="center"/>
              <w:rPr>
                <w:rFonts w:hint="eastAsia" w:ascii="仿宋" w:hAnsi="仿宋" w:eastAsia="仿宋" w:cs="仿宋"/>
                <w:color w:val="auto"/>
                <w:sz w:val="24"/>
              </w:rPr>
            </w:pPr>
          </w:p>
        </w:tc>
      </w:tr>
      <w:tr w14:paraId="7767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D098B63">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法定代表人</w:t>
            </w:r>
          </w:p>
        </w:tc>
        <w:tc>
          <w:tcPr>
            <w:tcW w:w="3118" w:type="dxa"/>
            <w:noWrap w:val="0"/>
            <w:vAlign w:val="center"/>
          </w:tcPr>
          <w:p w14:paraId="5D916708">
            <w:pPr>
              <w:spacing w:line="600" w:lineRule="exact"/>
              <w:jc w:val="center"/>
              <w:rPr>
                <w:rFonts w:hint="eastAsia" w:ascii="仿宋" w:hAnsi="仿宋" w:eastAsia="仿宋" w:cs="仿宋"/>
                <w:color w:val="auto"/>
                <w:sz w:val="24"/>
              </w:rPr>
            </w:pPr>
          </w:p>
        </w:tc>
        <w:tc>
          <w:tcPr>
            <w:tcW w:w="1276" w:type="dxa"/>
            <w:noWrap w:val="0"/>
            <w:vAlign w:val="center"/>
          </w:tcPr>
          <w:p w14:paraId="7C1F5EE2">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注册地区</w:t>
            </w:r>
          </w:p>
        </w:tc>
        <w:tc>
          <w:tcPr>
            <w:tcW w:w="2604" w:type="dxa"/>
            <w:noWrap w:val="0"/>
            <w:vAlign w:val="center"/>
          </w:tcPr>
          <w:p w14:paraId="5F623634">
            <w:pPr>
              <w:spacing w:line="600" w:lineRule="exact"/>
              <w:jc w:val="center"/>
              <w:rPr>
                <w:rFonts w:hint="eastAsia" w:ascii="仿宋" w:hAnsi="仿宋" w:eastAsia="仿宋" w:cs="仿宋"/>
                <w:color w:val="auto"/>
                <w:sz w:val="24"/>
              </w:rPr>
            </w:pPr>
          </w:p>
        </w:tc>
      </w:tr>
      <w:tr w14:paraId="0523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C39C64D">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地址</w:t>
            </w:r>
          </w:p>
        </w:tc>
        <w:tc>
          <w:tcPr>
            <w:tcW w:w="3118" w:type="dxa"/>
            <w:noWrap w:val="0"/>
            <w:vAlign w:val="center"/>
          </w:tcPr>
          <w:p w14:paraId="3BC333B7">
            <w:pPr>
              <w:spacing w:line="600" w:lineRule="exact"/>
              <w:jc w:val="center"/>
              <w:rPr>
                <w:rFonts w:hint="eastAsia" w:ascii="仿宋" w:hAnsi="仿宋" w:eastAsia="仿宋" w:cs="仿宋"/>
                <w:color w:val="auto"/>
                <w:sz w:val="24"/>
              </w:rPr>
            </w:pPr>
          </w:p>
        </w:tc>
        <w:tc>
          <w:tcPr>
            <w:tcW w:w="1276" w:type="dxa"/>
            <w:noWrap w:val="0"/>
            <w:vAlign w:val="center"/>
          </w:tcPr>
          <w:p w14:paraId="4F7BD24C">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邮政编码</w:t>
            </w:r>
          </w:p>
        </w:tc>
        <w:tc>
          <w:tcPr>
            <w:tcW w:w="2604" w:type="dxa"/>
            <w:noWrap w:val="0"/>
            <w:vAlign w:val="center"/>
          </w:tcPr>
          <w:p w14:paraId="687F4D6B">
            <w:pPr>
              <w:spacing w:line="600" w:lineRule="exact"/>
              <w:jc w:val="center"/>
              <w:rPr>
                <w:rFonts w:hint="eastAsia" w:ascii="仿宋" w:hAnsi="仿宋" w:eastAsia="仿宋" w:cs="仿宋"/>
                <w:color w:val="auto"/>
                <w:sz w:val="24"/>
              </w:rPr>
            </w:pPr>
          </w:p>
        </w:tc>
      </w:tr>
      <w:tr w14:paraId="0C9D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3F545D36">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成立时间</w:t>
            </w:r>
          </w:p>
        </w:tc>
        <w:tc>
          <w:tcPr>
            <w:tcW w:w="3118" w:type="dxa"/>
            <w:noWrap w:val="0"/>
            <w:vAlign w:val="center"/>
          </w:tcPr>
          <w:p w14:paraId="1D78F984">
            <w:pPr>
              <w:spacing w:line="600" w:lineRule="exact"/>
              <w:jc w:val="center"/>
              <w:rPr>
                <w:rFonts w:hint="eastAsia" w:ascii="仿宋" w:hAnsi="仿宋" w:eastAsia="仿宋" w:cs="仿宋"/>
                <w:color w:val="auto"/>
                <w:sz w:val="24"/>
              </w:rPr>
            </w:pPr>
          </w:p>
        </w:tc>
        <w:tc>
          <w:tcPr>
            <w:tcW w:w="1276" w:type="dxa"/>
            <w:noWrap w:val="0"/>
            <w:vAlign w:val="center"/>
          </w:tcPr>
          <w:p w14:paraId="5C7B9B37">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单位性质</w:t>
            </w:r>
          </w:p>
        </w:tc>
        <w:tc>
          <w:tcPr>
            <w:tcW w:w="2604" w:type="dxa"/>
            <w:noWrap w:val="0"/>
            <w:vAlign w:val="center"/>
          </w:tcPr>
          <w:p w14:paraId="40D5C235">
            <w:pPr>
              <w:spacing w:line="600" w:lineRule="exact"/>
              <w:jc w:val="center"/>
              <w:rPr>
                <w:rFonts w:hint="eastAsia" w:ascii="仿宋" w:hAnsi="仿宋" w:eastAsia="仿宋" w:cs="仿宋"/>
                <w:color w:val="auto"/>
                <w:sz w:val="24"/>
              </w:rPr>
            </w:pPr>
          </w:p>
        </w:tc>
      </w:tr>
      <w:tr w14:paraId="1E3F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7CC55C2">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注册号或社会信用代码</w:t>
            </w:r>
          </w:p>
        </w:tc>
        <w:tc>
          <w:tcPr>
            <w:tcW w:w="3118" w:type="dxa"/>
            <w:noWrap w:val="0"/>
            <w:vAlign w:val="center"/>
          </w:tcPr>
          <w:p w14:paraId="363A4EF6">
            <w:pPr>
              <w:spacing w:line="600" w:lineRule="exact"/>
              <w:jc w:val="center"/>
              <w:rPr>
                <w:rFonts w:hint="eastAsia" w:ascii="仿宋" w:hAnsi="仿宋" w:eastAsia="仿宋" w:cs="仿宋"/>
                <w:color w:val="auto"/>
                <w:sz w:val="24"/>
              </w:rPr>
            </w:pPr>
          </w:p>
        </w:tc>
        <w:tc>
          <w:tcPr>
            <w:tcW w:w="1276" w:type="dxa"/>
            <w:noWrap w:val="0"/>
            <w:vAlign w:val="center"/>
          </w:tcPr>
          <w:p w14:paraId="11EE1B40">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注册资本（万元）</w:t>
            </w:r>
          </w:p>
        </w:tc>
        <w:tc>
          <w:tcPr>
            <w:tcW w:w="2604" w:type="dxa"/>
            <w:noWrap w:val="0"/>
            <w:vAlign w:val="center"/>
          </w:tcPr>
          <w:p w14:paraId="0B163220">
            <w:pPr>
              <w:spacing w:line="600" w:lineRule="exact"/>
              <w:jc w:val="center"/>
              <w:rPr>
                <w:rFonts w:hint="eastAsia" w:ascii="仿宋" w:hAnsi="仿宋" w:eastAsia="仿宋" w:cs="仿宋"/>
                <w:color w:val="auto"/>
                <w:sz w:val="24"/>
              </w:rPr>
            </w:pPr>
          </w:p>
        </w:tc>
      </w:tr>
      <w:tr w14:paraId="315A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CF79AF1">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投标人类别</w:t>
            </w:r>
          </w:p>
        </w:tc>
        <w:tc>
          <w:tcPr>
            <w:tcW w:w="6998" w:type="dxa"/>
            <w:gridSpan w:val="3"/>
            <w:noWrap w:val="0"/>
            <w:vAlign w:val="center"/>
          </w:tcPr>
          <w:p w14:paraId="6F35416F">
            <w:pPr>
              <w:spacing w:line="600" w:lineRule="exact"/>
              <w:jc w:val="center"/>
              <w:rPr>
                <w:rFonts w:hint="eastAsia" w:ascii="仿宋" w:hAnsi="仿宋" w:eastAsia="仿宋" w:cs="仿宋"/>
                <w:color w:val="auto"/>
                <w:sz w:val="24"/>
              </w:rPr>
            </w:pPr>
          </w:p>
        </w:tc>
      </w:tr>
      <w:tr w14:paraId="3AD6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AE09A2E">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开户银行</w:t>
            </w:r>
          </w:p>
        </w:tc>
        <w:tc>
          <w:tcPr>
            <w:tcW w:w="3118" w:type="dxa"/>
            <w:noWrap w:val="0"/>
            <w:vAlign w:val="center"/>
          </w:tcPr>
          <w:p w14:paraId="58CCF057">
            <w:pPr>
              <w:spacing w:line="600" w:lineRule="exact"/>
              <w:jc w:val="center"/>
              <w:rPr>
                <w:rFonts w:hint="eastAsia" w:ascii="仿宋" w:hAnsi="仿宋" w:eastAsia="仿宋" w:cs="仿宋"/>
                <w:color w:val="auto"/>
                <w:sz w:val="24"/>
              </w:rPr>
            </w:pPr>
          </w:p>
        </w:tc>
        <w:tc>
          <w:tcPr>
            <w:tcW w:w="1276" w:type="dxa"/>
            <w:noWrap w:val="0"/>
            <w:vAlign w:val="center"/>
          </w:tcPr>
          <w:p w14:paraId="04115A85">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账号</w:t>
            </w:r>
          </w:p>
        </w:tc>
        <w:tc>
          <w:tcPr>
            <w:tcW w:w="2604" w:type="dxa"/>
            <w:noWrap w:val="0"/>
            <w:vAlign w:val="center"/>
          </w:tcPr>
          <w:p w14:paraId="07F00B26">
            <w:pPr>
              <w:spacing w:line="600" w:lineRule="exact"/>
              <w:jc w:val="center"/>
              <w:rPr>
                <w:rFonts w:hint="eastAsia" w:ascii="仿宋" w:hAnsi="仿宋" w:eastAsia="仿宋" w:cs="仿宋"/>
                <w:color w:val="auto"/>
                <w:sz w:val="24"/>
              </w:rPr>
            </w:pPr>
          </w:p>
        </w:tc>
      </w:tr>
      <w:tr w14:paraId="0DA5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5A06D38D">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联系人</w:t>
            </w:r>
          </w:p>
        </w:tc>
        <w:tc>
          <w:tcPr>
            <w:tcW w:w="3118" w:type="dxa"/>
            <w:noWrap w:val="0"/>
            <w:vAlign w:val="center"/>
          </w:tcPr>
          <w:p w14:paraId="31198F89">
            <w:pPr>
              <w:spacing w:line="600" w:lineRule="exact"/>
              <w:jc w:val="center"/>
              <w:rPr>
                <w:rFonts w:hint="eastAsia" w:ascii="仿宋" w:hAnsi="仿宋" w:eastAsia="仿宋" w:cs="仿宋"/>
                <w:color w:val="auto"/>
                <w:sz w:val="24"/>
              </w:rPr>
            </w:pPr>
          </w:p>
        </w:tc>
        <w:tc>
          <w:tcPr>
            <w:tcW w:w="1276" w:type="dxa"/>
            <w:noWrap w:val="0"/>
            <w:vAlign w:val="center"/>
          </w:tcPr>
          <w:p w14:paraId="2C0439E8">
            <w:pPr>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联系电话</w:t>
            </w:r>
          </w:p>
        </w:tc>
        <w:tc>
          <w:tcPr>
            <w:tcW w:w="2604" w:type="dxa"/>
            <w:noWrap w:val="0"/>
            <w:vAlign w:val="center"/>
          </w:tcPr>
          <w:p w14:paraId="68AE7AE2">
            <w:pPr>
              <w:spacing w:line="600" w:lineRule="exact"/>
              <w:jc w:val="center"/>
              <w:rPr>
                <w:rFonts w:hint="eastAsia" w:ascii="仿宋" w:hAnsi="仿宋" w:eastAsia="仿宋" w:cs="仿宋"/>
                <w:color w:val="auto"/>
                <w:sz w:val="24"/>
              </w:rPr>
            </w:pPr>
          </w:p>
        </w:tc>
      </w:tr>
      <w:tr w14:paraId="34A7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1A55A459">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经营范围</w:t>
            </w:r>
          </w:p>
        </w:tc>
        <w:tc>
          <w:tcPr>
            <w:tcW w:w="6998" w:type="dxa"/>
            <w:gridSpan w:val="3"/>
            <w:noWrap w:val="0"/>
          </w:tcPr>
          <w:p w14:paraId="4402A217">
            <w:pPr>
              <w:spacing w:line="560" w:lineRule="exact"/>
              <w:ind w:firstLine="1432"/>
              <w:rPr>
                <w:rFonts w:hint="eastAsia" w:ascii="仿宋" w:hAnsi="仿宋" w:eastAsia="仿宋" w:cs="仿宋"/>
                <w:color w:val="auto"/>
                <w:sz w:val="24"/>
              </w:rPr>
            </w:pPr>
          </w:p>
        </w:tc>
      </w:tr>
      <w:tr w14:paraId="6205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6D45B283">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备注</w:t>
            </w:r>
          </w:p>
        </w:tc>
        <w:tc>
          <w:tcPr>
            <w:tcW w:w="6998" w:type="dxa"/>
            <w:gridSpan w:val="3"/>
            <w:noWrap w:val="0"/>
            <w:vAlign w:val="center"/>
          </w:tcPr>
          <w:p w14:paraId="18DF7650">
            <w:pPr>
              <w:spacing w:line="500" w:lineRule="exact"/>
              <w:jc w:val="center"/>
              <w:rPr>
                <w:rFonts w:hint="eastAsia" w:ascii="仿宋" w:hAnsi="仿宋" w:eastAsia="仿宋" w:cs="仿宋"/>
                <w:color w:val="auto"/>
                <w:sz w:val="24"/>
              </w:rPr>
            </w:pPr>
          </w:p>
          <w:p w14:paraId="2FD16F78">
            <w:pPr>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需提供营业执照等证明材料</w:t>
            </w:r>
          </w:p>
        </w:tc>
      </w:tr>
    </w:tbl>
    <w:p w14:paraId="4A9195BB">
      <w:pPr>
        <w:spacing w:line="440" w:lineRule="exact"/>
        <w:ind w:firstLine="480"/>
        <w:rPr>
          <w:rFonts w:hint="eastAsia" w:ascii="仿宋" w:hAnsi="仿宋" w:eastAsia="仿宋" w:cs="仿宋"/>
          <w:color w:val="auto"/>
          <w:sz w:val="24"/>
          <w:szCs w:val="21"/>
        </w:rPr>
      </w:pPr>
    </w:p>
    <w:p w14:paraId="197D5899">
      <w:pPr>
        <w:spacing w:line="440" w:lineRule="exact"/>
        <w:ind w:firstLine="480"/>
        <w:rPr>
          <w:rFonts w:hint="eastAsia" w:ascii="仿宋" w:hAnsi="仿宋" w:eastAsia="仿宋" w:cs="仿宋"/>
          <w:color w:val="auto"/>
          <w:sz w:val="24"/>
          <w:szCs w:val="21"/>
        </w:rPr>
      </w:pPr>
    </w:p>
    <w:p w14:paraId="1B977673">
      <w:pPr>
        <w:spacing w:line="440" w:lineRule="exact"/>
        <w:ind w:firstLine="480"/>
        <w:rPr>
          <w:rFonts w:hint="eastAsia" w:ascii="仿宋" w:hAnsi="仿宋" w:eastAsia="仿宋" w:cs="仿宋"/>
          <w:color w:val="auto"/>
          <w:sz w:val="24"/>
          <w:szCs w:val="21"/>
        </w:rPr>
      </w:pPr>
    </w:p>
    <w:p w14:paraId="49040FC7">
      <w:pPr>
        <w:rPr>
          <w:rFonts w:hint="eastAsia" w:ascii="仿宋" w:hAnsi="仿宋" w:eastAsia="仿宋" w:cs="仿宋"/>
          <w:i/>
          <w:color w:val="auto"/>
          <w:sz w:val="32"/>
          <w:szCs w:val="32"/>
          <w:u w:val="single"/>
        </w:rPr>
      </w:pPr>
    </w:p>
    <w:p w14:paraId="2D21ACEC">
      <w:pPr>
        <w:jc w:val="center"/>
        <w:rPr>
          <w:rFonts w:hint="eastAsia" w:ascii="仿宋" w:hAnsi="仿宋" w:eastAsia="仿宋" w:cs="仿宋"/>
          <w:i/>
          <w:color w:val="auto"/>
          <w:sz w:val="32"/>
          <w:szCs w:val="32"/>
          <w:u w:val="single"/>
        </w:rPr>
      </w:pPr>
      <w:r>
        <w:rPr>
          <w:rFonts w:hint="eastAsia" w:ascii="仿宋" w:hAnsi="仿宋" w:eastAsia="仿宋" w:cs="仿宋"/>
          <w:color w:val="auto"/>
          <w:szCs w:val="21"/>
        </w:rPr>
        <w:br w:type="page" w:clear="all"/>
      </w:r>
    </w:p>
    <w:p w14:paraId="36F4D3BF">
      <w:pPr>
        <w:rPr>
          <w:rFonts w:hint="eastAsia" w:ascii="仿宋" w:hAnsi="仿宋" w:eastAsia="仿宋" w:cs="仿宋"/>
          <w:b/>
          <w:color w:val="auto"/>
          <w:sz w:val="32"/>
          <w:szCs w:val="32"/>
        </w:rPr>
      </w:pPr>
      <w:r>
        <w:rPr>
          <w:rFonts w:hint="eastAsia" w:ascii="仿宋" w:hAnsi="仿宋" w:eastAsia="仿宋" w:cs="仿宋"/>
          <w:b/>
          <w:color w:val="auto"/>
          <w:sz w:val="32"/>
          <w:szCs w:val="32"/>
        </w:rPr>
        <w:t>三、法人授权书</w:t>
      </w:r>
    </w:p>
    <w:p w14:paraId="2B39E767">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本授权书声明：____________（投标人名称）授权________________（被授权人的姓名）为我方就</w:t>
      </w:r>
      <w:r>
        <w:rPr>
          <w:rFonts w:hint="eastAsia" w:ascii="仿宋" w:hAnsi="仿宋" w:eastAsia="仿宋" w:cs="仿宋"/>
          <w:color w:val="auto"/>
          <w:sz w:val="24"/>
          <w:u w:val="single"/>
          <w:lang w:val="en-US" w:eastAsia="zh-CN"/>
        </w:rPr>
        <w:t xml:space="preserve">JSZC-           </w:t>
      </w:r>
      <w:r>
        <w:rPr>
          <w:rFonts w:hint="eastAsia" w:ascii="仿宋" w:hAnsi="仿宋" w:eastAsia="仿宋" w:cs="仿宋"/>
          <w:color w:val="auto"/>
          <w:sz w:val="24"/>
        </w:rPr>
        <w:t>号</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项目采购活动的合法代理人，以本单位名义全权处理一切与该项目采购有关的事务。</w:t>
      </w:r>
    </w:p>
    <w:p w14:paraId="00DBB9E1">
      <w:pPr>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本授权书于______年____月____日起生效，特此声明。</w:t>
      </w:r>
    </w:p>
    <w:p w14:paraId="06DD12CD">
      <w:pPr>
        <w:spacing w:line="500" w:lineRule="exact"/>
        <w:ind w:firstLine="480"/>
        <w:jc w:val="left"/>
        <w:rPr>
          <w:rFonts w:hint="default" w:ascii="仿宋" w:hAnsi="仿宋" w:eastAsia="仿宋" w:cs="仿宋"/>
          <w:color w:val="auto"/>
          <w:sz w:val="24"/>
          <w:u w:val="single"/>
          <w:lang w:val="en-US" w:eastAsia="zh-CN"/>
        </w:rPr>
      </w:pPr>
      <w:r>
        <w:rPr>
          <w:rFonts w:hint="eastAsia" w:ascii="仿宋" w:hAnsi="仿宋" w:eastAsia="仿宋" w:cs="仿宋"/>
          <w:color w:val="auto"/>
          <w:sz w:val="24"/>
        </w:rPr>
        <w:t>被授权人身份证号码：</w:t>
      </w:r>
      <w:r>
        <w:rPr>
          <w:rFonts w:hint="eastAsia" w:ascii="仿宋" w:hAnsi="仿宋" w:eastAsia="仿宋" w:cs="仿宋"/>
          <w:color w:val="auto"/>
          <w:sz w:val="24"/>
          <w:u w:val="single"/>
          <w:lang w:val="en-US" w:eastAsia="zh-CN"/>
        </w:rPr>
        <w:t xml:space="preserve">                     </w:t>
      </w:r>
    </w:p>
    <w:p w14:paraId="31421D64">
      <w:pPr>
        <w:spacing w:line="500" w:lineRule="exact"/>
        <w:ind w:firstLine="480"/>
        <w:jc w:val="left"/>
        <w:rPr>
          <w:rFonts w:hint="default" w:ascii="仿宋" w:hAnsi="仿宋" w:eastAsia="仿宋" w:cs="仿宋"/>
          <w:color w:val="auto"/>
          <w:sz w:val="24"/>
          <w:u w:val="single"/>
          <w:lang w:val="en-US" w:eastAsia="zh-CN"/>
        </w:rPr>
      </w:pPr>
      <w:r>
        <w:rPr>
          <w:rFonts w:hint="eastAsia" w:ascii="仿宋" w:hAnsi="仿宋" w:eastAsia="仿宋" w:cs="仿宋"/>
          <w:color w:val="auto"/>
          <w:sz w:val="24"/>
        </w:rPr>
        <w:t>被授权人联系电话：</w:t>
      </w:r>
      <w:r>
        <w:rPr>
          <w:rFonts w:hint="eastAsia" w:ascii="仿宋" w:hAnsi="仿宋" w:eastAsia="仿宋" w:cs="仿宋"/>
          <w:color w:val="auto"/>
          <w:sz w:val="24"/>
          <w:u w:val="single"/>
        </w:rPr>
        <w:t>（手机）</w:t>
      </w:r>
      <w:r>
        <w:rPr>
          <w:rFonts w:hint="eastAsia" w:ascii="仿宋" w:hAnsi="仿宋" w:eastAsia="仿宋" w:cs="仿宋"/>
          <w:color w:val="auto"/>
          <w:sz w:val="24"/>
          <w:u w:val="single"/>
          <w:lang w:val="en-US" w:eastAsia="zh-CN"/>
        </w:rPr>
        <w:t xml:space="preserve">                     </w:t>
      </w:r>
    </w:p>
    <w:p w14:paraId="5D11DF2E">
      <w:pPr>
        <w:spacing w:line="500" w:lineRule="exact"/>
        <w:ind w:firstLine="480"/>
        <w:jc w:val="left"/>
        <w:rPr>
          <w:rFonts w:hint="eastAsia" w:ascii="仿宋" w:hAnsi="仿宋" w:eastAsia="仿宋" w:cs="仿宋"/>
          <w:color w:val="auto"/>
          <w:sz w:val="24"/>
          <w:u w:val="single"/>
        </w:rPr>
      </w:pPr>
      <w:r>
        <w:rPr>
          <w:rFonts w:hint="eastAsia" w:ascii="仿宋" w:hAnsi="仿宋" w:eastAsia="仿宋" w:cs="仿宋"/>
          <w:color w:val="auto"/>
          <w:sz w:val="24"/>
        </w:rPr>
        <w:t>授权单位名称：</w:t>
      </w:r>
      <w:r>
        <w:rPr>
          <w:rFonts w:hint="eastAsia" w:ascii="仿宋" w:hAnsi="仿宋" w:eastAsia="仿宋" w:cs="仿宋"/>
          <w:color w:val="auto"/>
          <w:sz w:val="24"/>
          <w:u w:val="single"/>
        </w:rPr>
        <w:t xml:space="preserve">（加盖CA电子公章）         </w:t>
      </w:r>
    </w:p>
    <w:p w14:paraId="0457339E">
      <w:pPr>
        <w:spacing w:line="500" w:lineRule="exact"/>
        <w:ind w:firstLine="480"/>
        <w:jc w:val="left"/>
        <w:rPr>
          <w:rFonts w:hint="eastAsia" w:ascii="仿宋" w:hAnsi="仿宋" w:eastAsia="仿宋" w:cs="仿宋"/>
          <w:color w:val="auto"/>
          <w:sz w:val="24"/>
          <w:u w:val="single"/>
          <w:lang w:val="en-US" w:eastAsia="zh-CN"/>
        </w:rPr>
      </w:pPr>
      <w:r>
        <w:rPr>
          <w:rFonts w:hint="eastAsia" w:ascii="仿宋" w:hAnsi="仿宋" w:eastAsia="仿宋" w:cs="仿宋"/>
          <w:color w:val="auto"/>
          <w:sz w:val="24"/>
        </w:rPr>
        <w:t>单位地址：</w:t>
      </w:r>
      <w:r>
        <w:rPr>
          <w:rFonts w:hint="eastAsia" w:ascii="仿宋" w:hAnsi="仿宋" w:eastAsia="仿宋" w:cs="仿宋"/>
          <w:color w:val="auto"/>
          <w:sz w:val="24"/>
          <w:u w:val="single"/>
          <w:lang w:val="en-US" w:eastAsia="zh-CN"/>
        </w:rPr>
        <w:t xml:space="preserve">                     </w:t>
      </w:r>
    </w:p>
    <w:p w14:paraId="09C05EF1">
      <w:pPr>
        <w:spacing w:line="500" w:lineRule="exact"/>
        <w:ind w:firstLine="480"/>
        <w:jc w:val="left"/>
        <w:rPr>
          <w:rFonts w:hint="default" w:ascii="仿宋" w:hAnsi="仿宋" w:eastAsia="仿宋" w:cs="仿宋"/>
          <w:color w:val="auto"/>
          <w:sz w:val="24"/>
          <w:u w:val="single"/>
          <w:lang w:val="en-US" w:eastAsia="zh-CN"/>
        </w:rPr>
      </w:pPr>
      <w:r>
        <w:rPr>
          <w:rFonts w:hint="eastAsia" w:ascii="仿宋" w:hAnsi="仿宋" w:eastAsia="仿宋" w:cs="仿宋"/>
          <w:color w:val="auto"/>
          <w:sz w:val="24"/>
        </w:rPr>
        <w:t>日期：</w:t>
      </w:r>
      <w:bookmarkStart w:id="152" w:name="_格式3__银行出具的资信证明"/>
      <w:bookmarkEnd w:id="152"/>
      <w:bookmarkStart w:id="153" w:name="_Hlt26955070"/>
      <w:bookmarkEnd w:id="153"/>
      <w:bookmarkStart w:id="154" w:name="_Hlt26671380"/>
      <w:bookmarkEnd w:id="154"/>
      <w:r>
        <w:rPr>
          <w:rFonts w:hint="eastAsia" w:ascii="仿宋" w:hAnsi="仿宋" w:eastAsia="仿宋" w:cs="仿宋"/>
          <w:color w:val="auto"/>
          <w:sz w:val="24"/>
          <w:u w:val="single"/>
          <w:lang w:val="en-US" w:eastAsia="zh-CN"/>
        </w:rPr>
        <w:t xml:space="preserve">                  </w:t>
      </w:r>
    </w:p>
    <w:p w14:paraId="33497408">
      <w:pPr>
        <w:rPr>
          <w:rFonts w:hint="eastAsia" w:ascii="仿宋" w:hAnsi="仿宋" w:eastAsia="仿宋" w:cs="仿宋"/>
          <w:color w:val="auto"/>
          <w:sz w:val="24"/>
          <w:szCs w:val="20"/>
        </w:rPr>
      </w:pPr>
      <w:r>
        <w:rPr>
          <w:rFonts w:hint="eastAsia" w:ascii="仿宋" w:hAnsi="仿宋" w:eastAsia="仿宋" w:cs="仿宋"/>
          <w:color w:val="auto"/>
          <w:szCs w:val="21"/>
        </w:rPr>
        <w:br w:type="page" w:clear="all"/>
      </w:r>
      <w:r>
        <w:rPr>
          <w:rFonts w:hint="eastAsia" w:ascii="仿宋" w:hAnsi="仿宋" w:eastAsia="仿宋" w:cs="仿宋"/>
          <w:b/>
          <w:i/>
          <w:color w:val="auto"/>
          <w:sz w:val="32"/>
          <w:szCs w:val="32"/>
          <w:u w:val="single"/>
        </w:rPr>
        <w:t>四、开标一览表</w:t>
      </w:r>
    </w:p>
    <w:p w14:paraId="114278B6">
      <w:pPr>
        <w:ind w:firstLine="480"/>
        <w:rPr>
          <w:rFonts w:hint="eastAsia" w:ascii="仿宋" w:hAnsi="仿宋" w:eastAsia="仿宋" w:cs="仿宋"/>
          <w:color w:val="auto"/>
          <w:sz w:val="24"/>
        </w:rPr>
      </w:pPr>
      <w:r>
        <w:rPr>
          <w:rFonts w:hint="eastAsia" w:ascii="仿宋" w:hAnsi="仿宋" w:eastAsia="仿宋" w:cs="仿宋"/>
          <w:color w:val="auto"/>
          <w:sz w:val="24"/>
        </w:rPr>
        <w:t>投标人全称（加盖CA电子签章）：</w:t>
      </w:r>
    </w:p>
    <w:p w14:paraId="01ED9E95">
      <w:pPr>
        <w:ind w:firstLine="480"/>
        <w:rPr>
          <w:rFonts w:hint="eastAsia" w:ascii="仿宋" w:hAnsi="仿宋" w:eastAsia="仿宋" w:cs="仿宋"/>
          <w:color w:val="auto"/>
          <w:sz w:val="24"/>
          <w:lang w:eastAsia="zh-CN"/>
        </w:rPr>
      </w:pPr>
      <w:r>
        <w:rPr>
          <w:rFonts w:hint="eastAsia" w:ascii="仿宋" w:hAnsi="仿宋" w:eastAsia="仿宋" w:cs="仿宋"/>
          <w:color w:val="auto"/>
          <w:sz w:val="24"/>
        </w:rPr>
        <w:t>项目名称：</w:t>
      </w:r>
      <w:r>
        <w:rPr>
          <w:rFonts w:hint="eastAsia" w:ascii="仿宋" w:hAnsi="仿宋" w:eastAsia="仿宋" w:cs="仿宋"/>
          <w:color w:val="auto"/>
          <w:sz w:val="24"/>
          <w:lang w:val="en-US" w:eastAsia="zh-CN"/>
        </w:rPr>
        <w:t xml:space="preserve"> </w:t>
      </w:r>
    </w:p>
    <w:p w14:paraId="2907D82B">
      <w:pPr>
        <w:ind w:firstLine="480"/>
        <w:rPr>
          <w:rFonts w:hint="eastAsia" w:ascii="仿宋" w:hAnsi="仿宋" w:eastAsia="仿宋" w:cs="仿宋"/>
          <w:color w:val="auto"/>
          <w:sz w:val="24"/>
        </w:rPr>
      </w:pPr>
      <w:r>
        <w:rPr>
          <w:rFonts w:hint="eastAsia" w:ascii="仿宋" w:hAnsi="仿宋" w:eastAsia="仿宋" w:cs="仿宋"/>
          <w:color w:val="auto"/>
          <w:sz w:val="24"/>
        </w:rPr>
        <w:t>招标编号：</w:t>
      </w:r>
    </w:p>
    <w:tbl>
      <w:tblPr>
        <w:tblStyle w:val="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CBF7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36320A7C">
            <w:pPr>
              <w:rPr>
                <w:rFonts w:hint="eastAsia" w:ascii="仿宋" w:hAnsi="仿宋" w:eastAsia="仿宋" w:cs="仿宋"/>
                <w:color w:val="auto"/>
                <w:sz w:val="24"/>
              </w:rPr>
            </w:pPr>
            <w:r>
              <w:rPr>
                <w:rFonts w:hint="eastAsia" w:ascii="仿宋" w:hAnsi="仿宋" w:eastAsia="仿宋" w:cs="仿宋"/>
                <w:color w:val="auto"/>
                <w:sz w:val="24"/>
              </w:rPr>
              <w:t>投标总报价</w:t>
            </w:r>
          </w:p>
        </w:tc>
      </w:tr>
      <w:tr w14:paraId="2F9C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188AD183">
            <w:pPr>
              <w:spacing w:line="500" w:lineRule="exact"/>
              <w:jc w:val="left"/>
              <w:rPr>
                <w:rFonts w:hint="eastAsia" w:ascii="仿宋" w:hAnsi="仿宋" w:eastAsia="仿宋" w:cs="仿宋"/>
                <w:color w:val="auto"/>
                <w:sz w:val="24"/>
                <w:szCs w:val="21"/>
              </w:rPr>
            </w:pPr>
            <w:r>
              <w:rPr>
                <w:rFonts w:hint="eastAsia" w:ascii="仿宋" w:hAnsi="仿宋" w:eastAsia="仿宋" w:cs="仿宋"/>
                <w:color w:val="auto"/>
                <w:sz w:val="24"/>
              </w:rPr>
              <w:t>小写：（人民币：元）</w:t>
            </w:r>
          </w:p>
        </w:tc>
      </w:tr>
      <w:tr w14:paraId="7B3C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19D0FCF5">
            <w:pPr>
              <w:spacing w:line="500" w:lineRule="exact"/>
              <w:jc w:val="left"/>
              <w:rPr>
                <w:rFonts w:hint="eastAsia" w:ascii="仿宋" w:hAnsi="仿宋" w:eastAsia="仿宋" w:cs="仿宋"/>
                <w:color w:val="auto"/>
                <w:sz w:val="24"/>
              </w:rPr>
            </w:pPr>
            <w:r>
              <w:rPr>
                <w:rFonts w:hint="eastAsia" w:ascii="仿宋" w:hAnsi="仿宋" w:eastAsia="仿宋" w:cs="仿宋"/>
                <w:sz w:val="24"/>
                <w:lang w:eastAsia="zh-CN"/>
              </w:rPr>
              <w:t>大写：</w:t>
            </w:r>
          </w:p>
        </w:tc>
      </w:tr>
      <w:tr w14:paraId="017E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1F151109">
            <w:pPr>
              <w:spacing w:line="500" w:lineRule="exact"/>
              <w:jc w:val="left"/>
              <w:rPr>
                <w:rFonts w:hint="eastAsia" w:ascii="仿宋" w:hAnsi="仿宋" w:eastAsia="仿宋" w:cs="仿宋"/>
                <w:color w:val="auto"/>
                <w:sz w:val="24"/>
              </w:rPr>
            </w:pPr>
            <w:r>
              <w:rPr>
                <w:rFonts w:hint="eastAsia" w:ascii="仿宋" w:hAnsi="仿宋" w:eastAsia="仿宋" w:cs="仿宋"/>
                <w:color w:val="auto"/>
                <w:sz w:val="24"/>
              </w:rPr>
              <w:t>合同履约期限：</w:t>
            </w:r>
          </w:p>
        </w:tc>
      </w:tr>
    </w:tbl>
    <w:p w14:paraId="79386D5C">
      <w:pPr>
        <w:rPr>
          <w:rFonts w:hint="eastAsia" w:ascii="仿宋" w:hAnsi="仿宋" w:eastAsia="仿宋" w:cs="仿宋"/>
          <w:color w:val="auto"/>
          <w:sz w:val="24"/>
        </w:rPr>
      </w:pPr>
    </w:p>
    <w:p w14:paraId="21AD0E58">
      <w:pPr>
        <w:ind w:firstLine="48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3AFCE063">
      <w:pPr>
        <w:ind w:firstLine="480"/>
        <w:rPr>
          <w:rFonts w:hint="eastAsia" w:ascii="仿宋" w:hAnsi="仿宋" w:eastAsia="仿宋" w:cs="仿宋"/>
          <w:color w:val="auto"/>
          <w:sz w:val="24"/>
        </w:rPr>
      </w:pPr>
    </w:p>
    <w:p w14:paraId="04171FF5">
      <w:pPr>
        <w:jc w:val="center"/>
        <w:rPr>
          <w:rFonts w:hint="eastAsia" w:ascii="仿宋" w:hAnsi="仿宋" w:eastAsia="仿宋" w:cs="仿宋"/>
          <w:b/>
          <w:bCs/>
          <w:color w:val="auto"/>
          <w:sz w:val="32"/>
          <w:szCs w:val="32"/>
        </w:rPr>
      </w:pPr>
    </w:p>
    <w:p w14:paraId="4B458FE1">
      <w:pPr>
        <w:spacing w:line="420" w:lineRule="exact"/>
        <w:ind w:left="420" w:firstLine="480"/>
        <w:jc w:val="left"/>
        <w:rPr>
          <w:rFonts w:hint="eastAsia" w:ascii="仿宋" w:hAnsi="仿宋" w:eastAsia="仿宋" w:cs="仿宋"/>
          <w:color w:val="auto"/>
          <w:sz w:val="24"/>
          <w:szCs w:val="21"/>
        </w:rPr>
      </w:pPr>
    </w:p>
    <w:p w14:paraId="2FBDAAA1">
      <w:pPr>
        <w:jc w:val="center"/>
        <w:rPr>
          <w:rFonts w:hint="eastAsia" w:ascii="仿宋" w:hAnsi="仿宋" w:eastAsia="仿宋" w:cs="仿宋"/>
          <w:bCs/>
          <w:color w:val="auto"/>
          <w:sz w:val="24"/>
          <w:szCs w:val="21"/>
        </w:rPr>
      </w:pPr>
    </w:p>
    <w:p w14:paraId="10671EA8">
      <w:pPr>
        <w:jc w:val="center"/>
        <w:rPr>
          <w:rFonts w:hint="eastAsia" w:ascii="仿宋" w:hAnsi="仿宋" w:eastAsia="仿宋" w:cs="仿宋"/>
          <w:bCs/>
          <w:color w:val="auto"/>
          <w:sz w:val="24"/>
          <w:szCs w:val="21"/>
        </w:rPr>
      </w:pPr>
    </w:p>
    <w:p w14:paraId="10FE7ACD">
      <w:pPr>
        <w:jc w:val="center"/>
        <w:rPr>
          <w:rFonts w:hint="eastAsia" w:ascii="仿宋" w:hAnsi="仿宋" w:eastAsia="仿宋" w:cs="仿宋"/>
          <w:bCs/>
          <w:color w:val="auto"/>
          <w:sz w:val="24"/>
          <w:szCs w:val="21"/>
        </w:rPr>
      </w:pPr>
    </w:p>
    <w:p w14:paraId="2DFE05F9">
      <w:pPr>
        <w:jc w:val="center"/>
        <w:rPr>
          <w:rFonts w:hint="eastAsia" w:ascii="仿宋" w:hAnsi="仿宋" w:eastAsia="仿宋" w:cs="仿宋"/>
          <w:bCs/>
          <w:color w:val="auto"/>
          <w:sz w:val="24"/>
          <w:szCs w:val="21"/>
        </w:rPr>
      </w:pPr>
    </w:p>
    <w:p w14:paraId="7CBC3253">
      <w:pPr>
        <w:jc w:val="center"/>
        <w:rPr>
          <w:rFonts w:hint="eastAsia" w:ascii="仿宋" w:hAnsi="仿宋" w:eastAsia="仿宋" w:cs="仿宋"/>
          <w:bCs/>
          <w:color w:val="auto"/>
          <w:sz w:val="24"/>
          <w:szCs w:val="21"/>
        </w:rPr>
      </w:pPr>
    </w:p>
    <w:p w14:paraId="5DF4BF51">
      <w:pPr>
        <w:jc w:val="center"/>
        <w:rPr>
          <w:rFonts w:hint="eastAsia" w:ascii="仿宋" w:hAnsi="仿宋" w:eastAsia="仿宋" w:cs="仿宋"/>
          <w:bCs/>
          <w:color w:val="auto"/>
          <w:sz w:val="24"/>
          <w:szCs w:val="21"/>
        </w:rPr>
      </w:pPr>
    </w:p>
    <w:p w14:paraId="319026C4">
      <w:pPr>
        <w:jc w:val="center"/>
        <w:rPr>
          <w:rFonts w:hint="eastAsia" w:ascii="仿宋" w:hAnsi="仿宋" w:eastAsia="仿宋" w:cs="仿宋"/>
          <w:bCs/>
          <w:color w:val="auto"/>
          <w:sz w:val="24"/>
          <w:szCs w:val="21"/>
        </w:rPr>
      </w:pPr>
    </w:p>
    <w:p w14:paraId="5C57D7D3">
      <w:pPr>
        <w:jc w:val="center"/>
        <w:rPr>
          <w:rFonts w:hint="eastAsia" w:ascii="仿宋" w:hAnsi="仿宋" w:eastAsia="仿宋" w:cs="仿宋"/>
          <w:bCs/>
          <w:color w:val="auto"/>
          <w:sz w:val="24"/>
          <w:szCs w:val="21"/>
        </w:rPr>
      </w:pPr>
    </w:p>
    <w:p w14:paraId="6A562FAB">
      <w:pPr>
        <w:jc w:val="center"/>
        <w:rPr>
          <w:rFonts w:hint="eastAsia" w:ascii="仿宋" w:hAnsi="仿宋" w:eastAsia="仿宋" w:cs="仿宋"/>
          <w:bCs/>
          <w:color w:val="auto"/>
          <w:sz w:val="24"/>
          <w:szCs w:val="21"/>
        </w:rPr>
      </w:pPr>
    </w:p>
    <w:p w14:paraId="1702BA7F">
      <w:pPr>
        <w:jc w:val="center"/>
        <w:rPr>
          <w:rFonts w:hint="eastAsia" w:ascii="仿宋" w:hAnsi="仿宋" w:eastAsia="仿宋" w:cs="仿宋"/>
          <w:bCs/>
          <w:color w:val="auto"/>
          <w:sz w:val="24"/>
          <w:szCs w:val="21"/>
        </w:rPr>
      </w:pPr>
    </w:p>
    <w:p w14:paraId="1103EF7C">
      <w:pPr>
        <w:jc w:val="center"/>
        <w:rPr>
          <w:rFonts w:hint="eastAsia" w:ascii="仿宋" w:hAnsi="仿宋" w:eastAsia="仿宋" w:cs="仿宋"/>
          <w:bCs/>
          <w:color w:val="auto"/>
          <w:sz w:val="24"/>
          <w:szCs w:val="21"/>
        </w:rPr>
      </w:pPr>
    </w:p>
    <w:p w14:paraId="1A7244AB">
      <w:pPr>
        <w:jc w:val="center"/>
        <w:rPr>
          <w:rFonts w:hint="eastAsia" w:ascii="仿宋" w:hAnsi="仿宋" w:eastAsia="仿宋" w:cs="仿宋"/>
          <w:bCs/>
          <w:color w:val="auto"/>
          <w:sz w:val="24"/>
          <w:szCs w:val="21"/>
        </w:rPr>
      </w:pPr>
    </w:p>
    <w:p w14:paraId="4081A630">
      <w:pPr>
        <w:jc w:val="center"/>
        <w:rPr>
          <w:rFonts w:hint="eastAsia" w:ascii="仿宋" w:hAnsi="仿宋" w:eastAsia="仿宋" w:cs="仿宋"/>
          <w:bCs/>
          <w:color w:val="auto"/>
          <w:sz w:val="24"/>
          <w:szCs w:val="21"/>
        </w:rPr>
      </w:pPr>
    </w:p>
    <w:p w14:paraId="2991B721">
      <w:pPr>
        <w:jc w:val="center"/>
        <w:rPr>
          <w:rFonts w:hint="eastAsia" w:ascii="仿宋" w:hAnsi="仿宋" w:eastAsia="仿宋" w:cs="仿宋"/>
          <w:bCs/>
          <w:color w:val="auto"/>
          <w:sz w:val="24"/>
          <w:szCs w:val="21"/>
        </w:rPr>
      </w:pPr>
    </w:p>
    <w:p w14:paraId="6248221C">
      <w:pPr>
        <w:jc w:val="center"/>
        <w:rPr>
          <w:rFonts w:hint="eastAsia" w:ascii="仿宋" w:hAnsi="仿宋" w:eastAsia="仿宋" w:cs="仿宋"/>
          <w:bCs/>
          <w:color w:val="auto"/>
          <w:sz w:val="24"/>
          <w:szCs w:val="21"/>
        </w:rPr>
      </w:pPr>
    </w:p>
    <w:p w14:paraId="38EE4377">
      <w:pPr>
        <w:jc w:val="center"/>
        <w:rPr>
          <w:rFonts w:hint="eastAsia" w:ascii="仿宋" w:hAnsi="仿宋" w:eastAsia="仿宋" w:cs="仿宋"/>
          <w:bCs/>
          <w:color w:val="auto"/>
          <w:sz w:val="24"/>
          <w:szCs w:val="21"/>
        </w:rPr>
      </w:pPr>
    </w:p>
    <w:p w14:paraId="6F487905">
      <w:pPr>
        <w:jc w:val="center"/>
        <w:rPr>
          <w:rFonts w:hint="eastAsia" w:ascii="仿宋" w:hAnsi="仿宋" w:eastAsia="仿宋" w:cs="仿宋"/>
          <w:bCs/>
          <w:color w:val="auto"/>
          <w:sz w:val="24"/>
          <w:szCs w:val="21"/>
        </w:rPr>
      </w:pPr>
    </w:p>
    <w:p w14:paraId="52CE64AD">
      <w:pPr>
        <w:jc w:val="center"/>
        <w:rPr>
          <w:rFonts w:hint="eastAsia" w:ascii="仿宋" w:hAnsi="仿宋" w:eastAsia="仿宋" w:cs="仿宋"/>
          <w:bCs/>
          <w:color w:val="auto"/>
          <w:sz w:val="24"/>
          <w:szCs w:val="21"/>
        </w:rPr>
      </w:pPr>
    </w:p>
    <w:p w14:paraId="3B62AD41">
      <w:pPr>
        <w:jc w:val="center"/>
        <w:rPr>
          <w:rFonts w:hint="eastAsia" w:ascii="仿宋" w:hAnsi="仿宋" w:eastAsia="仿宋" w:cs="仿宋"/>
          <w:bCs/>
          <w:color w:val="auto"/>
          <w:sz w:val="24"/>
          <w:szCs w:val="21"/>
        </w:rPr>
      </w:pPr>
    </w:p>
    <w:p w14:paraId="372E5411">
      <w:pPr>
        <w:rPr>
          <w:rFonts w:hint="eastAsia" w:ascii="仿宋" w:hAnsi="仿宋" w:eastAsia="仿宋" w:cs="仿宋"/>
          <w:b/>
          <w:color w:val="auto"/>
          <w:sz w:val="32"/>
          <w:szCs w:val="32"/>
        </w:rPr>
      </w:pPr>
    </w:p>
    <w:p w14:paraId="636D8D23">
      <w:pPr>
        <w:rPr>
          <w:rFonts w:hint="eastAsia" w:ascii="仿宋" w:hAnsi="仿宋" w:eastAsia="仿宋" w:cs="仿宋"/>
          <w:b/>
          <w:color w:val="auto"/>
          <w:sz w:val="32"/>
          <w:szCs w:val="32"/>
        </w:rPr>
      </w:pPr>
    </w:p>
    <w:p w14:paraId="1481B2BD">
      <w:pPr>
        <w:rPr>
          <w:rFonts w:hint="eastAsia" w:ascii="仿宋" w:hAnsi="仿宋" w:eastAsia="仿宋" w:cs="仿宋"/>
          <w:b/>
          <w:color w:val="auto"/>
          <w:sz w:val="32"/>
          <w:szCs w:val="32"/>
        </w:rPr>
      </w:pPr>
    </w:p>
    <w:p w14:paraId="61385785">
      <w:pPr>
        <w:rPr>
          <w:rFonts w:hint="eastAsia" w:ascii="仿宋" w:hAnsi="仿宋" w:eastAsia="仿宋" w:cs="仿宋"/>
          <w:b/>
          <w:color w:val="auto"/>
          <w:sz w:val="32"/>
          <w:szCs w:val="32"/>
        </w:rPr>
      </w:pPr>
    </w:p>
    <w:p w14:paraId="478110CC">
      <w:pPr>
        <w:rPr>
          <w:rFonts w:hint="eastAsia" w:ascii="仿宋" w:hAnsi="仿宋" w:eastAsia="仿宋" w:cs="仿宋"/>
          <w:b/>
          <w:color w:val="auto"/>
          <w:sz w:val="32"/>
          <w:szCs w:val="32"/>
        </w:rPr>
      </w:pPr>
    </w:p>
    <w:p w14:paraId="4607BED1">
      <w:pPr>
        <w:numPr>
          <w:ilvl w:val="0"/>
          <w:numId w:val="9"/>
        </w:numPr>
        <w:rPr>
          <w:rFonts w:hint="eastAsia" w:ascii="仿宋" w:hAnsi="仿宋" w:eastAsia="仿宋" w:cs="仿宋"/>
          <w:b/>
          <w:color w:val="auto"/>
          <w:sz w:val="32"/>
          <w:szCs w:val="32"/>
        </w:rPr>
      </w:pPr>
      <w:r>
        <w:rPr>
          <w:rFonts w:hint="eastAsia" w:ascii="仿宋" w:hAnsi="仿宋" w:eastAsia="仿宋" w:cs="仿宋"/>
          <w:b/>
          <w:color w:val="auto"/>
          <w:sz w:val="32"/>
          <w:szCs w:val="32"/>
        </w:rPr>
        <w:t>分项报价表</w:t>
      </w:r>
    </w:p>
    <w:p w14:paraId="6F067CC0">
      <w:pPr>
        <w:rPr>
          <w:rFonts w:hint="eastAsia" w:ascii="仿宋" w:hAnsi="仿宋" w:eastAsia="仿宋" w:cs="仿宋"/>
          <w:b/>
          <w:color w:val="auto"/>
          <w:sz w:val="32"/>
          <w:szCs w:val="32"/>
        </w:rPr>
      </w:pPr>
      <w:r>
        <w:rPr>
          <w:rFonts w:hint="eastAsia" w:ascii="仿宋" w:hAnsi="仿宋" w:eastAsia="仿宋" w:cs="仿宋"/>
          <w:b/>
          <w:color w:val="auto"/>
          <w:sz w:val="28"/>
          <w:szCs w:val="28"/>
        </w:rPr>
        <w:t>市级标准化考点维保</w:t>
      </w:r>
    </w:p>
    <w:tbl>
      <w:tblPr>
        <w:tblStyle w:val="31"/>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357"/>
        <w:gridCol w:w="923"/>
        <w:gridCol w:w="913"/>
        <w:gridCol w:w="975"/>
        <w:gridCol w:w="1112"/>
      </w:tblGrid>
      <w:tr w14:paraId="41212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EBAD9A6">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4357" w:type="dxa"/>
            <w:noWrap/>
            <w:vAlign w:val="center"/>
          </w:tcPr>
          <w:p w14:paraId="724CE8FA">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服务名称</w:t>
            </w:r>
          </w:p>
        </w:tc>
        <w:tc>
          <w:tcPr>
            <w:tcW w:w="923" w:type="dxa"/>
            <w:noWrap/>
            <w:vAlign w:val="center"/>
          </w:tcPr>
          <w:p w14:paraId="1685D1B6">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913" w:type="dxa"/>
            <w:noWrap/>
            <w:vAlign w:val="center"/>
          </w:tcPr>
          <w:p w14:paraId="1CDDD847">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数量</w:t>
            </w:r>
          </w:p>
        </w:tc>
        <w:tc>
          <w:tcPr>
            <w:tcW w:w="975" w:type="dxa"/>
            <w:noWrap/>
            <w:vAlign w:val="center"/>
          </w:tcPr>
          <w:p w14:paraId="18189BDF">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单价（元）</w:t>
            </w:r>
          </w:p>
        </w:tc>
        <w:tc>
          <w:tcPr>
            <w:tcW w:w="1112" w:type="dxa"/>
            <w:noWrap/>
            <w:vAlign w:val="center"/>
          </w:tcPr>
          <w:p w14:paraId="264806C6">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总价（元）</w:t>
            </w:r>
          </w:p>
        </w:tc>
      </w:tr>
      <w:tr w14:paraId="13543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4E0EA83D">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1</w:t>
            </w:r>
          </w:p>
        </w:tc>
        <w:tc>
          <w:tcPr>
            <w:tcW w:w="4357" w:type="dxa"/>
            <w:noWrap/>
            <w:vAlign w:val="center"/>
          </w:tcPr>
          <w:p w14:paraId="708A91AE">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23" w:type="dxa"/>
            <w:shd w:val="clear" w:color="auto" w:fill="auto"/>
            <w:noWrap/>
            <w:vAlign w:val="center"/>
          </w:tcPr>
          <w:p w14:paraId="0499E26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07B6439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846</w:t>
            </w:r>
          </w:p>
        </w:tc>
        <w:tc>
          <w:tcPr>
            <w:tcW w:w="975" w:type="dxa"/>
            <w:noWrap/>
            <w:vAlign w:val="center"/>
          </w:tcPr>
          <w:p w14:paraId="37D347BA">
            <w:pPr>
              <w:widowControl/>
              <w:jc w:val="center"/>
              <w:rPr>
                <w:rFonts w:hint="eastAsia" w:ascii="仿宋" w:hAnsi="仿宋" w:eastAsia="仿宋" w:cs="仿宋"/>
                <w:b/>
                <w:bCs/>
                <w:color w:val="auto"/>
                <w:sz w:val="24"/>
                <w:highlight w:val="none"/>
                <w:lang w:bidi="ar"/>
              </w:rPr>
            </w:pPr>
          </w:p>
        </w:tc>
        <w:tc>
          <w:tcPr>
            <w:tcW w:w="1112" w:type="dxa"/>
            <w:noWrap/>
            <w:vAlign w:val="center"/>
          </w:tcPr>
          <w:p w14:paraId="71DB302B">
            <w:pPr>
              <w:widowControl/>
              <w:jc w:val="center"/>
              <w:rPr>
                <w:rFonts w:hint="eastAsia" w:ascii="仿宋" w:hAnsi="仿宋" w:eastAsia="仿宋" w:cs="仿宋"/>
                <w:b/>
                <w:bCs/>
                <w:color w:val="auto"/>
                <w:sz w:val="24"/>
                <w:highlight w:val="none"/>
                <w:lang w:bidi="ar"/>
              </w:rPr>
            </w:pPr>
          </w:p>
        </w:tc>
      </w:tr>
      <w:tr w14:paraId="37B47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2707C827">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2</w:t>
            </w:r>
          </w:p>
        </w:tc>
        <w:tc>
          <w:tcPr>
            <w:tcW w:w="4357" w:type="dxa"/>
            <w:noWrap/>
            <w:vAlign w:val="center"/>
          </w:tcPr>
          <w:p w14:paraId="39FDD5F0">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23" w:type="dxa"/>
            <w:shd w:val="clear" w:color="auto" w:fill="auto"/>
            <w:noWrap/>
            <w:vAlign w:val="center"/>
          </w:tcPr>
          <w:p w14:paraId="201395B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3F35E43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2300</w:t>
            </w:r>
          </w:p>
        </w:tc>
        <w:tc>
          <w:tcPr>
            <w:tcW w:w="975" w:type="dxa"/>
            <w:noWrap/>
            <w:vAlign w:val="center"/>
          </w:tcPr>
          <w:p w14:paraId="541AB24E">
            <w:pPr>
              <w:widowControl/>
              <w:jc w:val="center"/>
              <w:rPr>
                <w:rFonts w:hint="eastAsia" w:ascii="仿宋" w:hAnsi="仿宋" w:eastAsia="仿宋" w:cs="仿宋"/>
                <w:b/>
                <w:bCs/>
                <w:color w:val="auto"/>
                <w:sz w:val="24"/>
                <w:highlight w:val="none"/>
                <w:lang w:bidi="ar"/>
              </w:rPr>
            </w:pPr>
          </w:p>
        </w:tc>
        <w:tc>
          <w:tcPr>
            <w:tcW w:w="1112" w:type="dxa"/>
            <w:noWrap/>
            <w:vAlign w:val="center"/>
          </w:tcPr>
          <w:p w14:paraId="73C99A91">
            <w:pPr>
              <w:widowControl/>
              <w:jc w:val="center"/>
              <w:rPr>
                <w:rFonts w:hint="eastAsia" w:ascii="仿宋" w:hAnsi="仿宋" w:eastAsia="仿宋" w:cs="仿宋"/>
                <w:b/>
                <w:bCs/>
                <w:color w:val="auto"/>
                <w:sz w:val="24"/>
                <w:highlight w:val="none"/>
                <w:lang w:bidi="ar"/>
              </w:rPr>
            </w:pPr>
          </w:p>
        </w:tc>
      </w:tr>
      <w:tr w14:paraId="584C7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25D171AF">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3</w:t>
            </w:r>
          </w:p>
        </w:tc>
        <w:tc>
          <w:tcPr>
            <w:tcW w:w="4357" w:type="dxa"/>
            <w:noWrap/>
            <w:vAlign w:val="center"/>
          </w:tcPr>
          <w:p w14:paraId="103EF141">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23" w:type="dxa"/>
            <w:shd w:val="clear" w:color="auto" w:fill="auto"/>
            <w:noWrap/>
            <w:vAlign w:val="center"/>
          </w:tcPr>
          <w:p w14:paraId="6795F57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559E0C8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5108BBD1">
            <w:pPr>
              <w:widowControl/>
              <w:jc w:val="center"/>
              <w:rPr>
                <w:rFonts w:hint="eastAsia" w:ascii="仿宋" w:hAnsi="仿宋" w:eastAsia="仿宋" w:cs="仿宋"/>
                <w:b/>
                <w:bCs/>
                <w:color w:val="auto"/>
                <w:sz w:val="24"/>
                <w:highlight w:val="none"/>
                <w:lang w:bidi="ar"/>
              </w:rPr>
            </w:pPr>
          </w:p>
        </w:tc>
        <w:tc>
          <w:tcPr>
            <w:tcW w:w="1112" w:type="dxa"/>
            <w:noWrap/>
            <w:vAlign w:val="center"/>
          </w:tcPr>
          <w:p w14:paraId="62DCEEED">
            <w:pPr>
              <w:widowControl/>
              <w:jc w:val="center"/>
              <w:rPr>
                <w:rFonts w:hint="eastAsia" w:ascii="仿宋" w:hAnsi="仿宋" w:eastAsia="仿宋" w:cs="仿宋"/>
                <w:b/>
                <w:bCs/>
                <w:color w:val="auto"/>
                <w:sz w:val="24"/>
                <w:highlight w:val="none"/>
                <w:lang w:bidi="ar"/>
              </w:rPr>
            </w:pPr>
          </w:p>
        </w:tc>
      </w:tr>
      <w:tr w14:paraId="6EEE6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D30EDAA">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4</w:t>
            </w:r>
          </w:p>
        </w:tc>
        <w:tc>
          <w:tcPr>
            <w:tcW w:w="4357" w:type="dxa"/>
            <w:noWrap/>
            <w:vAlign w:val="center"/>
          </w:tcPr>
          <w:p w14:paraId="269F2247">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23" w:type="dxa"/>
            <w:shd w:val="clear" w:color="auto" w:fill="auto"/>
            <w:noWrap/>
            <w:vAlign w:val="center"/>
          </w:tcPr>
          <w:p w14:paraId="5CB9B3D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5DAA8DA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4864CE57">
            <w:pPr>
              <w:widowControl/>
              <w:jc w:val="center"/>
              <w:rPr>
                <w:rFonts w:hint="eastAsia" w:ascii="仿宋" w:hAnsi="仿宋" w:eastAsia="仿宋" w:cs="仿宋"/>
                <w:b/>
                <w:bCs/>
                <w:color w:val="auto"/>
                <w:sz w:val="24"/>
                <w:highlight w:val="none"/>
                <w:lang w:bidi="ar"/>
              </w:rPr>
            </w:pPr>
          </w:p>
        </w:tc>
        <w:tc>
          <w:tcPr>
            <w:tcW w:w="1112" w:type="dxa"/>
            <w:noWrap/>
            <w:vAlign w:val="center"/>
          </w:tcPr>
          <w:p w14:paraId="4EDE2DCD">
            <w:pPr>
              <w:widowControl/>
              <w:jc w:val="center"/>
              <w:rPr>
                <w:rFonts w:hint="eastAsia" w:ascii="仿宋" w:hAnsi="仿宋" w:eastAsia="仿宋" w:cs="仿宋"/>
                <w:b/>
                <w:bCs/>
                <w:color w:val="auto"/>
                <w:sz w:val="24"/>
                <w:highlight w:val="none"/>
                <w:lang w:bidi="ar"/>
              </w:rPr>
            </w:pPr>
          </w:p>
        </w:tc>
      </w:tr>
      <w:tr w14:paraId="0FA8D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7B4474C8">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5</w:t>
            </w:r>
          </w:p>
        </w:tc>
        <w:tc>
          <w:tcPr>
            <w:tcW w:w="4357" w:type="dxa"/>
            <w:noWrap/>
            <w:vAlign w:val="center"/>
          </w:tcPr>
          <w:p w14:paraId="57847B11">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组网线路服务</w:t>
            </w:r>
          </w:p>
        </w:tc>
        <w:tc>
          <w:tcPr>
            <w:tcW w:w="923" w:type="dxa"/>
            <w:shd w:val="clear" w:color="auto" w:fill="auto"/>
            <w:noWrap/>
            <w:vAlign w:val="center"/>
          </w:tcPr>
          <w:p w14:paraId="520564D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条</w:t>
            </w:r>
          </w:p>
        </w:tc>
        <w:tc>
          <w:tcPr>
            <w:tcW w:w="913" w:type="dxa"/>
            <w:shd w:val="clear" w:color="auto" w:fill="auto"/>
            <w:noWrap/>
            <w:vAlign w:val="center"/>
          </w:tcPr>
          <w:p w14:paraId="6DB1A1A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21</w:t>
            </w:r>
          </w:p>
        </w:tc>
        <w:tc>
          <w:tcPr>
            <w:tcW w:w="975" w:type="dxa"/>
            <w:noWrap/>
            <w:vAlign w:val="center"/>
          </w:tcPr>
          <w:p w14:paraId="3F722E8E">
            <w:pPr>
              <w:widowControl/>
              <w:jc w:val="center"/>
              <w:rPr>
                <w:rFonts w:hint="eastAsia" w:ascii="仿宋" w:hAnsi="仿宋" w:eastAsia="仿宋" w:cs="仿宋"/>
                <w:b/>
                <w:bCs/>
                <w:color w:val="auto"/>
                <w:sz w:val="24"/>
                <w:highlight w:val="none"/>
                <w:lang w:bidi="ar"/>
              </w:rPr>
            </w:pPr>
          </w:p>
        </w:tc>
        <w:tc>
          <w:tcPr>
            <w:tcW w:w="1112" w:type="dxa"/>
            <w:noWrap/>
            <w:vAlign w:val="center"/>
          </w:tcPr>
          <w:p w14:paraId="07D0C714">
            <w:pPr>
              <w:widowControl/>
              <w:jc w:val="center"/>
              <w:rPr>
                <w:rFonts w:hint="eastAsia" w:ascii="仿宋" w:hAnsi="仿宋" w:eastAsia="仿宋" w:cs="仿宋"/>
                <w:b/>
                <w:bCs/>
                <w:color w:val="auto"/>
                <w:sz w:val="24"/>
                <w:highlight w:val="none"/>
                <w:lang w:bidi="ar"/>
              </w:rPr>
            </w:pPr>
          </w:p>
        </w:tc>
      </w:tr>
      <w:tr w14:paraId="227A6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5D03E3E0">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6</w:t>
            </w:r>
          </w:p>
        </w:tc>
        <w:tc>
          <w:tcPr>
            <w:tcW w:w="4357" w:type="dxa"/>
            <w:noWrap/>
            <w:vAlign w:val="center"/>
          </w:tcPr>
          <w:p w14:paraId="29B3816C">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23" w:type="dxa"/>
            <w:shd w:val="clear" w:color="auto" w:fill="auto"/>
            <w:noWrap/>
            <w:vAlign w:val="center"/>
          </w:tcPr>
          <w:p w14:paraId="15103F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7138EAB7">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726</w:t>
            </w:r>
          </w:p>
        </w:tc>
        <w:tc>
          <w:tcPr>
            <w:tcW w:w="975" w:type="dxa"/>
            <w:noWrap/>
            <w:vAlign w:val="center"/>
          </w:tcPr>
          <w:p w14:paraId="0C4E5F63">
            <w:pPr>
              <w:widowControl/>
              <w:jc w:val="center"/>
              <w:rPr>
                <w:rFonts w:hint="eastAsia" w:ascii="仿宋" w:hAnsi="仿宋" w:eastAsia="仿宋" w:cs="仿宋"/>
                <w:b/>
                <w:bCs/>
                <w:color w:val="auto"/>
                <w:sz w:val="24"/>
                <w:highlight w:val="none"/>
                <w:lang w:bidi="ar"/>
              </w:rPr>
            </w:pPr>
          </w:p>
        </w:tc>
        <w:tc>
          <w:tcPr>
            <w:tcW w:w="1112" w:type="dxa"/>
            <w:noWrap/>
            <w:vAlign w:val="center"/>
          </w:tcPr>
          <w:p w14:paraId="082F8027">
            <w:pPr>
              <w:widowControl/>
              <w:jc w:val="center"/>
              <w:rPr>
                <w:rFonts w:hint="eastAsia" w:ascii="仿宋" w:hAnsi="仿宋" w:eastAsia="仿宋" w:cs="仿宋"/>
                <w:b/>
                <w:bCs/>
                <w:color w:val="auto"/>
                <w:sz w:val="24"/>
                <w:highlight w:val="none"/>
                <w:lang w:bidi="ar"/>
              </w:rPr>
            </w:pPr>
          </w:p>
        </w:tc>
      </w:tr>
      <w:tr w14:paraId="6E6BF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21263A0D">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7</w:t>
            </w:r>
          </w:p>
        </w:tc>
        <w:tc>
          <w:tcPr>
            <w:tcW w:w="4357" w:type="dxa"/>
            <w:noWrap/>
            <w:vAlign w:val="center"/>
          </w:tcPr>
          <w:p w14:paraId="49F088E3">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市教育考试指挥中心可视化显示系统升级改造服务</w:t>
            </w:r>
          </w:p>
        </w:tc>
        <w:tc>
          <w:tcPr>
            <w:tcW w:w="923" w:type="dxa"/>
            <w:shd w:val="clear" w:color="auto" w:fill="auto"/>
            <w:noWrap/>
            <w:vAlign w:val="center"/>
          </w:tcPr>
          <w:p w14:paraId="7EDF14B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1A19C4A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7172C15B">
            <w:pPr>
              <w:widowControl/>
              <w:jc w:val="center"/>
              <w:rPr>
                <w:rFonts w:hint="eastAsia" w:ascii="仿宋" w:hAnsi="仿宋" w:eastAsia="仿宋" w:cs="仿宋"/>
                <w:b/>
                <w:bCs/>
                <w:color w:val="auto"/>
                <w:sz w:val="24"/>
                <w:highlight w:val="none"/>
                <w:lang w:bidi="ar"/>
              </w:rPr>
            </w:pPr>
          </w:p>
        </w:tc>
        <w:tc>
          <w:tcPr>
            <w:tcW w:w="1112" w:type="dxa"/>
            <w:noWrap/>
            <w:vAlign w:val="center"/>
          </w:tcPr>
          <w:p w14:paraId="10DF20D8">
            <w:pPr>
              <w:widowControl/>
              <w:jc w:val="center"/>
              <w:rPr>
                <w:rFonts w:hint="eastAsia" w:ascii="仿宋" w:hAnsi="仿宋" w:eastAsia="仿宋" w:cs="仿宋"/>
                <w:b/>
                <w:bCs/>
                <w:color w:val="auto"/>
                <w:sz w:val="24"/>
                <w:highlight w:val="none"/>
                <w:lang w:bidi="ar"/>
              </w:rPr>
            </w:pPr>
          </w:p>
        </w:tc>
      </w:tr>
      <w:tr w14:paraId="0C9E9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8014" w:type="dxa"/>
            <w:gridSpan w:val="5"/>
            <w:noWrap/>
            <w:vAlign w:val="center"/>
          </w:tcPr>
          <w:p w14:paraId="0ACB5843">
            <w:pPr>
              <w:widowControl/>
              <w:jc w:val="cente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投标报价(人民币:元)</w:t>
            </w:r>
          </w:p>
        </w:tc>
        <w:tc>
          <w:tcPr>
            <w:tcW w:w="1112" w:type="dxa"/>
            <w:noWrap/>
            <w:vAlign w:val="center"/>
          </w:tcPr>
          <w:p w14:paraId="54CF54E6">
            <w:pPr>
              <w:widowControl/>
              <w:jc w:val="center"/>
              <w:rPr>
                <w:rFonts w:hint="eastAsia" w:ascii="仿宋" w:hAnsi="仿宋" w:eastAsia="仿宋" w:cs="仿宋"/>
                <w:b/>
                <w:bCs/>
                <w:color w:val="auto"/>
                <w:sz w:val="24"/>
                <w:highlight w:val="none"/>
                <w:lang w:bidi="ar"/>
              </w:rPr>
            </w:pPr>
          </w:p>
        </w:tc>
      </w:tr>
    </w:tbl>
    <w:p w14:paraId="16E83D8E">
      <w:pPr>
        <w:rPr>
          <w:rFonts w:hint="eastAsia" w:ascii="仿宋" w:hAnsi="仿宋" w:eastAsia="仿宋" w:cs="仿宋"/>
          <w:b/>
          <w:color w:val="auto"/>
          <w:sz w:val="28"/>
          <w:szCs w:val="28"/>
          <w:highlight w:val="none"/>
        </w:rPr>
      </w:pPr>
    </w:p>
    <w:p w14:paraId="28C951E1">
      <w:pPr>
        <w:rPr>
          <w:rFonts w:hint="eastAsia" w:ascii="仿宋" w:hAnsi="仿宋" w:eastAsia="仿宋" w:cs="仿宋"/>
          <w:b/>
          <w:color w:val="auto"/>
          <w:sz w:val="28"/>
          <w:szCs w:val="28"/>
          <w:highlight w:val="none"/>
        </w:rPr>
      </w:pPr>
    </w:p>
    <w:p w14:paraId="458573FE">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宿城区标准化考点维保</w:t>
      </w:r>
    </w:p>
    <w:tbl>
      <w:tblPr>
        <w:tblStyle w:val="31"/>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357"/>
        <w:gridCol w:w="923"/>
        <w:gridCol w:w="913"/>
        <w:gridCol w:w="975"/>
        <w:gridCol w:w="1112"/>
      </w:tblGrid>
      <w:tr w14:paraId="52079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1A68EFB7">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4357" w:type="dxa"/>
            <w:noWrap/>
            <w:vAlign w:val="center"/>
          </w:tcPr>
          <w:p w14:paraId="0A2A3E46">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服务名称</w:t>
            </w:r>
          </w:p>
        </w:tc>
        <w:tc>
          <w:tcPr>
            <w:tcW w:w="923" w:type="dxa"/>
            <w:noWrap/>
            <w:vAlign w:val="center"/>
          </w:tcPr>
          <w:p w14:paraId="5FD4A7CC">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913" w:type="dxa"/>
            <w:noWrap/>
            <w:vAlign w:val="center"/>
          </w:tcPr>
          <w:p w14:paraId="5702E148">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数量</w:t>
            </w:r>
          </w:p>
        </w:tc>
        <w:tc>
          <w:tcPr>
            <w:tcW w:w="975" w:type="dxa"/>
            <w:noWrap/>
            <w:vAlign w:val="center"/>
          </w:tcPr>
          <w:p w14:paraId="429738B8">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单价（元）</w:t>
            </w:r>
          </w:p>
        </w:tc>
        <w:tc>
          <w:tcPr>
            <w:tcW w:w="1112" w:type="dxa"/>
            <w:noWrap/>
            <w:vAlign w:val="center"/>
          </w:tcPr>
          <w:p w14:paraId="5A82A45C">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总价（元）</w:t>
            </w:r>
          </w:p>
        </w:tc>
      </w:tr>
      <w:tr w14:paraId="1235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6" w:type="dxa"/>
            <w:noWrap/>
            <w:vAlign w:val="center"/>
          </w:tcPr>
          <w:p w14:paraId="09CF5143">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1</w:t>
            </w:r>
          </w:p>
        </w:tc>
        <w:tc>
          <w:tcPr>
            <w:tcW w:w="4357" w:type="dxa"/>
            <w:shd w:val="clear" w:color="auto" w:fill="auto"/>
            <w:noWrap/>
            <w:vAlign w:val="center"/>
          </w:tcPr>
          <w:p w14:paraId="4FEEF2E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23" w:type="dxa"/>
            <w:shd w:val="clear" w:color="auto" w:fill="auto"/>
            <w:noWrap/>
            <w:vAlign w:val="center"/>
          </w:tcPr>
          <w:p w14:paraId="7667C22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1864AE7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345</w:t>
            </w:r>
          </w:p>
        </w:tc>
        <w:tc>
          <w:tcPr>
            <w:tcW w:w="975" w:type="dxa"/>
            <w:noWrap/>
            <w:vAlign w:val="center"/>
          </w:tcPr>
          <w:p w14:paraId="1F629E50">
            <w:pPr>
              <w:widowControl/>
              <w:jc w:val="center"/>
              <w:rPr>
                <w:rFonts w:hint="eastAsia" w:ascii="仿宋" w:hAnsi="仿宋" w:eastAsia="仿宋" w:cs="仿宋"/>
                <w:b/>
                <w:bCs/>
                <w:color w:val="auto"/>
                <w:sz w:val="24"/>
                <w:highlight w:val="none"/>
                <w:lang w:bidi="ar"/>
              </w:rPr>
            </w:pPr>
          </w:p>
        </w:tc>
        <w:tc>
          <w:tcPr>
            <w:tcW w:w="1112" w:type="dxa"/>
            <w:noWrap/>
            <w:vAlign w:val="center"/>
          </w:tcPr>
          <w:p w14:paraId="6A83D9AD">
            <w:pPr>
              <w:widowControl/>
              <w:jc w:val="center"/>
              <w:rPr>
                <w:rFonts w:hint="eastAsia" w:ascii="仿宋" w:hAnsi="仿宋" w:eastAsia="仿宋" w:cs="仿宋"/>
                <w:b/>
                <w:bCs/>
                <w:color w:val="auto"/>
                <w:sz w:val="24"/>
                <w:highlight w:val="none"/>
                <w:lang w:bidi="ar"/>
              </w:rPr>
            </w:pPr>
          </w:p>
        </w:tc>
      </w:tr>
      <w:tr w14:paraId="20CB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09E8F5BE">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2</w:t>
            </w:r>
          </w:p>
        </w:tc>
        <w:tc>
          <w:tcPr>
            <w:tcW w:w="4357" w:type="dxa"/>
            <w:shd w:val="clear" w:color="auto" w:fill="auto"/>
            <w:noWrap/>
            <w:vAlign w:val="center"/>
          </w:tcPr>
          <w:p w14:paraId="309AD82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23" w:type="dxa"/>
            <w:shd w:val="clear" w:color="auto" w:fill="auto"/>
            <w:noWrap/>
            <w:vAlign w:val="center"/>
          </w:tcPr>
          <w:p w14:paraId="4B97207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5C658C5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387</w:t>
            </w:r>
          </w:p>
        </w:tc>
        <w:tc>
          <w:tcPr>
            <w:tcW w:w="975" w:type="dxa"/>
            <w:noWrap/>
            <w:vAlign w:val="center"/>
          </w:tcPr>
          <w:p w14:paraId="7DAA199D">
            <w:pPr>
              <w:widowControl/>
              <w:jc w:val="center"/>
              <w:rPr>
                <w:rFonts w:hint="eastAsia" w:ascii="仿宋" w:hAnsi="仿宋" w:eastAsia="仿宋" w:cs="仿宋"/>
                <w:b/>
                <w:bCs/>
                <w:color w:val="auto"/>
                <w:sz w:val="24"/>
                <w:highlight w:val="none"/>
                <w:lang w:bidi="ar"/>
              </w:rPr>
            </w:pPr>
          </w:p>
        </w:tc>
        <w:tc>
          <w:tcPr>
            <w:tcW w:w="1112" w:type="dxa"/>
            <w:noWrap/>
            <w:vAlign w:val="center"/>
          </w:tcPr>
          <w:p w14:paraId="48CC0DED">
            <w:pPr>
              <w:widowControl/>
              <w:jc w:val="center"/>
              <w:rPr>
                <w:rFonts w:hint="eastAsia" w:ascii="仿宋" w:hAnsi="仿宋" w:eastAsia="仿宋" w:cs="仿宋"/>
                <w:b/>
                <w:bCs/>
                <w:color w:val="auto"/>
                <w:sz w:val="24"/>
                <w:highlight w:val="none"/>
                <w:lang w:bidi="ar"/>
              </w:rPr>
            </w:pPr>
          </w:p>
        </w:tc>
      </w:tr>
      <w:tr w14:paraId="24B8D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E83D016">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3</w:t>
            </w:r>
          </w:p>
        </w:tc>
        <w:tc>
          <w:tcPr>
            <w:tcW w:w="4357" w:type="dxa"/>
            <w:shd w:val="clear" w:color="auto" w:fill="auto"/>
            <w:noWrap/>
            <w:vAlign w:val="center"/>
          </w:tcPr>
          <w:p w14:paraId="25940A5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23" w:type="dxa"/>
            <w:shd w:val="clear" w:color="auto" w:fill="auto"/>
            <w:noWrap/>
            <w:vAlign w:val="center"/>
          </w:tcPr>
          <w:p w14:paraId="0373903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14C0DD4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6E526E20">
            <w:pPr>
              <w:widowControl/>
              <w:jc w:val="center"/>
              <w:rPr>
                <w:rFonts w:hint="eastAsia" w:ascii="仿宋" w:hAnsi="仿宋" w:eastAsia="仿宋" w:cs="仿宋"/>
                <w:b/>
                <w:bCs/>
                <w:color w:val="auto"/>
                <w:sz w:val="24"/>
                <w:highlight w:val="none"/>
                <w:lang w:bidi="ar"/>
              </w:rPr>
            </w:pPr>
          </w:p>
        </w:tc>
        <w:tc>
          <w:tcPr>
            <w:tcW w:w="1112" w:type="dxa"/>
            <w:noWrap/>
            <w:vAlign w:val="center"/>
          </w:tcPr>
          <w:p w14:paraId="2D8419F9">
            <w:pPr>
              <w:widowControl/>
              <w:jc w:val="center"/>
              <w:rPr>
                <w:rFonts w:hint="eastAsia" w:ascii="仿宋" w:hAnsi="仿宋" w:eastAsia="仿宋" w:cs="仿宋"/>
                <w:b/>
                <w:bCs/>
                <w:color w:val="auto"/>
                <w:sz w:val="24"/>
                <w:highlight w:val="none"/>
                <w:lang w:bidi="ar"/>
              </w:rPr>
            </w:pPr>
          </w:p>
        </w:tc>
      </w:tr>
      <w:tr w14:paraId="1E43B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568CE18F">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4</w:t>
            </w:r>
          </w:p>
        </w:tc>
        <w:tc>
          <w:tcPr>
            <w:tcW w:w="4357" w:type="dxa"/>
            <w:shd w:val="clear" w:color="auto" w:fill="auto"/>
            <w:noWrap/>
            <w:vAlign w:val="center"/>
          </w:tcPr>
          <w:p w14:paraId="4617321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23" w:type="dxa"/>
            <w:shd w:val="clear" w:color="auto" w:fill="auto"/>
            <w:noWrap/>
            <w:vAlign w:val="center"/>
          </w:tcPr>
          <w:p w14:paraId="2A56CE6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2A12E1D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17C00B91">
            <w:pPr>
              <w:widowControl/>
              <w:jc w:val="center"/>
              <w:rPr>
                <w:rFonts w:hint="eastAsia" w:ascii="仿宋" w:hAnsi="仿宋" w:eastAsia="仿宋" w:cs="仿宋"/>
                <w:b/>
                <w:bCs/>
                <w:color w:val="auto"/>
                <w:sz w:val="24"/>
                <w:highlight w:val="none"/>
                <w:lang w:bidi="ar"/>
              </w:rPr>
            </w:pPr>
          </w:p>
        </w:tc>
        <w:tc>
          <w:tcPr>
            <w:tcW w:w="1112" w:type="dxa"/>
            <w:noWrap/>
            <w:vAlign w:val="center"/>
          </w:tcPr>
          <w:p w14:paraId="7A055C16">
            <w:pPr>
              <w:widowControl/>
              <w:jc w:val="center"/>
              <w:rPr>
                <w:rFonts w:hint="eastAsia" w:ascii="仿宋" w:hAnsi="仿宋" w:eastAsia="仿宋" w:cs="仿宋"/>
                <w:b/>
                <w:bCs/>
                <w:color w:val="auto"/>
                <w:sz w:val="24"/>
                <w:highlight w:val="none"/>
                <w:lang w:bidi="ar"/>
              </w:rPr>
            </w:pPr>
          </w:p>
        </w:tc>
      </w:tr>
      <w:tr w14:paraId="39687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51EA90F2">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5</w:t>
            </w:r>
          </w:p>
        </w:tc>
        <w:tc>
          <w:tcPr>
            <w:tcW w:w="4357" w:type="dxa"/>
            <w:shd w:val="clear" w:color="auto" w:fill="auto"/>
            <w:noWrap/>
            <w:vAlign w:val="center"/>
          </w:tcPr>
          <w:p w14:paraId="50F5A91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组网线路服务</w:t>
            </w:r>
          </w:p>
        </w:tc>
        <w:tc>
          <w:tcPr>
            <w:tcW w:w="923" w:type="dxa"/>
            <w:shd w:val="clear" w:color="auto" w:fill="auto"/>
            <w:noWrap/>
            <w:vAlign w:val="center"/>
          </w:tcPr>
          <w:p w14:paraId="44798BB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条</w:t>
            </w:r>
          </w:p>
        </w:tc>
        <w:tc>
          <w:tcPr>
            <w:tcW w:w="913" w:type="dxa"/>
            <w:shd w:val="clear" w:color="auto" w:fill="auto"/>
            <w:noWrap/>
            <w:vAlign w:val="center"/>
          </w:tcPr>
          <w:p w14:paraId="7622C78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6</w:t>
            </w:r>
          </w:p>
        </w:tc>
        <w:tc>
          <w:tcPr>
            <w:tcW w:w="975" w:type="dxa"/>
            <w:noWrap/>
            <w:vAlign w:val="center"/>
          </w:tcPr>
          <w:p w14:paraId="31EB10B1">
            <w:pPr>
              <w:widowControl/>
              <w:jc w:val="center"/>
              <w:rPr>
                <w:rFonts w:hint="eastAsia" w:ascii="仿宋" w:hAnsi="仿宋" w:eastAsia="仿宋" w:cs="仿宋"/>
                <w:b/>
                <w:bCs/>
                <w:color w:val="auto"/>
                <w:sz w:val="24"/>
                <w:highlight w:val="none"/>
                <w:lang w:bidi="ar"/>
              </w:rPr>
            </w:pPr>
          </w:p>
        </w:tc>
        <w:tc>
          <w:tcPr>
            <w:tcW w:w="1112" w:type="dxa"/>
            <w:noWrap/>
            <w:vAlign w:val="center"/>
          </w:tcPr>
          <w:p w14:paraId="56DDEA60">
            <w:pPr>
              <w:widowControl/>
              <w:jc w:val="center"/>
              <w:rPr>
                <w:rFonts w:hint="eastAsia" w:ascii="仿宋" w:hAnsi="仿宋" w:eastAsia="仿宋" w:cs="仿宋"/>
                <w:b/>
                <w:bCs/>
                <w:color w:val="auto"/>
                <w:sz w:val="24"/>
                <w:highlight w:val="none"/>
                <w:lang w:bidi="ar"/>
              </w:rPr>
            </w:pPr>
          </w:p>
        </w:tc>
      </w:tr>
      <w:tr w14:paraId="46160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6" w:type="dxa"/>
            <w:noWrap/>
            <w:vAlign w:val="center"/>
          </w:tcPr>
          <w:p w14:paraId="7036F8B1">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6</w:t>
            </w:r>
          </w:p>
        </w:tc>
        <w:tc>
          <w:tcPr>
            <w:tcW w:w="4357" w:type="dxa"/>
            <w:shd w:val="clear" w:color="auto" w:fill="auto"/>
            <w:noWrap/>
            <w:vAlign w:val="center"/>
          </w:tcPr>
          <w:p w14:paraId="4DB39EF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23" w:type="dxa"/>
            <w:shd w:val="clear" w:color="auto" w:fill="auto"/>
            <w:noWrap/>
            <w:vAlign w:val="center"/>
          </w:tcPr>
          <w:p w14:paraId="2513D38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5F91FD93">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140</w:t>
            </w:r>
          </w:p>
        </w:tc>
        <w:tc>
          <w:tcPr>
            <w:tcW w:w="975" w:type="dxa"/>
            <w:noWrap/>
            <w:vAlign w:val="center"/>
          </w:tcPr>
          <w:p w14:paraId="60F94453">
            <w:pPr>
              <w:widowControl/>
              <w:jc w:val="center"/>
              <w:rPr>
                <w:rFonts w:hint="eastAsia" w:ascii="仿宋" w:hAnsi="仿宋" w:eastAsia="仿宋" w:cs="仿宋"/>
                <w:b/>
                <w:bCs/>
                <w:color w:val="auto"/>
                <w:sz w:val="24"/>
                <w:highlight w:val="none"/>
                <w:lang w:bidi="ar"/>
              </w:rPr>
            </w:pPr>
          </w:p>
        </w:tc>
        <w:tc>
          <w:tcPr>
            <w:tcW w:w="1112" w:type="dxa"/>
            <w:noWrap/>
            <w:vAlign w:val="center"/>
          </w:tcPr>
          <w:p w14:paraId="225BF8A5">
            <w:pPr>
              <w:widowControl/>
              <w:jc w:val="center"/>
              <w:rPr>
                <w:rFonts w:hint="eastAsia" w:ascii="仿宋" w:hAnsi="仿宋" w:eastAsia="仿宋" w:cs="仿宋"/>
                <w:b/>
                <w:bCs/>
                <w:color w:val="auto"/>
                <w:sz w:val="24"/>
                <w:highlight w:val="none"/>
                <w:lang w:bidi="ar"/>
              </w:rPr>
            </w:pPr>
          </w:p>
        </w:tc>
      </w:tr>
      <w:tr w14:paraId="1D81E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11B92304">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7</w:t>
            </w:r>
          </w:p>
        </w:tc>
        <w:tc>
          <w:tcPr>
            <w:tcW w:w="4357" w:type="dxa"/>
            <w:shd w:val="clear" w:color="auto" w:fill="auto"/>
            <w:noWrap/>
            <w:vAlign w:val="center"/>
          </w:tcPr>
          <w:p w14:paraId="240F8A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宿城区黄海路初中监控室可视化系统建设服务</w:t>
            </w:r>
          </w:p>
        </w:tc>
        <w:tc>
          <w:tcPr>
            <w:tcW w:w="923" w:type="dxa"/>
            <w:noWrap/>
            <w:vAlign w:val="center"/>
          </w:tcPr>
          <w:p w14:paraId="26D38319">
            <w:pPr>
              <w:widowControl/>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780540AC">
            <w:pPr>
              <w:keepNext w:val="0"/>
              <w:keepLines w:val="0"/>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1</w:t>
            </w:r>
          </w:p>
        </w:tc>
        <w:tc>
          <w:tcPr>
            <w:tcW w:w="975" w:type="dxa"/>
            <w:noWrap/>
            <w:vAlign w:val="center"/>
          </w:tcPr>
          <w:p w14:paraId="208625F2">
            <w:pPr>
              <w:widowControl/>
              <w:jc w:val="center"/>
              <w:rPr>
                <w:rFonts w:hint="eastAsia" w:ascii="仿宋" w:hAnsi="仿宋" w:eastAsia="仿宋" w:cs="仿宋"/>
                <w:b/>
                <w:bCs/>
                <w:color w:val="auto"/>
                <w:sz w:val="24"/>
                <w:highlight w:val="none"/>
                <w:lang w:bidi="ar"/>
              </w:rPr>
            </w:pPr>
          </w:p>
        </w:tc>
        <w:tc>
          <w:tcPr>
            <w:tcW w:w="1112" w:type="dxa"/>
            <w:noWrap/>
            <w:vAlign w:val="center"/>
          </w:tcPr>
          <w:p w14:paraId="7236909E">
            <w:pPr>
              <w:widowControl/>
              <w:jc w:val="center"/>
              <w:rPr>
                <w:rFonts w:hint="eastAsia" w:ascii="仿宋" w:hAnsi="仿宋" w:eastAsia="仿宋" w:cs="仿宋"/>
                <w:b/>
                <w:bCs/>
                <w:color w:val="auto"/>
                <w:sz w:val="24"/>
                <w:highlight w:val="none"/>
                <w:lang w:bidi="ar"/>
              </w:rPr>
            </w:pPr>
          </w:p>
        </w:tc>
      </w:tr>
      <w:tr w14:paraId="5A009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trPr>
        <w:tc>
          <w:tcPr>
            <w:tcW w:w="8014" w:type="dxa"/>
            <w:gridSpan w:val="5"/>
            <w:noWrap/>
            <w:vAlign w:val="center"/>
          </w:tcPr>
          <w:p w14:paraId="6C9494AA">
            <w:pPr>
              <w:widowControl/>
              <w:jc w:val="cente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投标报价(人民币:元)</w:t>
            </w:r>
          </w:p>
        </w:tc>
        <w:tc>
          <w:tcPr>
            <w:tcW w:w="1112" w:type="dxa"/>
            <w:noWrap/>
            <w:vAlign w:val="center"/>
          </w:tcPr>
          <w:p w14:paraId="77B795AA">
            <w:pPr>
              <w:widowControl/>
              <w:jc w:val="center"/>
              <w:rPr>
                <w:rFonts w:hint="eastAsia" w:ascii="仿宋" w:hAnsi="仿宋" w:eastAsia="仿宋" w:cs="仿宋"/>
                <w:b/>
                <w:bCs/>
                <w:color w:val="auto"/>
                <w:sz w:val="24"/>
                <w:highlight w:val="none"/>
                <w:lang w:bidi="ar"/>
              </w:rPr>
            </w:pPr>
          </w:p>
        </w:tc>
      </w:tr>
    </w:tbl>
    <w:p w14:paraId="117DD202">
      <w:pPr>
        <w:spacing w:line="500" w:lineRule="exact"/>
        <w:jc w:val="left"/>
        <w:rPr>
          <w:rFonts w:hint="eastAsia" w:ascii="仿宋" w:hAnsi="仿宋" w:eastAsia="仿宋" w:cs="仿宋"/>
          <w:color w:val="auto"/>
          <w:sz w:val="24"/>
          <w:highlight w:val="none"/>
        </w:rPr>
      </w:pPr>
    </w:p>
    <w:p w14:paraId="1B9A551E">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宿豫区标准化考点维保</w:t>
      </w:r>
    </w:p>
    <w:tbl>
      <w:tblPr>
        <w:tblStyle w:val="31"/>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357"/>
        <w:gridCol w:w="923"/>
        <w:gridCol w:w="913"/>
        <w:gridCol w:w="975"/>
        <w:gridCol w:w="1112"/>
      </w:tblGrid>
      <w:tr w14:paraId="61C60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5564FDB7">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4357" w:type="dxa"/>
            <w:noWrap/>
            <w:vAlign w:val="center"/>
          </w:tcPr>
          <w:p w14:paraId="59E594E5">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服务名称</w:t>
            </w:r>
          </w:p>
        </w:tc>
        <w:tc>
          <w:tcPr>
            <w:tcW w:w="923" w:type="dxa"/>
            <w:noWrap/>
            <w:vAlign w:val="center"/>
          </w:tcPr>
          <w:p w14:paraId="1E632ED1">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913" w:type="dxa"/>
            <w:noWrap/>
            <w:vAlign w:val="center"/>
          </w:tcPr>
          <w:p w14:paraId="07959938">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数量</w:t>
            </w:r>
          </w:p>
        </w:tc>
        <w:tc>
          <w:tcPr>
            <w:tcW w:w="975" w:type="dxa"/>
            <w:noWrap/>
            <w:vAlign w:val="center"/>
          </w:tcPr>
          <w:p w14:paraId="51EF77D0">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单价（元）</w:t>
            </w:r>
          </w:p>
        </w:tc>
        <w:tc>
          <w:tcPr>
            <w:tcW w:w="1112" w:type="dxa"/>
            <w:noWrap/>
            <w:vAlign w:val="center"/>
          </w:tcPr>
          <w:p w14:paraId="62E064A8">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总价（元）</w:t>
            </w:r>
          </w:p>
        </w:tc>
      </w:tr>
      <w:tr w14:paraId="78FBE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018D9D8B">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1</w:t>
            </w:r>
          </w:p>
        </w:tc>
        <w:tc>
          <w:tcPr>
            <w:tcW w:w="4357" w:type="dxa"/>
            <w:shd w:val="clear" w:color="auto" w:fill="auto"/>
            <w:noWrap/>
            <w:vAlign w:val="center"/>
          </w:tcPr>
          <w:p w14:paraId="15D1ED4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23" w:type="dxa"/>
            <w:shd w:val="clear" w:color="auto" w:fill="auto"/>
            <w:noWrap/>
            <w:vAlign w:val="center"/>
          </w:tcPr>
          <w:p w14:paraId="55892F4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75A5897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255</w:t>
            </w:r>
          </w:p>
        </w:tc>
        <w:tc>
          <w:tcPr>
            <w:tcW w:w="975" w:type="dxa"/>
            <w:noWrap/>
            <w:vAlign w:val="center"/>
          </w:tcPr>
          <w:p w14:paraId="023D08C4">
            <w:pPr>
              <w:widowControl/>
              <w:jc w:val="center"/>
              <w:rPr>
                <w:rFonts w:hint="eastAsia" w:ascii="仿宋" w:hAnsi="仿宋" w:eastAsia="仿宋" w:cs="仿宋"/>
                <w:b/>
                <w:bCs/>
                <w:color w:val="auto"/>
                <w:sz w:val="24"/>
                <w:highlight w:val="none"/>
                <w:lang w:bidi="ar"/>
              </w:rPr>
            </w:pPr>
          </w:p>
        </w:tc>
        <w:tc>
          <w:tcPr>
            <w:tcW w:w="1112" w:type="dxa"/>
            <w:noWrap/>
            <w:vAlign w:val="center"/>
          </w:tcPr>
          <w:p w14:paraId="14128CFC">
            <w:pPr>
              <w:widowControl/>
              <w:jc w:val="center"/>
              <w:rPr>
                <w:rFonts w:hint="eastAsia" w:ascii="仿宋" w:hAnsi="仿宋" w:eastAsia="仿宋" w:cs="仿宋"/>
                <w:b/>
                <w:bCs/>
                <w:color w:val="auto"/>
                <w:sz w:val="24"/>
                <w:highlight w:val="none"/>
                <w:lang w:bidi="ar"/>
              </w:rPr>
            </w:pPr>
          </w:p>
        </w:tc>
      </w:tr>
      <w:tr w14:paraId="62CF8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07331C14">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2</w:t>
            </w:r>
          </w:p>
        </w:tc>
        <w:tc>
          <w:tcPr>
            <w:tcW w:w="4357" w:type="dxa"/>
            <w:shd w:val="clear" w:color="auto" w:fill="auto"/>
            <w:noWrap/>
            <w:vAlign w:val="center"/>
          </w:tcPr>
          <w:p w14:paraId="6F118937">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23" w:type="dxa"/>
            <w:shd w:val="clear" w:color="auto" w:fill="auto"/>
            <w:noWrap/>
            <w:vAlign w:val="center"/>
          </w:tcPr>
          <w:p w14:paraId="584D24C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2A83A24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395</w:t>
            </w:r>
          </w:p>
        </w:tc>
        <w:tc>
          <w:tcPr>
            <w:tcW w:w="975" w:type="dxa"/>
            <w:noWrap/>
            <w:vAlign w:val="center"/>
          </w:tcPr>
          <w:p w14:paraId="05D55DA2">
            <w:pPr>
              <w:widowControl/>
              <w:jc w:val="center"/>
              <w:rPr>
                <w:rFonts w:hint="eastAsia" w:ascii="仿宋" w:hAnsi="仿宋" w:eastAsia="仿宋" w:cs="仿宋"/>
                <w:b/>
                <w:bCs/>
                <w:color w:val="auto"/>
                <w:sz w:val="24"/>
                <w:highlight w:val="none"/>
                <w:lang w:bidi="ar"/>
              </w:rPr>
            </w:pPr>
          </w:p>
        </w:tc>
        <w:tc>
          <w:tcPr>
            <w:tcW w:w="1112" w:type="dxa"/>
            <w:noWrap/>
            <w:vAlign w:val="center"/>
          </w:tcPr>
          <w:p w14:paraId="599F605C">
            <w:pPr>
              <w:widowControl/>
              <w:jc w:val="center"/>
              <w:rPr>
                <w:rFonts w:hint="eastAsia" w:ascii="仿宋" w:hAnsi="仿宋" w:eastAsia="仿宋" w:cs="仿宋"/>
                <w:b/>
                <w:bCs/>
                <w:color w:val="auto"/>
                <w:sz w:val="24"/>
                <w:highlight w:val="none"/>
                <w:lang w:bidi="ar"/>
              </w:rPr>
            </w:pPr>
          </w:p>
        </w:tc>
      </w:tr>
      <w:tr w14:paraId="3DFBF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694C8450">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3</w:t>
            </w:r>
          </w:p>
        </w:tc>
        <w:tc>
          <w:tcPr>
            <w:tcW w:w="4357" w:type="dxa"/>
            <w:shd w:val="clear" w:color="auto" w:fill="auto"/>
            <w:noWrap/>
            <w:vAlign w:val="center"/>
          </w:tcPr>
          <w:p w14:paraId="0E5E98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23" w:type="dxa"/>
            <w:shd w:val="clear" w:color="auto" w:fill="auto"/>
            <w:noWrap/>
            <w:vAlign w:val="center"/>
          </w:tcPr>
          <w:p w14:paraId="230DD5C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20F7180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54CDF8FA">
            <w:pPr>
              <w:widowControl/>
              <w:jc w:val="center"/>
              <w:rPr>
                <w:rFonts w:hint="eastAsia" w:ascii="仿宋" w:hAnsi="仿宋" w:eastAsia="仿宋" w:cs="仿宋"/>
                <w:b/>
                <w:bCs/>
                <w:color w:val="auto"/>
                <w:sz w:val="24"/>
                <w:highlight w:val="none"/>
                <w:lang w:bidi="ar"/>
              </w:rPr>
            </w:pPr>
          </w:p>
        </w:tc>
        <w:tc>
          <w:tcPr>
            <w:tcW w:w="1112" w:type="dxa"/>
            <w:noWrap/>
            <w:vAlign w:val="center"/>
          </w:tcPr>
          <w:p w14:paraId="127488D0">
            <w:pPr>
              <w:widowControl/>
              <w:jc w:val="center"/>
              <w:rPr>
                <w:rFonts w:hint="eastAsia" w:ascii="仿宋" w:hAnsi="仿宋" w:eastAsia="仿宋" w:cs="仿宋"/>
                <w:b/>
                <w:bCs/>
                <w:color w:val="auto"/>
                <w:sz w:val="24"/>
                <w:highlight w:val="none"/>
                <w:lang w:bidi="ar"/>
              </w:rPr>
            </w:pPr>
          </w:p>
        </w:tc>
      </w:tr>
      <w:tr w14:paraId="62073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4B4DFB9F">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4</w:t>
            </w:r>
          </w:p>
        </w:tc>
        <w:tc>
          <w:tcPr>
            <w:tcW w:w="4357" w:type="dxa"/>
            <w:shd w:val="clear" w:color="auto" w:fill="auto"/>
            <w:noWrap/>
            <w:vAlign w:val="center"/>
          </w:tcPr>
          <w:p w14:paraId="79722F0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23" w:type="dxa"/>
            <w:shd w:val="clear" w:color="auto" w:fill="auto"/>
            <w:noWrap/>
            <w:vAlign w:val="center"/>
          </w:tcPr>
          <w:p w14:paraId="3F27D03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4CECB0E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557E2681">
            <w:pPr>
              <w:widowControl/>
              <w:jc w:val="center"/>
              <w:rPr>
                <w:rFonts w:hint="eastAsia" w:ascii="仿宋" w:hAnsi="仿宋" w:eastAsia="仿宋" w:cs="仿宋"/>
                <w:b/>
                <w:bCs/>
                <w:color w:val="auto"/>
                <w:sz w:val="24"/>
                <w:highlight w:val="none"/>
                <w:lang w:bidi="ar"/>
              </w:rPr>
            </w:pPr>
          </w:p>
        </w:tc>
        <w:tc>
          <w:tcPr>
            <w:tcW w:w="1112" w:type="dxa"/>
            <w:noWrap/>
            <w:vAlign w:val="center"/>
          </w:tcPr>
          <w:p w14:paraId="30F4A7F5">
            <w:pPr>
              <w:widowControl/>
              <w:jc w:val="center"/>
              <w:rPr>
                <w:rFonts w:hint="eastAsia" w:ascii="仿宋" w:hAnsi="仿宋" w:eastAsia="仿宋" w:cs="仿宋"/>
                <w:b/>
                <w:bCs/>
                <w:color w:val="auto"/>
                <w:sz w:val="24"/>
                <w:highlight w:val="none"/>
                <w:lang w:bidi="ar"/>
              </w:rPr>
            </w:pPr>
          </w:p>
        </w:tc>
      </w:tr>
      <w:tr w14:paraId="693F5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17FD489C">
            <w:pPr>
              <w:widowControl/>
              <w:jc w:val="center"/>
              <w:rPr>
                <w:rFonts w:hint="default"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5</w:t>
            </w:r>
          </w:p>
        </w:tc>
        <w:tc>
          <w:tcPr>
            <w:tcW w:w="4357" w:type="dxa"/>
            <w:shd w:val="clear" w:color="auto" w:fill="auto"/>
            <w:noWrap/>
            <w:vAlign w:val="center"/>
          </w:tcPr>
          <w:p w14:paraId="4796A2C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组网线路服务</w:t>
            </w:r>
          </w:p>
        </w:tc>
        <w:tc>
          <w:tcPr>
            <w:tcW w:w="923" w:type="dxa"/>
            <w:shd w:val="clear" w:color="auto" w:fill="auto"/>
            <w:noWrap/>
            <w:vAlign w:val="center"/>
          </w:tcPr>
          <w:p w14:paraId="62F1F97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条</w:t>
            </w:r>
          </w:p>
        </w:tc>
        <w:tc>
          <w:tcPr>
            <w:tcW w:w="913" w:type="dxa"/>
            <w:shd w:val="clear" w:color="auto" w:fill="auto"/>
            <w:noWrap/>
            <w:vAlign w:val="center"/>
          </w:tcPr>
          <w:p w14:paraId="24EEDD08">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5</w:t>
            </w:r>
          </w:p>
        </w:tc>
        <w:tc>
          <w:tcPr>
            <w:tcW w:w="975" w:type="dxa"/>
            <w:noWrap/>
            <w:vAlign w:val="center"/>
          </w:tcPr>
          <w:p w14:paraId="5D3CFC9F">
            <w:pPr>
              <w:widowControl/>
              <w:jc w:val="center"/>
              <w:rPr>
                <w:rFonts w:hint="eastAsia" w:ascii="仿宋" w:hAnsi="仿宋" w:eastAsia="仿宋" w:cs="仿宋"/>
                <w:b/>
                <w:bCs/>
                <w:color w:val="auto"/>
                <w:sz w:val="24"/>
                <w:highlight w:val="none"/>
                <w:lang w:bidi="ar"/>
              </w:rPr>
            </w:pPr>
          </w:p>
        </w:tc>
        <w:tc>
          <w:tcPr>
            <w:tcW w:w="1112" w:type="dxa"/>
            <w:noWrap/>
            <w:vAlign w:val="center"/>
          </w:tcPr>
          <w:p w14:paraId="203AA04A">
            <w:pPr>
              <w:widowControl/>
              <w:jc w:val="center"/>
              <w:rPr>
                <w:rFonts w:hint="eastAsia" w:ascii="仿宋" w:hAnsi="仿宋" w:eastAsia="仿宋" w:cs="仿宋"/>
                <w:b/>
                <w:bCs/>
                <w:color w:val="auto"/>
                <w:sz w:val="24"/>
                <w:highlight w:val="none"/>
                <w:lang w:bidi="ar"/>
              </w:rPr>
            </w:pPr>
          </w:p>
        </w:tc>
      </w:tr>
      <w:tr w14:paraId="158CD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1D38FF5D">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6</w:t>
            </w:r>
          </w:p>
        </w:tc>
        <w:tc>
          <w:tcPr>
            <w:tcW w:w="4357" w:type="dxa"/>
            <w:shd w:val="clear" w:color="auto" w:fill="auto"/>
            <w:noWrap/>
            <w:vAlign w:val="center"/>
          </w:tcPr>
          <w:p w14:paraId="017486E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23" w:type="dxa"/>
            <w:shd w:val="clear" w:color="auto" w:fill="auto"/>
            <w:noWrap/>
            <w:vAlign w:val="center"/>
          </w:tcPr>
          <w:p w14:paraId="1F72965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5C6396DE">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120</w:t>
            </w:r>
          </w:p>
        </w:tc>
        <w:tc>
          <w:tcPr>
            <w:tcW w:w="975" w:type="dxa"/>
            <w:noWrap/>
            <w:vAlign w:val="center"/>
          </w:tcPr>
          <w:p w14:paraId="4B07D394">
            <w:pPr>
              <w:widowControl/>
              <w:jc w:val="center"/>
              <w:rPr>
                <w:rFonts w:hint="eastAsia" w:ascii="仿宋" w:hAnsi="仿宋" w:eastAsia="仿宋" w:cs="仿宋"/>
                <w:b/>
                <w:bCs/>
                <w:color w:val="auto"/>
                <w:sz w:val="24"/>
                <w:highlight w:val="none"/>
                <w:lang w:bidi="ar"/>
              </w:rPr>
            </w:pPr>
          </w:p>
        </w:tc>
        <w:tc>
          <w:tcPr>
            <w:tcW w:w="1112" w:type="dxa"/>
            <w:noWrap/>
            <w:vAlign w:val="center"/>
          </w:tcPr>
          <w:p w14:paraId="7FEA4F47">
            <w:pPr>
              <w:widowControl/>
              <w:jc w:val="center"/>
              <w:rPr>
                <w:rFonts w:hint="eastAsia" w:ascii="仿宋" w:hAnsi="仿宋" w:eastAsia="仿宋" w:cs="仿宋"/>
                <w:b/>
                <w:bCs/>
                <w:color w:val="auto"/>
                <w:sz w:val="24"/>
                <w:highlight w:val="none"/>
                <w:lang w:bidi="ar"/>
              </w:rPr>
            </w:pPr>
          </w:p>
        </w:tc>
      </w:tr>
      <w:tr w14:paraId="067C8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8014" w:type="dxa"/>
            <w:gridSpan w:val="5"/>
            <w:noWrap/>
            <w:vAlign w:val="center"/>
          </w:tcPr>
          <w:p w14:paraId="438713CE">
            <w:pPr>
              <w:widowControl/>
              <w:jc w:val="cente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投标报价(人民币:元)</w:t>
            </w:r>
          </w:p>
        </w:tc>
        <w:tc>
          <w:tcPr>
            <w:tcW w:w="1112" w:type="dxa"/>
            <w:noWrap/>
            <w:vAlign w:val="center"/>
          </w:tcPr>
          <w:p w14:paraId="07EB8FFE">
            <w:pPr>
              <w:widowControl/>
              <w:jc w:val="center"/>
              <w:rPr>
                <w:rFonts w:hint="eastAsia" w:ascii="仿宋" w:hAnsi="仿宋" w:eastAsia="仿宋" w:cs="仿宋"/>
                <w:b/>
                <w:bCs/>
                <w:color w:val="auto"/>
                <w:sz w:val="24"/>
                <w:highlight w:val="none"/>
                <w:lang w:bidi="ar"/>
              </w:rPr>
            </w:pPr>
          </w:p>
        </w:tc>
      </w:tr>
    </w:tbl>
    <w:p w14:paraId="6DD758E5">
      <w:pPr>
        <w:rPr>
          <w:rFonts w:hint="eastAsia" w:ascii="仿宋" w:hAnsi="仿宋" w:eastAsia="仿宋" w:cs="仿宋"/>
          <w:b/>
          <w:color w:val="auto"/>
          <w:sz w:val="28"/>
          <w:szCs w:val="28"/>
          <w:highlight w:val="none"/>
        </w:rPr>
      </w:pPr>
    </w:p>
    <w:p w14:paraId="0D3E8D9A">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沭阳县标准化考点维保</w:t>
      </w:r>
    </w:p>
    <w:tbl>
      <w:tblPr>
        <w:tblStyle w:val="31"/>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357"/>
        <w:gridCol w:w="923"/>
        <w:gridCol w:w="913"/>
        <w:gridCol w:w="975"/>
        <w:gridCol w:w="1112"/>
      </w:tblGrid>
      <w:tr w14:paraId="54993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342BF44">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4357" w:type="dxa"/>
            <w:noWrap/>
            <w:vAlign w:val="center"/>
          </w:tcPr>
          <w:p w14:paraId="2F96B729">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服务名称</w:t>
            </w:r>
          </w:p>
        </w:tc>
        <w:tc>
          <w:tcPr>
            <w:tcW w:w="923" w:type="dxa"/>
            <w:noWrap/>
            <w:vAlign w:val="center"/>
          </w:tcPr>
          <w:p w14:paraId="3AD4D177">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913" w:type="dxa"/>
            <w:noWrap/>
            <w:vAlign w:val="center"/>
          </w:tcPr>
          <w:p w14:paraId="1C2AB276">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数量</w:t>
            </w:r>
          </w:p>
        </w:tc>
        <w:tc>
          <w:tcPr>
            <w:tcW w:w="975" w:type="dxa"/>
            <w:noWrap/>
            <w:vAlign w:val="center"/>
          </w:tcPr>
          <w:p w14:paraId="7780A5AB">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单价（元）</w:t>
            </w:r>
          </w:p>
        </w:tc>
        <w:tc>
          <w:tcPr>
            <w:tcW w:w="1112" w:type="dxa"/>
            <w:noWrap/>
            <w:vAlign w:val="center"/>
          </w:tcPr>
          <w:p w14:paraId="262A2141">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总价（元）</w:t>
            </w:r>
          </w:p>
        </w:tc>
      </w:tr>
      <w:tr w14:paraId="7A6A3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7A9E1974">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1</w:t>
            </w:r>
          </w:p>
        </w:tc>
        <w:tc>
          <w:tcPr>
            <w:tcW w:w="4357" w:type="dxa"/>
            <w:noWrap/>
            <w:vAlign w:val="center"/>
          </w:tcPr>
          <w:p w14:paraId="56D0AEA3">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23" w:type="dxa"/>
            <w:noWrap/>
            <w:vAlign w:val="center"/>
          </w:tcPr>
          <w:p w14:paraId="1D2DBF90">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场次</w:t>
            </w:r>
          </w:p>
        </w:tc>
        <w:tc>
          <w:tcPr>
            <w:tcW w:w="913" w:type="dxa"/>
            <w:noWrap/>
            <w:vAlign w:val="center"/>
          </w:tcPr>
          <w:p w14:paraId="714EF9F2">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1476</w:t>
            </w:r>
          </w:p>
        </w:tc>
        <w:tc>
          <w:tcPr>
            <w:tcW w:w="975" w:type="dxa"/>
            <w:noWrap/>
            <w:vAlign w:val="center"/>
          </w:tcPr>
          <w:p w14:paraId="57FB8A1F">
            <w:pPr>
              <w:widowControl/>
              <w:jc w:val="center"/>
              <w:rPr>
                <w:rFonts w:hint="eastAsia" w:ascii="仿宋" w:hAnsi="仿宋" w:eastAsia="仿宋" w:cs="仿宋"/>
                <w:b/>
                <w:bCs/>
                <w:color w:val="auto"/>
                <w:sz w:val="24"/>
                <w:highlight w:val="none"/>
                <w:lang w:bidi="ar"/>
              </w:rPr>
            </w:pPr>
          </w:p>
        </w:tc>
        <w:tc>
          <w:tcPr>
            <w:tcW w:w="1112" w:type="dxa"/>
            <w:noWrap/>
            <w:vAlign w:val="center"/>
          </w:tcPr>
          <w:p w14:paraId="53B8BB04">
            <w:pPr>
              <w:widowControl/>
              <w:jc w:val="center"/>
              <w:rPr>
                <w:rFonts w:hint="eastAsia" w:ascii="仿宋" w:hAnsi="仿宋" w:eastAsia="仿宋" w:cs="仿宋"/>
                <w:b/>
                <w:bCs/>
                <w:color w:val="auto"/>
                <w:sz w:val="24"/>
                <w:highlight w:val="none"/>
                <w:lang w:bidi="ar"/>
              </w:rPr>
            </w:pPr>
          </w:p>
        </w:tc>
      </w:tr>
      <w:tr w14:paraId="0EA75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1E620CE0">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2</w:t>
            </w:r>
          </w:p>
        </w:tc>
        <w:tc>
          <w:tcPr>
            <w:tcW w:w="4357" w:type="dxa"/>
            <w:noWrap/>
            <w:vAlign w:val="center"/>
          </w:tcPr>
          <w:p w14:paraId="773FA46E">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23" w:type="dxa"/>
            <w:noWrap/>
            <w:vAlign w:val="center"/>
          </w:tcPr>
          <w:p w14:paraId="7CD2940A">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场次</w:t>
            </w:r>
          </w:p>
        </w:tc>
        <w:tc>
          <w:tcPr>
            <w:tcW w:w="913" w:type="dxa"/>
            <w:noWrap/>
            <w:vAlign w:val="center"/>
          </w:tcPr>
          <w:p w14:paraId="1CB55BB5">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1133</w:t>
            </w:r>
          </w:p>
        </w:tc>
        <w:tc>
          <w:tcPr>
            <w:tcW w:w="975" w:type="dxa"/>
            <w:noWrap/>
            <w:vAlign w:val="center"/>
          </w:tcPr>
          <w:p w14:paraId="48E6BCC5">
            <w:pPr>
              <w:widowControl/>
              <w:jc w:val="center"/>
              <w:rPr>
                <w:rFonts w:hint="eastAsia" w:ascii="仿宋" w:hAnsi="仿宋" w:eastAsia="仿宋" w:cs="仿宋"/>
                <w:b/>
                <w:bCs/>
                <w:color w:val="auto"/>
                <w:sz w:val="24"/>
                <w:highlight w:val="none"/>
                <w:lang w:bidi="ar"/>
              </w:rPr>
            </w:pPr>
          </w:p>
        </w:tc>
        <w:tc>
          <w:tcPr>
            <w:tcW w:w="1112" w:type="dxa"/>
            <w:noWrap/>
            <w:vAlign w:val="center"/>
          </w:tcPr>
          <w:p w14:paraId="0BD05AF8">
            <w:pPr>
              <w:widowControl/>
              <w:jc w:val="center"/>
              <w:rPr>
                <w:rFonts w:hint="eastAsia" w:ascii="仿宋" w:hAnsi="仿宋" w:eastAsia="仿宋" w:cs="仿宋"/>
                <w:b/>
                <w:bCs/>
                <w:color w:val="auto"/>
                <w:sz w:val="24"/>
                <w:highlight w:val="none"/>
                <w:lang w:bidi="ar"/>
              </w:rPr>
            </w:pPr>
          </w:p>
        </w:tc>
      </w:tr>
      <w:tr w14:paraId="17663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5B4D0BDF">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3</w:t>
            </w:r>
          </w:p>
        </w:tc>
        <w:tc>
          <w:tcPr>
            <w:tcW w:w="4357" w:type="dxa"/>
            <w:noWrap/>
            <w:vAlign w:val="center"/>
          </w:tcPr>
          <w:p w14:paraId="09827EA6">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23" w:type="dxa"/>
            <w:noWrap/>
            <w:vAlign w:val="center"/>
          </w:tcPr>
          <w:p w14:paraId="04D6F27A">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项</w:t>
            </w:r>
          </w:p>
        </w:tc>
        <w:tc>
          <w:tcPr>
            <w:tcW w:w="913" w:type="dxa"/>
            <w:noWrap/>
            <w:vAlign w:val="center"/>
          </w:tcPr>
          <w:p w14:paraId="551D56DB">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3840F09A">
            <w:pPr>
              <w:widowControl/>
              <w:jc w:val="center"/>
              <w:rPr>
                <w:rFonts w:hint="eastAsia" w:ascii="仿宋" w:hAnsi="仿宋" w:eastAsia="仿宋" w:cs="仿宋"/>
                <w:b/>
                <w:bCs/>
                <w:color w:val="auto"/>
                <w:sz w:val="24"/>
                <w:highlight w:val="none"/>
                <w:lang w:bidi="ar"/>
              </w:rPr>
            </w:pPr>
          </w:p>
        </w:tc>
        <w:tc>
          <w:tcPr>
            <w:tcW w:w="1112" w:type="dxa"/>
            <w:noWrap/>
            <w:vAlign w:val="center"/>
          </w:tcPr>
          <w:p w14:paraId="5F182782">
            <w:pPr>
              <w:widowControl/>
              <w:jc w:val="center"/>
              <w:rPr>
                <w:rFonts w:hint="eastAsia" w:ascii="仿宋" w:hAnsi="仿宋" w:eastAsia="仿宋" w:cs="仿宋"/>
                <w:b/>
                <w:bCs/>
                <w:color w:val="auto"/>
                <w:sz w:val="24"/>
                <w:highlight w:val="none"/>
                <w:lang w:bidi="ar"/>
              </w:rPr>
            </w:pPr>
          </w:p>
        </w:tc>
      </w:tr>
      <w:tr w14:paraId="22545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6D0A0738">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4</w:t>
            </w:r>
          </w:p>
        </w:tc>
        <w:tc>
          <w:tcPr>
            <w:tcW w:w="4357" w:type="dxa"/>
            <w:noWrap/>
            <w:vAlign w:val="center"/>
          </w:tcPr>
          <w:p w14:paraId="661F9A32">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23" w:type="dxa"/>
            <w:noWrap/>
            <w:vAlign w:val="center"/>
          </w:tcPr>
          <w:p w14:paraId="449AB763">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项</w:t>
            </w:r>
          </w:p>
        </w:tc>
        <w:tc>
          <w:tcPr>
            <w:tcW w:w="913" w:type="dxa"/>
            <w:noWrap/>
            <w:vAlign w:val="center"/>
          </w:tcPr>
          <w:p w14:paraId="61BEB500">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34A4C77B">
            <w:pPr>
              <w:widowControl/>
              <w:jc w:val="center"/>
              <w:rPr>
                <w:rFonts w:hint="eastAsia" w:ascii="仿宋" w:hAnsi="仿宋" w:eastAsia="仿宋" w:cs="仿宋"/>
                <w:b/>
                <w:bCs/>
                <w:color w:val="auto"/>
                <w:sz w:val="24"/>
                <w:highlight w:val="none"/>
                <w:lang w:bidi="ar"/>
              </w:rPr>
            </w:pPr>
          </w:p>
        </w:tc>
        <w:tc>
          <w:tcPr>
            <w:tcW w:w="1112" w:type="dxa"/>
            <w:noWrap/>
            <w:vAlign w:val="center"/>
          </w:tcPr>
          <w:p w14:paraId="2C3C1C3D">
            <w:pPr>
              <w:widowControl/>
              <w:jc w:val="center"/>
              <w:rPr>
                <w:rFonts w:hint="eastAsia" w:ascii="仿宋" w:hAnsi="仿宋" w:eastAsia="仿宋" w:cs="仿宋"/>
                <w:b/>
                <w:bCs/>
                <w:color w:val="auto"/>
                <w:sz w:val="24"/>
                <w:highlight w:val="none"/>
                <w:lang w:bidi="ar"/>
              </w:rPr>
            </w:pPr>
          </w:p>
        </w:tc>
      </w:tr>
      <w:tr w14:paraId="71248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0AEBBBB4">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5</w:t>
            </w:r>
          </w:p>
        </w:tc>
        <w:tc>
          <w:tcPr>
            <w:tcW w:w="4357" w:type="dxa"/>
            <w:noWrap/>
            <w:vAlign w:val="center"/>
          </w:tcPr>
          <w:p w14:paraId="145839CF">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组网线路服务</w:t>
            </w:r>
          </w:p>
        </w:tc>
        <w:tc>
          <w:tcPr>
            <w:tcW w:w="923" w:type="dxa"/>
            <w:noWrap/>
            <w:vAlign w:val="center"/>
          </w:tcPr>
          <w:p w14:paraId="27A227A4">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条</w:t>
            </w:r>
          </w:p>
        </w:tc>
        <w:tc>
          <w:tcPr>
            <w:tcW w:w="913" w:type="dxa"/>
            <w:noWrap/>
            <w:vAlign w:val="center"/>
          </w:tcPr>
          <w:p w14:paraId="02C1D8E1">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20</w:t>
            </w:r>
          </w:p>
        </w:tc>
        <w:tc>
          <w:tcPr>
            <w:tcW w:w="975" w:type="dxa"/>
            <w:noWrap/>
            <w:vAlign w:val="center"/>
          </w:tcPr>
          <w:p w14:paraId="10CF9001">
            <w:pPr>
              <w:widowControl/>
              <w:jc w:val="center"/>
              <w:rPr>
                <w:rFonts w:hint="eastAsia" w:ascii="仿宋" w:hAnsi="仿宋" w:eastAsia="仿宋" w:cs="仿宋"/>
                <w:b/>
                <w:bCs/>
                <w:color w:val="auto"/>
                <w:sz w:val="24"/>
                <w:highlight w:val="none"/>
                <w:lang w:bidi="ar"/>
              </w:rPr>
            </w:pPr>
          </w:p>
        </w:tc>
        <w:tc>
          <w:tcPr>
            <w:tcW w:w="1112" w:type="dxa"/>
            <w:noWrap/>
            <w:vAlign w:val="center"/>
          </w:tcPr>
          <w:p w14:paraId="45183097">
            <w:pPr>
              <w:widowControl/>
              <w:jc w:val="center"/>
              <w:rPr>
                <w:rFonts w:hint="eastAsia" w:ascii="仿宋" w:hAnsi="仿宋" w:eastAsia="仿宋" w:cs="仿宋"/>
                <w:b/>
                <w:bCs/>
                <w:color w:val="auto"/>
                <w:sz w:val="24"/>
                <w:highlight w:val="none"/>
                <w:lang w:bidi="ar"/>
              </w:rPr>
            </w:pPr>
          </w:p>
        </w:tc>
      </w:tr>
      <w:tr w14:paraId="72151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6036DF25">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6</w:t>
            </w:r>
          </w:p>
        </w:tc>
        <w:tc>
          <w:tcPr>
            <w:tcW w:w="4357" w:type="dxa"/>
            <w:noWrap/>
            <w:vAlign w:val="center"/>
          </w:tcPr>
          <w:p w14:paraId="7AFBB2E8">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23" w:type="dxa"/>
            <w:noWrap/>
            <w:vAlign w:val="center"/>
          </w:tcPr>
          <w:p w14:paraId="7BD29FE1">
            <w:pPr>
              <w:keepNext w:val="0"/>
              <w:keepLines w:val="0"/>
              <w:widowControl/>
              <w:suppressLineNumbers w:val="0"/>
              <w:spacing w:before="0" w:beforeAutospacing="0" w:after="0" w:afterAutospacing="0"/>
              <w:ind w:left="0" w:right="0"/>
              <w:jc w:val="center"/>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场次</w:t>
            </w:r>
          </w:p>
        </w:tc>
        <w:tc>
          <w:tcPr>
            <w:tcW w:w="913" w:type="dxa"/>
            <w:noWrap/>
            <w:vAlign w:val="center"/>
          </w:tcPr>
          <w:p w14:paraId="575BFF31">
            <w:pPr>
              <w:keepNext w:val="0"/>
              <w:keepLines w:val="0"/>
              <w:widowControl/>
              <w:suppressLineNumbers w:val="0"/>
              <w:spacing w:before="0" w:beforeAutospacing="0" w:after="0" w:afterAutospacing="0"/>
              <w:ind w:left="0" w:right="0"/>
              <w:jc w:val="center"/>
              <w:rPr>
                <w:rFonts w:hint="default" w:ascii="仿宋" w:hAnsi="仿宋" w:eastAsia="仿宋" w:cs="仿宋"/>
                <w:b/>
                <w:bCs/>
                <w:color w:val="auto"/>
                <w:sz w:val="24"/>
                <w:highlight w:val="none"/>
                <w:lang w:val="en-US" w:bidi="ar"/>
              </w:rPr>
            </w:pPr>
            <w:r>
              <w:rPr>
                <w:rFonts w:hint="eastAsia" w:ascii="仿宋" w:hAnsi="仿宋" w:eastAsia="仿宋" w:cs="仿宋"/>
                <w:i w:val="0"/>
                <w:iCs w:val="0"/>
                <w:color w:val="auto"/>
                <w:sz w:val="24"/>
                <w:szCs w:val="24"/>
                <w:highlight w:val="none"/>
                <w:u w:val="none"/>
                <w:lang w:val="en-US" w:eastAsia="zh-CN" w:bidi="ar"/>
              </w:rPr>
              <w:t>873</w:t>
            </w:r>
          </w:p>
        </w:tc>
        <w:tc>
          <w:tcPr>
            <w:tcW w:w="975" w:type="dxa"/>
            <w:noWrap/>
            <w:vAlign w:val="center"/>
          </w:tcPr>
          <w:p w14:paraId="495E1B6E">
            <w:pPr>
              <w:widowControl/>
              <w:jc w:val="center"/>
              <w:rPr>
                <w:rFonts w:hint="eastAsia" w:ascii="仿宋" w:hAnsi="仿宋" w:eastAsia="仿宋" w:cs="仿宋"/>
                <w:b/>
                <w:bCs/>
                <w:color w:val="auto"/>
                <w:sz w:val="24"/>
                <w:highlight w:val="none"/>
                <w:lang w:bidi="ar"/>
              </w:rPr>
            </w:pPr>
          </w:p>
        </w:tc>
        <w:tc>
          <w:tcPr>
            <w:tcW w:w="1112" w:type="dxa"/>
            <w:noWrap/>
            <w:vAlign w:val="center"/>
          </w:tcPr>
          <w:p w14:paraId="1A28D717">
            <w:pPr>
              <w:widowControl/>
              <w:jc w:val="center"/>
              <w:rPr>
                <w:rFonts w:hint="eastAsia" w:ascii="仿宋" w:hAnsi="仿宋" w:eastAsia="仿宋" w:cs="仿宋"/>
                <w:b/>
                <w:bCs/>
                <w:color w:val="auto"/>
                <w:sz w:val="24"/>
                <w:highlight w:val="none"/>
                <w:lang w:bidi="ar"/>
              </w:rPr>
            </w:pPr>
          </w:p>
        </w:tc>
      </w:tr>
      <w:tr w14:paraId="1F398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014" w:type="dxa"/>
            <w:gridSpan w:val="5"/>
            <w:noWrap/>
            <w:vAlign w:val="center"/>
          </w:tcPr>
          <w:p w14:paraId="30CA72C7">
            <w:pPr>
              <w:widowControl/>
              <w:jc w:val="cente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投标报价(人民币:元)</w:t>
            </w:r>
          </w:p>
        </w:tc>
        <w:tc>
          <w:tcPr>
            <w:tcW w:w="1112" w:type="dxa"/>
            <w:noWrap/>
            <w:vAlign w:val="center"/>
          </w:tcPr>
          <w:p w14:paraId="0DCCD475">
            <w:pPr>
              <w:widowControl/>
              <w:jc w:val="center"/>
              <w:rPr>
                <w:rFonts w:hint="eastAsia" w:ascii="仿宋" w:hAnsi="仿宋" w:eastAsia="仿宋" w:cs="仿宋"/>
                <w:b/>
                <w:bCs/>
                <w:color w:val="auto"/>
                <w:sz w:val="24"/>
                <w:highlight w:val="none"/>
                <w:lang w:bidi="ar"/>
              </w:rPr>
            </w:pPr>
          </w:p>
        </w:tc>
      </w:tr>
    </w:tbl>
    <w:p w14:paraId="31535548">
      <w:pPr>
        <w:rPr>
          <w:rFonts w:hint="eastAsia" w:ascii="仿宋" w:hAnsi="仿宋" w:eastAsia="仿宋" w:cs="仿宋"/>
          <w:b/>
          <w:color w:val="auto"/>
          <w:sz w:val="28"/>
          <w:szCs w:val="28"/>
          <w:highlight w:val="none"/>
        </w:rPr>
      </w:pPr>
    </w:p>
    <w:p w14:paraId="7255EEDE">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泗洪县标准化考点维保</w:t>
      </w:r>
    </w:p>
    <w:tbl>
      <w:tblPr>
        <w:tblStyle w:val="31"/>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357"/>
        <w:gridCol w:w="923"/>
        <w:gridCol w:w="913"/>
        <w:gridCol w:w="975"/>
        <w:gridCol w:w="1112"/>
      </w:tblGrid>
      <w:tr w14:paraId="37112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770ACD2E">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4357" w:type="dxa"/>
            <w:noWrap/>
            <w:vAlign w:val="center"/>
          </w:tcPr>
          <w:p w14:paraId="257704E7">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服务名称</w:t>
            </w:r>
          </w:p>
        </w:tc>
        <w:tc>
          <w:tcPr>
            <w:tcW w:w="923" w:type="dxa"/>
            <w:noWrap/>
            <w:vAlign w:val="center"/>
          </w:tcPr>
          <w:p w14:paraId="668FB4E5">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913" w:type="dxa"/>
            <w:noWrap/>
            <w:vAlign w:val="center"/>
          </w:tcPr>
          <w:p w14:paraId="05CD8A90">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数量</w:t>
            </w:r>
          </w:p>
        </w:tc>
        <w:tc>
          <w:tcPr>
            <w:tcW w:w="975" w:type="dxa"/>
            <w:noWrap/>
            <w:vAlign w:val="center"/>
          </w:tcPr>
          <w:p w14:paraId="2F9A4C6F">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单价（元）</w:t>
            </w:r>
          </w:p>
        </w:tc>
        <w:tc>
          <w:tcPr>
            <w:tcW w:w="1112" w:type="dxa"/>
            <w:noWrap/>
            <w:vAlign w:val="center"/>
          </w:tcPr>
          <w:p w14:paraId="034AAAEE">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总价（元）</w:t>
            </w:r>
          </w:p>
        </w:tc>
      </w:tr>
      <w:tr w14:paraId="5CC15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AA314B7">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1</w:t>
            </w:r>
          </w:p>
        </w:tc>
        <w:tc>
          <w:tcPr>
            <w:tcW w:w="4357" w:type="dxa"/>
            <w:shd w:val="clear" w:color="auto" w:fill="auto"/>
            <w:noWrap/>
            <w:vAlign w:val="center"/>
          </w:tcPr>
          <w:p w14:paraId="4F1EDBE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23" w:type="dxa"/>
            <w:shd w:val="clear" w:color="auto" w:fill="auto"/>
            <w:noWrap/>
            <w:vAlign w:val="center"/>
          </w:tcPr>
          <w:p w14:paraId="0021157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00356DE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962</w:t>
            </w:r>
          </w:p>
        </w:tc>
        <w:tc>
          <w:tcPr>
            <w:tcW w:w="975" w:type="dxa"/>
            <w:noWrap/>
            <w:vAlign w:val="center"/>
          </w:tcPr>
          <w:p w14:paraId="24E4C4B0">
            <w:pPr>
              <w:widowControl/>
              <w:jc w:val="center"/>
              <w:rPr>
                <w:rFonts w:hint="eastAsia" w:ascii="仿宋" w:hAnsi="仿宋" w:eastAsia="仿宋" w:cs="仿宋"/>
                <w:b/>
                <w:bCs/>
                <w:color w:val="auto"/>
                <w:sz w:val="24"/>
                <w:highlight w:val="none"/>
                <w:lang w:bidi="ar"/>
              </w:rPr>
            </w:pPr>
          </w:p>
        </w:tc>
        <w:tc>
          <w:tcPr>
            <w:tcW w:w="1112" w:type="dxa"/>
            <w:noWrap/>
            <w:vAlign w:val="center"/>
          </w:tcPr>
          <w:p w14:paraId="0327CEC8">
            <w:pPr>
              <w:widowControl/>
              <w:jc w:val="center"/>
              <w:rPr>
                <w:rFonts w:hint="eastAsia" w:ascii="仿宋" w:hAnsi="仿宋" w:eastAsia="仿宋" w:cs="仿宋"/>
                <w:b/>
                <w:bCs/>
                <w:color w:val="auto"/>
                <w:sz w:val="24"/>
                <w:highlight w:val="none"/>
                <w:lang w:bidi="ar"/>
              </w:rPr>
            </w:pPr>
          </w:p>
        </w:tc>
      </w:tr>
      <w:tr w14:paraId="184CE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424F02B0">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2</w:t>
            </w:r>
          </w:p>
        </w:tc>
        <w:tc>
          <w:tcPr>
            <w:tcW w:w="4357" w:type="dxa"/>
            <w:shd w:val="clear" w:color="auto" w:fill="auto"/>
            <w:noWrap/>
            <w:vAlign w:val="center"/>
          </w:tcPr>
          <w:p w14:paraId="211429E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23" w:type="dxa"/>
            <w:shd w:val="clear" w:color="auto" w:fill="auto"/>
            <w:noWrap/>
            <w:vAlign w:val="center"/>
          </w:tcPr>
          <w:p w14:paraId="038FB58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64E2F22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726</w:t>
            </w:r>
          </w:p>
        </w:tc>
        <w:tc>
          <w:tcPr>
            <w:tcW w:w="975" w:type="dxa"/>
            <w:noWrap/>
            <w:vAlign w:val="center"/>
          </w:tcPr>
          <w:p w14:paraId="1BA3A8EE">
            <w:pPr>
              <w:widowControl/>
              <w:jc w:val="center"/>
              <w:rPr>
                <w:rFonts w:hint="eastAsia" w:ascii="仿宋" w:hAnsi="仿宋" w:eastAsia="仿宋" w:cs="仿宋"/>
                <w:b/>
                <w:bCs/>
                <w:color w:val="auto"/>
                <w:sz w:val="24"/>
                <w:highlight w:val="none"/>
                <w:lang w:bidi="ar"/>
              </w:rPr>
            </w:pPr>
          </w:p>
        </w:tc>
        <w:tc>
          <w:tcPr>
            <w:tcW w:w="1112" w:type="dxa"/>
            <w:noWrap/>
            <w:vAlign w:val="center"/>
          </w:tcPr>
          <w:p w14:paraId="195306C6">
            <w:pPr>
              <w:widowControl/>
              <w:jc w:val="center"/>
              <w:rPr>
                <w:rFonts w:hint="eastAsia" w:ascii="仿宋" w:hAnsi="仿宋" w:eastAsia="仿宋" w:cs="仿宋"/>
                <w:b/>
                <w:bCs/>
                <w:color w:val="auto"/>
                <w:sz w:val="24"/>
                <w:highlight w:val="none"/>
                <w:lang w:bidi="ar"/>
              </w:rPr>
            </w:pPr>
          </w:p>
        </w:tc>
      </w:tr>
      <w:tr w14:paraId="4F6E1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62C79F6A">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3</w:t>
            </w:r>
          </w:p>
        </w:tc>
        <w:tc>
          <w:tcPr>
            <w:tcW w:w="4357" w:type="dxa"/>
            <w:shd w:val="clear" w:color="auto" w:fill="auto"/>
            <w:noWrap/>
            <w:vAlign w:val="center"/>
          </w:tcPr>
          <w:p w14:paraId="663EA0AD">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23" w:type="dxa"/>
            <w:shd w:val="clear" w:color="auto" w:fill="auto"/>
            <w:noWrap/>
            <w:vAlign w:val="center"/>
          </w:tcPr>
          <w:p w14:paraId="5E7DCCA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11778B7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116BF589">
            <w:pPr>
              <w:widowControl/>
              <w:jc w:val="center"/>
              <w:rPr>
                <w:rFonts w:hint="eastAsia" w:ascii="仿宋" w:hAnsi="仿宋" w:eastAsia="仿宋" w:cs="仿宋"/>
                <w:b/>
                <w:bCs/>
                <w:color w:val="auto"/>
                <w:sz w:val="24"/>
                <w:highlight w:val="none"/>
                <w:lang w:bidi="ar"/>
              </w:rPr>
            </w:pPr>
          </w:p>
        </w:tc>
        <w:tc>
          <w:tcPr>
            <w:tcW w:w="1112" w:type="dxa"/>
            <w:noWrap/>
            <w:vAlign w:val="center"/>
          </w:tcPr>
          <w:p w14:paraId="4802F000">
            <w:pPr>
              <w:widowControl/>
              <w:jc w:val="center"/>
              <w:rPr>
                <w:rFonts w:hint="eastAsia" w:ascii="仿宋" w:hAnsi="仿宋" w:eastAsia="仿宋" w:cs="仿宋"/>
                <w:b/>
                <w:bCs/>
                <w:color w:val="auto"/>
                <w:sz w:val="24"/>
                <w:highlight w:val="none"/>
                <w:lang w:bidi="ar"/>
              </w:rPr>
            </w:pPr>
          </w:p>
        </w:tc>
      </w:tr>
      <w:tr w14:paraId="4D362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48CE6D0B">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4</w:t>
            </w:r>
          </w:p>
        </w:tc>
        <w:tc>
          <w:tcPr>
            <w:tcW w:w="4357" w:type="dxa"/>
            <w:shd w:val="clear" w:color="auto" w:fill="auto"/>
            <w:noWrap/>
            <w:vAlign w:val="center"/>
          </w:tcPr>
          <w:p w14:paraId="246E85A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23" w:type="dxa"/>
            <w:shd w:val="clear" w:color="auto" w:fill="auto"/>
            <w:noWrap/>
            <w:vAlign w:val="center"/>
          </w:tcPr>
          <w:p w14:paraId="624A577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3FBF807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3D64D843">
            <w:pPr>
              <w:widowControl/>
              <w:jc w:val="center"/>
              <w:rPr>
                <w:rFonts w:hint="eastAsia" w:ascii="仿宋" w:hAnsi="仿宋" w:eastAsia="仿宋" w:cs="仿宋"/>
                <w:b/>
                <w:bCs/>
                <w:color w:val="auto"/>
                <w:sz w:val="24"/>
                <w:highlight w:val="none"/>
                <w:lang w:bidi="ar"/>
              </w:rPr>
            </w:pPr>
          </w:p>
        </w:tc>
        <w:tc>
          <w:tcPr>
            <w:tcW w:w="1112" w:type="dxa"/>
            <w:noWrap/>
            <w:vAlign w:val="center"/>
          </w:tcPr>
          <w:p w14:paraId="3FFA2C6C">
            <w:pPr>
              <w:widowControl/>
              <w:jc w:val="center"/>
              <w:rPr>
                <w:rFonts w:hint="eastAsia" w:ascii="仿宋" w:hAnsi="仿宋" w:eastAsia="仿宋" w:cs="仿宋"/>
                <w:b/>
                <w:bCs/>
                <w:color w:val="auto"/>
                <w:sz w:val="24"/>
                <w:highlight w:val="none"/>
                <w:lang w:bidi="ar"/>
              </w:rPr>
            </w:pPr>
          </w:p>
        </w:tc>
      </w:tr>
      <w:tr w14:paraId="7DC60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71A58004">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5</w:t>
            </w:r>
          </w:p>
        </w:tc>
        <w:tc>
          <w:tcPr>
            <w:tcW w:w="4357" w:type="dxa"/>
            <w:shd w:val="clear" w:color="auto" w:fill="auto"/>
            <w:noWrap/>
            <w:vAlign w:val="center"/>
          </w:tcPr>
          <w:p w14:paraId="348DA67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组网线路服务</w:t>
            </w:r>
          </w:p>
        </w:tc>
        <w:tc>
          <w:tcPr>
            <w:tcW w:w="923" w:type="dxa"/>
            <w:shd w:val="clear" w:color="auto" w:fill="auto"/>
            <w:noWrap/>
            <w:vAlign w:val="center"/>
          </w:tcPr>
          <w:p w14:paraId="4E4558E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条</w:t>
            </w:r>
          </w:p>
        </w:tc>
        <w:tc>
          <w:tcPr>
            <w:tcW w:w="913" w:type="dxa"/>
            <w:shd w:val="clear" w:color="auto" w:fill="auto"/>
            <w:noWrap/>
            <w:vAlign w:val="center"/>
          </w:tcPr>
          <w:p w14:paraId="3BF6E4B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11</w:t>
            </w:r>
          </w:p>
        </w:tc>
        <w:tc>
          <w:tcPr>
            <w:tcW w:w="975" w:type="dxa"/>
            <w:noWrap/>
            <w:vAlign w:val="center"/>
          </w:tcPr>
          <w:p w14:paraId="4FC87D3B">
            <w:pPr>
              <w:widowControl/>
              <w:jc w:val="center"/>
              <w:rPr>
                <w:rFonts w:hint="eastAsia" w:ascii="仿宋" w:hAnsi="仿宋" w:eastAsia="仿宋" w:cs="仿宋"/>
                <w:b/>
                <w:bCs/>
                <w:color w:val="auto"/>
                <w:sz w:val="24"/>
                <w:highlight w:val="none"/>
                <w:lang w:bidi="ar"/>
              </w:rPr>
            </w:pPr>
          </w:p>
        </w:tc>
        <w:tc>
          <w:tcPr>
            <w:tcW w:w="1112" w:type="dxa"/>
            <w:noWrap/>
            <w:vAlign w:val="center"/>
          </w:tcPr>
          <w:p w14:paraId="552E0A93">
            <w:pPr>
              <w:widowControl/>
              <w:jc w:val="center"/>
              <w:rPr>
                <w:rFonts w:hint="eastAsia" w:ascii="仿宋" w:hAnsi="仿宋" w:eastAsia="仿宋" w:cs="仿宋"/>
                <w:b/>
                <w:bCs/>
                <w:color w:val="auto"/>
                <w:sz w:val="24"/>
                <w:highlight w:val="none"/>
                <w:lang w:bidi="ar"/>
              </w:rPr>
            </w:pPr>
          </w:p>
        </w:tc>
      </w:tr>
      <w:tr w14:paraId="0B646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5F700E4">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6</w:t>
            </w:r>
          </w:p>
        </w:tc>
        <w:tc>
          <w:tcPr>
            <w:tcW w:w="4357" w:type="dxa"/>
            <w:shd w:val="clear" w:color="auto" w:fill="auto"/>
            <w:noWrap/>
            <w:vAlign w:val="center"/>
          </w:tcPr>
          <w:p w14:paraId="0B3319A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23" w:type="dxa"/>
            <w:shd w:val="clear" w:color="auto" w:fill="auto"/>
            <w:noWrap/>
            <w:vAlign w:val="center"/>
          </w:tcPr>
          <w:p w14:paraId="39D4F62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1E223FC2">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556</w:t>
            </w:r>
          </w:p>
        </w:tc>
        <w:tc>
          <w:tcPr>
            <w:tcW w:w="975" w:type="dxa"/>
            <w:noWrap/>
            <w:vAlign w:val="center"/>
          </w:tcPr>
          <w:p w14:paraId="7DEF97A9">
            <w:pPr>
              <w:widowControl/>
              <w:jc w:val="center"/>
              <w:rPr>
                <w:rFonts w:hint="eastAsia" w:ascii="仿宋" w:hAnsi="仿宋" w:eastAsia="仿宋" w:cs="仿宋"/>
                <w:b/>
                <w:bCs/>
                <w:color w:val="auto"/>
                <w:sz w:val="24"/>
                <w:highlight w:val="none"/>
                <w:lang w:bidi="ar"/>
              </w:rPr>
            </w:pPr>
          </w:p>
        </w:tc>
        <w:tc>
          <w:tcPr>
            <w:tcW w:w="1112" w:type="dxa"/>
            <w:noWrap/>
            <w:vAlign w:val="center"/>
          </w:tcPr>
          <w:p w14:paraId="4CB6C9E6">
            <w:pPr>
              <w:widowControl/>
              <w:jc w:val="center"/>
              <w:rPr>
                <w:rFonts w:hint="eastAsia" w:ascii="仿宋" w:hAnsi="仿宋" w:eastAsia="仿宋" w:cs="仿宋"/>
                <w:b/>
                <w:bCs/>
                <w:color w:val="auto"/>
                <w:sz w:val="24"/>
                <w:highlight w:val="none"/>
                <w:lang w:bidi="ar"/>
              </w:rPr>
            </w:pPr>
          </w:p>
        </w:tc>
      </w:tr>
      <w:tr w14:paraId="6754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8014" w:type="dxa"/>
            <w:gridSpan w:val="5"/>
            <w:noWrap/>
            <w:vAlign w:val="center"/>
          </w:tcPr>
          <w:p w14:paraId="0CF2F6C7">
            <w:pPr>
              <w:widowControl/>
              <w:jc w:val="cente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投标报价(人民币:元)</w:t>
            </w:r>
          </w:p>
        </w:tc>
        <w:tc>
          <w:tcPr>
            <w:tcW w:w="1112" w:type="dxa"/>
            <w:noWrap/>
            <w:vAlign w:val="center"/>
          </w:tcPr>
          <w:p w14:paraId="75231EF0">
            <w:pPr>
              <w:widowControl/>
              <w:jc w:val="center"/>
              <w:rPr>
                <w:rFonts w:hint="eastAsia" w:ascii="仿宋" w:hAnsi="仿宋" w:eastAsia="仿宋" w:cs="仿宋"/>
                <w:b/>
                <w:bCs/>
                <w:color w:val="auto"/>
                <w:sz w:val="24"/>
                <w:highlight w:val="none"/>
                <w:lang w:bidi="ar"/>
              </w:rPr>
            </w:pPr>
          </w:p>
        </w:tc>
      </w:tr>
    </w:tbl>
    <w:p w14:paraId="47924969">
      <w:pPr>
        <w:rPr>
          <w:rFonts w:hint="eastAsia" w:ascii="仿宋" w:hAnsi="仿宋" w:eastAsia="仿宋" w:cs="仿宋"/>
          <w:b/>
          <w:color w:val="auto"/>
          <w:sz w:val="28"/>
          <w:szCs w:val="28"/>
          <w:highlight w:val="none"/>
        </w:rPr>
      </w:pPr>
    </w:p>
    <w:p w14:paraId="3394F5A3">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泗阳县标准化考点维保</w:t>
      </w:r>
    </w:p>
    <w:tbl>
      <w:tblPr>
        <w:tblStyle w:val="31"/>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357"/>
        <w:gridCol w:w="923"/>
        <w:gridCol w:w="913"/>
        <w:gridCol w:w="975"/>
        <w:gridCol w:w="1112"/>
      </w:tblGrid>
      <w:tr w14:paraId="4D11D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0B1AF497">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4357" w:type="dxa"/>
            <w:noWrap/>
            <w:vAlign w:val="center"/>
          </w:tcPr>
          <w:p w14:paraId="7BDAD844">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服务名称</w:t>
            </w:r>
          </w:p>
        </w:tc>
        <w:tc>
          <w:tcPr>
            <w:tcW w:w="923" w:type="dxa"/>
            <w:noWrap/>
            <w:vAlign w:val="center"/>
          </w:tcPr>
          <w:p w14:paraId="122D6B8D">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913" w:type="dxa"/>
            <w:noWrap/>
            <w:vAlign w:val="center"/>
          </w:tcPr>
          <w:p w14:paraId="3797ADAF">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数量</w:t>
            </w:r>
          </w:p>
        </w:tc>
        <w:tc>
          <w:tcPr>
            <w:tcW w:w="975" w:type="dxa"/>
            <w:noWrap/>
            <w:vAlign w:val="center"/>
          </w:tcPr>
          <w:p w14:paraId="57E64B50">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单价（元）</w:t>
            </w:r>
          </w:p>
        </w:tc>
        <w:tc>
          <w:tcPr>
            <w:tcW w:w="1112" w:type="dxa"/>
            <w:noWrap/>
            <w:vAlign w:val="center"/>
          </w:tcPr>
          <w:p w14:paraId="32B46EBA">
            <w:pPr>
              <w:widowControl/>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总价（元）</w:t>
            </w:r>
          </w:p>
        </w:tc>
      </w:tr>
      <w:tr w14:paraId="0FE54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223E0D73">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1</w:t>
            </w:r>
          </w:p>
        </w:tc>
        <w:tc>
          <w:tcPr>
            <w:tcW w:w="4357" w:type="dxa"/>
            <w:shd w:val="clear" w:color="auto" w:fill="auto"/>
            <w:noWrap/>
            <w:vAlign w:val="center"/>
          </w:tcPr>
          <w:p w14:paraId="4E208304">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中高考及研考考试保障服务</w:t>
            </w:r>
          </w:p>
        </w:tc>
        <w:tc>
          <w:tcPr>
            <w:tcW w:w="923" w:type="dxa"/>
            <w:shd w:val="clear" w:color="auto" w:fill="auto"/>
            <w:noWrap/>
            <w:vAlign w:val="center"/>
          </w:tcPr>
          <w:p w14:paraId="008D92E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21AE0AF0">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950</w:t>
            </w:r>
          </w:p>
        </w:tc>
        <w:tc>
          <w:tcPr>
            <w:tcW w:w="975" w:type="dxa"/>
            <w:noWrap/>
            <w:vAlign w:val="center"/>
          </w:tcPr>
          <w:p w14:paraId="591A72A5">
            <w:pPr>
              <w:widowControl/>
              <w:jc w:val="center"/>
              <w:rPr>
                <w:rFonts w:hint="eastAsia" w:ascii="仿宋" w:hAnsi="仿宋" w:eastAsia="仿宋" w:cs="仿宋"/>
                <w:b/>
                <w:bCs/>
                <w:color w:val="auto"/>
                <w:sz w:val="24"/>
                <w:highlight w:val="none"/>
                <w:lang w:bidi="ar"/>
              </w:rPr>
            </w:pPr>
          </w:p>
        </w:tc>
        <w:tc>
          <w:tcPr>
            <w:tcW w:w="1112" w:type="dxa"/>
            <w:noWrap/>
            <w:vAlign w:val="center"/>
          </w:tcPr>
          <w:p w14:paraId="237EE500">
            <w:pPr>
              <w:widowControl/>
              <w:jc w:val="center"/>
              <w:rPr>
                <w:rFonts w:hint="eastAsia" w:ascii="仿宋" w:hAnsi="仿宋" w:eastAsia="仿宋" w:cs="仿宋"/>
                <w:b/>
                <w:bCs/>
                <w:color w:val="auto"/>
                <w:sz w:val="24"/>
                <w:highlight w:val="none"/>
                <w:lang w:bidi="ar"/>
              </w:rPr>
            </w:pPr>
          </w:p>
        </w:tc>
      </w:tr>
      <w:tr w14:paraId="56E19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248C7213">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2</w:t>
            </w:r>
          </w:p>
        </w:tc>
        <w:tc>
          <w:tcPr>
            <w:tcW w:w="4357" w:type="dxa"/>
            <w:shd w:val="clear" w:color="auto" w:fill="auto"/>
            <w:noWrap/>
            <w:vAlign w:val="center"/>
          </w:tcPr>
          <w:p w14:paraId="08346A3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其他考试保障服务</w:t>
            </w:r>
          </w:p>
        </w:tc>
        <w:tc>
          <w:tcPr>
            <w:tcW w:w="923" w:type="dxa"/>
            <w:shd w:val="clear" w:color="auto" w:fill="auto"/>
            <w:noWrap/>
            <w:vAlign w:val="center"/>
          </w:tcPr>
          <w:p w14:paraId="79C4F94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69D4660C">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861</w:t>
            </w:r>
          </w:p>
        </w:tc>
        <w:tc>
          <w:tcPr>
            <w:tcW w:w="975" w:type="dxa"/>
            <w:noWrap/>
            <w:vAlign w:val="center"/>
          </w:tcPr>
          <w:p w14:paraId="5C0BE8F9">
            <w:pPr>
              <w:widowControl/>
              <w:jc w:val="center"/>
              <w:rPr>
                <w:rFonts w:hint="eastAsia" w:ascii="仿宋" w:hAnsi="仿宋" w:eastAsia="仿宋" w:cs="仿宋"/>
                <w:b/>
                <w:bCs/>
                <w:color w:val="auto"/>
                <w:sz w:val="24"/>
                <w:highlight w:val="none"/>
                <w:lang w:bidi="ar"/>
              </w:rPr>
            </w:pPr>
          </w:p>
        </w:tc>
        <w:tc>
          <w:tcPr>
            <w:tcW w:w="1112" w:type="dxa"/>
            <w:noWrap/>
            <w:vAlign w:val="center"/>
          </w:tcPr>
          <w:p w14:paraId="325DC683">
            <w:pPr>
              <w:widowControl/>
              <w:jc w:val="center"/>
              <w:rPr>
                <w:rFonts w:hint="eastAsia" w:ascii="仿宋" w:hAnsi="仿宋" w:eastAsia="仿宋" w:cs="仿宋"/>
                <w:b/>
                <w:bCs/>
                <w:color w:val="auto"/>
                <w:sz w:val="24"/>
                <w:highlight w:val="none"/>
                <w:lang w:bidi="ar"/>
              </w:rPr>
            </w:pPr>
          </w:p>
        </w:tc>
      </w:tr>
      <w:tr w14:paraId="196A1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7AD13748">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3</w:t>
            </w:r>
          </w:p>
        </w:tc>
        <w:tc>
          <w:tcPr>
            <w:tcW w:w="4357" w:type="dxa"/>
            <w:shd w:val="clear" w:color="auto" w:fill="auto"/>
            <w:noWrap/>
            <w:vAlign w:val="center"/>
          </w:tcPr>
          <w:p w14:paraId="4C76E7F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日常巡检、设备维保服务</w:t>
            </w:r>
          </w:p>
        </w:tc>
        <w:tc>
          <w:tcPr>
            <w:tcW w:w="923" w:type="dxa"/>
            <w:shd w:val="clear" w:color="auto" w:fill="auto"/>
            <w:noWrap/>
            <w:vAlign w:val="center"/>
          </w:tcPr>
          <w:p w14:paraId="0FD9BA8F">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430FE34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580D469D">
            <w:pPr>
              <w:widowControl/>
              <w:jc w:val="center"/>
              <w:rPr>
                <w:rFonts w:hint="eastAsia" w:ascii="仿宋" w:hAnsi="仿宋" w:eastAsia="仿宋" w:cs="仿宋"/>
                <w:b/>
                <w:bCs/>
                <w:color w:val="auto"/>
                <w:sz w:val="24"/>
                <w:highlight w:val="none"/>
                <w:lang w:bidi="ar"/>
              </w:rPr>
            </w:pPr>
          </w:p>
        </w:tc>
        <w:tc>
          <w:tcPr>
            <w:tcW w:w="1112" w:type="dxa"/>
            <w:noWrap/>
            <w:vAlign w:val="center"/>
          </w:tcPr>
          <w:p w14:paraId="75BA913E">
            <w:pPr>
              <w:widowControl/>
              <w:jc w:val="center"/>
              <w:rPr>
                <w:rFonts w:hint="eastAsia" w:ascii="仿宋" w:hAnsi="仿宋" w:eastAsia="仿宋" w:cs="仿宋"/>
                <w:b/>
                <w:bCs/>
                <w:color w:val="auto"/>
                <w:sz w:val="24"/>
                <w:highlight w:val="none"/>
                <w:lang w:bidi="ar"/>
              </w:rPr>
            </w:pPr>
          </w:p>
        </w:tc>
      </w:tr>
      <w:tr w14:paraId="40027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3488FD7E">
            <w:pPr>
              <w:widowControl/>
              <w:jc w:val="center"/>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4</w:t>
            </w:r>
          </w:p>
        </w:tc>
        <w:tc>
          <w:tcPr>
            <w:tcW w:w="4357" w:type="dxa"/>
            <w:shd w:val="clear" w:color="auto" w:fill="auto"/>
            <w:noWrap/>
            <w:vAlign w:val="center"/>
          </w:tcPr>
          <w:p w14:paraId="6D32C185">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市、区县指挥中心维保服务</w:t>
            </w:r>
          </w:p>
        </w:tc>
        <w:tc>
          <w:tcPr>
            <w:tcW w:w="923" w:type="dxa"/>
            <w:shd w:val="clear" w:color="auto" w:fill="auto"/>
            <w:noWrap/>
            <w:vAlign w:val="center"/>
          </w:tcPr>
          <w:p w14:paraId="5E4B94D2">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项</w:t>
            </w:r>
          </w:p>
        </w:tc>
        <w:tc>
          <w:tcPr>
            <w:tcW w:w="913" w:type="dxa"/>
            <w:shd w:val="clear" w:color="auto" w:fill="auto"/>
            <w:noWrap/>
            <w:vAlign w:val="center"/>
          </w:tcPr>
          <w:p w14:paraId="4D8C6656">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w:t>
            </w:r>
          </w:p>
        </w:tc>
        <w:tc>
          <w:tcPr>
            <w:tcW w:w="975" w:type="dxa"/>
            <w:noWrap/>
            <w:vAlign w:val="center"/>
          </w:tcPr>
          <w:p w14:paraId="7274EFE3">
            <w:pPr>
              <w:widowControl/>
              <w:jc w:val="center"/>
              <w:rPr>
                <w:rFonts w:hint="eastAsia" w:ascii="仿宋" w:hAnsi="仿宋" w:eastAsia="仿宋" w:cs="仿宋"/>
                <w:b/>
                <w:bCs/>
                <w:color w:val="auto"/>
                <w:sz w:val="24"/>
                <w:highlight w:val="none"/>
                <w:lang w:bidi="ar"/>
              </w:rPr>
            </w:pPr>
          </w:p>
        </w:tc>
        <w:tc>
          <w:tcPr>
            <w:tcW w:w="1112" w:type="dxa"/>
            <w:noWrap/>
            <w:vAlign w:val="center"/>
          </w:tcPr>
          <w:p w14:paraId="2DFC5DF3">
            <w:pPr>
              <w:widowControl/>
              <w:jc w:val="center"/>
              <w:rPr>
                <w:rFonts w:hint="eastAsia" w:ascii="仿宋" w:hAnsi="仿宋" w:eastAsia="仿宋" w:cs="仿宋"/>
                <w:b/>
                <w:bCs/>
                <w:color w:val="auto"/>
                <w:sz w:val="24"/>
                <w:highlight w:val="none"/>
                <w:lang w:bidi="ar"/>
              </w:rPr>
            </w:pPr>
          </w:p>
        </w:tc>
      </w:tr>
      <w:tr w14:paraId="58557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2DDDBA5D">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5</w:t>
            </w:r>
          </w:p>
        </w:tc>
        <w:tc>
          <w:tcPr>
            <w:tcW w:w="4357" w:type="dxa"/>
            <w:shd w:val="clear" w:color="auto" w:fill="auto"/>
            <w:noWrap/>
            <w:vAlign w:val="center"/>
          </w:tcPr>
          <w:p w14:paraId="23B7AA9A">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组网线路服务</w:t>
            </w:r>
          </w:p>
        </w:tc>
        <w:tc>
          <w:tcPr>
            <w:tcW w:w="923" w:type="dxa"/>
            <w:shd w:val="clear" w:color="auto" w:fill="auto"/>
            <w:noWrap/>
            <w:vAlign w:val="center"/>
          </w:tcPr>
          <w:p w14:paraId="2136E2D1">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条</w:t>
            </w:r>
          </w:p>
        </w:tc>
        <w:tc>
          <w:tcPr>
            <w:tcW w:w="913" w:type="dxa"/>
            <w:shd w:val="clear" w:color="auto" w:fill="auto"/>
            <w:noWrap/>
            <w:vAlign w:val="center"/>
          </w:tcPr>
          <w:p w14:paraId="33C0129E">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11</w:t>
            </w:r>
          </w:p>
        </w:tc>
        <w:tc>
          <w:tcPr>
            <w:tcW w:w="975" w:type="dxa"/>
            <w:noWrap/>
            <w:vAlign w:val="center"/>
          </w:tcPr>
          <w:p w14:paraId="2A5F1FE8">
            <w:pPr>
              <w:widowControl/>
              <w:jc w:val="center"/>
              <w:rPr>
                <w:rFonts w:hint="eastAsia" w:ascii="仿宋" w:hAnsi="仿宋" w:eastAsia="仿宋" w:cs="仿宋"/>
                <w:b/>
                <w:bCs/>
                <w:color w:val="auto"/>
                <w:sz w:val="24"/>
                <w:highlight w:val="none"/>
                <w:lang w:bidi="ar"/>
              </w:rPr>
            </w:pPr>
          </w:p>
        </w:tc>
        <w:tc>
          <w:tcPr>
            <w:tcW w:w="1112" w:type="dxa"/>
            <w:noWrap/>
            <w:vAlign w:val="center"/>
          </w:tcPr>
          <w:p w14:paraId="760152A9">
            <w:pPr>
              <w:widowControl/>
              <w:jc w:val="center"/>
              <w:rPr>
                <w:rFonts w:hint="eastAsia" w:ascii="仿宋" w:hAnsi="仿宋" w:eastAsia="仿宋" w:cs="仿宋"/>
                <w:b/>
                <w:bCs/>
                <w:color w:val="auto"/>
                <w:sz w:val="24"/>
                <w:highlight w:val="none"/>
                <w:lang w:bidi="ar"/>
              </w:rPr>
            </w:pPr>
          </w:p>
        </w:tc>
      </w:tr>
      <w:tr w14:paraId="23C75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846" w:type="dxa"/>
            <w:noWrap/>
            <w:vAlign w:val="center"/>
          </w:tcPr>
          <w:p w14:paraId="1E50DBD6">
            <w:pPr>
              <w:widowControl/>
              <w:jc w:val="center"/>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6</w:t>
            </w:r>
          </w:p>
        </w:tc>
        <w:tc>
          <w:tcPr>
            <w:tcW w:w="4357" w:type="dxa"/>
            <w:shd w:val="clear" w:color="auto" w:fill="auto"/>
            <w:noWrap/>
            <w:vAlign w:val="center"/>
          </w:tcPr>
          <w:p w14:paraId="6E87B24B">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AI智能巡查巡检服务</w:t>
            </w:r>
          </w:p>
        </w:tc>
        <w:tc>
          <w:tcPr>
            <w:tcW w:w="923" w:type="dxa"/>
            <w:shd w:val="clear" w:color="auto" w:fill="auto"/>
            <w:noWrap/>
            <w:vAlign w:val="center"/>
          </w:tcPr>
          <w:p w14:paraId="6D987229">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
              </w:rPr>
              <w:t>场次</w:t>
            </w:r>
          </w:p>
        </w:tc>
        <w:tc>
          <w:tcPr>
            <w:tcW w:w="913" w:type="dxa"/>
            <w:shd w:val="clear" w:color="auto" w:fill="auto"/>
            <w:noWrap/>
            <w:vAlign w:val="center"/>
          </w:tcPr>
          <w:p w14:paraId="73EDA95E">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540</w:t>
            </w:r>
          </w:p>
        </w:tc>
        <w:tc>
          <w:tcPr>
            <w:tcW w:w="975" w:type="dxa"/>
            <w:noWrap/>
            <w:vAlign w:val="center"/>
          </w:tcPr>
          <w:p w14:paraId="7E90FED1">
            <w:pPr>
              <w:widowControl/>
              <w:jc w:val="center"/>
              <w:rPr>
                <w:rFonts w:hint="eastAsia" w:ascii="仿宋" w:hAnsi="仿宋" w:eastAsia="仿宋" w:cs="仿宋"/>
                <w:b/>
                <w:bCs/>
                <w:color w:val="auto"/>
                <w:sz w:val="24"/>
                <w:highlight w:val="none"/>
                <w:lang w:bidi="ar"/>
              </w:rPr>
            </w:pPr>
          </w:p>
        </w:tc>
        <w:tc>
          <w:tcPr>
            <w:tcW w:w="1112" w:type="dxa"/>
            <w:noWrap/>
            <w:vAlign w:val="center"/>
          </w:tcPr>
          <w:p w14:paraId="6DC3AA30">
            <w:pPr>
              <w:widowControl/>
              <w:jc w:val="center"/>
              <w:rPr>
                <w:rFonts w:hint="eastAsia" w:ascii="仿宋" w:hAnsi="仿宋" w:eastAsia="仿宋" w:cs="仿宋"/>
                <w:b/>
                <w:bCs/>
                <w:color w:val="auto"/>
                <w:sz w:val="24"/>
                <w:highlight w:val="none"/>
                <w:lang w:bidi="ar"/>
              </w:rPr>
            </w:pPr>
          </w:p>
        </w:tc>
      </w:tr>
      <w:tr w14:paraId="3FB4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8014" w:type="dxa"/>
            <w:gridSpan w:val="5"/>
            <w:noWrap/>
            <w:vAlign w:val="center"/>
          </w:tcPr>
          <w:p w14:paraId="12EE402A">
            <w:pPr>
              <w:widowControl/>
              <w:jc w:val="cente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投标报价(人民币:元)</w:t>
            </w:r>
          </w:p>
        </w:tc>
        <w:tc>
          <w:tcPr>
            <w:tcW w:w="1112" w:type="dxa"/>
            <w:noWrap/>
            <w:vAlign w:val="center"/>
          </w:tcPr>
          <w:p w14:paraId="3E30232D">
            <w:pPr>
              <w:widowControl/>
              <w:jc w:val="center"/>
              <w:rPr>
                <w:rFonts w:hint="eastAsia" w:ascii="仿宋" w:hAnsi="仿宋" w:eastAsia="仿宋" w:cs="仿宋"/>
                <w:b/>
                <w:bCs/>
                <w:color w:val="auto"/>
                <w:sz w:val="24"/>
                <w:highlight w:val="none"/>
                <w:lang w:bidi="ar"/>
              </w:rPr>
            </w:pPr>
          </w:p>
        </w:tc>
      </w:tr>
    </w:tbl>
    <w:p w14:paraId="6678F508">
      <w:pPr>
        <w:rPr>
          <w:rFonts w:hint="eastAsia" w:ascii="仿宋" w:hAnsi="仿宋" w:eastAsia="仿宋" w:cs="仿宋"/>
          <w:strike/>
          <w:color w:val="auto"/>
          <w:sz w:val="32"/>
          <w:szCs w:val="32"/>
        </w:rPr>
      </w:pPr>
      <w:r>
        <w:rPr>
          <w:rFonts w:hint="eastAsia" w:ascii="仿宋" w:hAnsi="仿宋" w:eastAsia="仿宋" w:cs="仿宋"/>
          <w:color w:val="000000"/>
          <w:sz w:val="24"/>
        </w:rPr>
        <w:t>备注：</w:t>
      </w:r>
      <w:r>
        <w:rPr>
          <w:rFonts w:hint="eastAsia" w:ascii="仿宋" w:hAnsi="仿宋" w:eastAsia="仿宋" w:cs="仿宋"/>
          <w:color w:val="000000"/>
          <w:sz w:val="24"/>
          <w:lang w:eastAsia="zh-CN"/>
        </w:rPr>
        <w:t>“分项报价”中市区县“投标报价”数额总和应当与</w:t>
      </w:r>
      <w:r>
        <w:rPr>
          <w:rFonts w:hint="eastAsia" w:ascii="仿宋" w:hAnsi="仿宋" w:eastAsia="仿宋" w:cs="仿宋"/>
          <w:color w:val="000000"/>
          <w:sz w:val="24"/>
        </w:rPr>
        <w:t>“开标一览表”中“投标总报价”数额一致。</w:t>
      </w:r>
      <w:r>
        <w:rPr>
          <w:rFonts w:hint="eastAsia" w:ascii="仿宋" w:hAnsi="仿宋" w:eastAsia="仿宋" w:cs="仿宋"/>
          <w:strike/>
          <w:color w:val="auto"/>
          <w:sz w:val="32"/>
          <w:szCs w:val="32"/>
        </w:rPr>
        <w:br w:type="page" w:clear="all"/>
      </w:r>
    </w:p>
    <w:p w14:paraId="1781060B">
      <w:pPr>
        <w:spacing w:line="560" w:lineRule="exact"/>
        <w:ind w:firstLine="640"/>
        <w:jc w:val="left"/>
        <w:outlineLvl w:val="1"/>
        <w:rPr>
          <w:rFonts w:hint="eastAsia" w:ascii="仿宋" w:hAnsi="仿宋" w:eastAsia="仿宋" w:cs="仿宋"/>
          <w:iCs/>
          <w:color w:val="auto"/>
          <w:sz w:val="32"/>
          <w:szCs w:val="32"/>
        </w:rPr>
      </w:pPr>
      <w:r>
        <w:rPr>
          <w:rFonts w:hint="eastAsia" w:ascii="仿宋" w:hAnsi="仿宋" w:eastAsia="仿宋" w:cs="仿宋"/>
          <w:b/>
          <w:color w:val="auto"/>
          <w:sz w:val="32"/>
          <w:szCs w:val="32"/>
        </w:rPr>
        <w:t>六</w:t>
      </w:r>
      <w:r>
        <w:rPr>
          <w:rFonts w:hint="eastAsia" w:ascii="仿宋" w:hAnsi="仿宋" w:eastAsia="仿宋" w:cs="仿宋"/>
          <w:color w:val="auto"/>
          <w:sz w:val="32"/>
          <w:szCs w:val="32"/>
        </w:rPr>
        <w:t>、</w:t>
      </w:r>
      <w:r>
        <w:rPr>
          <w:rFonts w:hint="eastAsia" w:ascii="仿宋" w:hAnsi="仿宋" w:eastAsia="仿宋" w:cs="仿宋"/>
          <w:b/>
          <w:bCs/>
          <w:iCs/>
          <w:color w:val="auto"/>
          <w:sz w:val="32"/>
          <w:szCs w:val="32"/>
        </w:rPr>
        <w:t>中小（微）企业声明函（服务）</w:t>
      </w:r>
    </w:p>
    <w:p w14:paraId="0B5F86A3">
      <w:pPr>
        <w:spacing w:before="290" w:after="290" w:line="360" w:lineRule="auto"/>
        <w:ind w:left="420"/>
        <w:jc w:val="center"/>
        <w:rPr>
          <w:rFonts w:hint="eastAsia" w:ascii="仿宋" w:hAnsi="仿宋" w:eastAsia="仿宋" w:cs="仿宋"/>
          <w:color w:val="auto"/>
          <w:sz w:val="20"/>
          <w:szCs w:val="20"/>
        </w:rPr>
      </w:pPr>
      <w:r>
        <w:rPr>
          <w:rFonts w:hint="eastAsia" w:ascii="仿宋" w:hAnsi="仿宋" w:eastAsia="仿宋" w:cs="仿宋"/>
          <w:iCs/>
          <w:color w:val="auto"/>
          <w:sz w:val="32"/>
          <w:szCs w:val="32"/>
        </w:rPr>
        <w:t>中小（微）企业声明函</w:t>
      </w:r>
    </w:p>
    <w:p w14:paraId="0F46E8E8">
      <w:pPr>
        <w:spacing w:line="560" w:lineRule="exact"/>
        <w:ind w:firstLine="360"/>
        <w:rPr>
          <w:rFonts w:hint="eastAsia" w:ascii="仿宋" w:hAnsi="仿宋" w:eastAsia="仿宋" w:cs="仿宋"/>
          <w:color w:val="auto"/>
          <w:sz w:val="24"/>
        </w:rPr>
      </w:pPr>
      <w:r>
        <w:rPr>
          <w:rFonts w:hint="eastAsia" w:ascii="仿宋" w:hAnsi="仿宋" w:eastAsia="仿宋" w:cs="仿宋"/>
          <w:color w:val="auto"/>
          <w:sz w:val="24"/>
        </w:rPr>
        <w:t>本公司（联合体）郑重声明，根据《政府采购促进中小企业发展管理办法》（财库[2020]46号）的规定，本公司（联合体）参加</w:t>
      </w:r>
      <w:r>
        <w:rPr>
          <w:rFonts w:hint="eastAsia" w:ascii="仿宋" w:hAnsi="仿宋" w:eastAsia="仿宋" w:cs="仿宋"/>
          <w:color w:val="auto"/>
          <w:sz w:val="24"/>
          <w:u w:val="single"/>
        </w:rPr>
        <w:t>（单位名称）</w:t>
      </w:r>
      <w:r>
        <w:rPr>
          <w:rFonts w:hint="eastAsia" w:ascii="仿宋" w:hAnsi="仿宋" w:eastAsia="仿宋" w:cs="仿宋"/>
          <w:color w:val="auto"/>
          <w:sz w:val="24"/>
        </w:rPr>
        <w:t>采购的项目编号为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sz w:val="24"/>
          <w:u w:val="single"/>
        </w:rPr>
        <w:t>（项目名称）</w:t>
      </w:r>
      <w:r>
        <w:rPr>
          <w:rFonts w:hint="eastAsia" w:ascii="仿宋" w:hAnsi="仿宋" w:eastAsia="仿宋" w:cs="仿宋"/>
          <w:color w:val="auto"/>
          <w:sz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6E2F3BF">
      <w:pPr>
        <w:spacing w:line="560" w:lineRule="exact"/>
        <w:ind w:firstLine="360"/>
        <w:rPr>
          <w:rFonts w:hint="eastAsia" w:ascii="仿宋" w:hAnsi="仿宋" w:eastAsia="仿宋" w:cs="仿宋"/>
          <w:i/>
          <w:color w:val="auto"/>
          <w:sz w:val="24"/>
          <w:u w:val="single"/>
        </w:rPr>
      </w:pPr>
      <w:r>
        <w:rPr>
          <w:rFonts w:hint="eastAsia" w:ascii="仿宋" w:hAnsi="仿宋" w:eastAsia="仿宋" w:cs="仿宋"/>
          <w:color w:val="auto"/>
          <w:sz w:val="24"/>
        </w:rPr>
        <w:t>1.</w:t>
      </w:r>
      <w:r>
        <w:rPr>
          <w:rFonts w:hint="eastAsia" w:ascii="仿宋" w:hAnsi="仿宋" w:eastAsia="仿宋" w:cs="仿宋"/>
          <w:color w:val="auto"/>
          <w:sz w:val="24"/>
          <w:u w:val="single"/>
        </w:rPr>
        <w:t>（标的名称）</w:t>
      </w:r>
      <w:r>
        <w:rPr>
          <w:rFonts w:hint="eastAsia" w:ascii="仿宋" w:hAnsi="仿宋" w:eastAsia="仿宋" w:cs="仿宋"/>
          <w:i/>
          <w:color w:val="auto"/>
          <w:sz w:val="24"/>
        </w:rPr>
        <w:t>，</w:t>
      </w:r>
      <w:r>
        <w:rPr>
          <w:rFonts w:hint="eastAsia" w:ascii="仿宋" w:hAnsi="仿宋" w:eastAsia="仿宋" w:cs="仿宋"/>
          <w:color w:val="auto"/>
          <w:sz w:val="24"/>
        </w:rPr>
        <w:t>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行业；承接企业为</w:t>
      </w:r>
      <w:r>
        <w:rPr>
          <w:rFonts w:hint="eastAsia" w:ascii="仿宋" w:hAnsi="仿宋" w:eastAsia="仿宋" w:cs="仿宋"/>
          <w:color w:val="auto"/>
          <w:sz w:val="24"/>
          <w:u w:val="single"/>
        </w:rPr>
        <w:t>（企业名称）</w:t>
      </w:r>
      <w:r>
        <w:rPr>
          <w:rFonts w:hint="eastAsia" w:ascii="仿宋" w:hAnsi="仿宋" w:eastAsia="仿宋" w:cs="仿宋"/>
          <w:color w:val="auto"/>
          <w:sz w:val="24"/>
        </w:rPr>
        <w:t>，从业人员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w:t>
      </w:r>
      <w:r>
        <w:rPr>
          <w:rFonts w:hint="eastAsia" w:ascii="仿宋" w:hAnsi="仿宋" w:eastAsia="仿宋" w:cs="仿宋"/>
          <w:color w:val="auto"/>
          <w:sz w:val="24"/>
          <w:vertAlign w:val="superscript"/>
        </w:rPr>
        <w:t>1</w:t>
      </w:r>
      <w:r>
        <w:rPr>
          <w:rFonts w:hint="eastAsia" w:ascii="仿宋" w:hAnsi="仿宋" w:eastAsia="仿宋" w:cs="仿宋"/>
          <w:color w:val="auto"/>
          <w:sz w:val="24"/>
        </w:rPr>
        <w:t>，属于</w:t>
      </w:r>
      <w:r>
        <w:rPr>
          <w:rFonts w:hint="eastAsia" w:ascii="仿宋" w:hAnsi="仿宋" w:eastAsia="仿宋" w:cs="仿宋"/>
          <w:color w:val="auto"/>
          <w:sz w:val="24"/>
          <w:u w:val="single"/>
        </w:rPr>
        <w:t>（中型企业、小型企业、微型企业）；</w:t>
      </w:r>
    </w:p>
    <w:p w14:paraId="4EE4E362">
      <w:pPr>
        <w:spacing w:line="560" w:lineRule="exact"/>
        <w:ind w:firstLine="360"/>
        <w:rPr>
          <w:rFonts w:hint="eastAsia" w:ascii="仿宋" w:hAnsi="仿宋" w:eastAsia="仿宋" w:cs="仿宋"/>
          <w:i/>
          <w:color w:val="auto"/>
          <w:sz w:val="24"/>
          <w:u w:val="single"/>
        </w:rPr>
      </w:pPr>
      <w:r>
        <w:rPr>
          <w:rFonts w:hint="eastAsia" w:ascii="仿宋" w:hAnsi="仿宋" w:eastAsia="仿宋" w:cs="仿宋"/>
          <w:color w:val="auto"/>
          <w:sz w:val="24"/>
        </w:rPr>
        <w:t>2.</w:t>
      </w:r>
      <w:r>
        <w:rPr>
          <w:rFonts w:hint="eastAsia" w:ascii="仿宋" w:hAnsi="仿宋" w:eastAsia="仿宋" w:cs="仿宋"/>
          <w:color w:val="auto"/>
          <w:sz w:val="24"/>
          <w:u w:val="single"/>
        </w:rPr>
        <w:t>（标的名称）</w:t>
      </w:r>
      <w:r>
        <w:rPr>
          <w:rFonts w:hint="eastAsia" w:ascii="仿宋" w:hAnsi="仿宋" w:eastAsia="仿宋" w:cs="仿宋"/>
          <w:i/>
          <w:color w:val="auto"/>
          <w:sz w:val="24"/>
        </w:rPr>
        <w:t>，</w:t>
      </w:r>
      <w:r>
        <w:rPr>
          <w:rFonts w:hint="eastAsia" w:ascii="仿宋" w:hAnsi="仿宋" w:eastAsia="仿宋" w:cs="仿宋"/>
          <w:color w:val="auto"/>
          <w:sz w:val="24"/>
        </w:rPr>
        <w:t>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行业；承接企业为</w:t>
      </w:r>
      <w:r>
        <w:rPr>
          <w:rFonts w:hint="eastAsia" w:ascii="仿宋" w:hAnsi="仿宋" w:eastAsia="仿宋" w:cs="仿宋"/>
          <w:color w:val="auto"/>
          <w:sz w:val="24"/>
          <w:u w:val="single"/>
        </w:rPr>
        <w:t>（企业名称）</w:t>
      </w:r>
      <w:r>
        <w:rPr>
          <w:rFonts w:hint="eastAsia" w:ascii="仿宋" w:hAnsi="仿宋" w:eastAsia="仿宋" w:cs="仿宋"/>
          <w:color w:val="auto"/>
          <w:sz w:val="24"/>
        </w:rPr>
        <w:t>，从业人员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w:t>
      </w:r>
      <w:r>
        <w:rPr>
          <w:rFonts w:hint="eastAsia" w:ascii="仿宋" w:hAnsi="仿宋" w:eastAsia="仿宋" w:cs="仿宋"/>
          <w:color w:val="auto"/>
          <w:sz w:val="24"/>
          <w:vertAlign w:val="superscript"/>
        </w:rPr>
        <w:t>1</w:t>
      </w:r>
      <w:r>
        <w:rPr>
          <w:rFonts w:hint="eastAsia" w:ascii="仿宋" w:hAnsi="仿宋" w:eastAsia="仿宋" w:cs="仿宋"/>
          <w:color w:val="auto"/>
          <w:sz w:val="24"/>
        </w:rPr>
        <w:t>，属于</w:t>
      </w:r>
      <w:r>
        <w:rPr>
          <w:rFonts w:hint="eastAsia" w:ascii="仿宋" w:hAnsi="仿宋" w:eastAsia="仿宋" w:cs="仿宋"/>
          <w:color w:val="auto"/>
          <w:sz w:val="24"/>
          <w:u w:val="single"/>
        </w:rPr>
        <w:t>（中型企业、小型企业、微型企业）；</w:t>
      </w:r>
    </w:p>
    <w:p w14:paraId="24A85C91">
      <w:pPr>
        <w:spacing w:line="560" w:lineRule="exact"/>
        <w:ind w:firstLine="360"/>
        <w:rPr>
          <w:rFonts w:hint="eastAsia" w:ascii="仿宋" w:hAnsi="仿宋" w:eastAsia="仿宋" w:cs="仿宋"/>
          <w:color w:val="auto"/>
          <w:sz w:val="24"/>
        </w:rPr>
      </w:pPr>
      <w:r>
        <w:rPr>
          <w:rFonts w:hint="eastAsia" w:ascii="仿宋" w:hAnsi="仿宋" w:eastAsia="仿宋" w:cs="仿宋"/>
          <w:color w:val="auto"/>
          <w:sz w:val="24"/>
        </w:rPr>
        <w:t>……</w:t>
      </w:r>
    </w:p>
    <w:p w14:paraId="3BF916E1">
      <w:pPr>
        <w:spacing w:line="560" w:lineRule="exact"/>
        <w:ind w:firstLine="360"/>
        <w:rPr>
          <w:rFonts w:hint="eastAsia" w:ascii="仿宋" w:hAnsi="仿宋" w:eastAsia="仿宋" w:cs="仿宋"/>
          <w:color w:val="auto"/>
          <w:sz w:val="24"/>
        </w:rPr>
      </w:pPr>
      <w:r>
        <w:rPr>
          <w:rFonts w:hint="eastAsia" w:ascii="仿宋" w:hAnsi="仿宋" w:eastAsia="仿宋" w:cs="仿宋"/>
          <w:color w:val="auto"/>
          <w:sz w:val="24"/>
        </w:rPr>
        <w:t>以上企业，不属于大企业的分支机构，不存在控股股东为大企业的情形，也不存在与大企业的负责人为同一人的情形。</w:t>
      </w:r>
    </w:p>
    <w:p w14:paraId="3FA91E05">
      <w:pPr>
        <w:spacing w:line="560" w:lineRule="exact"/>
        <w:ind w:firstLine="360"/>
        <w:rPr>
          <w:rFonts w:hint="eastAsia" w:ascii="仿宋" w:hAnsi="仿宋" w:eastAsia="仿宋" w:cs="仿宋"/>
          <w:color w:val="auto"/>
          <w:sz w:val="24"/>
        </w:rPr>
      </w:pPr>
      <w:r>
        <w:rPr>
          <w:rFonts w:hint="eastAsia" w:ascii="仿宋" w:hAnsi="仿宋" w:eastAsia="仿宋" w:cs="仿宋"/>
          <w:color w:val="auto"/>
          <w:sz w:val="24"/>
        </w:rPr>
        <w:t>本企业对上述声明内容的真实性负责。如有虚假，将依法承担相应责任</w:t>
      </w:r>
    </w:p>
    <w:p w14:paraId="3080128B">
      <w:pPr>
        <w:spacing w:line="560" w:lineRule="exact"/>
        <w:ind w:right="180" w:firstLine="360"/>
        <w:jc w:val="right"/>
        <w:rPr>
          <w:rFonts w:hint="eastAsia" w:ascii="仿宋" w:hAnsi="仿宋" w:eastAsia="仿宋" w:cs="仿宋"/>
          <w:color w:val="auto"/>
          <w:sz w:val="24"/>
        </w:rPr>
      </w:pPr>
      <w:r>
        <w:rPr>
          <w:rFonts w:hint="eastAsia" w:ascii="仿宋" w:hAnsi="仿宋" w:eastAsia="仿宋" w:cs="仿宋"/>
          <w:color w:val="auto"/>
          <w:sz w:val="24"/>
        </w:rPr>
        <w:t>企业名称（加盖CA电子公章）：</w:t>
      </w:r>
    </w:p>
    <w:p w14:paraId="4E73D799">
      <w:pPr>
        <w:spacing w:line="560" w:lineRule="exact"/>
        <w:ind w:right="480" w:firstLine="5400"/>
        <w:rPr>
          <w:rFonts w:hint="eastAsia" w:ascii="仿宋" w:hAnsi="仿宋" w:eastAsia="仿宋" w:cs="仿宋"/>
          <w:color w:val="auto"/>
          <w:sz w:val="24"/>
        </w:rPr>
      </w:pPr>
      <w:r>
        <w:rPr>
          <w:rFonts w:hint="eastAsia" w:ascii="仿宋" w:hAnsi="仿宋" w:eastAsia="仿宋" w:cs="仿宋"/>
          <w:color w:val="auto"/>
          <w:sz w:val="24"/>
        </w:rPr>
        <w:t>日  期：</w:t>
      </w:r>
    </w:p>
    <w:p w14:paraId="47A297A5">
      <w:pPr>
        <w:spacing w:line="560" w:lineRule="exact"/>
        <w:ind w:firstLine="480"/>
        <w:rPr>
          <w:rFonts w:hint="eastAsia" w:ascii="仿宋" w:hAnsi="仿宋" w:eastAsia="仿宋" w:cs="仿宋"/>
          <w:color w:val="auto"/>
          <w:sz w:val="24"/>
        </w:rPr>
      </w:pPr>
      <w:r>
        <w:rPr>
          <w:rFonts w:hint="eastAsia" w:ascii="仿宋" w:hAnsi="仿宋" w:eastAsia="仿宋" w:cs="仿宋"/>
          <w:color w:val="auto"/>
          <w:sz w:val="24"/>
        </w:rPr>
        <w:t>备注1：从业人员、营业收入、资产总额填报上一年度数据，无上一年度数据的新成立企业可不填报。</w:t>
      </w:r>
    </w:p>
    <w:p w14:paraId="4F7C2391">
      <w:pPr>
        <w:spacing w:line="560" w:lineRule="exact"/>
        <w:ind w:firstLine="480"/>
        <w:rPr>
          <w:rFonts w:hint="eastAsia" w:ascii="仿宋" w:hAnsi="仿宋" w:eastAsia="仿宋" w:cs="仿宋"/>
          <w:color w:val="auto"/>
          <w:sz w:val="24"/>
        </w:rPr>
      </w:pPr>
      <w:r>
        <w:rPr>
          <w:rFonts w:hint="eastAsia" w:ascii="仿宋" w:hAnsi="仿宋" w:eastAsia="仿宋" w:cs="仿宋"/>
          <w:color w:val="auto"/>
          <w:sz w:val="24"/>
        </w:rPr>
        <w:t>备注2：投标人如不提供此声明函，价格将不做相应扣除。</w:t>
      </w:r>
    </w:p>
    <w:p w14:paraId="4A02A76B">
      <w:pPr>
        <w:spacing w:line="460" w:lineRule="exact"/>
        <w:rPr>
          <w:rFonts w:hint="eastAsia" w:ascii="仿宋" w:hAnsi="仿宋" w:eastAsia="仿宋" w:cs="仿宋"/>
          <w:iCs/>
          <w:color w:val="auto"/>
          <w:sz w:val="32"/>
          <w:szCs w:val="32"/>
        </w:rPr>
      </w:pPr>
      <w:r>
        <w:rPr>
          <w:rFonts w:hint="eastAsia" w:ascii="仿宋" w:hAnsi="仿宋" w:eastAsia="仿宋" w:cs="仿宋"/>
          <w:b/>
          <w:color w:val="auto"/>
          <w:sz w:val="32"/>
          <w:szCs w:val="32"/>
        </w:rPr>
        <w:br w:type="page" w:clear="all"/>
      </w:r>
    </w:p>
    <w:p w14:paraId="3416CCD3">
      <w:pPr>
        <w:spacing w:before="151" w:after="151" w:line="60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残疾人福利性单位声明函</w:t>
      </w:r>
    </w:p>
    <w:p w14:paraId="446A3B97">
      <w:pPr>
        <w:spacing w:line="588" w:lineRule="exact"/>
        <w:rPr>
          <w:rFonts w:hint="eastAsia" w:ascii="仿宋" w:hAnsi="仿宋" w:eastAsia="仿宋" w:cs="仿宋"/>
          <w:b/>
          <w:color w:val="auto"/>
          <w:spacing w:val="6"/>
          <w:sz w:val="30"/>
          <w:szCs w:val="30"/>
        </w:rPr>
      </w:pPr>
    </w:p>
    <w:p w14:paraId="46C32EBB">
      <w:pPr>
        <w:spacing w:line="588" w:lineRule="exact"/>
        <w:ind w:firstLine="480"/>
        <w:rPr>
          <w:rFonts w:hint="eastAsia" w:ascii="仿宋" w:hAnsi="仿宋" w:eastAsia="仿宋" w:cs="仿宋"/>
          <w:color w:val="auto"/>
          <w:sz w:val="24"/>
          <w:szCs w:val="21"/>
        </w:rPr>
      </w:pPr>
      <w:r>
        <w:rPr>
          <w:rFonts w:hint="eastAsia" w:ascii="仿宋" w:hAnsi="仿宋" w:eastAsia="仿宋" w:cs="仿宋"/>
          <w:color w:val="auto"/>
          <w:sz w:val="24"/>
          <w:szCs w:val="21"/>
        </w:rPr>
        <w:t>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项目采购活动由本单位提供服务。</w:t>
      </w:r>
    </w:p>
    <w:p w14:paraId="120FC1CD">
      <w:pPr>
        <w:spacing w:line="588" w:lineRule="exact"/>
        <w:ind w:firstLine="480"/>
        <w:rPr>
          <w:rFonts w:hint="eastAsia" w:ascii="仿宋" w:hAnsi="仿宋" w:eastAsia="仿宋" w:cs="仿宋"/>
          <w:color w:val="auto"/>
          <w:sz w:val="24"/>
          <w:szCs w:val="21"/>
        </w:rPr>
      </w:pPr>
      <w:r>
        <w:rPr>
          <w:rFonts w:hint="eastAsia" w:ascii="仿宋" w:hAnsi="仿宋" w:eastAsia="仿宋" w:cs="仿宋"/>
          <w:color w:val="auto"/>
          <w:sz w:val="24"/>
          <w:szCs w:val="21"/>
        </w:rPr>
        <w:t>本单位对上述声明的真实性负责。如有虚假，将依法承担相应责任。</w:t>
      </w:r>
    </w:p>
    <w:p w14:paraId="638FA90F">
      <w:pPr>
        <w:spacing w:line="588" w:lineRule="exact"/>
        <w:ind w:firstLine="480"/>
        <w:rPr>
          <w:rFonts w:hint="eastAsia" w:ascii="仿宋" w:hAnsi="仿宋" w:eastAsia="仿宋" w:cs="仿宋"/>
          <w:color w:val="auto"/>
          <w:sz w:val="24"/>
          <w:szCs w:val="21"/>
        </w:rPr>
      </w:pPr>
    </w:p>
    <w:p w14:paraId="1C20894F">
      <w:pPr>
        <w:spacing w:line="588" w:lineRule="exact"/>
        <w:ind w:firstLine="480"/>
        <w:rPr>
          <w:rFonts w:hint="eastAsia" w:ascii="仿宋" w:hAnsi="仿宋" w:eastAsia="仿宋" w:cs="仿宋"/>
          <w:color w:val="auto"/>
          <w:sz w:val="24"/>
          <w:szCs w:val="21"/>
        </w:rPr>
      </w:pPr>
      <w:r>
        <w:rPr>
          <w:rFonts w:hint="eastAsia" w:ascii="仿宋" w:hAnsi="仿宋" w:eastAsia="仿宋" w:cs="仿宋"/>
          <w:color w:val="auto"/>
          <w:sz w:val="24"/>
          <w:szCs w:val="21"/>
        </w:rPr>
        <w:t>（备注：1、投标人如不提供此声明函，价格将不做相应扣除。2、成交投标人为残疾人福利单位的，此声明函将随成交结果同时公告，接受社会监督）</w:t>
      </w:r>
    </w:p>
    <w:p w14:paraId="29C0F226">
      <w:pPr>
        <w:spacing w:line="588" w:lineRule="exact"/>
        <w:ind w:firstLine="624"/>
        <w:rPr>
          <w:rFonts w:hint="eastAsia" w:ascii="仿宋" w:hAnsi="仿宋" w:eastAsia="仿宋" w:cs="仿宋"/>
          <w:color w:val="auto"/>
          <w:spacing w:val="6"/>
          <w:sz w:val="30"/>
          <w:szCs w:val="30"/>
        </w:rPr>
      </w:pPr>
    </w:p>
    <w:p w14:paraId="268A2922">
      <w:pPr>
        <w:tabs>
          <w:tab w:val="left" w:pos="4860"/>
        </w:tabs>
        <w:spacing w:line="588" w:lineRule="exact"/>
        <w:ind w:right="333" w:firstLine="624"/>
        <w:jc w:val="center"/>
        <w:rPr>
          <w:rFonts w:hint="eastAsia" w:ascii="仿宋" w:hAnsi="仿宋" w:eastAsia="仿宋" w:cs="仿宋"/>
          <w:color w:val="auto"/>
          <w:sz w:val="24"/>
          <w:szCs w:val="21"/>
        </w:rPr>
      </w:pPr>
      <w:r>
        <w:rPr>
          <w:rFonts w:hint="eastAsia" w:ascii="仿宋" w:hAnsi="仿宋" w:eastAsia="仿宋" w:cs="仿宋"/>
          <w:color w:val="auto"/>
          <w:spacing w:val="6"/>
          <w:sz w:val="30"/>
          <w:szCs w:val="30"/>
        </w:rPr>
        <w:t xml:space="preserve">             </w:t>
      </w:r>
      <w:r>
        <w:rPr>
          <w:rFonts w:hint="eastAsia" w:ascii="仿宋" w:hAnsi="仿宋" w:eastAsia="仿宋" w:cs="仿宋"/>
          <w:color w:val="auto"/>
          <w:sz w:val="24"/>
          <w:szCs w:val="21"/>
        </w:rPr>
        <w:t xml:space="preserve">          投标人全称（加盖CA电子公章）：</w:t>
      </w:r>
    </w:p>
    <w:p w14:paraId="29FC36CC">
      <w:pPr>
        <w:tabs>
          <w:tab w:val="left" w:pos="4860"/>
        </w:tabs>
        <w:spacing w:line="588" w:lineRule="exact"/>
        <w:ind w:right="1560" w:firstLine="480"/>
        <w:jc w:val="center"/>
        <w:rPr>
          <w:rFonts w:hint="eastAsia" w:ascii="仿宋" w:hAnsi="仿宋" w:eastAsia="仿宋" w:cs="仿宋"/>
          <w:color w:val="auto"/>
          <w:sz w:val="24"/>
          <w:szCs w:val="21"/>
        </w:rPr>
      </w:pPr>
      <w:r>
        <w:rPr>
          <w:rFonts w:hint="eastAsia" w:ascii="仿宋" w:hAnsi="仿宋" w:eastAsia="仿宋" w:cs="仿宋"/>
          <w:color w:val="auto"/>
          <w:sz w:val="24"/>
          <w:szCs w:val="21"/>
        </w:rPr>
        <w:t xml:space="preserve">        </w:t>
      </w:r>
      <w:r>
        <w:rPr>
          <w:rFonts w:hint="eastAsia" w:ascii="仿宋" w:hAnsi="仿宋" w:eastAsia="仿宋" w:cs="仿宋"/>
          <w:color w:val="auto"/>
          <w:sz w:val="24"/>
          <w:szCs w:val="21"/>
          <w:lang w:val="en-US" w:eastAsia="zh-CN"/>
        </w:rPr>
        <w:t xml:space="preserve">       </w:t>
      </w:r>
      <w:r>
        <w:rPr>
          <w:rFonts w:hint="eastAsia" w:ascii="仿宋" w:hAnsi="仿宋" w:eastAsia="仿宋" w:cs="仿宋"/>
          <w:color w:val="auto"/>
          <w:sz w:val="24"/>
          <w:szCs w:val="21"/>
        </w:rPr>
        <w:t>日  期：</w:t>
      </w:r>
    </w:p>
    <w:p w14:paraId="324C36B5">
      <w:pPr>
        <w:spacing w:line="360" w:lineRule="auto"/>
        <w:ind w:firstLine="624"/>
        <w:rPr>
          <w:rFonts w:hint="eastAsia" w:ascii="仿宋" w:hAnsi="仿宋" w:eastAsia="仿宋" w:cs="仿宋"/>
          <w:color w:val="auto"/>
          <w:spacing w:val="6"/>
          <w:sz w:val="30"/>
          <w:szCs w:val="30"/>
        </w:rPr>
      </w:pPr>
    </w:p>
    <w:p w14:paraId="184B0747">
      <w:pPr>
        <w:spacing w:line="560" w:lineRule="exact"/>
        <w:jc w:val="lef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七、技术要求响应及偏离表</w:t>
      </w:r>
    </w:p>
    <w:tbl>
      <w:tblPr>
        <w:tblStyle w:val="31"/>
        <w:tblW w:w="9394" w:type="dxa"/>
        <w:tblInd w:w="-117" w:type="dxa"/>
        <w:tblLayout w:type="fixed"/>
        <w:tblCellMar>
          <w:top w:w="0" w:type="dxa"/>
          <w:left w:w="108" w:type="dxa"/>
          <w:bottom w:w="0" w:type="dxa"/>
          <w:right w:w="108" w:type="dxa"/>
        </w:tblCellMar>
      </w:tblPr>
      <w:tblGrid>
        <w:gridCol w:w="1848"/>
        <w:gridCol w:w="1850"/>
        <w:gridCol w:w="3473"/>
        <w:gridCol w:w="2223"/>
      </w:tblGrid>
      <w:tr w14:paraId="21E634E4">
        <w:tblPrEx>
          <w:tblCellMar>
            <w:top w:w="0" w:type="dxa"/>
            <w:left w:w="108" w:type="dxa"/>
            <w:bottom w:w="0" w:type="dxa"/>
            <w:right w:w="108" w:type="dxa"/>
          </w:tblCellMar>
        </w:tblPrEx>
        <w:trPr>
          <w:trHeight w:val="665" w:hRule="atLeast"/>
        </w:trPr>
        <w:tc>
          <w:tcPr>
            <w:tcW w:w="1848" w:type="dxa"/>
            <w:tcBorders>
              <w:top w:val="single" w:color="000000" w:sz="8" w:space="0"/>
              <w:left w:val="single" w:color="000000" w:sz="8" w:space="0"/>
              <w:bottom w:val="single" w:color="000000" w:sz="8" w:space="0"/>
              <w:right w:val="single" w:color="000000" w:sz="8" w:space="0"/>
            </w:tcBorders>
            <w:noWrap w:val="0"/>
            <w:vAlign w:val="center"/>
          </w:tcPr>
          <w:p w14:paraId="2B84CF5D">
            <w:pPr>
              <w:spacing w:before="100" w:line="559" w:lineRule="atLeast"/>
              <w:jc w:val="center"/>
              <w:rPr>
                <w:rFonts w:hint="eastAsia" w:ascii="仿宋" w:hAnsi="仿宋" w:eastAsia="仿宋" w:cs="仿宋"/>
                <w:color w:val="auto"/>
                <w:sz w:val="24"/>
              </w:rPr>
            </w:pPr>
            <w:r>
              <w:rPr>
                <w:rFonts w:hint="eastAsia" w:ascii="仿宋" w:hAnsi="仿宋" w:eastAsia="仿宋" w:cs="仿宋"/>
                <w:color w:val="auto"/>
                <w:sz w:val="24"/>
              </w:rPr>
              <w:t>招标文件内容</w:t>
            </w:r>
          </w:p>
        </w:tc>
        <w:tc>
          <w:tcPr>
            <w:tcW w:w="1850" w:type="dxa"/>
            <w:tcBorders>
              <w:top w:val="single" w:color="000000" w:sz="8" w:space="0"/>
              <w:left w:val="nil"/>
              <w:bottom w:val="single" w:color="000000" w:sz="8" w:space="0"/>
              <w:right w:val="single" w:color="000000" w:sz="8" w:space="0"/>
            </w:tcBorders>
            <w:noWrap w:val="0"/>
            <w:vAlign w:val="center"/>
          </w:tcPr>
          <w:p w14:paraId="0CB9B5DD">
            <w:pPr>
              <w:spacing w:before="100" w:line="559" w:lineRule="atLeast"/>
              <w:jc w:val="center"/>
              <w:rPr>
                <w:rFonts w:hint="eastAsia" w:ascii="仿宋" w:hAnsi="仿宋" w:eastAsia="仿宋" w:cs="仿宋"/>
                <w:color w:val="auto"/>
                <w:sz w:val="24"/>
              </w:rPr>
            </w:pPr>
            <w:r>
              <w:rPr>
                <w:rFonts w:hint="eastAsia" w:ascii="仿宋" w:hAnsi="仿宋" w:eastAsia="仿宋" w:cs="仿宋"/>
                <w:color w:val="auto"/>
                <w:sz w:val="24"/>
              </w:rPr>
              <w:t>投标文件内容</w:t>
            </w:r>
          </w:p>
        </w:tc>
        <w:tc>
          <w:tcPr>
            <w:tcW w:w="3473" w:type="dxa"/>
            <w:tcBorders>
              <w:top w:val="single" w:color="000000" w:sz="8" w:space="0"/>
              <w:left w:val="nil"/>
              <w:bottom w:val="single" w:color="000000" w:sz="8" w:space="0"/>
              <w:right w:val="single" w:color="000000" w:sz="8" w:space="0"/>
            </w:tcBorders>
            <w:noWrap w:val="0"/>
            <w:vAlign w:val="center"/>
          </w:tcPr>
          <w:p w14:paraId="5A28ADAC">
            <w:pPr>
              <w:spacing w:before="100" w:line="400" w:lineRule="exact"/>
              <w:jc w:val="center"/>
              <w:rPr>
                <w:rFonts w:hint="eastAsia" w:ascii="仿宋" w:hAnsi="仿宋" w:eastAsia="仿宋" w:cs="仿宋"/>
                <w:color w:val="auto"/>
                <w:sz w:val="24"/>
              </w:rPr>
            </w:pPr>
            <w:r>
              <w:rPr>
                <w:rFonts w:hint="eastAsia" w:ascii="仿宋" w:hAnsi="仿宋" w:eastAsia="仿宋" w:cs="仿宋"/>
                <w:color w:val="auto"/>
                <w:sz w:val="24"/>
              </w:rPr>
              <w:t>偏离情况</w:t>
            </w:r>
          </w:p>
          <w:p w14:paraId="295905FF">
            <w:pPr>
              <w:spacing w:before="100" w:line="400" w:lineRule="exact"/>
              <w:jc w:val="center"/>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b/>
                <w:color w:val="auto"/>
                <w:sz w:val="24"/>
              </w:rPr>
              <w:t>正偏离、负偏离、无偏离</w:t>
            </w:r>
            <w:r>
              <w:rPr>
                <w:rFonts w:hint="eastAsia" w:ascii="仿宋" w:hAnsi="仿宋" w:eastAsia="仿宋" w:cs="仿宋"/>
                <w:color w:val="auto"/>
                <w:sz w:val="24"/>
              </w:rPr>
              <w:t>）</w:t>
            </w:r>
          </w:p>
        </w:tc>
        <w:tc>
          <w:tcPr>
            <w:tcW w:w="2223" w:type="dxa"/>
            <w:tcBorders>
              <w:top w:val="single" w:color="000000" w:sz="8" w:space="0"/>
              <w:left w:val="nil"/>
              <w:bottom w:val="single" w:color="000000" w:sz="8" w:space="0"/>
              <w:right w:val="single" w:color="000000" w:sz="8" w:space="0"/>
            </w:tcBorders>
            <w:noWrap w:val="0"/>
            <w:vAlign w:val="center"/>
          </w:tcPr>
          <w:p w14:paraId="12E733A9">
            <w:pPr>
              <w:spacing w:before="100" w:line="559" w:lineRule="atLeast"/>
              <w:jc w:val="center"/>
              <w:rPr>
                <w:rFonts w:hint="eastAsia" w:ascii="仿宋" w:hAnsi="仿宋" w:eastAsia="仿宋" w:cs="仿宋"/>
                <w:color w:val="auto"/>
                <w:sz w:val="24"/>
              </w:rPr>
            </w:pPr>
            <w:r>
              <w:rPr>
                <w:rFonts w:hint="eastAsia" w:ascii="仿宋" w:hAnsi="仿宋" w:eastAsia="仿宋" w:cs="仿宋"/>
                <w:color w:val="auto"/>
                <w:sz w:val="24"/>
              </w:rPr>
              <w:t>偏离内容及说明</w:t>
            </w:r>
          </w:p>
        </w:tc>
      </w:tr>
      <w:tr w14:paraId="336B5162">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29BB88CC">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16FC4D66">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2580988B">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2A306494">
            <w:pPr>
              <w:spacing w:line="559" w:lineRule="atLeast"/>
              <w:jc w:val="center"/>
              <w:rPr>
                <w:rFonts w:hint="eastAsia" w:ascii="方正仿宋_GBK" w:hAnsi="方正仿宋_GBK" w:eastAsia="方正仿宋_GBK" w:cs="方正仿宋_GBK"/>
                <w:color w:val="auto"/>
                <w:sz w:val="24"/>
              </w:rPr>
            </w:pPr>
          </w:p>
        </w:tc>
      </w:tr>
      <w:tr w14:paraId="51C4D81E">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5C1EFD69">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41770C2E">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0C36BBAE">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7EA4D6CB">
            <w:pPr>
              <w:spacing w:line="559" w:lineRule="atLeast"/>
              <w:jc w:val="center"/>
              <w:rPr>
                <w:rFonts w:hint="eastAsia" w:ascii="方正仿宋_GBK" w:hAnsi="方正仿宋_GBK" w:eastAsia="方正仿宋_GBK" w:cs="方正仿宋_GBK"/>
                <w:color w:val="auto"/>
                <w:sz w:val="24"/>
              </w:rPr>
            </w:pPr>
          </w:p>
        </w:tc>
      </w:tr>
      <w:tr w14:paraId="5D683F53">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0F5BBCD7">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3969412B">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3D8597AF">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73E14425">
            <w:pPr>
              <w:spacing w:line="559" w:lineRule="atLeast"/>
              <w:jc w:val="center"/>
              <w:rPr>
                <w:rFonts w:hint="eastAsia" w:ascii="方正仿宋_GBK" w:hAnsi="方正仿宋_GBK" w:eastAsia="方正仿宋_GBK" w:cs="方正仿宋_GBK"/>
                <w:color w:val="auto"/>
                <w:sz w:val="24"/>
              </w:rPr>
            </w:pPr>
          </w:p>
        </w:tc>
      </w:tr>
      <w:tr w14:paraId="23F25623">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6430C29E">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39D448CF">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6EF29AAF">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4A4961C5">
            <w:pPr>
              <w:spacing w:line="559" w:lineRule="atLeast"/>
              <w:jc w:val="center"/>
              <w:rPr>
                <w:rFonts w:hint="eastAsia" w:ascii="方正仿宋_GBK" w:hAnsi="方正仿宋_GBK" w:eastAsia="方正仿宋_GBK" w:cs="方正仿宋_GBK"/>
                <w:color w:val="auto"/>
                <w:sz w:val="24"/>
              </w:rPr>
            </w:pPr>
          </w:p>
        </w:tc>
      </w:tr>
      <w:tr w14:paraId="0CB62B57">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5BAF7330">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46645A42">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790FDC8C">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4A2181F3">
            <w:pPr>
              <w:spacing w:line="559" w:lineRule="atLeast"/>
              <w:jc w:val="center"/>
              <w:rPr>
                <w:rFonts w:hint="eastAsia" w:ascii="方正仿宋_GBK" w:hAnsi="方正仿宋_GBK" w:eastAsia="方正仿宋_GBK" w:cs="方正仿宋_GBK"/>
                <w:color w:val="auto"/>
                <w:sz w:val="24"/>
              </w:rPr>
            </w:pPr>
          </w:p>
        </w:tc>
      </w:tr>
      <w:tr w14:paraId="5756CE76">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1C32BE12">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41C043E1">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6ACD1261">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15A254E7">
            <w:pPr>
              <w:spacing w:line="559" w:lineRule="atLeast"/>
              <w:jc w:val="center"/>
              <w:rPr>
                <w:rFonts w:hint="eastAsia" w:ascii="方正仿宋_GBK" w:hAnsi="方正仿宋_GBK" w:eastAsia="方正仿宋_GBK" w:cs="方正仿宋_GBK"/>
                <w:color w:val="auto"/>
                <w:sz w:val="24"/>
              </w:rPr>
            </w:pPr>
          </w:p>
        </w:tc>
      </w:tr>
      <w:tr w14:paraId="14D6C802">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7120EF3C">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741488E0">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5A00A243">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51BA069C">
            <w:pPr>
              <w:spacing w:line="559" w:lineRule="atLeast"/>
              <w:jc w:val="center"/>
              <w:rPr>
                <w:rFonts w:hint="eastAsia" w:ascii="方正仿宋_GBK" w:hAnsi="方正仿宋_GBK" w:eastAsia="方正仿宋_GBK" w:cs="方正仿宋_GBK"/>
                <w:color w:val="auto"/>
                <w:sz w:val="24"/>
              </w:rPr>
            </w:pPr>
          </w:p>
        </w:tc>
      </w:tr>
      <w:tr w14:paraId="0FB8BDEB">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680415EC">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4C53C885">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01ED7EB6">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2EDB76B9">
            <w:pPr>
              <w:spacing w:line="559" w:lineRule="atLeast"/>
              <w:jc w:val="center"/>
              <w:rPr>
                <w:rFonts w:hint="eastAsia" w:ascii="方正仿宋_GBK" w:hAnsi="方正仿宋_GBK" w:eastAsia="方正仿宋_GBK" w:cs="方正仿宋_GBK"/>
                <w:color w:val="auto"/>
                <w:sz w:val="24"/>
              </w:rPr>
            </w:pPr>
          </w:p>
        </w:tc>
      </w:tr>
      <w:tr w14:paraId="2EF755E1">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7D6CC019">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4FA2348A">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772D1B00">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7E94961A">
            <w:pPr>
              <w:spacing w:line="559" w:lineRule="atLeast"/>
              <w:jc w:val="center"/>
              <w:rPr>
                <w:rFonts w:hint="eastAsia" w:ascii="方正仿宋_GBK" w:hAnsi="方正仿宋_GBK" w:eastAsia="方正仿宋_GBK" w:cs="方正仿宋_GBK"/>
                <w:color w:val="auto"/>
                <w:sz w:val="24"/>
              </w:rPr>
            </w:pPr>
          </w:p>
        </w:tc>
      </w:tr>
      <w:tr w14:paraId="1FB91FDF">
        <w:tblPrEx>
          <w:tblCellMar>
            <w:top w:w="0" w:type="dxa"/>
            <w:left w:w="108" w:type="dxa"/>
            <w:bottom w:w="0" w:type="dxa"/>
            <w:right w:w="108" w:type="dxa"/>
          </w:tblCellMar>
        </w:tblPrEx>
        <w:trPr>
          <w:trHeight w:val="665" w:hRule="atLeast"/>
        </w:trPr>
        <w:tc>
          <w:tcPr>
            <w:tcW w:w="1848" w:type="dxa"/>
            <w:tcBorders>
              <w:top w:val="nil"/>
              <w:left w:val="single" w:color="000000" w:sz="8" w:space="0"/>
              <w:bottom w:val="single" w:color="000000" w:sz="8" w:space="0"/>
              <w:right w:val="single" w:color="000000" w:sz="8" w:space="0"/>
            </w:tcBorders>
            <w:noWrap w:val="0"/>
            <w:vAlign w:val="center"/>
          </w:tcPr>
          <w:p w14:paraId="47D26BEF">
            <w:pPr>
              <w:spacing w:line="559" w:lineRule="atLeast"/>
              <w:jc w:val="center"/>
              <w:rPr>
                <w:rFonts w:hint="eastAsia" w:ascii="方正仿宋_GBK" w:hAnsi="方正仿宋_GBK" w:eastAsia="方正仿宋_GBK" w:cs="方正仿宋_GBK"/>
                <w:color w:val="auto"/>
                <w:sz w:val="24"/>
              </w:rPr>
            </w:pPr>
          </w:p>
        </w:tc>
        <w:tc>
          <w:tcPr>
            <w:tcW w:w="1850" w:type="dxa"/>
            <w:tcBorders>
              <w:top w:val="nil"/>
              <w:left w:val="nil"/>
              <w:bottom w:val="single" w:color="000000" w:sz="8" w:space="0"/>
              <w:right w:val="single" w:color="000000" w:sz="8" w:space="0"/>
            </w:tcBorders>
            <w:noWrap w:val="0"/>
            <w:vAlign w:val="center"/>
          </w:tcPr>
          <w:p w14:paraId="4DE8C76F">
            <w:pPr>
              <w:spacing w:line="559" w:lineRule="atLeast"/>
              <w:jc w:val="center"/>
              <w:rPr>
                <w:rFonts w:hint="eastAsia" w:ascii="方正仿宋_GBK" w:hAnsi="方正仿宋_GBK" w:eastAsia="方正仿宋_GBK" w:cs="方正仿宋_GBK"/>
                <w:color w:val="auto"/>
                <w:sz w:val="24"/>
              </w:rPr>
            </w:pPr>
          </w:p>
        </w:tc>
        <w:tc>
          <w:tcPr>
            <w:tcW w:w="3473" w:type="dxa"/>
            <w:tcBorders>
              <w:top w:val="nil"/>
              <w:left w:val="nil"/>
              <w:bottom w:val="single" w:color="000000" w:sz="8" w:space="0"/>
              <w:right w:val="single" w:color="000000" w:sz="8" w:space="0"/>
            </w:tcBorders>
            <w:noWrap w:val="0"/>
            <w:vAlign w:val="center"/>
          </w:tcPr>
          <w:p w14:paraId="03ED9DE4">
            <w:pPr>
              <w:spacing w:line="559" w:lineRule="atLeast"/>
              <w:jc w:val="center"/>
              <w:rPr>
                <w:rFonts w:hint="eastAsia" w:ascii="方正仿宋_GBK" w:hAnsi="方正仿宋_GBK" w:eastAsia="方正仿宋_GBK" w:cs="方正仿宋_GBK"/>
                <w:color w:val="auto"/>
                <w:sz w:val="24"/>
              </w:rPr>
            </w:pPr>
          </w:p>
        </w:tc>
        <w:tc>
          <w:tcPr>
            <w:tcW w:w="2223" w:type="dxa"/>
            <w:tcBorders>
              <w:top w:val="nil"/>
              <w:left w:val="nil"/>
              <w:bottom w:val="single" w:color="000000" w:sz="8" w:space="0"/>
              <w:right w:val="single" w:color="000000" w:sz="8" w:space="0"/>
            </w:tcBorders>
            <w:noWrap w:val="0"/>
            <w:vAlign w:val="center"/>
          </w:tcPr>
          <w:p w14:paraId="7067E81D">
            <w:pPr>
              <w:spacing w:line="559" w:lineRule="atLeast"/>
              <w:jc w:val="center"/>
              <w:rPr>
                <w:rFonts w:hint="eastAsia" w:ascii="方正仿宋_GBK" w:hAnsi="方正仿宋_GBK" w:eastAsia="方正仿宋_GBK" w:cs="方正仿宋_GBK"/>
                <w:color w:val="auto"/>
                <w:sz w:val="24"/>
              </w:rPr>
            </w:pPr>
          </w:p>
        </w:tc>
      </w:tr>
    </w:tbl>
    <w:p w14:paraId="17144DDE">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ascii="宋体" w:hAnsi="宋体" w:eastAsia="宋体" w:cs="宋体"/>
          <w:color w:val="auto"/>
          <w:sz w:val="24"/>
        </w:rPr>
      </w:pPr>
      <w:r>
        <w:rPr>
          <w:rFonts w:ascii="宋体" w:hAnsi="宋体" w:eastAsia="宋体" w:cs="宋体"/>
          <w:color w:val="auto"/>
          <w:sz w:val="24"/>
        </w:rPr>
        <w:t>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p>
    <w:p w14:paraId="73977EAB">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eastAsia" w:ascii="宋体" w:hAnsi="宋体" w:eastAsia="宋体" w:cs="宋体"/>
          <w:color w:val="auto"/>
          <w:sz w:val="24"/>
        </w:rPr>
      </w:pPr>
      <w:r>
        <w:rPr>
          <w:rFonts w:ascii="宋体" w:hAnsi="宋体" w:eastAsia="宋体" w:cs="宋体"/>
          <w:color w:val="auto"/>
          <w:sz w:val="24"/>
        </w:rPr>
        <w:t>2.</w:t>
      </w:r>
      <w:r>
        <w:rPr>
          <w:rFonts w:hint="eastAsia" w:ascii="宋体" w:hAnsi="宋体" w:cs="宋体"/>
          <w:color w:val="auto"/>
          <w:sz w:val="24"/>
          <w:lang w:eastAsia="zh-CN"/>
        </w:rPr>
        <w:t>针</w:t>
      </w:r>
      <w:r>
        <w:rPr>
          <w:rFonts w:ascii="宋体" w:hAnsi="宋体" w:eastAsia="宋体" w:cs="宋体"/>
          <w:color w:val="auto"/>
          <w:sz w:val="24"/>
        </w:rPr>
        <w:t>对采购需求</w:t>
      </w:r>
      <w:r>
        <w:rPr>
          <w:rFonts w:hint="eastAsia" w:ascii="宋体" w:hAnsi="宋体" w:eastAsia="宋体" w:cs="宋体"/>
          <w:color w:val="auto"/>
          <w:sz w:val="24"/>
          <w:lang w:eastAsia="zh-CN"/>
        </w:rPr>
        <w:t>中</w:t>
      </w:r>
      <w:r>
        <w:rPr>
          <w:rFonts w:hint="eastAsia" w:ascii="宋体" w:hAnsi="宋体" w:cs="宋体"/>
          <w:color w:val="auto"/>
          <w:sz w:val="24"/>
          <w:lang w:eastAsia="zh-CN"/>
        </w:rPr>
        <w:t>加</w:t>
      </w:r>
      <w:r>
        <w:rPr>
          <w:rFonts w:ascii="宋体" w:hAnsi="宋体" w:eastAsia="宋体" w:cs="宋体"/>
          <w:color w:val="auto"/>
          <w:sz w:val="24"/>
        </w:rPr>
        <w:t>“</w:t>
      </w:r>
      <w:r>
        <w:rPr>
          <w:rFonts w:hint="eastAsia" w:ascii="宋体" w:hAnsi="宋体" w:eastAsia="宋体" w:cs="宋体"/>
          <w:color w:val="auto"/>
          <w:sz w:val="24"/>
        </w:rPr>
        <w:t>▲</w:t>
      </w:r>
      <w:r>
        <w:rPr>
          <w:rFonts w:ascii="宋体" w:hAnsi="宋体" w:eastAsia="宋体" w:cs="宋体"/>
          <w:color w:val="auto"/>
          <w:sz w:val="24"/>
        </w:rPr>
        <w:t>”内容，投标人按所投产品情况在此表中详细列出偏离情况（包括正偏离、负偏离、无偏离）并说明理由；</w:t>
      </w:r>
      <w:r>
        <w:rPr>
          <w:rFonts w:hint="eastAsia" w:ascii="宋体" w:hAnsi="宋体" w:eastAsia="宋体" w:cs="宋体"/>
          <w:color w:val="auto"/>
          <w:sz w:val="24"/>
        </w:rPr>
        <w:t>未按要求提供证明材料或未在响应偏离表中列明偏离情况的对应项按负偏离处理</w:t>
      </w:r>
      <w:r>
        <w:rPr>
          <w:rFonts w:ascii="宋体" w:hAnsi="宋体" w:eastAsia="宋体" w:cs="宋体"/>
          <w:color w:val="auto"/>
          <w:sz w:val="24"/>
        </w:rPr>
        <w:t>。</w:t>
      </w:r>
    </w:p>
    <w:p w14:paraId="32D6DC7B">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eastAsia" w:ascii="宋体" w:hAnsi="宋体" w:eastAsia="宋体" w:cs="宋体"/>
          <w:color w:val="auto"/>
          <w:sz w:val="24"/>
        </w:rPr>
      </w:pPr>
      <w:r>
        <w:rPr>
          <w:rFonts w:hint="eastAsia" w:ascii="宋体" w:hAnsi="宋体" w:eastAsia="宋体" w:cs="宋体"/>
          <w:color w:val="auto"/>
          <w:sz w:val="24"/>
        </w:rPr>
        <w:t>3.行数不够，可自行添加。</w:t>
      </w:r>
    </w:p>
    <w:p w14:paraId="4F12E7E9">
      <w:pPr>
        <w:jc w:val="center"/>
        <w:rPr>
          <w:rFonts w:hint="eastAsia" w:ascii="仿宋" w:hAnsi="仿宋" w:eastAsia="仿宋" w:cs="仿宋"/>
          <w:b/>
          <w:color w:val="auto"/>
          <w:sz w:val="36"/>
          <w:szCs w:val="21"/>
        </w:rPr>
      </w:pPr>
    </w:p>
    <w:p w14:paraId="2D37E8FF">
      <w:pPr>
        <w:outlineLvl w:val="1"/>
        <w:rPr>
          <w:rFonts w:hint="eastAsia" w:ascii="仿宋" w:hAnsi="仿宋" w:eastAsia="仿宋" w:cs="仿宋"/>
          <w:b/>
          <w:color w:val="auto"/>
          <w:sz w:val="32"/>
        </w:rPr>
      </w:pPr>
    </w:p>
    <w:p w14:paraId="5B7E9756">
      <w:pPr>
        <w:outlineLvl w:val="1"/>
        <w:rPr>
          <w:rFonts w:hint="eastAsia" w:ascii="仿宋" w:hAnsi="仿宋" w:eastAsia="仿宋" w:cs="仿宋"/>
          <w:b/>
          <w:color w:val="auto"/>
          <w:sz w:val="32"/>
        </w:rPr>
      </w:pPr>
    </w:p>
    <w:p w14:paraId="76C2504A">
      <w:pPr>
        <w:outlineLvl w:val="1"/>
        <w:rPr>
          <w:rFonts w:hint="eastAsia" w:ascii="仿宋" w:hAnsi="仿宋" w:eastAsia="仿宋" w:cs="仿宋"/>
          <w:b/>
          <w:color w:val="auto"/>
          <w:sz w:val="32"/>
        </w:rPr>
      </w:pPr>
    </w:p>
    <w:p w14:paraId="7AC94324">
      <w:pPr>
        <w:outlineLvl w:val="1"/>
        <w:rPr>
          <w:rFonts w:hint="eastAsia" w:ascii="仿宋" w:hAnsi="仿宋" w:eastAsia="仿宋" w:cs="仿宋"/>
          <w:b/>
          <w:color w:val="auto"/>
          <w:sz w:val="32"/>
        </w:rPr>
      </w:pPr>
    </w:p>
    <w:p w14:paraId="73B9ADAB">
      <w:pPr>
        <w:outlineLvl w:val="1"/>
        <w:rPr>
          <w:rFonts w:hint="eastAsia" w:ascii="仿宋" w:hAnsi="仿宋" w:eastAsia="仿宋" w:cs="仿宋"/>
          <w:b/>
          <w:color w:val="auto"/>
          <w:sz w:val="32"/>
        </w:rPr>
      </w:pPr>
      <w:r>
        <w:rPr>
          <w:rFonts w:hint="eastAsia" w:ascii="仿宋" w:hAnsi="仿宋" w:eastAsia="仿宋" w:cs="仿宋"/>
          <w:b/>
          <w:color w:val="auto"/>
          <w:sz w:val="32"/>
        </w:rPr>
        <w:t>八、项目组人员</w:t>
      </w:r>
    </w:p>
    <w:p w14:paraId="14918CE1">
      <w:pPr>
        <w:widowControl/>
        <w:spacing w:before="100" w:beforeAutospacing="1" w:after="100" w:afterAutospacing="1" w:line="60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lang w:bidi="ar"/>
        </w:rPr>
        <w:t>项目组成员</w:t>
      </w:r>
    </w:p>
    <w:tbl>
      <w:tblPr>
        <w:tblStyle w:val="31"/>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BEA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121F4CF">
            <w:pPr>
              <w:widowControl/>
              <w:spacing w:beforeAutospacing="1" w:line="560" w:lineRule="exact"/>
              <w:jc w:val="center"/>
              <w:rPr>
                <w:rFonts w:hint="eastAsia" w:ascii="仿宋" w:hAnsi="仿宋" w:eastAsia="仿宋" w:cs="仿宋"/>
                <w:color w:val="auto"/>
                <w:sz w:val="24"/>
              </w:rPr>
            </w:pPr>
            <w:r>
              <w:rPr>
                <w:rFonts w:hint="eastAsia" w:ascii="仿宋" w:hAnsi="仿宋" w:eastAsia="仿宋" w:cs="仿宋"/>
                <w:color w:val="auto"/>
                <w:sz w:val="24"/>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79D995C">
            <w:pPr>
              <w:widowControl/>
              <w:spacing w:beforeAutospacing="1"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6C338A2">
            <w:pPr>
              <w:widowControl/>
              <w:spacing w:beforeAutospacing="1" w:line="560" w:lineRule="exact"/>
              <w:jc w:val="center"/>
              <w:rPr>
                <w:rFonts w:hint="eastAsia" w:ascii="仿宋" w:hAnsi="仿宋" w:eastAsia="仿宋" w:cs="仿宋"/>
                <w:color w:val="auto"/>
                <w:sz w:val="24"/>
              </w:rPr>
            </w:pPr>
            <w:r>
              <w:rPr>
                <w:rFonts w:hint="eastAsia" w:ascii="仿宋" w:hAnsi="仿宋" w:eastAsia="仿宋" w:cs="仿宋"/>
                <w:color w:val="auto"/>
                <w:sz w:val="24"/>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197BE76">
            <w:pPr>
              <w:widowControl/>
              <w:spacing w:beforeAutospacing="1" w:line="560" w:lineRule="exact"/>
              <w:ind w:firstLine="280"/>
              <w:rPr>
                <w:rFonts w:hint="eastAsia" w:ascii="仿宋" w:hAnsi="仿宋" w:eastAsia="仿宋" w:cs="仿宋"/>
                <w:color w:val="auto"/>
                <w:sz w:val="28"/>
                <w:szCs w:val="28"/>
              </w:rPr>
            </w:pPr>
            <w:r>
              <w:rPr>
                <w:rFonts w:hint="eastAsia" w:ascii="仿宋" w:hAnsi="仿宋" w:eastAsia="仿宋" w:cs="仿宋"/>
                <w:color w:val="auto"/>
                <w:sz w:val="28"/>
                <w:szCs w:val="28"/>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F49BCE7">
            <w:pPr>
              <w:widowControl/>
              <w:spacing w:beforeAutospacing="1"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EF9BD4D">
            <w:pPr>
              <w:widowControl/>
              <w:spacing w:beforeAutospacing="1"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r>
      <w:tr w14:paraId="3C0F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6D47CB6">
            <w:pPr>
              <w:widowControl/>
              <w:spacing w:line="560" w:lineRule="exact"/>
              <w:ind w:firstLine="560"/>
              <w:jc w:val="center"/>
              <w:rPr>
                <w:rFonts w:hint="eastAsia" w:ascii="仿宋" w:hAnsi="仿宋" w:eastAsia="仿宋" w:cs="仿宋"/>
                <w:color w:val="auto"/>
                <w:sz w:val="24"/>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5A74D4D">
            <w:pPr>
              <w:widowControl/>
              <w:spacing w:before="100" w:beforeAutospacing="1" w:after="100" w:afterAutospacing="1"/>
              <w:jc w:val="center"/>
              <w:rPr>
                <w:rFonts w:hint="eastAsia" w:ascii="仿宋" w:hAnsi="仿宋" w:eastAsia="仿宋" w:cs="仿宋"/>
                <w:color w:val="auto"/>
                <w:sz w:val="24"/>
              </w:rPr>
            </w:pPr>
            <w:r>
              <w:rPr>
                <w:rFonts w:hint="eastAsia" w:ascii="仿宋" w:hAnsi="仿宋" w:eastAsia="仿宋" w:cs="仿宋"/>
                <w:color w:val="auto"/>
                <w:sz w:val="24"/>
              </w:rPr>
              <w:t>项目负责人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B555F5C">
            <w:pPr>
              <w:widowControl/>
              <w:spacing w:line="560" w:lineRule="exact"/>
              <w:ind w:firstLine="560"/>
              <w:jc w:val="center"/>
              <w:rPr>
                <w:rFonts w:hint="eastAsia" w:ascii="仿宋" w:hAnsi="仿宋" w:eastAsia="仿宋" w:cs="仿宋"/>
                <w:color w:val="auto"/>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7CA1B5E">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94E4044">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17BD06F">
            <w:pPr>
              <w:widowControl/>
              <w:spacing w:line="560" w:lineRule="exact"/>
              <w:ind w:firstLine="560"/>
              <w:jc w:val="center"/>
              <w:rPr>
                <w:rFonts w:hint="eastAsia" w:ascii="仿宋" w:hAnsi="仿宋" w:eastAsia="仿宋" w:cs="仿宋"/>
                <w:color w:val="auto"/>
                <w:sz w:val="28"/>
                <w:szCs w:val="28"/>
              </w:rPr>
            </w:pPr>
          </w:p>
        </w:tc>
      </w:tr>
      <w:tr w14:paraId="172C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8973CD4">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C940DB4">
            <w:pPr>
              <w:widowControl/>
              <w:spacing w:before="100" w:beforeAutospacing="1" w:after="100" w:afterAutospacing="1"/>
              <w:jc w:val="center"/>
              <w:rPr>
                <w:rFonts w:hint="eastAsia" w:ascii="仿宋" w:hAnsi="仿宋" w:eastAsia="仿宋" w:cs="仿宋"/>
                <w:color w:val="auto"/>
                <w:sz w:val="28"/>
                <w:szCs w:val="28"/>
              </w:rPr>
            </w:pPr>
            <w:r>
              <w:rPr>
                <w:rFonts w:hint="eastAsia" w:ascii="仿宋" w:hAnsi="仿宋" w:eastAsia="仿宋" w:cs="仿宋"/>
                <w:color w:val="auto"/>
                <w:sz w:val="24"/>
              </w:rPr>
              <w:t>技术负责人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0A29A49">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8144636">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AD12E76">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979897B">
            <w:pPr>
              <w:widowControl/>
              <w:spacing w:line="560" w:lineRule="exact"/>
              <w:ind w:firstLine="560"/>
              <w:jc w:val="center"/>
              <w:rPr>
                <w:rFonts w:hint="eastAsia" w:ascii="仿宋" w:hAnsi="仿宋" w:eastAsia="仿宋" w:cs="仿宋"/>
                <w:color w:val="auto"/>
                <w:sz w:val="28"/>
                <w:szCs w:val="28"/>
              </w:rPr>
            </w:pPr>
          </w:p>
        </w:tc>
      </w:tr>
      <w:tr w14:paraId="24EBF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9FC1471">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685A0AE">
            <w:pPr>
              <w:widowControl/>
              <w:spacing w:before="100" w:beforeAutospacing="1" w:after="100" w:afterAutospacing="1"/>
              <w:ind w:firstLine="280"/>
              <w:jc w:val="left"/>
              <w:rPr>
                <w:rFonts w:hint="eastAsia" w:ascii="仿宋" w:hAnsi="仿宋" w:eastAsia="仿宋" w:cs="仿宋"/>
                <w:color w:val="auto"/>
                <w:sz w:val="28"/>
                <w:szCs w:val="28"/>
              </w:rPr>
            </w:pPr>
            <w:r>
              <w:rPr>
                <w:rFonts w:hint="eastAsia" w:ascii="仿宋" w:hAnsi="仿宋" w:eastAsia="仿宋" w:cs="仿宋"/>
                <w:color w:val="auto"/>
                <w:sz w:val="28"/>
                <w:szCs w:val="28"/>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9734A30">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8966DD5">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FD3D51F">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60929B4">
            <w:pPr>
              <w:widowControl/>
              <w:spacing w:line="560" w:lineRule="exact"/>
              <w:ind w:firstLine="560"/>
              <w:jc w:val="center"/>
              <w:rPr>
                <w:rFonts w:hint="eastAsia" w:ascii="仿宋" w:hAnsi="仿宋" w:eastAsia="仿宋" w:cs="仿宋"/>
                <w:color w:val="auto"/>
                <w:sz w:val="28"/>
                <w:szCs w:val="28"/>
              </w:rPr>
            </w:pPr>
          </w:p>
        </w:tc>
      </w:tr>
      <w:tr w14:paraId="37BD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539CEFC">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364C1CA">
            <w:pPr>
              <w:widowControl/>
              <w:spacing w:before="100" w:beforeAutospacing="1" w:after="100" w:afterAutospacing="1"/>
              <w:jc w:val="left"/>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43912F1">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AD13103">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5EA0C91">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FAE9C18">
            <w:pPr>
              <w:widowControl/>
              <w:spacing w:line="560" w:lineRule="exact"/>
              <w:ind w:firstLine="560"/>
              <w:jc w:val="center"/>
              <w:rPr>
                <w:rFonts w:hint="eastAsia" w:ascii="仿宋" w:hAnsi="仿宋" w:eastAsia="仿宋" w:cs="仿宋"/>
                <w:color w:val="auto"/>
                <w:sz w:val="28"/>
                <w:szCs w:val="28"/>
              </w:rPr>
            </w:pPr>
          </w:p>
        </w:tc>
      </w:tr>
      <w:tr w14:paraId="5DF5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E0AA32">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D5A0599">
            <w:pPr>
              <w:widowControl/>
              <w:spacing w:before="100" w:beforeAutospacing="1" w:after="100" w:afterAutospacing="1"/>
              <w:jc w:val="left"/>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D71685">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A202F39">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F4C08AA">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3EC9BA7F">
            <w:pPr>
              <w:widowControl/>
              <w:spacing w:line="560" w:lineRule="exact"/>
              <w:ind w:firstLine="560"/>
              <w:jc w:val="center"/>
              <w:rPr>
                <w:rFonts w:hint="eastAsia" w:ascii="仿宋" w:hAnsi="仿宋" w:eastAsia="仿宋" w:cs="仿宋"/>
                <w:color w:val="auto"/>
                <w:sz w:val="28"/>
                <w:szCs w:val="28"/>
              </w:rPr>
            </w:pPr>
          </w:p>
        </w:tc>
      </w:tr>
      <w:tr w14:paraId="6F28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31D775B">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4700AF7">
            <w:pPr>
              <w:widowControl/>
              <w:spacing w:line="560" w:lineRule="exact"/>
              <w:ind w:firstLine="560"/>
              <w:jc w:val="center"/>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9CE88C4">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BCEC0E3">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BF3D4FC">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B22FDAE">
            <w:pPr>
              <w:widowControl/>
              <w:spacing w:line="560" w:lineRule="exact"/>
              <w:ind w:firstLine="560"/>
              <w:jc w:val="center"/>
              <w:rPr>
                <w:rFonts w:hint="eastAsia" w:ascii="仿宋" w:hAnsi="仿宋" w:eastAsia="仿宋" w:cs="仿宋"/>
                <w:color w:val="auto"/>
                <w:sz w:val="28"/>
                <w:szCs w:val="28"/>
              </w:rPr>
            </w:pPr>
          </w:p>
        </w:tc>
      </w:tr>
      <w:tr w14:paraId="5FB1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9E66766">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B68F839">
            <w:pPr>
              <w:widowControl/>
              <w:spacing w:line="560" w:lineRule="exact"/>
              <w:ind w:firstLine="560"/>
              <w:jc w:val="center"/>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9DCCB90">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6472247">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8CBD26">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9B5BC36">
            <w:pPr>
              <w:widowControl/>
              <w:spacing w:line="560" w:lineRule="exact"/>
              <w:ind w:firstLine="560"/>
              <w:jc w:val="center"/>
              <w:rPr>
                <w:rFonts w:hint="eastAsia" w:ascii="仿宋" w:hAnsi="仿宋" w:eastAsia="仿宋" w:cs="仿宋"/>
                <w:color w:val="auto"/>
                <w:sz w:val="28"/>
                <w:szCs w:val="28"/>
              </w:rPr>
            </w:pPr>
          </w:p>
        </w:tc>
      </w:tr>
      <w:tr w14:paraId="100E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2D42F72">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1BF75C4">
            <w:pPr>
              <w:widowControl/>
              <w:spacing w:line="560" w:lineRule="exact"/>
              <w:ind w:firstLine="560"/>
              <w:jc w:val="center"/>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9A169B">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22C7F9D">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FAE9C95">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320B6C89">
            <w:pPr>
              <w:widowControl/>
              <w:spacing w:line="560" w:lineRule="exact"/>
              <w:ind w:firstLine="560"/>
              <w:jc w:val="center"/>
              <w:rPr>
                <w:rFonts w:hint="eastAsia" w:ascii="仿宋" w:hAnsi="仿宋" w:eastAsia="仿宋" w:cs="仿宋"/>
                <w:color w:val="auto"/>
                <w:sz w:val="28"/>
                <w:szCs w:val="28"/>
              </w:rPr>
            </w:pPr>
          </w:p>
        </w:tc>
      </w:tr>
      <w:tr w14:paraId="6B22B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51EF9C9">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BBB7734">
            <w:pPr>
              <w:widowControl/>
              <w:spacing w:line="560" w:lineRule="exact"/>
              <w:ind w:firstLine="560"/>
              <w:jc w:val="center"/>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F02B373">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AFE979B">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A367391">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2D3F588">
            <w:pPr>
              <w:widowControl/>
              <w:spacing w:line="560" w:lineRule="exact"/>
              <w:ind w:firstLine="560"/>
              <w:jc w:val="center"/>
              <w:rPr>
                <w:rFonts w:hint="eastAsia" w:ascii="仿宋" w:hAnsi="仿宋" w:eastAsia="仿宋" w:cs="仿宋"/>
                <w:color w:val="auto"/>
                <w:sz w:val="28"/>
                <w:szCs w:val="28"/>
              </w:rPr>
            </w:pPr>
          </w:p>
        </w:tc>
      </w:tr>
      <w:tr w14:paraId="7D43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A91EF0">
            <w:pPr>
              <w:widowControl/>
              <w:spacing w:line="560" w:lineRule="exact"/>
              <w:ind w:firstLine="560"/>
              <w:jc w:val="center"/>
              <w:rPr>
                <w:rFonts w:hint="eastAsia" w:ascii="仿宋" w:hAnsi="仿宋" w:eastAsia="仿宋" w:cs="仿宋"/>
                <w:color w:val="auto"/>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A8DEC29">
            <w:pPr>
              <w:widowControl/>
              <w:spacing w:line="560" w:lineRule="exact"/>
              <w:ind w:firstLine="560"/>
              <w:jc w:val="center"/>
              <w:rPr>
                <w:rFonts w:hint="eastAsia" w:ascii="仿宋" w:hAnsi="仿宋" w:eastAsia="仿宋" w:cs="仿宋"/>
                <w:color w:val="auto"/>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DE2824">
            <w:pPr>
              <w:widowControl/>
              <w:spacing w:line="560" w:lineRule="exact"/>
              <w:ind w:firstLine="560"/>
              <w:jc w:val="center"/>
              <w:rPr>
                <w:rFonts w:hint="eastAsia" w:ascii="仿宋" w:hAnsi="仿宋" w:eastAsia="仿宋" w:cs="仿宋"/>
                <w:color w:val="auto"/>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8811A18">
            <w:pPr>
              <w:widowControl/>
              <w:spacing w:line="560" w:lineRule="exact"/>
              <w:ind w:firstLine="560"/>
              <w:jc w:val="center"/>
              <w:rPr>
                <w:rFonts w:hint="eastAsia" w:ascii="仿宋" w:hAnsi="仿宋" w:eastAsia="仿宋" w:cs="仿宋"/>
                <w:color w:val="auto"/>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B1D9F52">
            <w:pPr>
              <w:widowControl/>
              <w:spacing w:line="560" w:lineRule="exact"/>
              <w:ind w:firstLine="560"/>
              <w:jc w:val="center"/>
              <w:rPr>
                <w:rFonts w:hint="eastAsia" w:ascii="仿宋" w:hAnsi="仿宋" w:eastAsia="仿宋" w:cs="仿宋"/>
                <w:color w:val="auto"/>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99BB5BD">
            <w:pPr>
              <w:widowControl/>
              <w:spacing w:line="560" w:lineRule="exact"/>
              <w:ind w:firstLine="560"/>
              <w:jc w:val="center"/>
              <w:rPr>
                <w:rFonts w:hint="eastAsia" w:ascii="仿宋" w:hAnsi="仿宋" w:eastAsia="仿宋" w:cs="仿宋"/>
                <w:color w:val="auto"/>
                <w:sz w:val="28"/>
                <w:szCs w:val="28"/>
              </w:rPr>
            </w:pPr>
          </w:p>
        </w:tc>
      </w:tr>
    </w:tbl>
    <w:p w14:paraId="0F37D374">
      <w:pPr>
        <w:widowControl/>
        <w:spacing w:before="100" w:beforeAutospacing="1" w:after="100" w:afterAutospacing="1" w:line="460" w:lineRule="exact"/>
        <w:ind w:firstLine="398"/>
        <w:jc w:val="left"/>
        <w:rPr>
          <w:rFonts w:hint="eastAsia" w:ascii="仿宋" w:hAnsi="仿宋" w:eastAsia="仿宋" w:cs="仿宋"/>
          <w:color w:val="auto"/>
          <w:sz w:val="24"/>
        </w:rPr>
      </w:pPr>
      <w:r>
        <w:rPr>
          <w:rFonts w:hint="eastAsia" w:ascii="仿宋" w:hAnsi="仿宋" w:eastAsia="仿宋" w:cs="仿宋"/>
          <w:b/>
          <w:color w:val="auto"/>
          <w:sz w:val="24"/>
          <w:lang w:bidi="ar"/>
        </w:rPr>
        <w:t>注：如投标人中标，项目组成员必须按本表承诺人员操作，不得随意更换。按招标文件要求附相关人员证书。</w:t>
      </w:r>
    </w:p>
    <w:p w14:paraId="22B88530">
      <w:pPr>
        <w:widowControl/>
        <w:spacing w:before="100" w:beforeAutospacing="1" w:after="100" w:afterAutospacing="1" w:line="500" w:lineRule="exact"/>
        <w:ind w:firstLine="280"/>
        <w:jc w:val="left"/>
        <w:rPr>
          <w:rFonts w:hint="eastAsia" w:ascii="仿宋" w:hAnsi="仿宋" w:eastAsia="仿宋" w:cs="仿宋"/>
          <w:color w:val="auto"/>
          <w:sz w:val="24"/>
        </w:rPr>
      </w:pPr>
    </w:p>
    <w:p w14:paraId="5FDAE393">
      <w:pPr>
        <w:spacing w:line="500" w:lineRule="exact"/>
        <w:rPr>
          <w:rFonts w:hint="eastAsia" w:ascii="仿宋" w:hAnsi="仿宋" w:eastAsia="仿宋" w:cs="仿宋"/>
          <w:color w:val="auto"/>
        </w:rPr>
      </w:pPr>
      <w:r>
        <w:rPr>
          <w:rFonts w:hint="eastAsia" w:ascii="仿宋" w:hAnsi="仿宋" w:eastAsia="仿宋" w:cs="仿宋"/>
          <w:color w:val="auto"/>
        </w:rPr>
        <w:br w:type="page" w:clear="all"/>
      </w:r>
      <w:bookmarkStart w:id="155" w:name="_Toc11176"/>
      <w:r>
        <w:rPr>
          <w:rFonts w:hint="eastAsia" w:ascii="仿宋" w:hAnsi="仿宋" w:eastAsia="仿宋" w:cs="仿宋"/>
          <w:b/>
          <w:color w:val="auto"/>
          <w:sz w:val="32"/>
        </w:rPr>
        <w:t>九、</w:t>
      </w:r>
      <w:bookmarkEnd w:id="155"/>
      <w:r>
        <w:rPr>
          <w:rFonts w:hint="eastAsia" w:ascii="仿宋" w:hAnsi="仿宋" w:eastAsia="仿宋" w:cs="仿宋"/>
          <w:b/>
          <w:color w:val="auto"/>
          <w:sz w:val="32"/>
        </w:rPr>
        <w:t>企业业绩</w:t>
      </w:r>
    </w:p>
    <w:p w14:paraId="6EAA8971">
      <w:pPr>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投标人承担类似项目业绩一览表</w:t>
      </w:r>
    </w:p>
    <w:tbl>
      <w:tblPr>
        <w:tblStyle w:val="3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15C2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tcPr>
          <w:p w14:paraId="22178AB0">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3827" w:type="dxa"/>
            <w:noWrap w:val="0"/>
            <w:vAlign w:val="center"/>
          </w:tcPr>
          <w:p w14:paraId="170B12A8">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2433" w:type="dxa"/>
            <w:noWrap w:val="0"/>
            <w:vAlign w:val="center"/>
          </w:tcPr>
          <w:p w14:paraId="177CD86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采购单位</w:t>
            </w:r>
          </w:p>
        </w:tc>
        <w:tc>
          <w:tcPr>
            <w:tcW w:w="1395" w:type="dxa"/>
            <w:noWrap w:val="0"/>
            <w:vAlign w:val="center"/>
          </w:tcPr>
          <w:p w14:paraId="0D21B928">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合同金额</w:t>
            </w:r>
          </w:p>
        </w:tc>
      </w:tr>
      <w:tr w14:paraId="15978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64AFF945">
            <w:pPr>
              <w:spacing w:line="560" w:lineRule="exact"/>
              <w:jc w:val="center"/>
              <w:rPr>
                <w:rFonts w:hint="eastAsia" w:ascii="仿宋" w:hAnsi="仿宋" w:eastAsia="仿宋" w:cs="仿宋"/>
                <w:color w:val="auto"/>
                <w:sz w:val="24"/>
              </w:rPr>
            </w:pPr>
          </w:p>
        </w:tc>
        <w:tc>
          <w:tcPr>
            <w:tcW w:w="3827" w:type="dxa"/>
            <w:noWrap w:val="0"/>
            <w:vAlign w:val="center"/>
          </w:tcPr>
          <w:p w14:paraId="77CCE800">
            <w:pPr>
              <w:spacing w:line="560" w:lineRule="exact"/>
              <w:jc w:val="center"/>
              <w:rPr>
                <w:rFonts w:hint="eastAsia" w:ascii="仿宋" w:hAnsi="仿宋" w:eastAsia="仿宋" w:cs="仿宋"/>
                <w:color w:val="auto"/>
                <w:sz w:val="24"/>
              </w:rPr>
            </w:pPr>
          </w:p>
        </w:tc>
        <w:tc>
          <w:tcPr>
            <w:tcW w:w="2433" w:type="dxa"/>
            <w:noWrap w:val="0"/>
            <w:vAlign w:val="center"/>
          </w:tcPr>
          <w:p w14:paraId="32004F05">
            <w:pPr>
              <w:spacing w:line="560" w:lineRule="exact"/>
              <w:jc w:val="center"/>
              <w:rPr>
                <w:rFonts w:hint="eastAsia" w:ascii="仿宋" w:hAnsi="仿宋" w:eastAsia="仿宋" w:cs="仿宋"/>
                <w:color w:val="auto"/>
                <w:sz w:val="24"/>
              </w:rPr>
            </w:pPr>
          </w:p>
        </w:tc>
        <w:tc>
          <w:tcPr>
            <w:tcW w:w="1395" w:type="dxa"/>
            <w:noWrap w:val="0"/>
            <w:vAlign w:val="center"/>
          </w:tcPr>
          <w:p w14:paraId="65B65D70">
            <w:pPr>
              <w:spacing w:line="560" w:lineRule="exact"/>
              <w:jc w:val="center"/>
              <w:rPr>
                <w:rFonts w:hint="eastAsia" w:ascii="仿宋" w:hAnsi="仿宋" w:eastAsia="仿宋" w:cs="仿宋"/>
                <w:color w:val="auto"/>
                <w:sz w:val="24"/>
              </w:rPr>
            </w:pPr>
          </w:p>
        </w:tc>
      </w:tr>
      <w:tr w14:paraId="3324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21749AD0">
            <w:pPr>
              <w:spacing w:line="560" w:lineRule="exact"/>
              <w:jc w:val="center"/>
              <w:rPr>
                <w:rFonts w:hint="eastAsia" w:ascii="仿宋" w:hAnsi="仿宋" w:eastAsia="仿宋" w:cs="仿宋"/>
                <w:color w:val="auto"/>
                <w:sz w:val="24"/>
              </w:rPr>
            </w:pPr>
          </w:p>
        </w:tc>
        <w:tc>
          <w:tcPr>
            <w:tcW w:w="3827" w:type="dxa"/>
            <w:noWrap w:val="0"/>
            <w:vAlign w:val="center"/>
          </w:tcPr>
          <w:p w14:paraId="181F7979">
            <w:pPr>
              <w:spacing w:line="560" w:lineRule="exact"/>
              <w:jc w:val="center"/>
              <w:rPr>
                <w:rFonts w:hint="eastAsia" w:ascii="仿宋" w:hAnsi="仿宋" w:eastAsia="仿宋" w:cs="仿宋"/>
                <w:color w:val="auto"/>
                <w:sz w:val="24"/>
              </w:rPr>
            </w:pPr>
          </w:p>
        </w:tc>
        <w:tc>
          <w:tcPr>
            <w:tcW w:w="2433" w:type="dxa"/>
            <w:noWrap w:val="0"/>
            <w:vAlign w:val="center"/>
          </w:tcPr>
          <w:p w14:paraId="0C52D74F">
            <w:pPr>
              <w:spacing w:line="560" w:lineRule="exact"/>
              <w:jc w:val="center"/>
              <w:rPr>
                <w:rFonts w:hint="eastAsia" w:ascii="仿宋" w:hAnsi="仿宋" w:eastAsia="仿宋" w:cs="仿宋"/>
                <w:color w:val="auto"/>
                <w:sz w:val="24"/>
              </w:rPr>
            </w:pPr>
          </w:p>
        </w:tc>
        <w:tc>
          <w:tcPr>
            <w:tcW w:w="1395" w:type="dxa"/>
            <w:noWrap w:val="0"/>
            <w:vAlign w:val="center"/>
          </w:tcPr>
          <w:p w14:paraId="6C9DAE95">
            <w:pPr>
              <w:spacing w:line="560" w:lineRule="exact"/>
              <w:jc w:val="center"/>
              <w:rPr>
                <w:rFonts w:hint="eastAsia" w:ascii="仿宋" w:hAnsi="仿宋" w:eastAsia="仿宋" w:cs="仿宋"/>
                <w:color w:val="auto"/>
                <w:sz w:val="24"/>
              </w:rPr>
            </w:pPr>
          </w:p>
        </w:tc>
      </w:tr>
      <w:tr w14:paraId="63EC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5FE83367">
            <w:pPr>
              <w:spacing w:line="560" w:lineRule="exact"/>
              <w:jc w:val="center"/>
              <w:rPr>
                <w:rFonts w:hint="eastAsia" w:ascii="仿宋" w:hAnsi="仿宋" w:eastAsia="仿宋" w:cs="仿宋"/>
                <w:color w:val="auto"/>
                <w:sz w:val="24"/>
              </w:rPr>
            </w:pPr>
          </w:p>
        </w:tc>
        <w:tc>
          <w:tcPr>
            <w:tcW w:w="3827" w:type="dxa"/>
            <w:noWrap w:val="0"/>
            <w:vAlign w:val="center"/>
          </w:tcPr>
          <w:p w14:paraId="7F7ACC50">
            <w:pPr>
              <w:spacing w:line="560" w:lineRule="exact"/>
              <w:jc w:val="center"/>
              <w:rPr>
                <w:rFonts w:hint="eastAsia" w:ascii="仿宋" w:hAnsi="仿宋" w:eastAsia="仿宋" w:cs="仿宋"/>
                <w:color w:val="auto"/>
                <w:sz w:val="24"/>
              </w:rPr>
            </w:pPr>
          </w:p>
        </w:tc>
        <w:tc>
          <w:tcPr>
            <w:tcW w:w="2433" w:type="dxa"/>
            <w:noWrap w:val="0"/>
            <w:vAlign w:val="center"/>
          </w:tcPr>
          <w:p w14:paraId="2DA3EBDA">
            <w:pPr>
              <w:spacing w:line="560" w:lineRule="exact"/>
              <w:jc w:val="center"/>
              <w:rPr>
                <w:rFonts w:hint="eastAsia" w:ascii="仿宋" w:hAnsi="仿宋" w:eastAsia="仿宋" w:cs="仿宋"/>
                <w:color w:val="auto"/>
                <w:sz w:val="24"/>
              </w:rPr>
            </w:pPr>
          </w:p>
        </w:tc>
        <w:tc>
          <w:tcPr>
            <w:tcW w:w="1395" w:type="dxa"/>
            <w:noWrap w:val="0"/>
            <w:vAlign w:val="center"/>
          </w:tcPr>
          <w:p w14:paraId="3456EAD1">
            <w:pPr>
              <w:spacing w:line="560" w:lineRule="exact"/>
              <w:jc w:val="center"/>
              <w:rPr>
                <w:rFonts w:hint="eastAsia" w:ascii="仿宋" w:hAnsi="仿宋" w:eastAsia="仿宋" w:cs="仿宋"/>
                <w:color w:val="auto"/>
                <w:sz w:val="24"/>
              </w:rPr>
            </w:pPr>
          </w:p>
        </w:tc>
      </w:tr>
      <w:tr w14:paraId="69108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tcPr>
          <w:p w14:paraId="0888CF6C">
            <w:pPr>
              <w:spacing w:line="560" w:lineRule="exact"/>
              <w:jc w:val="center"/>
              <w:rPr>
                <w:rFonts w:hint="eastAsia" w:ascii="仿宋" w:hAnsi="仿宋" w:eastAsia="仿宋" w:cs="仿宋"/>
                <w:color w:val="auto"/>
                <w:sz w:val="24"/>
              </w:rPr>
            </w:pPr>
          </w:p>
        </w:tc>
        <w:tc>
          <w:tcPr>
            <w:tcW w:w="3827" w:type="dxa"/>
            <w:noWrap w:val="0"/>
            <w:vAlign w:val="center"/>
          </w:tcPr>
          <w:p w14:paraId="099AB15B">
            <w:pPr>
              <w:spacing w:line="560" w:lineRule="exact"/>
              <w:jc w:val="center"/>
              <w:rPr>
                <w:rFonts w:hint="eastAsia" w:ascii="仿宋" w:hAnsi="仿宋" w:eastAsia="仿宋" w:cs="仿宋"/>
                <w:color w:val="auto"/>
                <w:sz w:val="24"/>
              </w:rPr>
            </w:pPr>
          </w:p>
        </w:tc>
        <w:tc>
          <w:tcPr>
            <w:tcW w:w="2433" w:type="dxa"/>
            <w:noWrap w:val="0"/>
            <w:vAlign w:val="center"/>
          </w:tcPr>
          <w:p w14:paraId="1E710F5D">
            <w:pPr>
              <w:spacing w:line="560" w:lineRule="exact"/>
              <w:jc w:val="center"/>
              <w:rPr>
                <w:rFonts w:hint="eastAsia" w:ascii="仿宋" w:hAnsi="仿宋" w:eastAsia="仿宋" w:cs="仿宋"/>
                <w:color w:val="auto"/>
                <w:sz w:val="24"/>
              </w:rPr>
            </w:pPr>
          </w:p>
        </w:tc>
        <w:tc>
          <w:tcPr>
            <w:tcW w:w="1395" w:type="dxa"/>
            <w:noWrap w:val="0"/>
            <w:vAlign w:val="center"/>
          </w:tcPr>
          <w:p w14:paraId="7CB3F0E9">
            <w:pPr>
              <w:spacing w:line="560" w:lineRule="exact"/>
              <w:jc w:val="center"/>
              <w:rPr>
                <w:rFonts w:hint="eastAsia" w:ascii="仿宋" w:hAnsi="仿宋" w:eastAsia="仿宋" w:cs="仿宋"/>
                <w:color w:val="auto"/>
                <w:sz w:val="24"/>
              </w:rPr>
            </w:pPr>
          </w:p>
        </w:tc>
      </w:tr>
    </w:tbl>
    <w:p w14:paraId="38769B36">
      <w:pPr>
        <w:rPr>
          <w:rFonts w:hint="eastAsia" w:ascii="仿宋" w:hAnsi="仿宋" w:eastAsia="仿宋" w:cs="仿宋"/>
          <w:color w:val="auto"/>
          <w:szCs w:val="22"/>
        </w:rPr>
      </w:pPr>
      <w:r>
        <w:rPr>
          <w:rFonts w:hint="eastAsia" w:ascii="仿宋" w:hAnsi="仿宋" w:eastAsia="仿宋" w:cs="仿宋"/>
          <w:b/>
          <w:color w:val="auto"/>
          <w:sz w:val="24"/>
          <w:szCs w:val="22"/>
        </w:rPr>
        <w:t>注：请填写此表，并按要求上传业绩资料电子件。</w:t>
      </w:r>
    </w:p>
    <w:p w14:paraId="7CBC1DEB">
      <w:pPr>
        <w:outlineLvl w:val="1"/>
        <w:rPr>
          <w:rFonts w:hint="eastAsia" w:ascii="仿宋" w:hAnsi="仿宋" w:eastAsia="仿宋" w:cs="仿宋"/>
          <w:b/>
          <w:color w:val="auto"/>
          <w:sz w:val="32"/>
        </w:rPr>
      </w:pPr>
      <w:r>
        <w:rPr>
          <w:rFonts w:hint="eastAsia" w:ascii="仿宋" w:hAnsi="仿宋" w:eastAsia="仿宋" w:cs="仿宋"/>
          <w:b/>
          <w:color w:val="auto"/>
          <w:sz w:val="32"/>
        </w:rPr>
        <w:br w:type="page" w:clear="all"/>
      </w:r>
      <w:bookmarkStart w:id="156" w:name="_Toc28140"/>
      <w:r>
        <w:rPr>
          <w:rFonts w:hint="eastAsia" w:ascii="仿宋" w:hAnsi="仿宋" w:eastAsia="仿宋" w:cs="仿宋"/>
          <w:b/>
          <w:color w:val="auto"/>
          <w:sz w:val="32"/>
        </w:rPr>
        <w:t>十、投标所需其他材料</w:t>
      </w:r>
      <w:bookmarkEnd w:id="156"/>
    </w:p>
    <w:p w14:paraId="21D9FE9F">
      <w:pPr>
        <w:spacing w:line="360" w:lineRule="auto"/>
        <w:ind w:firstLine="560"/>
        <w:rPr>
          <w:rFonts w:hint="eastAsia" w:ascii="仿宋" w:hAnsi="仿宋" w:eastAsia="仿宋" w:cs="仿宋"/>
          <w:color w:val="auto"/>
          <w:sz w:val="24"/>
        </w:rPr>
      </w:pPr>
      <w:r>
        <w:rPr>
          <w:rFonts w:hint="eastAsia" w:ascii="仿宋" w:hAnsi="仿宋" w:eastAsia="仿宋" w:cs="仿宋"/>
          <w:color w:val="auto"/>
          <w:sz w:val="24"/>
        </w:rPr>
        <w:t>请在此文档中增加投标所需其他相关内容（包括资格要求、评分办法、采购需求中涉及的证件证明及其它投标人认为有必要提供的资料），如没有请将此空文档上传。</w:t>
      </w:r>
    </w:p>
    <w:p w14:paraId="0E1AE68C">
      <w:pPr>
        <w:rPr>
          <w:rFonts w:hint="eastAsia" w:ascii="仿宋" w:hAnsi="仿宋" w:eastAsia="仿宋" w:cs="仿宋"/>
          <w:color w:val="auto"/>
          <w:sz w:val="20"/>
          <w:szCs w:val="21"/>
        </w:rPr>
      </w:pPr>
    </w:p>
    <w:p w14:paraId="06E691DD">
      <w:pPr>
        <w:rPr>
          <w:rFonts w:hint="eastAsia" w:ascii="仿宋" w:hAnsi="仿宋" w:eastAsia="仿宋" w:cs="仿宋"/>
          <w:color w:val="auto"/>
          <w:szCs w:val="21"/>
        </w:rPr>
      </w:pPr>
    </w:p>
    <w:p w14:paraId="0CB401E3">
      <w:pPr>
        <w:rPr>
          <w:rFonts w:hint="eastAsia" w:ascii="仿宋" w:hAnsi="仿宋" w:eastAsia="仿宋" w:cs="仿宋"/>
          <w:color w:val="auto"/>
          <w:sz w:val="32"/>
          <w:szCs w:val="21"/>
        </w:rPr>
      </w:pPr>
    </w:p>
    <w:bookmarkEnd w:id="151"/>
    <w:p w14:paraId="315C3B5A">
      <w:pPr>
        <w:rPr>
          <w:rFonts w:hint="eastAsia" w:ascii="仿宋" w:hAnsi="仿宋" w:eastAsia="仿宋" w:cs="仿宋"/>
          <w:color w:val="auto"/>
          <w:sz w:val="32"/>
          <w:szCs w:val="21"/>
        </w:rPr>
      </w:pPr>
    </w:p>
    <w:p w14:paraId="70BA0177">
      <w:pPr>
        <w:rPr>
          <w:rFonts w:hint="eastAsia" w:ascii="仿宋" w:hAnsi="仿宋" w:eastAsia="仿宋" w:cs="仿宋"/>
          <w:color w:val="auto"/>
          <w:sz w:val="32"/>
          <w:szCs w:val="21"/>
        </w:rPr>
      </w:pPr>
    </w:p>
    <w:p w14:paraId="76C8BC5D">
      <w:pPr>
        <w:rPr>
          <w:rFonts w:hint="eastAsia" w:ascii="仿宋" w:hAnsi="仿宋" w:eastAsia="仿宋" w:cs="仿宋"/>
          <w:color w:val="auto"/>
          <w:sz w:val="32"/>
          <w:szCs w:val="21"/>
        </w:rPr>
      </w:pPr>
    </w:p>
    <w:p w14:paraId="549791CB">
      <w:pPr>
        <w:spacing w:line="480" w:lineRule="auto"/>
        <w:rPr>
          <w:rFonts w:hint="eastAsia" w:ascii="仿宋" w:hAnsi="仿宋" w:eastAsia="仿宋" w:cs="仿宋"/>
          <w:color w:val="auto"/>
          <w:sz w:val="24"/>
          <w:szCs w:val="21"/>
        </w:rPr>
      </w:pPr>
    </w:p>
    <w:p w14:paraId="10D7F03D">
      <w:pPr>
        <w:spacing w:line="480" w:lineRule="auto"/>
        <w:rPr>
          <w:rFonts w:hint="eastAsia" w:ascii="仿宋" w:hAnsi="仿宋" w:eastAsia="仿宋" w:cs="仿宋"/>
          <w:color w:val="auto"/>
          <w:sz w:val="30"/>
          <w:szCs w:val="21"/>
        </w:rPr>
      </w:pPr>
    </w:p>
    <w:p w14:paraId="4D880050">
      <w:pPr>
        <w:rPr>
          <w:rFonts w:hint="eastAsia" w:ascii="仿宋" w:hAnsi="仿宋" w:eastAsia="仿宋" w:cs="仿宋"/>
          <w:color w:val="auto"/>
          <w:sz w:val="24"/>
          <w:szCs w:val="21"/>
        </w:rPr>
      </w:pPr>
      <w:bookmarkStart w:id="157" w:name="_Hlt26609389"/>
      <w:bookmarkEnd w:id="157"/>
      <w:bookmarkStart w:id="158" w:name="_Hlt26671374"/>
      <w:bookmarkEnd w:id="158"/>
      <w:bookmarkStart w:id="159" w:name="_Hlt26955066"/>
      <w:bookmarkEnd w:id="159"/>
      <w:bookmarkStart w:id="160" w:name="_Toc462564146"/>
    </w:p>
    <w:p w14:paraId="564F7201">
      <w:pPr>
        <w:rPr>
          <w:rFonts w:hint="eastAsia" w:ascii="仿宋" w:hAnsi="仿宋" w:eastAsia="仿宋" w:cs="仿宋"/>
          <w:color w:val="auto"/>
          <w:sz w:val="24"/>
          <w:szCs w:val="21"/>
        </w:rPr>
      </w:pPr>
    </w:p>
    <w:p w14:paraId="0774539B">
      <w:pPr>
        <w:spacing w:line="560" w:lineRule="exact"/>
        <w:ind w:firstLine="640"/>
        <w:rPr>
          <w:rFonts w:hint="eastAsia" w:ascii="仿宋" w:hAnsi="仿宋" w:eastAsia="仿宋" w:cs="仿宋"/>
          <w:color w:val="auto"/>
          <w:sz w:val="24"/>
          <w:szCs w:val="32"/>
          <w:lang w:val="zh-TW"/>
        </w:rPr>
      </w:pPr>
    </w:p>
    <w:p w14:paraId="037910EE">
      <w:pPr>
        <w:spacing w:line="560" w:lineRule="exact"/>
        <w:ind w:firstLine="640"/>
        <w:rPr>
          <w:rFonts w:hint="eastAsia" w:ascii="仿宋" w:hAnsi="仿宋" w:eastAsia="仿宋" w:cs="仿宋"/>
          <w:color w:val="auto"/>
          <w:sz w:val="24"/>
          <w:szCs w:val="32"/>
          <w:lang w:val="zh-TW"/>
        </w:rPr>
      </w:pPr>
    </w:p>
    <w:p w14:paraId="770665F7">
      <w:pPr>
        <w:spacing w:line="560" w:lineRule="exact"/>
        <w:ind w:firstLine="640"/>
        <w:rPr>
          <w:rFonts w:hint="eastAsia" w:ascii="仿宋" w:hAnsi="仿宋" w:eastAsia="仿宋" w:cs="仿宋"/>
          <w:color w:val="auto"/>
          <w:sz w:val="24"/>
          <w:szCs w:val="32"/>
          <w:lang w:val="zh-TW"/>
        </w:rPr>
      </w:pPr>
    </w:p>
    <w:bookmarkEnd w:id="113"/>
    <w:bookmarkEnd w:id="114"/>
    <w:bookmarkEnd w:id="160"/>
    <w:p w14:paraId="3F4C93B9">
      <w:pPr>
        <w:spacing w:line="560" w:lineRule="exact"/>
        <w:ind w:firstLine="640"/>
        <w:rPr>
          <w:rFonts w:hint="eastAsia" w:ascii="仿宋" w:hAnsi="仿宋" w:eastAsia="仿宋" w:cs="仿宋"/>
          <w:color w:val="auto"/>
          <w:sz w:val="24"/>
          <w:szCs w:val="32"/>
          <w:lang w:val="zh-TW"/>
        </w:rPr>
      </w:pPr>
    </w:p>
    <w:p w14:paraId="4F0EA048">
      <w:pPr>
        <w:spacing w:line="560" w:lineRule="exact"/>
        <w:ind w:firstLine="640"/>
        <w:rPr>
          <w:rFonts w:hint="eastAsia" w:ascii="仿宋" w:hAnsi="仿宋" w:eastAsia="仿宋" w:cs="仿宋"/>
          <w:color w:val="auto"/>
          <w:sz w:val="24"/>
          <w:szCs w:val="32"/>
          <w:lang w:val="zh-TW"/>
        </w:rPr>
      </w:pPr>
    </w:p>
    <w:p w14:paraId="74619F98">
      <w:pPr>
        <w:spacing w:line="560" w:lineRule="exact"/>
        <w:ind w:firstLine="640"/>
        <w:rPr>
          <w:rFonts w:hint="eastAsia" w:ascii="仿宋" w:hAnsi="仿宋" w:eastAsia="仿宋" w:cs="仿宋"/>
          <w:color w:val="auto"/>
          <w:sz w:val="24"/>
          <w:szCs w:val="32"/>
          <w:lang w:val="zh-TW"/>
        </w:rPr>
      </w:pPr>
    </w:p>
    <w:p w14:paraId="57A409ED">
      <w:pPr>
        <w:jc w:val="center"/>
        <w:outlineLvl w:val="1"/>
        <w:rPr>
          <w:rFonts w:hint="eastAsia" w:ascii="仿宋" w:hAnsi="仿宋" w:eastAsia="仿宋" w:cs="仿宋"/>
          <w:b/>
          <w:bCs/>
          <w:color w:val="auto"/>
          <w:sz w:val="32"/>
          <w:szCs w:val="32"/>
        </w:rPr>
      </w:pPr>
      <w:bookmarkStart w:id="161" w:name="_格式2__法定代表人授权书"/>
      <w:bookmarkEnd w:id="161"/>
      <w:r>
        <w:rPr>
          <w:rFonts w:hint="eastAsia" w:ascii="仿宋" w:hAnsi="仿宋" w:eastAsia="仿宋" w:cs="仿宋"/>
          <w:b/>
          <w:color w:val="auto"/>
          <w:sz w:val="32"/>
          <w:szCs w:val="32"/>
        </w:rPr>
        <w:br w:type="page" w:clear="all"/>
      </w:r>
      <w:r>
        <w:rPr>
          <w:rFonts w:hint="eastAsia" w:ascii="仿宋" w:hAnsi="仿宋" w:eastAsia="仿宋" w:cs="仿宋"/>
          <w:b/>
          <w:bCs/>
          <w:color w:val="auto"/>
          <w:sz w:val="32"/>
          <w:szCs w:val="32"/>
        </w:rPr>
        <w:t>质疑函范本</w:t>
      </w:r>
    </w:p>
    <w:p w14:paraId="46081229">
      <w:pPr>
        <w:spacing w:before="290" w:line="360" w:lineRule="auto"/>
        <w:rPr>
          <w:rFonts w:hint="eastAsia" w:ascii="仿宋" w:hAnsi="仿宋" w:eastAsia="仿宋" w:cs="仿宋"/>
          <w:bCs/>
          <w:color w:val="auto"/>
          <w:sz w:val="24"/>
        </w:rPr>
      </w:pPr>
      <w:r>
        <w:rPr>
          <w:rFonts w:hint="eastAsia" w:ascii="仿宋" w:hAnsi="仿宋" w:eastAsia="仿宋" w:cs="仿宋"/>
          <w:bCs/>
          <w:color w:val="auto"/>
          <w:sz w:val="24"/>
        </w:rPr>
        <w:t>一、质疑投标人基本信息</w:t>
      </w:r>
    </w:p>
    <w:p w14:paraId="59343AEC">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质疑投标人：</w:t>
      </w:r>
      <w:r>
        <w:rPr>
          <w:rFonts w:hint="eastAsia" w:ascii="仿宋" w:hAnsi="仿宋" w:eastAsia="仿宋" w:cs="仿宋"/>
          <w:color w:val="auto"/>
          <w:sz w:val="24"/>
          <w:u w:val="single"/>
        </w:rPr>
        <w:t xml:space="preserve">                                                              </w:t>
      </w:r>
    </w:p>
    <w:p w14:paraId="21A7D661">
      <w:pPr>
        <w:spacing w:line="360" w:lineRule="auto"/>
        <w:rPr>
          <w:rFonts w:hint="eastAsia" w:ascii="仿宋" w:hAnsi="仿宋" w:eastAsia="仿宋" w:cs="仿宋"/>
          <w:color w:val="auto"/>
          <w:sz w:val="24"/>
        </w:rPr>
      </w:pPr>
      <w:r>
        <w:rPr>
          <w:rFonts w:hint="eastAsia" w:ascii="仿宋" w:hAnsi="仿宋" w:eastAsia="仿宋" w:cs="仿宋"/>
          <w:color w:val="auto"/>
          <w:sz w:val="24"/>
        </w:rPr>
        <w:t>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邮编：</w:t>
      </w:r>
      <w:r>
        <w:rPr>
          <w:rFonts w:hint="eastAsia" w:ascii="仿宋" w:hAnsi="仿宋" w:eastAsia="仿宋" w:cs="仿宋"/>
          <w:color w:val="auto"/>
          <w:sz w:val="24"/>
          <w:u w:val="single"/>
        </w:rPr>
        <w:t xml:space="preserve">                                    </w:t>
      </w:r>
    </w:p>
    <w:p w14:paraId="7EDC415F">
      <w:pPr>
        <w:spacing w:line="360" w:lineRule="auto"/>
        <w:rPr>
          <w:rFonts w:hint="eastAsia" w:ascii="仿宋" w:hAnsi="仿宋" w:eastAsia="仿宋" w:cs="仿宋"/>
          <w:color w:val="auto"/>
          <w:sz w:val="24"/>
        </w:rPr>
      </w:pPr>
      <w:r>
        <w:rPr>
          <w:rFonts w:hint="eastAsia" w:ascii="仿宋" w:hAnsi="仿宋" w:eastAsia="仿宋" w:cs="仿宋"/>
          <w:color w:val="auto"/>
          <w:sz w:val="24"/>
        </w:rPr>
        <w:t>联系人：</w:t>
      </w:r>
      <w:r>
        <w:rPr>
          <w:rFonts w:hint="eastAsia" w:ascii="仿宋" w:hAnsi="仿宋" w:eastAsia="仿宋" w:cs="仿宋"/>
          <w:color w:val="auto"/>
          <w:sz w:val="24"/>
          <w:u w:val="single"/>
        </w:rPr>
        <w:t xml:space="preserve">                      </w:t>
      </w:r>
      <w:r>
        <w:rPr>
          <w:rFonts w:hint="eastAsia" w:ascii="仿宋" w:hAnsi="仿宋" w:eastAsia="仿宋" w:cs="仿宋"/>
          <w:color w:val="auto"/>
          <w:sz w:val="24"/>
        </w:rPr>
        <w:t>联系电话：</w:t>
      </w:r>
      <w:r>
        <w:rPr>
          <w:rFonts w:hint="eastAsia" w:ascii="仿宋" w:hAnsi="仿宋" w:eastAsia="仿宋" w:cs="仿宋"/>
          <w:color w:val="auto"/>
          <w:sz w:val="24"/>
          <w:u w:val="single"/>
        </w:rPr>
        <w:t xml:space="preserve">                                       </w:t>
      </w:r>
    </w:p>
    <w:p w14:paraId="7024A42C">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授权代表：</w:t>
      </w:r>
      <w:r>
        <w:rPr>
          <w:rFonts w:hint="eastAsia" w:ascii="仿宋" w:hAnsi="仿宋" w:eastAsia="仿宋" w:cs="仿宋"/>
          <w:color w:val="auto"/>
          <w:sz w:val="24"/>
          <w:u w:val="single"/>
        </w:rPr>
        <w:t xml:space="preserve">                                                                 </w:t>
      </w:r>
    </w:p>
    <w:p w14:paraId="5C49B278">
      <w:pPr>
        <w:spacing w:line="360" w:lineRule="auto"/>
        <w:rPr>
          <w:rFonts w:hint="eastAsia" w:ascii="仿宋" w:hAnsi="仿宋" w:eastAsia="仿宋" w:cs="仿宋"/>
          <w:color w:val="auto"/>
          <w:sz w:val="24"/>
        </w:rPr>
      </w:pPr>
      <w:r>
        <w:rPr>
          <w:rFonts w:hint="eastAsia" w:ascii="仿宋" w:hAnsi="仿宋" w:eastAsia="仿宋" w:cs="仿宋"/>
          <w:color w:val="auto"/>
          <w:sz w:val="24"/>
        </w:rPr>
        <w:t>联系电话：</w:t>
      </w:r>
      <w:r>
        <w:rPr>
          <w:rFonts w:hint="eastAsia" w:ascii="仿宋" w:hAnsi="仿宋" w:eastAsia="仿宋" w:cs="仿宋"/>
          <w:color w:val="auto"/>
          <w:sz w:val="24"/>
          <w:u w:val="single"/>
        </w:rPr>
        <w:t xml:space="preserve">                                                                </w:t>
      </w:r>
    </w:p>
    <w:p w14:paraId="59FDCA4C">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rPr>
        <w:t>邮编：</w:t>
      </w:r>
      <w:r>
        <w:rPr>
          <w:rFonts w:hint="eastAsia" w:ascii="仿宋" w:hAnsi="仿宋" w:eastAsia="仿宋" w:cs="仿宋"/>
          <w:color w:val="auto"/>
          <w:sz w:val="24"/>
          <w:u w:val="single"/>
        </w:rPr>
        <w:t xml:space="preserve">                                     </w:t>
      </w:r>
    </w:p>
    <w:p w14:paraId="57D4E7BE">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二、质疑项目基本情况</w:t>
      </w:r>
    </w:p>
    <w:p w14:paraId="1C0A521C">
      <w:pPr>
        <w:spacing w:line="360" w:lineRule="auto"/>
        <w:rPr>
          <w:rFonts w:hint="eastAsia" w:ascii="仿宋" w:hAnsi="仿宋" w:eastAsia="仿宋" w:cs="仿宋"/>
          <w:color w:val="auto"/>
          <w:sz w:val="24"/>
        </w:rPr>
      </w:pPr>
      <w:r>
        <w:rPr>
          <w:rFonts w:hint="eastAsia" w:ascii="仿宋" w:hAnsi="仿宋" w:eastAsia="仿宋" w:cs="仿宋"/>
          <w:color w:val="auto"/>
          <w:sz w:val="24"/>
        </w:rPr>
        <w:t>质疑项目的名称：</w:t>
      </w:r>
      <w:r>
        <w:rPr>
          <w:rFonts w:hint="eastAsia" w:ascii="仿宋" w:hAnsi="仿宋" w:eastAsia="仿宋" w:cs="仿宋"/>
          <w:color w:val="auto"/>
          <w:sz w:val="24"/>
          <w:u w:val="single"/>
        </w:rPr>
        <w:t xml:space="preserve">                                                          </w:t>
      </w:r>
    </w:p>
    <w:p w14:paraId="310B5B51">
      <w:pPr>
        <w:spacing w:line="360" w:lineRule="auto"/>
        <w:rPr>
          <w:rFonts w:hint="eastAsia" w:ascii="仿宋" w:hAnsi="仿宋" w:eastAsia="仿宋" w:cs="仿宋"/>
          <w:color w:val="auto"/>
          <w:sz w:val="24"/>
        </w:rPr>
      </w:pPr>
      <w:r>
        <w:rPr>
          <w:rFonts w:hint="eastAsia" w:ascii="仿宋" w:hAnsi="仿宋" w:eastAsia="仿宋" w:cs="仿宋"/>
          <w:color w:val="auto"/>
          <w:sz w:val="24"/>
        </w:rPr>
        <w:t>质疑项目的编号：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包号：</w:t>
      </w:r>
      <w:r>
        <w:rPr>
          <w:rFonts w:hint="eastAsia" w:ascii="仿宋" w:hAnsi="仿宋" w:eastAsia="仿宋" w:cs="仿宋"/>
          <w:color w:val="auto"/>
          <w:sz w:val="24"/>
          <w:u w:val="single"/>
        </w:rPr>
        <w:t xml:space="preserve">                           </w:t>
      </w:r>
    </w:p>
    <w:p w14:paraId="0F54D24F">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招标人名称：</w:t>
      </w:r>
      <w:r>
        <w:rPr>
          <w:rFonts w:hint="eastAsia" w:ascii="仿宋" w:hAnsi="仿宋" w:eastAsia="仿宋" w:cs="仿宋"/>
          <w:color w:val="auto"/>
          <w:sz w:val="24"/>
          <w:u w:val="single"/>
        </w:rPr>
        <w:t xml:space="preserve">                                                              </w:t>
      </w:r>
    </w:p>
    <w:p w14:paraId="0BD466DC">
      <w:pPr>
        <w:spacing w:line="360" w:lineRule="auto"/>
        <w:rPr>
          <w:rFonts w:hint="eastAsia" w:ascii="仿宋" w:hAnsi="仿宋" w:eastAsia="仿宋" w:cs="仿宋"/>
          <w:color w:val="auto"/>
          <w:sz w:val="24"/>
        </w:rPr>
      </w:pPr>
      <w:r>
        <w:rPr>
          <w:rFonts w:hint="eastAsia" w:ascii="仿宋" w:hAnsi="仿宋" w:eastAsia="仿宋" w:cs="仿宋"/>
          <w:color w:val="auto"/>
          <w:sz w:val="24"/>
        </w:rPr>
        <w:t>采购文件获取日期：</w:t>
      </w:r>
      <w:r>
        <w:rPr>
          <w:rFonts w:hint="eastAsia" w:ascii="仿宋" w:hAnsi="仿宋" w:eastAsia="仿宋" w:cs="仿宋"/>
          <w:color w:val="auto"/>
          <w:sz w:val="24"/>
          <w:u w:val="single"/>
        </w:rPr>
        <w:t xml:space="preserve">                                                        </w:t>
      </w:r>
    </w:p>
    <w:p w14:paraId="3635370B">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三、质疑事项具体内容</w:t>
      </w:r>
    </w:p>
    <w:p w14:paraId="7C4B34D2">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质疑事项1：</w:t>
      </w:r>
      <w:r>
        <w:rPr>
          <w:rFonts w:hint="eastAsia" w:ascii="仿宋" w:hAnsi="仿宋" w:eastAsia="仿宋" w:cs="仿宋"/>
          <w:color w:val="auto"/>
          <w:sz w:val="24"/>
          <w:u w:val="single"/>
        </w:rPr>
        <w:t xml:space="preserve">                                                              </w:t>
      </w:r>
    </w:p>
    <w:p w14:paraId="7B294901">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事实依据：</w:t>
      </w:r>
      <w:r>
        <w:rPr>
          <w:rFonts w:hint="eastAsia" w:ascii="仿宋" w:hAnsi="仿宋" w:eastAsia="仿宋" w:cs="仿宋"/>
          <w:color w:val="auto"/>
          <w:sz w:val="24"/>
          <w:u w:val="single"/>
        </w:rPr>
        <w:t xml:space="preserve">                                                                </w:t>
      </w:r>
    </w:p>
    <w:p w14:paraId="0F918DAA">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p>
    <w:p w14:paraId="4185CBE6">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法律依据：</w:t>
      </w:r>
      <w:r>
        <w:rPr>
          <w:rFonts w:hint="eastAsia" w:ascii="仿宋" w:hAnsi="仿宋" w:eastAsia="仿宋" w:cs="仿宋"/>
          <w:color w:val="auto"/>
          <w:sz w:val="24"/>
          <w:u w:val="single"/>
        </w:rPr>
        <w:t xml:space="preserve">                                                                 </w:t>
      </w:r>
    </w:p>
    <w:p w14:paraId="3694A1CF">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                                                                           </w:t>
      </w:r>
    </w:p>
    <w:p w14:paraId="2A4A9A1E">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质疑事项2</w:t>
      </w:r>
    </w:p>
    <w:p w14:paraId="1CBB6232">
      <w:pPr>
        <w:spacing w:line="360" w:lineRule="auto"/>
        <w:rPr>
          <w:rFonts w:hint="eastAsia" w:ascii="仿宋" w:hAnsi="仿宋" w:eastAsia="仿宋" w:cs="仿宋"/>
          <w:color w:val="auto"/>
          <w:sz w:val="24"/>
        </w:rPr>
      </w:pPr>
      <w:r>
        <w:rPr>
          <w:rFonts w:hint="eastAsia" w:ascii="仿宋" w:hAnsi="仿宋" w:eastAsia="仿宋" w:cs="仿宋"/>
          <w:color w:val="auto"/>
          <w:sz w:val="24"/>
        </w:rPr>
        <w:t>……</w:t>
      </w:r>
    </w:p>
    <w:p w14:paraId="034E9784">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四、与质疑事项相关的质疑请求</w:t>
      </w:r>
    </w:p>
    <w:p w14:paraId="780BF9E6">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请求：</w:t>
      </w:r>
      <w:r>
        <w:rPr>
          <w:rFonts w:hint="eastAsia" w:ascii="仿宋" w:hAnsi="仿宋" w:eastAsia="仿宋" w:cs="仿宋"/>
          <w:color w:val="auto"/>
          <w:sz w:val="24"/>
          <w:u w:val="single"/>
        </w:rPr>
        <w:t xml:space="preserve">                                                                     </w:t>
      </w:r>
    </w:p>
    <w:p w14:paraId="605B4618">
      <w:pPr>
        <w:rPr>
          <w:rFonts w:hint="eastAsia" w:ascii="仿宋" w:hAnsi="仿宋" w:eastAsia="仿宋" w:cs="仿宋"/>
          <w:color w:val="auto"/>
          <w:sz w:val="24"/>
        </w:rPr>
      </w:pPr>
      <w:r>
        <w:rPr>
          <w:rFonts w:hint="eastAsia" w:ascii="仿宋" w:hAnsi="仿宋" w:eastAsia="仿宋" w:cs="仿宋"/>
          <w:color w:val="auto"/>
          <w:sz w:val="24"/>
        </w:rPr>
        <w:t xml:space="preserve">签字（签章）：                   公章：                      </w:t>
      </w:r>
    </w:p>
    <w:p w14:paraId="2F0F3FD0">
      <w:pPr>
        <w:rPr>
          <w:rFonts w:hint="eastAsia" w:ascii="仿宋" w:hAnsi="仿宋" w:eastAsia="仿宋" w:cs="仿宋"/>
          <w:color w:val="auto"/>
          <w:sz w:val="24"/>
        </w:rPr>
      </w:pPr>
      <w:r>
        <w:rPr>
          <w:rFonts w:hint="eastAsia" w:ascii="仿宋" w:hAnsi="仿宋" w:eastAsia="仿宋" w:cs="仿宋"/>
          <w:color w:val="auto"/>
          <w:sz w:val="24"/>
        </w:rPr>
        <w:t xml:space="preserve">日期：    </w:t>
      </w:r>
    </w:p>
    <w:p w14:paraId="3AB926F8">
      <w:pPr>
        <w:spacing w:line="500" w:lineRule="exact"/>
        <w:rPr>
          <w:rFonts w:hint="eastAsia" w:ascii="仿宋" w:hAnsi="仿宋" w:eastAsia="仿宋" w:cs="仿宋"/>
          <w:b/>
          <w:color w:val="auto"/>
          <w:sz w:val="24"/>
        </w:rPr>
      </w:pPr>
      <w:r>
        <w:rPr>
          <w:rFonts w:hint="eastAsia" w:ascii="仿宋" w:hAnsi="仿宋" w:eastAsia="仿宋" w:cs="仿宋"/>
          <w:b/>
          <w:color w:val="auto"/>
          <w:sz w:val="24"/>
        </w:rPr>
        <w:t>质疑函制作说明：</w:t>
      </w:r>
    </w:p>
    <w:p w14:paraId="30F2D519">
      <w:pPr>
        <w:widowControl/>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1.投标人提出质疑时，应提交质疑函和必要的证明材料。</w:t>
      </w:r>
    </w:p>
    <w:p w14:paraId="26CB32CA">
      <w:pPr>
        <w:widowControl/>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00BD75F4">
      <w:pPr>
        <w:widowControl/>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3.质疑投标人若对项目的某一分包进行质疑，质疑函中应列明具体分包号。</w:t>
      </w:r>
    </w:p>
    <w:p w14:paraId="06A404B0">
      <w:pPr>
        <w:widowControl/>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4.质疑函的质疑事项应具体、明确，并有必要的事实依据和法律依据。</w:t>
      </w:r>
    </w:p>
    <w:p w14:paraId="6D5D69DA">
      <w:pPr>
        <w:widowControl/>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5.质疑函的质疑请求应与质疑事项相关。</w:t>
      </w:r>
    </w:p>
    <w:p w14:paraId="48D86136">
      <w:pPr>
        <w:widowControl/>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6.质疑投标人为自然人的，质疑函应由本人签字；质疑投标人为法人或者其他组织的，质疑函应由法定代表人、主要负责人，或者其授权代表签字或者盖章，并加盖公章。</w:t>
      </w:r>
    </w:p>
    <w:p w14:paraId="4112C37D">
      <w:pPr>
        <w:widowControl/>
        <w:spacing w:line="400" w:lineRule="exact"/>
        <w:ind w:firstLine="480"/>
        <w:jc w:val="left"/>
        <w:rPr>
          <w:rFonts w:hint="eastAsia" w:ascii="仿宋" w:hAnsi="仿宋" w:eastAsia="仿宋" w:cs="仿宋"/>
          <w:color w:val="auto"/>
          <w:sz w:val="24"/>
        </w:rPr>
      </w:pPr>
    </w:p>
    <w:p w14:paraId="32CA6CE6">
      <w:pPr>
        <w:ind w:firstLine="420"/>
        <w:rPr>
          <w:rFonts w:hint="eastAsia" w:ascii="仿宋" w:hAnsi="仿宋" w:eastAsia="仿宋" w:cs="仿宋"/>
          <w:color w:val="auto"/>
          <w:sz w:val="24"/>
        </w:rPr>
      </w:pPr>
    </w:p>
    <w:p w14:paraId="46F71A1B">
      <w:pPr>
        <w:ind w:firstLine="420"/>
        <w:rPr>
          <w:rFonts w:hint="eastAsia" w:ascii="仿宋" w:hAnsi="仿宋" w:eastAsia="仿宋" w:cs="仿宋"/>
          <w:color w:val="auto"/>
          <w:sz w:val="24"/>
        </w:rPr>
      </w:pPr>
    </w:p>
    <w:p w14:paraId="06913BAA">
      <w:pPr>
        <w:rPr>
          <w:rFonts w:hint="eastAsia" w:ascii="仿宋" w:hAnsi="仿宋" w:eastAsia="仿宋" w:cs="仿宋"/>
          <w:color w:val="auto"/>
          <w:szCs w:val="21"/>
        </w:rPr>
      </w:pPr>
    </w:p>
    <w:p w14:paraId="59019B67">
      <w:pPr>
        <w:rPr>
          <w:rFonts w:ascii="Times New Roman" w:hAnsi="Times New Roman"/>
          <w:color w:val="auto"/>
          <w:szCs w:val="21"/>
        </w:rPr>
      </w:pPr>
    </w:p>
    <w:p w14:paraId="672A7B7E">
      <w:pPr>
        <w:rPr>
          <w:color w:val="auto"/>
        </w:rPr>
      </w:pPr>
    </w:p>
    <w:p w14:paraId="75820440">
      <w:pPr>
        <w:rPr>
          <w:color w:val="auto"/>
        </w:rPr>
      </w:pPr>
    </w:p>
    <w:sectPr>
      <w:footerReference r:id="rId7" w:type="first"/>
      <w:footerReference r:id="rId6" w:type="default"/>
      <w:pgSz w:w="11906" w:h="16838"/>
      <w:pgMar w:top="1418" w:right="1588" w:bottom="1418" w:left="1365"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BF46F2A-5A67-4319-A33A-66451D6CFF0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embedRegular r:id="rId2" w:fontKey="{3C91C026-EC6B-4DA9-8AAC-78B467DC0BBB}"/>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auto"/>
    <w:pitch w:val="default"/>
    <w:sig w:usb0="A00002BF" w:usb1="38CF7CFA" w:usb2="00082016" w:usb3="00000000" w:csb0="00040001" w:csb1="00000000"/>
    <w:embedRegular r:id="rId3" w:fontKey="{EE1102E8-9379-4230-AAD8-7D1F57E2779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DBFC0">
    <w:pPr>
      <w:tabs>
        <w:tab w:val="center" w:pos="4153"/>
        <w:tab w:val="right" w:pos="8306"/>
      </w:tabs>
      <w:rPr>
        <w:rFonts w:ascii="Times New Roman" w:hAnsi="Times New Roman"/>
        <w:b/>
        <w: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52022">
    <w:pPr>
      <w:framePr w:wrap="around" w:vAnchor="text" w:hAnchor="margin" w:xAlign="center" w:y="1"/>
      <w:tabs>
        <w:tab w:val="center" w:pos="4153"/>
        <w:tab w:val="right" w:pos="8306"/>
      </w:tabs>
      <w:jc w:val="left"/>
      <w:rPr>
        <w:rFonts w:ascii="Times New Roman" w:hAnsi="Times New Roman"/>
        <w:sz w:val="18"/>
        <w:szCs w:val="18"/>
      </w:rPr>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1</w:t>
    </w:r>
    <w:r>
      <w:rPr>
        <w:rFonts w:ascii="Times New Roman" w:hAnsi="Times New Roman"/>
        <w:sz w:val="18"/>
        <w:szCs w:val="18"/>
      </w:rPr>
      <w:fldChar w:fldCharType="end"/>
    </w:r>
  </w:p>
  <w:p w14:paraId="1BE3B714">
    <w:pPr>
      <w:tabs>
        <w:tab w:val="center" w:pos="4153"/>
        <w:tab w:val="right" w:pos="8306"/>
      </w:tabs>
      <w:jc w:val="left"/>
      <w:rPr>
        <w:rFonts w:ascii="Times New Roman" w:hAnsi="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7539">
    <w:pPr>
      <w:tabs>
        <w:tab w:val="center" w:pos="4153"/>
        <w:tab w:val="right" w:pos="8306"/>
      </w:tabs>
      <w:rPr>
        <w:rFonts w:ascii="Times New Roman" w:hAnsi="Times New Roman"/>
        <w:b/>
        <w: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E13467">
                          <w:pPr>
                            <w:pStyle w:val="20"/>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DE13467">
                    <w:pPr>
                      <w:pStyle w:val="20"/>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48D8C">
    <w:pPr>
      <w:pStyle w:val="2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1BA048D0">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NJWO7QAAAABQEAAA8AAAAAAAAAAQAgAAAAIgAAAGRycy9kb3du&#10;cmV2LnhtbFBLAQIUABQAAAAIAIdO4kA4g1l8QAIAAHkEAAAOAAAAAAAAAAEAIAAAAB8BAABkcnMv&#10;ZTJvRG9jLnhtbFBLBQYAAAAABgAGAFkBAADRBQAAAAA=&#10;">
              <v:fill on="f" focussize="0,0"/>
              <v:stroke on="f" weight="0.5pt" joinstyle="miter"/>
              <v:imagedata o:title=""/>
              <o:lock v:ext="edit" aspectratio="f"/>
              <v:textbox inset="0mm,0mm,0mm,0mm" style="mso-fit-shape-to-text:t;">
                <w:txbxContent>
                  <w:p w14:paraId="1BA048D0">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9E530">
    <w:pPr>
      <w:tabs>
        <w:tab w:val="center" w:pos="4153"/>
        <w:tab w:val="right" w:pos="8306"/>
      </w:tabs>
      <w:jc w:val="center"/>
      <w:rPr>
        <w:rFonts w:ascii="Times New Roman" w:hAnsi="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13"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0053208E"/>
    <w:multiLevelType w:val="multilevel"/>
    <w:tmpl w:val="0053208E"/>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59ADCABA"/>
    <w:multiLevelType w:val="multilevel"/>
    <w:tmpl w:val="59ADCABA"/>
    <w:lvl w:ilvl="0" w:tentative="0">
      <w:start w:val="2"/>
      <w:numFmt w:val="decimal"/>
      <w:lvlText w:val="%1."/>
      <w:lvlJc w:val="left"/>
      <w:pPr>
        <w:tabs>
          <w:tab w:val="left" w:pos="312"/>
        </w:tabs>
        <w:ind w:left="60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83A1A"/>
    <w:rsid w:val="05CE3A3F"/>
    <w:rsid w:val="0D89297F"/>
    <w:rsid w:val="0E12593E"/>
    <w:rsid w:val="134C3CB4"/>
    <w:rsid w:val="21A969DF"/>
    <w:rsid w:val="226508ED"/>
    <w:rsid w:val="278A67A7"/>
    <w:rsid w:val="279E08E0"/>
    <w:rsid w:val="2B305502"/>
    <w:rsid w:val="34E05FD0"/>
    <w:rsid w:val="376033C8"/>
    <w:rsid w:val="3C37397E"/>
    <w:rsid w:val="4C200684"/>
    <w:rsid w:val="4E8403F5"/>
    <w:rsid w:val="52C16901"/>
    <w:rsid w:val="53DA3174"/>
    <w:rsid w:val="61D76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7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qFormat/>
    <w:uiPriority w:val="0"/>
    <w:pPr>
      <w:tabs>
        <w:tab w:val="left" w:pos="567"/>
      </w:tabs>
      <w:spacing w:before="120" w:line="22" w:lineRule="atLeast"/>
    </w:pPr>
    <w:rPr>
      <w:rFonts w:ascii="宋体" w:hAnsi="宋体"/>
      <w:sz w:val="24"/>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hint="eastAsia" w:ascii="宋体" w:hAnsi="Courier New"/>
      <w:szCs w:val="20"/>
    </w:rPr>
  </w:style>
  <w:style w:type="paragraph" w:styleId="18">
    <w:name w:val="toc 8"/>
    <w:basedOn w:val="1"/>
    <w:next w:val="1"/>
    <w:unhideWhenUsed/>
    <w:qFormat/>
    <w:uiPriority w:val="39"/>
    <w:pPr>
      <w:spacing w:after="57"/>
      <w:ind w:left="1984"/>
    </w:pPr>
  </w:style>
  <w:style w:type="paragraph" w:styleId="19">
    <w:name w:val="endnote text"/>
    <w:basedOn w:val="1"/>
    <w:link w:val="223"/>
    <w:semiHidden/>
    <w:unhideWhenUsed/>
    <w:qFormat/>
    <w:uiPriority w:val="99"/>
    <w:rPr>
      <w:sz w:val="20"/>
    </w:rPr>
  </w:style>
  <w:style w:type="paragraph" w:styleId="20">
    <w:name w:val="footer"/>
    <w:basedOn w:val="1"/>
    <w:link w:val="96"/>
    <w:unhideWhenUsed/>
    <w:qFormat/>
    <w:uiPriority w:val="99"/>
    <w:pPr>
      <w:tabs>
        <w:tab w:val="center" w:pos="7143"/>
        <w:tab w:val="right" w:pos="14287"/>
      </w:tabs>
    </w:pPr>
  </w:style>
  <w:style w:type="paragraph" w:styleId="21">
    <w:name w:val="header"/>
    <w:basedOn w:val="1"/>
    <w:link w:val="94"/>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89"/>
    <w:qFormat/>
    <w:uiPriority w:val="11"/>
    <w:pPr>
      <w:spacing w:before="200" w:after="200"/>
    </w:pPr>
    <w:rPr>
      <w:sz w:val="24"/>
    </w:rPr>
  </w:style>
  <w:style w:type="paragraph" w:styleId="25">
    <w:name w:val="footnote text"/>
    <w:basedOn w:val="1"/>
    <w:link w:val="222"/>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link w:val="88"/>
    <w:qFormat/>
    <w:uiPriority w:val="10"/>
    <w:pPr>
      <w:spacing w:before="300" w:after="200"/>
      <w:contextualSpacing/>
    </w:pPr>
    <w:rPr>
      <w:sz w:val="48"/>
      <w:szCs w:val="48"/>
    </w:rPr>
  </w:style>
  <w:style w:type="table" w:styleId="32">
    <w:name w:val="Table Grid"/>
    <w:basedOn w:val="3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basedOn w:val="33"/>
    <w:qFormat/>
    <w:uiPriority w:val="22"/>
    <w:rPr>
      <w:b/>
    </w:rPr>
  </w:style>
  <w:style w:type="character" w:styleId="35">
    <w:name w:val="endnote reference"/>
    <w:basedOn w:val="33"/>
    <w:semiHidden/>
    <w:unhideWhenUsed/>
    <w:qFormat/>
    <w:uiPriority w:val="99"/>
    <w:rPr>
      <w:vertAlign w:val="superscript"/>
    </w:rPr>
  </w:style>
  <w:style w:type="character" w:styleId="36">
    <w:name w:val="Hyperlink"/>
    <w:unhideWhenUsed/>
    <w:qFormat/>
    <w:uiPriority w:val="99"/>
    <w:rPr>
      <w:color w:val="0026E5" w:themeColor="hyperlink"/>
      <w:u w:val="single"/>
      <w14:textFill>
        <w14:solidFill>
          <w14:schemeClr w14:val="hlink"/>
        </w14:solidFill>
      </w14:textFill>
    </w:rPr>
  </w:style>
  <w:style w:type="character" w:styleId="37">
    <w:name w:val="footnote reference"/>
    <w:basedOn w:val="33"/>
    <w:unhideWhenUsed/>
    <w:qFormat/>
    <w:uiPriority w:val="99"/>
    <w:rPr>
      <w:vertAlign w:val="superscript"/>
    </w:rPr>
  </w:style>
  <w:style w:type="character" w:customStyle="1" w:styleId="38">
    <w:name w:val="Heading 1 Char"/>
    <w:basedOn w:val="33"/>
    <w:qFormat/>
    <w:uiPriority w:val="9"/>
    <w:rPr>
      <w:rFonts w:ascii="Arial" w:hAnsi="Arial" w:eastAsia="Arial" w:cs="Arial"/>
      <w:sz w:val="40"/>
      <w:szCs w:val="40"/>
    </w:rPr>
  </w:style>
  <w:style w:type="character" w:customStyle="1" w:styleId="39">
    <w:name w:val="Heading 2 Char"/>
    <w:basedOn w:val="33"/>
    <w:qFormat/>
    <w:uiPriority w:val="9"/>
    <w:rPr>
      <w:rFonts w:ascii="Arial" w:hAnsi="Arial" w:eastAsia="Arial" w:cs="Arial"/>
      <w:sz w:val="34"/>
    </w:rPr>
  </w:style>
  <w:style w:type="character" w:customStyle="1" w:styleId="40">
    <w:name w:val="Heading 3 Char"/>
    <w:basedOn w:val="33"/>
    <w:qFormat/>
    <w:uiPriority w:val="9"/>
    <w:rPr>
      <w:rFonts w:ascii="Arial" w:hAnsi="Arial" w:eastAsia="Arial" w:cs="Arial"/>
      <w:sz w:val="30"/>
      <w:szCs w:val="30"/>
    </w:rPr>
  </w:style>
  <w:style w:type="character" w:customStyle="1" w:styleId="41">
    <w:name w:val="Heading 4 Char"/>
    <w:basedOn w:val="33"/>
    <w:qFormat/>
    <w:uiPriority w:val="9"/>
    <w:rPr>
      <w:rFonts w:ascii="Arial" w:hAnsi="Arial" w:eastAsia="Arial" w:cs="Arial"/>
      <w:b/>
      <w:bCs/>
      <w:sz w:val="26"/>
      <w:szCs w:val="26"/>
    </w:rPr>
  </w:style>
  <w:style w:type="character" w:customStyle="1" w:styleId="42">
    <w:name w:val="Heading 5 Char"/>
    <w:basedOn w:val="33"/>
    <w:qFormat/>
    <w:uiPriority w:val="9"/>
    <w:rPr>
      <w:rFonts w:ascii="Arial" w:hAnsi="Arial" w:eastAsia="Arial" w:cs="Arial"/>
      <w:b/>
      <w:bCs/>
      <w:sz w:val="24"/>
      <w:szCs w:val="24"/>
    </w:rPr>
  </w:style>
  <w:style w:type="character" w:customStyle="1" w:styleId="43">
    <w:name w:val="Heading 6 Char"/>
    <w:basedOn w:val="33"/>
    <w:qFormat/>
    <w:uiPriority w:val="9"/>
    <w:rPr>
      <w:rFonts w:ascii="Arial" w:hAnsi="Arial" w:eastAsia="Arial" w:cs="Arial"/>
      <w:b/>
      <w:bCs/>
      <w:sz w:val="22"/>
      <w:szCs w:val="22"/>
    </w:rPr>
  </w:style>
  <w:style w:type="character" w:customStyle="1" w:styleId="44">
    <w:name w:val="Heading 7 Char"/>
    <w:basedOn w:val="33"/>
    <w:qFormat/>
    <w:uiPriority w:val="9"/>
    <w:rPr>
      <w:rFonts w:ascii="Arial" w:hAnsi="Arial" w:eastAsia="Arial" w:cs="Arial"/>
      <w:b/>
      <w:bCs/>
      <w:i/>
      <w:iCs/>
      <w:sz w:val="22"/>
      <w:szCs w:val="22"/>
    </w:rPr>
  </w:style>
  <w:style w:type="character" w:customStyle="1" w:styleId="45">
    <w:name w:val="Heading 8 Char"/>
    <w:basedOn w:val="33"/>
    <w:qFormat/>
    <w:uiPriority w:val="9"/>
    <w:rPr>
      <w:rFonts w:ascii="Arial" w:hAnsi="Arial" w:eastAsia="Arial" w:cs="Arial"/>
      <w:i/>
      <w:iCs/>
      <w:sz w:val="22"/>
      <w:szCs w:val="22"/>
    </w:rPr>
  </w:style>
  <w:style w:type="character" w:customStyle="1" w:styleId="46">
    <w:name w:val="Heading 9 Char"/>
    <w:basedOn w:val="33"/>
    <w:qFormat/>
    <w:uiPriority w:val="9"/>
    <w:rPr>
      <w:rFonts w:ascii="Arial" w:hAnsi="Arial" w:eastAsia="Arial" w:cs="Arial"/>
      <w:i/>
      <w:iCs/>
      <w:sz w:val="21"/>
      <w:szCs w:val="21"/>
    </w:rPr>
  </w:style>
  <w:style w:type="character" w:customStyle="1" w:styleId="47">
    <w:name w:val="Title Char"/>
    <w:basedOn w:val="33"/>
    <w:qFormat/>
    <w:uiPriority w:val="10"/>
    <w:rPr>
      <w:sz w:val="48"/>
      <w:szCs w:val="48"/>
    </w:rPr>
  </w:style>
  <w:style w:type="character" w:customStyle="1" w:styleId="48">
    <w:name w:val="Subtitle Char"/>
    <w:basedOn w:val="33"/>
    <w:qFormat/>
    <w:uiPriority w:val="11"/>
    <w:rPr>
      <w:sz w:val="24"/>
      <w:szCs w:val="24"/>
    </w:rPr>
  </w:style>
  <w:style w:type="character" w:customStyle="1" w:styleId="49">
    <w:name w:val="Quote Char"/>
    <w:qFormat/>
    <w:uiPriority w:val="29"/>
    <w:rPr>
      <w:i/>
    </w:rPr>
  </w:style>
  <w:style w:type="character" w:customStyle="1" w:styleId="50">
    <w:name w:val="Intense Quote Char"/>
    <w:qFormat/>
    <w:uiPriority w:val="30"/>
    <w:rPr>
      <w:i/>
    </w:rPr>
  </w:style>
  <w:style w:type="character" w:customStyle="1" w:styleId="51">
    <w:name w:val="Header Char"/>
    <w:basedOn w:val="33"/>
    <w:qFormat/>
    <w:uiPriority w:val="99"/>
  </w:style>
  <w:style w:type="character" w:customStyle="1" w:styleId="52">
    <w:name w:val="Caption Char"/>
    <w:qFormat/>
    <w:uiPriority w:val="99"/>
  </w:style>
  <w:style w:type="table" w:customStyle="1" w:styleId="53">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Heading"/>
    <w:unhideWhenUsed/>
    <w:qFormat/>
    <w:uiPriority w:val="39"/>
    <w:rPr>
      <w:rFonts w:hint="default" w:ascii="Times New Roman" w:hAnsi="Times New Roman" w:eastAsia="宋体" w:cs="Times New Roman"/>
    </w:rPr>
  </w:style>
  <w:style w:type="paragraph" w:customStyle="1" w:styleId="75">
    <w:name w:val="正文文本11"/>
    <w:basedOn w:val="1"/>
    <w:next w:val="76"/>
    <w:qFormat/>
    <w:uiPriority w:val="0"/>
    <w:rPr>
      <w:rFonts w:ascii="楷体_GB2312" w:hAnsi="Arial" w:eastAsia="楷体_GB2312"/>
      <w:sz w:val="28"/>
      <w:szCs w:val="28"/>
    </w:rPr>
  </w:style>
  <w:style w:type="paragraph" w:customStyle="1" w:styleId="76">
    <w:name w:val="正文缩进11"/>
    <w:basedOn w:val="1"/>
    <w:next w:val="1"/>
    <w:qFormat/>
    <w:uiPriority w:val="0"/>
    <w:pPr>
      <w:ind w:firstLine="420"/>
    </w:pPr>
  </w:style>
  <w:style w:type="character" w:customStyle="1" w:styleId="77">
    <w:name w:val="标题 1 字符"/>
    <w:basedOn w:val="33"/>
    <w:link w:val="2"/>
    <w:qFormat/>
    <w:uiPriority w:val="9"/>
    <w:rPr>
      <w:rFonts w:ascii="Arial" w:hAnsi="Arial" w:eastAsia="Arial" w:cs="Arial"/>
      <w:sz w:val="40"/>
      <w:szCs w:val="40"/>
    </w:rPr>
  </w:style>
  <w:style w:type="character" w:customStyle="1" w:styleId="78">
    <w:name w:val="标题 2 字符"/>
    <w:basedOn w:val="33"/>
    <w:link w:val="3"/>
    <w:qFormat/>
    <w:uiPriority w:val="9"/>
    <w:rPr>
      <w:rFonts w:ascii="Arial" w:hAnsi="Arial" w:eastAsia="Arial" w:cs="Arial"/>
      <w:sz w:val="34"/>
    </w:rPr>
  </w:style>
  <w:style w:type="character" w:customStyle="1" w:styleId="79">
    <w:name w:val="标题 3 字符"/>
    <w:basedOn w:val="33"/>
    <w:link w:val="4"/>
    <w:qFormat/>
    <w:uiPriority w:val="9"/>
    <w:rPr>
      <w:rFonts w:ascii="Arial" w:hAnsi="Arial" w:eastAsia="Arial" w:cs="Arial"/>
      <w:sz w:val="30"/>
      <w:szCs w:val="30"/>
    </w:rPr>
  </w:style>
  <w:style w:type="character" w:customStyle="1" w:styleId="80">
    <w:name w:val="标题 4 字符"/>
    <w:basedOn w:val="33"/>
    <w:link w:val="5"/>
    <w:qFormat/>
    <w:uiPriority w:val="9"/>
    <w:rPr>
      <w:rFonts w:ascii="Arial" w:hAnsi="Arial" w:eastAsia="Arial" w:cs="Arial"/>
      <w:b/>
      <w:bCs/>
      <w:sz w:val="26"/>
      <w:szCs w:val="26"/>
    </w:rPr>
  </w:style>
  <w:style w:type="character" w:customStyle="1" w:styleId="81">
    <w:name w:val="标题 5 字符"/>
    <w:basedOn w:val="33"/>
    <w:link w:val="6"/>
    <w:qFormat/>
    <w:uiPriority w:val="9"/>
    <w:rPr>
      <w:rFonts w:ascii="Arial" w:hAnsi="Arial" w:eastAsia="Arial" w:cs="Arial"/>
      <w:b/>
      <w:bCs/>
      <w:sz w:val="24"/>
      <w:szCs w:val="24"/>
    </w:rPr>
  </w:style>
  <w:style w:type="character" w:customStyle="1" w:styleId="82">
    <w:name w:val="标题 6 字符"/>
    <w:basedOn w:val="33"/>
    <w:link w:val="7"/>
    <w:qFormat/>
    <w:uiPriority w:val="9"/>
    <w:rPr>
      <w:rFonts w:ascii="Arial" w:hAnsi="Arial" w:eastAsia="Arial" w:cs="Arial"/>
      <w:b/>
      <w:bCs/>
      <w:sz w:val="22"/>
      <w:szCs w:val="22"/>
    </w:rPr>
  </w:style>
  <w:style w:type="character" w:customStyle="1" w:styleId="83">
    <w:name w:val="标题 7 字符"/>
    <w:basedOn w:val="33"/>
    <w:link w:val="8"/>
    <w:qFormat/>
    <w:uiPriority w:val="9"/>
    <w:rPr>
      <w:rFonts w:ascii="Arial" w:hAnsi="Arial" w:eastAsia="Arial" w:cs="Arial"/>
      <w:b/>
      <w:bCs/>
      <w:i/>
      <w:iCs/>
      <w:sz w:val="22"/>
      <w:szCs w:val="22"/>
    </w:rPr>
  </w:style>
  <w:style w:type="character" w:customStyle="1" w:styleId="84">
    <w:name w:val="标题 8 字符"/>
    <w:basedOn w:val="33"/>
    <w:link w:val="9"/>
    <w:qFormat/>
    <w:uiPriority w:val="9"/>
    <w:rPr>
      <w:rFonts w:ascii="Arial" w:hAnsi="Arial" w:eastAsia="Arial" w:cs="Arial"/>
      <w:i/>
      <w:iCs/>
      <w:sz w:val="22"/>
      <w:szCs w:val="22"/>
    </w:rPr>
  </w:style>
  <w:style w:type="character" w:customStyle="1" w:styleId="85">
    <w:name w:val="标题 9 字符"/>
    <w:basedOn w:val="33"/>
    <w:link w:val="10"/>
    <w:qFormat/>
    <w:uiPriority w:val="9"/>
    <w:rPr>
      <w:rFonts w:ascii="Arial" w:hAnsi="Arial" w:eastAsia="Arial" w:cs="Arial"/>
      <w:i/>
      <w:iCs/>
      <w:sz w:val="21"/>
      <w:szCs w:val="21"/>
    </w:rPr>
  </w:style>
  <w:style w:type="paragraph" w:styleId="86">
    <w:name w:val="List Paragraph"/>
    <w:basedOn w:val="1"/>
    <w:qFormat/>
    <w:uiPriority w:val="34"/>
    <w:pPr>
      <w:ind w:left="720"/>
      <w:contextualSpacing/>
    </w:pPr>
  </w:style>
  <w:style w:type="paragraph" w:styleId="87">
    <w:name w:val="No Spacing"/>
    <w:qFormat/>
    <w:uiPriority w:val="1"/>
    <w:rPr>
      <w:rFonts w:hint="default" w:asciiTheme="minorHAnsi" w:hAnsiTheme="minorHAnsi" w:eastAsiaTheme="minorEastAsia" w:cstheme="minorBidi"/>
      <w:lang w:val="en-US" w:eastAsia="zh-CN" w:bidi="ar-SA"/>
    </w:rPr>
  </w:style>
  <w:style w:type="character" w:customStyle="1" w:styleId="88">
    <w:name w:val="标题 字符"/>
    <w:basedOn w:val="33"/>
    <w:link w:val="30"/>
    <w:qFormat/>
    <w:uiPriority w:val="10"/>
    <w:rPr>
      <w:sz w:val="48"/>
      <w:szCs w:val="48"/>
    </w:rPr>
  </w:style>
  <w:style w:type="character" w:customStyle="1" w:styleId="89">
    <w:name w:val="副标题 字符"/>
    <w:basedOn w:val="33"/>
    <w:link w:val="24"/>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字符"/>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字符"/>
    <w:link w:val="92"/>
    <w:qFormat/>
    <w:uiPriority w:val="30"/>
    <w:rPr>
      <w:i/>
    </w:rPr>
  </w:style>
  <w:style w:type="character" w:customStyle="1" w:styleId="94">
    <w:name w:val="页眉 字符"/>
    <w:basedOn w:val="33"/>
    <w:link w:val="21"/>
    <w:qFormat/>
    <w:uiPriority w:val="99"/>
  </w:style>
  <w:style w:type="character" w:customStyle="1" w:styleId="95">
    <w:name w:val="Footer Char"/>
    <w:basedOn w:val="33"/>
    <w:qFormat/>
    <w:uiPriority w:val="99"/>
  </w:style>
  <w:style w:type="character" w:customStyle="1" w:styleId="96">
    <w:name w:val="页脚 字符"/>
    <w:link w:val="20"/>
    <w:qFormat/>
    <w:uiPriority w:val="99"/>
  </w:style>
  <w:style w:type="table" w:customStyle="1" w:styleId="97">
    <w:name w:val="Table Grid Light"/>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8">
    <w:name w:val="无格式表格 11"/>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无格式表格 21"/>
    <w:basedOn w:val="3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无格式表格 31"/>
    <w:basedOn w:val="3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41"/>
    <w:basedOn w:val="3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51"/>
    <w:basedOn w:val="3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网格表 1 浅色1"/>
    <w:basedOn w:val="3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basedOn w:val="31"/>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05">
    <w:name w:val="Grid Table 1 Light - Accent 2"/>
    <w:basedOn w:val="31"/>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06">
    <w:name w:val="Grid Table 1 Light - Accent 3"/>
    <w:basedOn w:val="31"/>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07">
    <w:name w:val="Grid Table 1 Light - Accent 4"/>
    <w:basedOn w:val="31"/>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08">
    <w:name w:val="Grid Table 1 Light - Accent 5"/>
    <w:basedOn w:val="31"/>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09">
    <w:name w:val="Grid Table 1 Light - Accent 6"/>
    <w:basedOn w:val="31"/>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10">
    <w:name w:val="网格表 2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basedOn w:val="31"/>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2">
    <w:name w:val="Grid Table 2 - Accent 2"/>
    <w:basedOn w:val="31"/>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3">
    <w:name w:val="Grid Table 2 - Accent 3"/>
    <w:basedOn w:val="31"/>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4">
    <w:name w:val="Grid Table 2 - Accent 4"/>
    <w:basedOn w:val="31"/>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5">
    <w:name w:val="Grid Table 2 - Accent 5"/>
    <w:basedOn w:val="31"/>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6">
    <w:name w:val="Grid Table 2 - Accent 6"/>
    <w:basedOn w:val="31"/>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7">
    <w:name w:val="网格表 3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basedOn w:val="31"/>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9">
    <w:name w:val="Grid Table 3 - Accent 2"/>
    <w:basedOn w:val="31"/>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0">
    <w:name w:val="Grid Table 3 - Accent 3"/>
    <w:basedOn w:val="31"/>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1">
    <w:name w:val="Grid Table 3 - Accent 4"/>
    <w:basedOn w:val="31"/>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2">
    <w:name w:val="Grid Table 3 - Accent 5"/>
    <w:basedOn w:val="31"/>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3">
    <w:name w:val="Grid Table 3 - Accent 6"/>
    <w:basedOn w:val="31"/>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4">
    <w:name w:val="网格表 41"/>
    <w:basedOn w:val="3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basedOn w:val="31"/>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26">
    <w:name w:val="Grid Table 4 - Accent 2"/>
    <w:basedOn w:val="31"/>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7">
    <w:name w:val="Grid Table 4 - Accent 3"/>
    <w:basedOn w:val="31"/>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8">
    <w:name w:val="Grid Table 4 - Accent 4"/>
    <w:basedOn w:val="31"/>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9">
    <w:name w:val="Grid Table 4 - Accent 5"/>
    <w:basedOn w:val="31"/>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0">
    <w:name w:val="Grid Table 4 - Accent 6"/>
    <w:basedOn w:val="31"/>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1">
    <w:name w:val="网格表 5 深色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33">
    <w:name w:val="Grid Table 5 Dark - Accent 2"/>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34">
    <w:name w:val="Grid Table 5 Dark - Accent 3"/>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35">
    <w:name w:val="Grid Table 5 Dark- Accent 4"/>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36">
    <w:name w:val="Grid Table 5 Dark - Accent 5"/>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37">
    <w:name w:val="Grid Table 5 Dark - Accent 6"/>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38">
    <w:name w:val="网格表 6 彩色1"/>
    <w:basedOn w:val="3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basedOn w:val="31"/>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basedOn w:val="31"/>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basedOn w:val="31"/>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2">
    <w:name w:val="Grid Table 6 Colorful - Accent 4"/>
    <w:basedOn w:val="31"/>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basedOn w:val="31"/>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4">
    <w:name w:val="Grid Table 6 Colorful - Accent 6"/>
    <w:basedOn w:val="31"/>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45">
    <w:name w:val="网格表 7 彩色1"/>
    <w:basedOn w:val="3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basedOn w:val="31"/>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31"/>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31"/>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9">
    <w:name w:val="Grid Table 7 Colorful - Accent 4"/>
    <w:basedOn w:val="31"/>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31"/>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1">
    <w:name w:val="Grid Table 7 Colorful - Accent 6"/>
    <w:basedOn w:val="31"/>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52">
    <w:name w:val="清单表 1 浅色1"/>
    <w:basedOn w:val="3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basedOn w:val="31"/>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54">
    <w:name w:val="List Table 1 Light - Accent 2"/>
    <w:basedOn w:val="31"/>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55">
    <w:name w:val="List Table 1 Light - Accent 3"/>
    <w:basedOn w:val="31"/>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56">
    <w:name w:val="List Table 1 Light - Accent 4"/>
    <w:basedOn w:val="31"/>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57">
    <w:name w:val="List Table 1 Light - Accent 5"/>
    <w:basedOn w:val="31"/>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58">
    <w:name w:val="List Table 1 Light - Accent 6"/>
    <w:basedOn w:val="31"/>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59">
    <w:name w:val="清单表 21"/>
    <w:basedOn w:val="3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basedOn w:val="31"/>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1">
    <w:name w:val="List Table 2 - Accent 2"/>
    <w:basedOn w:val="31"/>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2">
    <w:name w:val="List Table 2 - Accent 3"/>
    <w:basedOn w:val="31"/>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3">
    <w:name w:val="List Table 2 - Accent 4"/>
    <w:basedOn w:val="31"/>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4">
    <w:name w:val="List Table 2 - Accent 5"/>
    <w:basedOn w:val="31"/>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5">
    <w:name w:val="List Table 2 - Accent 6"/>
    <w:basedOn w:val="31"/>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6">
    <w:name w:val="清单表 3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basedOn w:val="31"/>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68">
    <w:name w:val="List Table 3 - Accent 2"/>
    <w:basedOn w:val="31"/>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69">
    <w:name w:val="List Table 3 - Accent 3"/>
    <w:basedOn w:val="31"/>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0">
    <w:name w:val="List Table 3 - Accent 4"/>
    <w:basedOn w:val="31"/>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71">
    <w:name w:val="List Table 3 - Accent 5"/>
    <w:basedOn w:val="31"/>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72">
    <w:name w:val="List Table 3 - Accent 6"/>
    <w:basedOn w:val="31"/>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73">
    <w:name w:val="清单表 4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basedOn w:val="31"/>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5">
    <w:name w:val="List Table 4 - Accent 2"/>
    <w:basedOn w:val="31"/>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76">
    <w:name w:val="List Table 4 - Accent 3"/>
    <w:basedOn w:val="31"/>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77">
    <w:name w:val="List Table 4 - Accent 4"/>
    <w:basedOn w:val="31"/>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8">
    <w:name w:val="List Table 4 - Accent 5"/>
    <w:basedOn w:val="31"/>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9">
    <w:name w:val="List Table 4 - Accent 6"/>
    <w:basedOn w:val="31"/>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0">
    <w:name w:val="清单表 5 深色1"/>
    <w:basedOn w:val="3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basedOn w:val="31"/>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82">
    <w:name w:val="List Table 5 Dark - Accent 2"/>
    <w:basedOn w:val="31"/>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83">
    <w:name w:val="List Table 5 Dark - Accent 3"/>
    <w:basedOn w:val="31"/>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4">
    <w:name w:val="List Table 5 Dark - Accent 4"/>
    <w:basedOn w:val="31"/>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5">
    <w:name w:val="List Table 5 Dark - Accent 5"/>
    <w:basedOn w:val="31"/>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86">
    <w:name w:val="List Table 5 Dark - Accent 6"/>
    <w:basedOn w:val="31"/>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87">
    <w:name w:val="清单表 6 彩色1"/>
    <w:basedOn w:val="3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basedOn w:val="31"/>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89">
    <w:name w:val="List Table 6 Colorful - Accent 2"/>
    <w:basedOn w:val="31"/>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31"/>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31"/>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31"/>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31"/>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4">
    <w:name w:val="清单表 7 彩色1"/>
    <w:basedOn w:val="3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basedOn w:val="31"/>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6">
    <w:name w:val="List Table 7 Colorful - Accent 2"/>
    <w:basedOn w:val="31"/>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31"/>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31"/>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31"/>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31"/>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3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31"/>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3">
    <w:name w:val="Lined - Accent 2"/>
    <w:basedOn w:val="31"/>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4">
    <w:name w:val="Lined - Accent 3"/>
    <w:basedOn w:val="31"/>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5">
    <w:name w:val="Lined - Accent 4"/>
    <w:basedOn w:val="31"/>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6">
    <w:name w:val="Lined - Accent 5"/>
    <w:basedOn w:val="31"/>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7">
    <w:name w:val="Lined - Accent 6"/>
    <w:basedOn w:val="31"/>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8">
    <w:name w:val="Bordered &amp; Lined - Accent"/>
    <w:basedOn w:val="3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31"/>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0">
    <w:name w:val="Bordered &amp; Lined - Accent 2"/>
    <w:basedOn w:val="31"/>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1">
    <w:name w:val="Bordered &amp; Lined - Accent 3"/>
    <w:basedOn w:val="31"/>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2">
    <w:name w:val="Bordered &amp; Lined - Accent 4"/>
    <w:basedOn w:val="31"/>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3">
    <w:name w:val="Bordered &amp; Lined - Accent 5"/>
    <w:basedOn w:val="31"/>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4">
    <w:name w:val="Bordered &amp; Lined - Accent 6"/>
    <w:basedOn w:val="31"/>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5">
    <w:name w:val="Bordered"/>
    <w:basedOn w:val="3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31"/>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17">
    <w:name w:val="Bordered - Accent 2"/>
    <w:basedOn w:val="31"/>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18">
    <w:name w:val="Bordered - Accent 3"/>
    <w:basedOn w:val="31"/>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19">
    <w:name w:val="Bordered - Accent 4"/>
    <w:basedOn w:val="31"/>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0">
    <w:name w:val="Bordered - Accent 5"/>
    <w:basedOn w:val="31"/>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21">
    <w:name w:val="Bordered - Accent 6"/>
    <w:basedOn w:val="31"/>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22">
    <w:name w:val="脚注文本 字符"/>
    <w:link w:val="25"/>
    <w:qFormat/>
    <w:uiPriority w:val="99"/>
    <w:rPr>
      <w:sz w:val="18"/>
    </w:rPr>
  </w:style>
  <w:style w:type="character" w:customStyle="1" w:styleId="223">
    <w:name w:val="尾注文本 字符"/>
    <w:link w:val="19"/>
    <w:qFormat/>
    <w:uiPriority w:val="99"/>
    <w:rPr>
      <w:sz w:val="20"/>
    </w:rPr>
  </w:style>
  <w:style w:type="paragraph" w:customStyle="1" w:styleId="224">
    <w:name w:val="TOC 标题1"/>
    <w:unhideWhenUsed/>
    <w:qFormat/>
    <w:uiPriority w:val="39"/>
    <w:rPr>
      <w:rFonts w:hint="default" w:asciiTheme="minorHAnsi" w:hAnsiTheme="minorHAnsi" w:eastAsiaTheme="minorEastAsia" w:cstheme="minorBidi"/>
      <w:lang w:val="en-US" w:eastAsia="zh-CN" w:bidi="ar-SA"/>
    </w:rPr>
  </w:style>
  <w:style w:type="paragraph" w:customStyle="1" w:styleId="225">
    <w:name w:val="普通正文"/>
    <w:basedOn w:val="1"/>
    <w:qFormat/>
    <w:uiPriority w:val="0"/>
    <w:pPr>
      <w:spacing w:before="120" w:after="120" w:line="360" w:lineRule="auto"/>
      <w:ind w:firstLine="480"/>
      <w:jc w:val="left"/>
    </w:pPr>
    <w:rPr>
      <w:rFonts w:ascii="Arial" w:hAnsi="Arial"/>
      <w:sz w:val="24"/>
    </w:rPr>
  </w:style>
  <w:style w:type="character" w:customStyle="1" w:styleId="226">
    <w:name w:val="font11"/>
    <w:basedOn w:val="33"/>
    <w:qFormat/>
    <w:uiPriority w:val="0"/>
    <w:rPr>
      <w:rFonts w:hint="default" w:ascii="Calibri" w:hAnsi="Calibri" w:eastAsia="宋体" w:cs="Times New Roman"/>
      <w:sz w:val="21"/>
      <w:szCs w:val="24"/>
      <w:lang w:val="en-US" w:eastAsia="zh-CN" w:bidi="ar-SA"/>
    </w:rPr>
  </w:style>
  <w:style w:type="paragraph" w:customStyle="1" w:styleId="227">
    <w:name w:val="段_0"/>
    <w:next w:val="228"/>
    <w:qFormat/>
    <w:uiPriority w:val="0"/>
    <w:pPr>
      <w:ind w:firstLine="200"/>
      <w:jc w:val="both"/>
    </w:pPr>
    <w:rPr>
      <w:rFonts w:hint="default" w:ascii="宋体" w:hAnsi="Times New Roman" w:eastAsia="宋体" w:cs="Times New Roman"/>
      <w:sz w:val="21"/>
      <w:lang w:val="en-US" w:eastAsia="zh-CN" w:bidi="ar-SA"/>
    </w:rPr>
  </w:style>
  <w:style w:type="paragraph" w:customStyle="1" w:styleId="228">
    <w:name w:val="Normal_19_1"/>
    <w:next w:val="227"/>
    <w:link w:val="240"/>
    <w:qFormat/>
    <w:uiPriority w:val="0"/>
    <w:rPr>
      <w:rFonts w:hint="default" w:ascii="黑体" w:hAnsi="黑体" w:eastAsia="黑体" w:cs="Times New Roman"/>
      <w:b/>
      <w:sz w:val="32"/>
      <w:szCs w:val="24"/>
      <w:lang w:val="en-US" w:eastAsia="zh-CN" w:bidi="ar-SA"/>
    </w:rPr>
  </w:style>
  <w:style w:type="paragraph" w:customStyle="1" w:styleId="229">
    <w:name w:val="Normal_19"/>
    <w:next w:val="230"/>
    <w:qFormat/>
    <w:uiPriority w:val="0"/>
    <w:rPr>
      <w:rFonts w:hint="default" w:ascii="Times New Roman" w:hAnsi="Times New Roman" w:eastAsia="Times New Roman" w:cs="Times New Roman"/>
      <w:sz w:val="24"/>
      <w:szCs w:val="24"/>
      <w:lang w:val="en-US" w:eastAsia="zh-CN" w:bidi="ar-SA"/>
    </w:rPr>
  </w:style>
  <w:style w:type="paragraph" w:customStyle="1" w:styleId="230">
    <w:name w:val="Heading 1"/>
    <w:basedOn w:val="229"/>
    <w:next w:val="229"/>
    <w:qFormat/>
    <w:uiPriority w:val="0"/>
    <w:pPr>
      <w:keepNext/>
      <w:keepLines/>
      <w:spacing w:before="340" w:after="330" w:line="576" w:lineRule="auto"/>
      <w:outlineLvl w:val="0"/>
    </w:pPr>
    <w:rPr>
      <w:rFonts w:ascii="Times New Roman" w:hAnsi="Times New Roman"/>
      <w:b/>
      <w:sz w:val="44"/>
      <w:szCs w:val="20"/>
    </w:rPr>
  </w:style>
  <w:style w:type="paragraph" w:customStyle="1" w:styleId="231">
    <w:name w:val="标题 11"/>
    <w:basedOn w:val="229"/>
    <w:next w:val="229"/>
    <w:qFormat/>
    <w:uiPriority w:val="0"/>
    <w:pPr>
      <w:keepNext/>
      <w:keepLines/>
      <w:spacing w:before="340" w:after="330" w:line="576" w:lineRule="auto"/>
      <w:outlineLvl w:val="0"/>
    </w:pPr>
    <w:rPr>
      <w:b/>
      <w:sz w:val="44"/>
      <w:szCs w:val="20"/>
    </w:rPr>
  </w:style>
  <w:style w:type="paragraph" w:customStyle="1" w:styleId="232">
    <w:name w:val="列出段落1"/>
    <w:basedOn w:val="1"/>
    <w:qFormat/>
    <w:uiPriority w:val="0"/>
    <w:pPr>
      <w:ind w:firstLine="200"/>
    </w:pPr>
  </w:style>
  <w:style w:type="paragraph" w:customStyle="1" w:styleId="23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4">
    <w:name w:val="列表段落1"/>
    <w:basedOn w:val="1"/>
    <w:qFormat/>
    <w:uiPriority w:val="99"/>
    <w:pPr>
      <w:ind w:firstLine="420"/>
    </w:pPr>
    <w:rPr>
      <w:rFonts w:ascii="Times New Roman" w:hAnsi="Times New Roman"/>
      <w:szCs w:val="20"/>
    </w:rPr>
  </w:style>
  <w:style w:type="paragraph" w:customStyle="1" w:styleId="235">
    <w:name w:val="纯文本1"/>
    <w:basedOn w:val="1"/>
    <w:qFormat/>
    <w:uiPriority w:val="0"/>
    <w:rPr>
      <w:rFonts w:ascii="Ari"/>
      <w:sz w:val="20"/>
      <w:szCs w:val="20"/>
    </w:rPr>
  </w:style>
  <w:style w:type="paragraph" w:customStyle="1" w:styleId="236">
    <w:name w:val="正文缩进1"/>
    <w:basedOn w:val="1"/>
    <w:next w:val="1"/>
    <w:qFormat/>
    <w:uiPriority w:val="0"/>
    <w:pPr>
      <w:ind w:firstLine="420"/>
      <w:jc w:val="left"/>
    </w:pPr>
    <w:rPr>
      <w:rFonts w:ascii="宋体" w:hAnsiTheme="minorHAnsi" w:eastAsiaTheme="minorEastAsia" w:cstheme="minorBidi"/>
      <w:sz w:val="24"/>
    </w:rPr>
  </w:style>
  <w:style w:type="paragraph" w:customStyle="1" w:styleId="237">
    <w:name w:val="纯文本11"/>
    <w:basedOn w:val="1"/>
    <w:qFormat/>
    <w:uiPriority w:val="99"/>
    <w:rPr>
      <w:rFonts w:ascii="宋体" w:hAnsi="Courier New"/>
      <w:sz w:val="20"/>
      <w:szCs w:val="21"/>
    </w:rPr>
  </w:style>
  <w:style w:type="character" w:customStyle="1" w:styleId="238">
    <w:name w:val="font41"/>
    <w:basedOn w:val="33"/>
    <w:qFormat/>
    <w:uiPriority w:val="0"/>
    <w:rPr>
      <w:rFonts w:hint="eastAsia" w:ascii="仿宋" w:hAnsi="仿宋" w:eastAsia="仿宋" w:cs="仿宋"/>
      <w:color w:val="000000"/>
      <w:sz w:val="18"/>
      <w:szCs w:val="18"/>
      <w:u w:val="none"/>
    </w:rPr>
  </w:style>
  <w:style w:type="character" w:customStyle="1" w:styleId="239">
    <w:name w:val="font61"/>
    <w:basedOn w:val="33"/>
    <w:qFormat/>
    <w:uiPriority w:val="0"/>
    <w:rPr>
      <w:rFonts w:hint="eastAsia" w:ascii="仿宋" w:hAnsi="仿宋" w:eastAsia="仿宋" w:cs="仿宋"/>
      <w:color w:val="000000"/>
      <w:sz w:val="20"/>
      <w:szCs w:val="20"/>
      <w:u w:val="none"/>
    </w:rPr>
  </w:style>
  <w:style w:type="character" w:customStyle="1" w:styleId="240">
    <w:name w:val="Normal_19_1 Char"/>
    <w:link w:val="228"/>
    <w:qFormat/>
    <w:uiPriority w:val="0"/>
    <w:rPr>
      <w:rFonts w:ascii="黑体" w:hAnsi="黑体" w:eastAsia="黑体" w:cs="Times New Roman"/>
      <w:b/>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195cb74e-51eb-46a5-9aa8-768617ec39fa</errorID>
      <errorWord>(</errorWord>
      <group>L1_Format</group>
      <groupName>格式问题</groupName>
      <ability>L2_HalfPunc_CN</ability>
      <abilityName>全半角问题</abilityName>
      <candidateList>
        <item>（</item>
      </candidateList>
      <explain>文本全半角错误。</explain>
      <paraID>168C23ED</paraID>
      <start>63</start>
      <end>64</end>
      <status>unmodified</status>
      <modifiedWord/>
      <trackRevisions>false</trackRevisions>
    </reviewItem>
    <reviewItem>
      <errorID>5bf60dbe-9254-4a1b-bb39-f9e96c1dbf93</errorID>
      <errorWord>)</errorWord>
      <group>L1_Format</group>
      <groupName>格式问题</groupName>
      <ability>L2_HalfPunc_CN</ability>
      <abilityName>全半角问题</abilityName>
      <candidateList>
        <item>）</item>
      </candidateList>
      <explain>文本全半角错误。</explain>
      <paraID>168C23ED</paraID>
      <start>91</start>
      <end>92</end>
      <status>unmodified</status>
      <modifiedWord/>
      <trackRevisions>false</trackRevisions>
    </reviewItem>
    <reviewItem>
      <errorID>ea0a8303-0eff-4ebe-b662-05fc28b89eaf</errorID>
      <errorWord>-</errorWord>
      <group>L1_Word</group>
      <groupName>字词问题</groupName>
      <ability>L2_Typo</ability>
      <abilityName>字词错误</abilityName>
      <candidateList>
        <item>年</item>
      </candidateList>
      <explain/>
      <paraID> BDC309C</paraID>
      <start>111</start>
      <end>112</end>
      <status>unmodified</status>
      <modifiedWord/>
      <trackRevisions>false</trackRevisions>
    </reviewItem>
    <reviewItem>
      <errorID>bd511849-4c9a-4a1d-84e6-c6772bf20fed</errorID>
      <errorWord>-05-</errorWord>
      <group>L1_Word</group>
      <groupName>字词问题</groupName>
      <ability>L2_Typo</ability>
      <abilityName>字词错误</abilityName>
      <candidateList>
        <item>月5日</item>
      </candidateList>
      <explain/>
      <paraID> BDC309C</paraID>
      <start>114</start>
      <end>118</end>
      <status>unmodified</status>
      <modifiedWord/>
      <trackRevisions>false</trackRevisions>
    </reviewItem>
    <reviewItem>
      <errorID>9755be0f-f765-4848-b744-445abef635ce</errorID>
      <errorWord>“.</errorWord>
      <group>L1_Punc</group>
      <groupName>标点问题</groupName>
      <ability>L2_Punc_CN</ability>
      <abilityName>标点符号问题</abilityName>
      <candidateList>
        <item>“</item>
      </candidateList>
      <explain/>
      <paraID>4BD04644</paraID>
      <start>131</start>
      <end>133</end>
      <status>unmodified</status>
      <modifiedWord/>
      <trackRevisions>false</trackRevisions>
    </reviewItem>
    <reviewItem>
      <errorID>550b01e4-62c0-4112-8f14-8c6dfe4480c6</errorID>
      <errorWord>2026年11月05日</errorWord>
      <group>L1_Knowledge</group>
      <groupName>知识性问题</groupName>
      <ability>L2_Time</ability>
      <abilityName>日期时间</abilityName>
      <candidateList>
        <item>2026年11月5日</item>
      </candidateList>
      <explain>根据日常书写习惯，日期一般会省略前导零。</explain>
      <paraID>3C78894B</paraID>
      <start>18</start>
      <end>29</end>
      <status>unmodified</status>
      <modifiedWord/>
      <trackRevisions>false</trackRevisions>
    </reviewItem>
    <reviewItem>
      <errorID>6c64b055-7933-4e28-bee4-4d144b812efe</errorID>
      <errorWord>点30分</errorWord>
      <group>L1_Word</group>
      <groupName>字词问题</groupName>
      <ability>L2_Typo</ability>
      <abilityName>字词错误</abilityName>
      <candidateList>
        <item>:30</item>
      </candidateList>
      <explain/>
      <paraID>3C78894B</paraID>
      <start>31</start>
      <end>35</end>
      <status>unmodified</status>
      <modifiedWord/>
      <trackRevisions>false</trackRevisions>
    </reviewItem>
    <reviewItem>
      <errorID>998dedc1-c345-43cc-be71-5273a4f32b5d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3C1D799E</paraID>
      <start>0</start>
      <end>2</end>
      <status>unmodified</status>
      <modifiedWord/>
      <trackRevisions>false</trackRevisions>
    </reviewItem>
    <reviewItem>
      <errorID>45c3c92c-29c8-42f0-a889-9f0bf8f5d442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396EC65</paraID>
      <start>0</start>
      <end>2</end>
      <status>unmodified</status>
      <modifiedWord/>
      <trackRevisions>false</trackRevisions>
    </reviewItem>
    <reviewItem>
      <errorID>d6715a09-950f-44ec-9aeb-78970ff8e1a1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4DFD06DF</paraID>
      <start>0</start>
      <end>2</end>
      <status>unmodified</status>
      <modifiedWord/>
      <trackRevisions>false</trackRevisions>
    </reviewItem>
    <reviewItem>
      <errorID>7628ecc8-8680-4b1e-9b11-edb0f95838e1</errorID>
      <errorWord>法律、法规</errorWord>
      <group>L1_Word</group>
      <groupName>字词问题</groupName>
      <ability>L2_Typo</ability>
      <abilityName>字词错误</abilityName>
      <candidateList>
        <item>法律法规</item>
      </candidateList>
      <explain/>
      <paraID>67F17AAD</paraID>
      <start>27</start>
      <end>32</end>
      <status>unmodified</status>
      <modifiedWord/>
      <trackRevisions>false</trackRevisions>
    </reviewItem>
    <reviewItem>
      <errorID>54be1b89-c452-4e91-8db5-809506f06ace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18BA716F</paraID>
      <start>0</start>
      <end>2</end>
      <status>unmodified</status>
      <modifiedWord/>
      <trackRevisions>false</trackRevisions>
    </reviewItem>
    <reviewItem>
      <errorID>f515c70b-a34e-4a95-b6ec-ea2998b9607b</errorID>
      <errorWord> </errorWord>
      <group>L1_Punc</group>
      <groupName>标点问题</groupName>
      <ability>L2_Punc_CN</ability>
      <abilityName>标点符号问题</abilityName>
      <candidateList>
        <item/>
      </candidateList>
      <explain>此处空格冗余，建议删除。</explain>
      <paraID>4B00B1C9</paraID>
      <start>19</start>
      <end>20</end>
      <status>unmodified</status>
      <modifiedWord/>
      <trackRevisions>false</trackRevisions>
    </reviewItem>
    <reviewItem>
      <errorID>06db1c51-6bcc-4614-85c6-257e00ffeb84</errorID>
      <errorWord>[2002]1980号</errorWord>
      <group>L1_Knowledge</group>
      <groupName>知识性问题</groupName>
      <ability>L2_Knowledge</ability>
      <abilityName>其他知识</abilityName>
      <candidateList>
        <item>〔2002〕1980号</item>
      </candidateList>
      <explain>发文字号格式错误。</explain>
      <paraID>2E86CBD9</paraID>
      <start>25</start>
      <end>36</end>
      <status>unmodified</status>
      <modifiedWord/>
      <trackRevisions>false</trackRevisions>
    </reviewItem>
    <reviewItem>
      <errorID>2f275c80-2810-42dc-82fe-9aed19941ae3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5BE923E3</paraID>
      <start>0</start>
      <end>2</end>
      <status>unmodified</status>
      <modifiedWord/>
      <trackRevisions>false</trackRevisions>
    </reviewItem>
    <reviewItem>
      <errorID>31f34274-b586-4417-9d61-c4aa93d31c23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40293910</paraID>
      <start>0</start>
      <end>2</end>
      <status>unmodified</status>
      <modifiedWord/>
      <trackRevisions>false</trackRevisions>
    </reviewItem>
    <reviewItem>
      <errorID>170c509a-54b5-4c61-ba66-f075341a82c3</errorID>
      <errorWord>1</errorWord>
      <group>L1_Punc</group>
      <groupName>标点问题</groupName>
      <ability>L2_Punc_CN</ability>
      <abilityName>标点符号问题</abilityName>
      <candidateList>
        <item>1。</item>
      </candidateList>
      <explain/>
      <paraID> B87CDA7</paraID>
      <start>19</start>
      <end>20</end>
      <status>unmodified</status>
      <modifiedWord/>
      <trackRevisions>false</trackRevisions>
    </reviewItem>
    <reviewItem>
      <errorID>587f547a-ffd9-47cd-9676-8d754ef70f97</errorID>
      <errorWord>(</errorWord>
      <group>L1_Format</group>
      <groupName>格式问题</groupName>
      <ability>L2_HalfPunc_CN</ability>
      <abilityName>全半角问题</abilityName>
      <candidateList>
        <item>（</item>
      </candidateList>
      <explain>文本全半角错误。</explain>
      <paraID>4257D464</paraID>
      <start>94</start>
      <end>95</end>
      <status>unmodified</status>
      <modifiedWord/>
      <trackRevisions>false</trackRevisions>
    </reviewItem>
    <reviewItem>
      <errorID>eeda2450-3f66-4ec9-8752-1aefc7ba40e3</errorID>
      <errorWord>)</errorWord>
      <group>L1_Format</group>
      <groupName>格式问题</groupName>
      <ability>L2_HalfPunc_CN</ability>
      <abilityName>全半角问题</abilityName>
      <candidateList>
        <item>）</item>
      </candidateList>
      <explain>文本全半角错误。</explain>
      <paraID>4257D464</paraID>
      <start>104</start>
      <end>105</end>
      <status>unmodified</status>
      <modifiedWord/>
      <trackRevisions>false</trackRevisions>
    </reviewItem>
    <reviewItem>
      <errorID>147f5255-6c5b-4e12-9c90-adca765cdabe</errorID>
      <errorWord>（</errorWord>
      <group>L1_Word</group>
      <groupName>字词问题</groupName>
      <ability>L2_Typo</ability>
      <abilityName>字词错误</abilityName>
      <candidateList>
        <item>（在</item>
      </candidateList>
      <explain/>
      <paraID>4257D464</paraID>
      <start>119</start>
      <end>120</end>
      <status>unmodified</status>
      <modifiedWord/>
      <trackRevisions>false</trackRevisions>
    </reviewItem>
    <reviewItem>
      <errorID>edb93f61-1129-474b-b70b-69f7a3a63c6f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53CA6A67</paraID>
      <start>179</start>
      <end>182</end>
      <status>unmodified</status>
      <modifiedWord/>
      <trackRevisions>false</trackRevisions>
    </reviewItem>
    <reviewItem>
      <errorID>26920637-2208-43a0-b32e-4ba68203aa8a</errorID>
      <errorWord>。</errorWord>
      <group>L1_Punc</group>
      <groupName>标点问题</groupName>
      <ability>L2_Punc_CN</ability>
      <abilityName>标点符号问题</abilityName>
      <candidateList>
        <item/>
      </candidateList>
      <explain/>
      <paraID>53CA6A67</paraID>
      <start>193</start>
      <end>194</end>
      <status>unmodified</status>
      <modifiedWord/>
      <trackRevisions>false</trackRevisions>
    </reviewItem>
    <reviewItem>
      <errorID>2dabbd01-8e1c-4a02-866f-ec2fc80bbbee</errorID>
      <errorWord>》</errorWord>
      <group>L1_Word</group>
      <groupName>字词问题</groupName>
      <ability>L2_Typo</ability>
      <abilityName>字词错误</abilityName>
      <candidateList>
        <item>》和</item>
      </candidateList>
      <explain/>
      <paraID>29E13653</paraID>
      <start>25</start>
      <end>26</end>
      <status>unmodified</status>
      <modifiedWord/>
      <trackRevisions>false</trackRevisions>
    </reviewItem>
    <reviewItem>
      <errorID>db490886-0dd4-46be-8786-7bb8ca90e5c7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58D24E61</paraID>
      <start>46</start>
      <end>47</end>
      <status>unmodified</status>
      <modifiedWord/>
      <trackRevisions>false</trackRevisions>
    </reviewItem>
    <reviewItem>
      <errorID>3941ff83-ecd2-40b2-a5f3-5870f037cfa1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577DBE15</paraID>
      <start>0</start>
      <end>2</end>
      <status>unmodified</status>
      <modifiedWord/>
      <trackRevisions>false</trackRevisions>
    </reviewItem>
    <reviewItem>
      <errorID>683c770b-3df5-4882-aa15-2448d5a9e56d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14B86163</paraID>
      <start>0</start>
      <end>2</end>
      <status>unmodified</status>
      <modifiedWord/>
      <trackRevisions>false</trackRevisions>
    </reviewItem>
    <reviewItem>
      <errorID>8e0ac49c-b08c-4823-9e77-c2f941e35b98</errorID>
      <errorWord>子</errorWord>
      <group>L1_Word</group>
      <groupName>字词问题</groupName>
      <ability>L2_Typo</ability>
      <abilityName>字词错误</abilityName>
      <candidateList>
        <item>子文</item>
      </candidateList>
      <explain/>
      <paraID>28CAD3DE</paraID>
      <start>161</start>
      <end>162</end>
      <status>unmodified</status>
      <modifiedWord/>
      <trackRevisions>false</trackRevisions>
    </reviewItem>
    <reviewItem>
      <errorID>c697e798-4a4b-4da4-86dd-681faaccadfa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3B42B5CA</paraID>
      <start>0</start>
      <end>3</end>
      <status>unmodified</status>
      <modifiedWord/>
      <trackRevisions>false</trackRevisions>
    </reviewItem>
    <reviewItem>
      <errorID>d86505b9-3631-4c24-b272-145a9edb482b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4740C34C</paraID>
      <start>0</start>
      <end>3</end>
      <status>unmodified</status>
      <modifiedWord/>
      <trackRevisions>false</trackRevisions>
    </reviewItem>
    <reviewItem>
      <errorID>f8d140f8-8e0c-4246-b92a-a3d9ab3cab72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51566FAC</paraID>
      <start>0</start>
      <end>3</end>
      <status>unmodified</status>
      <modifiedWord/>
      <trackRevisions>false</trackRevisions>
    </reviewItem>
    <reviewItem>
      <errorID>6ad1eaff-396d-4e7e-b0d6-01286343f4aa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38721E57</paraID>
      <start>0</start>
      <end>3</end>
      <status>unmodified</status>
      <modifiedWord/>
      <trackRevisions>false</trackRevisions>
    </reviewItem>
    <reviewItem>
      <errorID>f878daa2-ed3e-4961-9d2d-40ae36b08525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24B9AD86</paraID>
      <start>0</start>
      <end>3</end>
      <status>unmodified</status>
      <modifiedWord/>
      <trackRevisions>false</trackRevisions>
    </reviewItem>
    <reviewItem>
      <errorID>aaf96ed9-7bb1-48b8-a9e7-af95e2eb7366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14092A4F</paraID>
      <start>0</start>
      <end>3</end>
      <status>unmodified</status>
      <modifiedWord/>
      <trackRevisions>false</trackRevisions>
    </reviewItem>
    <reviewItem>
      <errorID>091d5a73-7230-4f42-a14a-6ddd39ac400a</errorID>
      <errorWord>保持通讯畅通</errorWord>
      <group>L1_Word</group>
      <groupName>字词问题</groupName>
      <ability>L2_Typo</ability>
      <abilityName>字词错误</abilityName>
      <candidateList>
        <item>保持通信畅通</item>
      </candidateList>
      <explain/>
      <paraID>636FE88D</paraID>
      <start>17</start>
      <end>23</end>
      <status>unmodified</status>
      <modifiedWord/>
      <trackRevisions>false</trackRevisions>
    </reviewItem>
    <reviewItem>
      <errorID>e32ac8e3-b73d-4a1d-b7d0-5da656a6bfe1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7EC4427F</paraID>
      <start>0</start>
      <end>3</end>
      <status>unmodified</status>
      <modifiedWord/>
      <trackRevisions>false</trackRevisions>
    </reviewItem>
    <reviewItem>
      <errorID>d8d78a1f-efbd-4d93-b9f4-37abe52648e4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392F1CE2</paraID>
      <start>0</start>
      <end>3</end>
      <status>unmodified</status>
      <modifiedWord/>
      <trackRevisions>false</trackRevisions>
    </reviewItem>
    <reviewItem>
      <errorID>4a269d51-835e-4adb-bdae-4a6f0e9f0c2e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64AD06A4</paraID>
      <start>50</start>
      <end>51</end>
      <status>unmodified</status>
      <modifiedWord/>
      <trackRevisions>false</trackRevisions>
    </reviewItem>
    <reviewItem>
      <errorID>e1d8e77c-bd1e-4abb-bd7f-1b0669bb07f5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5BD2CBD8</paraID>
      <start>50</start>
      <end>51</end>
      <status>unmodified</status>
      <modifiedWord/>
      <trackRevisions>false</trackRevisions>
    </reviewItem>
    <reviewItem>
      <errorID>1d4d1e45-7f2a-4cc5-adad-7ca3dd918565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6211B377</paraID>
      <start>35</start>
      <end>36</end>
      <status>unmodified</status>
      <modifiedWord/>
      <trackRevisions>false</trackRevisions>
    </reviewItem>
    <reviewItem>
      <errorID>6cee8f0e-4126-4bc4-a267-8abe5f3b197c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3F129CBE</paraID>
      <start>0</start>
      <end>3</end>
      <status>unmodified</status>
      <modifiedWord/>
      <trackRevisions>false</trackRevisions>
    </reviewItem>
    <reviewItem>
      <errorID>d5041da4-2251-4947-bd41-62ca0dbfc2af</errorID>
      <errorWord>法律、法规</errorWord>
      <group>L1_Word</group>
      <groupName>字词问题</groupName>
      <ability>L2_Typo</ability>
      <abilityName>字词错误</abilityName>
      <candidateList>
        <item>法律法规</item>
      </candidateList>
      <explain/>
      <paraID>735E0EA3</paraID>
      <start>7</start>
      <end>12</end>
      <status>unmodified</status>
      <modifiedWord/>
      <trackRevisions>false</trackRevisions>
    </reviewItem>
    <reviewItem>
      <errorID>bd16401d-f818-45e3-88f8-9781e68785f9</errorID>
      <errorWord>属</errorWord>
      <group>L1_Word</group>
      <groupName>字词问题</groupName>
      <ability>L2_Typo</ability>
      <abilityName>字词错误</abilityName>
      <candidateList>
        <item>属于</item>
      </candidateList>
      <explain/>
      <paraID>735E0EA3</paraID>
      <start>21</start>
      <end>22</end>
      <status>unmodified</status>
      <modifiedWord/>
      <trackRevisions>false</trackRevisions>
    </reviewItem>
    <reviewItem>
      <errorID>05588baf-fadb-4fdf-bb19-1373e225fc17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73EC4B68</paraID>
      <start>0</start>
      <end>3</end>
      <status>unmodified</status>
      <modifiedWord/>
      <trackRevisions>false</trackRevisions>
    </reviewItem>
    <reviewItem>
      <errorID>4273a85c-1708-4907-ac42-af7c14d305af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6EFD590D</paraID>
      <start>0</start>
      <end>3</end>
      <status>unmodified</status>
      <modifiedWord/>
      <trackRevisions>false</trackRevisions>
    </reviewItem>
    <reviewItem>
      <errorID>8bf3fcaf-3eef-4386-94c5-2ff0dbfe6f63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55F5E3AF</paraID>
      <start>0</start>
      <end>3</end>
      <status>unmodified</status>
      <modifiedWord/>
      <trackRevisions>false</trackRevisions>
    </reviewItem>
    <reviewItem>
      <errorID>3937f468-cc05-4750-bde6-2f43a495d9c8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43DCB6DF</paraID>
      <start>0</start>
      <end>3</end>
      <status>unmodified</status>
      <modifiedWord/>
      <trackRevisions>false</trackRevisions>
    </reviewItem>
    <reviewItem>
      <errorID>b9e7449e-7251-4843-ae8c-74cbcdf2dd4c</errorID>
      <errorWord>法律、法规</errorWord>
      <group>L1_Word</group>
      <groupName>字词问题</groupName>
      <ability>L2_Typo</ability>
      <abilityName>字词错误</abilityName>
      <candidateList>
        <item>法律法规</item>
      </candidateList>
      <explain/>
      <paraID>6A24F569</paraID>
      <start>4</start>
      <end>9</end>
      <status>unmodified</status>
      <modifiedWord/>
      <trackRevisions>false</trackRevisions>
    </reviewItem>
    <reviewItem>
      <errorID>344eca3f-f7c5-4c8e-acd7-40b81db38bb8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4FE4DF58</paraID>
      <start>0</start>
      <end>3</end>
      <status>unmodified</status>
      <modifiedWord/>
      <trackRevisions>false</trackRevisions>
    </reviewItem>
    <reviewItem>
      <errorID>9c3ee873-7405-40aa-91c9-bde7ea618b7f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535C47AA</paraID>
      <start>0</start>
      <end>3</end>
      <status>unmodified</status>
      <modifiedWord/>
      <trackRevisions>false</trackRevisions>
    </reviewItem>
    <reviewItem>
      <errorID>6ed9ae6d-c0ef-4a31-b015-da2a19bd30d1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66BB937F</paraID>
      <start>0</start>
      <end>3</end>
      <status>unmodified</status>
      <modifiedWord/>
      <trackRevisions>false</trackRevisions>
    </reviewItem>
    <reviewItem>
      <errorID>5909d4ab-e2d4-435b-834d-1b6dff2c0f43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4B0D1E42</paraID>
      <start>0</start>
      <end>3</end>
      <status>unmodified</status>
      <modifiedWord/>
      <trackRevisions>false</trackRevisions>
    </reviewItem>
    <reviewItem>
      <errorID>f9f46eaf-7379-4bfd-bb2b-b2478bde70fb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54D2D80B</paraID>
      <start>0</start>
      <end>3</end>
      <status>unmodified</status>
      <modifiedWord/>
      <trackRevisions>false</trackRevisions>
    </reviewItem>
    <reviewItem>
      <errorID>f114392c-1824-42f0-841f-3542caf7ae96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6845DC17</paraID>
      <start>0</start>
      <end>3</end>
      <status>unmodified</status>
      <modifiedWord/>
      <trackRevisions>false</trackRevisions>
    </reviewItem>
    <reviewItem>
      <errorID>2c04c5c3-8a36-48d7-81ee-61cbd0242067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1716DEEB</paraID>
      <start>0</start>
      <end>3</end>
      <status>unmodified</status>
      <modifiedWord/>
      <trackRevisions>false</trackRevisions>
    </reviewItem>
    <reviewItem>
      <errorID>45879e6a-cd01-4b7f-a471-6c6d28bef832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62B59B62</paraID>
      <start>0</start>
      <end>3</end>
      <status>unmodified</status>
      <modifiedWord/>
      <trackRevisions>false</trackRevisions>
    </reviewItem>
    <reviewItem>
      <errorID>9a2fba50-72bd-433e-99fb-f1d51e4aa0ef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4B8CEC80</paraID>
      <start>0</start>
      <end>2</end>
      <status>unmodified</status>
      <modifiedWord/>
      <trackRevisions>false</trackRevisions>
    </reviewItem>
    <reviewItem>
      <errorID>ba43609b-bb9f-42f5-a9e2-8607e5fc3862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242A37D4</paraID>
      <start>0</start>
      <end>2</end>
      <status>unmodified</status>
      <modifiedWord/>
      <trackRevisions>false</trackRevisions>
    </reviewItem>
    <reviewItem>
      <errorID>46d93438-6609-4613-b416-27982e63324e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4C537441</paraID>
      <start>0</start>
      <end>2</end>
      <status>unmodified</status>
      <modifiedWord/>
      <trackRevisions>false</trackRevisions>
    </reviewItem>
    <reviewItem>
      <errorID>fa5a7fe4-b770-474e-8995-a12ad6fabba8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3ED50A76</paraID>
      <start>0</start>
      <end>3</end>
      <status>unmodified</status>
      <modifiedWord/>
      <trackRevisions>false</trackRevisions>
    </reviewItem>
    <reviewItem>
      <errorID>91c18b80-615c-41a9-97da-21cb0cdca5cc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24F2DCC0</paraID>
      <start>0</start>
      <end>3</end>
      <status>unmodified</status>
      <modifiedWord/>
      <trackRevisions>false</trackRevisions>
    </reviewItem>
    <reviewItem>
      <errorID>a7909493-3661-43d5-bacf-3a7f17ad8850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1BBED9ED</paraID>
      <start>0</start>
      <end>2</end>
      <status>unmodified</status>
      <modifiedWord/>
      <trackRevisions>false</trackRevisions>
    </reviewItem>
    <reviewItem>
      <errorID>c89c6290-991a-4525-9939-40abe93248db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4ECFF1F5</paraID>
      <start>0</start>
      <end>2</end>
      <status>unmodified</status>
      <modifiedWord/>
      <trackRevisions>false</trackRevisions>
    </reviewItem>
    <reviewItem>
      <errorID>0dfd3ea3-ea57-42b1-91fd-5969f75cda89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D82D64D</paraID>
      <start>0</start>
      <end>2</end>
      <status>unmodified</status>
      <modifiedWord/>
      <trackRevisions>false</trackRevisions>
    </reviewItem>
    <reviewItem>
      <errorID>5844e7ae-f917-443e-8597-57a6a07de5f8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507B10B3</paraID>
      <start>0</start>
      <end>2</end>
      <status>unmodified</status>
      <modifiedWord/>
      <trackRevisions>false</trackRevisions>
    </reviewItem>
    <reviewItem>
      <errorID>c5c3be58-f82c-457d-af22-eba7dbbcbfc2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1E4253C5</paraID>
      <start>0</start>
      <end>2</end>
      <status>unmodified</status>
      <modifiedWord/>
      <trackRevisions>false</trackRevisions>
    </reviewItem>
    <reviewItem>
      <errorID>473e5bc8-e239-42ea-be26-f0ed2c308cba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289614DB</paraID>
      <start>0</start>
      <end>2</end>
      <status>unmodified</status>
      <modifiedWord/>
      <trackRevisions>false</trackRevisions>
    </reviewItem>
    <reviewItem>
      <errorID>c80b40a6-d144-4130-a7d2-5e88a176ebc4</errorID>
      <errorWord>,</errorWord>
      <group>L1_Format</group>
      <groupName>格式问题</groupName>
      <ability>L2_HalfPunc_CN</ability>
      <abilityName>全半角问题</abilityName>
      <candidateList>
        <item>，</item>
      </candidateList>
      <explain>文本全半角错误。</explain>
      <paraID>331AD599</paraID>
      <start>36</start>
      <end>37</end>
      <status>unmodified</status>
      <modifiedWord/>
      <trackRevisions>false</trackRevisions>
    </reviewItem>
    <reviewItem>
      <errorID>c98060ae-9864-4657-809a-ef0151b4a486</errorID>
      <errorWord>,</errorWord>
      <group>L1_Format</group>
      <groupName>格式问题</groupName>
      <ability>L2_HalfPunc_CN</ability>
      <abilityName>全半角问题</abilityName>
      <candidateList>
        <item>，</item>
      </candidateList>
      <explain>文本全半角错误。</explain>
      <paraID>331AD599</paraID>
      <start>77</start>
      <end>78</end>
      <status>unmodified</status>
      <modifiedWord/>
      <trackRevisions>false</trackRevisions>
    </reviewItem>
    <reviewItem>
      <errorID>f37eb2e5-44ea-4189-838b-932e60c9e2b3</errorID>
      <errorWord>,</errorWord>
      <group>L1_Format</group>
      <groupName>格式问题</groupName>
      <ability>L2_HalfPunc_CN</ability>
      <abilityName>全半角问题</abilityName>
      <candidateList>
        <item>，</item>
      </candidateList>
      <explain>文本全半角错误。</explain>
      <paraID>331AD599</paraID>
      <start>87</start>
      <end>88</end>
      <status>unmodified</status>
      <modifiedWord/>
      <trackRevisions>false</trackRevisions>
    </reviewItem>
    <reviewItem>
      <errorID>c1e2e751-b79f-4fd2-98a8-67cbaef7bf6e</errorID>
      <errorWord>,</errorWord>
      <group>L1_Format</group>
      <groupName>格式问题</groupName>
      <ability>L2_HalfPunc_CN</ability>
      <abilityName>全半角问题</abilityName>
      <candidateList>
        <item>，</item>
      </candidateList>
      <explain>文本全半角错误。</explain>
      <paraID>331AD599</paraID>
      <start>106</start>
      <end>107</end>
      <status>unmodified</status>
      <modifiedWord/>
      <trackRevisions>false</trackRevisions>
    </reviewItem>
    <reviewItem>
      <errorID>59c10b04-a407-43b6-9b79-5fdced1f9856</errorID>
      <errorWord>,</errorWord>
      <group>L1_Format</group>
      <groupName>格式问题</groupName>
      <ability>L2_HalfPunc_CN</ability>
      <abilityName>全半角问题</abilityName>
      <candidateList>
        <item>，</item>
      </candidateList>
      <explain>文本全半角错误。</explain>
      <paraID>19EF5D02</paraID>
      <start>9</start>
      <end>10</end>
      <status>unmodified</status>
      <modifiedWord/>
      <trackRevisions>false</trackRevisions>
    </reviewItem>
    <reviewItem>
      <errorID>27ddd78c-248d-4ef3-a7da-ec1652dbd4af</errorID>
      <errorWord>,</errorWord>
      <group>L1_Format</group>
      <groupName>格式问题</groupName>
      <ability>L2_HalfPunc_CN</ability>
      <abilityName>全半角问题</abilityName>
      <candidateList>
        <item>，</item>
      </candidateList>
      <explain>文本全半角错误。</explain>
      <paraID>19EF5D02</paraID>
      <start>114</start>
      <end>115</end>
      <status>unmodified</status>
      <modifiedWord/>
      <trackRevisions>false</trackRevisions>
    </reviewItem>
    <reviewItem>
      <errorID>f36ff7db-c8fa-4613-87af-df6d36ec83f8</errorID>
      <errorWord>,</errorWord>
      <group>L1_Format</group>
      <groupName>格式问题</groupName>
      <ability>L2_HalfPunc_CN</ability>
      <abilityName>全半角问题</abilityName>
      <candidateList>
        <item>，</item>
      </candidateList>
      <explain>文本全半角错误。</explain>
      <paraID>1FA2C66C</paraID>
      <start>20</start>
      <end>21</end>
      <status>unmodified</status>
      <modifiedWord/>
      <trackRevisions>false</trackRevisions>
    </reviewItem>
    <reviewItem>
      <errorID>68805705-6a8e-4169-9fba-732008e486eb</errorID>
      <errorWord>,</errorWord>
      <group>L1_Format</group>
      <groupName>格式问题</groupName>
      <ability>L2_HalfPunc_CN</ability>
      <abilityName>全半角问题</abilityName>
      <candidateList>
        <item>，</item>
      </candidateList>
      <explain>文本全半角错误。</explain>
      <paraID>7D2BF419</paraID>
      <start>8</start>
      <end>9</end>
      <status>unmodified</status>
      <modifiedWord/>
      <trackRevisions>false</trackRevisions>
    </reviewItem>
    <reviewItem>
      <errorID>16a532be-3692-434b-83f5-d18f9aeceb48</errorID>
      <errorWord>,</errorWord>
      <group>L1_Format</group>
      <groupName>格式问题</groupName>
      <ability>L2_HalfPunc_CN</ability>
      <abilityName>全半角问题</abilityName>
      <candidateList>
        <item>，</item>
      </candidateList>
      <explain>文本全半角错误。</explain>
      <paraID>7D2BF419</paraID>
      <start>14</start>
      <end>15</end>
      <status>unmodified</status>
      <modifiedWord/>
      <trackRevisions>false</trackRevisions>
    </reviewItem>
    <reviewItem>
      <errorID>f7a34507-bf5c-40cd-b19d-495569d3e709</errorID>
      <errorWord>其它</errorWord>
      <group>L1_Word</group>
      <groupName>字词问题</groupName>
      <ability>L2_Alias</ability>
      <abilityName>也作/曾用词</abilityName>
      <candidateList>
        <item>其他</item>
      </candidateList>
      <explain>词汇[其它]为不规范表述或旧称，其规范书面表述为[其他]。</explain>
      <paraID> C0F2750</paraID>
      <start>3</start>
      <end>5</end>
      <status>unmodified</status>
      <modifiedWord/>
      <trackRevisions>false</trackRevisions>
    </reviewItem>
    <reviewItem>
      <errorID>a5a0ebcd-ed3d-4720-be45-7abe3044bfed</errorID>
      <errorWord>-</errorWord>
      <group>L1_Format</group>
      <groupName>格式问题</groupName>
      <ability>L2_HalfPunc_CN</ability>
      <abilityName>全半角问题</abilityName>
      <candidateList>
        <item>－</item>
      </candidateList>
      <explain>文本全半角错误。</explain>
      <paraID>6046944F</paraID>
      <start>14</start>
      <end>15</end>
      <status>unmodified</status>
      <modifiedWord/>
      <trackRevisions>false</trackRevisions>
    </reviewItem>
    <reviewItem>
      <errorID>bc377faa-4ad2-428e-81d6-07dcaddc6536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495E2D4C</paraID>
      <start>0</start>
      <end>2</end>
      <status>unmodified</status>
      <modifiedWord/>
      <trackRevisions>false</trackRevisions>
    </reviewItem>
    <reviewItem>
      <errorID>c1627575-643d-4322-a642-0c4c185f4d28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90E5326</paraID>
      <start>0</start>
      <end>2</end>
      <status>unmodified</status>
      <modifiedWord/>
      <trackRevisions>false</trackRevisions>
    </reviewItem>
    <reviewItem>
      <errorID>49adb4ca-d405-4586-a4e6-0dfbcc374203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3449466D</paraID>
      <start>0</start>
      <end>2</end>
      <status>unmodified</status>
      <modifiedWord/>
      <trackRevisions>false</trackRevisions>
    </reviewItem>
    <reviewItem>
      <errorID>8db329d8-d683-49a9-9b78-82edfeb7afa4</errorID>
      <errorWord>;</errorWord>
      <group>L1_Format</group>
      <groupName>格式问题</groupName>
      <ability>L2_HalfPunc_CN</ability>
      <abilityName>全半角问题</abilityName>
      <candidateList>
        <item>；</item>
      </candidateList>
      <explain>文本全半角错误。</explain>
      <paraID>5AAEE919</paraID>
      <start>45</start>
      <end>46</end>
      <status>unmodified</status>
      <modifiedWord/>
      <trackRevisions>false</trackRevisions>
    </reviewItem>
    <reviewItem>
      <errorID>b8c5a283-864a-478b-a6b7-a0f6d3b37f85</errorID>
      <errorWord>;</errorWord>
      <group>L1_Format</group>
      <groupName>格式问题</groupName>
      <ability>L2_HalfPunc_CN</ability>
      <abilityName>全半角问题</abilityName>
      <candidateList>
        <item>；</item>
      </candidateList>
      <explain>文本全半角错误。</explain>
      <paraID>5AAEE919</paraID>
      <start>70</start>
      <end>71</end>
      <status>unmodified</status>
      <modifiedWord/>
      <trackRevisions>false</trackRevisions>
    </reviewItem>
    <reviewItem>
      <errorID>fe4e4910-6ef6-4da5-88c7-e9efc7e0f44d</errorID>
      <errorWord>(</errorWord>
      <group>L1_Format</group>
      <groupName>格式问题</groupName>
      <ability>L2_HalfPunc_CN</ability>
      <abilityName>全半角问题</abilityName>
      <candidateList>
        <item>（</item>
      </candidateList>
      <explain>文本全半角错误。</explain>
      <paraID> AB52252</paraID>
      <start>7</start>
      <end>8</end>
      <status>unmodified</status>
      <modifiedWord/>
      <trackRevisions>false</trackRevisions>
    </reviewItem>
    <reviewItem>
      <errorID>14649db0-7fd7-4633-bb52-47657bd5590e</errorID>
      <errorWord>)</errorWord>
      <group>L1_Format</group>
      <groupName>格式问题</groupName>
      <ability>L2_HalfPunc_CN</ability>
      <abilityName>全半角问题</abilityName>
      <candidateList>
        <item>）</item>
      </candidateList>
      <explain>文本全半角错误。</explain>
      <paraID> AB52252</paraID>
      <start>12</start>
      <end>13</end>
      <status>unmodified</status>
      <modifiedWord/>
      <trackRevisions>false</trackRevisions>
    </reviewItem>
    <reviewItem>
      <errorID>be7ff4ea-b92a-4aae-a5fc-5fc6454dc201</errorID>
      <errorWord>(</errorWord>
      <group>L1_Format</group>
      <groupName>格式问题</groupName>
      <ability>L2_HalfPunc_CN</ability>
      <abilityName>全半角问题</abilityName>
      <candidateList>
        <item>（</item>
      </candidateList>
      <explain>文本全半角错误。</explain>
      <paraID>4F195C09</paraID>
      <start>5</start>
      <end>6</end>
      <status>unmodified</status>
      <modifiedWord/>
      <trackRevisions>false</trackRevisions>
    </reviewItem>
    <reviewItem>
      <errorID>2698e2bc-7147-43ab-a209-ae0e486b28c7</errorID>
      <errorWord>)</errorWord>
      <group>L1_Format</group>
      <groupName>格式问题</groupName>
      <ability>L2_HalfPunc_CN</ability>
      <abilityName>全半角问题</abilityName>
      <candidateList>
        <item>）</item>
      </candidateList>
      <explain>文本全半角错误。</explain>
      <paraID>4F195C09</paraID>
      <start>8</start>
      <end>9</end>
      <status>unmodified</status>
      <modifiedWord/>
      <trackRevisions>false</trackRevisions>
    </reviewItem>
    <reviewItem>
      <errorID>c0897ec4-c7ba-4860-86fa-6ad8aaa82fbb</errorID>
      <errorWord>(</errorWord>
      <group>L1_Format</group>
      <groupName>格式问题</groupName>
      <ability>L2_HalfPunc_CN</ability>
      <abilityName>全半角问题</abilityName>
      <candidateList>
        <item>（</item>
      </candidateList>
      <explain>文本全半角错误。</explain>
      <paraID>4AF1B1DF</paraID>
      <start>5</start>
      <end>6</end>
      <status>unmodified</status>
      <modifiedWord/>
      <trackRevisions>false</trackRevisions>
    </reviewItem>
    <reviewItem>
      <errorID>8e386be3-f08c-4cf9-ae7d-a5e0e86db172</errorID>
      <errorWord>)</errorWord>
      <group>L1_Format</group>
      <groupName>格式问题</groupName>
      <ability>L2_HalfPunc_CN</ability>
      <abilityName>全半角问题</abilityName>
      <candidateList>
        <item>）</item>
      </candidateList>
      <explain>文本全半角错误。</explain>
      <paraID>4AF1B1DF</paraID>
      <start>8</start>
      <end>9</end>
      <status>unmodified</status>
      <modifiedWord/>
      <trackRevisions>false</trackRevisions>
    </reviewItem>
    <reviewItem>
      <errorID>9505c252-9096-423a-9eab-eed8e070ec6f</errorID>
      <errorWord>-</errorWord>
      <group>L1_Format</group>
      <groupName>格式问题</groupName>
      <ability>L2_HalfPunc_CN</ability>
      <abilityName>全半角问题</abilityName>
      <candidateList>
        <item>－</item>
      </candidateList>
      <explain>文本全半角错误。</explain>
      <paraID>3ADEB0B1</paraID>
      <start>7</start>
      <end>8</end>
      <status>unmodified</status>
      <modifiedWord/>
      <trackRevisions>false</trackRevisions>
    </reviewItem>
    <reviewItem>
      <errorID>b0093f56-1899-4a08-91e8-c075f43b3b0c</errorID>
      <errorWord>WiFi</errorWord>
      <group>L1_Punc</group>
      <groupName>标点问题</groupName>
      <ability>L2_Punc_CN</ability>
      <abilityName>标点符号问题</abilityName>
      <candidateList>
        <item>Wi-Fi</item>
      </candidateList>
      <explain/>
      <paraID>1AA4DFE6</paraID>
      <start>82</start>
      <end>86</end>
      <status>unmodified</status>
      <modifiedWord/>
      <trackRevisions>false</trackRevisions>
    </reviewItem>
    <reviewItem>
      <errorID>dc095451-5e64-447f-9ff8-303331d83a3c</errorID>
      <errorWord>(</errorWord>
      <group>L1_Format</group>
      <groupName>格式问题</groupName>
      <ability>L2_HalfPunc_CN</ability>
      <abilityName>全半角问题</abilityName>
      <candidateList>
        <item>（</item>
      </candidateList>
      <explain>文本全半角错误。</explain>
      <paraID>744FF794</paraID>
      <start>56</start>
      <end>57</end>
      <status>unmodified</status>
      <modifiedWord/>
      <trackRevisions>false</trackRevisions>
    </reviewItem>
    <reviewItem>
      <errorID>f9a1cfc4-beaf-45e9-b587-afbf02e55868</errorID>
      <errorWord>,</errorWord>
      <group>L1_Format</group>
      <groupName>格式问题</groupName>
      <ability>L2_HalfPunc_CN</ability>
      <abilityName>全半角问题</abilityName>
      <candidateList>
        <item>，</item>
      </candidateList>
      <explain>文本全半角错误。</explain>
      <paraID>7A42D6FE</paraID>
      <start>5</start>
      <end>6</end>
      <status>unmodified</status>
      <modifiedWord/>
      <trackRevisions>false</trackRevisions>
    </reviewItem>
    <reviewItem>
      <errorID>3283dafa-d106-4db0-b51c-bd457d1c3d07</errorID>
      <errorWord>)</errorWord>
      <group>L1_Format</group>
      <groupName>格式问题</groupName>
      <ability>L2_HalfPunc_CN</ability>
      <abilityName>全半角问题</abilityName>
      <candidateList>
        <item>）</item>
      </candidateList>
      <explain>文本全半角错误。</explain>
      <paraID>7A42D6FE</paraID>
      <start>436</start>
      <end>437</end>
      <status>unmodified</status>
      <modifiedWord/>
      <trackRevisions>false</trackRevisions>
    </reviewItem>
    <reviewItem>
      <errorID>ce8f883c-d0cf-46ad-b489-3fd716bd34c9</errorID>
      <errorWord>)</errorWord>
      <group>L1_Format</group>
      <groupName>格式问题</groupName>
      <ability>L2_HalfPunc_CN</ability>
      <abilityName>全半角问题</abilityName>
      <candidateList>
        <item>）</item>
      </candidateList>
      <explain>文本全半角错误。</explain>
      <paraID> B7E4E02</paraID>
      <start>501</start>
      <end>502</end>
      <status>unmodified</status>
      <modifiedWord/>
      <trackRevisions>false</trackRevisions>
    </reviewItem>
    <reviewItem>
      <errorID>daf71ffd-cc6f-4fa6-ad38-495aafaab8a8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B7E4E02</paraID>
      <start>558</start>
      <end>559</end>
      <status>unmodified</status>
      <modifiedWord/>
      <trackRevisions>false</trackRevisions>
    </reviewItem>
    <reviewItem>
      <errorID>ffc2911c-f464-4507-a902-103c60c14d82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7FA6E5D0</paraID>
      <start>281</start>
      <end>282</end>
      <status>unmodified</status>
      <modifiedWord/>
      <trackRevisions>false</trackRevisions>
    </reviewItem>
    <reviewItem>
      <errorID>02077907-8d4f-463f-8af0-83861c0e99da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634F7903</paraID>
      <start>210</start>
      <end>211</end>
      <status>unmodified</status>
      <modifiedWord/>
      <trackRevisions>false</trackRevisions>
    </reviewItem>
    <reviewItem>
      <errorID>420dd61a-cf90-4916-b384-df5bfc3a66b7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63927D3E</paraID>
      <start>204</start>
      <end>205</end>
      <status>unmodified</status>
      <modifiedWord/>
      <trackRevisions>false</trackRevisions>
    </reviewItem>
    <reviewItem>
      <errorID>c231163b-9260-4d95-903d-3fdb85deae7e</errorID>
      <errorWord>.</errorWord>
      <group>L1_Format</group>
      <groupName>格式问题</groupName>
      <ability>L2_HalfPunc_CN</ability>
      <abilityName>全半角问题</abilityName>
      <candidateList>
        <item>。</item>
      </candidateList>
      <explain>文本全半角错误。</explain>
      <paraID>37CD4C68</paraID>
      <start>477</start>
      <end>478</end>
      <status>unmodified</status>
      <modifiedWord/>
      <trackRevisions>false</trackRevisions>
    </reviewItem>
    <reviewItem>
      <errorID>b44ff8a9-3794-4671-987c-caa8e8e5a3ce</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2CEB6350</paraID>
      <start>384</start>
      <end>391</end>
      <status>unmodified</status>
      <modifiedWord/>
      <trackRevisions>false</trackRevisions>
    </reviewItem>
    <reviewItem>
      <errorID>c2116478-3bd7-419a-85c7-4e581ecbe614</errorID>
      <errorWord>WIFI</errorWord>
      <group>L1_Knowledge</group>
      <groupName>知识性问题</groupName>
      <ability>L2_Knowledge</ability>
      <abilityName>其他知识</abilityName>
      <candidateList>
        <item>Wi-Fi</item>
      </candidateList>
      <explain/>
      <paraID>6BA03E7D</paraID>
      <start>316</start>
      <end>320</end>
      <status>unmodified</status>
      <modifiedWord/>
      <trackRevisions>false</trackRevisions>
    </reviewItem>
    <reviewItem>
      <errorID>89150a9f-f11c-4aa6-9e10-ff647f608234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6BA03E7D</paraID>
      <start>745</start>
      <end>752</end>
      <status>unmodified</status>
      <modifiedWord/>
      <trackRevisions>false</trackRevisions>
    </reviewItem>
    <reviewItem>
      <errorID>955b0066-6749-4c21-885a-9284cc12e1c1</errorID>
      <errorWord>(</errorWord>
      <group>L1_Format</group>
      <groupName>格式问题</groupName>
      <ability>L2_HalfPunc_CN</ability>
      <abilityName>全半角问题</abilityName>
      <candidateList>
        <item>（</item>
      </candidateList>
      <explain>文本全半角错误。</explain>
      <paraID>6BA03E7D</paraID>
      <start>787</start>
      <end>788</end>
      <status>unmodified</status>
      <modifiedWord/>
      <trackRevisions>false</trackRevisions>
    </reviewItem>
    <reviewItem>
      <errorID>d60887f9-fe79-47c9-b755-7f87ae199712</errorID>
      <errorWord>)</errorWord>
      <group>L1_Format</group>
      <groupName>格式问题</groupName>
      <ability>L2_HalfPunc_CN</ability>
      <abilityName>全半角问题</abilityName>
      <candidateList>
        <item>）</item>
      </candidateList>
      <explain>文本全半角错误。</explain>
      <paraID>6BA03E7D</paraID>
      <start>795</start>
      <end>796</end>
      <status>unmodified</status>
      <modifiedWord/>
      <trackRevisions>false</trackRevisions>
    </reviewItem>
    <reviewItem>
      <errorID>477e4acf-44c9-43b7-bedb-8a5efebd5a27</errorID>
      <errorWord>WIFI</errorWord>
      <group>L1_Knowledge</group>
      <groupName>知识性问题</groupName>
      <ability>L2_Knowledge</ability>
      <abilityName>其他知识</abilityName>
      <candidateList>
        <item>Wi-Fi</item>
      </candidateList>
      <explain/>
      <paraID>46EC6DCE</paraID>
      <start>317</start>
      <end>321</end>
      <status>unmodified</status>
      <modifiedWord/>
      <trackRevisions>false</trackRevisions>
    </reviewItem>
    <reviewItem>
      <errorID>689173e3-4685-4064-862d-a4158116197b</errorID>
      <errorWord>(</errorWord>
      <group>L1_Format</group>
      <groupName>格式问题</groupName>
      <ability>L2_HalfPunc_CN</ability>
      <abilityName>全半角问题</abilityName>
      <candidateList>
        <item>（</item>
      </candidateList>
      <explain>文本全半角错误。</explain>
      <paraID>46EC6DCE</paraID>
      <start>452</start>
      <end>453</end>
      <status>unmodified</status>
      <modifiedWord/>
      <trackRevisions>false</trackRevisions>
    </reviewItem>
    <reviewItem>
      <errorID>57067917-c26e-4bc4-9573-bae3840b58d5</errorID>
      <errorWord>)</errorWord>
      <group>L1_Format</group>
      <groupName>格式问题</groupName>
      <ability>L2_HalfPunc_CN</ability>
      <abilityName>全半角问题</abilityName>
      <candidateList>
        <item>）</item>
      </candidateList>
      <explain>文本全半角错误。</explain>
      <paraID>46EC6DCE</paraID>
      <start>460</start>
      <end>461</end>
      <status>unmodified</status>
      <modifiedWord/>
      <trackRevisions>false</trackRevisions>
    </reviewItem>
    <reviewItem>
      <errorID>3db24354-63bd-4975-b594-a0544da36552</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46EC6DCE</paraID>
      <start>581</start>
      <end>588</end>
      <status>unmodified</status>
      <modifiedWord/>
      <trackRevisions>false</trackRevisions>
    </reviewItem>
    <reviewItem>
      <errorID>2d791eca-784e-4355-8bc9-6cf0892ce0f5</errorID>
      <errorWord>WiFi</errorWord>
      <group>L1_Punc</group>
      <groupName>标点问题</groupName>
      <ability>L2_Punc_CN</ability>
      <abilityName>标点符号问题</abilityName>
      <candidateList>
        <item>Wi-Fi</item>
      </candidateList>
      <explain/>
      <paraID> EADB495</paraID>
      <start>486</start>
      <end>490</end>
      <status>unmodified</status>
      <modifiedWord/>
      <trackRevisions>false</trackRevisions>
    </reviewItem>
    <reviewItem>
      <errorID>7e02ce39-5ed0-4ec5-adad-ea0cbd0a4c17</errorID>
      <errorWord>(</errorWord>
      <group>L1_Format</group>
      <groupName>格式问题</groupName>
      <ability>L2_HalfPunc_CN</ability>
      <abilityName>全半角问题</abilityName>
      <candidateList>
        <item>（</item>
      </candidateList>
      <explain>文本全半角错误。</explain>
      <paraID> EADB495</paraID>
      <start>821</start>
      <end>822</end>
      <status>unmodified</status>
      <modifiedWord/>
      <trackRevisions>false</trackRevisions>
    </reviewItem>
    <reviewItem>
      <errorID>5a65c9df-8f78-4b4f-b6ec-65a2d52b8c4e</errorID>
      <errorWord>)</errorWord>
      <group>L1_Format</group>
      <groupName>格式问题</groupName>
      <ability>L2_HalfPunc_CN</ability>
      <abilityName>全半角问题</abilityName>
      <candidateList>
        <item>）</item>
      </candidateList>
      <explain>文本全半角错误。</explain>
      <paraID> EADB495</paraID>
      <start>838</start>
      <end>839</end>
      <status>unmodified</status>
      <modifiedWord/>
      <trackRevisions>false</trackRevisions>
    </reviewItem>
    <reviewItem>
      <errorID>8bbddd21-8ea2-4aa2-be25-320c7c81819f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5360CCB4</paraID>
      <start>30</start>
      <end>31</end>
      <status>unmodified</status>
      <modifiedWord/>
      <trackRevisions>false</trackRevisions>
    </reviewItem>
    <reviewItem>
      <errorID>32530439-bdd2-4a96-979d-cbac8249d5c6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5F8F8C6B</paraID>
      <start>0</start>
      <end>2</end>
      <status>unmodified</status>
      <modifiedWord/>
      <trackRevisions>false</trackRevisions>
    </reviewItem>
    <reviewItem>
      <errorID>692cc26c-be64-4f21-bb46-6c0fc9075720</errorID>
      <errorWord>125%-150%</errorWord>
      <group>L1_Knowledge</group>
      <groupName>知识性问题</groupName>
      <ability>L2_Knowledge</ability>
      <abilityName>其他知识</abilityName>
      <candidateList>
        <item>125%—150%</item>
      </candidateList>
      <explain>1. “125%-150%”中的单位“%”仅出现在后一个数字上，容易引起歧义；根据《现代汉语标点符号数字用法规范手册》，数字表示范围两边需要使用统一的格式。2. 根据标点国标 4.13 中的规则，数字、时间或地域连接符应使用（视觉上更长的）“—”或“～”。</explain>
      <paraID>5F8F8C6B</paraID>
      <start>64</start>
      <end>73</end>
      <status>unmodified</status>
      <modifiedWord/>
      <trackRevisions>false</trackRevisions>
    </reviewItem>
    <reviewItem>
      <errorID>fce04c73-9ece-438e-92f2-e14f5f068b87</errorID>
      <errorWord>(</errorWord>
      <group>L1_Format</group>
      <groupName>格式问题</groupName>
      <ability>L2_HalfPunc_CN</ability>
      <abilityName>全半角问题</abilityName>
      <candidateList>
        <item>（</item>
      </candidateList>
      <explain>文本全半角错误。</explain>
      <paraID>6C667EAD</paraID>
      <start>5</start>
      <end>6</end>
      <status>unmodified</status>
      <modifiedWord/>
      <trackRevisions>false</trackRevisions>
    </reviewItem>
    <reviewItem>
      <errorID>f62d1040-2e12-4033-8390-1f8a885d1e1e</errorID>
      <errorWord>)</errorWord>
      <group>L1_Format</group>
      <groupName>格式问题</groupName>
      <ability>L2_HalfPunc_CN</ability>
      <abilityName>全半角问题</abilityName>
      <candidateList>
        <item>）</item>
      </candidateList>
      <explain>文本全半角错误。</explain>
      <paraID>6C667EAD</paraID>
      <start>7</start>
      <end>8</end>
      <status>unmodified</status>
      <modifiedWord/>
      <trackRevisions>false</trackRevisions>
    </reviewItem>
    <reviewItem>
      <errorID>a19601a6-0e3d-429a-9d4f-1022194d930c</errorID>
      <errorWord>(</errorWord>
      <group>L1_Format</group>
      <groupName>格式问题</groupName>
      <ability>L2_HalfPunc_CN</ability>
      <abilityName>全半角问题</abilityName>
      <candidateList>
        <item>（</item>
      </candidateList>
      <explain>文本全半角错误。</explain>
      <paraID>28645E97</paraID>
      <start>5</start>
      <end>6</end>
      <status>unmodified</status>
      <modifiedWord/>
      <trackRevisions>false</trackRevisions>
    </reviewItem>
    <reviewItem>
      <errorID>55a14924-bc48-47cc-aebe-8377c5b250d4</errorID>
      <errorWord>)</errorWord>
      <group>L1_Format</group>
      <groupName>格式问题</groupName>
      <ability>L2_HalfPunc_CN</ability>
      <abilityName>全半角问题</abilityName>
      <candidateList>
        <item>）</item>
      </candidateList>
      <explain>文本全半角错误。</explain>
      <paraID>28645E97</paraID>
      <start>7</start>
      <end>8</end>
      <status>unmodified</status>
      <modifiedWord/>
      <trackRevisions>false</trackRevisions>
    </reviewItem>
    <reviewItem>
      <errorID>8359214b-5d72-4301-88f8-0d198ff22317</errorID>
      <errorWord>(</errorWord>
      <group>L1_Format</group>
      <groupName>格式问题</groupName>
      <ability>L2_HalfPunc_CN</ability>
      <abilityName>全半角问题</abilityName>
      <candidateList>
        <item>（</item>
      </candidateList>
      <explain>文本全半角错误。</explain>
      <paraID> 2E57B5E</paraID>
      <start>5</start>
      <end>6</end>
      <status>unmodified</status>
      <modifiedWord/>
      <trackRevisions>false</trackRevisions>
    </reviewItem>
    <reviewItem>
      <errorID>808d9d08-b609-411c-bd41-8d70b98ee512</errorID>
      <errorWord>)</errorWord>
      <group>L1_Format</group>
      <groupName>格式问题</groupName>
      <ability>L2_HalfPunc_CN</ability>
      <abilityName>全半角问题</abilityName>
      <candidateList>
        <item>）</item>
      </candidateList>
      <explain>文本全半角错误。</explain>
      <paraID> 2E57B5E</paraID>
      <start>7</start>
      <end>8</end>
      <status>unmodified</status>
      <modifiedWord/>
      <trackRevisions>false</trackRevisions>
    </reviewItem>
    <reviewItem>
      <errorID>1c0df12a-b178-44f6-9b9d-dbca48dfc668</errorID>
      <errorWord>(</errorWord>
      <group>L1_Format</group>
      <groupName>格式问题</groupName>
      <ability>L2_HalfPunc_CN</ability>
      <abilityName>全半角问题</abilityName>
      <candidateList>
        <item>（</item>
      </candidateList>
      <explain>文本全半角错误。</explain>
      <paraID>27E4396B</paraID>
      <start>5</start>
      <end>6</end>
      <status>unmodified</status>
      <modifiedWord/>
      <trackRevisions>false</trackRevisions>
    </reviewItem>
    <reviewItem>
      <errorID>071d0b23-607f-42ff-b576-77a1a1aa264e</errorID>
      <errorWord>)</errorWord>
      <group>L1_Format</group>
      <groupName>格式问题</groupName>
      <ability>L2_HalfPunc_CN</ability>
      <abilityName>全半角问题</abilityName>
      <candidateList>
        <item>）</item>
      </candidateList>
      <explain>文本全半角错误。</explain>
      <paraID>27E4396B</paraID>
      <start>7</start>
      <end>8</end>
      <status>unmodified</status>
      <modifiedWord/>
      <trackRevisions>false</trackRevisions>
    </reviewItem>
    <reviewItem>
      <errorID>0fa8ad8b-c9cb-4205-8df4-471d0d871bbf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4E255BB0</paraID>
      <start>0</start>
      <end>2</end>
      <status>unmodified</status>
      <modifiedWord/>
      <trackRevisions>false</trackRevisions>
    </reviewItem>
    <reviewItem>
      <errorID>172a3b9b-0dd9-4386-8b48-c9e0c34e0523</errorID>
      <errorWord>48千</errorWord>
      <group>L1_Knowledge</group>
      <groupName>知识性问题</groupName>
      <ability>L2_Knowledge</ability>
      <abilityName>其他知识</abilityName>
      <candidateList>
        <item>48000</item>
      </candidateList>
      <explain>根据GB/T 15835-2011规定，只有“万”、“亿可以与阿拉伯数字混用，例如：“4万”、“4亿”、“4万亿”等。其他情况应统一使用阿拉伯数字。</explain>
      <paraID>6D65385B</paraID>
      <start>113</start>
      <end>116</end>
      <status>unmodified</status>
      <modifiedWord/>
      <trackRevisions>false</trackRevisions>
    </reviewItem>
    <reviewItem>
      <errorID>46db51f8-a57a-4c62-b3cd-4577403801bc</errorID>
      <errorWord>WIFI</errorWord>
      <group>L1_Knowledge</group>
      <groupName>知识性问题</groupName>
      <ability>L2_Knowledge</ability>
      <abilityName>其他知识</abilityName>
      <candidateList>
        <item>Wi-Fi</item>
      </candidateList>
      <explain/>
      <paraID>69AC99F9</paraID>
      <start>155</start>
      <end>159</end>
      <status>unmodified</status>
      <modifiedWord/>
      <trackRevisions>false</trackRevisions>
    </reviewItem>
    <reviewItem>
      <errorID>68c8d665-7a5a-46bf-bdc9-4bdbbb476638</errorID>
      <errorWord>)</errorWord>
      <group>L1_Format</group>
      <groupName>格式问题</groupName>
      <ability>L2_HalfPunc_CN</ability>
      <abilityName>全半角问题</abilityName>
      <candidateList>
        <item>）</item>
      </candidateList>
      <explain>文本全半角错误。</explain>
      <paraID>69AC99F9</paraID>
      <start>222</start>
      <end>223</end>
      <status>unmodified</status>
      <modifiedWord/>
      <trackRevisions>false</trackRevisions>
    </reviewItem>
    <reviewItem>
      <errorID>21c043a6-8abd-41ff-bf9f-fe452f856846</errorID>
      <errorWord>WiFi</errorWord>
      <group>L1_Punc</group>
      <groupName>标点问题</groupName>
      <ability>L2_Punc_CN</ability>
      <abilityName>标点符号问题</abilityName>
      <candidateList>
        <item>Wi-Fi</item>
      </candidateList>
      <explain/>
      <paraID>552DD9C5</paraID>
      <start>82</start>
      <end>86</end>
      <status>unmodified</status>
      <modifiedWord/>
      <trackRevisions>false</trackRevisions>
    </reviewItem>
    <reviewItem>
      <errorID>1f28b319-78b3-457a-83fe-59ca8b5d5979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7E58FEFF</paraID>
      <start>0</start>
      <end>2</end>
      <status>unmodified</status>
      <modifiedWord/>
      <trackRevisions>false</trackRevisions>
    </reviewItem>
    <reviewItem>
      <errorID>b20dc1d3-a4ae-4898-b095-c22e3f0e8ad2</errorID>
      <errorWord>125%-150%</errorWord>
      <group>L1_Knowledge</group>
      <groupName>知识性问题</groupName>
      <ability>L2_Knowledge</ability>
      <abilityName>其他知识</abilityName>
      <candidateList>
        <item>125%—150%</item>
      </candidateList>
      <explain>1. “125%-150%”中的单位“%”仅出现在后一个数字上，容易引起歧义；根据《现代汉语标点符号数字用法规范手册》，数字表示范围两边需要使用统一的格式。2. 根据标点国标 4.13 中的规则，数字、时间或地域连接符应使用（视觉上更长的）“—”或“～”。</explain>
      <paraID>7E58FEFF</paraID>
      <start>64</start>
      <end>73</end>
      <status>unmodified</status>
      <modifiedWord/>
      <trackRevisions>false</trackRevisions>
    </reviewItem>
    <reviewItem>
      <errorID>22a3d7d9-7934-4eb5-9502-1faedc43bbfd</errorID>
      <errorWord>)</errorWord>
      <group>L1_Format</group>
      <groupName>格式问题</groupName>
      <ability>L2_HalfPunc_CN</ability>
      <abilityName>全半角问题</abilityName>
      <candidateList>
        <item>）</item>
      </candidateList>
      <explain>文本全半角错误。</explain>
      <paraID>2A1549FD</paraID>
      <start>348</start>
      <end>349</end>
      <status>unmodified</status>
      <modifiedWord/>
      <trackRevisions>false</trackRevisions>
    </reviewItem>
    <reviewItem>
      <errorID>39759a50-1586-428a-a100-99be3b27dbfa</errorID>
      <errorWord>)</errorWord>
      <group>L1_Format</group>
      <groupName>格式问题</groupName>
      <ability>L2_HalfPunc_CN</ability>
      <abilityName>全半角问题</abilityName>
      <candidateList>
        <item>）</item>
      </candidateList>
      <explain>文本全半角错误。</explain>
      <paraID>13FC12AD</paraID>
      <start>348</start>
      <end>349</end>
      <status>unmodified</status>
      <modifiedWord/>
      <trackRevisions>false</trackRevisions>
    </reviewItem>
    <reviewItem>
      <errorID>a8dc0e7e-92b3-45a8-bae9-0084650356e8</errorID>
      <errorWord>)</errorWord>
      <group>L1_Format</group>
      <groupName>格式问题</groupName>
      <ability>L2_HalfPunc_CN</ability>
      <abilityName>全半角问题</abilityName>
      <candidateList>
        <item>）</item>
      </candidateList>
      <explain>文本全半角错误。</explain>
      <paraID>1F490593</paraID>
      <start>348</start>
      <end>349</end>
      <status>unmodified</status>
      <modifiedWord/>
      <trackRevisions>false</trackRevisions>
    </reviewItem>
    <reviewItem>
      <errorID>8abace0e-e71e-400b-816d-6e8b1bddf846</errorID>
      <errorWord>,</errorWord>
      <group>L1_Format</group>
      <groupName>格式问题</groupName>
      <ability>L2_HalfPunc_CN</ability>
      <abilityName>全半角问题</abilityName>
      <candidateList>
        <item>，</item>
      </candidateList>
      <explain>文本全半角错误。</explain>
      <paraID>27B23660</paraID>
      <start>202</start>
      <end>203</end>
      <status>unmodified</status>
      <modifiedWord/>
      <trackRevisions>false</trackRevisions>
    </reviewItem>
    <reviewItem>
      <errorID>f49c968f-8a62-49f0-b17d-75747e198d3b</errorID>
      <errorWord>,</errorWord>
      <group>L1_Format</group>
      <groupName>格式问题</groupName>
      <ability>L2_HalfPunc_CN</ability>
      <abilityName>全半角问题</abilityName>
      <candidateList>
        <item>，</item>
      </candidateList>
      <explain>文本全半角错误。</explain>
      <paraID>27B23660</paraID>
      <start>206</start>
      <end>207</end>
      <status>unmodified</status>
      <modifiedWord/>
      <trackRevisions>false</trackRevisions>
    </reviewItem>
    <reviewItem>
      <errorID>c6ef1560-65da-4a79-a502-6d338bd2a656</errorID>
      <errorWord>,</errorWord>
      <group>L1_Format</group>
      <groupName>格式问题</groupName>
      <ability>L2_HalfPunc_CN</ability>
      <abilityName>全半角问题</abilityName>
      <candidateList>
        <item>，</item>
      </candidateList>
      <explain>文本全半角错误。</explain>
      <paraID>27B23660</paraID>
      <start>209</start>
      <end>210</end>
      <status>unmodified</status>
      <modifiedWord/>
      <trackRevisions>false</trackRevisions>
    </reviewItem>
    <reviewItem>
      <errorID>dc3b1168-9745-4593-8d74-864b04023400</errorID>
      <errorWord>,</errorWord>
      <group>L1_Format</group>
      <groupName>格式问题</groupName>
      <ability>L2_HalfPunc_CN</ability>
      <abilityName>全半角问题</abilityName>
      <candidateList>
        <item>，</item>
      </candidateList>
      <explain>文本全半角错误。</explain>
      <paraID>27B23660</paraID>
      <start>212</start>
      <end>213</end>
      <status>unmodified</status>
      <modifiedWord/>
      <trackRevisions>false</trackRevisions>
    </reviewItem>
    <reviewItem>
      <errorID>4403a664-9fe6-49ad-b0b7-bf72b1640934</errorID>
      <errorWord>,</errorWord>
      <group>L1_Format</group>
      <groupName>格式问题</groupName>
      <ability>L2_HalfPunc_CN</ability>
      <abilityName>全半角问题</abilityName>
      <candidateList>
        <item>，</item>
      </candidateList>
      <explain>文本全半角错误。</explain>
      <paraID>27B23660</paraID>
      <start>215</start>
      <end>216</end>
      <status>unmodified</status>
      <modifiedWord/>
      <trackRevisions>false</trackRevisions>
    </reviewItem>
    <reviewItem>
      <errorID>13ae2f70-43fb-47e6-b105-ed59c6a20ab4</errorID>
      <errorWord>,</errorWord>
      <group>L1_Format</group>
      <groupName>格式问题</groupName>
      <ability>L2_HalfPunc_CN</ability>
      <abilityName>全半角问题</abilityName>
      <candidateList>
        <item>，</item>
      </candidateList>
      <explain>文本全半角错误。</explain>
      <paraID>27B23660</paraID>
      <start>222</start>
      <end>223</end>
      <status>unmodified</status>
      <modifiedWord/>
      <trackRevisions>false</trackRevisions>
    </reviewItem>
    <reviewItem>
      <errorID>88a99361-68a1-449c-b7ab-13f7f384a221</errorID>
      <errorWord>,</errorWord>
      <group>L1_Format</group>
      <groupName>格式问题</groupName>
      <ability>L2_HalfPunc_CN</ability>
      <abilityName>全半角问题</abilityName>
      <candidateList>
        <item>，</item>
      </candidateList>
      <explain>文本全半角错误。</explain>
      <paraID>27B23660</paraID>
      <start>249</start>
      <end>250</end>
      <status>unmodified</status>
      <modifiedWord/>
      <trackRevisions>false</trackRevisions>
    </reviewItem>
    <reviewItem>
      <errorID>182d8375-c750-4d2e-991c-cef22872df0a</errorID>
      <errorWord>)</errorWord>
      <group>L1_Format</group>
      <groupName>格式问题</groupName>
      <ability>L2_HalfPunc_CN</ability>
      <abilityName>全半角问题</abilityName>
      <candidateList>
        <item>）</item>
      </candidateList>
      <explain>文本全半角错误。</explain>
      <paraID>27B23660</paraID>
      <start>294</start>
      <end>295</end>
      <status>unmodified</status>
      <modifiedWord/>
      <trackRevisions>false</trackRevisions>
    </reviewItem>
    <reviewItem>
      <errorID>bd527794-07bc-416e-a826-e7b926ce760e</errorID>
      <errorWord>(</errorWord>
      <group>L1_Format</group>
      <groupName>格式问题</groupName>
      <ability>L2_HalfPunc_CN</ability>
      <abilityName>全半角问题</abilityName>
      <candidateList>
        <item>（</item>
      </candidateList>
      <explain>文本全半角错误。</explain>
      <paraID>3981F053</paraID>
      <start>80</start>
      <end>81</end>
      <status>unmodified</status>
      <modifiedWord/>
      <trackRevisions>false</trackRevisions>
    </reviewItem>
    <reviewItem>
      <errorID>f1d75254-aa08-47fa-a65e-4e60007e39cc</errorID>
      <errorWord>)</errorWord>
      <group>L1_Format</group>
      <groupName>格式问题</groupName>
      <ability>L2_HalfPunc_CN</ability>
      <abilityName>全半角问题</abilityName>
      <candidateList>
        <item>）</item>
      </candidateList>
      <explain>文本全半角错误。</explain>
      <paraID>3981F053</paraID>
      <start>86</start>
      <end>87</end>
      <status>unmodified</status>
      <modifiedWord/>
      <trackRevisions>false</trackRevisions>
    </reviewItem>
    <reviewItem>
      <errorID>2204e6b0-11d5-4614-83a4-1d5fc39b282a</errorID>
      <errorWord>:</errorWord>
      <group>L1_Format</group>
      <groupName>格式问题</groupName>
      <ability>L2_HalfPunc_CN</ability>
      <abilityName>全半角问题</abilityName>
      <candidateList>
        <item>：</item>
      </candidateList>
      <explain>文本全半角错误。</explain>
      <paraID>3981F053</paraID>
      <start>116</start>
      <end>117</end>
      <status>unmodified</status>
      <modifiedWord/>
      <trackRevisions>false</trackRevisions>
    </reviewItem>
    <reviewItem>
      <errorID>74088a53-9277-4973-8eb6-8ec78a58a7a8</errorID>
      <errorWord>,</errorWord>
      <group>L1_Format</group>
      <groupName>格式问题</groupName>
      <ability>L2_HalfPunc_CN</ability>
      <abilityName>全半角问题</abilityName>
      <candidateList>
        <item>，</item>
      </candidateList>
      <explain>文本全半角错误。</explain>
      <paraID>3981F053</paraID>
      <start>136</start>
      <end>137</end>
      <status>unmodified</status>
      <modifiedWord/>
      <trackRevisions>false</trackRevisions>
    </reviewItem>
    <reviewItem>
      <errorID>2628d35f-4294-4e87-929c-403af7a47139</errorID>
      <errorWord>(</errorWord>
      <group>L1_Format</group>
      <groupName>格式问题</groupName>
      <ability>L2_HalfPunc_CN</ability>
      <abilityName>全半角问题</abilityName>
      <candidateList>
        <item>（</item>
      </candidateList>
      <explain>文本全半角错误。</explain>
      <paraID>3981F053</paraID>
      <start>151</start>
      <end>152</end>
      <status>unmodified</status>
      <modifiedWord/>
      <trackRevisions>false</trackRevisions>
    </reviewItem>
    <reviewItem>
      <errorID>909f009f-3139-4160-ad63-cb4fae87d777</errorID>
      <errorWord>)</errorWord>
      <group>L1_Format</group>
      <groupName>格式问题</groupName>
      <ability>L2_HalfPunc_CN</ability>
      <abilityName>全半角问题</abilityName>
      <candidateList>
        <item>）</item>
      </candidateList>
      <explain>文本全半角错误。</explain>
      <paraID>3981F053</paraID>
      <start>155</start>
      <end>156</end>
      <status>unmodified</status>
      <modifiedWord/>
      <trackRevisions>false</trackRevisions>
    </reviewItem>
    <reviewItem>
      <errorID>29536b91-8b08-4345-802d-83673083e848</errorID>
      <errorWord>:</errorWord>
      <group>L1_Format</group>
      <groupName>格式问题</groupName>
      <ability>L2_HalfPunc_CN</ability>
      <abilityName>全半角问题</abilityName>
      <candidateList>
        <item>：</item>
      </candidateList>
      <explain>文本全半角错误。</explain>
      <paraID>3981F053</paraID>
      <start>243</start>
      <end>244</end>
      <status>unmodified</status>
      <modifiedWord/>
      <trackRevisions>false</trackRevisions>
    </reviewItem>
    <reviewItem>
      <errorID>41dc77e0-922a-4abe-9eac-1a733fab1559</errorID>
      <errorWord>,</errorWord>
      <group>L1_Format</group>
      <groupName>格式问题</groupName>
      <ability>L2_HalfPunc_CN</ability>
      <abilityName>全半角问题</abilityName>
      <candidateList>
        <item>，</item>
      </candidateList>
      <explain>文本全半角错误。</explain>
      <paraID>1D4AA9F3</paraID>
      <start>53</start>
      <end>54</end>
      <status>unmodified</status>
      <modifiedWord/>
      <trackRevisions>false</trackRevisions>
    </reviewItem>
    <reviewItem>
      <errorID>112e2a64-e938-4fc0-9370-d8990c19635d</errorID>
      <errorWord>,</errorWord>
      <group>L1_Format</group>
      <groupName>格式问题</groupName>
      <ability>L2_HalfPunc_CN</ability>
      <abilityName>全半角问题</abilityName>
      <candidateList>
        <item>，</item>
      </candidateList>
      <explain>文本全半角错误。</explain>
      <paraID>1D4AA9F3</paraID>
      <start>301</start>
      <end>302</end>
      <status>unmodified</status>
      <modifiedWord/>
      <trackRevisions>false</trackRevisions>
    </reviewItem>
    <reviewItem>
      <errorID>0e33bdba-f951-4e2c-81ba-a4493319842a</errorID>
      <errorWord>(</errorWord>
      <group>L1_Format</group>
      <groupName>格式问题</groupName>
      <ability>L2_HalfPunc_CN</ability>
      <abilityName>全半角问题</abilityName>
      <candidateList>
        <item>（</item>
      </candidateList>
      <explain>文本全半角错误。</explain>
      <paraID>1D4AA9F3</paraID>
      <start>524</start>
      <end>525</end>
      <status>unmodified</status>
      <modifiedWord/>
      <trackRevisions>false</trackRevisions>
    </reviewItem>
    <reviewItem>
      <errorID>808ef636-8c6f-40c0-bb61-ef49d3052be9</errorID>
      <errorWord>)</errorWord>
      <group>L1_Format</group>
      <groupName>格式问题</groupName>
      <ability>L2_HalfPunc_CN</ability>
      <abilityName>全半角问题</abilityName>
      <candidateList>
        <item>）</item>
      </candidateList>
      <explain>文本全半角错误。</explain>
      <paraID>1D4AA9F3</paraID>
      <start>539</start>
      <end>540</end>
      <status>unmodified</status>
      <modifiedWord/>
      <trackRevisions>false</trackRevisions>
    </reviewItem>
    <reviewItem>
      <errorID>d3d2aa91-7508-4c03-abbd-bb4edc495c4c</errorID>
      <errorWord>(</errorWord>
      <group>L1_Format</group>
      <groupName>格式问题</groupName>
      <ability>L2_HalfPunc_CN</ability>
      <abilityName>全半角问题</abilityName>
      <candidateList>
        <item>（</item>
      </candidateList>
      <explain>文本全半角错误。</explain>
      <paraID>1D4AA9F3</paraID>
      <start>547</start>
      <end>548</end>
      <status>unmodified</status>
      <modifiedWord/>
      <trackRevisions>false</trackRevisions>
    </reviewItem>
    <reviewItem>
      <errorID>c401ba60-e8bd-4f6a-b73a-c8ef34721aa2</errorID>
      <errorWord>)</errorWord>
      <group>L1_Format</group>
      <groupName>格式问题</groupName>
      <ability>L2_HalfPunc_CN</ability>
      <abilityName>全半角问题</abilityName>
      <candidateList>
        <item>）</item>
      </candidateList>
      <explain>文本全半角错误。</explain>
      <paraID>1D4AA9F3</paraID>
      <start>559</start>
      <end>560</end>
      <status>unmodified</status>
      <modifiedWord/>
      <trackRevisions>false</trackRevisions>
    </reviewItem>
    <reviewItem>
      <errorID>4be324d7-f550-47cf-8d80-d94455b6f76f</errorID>
      <errorWord>:</errorWord>
      <group>L1_Format</group>
      <groupName>格式问题</groupName>
      <ability>L2_HalfPunc_CN</ability>
      <abilityName>全半角问题</abilityName>
      <candidateList>
        <item>：</item>
      </candidateList>
      <explain>文本全半角错误。</explain>
      <paraID>7A85F0B5</paraID>
      <start>189</start>
      <end>190</end>
      <status>unmodified</status>
      <modifiedWord/>
      <trackRevisions>false</trackRevisions>
    </reviewItem>
    <reviewItem>
      <errorID>325f0af3-9963-4987-a0aa-0e7063df3ea0</errorID>
      <errorWord>,</errorWord>
      <group>L1_Format</group>
      <groupName>格式问题</groupName>
      <ability>L2_HalfPunc_CN</ability>
      <abilityName>全半角问题</abilityName>
      <candidateList>
        <item>，</item>
      </candidateList>
      <explain>文本全半角错误。</explain>
      <paraID>28B80D1A</paraID>
      <start>786</start>
      <end>787</end>
      <status>unmodified</status>
      <modifiedWord/>
      <trackRevisions>false</trackRevisions>
    </reviewItem>
    <reviewItem>
      <errorID>5d24105d-ae01-4820-b713-91ad20e684bc</errorID>
      <errorWord>.</errorWord>
      <group>L1_Format</group>
      <groupName>格式问题</groupName>
      <ability>L2_HalfPunc_CN</ability>
      <abilityName>全半角问题</abilityName>
      <candidateList>
        <item>。</item>
      </candidateList>
      <explain>文本全半角错误。</explain>
      <paraID>2DDA09A7</paraID>
      <start>13</start>
      <end>14</end>
      <status>unmodified</status>
      <modifiedWord/>
      <trackRevisions>false</trackRevisions>
    </reviewItem>
    <reviewItem>
      <errorID>8595ccc0-c58a-4f8b-a8f9-39d374a95fe1</errorID>
      <errorWord>.</errorWord>
      <group>L1_Format</group>
      <groupName>格式问题</groupName>
      <ability>L2_HalfPunc_CN</ability>
      <abilityName>全半角问题</abilityName>
      <candidateList>
        <item>。</item>
      </candidateList>
      <explain>文本全半角错误。</explain>
      <paraID>2A260059</paraID>
      <start>13</start>
      <end>14</end>
      <status>unmodified</status>
      <modifiedWord/>
      <trackRevisions>false</trackRevisions>
    </reviewItem>
    <reviewItem>
      <errorID>800b57fc-080a-4e97-827d-23f523907e58</errorID>
      <errorWord>.</errorWord>
      <group>L1_Format</group>
      <groupName>格式问题</groupName>
      <ability>L2_HalfPunc_CN</ability>
      <abilityName>全半角问题</abilityName>
      <candidateList>
        <item>。</item>
      </candidateList>
      <explain>文本全半角错误。</explain>
      <paraID>28AEFDCD</paraID>
      <start>15</start>
      <end>16</end>
      <status>unmodified</status>
      <modifiedWord/>
      <trackRevisions>false</trackRevisions>
    </reviewItem>
    <reviewItem>
      <errorID>f4e83eaa-3c4b-4680-ab51-ba8a74f54391</errorID>
      <errorWord>.</errorWord>
      <group>L1_Format</group>
      <groupName>格式问题</groupName>
      <ability>L2_HalfPunc_CN</ability>
      <abilityName>全半角问题</abilityName>
      <candidateList>
        <item>。</item>
      </candidateList>
      <explain>文本全半角错误。</explain>
      <paraID>60D6DE11</paraID>
      <start>15</start>
      <end>16</end>
      <status>unmodified</status>
      <modifiedWord/>
      <trackRevisions>false</trackRevisions>
    </reviewItem>
    <reviewItem>
      <errorID>e7f11114-395d-49b2-9e30-b26a83bc6667</errorID>
      <errorWord>（</errorWord>
      <group>L1_Punc</group>
      <groupName>标点问题</groupName>
      <ability>L2_Punc_CN</ability>
      <abilityName>标点符号问题</abilityName>
      <candidateList/>
      <explain>同一形式括号套用。</explain>
      <paraID>278C9792</paraID>
      <start>100</start>
      <end>101</end>
      <status>unmodified</status>
      <modifiedWord/>
      <trackRevisions>false</trackRevisions>
    </reviewItem>
    <reviewItem>
      <errorID>290a6655-989d-445b-8714-6c9790c5f9d9</errorID>
      <errorWord>）</errorWord>
      <group>L1_Punc</group>
      <groupName>标点问题</groupName>
      <ability>L2_Punc_CN</ability>
      <abilityName>标点符号问题</abilityName>
      <candidateList/>
      <explain>同一形式括号套用。</explain>
      <paraID>278C9792</paraID>
      <start>114</start>
      <end>115</end>
      <status>unmodified</status>
      <modifiedWord/>
      <trackRevisions>false</trackRevisions>
    </reviewItem>
    <reviewItem>
      <errorID>2cbc1c2f-3639-44bf-98ea-d522f05d72af</errorID>
      <errorWord>,</errorWord>
      <group>L1_Format</group>
      <groupName>格式问题</groupName>
      <ability>L2_HalfPunc_CN</ability>
      <abilityName>全半角问题</abilityName>
      <candidateList>
        <item>，</item>
      </candidateList>
      <explain>文本全半角错误。</explain>
      <paraID>6E859589</paraID>
      <start>49</start>
      <end>50</end>
      <status>unmodified</status>
      <modifiedWord/>
      <trackRevisions>false</trackRevisions>
    </reviewItem>
    <reviewItem>
      <errorID>42e3e68c-8b13-4dc8-9673-b71431cdb659</errorID>
      <errorWord>（</errorWord>
      <group>L1_Punc</group>
      <groupName>标点问题</groupName>
      <ability>L2_Punc_CN</ability>
      <abilityName>标点符号问题</abilityName>
      <candidateList/>
      <explain>同一形式括号套用。</explain>
      <paraID>2B5629BF</paraID>
      <start>104</start>
      <end>105</end>
      <status>unmodified</status>
      <modifiedWord/>
      <trackRevisions>false</trackRevisions>
    </reviewItem>
    <reviewItem>
      <errorID>b6e19ef3-6300-4ca2-9ac2-67746ab0f715</errorID>
      <errorWord>）</errorWord>
      <group>L1_Punc</group>
      <groupName>标点问题</groupName>
      <ability>L2_Punc_CN</ability>
      <abilityName>标点符号问题</abilityName>
      <candidateList/>
      <explain>同一形式括号套用。</explain>
      <paraID>2B5629BF</paraID>
      <start>118</start>
      <end>119</end>
      <status>unmodified</status>
      <modifiedWord/>
      <trackRevisions>false</trackRevisions>
    </reviewItem>
    <reviewItem>
      <errorID>04837795-93c1-4f63-be6b-b00118dab604</errorID>
      <errorWord>（</errorWord>
      <group>L1_Punc</group>
      <groupName>标点问题</groupName>
      <ability>L2_Punc_CN</ability>
      <abilityName>标点符号问题</abilityName>
      <candidateList/>
      <explain>同一形式括号套用。</explain>
      <paraID> 4262551</paraID>
      <start>118</start>
      <end>119</end>
      <status>unmodified</status>
      <modifiedWord/>
      <trackRevisions>false</trackRevisions>
    </reviewItem>
    <reviewItem>
      <errorID>acf3d316-90ec-4105-a75d-4cd909c2689b</errorID>
      <errorWord>）</errorWord>
      <group>L1_Punc</group>
      <groupName>标点问题</groupName>
      <ability>L2_Punc_CN</ability>
      <abilityName>标点符号问题</abilityName>
      <candidateList/>
      <explain>同一形式括号套用。</explain>
      <paraID> 4262551</paraID>
      <start>132</start>
      <end>133</end>
      <status>unmodified</status>
      <modifiedWord/>
      <trackRevisions>false</trackRevisions>
    </reviewItem>
    <reviewItem>
      <errorID>5c0ccd74-6543-469d-97e2-1d580530cf4e</errorID>
      <errorWord>（</errorWord>
      <group>L1_Punc</group>
      <groupName>标点问题</groupName>
      <ability>L2_Punc_CN</ability>
      <abilityName>标点符号问题</abilityName>
      <candidateList/>
      <explain>同一形式括号套用。</explain>
      <paraID>7DD62A92</paraID>
      <start>114</start>
      <end>115</end>
      <status>unmodified</status>
      <modifiedWord/>
      <trackRevisions>false</trackRevisions>
    </reviewItem>
    <reviewItem>
      <errorID>df7eb4f1-7787-41bc-8138-a4e75d1d583c</errorID>
      <errorWord>）</errorWord>
      <group>L1_Punc</group>
      <groupName>标点问题</groupName>
      <ability>L2_Punc_CN</ability>
      <abilityName>标点符号问题</abilityName>
      <candidateList/>
      <explain>同一形式括号套用。</explain>
      <paraID>7DD62A92</paraID>
      <start>128</start>
      <end>129</end>
      <status>unmodified</status>
      <modifiedWord/>
      <trackRevisions>false</trackRevisions>
    </reviewItem>
    <reviewItem>
      <errorID>1235828c-6e00-4a93-b1e6-7f108b8d141b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265069C6</paraID>
      <start>34</start>
      <end>37</end>
      <status>unmodified</status>
      <modifiedWord/>
      <trackRevisions>false</trackRevisions>
    </reviewItem>
    <reviewItem>
      <errorID>5c97be08-b5d5-4bca-934a-773067c4b5e2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265069C6</paraID>
      <start>53</start>
      <end>56</end>
      <status>unmodified</status>
      <modifiedWord/>
      <trackRevisions>false</trackRevisions>
    </reviewItem>
    <reviewItem>
      <errorID>5f4b2d1e-e8bf-4596-9878-d5e6fc0103c1</errorID>
      <errorWord>》</errorWord>
      <group>L1_Word</group>
      <groupName>字词问题</groupName>
      <ability>L2_Typo</ability>
      <abilityName>字词错误</abilityName>
      <candidateList>
        <item>》和</item>
      </candidateList>
      <explain/>
      <paraID>265069C6</paraID>
      <start>83</start>
      <end>84</end>
      <status>unmodified</status>
      <modifiedWord/>
      <trackRevisions>false</trackRevisions>
    </reviewItem>
    <reviewItem>
      <errorID>2a930700-dbe5-4e6a-a775-dcb40226ab8b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265069C6</paraID>
      <start>127</start>
      <end>130</end>
      <status>unmodified</status>
      <modifiedWord/>
      <trackRevisions>false</trackRevisions>
    </reviewItem>
    <reviewItem>
      <errorID>50bfb1df-039c-4f64-b155-6e1a262a9693</errorID>
      <errorWord>（</errorWord>
      <group>L1_Punc</group>
      <groupName>标点问题</groupName>
      <ability>L2_Punc_CN</ability>
      <abilityName>标点符号问题</abilityName>
      <candidateList/>
      <explain>同一形式括号套用。</explain>
      <paraID>265069C6</paraID>
      <start>229</start>
      <end>230</end>
      <status>unmodified</status>
      <modifiedWord/>
      <trackRevisions>false</trackRevisions>
    </reviewItem>
    <reviewItem>
      <errorID>ff3a90be-315c-4587-9367-ebb5fd985e8f</errorID>
      <errorWord>）</errorWord>
      <group>L1_Punc</group>
      <groupName>标点问题</groupName>
      <ability>L2_Punc_CN</ability>
      <abilityName>标点符号问题</abilityName>
      <candidateList/>
      <explain>同一形式括号套用。</explain>
      <paraID>265069C6</paraID>
      <start>243</start>
      <end>244</end>
      <status>unmodified</status>
      <modifiedWord/>
      <trackRevisions>false</trackRevisions>
    </reviewItem>
    <reviewItem>
      <errorID>daf88bb5-9dbb-4c5e-9212-4d8d28227823</errorID>
      <errorWord>（</errorWord>
      <group>L1_Punc</group>
      <groupName>标点问题</groupName>
      <ability>L2_Punc_CN</ability>
      <abilityName>标点符号问题</abilityName>
      <candidateList/>
      <explain>同一形式括号套用。</explain>
      <paraID>386B1258</paraID>
      <start>195</start>
      <end>196</end>
      <status>unmodified</status>
      <modifiedWord/>
      <trackRevisions>false</trackRevisions>
    </reviewItem>
    <reviewItem>
      <errorID>2ec7e8d0-ec9d-4358-9606-a9e4fe45a32d</errorID>
      <errorWord>）</errorWord>
      <group>L1_Punc</group>
      <groupName>标点问题</groupName>
      <ability>L2_Punc_CN</ability>
      <abilityName>标点符号问题</abilityName>
      <candidateList/>
      <explain>同一形式括号套用。</explain>
      <paraID>386B1258</paraID>
      <start>209</start>
      <end>210</end>
      <status>unmodified</status>
      <modifiedWord/>
      <trackRevisions>false</trackRevisions>
    </reviewItem>
    <reviewItem>
      <errorID>a650d103-ea62-47c8-8e60-a7239841dc86</errorID>
      <errorWord>(</errorWord>
      <group>L1_Format</group>
      <groupName>格式问题</groupName>
      <ability>L2_HalfPunc_CN</ability>
      <abilityName>全半角问题</abilityName>
      <candidateList>
        <item>（</item>
      </candidateList>
      <explain>文本全半角错误。</explain>
      <paraID>22F12134</paraID>
      <start>83</start>
      <end>84</end>
      <status>unmodified</status>
      <modifiedWord/>
      <trackRevisions>false</trackRevisions>
    </reviewItem>
    <reviewItem>
      <errorID>c3a1e3d5-b187-45f3-8cb7-bb79047099c0</errorID>
      <errorWord>)</errorWord>
      <group>L1_Format</group>
      <groupName>格式问题</groupName>
      <ability>L2_HalfPunc_CN</ability>
      <abilityName>全半角问题</abilityName>
      <candidateList>
        <item>）</item>
      </candidateList>
      <explain>文本全半角错误。</explain>
      <paraID>22F12134</paraID>
      <start>89</start>
      <end>90</end>
      <status>unmodified</status>
      <modifiedWord/>
      <trackRevisions>false</trackRevisions>
    </reviewItem>
    <reviewItem>
      <errorID>dbf6fe5c-1264-4fbd-9d77-45906c2f5560</errorID>
      <errorWord>:</errorWord>
      <group>L1_Format</group>
      <groupName>格式问题</groupName>
      <ability>L2_HalfPunc_CN</ability>
      <abilityName>全半角问题</abilityName>
      <candidateList>
        <item>：</item>
      </candidateList>
      <explain>文本全半角错误。</explain>
      <paraID>2D0C8AD0</paraID>
      <start>12</start>
      <end>13</end>
      <status>unmodified</status>
      <modifiedWord/>
      <trackRevisions>false</trackRevisions>
    </reviewItem>
    <reviewItem>
      <errorID>7251e6dc-b30b-4237-9b27-00266450578b</errorID>
      <errorWord>（</errorWord>
      <group>L1_Punc</group>
      <groupName>标点问题</groupName>
      <ability>L2_Punc_CN</ability>
      <abilityName>标点符号问题</abilityName>
      <candidateList/>
      <explain>同一形式括号套用。</explain>
      <paraID>584B5E64</paraID>
      <start>121</start>
      <end>122</end>
      <status>unmodified</status>
      <modifiedWord/>
      <trackRevisions>false</trackRevisions>
    </reviewItem>
    <reviewItem>
      <errorID>0122785e-7dc8-4258-b37e-80a56f7dc6bd</errorID>
      <errorWord>）</errorWord>
      <group>L1_Punc</group>
      <groupName>标点问题</groupName>
      <ability>L2_Punc_CN</ability>
      <abilityName>标点符号问题</abilityName>
      <candidateList/>
      <explain>同一形式括号套用。</explain>
      <paraID>584B5E64</paraID>
      <start>135</start>
      <end>136</end>
      <status>unmodified</status>
      <modifiedWord/>
      <trackRevisions>false</trackRevisions>
    </reviewItem>
    <reviewItem>
      <errorID>661cda97-cbe3-42e8-beaa-7fccae177312</errorID>
      <errorWord>（</errorWord>
      <group>L1_Punc</group>
      <groupName>标点问题</groupName>
      <ability>L2_Punc_CN</ability>
      <abilityName>标点符号问题</abilityName>
      <candidateList/>
      <explain>同一形式括号套用。</explain>
      <paraID>4880ED2A</paraID>
      <start>132</start>
      <end>133</end>
      <status>unmodified</status>
      <modifiedWord/>
      <trackRevisions>false</trackRevisions>
    </reviewItem>
    <reviewItem>
      <errorID>c7181ca1-77f2-4f13-b444-f9b56f977d88</errorID>
      <errorWord>）</errorWord>
      <group>L1_Punc</group>
      <groupName>标点问题</groupName>
      <ability>L2_Punc_CN</ability>
      <abilityName>标点符号问题</abilityName>
      <candidateList/>
      <explain>同一形式括号套用。</explain>
      <paraID>4880ED2A</paraID>
      <start>146</start>
      <end>147</end>
      <status>unmodified</status>
      <modifiedWord/>
      <trackRevisions>false</trackRevisions>
    </reviewItem>
    <reviewItem>
      <errorID>901424a3-a696-4104-8ab3-60c283537403</errorID>
      <errorWord>（</errorWord>
      <group>L1_Punc</group>
      <groupName>标点问题</groupName>
      <ability>L2_Punc_CN</ability>
      <abilityName>标点符号问题</abilityName>
      <candidateList/>
      <explain>同一形式括号套用。</explain>
      <paraID>459EB1F7</paraID>
      <start>139</start>
      <end>140</end>
      <status>unmodified</status>
      <modifiedWord/>
      <trackRevisions>false</trackRevisions>
    </reviewItem>
    <reviewItem>
      <errorID>ad7de7fe-a4c4-4ff8-8126-3257ce34cfa3</errorID>
      <errorWord>）</errorWord>
      <group>L1_Punc</group>
      <groupName>标点问题</groupName>
      <ability>L2_Punc_CN</ability>
      <abilityName>标点符号问题</abilityName>
      <candidateList/>
      <explain>同一形式括号套用。</explain>
      <paraID>459EB1F7</paraID>
      <start>153</start>
      <end>154</end>
      <status>unmodified</status>
      <modifiedWord/>
      <trackRevisions>false</trackRevisions>
    </reviewItem>
    <reviewItem>
      <errorID>7d16884b-ccda-4704-8503-4673cdc1b998</errorID>
      <errorWord>(</errorWord>
      <group>L1_Format</group>
      <groupName>格式问题</groupName>
      <ability>L2_HalfPunc_CN</ability>
      <abilityName>全半角问题</abilityName>
      <candidateList>
        <item>（</item>
      </candidateList>
      <explain>文本全半角错误。</explain>
      <paraID>7602EE8B</paraID>
      <start>15</start>
      <end>16</end>
      <status>unmodified</status>
      <modifiedWord/>
      <trackRevisions>false</trackRevisions>
    </reviewItem>
    <reviewItem>
      <errorID>3459d0e9-50a0-49c6-aea5-0016263e0068</errorID>
      <errorWord>)</errorWord>
      <group>L1_Format</group>
      <groupName>格式问题</groupName>
      <ability>L2_HalfPunc_CN</ability>
      <abilityName>全半角问题</abilityName>
      <candidateList>
        <item>）</item>
      </candidateList>
      <explain>文本全半角错误。</explain>
      <paraID>7602EE8B</paraID>
      <start>24</start>
      <end>25</end>
      <status>unmodified</status>
      <modifiedWord/>
      <trackRevisions>false</trackRevisions>
    </reviewItem>
    <reviewItem>
      <errorID>0c31b40b-431b-49b9-a8f2-452ef0491635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3AC17AB7</paraID>
      <start>34</start>
      <end>37</end>
      <status>unmodified</status>
      <modifiedWord/>
      <trackRevisions>false</trackRevisions>
    </reviewItem>
    <reviewItem>
      <errorID>e77eed6f-621a-4a4f-90b4-5c5a9c0de91e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3AC17AB7</paraID>
      <start>53</start>
      <end>56</end>
      <status>unmodified</status>
      <modifiedWord/>
      <trackRevisions>false</trackRevisions>
    </reviewItem>
    <reviewItem>
      <errorID>072063cf-0248-466b-9c82-b5829e8448d0</errorID>
      <errorWord>》</errorWord>
      <group>L1_Word</group>
      <groupName>字词问题</groupName>
      <ability>L2_Typo</ability>
      <abilityName>字词错误</abilityName>
      <candidateList>
        <item>》和</item>
      </candidateList>
      <explain/>
      <paraID>3AC17AB7</paraID>
      <start>83</start>
      <end>84</end>
      <status>unmodified</status>
      <modifiedWord/>
      <trackRevisions>false</trackRevisions>
    </reviewItem>
    <reviewItem>
      <errorID>1347c007-e6af-4f5f-aa97-fc995dc9fd71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3AC17AB7</paraID>
      <start>127</start>
      <end>130</end>
      <status>unmodified</status>
      <modifiedWord/>
      <trackRevisions>false</trackRevisions>
    </reviewItem>
    <reviewItem>
      <errorID>aca4823a-13bb-4021-806a-74c98a6e95a6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61A643CE</paraID>
      <start>24</start>
      <end>27</end>
      <status>unmodified</status>
      <modifiedWord/>
      <trackRevisions>false</trackRevisions>
    </reviewItem>
    <reviewItem>
      <errorID>98153c4c-8035-401a-abcc-90ed0ad0e269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61A643CE</paraID>
      <start>32</start>
      <end>35</end>
      <status>unmodified</status>
      <modifiedWord/>
      <trackRevisions>false</trackRevisions>
    </reviewItem>
    <reviewItem>
      <errorID>05c3359f-00f8-45f1-b270-89a91cdf0a91</errorID>
      <errorWord>,</errorWord>
      <group>L1_Format</group>
      <groupName>格式问题</groupName>
      <ability>L2_HalfPunc_CN</ability>
      <abilityName>全半角问题</abilityName>
      <candidateList>
        <item>，</item>
      </candidateList>
      <explain>文本全半角错误。</explain>
      <paraID>159F6B79</paraID>
      <start>150</start>
      <end>151</end>
      <status>unmodified</status>
      <modifiedWord/>
      <trackRevisions>false</trackRevisions>
    </reviewItem>
    <reviewItem>
      <errorID>c64c626c-fbac-4fd4-b410-f0393b4c5912</errorID>
      <errorWord>)</errorWord>
      <group>L1_Format</group>
      <groupName>格式问题</groupName>
      <ability>L2_HalfPunc_CN</ability>
      <abilityName>全半角问题</abilityName>
      <candidateList>
        <item>）</item>
      </candidateList>
      <explain>文本全半角错误。</explain>
      <paraID>159F6B79</paraID>
      <start>172</start>
      <end>173</end>
      <status>unmodified</status>
      <modifiedWord/>
      <trackRevisions>false</trackRevisions>
    </reviewItem>
    <reviewItem>
      <errorID>c79828a9-8c22-43cc-ba88-61bef4dc6d43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649FABEA</paraID>
      <start>34</start>
      <end>37</end>
      <status>unmodified</status>
      <modifiedWord/>
      <trackRevisions>false</trackRevisions>
    </reviewItem>
    <reviewItem>
      <errorID>52f95c95-9e72-4dac-b01c-8e297a1a4ad6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649FABEA</paraID>
      <start>53</start>
      <end>56</end>
      <status>unmodified</status>
      <modifiedWord/>
      <trackRevisions>false</trackRevisions>
    </reviewItem>
    <reviewItem>
      <errorID>ea89c92a-e393-45f6-b45b-a1af2def9d8f</errorID>
      <errorWord>》</errorWord>
      <group>L1_Word</group>
      <groupName>字词问题</groupName>
      <ability>L2_Typo</ability>
      <abilityName>字词错误</abilityName>
      <candidateList>
        <item>》和</item>
      </candidateList>
      <explain/>
      <paraID>649FABEA</paraID>
      <start>83</start>
      <end>84</end>
      <status>unmodified</status>
      <modifiedWord/>
      <trackRevisions>false</trackRevisions>
    </reviewItem>
    <reviewItem>
      <errorID>d0d87365-1688-4d16-b44d-7809d72f3fab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649FABEA</paraID>
      <start>127</start>
      <end>130</end>
      <status>unmodified</status>
      <modifiedWord/>
      <trackRevisions>false</trackRevisions>
    </reviewItem>
    <reviewItem>
      <errorID>8067b418-357a-4b9b-a891-8df9b2d96dc6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6C9E158C</paraID>
      <start>23</start>
      <end>26</end>
      <status>unmodified</status>
      <modifiedWord/>
      <trackRevisions>false</trackRevisions>
    </reviewItem>
    <reviewItem>
      <errorID>3077ede3-c425-406a-b8fe-0926819cf4d6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6C9E158C</paraID>
      <start>31</start>
      <end>34</end>
      <status>unmodified</status>
      <modifiedWord/>
      <trackRevisions>false</trackRevisions>
    </reviewItem>
    <reviewItem>
      <errorID>780e30f7-f1e0-4321-9d50-76cff20d08e0</errorID>
      <errorWord>（</errorWord>
      <group>L1_Punc</group>
      <groupName>标点问题</groupName>
      <ability>L2_Punc_CN</ability>
      <abilityName>标点符号问题</abilityName>
      <candidateList/>
      <explain>同一形式括号套用。</explain>
      <paraID>6C9E158C</paraID>
      <start>168</start>
      <end>169</end>
      <status>unmodified</status>
      <modifiedWord/>
      <trackRevisions>false</trackRevisions>
    </reviewItem>
    <reviewItem>
      <errorID>9218dd24-51aa-4850-8952-7a17d4bdd499</errorID>
      <errorWord>）</errorWord>
      <group>L1_Punc</group>
      <groupName>标点问题</groupName>
      <ability>L2_Punc_CN</ability>
      <abilityName>标点符号问题</abilityName>
      <candidateList/>
      <explain>同一形式括号套用。</explain>
      <paraID>6C9E158C</paraID>
      <start>182</start>
      <end>183</end>
      <status>unmodified</status>
      <modifiedWord/>
      <trackRevisions>false</trackRevisions>
    </reviewItem>
    <reviewItem>
      <errorID>1f242b29-5287-4322-aa4d-06398cbd4592</errorID>
      <errorWord>（</errorWord>
      <group>L1_Punc</group>
      <groupName>标点问题</groupName>
      <ability>L2_Punc_CN</ability>
      <abilityName>标点符号问题</abilityName>
      <candidateList/>
      <explain>同一形式括号套用。</explain>
      <paraID> D298EFC</paraID>
      <start>119</start>
      <end>120</end>
      <status>unmodified</status>
      <modifiedWord/>
      <trackRevisions>false</trackRevisions>
    </reviewItem>
    <reviewItem>
      <errorID>bb765e9b-6f06-4451-b28b-18434cc70166</errorID>
      <errorWord>）</errorWord>
      <group>L1_Punc</group>
      <groupName>标点问题</groupName>
      <ability>L2_Punc_CN</ability>
      <abilityName>标点符号问题</abilityName>
      <candidateList/>
      <explain>同一形式括号套用。</explain>
      <paraID> D298EFC</paraID>
      <start>133</start>
      <end>134</end>
      <status>unmodified</status>
      <modifiedWord/>
      <trackRevisions>false</trackRevisions>
    </reviewItem>
    <reviewItem>
      <errorID>32b20df0-9ce7-4633-ae2a-83cc8eca98e4</errorID>
      <errorWord>（</errorWord>
      <group>L1_Punc</group>
      <groupName>标点问题</groupName>
      <ability>L2_Punc_CN</ability>
      <abilityName>标点符号问题</abilityName>
      <candidateList/>
      <explain>同一形式括号套用。</explain>
      <paraID> 33EB810</paraID>
      <start>107</start>
      <end>108</end>
      <status>unmodified</status>
      <modifiedWord/>
      <trackRevisions>false</trackRevisions>
    </reviewItem>
    <reviewItem>
      <errorID>820b3a52-43ba-4677-a244-403eda12dd62</errorID>
      <errorWord>）</errorWord>
      <group>L1_Punc</group>
      <groupName>标点问题</groupName>
      <ability>L2_Punc_CN</ability>
      <abilityName>标点符号问题</abilityName>
      <candidateList/>
      <explain>同一形式括号套用。</explain>
      <paraID> 33EB810</paraID>
      <start>121</start>
      <end>122</end>
      <status>unmodified</status>
      <modifiedWord/>
      <trackRevisions>false</trackRevisions>
    </reviewItem>
    <reviewItem>
      <errorID>a56e521b-7a84-4235-81af-42401ee3155a</errorID>
      <errorWord>（</errorWord>
      <group>L1_Punc</group>
      <groupName>标点问题</groupName>
      <ability>L2_Punc_CN</ability>
      <abilityName>标点符号问题</abilityName>
      <candidateList/>
      <explain>同一形式括号套用。</explain>
      <paraID>15326A59</paraID>
      <start>115</start>
      <end>116</end>
      <status>unmodified</status>
      <modifiedWord/>
      <trackRevisions>false</trackRevisions>
    </reviewItem>
    <reviewItem>
      <errorID>ac66535f-563c-4610-ac26-ebd7ee652fd8</errorID>
      <errorWord>）</errorWord>
      <group>L1_Punc</group>
      <groupName>标点问题</groupName>
      <ability>L2_Punc_CN</ability>
      <abilityName>标点符号问题</abilityName>
      <candidateList/>
      <explain>同一形式括号套用。</explain>
      <paraID>15326A59</paraID>
      <start>129</start>
      <end>130</end>
      <status>unmodified</status>
      <modifiedWord/>
      <trackRevisions>false</trackRevisions>
    </reviewItem>
    <reviewItem>
      <errorID>eec0b763-8f5d-48f8-93d4-197822add790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50D622D7</paraID>
      <start>34</start>
      <end>37</end>
      <status>unmodified</status>
      <modifiedWord/>
      <trackRevisions>false</trackRevisions>
    </reviewItem>
    <reviewItem>
      <errorID>1e3cf52a-00fb-4bd2-845c-5e1437aa4931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50D622D7</paraID>
      <start>53</start>
      <end>56</end>
      <status>unmodified</status>
      <modifiedWord/>
      <trackRevisions>false</trackRevisions>
    </reviewItem>
    <reviewItem>
      <errorID>479a3ebf-b3af-44f0-a87a-3cbe2174917f</errorID>
      <errorWord>》</errorWord>
      <group>L1_Word</group>
      <groupName>字词问题</groupName>
      <ability>L2_Typo</ability>
      <abilityName>字词错误</abilityName>
      <candidateList>
        <item>》和</item>
      </candidateList>
      <explain/>
      <paraID>50D622D7</paraID>
      <start>83</start>
      <end>84</end>
      <status>unmodified</status>
      <modifiedWord/>
      <trackRevisions>false</trackRevisions>
    </reviewItem>
    <reviewItem>
      <errorID>c3b09cee-9f76-4e8e-8d11-cacb5180b7d6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50D622D7</paraID>
      <start>127</start>
      <end>130</end>
      <status>unmodified</status>
      <modifiedWord/>
      <trackRevisions>false</trackRevisions>
    </reviewItem>
    <reviewItem>
      <errorID>b5e4f468-b64b-4e21-baa0-8652fe942a26</errorID>
      <errorWord>（</errorWord>
      <group>L1_Punc</group>
      <groupName>标点问题</groupName>
      <ability>L2_Punc_CN</ability>
      <abilityName>标点符号问题</abilityName>
      <candidateList/>
      <explain>同一形式括号套用。</explain>
      <paraID>50D622D7</paraID>
      <start>229</start>
      <end>230</end>
      <status>unmodified</status>
      <modifiedWord/>
      <trackRevisions>false</trackRevisions>
    </reviewItem>
    <reviewItem>
      <errorID>fdf36600-687f-4456-8be5-3e608d65ce5a</errorID>
      <errorWord>）</errorWord>
      <group>L1_Punc</group>
      <groupName>标点问题</groupName>
      <ability>L2_Punc_CN</ability>
      <abilityName>标点符号问题</abilityName>
      <candidateList/>
      <explain>同一形式括号套用。</explain>
      <paraID>50D622D7</paraID>
      <start>243</start>
      <end>244</end>
      <status>unmodified</status>
      <modifiedWord/>
      <trackRevisions>false</trackRevisions>
    </reviewItem>
    <reviewItem>
      <errorID>3762aed1-3cf8-4eef-9318-b20b8340f8c7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2FD890B6</paraID>
      <start>0</start>
      <end>2</end>
      <status>unmodified</status>
      <modifiedWord/>
      <trackRevisions>false</trackRevisions>
    </reviewItem>
    <reviewItem>
      <errorID>f62d46c7-f45b-4044-80e7-1c7341339958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4CC26673</paraID>
      <start>0</start>
      <end>2</end>
      <status>unmodified</status>
      <modifiedWord/>
      <trackRevisions>false</trackRevisions>
    </reviewItem>
    <reviewItem>
      <errorID>2e782579-dc86-4a26-91b2-60fe776008c2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69D90353</paraID>
      <start>0</start>
      <end>2</end>
      <status>unmodified</status>
      <modifiedWord/>
      <trackRevisions>false</trackRevisions>
    </reviewItem>
    <reviewItem>
      <errorID>476b0522-02c8-4832-8a18-ec2ef98cc97b</errorID>
      <errorWord>(</errorWord>
      <group>L1_Format</group>
      <groupName>格式问题</groupName>
      <ability>L2_HalfPunc_CN</ability>
      <abilityName>全半角问题</abilityName>
      <candidateList>
        <item>（</item>
      </candidateList>
      <explain>文本全半角错误。</explain>
      <paraID>69D90353</paraID>
      <start>30</start>
      <end>31</end>
      <status>unmodified</status>
      <modifiedWord/>
      <trackRevisions>false</trackRevisions>
    </reviewItem>
    <reviewItem>
      <errorID>ed3253e6-2e8e-45fb-adc8-73138024a161</errorID>
      <errorWord>)</errorWord>
      <group>L1_Format</group>
      <groupName>格式问题</groupName>
      <ability>L2_HalfPunc_CN</ability>
      <abilityName>全半角问题</abilityName>
      <candidateList>
        <item>）</item>
      </candidateList>
      <explain>文本全半角错误。</explain>
      <paraID>69D90353</paraID>
      <start>45</start>
      <end>46</end>
      <status>unmodified</status>
      <modifiedWord/>
      <trackRevisions>false</trackRevisions>
    </reviewItem>
    <reviewItem>
      <errorID>2e9550f0-2628-4930-b853-3d38c139c82d</errorID>
      <errorWord>（</errorWord>
      <group>L1_Punc</group>
      <groupName>标点问题</groupName>
      <ability>L2_Punc_CN</ability>
      <abilityName>标点符号问题</abilityName>
      <candidateList/>
      <explain>同一形式括号套用。</explain>
      <paraID>69D90353</paraID>
      <start>110</start>
      <end>111</end>
      <status>unmodified</status>
      <modifiedWord/>
      <trackRevisions>false</trackRevisions>
    </reviewItem>
    <reviewItem>
      <errorID>8ad013e1-7c09-4b46-9933-bc589337b6c0</errorID>
      <errorWord>）</errorWord>
      <group>L1_Punc</group>
      <groupName>标点问题</groupName>
      <ability>L2_Punc_CN</ability>
      <abilityName>标点符号问题</abilityName>
      <candidateList/>
      <explain>同一形式括号套用。</explain>
      <paraID>69D90353</paraID>
      <start>124</start>
      <end>125</end>
      <status>unmodified</status>
      <modifiedWord/>
      <trackRevisions>false</trackRevisions>
    </reviewItem>
    <reviewItem>
      <errorID>d900606d-3550-4e1f-bf8e-176e346101c2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634541F8</paraID>
      <start>0</start>
      <end>2</end>
      <status>unmodified</status>
      <modifiedWord/>
      <trackRevisions>false</trackRevisions>
    </reviewItem>
    <reviewItem>
      <errorID>a2e76771-549c-4b8e-9bc1-11ebe61845c5</errorID>
      <errorWord>（</errorWord>
      <group>L1_Punc</group>
      <groupName>标点问题</groupName>
      <ability>L2_Punc_CN</ability>
      <abilityName>标点符号问题</abilityName>
      <candidateList/>
      <explain>同一形式括号套用。</explain>
      <paraID>634541F8</paraID>
      <start>73</start>
      <end>74</end>
      <status>unmodified</status>
      <modifiedWord/>
      <trackRevisions>false</trackRevisions>
    </reviewItem>
    <reviewItem>
      <errorID>b76a7f86-0db2-4fc2-ba1c-dbf2c04fe11d</errorID>
      <errorWord>）</errorWord>
      <group>L1_Punc</group>
      <groupName>标点问题</groupName>
      <ability>L2_Punc_CN</ability>
      <abilityName>标点符号问题</abilityName>
      <candidateList/>
      <explain>同一形式括号套用。</explain>
      <paraID>634541F8</paraID>
      <start>87</start>
      <end>88</end>
      <status>unmodified</status>
      <modifiedWord/>
      <trackRevisions>false</trackRevisions>
    </reviewItem>
    <reviewItem>
      <errorID>00579a97-47f5-4c91-a89b-9381f76a6a75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1BACBEE9</paraID>
      <start>0</start>
      <end>2</end>
      <status>unmodified</status>
      <modifiedWord/>
      <trackRevisions>false</trackRevisions>
    </reviewItem>
    <reviewItem>
      <errorID>27b46ab4-0d83-495d-af4f-20891beed812</errorID>
      <errorWord>（</errorWord>
      <group>L1_Punc</group>
      <groupName>标点问题</groupName>
      <ability>L2_Punc_CN</ability>
      <abilityName>标点符号问题</abilityName>
      <candidateList/>
      <explain>同一形式括号套用。</explain>
      <paraID>1BACBEE9</paraID>
      <start>89</start>
      <end>90</end>
      <status>unmodified</status>
      <modifiedWord/>
      <trackRevisions>false</trackRevisions>
    </reviewItem>
    <reviewItem>
      <errorID>fc36dfac-7fee-47c0-af22-ca308f5297b0</errorID>
      <errorWord>）</errorWord>
      <group>L1_Punc</group>
      <groupName>标点问题</groupName>
      <ability>L2_Punc_CN</ability>
      <abilityName>标点符号问题</abilityName>
      <candidateList/>
      <explain>同一形式括号套用。</explain>
      <paraID>1BACBEE9</paraID>
      <start>103</start>
      <end>104</end>
      <status>unmodified</status>
      <modifiedWord/>
      <trackRevisions>false</trackRevisions>
    </reviewItem>
    <reviewItem>
      <errorID>dbc699da-cecc-48e7-a6e3-2b539bc711f4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EDEC801</paraID>
      <start>0</start>
      <end>2</end>
      <status>unmodified</status>
      <modifiedWord/>
      <trackRevisions>false</trackRevisions>
    </reviewItem>
    <reviewItem>
      <errorID>4b893b70-49a7-40e0-bc7d-34bd94cbccd5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74918BDE</paraID>
      <start>0</start>
      <end>2</end>
      <status>unmodified</status>
      <modifiedWord/>
      <trackRevisions>false</trackRevisions>
    </reviewItem>
    <reviewItem>
      <errorID>efd4a916-e5c2-4971-a48b-824cfe7a72ee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19704EB2</paraID>
      <start>0</start>
      <end>2</end>
      <status>unmodified</status>
      <modifiedWord/>
      <trackRevisions>false</trackRevisions>
    </reviewItem>
    <reviewItem>
      <errorID>80849be1-ad27-4038-8fd9-6b072d0f07b2</errorID>
      <errorWord>)</errorWord>
      <group>L1_Format</group>
      <groupName>格式问题</groupName>
      <ability>L2_HalfPunc_CN</ability>
      <abilityName>全半角问题</abilityName>
      <candidateList>
        <item>）</item>
      </candidateList>
      <explain>文本全半角错误。</explain>
      <paraID>19704EB2</paraID>
      <start>311</start>
      <end>312</end>
      <status>unmodified</status>
      <modifiedWord/>
      <trackRevisions>false</trackRevisions>
    </reviewItem>
    <reviewItem>
      <errorID>b479ad6d-5132-48bf-9214-29bf3d510d95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338ADFC9</paraID>
      <start>0</start>
      <end>2</end>
      <status>unmodified</status>
      <modifiedWord/>
      <trackRevisions>false</trackRevisions>
    </reviewItem>
    <reviewItem>
      <errorID>9442b8fe-6d6c-452c-ada9-cb7c22f80b15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18F14F1B</paraID>
      <start>0</start>
      <end>2</end>
      <status>unmodified</status>
      <modifiedWord/>
      <trackRevisions>false</trackRevisions>
    </reviewItem>
    <reviewItem>
      <errorID>e46cae0e-01cb-47e9-9efa-6a84494d4103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541952AA</paraID>
      <start>0</start>
      <end>2</end>
      <status>unmodified</status>
      <modifiedWord/>
      <trackRevisions>false</trackRevisions>
    </reviewItem>
    <reviewItem>
      <errorID>1cef2656-46e4-4637-b2f5-d1c65b252b0e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55650E76</paraID>
      <start>0</start>
      <end>2</end>
      <status>unmodified</status>
      <modifiedWord/>
      <trackRevisions>false</trackRevisions>
    </reviewItem>
    <reviewItem>
      <errorID>c8874157-c421-46f8-89fb-339214a72bef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7380E12E</paraID>
      <start>0</start>
      <end>2</end>
      <status>unmodified</status>
      <modifiedWord/>
      <trackRevisions>false</trackRevisions>
    </reviewItem>
    <reviewItem>
      <errorID>4766749a-eedc-490a-9f58-be8c57b43b9f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4BF4907B</paraID>
      <start>0</start>
      <end>2</end>
      <status>unmodified</status>
      <modifiedWord/>
      <trackRevisions>false</trackRevisions>
    </reviewItem>
    <reviewItem>
      <errorID>13b75831-74dd-45c7-8c00-cb02ce114867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5FBE0A9B</paraID>
      <start>0</start>
      <end>2</end>
      <status>unmodified</status>
      <modifiedWord/>
      <trackRevisions>false</trackRevisions>
    </reviewItem>
    <reviewItem>
      <errorID>f1da66f3-9975-4d1e-9fa1-892e281a9fc5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3CB85AF5</paraID>
      <start>0</start>
      <end>2</end>
      <status>unmodified</status>
      <modifiedWord/>
      <trackRevisions>false</trackRevisions>
    </reviewItem>
    <reviewItem>
      <errorID>3a3849e9-8d0f-4f0d-b618-acebbbbfc09c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2E77C9B8</paraID>
      <start>0</start>
      <end>2</end>
      <status>unmodified</status>
      <modifiedWord/>
      <trackRevisions>false</trackRevisions>
    </reviewItem>
    <reviewItem>
      <errorID>52b04962-2e6b-4f45-8aca-f72a94a3249f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3938D342</paraID>
      <start>0</start>
      <end>2</end>
      <status>unmodified</status>
      <modifiedWord/>
      <trackRevisions>false</trackRevisions>
    </reviewItem>
    <reviewItem>
      <errorID>16f064b5-c81d-44df-8203-4638ee300c21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70204CBC</paraID>
      <start>0</start>
      <end>2</end>
      <status>unmodified</status>
      <modifiedWord/>
      <trackRevisions>false</trackRevisions>
    </reviewItem>
    <reviewItem>
      <errorID>1cc53373-2369-409b-8ea7-13a1ba3ae9be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3275DEDB</paraID>
      <start>0</start>
      <end>2</end>
      <status>unmodified</status>
      <modifiedWord/>
      <trackRevisions>false</trackRevisions>
    </reviewItem>
    <reviewItem>
      <errorID>1b65d500-48f1-4b36-8332-094e9bb1717c</errorID>
      <errorWord>（</errorWord>
      <group>L1_Punc</group>
      <groupName>标点问题</groupName>
      <ability>L2_Punc_CN</ability>
      <abilityName>标点符号问题</abilityName>
      <candidateList/>
      <explain>同一形式括号套用。</explain>
      <paraID>4B28351D</paraID>
      <start>63</start>
      <end>64</end>
      <status>unmodified</status>
      <modifiedWord/>
      <trackRevisions>false</trackRevisions>
    </reviewItem>
    <reviewItem>
      <errorID>2641a09d-ed7f-4f1f-96d7-4537e566b427</errorID>
      <errorWord>）</errorWord>
      <group>L1_Punc</group>
      <groupName>标点问题</groupName>
      <ability>L2_Punc_CN</ability>
      <abilityName>标点符号问题</abilityName>
      <candidateList/>
      <explain>同一形式括号套用。</explain>
      <paraID>4B28351D</paraID>
      <start>77</start>
      <end>78</end>
      <status>unmodified</status>
      <modifiedWord/>
      <trackRevisions>false</trackRevisions>
    </reviewItem>
    <reviewItem>
      <errorID>795d473e-3afd-4c13-8bae-6b665dd6ace4</errorID>
      <errorWord>（</errorWord>
      <group>L1_Punc</group>
      <groupName>标点问题</groupName>
      <ability>L2_Punc_CN</ability>
      <abilityName>标点符号问题</abilityName>
      <candidateList/>
      <explain>同一形式括号套用。</explain>
      <paraID>1C769227</paraID>
      <start>82</start>
      <end>83</end>
      <status>unmodified</status>
      <modifiedWord/>
      <trackRevisions>false</trackRevisions>
    </reviewItem>
    <reviewItem>
      <errorID>255127da-32a4-419b-88ef-2163495f0263</errorID>
      <errorWord>）</errorWord>
      <group>L1_Punc</group>
      <groupName>标点问题</groupName>
      <ability>L2_Punc_CN</ability>
      <abilityName>标点符号问题</abilityName>
      <candidateList/>
      <explain>同一形式括号套用。</explain>
      <paraID>1C769227</paraID>
      <start>96</start>
      <end>97</end>
      <status>unmodified</status>
      <modifiedWord/>
      <trackRevisions>false</trackRevisions>
    </reviewItem>
    <reviewItem>
      <errorID>40356ae5-a4cd-47bb-9063-d8f54ecfd4c4</errorID>
      <errorWord>（</errorWord>
      <group>L1_Punc</group>
      <groupName>标点问题</groupName>
      <ability>L2_Punc_CN</ability>
      <abilityName>标点符号问题</abilityName>
      <candidateList/>
      <explain>同一形式括号套用。</explain>
      <paraID>5BB2355B</paraID>
      <start>119</start>
      <end>120</end>
      <status>unmodified</status>
      <modifiedWord/>
      <trackRevisions>false</trackRevisions>
    </reviewItem>
    <reviewItem>
      <errorID>117843b6-701a-48ad-9d3f-c43c560cbd8b</errorID>
      <errorWord>）</errorWord>
      <group>L1_Punc</group>
      <groupName>标点问题</groupName>
      <ability>L2_Punc_CN</ability>
      <abilityName>标点符号问题</abilityName>
      <candidateList/>
      <explain>同一形式括号套用。</explain>
      <paraID>5BB2355B</paraID>
      <start>133</start>
      <end>134</end>
      <status>unmodified</status>
      <modifiedWord/>
      <trackRevisions>false</trackRevisions>
    </reviewItem>
    <reviewItem>
      <errorID>5e73fde6-2c80-47c2-94bf-6b32f4a2be56</errorID>
      <errorWord>（</errorWord>
      <group>L1_Punc</group>
      <groupName>标点问题</groupName>
      <ability>L2_Punc_CN</ability>
      <abilityName>标点符号问题</abilityName>
      <candidateList/>
      <explain>同一形式括号套用。</explain>
      <paraID>5BF2C45D</paraID>
      <start>51</start>
      <end>52</end>
      <status>unmodified</status>
      <modifiedWord/>
      <trackRevisions>false</trackRevisions>
    </reviewItem>
    <reviewItem>
      <errorID>e9c3c665-5deb-48ac-be6f-6313702fd755</errorID>
      <errorWord>）</errorWord>
      <group>L1_Punc</group>
      <groupName>标点问题</groupName>
      <ability>L2_Punc_CN</ability>
      <abilityName>标点符号问题</abilityName>
      <candidateList/>
      <explain>同一形式括号套用。</explain>
      <paraID>5BF2C45D</paraID>
      <start>65</start>
      <end>66</end>
      <status>unmodified</status>
      <modifiedWord/>
      <trackRevisions>false</trackRevisions>
    </reviewItem>
    <reviewItem>
      <errorID>6ce4f1f2-b9e2-4a58-8981-b1d751f44f06</errorID>
      <errorWord>:</errorWord>
      <group>L1_Format</group>
      <groupName>格式问题</groupName>
      <ability>L2_HalfPunc_CN</ability>
      <abilityName>全半角问题</abilityName>
      <candidateList>
        <item>：</item>
      </candidateList>
      <explain>文本全半角错误。</explain>
      <paraID>6264BB8C</paraID>
      <start>9</start>
      <end>10</end>
      <status>unmodified</status>
      <modifiedWord/>
      <trackRevisions>false</trackRevisions>
    </reviewItem>
    <reviewItem>
      <errorID>7b38c14d-e468-400e-8c62-73cab11389d8</errorID>
      <errorWord>:</errorWord>
      <group>L1_Format</group>
      <groupName>格式问题</groupName>
      <ability>L2_HalfPunc_CN</ability>
      <abilityName>全半角问题</abilityName>
      <candidateList>
        <item>：</item>
      </candidateList>
      <explain>文本全半角错误。</explain>
      <paraID>6264BB8C</paraID>
      <start>49</start>
      <end>50</end>
      <status>unmodified</status>
      <modifiedWord/>
      <trackRevisions>false</trackRevisions>
    </reviewItem>
    <reviewItem>
      <errorID>567046fb-0ce0-4163-8362-8c1c9f0ab173</errorID>
      <errorWord>;</errorWord>
      <group>L1_Format</group>
      <groupName>格式问题</groupName>
      <ability>L2_HalfPunc_CN</ability>
      <abilityName>全半角问题</abilityName>
      <candidateList>
        <item>；</item>
      </candidateList>
      <explain>文本全半角错误。</explain>
      <paraID>12B1457A</paraID>
      <start>65</start>
      <end>66</end>
      <status>unmodified</status>
      <modifiedWord/>
      <trackRevisions>false</trackRevisions>
    </reviewItem>
    <reviewItem>
      <errorID>34ac2891-a47b-4231-a16c-59e1a7805dbb</errorID>
      <errorWord>;</errorWord>
      <group>L1_Format</group>
      <groupName>格式问题</groupName>
      <ability>L2_HalfPunc_CN</ability>
      <abilityName>全半角问题</abilityName>
      <candidateList>
        <item>；</item>
      </candidateList>
      <explain>文本全半角错误。</explain>
      <paraID>4E5DA6F9</paraID>
      <start>30</start>
      <end>31</end>
      <status>unmodified</status>
      <modifiedWord/>
      <trackRevisions>false</trackRevisions>
    </reviewItem>
    <reviewItem>
      <errorID>74efe7ef-62f2-44f5-8053-33c901360e8f</errorID>
      <errorWord>)</errorWord>
      <group>L1_Format</group>
      <groupName>格式问题</groupName>
      <ability>L2_HalfPunc_CN</ability>
      <abilityName>全半角问题</abilityName>
      <candidateList>
        <item>）</item>
      </candidateList>
      <explain>文本全半角错误。</explain>
      <paraID>59B0BDEF</paraID>
      <start>44</start>
      <end>45</end>
      <status>unmodified</status>
      <modifiedWord/>
      <trackRevisions>false</trackRevisions>
    </reviewItem>
    <reviewItem>
      <errorID>5991b446-10c0-4ae1-b8c4-f87e333581ec</errorID>
      <errorWord>,</errorWord>
      <group>L1_Format</group>
      <groupName>格式问题</groupName>
      <ability>L2_HalfPunc_CN</ability>
      <abilityName>全半角问题</abilityName>
      <candidateList>
        <item>，</item>
      </candidateList>
      <explain>文本全半角错误。</explain>
      <paraID>59B0BDEF</paraID>
      <start>52</start>
      <end>53</end>
      <status>unmodified</status>
      <modifiedWord/>
      <trackRevisions>false</trackRevisions>
    </reviewItem>
    <reviewItem>
      <errorID>49902b62-9d49-49a5-9235-d194d91913bf</errorID>
      <errorWord>法律、法规</errorWord>
      <group>L1_Word</group>
      <groupName>字词问题</groupName>
      <ability>L2_Typo</ability>
      <abilityName>字词错误</abilityName>
      <candidateList>
        <item>法律法规</item>
      </candidateList>
      <explain/>
      <paraID>10E293FE</paraID>
      <start>43</start>
      <end>48</end>
      <status>unmodified</status>
      <modifiedWord/>
      <trackRevisions>false</trackRevisions>
    </reviewItem>
    <reviewItem>
      <errorID>326acda1-61d0-422d-b0b3-877e55e8b93a</errorID>
      <errorWord>(</errorWord>
      <group>L1_Format</group>
      <groupName>格式问题</groupName>
      <ability>L2_HalfPunc_CN</ability>
      <abilityName>全半角问题</abilityName>
      <candidateList>
        <item>（</item>
      </candidateList>
      <explain>文本全半角错误。</explain>
      <paraID> ACB5843</paraID>
      <start>4</start>
      <end>5</end>
      <status>unmodified</status>
      <modifiedWord/>
      <trackRevisions>false</trackRevisions>
    </reviewItem>
    <reviewItem>
      <errorID>7e06a1a5-ad7e-478c-93a3-03b58d5c4431</errorID>
      <errorWord>:</errorWord>
      <group>L1_Format</group>
      <groupName>格式问题</groupName>
      <ability>L2_HalfPunc_CN</ability>
      <abilityName>全半角问题</abilityName>
      <candidateList>
        <item>：</item>
      </candidateList>
      <explain>文本全半角错误。</explain>
      <paraID> ACB5843</paraID>
      <start>8</start>
      <end>9</end>
      <status>unmodified</status>
      <modifiedWord/>
      <trackRevisions>false</trackRevisions>
    </reviewItem>
    <reviewItem>
      <errorID>8edcf761-42fd-477e-a6e9-b357904e200b</errorID>
      <errorWord>)</errorWord>
      <group>L1_Format</group>
      <groupName>格式问题</groupName>
      <ability>L2_HalfPunc_CN</ability>
      <abilityName>全半角问题</abilityName>
      <candidateList>
        <item>）</item>
      </candidateList>
      <explain>文本全半角错误。</explain>
      <paraID> ACB5843</paraID>
      <start>10</start>
      <end>11</end>
      <status>unmodified</status>
      <modifiedWord/>
      <trackRevisions>false</trackRevisions>
    </reviewItem>
    <reviewItem>
      <errorID>3e642a26-80ae-4b02-ac2a-ba39b1f9be28</errorID>
      <errorWord>(</errorWord>
      <group>L1_Format</group>
      <groupName>格式问题</groupName>
      <ability>L2_HalfPunc_CN</ability>
      <abilityName>全半角问题</abilityName>
      <candidateList>
        <item>（</item>
      </candidateList>
      <explain>文本全半角错误。</explain>
      <paraID>6C9494AA</paraID>
      <start>4</start>
      <end>5</end>
      <status>unmodified</status>
      <modifiedWord/>
      <trackRevisions>false</trackRevisions>
    </reviewItem>
    <reviewItem>
      <errorID>a0cd33bd-4a84-4f33-b149-32129a9c0d2f</errorID>
      <errorWord>:</errorWord>
      <group>L1_Format</group>
      <groupName>格式问题</groupName>
      <ability>L2_HalfPunc_CN</ability>
      <abilityName>全半角问题</abilityName>
      <candidateList>
        <item>：</item>
      </candidateList>
      <explain>文本全半角错误。</explain>
      <paraID>6C9494AA</paraID>
      <start>8</start>
      <end>9</end>
      <status>unmodified</status>
      <modifiedWord/>
      <trackRevisions>false</trackRevisions>
    </reviewItem>
    <reviewItem>
      <errorID>e91603a5-bf30-4b9c-a5a5-69177fd3dd0d</errorID>
      <errorWord>)</errorWord>
      <group>L1_Format</group>
      <groupName>格式问题</groupName>
      <ability>L2_HalfPunc_CN</ability>
      <abilityName>全半角问题</abilityName>
      <candidateList>
        <item>）</item>
      </candidateList>
      <explain>文本全半角错误。</explain>
      <paraID>6C9494AA</paraID>
      <start>10</start>
      <end>11</end>
      <status>unmodified</status>
      <modifiedWord/>
      <trackRevisions>false</trackRevisions>
    </reviewItem>
    <reviewItem>
      <errorID>6054cf9e-2bc1-492c-8b5b-b29fb15f3ec9</errorID>
      <errorWord>(</errorWord>
      <group>L1_Format</group>
      <groupName>格式问题</groupName>
      <ability>L2_HalfPunc_CN</ability>
      <abilityName>全半角问题</abilityName>
      <candidateList>
        <item>（</item>
      </candidateList>
      <explain>文本全半角错误。</explain>
      <paraID>438713CE</paraID>
      <start>4</start>
      <end>5</end>
      <status>unmodified</status>
      <modifiedWord/>
      <trackRevisions>false</trackRevisions>
    </reviewItem>
    <reviewItem>
      <errorID>88c77f5c-35a7-4a34-9be7-4ed397075b11</errorID>
      <errorWord>:</errorWord>
      <group>L1_Format</group>
      <groupName>格式问题</groupName>
      <ability>L2_HalfPunc_CN</ability>
      <abilityName>全半角问题</abilityName>
      <candidateList>
        <item>：</item>
      </candidateList>
      <explain>文本全半角错误。</explain>
      <paraID>438713CE</paraID>
      <start>8</start>
      <end>9</end>
      <status>unmodified</status>
      <modifiedWord/>
      <trackRevisions>false</trackRevisions>
    </reviewItem>
    <reviewItem>
      <errorID>866d552c-da77-4166-b812-3709fb2b4cc6</errorID>
      <errorWord>)</errorWord>
      <group>L1_Format</group>
      <groupName>格式问题</groupName>
      <ability>L2_HalfPunc_CN</ability>
      <abilityName>全半角问题</abilityName>
      <candidateList>
        <item>）</item>
      </candidateList>
      <explain>文本全半角错误。</explain>
      <paraID>438713CE</paraID>
      <start>10</start>
      <end>11</end>
      <status>unmodified</status>
      <modifiedWord/>
      <trackRevisions>false</trackRevisions>
    </reviewItem>
    <reviewItem>
      <errorID>c9b19f6f-1c35-42c6-9d08-2edc086c3b9d</errorID>
      <errorWord>(</errorWord>
      <group>L1_Format</group>
      <groupName>格式问题</groupName>
      <ability>L2_HalfPunc_CN</ability>
      <abilityName>全半角问题</abilityName>
      <candidateList>
        <item>（</item>
      </candidateList>
      <explain>文本全半角错误。</explain>
      <paraID>30CA72C7</paraID>
      <start>4</start>
      <end>5</end>
      <status>unmodified</status>
      <modifiedWord/>
      <trackRevisions>false</trackRevisions>
    </reviewItem>
    <reviewItem>
      <errorID>e397696a-7d4d-43af-af71-006b9793b9ab</errorID>
      <errorWord>:</errorWord>
      <group>L1_Format</group>
      <groupName>格式问题</groupName>
      <ability>L2_HalfPunc_CN</ability>
      <abilityName>全半角问题</abilityName>
      <candidateList>
        <item>：</item>
      </candidateList>
      <explain>文本全半角错误。</explain>
      <paraID>30CA72C7</paraID>
      <start>8</start>
      <end>9</end>
      <status>unmodified</status>
      <modifiedWord/>
      <trackRevisions>false</trackRevisions>
    </reviewItem>
    <reviewItem>
      <errorID>021003f4-af55-477b-aff3-0f56387c9ae5</errorID>
      <errorWord>)</errorWord>
      <group>L1_Format</group>
      <groupName>格式问题</groupName>
      <ability>L2_HalfPunc_CN</ability>
      <abilityName>全半角问题</abilityName>
      <candidateList>
        <item>）</item>
      </candidateList>
      <explain>文本全半角错误。</explain>
      <paraID>30CA72C7</paraID>
      <start>10</start>
      <end>11</end>
      <status>unmodified</status>
      <modifiedWord/>
      <trackRevisions>false</trackRevisions>
    </reviewItem>
    <reviewItem>
      <errorID>35f8dd74-c53f-4edd-a7eb-8c98be2f17a4</errorID>
      <errorWord>(</errorWord>
      <group>L1_Format</group>
      <groupName>格式问题</groupName>
      <ability>L2_HalfPunc_CN</ability>
      <abilityName>全半角问题</abilityName>
      <candidateList>
        <item>（</item>
      </candidateList>
      <explain>文本全半角错误。</explain>
      <paraID> CF2F6C7</paraID>
      <start>4</start>
      <end>5</end>
      <status>unmodified</status>
      <modifiedWord/>
      <trackRevisions>false</trackRevisions>
    </reviewItem>
    <reviewItem>
      <errorID>88b19573-8995-4e6d-aa57-21b3d0823762</errorID>
      <errorWord>:</errorWord>
      <group>L1_Format</group>
      <groupName>格式问题</groupName>
      <ability>L2_HalfPunc_CN</ability>
      <abilityName>全半角问题</abilityName>
      <candidateList>
        <item>：</item>
      </candidateList>
      <explain>文本全半角错误。</explain>
      <paraID> CF2F6C7</paraID>
      <start>8</start>
      <end>9</end>
      <status>unmodified</status>
      <modifiedWord/>
      <trackRevisions>false</trackRevisions>
    </reviewItem>
    <reviewItem>
      <errorID>be2d7df3-d593-49bf-a213-925ada7e18a6</errorID>
      <errorWord>)</errorWord>
      <group>L1_Format</group>
      <groupName>格式问题</groupName>
      <ability>L2_HalfPunc_CN</ability>
      <abilityName>全半角问题</abilityName>
      <candidateList>
        <item>）</item>
      </candidateList>
      <explain>文本全半角错误。</explain>
      <paraID> CF2F6C7</paraID>
      <start>10</start>
      <end>11</end>
      <status>unmodified</status>
      <modifiedWord/>
      <trackRevisions>false</trackRevisions>
    </reviewItem>
    <reviewItem>
      <errorID>60804ddd-331c-406a-ae03-2a43d4e32bba</errorID>
      <errorWord>(</errorWord>
      <group>L1_Format</group>
      <groupName>格式问题</groupName>
      <ability>L2_HalfPunc_CN</ability>
      <abilityName>全半角问题</abilityName>
      <candidateList>
        <item>（</item>
      </candidateList>
      <explain>文本全半角错误。</explain>
      <paraID>12EE402A</paraID>
      <start>4</start>
      <end>5</end>
      <status>unmodified</status>
      <modifiedWord/>
      <trackRevisions>false</trackRevisions>
    </reviewItem>
    <reviewItem>
      <errorID>b79570ce-3f8e-4792-9c45-a6fb715d751d</errorID>
      <errorWord>:</errorWord>
      <group>L1_Format</group>
      <groupName>格式问题</groupName>
      <ability>L2_HalfPunc_CN</ability>
      <abilityName>全半角问题</abilityName>
      <candidateList>
        <item>：</item>
      </candidateList>
      <explain>文本全半角错误。</explain>
      <paraID>12EE402A</paraID>
      <start>8</start>
      <end>9</end>
      <status>unmodified</status>
      <modifiedWord/>
      <trackRevisions>false</trackRevisions>
    </reviewItem>
    <reviewItem>
      <errorID>45080d5b-2e09-43a5-adbc-4fa5abcdd8d1</errorID>
      <errorWord>)</errorWord>
      <group>L1_Format</group>
      <groupName>格式问题</groupName>
      <ability>L2_HalfPunc_CN</ability>
      <abilityName>全半角问题</abilityName>
      <candidateList>
        <item>）</item>
      </candidateList>
      <explain>文本全半角错误。</explain>
      <paraID>12EE402A</paraID>
      <start>10</start>
      <end>11</end>
      <status>unmodified</status>
      <modifiedWord/>
      <trackRevisions>false</trackRevisions>
    </reviewItem>
    <reviewItem>
      <errorID>5e84db2f-215d-4c84-8a90-c06b008af944</errorID>
      <errorWord>[2020]46号</errorWord>
      <group>L1_Knowledge</group>
      <groupName>知识性问题</groupName>
      <ability>L2_Knowledge</ability>
      <abilityName>其他知识</abilityName>
      <candidateList>
        <item>〔2020〕46号</item>
      </candidateList>
      <explain>发文字号格式错误。</explain>
      <paraID> F46E8E8</paraID>
      <start>36</start>
      <end>45</end>
      <status>unmodified</status>
      <modifiedWord/>
      <trackRevisions>false</trackRevisions>
    </reviewItem>
    <reviewItem>
      <errorID>247f8c0d-0f6f-49b1-b262-e0589cfcc5b7</errorID>
      <errorWord>[2011]300号</errorWord>
      <group>L1_Knowledge</group>
      <groupName>知识性问题</groupName>
      <ability>L2_Knowledge</ability>
      <abilityName>其他知识</abilityName>
      <candidateList>
        <item>〔2011〕300号</item>
      </candidateList>
      <explain>发文字号格式错误。</explain>
      <paraID> F46E8E8</paraID>
      <start>166</start>
      <end>176</end>
      <status>unmodified</status>
      <modifiedWord/>
      <trackRevisions>false</trackRevisions>
    </reviewItem>
    <reviewItem>
      <errorID>e631edd7-731b-4800-a3b0-b5ee8f8ea76f</errorID>
      <errorWord>〔2017〕 141号</errorWord>
      <group>L1_Knowledge</group>
      <groupName>知识性问题</groupName>
      <ability>L2_Knowledge</ability>
      <abilityName>其他知识</abilityName>
      <candidateList>
        <item>〔2017〕141号</item>
      </candidateList>
      <explain>发文字号格式错误。</explain>
      <paraID>46C32EBB</paraID>
      <start>49</start>
      <end>60</end>
      <status>unmodified</status>
      <modifiedWord/>
      <trackRevisions>false</trackRevisions>
    </reviewItem>
    <reviewItem>
      <errorID>16b7ffd9-161a-41f6-ba77-72a4eda24c4a</errorID>
      <errorWord>......</errorWord>
      <group>L1_Punc</group>
      <groupName>标点问题</groupName>
      <ability>L2_Punc_CN</ability>
      <abilityName>标点符号问题</abilityName>
      <candidateList>
        <item>……</item>
      </candidateList>
      <explain/>
      <paraID>7685A0AE</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df346e-31d8-432e-97c4-de7ff416859f}">
  <ds:schemaRefs/>
</ds:datastoreItem>
</file>

<file path=docProps/app.xml><?xml version="1.0" encoding="utf-8"?>
<Properties xmlns="http://schemas.openxmlformats.org/officeDocument/2006/extended-properties" xmlns:vt="http://schemas.openxmlformats.org/officeDocument/2006/docPropsVTypes">
  <Template>Normal</Template>
  <Pages>107</Pages>
  <Words>65240</Words>
  <Characters>74402</Characters>
  <TotalTime>36</TotalTime>
  <ScaleCrop>false</ScaleCrop>
  <LinksUpToDate>false</LinksUpToDate>
  <CharactersWithSpaces>76682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2022-03-11T07:34:00Z</dcterms:created>
  <dc:creator>Administrator</dc:creator>
  <cp:lastModifiedBy>周洁</cp:lastModifiedBy>
  <dcterms:modified xsi:type="dcterms:W3CDTF">2026-10-14T09:27:40Z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AC9BF3FAB1FB4A76B8DAB032D78C8B3B_13</vt:lpwstr>
  </property>
  <property fmtid="{D5CDD505-2E9C-101B-9397-08002B2CF9AE}" pid="4" name="KSOTemplateDocerSaveRecord">
    <vt:lpwstr>eyJoZGlkIjoiOWJlNDk0NDFjNDNmN2M1ZmM0NzdkOWFhMDI3NWE4NjgiLCJ1c2VySWQiOiIxMjAzMzUwODkxIn0=</vt:lpwstr>
  </property>
</Properties>
</file>