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EC8006">
      <w:pPr>
        <w:snapToGrid w:val="0"/>
        <w:spacing w:before="120" w:after="120" w:line="360" w:lineRule="auto"/>
        <w:jc w:val="center"/>
        <w:outlineLvl w:val="0"/>
        <w:rPr>
          <w:rFonts w:hint="eastAsia" w:ascii="方正仿宋_GB2312" w:hAnsi="方正仿宋_GB2312" w:eastAsia="方正仿宋_GB2312" w:cs="方正仿宋_GB2312"/>
          <w:b/>
          <w:bCs w:val="0"/>
          <w:color w:val="auto"/>
          <w:sz w:val="36"/>
          <w:szCs w:val="36"/>
          <w:highlight w:val="none"/>
        </w:rPr>
      </w:pPr>
      <w:r>
        <w:rPr>
          <w:rFonts w:hint="eastAsia" w:ascii="方正仿宋_GB2312" w:hAnsi="方正仿宋_GB2312" w:eastAsia="方正仿宋_GB2312" w:cs="方正仿宋_GB2312"/>
          <w:b/>
          <w:bCs w:val="0"/>
          <w:color w:val="auto"/>
          <w:sz w:val="36"/>
          <w:szCs w:val="36"/>
          <w:highlight w:val="none"/>
        </w:rPr>
        <w:t>采购需求</w:t>
      </w:r>
    </w:p>
    <w:p w14:paraId="5AEC88DB">
      <w:pPr>
        <w:spacing w:before="120" w:after="120" w:line="0" w:lineRule="atLeast"/>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项目属性：服务类项目</w:t>
      </w:r>
    </w:p>
    <w:p w14:paraId="21EC7603">
      <w:pPr>
        <w:spacing w:before="120" w:after="120" w:line="0" w:lineRule="atLeast"/>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本项目采购标的对应的中小企业划分标准所属行业</w:t>
      </w:r>
    </w:p>
    <w:tbl>
      <w:tblPr>
        <w:tblStyle w:val="3"/>
        <w:tblW w:w="43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6"/>
        <w:gridCol w:w="3843"/>
      </w:tblGrid>
      <w:tr w14:paraId="73A8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exact"/>
          <w:jc w:val="center"/>
        </w:trPr>
        <w:tc>
          <w:tcPr>
            <w:tcW w:w="2406" w:type="pct"/>
            <w:tcBorders>
              <w:top w:val="single" w:color="auto" w:sz="4" w:space="0"/>
              <w:left w:val="single" w:color="auto" w:sz="4" w:space="0"/>
              <w:bottom w:val="single" w:color="auto" w:sz="4" w:space="0"/>
              <w:right w:val="single" w:color="auto" w:sz="4" w:space="0"/>
            </w:tcBorders>
            <w:vAlign w:val="center"/>
          </w:tcPr>
          <w:p w14:paraId="166BBC49">
            <w:pPr>
              <w:widowControl/>
              <w:snapToGrid w:val="0"/>
              <w:spacing w:line="320" w:lineRule="exact"/>
              <w:jc w:val="center"/>
              <w:textAlignment w:val="center"/>
              <w:rPr>
                <w:rFonts w:hint="eastAsia" w:ascii="方正仿宋_GB2312" w:hAnsi="方正仿宋_GB2312" w:eastAsia="方正仿宋_GB2312" w:cs="方正仿宋_GB2312"/>
                <w:color w:val="auto"/>
                <w:kern w:val="0"/>
                <w:sz w:val="24"/>
                <w:szCs w:val="24"/>
              </w:rPr>
            </w:pPr>
            <w:r>
              <w:rPr>
                <w:rFonts w:hint="eastAsia" w:ascii="方正仿宋_GB2312" w:hAnsi="方正仿宋_GB2312" w:eastAsia="方正仿宋_GB2312" w:cs="方正仿宋_GB2312"/>
                <w:color w:val="auto"/>
                <w:kern w:val="0"/>
                <w:sz w:val="24"/>
                <w:szCs w:val="24"/>
              </w:rPr>
              <w:t>采购标的</w:t>
            </w:r>
          </w:p>
        </w:tc>
        <w:tc>
          <w:tcPr>
            <w:tcW w:w="2593" w:type="pct"/>
            <w:tcBorders>
              <w:top w:val="single" w:color="auto" w:sz="4" w:space="0"/>
              <w:left w:val="single" w:color="auto" w:sz="4" w:space="0"/>
              <w:bottom w:val="single" w:color="auto" w:sz="4" w:space="0"/>
              <w:right w:val="single" w:color="auto" w:sz="4" w:space="0"/>
            </w:tcBorders>
            <w:vAlign w:val="center"/>
          </w:tcPr>
          <w:p w14:paraId="13EDCF0F">
            <w:pPr>
              <w:widowControl/>
              <w:snapToGrid w:val="0"/>
              <w:spacing w:line="320" w:lineRule="exact"/>
              <w:jc w:val="center"/>
              <w:textAlignment w:val="center"/>
              <w:rPr>
                <w:rFonts w:hint="eastAsia" w:ascii="方正仿宋_GB2312" w:hAnsi="方正仿宋_GB2312" w:eastAsia="方正仿宋_GB2312" w:cs="方正仿宋_GB2312"/>
                <w:color w:val="auto"/>
                <w:kern w:val="0"/>
                <w:sz w:val="24"/>
                <w:szCs w:val="24"/>
              </w:rPr>
            </w:pPr>
            <w:r>
              <w:rPr>
                <w:rFonts w:hint="eastAsia" w:ascii="方正仿宋_GB2312" w:hAnsi="方正仿宋_GB2312" w:eastAsia="方正仿宋_GB2312" w:cs="方正仿宋_GB2312"/>
                <w:color w:val="auto"/>
                <w:kern w:val="0"/>
                <w:sz w:val="24"/>
                <w:szCs w:val="24"/>
              </w:rPr>
              <w:t>对应中小企业划分标准所属行业</w:t>
            </w:r>
          </w:p>
        </w:tc>
      </w:tr>
      <w:tr w14:paraId="64F8A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exact"/>
          <w:jc w:val="center"/>
        </w:trPr>
        <w:tc>
          <w:tcPr>
            <w:tcW w:w="2406" w:type="pct"/>
            <w:tcBorders>
              <w:top w:val="single" w:color="auto" w:sz="4" w:space="0"/>
              <w:left w:val="single" w:color="auto" w:sz="4" w:space="0"/>
              <w:bottom w:val="single" w:color="auto" w:sz="4" w:space="0"/>
              <w:right w:val="single" w:color="auto" w:sz="4" w:space="0"/>
            </w:tcBorders>
            <w:vAlign w:val="center"/>
          </w:tcPr>
          <w:p w14:paraId="0F55D9B9">
            <w:pPr>
              <w:widowControl/>
              <w:snapToGrid w:val="0"/>
              <w:spacing w:line="320" w:lineRule="exact"/>
              <w:jc w:val="center"/>
              <w:textAlignment w:val="center"/>
              <w:rPr>
                <w:rFonts w:ascii="方正仿宋_GB2312" w:hAnsi="方正仿宋_GB2312" w:eastAsia="方正仿宋_GB2312" w:cs="方正仿宋_GB2312"/>
                <w:color w:val="auto"/>
                <w:kern w:val="0"/>
                <w:sz w:val="24"/>
                <w:szCs w:val="24"/>
                <w:lang w:val="en-US" w:eastAsia="zh-CN"/>
              </w:rPr>
            </w:pPr>
            <w:r>
              <w:rPr>
                <w:rFonts w:hint="eastAsia" w:ascii="方正仿宋_GB2312" w:hAnsi="方正仿宋_GB2312" w:eastAsia="方正仿宋_GB2312" w:cs="方正仿宋_GB2312"/>
                <w:color w:val="auto"/>
                <w:kern w:val="0"/>
                <w:sz w:val="24"/>
                <w:szCs w:val="24"/>
                <w:lang w:eastAsia="zh-CN"/>
              </w:rPr>
              <w:t>宿城区失能特困人员集中护理机构采购项目（</w:t>
            </w:r>
            <w:r>
              <w:rPr>
                <w:rFonts w:hint="eastAsia" w:ascii="方正仿宋_GB2312" w:hAnsi="方正仿宋_GB2312" w:eastAsia="方正仿宋_GB2312" w:cs="方正仿宋_GB2312"/>
                <w:color w:val="auto"/>
                <w:kern w:val="0"/>
                <w:sz w:val="24"/>
                <w:szCs w:val="24"/>
                <w:lang w:val="en-US" w:eastAsia="zh-CN"/>
              </w:rPr>
              <w:t>采购包1）</w:t>
            </w:r>
          </w:p>
        </w:tc>
        <w:tc>
          <w:tcPr>
            <w:tcW w:w="2593" w:type="pct"/>
            <w:tcBorders>
              <w:top w:val="single" w:color="auto" w:sz="4" w:space="0"/>
              <w:left w:val="single" w:color="auto" w:sz="4" w:space="0"/>
              <w:bottom w:val="single" w:color="auto" w:sz="4" w:space="0"/>
              <w:right w:val="single" w:color="auto" w:sz="4" w:space="0"/>
            </w:tcBorders>
            <w:vAlign w:val="center"/>
          </w:tcPr>
          <w:p w14:paraId="7E5A055E">
            <w:pPr>
              <w:widowControl/>
              <w:snapToGrid w:val="0"/>
              <w:spacing w:line="320" w:lineRule="exact"/>
              <w:jc w:val="center"/>
              <w:textAlignment w:val="center"/>
              <w:rPr>
                <w:rFonts w:hint="eastAsia" w:ascii="方正仿宋_GB2312" w:hAnsi="方正仿宋_GB2312" w:eastAsia="方正仿宋_GB2312" w:cs="方正仿宋_GB2312"/>
                <w:color w:val="auto"/>
                <w:kern w:val="0"/>
                <w:sz w:val="24"/>
                <w:szCs w:val="24"/>
              </w:rPr>
            </w:pPr>
            <w:r>
              <w:rPr>
                <w:rFonts w:hint="eastAsia" w:ascii="方正仿宋_GB2312" w:hAnsi="方正仿宋_GB2312" w:eastAsia="方正仿宋_GB2312" w:cs="方正仿宋_GB2312"/>
                <w:color w:val="auto"/>
                <w:kern w:val="0"/>
                <w:sz w:val="24"/>
                <w:szCs w:val="24"/>
              </w:rPr>
              <w:t>其他未列明行业</w:t>
            </w:r>
          </w:p>
        </w:tc>
      </w:tr>
      <w:tr w14:paraId="2355B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exact"/>
          <w:jc w:val="center"/>
        </w:trPr>
        <w:tc>
          <w:tcPr>
            <w:tcW w:w="2406" w:type="pct"/>
            <w:tcBorders>
              <w:top w:val="single" w:color="auto" w:sz="4" w:space="0"/>
              <w:left w:val="single" w:color="auto" w:sz="4" w:space="0"/>
              <w:bottom w:val="single" w:color="auto" w:sz="4" w:space="0"/>
              <w:right w:val="single" w:color="auto" w:sz="4" w:space="0"/>
            </w:tcBorders>
            <w:vAlign w:val="center"/>
          </w:tcPr>
          <w:p w14:paraId="77C311A0">
            <w:pPr>
              <w:widowControl/>
              <w:snapToGrid w:val="0"/>
              <w:spacing w:line="320" w:lineRule="exact"/>
              <w:jc w:val="center"/>
              <w:textAlignment w:val="center"/>
              <w:rPr>
                <w:rFonts w:hint="eastAsia" w:ascii="方正仿宋_GB2312" w:hAnsi="方正仿宋_GB2312" w:eastAsia="方正仿宋_GB2312" w:cs="方正仿宋_GB2312"/>
                <w:color w:val="auto"/>
                <w:kern w:val="0"/>
                <w:sz w:val="24"/>
                <w:szCs w:val="24"/>
              </w:rPr>
            </w:pPr>
            <w:r>
              <w:rPr>
                <w:rFonts w:hint="eastAsia" w:ascii="方正仿宋_GB2312" w:hAnsi="方正仿宋_GB2312" w:eastAsia="方正仿宋_GB2312" w:cs="方正仿宋_GB2312"/>
                <w:color w:val="auto"/>
                <w:kern w:val="0"/>
                <w:sz w:val="24"/>
                <w:szCs w:val="24"/>
                <w:lang w:eastAsia="zh-CN"/>
              </w:rPr>
              <w:t>宿城区失能特困人员集中护理机构采购项目（</w:t>
            </w:r>
            <w:r>
              <w:rPr>
                <w:rFonts w:hint="eastAsia" w:ascii="方正仿宋_GB2312" w:hAnsi="方正仿宋_GB2312" w:eastAsia="方正仿宋_GB2312" w:cs="方正仿宋_GB2312"/>
                <w:color w:val="auto"/>
                <w:kern w:val="0"/>
                <w:sz w:val="24"/>
                <w:szCs w:val="24"/>
                <w:lang w:val="en-US" w:eastAsia="zh-CN"/>
              </w:rPr>
              <w:t>采购包2）</w:t>
            </w:r>
          </w:p>
        </w:tc>
        <w:tc>
          <w:tcPr>
            <w:tcW w:w="2593" w:type="pct"/>
            <w:tcBorders>
              <w:top w:val="single" w:color="auto" w:sz="4" w:space="0"/>
              <w:left w:val="single" w:color="auto" w:sz="4" w:space="0"/>
              <w:bottom w:val="single" w:color="auto" w:sz="4" w:space="0"/>
              <w:right w:val="single" w:color="auto" w:sz="4" w:space="0"/>
            </w:tcBorders>
            <w:vAlign w:val="center"/>
          </w:tcPr>
          <w:p w14:paraId="387E245A">
            <w:pPr>
              <w:widowControl/>
              <w:snapToGrid w:val="0"/>
              <w:spacing w:line="320" w:lineRule="exact"/>
              <w:jc w:val="center"/>
              <w:textAlignment w:val="center"/>
              <w:rPr>
                <w:rFonts w:hint="eastAsia" w:ascii="方正仿宋_GB2312" w:hAnsi="方正仿宋_GB2312" w:eastAsia="方正仿宋_GB2312" w:cs="方正仿宋_GB2312"/>
                <w:color w:val="auto"/>
                <w:kern w:val="0"/>
                <w:sz w:val="24"/>
                <w:szCs w:val="24"/>
              </w:rPr>
            </w:pPr>
            <w:r>
              <w:rPr>
                <w:rFonts w:hint="eastAsia" w:ascii="方正仿宋_GB2312" w:hAnsi="方正仿宋_GB2312" w:eastAsia="方正仿宋_GB2312" w:cs="方正仿宋_GB2312"/>
                <w:color w:val="auto"/>
                <w:kern w:val="0"/>
                <w:sz w:val="24"/>
                <w:szCs w:val="24"/>
              </w:rPr>
              <w:t>其他未列明行业</w:t>
            </w:r>
          </w:p>
        </w:tc>
      </w:tr>
    </w:tbl>
    <w:p w14:paraId="33034818">
      <w:pPr>
        <w:spacing w:before="120" w:after="120" w:line="0" w:lineRule="atLeast"/>
        <w:rPr>
          <w:rFonts w:hint="eastAsia" w:ascii="方正仿宋_GBK" w:hAnsi="方正仿宋_GBK" w:eastAsia="方正仿宋_GBK" w:cs="方正仿宋_GBK"/>
          <w:kern w:val="0"/>
          <w:sz w:val="24"/>
          <w:szCs w:val="24"/>
        </w:rPr>
      </w:pPr>
      <w:r>
        <w:rPr>
          <w:rFonts w:hint="eastAsia" w:ascii="方正仿宋_GBK" w:hAnsi="方正仿宋_GBK" w:eastAsia="方正仿宋_GBK" w:cs="方正仿宋_GBK"/>
          <w:kern w:val="0"/>
          <w:sz w:val="24"/>
          <w:szCs w:val="24"/>
        </w:rPr>
        <w:t>本项目</w:t>
      </w:r>
      <w:r>
        <w:rPr>
          <w:rFonts w:hint="eastAsia" w:ascii="方正仿宋_GBK" w:hAnsi="方正仿宋_GBK" w:eastAsia="方正仿宋_GBK" w:cs="方正仿宋_GBK"/>
          <w:kern w:val="0"/>
          <w:sz w:val="24"/>
          <w:szCs w:val="24"/>
          <w:u w:val="single"/>
        </w:rPr>
        <w:t>不接受进口产品</w:t>
      </w:r>
      <w:r>
        <w:rPr>
          <w:rFonts w:hint="eastAsia" w:ascii="方正仿宋_GBK" w:hAnsi="方正仿宋_GBK" w:eastAsia="方正仿宋_GBK" w:cs="方正仿宋_GBK"/>
          <w:kern w:val="0"/>
          <w:sz w:val="24"/>
          <w:szCs w:val="24"/>
        </w:rPr>
        <w:t>。</w:t>
      </w:r>
    </w:p>
    <w:p w14:paraId="5970FAF1">
      <w:pPr>
        <w:pStyle w:val="8"/>
        <w:rPr>
          <w:rFonts w:hint="eastAsia"/>
        </w:rPr>
      </w:pPr>
      <w:r>
        <w:rPr>
          <w:rStyle w:val="9"/>
          <w:rFonts w:hint="eastAsia" w:ascii="方正仿宋_GB2312" w:hAnsi="方正仿宋_GB2312" w:eastAsia="方正仿宋_GB2312" w:cs="方正仿宋_GB2312"/>
          <w:b/>
          <w:bCs/>
          <w:color w:val="auto"/>
          <w:sz w:val="24"/>
          <w:szCs w:val="24"/>
          <w:lang w:val="en-US"/>
        </w:rPr>
        <w:t>“★”为实质性响应部分不接受负偏离，否则按无效标处理。</w:t>
      </w:r>
    </w:p>
    <w:p w14:paraId="1EA07676">
      <w:pPr>
        <w:pStyle w:val="10"/>
        <w:snapToGrid w:val="0"/>
        <w:spacing w:line="500" w:lineRule="exact"/>
        <w:ind w:firstLine="482" w:firstLineChars="200"/>
        <w:outlineLvl w:val="1"/>
        <w:rPr>
          <w:rStyle w:val="9"/>
          <w:rFonts w:hint="eastAsia" w:ascii="方正仿宋_GB2312" w:hAnsi="方正仿宋_GB2312" w:eastAsia="方正仿宋_GB2312" w:cs="方正仿宋_GB2312"/>
          <w:color w:val="auto"/>
          <w:sz w:val="24"/>
        </w:rPr>
      </w:pPr>
      <w:r>
        <w:rPr>
          <w:rStyle w:val="9"/>
          <w:rFonts w:hint="eastAsia" w:ascii="方正仿宋_GB2312" w:hAnsi="方正仿宋_GB2312" w:eastAsia="方正仿宋_GB2312" w:cs="方正仿宋_GB2312"/>
          <w:b/>
          <w:color w:val="auto"/>
          <w:sz w:val="24"/>
          <w:szCs w:val="24"/>
        </w:rPr>
        <w:t>一、项目概况</w:t>
      </w:r>
    </w:p>
    <w:p w14:paraId="4180A86D">
      <w:pPr>
        <w:pStyle w:val="10"/>
        <w:snapToGrid w:val="0"/>
        <w:spacing w:line="500" w:lineRule="exact"/>
        <w:ind w:firstLine="480" w:firstLineChars="200"/>
        <w:rPr>
          <w:rFonts w:hint="eastAsia" w:ascii="方正仿宋_GB2312" w:hAnsi="方正仿宋_GB2312" w:eastAsia="方正仿宋_GB2312" w:cs="方正仿宋_GB2312"/>
          <w:bCs/>
          <w:iCs/>
          <w:color w:val="auto"/>
          <w:sz w:val="24"/>
          <w:lang w:eastAsia="zh-CN"/>
        </w:rPr>
      </w:pPr>
      <w:r>
        <w:rPr>
          <w:rFonts w:hint="eastAsia" w:ascii="方正仿宋_GB2312" w:hAnsi="方正仿宋_GB2312" w:eastAsia="方正仿宋_GB2312" w:cs="方正仿宋_GB2312"/>
          <w:bCs/>
          <w:iCs/>
          <w:color w:val="auto"/>
          <w:sz w:val="24"/>
        </w:rPr>
        <w:t>1.项目名称：</w:t>
      </w:r>
      <w:r>
        <w:rPr>
          <w:rFonts w:hint="eastAsia" w:ascii="方正仿宋_GB2312" w:hAnsi="方正仿宋_GB2312" w:eastAsia="方正仿宋_GB2312" w:cs="方正仿宋_GB2312"/>
          <w:color w:val="auto"/>
          <w:kern w:val="0"/>
          <w:sz w:val="24"/>
          <w:lang w:eastAsia="zh-CN"/>
        </w:rPr>
        <w:t>宿城区失能特困人员集中护理机构采购项目</w:t>
      </w:r>
    </w:p>
    <w:p w14:paraId="22152B1E">
      <w:pPr>
        <w:pStyle w:val="10"/>
        <w:snapToGrid w:val="0"/>
        <w:spacing w:line="500" w:lineRule="exact"/>
        <w:ind w:firstLine="480" w:firstLineChars="200"/>
        <w:rPr>
          <w:rFonts w:hint="eastAsia" w:ascii="方正仿宋_GB2312" w:hAnsi="方正仿宋_GB2312" w:eastAsia="方正仿宋_GB2312" w:cs="方正仿宋_GB2312"/>
          <w:bCs/>
          <w:iCs/>
          <w:color w:val="auto"/>
          <w:sz w:val="24"/>
        </w:rPr>
      </w:pPr>
      <w:r>
        <w:rPr>
          <w:rFonts w:hint="eastAsia" w:ascii="方正仿宋_GB2312" w:hAnsi="方正仿宋_GB2312" w:eastAsia="方正仿宋_GB2312" w:cs="方正仿宋_GB2312"/>
          <w:bCs/>
          <w:iCs/>
          <w:color w:val="auto"/>
          <w:sz w:val="24"/>
        </w:rPr>
        <w:t>2.</w:t>
      </w:r>
      <w:r>
        <w:rPr>
          <w:rFonts w:hint="eastAsia" w:ascii="方正仿宋_GB2312" w:hAnsi="方正仿宋_GB2312" w:eastAsia="方正仿宋_GB2312" w:cs="方正仿宋_GB2312"/>
          <w:color w:val="auto"/>
          <w:kern w:val="0"/>
          <w:sz w:val="24"/>
        </w:rPr>
        <w:t>预算金额：547.2万元，其中采购包1：250.8万元；采购包2：296.4万元。</w:t>
      </w:r>
    </w:p>
    <w:p w14:paraId="324E035A">
      <w:pPr>
        <w:pStyle w:val="10"/>
        <w:snapToGrid w:val="0"/>
        <w:spacing w:line="500" w:lineRule="exact"/>
        <w:ind w:firstLine="480" w:firstLineChars="200"/>
        <w:rPr>
          <w:rFonts w:hint="eastAsia" w:ascii="方正仿宋_GB2312" w:hAnsi="方正仿宋_GB2312" w:eastAsia="方正仿宋_GB2312" w:cs="方正仿宋_GB2312"/>
          <w:bCs/>
          <w:iCs/>
          <w:color w:val="auto"/>
          <w:sz w:val="24"/>
        </w:rPr>
      </w:pPr>
      <w:r>
        <w:rPr>
          <w:rFonts w:hint="eastAsia" w:ascii="方正仿宋_GB2312" w:hAnsi="方正仿宋_GB2312" w:eastAsia="方正仿宋_GB2312" w:cs="方正仿宋_GB2312"/>
          <w:bCs/>
          <w:iCs/>
          <w:color w:val="auto"/>
          <w:sz w:val="24"/>
        </w:rPr>
        <w:t>3.最高限价：采购包1最高限价：250.8万元，采购包2最高限价：296.4万元。</w:t>
      </w:r>
    </w:p>
    <w:p w14:paraId="1E3CE488">
      <w:pPr>
        <w:pStyle w:val="10"/>
        <w:snapToGrid w:val="0"/>
        <w:spacing w:line="500" w:lineRule="exact"/>
        <w:ind w:firstLine="480" w:firstLineChars="200"/>
        <w:rPr>
          <w:rFonts w:hint="default" w:ascii="方正仿宋_GB2312" w:hAnsi="方正仿宋_GB2312" w:eastAsia="方正仿宋_GB2312" w:cs="方正仿宋_GB2312"/>
          <w:bCs/>
          <w:iCs/>
          <w:color w:val="auto"/>
          <w:sz w:val="24"/>
          <w:lang w:val="en-US" w:eastAsia="zh-CN"/>
        </w:rPr>
      </w:pPr>
      <w:r>
        <w:rPr>
          <w:rFonts w:hint="eastAsia" w:ascii="方正仿宋_GB2312" w:hAnsi="方正仿宋_GB2312" w:eastAsia="方正仿宋_GB2312" w:cs="方正仿宋_GB2312"/>
          <w:bCs/>
          <w:iCs/>
          <w:color w:val="auto"/>
          <w:sz w:val="24"/>
          <w:lang w:val="en-US" w:eastAsia="zh-CN"/>
        </w:rPr>
        <w:t>4.主要内容概况：根据特困人员入住意愿，为保障失能特困人员顺利入住，宿城区民政局拟选定两家具备护理资质的失能特困供养机构，分别承接两个片区约120名（以每月实际人数为准）失能特困人员的集中护理工作。护理内容主要包括清洁照料、睡眠照料、衣食照料、排泄照料、卧位和安全照料、病情观察、心理安慰、康复照护、临终关怀等，保障失能特困人员基本生存和生命尊严。失能特困人员集中供养费用标准固定，具体结算费用以每月实际护理人数为准。</w:t>
      </w:r>
    </w:p>
    <w:p w14:paraId="6FC7A96A">
      <w:pPr>
        <w:pStyle w:val="10"/>
        <w:snapToGrid w:val="0"/>
        <w:spacing w:line="500" w:lineRule="exact"/>
        <w:ind w:firstLine="482" w:firstLineChars="200"/>
        <w:outlineLvl w:val="1"/>
        <w:rPr>
          <w:rFonts w:hint="eastAsia" w:ascii="方正仿宋_GB2312" w:hAnsi="方正仿宋_GB2312" w:eastAsia="方正仿宋_GB2312" w:cs="方正仿宋_GB2312"/>
          <w:b/>
          <w:bCs/>
          <w:color w:val="auto"/>
          <w:sz w:val="24"/>
        </w:rPr>
      </w:pPr>
      <w:r>
        <w:rPr>
          <w:rFonts w:hint="eastAsia" w:ascii="方正仿宋_GB2312" w:hAnsi="方正仿宋_GB2312" w:eastAsia="方正仿宋_GB2312" w:cs="方正仿宋_GB2312"/>
          <w:b/>
          <w:bCs/>
          <w:color w:val="auto"/>
          <w:sz w:val="24"/>
        </w:rPr>
        <w:t>二、合同履约期限及地点等</w:t>
      </w:r>
    </w:p>
    <w:p w14:paraId="73EE0FC5">
      <w:pPr>
        <w:pStyle w:val="10"/>
        <w:snapToGrid w:val="0"/>
        <w:spacing w:line="500" w:lineRule="exact"/>
        <w:ind w:firstLine="480" w:firstLineChars="200"/>
        <w:rPr>
          <w:rFonts w:hint="eastAsia" w:ascii="方正仿宋_GB2312" w:hAnsi="方正仿宋_GB2312" w:eastAsia="方正仿宋_GB2312" w:cs="方正仿宋_GB2312"/>
          <w:color w:val="auto"/>
          <w:sz w:val="24"/>
        </w:rPr>
      </w:pPr>
      <w:r>
        <w:rPr>
          <w:rFonts w:hint="eastAsia" w:ascii="方正仿宋_GB2312" w:hAnsi="方正仿宋_GB2312" w:eastAsia="方正仿宋_GB2312" w:cs="方正仿宋_GB2312"/>
          <w:color w:val="auto"/>
          <w:sz w:val="24"/>
        </w:rPr>
        <w:t>合同履行期限：</w:t>
      </w:r>
      <w:r>
        <w:rPr>
          <w:rFonts w:hint="eastAsia" w:ascii="方正仿宋_GB2312" w:hAnsi="方正仿宋_GB2312" w:eastAsia="方正仿宋_GB2312" w:cs="方正仿宋_GB2312"/>
          <w:color w:val="auto"/>
          <w:sz w:val="24"/>
          <w:lang w:eastAsia="zh-CN"/>
        </w:rPr>
        <w:t>两年</w:t>
      </w:r>
      <w:r>
        <w:rPr>
          <w:rFonts w:hint="eastAsia" w:ascii="方正仿宋_GB2312" w:hAnsi="方正仿宋_GB2312" w:eastAsia="方正仿宋_GB2312" w:cs="方正仿宋_GB2312"/>
          <w:color w:val="auto"/>
          <w:sz w:val="24"/>
        </w:rPr>
        <w:t>。</w:t>
      </w:r>
      <w:r>
        <w:rPr>
          <w:rFonts w:hint="eastAsia" w:ascii="方正仿宋_GBK" w:hAnsi="方正仿宋_GBK" w:eastAsia="方正仿宋_GBK" w:cs="方正仿宋_GBK"/>
          <w:kern w:val="0"/>
          <w:sz w:val="24"/>
          <w:szCs w:val="21"/>
          <w:lang w:eastAsia="zh-CN"/>
        </w:rPr>
        <w:t>特别提示：合同履行期间如遇国家、省、市出台新的法律法规、政策文件，上级对失能特困人员集中护理保障政策、资金保障方式、供养模式作出调整，导致本采购项目不再具备继续实施的政策依据或实施条件的，本采购合同自政策生效/正式执行之日起自动终止，采购人不承担违约责任。各投标人在投标时已充分知晓并自愿承担该政策变动带来的项目提前终止风险。</w:t>
      </w:r>
    </w:p>
    <w:p w14:paraId="09413B21">
      <w:pPr>
        <w:pStyle w:val="10"/>
        <w:snapToGrid w:val="0"/>
        <w:spacing w:line="500" w:lineRule="exact"/>
        <w:ind w:firstLine="480" w:firstLineChars="200"/>
        <w:rPr>
          <w:rFonts w:hint="eastAsia" w:ascii="方正仿宋_GB2312" w:hAnsi="方正仿宋_GB2312" w:eastAsia="方正仿宋_GB2312" w:cs="方正仿宋_GB2312"/>
          <w:color w:val="auto"/>
          <w:sz w:val="24"/>
        </w:rPr>
      </w:pPr>
      <w:r>
        <w:rPr>
          <w:rFonts w:hint="eastAsia" w:ascii="方正仿宋_GB2312" w:hAnsi="方正仿宋_GB2312" w:eastAsia="方正仿宋_GB2312" w:cs="方正仿宋_GB2312"/>
          <w:color w:val="auto"/>
          <w:sz w:val="24"/>
        </w:rPr>
        <w:t>服务地点：</w:t>
      </w:r>
      <w:r>
        <w:rPr>
          <w:rFonts w:hint="eastAsia" w:ascii="方正仿宋_GB2312" w:hAnsi="方正仿宋_GB2312" w:eastAsia="方正仿宋_GB2312" w:cs="方正仿宋_GB2312"/>
          <w:color w:val="auto"/>
          <w:sz w:val="24"/>
          <w:lang w:eastAsia="zh-CN"/>
        </w:rPr>
        <w:t>招标人</w:t>
      </w:r>
      <w:r>
        <w:rPr>
          <w:rFonts w:hint="eastAsia" w:ascii="方正仿宋_GB2312" w:hAnsi="方正仿宋_GB2312" w:eastAsia="方正仿宋_GB2312" w:cs="方正仿宋_GB2312"/>
          <w:color w:val="auto"/>
          <w:sz w:val="24"/>
        </w:rPr>
        <w:t>指定</w:t>
      </w:r>
      <w:r>
        <w:rPr>
          <w:rFonts w:hint="eastAsia" w:ascii="方正仿宋_GB2312" w:hAnsi="方正仿宋_GB2312" w:eastAsia="方正仿宋_GB2312" w:cs="方正仿宋_GB2312"/>
          <w:color w:val="auto"/>
          <w:sz w:val="24"/>
          <w:lang w:val="en-US" w:eastAsia="zh-CN"/>
        </w:rPr>
        <w:t>地点</w:t>
      </w:r>
      <w:r>
        <w:rPr>
          <w:rFonts w:hint="eastAsia" w:ascii="方正仿宋_GB2312" w:hAnsi="方正仿宋_GB2312" w:eastAsia="方正仿宋_GB2312" w:cs="方正仿宋_GB2312"/>
          <w:color w:val="auto"/>
          <w:sz w:val="24"/>
        </w:rPr>
        <w:t>。</w:t>
      </w:r>
    </w:p>
    <w:p w14:paraId="6593D6D3">
      <w:pPr>
        <w:pStyle w:val="10"/>
        <w:snapToGrid w:val="0"/>
        <w:spacing w:line="500" w:lineRule="exact"/>
        <w:ind w:firstLine="480" w:firstLineChars="200"/>
        <w:rPr>
          <w:rFonts w:hint="eastAsia" w:ascii="方正仿宋_GB2312" w:hAnsi="方正仿宋_GB2312" w:eastAsia="方正仿宋_GB2312" w:cs="方正仿宋_GB2312"/>
          <w:color w:val="auto"/>
          <w:sz w:val="24"/>
        </w:rPr>
      </w:pPr>
      <w:r>
        <w:rPr>
          <w:rFonts w:hint="eastAsia" w:ascii="方正仿宋_GB2312" w:hAnsi="方正仿宋_GB2312" w:eastAsia="方正仿宋_GB2312" w:cs="方正仿宋_GB2312"/>
          <w:color w:val="auto"/>
          <w:sz w:val="24"/>
        </w:rPr>
        <w:t>质量要求：合格</w:t>
      </w:r>
    </w:p>
    <w:p w14:paraId="23FEF82C">
      <w:pPr>
        <w:pStyle w:val="10"/>
        <w:snapToGrid w:val="0"/>
        <w:spacing w:line="500" w:lineRule="exact"/>
        <w:ind w:firstLine="482" w:firstLineChars="200"/>
        <w:outlineLvl w:val="1"/>
        <w:rPr>
          <w:rFonts w:hint="eastAsia" w:ascii="方正仿宋_GB2312" w:hAnsi="方正仿宋_GB2312" w:eastAsia="方正仿宋_GB2312" w:cs="方正仿宋_GB2312"/>
          <w:b/>
          <w:bCs/>
          <w:color w:val="auto"/>
          <w:sz w:val="24"/>
        </w:rPr>
      </w:pPr>
      <w:r>
        <w:rPr>
          <w:rFonts w:hint="eastAsia" w:ascii="方正仿宋_GB2312" w:hAnsi="方正仿宋_GB2312" w:eastAsia="方正仿宋_GB2312" w:cs="方正仿宋_GB2312"/>
          <w:b/>
          <w:bCs/>
          <w:color w:val="auto"/>
          <w:sz w:val="24"/>
        </w:rPr>
        <w:t>三、付款方式</w:t>
      </w:r>
    </w:p>
    <w:p w14:paraId="47B55527">
      <w:pPr>
        <w:pStyle w:val="10"/>
        <w:snapToGrid w:val="0"/>
        <w:spacing w:line="500" w:lineRule="exact"/>
        <w:ind w:firstLine="480" w:firstLineChars="200"/>
        <w:rPr>
          <w:rFonts w:hint="eastAsia" w:ascii="方正仿宋_GB2312" w:hAnsi="方正仿宋_GB2312" w:eastAsia="方正仿宋_GB2312" w:cs="方正仿宋_GB2312"/>
          <w:color w:val="auto"/>
          <w:sz w:val="24"/>
        </w:rPr>
      </w:pPr>
      <w:r>
        <w:rPr>
          <w:rFonts w:hint="eastAsia" w:ascii="方正仿宋_GB2312" w:hAnsi="方正仿宋_GB2312" w:eastAsia="方正仿宋_GB2312" w:cs="方正仿宋_GB2312"/>
          <w:color w:val="auto"/>
          <w:sz w:val="24"/>
        </w:rPr>
        <w:t>对于满足合同约定支付条件的，自收到发票后10个工作日内将资金支付到合同约定的</w:t>
      </w:r>
      <w:r>
        <w:rPr>
          <w:rFonts w:hint="eastAsia" w:ascii="方正仿宋_GB2312" w:hAnsi="方正仿宋_GB2312" w:eastAsia="方正仿宋_GB2312" w:cs="方正仿宋_GB2312"/>
          <w:color w:val="auto"/>
          <w:sz w:val="24"/>
          <w:lang w:val="en-US" w:eastAsia="zh-CN"/>
        </w:rPr>
        <w:t>中标人</w:t>
      </w:r>
      <w:r>
        <w:rPr>
          <w:rFonts w:hint="eastAsia" w:ascii="方正仿宋_GB2312" w:hAnsi="方正仿宋_GB2312" w:eastAsia="方正仿宋_GB2312" w:cs="方正仿宋_GB2312"/>
          <w:color w:val="auto"/>
          <w:sz w:val="24"/>
        </w:rPr>
        <w:t>账户或</w:t>
      </w:r>
      <w:r>
        <w:rPr>
          <w:rFonts w:hint="eastAsia" w:ascii="方正仿宋_GB2312" w:hAnsi="方正仿宋_GB2312" w:eastAsia="方正仿宋_GB2312" w:cs="方正仿宋_GB2312"/>
          <w:color w:val="auto"/>
          <w:sz w:val="24"/>
          <w:lang w:val="en-US" w:eastAsia="zh-CN"/>
        </w:rPr>
        <w:t>中标人</w:t>
      </w:r>
      <w:r>
        <w:rPr>
          <w:rFonts w:hint="eastAsia" w:ascii="方正仿宋_GB2312" w:hAnsi="方正仿宋_GB2312" w:eastAsia="方正仿宋_GB2312" w:cs="方正仿宋_GB2312"/>
          <w:color w:val="auto"/>
          <w:sz w:val="24"/>
        </w:rPr>
        <w:t>数字人民币账户。</w:t>
      </w:r>
    </w:p>
    <w:p w14:paraId="4C8E7671">
      <w:pPr>
        <w:spacing w:line="500" w:lineRule="exact"/>
        <w:ind w:firstLine="480" w:firstLineChars="200"/>
        <w:jc w:val="left"/>
        <w:rPr>
          <w:rFonts w:hint="eastAsia" w:ascii="方正仿宋_GBK" w:hAnsi="方正仿宋_GBK" w:eastAsia="方正仿宋_GBK" w:cs="方正仿宋_GBK"/>
          <w:b w:val="0"/>
          <w:bCs/>
          <w:color w:val="auto"/>
          <w:sz w:val="24"/>
          <w:highlight w:val="none"/>
        </w:rPr>
      </w:pPr>
      <w:r>
        <w:rPr>
          <w:rFonts w:hint="eastAsia" w:ascii="方正仿宋_GBK" w:hAnsi="方正仿宋_GBK" w:eastAsia="方正仿宋_GBK" w:cs="方正仿宋_GBK"/>
          <w:b w:val="0"/>
          <w:bCs/>
          <w:color w:val="auto"/>
          <w:sz w:val="24"/>
          <w:highlight w:val="none"/>
        </w:rPr>
        <w:t>预付款：合同金额的10%，合同签订后按规定支付；</w:t>
      </w:r>
    </w:p>
    <w:p w14:paraId="20D4D858">
      <w:pPr>
        <w:spacing w:line="500" w:lineRule="exact"/>
        <w:ind w:firstLine="480" w:firstLineChars="200"/>
        <w:jc w:val="left"/>
        <w:rPr>
          <w:rFonts w:hint="eastAsia" w:ascii="方正仿宋_GBK" w:hAnsi="方正仿宋_GBK" w:eastAsia="方正仿宋_GBK" w:cs="方正仿宋_GBK"/>
          <w:b w:val="0"/>
          <w:bCs/>
          <w:color w:val="auto"/>
          <w:sz w:val="24"/>
          <w:highlight w:val="none"/>
        </w:rPr>
      </w:pPr>
      <w:r>
        <w:rPr>
          <w:rFonts w:hint="eastAsia" w:ascii="方正仿宋_GBK" w:hAnsi="方正仿宋_GBK" w:eastAsia="方正仿宋_GBK" w:cs="方正仿宋_GBK"/>
          <w:b w:val="0"/>
          <w:bCs/>
          <w:color w:val="auto"/>
          <w:sz w:val="24"/>
          <w:highlight w:val="none"/>
        </w:rPr>
        <w:t>进度款：剩余服务费用由招标人按月进行支付，中标人按月根据实际发生的费用开具合法票据，招标人在接到中标人票据的10个工作日内将上一月份实际发生的费用支付给中标人，支付额度=合同金额÷24个月，考核按季度进行。</w:t>
      </w:r>
    </w:p>
    <w:p w14:paraId="31852A6E">
      <w:pPr>
        <w:spacing w:line="500" w:lineRule="exact"/>
        <w:ind w:firstLine="480" w:firstLineChars="200"/>
        <w:jc w:val="left"/>
        <w:rPr>
          <w:rFonts w:hint="default"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rPr>
        <w:t>注：</w:t>
      </w:r>
      <w:r>
        <w:rPr>
          <w:rFonts w:hint="eastAsia" w:ascii="方正仿宋_GBK" w:hAnsi="方正仿宋_GBK" w:eastAsia="方正仿宋_GBK" w:cs="方正仿宋_GBK"/>
          <w:color w:val="auto"/>
          <w:sz w:val="24"/>
          <w:highlight w:val="none"/>
          <w:lang w:val="en-US" w:eastAsia="zh-CN"/>
        </w:rPr>
        <w:t>1.</w:t>
      </w:r>
      <w:r>
        <w:rPr>
          <w:rFonts w:hint="eastAsia" w:ascii="方正仿宋_GBK" w:hAnsi="方正仿宋_GBK" w:eastAsia="方正仿宋_GBK" w:cs="方正仿宋_GBK"/>
          <w:color w:val="auto"/>
          <w:sz w:val="24"/>
          <w:highlight w:val="none"/>
        </w:rPr>
        <w:t>在签订合同时，中标人明确表示无需预付款或者主动要求降低预付款比例的金额，</w:t>
      </w:r>
      <w:r>
        <w:rPr>
          <w:rFonts w:hint="eastAsia" w:ascii="方正仿宋_GBK" w:hAnsi="方正仿宋_GBK" w:eastAsia="方正仿宋_GBK" w:cs="方正仿宋_GBK"/>
          <w:color w:val="auto"/>
          <w:sz w:val="24"/>
          <w:highlight w:val="none"/>
          <w:lang w:eastAsia="zh-CN"/>
        </w:rPr>
        <w:t>招标人</w:t>
      </w:r>
      <w:r>
        <w:rPr>
          <w:rFonts w:hint="eastAsia" w:ascii="方正仿宋_GBK" w:hAnsi="方正仿宋_GBK" w:eastAsia="方正仿宋_GBK" w:cs="方正仿宋_GBK"/>
          <w:color w:val="auto"/>
          <w:sz w:val="24"/>
          <w:highlight w:val="none"/>
        </w:rPr>
        <w:t>可不适用预付款规定。</w:t>
      </w:r>
      <w:r>
        <w:rPr>
          <w:rFonts w:hint="eastAsia" w:ascii="方正仿宋_GBK" w:hAnsi="方正仿宋_GBK" w:eastAsia="方正仿宋_GBK" w:cs="方正仿宋_GBK"/>
          <w:color w:val="auto"/>
          <w:sz w:val="24"/>
          <w:highlight w:val="none"/>
          <w:lang w:val="en-US" w:eastAsia="zh-CN"/>
        </w:rPr>
        <w:t>2.考核详见“宿城区2026-2028年失能特困人员集中供养评估表”。</w:t>
      </w:r>
    </w:p>
    <w:p w14:paraId="1DB67982">
      <w:pPr>
        <w:pStyle w:val="10"/>
        <w:snapToGrid w:val="0"/>
        <w:spacing w:line="500" w:lineRule="exact"/>
        <w:ind w:firstLine="482" w:firstLineChars="200"/>
        <w:outlineLvl w:val="1"/>
        <w:rPr>
          <w:rStyle w:val="9"/>
          <w:rFonts w:hint="default" w:ascii="方正仿宋_GB2312" w:hAnsi="方正仿宋_GB2312" w:eastAsia="方正仿宋_GB2312" w:cs="方正仿宋_GB2312"/>
          <w:b/>
          <w:bCs/>
          <w:color w:val="auto"/>
          <w:sz w:val="24"/>
          <w:szCs w:val="24"/>
          <w:lang w:val="en-US"/>
        </w:rPr>
      </w:pPr>
      <w:r>
        <w:rPr>
          <w:rStyle w:val="9"/>
          <w:rFonts w:hint="eastAsia" w:ascii="方正仿宋_GB2312" w:hAnsi="方正仿宋_GB2312" w:eastAsia="方正仿宋_GB2312" w:cs="方正仿宋_GB2312"/>
          <w:b/>
          <w:bCs/>
          <w:color w:val="auto"/>
          <w:sz w:val="24"/>
          <w:szCs w:val="24"/>
          <w:lang w:val="en-US"/>
        </w:rPr>
        <w:t>四、采购清单</w:t>
      </w:r>
    </w:p>
    <w:tbl>
      <w:tblPr>
        <w:tblStyle w:val="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4"/>
        <w:gridCol w:w="1328"/>
        <w:gridCol w:w="2809"/>
        <w:gridCol w:w="1706"/>
        <w:gridCol w:w="1802"/>
      </w:tblGrid>
      <w:tr w14:paraId="534AC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764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采购包号</w:t>
            </w:r>
          </w:p>
        </w:tc>
        <w:tc>
          <w:tcPr>
            <w:tcW w:w="7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1C42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服务内容</w:t>
            </w:r>
          </w:p>
        </w:tc>
        <w:tc>
          <w:tcPr>
            <w:tcW w:w="16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1D16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服务区域</w:t>
            </w:r>
          </w:p>
        </w:tc>
        <w:tc>
          <w:tcPr>
            <w:tcW w:w="10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4244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数量（人）</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97E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单价</w:t>
            </w:r>
          </w:p>
        </w:tc>
      </w:tr>
      <w:tr w14:paraId="3AC5F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3576C">
            <w:pPr>
              <w:keepNext w:val="0"/>
              <w:keepLines w:val="0"/>
              <w:pageBreakBefore w:val="0"/>
              <w:widowControl/>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iCs w:val="0"/>
                <w:color w:val="000000"/>
                <w:sz w:val="24"/>
                <w:szCs w:val="24"/>
                <w:u w:val="none"/>
              </w:rPr>
            </w:pPr>
          </w:p>
        </w:tc>
        <w:tc>
          <w:tcPr>
            <w:tcW w:w="7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257DA">
            <w:pPr>
              <w:keepNext w:val="0"/>
              <w:keepLines w:val="0"/>
              <w:pageBreakBefore w:val="0"/>
              <w:widowControl/>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iCs w:val="0"/>
                <w:color w:val="000000"/>
                <w:sz w:val="24"/>
                <w:szCs w:val="24"/>
                <w:u w:val="none"/>
              </w:rPr>
            </w:pPr>
          </w:p>
        </w:tc>
        <w:tc>
          <w:tcPr>
            <w:tcW w:w="16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3C6CE">
            <w:pPr>
              <w:keepNext w:val="0"/>
              <w:keepLines w:val="0"/>
              <w:pageBreakBefore w:val="0"/>
              <w:widowControl/>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iCs w:val="0"/>
                <w:color w:val="000000"/>
                <w:sz w:val="24"/>
                <w:szCs w:val="24"/>
                <w:u w:val="none"/>
              </w:rPr>
            </w:pPr>
          </w:p>
        </w:tc>
        <w:tc>
          <w:tcPr>
            <w:tcW w:w="10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1B718">
            <w:pPr>
              <w:keepNext w:val="0"/>
              <w:keepLines w:val="0"/>
              <w:pageBreakBefore w:val="0"/>
              <w:widowControl/>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iCs w:val="0"/>
                <w:color w:val="000000"/>
                <w:sz w:val="24"/>
                <w:szCs w:val="24"/>
                <w:u w:val="none"/>
              </w:rPr>
            </w:pP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8E3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（元/人/月）</w:t>
            </w:r>
          </w:p>
        </w:tc>
      </w:tr>
      <w:tr w14:paraId="03034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752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采购包1</w:t>
            </w:r>
          </w:p>
        </w:tc>
        <w:tc>
          <w:tcPr>
            <w:tcW w:w="7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EA5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失能特困人员集中护理</w:t>
            </w:r>
          </w:p>
        </w:tc>
        <w:tc>
          <w:tcPr>
            <w:tcW w:w="1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2B0C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幸福街道、河滨街道、项里街道、支口街道、古城街道、双庄街道、洋北街</w:t>
            </w:r>
            <w:r>
              <w:rPr>
                <w:rStyle w:val="11"/>
                <w:lang w:val="en-US" w:eastAsia="zh-CN" w:bidi="ar"/>
              </w:rPr>
              <w:t>道、耿车镇、王官集镇、蔡集镇</w:t>
            </w:r>
          </w:p>
        </w:tc>
        <w:tc>
          <w:tcPr>
            <w:tcW w:w="10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85A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最终以实际服务人数计算</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B74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1900/人/月</w:t>
            </w:r>
          </w:p>
        </w:tc>
      </w:tr>
      <w:tr w14:paraId="4144F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F47B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采购</w:t>
            </w:r>
          </w:p>
          <w:p w14:paraId="20E77D4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包2</w:t>
            </w:r>
          </w:p>
        </w:tc>
        <w:tc>
          <w:tcPr>
            <w:tcW w:w="7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034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失能特困人员集中护理</w:t>
            </w:r>
          </w:p>
        </w:tc>
        <w:tc>
          <w:tcPr>
            <w:tcW w:w="1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BC04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龙河镇、埠子镇、陈集镇、屠园镇、中扬镇</w:t>
            </w:r>
          </w:p>
        </w:tc>
        <w:tc>
          <w:tcPr>
            <w:tcW w:w="10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AFA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最终以实际服务人数计算</w:t>
            </w:r>
          </w:p>
        </w:tc>
        <w:tc>
          <w:tcPr>
            <w:tcW w:w="10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BAB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1900/人/月</w:t>
            </w:r>
          </w:p>
        </w:tc>
      </w:tr>
    </w:tbl>
    <w:p w14:paraId="478EE25B">
      <w:pPr>
        <w:pStyle w:val="10"/>
        <w:snapToGrid w:val="0"/>
        <w:spacing w:line="500" w:lineRule="exact"/>
        <w:ind w:firstLine="480" w:firstLineChars="200"/>
        <w:outlineLvl w:val="9"/>
        <w:rPr>
          <w:rStyle w:val="9"/>
          <w:rFonts w:hint="default" w:ascii="方正仿宋_GB2312" w:hAnsi="方正仿宋_GB2312" w:eastAsia="方正仿宋_GB2312" w:cs="方正仿宋_GB2312"/>
          <w:b w:val="0"/>
          <w:bCs w:val="0"/>
          <w:color w:val="auto"/>
          <w:sz w:val="24"/>
          <w:szCs w:val="24"/>
          <w:lang w:val="en-US"/>
        </w:rPr>
      </w:pPr>
      <w:r>
        <w:rPr>
          <w:rStyle w:val="9"/>
          <w:rFonts w:hint="eastAsia" w:ascii="方正仿宋_GB2312" w:hAnsi="方正仿宋_GB2312" w:eastAsia="方正仿宋_GB2312" w:cs="方正仿宋_GB2312"/>
          <w:b w:val="0"/>
          <w:bCs w:val="0"/>
          <w:color w:val="auto"/>
          <w:sz w:val="24"/>
          <w:szCs w:val="24"/>
          <w:lang w:val="en-US"/>
        </w:rPr>
        <w:t>注：1.请各投标人根据每周食谱详细列出基本伙食费和每月服务人员、服务费的组成。2.中标人投标报价中含前服务机构延期服务费用，中标后应当按实计算补给前服务机构。3.本项目价格为固定价格，以实际入住服务人数结算费用。</w:t>
      </w:r>
    </w:p>
    <w:p w14:paraId="4C5BA078">
      <w:pPr>
        <w:pStyle w:val="10"/>
        <w:snapToGrid w:val="0"/>
        <w:spacing w:line="500" w:lineRule="exact"/>
        <w:ind w:firstLine="482" w:firstLineChars="200"/>
        <w:outlineLvl w:val="1"/>
        <w:rPr>
          <w:rStyle w:val="9"/>
          <w:rFonts w:hint="eastAsia" w:ascii="方正仿宋_GB2312" w:hAnsi="方正仿宋_GB2312" w:eastAsia="方正仿宋_GB2312" w:cs="方正仿宋_GB2312"/>
          <w:b/>
          <w:bCs/>
          <w:color w:val="auto"/>
          <w:sz w:val="24"/>
          <w:szCs w:val="24"/>
          <w:lang w:val="en-US"/>
        </w:rPr>
      </w:pPr>
      <w:r>
        <w:rPr>
          <w:rStyle w:val="9"/>
          <w:rFonts w:hint="eastAsia" w:ascii="方正仿宋_GB2312" w:hAnsi="方正仿宋_GB2312" w:eastAsia="方正仿宋_GB2312" w:cs="方正仿宋_GB2312"/>
          <w:b/>
          <w:bCs/>
          <w:color w:val="auto"/>
          <w:sz w:val="24"/>
          <w:szCs w:val="24"/>
          <w:lang w:val="en-US"/>
        </w:rPr>
        <w:t>★五、场所及人员要求</w:t>
      </w:r>
    </w:p>
    <w:p w14:paraId="75A2DD5B">
      <w:pPr>
        <w:pStyle w:val="10"/>
        <w:snapToGrid w:val="0"/>
        <w:spacing w:line="500" w:lineRule="exact"/>
        <w:ind w:firstLine="482" w:firstLineChars="200"/>
        <w:outlineLvl w:val="9"/>
        <w:rPr>
          <w:rStyle w:val="9"/>
          <w:rFonts w:hint="eastAsia" w:ascii="方正仿宋_GB2312" w:hAnsi="方正仿宋_GB2312" w:eastAsia="方正仿宋_GB2312" w:cs="方正仿宋_GB2312"/>
          <w:b/>
          <w:bCs/>
          <w:color w:val="auto"/>
          <w:sz w:val="24"/>
          <w:szCs w:val="24"/>
          <w:lang w:val="en-US"/>
        </w:rPr>
      </w:pPr>
      <w:r>
        <w:rPr>
          <w:rStyle w:val="9"/>
          <w:rFonts w:hint="eastAsia" w:ascii="方正仿宋_GB2312" w:hAnsi="方正仿宋_GB2312" w:eastAsia="方正仿宋_GB2312" w:cs="方正仿宋_GB2312"/>
          <w:b/>
          <w:bCs/>
          <w:color w:val="auto"/>
          <w:sz w:val="24"/>
          <w:szCs w:val="24"/>
          <w:lang w:val="en-US"/>
        </w:rPr>
        <w:t>投标人须承诺：中标后能按江苏省五保老人供养机构标准提供本地化服务并能够提供不少于100张床位。养老护理员和所护理的失能特困人员的比例不低</w:t>
      </w:r>
      <w:r>
        <w:rPr>
          <w:rStyle w:val="9"/>
          <w:rFonts w:hint="eastAsia" w:ascii="方正仿宋_GB2312" w:hAnsi="方正仿宋_GB2312" w:eastAsia="方正仿宋_GB2312" w:cs="方正仿宋_GB2312"/>
          <w:b/>
          <w:bCs/>
          <w:color w:val="auto"/>
          <w:sz w:val="24"/>
          <w:szCs w:val="24"/>
          <w:highlight w:val="none"/>
          <w:lang w:val="en-US"/>
        </w:rPr>
        <w:t>于1:4。</w:t>
      </w:r>
    </w:p>
    <w:p w14:paraId="27A226F4">
      <w:pPr>
        <w:pStyle w:val="10"/>
        <w:snapToGrid w:val="0"/>
        <w:spacing w:line="500" w:lineRule="exact"/>
        <w:ind w:firstLine="482" w:firstLineChars="200"/>
        <w:outlineLvl w:val="9"/>
        <w:rPr>
          <w:rStyle w:val="9"/>
          <w:rFonts w:hint="default" w:ascii="方正仿宋_GB2312" w:hAnsi="方正仿宋_GB2312" w:eastAsia="方正仿宋_GB2312" w:cs="方正仿宋_GB2312"/>
          <w:b/>
          <w:bCs/>
          <w:color w:val="auto"/>
          <w:sz w:val="24"/>
          <w:szCs w:val="24"/>
          <w:lang w:val="en-US"/>
        </w:rPr>
      </w:pPr>
      <w:r>
        <w:rPr>
          <w:rStyle w:val="9"/>
          <w:rFonts w:hint="eastAsia" w:ascii="方正仿宋_GB2312" w:hAnsi="方正仿宋_GB2312" w:eastAsia="方正仿宋_GB2312" w:cs="方正仿宋_GB2312"/>
          <w:b/>
          <w:bCs/>
          <w:color w:val="auto"/>
          <w:sz w:val="24"/>
          <w:szCs w:val="24"/>
          <w:lang w:val="en-US"/>
        </w:rPr>
        <w:t>注：提供承诺函，格式自拟，未提供作无效标处理。</w:t>
      </w:r>
    </w:p>
    <w:p w14:paraId="25049121">
      <w:pPr>
        <w:pStyle w:val="10"/>
        <w:snapToGrid w:val="0"/>
        <w:spacing w:line="500" w:lineRule="exact"/>
        <w:ind w:firstLine="482" w:firstLineChars="200"/>
        <w:outlineLvl w:val="1"/>
        <w:rPr>
          <w:rStyle w:val="9"/>
          <w:rFonts w:hint="eastAsia" w:ascii="方正仿宋_GB2312" w:hAnsi="方正仿宋_GB2312" w:eastAsia="方正仿宋_GB2312" w:cs="方正仿宋_GB2312"/>
          <w:b/>
          <w:bCs/>
          <w:color w:val="auto"/>
          <w:sz w:val="24"/>
          <w:szCs w:val="24"/>
          <w:lang w:val="en-US"/>
        </w:rPr>
      </w:pPr>
      <w:r>
        <w:rPr>
          <w:rStyle w:val="9"/>
          <w:rFonts w:hint="eastAsia" w:ascii="方正仿宋_GB2312" w:hAnsi="方正仿宋_GB2312" w:eastAsia="方正仿宋_GB2312" w:cs="方正仿宋_GB2312"/>
          <w:b/>
          <w:bCs/>
          <w:color w:val="auto"/>
          <w:sz w:val="24"/>
          <w:szCs w:val="24"/>
          <w:lang w:val="en-US"/>
        </w:rPr>
        <w:t>★六、人员移交</w:t>
      </w:r>
    </w:p>
    <w:p w14:paraId="245E43CA">
      <w:pPr>
        <w:pStyle w:val="10"/>
        <w:snapToGrid w:val="0"/>
        <w:spacing w:line="500" w:lineRule="exact"/>
        <w:ind w:firstLine="482" w:firstLineChars="200"/>
        <w:outlineLvl w:val="9"/>
        <w:rPr>
          <w:rStyle w:val="9"/>
          <w:rFonts w:hint="default" w:ascii="方正仿宋_GB2312" w:hAnsi="方正仿宋_GB2312" w:eastAsia="方正仿宋_GB2312" w:cs="方正仿宋_GB2312"/>
          <w:b/>
          <w:bCs/>
          <w:color w:val="auto"/>
          <w:sz w:val="24"/>
          <w:szCs w:val="24"/>
          <w:lang w:val="en-US"/>
        </w:rPr>
      </w:pPr>
      <w:r>
        <w:rPr>
          <w:rStyle w:val="9"/>
          <w:rFonts w:hint="eastAsia" w:ascii="方正仿宋_GB2312" w:hAnsi="方正仿宋_GB2312" w:eastAsia="方正仿宋_GB2312" w:cs="方正仿宋_GB2312"/>
          <w:b/>
          <w:bCs/>
          <w:color w:val="auto"/>
          <w:sz w:val="24"/>
          <w:szCs w:val="24"/>
          <w:lang w:val="en-US"/>
        </w:rPr>
        <w:t>合同签订后，中标人必须安排专用车辆和医护人员将失能特困人员（服务对象）从现有的养老服务机构接到中标人服务机构内，费用包含在投标报价内；移交过程中中标供应商对出现的所有问题负责。</w:t>
      </w:r>
    </w:p>
    <w:p w14:paraId="3C21E6CB">
      <w:pPr>
        <w:pStyle w:val="10"/>
        <w:snapToGrid w:val="0"/>
        <w:spacing w:line="500" w:lineRule="exact"/>
        <w:ind w:firstLine="482" w:firstLineChars="200"/>
        <w:outlineLvl w:val="9"/>
        <w:rPr>
          <w:rStyle w:val="9"/>
          <w:rFonts w:hint="default" w:ascii="方正仿宋_GB2312" w:hAnsi="方正仿宋_GB2312" w:eastAsia="方正仿宋_GB2312" w:cs="方正仿宋_GB2312"/>
          <w:b/>
          <w:bCs/>
          <w:color w:val="auto"/>
          <w:sz w:val="24"/>
          <w:szCs w:val="24"/>
          <w:lang w:val="en-US"/>
        </w:rPr>
      </w:pPr>
      <w:r>
        <w:rPr>
          <w:rStyle w:val="9"/>
          <w:rFonts w:hint="eastAsia" w:ascii="方正仿宋_GB2312" w:hAnsi="方正仿宋_GB2312" w:eastAsia="方正仿宋_GB2312" w:cs="方正仿宋_GB2312"/>
          <w:b/>
          <w:bCs/>
          <w:color w:val="auto"/>
          <w:sz w:val="24"/>
          <w:szCs w:val="24"/>
          <w:lang w:val="en-US"/>
        </w:rPr>
        <w:t>注：提供承诺函，格式自拟，未提供作无效标处理。</w:t>
      </w:r>
    </w:p>
    <w:p w14:paraId="5EEB5EC1">
      <w:pPr>
        <w:pStyle w:val="10"/>
        <w:snapToGrid w:val="0"/>
        <w:spacing w:line="500" w:lineRule="exact"/>
        <w:ind w:firstLine="482" w:firstLineChars="200"/>
        <w:outlineLvl w:val="1"/>
        <w:rPr>
          <w:rStyle w:val="9"/>
          <w:rFonts w:ascii="方正仿宋_GB2312" w:hAnsi="方正仿宋_GB2312" w:eastAsia="方正仿宋_GB2312" w:cs="方正仿宋_GB2312"/>
          <w:b/>
          <w:bCs/>
          <w:color w:val="auto"/>
          <w:sz w:val="24"/>
          <w:szCs w:val="24"/>
          <w:lang w:val="en-US"/>
        </w:rPr>
      </w:pPr>
      <w:r>
        <w:rPr>
          <w:rStyle w:val="9"/>
          <w:rFonts w:hint="eastAsia" w:ascii="方正仿宋_GB2312" w:hAnsi="方正仿宋_GB2312" w:eastAsia="方正仿宋_GB2312" w:cs="方正仿宋_GB2312"/>
          <w:b/>
          <w:bCs/>
          <w:color w:val="auto"/>
          <w:sz w:val="24"/>
          <w:szCs w:val="24"/>
          <w:lang w:val="en-US"/>
        </w:rPr>
        <w:t>七、服务标准和要求</w:t>
      </w:r>
    </w:p>
    <w:p w14:paraId="3E807B90">
      <w:pPr>
        <w:spacing w:line="500" w:lineRule="exact"/>
        <w:ind w:firstLine="480" w:firstLineChars="200"/>
        <w:jc w:val="left"/>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注：特困人员供养机构（包括公营、民营）用于供养对象基本伙食的支出不低于特困人员供养标准的50%，根据本地实际，确定平均每人每月（或每天）基本伙食具体标准，并随全市特困人员供养标准提高及时调整。]</w:t>
      </w:r>
    </w:p>
    <w:p w14:paraId="356F14E9">
      <w:pPr>
        <w:spacing w:line="500" w:lineRule="exact"/>
        <w:ind w:firstLine="480" w:firstLineChars="200"/>
        <w:jc w:val="left"/>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为切实做好宿城区重度失能特困人员集中护理工作，进一步完善兜底保障服务，根据《关于进一步规范失能特困人员集中照护工作的通知》（宿区民发〔2021〕102号）、《关于明确集中供养特困人员基本伙食标准的通知》（宿民发〔2021〕41号）要求，参照《中国老年人膳食指南》结合宿城区实际特制定本方案（宿区民发〔2021〕102号、宿民发〔2021〕41号文件详见附件）。</w:t>
      </w:r>
    </w:p>
    <w:p w14:paraId="66F00FA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lang w:eastAsia="zh-CN"/>
        </w:rPr>
        <w:t>护理对象、机构和内容</w:t>
      </w:r>
    </w:p>
    <w:p w14:paraId="43CCC71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1.1</w:t>
      </w:r>
      <w:r>
        <w:rPr>
          <w:rFonts w:hint="eastAsia" w:ascii="方正仿宋_GBK" w:hAnsi="方正仿宋_GBK" w:eastAsia="方正仿宋_GBK" w:cs="方正仿宋_GBK"/>
          <w:sz w:val="24"/>
          <w:szCs w:val="24"/>
          <w:lang w:eastAsia="zh-CN"/>
        </w:rPr>
        <w:t>护理对象具有宿城区户籍的失能特困人员（因年老、疾病、伤残导致失能），根据《老年人能力评估规范》（GB/T42195-2022）标准，生活不能自理、需要长期照护的人员。（国家认定失能标准有调整的，重订标准）</w:t>
      </w:r>
    </w:p>
    <w:p w14:paraId="36F259D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1.2</w:t>
      </w:r>
      <w:r>
        <w:rPr>
          <w:rFonts w:hint="eastAsia" w:ascii="方正仿宋_GBK" w:hAnsi="方正仿宋_GBK" w:eastAsia="方正仿宋_GBK" w:cs="方正仿宋_GBK"/>
          <w:sz w:val="24"/>
          <w:szCs w:val="24"/>
          <w:lang w:eastAsia="zh-CN"/>
        </w:rPr>
        <w:t>护理机构通过公开招投标确定具有护理院资质的养老机构。</w:t>
      </w:r>
    </w:p>
    <w:p w14:paraId="399C811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1.3</w:t>
      </w:r>
      <w:r>
        <w:rPr>
          <w:rFonts w:hint="eastAsia" w:ascii="方正仿宋_GBK" w:hAnsi="方正仿宋_GBK" w:eastAsia="方正仿宋_GBK" w:cs="方正仿宋_GBK"/>
          <w:sz w:val="24"/>
          <w:szCs w:val="24"/>
          <w:lang w:eastAsia="zh-CN"/>
        </w:rPr>
        <w:t>护理内容主要包括清洁照料、睡眠照料、衣食照料、排泄照料、卧位和安全照料、病情观察、心理安慰、康复照护、临终关怀等，保障失能特困人员基本生存和生命尊严。</w:t>
      </w:r>
    </w:p>
    <w:p w14:paraId="0301910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1.4</w:t>
      </w:r>
      <w:r>
        <w:rPr>
          <w:rFonts w:hint="eastAsia" w:ascii="方正仿宋_GBK" w:hAnsi="方正仿宋_GBK" w:eastAsia="方正仿宋_GBK" w:cs="方正仿宋_GBK"/>
          <w:sz w:val="24"/>
          <w:szCs w:val="24"/>
          <w:lang w:eastAsia="zh-CN"/>
        </w:rPr>
        <w:t>护理要求</w:t>
      </w:r>
    </w:p>
    <w:p w14:paraId="0F86A6A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lang w:eastAsia="zh-CN"/>
        </w:rPr>
        <w:t>4.1开展健康体检：每年为特困人员健康体检一次，建立健康档案，纳入健康管理。根据特困人员身体状况及时开展健康评估，制定康复计划，协助特困人员进行康复训练。</w:t>
      </w:r>
    </w:p>
    <w:p w14:paraId="3590770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lang w:eastAsia="zh-CN"/>
        </w:rPr>
        <w:t>4.2护理要求</w:t>
      </w:r>
    </w:p>
    <w:p w14:paraId="4CE8DD8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lang w:eastAsia="zh-CN"/>
        </w:rPr>
        <w:t>4.2.1个人卫生护理</w:t>
      </w:r>
    </w:p>
    <w:p w14:paraId="6AB7C01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（1）为无能力梳洗的特困人员梳洗，并协助洗浴。</w:t>
      </w:r>
    </w:p>
    <w:p w14:paraId="3D243F6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（2）搀扶特困人员上厕所</w:t>
      </w:r>
    </w:p>
    <w:p w14:paraId="235754A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（3）夏季每日给特困人员擦洗一次。</w:t>
      </w:r>
    </w:p>
    <w:p w14:paraId="3AE7F7F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（4）定期给特困人员修剪指（趾）甲。</w:t>
      </w:r>
    </w:p>
    <w:p w14:paraId="307FA76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（5）观察特困人员异常情况，及时报告医生处理。</w:t>
      </w:r>
    </w:p>
    <w:p w14:paraId="6D05115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（6）定期理发，剃须，保持特困人员仪表端庄。</w:t>
      </w:r>
    </w:p>
    <w:p w14:paraId="0817A56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（7）每日为特困人员在室内或床上进行晨间，晚间的全套护理服务。</w:t>
      </w:r>
    </w:p>
    <w:p w14:paraId="6897BEB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（8）每周给特困人员修剪一次指（趾）甲，定期理发，剃须。</w:t>
      </w:r>
    </w:p>
    <w:p w14:paraId="785C79D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（9）对大小便失禁或发生呕吐的特困人员，应及时清洗，更换衣物</w:t>
      </w:r>
    </w:p>
    <w:p w14:paraId="4E94798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（10）加强基础护理，防止并发症的发生。</w:t>
      </w:r>
    </w:p>
    <w:p w14:paraId="39422C4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lang w:eastAsia="zh-CN"/>
        </w:rPr>
        <w:t>4.2.2饮食起居护理</w:t>
      </w:r>
    </w:p>
    <w:p w14:paraId="6C51B29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（1）饭菜，茶水供应到居室</w:t>
      </w:r>
    </w:p>
    <w:p w14:paraId="0F04C4C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（2）协助医生观察特困人员病情变化、用药反应，发现异常情况及时报告医生处理。</w:t>
      </w:r>
    </w:p>
    <w:p w14:paraId="2BC7B8B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（3）协助特困人员整理床铺，每周换洗一次被罩、床单、枕巾，（必要时随时换洗）。</w:t>
      </w:r>
    </w:p>
    <w:p w14:paraId="4D8EAED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（4）毛巾、洗脸盆必须经常清洗，便器每周消毒一次。</w:t>
      </w:r>
    </w:p>
    <w:p w14:paraId="28A334C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（5）按时喂水、喂饭、喂药，严密观察病情变化并做好记录，及时密切注意特殊治疗，每隔30分钟巡视一次</w:t>
      </w:r>
    </w:p>
    <w:p w14:paraId="2D447CF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lang w:eastAsia="zh-CN"/>
        </w:rPr>
        <w:t>4.2.3居室卫生护理</w:t>
      </w:r>
    </w:p>
    <w:p w14:paraId="47E4F4F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（1）餐具和茶杯应每周消毒一次。</w:t>
      </w:r>
    </w:p>
    <w:p w14:paraId="2537B3F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（2）做好心理护理及卫生宣教。</w:t>
      </w:r>
    </w:p>
    <w:p w14:paraId="558B1DF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（3）每周清洗内衣三次，夏季每日洗。每周洗外衣一次，每月清洗床上用品一次。</w:t>
      </w:r>
    </w:p>
    <w:p w14:paraId="3C58FC4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（4）被褥、气垫、被单保持清洁、平整、干燥、柔软。</w:t>
      </w:r>
    </w:p>
    <w:p w14:paraId="50FCD9D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lang w:eastAsia="zh-CN"/>
        </w:rPr>
        <w:t>4.2.4医疗康复看护护理</w:t>
      </w:r>
    </w:p>
    <w:p w14:paraId="42FD2EC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（1）实行医护人员24小时值班制，做好查房给药，注射到床头。</w:t>
      </w:r>
    </w:p>
    <w:p w14:paraId="4F40087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（2）帮助并指导特困人员开展个体康复活动。</w:t>
      </w:r>
    </w:p>
    <w:p w14:paraId="0D917B1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（3）每隔2小时为卧病不起的特困人员翻一次身，变换体位，检查皮肤受压情况，严防褥疮的发生。</w:t>
      </w:r>
    </w:p>
    <w:p w14:paraId="3612256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（4）做好心理护理和卫生宣教工作。</w:t>
      </w:r>
    </w:p>
    <w:p w14:paraId="2CADC56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（5）对易发生坠床、座椅意外的特困人员提供床栏、座椅加绳托等安全保护器具，确保安全，不发生事故。</w:t>
      </w:r>
    </w:p>
    <w:p w14:paraId="1A69420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lang w:eastAsia="zh-CN"/>
        </w:rPr>
        <w:t>4.3提供医疗保障：入住人员患病时，由中标人负责送医治疗和治疗期间的日常护理。患重大疾病需及时与委托供养的镇人民政府（街道办事处）民生事务局沟通并告知其监护人和登记的亲属联系人，并由属地安排相关照料护理，同时报招标人备案。</w:t>
      </w:r>
    </w:p>
    <w:p w14:paraId="5DE7406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lang w:eastAsia="zh-CN"/>
        </w:rPr>
        <w:t>4.4提供生活保障：提供符合食品卫生安全要求、适合特困人员需求的膳食，并按规定为特困人员提供服装、被褥等日常生活用品。</w:t>
      </w:r>
    </w:p>
    <w:p w14:paraId="77958CD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lang w:eastAsia="zh-CN"/>
        </w:rPr>
        <w:t>4.5办理丧葬事宜：特困人员死亡后的丧葬事宜，由委托供养的镇人民政府（街道办事处）负责办理，失能特困人员照护机构积极做好配合工作。</w:t>
      </w:r>
    </w:p>
    <w:p w14:paraId="5ED84E20">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方正仿宋_GBK" w:hAnsi="方正仿宋_GBK" w:eastAsia="方正仿宋_GBK" w:cs="方正仿宋_GBK"/>
          <w:b/>
          <w:bCs/>
          <w:sz w:val="24"/>
          <w:szCs w:val="24"/>
          <w:lang w:eastAsia="zh-CN"/>
        </w:rPr>
      </w:pPr>
      <w:r>
        <w:rPr>
          <w:rStyle w:val="9"/>
          <w:rFonts w:hint="eastAsia" w:ascii="方正仿宋_GB2312" w:hAnsi="方正仿宋_GB2312" w:eastAsia="方正仿宋_GB2312" w:cs="方正仿宋_GB2312"/>
          <w:b/>
          <w:bCs/>
          <w:color w:val="auto"/>
          <w:sz w:val="24"/>
          <w:szCs w:val="24"/>
          <w:lang w:val="en-US"/>
        </w:rPr>
        <w:t>★</w:t>
      </w:r>
      <w:r>
        <w:rPr>
          <w:rFonts w:hint="eastAsia" w:ascii="方正仿宋_GBK" w:hAnsi="方正仿宋_GBK" w:eastAsia="方正仿宋_GBK" w:cs="方正仿宋_GBK"/>
          <w:b/>
          <w:bCs/>
          <w:sz w:val="24"/>
          <w:szCs w:val="24"/>
          <w:lang w:val="en-US" w:eastAsia="zh-CN"/>
        </w:rPr>
        <w:t>1.</w:t>
      </w:r>
      <w:r>
        <w:rPr>
          <w:rFonts w:hint="eastAsia" w:ascii="方正仿宋_GBK" w:hAnsi="方正仿宋_GBK" w:eastAsia="方正仿宋_GBK" w:cs="方正仿宋_GBK"/>
          <w:b/>
          <w:bCs/>
          <w:sz w:val="24"/>
          <w:szCs w:val="24"/>
          <w:lang w:eastAsia="zh-CN"/>
        </w:rPr>
        <w:t>5医护人员、养老护理员不得低于10人（持有相关资质证书）。投标人中标后，医护人员应按与特困人</w:t>
      </w:r>
      <w:r>
        <w:rPr>
          <w:rFonts w:hint="eastAsia" w:ascii="方正仿宋_GBK" w:hAnsi="方正仿宋_GBK" w:eastAsia="方正仿宋_GBK" w:cs="方正仿宋_GBK"/>
          <w:b/>
          <w:bCs/>
          <w:sz w:val="24"/>
          <w:szCs w:val="24"/>
          <w:highlight w:val="none"/>
          <w:lang w:eastAsia="zh-CN"/>
        </w:rPr>
        <w:t>员1:4</w:t>
      </w:r>
      <w:r>
        <w:rPr>
          <w:rFonts w:hint="eastAsia" w:ascii="方正仿宋_GBK" w:hAnsi="方正仿宋_GBK" w:eastAsia="方正仿宋_GBK" w:cs="方正仿宋_GBK"/>
          <w:b/>
          <w:bCs/>
          <w:sz w:val="24"/>
          <w:szCs w:val="24"/>
          <w:lang w:eastAsia="zh-CN"/>
        </w:rPr>
        <w:t>的比例配齐。</w:t>
      </w:r>
    </w:p>
    <w:p w14:paraId="34357609">
      <w:pPr>
        <w:pStyle w:val="10"/>
        <w:snapToGrid w:val="0"/>
        <w:spacing w:line="500" w:lineRule="exact"/>
        <w:ind w:firstLine="482" w:firstLineChars="200"/>
        <w:outlineLvl w:val="9"/>
        <w:rPr>
          <w:rStyle w:val="9"/>
          <w:rFonts w:hint="default" w:ascii="方正仿宋_GB2312" w:hAnsi="方正仿宋_GB2312" w:eastAsia="方正仿宋_GB2312" w:cs="方正仿宋_GB2312"/>
          <w:b/>
          <w:bCs/>
          <w:color w:val="auto"/>
          <w:sz w:val="24"/>
          <w:szCs w:val="24"/>
          <w:lang w:val="en-US"/>
        </w:rPr>
      </w:pPr>
      <w:r>
        <w:rPr>
          <w:rStyle w:val="9"/>
          <w:rFonts w:hint="eastAsia" w:ascii="方正仿宋_GB2312" w:hAnsi="方正仿宋_GB2312" w:eastAsia="方正仿宋_GB2312" w:cs="方正仿宋_GB2312"/>
          <w:b/>
          <w:bCs/>
          <w:color w:val="auto"/>
          <w:sz w:val="24"/>
          <w:szCs w:val="24"/>
          <w:lang w:val="en-US"/>
        </w:rPr>
        <w:t>注：提供承诺函，格式自拟，未提供作无效标处理。</w:t>
      </w:r>
    </w:p>
    <w:p w14:paraId="7047B37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2.</w:t>
      </w:r>
      <w:r>
        <w:rPr>
          <w:rFonts w:hint="eastAsia" w:ascii="方正仿宋_GBK" w:hAnsi="方正仿宋_GBK" w:eastAsia="方正仿宋_GBK" w:cs="方正仿宋_GBK"/>
          <w:sz w:val="24"/>
          <w:szCs w:val="24"/>
          <w:lang w:eastAsia="zh-CN"/>
        </w:rPr>
        <w:t>供养入住程序</w:t>
      </w:r>
    </w:p>
    <w:p w14:paraId="0456602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特困人员入住中标人按“本人申请、镇人民政府（街道办事处）审核、能力评估、区民政部门批准”的程序进行。</w:t>
      </w:r>
    </w:p>
    <w:p w14:paraId="3779D73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2.1</w:t>
      </w:r>
      <w:r>
        <w:rPr>
          <w:rFonts w:hint="eastAsia" w:ascii="方正仿宋_GBK" w:hAnsi="方正仿宋_GBK" w:eastAsia="方正仿宋_GBK" w:cs="方正仿宋_GBK"/>
          <w:sz w:val="24"/>
          <w:szCs w:val="24"/>
          <w:lang w:eastAsia="zh-CN"/>
        </w:rPr>
        <w:t>入住申请：对符合入住条件的失能特困人员，由监护人（机构）向户籍所在地镇人民政府（街道办事处）提出书面申请。</w:t>
      </w:r>
    </w:p>
    <w:p w14:paraId="632052E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2.2</w:t>
      </w:r>
      <w:r>
        <w:rPr>
          <w:rFonts w:hint="eastAsia" w:ascii="方正仿宋_GBK" w:hAnsi="方正仿宋_GBK" w:eastAsia="方正仿宋_GBK" w:cs="方正仿宋_GBK"/>
          <w:sz w:val="24"/>
          <w:szCs w:val="24"/>
          <w:lang w:eastAsia="zh-CN"/>
        </w:rPr>
        <w:t>审批时限：镇人民政府（街道办事处）应于收到申请3个工作日内完成审核；第三方评估机构3个工作日内完成入住评估；招标人3个工作日内完成审批。</w:t>
      </w:r>
    </w:p>
    <w:p w14:paraId="5CCAB5C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2.3</w:t>
      </w:r>
      <w:r>
        <w:rPr>
          <w:rFonts w:hint="eastAsia" w:ascii="方正仿宋_GBK" w:hAnsi="方正仿宋_GBK" w:eastAsia="方正仿宋_GBK" w:cs="方正仿宋_GBK"/>
          <w:sz w:val="24"/>
          <w:szCs w:val="24"/>
          <w:lang w:eastAsia="zh-CN"/>
        </w:rPr>
        <w:t>供养安置：审批完成后由失能特困人员所在镇人民政府（街道办事处）安排具体经办人员或其近亲属将特困人员送至失能特困人员照护机构。同时签订特困人员监护人（机构）、委托供养镇人民政府（街道办事处）、中标人三方委托供养服务协议。</w:t>
      </w:r>
    </w:p>
    <w:p w14:paraId="5207FC2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lang w:eastAsia="zh-CN"/>
        </w:rPr>
        <w:t>供养出院管理</w:t>
      </w:r>
    </w:p>
    <w:p w14:paraId="129A043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特困人员身体等其他情况发生变化符合下列情形之一的，应根据实际情况及时、妥善进行安排，并报招标人备案。</w:t>
      </w:r>
    </w:p>
    <w:p w14:paraId="354E76B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3.1</w:t>
      </w:r>
      <w:r>
        <w:rPr>
          <w:rFonts w:hint="eastAsia" w:ascii="方正仿宋_GBK" w:hAnsi="方正仿宋_GBK" w:eastAsia="方正仿宋_GBK" w:cs="方正仿宋_GBK"/>
          <w:sz w:val="24"/>
          <w:szCs w:val="24"/>
          <w:lang w:eastAsia="zh-CN"/>
        </w:rPr>
        <w:t>本人不再符合《特困人员认定办法》或其他经认定不符合集中供养救助情形的，各镇人民政府（街道办事处）应按照相关规定及时进行清退。</w:t>
      </w:r>
    </w:p>
    <w:p w14:paraId="58AD59A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3.2</w:t>
      </w:r>
      <w:r>
        <w:rPr>
          <w:rFonts w:hint="eastAsia" w:ascii="方正仿宋_GBK" w:hAnsi="方正仿宋_GBK" w:eastAsia="方正仿宋_GBK" w:cs="方正仿宋_GBK"/>
          <w:sz w:val="24"/>
          <w:szCs w:val="24"/>
          <w:lang w:eastAsia="zh-CN"/>
        </w:rPr>
        <w:t>因身体情况恢复较好，经评估不再属于重度失能、完全失能人员的，由中标人与所属镇人民政府（街道办事处）对接，解除委托供养服务协议。根据供养对象意愿由送养镇人民政府（街道办事处）安排返回原敬老院居住或进行分散供养，并报招标人备案。</w:t>
      </w:r>
    </w:p>
    <w:p w14:paraId="0315454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val="en-US" w:eastAsia="zh-CN"/>
        </w:rPr>
        <w:t>3.3</w:t>
      </w:r>
      <w:r>
        <w:rPr>
          <w:rFonts w:hint="eastAsia" w:ascii="方正仿宋_GBK" w:hAnsi="方正仿宋_GBK" w:eastAsia="方正仿宋_GBK" w:cs="方正仿宋_GBK"/>
          <w:sz w:val="24"/>
          <w:szCs w:val="24"/>
          <w:lang w:eastAsia="zh-CN"/>
        </w:rPr>
        <w:t>特困人员要求退出中标人集中供养的，由本人或委托供养的镇人民政府（街道办事处）提出申请，由中标人通知监护人（机构）办理相关手续后离院，并报招标人备案。</w:t>
      </w:r>
    </w:p>
    <w:p w14:paraId="44B2661A">
      <w:pPr>
        <w:pStyle w:val="10"/>
        <w:snapToGrid w:val="0"/>
        <w:spacing w:line="500" w:lineRule="exact"/>
        <w:ind w:firstLine="482" w:firstLineChars="200"/>
        <w:outlineLvl w:val="1"/>
        <w:rPr>
          <w:rStyle w:val="9"/>
          <w:rFonts w:ascii="方正仿宋_GB2312" w:hAnsi="方正仿宋_GB2312" w:eastAsia="方正仿宋_GB2312" w:cs="方正仿宋_GB2312"/>
          <w:b/>
          <w:bCs/>
          <w:color w:val="auto"/>
          <w:sz w:val="24"/>
          <w:szCs w:val="24"/>
          <w:lang w:val="en-US"/>
        </w:rPr>
      </w:pPr>
      <w:r>
        <w:rPr>
          <w:rStyle w:val="9"/>
          <w:rFonts w:hint="eastAsia" w:ascii="方正仿宋_GB2312" w:hAnsi="方正仿宋_GB2312" w:eastAsia="方正仿宋_GB2312" w:cs="方正仿宋_GB2312"/>
          <w:b/>
          <w:bCs/>
          <w:color w:val="auto"/>
          <w:sz w:val="24"/>
          <w:szCs w:val="24"/>
          <w:lang w:val="en-US"/>
        </w:rPr>
        <w:t>八、保障措施</w:t>
      </w:r>
    </w:p>
    <w:p w14:paraId="6C8F2B9C">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lang w:eastAsia="zh-CN"/>
        </w:rPr>
        <w:t>根据协议约定，每月将失能特困人员供养经费拨入失能供养照护机构，剩余部分由区民政根据每季度考核的情况进行资金拨付</w:t>
      </w:r>
      <w:r>
        <w:rPr>
          <w:rFonts w:hint="eastAsia" w:ascii="方正仿宋_GBK" w:hAnsi="方正仿宋_GBK" w:eastAsia="方正仿宋_GBK" w:cs="方正仿宋_GBK"/>
          <w:sz w:val="24"/>
          <w:szCs w:val="24"/>
          <w:highlight w:val="none"/>
          <w:lang w:val="en-US" w:eastAsia="zh-CN"/>
        </w:rPr>
        <w:t>。</w:t>
      </w:r>
    </w:p>
    <w:p w14:paraId="6FCF18AF">
      <w:pPr>
        <w:pStyle w:val="10"/>
        <w:snapToGrid w:val="0"/>
        <w:spacing w:line="500" w:lineRule="exact"/>
        <w:ind w:firstLine="482" w:firstLineChars="200"/>
        <w:outlineLvl w:val="1"/>
        <w:rPr>
          <w:rStyle w:val="9"/>
          <w:rFonts w:hint="eastAsia" w:ascii="方正仿宋_GB2312" w:hAnsi="方正仿宋_GB2312" w:eastAsia="方正仿宋_GB2312" w:cs="方正仿宋_GB2312"/>
          <w:b/>
          <w:bCs/>
          <w:color w:val="auto"/>
          <w:sz w:val="24"/>
          <w:szCs w:val="24"/>
        </w:rPr>
      </w:pPr>
      <w:r>
        <w:rPr>
          <w:rFonts w:hint="eastAsia" w:ascii="方正仿宋_GB2312" w:hAnsi="方正仿宋_GB2312" w:eastAsia="方正仿宋_GB2312" w:cs="方正仿宋_GB2312"/>
          <w:b/>
          <w:bCs/>
          <w:color w:val="auto"/>
          <w:sz w:val="24"/>
          <w:lang w:val="en-US" w:eastAsia="zh-CN"/>
        </w:rPr>
        <w:t>九</w:t>
      </w:r>
      <w:r>
        <w:rPr>
          <w:rFonts w:hint="eastAsia" w:ascii="方正仿宋_GB2312" w:hAnsi="方正仿宋_GB2312" w:eastAsia="方正仿宋_GB2312" w:cs="方正仿宋_GB2312"/>
          <w:b/>
          <w:bCs/>
          <w:color w:val="auto"/>
          <w:sz w:val="24"/>
        </w:rPr>
        <w:t>、相关要求</w:t>
      </w:r>
    </w:p>
    <w:p w14:paraId="25B248B5">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lang w:eastAsia="zh-CN"/>
        </w:rPr>
        <w:t>1.</w:t>
      </w:r>
      <w:r>
        <w:rPr>
          <w:rFonts w:hint="eastAsia" w:ascii="方正仿宋_GBK" w:hAnsi="方正仿宋_GBK" w:eastAsia="方正仿宋_GBK" w:cs="方正仿宋_GBK"/>
          <w:b/>
          <w:bCs/>
          <w:color w:val="000000"/>
          <w:sz w:val="24"/>
          <w:szCs w:val="24"/>
        </w:rPr>
        <w:t>做好统筹安排</w:t>
      </w:r>
    </w:p>
    <w:p w14:paraId="10F7B8E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color w:val="000000"/>
          <w:sz w:val="24"/>
          <w:szCs w:val="24"/>
        </w:rPr>
        <w:t>各镇人民政府、街道办事处要切实履行责任，强化管理服务，统筹做好本辖区内有照护需求的</w:t>
      </w:r>
      <w:r>
        <w:rPr>
          <w:rFonts w:hint="eastAsia" w:ascii="方正仿宋_GBK" w:hAnsi="方正仿宋_GBK" w:eastAsia="方正仿宋_GBK" w:cs="方正仿宋_GBK"/>
          <w:color w:val="000000"/>
          <w:sz w:val="24"/>
          <w:szCs w:val="24"/>
          <w:lang w:eastAsia="zh-CN"/>
        </w:rPr>
        <w:t>失能</w:t>
      </w:r>
      <w:r>
        <w:rPr>
          <w:rFonts w:hint="eastAsia" w:ascii="方正仿宋_GBK" w:hAnsi="方正仿宋_GBK" w:eastAsia="方正仿宋_GBK" w:cs="方正仿宋_GBK"/>
          <w:color w:val="000000"/>
          <w:sz w:val="24"/>
          <w:szCs w:val="24"/>
        </w:rPr>
        <w:t>特困人员的摸排和登记工作。失能特困人员照护机构严格按照养老机构床位设置标准完善供养设施，细化工作流程，保证服务质量</w:t>
      </w:r>
      <w:r>
        <w:rPr>
          <w:rFonts w:hint="eastAsia" w:ascii="方正仿宋_GBK" w:hAnsi="方正仿宋_GBK" w:eastAsia="方正仿宋_GBK" w:cs="方正仿宋_GBK"/>
          <w:b/>
          <w:bCs/>
          <w:color w:val="000000"/>
          <w:sz w:val="24"/>
          <w:szCs w:val="24"/>
        </w:rPr>
        <w:t>。</w:t>
      </w:r>
    </w:p>
    <w:p w14:paraId="634CE66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kern w:val="2"/>
          <w:sz w:val="24"/>
          <w:szCs w:val="24"/>
          <w:lang w:val="en-US" w:eastAsia="zh-CN" w:bidi="ar-SA"/>
        </w:rPr>
        <w:t>2.</w:t>
      </w:r>
      <w:r>
        <w:rPr>
          <w:rFonts w:hint="eastAsia" w:ascii="方正仿宋_GBK" w:hAnsi="方正仿宋_GBK" w:eastAsia="方正仿宋_GBK" w:cs="方正仿宋_GBK"/>
          <w:b/>
          <w:bCs/>
          <w:color w:val="000000"/>
          <w:sz w:val="24"/>
          <w:szCs w:val="24"/>
        </w:rPr>
        <w:t>加强业务指导</w:t>
      </w:r>
    </w:p>
    <w:p w14:paraId="241BC6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区民政部门相关科室要加强对</w:t>
      </w:r>
      <w:r>
        <w:rPr>
          <w:rFonts w:hint="eastAsia" w:ascii="方正仿宋_GBK" w:hAnsi="方正仿宋_GBK" w:eastAsia="方正仿宋_GBK" w:cs="方正仿宋_GBK"/>
          <w:color w:val="000000"/>
          <w:sz w:val="24"/>
          <w:szCs w:val="24"/>
          <w:lang w:eastAsia="zh-CN"/>
        </w:rPr>
        <w:t>失能</w:t>
      </w:r>
      <w:r>
        <w:rPr>
          <w:rFonts w:hint="eastAsia" w:ascii="方正仿宋_GBK" w:hAnsi="方正仿宋_GBK" w:eastAsia="方正仿宋_GBK" w:cs="方正仿宋_GBK"/>
          <w:color w:val="000000"/>
          <w:sz w:val="24"/>
          <w:szCs w:val="24"/>
        </w:rPr>
        <w:t>特困人员集中供养工作的业务指导，积极筹集供养补助经费，保障供养经费足额、准时拨付到位。</w:t>
      </w:r>
    </w:p>
    <w:p w14:paraId="6142340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kern w:val="2"/>
          <w:sz w:val="24"/>
          <w:szCs w:val="24"/>
          <w:lang w:val="en-US" w:eastAsia="zh-CN" w:bidi="ar-SA"/>
        </w:rPr>
        <w:t>3.</w:t>
      </w:r>
      <w:r>
        <w:rPr>
          <w:rFonts w:hint="eastAsia" w:ascii="方正仿宋_GBK" w:hAnsi="方正仿宋_GBK" w:eastAsia="方正仿宋_GBK" w:cs="方正仿宋_GBK"/>
          <w:b/>
          <w:bCs/>
          <w:color w:val="000000"/>
          <w:sz w:val="24"/>
          <w:szCs w:val="24"/>
        </w:rPr>
        <w:t>落实监督检查</w:t>
      </w:r>
    </w:p>
    <w:p w14:paraId="0C2DD4F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集中供养经费实行专账管理，杜绝挤占、挪用、套取资金等违纪违法行为发生。区民政部门定期对失能特困人员照护机构服务质量、安全管理和资金使用等情况进行监督检查。</w:t>
      </w:r>
    </w:p>
    <w:p w14:paraId="01F418FA">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b/>
          <w:bCs/>
          <w:color w:val="000000"/>
          <w:sz w:val="24"/>
          <w:szCs w:val="24"/>
          <w:lang w:eastAsia="zh-CN"/>
        </w:rPr>
        <w:t>4.</w:t>
      </w:r>
      <w:r>
        <w:rPr>
          <w:rFonts w:hint="eastAsia" w:ascii="方正仿宋_GBK" w:hAnsi="方正仿宋_GBK" w:eastAsia="方正仿宋_GBK" w:cs="方正仿宋_GBK"/>
          <w:b/>
          <w:bCs/>
          <w:color w:val="000000"/>
          <w:sz w:val="24"/>
          <w:szCs w:val="24"/>
        </w:rPr>
        <w:t>膳食服务</w:t>
      </w:r>
      <w:r>
        <w:rPr>
          <w:rFonts w:hint="eastAsia" w:ascii="方正仿宋_GBK" w:hAnsi="方正仿宋_GBK" w:eastAsia="方正仿宋_GBK" w:cs="方正仿宋_GBK"/>
          <w:color w:val="000000"/>
          <w:sz w:val="24"/>
          <w:szCs w:val="24"/>
        </w:rPr>
        <w:t>（必须</w:t>
      </w:r>
      <w:r>
        <w:rPr>
          <w:rFonts w:hint="eastAsia" w:ascii="方正仿宋_GBK" w:hAnsi="方正仿宋_GBK" w:eastAsia="方正仿宋_GBK" w:cs="方正仿宋_GBK"/>
          <w:color w:val="000000"/>
          <w:sz w:val="24"/>
          <w:szCs w:val="24"/>
          <w:lang w:eastAsia="zh-CN"/>
        </w:rPr>
        <w:t>完全</w:t>
      </w:r>
      <w:r>
        <w:rPr>
          <w:rFonts w:hint="eastAsia" w:ascii="方正仿宋_GBK" w:hAnsi="方正仿宋_GBK" w:eastAsia="方正仿宋_GBK" w:cs="方正仿宋_GBK"/>
          <w:color w:val="000000"/>
          <w:sz w:val="24"/>
          <w:szCs w:val="24"/>
        </w:rPr>
        <w:t>响应宿民发</w:t>
      </w:r>
      <w:r>
        <w:rPr>
          <w:rFonts w:hint="eastAsia" w:ascii="方正仿宋_GBK" w:hAnsi="方正仿宋_GBK" w:eastAsia="方正仿宋_GBK" w:cs="方正仿宋_GBK"/>
          <w:color w:val="000000"/>
          <w:sz w:val="24"/>
          <w:szCs w:val="24"/>
          <w:lang w:eastAsia="zh-CN"/>
        </w:rPr>
        <w:t>〔2021〕41号</w:t>
      </w:r>
      <w:r>
        <w:rPr>
          <w:rFonts w:hint="eastAsia" w:ascii="方正仿宋_GBK" w:hAnsi="方正仿宋_GBK" w:eastAsia="方正仿宋_GBK" w:cs="方正仿宋_GBK"/>
          <w:color w:val="000000"/>
          <w:sz w:val="24"/>
          <w:szCs w:val="24"/>
        </w:rPr>
        <w:t>文和《中国老年人膳食指南》中的要求，详见附件）</w:t>
      </w:r>
      <w:r>
        <w:rPr>
          <w:rFonts w:hint="eastAsia" w:ascii="方正仿宋_GBK" w:hAnsi="方正仿宋_GBK" w:eastAsia="方正仿宋_GBK" w:cs="方正仿宋_GBK"/>
          <w:b/>
          <w:bCs/>
          <w:color w:val="000000"/>
          <w:sz w:val="24"/>
          <w:szCs w:val="24"/>
        </w:rPr>
        <w:t>（注：如特困人员在生病期间，</w:t>
      </w:r>
      <w:r>
        <w:rPr>
          <w:rFonts w:hint="eastAsia" w:ascii="方正仿宋_GBK" w:hAnsi="方正仿宋_GBK" w:eastAsia="方正仿宋_GBK" w:cs="方正仿宋_GBK"/>
          <w:b/>
          <w:bCs/>
          <w:color w:val="000000"/>
          <w:sz w:val="24"/>
          <w:szCs w:val="24"/>
          <w:lang w:val="en-US" w:eastAsia="zh-CN"/>
        </w:rPr>
        <w:t>中标人</w:t>
      </w:r>
      <w:r>
        <w:rPr>
          <w:rFonts w:hint="eastAsia" w:ascii="方正仿宋_GBK" w:hAnsi="方正仿宋_GBK" w:eastAsia="方正仿宋_GBK" w:cs="方正仿宋_GBK"/>
          <w:b/>
          <w:bCs/>
          <w:color w:val="000000"/>
          <w:sz w:val="24"/>
          <w:szCs w:val="24"/>
        </w:rPr>
        <w:t>应</w:t>
      </w:r>
      <w:r>
        <w:rPr>
          <w:rFonts w:hint="eastAsia" w:ascii="方正仿宋_GBK" w:hAnsi="方正仿宋_GBK" w:eastAsia="方正仿宋_GBK" w:cs="方正仿宋_GBK"/>
          <w:b/>
          <w:bCs/>
          <w:color w:val="000000"/>
          <w:sz w:val="24"/>
          <w:szCs w:val="24"/>
          <w:lang w:eastAsia="zh-CN"/>
        </w:rPr>
        <w:t>针对</w:t>
      </w:r>
      <w:r>
        <w:rPr>
          <w:rFonts w:hint="eastAsia" w:ascii="方正仿宋_GBK" w:hAnsi="方正仿宋_GBK" w:eastAsia="方正仿宋_GBK" w:cs="方正仿宋_GBK"/>
          <w:b/>
          <w:bCs/>
          <w:color w:val="000000"/>
          <w:sz w:val="24"/>
          <w:szCs w:val="24"/>
        </w:rPr>
        <w:t>特困人员不同病情和身体情况合理安排膳食服务。）</w:t>
      </w:r>
    </w:p>
    <w:p w14:paraId="203110F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b w:val="0"/>
          <w:bCs w:val="0"/>
          <w:color w:val="000000"/>
          <w:sz w:val="24"/>
          <w:szCs w:val="24"/>
          <w:lang w:val="en-US" w:eastAsia="zh-CN"/>
        </w:rPr>
        <w:t>4.1</w:t>
      </w:r>
      <w:r>
        <w:rPr>
          <w:rFonts w:hint="eastAsia" w:ascii="方正仿宋_GBK" w:hAnsi="方正仿宋_GBK" w:eastAsia="方正仿宋_GBK" w:cs="方正仿宋_GBK"/>
          <w:b w:val="0"/>
          <w:bCs w:val="0"/>
          <w:color w:val="000000"/>
          <w:sz w:val="24"/>
          <w:szCs w:val="24"/>
        </w:rPr>
        <w:t>建有</w:t>
      </w:r>
      <w:r>
        <w:rPr>
          <w:rFonts w:hint="eastAsia" w:ascii="方正仿宋_GBK" w:hAnsi="方正仿宋_GBK" w:eastAsia="方正仿宋_GBK" w:cs="方正仿宋_GBK"/>
          <w:color w:val="000000"/>
          <w:sz w:val="24"/>
          <w:szCs w:val="24"/>
        </w:rPr>
        <w:t>特困人员食堂，有市场监管部门颁发的《食品经营许可证》。</w:t>
      </w:r>
    </w:p>
    <w:p w14:paraId="3B3A19F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b w:val="0"/>
          <w:bCs w:val="0"/>
          <w:color w:val="000000"/>
          <w:sz w:val="24"/>
          <w:szCs w:val="24"/>
          <w:lang w:val="en-US" w:eastAsia="zh-CN"/>
        </w:rPr>
        <w:t>4.2</w:t>
      </w:r>
      <w:r>
        <w:rPr>
          <w:rFonts w:hint="eastAsia" w:ascii="方正仿宋_GBK" w:hAnsi="方正仿宋_GBK" w:eastAsia="方正仿宋_GBK" w:cs="方正仿宋_GBK"/>
          <w:b w:val="0"/>
          <w:bCs w:val="0"/>
          <w:color w:val="000000"/>
          <w:sz w:val="24"/>
          <w:szCs w:val="24"/>
        </w:rPr>
        <w:t>食</w:t>
      </w:r>
      <w:r>
        <w:rPr>
          <w:rFonts w:hint="eastAsia" w:ascii="方正仿宋_GBK" w:hAnsi="方正仿宋_GBK" w:eastAsia="方正仿宋_GBK" w:cs="方正仿宋_GBK"/>
          <w:color w:val="000000"/>
          <w:sz w:val="24"/>
          <w:szCs w:val="24"/>
        </w:rPr>
        <w:t>堂从业人员持</w:t>
      </w:r>
      <w:r>
        <w:rPr>
          <w:rFonts w:hint="eastAsia" w:ascii="方正仿宋_GBK" w:hAnsi="方正仿宋_GBK" w:eastAsia="方正仿宋_GBK" w:cs="方正仿宋_GBK"/>
          <w:b/>
          <w:bCs/>
          <w:color w:val="000000"/>
          <w:sz w:val="24"/>
          <w:szCs w:val="24"/>
        </w:rPr>
        <w:t>健康证</w:t>
      </w:r>
      <w:r>
        <w:rPr>
          <w:rFonts w:hint="eastAsia" w:ascii="方正仿宋_GBK" w:hAnsi="方正仿宋_GBK" w:eastAsia="方正仿宋_GBK" w:cs="方正仿宋_GBK"/>
          <w:color w:val="000000"/>
          <w:sz w:val="24"/>
          <w:szCs w:val="24"/>
        </w:rPr>
        <w:t>上岗，每年进行身体健康检查，严格执行食品卫生法规食堂从业人员持健康证上岗，每年进行身体健康检查，严格执行食品卫生法规。</w:t>
      </w:r>
    </w:p>
    <w:p w14:paraId="4C883B1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val="0"/>
          <w:bCs w:val="0"/>
          <w:color w:val="000000"/>
          <w:sz w:val="24"/>
          <w:szCs w:val="24"/>
          <w:lang w:val="en-US" w:eastAsia="zh-CN"/>
        </w:rPr>
        <w:t>4.3</w:t>
      </w:r>
      <w:r>
        <w:rPr>
          <w:rFonts w:hint="eastAsia" w:ascii="方正仿宋_GBK" w:hAnsi="方正仿宋_GBK" w:eastAsia="方正仿宋_GBK" w:cs="方正仿宋_GBK"/>
          <w:color w:val="000000"/>
          <w:sz w:val="24"/>
          <w:szCs w:val="24"/>
        </w:rPr>
        <w:t>失能特困人员供养机构应制定并公开每周食谱，合理搭配</w:t>
      </w:r>
      <w:r>
        <w:rPr>
          <w:rFonts w:hint="eastAsia" w:ascii="方正仿宋_GBK" w:hAnsi="方正仿宋_GBK" w:eastAsia="方正仿宋_GBK" w:cs="方正仿宋_GBK"/>
          <w:color w:val="000000"/>
          <w:sz w:val="24"/>
          <w:szCs w:val="24"/>
          <w:lang w:eastAsia="zh-CN"/>
        </w:rPr>
        <w:t>一日三餐</w:t>
      </w:r>
      <w:r>
        <w:rPr>
          <w:rFonts w:hint="eastAsia" w:ascii="方正仿宋_GBK" w:hAnsi="方正仿宋_GBK" w:eastAsia="方正仿宋_GBK" w:cs="方正仿宋_GBK"/>
          <w:color w:val="000000"/>
          <w:sz w:val="24"/>
          <w:szCs w:val="24"/>
        </w:rPr>
        <w:t>主副食，提供品种多样、制作细软、</w:t>
      </w:r>
      <w:r>
        <w:rPr>
          <w:rFonts w:hint="eastAsia" w:ascii="方正仿宋_GBK" w:hAnsi="方正仿宋_GBK" w:eastAsia="方正仿宋_GBK" w:cs="方正仿宋_GBK"/>
          <w:color w:val="000000"/>
          <w:sz w:val="24"/>
          <w:szCs w:val="24"/>
          <w:lang w:eastAsia="zh-CN"/>
        </w:rPr>
        <w:t>营养均衡</w:t>
      </w:r>
      <w:r>
        <w:rPr>
          <w:rFonts w:hint="eastAsia" w:ascii="方正仿宋_GBK" w:hAnsi="方正仿宋_GBK" w:eastAsia="方正仿宋_GBK" w:cs="方正仿宋_GBK"/>
          <w:color w:val="000000"/>
          <w:sz w:val="24"/>
          <w:szCs w:val="24"/>
        </w:rPr>
        <w:t>的膳食。除每餐主食外，早餐应有素菜、鸡蛋、粥或豆浆；中餐应有荤菜、素菜、菜汤；晚餐应有素菜、粥或面条等。还须注意饭菜的保温</w:t>
      </w:r>
      <w:r>
        <w:rPr>
          <w:rFonts w:hint="eastAsia" w:ascii="方正仿宋_GBK" w:hAnsi="方正仿宋_GBK" w:eastAsia="方正仿宋_GBK" w:cs="方正仿宋_GBK"/>
          <w:color w:val="000000"/>
          <w:sz w:val="24"/>
          <w:szCs w:val="24"/>
          <w:lang w:eastAsia="zh-CN"/>
        </w:rPr>
        <w:t>，一日三餐</w:t>
      </w:r>
      <w:r>
        <w:rPr>
          <w:rFonts w:hint="eastAsia" w:ascii="方正仿宋_GBK" w:hAnsi="方正仿宋_GBK" w:eastAsia="方正仿宋_GBK" w:cs="方正仿宋_GBK"/>
          <w:color w:val="000000"/>
          <w:sz w:val="24"/>
          <w:szCs w:val="24"/>
        </w:rPr>
        <w:t>适时开饭。</w:t>
      </w:r>
      <w:r>
        <w:rPr>
          <w:rFonts w:hint="eastAsia" w:ascii="方正仿宋_GBK" w:hAnsi="方正仿宋_GBK" w:eastAsia="方正仿宋_GBK" w:cs="方正仿宋_GBK"/>
          <w:b/>
          <w:bCs/>
          <w:color w:val="000000"/>
          <w:sz w:val="24"/>
          <w:szCs w:val="24"/>
        </w:rPr>
        <w:t>根据《中国老年人膳食指南》要求，特困人员每天应至少摄入12</w:t>
      </w:r>
      <w:r>
        <w:rPr>
          <w:rFonts w:hint="eastAsia" w:ascii="方正仿宋_GBK" w:hAnsi="方正仿宋_GBK" w:eastAsia="方正仿宋_GBK" w:cs="方正仿宋_GBK"/>
          <w:b/>
          <w:bCs/>
          <w:color w:val="000000"/>
          <w:sz w:val="24"/>
          <w:szCs w:val="24"/>
          <w:lang w:eastAsia="zh-CN"/>
        </w:rPr>
        <w:t>种</w:t>
      </w:r>
      <w:r>
        <w:rPr>
          <w:rFonts w:hint="eastAsia" w:ascii="方正仿宋_GBK" w:hAnsi="方正仿宋_GBK" w:eastAsia="方正仿宋_GBK" w:cs="方正仿宋_GBK"/>
          <w:b/>
          <w:bCs/>
          <w:color w:val="000000"/>
          <w:sz w:val="24"/>
          <w:szCs w:val="24"/>
        </w:rPr>
        <w:t>食物。采用多种方法增加食欲和进食量，吃好三餐。早餐宜有1～2种</w:t>
      </w:r>
      <w:r>
        <w:rPr>
          <w:rFonts w:hint="eastAsia" w:ascii="方正仿宋_GBK" w:hAnsi="方正仿宋_GBK" w:eastAsia="方正仿宋_GBK" w:cs="方正仿宋_GBK"/>
          <w:b/>
          <w:bCs/>
          <w:color w:val="000000"/>
          <w:sz w:val="24"/>
          <w:szCs w:val="24"/>
          <w:lang w:eastAsia="zh-CN"/>
        </w:rPr>
        <w:t>主食</w:t>
      </w:r>
      <w:r>
        <w:rPr>
          <w:rFonts w:hint="eastAsia" w:ascii="方正仿宋_GBK" w:hAnsi="方正仿宋_GBK" w:eastAsia="方正仿宋_GBK" w:cs="方正仿宋_GBK"/>
          <w:b/>
          <w:bCs/>
          <w:color w:val="000000"/>
          <w:sz w:val="24"/>
          <w:szCs w:val="24"/>
        </w:rPr>
        <w:t>、1个鸡蛋、1杯奶、另有蔬菜或水果。中餐、晚餐宜有2种以上主食，1～2个</w:t>
      </w:r>
      <w:r>
        <w:rPr>
          <w:rFonts w:hint="eastAsia" w:ascii="方正仿宋_GBK" w:hAnsi="方正仿宋_GBK" w:eastAsia="方正仿宋_GBK" w:cs="方正仿宋_GBK"/>
          <w:b/>
          <w:bCs/>
          <w:color w:val="000000"/>
          <w:sz w:val="24"/>
          <w:szCs w:val="24"/>
          <w:lang w:eastAsia="zh-CN"/>
        </w:rPr>
        <w:t>荤菜</w:t>
      </w:r>
      <w:r>
        <w:rPr>
          <w:rFonts w:hint="eastAsia" w:ascii="方正仿宋_GBK" w:hAnsi="方正仿宋_GBK" w:eastAsia="方正仿宋_GBK" w:cs="方正仿宋_GBK"/>
          <w:b/>
          <w:bCs/>
          <w:color w:val="000000"/>
          <w:sz w:val="24"/>
          <w:szCs w:val="24"/>
        </w:rPr>
        <w:t>、1～2种蔬菜、1个豆制品。饭菜应少盐、少油、少糖、少辛辣，以食物自然味来调味，色香味美、温度适宜。</w:t>
      </w:r>
    </w:p>
    <w:p w14:paraId="1F3B327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b w:val="0"/>
          <w:bCs w:val="0"/>
          <w:color w:val="000000"/>
          <w:sz w:val="24"/>
          <w:szCs w:val="24"/>
        </w:rPr>
      </w:pPr>
      <w:r>
        <w:rPr>
          <w:rFonts w:hint="eastAsia" w:ascii="方正仿宋_GBK" w:hAnsi="方正仿宋_GBK" w:eastAsia="方正仿宋_GBK" w:cs="方正仿宋_GBK"/>
          <w:b w:val="0"/>
          <w:bCs w:val="0"/>
          <w:color w:val="000000"/>
          <w:sz w:val="24"/>
          <w:szCs w:val="24"/>
        </w:rPr>
        <w:t>4.</w:t>
      </w:r>
      <w:r>
        <w:rPr>
          <w:rFonts w:hint="eastAsia" w:ascii="方正仿宋_GBK" w:hAnsi="方正仿宋_GBK" w:eastAsia="方正仿宋_GBK" w:cs="方正仿宋_GBK"/>
          <w:b w:val="0"/>
          <w:bCs w:val="0"/>
          <w:color w:val="000000"/>
          <w:sz w:val="24"/>
          <w:szCs w:val="24"/>
          <w:lang w:val="en-US" w:eastAsia="zh-CN"/>
        </w:rPr>
        <w:t>4</w:t>
      </w:r>
      <w:r>
        <w:rPr>
          <w:rFonts w:hint="eastAsia" w:ascii="方正仿宋_GBK" w:hAnsi="方正仿宋_GBK" w:eastAsia="方正仿宋_GBK" w:cs="方正仿宋_GBK"/>
          <w:b w:val="0"/>
          <w:bCs w:val="0"/>
          <w:color w:val="000000"/>
          <w:sz w:val="24"/>
          <w:szCs w:val="24"/>
        </w:rPr>
        <w:t>在保证特困人员一日三餐饮食营养均衡的基础上，早餐与中餐之间根据各人爱好提供一份酸奶或纯奶，中餐与晚餐之间提供一份水果或饼干</w:t>
      </w:r>
      <w:r>
        <w:rPr>
          <w:rFonts w:hint="eastAsia" w:ascii="方正仿宋_GBK" w:hAnsi="方正仿宋_GBK" w:eastAsia="方正仿宋_GBK" w:cs="方正仿宋_GBK"/>
          <w:b w:val="0"/>
          <w:bCs w:val="0"/>
          <w:color w:val="000000"/>
          <w:sz w:val="24"/>
          <w:szCs w:val="24"/>
          <w:lang w:eastAsia="zh-CN"/>
        </w:rPr>
        <w:t>、面包</w:t>
      </w:r>
      <w:r>
        <w:rPr>
          <w:rFonts w:hint="eastAsia" w:ascii="方正仿宋_GBK" w:hAnsi="方正仿宋_GBK" w:eastAsia="方正仿宋_GBK" w:cs="方正仿宋_GBK"/>
          <w:b w:val="0"/>
          <w:bCs w:val="0"/>
          <w:color w:val="000000"/>
          <w:sz w:val="24"/>
          <w:szCs w:val="24"/>
        </w:rPr>
        <w:t>之类的小点心。</w:t>
      </w:r>
    </w:p>
    <w:p w14:paraId="2748031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b w:val="0"/>
          <w:bCs w:val="0"/>
          <w:color w:val="000000"/>
          <w:sz w:val="24"/>
          <w:szCs w:val="24"/>
        </w:rPr>
      </w:pPr>
      <w:r>
        <w:rPr>
          <w:rFonts w:hint="eastAsia" w:ascii="方正仿宋_GBK" w:hAnsi="方正仿宋_GBK" w:eastAsia="方正仿宋_GBK" w:cs="方正仿宋_GBK"/>
          <w:b w:val="0"/>
          <w:bCs w:val="0"/>
          <w:color w:val="000000"/>
          <w:sz w:val="24"/>
          <w:szCs w:val="24"/>
          <w:lang w:val="en-US" w:eastAsia="zh-CN"/>
        </w:rPr>
        <w:t>4.5</w:t>
      </w:r>
      <w:r>
        <w:rPr>
          <w:rFonts w:hint="eastAsia" w:ascii="方正仿宋_GBK" w:hAnsi="方正仿宋_GBK" w:eastAsia="方正仿宋_GBK" w:cs="方正仿宋_GBK"/>
          <w:b w:val="0"/>
          <w:bCs w:val="0"/>
          <w:color w:val="000000"/>
          <w:sz w:val="24"/>
          <w:szCs w:val="24"/>
        </w:rPr>
        <w:t>根据特困人员需要，制作软食、</w:t>
      </w:r>
      <w:r>
        <w:rPr>
          <w:rFonts w:hint="eastAsia" w:ascii="方正仿宋_GBK" w:hAnsi="方正仿宋_GBK" w:eastAsia="方正仿宋_GBK" w:cs="方正仿宋_GBK"/>
          <w:b w:val="0"/>
          <w:bCs w:val="0"/>
          <w:color w:val="000000"/>
          <w:sz w:val="24"/>
          <w:szCs w:val="24"/>
          <w:lang w:eastAsia="zh-CN"/>
        </w:rPr>
        <w:t>流食</w:t>
      </w:r>
      <w:r>
        <w:rPr>
          <w:rFonts w:hint="eastAsia" w:ascii="方正仿宋_GBK" w:hAnsi="方正仿宋_GBK" w:eastAsia="方正仿宋_GBK" w:cs="方正仿宋_GBK"/>
          <w:b w:val="0"/>
          <w:bCs w:val="0"/>
          <w:color w:val="000000"/>
          <w:sz w:val="24"/>
          <w:szCs w:val="24"/>
        </w:rPr>
        <w:t>及特殊饮食，尊重少数民族习惯，根据需要分灶供应。</w:t>
      </w:r>
    </w:p>
    <w:p w14:paraId="5FF1B54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b w:val="0"/>
          <w:bCs w:val="0"/>
          <w:color w:val="000000"/>
          <w:sz w:val="24"/>
          <w:szCs w:val="24"/>
          <w:lang w:val="en-US" w:eastAsia="zh-CN"/>
        </w:rPr>
        <w:t>4.6</w:t>
      </w:r>
      <w:r>
        <w:rPr>
          <w:rFonts w:hint="eastAsia" w:ascii="方正仿宋_GBK" w:hAnsi="方正仿宋_GBK" w:eastAsia="方正仿宋_GBK" w:cs="方正仿宋_GBK"/>
          <w:color w:val="000000"/>
          <w:sz w:val="24"/>
          <w:szCs w:val="24"/>
        </w:rPr>
        <w:t>饮食符合卫生要求，严防食物中毒。每天对荤、素食品进行留样，并保留</w:t>
      </w:r>
      <w:r>
        <w:rPr>
          <w:rFonts w:hint="eastAsia" w:ascii="方正仿宋_GBK" w:hAnsi="方正仿宋_GBK" w:eastAsia="方正仿宋_GBK" w:cs="方正仿宋_GBK"/>
          <w:b/>
          <w:bCs/>
          <w:color w:val="000000"/>
          <w:sz w:val="24"/>
          <w:szCs w:val="24"/>
        </w:rPr>
        <w:t>48小时</w:t>
      </w:r>
      <w:r>
        <w:rPr>
          <w:rFonts w:hint="eastAsia" w:ascii="方正仿宋_GBK" w:hAnsi="方正仿宋_GBK" w:eastAsia="方正仿宋_GBK" w:cs="方正仿宋_GBK"/>
          <w:color w:val="000000"/>
          <w:sz w:val="24"/>
          <w:szCs w:val="24"/>
        </w:rPr>
        <w:t>。</w:t>
      </w:r>
    </w:p>
    <w:p w14:paraId="4B342D2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b w:val="0"/>
          <w:bCs w:val="0"/>
          <w:color w:val="000000"/>
          <w:sz w:val="24"/>
          <w:szCs w:val="24"/>
          <w:lang w:val="en-US" w:eastAsia="zh-CN"/>
        </w:rPr>
        <w:t>4.7</w:t>
      </w:r>
      <w:r>
        <w:rPr>
          <w:rFonts w:hint="eastAsia" w:ascii="方正仿宋_GBK" w:hAnsi="方正仿宋_GBK" w:eastAsia="方正仿宋_GBK" w:cs="方正仿宋_GBK"/>
          <w:color w:val="000000"/>
          <w:sz w:val="24"/>
          <w:szCs w:val="24"/>
        </w:rPr>
        <w:t>定期召开由职工和特困人员组成的伙食意见座谈会，听取意见。特困人员满意率达到80％以上。</w:t>
      </w:r>
    </w:p>
    <w:p w14:paraId="0C7AA28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b w:val="0"/>
          <w:bCs w:val="0"/>
          <w:color w:val="000000"/>
          <w:sz w:val="24"/>
          <w:szCs w:val="24"/>
        </w:rPr>
      </w:pPr>
      <w:r>
        <w:rPr>
          <w:rFonts w:hint="eastAsia" w:ascii="方正仿宋_GBK" w:hAnsi="方正仿宋_GBK" w:eastAsia="方正仿宋_GBK" w:cs="方正仿宋_GBK"/>
          <w:b w:val="0"/>
          <w:bCs w:val="0"/>
          <w:color w:val="000000"/>
          <w:sz w:val="24"/>
          <w:szCs w:val="24"/>
          <w:lang w:val="en-US" w:eastAsia="zh-CN"/>
        </w:rPr>
        <w:t>4.8</w:t>
      </w:r>
      <w:r>
        <w:rPr>
          <w:rFonts w:hint="eastAsia" w:ascii="方正仿宋_GBK" w:hAnsi="方正仿宋_GBK" w:eastAsia="方正仿宋_GBK" w:cs="方正仿宋_GBK"/>
          <w:b w:val="0"/>
          <w:bCs w:val="0"/>
          <w:color w:val="000000"/>
          <w:sz w:val="24"/>
          <w:szCs w:val="24"/>
        </w:rPr>
        <w:t>特困人员的餐具、杯具要清洗干净，严格消毒。</w:t>
      </w:r>
    </w:p>
    <w:p w14:paraId="5C746F5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2312" w:hAnsi="方正仿宋_GB2312" w:eastAsia="方正仿宋_GB2312" w:cs="方正仿宋_GB2312"/>
          <w:color w:val="auto"/>
          <w:sz w:val="24"/>
        </w:rPr>
      </w:pPr>
      <w:r>
        <w:rPr>
          <w:rFonts w:hint="eastAsia" w:ascii="方正仿宋_GBK" w:hAnsi="方正仿宋_GBK" w:eastAsia="方正仿宋_GBK" w:cs="方正仿宋_GBK"/>
          <w:b w:val="0"/>
          <w:bCs w:val="0"/>
          <w:color w:val="000000"/>
          <w:sz w:val="24"/>
          <w:szCs w:val="24"/>
          <w:lang w:val="en-US" w:eastAsia="zh-CN"/>
        </w:rPr>
        <w:t>4.9</w:t>
      </w:r>
      <w:r>
        <w:rPr>
          <w:rFonts w:hint="eastAsia" w:ascii="方正仿宋_GBK" w:hAnsi="方正仿宋_GBK" w:eastAsia="方正仿宋_GBK" w:cs="方正仿宋_GBK"/>
          <w:b/>
          <w:bCs/>
          <w:color w:val="auto"/>
          <w:sz w:val="24"/>
          <w:szCs w:val="24"/>
          <w:highlight w:val="none"/>
        </w:rPr>
        <w:t>可</w:t>
      </w:r>
      <w:r>
        <w:rPr>
          <w:rFonts w:hint="eastAsia" w:ascii="方正仿宋_GBK" w:hAnsi="方正仿宋_GBK" w:eastAsia="方正仿宋_GBK" w:cs="方正仿宋_GBK"/>
          <w:b/>
          <w:bCs/>
          <w:color w:val="000000"/>
          <w:sz w:val="24"/>
          <w:szCs w:val="24"/>
        </w:rPr>
        <w:t>提供区域内送餐服务</w:t>
      </w:r>
      <w:r>
        <w:rPr>
          <w:rFonts w:hint="eastAsia" w:ascii="方正仿宋_GB2312" w:hAnsi="方正仿宋_GB2312" w:eastAsia="方正仿宋_GB2312" w:cs="方正仿宋_GB2312"/>
          <w:color w:val="auto"/>
          <w:sz w:val="24"/>
        </w:rPr>
        <w:t>。</w:t>
      </w:r>
    </w:p>
    <w:p w14:paraId="47718103">
      <w:pPr>
        <w:pStyle w:val="10"/>
        <w:snapToGrid w:val="0"/>
        <w:spacing w:line="500" w:lineRule="exact"/>
        <w:ind w:firstLine="482" w:firstLineChars="200"/>
        <w:outlineLvl w:val="1"/>
        <w:rPr>
          <w:rStyle w:val="9"/>
          <w:rFonts w:hint="eastAsia" w:ascii="方正仿宋_GB2312" w:hAnsi="方正仿宋_GB2312" w:eastAsia="方正仿宋_GB2312" w:cs="方正仿宋_GB2312"/>
          <w:b/>
          <w:bCs/>
          <w:color w:val="auto"/>
          <w:sz w:val="24"/>
          <w:szCs w:val="24"/>
        </w:rPr>
      </w:pPr>
      <w:r>
        <w:rPr>
          <w:rFonts w:hint="eastAsia" w:ascii="方正仿宋_GB2312" w:hAnsi="方正仿宋_GB2312" w:eastAsia="方正仿宋_GB2312" w:cs="方正仿宋_GB2312"/>
          <w:b/>
          <w:bCs/>
          <w:color w:val="auto"/>
          <w:kern w:val="2"/>
          <w:sz w:val="24"/>
          <w:szCs w:val="24"/>
          <w:lang w:val="en-US" w:eastAsia="zh-CN" w:bidi="ar-SA"/>
        </w:rPr>
        <w:t>十、</w:t>
      </w:r>
      <w:r>
        <w:rPr>
          <w:rStyle w:val="9"/>
          <w:rFonts w:hint="eastAsia" w:ascii="方正仿宋_GB2312" w:hAnsi="方正仿宋_GB2312" w:eastAsia="方正仿宋_GB2312" w:cs="方正仿宋_GB2312"/>
          <w:b/>
          <w:bCs/>
          <w:color w:val="auto"/>
          <w:sz w:val="24"/>
          <w:szCs w:val="24"/>
        </w:rPr>
        <w:t>验收要求</w:t>
      </w:r>
    </w:p>
    <w:p w14:paraId="6C81C018">
      <w:pPr>
        <w:pStyle w:val="10"/>
        <w:snapToGrid w:val="0"/>
        <w:spacing w:line="500" w:lineRule="exact"/>
        <w:ind w:firstLine="482" w:firstLineChars="200"/>
        <w:rPr>
          <w:rStyle w:val="9"/>
          <w:rFonts w:hint="eastAsia" w:ascii="方正仿宋_GB2312" w:hAnsi="方正仿宋_GB2312" w:eastAsia="方正仿宋_GB2312" w:cs="方正仿宋_GB2312"/>
          <w:b/>
          <w:bCs w:val="0"/>
          <w:color w:val="auto"/>
          <w:sz w:val="24"/>
          <w:szCs w:val="24"/>
          <w:lang w:val="en-US"/>
        </w:rPr>
      </w:pPr>
      <w:r>
        <w:rPr>
          <w:rStyle w:val="9"/>
          <w:rFonts w:hint="eastAsia" w:ascii="方正仿宋_GB2312" w:hAnsi="方正仿宋_GB2312" w:eastAsia="方正仿宋_GB2312" w:cs="方正仿宋_GB2312"/>
          <w:b/>
          <w:bCs w:val="0"/>
          <w:color w:val="auto"/>
          <w:sz w:val="24"/>
          <w:szCs w:val="24"/>
          <w:lang w:val="en-US"/>
        </w:rPr>
        <w:t>本项目按照国家及行业相关标准、招标文件规定每季度考核一次，如果连续两个季度考核不合格，则扣除连续两个季度剩余费用的20%，如果三次考核不合格，则取消护理资格，并停止拨付下个季度的所有资金。</w:t>
      </w:r>
    </w:p>
    <w:p w14:paraId="5F7AB921">
      <w:pPr>
        <w:pStyle w:val="10"/>
        <w:snapToGrid w:val="0"/>
        <w:spacing w:line="500" w:lineRule="exact"/>
        <w:ind w:firstLine="482" w:firstLineChars="200"/>
        <w:outlineLvl w:val="1"/>
        <w:rPr>
          <w:rStyle w:val="9"/>
          <w:rFonts w:hint="eastAsia" w:ascii="方正仿宋_GB2312" w:hAnsi="方正仿宋_GB2312" w:eastAsia="方正仿宋_GB2312" w:cs="方正仿宋_GB2312"/>
          <w:b/>
          <w:bCs/>
          <w:color w:val="auto"/>
          <w:sz w:val="24"/>
          <w:szCs w:val="24"/>
        </w:rPr>
      </w:pPr>
      <w:r>
        <w:rPr>
          <w:rStyle w:val="9"/>
          <w:rFonts w:hint="eastAsia" w:ascii="方正仿宋_GB2312" w:hAnsi="方正仿宋_GB2312" w:eastAsia="方正仿宋_GB2312" w:cs="方正仿宋_GB2312"/>
          <w:b/>
          <w:bCs/>
          <w:color w:val="auto"/>
          <w:sz w:val="24"/>
          <w:szCs w:val="24"/>
          <w:lang w:val="en-US"/>
        </w:rPr>
        <w:t>十一</w:t>
      </w:r>
      <w:r>
        <w:rPr>
          <w:rStyle w:val="9"/>
          <w:rFonts w:hint="eastAsia" w:ascii="方正仿宋_GB2312" w:hAnsi="方正仿宋_GB2312" w:eastAsia="方正仿宋_GB2312" w:cs="方正仿宋_GB2312"/>
          <w:b/>
          <w:bCs/>
          <w:color w:val="auto"/>
          <w:sz w:val="24"/>
          <w:szCs w:val="24"/>
        </w:rPr>
        <w:t>、其他要求</w:t>
      </w:r>
    </w:p>
    <w:p w14:paraId="4604469E">
      <w:pPr>
        <w:pStyle w:val="10"/>
        <w:snapToGrid w:val="0"/>
        <w:spacing w:line="500" w:lineRule="exact"/>
        <w:ind w:firstLine="480" w:firstLineChars="200"/>
        <w:rPr>
          <w:rStyle w:val="9"/>
          <w:rFonts w:hint="eastAsia" w:ascii="方正仿宋_GB2312" w:hAnsi="方正仿宋_GB2312" w:eastAsia="方正仿宋_GB2312" w:cs="方正仿宋_GB2312"/>
          <w:b w:val="0"/>
          <w:bCs w:val="0"/>
          <w:color w:val="auto"/>
          <w:sz w:val="24"/>
          <w:szCs w:val="24"/>
        </w:rPr>
      </w:pPr>
      <w:r>
        <w:rPr>
          <w:rStyle w:val="9"/>
          <w:rFonts w:hint="eastAsia" w:ascii="方正仿宋_GB2312" w:hAnsi="方正仿宋_GB2312" w:eastAsia="方正仿宋_GB2312" w:cs="方正仿宋_GB2312"/>
          <w:b w:val="0"/>
          <w:bCs w:val="0"/>
          <w:color w:val="auto"/>
          <w:sz w:val="24"/>
          <w:szCs w:val="24"/>
        </w:rPr>
        <w:t>1.招标人需求的服务（包含与服务相关的产品）价格、入住人员生活费、医疗费、护理费等为完成本次招标项目所发生的一切费用。</w:t>
      </w:r>
    </w:p>
    <w:p w14:paraId="12DFCC9E">
      <w:pPr>
        <w:pStyle w:val="10"/>
        <w:snapToGrid w:val="0"/>
        <w:spacing w:line="500" w:lineRule="exact"/>
        <w:ind w:firstLine="480" w:firstLineChars="200"/>
        <w:rPr>
          <w:rStyle w:val="9"/>
          <w:rFonts w:hint="eastAsia" w:ascii="方正仿宋_GB2312" w:hAnsi="方正仿宋_GB2312" w:eastAsia="方正仿宋_GB2312" w:cs="方正仿宋_GB2312"/>
          <w:b w:val="0"/>
          <w:bCs w:val="0"/>
          <w:color w:val="auto"/>
          <w:sz w:val="24"/>
          <w:szCs w:val="24"/>
        </w:rPr>
      </w:pPr>
      <w:r>
        <w:rPr>
          <w:rStyle w:val="9"/>
          <w:rFonts w:hint="eastAsia" w:ascii="方正仿宋_GB2312" w:hAnsi="方正仿宋_GB2312" w:eastAsia="方正仿宋_GB2312" w:cs="方正仿宋_GB2312"/>
          <w:b w:val="0"/>
          <w:bCs w:val="0"/>
          <w:color w:val="auto"/>
          <w:sz w:val="24"/>
          <w:szCs w:val="24"/>
          <w:lang w:val="en-US"/>
        </w:rPr>
        <w:t>2.</w:t>
      </w:r>
      <w:r>
        <w:rPr>
          <w:rStyle w:val="9"/>
          <w:rFonts w:hint="eastAsia" w:ascii="方正仿宋_GB2312" w:hAnsi="方正仿宋_GB2312" w:eastAsia="方正仿宋_GB2312" w:cs="方正仿宋_GB2312"/>
          <w:b w:val="0"/>
          <w:bCs w:val="0"/>
          <w:color w:val="auto"/>
          <w:sz w:val="24"/>
          <w:szCs w:val="24"/>
        </w:rPr>
        <w:t>失能特困人员，每月5日前入住机构，当月支付费用，5日后入住机构，次月支付费用；每月5日前去世，当月取消支付费用，5日后去世，次月取消支付费用。</w:t>
      </w:r>
    </w:p>
    <w:p w14:paraId="2FF13218">
      <w:pPr>
        <w:pStyle w:val="10"/>
        <w:snapToGrid w:val="0"/>
        <w:spacing w:line="500" w:lineRule="exact"/>
        <w:ind w:firstLine="480" w:firstLineChars="200"/>
        <w:rPr>
          <w:rStyle w:val="9"/>
          <w:rFonts w:hint="eastAsia" w:ascii="方正仿宋_GB2312" w:hAnsi="方正仿宋_GB2312" w:eastAsia="方正仿宋_GB2312" w:cs="方正仿宋_GB2312"/>
          <w:b w:val="0"/>
          <w:bCs w:val="0"/>
          <w:color w:val="auto"/>
          <w:sz w:val="24"/>
          <w:szCs w:val="24"/>
        </w:rPr>
      </w:pPr>
      <w:r>
        <w:rPr>
          <w:rStyle w:val="9"/>
          <w:rFonts w:hint="eastAsia" w:ascii="方正仿宋_GB2312" w:hAnsi="方正仿宋_GB2312" w:eastAsia="方正仿宋_GB2312" w:cs="方正仿宋_GB2312"/>
          <w:b w:val="0"/>
          <w:bCs w:val="0"/>
          <w:color w:val="auto"/>
          <w:sz w:val="24"/>
          <w:szCs w:val="24"/>
          <w:lang w:val="en-US"/>
        </w:rPr>
        <w:t>3</w:t>
      </w:r>
      <w:r>
        <w:rPr>
          <w:rStyle w:val="9"/>
          <w:rFonts w:hint="eastAsia" w:ascii="方正仿宋_GB2312" w:hAnsi="方正仿宋_GB2312" w:eastAsia="方正仿宋_GB2312" w:cs="方正仿宋_GB2312"/>
          <w:b w:val="0"/>
          <w:bCs w:val="0"/>
          <w:color w:val="auto"/>
          <w:sz w:val="24"/>
          <w:szCs w:val="24"/>
        </w:rPr>
        <w:t>.安全责任：项目实施过程中发生的一切安全责任均由</w:t>
      </w:r>
      <w:r>
        <w:rPr>
          <w:rStyle w:val="9"/>
          <w:rFonts w:hint="eastAsia" w:ascii="方正仿宋_GB2312" w:hAnsi="方正仿宋_GB2312" w:eastAsia="方正仿宋_GB2312" w:cs="方正仿宋_GB2312"/>
          <w:b w:val="0"/>
          <w:bCs w:val="0"/>
          <w:color w:val="auto"/>
          <w:sz w:val="24"/>
          <w:szCs w:val="24"/>
          <w:lang w:val="en-US"/>
        </w:rPr>
        <w:t>中标人</w:t>
      </w:r>
      <w:r>
        <w:rPr>
          <w:rStyle w:val="9"/>
          <w:rFonts w:hint="eastAsia" w:ascii="方正仿宋_GB2312" w:hAnsi="方正仿宋_GB2312" w:eastAsia="方正仿宋_GB2312" w:cs="方正仿宋_GB2312"/>
          <w:b w:val="0"/>
          <w:bCs w:val="0"/>
          <w:color w:val="auto"/>
          <w:sz w:val="24"/>
          <w:szCs w:val="24"/>
        </w:rPr>
        <w:t>负责。</w:t>
      </w:r>
    </w:p>
    <w:p w14:paraId="1D131000">
      <w:pPr>
        <w:spacing w:line="500" w:lineRule="exact"/>
        <w:ind w:firstLine="482" w:firstLineChars="200"/>
        <w:outlineLvl w:val="1"/>
        <w:rPr>
          <w:rFonts w:hint="eastAsia" w:ascii="方正仿宋_GB2312" w:hAnsi="方正仿宋_GB2312" w:eastAsia="方正仿宋_GB2312" w:cs="方正仿宋_GB2312"/>
          <w:b/>
          <w:bCs/>
          <w:color w:val="auto"/>
          <w:sz w:val="24"/>
          <w:szCs w:val="24"/>
        </w:rPr>
      </w:pPr>
      <w:r>
        <w:rPr>
          <w:rFonts w:ascii="方正仿宋_GB2312" w:hAnsi="方正仿宋_GB2312" w:eastAsia="方正仿宋_GB2312" w:cs="方正仿宋_GB2312"/>
          <w:b/>
          <w:bCs/>
          <w:color w:val="auto"/>
          <w:sz w:val="24"/>
          <w:szCs w:val="24"/>
          <w:lang w:val="en-US" w:eastAsia="zh-CN"/>
        </w:rPr>
        <w:t>十</w:t>
      </w:r>
      <w:r>
        <w:rPr>
          <w:rFonts w:hint="eastAsia" w:ascii="方正仿宋_GB2312" w:hAnsi="方正仿宋_GB2312" w:eastAsia="方正仿宋_GB2312" w:cs="方正仿宋_GB2312"/>
          <w:b/>
          <w:bCs/>
          <w:color w:val="auto"/>
          <w:sz w:val="24"/>
          <w:szCs w:val="24"/>
          <w:lang w:val="en-US" w:eastAsia="zh-CN"/>
        </w:rPr>
        <w:t>二</w:t>
      </w:r>
      <w:r>
        <w:rPr>
          <w:rFonts w:hint="eastAsia" w:ascii="方正仿宋_GB2312" w:hAnsi="方正仿宋_GB2312" w:eastAsia="方正仿宋_GB2312" w:cs="方正仿宋_GB2312"/>
          <w:b/>
          <w:bCs/>
          <w:color w:val="auto"/>
          <w:sz w:val="24"/>
          <w:szCs w:val="24"/>
        </w:rPr>
        <w:t>、采购标的需实现的功能或者目标，以及为落实政府采购政策需满足的要求</w:t>
      </w:r>
    </w:p>
    <w:p w14:paraId="56B2F279">
      <w:pPr>
        <w:spacing w:line="500" w:lineRule="exact"/>
        <w:ind w:firstLine="480" w:firstLineChars="200"/>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1.采购本国货物、工程和服务</w:t>
      </w:r>
    </w:p>
    <w:p w14:paraId="06D9E562">
      <w:pPr>
        <w:spacing w:line="500" w:lineRule="exact"/>
        <w:ind w:firstLine="480" w:firstLineChars="200"/>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1.1政府采购应当采购本国货物、工程和服务，但有《中华人民共和国政府采购法》第十条规定情形的除外。</w:t>
      </w:r>
    </w:p>
    <w:p w14:paraId="6A760043">
      <w:pPr>
        <w:spacing w:line="500" w:lineRule="exact"/>
        <w:ind w:firstLine="480" w:firstLineChars="200"/>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2.中小企业政策</w:t>
      </w:r>
    </w:p>
    <w:p w14:paraId="01A28CDD">
      <w:pPr>
        <w:spacing w:line="500" w:lineRule="exact"/>
        <w:ind w:firstLine="480" w:firstLineChars="200"/>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本项目按以下第</w:t>
      </w:r>
      <w:r>
        <w:rPr>
          <w:rFonts w:hint="eastAsia" w:ascii="方正仿宋_GB2312" w:hAnsi="方正仿宋_GB2312" w:eastAsia="方正仿宋_GB2312" w:cs="方正仿宋_GB2312"/>
          <w:b/>
          <w:bCs/>
          <w:color w:val="auto"/>
          <w:sz w:val="24"/>
          <w:szCs w:val="24"/>
          <w:u w:val="single"/>
        </w:rPr>
        <w:t xml:space="preserve"> （</w:t>
      </w:r>
      <w:r>
        <w:rPr>
          <w:rFonts w:hint="eastAsia" w:ascii="方正仿宋_GB2312" w:hAnsi="方正仿宋_GB2312" w:eastAsia="方正仿宋_GB2312" w:cs="方正仿宋_GB2312"/>
          <w:b/>
          <w:bCs/>
          <w:color w:val="auto"/>
          <w:sz w:val="24"/>
          <w:szCs w:val="24"/>
          <w:u w:val="single"/>
          <w:lang w:val="en-US" w:eastAsia="zh-CN"/>
        </w:rPr>
        <w:t>2</w:t>
      </w:r>
      <w:r>
        <w:rPr>
          <w:rFonts w:hint="eastAsia" w:ascii="方正仿宋_GB2312" w:hAnsi="方正仿宋_GB2312" w:eastAsia="方正仿宋_GB2312" w:cs="方正仿宋_GB2312"/>
          <w:b/>
          <w:bCs/>
          <w:color w:val="auto"/>
          <w:sz w:val="24"/>
          <w:szCs w:val="24"/>
          <w:u w:val="single"/>
        </w:rPr>
        <w:t xml:space="preserve">） </w:t>
      </w:r>
      <w:r>
        <w:rPr>
          <w:rFonts w:hint="eastAsia" w:ascii="方正仿宋_GB2312" w:hAnsi="方正仿宋_GB2312" w:eastAsia="方正仿宋_GB2312" w:cs="方正仿宋_GB2312"/>
          <w:color w:val="auto"/>
          <w:sz w:val="24"/>
          <w:szCs w:val="24"/>
        </w:rPr>
        <w:t>种政策确定本项目落实的中小企业政策：</w:t>
      </w:r>
    </w:p>
    <w:p w14:paraId="4953CEA1">
      <w:pPr>
        <w:spacing w:line="500" w:lineRule="exact"/>
        <w:ind w:firstLine="480" w:firstLineChars="200"/>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（1）本项目专门面向中小企业（含监狱企业、残疾人福利企业）采购。</w:t>
      </w:r>
    </w:p>
    <w:p w14:paraId="65A77FA7">
      <w:pPr>
        <w:spacing w:line="500" w:lineRule="exact"/>
        <w:ind w:firstLine="480" w:firstLineChars="200"/>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（2）投标人提供的货物、工程或者服务符合下列情形的，对小微企业报价给予</w:t>
      </w:r>
      <w:r>
        <w:rPr>
          <w:rFonts w:hint="eastAsia" w:ascii="方正仿宋_GB2312" w:hAnsi="方正仿宋_GB2312" w:eastAsia="方正仿宋_GB2312" w:cs="方正仿宋_GB2312"/>
          <w:color w:val="auto"/>
          <w:sz w:val="24"/>
          <w:szCs w:val="24"/>
          <w:u w:val="single"/>
        </w:rPr>
        <w:t xml:space="preserve"> </w:t>
      </w:r>
      <w:r>
        <w:rPr>
          <w:rFonts w:hint="eastAsia" w:ascii="方正仿宋_GB2312" w:hAnsi="方正仿宋_GB2312" w:eastAsia="方正仿宋_GB2312" w:cs="方正仿宋_GB2312"/>
          <w:color w:val="auto"/>
          <w:sz w:val="24"/>
          <w:szCs w:val="24"/>
          <w:u w:val="single"/>
          <w:lang w:val="en-US" w:eastAsia="zh-CN"/>
        </w:rPr>
        <w:t>10</w:t>
      </w:r>
      <w:r>
        <w:rPr>
          <w:rFonts w:hint="eastAsia" w:ascii="方正仿宋_GB2312" w:hAnsi="方正仿宋_GB2312" w:eastAsia="方正仿宋_GB2312" w:cs="方正仿宋_GB2312"/>
          <w:color w:val="auto"/>
          <w:sz w:val="24"/>
          <w:szCs w:val="24"/>
          <w:u w:val="single"/>
        </w:rPr>
        <w:t xml:space="preserve"> </w:t>
      </w:r>
      <w:r>
        <w:rPr>
          <w:rFonts w:hint="eastAsia" w:ascii="方正仿宋_GB2312" w:hAnsi="方正仿宋_GB2312" w:eastAsia="方正仿宋_GB2312" w:cs="方正仿宋_GB2312"/>
          <w:color w:val="auto"/>
          <w:sz w:val="24"/>
          <w:szCs w:val="24"/>
        </w:rPr>
        <w:t>%的扣除，用扣除后的价格参加评审。</w:t>
      </w:r>
    </w:p>
    <w:p w14:paraId="2FCEF40D">
      <w:pPr>
        <w:spacing w:line="500" w:lineRule="exact"/>
        <w:ind w:firstLine="480" w:firstLineChars="200"/>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在服务采购项目中，服务由中小企业承接，即提供服务的人员为中小企业依照《中华人民共和国民法典》订立劳动合同的从业人员。</w:t>
      </w:r>
    </w:p>
    <w:p w14:paraId="01033D47">
      <w:pPr>
        <w:spacing w:line="500" w:lineRule="exact"/>
        <w:ind w:firstLine="480" w:firstLineChars="200"/>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注：①参加投标的中小企业，应当按照《政府采购促进中小企业发展管理办法》（财库〔2020〕46号）规定，出具《中小企业声明函》，中小企业划型依据《关于印发中小企业划型标准规定的通知》（工信部联企业〔2011〕300 号）。</w:t>
      </w:r>
    </w:p>
    <w:p w14:paraId="584E2CEC">
      <w:pPr>
        <w:spacing w:line="500" w:lineRule="exact"/>
        <w:ind w:firstLine="480" w:firstLineChars="200"/>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②参加投标的监狱企业，视同小型、微型企业。监狱企业应当按照《财政部 司法部关于政府采购支持监狱企业发展有关问题的通知》（财库〔2014〕68号）的规定，提供由省级以上监狱管理局、戒毒管理局（含新疆生产建设兵团）出具的属于监狱企业的证明文件（</w:t>
      </w:r>
      <w:r>
        <w:rPr>
          <w:rFonts w:hint="eastAsia" w:ascii="方正仿宋_GB2312" w:hAnsi="方正仿宋_GB2312" w:eastAsia="方正仿宋_GB2312" w:cs="方正仿宋_GB2312"/>
          <w:color w:val="auto"/>
          <w:sz w:val="24"/>
          <w:szCs w:val="24"/>
          <w:lang w:val="en-US" w:eastAsia="zh-CN"/>
        </w:rPr>
        <w:t>投标</w:t>
      </w:r>
      <w:r>
        <w:rPr>
          <w:rFonts w:hint="eastAsia" w:ascii="方正仿宋_GB2312" w:hAnsi="方正仿宋_GB2312" w:eastAsia="方正仿宋_GB2312" w:cs="方正仿宋_GB2312"/>
          <w:color w:val="auto"/>
          <w:sz w:val="24"/>
          <w:szCs w:val="24"/>
        </w:rPr>
        <w:t>文件中提供加盖出具单位公章的电子件）。</w:t>
      </w:r>
    </w:p>
    <w:p w14:paraId="31284ED8">
      <w:pPr>
        <w:spacing w:line="500" w:lineRule="exact"/>
        <w:ind w:firstLine="480" w:firstLineChars="200"/>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③参加投标的残疾人福利性单位，视同小型、微型企业。残疾人福利性单位应当按照《财政部 民政部 中国残疾人联合会关于促进残疾人就业政府采购政策的通知》（财库〔2017〕141号）的规定，提供《残疾人福利性单位声明函》。</w:t>
      </w:r>
    </w:p>
    <w:p w14:paraId="045B1041">
      <w:pPr>
        <w:spacing w:line="500" w:lineRule="exact"/>
        <w:ind w:firstLine="480" w:firstLineChars="200"/>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④大中型企业与小微企业组成联合体或者允许大中型企业向一家或者多家小微企业分包的采购项目，对于联合协议或者分包意向协议约定小微企业的合同份额占到合同总金额40%以上的，对联合体或者大中型企业的报价给予5%的扣除，用扣除后的价格参加评审。（是否接受联合体以“项目基本情况”相关内容为准，是否允许大中型企业向一家或者多家小微企业分包以“投标人须知</w:t>
      </w:r>
      <w:r>
        <w:rPr>
          <w:rFonts w:hint="eastAsia" w:ascii="方正仿宋_GB2312" w:hAnsi="方正仿宋_GB2312" w:eastAsia="方正仿宋_GB2312" w:cs="方正仿宋_GB2312"/>
          <w:color w:val="auto"/>
          <w:sz w:val="24"/>
          <w:szCs w:val="24"/>
          <w:lang w:eastAsia="zh-CN"/>
        </w:rPr>
        <w:t>”“</w:t>
      </w:r>
      <w:r>
        <w:rPr>
          <w:rFonts w:hint="eastAsia" w:ascii="方正仿宋_GB2312" w:hAnsi="方正仿宋_GB2312" w:eastAsia="方正仿宋_GB2312" w:cs="方正仿宋_GB2312"/>
          <w:color w:val="auto"/>
          <w:sz w:val="24"/>
          <w:szCs w:val="24"/>
        </w:rPr>
        <w:t>采购需求”相关内容为准。）</w:t>
      </w:r>
    </w:p>
    <w:p w14:paraId="6AE6FBB5">
      <w:pPr>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br w:type="page"/>
      </w:r>
    </w:p>
    <w:p w14:paraId="7D5A6953">
      <w:pPr>
        <w:pageBreakBefore w:val="0"/>
        <w:kinsoku/>
        <w:wordWrap/>
        <w:overflowPunct/>
        <w:topLinePunct w:val="0"/>
        <w:autoSpaceDE/>
        <w:autoSpaceDN/>
        <w:bidi w:val="0"/>
        <w:adjustRightInd/>
        <w:snapToGrid/>
        <w:spacing w:line="500" w:lineRule="exact"/>
        <w:ind w:firstLine="0"/>
        <w:textAlignment w:val="auto"/>
        <w:outlineLvl w:val="2"/>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附件1</w:t>
      </w:r>
    </w:p>
    <w:p w14:paraId="2FE1B27B">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b/>
          <w:bCs/>
          <w:color w:val="000000"/>
          <w:sz w:val="24"/>
          <w:szCs w:val="24"/>
          <w:u w:val="single"/>
        </w:rPr>
      </w:pPr>
      <w:r>
        <w:rPr>
          <w:rFonts w:hint="eastAsia" w:ascii="方正仿宋_GBK" w:hAnsi="方正仿宋_GBK" w:eastAsia="方正仿宋_GBK" w:cs="方正仿宋_GBK"/>
          <w:b/>
          <w:bCs/>
          <w:color w:val="000000"/>
          <w:sz w:val="24"/>
          <w:szCs w:val="24"/>
          <w:u w:val="single"/>
        </w:rPr>
        <w:t xml:space="preserve">                        宿区民发〔2021〕102号                            </w:t>
      </w:r>
    </w:p>
    <w:p w14:paraId="28B216FC">
      <w:pPr>
        <w:keepNext/>
        <w:keepLines/>
        <w:pageBreakBefore w:val="0"/>
        <w:kinsoku/>
        <w:wordWrap/>
        <w:overflowPunct/>
        <w:topLinePunct w:val="0"/>
        <w:autoSpaceDE/>
        <w:autoSpaceDN/>
        <w:bidi w:val="0"/>
        <w:adjustRightInd/>
        <w:snapToGrid/>
        <w:spacing w:line="500" w:lineRule="exact"/>
        <w:ind w:firstLine="0"/>
        <w:jc w:val="center"/>
        <w:textAlignment w:val="auto"/>
        <w:outlineLvl w:val="9"/>
        <w:rPr>
          <w:rFonts w:hint="eastAsia" w:ascii="方正仿宋_GBK" w:hAnsi="方正仿宋_GBK" w:eastAsia="方正仿宋_GBK" w:cs="方正仿宋_GBK"/>
          <w:color w:val="000000"/>
          <w:sz w:val="24"/>
          <w:szCs w:val="24"/>
          <w:lang w:val="zh-TW" w:bidi="zh-TW"/>
        </w:rPr>
      </w:pPr>
      <w:bookmarkStart w:id="0" w:name="bookmark0"/>
      <w:bookmarkStart w:id="1" w:name="bookmark1"/>
      <w:bookmarkStart w:id="2" w:name="_Toc20255"/>
      <w:bookmarkStart w:id="3" w:name="bookmark2"/>
      <w:r>
        <w:rPr>
          <w:rFonts w:hint="eastAsia" w:ascii="方正仿宋_GBK" w:hAnsi="方正仿宋_GBK" w:eastAsia="方正仿宋_GBK" w:cs="方正仿宋_GBK"/>
          <w:color w:val="000000"/>
          <w:sz w:val="24"/>
          <w:szCs w:val="24"/>
          <w:lang w:val="zh-TW" w:eastAsia="zh-TW" w:bidi="zh-TW"/>
        </w:rPr>
        <w:t>关于进一步规范失能特困人员集中照护</w:t>
      </w:r>
    </w:p>
    <w:p w14:paraId="06E4BA50">
      <w:pPr>
        <w:keepNext/>
        <w:keepLines/>
        <w:pageBreakBefore w:val="0"/>
        <w:kinsoku/>
        <w:wordWrap/>
        <w:overflowPunct/>
        <w:topLinePunct w:val="0"/>
        <w:autoSpaceDE/>
        <w:autoSpaceDN/>
        <w:bidi w:val="0"/>
        <w:adjustRightInd/>
        <w:snapToGrid/>
        <w:spacing w:line="500" w:lineRule="exact"/>
        <w:ind w:firstLine="0"/>
        <w:jc w:val="center"/>
        <w:textAlignment w:val="auto"/>
        <w:outlineLvl w:val="9"/>
        <w:rPr>
          <w:rFonts w:hint="eastAsia" w:ascii="方正仿宋_GBK" w:hAnsi="方正仿宋_GBK" w:eastAsia="方正仿宋_GBK" w:cs="方正仿宋_GBK"/>
          <w:color w:val="000000"/>
          <w:sz w:val="24"/>
          <w:szCs w:val="24"/>
          <w:lang w:val="zh-TW" w:eastAsia="zh-TW" w:bidi="zh-TW"/>
        </w:rPr>
      </w:pPr>
      <w:r>
        <w:rPr>
          <w:rFonts w:hint="eastAsia" w:ascii="方正仿宋_GBK" w:hAnsi="方正仿宋_GBK" w:eastAsia="方正仿宋_GBK" w:cs="方正仿宋_GBK"/>
          <w:color w:val="000000"/>
          <w:sz w:val="24"/>
          <w:szCs w:val="24"/>
          <w:lang w:val="zh-TW" w:eastAsia="zh-TW" w:bidi="zh-TW"/>
        </w:rPr>
        <w:t>工作的通知</w:t>
      </w:r>
      <w:bookmarkEnd w:id="0"/>
      <w:bookmarkEnd w:id="1"/>
      <w:bookmarkEnd w:id="2"/>
      <w:bookmarkEnd w:id="3"/>
    </w:p>
    <w:p w14:paraId="4F3A892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r>
        <w:rPr>
          <w:rFonts w:hint="eastAsia" w:ascii="方正仿宋_GBK" w:hAnsi="方正仿宋_GBK" w:eastAsia="方正仿宋_GBK" w:cs="方正仿宋_GBK"/>
          <w:color w:val="000000"/>
          <w:sz w:val="24"/>
          <w:szCs w:val="24"/>
          <w:lang w:val="zh-TW" w:eastAsia="zh-TW" w:bidi="zh-TW"/>
        </w:rPr>
        <w:t>各镇、街道民生事务局，各失能特困人员供养机构：</w:t>
      </w:r>
    </w:p>
    <w:p w14:paraId="7A8C283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r>
        <w:rPr>
          <w:rFonts w:hint="eastAsia" w:ascii="方正仿宋_GBK" w:hAnsi="方正仿宋_GBK" w:eastAsia="方正仿宋_GBK" w:cs="方正仿宋_GBK"/>
          <w:color w:val="000000"/>
          <w:sz w:val="24"/>
          <w:szCs w:val="24"/>
          <w:lang w:val="zh-TW" w:eastAsia="zh-TW" w:bidi="zh-TW"/>
        </w:rPr>
        <w:t>根据市政府办公室《关于建立失能特困老人集中护理制度的意见》（宿政办发</w:t>
      </w:r>
      <w:r>
        <w:rPr>
          <w:rFonts w:hint="eastAsia" w:ascii="方正仿宋_GBK" w:hAnsi="方正仿宋_GBK" w:eastAsia="方正仿宋_GBK" w:cs="方正仿宋_GBK"/>
          <w:color w:val="000000"/>
          <w:sz w:val="24"/>
          <w:szCs w:val="24"/>
          <w:lang w:val="zh-TW" w:eastAsia="zh-CN" w:bidi="zh-TW"/>
        </w:rPr>
        <w:t>〔2016〕48号</w:t>
      </w:r>
      <w:r>
        <w:rPr>
          <w:rFonts w:hint="eastAsia" w:ascii="方正仿宋_GBK" w:hAnsi="方正仿宋_GBK" w:eastAsia="方正仿宋_GBK" w:cs="方正仿宋_GBK"/>
          <w:color w:val="000000"/>
          <w:sz w:val="24"/>
          <w:szCs w:val="24"/>
          <w:lang w:val="zh-TW" w:eastAsia="zh-TW" w:bidi="zh-TW"/>
        </w:rPr>
        <w:t>）文件精神，宿城区实施失能特困人员集中照护工作，为完善兜底保障服务，进一步规范失能特困人员集中照护，结合工作实际，现将有关事项通知如下。</w:t>
      </w:r>
    </w:p>
    <w:p w14:paraId="5E1ED14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r>
        <w:rPr>
          <w:rFonts w:hint="eastAsia" w:ascii="方正仿宋_GBK" w:hAnsi="方正仿宋_GBK" w:eastAsia="方正仿宋_GBK" w:cs="方正仿宋_GBK"/>
          <w:color w:val="000000"/>
          <w:sz w:val="24"/>
          <w:szCs w:val="24"/>
          <w:lang w:val="zh-CN" w:bidi="zh-CN"/>
        </w:rPr>
        <w:t>一、</w:t>
      </w:r>
      <w:r>
        <w:rPr>
          <w:rFonts w:hint="eastAsia" w:ascii="方正仿宋_GBK" w:hAnsi="方正仿宋_GBK" w:eastAsia="方正仿宋_GBK" w:cs="方正仿宋_GBK"/>
          <w:color w:val="000000"/>
          <w:sz w:val="24"/>
          <w:szCs w:val="24"/>
          <w:lang w:val="zh-TW" w:eastAsia="zh-TW" w:bidi="zh-TW"/>
        </w:rPr>
        <w:t>总体要求</w:t>
      </w:r>
    </w:p>
    <w:p w14:paraId="4F216A3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r>
        <w:rPr>
          <w:rFonts w:hint="eastAsia" w:ascii="方正仿宋_GBK" w:hAnsi="方正仿宋_GBK" w:eastAsia="方正仿宋_GBK" w:cs="方正仿宋_GBK"/>
          <w:color w:val="000000"/>
          <w:sz w:val="24"/>
          <w:szCs w:val="24"/>
          <w:lang w:val="zh-TW" w:eastAsia="zh-TW" w:bidi="zh-TW"/>
        </w:rPr>
        <w:t>全面落实失能、半失能特困人员集中供养制度，在精准认定特困人员的基础上，遵循自愿、托底、适度等原则，通过政府购买养老服务的方式，有效解决失能、半失能特困人员生活照料和敬老院护理能力不足等问题，进一步完善政府兜底保障功能。</w:t>
      </w:r>
    </w:p>
    <w:p w14:paraId="49A9C60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r>
        <w:rPr>
          <w:rFonts w:hint="eastAsia" w:ascii="方正仿宋_GBK" w:hAnsi="方正仿宋_GBK" w:eastAsia="方正仿宋_GBK" w:cs="方正仿宋_GBK"/>
          <w:color w:val="000000"/>
          <w:sz w:val="24"/>
          <w:szCs w:val="24"/>
          <w:lang w:val="zh-TW" w:eastAsia="zh-TW" w:bidi="zh-TW"/>
        </w:rPr>
        <w:t>二</w:t>
      </w:r>
      <w:r>
        <w:rPr>
          <w:rFonts w:hint="eastAsia" w:ascii="方正仿宋_GBK" w:hAnsi="方正仿宋_GBK" w:eastAsia="方正仿宋_GBK" w:cs="方正仿宋_GBK"/>
          <w:color w:val="000000"/>
          <w:sz w:val="24"/>
          <w:szCs w:val="24"/>
          <w:lang w:val="zh-TW" w:bidi="zh-TW"/>
        </w:rPr>
        <w:t>、</w:t>
      </w:r>
      <w:r>
        <w:rPr>
          <w:rFonts w:hint="eastAsia" w:ascii="方正仿宋_GBK" w:hAnsi="方正仿宋_GBK" w:eastAsia="方正仿宋_GBK" w:cs="方正仿宋_GBK"/>
          <w:color w:val="000000"/>
          <w:sz w:val="24"/>
          <w:szCs w:val="24"/>
          <w:lang w:val="zh-TW" w:eastAsia="zh-TW" w:bidi="zh-TW"/>
        </w:rPr>
        <w:t>入住流程及服务</w:t>
      </w:r>
    </w:p>
    <w:p w14:paraId="070DEDF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bookmarkStart w:id="4" w:name="bookmark3"/>
      <w:r>
        <w:rPr>
          <w:rFonts w:hint="eastAsia" w:ascii="方正仿宋_GBK" w:hAnsi="方正仿宋_GBK" w:eastAsia="方正仿宋_GBK" w:cs="方正仿宋_GBK"/>
          <w:color w:val="000000"/>
          <w:sz w:val="24"/>
          <w:szCs w:val="24"/>
          <w:lang w:val="zh-TW" w:eastAsia="zh-TW" w:bidi="zh-TW"/>
        </w:rPr>
        <w:t>（</w:t>
      </w:r>
      <w:bookmarkEnd w:id="4"/>
      <w:r>
        <w:rPr>
          <w:rFonts w:hint="eastAsia" w:ascii="方正仿宋_GBK" w:hAnsi="方正仿宋_GBK" w:eastAsia="方正仿宋_GBK" w:cs="方正仿宋_GBK"/>
          <w:color w:val="000000"/>
          <w:sz w:val="24"/>
          <w:szCs w:val="24"/>
          <w:lang w:val="zh-TW" w:eastAsia="zh-TW" w:bidi="zh-TW"/>
        </w:rPr>
        <w:t>一）申请入住条件</w:t>
      </w:r>
    </w:p>
    <w:p w14:paraId="095FF12E">
      <w:pPr>
        <w:keepNext w:val="0"/>
        <w:keepLines w:val="0"/>
        <w:pageBreakBefore w:val="0"/>
        <w:widowControl w:val="0"/>
        <w:tabs>
          <w:tab w:val="left" w:pos="8083"/>
        </w:tabs>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r>
        <w:rPr>
          <w:rFonts w:hint="eastAsia" w:ascii="方正仿宋_GBK" w:hAnsi="方正仿宋_GBK" w:eastAsia="方正仿宋_GBK" w:cs="方正仿宋_GBK"/>
          <w:color w:val="000000"/>
          <w:sz w:val="24"/>
          <w:szCs w:val="24"/>
          <w:lang w:val="zh-TW" w:eastAsia="zh-TW" w:bidi="zh-TW"/>
        </w:rPr>
        <w:t>申请入住失能特困人员照护机构对象必须同时具备以下两个条件：</w:t>
      </w:r>
    </w:p>
    <w:p w14:paraId="262FA5F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bookmarkStart w:id="5" w:name="bookmark4"/>
      <w:bookmarkEnd w:id="5"/>
      <w:r>
        <w:rPr>
          <w:rFonts w:hint="eastAsia" w:ascii="方正仿宋_GBK" w:hAnsi="方正仿宋_GBK" w:eastAsia="方正仿宋_GBK" w:cs="方正仿宋_GBK"/>
          <w:color w:val="000000"/>
          <w:sz w:val="24"/>
          <w:szCs w:val="24"/>
          <w:lang w:bidi="zh-TW"/>
        </w:rPr>
        <w:t>1、</w:t>
      </w:r>
      <w:r>
        <w:rPr>
          <w:rFonts w:hint="eastAsia" w:ascii="方正仿宋_GBK" w:hAnsi="方正仿宋_GBK" w:eastAsia="方正仿宋_GBK" w:cs="方正仿宋_GBK"/>
          <w:color w:val="000000"/>
          <w:sz w:val="24"/>
          <w:szCs w:val="24"/>
          <w:lang w:val="zh-TW" w:eastAsia="zh-TW" w:bidi="zh-TW"/>
        </w:rPr>
        <w:t>符合《特困人员认定办法》规定的城乡特困人员（同时具备无劳动能力、无生活来源、无法定赡养抚养扶养义务人或者其法定义务人无履行义务能力三个条件）。</w:t>
      </w:r>
    </w:p>
    <w:p w14:paraId="54470DE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r>
        <w:rPr>
          <w:rFonts w:hint="eastAsia" w:ascii="方正仿宋_GBK" w:hAnsi="方正仿宋_GBK" w:eastAsia="方正仿宋_GBK" w:cs="方正仿宋_GBK"/>
          <w:color w:val="000000"/>
          <w:sz w:val="24"/>
          <w:szCs w:val="24"/>
          <w:lang w:val="zh-TW" w:eastAsia="zh-TW" w:bidi="zh-TW"/>
        </w:rPr>
        <w:t>2</w:t>
      </w:r>
      <w:r>
        <w:rPr>
          <w:rFonts w:hint="eastAsia" w:ascii="方正仿宋_GBK" w:hAnsi="方正仿宋_GBK" w:eastAsia="方正仿宋_GBK" w:cs="方正仿宋_GBK"/>
          <w:color w:val="000000"/>
          <w:sz w:val="24"/>
          <w:szCs w:val="24"/>
          <w:lang w:val="zh-TW" w:bidi="zh-TW"/>
        </w:rPr>
        <w:t>、</w:t>
      </w:r>
      <w:r>
        <w:rPr>
          <w:rFonts w:hint="eastAsia" w:ascii="方正仿宋_GBK" w:hAnsi="方正仿宋_GBK" w:eastAsia="方正仿宋_GBK" w:cs="方正仿宋_GBK"/>
          <w:color w:val="000000"/>
          <w:sz w:val="24"/>
          <w:szCs w:val="24"/>
          <w:lang w:val="zh-TW" w:eastAsia="zh-TW" w:bidi="zh-TW"/>
        </w:rPr>
        <w:t>经评估日常生活需要长期照料护理的失能、半失能特困供养人员（对患有传染性疾病、精神类疾病等不宜集中供养的特困人员，由各镇人民政府、街道办事处妥善安置，必要时送往专业医疗机构治疗或托管）。</w:t>
      </w:r>
    </w:p>
    <w:p w14:paraId="15447ACA">
      <w:pPr>
        <w:keepNext w:val="0"/>
        <w:keepLines w:val="0"/>
        <w:pageBreakBefore w:val="0"/>
        <w:widowControl w:val="0"/>
        <w:tabs>
          <w:tab w:val="left" w:pos="1673"/>
        </w:tabs>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bookmarkStart w:id="6" w:name="bookmark5"/>
      <w:r>
        <w:rPr>
          <w:rFonts w:hint="eastAsia" w:ascii="方正仿宋_GBK" w:hAnsi="方正仿宋_GBK" w:eastAsia="方正仿宋_GBK" w:cs="方正仿宋_GBK"/>
          <w:color w:val="000000"/>
          <w:sz w:val="24"/>
          <w:szCs w:val="24"/>
          <w:lang w:val="zh-TW" w:eastAsia="zh-TW" w:bidi="zh-TW"/>
        </w:rPr>
        <w:t>（</w:t>
      </w:r>
      <w:bookmarkEnd w:id="6"/>
      <w:r>
        <w:rPr>
          <w:rFonts w:hint="eastAsia" w:ascii="方正仿宋_GBK" w:hAnsi="方正仿宋_GBK" w:eastAsia="方正仿宋_GBK" w:cs="方正仿宋_GBK"/>
          <w:color w:val="000000"/>
          <w:sz w:val="24"/>
          <w:szCs w:val="24"/>
          <w:lang w:val="zh-TW" w:eastAsia="zh-TW" w:bidi="zh-TW"/>
        </w:rPr>
        <w:t>二）供养服务方式</w:t>
      </w:r>
    </w:p>
    <w:p w14:paraId="737E90F3">
      <w:pPr>
        <w:keepNext w:val="0"/>
        <w:keepLines w:val="0"/>
        <w:pageBreakBefore w:val="0"/>
        <w:widowControl w:val="0"/>
        <w:tabs>
          <w:tab w:val="left" w:pos="1673"/>
        </w:tabs>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r>
        <w:rPr>
          <w:rFonts w:hint="eastAsia" w:ascii="方正仿宋_GBK" w:hAnsi="方正仿宋_GBK" w:eastAsia="方正仿宋_GBK" w:cs="方正仿宋_GBK"/>
          <w:color w:val="000000"/>
          <w:sz w:val="24"/>
          <w:szCs w:val="24"/>
          <w:lang w:val="zh-TW" w:eastAsia="zh-TW" w:bidi="zh-TW"/>
        </w:rPr>
        <w:t>在充分征求特困人员意愿的基础上，由特困人员监护人（机构）、镇人民政府（街道办事处）与失能特困人员照护机构签订委托供养服务协议后办理入住。委托供养的镇人民政府（街道办事处）按要求提供体检报告。失能特困人员照护机构按照''一人一档</w:t>
      </w:r>
      <w:r>
        <w:rPr>
          <w:rFonts w:hint="eastAsia" w:ascii="方正仿宋_GBK" w:hAnsi="方正仿宋_GBK" w:eastAsia="方正仿宋_GBK" w:cs="方正仿宋_GBK"/>
          <w:color w:val="000000"/>
          <w:sz w:val="24"/>
          <w:szCs w:val="24"/>
          <w:lang w:bidi="en-US"/>
        </w:rPr>
        <w:t>"</w:t>
      </w:r>
      <w:r>
        <w:rPr>
          <w:rFonts w:hint="eastAsia" w:ascii="方正仿宋_GBK" w:hAnsi="方正仿宋_GBK" w:eastAsia="方正仿宋_GBK" w:cs="方正仿宋_GBK"/>
          <w:color w:val="000000"/>
          <w:sz w:val="24"/>
          <w:szCs w:val="24"/>
          <w:lang w:val="zh-TW" w:eastAsia="zh-TW" w:bidi="zh-TW"/>
        </w:rPr>
        <w:t>的要求建立个人信息档案，提供相适宜的照护服务。</w:t>
      </w:r>
      <w:r>
        <w:rPr>
          <w:rFonts w:hint="eastAsia" w:ascii="方正仿宋_GBK" w:hAnsi="方正仿宋_GBK" w:eastAsia="方正仿宋_GBK" w:cs="方正仿宋_GBK"/>
          <w:color w:val="000000"/>
          <w:sz w:val="24"/>
          <w:szCs w:val="24"/>
          <w:lang w:val="zh-TW" w:eastAsia="zh-TW" w:bidi="zh-TW"/>
        </w:rPr>
        <w:tab/>
      </w:r>
      <w:r>
        <w:rPr>
          <w:rFonts w:hint="eastAsia" w:ascii="方正仿宋_GBK" w:hAnsi="方正仿宋_GBK" w:eastAsia="方正仿宋_GBK" w:cs="方正仿宋_GBK"/>
          <w:color w:val="000000"/>
          <w:sz w:val="24"/>
          <w:szCs w:val="24"/>
          <w:lang w:bidi="en-US"/>
        </w:rPr>
        <w:t>*</w:t>
      </w:r>
    </w:p>
    <w:p w14:paraId="72C900A3">
      <w:pPr>
        <w:keepNext w:val="0"/>
        <w:keepLines w:val="0"/>
        <w:pageBreakBefore w:val="0"/>
        <w:widowControl w:val="0"/>
        <w:tabs>
          <w:tab w:val="left" w:pos="1673"/>
        </w:tabs>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bookmarkStart w:id="7" w:name="bookmark6"/>
      <w:r>
        <w:rPr>
          <w:rFonts w:hint="eastAsia" w:ascii="方正仿宋_GBK" w:hAnsi="方正仿宋_GBK" w:eastAsia="方正仿宋_GBK" w:cs="方正仿宋_GBK"/>
          <w:color w:val="000000"/>
          <w:sz w:val="24"/>
          <w:szCs w:val="24"/>
          <w:lang w:val="zh-TW" w:eastAsia="zh-TW" w:bidi="zh-TW"/>
        </w:rPr>
        <w:t>（</w:t>
      </w:r>
      <w:bookmarkEnd w:id="7"/>
      <w:r>
        <w:rPr>
          <w:rFonts w:hint="eastAsia" w:ascii="方正仿宋_GBK" w:hAnsi="方正仿宋_GBK" w:eastAsia="方正仿宋_GBK" w:cs="方正仿宋_GBK"/>
          <w:color w:val="000000"/>
          <w:sz w:val="24"/>
          <w:szCs w:val="24"/>
          <w:lang w:val="zh-TW" w:eastAsia="zh-TW" w:bidi="zh-TW"/>
        </w:rPr>
        <w:t>三）供养服务内容</w:t>
      </w:r>
    </w:p>
    <w:p w14:paraId="7014569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r>
        <w:rPr>
          <w:rFonts w:hint="eastAsia" w:ascii="方正仿宋_GBK" w:hAnsi="方正仿宋_GBK" w:eastAsia="方正仿宋_GBK" w:cs="方正仿宋_GBK"/>
          <w:color w:val="000000"/>
          <w:sz w:val="24"/>
          <w:szCs w:val="24"/>
          <w:lang w:val="zh-TW" w:eastAsia="zh-TW" w:bidi="zh-TW"/>
        </w:rPr>
        <w:t>失能特困人员照护机构为集中供养对象提供以下服务：</w:t>
      </w:r>
    </w:p>
    <w:p w14:paraId="04C7B093">
      <w:pPr>
        <w:keepNext w:val="0"/>
        <w:keepLines w:val="0"/>
        <w:pageBreakBefore w:val="0"/>
        <w:widowControl w:val="0"/>
        <w:tabs>
          <w:tab w:val="left" w:pos="1054"/>
        </w:tabs>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方正仿宋_GBK" w:hAnsi="方正仿宋_GBK" w:eastAsia="方正仿宋_GBK" w:cs="方正仿宋_GBK"/>
          <w:color w:val="000000"/>
          <w:sz w:val="24"/>
          <w:szCs w:val="24"/>
          <w:lang w:val="zh-TW" w:eastAsia="zh-TW" w:bidi="zh-TW"/>
        </w:rPr>
      </w:pPr>
      <w:bookmarkStart w:id="8" w:name="bookmark7"/>
      <w:bookmarkEnd w:id="8"/>
      <w:r>
        <w:rPr>
          <w:rFonts w:hint="eastAsia" w:ascii="方正仿宋_GBK" w:hAnsi="方正仿宋_GBK" w:eastAsia="方正仿宋_GBK" w:cs="方正仿宋_GBK"/>
          <w:color w:val="000000"/>
          <w:sz w:val="24"/>
          <w:szCs w:val="24"/>
          <w:lang w:bidi="zh-TW"/>
        </w:rPr>
        <w:t>1、</w:t>
      </w:r>
      <w:r>
        <w:rPr>
          <w:rFonts w:hint="eastAsia" w:ascii="方正仿宋_GBK" w:hAnsi="方正仿宋_GBK" w:eastAsia="方正仿宋_GBK" w:cs="方正仿宋_GBK"/>
          <w:color w:val="000000"/>
          <w:sz w:val="24"/>
          <w:szCs w:val="24"/>
          <w:lang w:val="zh-TW" w:eastAsia="zh-TW" w:bidi="zh-TW"/>
        </w:rPr>
        <w:t>开展健康体检。每年为入住特困人员健康体检一次，建立健康档案，纳入健康管理。根据老人身体状况及时开展健康评估，制定康复计划，协助老人进行康复训练。</w:t>
      </w:r>
    </w:p>
    <w:p w14:paraId="104523AD">
      <w:pPr>
        <w:keepNext w:val="0"/>
        <w:keepLines w:val="0"/>
        <w:pageBreakBefore w:val="0"/>
        <w:widowControl w:val="0"/>
        <w:tabs>
          <w:tab w:val="left" w:pos="1045"/>
        </w:tabs>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bookmarkStart w:id="9" w:name="bookmark8"/>
      <w:bookmarkEnd w:id="9"/>
      <w:r>
        <w:rPr>
          <w:rFonts w:hint="eastAsia" w:ascii="方正仿宋_GBK" w:hAnsi="方正仿宋_GBK" w:eastAsia="方正仿宋_GBK" w:cs="方正仿宋_GBK"/>
          <w:color w:val="000000"/>
          <w:sz w:val="24"/>
          <w:szCs w:val="24"/>
          <w:lang w:bidi="zh-TW"/>
        </w:rPr>
        <w:t>2、</w:t>
      </w:r>
      <w:r>
        <w:rPr>
          <w:rFonts w:hint="eastAsia" w:ascii="方正仿宋_GBK" w:hAnsi="方正仿宋_GBK" w:eastAsia="方正仿宋_GBK" w:cs="方正仿宋_GBK"/>
          <w:color w:val="000000"/>
          <w:sz w:val="24"/>
          <w:szCs w:val="24"/>
          <w:lang w:val="zh-TW" w:eastAsia="zh-TW" w:bidi="zh-TW"/>
        </w:rPr>
        <w:t>提供护理照料。根据评估结果，提供适宜的住房和护理床位，按1:4、1:6的比例为失能、半失能特困人员•配备护理人员。</w:t>
      </w:r>
    </w:p>
    <w:p w14:paraId="2CE06975">
      <w:pPr>
        <w:keepNext w:val="0"/>
        <w:keepLines w:val="0"/>
        <w:pageBreakBefore w:val="0"/>
        <w:widowControl w:val="0"/>
        <w:tabs>
          <w:tab w:val="left" w:pos="1079"/>
        </w:tabs>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bookmarkStart w:id="10" w:name="bookmark9"/>
      <w:bookmarkEnd w:id="10"/>
      <w:r>
        <w:rPr>
          <w:rFonts w:hint="eastAsia" w:ascii="方正仿宋_GBK" w:hAnsi="方正仿宋_GBK" w:eastAsia="方正仿宋_GBK" w:cs="方正仿宋_GBK"/>
          <w:color w:val="000000"/>
          <w:sz w:val="24"/>
          <w:szCs w:val="24"/>
          <w:lang w:bidi="zh-TW"/>
        </w:rPr>
        <w:t>3、</w:t>
      </w:r>
      <w:r>
        <w:rPr>
          <w:rFonts w:hint="eastAsia" w:ascii="方正仿宋_GBK" w:hAnsi="方正仿宋_GBK" w:eastAsia="方正仿宋_GBK" w:cs="方正仿宋_GBK"/>
          <w:color w:val="000000"/>
          <w:sz w:val="24"/>
          <w:szCs w:val="24"/>
          <w:lang w:val="zh-TW" w:eastAsia="zh-TW" w:bidi="zh-TW"/>
        </w:rPr>
        <w:t>提供医疗保障。入住人员患病时，由失能特困人员照护机构负责送医治疗和医疗期间的日常护理。患重大疾病需及时与委托供养的镇人民政府（街道办事处）民政部门沟通并告知其监护人和登记的亲属联系人，同时报区民政部门备案。</w:t>
      </w:r>
    </w:p>
    <w:p w14:paraId="112CBBF3">
      <w:pPr>
        <w:keepNext w:val="0"/>
        <w:keepLines w:val="0"/>
        <w:pageBreakBefore w:val="0"/>
        <w:widowControl w:val="0"/>
        <w:tabs>
          <w:tab w:val="left" w:pos="1050"/>
        </w:tabs>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bookmarkStart w:id="11" w:name="bookmark10"/>
      <w:bookmarkEnd w:id="11"/>
      <w:r>
        <w:rPr>
          <w:rFonts w:hint="eastAsia" w:ascii="方正仿宋_GBK" w:hAnsi="方正仿宋_GBK" w:eastAsia="方正仿宋_GBK" w:cs="方正仿宋_GBK"/>
          <w:color w:val="000000"/>
          <w:sz w:val="24"/>
          <w:szCs w:val="24"/>
          <w:lang w:bidi="zh-TW"/>
        </w:rPr>
        <w:t>4、</w:t>
      </w:r>
      <w:r>
        <w:rPr>
          <w:rFonts w:hint="eastAsia" w:ascii="方正仿宋_GBK" w:hAnsi="方正仿宋_GBK" w:eastAsia="方正仿宋_GBK" w:cs="方正仿宋_GBK"/>
          <w:color w:val="000000"/>
          <w:sz w:val="24"/>
          <w:szCs w:val="24"/>
          <w:lang w:val="zh-TW" w:eastAsia="zh-TW" w:bidi="zh-TW"/>
        </w:rPr>
        <w:t>提供生活保障。提供符合食品卫生安全要求、适合供养人员需求的膳食，并按规定为供养人员提供服装、被褥等日常生活用品。</w:t>
      </w:r>
    </w:p>
    <w:p w14:paraId="4A798E21">
      <w:pPr>
        <w:keepNext w:val="0"/>
        <w:keepLines w:val="0"/>
        <w:pageBreakBefore w:val="0"/>
        <w:widowControl w:val="0"/>
        <w:tabs>
          <w:tab w:val="left" w:pos="1079"/>
        </w:tabs>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bookmarkStart w:id="12" w:name="bookmark11"/>
      <w:bookmarkEnd w:id="12"/>
      <w:r>
        <w:rPr>
          <w:rFonts w:hint="eastAsia" w:ascii="方正仿宋_GBK" w:hAnsi="方正仿宋_GBK" w:eastAsia="方正仿宋_GBK" w:cs="方正仿宋_GBK"/>
          <w:color w:val="000000"/>
          <w:sz w:val="24"/>
          <w:szCs w:val="24"/>
          <w:lang w:bidi="zh-TW"/>
        </w:rPr>
        <w:t>5、</w:t>
      </w:r>
      <w:r>
        <w:rPr>
          <w:rFonts w:hint="eastAsia" w:ascii="方正仿宋_GBK" w:hAnsi="方正仿宋_GBK" w:eastAsia="方正仿宋_GBK" w:cs="方正仿宋_GBK"/>
          <w:color w:val="000000"/>
          <w:sz w:val="24"/>
          <w:szCs w:val="24"/>
          <w:lang w:val="zh-TW" w:eastAsia="zh-TW" w:bidi="zh-TW"/>
        </w:rPr>
        <w:t>办理丧葬事宜。特困人员死亡后的丧葬事宜，由委托供养的镇人民政府（街道办事处）负责办理，失能特困人员照护机构积极做好配合工作。</w:t>
      </w:r>
    </w:p>
    <w:p w14:paraId="26C7657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bookmarkStart w:id="13" w:name="bookmark12"/>
      <w:r>
        <w:rPr>
          <w:rFonts w:hint="eastAsia" w:ascii="方正仿宋_GBK" w:hAnsi="方正仿宋_GBK" w:eastAsia="方正仿宋_GBK" w:cs="方正仿宋_GBK"/>
          <w:color w:val="000000"/>
          <w:sz w:val="24"/>
          <w:szCs w:val="24"/>
          <w:lang w:val="zh-TW" w:eastAsia="zh-TW" w:bidi="zh-TW"/>
        </w:rPr>
        <w:t>（</w:t>
      </w:r>
      <w:bookmarkEnd w:id="13"/>
      <w:r>
        <w:rPr>
          <w:rFonts w:hint="eastAsia" w:ascii="方正仿宋_GBK" w:hAnsi="方正仿宋_GBK" w:eastAsia="方正仿宋_GBK" w:cs="方正仿宋_GBK"/>
          <w:color w:val="000000"/>
          <w:sz w:val="24"/>
          <w:szCs w:val="24"/>
          <w:lang w:val="zh-TW" w:eastAsia="zh-TW" w:bidi="zh-TW"/>
        </w:rPr>
        <w:t>四）供养入住程序</w:t>
      </w:r>
    </w:p>
    <w:p w14:paraId="7BA1B7F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r>
        <w:rPr>
          <w:rFonts w:hint="eastAsia" w:ascii="方正仿宋_GBK" w:hAnsi="方正仿宋_GBK" w:eastAsia="方正仿宋_GBK" w:cs="方正仿宋_GBK"/>
          <w:color w:val="000000"/>
          <w:sz w:val="24"/>
          <w:szCs w:val="24"/>
          <w:lang w:val="zh-TW" w:eastAsia="zh-TW" w:bidi="zh-TW"/>
        </w:rPr>
        <w:t>失能、半失能特困人员入住失能特困人员照护机构按</w:t>
      </w:r>
      <w:r>
        <w:rPr>
          <w:rFonts w:hint="eastAsia" w:ascii="方正仿宋_GBK" w:hAnsi="方正仿宋_GBK" w:eastAsia="方正仿宋_GBK" w:cs="方正仿宋_GBK"/>
          <w:color w:val="000000"/>
          <w:sz w:val="24"/>
          <w:szCs w:val="24"/>
          <w:lang w:val="zh-CN" w:bidi="zh-CN"/>
        </w:rPr>
        <w:t>“本</w:t>
      </w:r>
      <w:r>
        <w:rPr>
          <w:rFonts w:hint="eastAsia" w:ascii="方正仿宋_GBK" w:hAnsi="方正仿宋_GBK" w:eastAsia="方正仿宋_GBK" w:cs="方正仿宋_GBK"/>
          <w:color w:val="000000"/>
          <w:sz w:val="24"/>
          <w:szCs w:val="24"/>
          <w:lang w:val="zh-TW" w:eastAsia="zh-TW" w:bidi="zh-TW"/>
        </w:rPr>
        <w:t>人申请、镇人民政府（街道办事处）审核、能力评估、区民政部门批准”的程序进行。</w:t>
      </w:r>
    </w:p>
    <w:p w14:paraId="28BB3D3E">
      <w:pPr>
        <w:keepNext w:val="0"/>
        <w:keepLines w:val="0"/>
        <w:pageBreakBefore w:val="0"/>
        <w:widowControl w:val="0"/>
        <w:tabs>
          <w:tab w:val="left" w:pos="1060"/>
        </w:tabs>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bookmarkStart w:id="14" w:name="bookmark13"/>
      <w:bookmarkEnd w:id="14"/>
      <w:r>
        <w:rPr>
          <w:rFonts w:hint="eastAsia" w:ascii="方正仿宋_GBK" w:hAnsi="方正仿宋_GBK" w:eastAsia="方正仿宋_GBK" w:cs="方正仿宋_GBK"/>
          <w:color w:val="000000"/>
          <w:sz w:val="24"/>
          <w:szCs w:val="24"/>
          <w:lang w:bidi="zh-TW"/>
        </w:rPr>
        <w:t>1、</w:t>
      </w:r>
      <w:r>
        <w:rPr>
          <w:rFonts w:hint="eastAsia" w:ascii="方正仿宋_GBK" w:hAnsi="方正仿宋_GBK" w:eastAsia="方正仿宋_GBK" w:cs="方正仿宋_GBK"/>
          <w:color w:val="000000"/>
          <w:sz w:val="24"/>
          <w:szCs w:val="24"/>
          <w:lang w:val="zh-TW" w:eastAsia="zh-TW" w:bidi="zh-TW"/>
        </w:rPr>
        <w:t>入住申请。对符合入住条件的失能特困人员，由监护人（机构）向户籍所在地镇人民政府（街道办事处）提出书面申请。</w:t>
      </w:r>
    </w:p>
    <w:p w14:paraId="3B63334E">
      <w:pPr>
        <w:keepNext w:val="0"/>
        <w:keepLines w:val="0"/>
        <w:pageBreakBefore w:val="0"/>
        <w:widowControl w:val="0"/>
        <w:tabs>
          <w:tab w:val="left" w:pos="1060"/>
        </w:tabs>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bookmarkStart w:id="15" w:name="bookmark14"/>
      <w:bookmarkEnd w:id="15"/>
      <w:r>
        <w:rPr>
          <w:rFonts w:hint="eastAsia" w:ascii="方正仿宋_GBK" w:hAnsi="方正仿宋_GBK" w:eastAsia="方正仿宋_GBK" w:cs="方正仿宋_GBK"/>
          <w:color w:val="000000"/>
          <w:sz w:val="24"/>
          <w:szCs w:val="24"/>
          <w:lang w:bidi="zh-TW"/>
        </w:rPr>
        <w:t>2、</w:t>
      </w:r>
      <w:r>
        <w:rPr>
          <w:rFonts w:hint="eastAsia" w:ascii="方正仿宋_GBK" w:hAnsi="方正仿宋_GBK" w:eastAsia="方正仿宋_GBK" w:cs="方正仿宋_GBK"/>
          <w:color w:val="000000"/>
          <w:sz w:val="24"/>
          <w:szCs w:val="24"/>
          <w:lang w:val="zh-TW" w:eastAsia="zh-TW" w:bidi="zh-TW"/>
        </w:rPr>
        <w:t>审批时限。镇人民政府（街道办事处）应于收到申请3个工作日内完成审核；第三方评估机构3个工作日内完成入住评估；区民政部门3个工作日内完成审批。</w:t>
      </w:r>
    </w:p>
    <w:p w14:paraId="12B5061A">
      <w:pPr>
        <w:keepNext w:val="0"/>
        <w:keepLines w:val="0"/>
        <w:pageBreakBefore w:val="0"/>
        <w:widowControl w:val="0"/>
        <w:tabs>
          <w:tab w:val="left" w:pos="1060"/>
        </w:tabs>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bookmarkStart w:id="16" w:name="bookmark15"/>
      <w:bookmarkEnd w:id="16"/>
      <w:r>
        <w:rPr>
          <w:rFonts w:hint="eastAsia" w:ascii="方正仿宋_GBK" w:hAnsi="方正仿宋_GBK" w:eastAsia="方正仿宋_GBK" w:cs="方正仿宋_GBK"/>
          <w:color w:val="000000"/>
          <w:sz w:val="24"/>
          <w:szCs w:val="24"/>
          <w:lang w:bidi="zh-TW"/>
        </w:rPr>
        <w:t>3、</w:t>
      </w:r>
      <w:r>
        <w:rPr>
          <w:rFonts w:hint="eastAsia" w:ascii="方正仿宋_GBK" w:hAnsi="方正仿宋_GBK" w:eastAsia="方正仿宋_GBK" w:cs="方正仿宋_GBK"/>
          <w:color w:val="000000"/>
          <w:sz w:val="24"/>
          <w:szCs w:val="24"/>
          <w:lang w:val="zh-TW" w:eastAsia="zh-TW" w:bidi="zh-TW"/>
        </w:rPr>
        <w:t>供养安置。审批完成后由失能特困人员所在镇人民政府（街道办事处）安排具体经办人员或其近亲属将特困人员送至失能特困人员照护机构。同时签订老人监护人（机构）、委托供养镇人民政府（街道办事处）、失能特困人员照护机构三方委托供养服务协议。</w:t>
      </w:r>
    </w:p>
    <w:p w14:paraId="627AD73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bookmarkStart w:id="17" w:name="bookmark16"/>
      <w:r>
        <w:rPr>
          <w:rFonts w:hint="eastAsia" w:ascii="方正仿宋_GBK" w:hAnsi="方正仿宋_GBK" w:eastAsia="方正仿宋_GBK" w:cs="方正仿宋_GBK"/>
          <w:color w:val="000000"/>
          <w:sz w:val="24"/>
          <w:szCs w:val="24"/>
          <w:lang w:val="zh-TW" w:eastAsia="zh-TW" w:bidi="zh-TW"/>
        </w:rPr>
        <w:t>（</w:t>
      </w:r>
      <w:bookmarkEnd w:id="17"/>
      <w:r>
        <w:rPr>
          <w:rFonts w:hint="eastAsia" w:ascii="方正仿宋_GBK" w:hAnsi="方正仿宋_GBK" w:eastAsia="方正仿宋_GBK" w:cs="方正仿宋_GBK"/>
          <w:color w:val="000000"/>
          <w:sz w:val="24"/>
          <w:szCs w:val="24"/>
          <w:lang w:val="zh-TW" w:eastAsia="zh-TW" w:bidi="zh-TW"/>
        </w:rPr>
        <w:t>五）供养出院管理</w:t>
      </w:r>
    </w:p>
    <w:p w14:paraId="7FEA7A9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r>
        <w:rPr>
          <w:rFonts w:hint="eastAsia" w:ascii="方正仿宋_GBK" w:hAnsi="方正仿宋_GBK" w:eastAsia="方正仿宋_GBK" w:cs="方正仿宋_GBK"/>
          <w:color w:val="000000"/>
          <w:sz w:val="24"/>
          <w:szCs w:val="24"/>
          <w:lang w:val="zh-TW" w:eastAsia="zh-TW" w:bidi="zh-TW"/>
        </w:rPr>
        <w:t>特困供养人员身体等其他情况发生变化符合下列情形之一的，应根据实际情况及时、妥善进行安排，并报区民政部门备案。</w:t>
      </w:r>
    </w:p>
    <w:p w14:paraId="10B269D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r>
        <w:rPr>
          <w:rFonts w:hint="eastAsia" w:ascii="方正仿宋_GBK" w:hAnsi="方正仿宋_GBK" w:eastAsia="方正仿宋_GBK" w:cs="方正仿宋_GBK"/>
          <w:color w:val="000000"/>
          <w:sz w:val="24"/>
          <w:szCs w:val="24"/>
          <w:lang w:bidi="zh-TW"/>
        </w:rPr>
        <w:t>1、</w:t>
      </w:r>
      <w:r>
        <w:rPr>
          <w:rFonts w:hint="eastAsia" w:ascii="方正仿宋_GBK" w:hAnsi="方正仿宋_GBK" w:eastAsia="方正仿宋_GBK" w:cs="方正仿宋_GBK"/>
          <w:color w:val="000000"/>
          <w:sz w:val="24"/>
          <w:szCs w:val="24"/>
          <w:lang w:val="zh-TW" w:eastAsia="zh-TW" w:bidi="zh-TW"/>
        </w:rPr>
        <w:t>本人不再符合《特困人员认定办法》或其他经认定不符合集中供养救助情形的，各镇人民政府（街道办事处）应按照相关规定及时进行清退。</w:t>
      </w:r>
    </w:p>
    <w:p w14:paraId="2AACB28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CN" w:bidi="zh-TW"/>
        </w:rPr>
      </w:pPr>
      <w:r>
        <w:rPr>
          <w:rFonts w:hint="eastAsia" w:ascii="方正仿宋_GBK" w:hAnsi="方正仿宋_GBK" w:eastAsia="方正仿宋_GBK" w:cs="方正仿宋_GBK"/>
          <w:color w:val="000000"/>
          <w:sz w:val="24"/>
          <w:szCs w:val="24"/>
          <w:lang w:bidi="en-US"/>
        </w:rPr>
        <w:t>2、</w:t>
      </w:r>
      <w:r>
        <w:rPr>
          <w:rFonts w:hint="eastAsia" w:ascii="方正仿宋_GBK" w:hAnsi="方正仿宋_GBK" w:eastAsia="方正仿宋_GBK" w:cs="方正仿宋_GBK"/>
          <w:color w:val="000000"/>
          <w:sz w:val="24"/>
          <w:szCs w:val="24"/>
          <w:lang w:val="zh-TW" w:eastAsia="zh-TW" w:bidi="zh-TW"/>
        </w:rPr>
        <w:t>因身体情况恢复较好，经评估不再属于失能、半失能人员的，由失能特困人员照护机构与所属镇人民政府（街道办事处）对接，解除委托供养服务协议。根据供养对象意愿由送养镇人民政府（街道办事处）安排返回原敬老院居住或进行分散供养,并报区民政部门备案。</w:t>
      </w:r>
    </w:p>
    <w:p w14:paraId="3C3571B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r>
        <w:rPr>
          <w:rFonts w:hint="eastAsia" w:ascii="方正仿宋_GBK" w:hAnsi="方正仿宋_GBK" w:eastAsia="方正仿宋_GBK" w:cs="方正仿宋_GBK"/>
          <w:color w:val="000000"/>
          <w:sz w:val="24"/>
          <w:szCs w:val="24"/>
          <w:lang w:bidi="zh-TW"/>
        </w:rPr>
        <w:t>3、</w:t>
      </w:r>
      <w:r>
        <w:rPr>
          <w:rFonts w:hint="eastAsia" w:ascii="方正仿宋_GBK" w:hAnsi="方正仿宋_GBK" w:eastAsia="方正仿宋_GBK" w:cs="方正仿宋_GBK"/>
          <w:color w:val="000000"/>
          <w:sz w:val="24"/>
          <w:szCs w:val="24"/>
          <w:lang w:val="zh-TW" w:eastAsia="zh-TW" w:bidi="zh-TW"/>
        </w:rPr>
        <w:t>供养人员要求退出失能特困人员照护机构集中供养的，由本人或委托供养的镇人民政府（街道办事处）提出申请，由失能特困人员照护机构通知监护人（机构）办理相关手续后离院，并报区民政部门备案。</w:t>
      </w:r>
    </w:p>
    <w:p w14:paraId="119806B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r>
        <w:rPr>
          <w:rFonts w:hint="eastAsia" w:ascii="方正仿宋_GBK" w:hAnsi="方正仿宋_GBK" w:eastAsia="方正仿宋_GBK" w:cs="方正仿宋_GBK"/>
          <w:color w:val="000000"/>
          <w:sz w:val="24"/>
          <w:szCs w:val="24"/>
          <w:lang w:val="zh-TW" w:eastAsia="zh-TW" w:bidi="zh-TW"/>
        </w:rPr>
        <w:t>三、保障措施</w:t>
      </w:r>
    </w:p>
    <w:p w14:paraId="1FDDFBF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r>
        <w:rPr>
          <w:rFonts w:hint="eastAsia" w:ascii="方正仿宋_GBK" w:hAnsi="方正仿宋_GBK" w:eastAsia="方正仿宋_GBK" w:cs="方正仿宋_GBK"/>
          <w:color w:val="000000"/>
          <w:sz w:val="24"/>
          <w:szCs w:val="24"/>
          <w:lang w:val="zh-TW" w:eastAsia="zh-TW" w:bidi="zh-TW"/>
        </w:rPr>
        <w:t>根据协议约定，每月将失能、半失能特困人员供养经费、照料护理补贴等保障经费拨入失能供养照护机构，不足部分由区民政部门根据入住人员数量及运行成本核算标准进行资金补助。所需经费从上级补助特困人员供养服务机构护理能力建设资金和上级福彩公益金中列支。</w:t>
      </w:r>
    </w:p>
    <w:p w14:paraId="0AF9AAA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r>
        <w:rPr>
          <w:rFonts w:hint="eastAsia" w:ascii="方正仿宋_GBK" w:hAnsi="方正仿宋_GBK" w:eastAsia="方正仿宋_GBK" w:cs="方正仿宋_GBK"/>
          <w:color w:val="000000"/>
          <w:sz w:val="24"/>
          <w:szCs w:val="24"/>
          <w:lang w:val="zh-TW" w:eastAsia="zh-TW" w:bidi="zh-TW"/>
        </w:rPr>
        <w:t>四</w:t>
      </w:r>
      <w:r>
        <w:rPr>
          <w:rFonts w:hint="eastAsia" w:ascii="方正仿宋_GBK" w:hAnsi="方正仿宋_GBK" w:eastAsia="方正仿宋_GBK" w:cs="方正仿宋_GBK"/>
          <w:color w:val="000000"/>
          <w:sz w:val="24"/>
          <w:szCs w:val="24"/>
          <w:lang w:val="zh-TW" w:bidi="zh-TW"/>
        </w:rPr>
        <w:t>、</w:t>
      </w:r>
      <w:r>
        <w:rPr>
          <w:rFonts w:hint="eastAsia" w:ascii="方正仿宋_GBK" w:hAnsi="方正仿宋_GBK" w:eastAsia="方正仿宋_GBK" w:cs="方正仿宋_GBK"/>
          <w:color w:val="000000"/>
          <w:sz w:val="24"/>
          <w:szCs w:val="24"/>
          <w:lang w:val="zh-TW" w:eastAsia="zh-TW" w:bidi="zh-TW"/>
        </w:rPr>
        <w:t>相关要求</w:t>
      </w:r>
    </w:p>
    <w:p w14:paraId="5F300D50">
      <w:pPr>
        <w:keepNext w:val="0"/>
        <w:keepLines w:val="0"/>
        <w:pageBreakBefore w:val="0"/>
        <w:widowControl w:val="0"/>
        <w:tabs>
          <w:tab w:val="left" w:pos="1641"/>
        </w:tabs>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bookmarkStart w:id="18" w:name="bookmark17"/>
      <w:r>
        <w:rPr>
          <w:rFonts w:hint="eastAsia" w:ascii="方正仿宋_GBK" w:hAnsi="方正仿宋_GBK" w:eastAsia="方正仿宋_GBK" w:cs="方正仿宋_GBK"/>
          <w:color w:val="000000"/>
          <w:sz w:val="24"/>
          <w:szCs w:val="24"/>
          <w:lang w:val="zh-TW" w:eastAsia="zh-TW" w:bidi="zh-TW"/>
        </w:rPr>
        <w:t>（</w:t>
      </w:r>
      <w:bookmarkEnd w:id="18"/>
      <w:r>
        <w:rPr>
          <w:rFonts w:hint="eastAsia" w:ascii="方正仿宋_GBK" w:hAnsi="方正仿宋_GBK" w:eastAsia="方正仿宋_GBK" w:cs="方正仿宋_GBK"/>
          <w:color w:val="000000"/>
          <w:sz w:val="24"/>
          <w:szCs w:val="24"/>
          <w:lang w:val="zh-TW" w:eastAsia="zh-TW" w:bidi="zh-TW"/>
        </w:rPr>
        <w:t>一）做好统筹安排。各镇人民政府、街道办事处要切实履行责任，强化管理服务，统筹做好本辖区内有照护需求的失能、半失能特困人员的摸排和登记工作。失能特困人员照护机构严格按照养老机构床位设置标准完善供养设施，细化工作流程，保证服务质量。</w:t>
      </w:r>
    </w:p>
    <w:p w14:paraId="18E9590C">
      <w:pPr>
        <w:keepNext w:val="0"/>
        <w:keepLines w:val="0"/>
        <w:pageBreakBefore w:val="0"/>
        <w:widowControl w:val="0"/>
        <w:tabs>
          <w:tab w:val="left" w:pos="1631"/>
        </w:tabs>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bookmarkStart w:id="19" w:name="bookmark18"/>
      <w:r>
        <w:rPr>
          <w:rFonts w:hint="eastAsia" w:ascii="方正仿宋_GBK" w:hAnsi="方正仿宋_GBK" w:eastAsia="方正仿宋_GBK" w:cs="方正仿宋_GBK"/>
          <w:color w:val="000000"/>
          <w:sz w:val="24"/>
          <w:szCs w:val="24"/>
          <w:lang w:val="zh-TW" w:eastAsia="zh-TW" w:bidi="zh-TW"/>
        </w:rPr>
        <w:t>（</w:t>
      </w:r>
      <w:bookmarkEnd w:id="19"/>
      <w:r>
        <w:rPr>
          <w:rFonts w:hint="eastAsia" w:ascii="方正仿宋_GBK" w:hAnsi="方正仿宋_GBK" w:eastAsia="方正仿宋_GBK" w:cs="方正仿宋_GBK"/>
          <w:color w:val="000000"/>
          <w:sz w:val="24"/>
          <w:szCs w:val="24"/>
          <w:lang w:val="zh-TW" w:eastAsia="zh-TW" w:bidi="zh-TW"/>
        </w:rPr>
        <w:t>二）加强业务指导。区民政部门相关科室要加强对失能、半失能特困人员集中供养工作的业务指导，积极筹集供养补助经费，保障供养经费足额、准时拨付到位。</w:t>
      </w:r>
    </w:p>
    <w:p w14:paraId="62D17216">
      <w:pPr>
        <w:keepNext w:val="0"/>
        <w:keepLines w:val="0"/>
        <w:pageBreakBefore w:val="0"/>
        <w:widowControl w:val="0"/>
        <w:tabs>
          <w:tab w:val="left" w:pos="1641"/>
        </w:tabs>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val="zh-TW" w:eastAsia="zh-TW" w:bidi="zh-TW"/>
        </w:rPr>
      </w:pPr>
      <w:bookmarkStart w:id="20" w:name="bookmark19"/>
      <w:r>
        <w:rPr>
          <w:rFonts w:hint="eastAsia" w:ascii="方正仿宋_GBK" w:hAnsi="方正仿宋_GBK" w:eastAsia="方正仿宋_GBK" w:cs="方正仿宋_GBK"/>
          <w:color w:val="000000"/>
          <w:sz w:val="24"/>
          <w:szCs w:val="24"/>
          <w:lang w:val="zh-TW" w:eastAsia="zh-TW" w:bidi="zh-TW"/>
        </w:rPr>
        <w:t>（</w:t>
      </w:r>
      <w:bookmarkEnd w:id="20"/>
      <w:r>
        <w:rPr>
          <w:rFonts w:hint="eastAsia" w:ascii="方正仿宋_GBK" w:hAnsi="方正仿宋_GBK" w:eastAsia="方正仿宋_GBK" w:cs="方正仿宋_GBK"/>
          <w:color w:val="000000"/>
          <w:sz w:val="24"/>
          <w:szCs w:val="24"/>
          <w:lang w:val="zh-TW" w:eastAsia="zh-TW" w:bidi="zh-TW"/>
        </w:rPr>
        <w:t>三）落实监督检查。集中供养经费实行专账管理，杜绝挤占、挪用、套取资金等违纪违法行为发生。区民政部门定期对失能特困人员照护机构服务质量、安全管理和资金使用等情况进行监督检查。</w:t>
      </w:r>
    </w:p>
    <w:p w14:paraId="0CB2545A">
      <w:pPr>
        <w:keepNext w:val="0"/>
        <w:keepLines w:val="0"/>
        <w:pageBreakBefore w:val="0"/>
        <w:widowControl w:val="0"/>
        <w:tabs>
          <w:tab w:val="left" w:pos="1641"/>
        </w:tabs>
        <w:kinsoku/>
        <w:wordWrap/>
        <w:overflowPunct/>
        <w:topLinePunct w:val="0"/>
        <w:autoSpaceDE/>
        <w:autoSpaceDN/>
        <w:bidi w:val="0"/>
        <w:adjustRightInd/>
        <w:snapToGrid/>
        <w:spacing w:after="60" w:line="240" w:lineRule="auto"/>
        <w:ind w:firstLine="0"/>
        <w:textAlignment w:val="auto"/>
        <w:outlineLvl w:val="9"/>
        <w:rPr>
          <w:rFonts w:hint="eastAsia" w:ascii="方正仿宋_GBK" w:hAnsi="方正仿宋_GBK" w:eastAsia="方正仿宋_GBK" w:cs="方正仿宋_GBK"/>
          <w:color w:val="000000"/>
          <w:sz w:val="24"/>
          <w:szCs w:val="24"/>
          <w:lang w:val="zh-TW" w:eastAsia="zh-TW" w:bidi="zh-TW"/>
        </w:rPr>
      </w:pPr>
    </w:p>
    <w:p w14:paraId="0E422948">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drawing>
          <wp:inline distT="0" distB="0" distL="0" distR="0">
            <wp:extent cx="1623695" cy="1435100"/>
            <wp:effectExtent l="0" t="0" r="14605" b="1270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4"/>
                    <a:stretch>
                      <a:fillRect/>
                    </a:stretch>
                  </pic:blipFill>
                  <pic:spPr>
                    <a:xfrm>
                      <a:off x="0" y="0"/>
                      <a:ext cx="1624254" cy="1435430"/>
                    </a:xfrm>
                    <a:prstGeom prst="rect">
                      <a:avLst/>
                    </a:prstGeom>
                    <a:noFill/>
                    <a:ln>
                      <a:noFill/>
                    </a:ln>
                  </pic:spPr>
                </pic:pic>
              </a:graphicData>
            </a:graphic>
          </wp:inline>
        </w:drawing>
      </w:r>
    </w:p>
    <w:p w14:paraId="5B95D59B">
      <w:pPr>
        <w:pageBreakBefore w:val="0"/>
        <w:tabs>
          <w:tab w:val="left" w:pos="1641"/>
        </w:tabs>
        <w:kinsoku/>
        <w:wordWrap/>
        <w:overflowPunct/>
        <w:topLinePunct w:val="0"/>
        <w:autoSpaceDE/>
        <w:autoSpaceDN/>
        <w:bidi w:val="0"/>
        <w:adjustRightInd/>
        <w:snapToGrid/>
        <w:spacing w:line="500" w:lineRule="exact"/>
        <w:ind w:firstLine="0"/>
        <w:textAlignment w:val="auto"/>
        <w:rPr>
          <w:rFonts w:hint="eastAsia" w:ascii="方正仿宋_GBK" w:hAnsi="方正仿宋_GBK" w:eastAsia="方正仿宋_GBK" w:cs="方正仿宋_GBK"/>
          <w:color w:val="000000"/>
          <w:sz w:val="24"/>
          <w:szCs w:val="24"/>
          <w:lang w:val="zh-TW" w:eastAsia="zh-TW" w:bidi="zh-TW"/>
        </w:rPr>
      </w:pPr>
    </w:p>
    <w:p w14:paraId="7A8E49F1">
      <w:pPr>
        <w:pageBreakBefore w:val="0"/>
        <w:widowControl/>
        <w:kinsoku/>
        <w:wordWrap/>
        <w:overflowPunct/>
        <w:topLinePunct w:val="0"/>
        <w:autoSpaceDE/>
        <w:autoSpaceDN/>
        <w:bidi w:val="0"/>
        <w:adjustRightInd/>
        <w:snapToGrid/>
        <w:spacing w:line="500" w:lineRule="exact"/>
        <w:ind w:firstLine="0"/>
        <w:jc w:val="left"/>
        <w:textAlignment w:val="auto"/>
        <w:rPr>
          <w:rFonts w:hint="eastAsia" w:ascii="方正仿宋_GBK" w:hAnsi="方正仿宋_GBK" w:eastAsia="方正仿宋_GBK" w:cs="方正仿宋_GBK"/>
          <w:sz w:val="24"/>
          <w:szCs w:val="24"/>
          <w:lang w:bidi="ar"/>
        </w:rPr>
      </w:pPr>
    </w:p>
    <w:p w14:paraId="600FC4A6">
      <w:pPr>
        <w:pageBreakBefore w:val="0"/>
        <w:kinsoku/>
        <w:wordWrap/>
        <w:overflowPunct/>
        <w:topLinePunct w:val="0"/>
        <w:autoSpaceDE/>
        <w:autoSpaceDN/>
        <w:bidi w:val="0"/>
        <w:adjustRightInd/>
        <w:snapToGrid/>
        <w:spacing w:line="500" w:lineRule="exact"/>
        <w:ind w:firstLine="0"/>
        <w:textAlignment w:val="auto"/>
        <w:outlineLvl w:val="2"/>
        <w:rPr>
          <w:rFonts w:hint="eastAsia" w:ascii="方正仿宋_GBK" w:hAnsi="方正仿宋_GBK" w:eastAsia="方正仿宋_GBK" w:cs="方正仿宋_GBK"/>
          <w:b/>
          <w:bCs/>
          <w:sz w:val="24"/>
          <w:szCs w:val="24"/>
          <w:lang w:eastAsia="zh-CN"/>
        </w:rPr>
      </w:pPr>
      <w:r>
        <w:rPr>
          <w:rFonts w:hint="eastAsia" w:ascii="方正仿宋_GBK" w:hAnsi="方正仿宋_GBK" w:eastAsia="方正仿宋_GBK" w:cs="方正仿宋_GBK"/>
          <w:color w:val="000000"/>
          <w:sz w:val="24"/>
          <w:szCs w:val="24"/>
          <w:lang w:bidi="ar"/>
        </w:rPr>
        <w:br w:type="page" w:clear="all"/>
      </w:r>
      <w:r>
        <w:rPr>
          <w:rFonts w:hint="eastAsia" w:ascii="方正仿宋_GBK" w:hAnsi="方正仿宋_GBK" w:eastAsia="方正仿宋_GBK" w:cs="方正仿宋_GBK"/>
          <w:b/>
          <w:bCs/>
          <w:color w:val="000000"/>
          <w:sz w:val="24"/>
          <w:szCs w:val="24"/>
        </w:rPr>
        <w:t>附件2</w:t>
      </w:r>
    </w:p>
    <w:p w14:paraId="284B19E6">
      <w:pPr>
        <w:pageBreakBefore w:val="0"/>
        <w:kinsoku/>
        <w:wordWrap/>
        <w:overflowPunct/>
        <w:topLinePunct w:val="0"/>
        <w:autoSpaceDE/>
        <w:autoSpaceDN/>
        <w:bidi w:val="0"/>
        <w:adjustRightInd/>
        <w:snapToGrid/>
        <w:spacing w:line="500" w:lineRule="exact"/>
        <w:ind w:firstLine="0"/>
        <w:jc w:val="center"/>
        <w:textAlignment w:val="auto"/>
        <w:outlineLvl w:val="9"/>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宿城区失能特困人员集中护理审批表</w:t>
      </w:r>
    </w:p>
    <w:p w14:paraId="15012FCA">
      <w:pPr>
        <w:pageBreakBefore w:val="0"/>
        <w:kinsoku/>
        <w:wordWrap/>
        <w:overflowPunct/>
        <w:topLinePunct w:val="0"/>
        <w:autoSpaceDE/>
        <w:autoSpaceDN/>
        <w:bidi w:val="0"/>
        <w:adjustRightInd/>
        <w:snapToGrid/>
        <w:spacing w:line="500" w:lineRule="exact"/>
        <w:ind w:firstLine="0"/>
        <w:jc w:val="center"/>
        <w:textAlignment w:val="auto"/>
        <w:outlineLvl w:val="9"/>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（详见以下3个附件）</w:t>
      </w:r>
    </w:p>
    <w:p w14:paraId="058E01ED">
      <w:pPr>
        <w:pageBreakBefore w:val="0"/>
        <w:kinsoku/>
        <w:wordWrap/>
        <w:overflowPunct/>
        <w:topLinePunct w:val="0"/>
        <w:autoSpaceDE/>
        <w:autoSpaceDN/>
        <w:bidi w:val="0"/>
        <w:adjustRightInd/>
        <w:snapToGrid/>
        <w:spacing w:line="500" w:lineRule="exact"/>
        <w:ind w:firstLine="0"/>
        <w:jc w:val="center"/>
        <w:textAlignment w:val="auto"/>
        <w:outlineLvl w:val="9"/>
        <w:rPr>
          <w:rFonts w:hint="eastAsia" w:ascii="方正仿宋_GBK" w:hAnsi="方正仿宋_GBK" w:eastAsia="方正仿宋_GBK" w:cs="方正仿宋_GBK"/>
          <w:color w:val="000000"/>
          <w:sz w:val="24"/>
          <w:szCs w:val="24"/>
        </w:rPr>
      </w:pPr>
    </w:p>
    <w:p w14:paraId="3B0E1A4B">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附件1:</w:t>
      </w:r>
    </w:p>
    <w:p w14:paraId="0D1A1704">
      <w:pPr>
        <w:pageBreakBefore w:val="0"/>
        <w:kinsoku/>
        <w:wordWrap/>
        <w:overflowPunct/>
        <w:topLinePunct w:val="0"/>
        <w:autoSpaceDE/>
        <w:autoSpaceDN/>
        <w:bidi w:val="0"/>
        <w:adjustRightInd/>
        <w:snapToGrid/>
        <w:spacing w:line="500" w:lineRule="exact"/>
        <w:ind w:firstLine="0"/>
        <w:jc w:val="center"/>
        <w:textAlignment w:val="auto"/>
        <w:outlineLvl w:val="9"/>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申  请  书</w:t>
      </w:r>
    </w:p>
    <w:p w14:paraId="14852471">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p>
    <w:p w14:paraId="6A0D7662">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u w:val="single"/>
        </w:rPr>
        <w:t xml:space="preserve">      镇（街道）民生事务局</w:t>
      </w:r>
      <w:r>
        <w:rPr>
          <w:rFonts w:hint="eastAsia" w:ascii="方正仿宋_GBK" w:hAnsi="方正仿宋_GBK" w:eastAsia="方正仿宋_GBK" w:cs="方正仿宋_GBK"/>
          <w:color w:val="000000"/>
          <w:sz w:val="24"/>
          <w:szCs w:val="24"/>
        </w:rPr>
        <w:t>：</w:t>
      </w:r>
    </w:p>
    <w:p w14:paraId="08E105D1">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本人姓名</w:t>
      </w:r>
      <w:r>
        <w:rPr>
          <w:rFonts w:hint="eastAsia" w:ascii="方正仿宋_GBK" w:hAnsi="方正仿宋_GBK" w:eastAsia="方正仿宋_GBK" w:cs="方正仿宋_GBK"/>
          <w:color w:val="000000"/>
          <w:sz w:val="24"/>
          <w:szCs w:val="24"/>
          <w:u w:val="single"/>
        </w:rPr>
        <w:t xml:space="preserve">          </w:t>
      </w:r>
      <w:r>
        <w:rPr>
          <w:rFonts w:hint="eastAsia" w:ascii="方正仿宋_GBK" w:hAnsi="方正仿宋_GBK" w:eastAsia="方正仿宋_GBK" w:cs="方正仿宋_GBK"/>
          <w:color w:val="000000"/>
          <w:sz w:val="24"/>
          <w:szCs w:val="24"/>
        </w:rPr>
        <w:t>，性别</w:t>
      </w:r>
      <w:r>
        <w:rPr>
          <w:rFonts w:hint="eastAsia" w:ascii="方正仿宋_GBK" w:hAnsi="方正仿宋_GBK" w:eastAsia="方正仿宋_GBK" w:cs="方正仿宋_GBK"/>
          <w:color w:val="000000"/>
          <w:sz w:val="24"/>
          <w:szCs w:val="24"/>
          <w:u w:val="single"/>
        </w:rPr>
        <w:t xml:space="preserve">   </w:t>
      </w:r>
      <w:r>
        <w:rPr>
          <w:rFonts w:hint="eastAsia" w:ascii="方正仿宋_GBK" w:hAnsi="方正仿宋_GBK" w:eastAsia="方正仿宋_GBK" w:cs="方正仿宋_GBK"/>
          <w:color w:val="000000"/>
          <w:sz w:val="24"/>
          <w:szCs w:val="24"/>
        </w:rPr>
        <w:t>，</w:t>
      </w:r>
      <w:r>
        <w:rPr>
          <w:rFonts w:hint="eastAsia" w:ascii="方正仿宋_GBK" w:hAnsi="方正仿宋_GBK" w:eastAsia="方正仿宋_GBK" w:cs="方正仿宋_GBK"/>
          <w:color w:val="000000"/>
          <w:sz w:val="24"/>
          <w:szCs w:val="24"/>
          <w:u w:val="single"/>
        </w:rPr>
        <w:t xml:space="preserve">   </w:t>
      </w:r>
      <w:r>
        <w:rPr>
          <w:rFonts w:hint="eastAsia" w:ascii="方正仿宋_GBK" w:hAnsi="方正仿宋_GBK" w:eastAsia="方正仿宋_GBK" w:cs="方正仿宋_GBK"/>
          <w:color w:val="000000"/>
          <w:sz w:val="24"/>
          <w:szCs w:val="24"/>
        </w:rPr>
        <w:t>族，现年</w:t>
      </w:r>
      <w:r>
        <w:rPr>
          <w:rFonts w:hint="eastAsia" w:ascii="方正仿宋_GBK" w:hAnsi="方正仿宋_GBK" w:eastAsia="方正仿宋_GBK" w:cs="方正仿宋_GBK"/>
          <w:color w:val="000000"/>
          <w:sz w:val="24"/>
          <w:szCs w:val="24"/>
          <w:u w:val="single"/>
        </w:rPr>
        <w:t xml:space="preserve">   </w:t>
      </w:r>
      <w:r>
        <w:rPr>
          <w:rFonts w:hint="eastAsia" w:ascii="方正仿宋_GBK" w:hAnsi="方正仿宋_GBK" w:eastAsia="方正仿宋_GBK" w:cs="方正仿宋_GBK"/>
          <w:color w:val="000000"/>
          <w:sz w:val="24"/>
          <w:szCs w:val="24"/>
        </w:rPr>
        <w:t>岁，家中</w:t>
      </w:r>
      <w:r>
        <w:rPr>
          <w:rFonts w:hint="eastAsia" w:ascii="方正仿宋_GBK" w:hAnsi="方正仿宋_GBK" w:eastAsia="方正仿宋_GBK" w:cs="方正仿宋_GBK"/>
          <w:color w:val="000000"/>
          <w:sz w:val="24"/>
          <w:szCs w:val="24"/>
          <w:u w:val="single"/>
        </w:rPr>
        <w:t xml:space="preserve">   </w:t>
      </w:r>
      <w:r>
        <w:rPr>
          <w:rFonts w:hint="eastAsia" w:ascii="方正仿宋_GBK" w:hAnsi="方正仿宋_GBK" w:eastAsia="方正仿宋_GBK" w:cs="方正仿宋_GBK"/>
          <w:color w:val="000000"/>
          <w:sz w:val="24"/>
          <w:szCs w:val="24"/>
        </w:rPr>
        <w:t>口人，现长期居住在</w:t>
      </w:r>
      <w:r>
        <w:rPr>
          <w:rFonts w:hint="eastAsia" w:ascii="方正仿宋_GBK" w:hAnsi="方正仿宋_GBK" w:eastAsia="方正仿宋_GBK" w:cs="方正仿宋_GBK"/>
          <w:color w:val="000000"/>
          <w:sz w:val="24"/>
          <w:szCs w:val="24"/>
          <w:u w:val="single"/>
        </w:rPr>
        <w:t xml:space="preserve">      </w:t>
      </w:r>
      <w:r>
        <w:rPr>
          <w:rFonts w:hint="eastAsia" w:ascii="方正仿宋_GBK" w:hAnsi="方正仿宋_GBK" w:eastAsia="方正仿宋_GBK" w:cs="方正仿宋_GBK"/>
          <w:color w:val="000000"/>
          <w:sz w:val="24"/>
          <w:szCs w:val="24"/>
        </w:rPr>
        <w:t>社区（村）</w:t>
      </w:r>
      <w:r>
        <w:rPr>
          <w:rFonts w:hint="eastAsia" w:ascii="方正仿宋_GBK" w:hAnsi="方正仿宋_GBK" w:eastAsia="方正仿宋_GBK" w:cs="方正仿宋_GBK"/>
          <w:color w:val="000000"/>
          <w:sz w:val="24"/>
          <w:szCs w:val="24"/>
          <w:u w:val="single"/>
        </w:rPr>
        <w:t xml:space="preserve">           </w:t>
      </w:r>
    </w:p>
    <w:p w14:paraId="45202840">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u w:val="single"/>
        </w:rPr>
      </w:pPr>
      <w:r>
        <w:rPr>
          <w:rFonts w:hint="eastAsia" w:ascii="方正仿宋_GBK" w:hAnsi="方正仿宋_GBK" w:eastAsia="方正仿宋_GBK" w:cs="方正仿宋_GBK"/>
          <w:color w:val="000000"/>
          <w:sz w:val="24"/>
          <w:szCs w:val="24"/>
          <w:u w:val="single"/>
        </w:rPr>
        <w:t xml:space="preserve">                                                    </w:t>
      </w:r>
    </w:p>
    <w:p w14:paraId="0302A832">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u w:val="single"/>
        </w:rPr>
      </w:pPr>
      <w:r>
        <w:rPr>
          <w:rFonts w:hint="eastAsia" w:ascii="方正仿宋_GBK" w:hAnsi="方正仿宋_GBK" w:eastAsia="方正仿宋_GBK" w:cs="方正仿宋_GBK"/>
          <w:color w:val="000000"/>
          <w:sz w:val="24"/>
          <w:szCs w:val="24"/>
          <w:u w:val="single"/>
        </w:rPr>
        <w:t xml:space="preserve">                                                    </w:t>
      </w:r>
    </w:p>
    <w:p w14:paraId="5161B028">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u w:val="single"/>
        </w:rPr>
      </w:pPr>
      <w:r>
        <w:rPr>
          <w:rFonts w:hint="eastAsia" w:ascii="方正仿宋_GBK" w:hAnsi="方正仿宋_GBK" w:eastAsia="方正仿宋_GBK" w:cs="方正仿宋_GBK"/>
          <w:color w:val="000000"/>
          <w:sz w:val="24"/>
          <w:szCs w:val="24"/>
          <w:u w:val="single"/>
        </w:rPr>
        <w:t xml:space="preserve">                                                    </w:t>
      </w:r>
    </w:p>
    <w:p w14:paraId="59BCD0EF">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u w:val="single"/>
        </w:rPr>
      </w:pPr>
      <w:r>
        <w:rPr>
          <w:rFonts w:hint="eastAsia" w:ascii="方正仿宋_GBK" w:hAnsi="方正仿宋_GBK" w:eastAsia="方正仿宋_GBK" w:cs="方正仿宋_GBK"/>
          <w:color w:val="000000"/>
          <w:sz w:val="24"/>
          <w:szCs w:val="24"/>
          <w:u w:val="single"/>
        </w:rPr>
        <w:t xml:space="preserve">                                                    </w:t>
      </w:r>
    </w:p>
    <w:p w14:paraId="699B4D53">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鉴于以上情况，请评估中心对本人身体健康能力评估，并请村（居）、镇（街道）调查核实后上报区民政局，给予集中护理，解决目前困难生活状况。</w:t>
      </w:r>
    </w:p>
    <w:p w14:paraId="33B3FCDC">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特此申请，请予以批准为感！</w:t>
      </w:r>
    </w:p>
    <w:p w14:paraId="4E102958">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p>
    <w:p w14:paraId="58EA498A">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p>
    <w:p w14:paraId="2B7D0F77">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p>
    <w:p w14:paraId="5CBAE705">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申 请 人：</w:t>
      </w:r>
    </w:p>
    <w:p w14:paraId="7D862701">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年   月   日</w:t>
      </w:r>
    </w:p>
    <w:p w14:paraId="39EE41D6">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p>
    <w:p w14:paraId="04E5DF4D">
      <w:pPr>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br w:type="page"/>
      </w:r>
    </w:p>
    <w:p w14:paraId="294E55C5">
      <w:pPr>
        <w:pageBreakBefore w:val="0"/>
        <w:kinsoku/>
        <w:wordWrap/>
        <w:overflowPunct/>
        <w:topLinePunct w:val="0"/>
        <w:autoSpaceDE/>
        <w:autoSpaceDN/>
        <w:bidi w:val="0"/>
        <w:adjustRightInd/>
        <w:snapToGrid/>
        <w:spacing w:line="500" w:lineRule="exact"/>
        <w:ind w:firstLine="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附件2:</w:t>
      </w:r>
    </w:p>
    <w:p w14:paraId="7001DA92">
      <w:pPr>
        <w:pageBreakBefore w:val="0"/>
        <w:kinsoku/>
        <w:wordWrap/>
        <w:overflowPunct/>
        <w:topLinePunct w:val="0"/>
        <w:autoSpaceDE/>
        <w:autoSpaceDN/>
        <w:bidi w:val="0"/>
        <w:adjustRightInd/>
        <w:snapToGrid/>
        <w:spacing w:before="156" w:after="156" w:line="500" w:lineRule="exact"/>
        <w:ind w:firstLine="0"/>
        <w:jc w:val="center"/>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宿城区失能特困人员集中护理审批表</w:t>
      </w:r>
    </w:p>
    <w:p w14:paraId="1DA38B38">
      <w:pPr>
        <w:pageBreakBefore w:val="0"/>
        <w:kinsoku/>
        <w:wordWrap/>
        <w:overflowPunct/>
        <w:topLinePunct w:val="0"/>
        <w:autoSpaceDE/>
        <w:autoSpaceDN/>
        <w:bidi w:val="0"/>
        <w:adjustRightInd/>
        <w:snapToGrid/>
        <w:spacing w:before="156" w:after="156" w:line="500" w:lineRule="exact"/>
        <w:ind w:firstLine="0"/>
        <w:jc w:val="center"/>
        <w:textAlignment w:val="auto"/>
        <w:rPr>
          <w:rFonts w:hint="eastAsia" w:ascii="方正仿宋_GBK" w:hAnsi="方正仿宋_GBK" w:eastAsia="方正仿宋_GBK" w:cs="方正仿宋_GBK"/>
          <w:color w:val="000000"/>
          <w:sz w:val="24"/>
          <w:szCs w:val="24"/>
        </w:rPr>
      </w:pPr>
    </w:p>
    <w:p w14:paraId="2330C70F">
      <w:pPr>
        <w:pageBreakBefore w:val="0"/>
        <w:kinsoku/>
        <w:wordWrap/>
        <w:overflowPunct/>
        <w:topLinePunct w:val="0"/>
        <w:autoSpaceDE/>
        <w:autoSpaceDN/>
        <w:bidi w:val="0"/>
        <w:adjustRightInd/>
        <w:snapToGrid/>
        <w:spacing w:before="156" w:after="156" w:line="500" w:lineRule="exact"/>
        <w:ind w:firstLine="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u w:val="single"/>
        </w:rPr>
        <w:t xml:space="preserve">     </w:t>
      </w:r>
      <w:r>
        <w:rPr>
          <w:rFonts w:hint="eastAsia" w:ascii="方正仿宋_GBK" w:hAnsi="方正仿宋_GBK" w:eastAsia="方正仿宋_GBK" w:cs="方正仿宋_GBK"/>
          <w:color w:val="000000"/>
          <w:sz w:val="24"/>
          <w:szCs w:val="24"/>
        </w:rPr>
        <w:t>镇（街道）</w:t>
      </w:r>
      <w:r>
        <w:rPr>
          <w:rFonts w:hint="eastAsia" w:ascii="方正仿宋_GBK" w:hAnsi="方正仿宋_GBK" w:eastAsia="方正仿宋_GBK" w:cs="方正仿宋_GBK"/>
          <w:color w:val="000000"/>
          <w:sz w:val="24"/>
          <w:szCs w:val="24"/>
          <w:u w:val="single"/>
        </w:rPr>
        <w:t xml:space="preserve">     </w:t>
      </w:r>
      <w:r>
        <w:rPr>
          <w:rFonts w:hint="eastAsia" w:ascii="方正仿宋_GBK" w:hAnsi="方正仿宋_GBK" w:eastAsia="方正仿宋_GBK" w:cs="方正仿宋_GBK"/>
          <w:color w:val="000000"/>
          <w:sz w:val="24"/>
          <w:szCs w:val="24"/>
        </w:rPr>
        <w:t>村（居）</w:t>
      </w:r>
    </w:p>
    <w:tbl>
      <w:tblPr>
        <w:tblStyle w:val="3"/>
        <w:tblW w:w="88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2"/>
        <w:gridCol w:w="2490"/>
        <w:gridCol w:w="1365"/>
        <w:gridCol w:w="1831"/>
        <w:gridCol w:w="1698"/>
      </w:tblGrid>
      <w:tr w14:paraId="3DA85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442" w:type="dxa"/>
            <w:noWrap w:val="0"/>
            <w:vAlign w:val="top"/>
          </w:tcPr>
          <w:p w14:paraId="6D649710">
            <w:pPr>
              <w:spacing w:line="576"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姓    名</w:t>
            </w:r>
          </w:p>
        </w:tc>
        <w:tc>
          <w:tcPr>
            <w:tcW w:w="2490" w:type="dxa"/>
            <w:noWrap w:val="0"/>
            <w:vAlign w:val="top"/>
          </w:tcPr>
          <w:p w14:paraId="6E95BEBE">
            <w:pPr>
              <w:spacing w:line="576" w:lineRule="exact"/>
              <w:rPr>
                <w:rFonts w:hint="eastAsia" w:ascii="方正仿宋_GBK" w:hAnsi="方正仿宋_GBK" w:eastAsia="方正仿宋_GBK" w:cs="方正仿宋_GBK"/>
                <w:sz w:val="24"/>
                <w:szCs w:val="24"/>
              </w:rPr>
            </w:pPr>
          </w:p>
        </w:tc>
        <w:tc>
          <w:tcPr>
            <w:tcW w:w="1365" w:type="dxa"/>
            <w:noWrap w:val="0"/>
            <w:vAlign w:val="top"/>
          </w:tcPr>
          <w:p w14:paraId="11726E1C">
            <w:pPr>
              <w:spacing w:line="576" w:lineRule="exac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性  </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别</w:t>
            </w:r>
          </w:p>
        </w:tc>
        <w:tc>
          <w:tcPr>
            <w:tcW w:w="1831" w:type="dxa"/>
            <w:noWrap w:val="0"/>
            <w:vAlign w:val="top"/>
          </w:tcPr>
          <w:p w14:paraId="44B17FD9">
            <w:pPr>
              <w:spacing w:line="576" w:lineRule="exact"/>
              <w:rPr>
                <w:rFonts w:hint="eastAsia" w:ascii="方正仿宋_GBK" w:hAnsi="方正仿宋_GBK" w:eastAsia="方正仿宋_GBK" w:cs="方正仿宋_GBK"/>
                <w:sz w:val="24"/>
                <w:szCs w:val="24"/>
              </w:rPr>
            </w:pPr>
          </w:p>
        </w:tc>
        <w:tc>
          <w:tcPr>
            <w:tcW w:w="1698" w:type="dxa"/>
            <w:vMerge w:val="restart"/>
            <w:noWrap w:val="0"/>
            <w:vAlign w:val="center"/>
          </w:tcPr>
          <w:p w14:paraId="68E72196">
            <w:pPr>
              <w:spacing w:line="576"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照</w:t>
            </w:r>
          </w:p>
          <w:p w14:paraId="6EE5858B">
            <w:pPr>
              <w:spacing w:line="576"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片</w:t>
            </w:r>
          </w:p>
        </w:tc>
      </w:tr>
      <w:tr w14:paraId="2CDD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42" w:type="dxa"/>
            <w:noWrap w:val="0"/>
            <w:vAlign w:val="top"/>
          </w:tcPr>
          <w:p w14:paraId="14F540DA">
            <w:pPr>
              <w:spacing w:line="576"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户    籍</w:t>
            </w:r>
          </w:p>
        </w:tc>
        <w:tc>
          <w:tcPr>
            <w:tcW w:w="2490" w:type="dxa"/>
            <w:noWrap w:val="0"/>
            <w:vAlign w:val="top"/>
          </w:tcPr>
          <w:p w14:paraId="5B94327D">
            <w:pPr>
              <w:spacing w:line="576" w:lineRule="exact"/>
              <w:rPr>
                <w:rFonts w:hint="eastAsia" w:ascii="方正仿宋_GBK" w:hAnsi="方正仿宋_GBK" w:eastAsia="方正仿宋_GBK" w:cs="方正仿宋_GBK"/>
                <w:sz w:val="24"/>
                <w:szCs w:val="24"/>
              </w:rPr>
            </w:pPr>
          </w:p>
        </w:tc>
        <w:tc>
          <w:tcPr>
            <w:tcW w:w="1365" w:type="dxa"/>
            <w:noWrap w:val="0"/>
            <w:vAlign w:val="top"/>
          </w:tcPr>
          <w:p w14:paraId="0281C1FF">
            <w:pPr>
              <w:spacing w:line="576" w:lineRule="exac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失能类别</w:t>
            </w:r>
          </w:p>
        </w:tc>
        <w:tc>
          <w:tcPr>
            <w:tcW w:w="1831" w:type="dxa"/>
            <w:noWrap w:val="0"/>
            <w:vAlign w:val="top"/>
          </w:tcPr>
          <w:p w14:paraId="0A01AD54">
            <w:pPr>
              <w:spacing w:line="576" w:lineRule="exact"/>
              <w:rPr>
                <w:rFonts w:hint="eastAsia" w:ascii="方正仿宋_GBK" w:hAnsi="方正仿宋_GBK" w:eastAsia="方正仿宋_GBK" w:cs="方正仿宋_GBK"/>
                <w:sz w:val="24"/>
                <w:szCs w:val="24"/>
              </w:rPr>
            </w:pPr>
          </w:p>
        </w:tc>
        <w:tc>
          <w:tcPr>
            <w:tcW w:w="1698" w:type="dxa"/>
            <w:vMerge w:val="continue"/>
            <w:noWrap w:val="0"/>
            <w:vAlign w:val="top"/>
          </w:tcPr>
          <w:p w14:paraId="2A66133B">
            <w:pPr>
              <w:spacing w:line="576" w:lineRule="exact"/>
              <w:rPr>
                <w:rFonts w:hint="eastAsia" w:ascii="方正仿宋_GBK" w:hAnsi="方正仿宋_GBK" w:eastAsia="方正仿宋_GBK" w:cs="方正仿宋_GBK"/>
                <w:sz w:val="24"/>
                <w:szCs w:val="24"/>
              </w:rPr>
            </w:pPr>
          </w:p>
        </w:tc>
      </w:tr>
      <w:tr w14:paraId="224E7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442" w:type="dxa"/>
            <w:noWrap w:val="0"/>
            <w:vAlign w:val="top"/>
          </w:tcPr>
          <w:p w14:paraId="438CEE3A">
            <w:pPr>
              <w:spacing w:line="576"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身份证号</w:t>
            </w:r>
          </w:p>
        </w:tc>
        <w:tc>
          <w:tcPr>
            <w:tcW w:w="5686" w:type="dxa"/>
            <w:gridSpan w:val="3"/>
            <w:noWrap w:val="0"/>
            <w:vAlign w:val="top"/>
          </w:tcPr>
          <w:p w14:paraId="3F9ADDD0">
            <w:pPr>
              <w:spacing w:line="576" w:lineRule="exact"/>
              <w:rPr>
                <w:rFonts w:hint="eastAsia" w:ascii="方正仿宋_GBK" w:hAnsi="方正仿宋_GBK" w:eastAsia="方正仿宋_GBK" w:cs="方正仿宋_GBK"/>
                <w:sz w:val="24"/>
                <w:szCs w:val="24"/>
              </w:rPr>
            </w:pPr>
          </w:p>
        </w:tc>
        <w:tc>
          <w:tcPr>
            <w:tcW w:w="1698" w:type="dxa"/>
            <w:vMerge w:val="continue"/>
            <w:noWrap w:val="0"/>
            <w:vAlign w:val="top"/>
          </w:tcPr>
          <w:p w14:paraId="0426D4E8">
            <w:pPr>
              <w:spacing w:line="576" w:lineRule="exact"/>
              <w:rPr>
                <w:rFonts w:hint="eastAsia" w:ascii="方正仿宋_GBK" w:hAnsi="方正仿宋_GBK" w:eastAsia="方正仿宋_GBK" w:cs="方正仿宋_GBK"/>
                <w:sz w:val="24"/>
                <w:szCs w:val="24"/>
              </w:rPr>
            </w:pPr>
          </w:p>
        </w:tc>
      </w:tr>
      <w:tr w14:paraId="78E50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442" w:type="dxa"/>
            <w:noWrap w:val="0"/>
            <w:vAlign w:val="top"/>
          </w:tcPr>
          <w:p w14:paraId="1AF140CA">
            <w:pPr>
              <w:spacing w:line="576"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家庭住址</w:t>
            </w:r>
          </w:p>
        </w:tc>
        <w:tc>
          <w:tcPr>
            <w:tcW w:w="7384" w:type="dxa"/>
            <w:gridSpan w:val="4"/>
            <w:noWrap w:val="0"/>
            <w:vAlign w:val="top"/>
          </w:tcPr>
          <w:p w14:paraId="30A7EA70">
            <w:pPr>
              <w:spacing w:line="576" w:lineRule="exact"/>
              <w:rPr>
                <w:rFonts w:hint="eastAsia" w:ascii="方正仿宋_GBK" w:hAnsi="方正仿宋_GBK" w:eastAsia="方正仿宋_GBK" w:cs="方正仿宋_GBK"/>
                <w:sz w:val="24"/>
                <w:szCs w:val="24"/>
              </w:rPr>
            </w:pPr>
          </w:p>
        </w:tc>
      </w:tr>
      <w:tr w14:paraId="11769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1442" w:type="dxa"/>
            <w:noWrap w:val="0"/>
            <w:vAlign w:val="center"/>
          </w:tcPr>
          <w:p w14:paraId="7F00A205">
            <w:pPr>
              <w:spacing w:line="576"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村（居）委会初审意见</w:t>
            </w:r>
          </w:p>
        </w:tc>
        <w:tc>
          <w:tcPr>
            <w:tcW w:w="7384" w:type="dxa"/>
            <w:gridSpan w:val="4"/>
            <w:noWrap w:val="0"/>
            <w:vAlign w:val="top"/>
          </w:tcPr>
          <w:p w14:paraId="773ED884">
            <w:pPr>
              <w:spacing w:line="576" w:lineRule="exact"/>
              <w:ind w:firstLine="960" w:firstLineChars="400"/>
              <w:rPr>
                <w:rFonts w:hint="eastAsia" w:ascii="方正仿宋_GBK" w:hAnsi="方正仿宋_GBK" w:eastAsia="方正仿宋_GBK" w:cs="方正仿宋_GBK"/>
                <w:sz w:val="24"/>
                <w:szCs w:val="24"/>
              </w:rPr>
            </w:pPr>
          </w:p>
          <w:p w14:paraId="6D4DA306">
            <w:pPr>
              <w:spacing w:line="576" w:lineRule="exact"/>
              <w:ind w:firstLine="2640" w:firstLineChars="11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经办人：</w:t>
            </w:r>
          </w:p>
          <w:p w14:paraId="2E9F703A">
            <w:pPr>
              <w:spacing w:line="576" w:lineRule="exact"/>
              <w:ind w:firstLine="2640" w:firstLineChars="11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审核人：</w:t>
            </w:r>
          </w:p>
          <w:p w14:paraId="3B2DEBD1">
            <w:pPr>
              <w:spacing w:line="576" w:lineRule="exact"/>
              <w:ind w:firstLine="960" w:firstLineChars="4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年   月   日（盖章）</w:t>
            </w:r>
          </w:p>
        </w:tc>
      </w:tr>
      <w:tr w14:paraId="7CCD0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trPr>
        <w:tc>
          <w:tcPr>
            <w:tcW w:w="1442" w:type="dxa"/>
            <w:noWrap w:val="0"/>
            <w:vAlign w:val="center"/>
          </w:tcPr>
          <w:p w14:paraId="73EBEB13">
            <w:pPr>
              <w:spacing w:line="576"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镇（街道）</w:t>
            </w:r>
          </w:p>
          <w:p w14:paraId="670EE5B1">
            <w:pPr>
              <w:spacing w:line="576"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审核意见</w:t>
            </w:r>
          </w:p>
        </w:tc>
        <w:tc>
          <w:tcPr>
            <w:tcW w:w="7384" w:type="dxa"/>
            <w:gridSpan w:val="4"/>
            <w:noWrap w:val="0"/>
            <w:vAlign w:val="top"/>
          </w:tcPr>
          <w:p w14:paraId="75BE7F4D">
            <w:pPr>
              <w:spacing w:line="576" w:lineRule="exact"/>
              <w:rPr>
                <w:rFonts w:hint="eastAsia" w:ascii="方正仿宋_GBK" w:hAnsi="方正仿宋_GBK" w:eastAsia="方正仿宋_GBK" w:cs="方正仿宋_GBK"/>
                <w:sz w:val="24"/>
                <w:szCs w:val="24"/>
              </w:rPr>
            </w:pPr>
          </w:p>
          <w:p w14:paraId="4A8180BD">
            <w:pPr>
              <w:spacing w:line="576" w:lineRule="exact"/>
              <w:ind w:firstLine="2640" w:firstLineChars="11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eastAsia="zh-CN"/>
              </w:rPr>
              <w:t>负责人</w:t>
            </w:r>
            <w:r>
              <w:rPr>
                <w:rFonts w:hint="eastAsia" w:ascii="方正仿宋_GBK" w:hAnsi="方正仿宋_GBK" w:eastAsia="方正仿宋_GBK" w:cs="方正仿宋_GBK"/>
                <w:sz w:val="24"/>
                <w:szCs w:val="24"/>
              </w:rPr>
              <w:t>：</w:t>
            </w:r>
          </w:p>
          <w:p w14:paraId="4564E623">
            <w:pPr>
              <w:spacing w:line="576" w:lineRule="exact"/>
              <w:ind w:firstLine="2640" w:firstLineChars="11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eastAsia="zh-CN"/>
              </w:rPr>
              <w:t>分管领导</w:t>
            </w:r>
            <w:r>
              <w:rPr>
                <w:rFonts w:hint="eastAsia" w:ascii="方正仿宋_GBK" w:hAnsi="方正仿宋_GBK" w:eastAsia="方正仿宋_GBK" w:cs="方正仿宋_GBK"/>
                <w:sz w:val="24"/>
                <w:szCs w:val="24"/>
              </w:rPr>
              <w:t>：</w:t>
            </w:r>
          </w:p>
          <w:p w14:paraId="5D3C608D">
            <w:pPr>
              <w:spacing w:line="576" w:lineRule="exac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年   月   日（盖章）</w:t>
            </w:r>
          </w:p>
        </w:tc>
      </w:tr>
      <w:tr w14:paraId="26AA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9" w:hRule="atLeast"/>
        </w:trPr>
        <w:tc>
          <w:tcPr>
            <w:tcW w:w="1442" w:type="dxa"/>
            <w:noWrap w:val="0"/>
            <w:vAlign w:val="center"/>
          </w:tcPr>
          <w:p w14:paraId="215A0238">
            <w:pPr>
              <w:spacing w:line="576" w:lineRule="exact"/>
              <w:jc w:val="center"/>
              <w:rPr>
                <w:rFonts w:hint="eastAsia" w:ascii="方正仿宋_GBK" w:hAnsi="方正仿宋_GBK" w:eastAsia="方正仿宋_GBK" w:cs="方正仿宋_GBK"/>
                <w:spacing w:val="-20"/>
                <w:sz w:val="24"/>
                <w:szCs w:val="24"/>
              </w:rPr>
            </w:pPr>
            <w:r>
              <w:rPr>
                <w:rFonts w:hint="eastAsia" w:ascii="方正仿宋_GBK" w:hAnsi="方正仿宋_GBK" w:eastAsia="方正仿宋_GBK" w:cs="方正仿宋_GBK"/>
                <w:sz w:val="24"/>
                <w:szCs w:val="24"/>
              </w:rPr>
              <w:t>区</w:t>
            </w:r>
            <w:r>
              <w:rPr>
                <w:rFonts w:hint="eastAsia" w:ascii="方正仿宋_GBK" w:hAnsi="方正仿宋_GBK" w:eastAsia="方正仿宋_GBK" w:cs="方正仿宋_GBK"/>
                <w:spacing w:val="-20"/>
                <w:sz w:val="24"/>
                <w:szCs w:val="24"/>
              </w:rPr>
              <w:t>民政局</w:t>
            </w:r>
          </w:p>
          <w:p w14:paraId="26431190">
            <w:pPr>
              <w:spacing w:line="576" w:lineRule="exact"/>
              <w:jc w:val="center"/>
              <w:rPr>
                <w:rFonts w:hint="eastAsia" w:ascii="方正仿宋_GBK" w:hAnsi="方正仿宋_GBK" w:eastAsia="方正仿宋_GBK" w:cs="方正仿宋_GBK"/>
                <w:spacing w:val="-20"/>
                <w:sz w:val="24"/>
                <w:szCs w:val="24"/>
              </w:rPr>
            </w:pPr>
            <w:r>
              <w:rPr>
                <w:rFonts w:hint="eastAsia" w:ascii="方正仿宋_GBK" w:hAnsi="方正仿宋_GBK" w:eastAsia="方正仿宋_GBK" w:cs="方正仿宋_GBK"/>
                <w:spacing w:val="-20"/>
                <w:sz w:val="24"/>
                <w:szCs w:val="24"/>
              </w:rPr>
              <w:t>审批意见</w:t>
            </w:r>
          </w:p>
        </w:tc>
        <w:tc>
          <w:tcPr>
            <w:tcW w:w="7384" w:type="dxa"/>
            <w:gridSpan w:val="4"/>
            <w:noWrap w:val="0"/>
            <w:vAlign w:val="top"/>
          </w:tcPr>
          <w:p w14:paraId="090039D9">
            <w:pPr>
              <w:spacing w:line="576" w:lineRule="exact"/>
              <w:rPr>
                <w:rFonts w:hint="eastAsia" w:ascii="方正仿宋_GBK" w:hAnsi="方正仿宋_GBK" w:eastAsia="方正仿宋_GBK" w:cs="方正仿宋_GBK"/>
                <w:sz w:val="24"/>
                <w:szCs w:val="24"/>
                <w:lang w:val="en-US" w:eastAsia="zh-CN"/>
              </w:rPr>
            </w:pPr>
          </w:p>
          <w:p w14:paraId="3F2BDC3B">
            <w:pPr>
              <w:spacing w:line="576" w:lineRule="exact"/>
              <w:ind w:firstLine="2640" w:firstLineChars="11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eastAsia="zh-CN"/>
              </w:rPr>
              <w:t>负责</w:t>
            </w:r>
            <w:r>
              <w:rPr>
                <w:rFonts w:hint="eastAsia" w:ascii="方正仿宋_GBK" w:hAnsi="方正仿宋_GBK" w:eastAsia="方正仿宋_GBK" w:cs="方正仿宋_GBK"/>
                <w:sz w:val="24"/>
                <w:szCs w:val="24"/>
              </w:rPr>
              <w:t>人：</w:t>
            </w:r>
          </w:p>
          <w:p w14:paraId="11D3AA04">
            <w:pPr>
              <w:spacing w:line="576" w:lineRule="exact"/>
              <w:ind w:firstLine="2640" w:firstLineChars="11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审批人：</w:t>
            </w:r>
          </w:p>
          <w:p w14:paraId="5454241C">
            <w:pPr>
              <w:spacing w:line="576" w:lineRule="exact"/>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t xml:space="preserve">                    </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年   月   日（盖章）</w:t>
            </w:r>
          </w:p>
        </w:tc>
      </w:tr>
    </w:tbl>
    <w:p w14:paraId="2B159841">
      <w:pPr>
        <w:pageBreakBefore w:val="0"/>
        <w:kinsoku/>
        <w:wordWrap/>
        <w:overflowPunct/>
        <w:topLinePunct w:val="0"/>
        <w:autoSpaceDE/>
        <w:autoSpaceDN/>
        <w:bidi w:val="0"/>
        <w:adjustRightInd/>
        <w:snapToGrid/>
        <w:spacing w:line="500" w:lineRule="exact"/>
        <w:ind w:firstLine="0"/>
        <w:textAlignment w:val="auto"/>
        <w:rPr>
          <w:rFonts w:hint="eastAsia" w:ascii="方正仿宋_GBK" w:hAnsi="方正仿宋_GBK" w:eastAsia="方正仿宋_GBK" w:cs="方正仿宋_GBK"/>
          <w:color w:val="000000"/>
          <w:spacing w:val="-10"/>
          <w:sz w:val="24"/>
          <w:szCs w:val="24"/>
        </w:rPr>
      </w:pPr>
      <w:r>
        <w:rPr>
          <w:rFonts w:hint="eastAsia" w:ascii="方正仿宋_GBK" w:hAnsi="方正仿宋_GBK" w:eastAsia="方正仿宋_GBK" w:cs="方正仿宋_GBK"/>
          <w:color w:val="000000"/>
          <w:spacing w:val="-10"/>
          <w:sz w:val="24"/>
          <w:szCs w:val="24"/>
        </w:rPr>
        <w:t>备注：此表一式两份，区民政局、镇（街道）民政办各留存一份。</w:t>
      </w:r>
    </w:p>
    <w:p w14:paraId="09E7A11F">
      <w:pPr>
        <w:pageBreakBefore w:val="0"/>
        <w:kinsoku/>
        <w:wordWrap/>
        <w:overflowPunct/>
        <w:topLinePunct w:val="0"/>
        <w:autoSpaceDE/>
        <w:autoSpaceDN/>
        <w:bidi w:val="0"/>
        <w:adjustRightInd/>
        <w:snapToGrid/>
        <w:spacing w:line="500" w:lineRule="exact"/>
        <w:ind w:firstLine="0"/>
        <w:textAlignment w:val="auto"/>
        <w:rPr>
          <w:rFonts w:hint="eastAsia" w:ascii="方正仿宋_GBK" w:hAnsi="方正仿宋_GBK" w:eastAsia="方正仿宋_GBK" w:cs="方正仿宋_GBK"/>
          <w:color w:val="000000"/>
          <w:sz w:val="24"/>
          <w:szCs w:val="24"/>
        </w:rPr>
      </w:pPr>
    </w:p>
    <w:p w14:paraId="4C069F85">
      <w:pPr>
        <w:pageBreakBefore w:val="0"/>
        <w:kinsoku/>
        <w:wordWrap/>
        <w:overflowPunct/>
        <w:topLinePunct w:val="0"/>
        <w:autoSpaceDE/>
        <w:autoSpaceDN/>
        <w:bidi w:val="0"/>
        <w:adjustRightInd/>
        <w:snapToGrid/>
        <w:spacing w:line="500" w:lineRule="exact"/>
        <w:ind w:firstLine="0"/>
        <w:textAlignment w:val="auto"/>
        <w:rPr>
          <w:rFonts w:hint="eastAsia" w:ascii="方正仿宋_GBK" w:hAnsi="方正仿宋_GBK" w:eastAsia="方正仿宋_GBK" w:cs="方正仿宋_GBK"/>
          <w:color w:val="000000"/>
          <w:sz w:val="24"/>
          <w:szCs w:val="24"/>
        </w:rPr>
      </w:pPr>
    </w:p>
    <w:p w14:paraId="17D46D4B">
      <w:pPr>
        <w:pageBreakBefore w:val="0"/>
        <w:kinsoku/>
        <w:wordWrap/>
        <w:overflowPunct/>
        <w:topLinePunct w:val="0"/>
        <w:autoSpaceDE/>
        <w:autoSpaceDN/>
        <w:bidi w:val="0"/>
        <w:adjustRightInd/>
        <w:snapToGrid/>
        <w:spacing w:line="500" w:lineRule="exact"/>
        <w:ind w:firstLine="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附件3:</w:t>
      </w:r>
    </w:p>
    <w:p w14:paraId="211D8414">
      <w:pPr>
        <w:pageBreakBefore w:val="0"/>
        <w:kinsoku/>
        <w:wordWrap/>
        <w:overflowPunct/>
        <w:topLinePunct w:val="0"/>
        <w:autoSpaceDE/>
        <w:autoSpaceDN/>
        <w:bidi w:val="0"/>
        <w:adjustRightInd/>
        <w:snapToGrid/>
        <w:spacing w:line="500" w:lineRule="exact"/>
        <w:ind w:firstLine="0"/>
        <w:jc w:val="center"/>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宿城区失能特困人员集中护理服务协议书</w:t>
      </w:r>
    </w:p>
    <w:p w14:paraId="6AC89A03">
      <w:pPr>
        <w:pageBreakBefore w:val="0"/>
        <w:kinsoku/>
        <w:wordWrap/>
        <w:overflowPunct/>
        <w:topLinePunct w:val="0"/>
        <w:autoSpaceDE/>
        <w:autoSpaceDN/>
        <w:bidi w:val="0"/>
        <w:adjustRightInd/>
        <w:snapToGrid/>
        <w:spacing w:line="500" w:lineRule="exact"/>
        <w:ind w:firstLine="0"/>
        <w:jc w:val="center"/>
        <w:textAlignment w:val="auto"/>
        <w:rPr>
          <w:rFonts w:hint="eastAsia" w:ascii="方正仿宋_GBK" w:hAnsi="方正仿宋_GBK" w:eastAsia="方正仿宋_GBK" w:cs="方正仿宋_GBK"/>
          <w:b/>
          <w:color w:val="000000"/>
          <w:sz w:val="24"/>
          <w:szCs w:val="24"/>
        </w:rPr>
      </w:pPr>
    </w:p>
    <w:p w14:paraId="1C7BEA1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甲方：</w:t>
      </w:r>
      <w:r>
        <w:rPr>
          <w:rFonts w:hint="eastAsia" w:ascii="方正仿宋_GBK" w:hAnsi="方正仿宋_GBK" w:eastAsia="方正仿宋_GBK" w:cs="方正仿宋_GBK"/>
          <w:color w:val="000000"/>
          <w:sz w:val="24"/>
          <w:szCs w:val="24"/>
          <w:u w:val="single"/>
        </w:rPr>
        <w:t xml:space="preserve">           </w:t>
      </w:r>
    </w:p>
    <w:p w14:paraId="11D8B2F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乙方：</w:t>
      </w:r>
      <w:r>
        <w:rPr>
          <w:rFonts w:hint="eastAsia" w:ascii="方正仿宋_GBK" w:hAnsi="方正仿宋_GBK" w:eastAsia="方正仿宋_GBK" w:cs="方正仿宋_GBK"/>
          <w:color w:val="000000"/>
          <w:sz w:val="24"/>
          <w:szCs w:val="24"/>
          <w:u w:val="single"/>
        </w:rPr>
        <w:t xml:space="preserve">           </w:t>
      </w:r>
      <w:r>
        <w:rPr>
          <w:rFonts w:hint="eastAsia" w:ascii="方正仿宋_GBK" w:hAnsi="方正仿宋_GBK" w:eastAsia="方正仿宋_GBK" w:cs="方正仿宋_GBK"/>
          <w:color w:val="000000"/>
          <w:sz w:val="24"/>
          <w:szCs w:val="24"/>
        </w:rPr>
        <w:t>乡镇</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街道）</w:t>
      </w:r>
    </w:p>
    <w:p w14:paraId="64098BC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丙方：</w:t>
      </w:r>
      <w:r>
        <w:rPr>
          <w:rFonts w:hint="eastAsia" w:ascii="方正仿宋_GBK" w:hAnsi="方正仿宋_GBK" w:eastAsia="方正仿宋_GBK" w:cs="方正仿宋_GBK"/>
          <w:color w:val="000000"/>
          <w:sz w:val="24"/>
          <w:szCs w:val="24"/>
          <w:u w:val="single"/>
        </w:rPr>
        <w:t xml:space="preserve">           </w:t>
      </w:r>
      <w:r>
        <w:rPr>
          <w:rFonts w:hint="eastAsia" w:ascii="方正仿宋_GBK" w:hAnsi="方正仿宋_GBK" w:eastAsia="方正仿宋_GBK" w:cs="方正仿宋_GBK"/>
          <w:color w:val="000000"/>
          <w:sz w:val="24"/>
          <w:szCs w:val="24"/>
        </w:rPr>
        <w:t>（特困供养对象）</w:t>
      </w:r>
    </w:p>
    <w:p w14:paraId="41985EF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根据国务院《农村五保供养工作条例》、《江苏省养老服务条例》和宿迁市人民政府办公室《市政府办公室关于建立失能特困人员集中供养护理制度的意见》文件精神，为切实做好五保供养工作，解决失能特困人员长期照护困难，进一步完善兜底服务，X机构（暂定）被宿城区民政局暂定为失能特困人员集中护理机构，经三方共同商定，达成以下协议：</w:t>
      </w:r>
    </w:p>
    <w:p w14:paraId="3DD5BEF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1、根据丙方申请，乙方安排，区民政局批准，甲方同意接受丙方入院集中供养。</w:t>
      </w:r>
    </w:p>
    <w:p w14:paraId="7A0A778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2、甲方为丙方提供清洁照料、睡眠照料、饮食照料、排泄照料、卧位和安全照料、病情观察、心理安慰、康复照护、临终关怀服务等服务。</w:t>
      </w:r>
    </w:p>
    <w:p w14:paraId="62471CA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3、丙方发生重病或病危时，甲方应妥善护理，如丙方亲属愿意接回护理，可以由其接回护理、乙方负责协调相关事宜。</w:t>
      </w:r>
    </w:p>
    <w:p w14:paraId="3449489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4、丙方必须服从甲方领导，严格遵守老年公寓的各项规章制度，讲究文明礼貌，搞好团结互助。不打人骂人、不得违反纪律，丙方如出现严重违纪现象，甲方有权解除供养服务协议，并不得重新接受入院。</w:t>
      </w:r>
    </w:p>
    <w:p w14:paraId="46CF332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5、丙方必须爱护公共财物，凡甲方配置的财物，丙方必须认真保管使用，无故损坏由丙方按价赔偿。</w:t>
      </w:r>
    </w:p>
    <w:p w14:paraId="408646B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6、丙方要克服依赖思想，尽可能做力所能及的事情，要有健康的心态，遵守国家法律，不向甲方、乙方提过高或不合理的要求。</w:t>
      </w:r>
    </w:p>
    <w:p w14:paraId="556248D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7、乙方应积极配合甲方做好丙方的思想教育工作，如丙方在老年公寓严重违规被甲方退回或丙方要求离院回家散居供养，乙方应负责妥善安置，帮助丙方解决实际困难。</w:t>
      </w:r>
    </w:p>
    <w:p w14:paraId="6DA500A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8、丙方病故后，乙方在接到甲方通知后，24小时内处理好丙方丧葬事宜。</w:t>
      </w:r>
    </w:p>
    <w:p w14:paraId="4C78F4E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9、甲方尽自己的职责为丙方服务，丙方由非甲方责任引起的死亡，丙方亲属不得向甲方提出任何条件。</w:t>
      </w:r>
    </w:p>
    <w:p w14:paraId="4D48D53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10、丙方在甲方服务费用由宿城区民政局按月支付。</w:t>
      </w:r>
    </w:p>
    <w:p w14:paraId="18283EC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11、丙方如患有精神性疾病和传染性疾病由乙方负责接回安排其他方式供养。</w:t>
      </w:r>
    </w:p>
    <w:p w14:paraId="236709D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12、协议一式四份，甲、乙、丙三方各执一份，报区民政局一份，本协议自签订之日起生效，三方必须共同遵守。</w:t>
      </w:r>
    </w:p>
    <w:p w14:paraId="2A70798A">
      <w:pPr>
        <w:pageBreakBefore w:val="0"/>
        <w:kinsoku/>
        <w:wordWrap/>
        <w:overflowPunct/>
        <w:topLinePunct w:val="0"/>
        <w:autoSpaceDE/>
        <w:autoSpaceDN/>
        <w:bidi w:val="0"/>
        <w:adjustRightInd/>
        <w:snapToGrid/>
        <w:spacing w:line="500" w:lineRule="exact"/>
        <w:ind w:firstLine="0"/>
        <w:textAlignment w:val="auto"/>
        <w:rPr>
          <w:rFonts w:hint="eastAsia" w:ascii="方正仿宋_GBK" w:hAnsi="方正仿宋_GBK" w:eastAsia="方正仿宋_GBK" w:cs="方正仿宋_GBK"/>
          <w:color w:val="000000"/>
          <w:sz w:val="24"/>
          <w:szCs w:val="24"/>
        </w:rPr>
      </w:pPr>
    </w:p>
    <w:p w14:paraId="62D9C7E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甲方：（盖章）             代表签字：</w:t>
      </w:r>
    </w:p>
    <w:p w14:paraId="0B58E19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p>
    <w:p w14:paraId="343A1F1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乙方：（盖章）             分管领导：</w:t>
      </w:r>
    </w:p>
    <w:p w14:paraId="582D383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 xml:space="preserve"> </w:t>
      </w:r>
    </w:p>
    <w:p w14:paraId="1D4A683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 xml:space="preserve">丙方：（签字、手印）       </w:t>
      </w:r>
    </w:p>
    <w:p w14:paraId="67D9256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 xml:space="preserve">             年  月  日</w:t>
      </w:r>
    </w:p>
    <w:p w14:paraId="08C55C1E">
      <w:pPr>
        <w:pageBreakBefore w:val="0"/>
        <w:kinsoku/>
        <w:wordWrap/>
        <w:overflowPunct/>
        <w:topLinePunct w:val="0"/>
        <w:autoSpaceDE/>
        <w:autoSpaceDN/>
        <w:bidi w:val="0"/>
        <w:adjustRightInd/>
        <w:snapToGrid/>
        <w:spacing w:line="500" w:lineRule="exact"/>
        <w:ind w:firstLine="0"/>
        <w:jc w:val="center"/>
        <w:textAlignment w:val="auto"/>
        <w:rPr>
          <w:rFonts w:hint="eastAsia" w:ascii="方正仿宋_GBK" w:hAnsi="方正仿宋_GBK" w:eastAsia="方正仿宋_GBK" w:cs="方正仿宋_GBK"/>
          <w:color w:val="000000"/>
          <w:sz w:val="24"/>
          <w:szCs w:val="24"/>
        </w:rPr>
      </w:pPr>
    </w:p>
    <w:p w14:paraId="5636EBA7">
      <w:pPr>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br w:type="page"/>
      </w:r>
    </w:p>
    <w:p w14:paraId="00EBE55B">
      <w:pPr>
        <w:pageBreakBefore w:val="0"/>
        <w:kinsoku/>
        <w:wordWrap/>
        <w:overflowPunct/>
        <w:topLinePunct w:val="0"/>
        <w:autoSpaceDE/>
        <w:autoSpaceDN/>
        <w:bidi w:val="0"/>
        <w:adjustRightInd/>
        <w:snapToGrid/>
        <w:spacing w:line="500" w:lineRule="exact"/>
        <w:ind w:firstLine="0"/>
        <w:textAlignment w:val="auto"/>
        <w:outlineLvl w:val="2"/>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附件3</w:t>
      </w:r>
    </w:p>
    <w:p w14:paraId="3543DA2D">
      <w:pPr>
        <w:pageBreakBefore w:val="0"/>
        <w:kinsoku/>
        <w:wordWrap/>
        <w:overflowPunct/>
        <w:topLinePunct w:val="0"/>
        <w:autoSpaceDE/>
        <w:autoSpaceDN/>
        <w:bidi w:val="0"/>
        <w:adjustRightInd/>
        <w:snapToGrid/>
        <w:spacing w:line="500" w:lineRule="exact"/>
        <w:ind w:firstLine="0"/>
        <w:jc w:val="center"/>
        <w:textAlignment w:val="auto"/>
        <w:rPr>
          <w:rFonts w:hint="eastAsia" w:ascii="方正仿宋_GBK" w:hAnsi="方正仿宋_GBK" w:eastAsia="方正仿宋_GBK" w:cs="方正仿宋_GBK"/>
          <w:color w:val="000000"/>
          <w:sz w:val="24"/>
          <w:szCs w:val="24"/>
        </w:rPr>
      </w:pPr>
    </w:p>
    <w:p w14:paraId="015B047B">
      <w:pPr>
        <w:pageBreakBefore w:val="0"/>
        <w:kinsoku/>
        <w:wordWrap/>
        <w:overflowPunct/>
        <w:topLinePunct w:val="0"/>
        <w:autoSpaceDE/>
        <w:autoSpaceDN/>
        <w:bidi w:val="0"/>
        <w:adjustRightInd/>
        <w:snapToGrid/>
        <w:spacing w:line="500" w:lineRule="exact"/>
        <w:ind w:firstLine="0"/>
        <w:jc w:val="center"/>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b/>
          <w:bCs/>
          <w:color w:val="000000"/>
          <w:sz w:val="24"/>
          <w:szCs w:val="24"/>
        </w:rPr>
        <w:t>宿民发</w:t>
      </w:r>
      <w:r>
        <w:rPr>
          <w:rFonts w:hint="eastAsia" w:ascii="方正仿宋_GBK" w:hAnsi="方正仿宋_GBK" w:eastAsia="方正仿宋_GBK" w:cs="方正仿宋_GBK"/>
          <w:b/>
          <w:bCs/>
          <w:color w:val="000000"/>
          <w:sz w:val="24"/>
          <w:szCs w:val="24"/>
          <w:lang w:eastAsia="zh-CN"/>
        </w:rPr>
        <w:t>〔2021〕</w:t>
      </w:r>
      <w:r>
        <w:rPr>
          <w:rFonts w:hint="eastAsia" w:ascii="方正仿宋_GBK" w:hAnsi="方正仿宋_GBK" w:eastAsia="方正仿宋_GBK" w:cs="方正仿宋_GBK"/>
          <w:b/>
          <w:bCs/>
          <w:color w:val="000000"/>
          <w:sz w:val="24"/>
          <w:szCs w:val="24"/>
        </w:rPr>
        <w:t>41号</w:t>
      </w:r>
    </w:p>
    <w:p w14:paraId="4B2CFC6E">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b/>
          <w:bCs/>
          <w:color w:val="000000"/>
          <w:sz w:val="24"/>
          <w:szCs w:val="24"/>
          <w:u w:val="single"/>
        </w:rPr>
      </w:pPr>
      <w:r>
        <w:rPr>
          <w:rFonts w:hint="eastAsia" w:ascii="方正仿宋_GBK" w:hAnsi="方正仿宋_GBK" w:eastAsia="方正仿宋_GBK" w:cs="方正仿宋_GBK"/>
          <w:b/>
          <w:bCs/>
          <w:color w:val="000000"/>
          <w:sz w:val="24"/>
          <w:szCs w:val="24"/>
          <w:u w:val="single"/>
        </w:rPr>
        <w:t xml:space="preserve">                                                                        </w:t>
      </w:r>
    </w:p>
    <w:p w14:paraId="06A53AC6">
      <w:pPr>
        <w:pageBreakBefore w:val="0"/>
        <w:kinsoku/>
        <w:wordWrap/>
        <w:overflowPunct/>
        <w:topLinePunct w:val="0"/>
        <w:autoSpaceDE/>
        <w:autoSpaceDN/>
        <w:bidi w:val="0"/>
        <w:adjustRightInd/>
        <w:snapToGrid/>
        <w:spacing w:line="500" w:lineRule="exact"/>
        <w:ind w:firstLine="0"/>
        <w:jc w:val="center"/>
        <w:textAlignment w:val="auto"/>
        <w:outlineLvl w:val="9"/>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关于明确集中供养特困人员基本伙食标准的通知</w:t>
      </w:r>
    </w:p>
    <w:p w14:paraId="5222E276">
      <w:pPr>
        <w:pageBreakBefore w:val="0"/>
        <w:kinsoku/>
        <w:wordWrap/>
        <w:overflowPunct/>
        <w:topLinePunct w:val="0"/>
        <w:autoSpaceDE/>
        <w:autoSpaceDN/>
        <w:bidi w:val="0"/>
        <w:adjustRightInd/>
        <w:snapToGrid/>
        <w:spacing w:line="500" w:lineRule="exact"/>
        <w:ind w:firstLine="0"/>
        <w:jc w:val="center"/>
        <w:textAlignment w:val="auto"/>
        <w:outlineLvl w:val="9"/>
        <w:rPr>
          <w:rFonts w:hint="eastAsia" w:ascii="方正仿宋_GBK" w:hAnsi="方正仿宋_GBK" w:eastAsia="方正仿宋_GBK" w:cs="方正仿宋_GBK"/>
          <w:b/>
          <w:bCs/>
          <w:color w:val="000000"/>
          <w:sz w:val="24"/>
          <w:szCs w:val="24"/>
        </w:rPr>
      </w:pPr>
    </w:p>
    <w:p w14:paraId="69AAA14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各县</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区</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民政局，宿迁经济技术开发区、市湖滨新区、市洋河新区政法和社会管理办公室</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社会事业局</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w:t>
      </w:r>
    </w:p>
    <w:p w14:paraId="7EDB7E7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为切实保障集中供养特困人员基本生活，进一步提高供养机构规范管理水平，根据《省政府关于进一步健全特困人员救助供养制度的实施意见》等文件精神，合我市实际，现就集中供养特困人员基本伙食标准提出如下要求</w:t>
      </w:r>
      <w:r>
        <w:rPr>
          <w:rFonts w:hint="eastAsia" w:ascii="方正仿宋_GBK" w:hAnsi="方正仿宋_GBK" w:eastAsia="方正仿宋_GBK" w:cs="方正仿宋_GBK"/>
          <w:color w:val="000000"/>
          <w:sz w:val="24"/>
          <w:szCs w:val="24"/>
          <w:lang w:eastAsia="zh-CN"/>
        </w:rPr>
        <w:t>：</w:t>
      </w:r>
    </w:p>
    <w:p w14:paraId="5AE54CD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一、集中供养特困人员基本伙食是指保障在院集中供养特困对象一日三餐的饭食，包括</w:t>
      </w:r>
      <w:r>
        <w:rPr>
          <w:rFonts w:hint="eastAsia" w:ascii="方正仿宋_GBK" w:hAnsi="方正仿宋_GBK" w:eastAsia="方正仿宋_GBK" w:cs="方正仿宋_GBK"/>
          <w:color w:val="000000"/>
          <w:sz w:val="24"/>
          <w:szCs w:val="24"/>
          <w:lang w:eastAsia="zh-CN"/>
        </w:rPr>
        <w:t>烹饪</w:t>
      </w:r>
      <w:r>
        <w:rPr>
          <w:rFonts w:hint="eastAsia" w:ascii="方正仿宋_GBK" w:hAnsi="方正仿宋_GBK" w:eastAsia="方正仿宋_GBK" w:cs="方正仿宋_GBK"/>
          <w:color w:val="000000"/>
          <w:sz w:val="24"/>
          <w:szCs w:val="24"/>
        </w:rPr>
        <w:t>直接所需的各类食材、米、面、油及调味品等。</w:t>
      </w:r>
    </w:p>
    <w:p w14:paraId="2F9660B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二、特困人员供养机构</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包括公营、民营</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用于供养对象基本伙食的支出不低于特困人员供养标准的50％。各县</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区</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应根据本地实际，确定平均每人每月</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或每天</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基本伙食具体标准，并随全市特困人员供养标准提高及时调整。</w:t>
      </w:r>
    </w:p>
    <w:p w14:paraId="00692A7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三、特困人员供养机构应制订并公开每周食谱，合理搭配日三餐的主副食，提供品种多样、制作细软、均衡营养的膳食。除每餐主食外，早餐应有素菜、鸡蛋、粥或豆浆;中餐应有荤菜、素菜、菜汤;晚餐应有素菜、粥或面条等。各县</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区</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可根据本地实际，对辖区内供养机构一日三餐膳食搭配提出具体要求。</w:t>
      </w:r>
    </w:p>
    <w:p w14:paraId="1013DC8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四、特困人员供养机构在</w:t>
      </w:r>
      <w:r>
        <w:rPr>
          <w:rFonts w:hint="eastAsia" w:ascii="方正仿宋_GBK" w:hAnsi="方正仿宋_GBK" w:eastAsia="方正仿宋_GBK" w:cs="方正仿宋_GBK"/>
          <w:color w:val="000000"/>
          <w:sz w:val="24"/>
          <w:szCs w:val="24"/>
          <w:lang w:val="en-US" w:eastAsia="zh-CN"/>
        </w:rPr>
        <w:t>元旦</w:t>
      </w:r>
      <w:r>
        <w:rPr>
          <w:rFonts w:hint="eastAsia" w:ascii="方正仿宋_GBK" w:hAnsi="方正仿宋_GBK" w:eastAsia="方正仿宋_GBK" w:cs="方正仿宋_GBK"/>
          <w:color w:val="000000"/>
          <w:sz w:val="24"/>
          <w:szCs w:val="24"/>
        </w:rPr>
        <w:t>、春节、端午、中秋、重阳等重要节日，应安排全体特困人员聚餐。聚餐费用不包含在基本伙食标准中。各县</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区</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和乡镇</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街道</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要在每年春节等重要节日，组织对特困人员进行慰问，慰问资金和物品全部用于特困人员基本生活保障。</w:t>
      </w:r>
    </w:p>
    <w:p w14:paraId="70C6120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五、规范食材食品采购，供养机构要成立有供养人员代表和工作人员共同参与的采购小组，细化采购、验收、保管等人员职责。米、油、面等耐储存物资实行定点批量采购，日常菜品采购由院长组织采购小组商议确定。采购实行“一次一结算”“日清月结”，采购发票或单据、采购审批单、采购验收单按程序归档入账，并每月在院内公开，接受监督。</w:t>
      </w:r>
    </w:p>
    <w:p w14:paraId="5E2EB1F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六、加强食品安全管理，供养机构要</w:t>
      </w:r>
      <w:r>
        <w:rPr>
          <w:rFonts w:hint="eastAsia" w:ascii="方正仿宋_GBK" w:hAnsi="方正仿宋_GBK" w:eastAsia="方正仿宋_GBK" w:cs="方正仿宋_GBK"/>
          <w:color w:val="000000"/>
          <w:sz w:val="24"/>
          <w:szCs w:val="24"/>
          <w:lang w:eastAsia="zh-CN"/>
        </w:rPr>
        <w:t>常态</w:t>
      </w:r>
      <w:r>
        <w:rPr>
          <w:rFonts w:hint="eastAsia" w:ascii="方正仿宋_GBK" w:hAnsi="方正仿宋_GBK" w:eastAsia="方正仿宋_GBK" w:cs="方正仿宋_GBK"/>
          <w:color w:val="000000"/>
          <w:sz w:val="24"/>
          <w:szCs w:val="24"/>
        </w:rPr>
        <w:t>化抓好厨房餐厅卫生安全，规范开展食品储存、加工，严格落实食品留样制度让特困人员吃上健康、卫生、安全的食品。</w:t>
      </w:r>
    </w:p>
    <w:p w14:paraId="5A52DCA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七、加强监督检査和服务质量评估，各县</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区</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和乡镇</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街道</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要通过明查暗访等形式，定期听取供养对象意见建议，及时整改存在问题。</w:t>
      </w:r>
    </w:p>
    <w:p w14:paraId="63575ABC">
      <w:pPr>
        <w:pageBreakBefore w:val="0"/>
        <w:kinsoku/>
        <w:wordWrap/>
        <w:overflowPunct/>
        <w:topLinePunct w:val="0"/>
        <w:autoSpaceDE/>
        <w:autoSpaceDN/>
        <w:bidi w:val="0"/>
        <w:adjustRightInd/>
        <w:snapToGrid/>
        <w:spacing w:line="500" w:lineRule="exact"/>
        <w:ind w:firstLine="0"/>
        <w:jc w:val="right"/>
        <w:textAlignment w:val="auto"/>
        <w:outlineLvl w:val="9"/>
        <w:rPr>
          <w:rFonts w:hint="eastAsia" w:ascii="方正仿宋_GBK" w:hAnsi="方正仿宋_GBK" w:eastAsia="方正仿宋_GBK" w:cs="方正仿宋_GBK"/>
          <w:color w:val="000000"/>
          <w:sz w:val="24"/>
          <w:szCs w:val="24"/>
        </w:rPr>
      </w:pPr>
    </w:p>
    <w:p w14:paraId="22B0BE62">
      <w:pPr>
        <w:pageBreakBefore w:val="0"/>
        <w:kinsoku/>
        <w:wordWrap/>
        <w:overflowPunct/>
        <w:topLinePunct w:val="0"/>
        <w:autoSpaceDE/>
        <w:autoSpaceDN/>
        <w:bidi w:val="0"/>
        <w:adjustRightInd/>
        <w:snapToGrid/>
        <w:spacing w:line="500" w:lineRule="exact"/>
        <w:ind w:firstLine="0"/>
        <w:jc w:val="right"/>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宿迁市民政局</w:t>
      </w:r>
    </w:p>
    <w:p w14:paraId="162DB944">
      <w:pPr>
        <w:pageBreakBefore w:val="0"/>
        <w:kinsoku/>
        <w:wordWrap/>
        <w:overflowPunct/>
        <w:topLinePunct w:val="0"/>
        <w:autoSpaceDE/>
        <w:autoSpaceDN/>
        <w:bidi w:val="0"/>
        <w:adjustRightInd/>
        <w:snapToGrid/>
        <w:spacing w:line="500" w:lineRule="exact"/>
        <w:ind w:firstLine="0"/>
        <w:jc w:val="right"/>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2021年8月30日</w:t>
      </w:r>
    </w:p>
    <w:p w14:paraId="7F263DB7">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p>
    <w:p w14:paraId="0B9E60F5">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sz w:val="24"/>
          <w:szCs w:val="24"/>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此件依申请公开</w:t>
      </w:r>
      <w:r>
        <w:rPr>
          <w:rFonts w:hint="eastAsia" w:ascii="方正仿宋_GBK" w:hAnsi="方正仿宋_GBK" w:eastAsia="方正仿宋_GBK" w:cs="方正仿宋_GBK"/>
          <w:color w:val="000000"/>
          <w:sz w:val="24"/>
          <w:szCs w:val="24"/>
          <w:lang w:eastAsia="zh-CN"/>
        </w:rPr>
        <w:t>）</w:t>
      </w:r>
    </w:p>
    <w:p w14:paraId="43692E5E">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br w:type="page" w:clear="all"/>
      </w:r>
    </w:p>
    <w:p w14:paraId="4D88BAB8">
      <w:pPr>
        <w:pageBreakBefore w:val="0"/>
        <w:kinsoku/>
        <w:wordWrap/>
        <w:overflowPunct/>
        <w:topLinePunct w:val="0"/>
        <w:autoSpaceDE/>
        <w:autoSpaceDN/>
        <w:bidi w:val="0"/>
        <w:adjustRightInd/>
        <w:snapToGrid/>
        <w:spacing w:line="500" w:lineRule="exact"/>
        <w:ind w:firstLine="0"/>
        <w:textAlignment w:val="auto"/>
        <w:outlineLvl w:val="2"/>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附件4</w:t>
      </w:r>
    </w:p>
    <w:p w14:paraId="4F49F73D">
      <w:pPr>
        <w:pageBreakBefore w:val="0"/>
        <w:kinsoku/>
        <w:wordWrap/>
        <w:overflowPunct/>
        <w:topLinePunct w:val="0"/>
        <w:autoSpaceDE/>
        <w:autoSpaceDN/>
        <w:bidi w:val="0"/>
        <w:adjustRightInd/>
        <w:snapToGrid/>
        <w:spacing w:line="500" w:lineRule="exact"/>
        <w:ind w:firstLine="0"/>
        <w:jc w:val="center"/>
        <w:textAlignment w:val="auto"/>
        <w:outlineLvl w:val="9"/>
        <w:rPr>
          <w:rFonts w:hint="eastAsia" w:ascii="方正仿宋_GBK" w:hAnsi="方正仿宋_GBK" w:eastAsia="方正仿宋_GBK" w:cs="方正仿宋_GBK"/>
          <w:b/>
          <w:bCs/>
          <w:color w:val="000000"/>
          <w:sz w:val="24"/>
          <w:szCs w:val="24"/>
          <w:highlight w:val="none"/>
        </w:rPr>
      </w:pPr>
      <w:r>
        <w:rPr>
          <w:rFonts w:hint="eastAsia" w:ascii="方正仿宋_GBK" w:hAnsi="方正仿宋_GBK" w:eastAsia="方正仿宋_GBK" w:cs="方正仿宋_GBK"/>
          <w:b/>
          <w:bCs/>
          <w:color w:val="000000"/>
          <w:sz w:val="24"/>
          <w:szCs w:val="24"/>
          <w:highlight w:val="none"/>
        </w:rPr>
        <w:t>2018版《中国老年人膳食指南》</w:t>
      </w:r>
    </w:p>
    <w:p w14:paraId="36A67D3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受国家卫计委委托，中国营养学会组织专家，根据特困人员的生理特点、健康状况、营养需求，于2016年修订了《中国老年人膳食指南》。该指南结合近年来特困人员人群营养领域的新理念、新技术、新成果，在普通人群膳食指南的基础上，增加了适应特困人员特点的膳食指导内容，旨在帮助特困人员更好地适应身体机能的改变，努力做到合理营养、均衡膳食，减少和延缓营养相关疾病的发生和发展，延长健康生命时间，促进成功老龄化。</w:t>
      </w:r>
    </w:p>
    <w:p w14:paraId="0229131D">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特困人员膳食关键推荐</w:t>
      </w:r>
    </w:p>
    <w:p w14:paraId="4271089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（一）少量多餐细软；预防营养缺乏</w:t>
      </w:r>
    </w:p>
    <w:p w14:paraId="05970CD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（二</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主动足量饮水；积极户外活动</w:t>
      </w:r>
    </w:p>
    <w:p w14:paraId="4315C13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（三）延缓肌肉衰减；维持适宜体重</w:t>
      </w:r>
    </w:p>
    <w:p w14:paraId="6C557C1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（四）摄入充足食物；鼓励陪伴进餐</w:t>
      </w:r>
    </w:p>
    <w:p w14:paraId="5A68325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实现指南的具体实践</w:t>
      </w:r>
    </w:p>
    <w:p w14:paraId="20FB74C3">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1.少量多餐</w:t>
      </w:r>
    </w:p>
    <w:p w14:paraId="0D5E7B5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不少特困人员牙齿缺损，消化液分泌减少，胃肠蠕动减弱，容易出现食欲下降和早饱现象，以致造成食物摄入量不足和营养缺乏，因此，特困人员膳食更需要相对精准，不宜随意化。进餐次数可采用三餐两点制或三餐三点制；每次正餐提供的能量占全天总能量20%～25%，每次加餐的能量占5%～10%，且宜定时定量用餐。</w:t>
      </w:r>
    </w:p>
    <w:p w14:paraId="471465B1">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2.制作细软食物</w:t>
      </w:r>
    </w:p>
    <w:p w14:paraId="5598700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（1）将食物切小切碎，或延长烹调时间。</w:t>
      </w:r>
    </w:p>
    <w:p w14:paraId="64EF826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（2）肉类食物可切成肉丝或肉片后烹饪，也可剁碎成肉糜制作成肉丸食用；鱼虾类可做成鱼片、鱼丸、鱼羹、虾仁等。</w:t>
      </w:r>
    </w:p>
    <w:p w14:paraId="2420FFA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（3）坚果、粗杂粮等坚硬食物可碾碎成粉末或细小颗粒食用。</w:t>
      </w:r>
    </w:p>
    <w:p w14:paraId="58D7CFE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（4）多选嫩叶蔬菜，质地较硬的水果或蔬菜可粉碎榨汁食用；蔬菜可制成馅、碎菜，与其他食物一同制成可口的饭菜（如菜粥、饺子、包子、蛋羹等），混合食用。</w:t>
      </w:r>
    </w:p>
    <w:p w14:paraId="5CB220C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5）多采用炖、煮、蒸、烩、焖、烧等进行烹调，少煎炸、熏烤等方法制作食物。高龄和咀嚼能力严重下降的特困人员，饭菜应煮软烧烂，如制成软饭、稠粥、细软的面食等；对于有咀嚼吞咽障碍特困人员可选择软食、半流质或糊状食物，液体食物应适当增稠。</w:t>
      </w:r>
    </w:p>
    <w:p w14:paraId="2494F635">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3.预防特困人员营养缺乏</w:t>
      </w:r>
    </w:p>
    <w:p w14:paraId="6062690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特困人员常因生理机能减退以及食物摄入不足等缘故，出现某些矿物质和维生素的缺乏，引发钙、维生素D、维生素A、维生素C缺乏以及贫血、体重过低等问题。这些问题可通过合理营养加以纠正。</w:t>
      </w:r>
    </w:p>
    <w:p w14:paraId="2D7D44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（1）日常膳食中，合理利用营养强化食品或营养素补充剂来弥补食物摄入的不足。</w:t>
      </w:r>
    </w:p>
    <w:p w14:paraId="066319B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（2）对于有吞咽障碍和80岁以上特困人员，可选择软食，进食过程中要细嚼慢咽、预防呛咳和误吸。</w:t>
      </w:r>
    </w:p>
    <w:p w14:paraId="7671166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（3）出现贫血，钙和维生素D、维生素A、维生素C等营养缺乏的特困人员，在营养师和医生的指导下，选择适合自己的营养强化食品或营养素补充剂。</w:t>
      </w:r>
    </w:p>
    <w:p w14:paraId="4D3DBC5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（4）少饮酒和浓茶，避免影响营养素的吸收。</w:t>
      </w:r>
    </w:p>
    <w:p w14:paraId="70D1C15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（5）服用药物时，要注意相应营养素的补充。</w:t>
      </w:r>
    </w:p>
    <w:p w14:paraId="03556DA2">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4.主动足量饮水</w:t>
      </w:r>
    </w:p>
    <w:p w14:paraId="117F65B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饮水不足可对特困人员的健康造成明显影响，而特困人员对缺水的耐受性下降，因此要主动足量饮水，养成定时和主动饮水的习惯。</w:t>
      </w:r>
    </w:p>
    <w:p w14:paraId="64C7464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正确的饮水方法是少量多次、主动饮水，每次50~100ml，如在清晨一杯温开水，睡前1~2小时喝一杯水，运动前后也需要喝点水，不应在感到口渴时才饮水。</w:t>
      </w:r>
    </w:p>
    <w:p w14:paraId="4C89199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特困人员每天的饮水量应不低于1200ml，以1500ml~1700ml为宜。</w:t>
      </w:r>
    </w:p>
    <w:p w14:paraId="275EB89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饮水首选温热的白开水，根据个人情况，也可选择饮用矿泉水、淡茶水。</w:t>
      </w:r>
    </w:p>
    <w:p w14:paraId="5AC76161">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5.积极参加户外活动</w:t>
      </w:r>
    </w:p>
    <w:p w14:paraId="70D35FB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适量的户外活动能够让特困人员更好地接受紫外光照射，有利于体内维生素D合成，延缓骨质疏松和肌肉衰减的发展。特困人员的运动量应根据自己的体能和健康状况即时调整，量力而行，循序渐进。一般情况下，每天户外锻炼1~2次，每次30~60分钟，以轻度的有氧运动（慢走、散步、太极拳等）为主；身体素质较强者，可适当提高运动的强度，如快走、广场舞、各种球类等，活动的量均以轻微出汗为度；或每天活动折合至少六千步。</w:t>
      </w:r>
    </w:p>
    <w:p w14:paraId="2632127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每次运动要量力而行，强度不要过大，运动持续时间不要过长，可以分多次运动，每次不低于10分钟，要有准备和整理活动。</w:t>
      </w:r>
    </w:p>
    <w:p w14:paraId="54843959">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6.吃动结合，延缓肌肉的衰减</w:t>
      </w:r>
    </w:p>
    <w:p w14:paraId="4B81205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肌肉是身体的重要组成部分，延缓肌肉衰减对维持特困人员自理能力、活动能力和健康状况极为重要。延缓肌肉衰减的有效方法是吃动结合，即一方面要增加摄入富含优质蛋白质的食物，另</w:t>
      </w:r>
      <w:r>
        <w:rPr>
          <w:rFonts w:hint="eastAsia" w:ascii="方正仿宋_GBK" w:hAnsi="方正仿宋_GBK" w:eastAsia="方正仿宋_GBK" w:cs="方正仿宋_GBK"/>
          <w:color w:val="000000"/>
          <w:sz w:val="24"/>
          <w:szCs w:val="24"/>
          <w:lang w:eastAsia="zh-CN"/>
        </w:rPr>
        <w:t>一方</w:t>
      </w:r>
      <w:r>
        <w:rPr>
          <w:rFonts w:hint="eastAsia" w:ascii="方正仿宋_GBK" w:hAnsi="方正仿宋_GBK" w:eastAsia="方正仿宋_GBK" w:cs="方正仿宋_GBK"/>
          <w:color w:val="000000"/>
          <w:sz w:val="24"/>
          <w:szCs w:val="24"/>
        </w:rPr>
        <w:t>面要进行有氧运动和适当的抗阻运动。</w:t>
      </w:r>
    </w:p>
    <w:p w14:paraId="5B86CEA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（1）常吃富含优质蛋白的动物性食物，尤其是红肉、鱼类、乳类及大豆制品。</w:t>
      </w:r>
    </w:p>
    <w:p w14:paraId="7FB4EDF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（2）多吃富含n-3多不饱和脂肪酸的海产品，如海鱼和海藻等。</w:t>
      </w:r>
    </w:p>
    <w:p w14:paraId="0149E52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（3）注意蔬菜水果等含抗氧化营养素食物的摄取。</w:t>
      </w:r>
    </w:p>
    <w:p w14:paraId="40A48E1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（4）增加户外活动时间、多晒太阳，适当增加摄入维生素D含量较高的食物，如动物肝脏、蛋黄等。</w:t>
      </w:r>
    </w:p>
    <w:p w14:paraId="3AFAC72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（5）适当增加日常身体活动量，减少静坐或卧床。如条件许可，还可以进行拉弹力绳、举沙袋、举哑铃等抗阻运动20～30分钟，每周3次以上。进行活动时应注意量力而行，动作舒缓，避免碰伤、跌倒等事件发生。</w:t>
      </w:r>
    </w:p>
    <w:p w14:paraId="3964FEBB">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7.保证每天能获得足够的优质蛋白质</w:t>
      </w:r>
    </w:p>
    <w:p w14:paraId="0DCECE7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（1）吃足量的肉。鱼、虾、禽肉、猪牛羊肉等动物性食物都含有消化吸收率高的优质蛋白以及多种微量营养素。</w:t>
      </w:r>
    </w:p>
    <w:p w14:paraId="68DEEEB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（2）天天喝奶。多喝低脂奶及其制品；有高脂血症和超重肥胖倾向者应选择低脂奶、脱脂奶及其制品；乳糖不耐受的特困人员可以考虑饮用低乳糖奶、舒化奶或酸奶。</w:t>
      </w:r>
    </w:p>
    <w:p w14:paraId="1BB0BF2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（3）每天吃大豆及其豆制品。特困人员每天应该吃30g～50g大豆及其豆制品。若以蛋白质的含量来折算，40g干大豆相当于80g豆腐干、120g北豆腐、240g南豆腐或650g豆浆。</w:t>
      </w:r>
    </w:p>
    <w:p w14:paraId="09BC7117">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8.保持适宜体重</w:t>
      </w:r>
    </w:p>
    <w:p w14:paraId="76E397C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特困人员胖瘦要适当，体重过高或过低都会影响健康，所以不应过度苛求减重，“千金难买老来瘦”的传统观点</w:t>
      </w:r>
      <w:r>
        <w:rPr>
          <w:rFonts w:hint="eastAsia" w:ascii="方正仿宋_GBK" w:hAnsi="方正仿宋_GBK" w:eastAsia="方正仿宋_GBK" w:cs="方正仿宋_GBK"/>
          <w:color w:val="000000"/>
          <w:sz w:val="24"/>
          <w:szCs w:val="24"/>
          <w:lang w:eastAsia="zh-CN"/>
        </w:rPr>
        <w:t>必须</w:t>
      </w:r>
      <w:r>
        <w:rPr>
          <w:rFonts w:hint="eastAsia" w:ascii="方正仿宋_GBK" w:hAnsi="方正仿宋_GBK" w:eastAsia="方正仿宋_GBK" w:cs="方正仿宋_GBK"/>
          <w:color w:val="000000"/>
          <w:sz w:val="24"/>
          <w:szCs w:val="24"/>
        </w:rPr>
        <w:t>纠正。</w:t>
      </w:r>
    </w:p>
    <w:p w14:paraId="51B4BB0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体重是否适宜，可根据自己的BMI来衡量。BMI的计算方法是体重（公斤）除以身高</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米</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的平方。从降低营养不良风险和死亡风险的角度考虑，特困人员的BMI最好不低于20.0kg/m2，最高不超过26.9kg/m2，鼓励通过营养师的个性化评价来指导和改善。</w:t>
      </w:r>
    </w:p>
    <w:p w14:paraId="54557F6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特困人员应经常监测体重变化，使体重保持在一个适宜的稳定水平。如果没有主动采取减重措施，与自身一段时间内的正常体重相比，体重在30天内降低5%以上，或6个月内降低10%以上，则应该引起高度注意，应到医院进行必要的体格检查。</w:t>
      </w:r>
    </w:p>
    <w:p w14:paraId="4700C37D">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9.摄入充足的食物</w:t>
      </w:r>
    </w:p>
    <w:p w14:paraId="2B25DCD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特困人员每天应至少摄入12种的食物。采用多种方法增加食欲和进食量，吃好三餐。早餐宜有1～2种以上主食、1个鸡蛋、1杯奶、另有蔬菜或水果。中餐、晚餐宜有2种以上主食，1～2个荤菜、1～2种蔬菜、1个豆制品。饭菜应少盐、少油、少糖、少辛辣，以食物自然味来调味，色香味美、温度适宜。</w:t>
      </w:r>
    </w:p>
    <w:p w14:paraId="50291CE0">
      <w:pPr>
        <w:pageBreakBefore w:val="0"/>
        <w:kinsoku/>
        <w:wordWrap/>
        <w:overflowPunct/>
        <w:topLinePunct w:val="0"/>
        <w:autoSpaceDE/>
        <w:autoSpaceDN/>
        <w:bidi w:val="0"/>
        <w:adjustRightInd/>
        <w:snapToGrid/>
        <w:spacing w:line="500" w:lineRule="exact"/>
        <w:ind w:firstLine="0"/>
        <w:jc w:val="center"/>
        <w:textAlignment w:val="auto"/>
        <w:outlineLvl w:val="9"/>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65岁以上特困人员每日食物推荐摄入量</w:t>
      </w:r>
    </w:p>
    <w:tbl>
      <w:tblPr>
        <w:tblStyle w:val="3"/>
        <w:tblpPr w:leftFromText="180" w:rightFromText="180" w:vertAnchor="text" w:horzAnchor="page" w:tblpX="1756" w:tblpY="426"/>
        <w:tblW w:w="901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20"/>
        <w:gridCol w:w="2265"/>
        <w:gridCol w:w="2145"/>
        <w:gridCol w:w="2588"/>
      </w:tblGrid>
      <w:tr w14:paraId="525DA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0" w:hRule="atLeast"/>
        </w:trPr>
        <w:tc>
          <w:tcPr>
            <w:tcW w:w="2020" w:type="dxa"/>
            <w:noWrap w:val="0"/>
            <w:vAlign w:val="center"/>
          </w:tcPr>
          <w:p w14:paraId="3994973B">
            <w:pPr>
              <w:pageBreakBefore w:val="0"/>
              <w:kinsoku/>
              <w:wordWrap/>
              <w:overflowPunct/>
              <w:topLinePunct w:val="0"/>
              <w:autoSpaceDE/>
              <w:autoSpaceDN/>
              <w:bidi w:val="0"/>
              <w:adjustRightInd/>
              <w:snapToGrid/>
              <w:spacing w:line="500" w:lineRule="exact"/>
              <w:ind w:firstLine="0"/>
              <w:jc w:val="center"/>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食物类别</w:t>
            </w:r>
          </w:p>
        </w:tc>
        <w:tc>
          <w:tcPr>
            <w:tcW w:w="2265" w:type="dxa"/>
            <w:noWrap w:val="0"/>
            <w:vAlign w:val="center"/>
          </w:tcPr>
          <w:p w14:paraId="4400CAC0">
            <w:pPr>
              <w:pageBreakBefore w:val="0"/>
              <w:kinsoku/>
              <w:wordWrap/>
              <w:overflowPunct/>
              <w:topLinePunct w:val="0"/>
              <w:autoSpaceDE/>
              <w:autoSpaceDN/>
              <w:bidi w:val="0"/>
              <w:adjustRightInd/>
              <w:snapToGrid/>
              <w:spacing w:line="500" w:lineRule="exact"/>
              <w:ind w:firstLine="0"/>
              <w:jc w:val="center"/>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推荐摄入量（克/日）</w:t>
            </w:r>
          </w:p>
        </w:tc>
        <w:tc>
          <w:tcPr>
            <w:tcW w:w="2145" w:type="dxa"/>
            <w:noWrap w:val="0"/>
            <w:vAlign w:val="center"/>
          </w:tcPr>
          <w:p w14:paraId="6B34AAAA">
            <w:pPr>
              <w:pageBreakBefore w:val="0"/>
              <w:kinsoku/>
              <w:wordWrap/>
              <w:overflowPunct/>
              <w:topLinePunct w:val="0"/>
              <w:autoSpaceDE/>
              <w:autoSpaceDN/>
              <w:bidi w:val="0"/>
              <w:adjustRightInd/>
              <w:snapToGrid/>
              <w:spacing w:line="500" w:lineRule="exact"/>
              <w:ind w:firstLine="0"/>
              <w:jc w:val="center"/>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食物类别</w:t>
            </w:r>
          </w:p>
        </w:tc>
        <w:tc>
          <w:tcPr>
            <w:tcW w:w="2588" w:type="dxa"/>
            <w:noWrap w:val="0"/>
            <w:vAlign w:val="center"/>
          </w:tcPr>
          <w:p w14:paraId="7BC2EC80">
            <w:pPr>
              <w:pageBreakBefore w:val="0"/>
              <w:kinsoku/>
              <w:wordWrap/>
              <w:overflowPunct/>
              <w:topLinePunct w:val="0"/>
              <w:autoSpaceDE/>
              <w:autoSpaceDN/>
              <w:bidi w:val="0"/>
              <w:adjustRightInd/>
              <w:snapToGrid/>
              <w:spacing w:line="500" w:lineRule="exact"/>
              <w:ind w:firstLine="0"/>
              <w:jc w:val="center"/>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推荐摄入量（克/日）</w:t>
            </w:r>
          </w:p>
        </w:tc>
      </w:tr>
      <w:tr w14:paraId="0790A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0" w:hRule="atLeast"/>
        </w:trPr>
        <w:tc>
          <w:tcPr>
            <w:tcW w:w="2020" w:type="dxa"/>
            <w:noWrap w:val="0"/>
            <w:vAlign w:val="center"/>
          </w:tcPr>
          <w:p w14:paraId="623216AC">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谷类</w:t>
            </w:r>
          </w:p>
        </w:tc>
        <w:tc>
          <w:tcPr>
            <w:tcW w:w="2265" w:type="dxa"/>
            <w:noWrap w:val="0"/>
            <w:vAlign w:val="center"/>
          </w:tcPr>
          <w:p w14:paraId="1161D2EF">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200～250</w:t>
            </w:r>
          </w:p>
        </w:tc>
        <w:tc>
          <w:tcPr>
            <w:tcW w:w="2145" w:type="dxa"/>
            <w:noWrap w:val="0"/>
            <w:vAlign w:val="center"/>
          </w:tcPr>
          <w:p w14:paraId="4BFB1BB7">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坚果（/周）</w:t>
            </w:r>
          </w:p>
        </w:tc>
        <w:tc>
          <w:tcPr>
            <w:tcW w:w="2588" w:type="dxa"/>
            <w:noWrap w:val="0"/>
            <w:vAlign w:val="center"/>
          </w:tcPr>
          <w:p w14:paraId="04B1F4AE">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50～70</w:t>
            </w:r>
          </w:p>
        </w:tc>
      </w:tr>
      <w:tr w14:paraId="57756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0" w:hRule="atLeast"/>
        </w:trPr>
        <w:tc>
          <w:tcPr>
            <w:tcW w:w="2020" w:type="dxa"/>
            <w:noWrap w:val="0"/>
            <w:vAlign w:val="center"/>
          </w:tcPr>
          <w:p w14:paraId="0A729410">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全谷杂豆</w:t>
            </w:r>
          </w:p>
        </w:tc>
        <w:tc>
          <w:tcPr>
            <w:tcW w:w="2265" w:type="dxa"/>
            <w:noWrap w:val="0"/>
            <w:vAlign w:val="center"/>
          </w:tcPr>
          <w:p w14:paraId="77EB169B">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50～150</w:t>
            </w:r>
          </w:p>
        </w:tc>
        <w:tc>
          <w:tcPr>
            <w:tcW w:w="2145" w:type="dxa"/>
            <w:noWrap w:val="0"/>
            <w:vAlign w:val="center"/>
          </w:tcPr>
          <w:p w14:paraId="351D4DB2">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畜禽肉</w:t>
            </w:r>
          </w:p>
        </w:tc>
        <w:tc>
          <w:tcPr>
            <w:tcW w:w="2588" w:type="dxa"/>
            <w:noWrap w:val="0"/>
            <w:vAlign w:val="center"/>
          </w:tcPr>
          <w:p w14:paraId="2106164D">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40～50</w:t>
            </w:r>
          </w:p>
        </w:tc>
      </w:tr>
      <w:tr w14:paraId="150D9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0" w:hRule="atLeast"/>
        </w:trPr>
        <w:tc>
          <w:tcPr>
            <w:tcW w:w="2020" w:type="dxa"/>
            <w:noWrap w:val="0"/>
            <w:vAlign w:val="center"/>
          </w:tcPr>
          <w:p w14:paraId="200E7918">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薯类</w:t>
            </w:r>
          </w:p>
        </w:tc>
        <w:tc>
          <w:tcPr>
            <w:tcW w:w="2265" w:type="dxa"/>
            <w:noWrap w:val="0"/>
            <w:vAlign w:val="center"/>
          </w:tcPr>
          <w:p w14:paraId="78D6631B">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50～75</w:t>
            </w:r>
          </w:p>
        </w:tc>
        <w:tc>
          <w:tcPr>
            <w:tcW w:w="2145" w:type="dxa"/>
            <w:noWrap w:val="0"/>
            <w:vAlign w:val="center"/>
          </w:tcPr>
          <w:p w14:paraId="3FF6E7BE">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蛋类</w:t>
            </w:r>
          </w:p>
        </w:tc>
        <w:tc>
          <w:tcPr>
            <w:tcW w:w="2588" w:type="dxa"/>
            <w:noWrap w:val="0"/>
            <w:vAlign w:val="center"/>
          </w:tcPr>
          <w:p w14:paraId="523152F7">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40～50</w:t>
            </w:r>
          </w:p>
        </w:tc>
      </w:tr>
      <w:tr w14:paraId="5272C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0" w:hRule="atLeast"/>
        </w:trPr>
        <w:tc>
          <w:tcPr>
            <w:tcW w:w="2020" w:type="dxa"/>
            <w:noWrap w:val="0"/>
            <w:vAlign w:val="center"/>
          </w:tcPr>
          <w:p w14:paraId="2C0936F3">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蔬菜</w:t>
            </w:r>
          </w:p>
        </w:tc>
        <w:tc>
          <w:tcPr>
            <w:tcW w:w="2265" w:type="dxa"/>
            <w:noWrap w:val="0"/>
            <w:vAlign w:val="center"/>
          </w:tcPr>
          <w:p w14:paraId="4846CAD7">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300～450</w:t>
            </w:r>
          </w:p>
        </w:tc>
        <w:tc>
          <w:tcPr>
            <w:tcW w:w="2145" w:type="dxa"/>
            <w:noWrap w:val="0"/>
            <w:vAlign w:val="center"/>
          </w:tcPr>
          <w:p w14:paraId="118F847F">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水产品</w:t>
            </w:r>
          </w:p>
        </w:tc>
        <w:tc>
          <w:tcPr>
            <w:tcW w:w="2588" w:type="dxa"/>
            <w:noWrap w:val="0"/>
            <w:vAlign w:val="center"/>
          </w:tcPr>
          <w:p w14:paraId="2C1139CC">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40～50</w:t>
            </w:r>
          </w:p>
        </w:tc>
      </w:tr>
      <w:tr w14:paraId="40561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0" w:hRule="atLeast"/>
        </w:trPr>
        <w:tc>
          <w:tcPr>
            <w:tcW w:w="2020" w:type="dxa"/>
            <w:noWrap w:val="0"/>
            <w:vAlign w:val="center"/>
          </w:tcPr>
          <w:p w14:paraId="15412B28">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水果</w:t>
            </w:r>
          </w:p>
        </w:tc>
        <w:tc>
          <w:tcPr>
            <w:tcW w:w="2265" w:type="dxa"/>
            <w:noWrap w:val="0"/>
            <w:vAlign w:val="center"/>
          </w:tcPr>
          <w:p w14:paraId="0B83300F">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200～300</w:t>
            </w:r>
          </w:p>
        </w:tc>
        <w:tc>
          <w:tcPr>
            <w:tcW w:w="2145" w:type="dxa"/>
            <w:noWrap w:val="0"/>
            <w:vAlign w:val="center"/>
          </w:tcPr>
          <w:p w14:paraId="62952020">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油</w:t>
            </w:r>
          </w:p>
        </w:tc>
        <w:tc>
          <w:tcPr>
            <w:tcW w:w="2588" w:type="dxa"/>
            <w:noWrap w:val="0"/>
            <w:vAlign w:val="center"/>
          </w:tcPr>
          <w:p w14:paraId="6CE7D90A">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25～30</w:t>
            </w:r>
          </w:p>
        </w:tc>
      </w:tr>
      <w:tr w14:paraId="2DA88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0" w:hRule="atLeast"/>
        </w:trPr>
        <w:tc>
          <w:tcPr>
            <w:tcW w:w="2020" w:type="dxa"/>
            <w:noWrap w:val="0"/>
            <w:vAlign w:val="center"/>
          </w:tcPr>
          <w:p w14:paraId="3A3DB257">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乳类</w:t>
            </w:r>
          </w:p>
        </w:tc>
        <w:tc>
          <w:tcPr>
            <w:tcW w:w="2265" w:type="dxa"/>
            <w:noWrap w:val="0"/>
            <w:vAlign w:val="center"/>
          </w:tcPr>
          <w:p w14:paraId="2310306F">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300</w:t>
            </w:r>
          </w:p>
        </w:tc>
        <w:tc>
          <w:tcPr>
            <w:tcW w:w="2145" w:type="dxa"/>
            <w:noWrap w:val="0"/>
            <w:vAlign w:val="center"/>
          </w:tcPr>
          <w:p w14:paraId="616B61CC">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盐</w:t>
            </w:r>
          </w:p>
        </w:tc>
        <w:tc>
          <w:tcPr>
            <w:tcW w:w="2588" w:type="dxa"/>
            <w:noWrap w:val="0"/>
            <w:vAlign w:val="center"/>
          </w:tcPr>
          <w:p w14:paraId="20C3F331">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&lt;6</w:t>
            </w:r>
          </w:p>
        </w:tc>
      </w:tr>
      <w:tr w14:paraId="38B51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6" w:hRule="atLeast"/>
        </w:trPr>
        <w:tc>
          <w:tcPr>
            <w:tcW w:w="2020" w:type="dxa"/>
            <w:noWrap w:val="0"/>
            <w:vAlign w:val="center"/>
          </w:tcPr>
          <w:p w14:paraId="4903F035">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大豆（/周）</w:t>
            </w:r>
          </w:p>
        </w:tc>
        <w:tc>
          <w:tcPr>
            <w:tcW w:w="2265" w:type="dxa"/>
            <w:noWrap w:val="0"/>
            <w:vAlign w:val="center"/>
          </w:tcPr>
          <w:p w14:paraId="05C1D666">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105</w:t>
            </w:r>
          </w:p>
        </w:tc>
        <w:tc>
          <w:tcPr>
            <w:tcW w:w="2145" w:type="dxa"/>
            <w:noWrap w:val="0"/>
            <w:vAlign w:val="center"/>
          </w:tcPr>
          <w:p w14:paraId="4A4DEFE4">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p>
        </w:tc>
        <w:tc>
          <w:tcPr>
            <w:tcW w:w="2588" w:type="dxa"/>
            <w:noWrap w:val="0"/>
            <w:vAlign w:val="center"/>
          </w:tcPr>
          <w:p w14:paraId="2CD34AA7">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color w:val="000000"/>
                <w:sz w:val="24"/>
                <w:szCs w:val="24"/>
              </w:rPr>
            </w:pPr>
          </w:p>
        </w:tc>
      </w:tr>
    </w:tbl>
    <w:p w14:paraId="7F47BDCC">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10.积极交往，愉悦生活</w:t>
      </w:r>
    </w:p>
    <w:p w14:paraId="505880D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color w:val="000000"/>
          <w:sz w:val="24"/>
          <w:szCs w:val="24"/>
        </w:rPr>
        <w:t>良好的沟通与交往是促进特困人员心理健康、增进食欲、改善营养状况的良方。特困人员应积极主动参与家庭和社会活动、主动参与烹饪，常与家人一起进餐；独居特困人员，可去集体用餐点或多与亲朋一起用餐和活动，以便摄入更多丰富的食物。对于生活自理有困难的特困人员，家人应多陪伴，采用辅助用餐、送餐上门等方法，保障食物摄入和营养状况。社会和家人也应对特困人员更加关心照顾，陪伴交流，注意特困人员的饮食和体重变化，及时发现和预防疾病的发生和发展。</w:t>
      </w:r>
      <w:r>
        <w:rPr>
          <w:rFonts w:hint="eastAsia" w:ascii="方正仿宋_GBK" w:hAnsi="方正仿宋_GBK" w:eastAsia="方正仿宋_GBK" w:cs="方正仿宋_GBK"/>
          <w:b/>
          <w:bCs/>
          <w:color w:val="000000"/>
          <w:sz w:val="24"/>
          <w:szCs w:val="24"/>
        </w:rPr>
        <w:br w:type="page"/>
      </w:r>
    </w:p>
    <w:p w14:paraId="0726C09F">
      <w:pPr>
        <w:pageBreakBefore w:val="0"/>
        <w:kinsoku/>
        <w:wordWrap/>
        <w:overflowPunct/>
        <w:topLinePunct w:val="0"/>
        <w:autoSpaceDE/>
        <w:autoSpaceDN/>
        <w:bidi w:val="0"/>
        <w:adjustRightInd/>
        <w:snapToGrid/>
        <w:spacing w:line="500" w:lineRule="exact"/>
        <w:ind w:firstLine="0"/>
        <w:textAlignment w:val="auto"/>
        <w:outlineLvl w:val="2"/>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rPr>
        <w:t>附件5</w:t>
      </w:r>
    </w:p>
    <w:p w14:paraId="1D508910">
      <w:pPr>
        <w:pageBreakBefore w:val="0"/>
        <w:kinsoku/>
        <w:wordWrap/>
        <w:overflowPunct/>
        <w:topLinePunct w:val="0"/>
        <w:autoSpaceDE/>
        <w:autoSpaceDN/>
        <w:bidi w:val="0"/>
        <w:adjustRightInd/>
        <w:snapToGrid/>
        <w:spacing w:line="500" w:lineRule="exact"/>
        <w:ind w:firstLine="0"/>
        <w:jc w:val="center"/>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b/>
          <w:bCs/>
          <w:color w:val="000000"/>
          <w:sz w:val="32"/>
          <w:szCs w:val="32"/>
        </w:rPr>
        <w:t>宿城区202</w:t>
      </w:r>
      <w:r>
        <w:rPr>
          <w:rFonts w:hint="eastAsia" w:ascii="方正仿宋_GBK" w:hAnsi="方正仿宋_GBK" w:eastAsia="方正仿宋_GBK" w:cs="方正仿宋_GBK"/>
          <w:b/>
          <w:bCs/>
          <w:color w:val="000000"/>
          <w:sz w:val="32"/>
          <w:szCs w:val="32"/>
          <w:lang w:val="en-US" w:eastAsia="zh-CN"/>
        </w:rPr>
        <w:t>6</w:t>
      </w:r>
      <w:r>
        <w:rPr>
          <w:rFonts w:hint="eastAsia" w:ascii="方正仿宋_GBK" w:hAnsi="方正仿宋_GBK" w:eastAsia="方正仿宋_GBK" w:cs="方正仿宋_GBK"/>
          <w:b/>
          <w:bCs/>
          <w:color w:val="000000"/>
          <w:sz w:val="32"/>
          <w:szCs w:val="32"/>
        </w:rPr>
        <w:t>-202</w:t>
      </w:r>
      <w:r>
        <w:rPr>
          <w:rFonts w:hint="eastAsia" w:ascii="方正仿宋_GBK" w:hAnsi="方正仿宋_GBK" w:eastAsia="方正仿宋_GBK" w:cs="方正仿宋_GBK"/>
          <w:b/>
          <w:bCs/>
          <w:color w:val="000000"/>
          <w:sz w:val="32"/>
          <w:szCs w:val="32"/>
          <w:lang w:val="en-US" w:eastAsia="zh-CN"/>
        </w:rPr>
        <w:t>8</w:t>
      </w:r>
      <w:r>
        <w:rPr>
          <w:rFonts w:hint="eastAsia" w:ascii="方正仿宋_GBK" w:hAnsi="方正仿宋_GBK" w:eastAsia="方正仿宋_GBK" w:cs="方正仿宋_GBK"/>
          <w:b/>
          <w:bCs/>
          <w:color w:val="000000"/>
          <w:sz w:val="32"/>
          <w:szCs w:val="32"/>
        </w:rPr>
        <w:t>年失能特困人员集中供养评估表</w:t>
      </w:r>
    </w:p>
    <w:p w14:paraId="49629DED">
      <w:pPr>
        <w:pageBreakBefore w:val="0"/>
        <w:kinsoku/>
        <w:wordWrap/>
        <w:overflowPunct/>
        <w:topLinePunct w:val="0"/>
        <w:autoSpaceDE/>
        <w:autoSpaceDN/>
        <w:bidi w:val="0"/>
        <w:adjustRightInd/>
        <w:snapToGrid/>
        <w:spacing w:line="500" w:lineRule="exact"/>
        <w:ind w:firstLine="0"/>
        <w:jc w:val="left"/>
        <w:textAlignment w:val="auto"/>
        <w:outlineLvl w:val="9"/>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集中供养机构：    集中供养特困人员数：   考核时间：  年   月  日</w:t>
      </w:r>
    </w:p>
    <w:tbl>
      <w:tblPr>
        <w:tblStyle w:val="3"/>
        <w:tblW w:w="5049" w:type="pct"/>
        <w:tblInd w:w="-2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54"/>
        <w:gridCol w:w="706"/>
        <w:gridCol w:w="688"/>
        <w:gridCol w:w="4732"/>
        <w:gridCol w:w="1283"/>
        <w:gridCol w:w="643"/>
      </w:tblGrid>
      <w:tr w14:paraId="44E1E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0" w:type="dxa"/>
            <w:gridSpan w:val="2"/>
            <w:shd w:val="clear" w:color="auto" w:fill="C7DAF1"/>
            <w:noWrap w:val="0"/>
            <w:vAlign w:val="center"/>
          </w:tcPr>
          <w:p w14:paraId="1004EB9D">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项目</w:t>
            </w:r>
          </w:p>
        </w:tc>
        <w:tc>
          <w:tcPr>
            <w:tcW w:w="688" w:type="dxa"/>
            <w:shd w:val="clear" w:color="auto" w:fill="C7DAF1"/>
            <w:noWrap w:val="0"/>
            <w:vAlign w:val="center"/>
          </w:tcPr>
          <w:p w14:paraId="10A30015">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分值</w:t>
            </w:r>
          </w:p>
        </w:tc>
        <w:tc>
          <w:tcPr>
            <w:tcW w:w="4732" w:type="dxa"/>
            <w:shd w:val="clear" w:color="auto" w:fill="C7DAF1"/>
            <w:noWrap w:val="0"/>
            <w:vAlign w:val="center"/>
          </w:tcPr>
          <w:p w14:paraId="226590E4">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评分内容</w:t>
            </w:r>
          </w:p>
        </w:tc>
        <w:tc>
          <w:tcPr>
            <w:tcW w:w="1283" w:type="dxa"/>
            <w:shd w:val="clear" w:color="auto" w:fill="C7DAF1"/>
            <w:noWrap w:val="0"/>
            <w:vAlign w:val="center"/>
          </w:tcPr>
          <w:p w14:paraId="1353B389">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评分办法</w:t>
            </w:r>
          </w:p>
        </w:tc>
        <w:tc>
          <w:tcPr>
            <w:tcW w:w="643" w:type="dxa"/>
            <w:shd w:val="clear" w:color="auto" w:fill="C7DAF1"/>
            <w:noWrap w:val="0"/>
            <w:vAlign w:val="center"/>
          </w:tcPr>
          <w:p w14:paraId="571D9EB1">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得分</w:t>
            </w:r>
          </w:p>
        </w:tc>
      </w:tr>
      <w:tr w14:paraId="6E036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554" w:type="dxa"/>
            <w:vMerge w:val="restart"/>
            <w:noWrap w:val="0"/>
            <w:vAlign w:val="center"/>
          </w:tcPr>
          <w:p w14:paraId="4E1B7DE6">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基本设置</w:t>
            </w:r>
          </w:p>
          <w:p w14:paraId="3A7EF4C8">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26分</w:t>
            </w:r>
          </w:p>
        </w:tc>
        <w:tc>
          <w:tcPr>
            <w:tcW w:w="706" w:type="dxa"/>
            <w:noWrap w:val="0"/>
            <w:vAlign w:val="center"/>
          </w:tcPr>
          <w:p w14:paraId="576C5037">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建筑标准</w:t>
            </w:r>
          </w:p>
        </w:tc>
        <w:tc>
          <w:tcPr>
            <w:tcW w:w="688" w:type="dxa"/>
            <w:noWrap w:val="0"/>
            <w:vAlign w:val="center"/>
          </w:tcPr>
          <w:p w14:paraId="6EF891ED">
            <w:pPr>
              <w:keepNext w:val="0"/>
              <w:keepLines w:val="0"/>
              <w:pageBreakBefore w:val="0"/>
              <w:kinsoku/>
              <w:wordWrap/>
              <w:overflowPunct/>
              <w:topLinePunct w:val="0"/>
              <w:autoSpaceDE/>
              <w:autoSpaceDN/>
              <w:bidi w:val="0"/>
              <w:adjustRightInd/>
              <w:snapToGrid/>
              <w:spacing w:line="300" w:lineRule="exact"/>
              <w:ind w:left="-105"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4分</w:t>
            </w:r>
          </w:p>
        </w:tc>
        <w:tc>
          <w:tcPr>
            <w:tcW w:w="4732" w:type="dxa"/>
            <w:noWrap w:val="0"/>
            <w:vAlign w:val="center"/>
          </w:tcPr>
          <w:p w14:paraId="62F65C2B">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1、入住对象用房抗震设防标准应为重点设防类，建筑物耐火指标等级不应低于三级。室内通道和床铺间距应满足轮椅和救护床进出及日常护理需要（4分）。</w:t>
            </w:r>
          </w:p>
        </w:tc>
        <w:tc>
          <w:tcPr>
            <w:tcW w:w="1283" w:type="dxa"/>
            <w:noWrap w:val="0"/>
            <w:vAlign w:val="center"/>
          </w:tcPr>
          <w:p w14:paraId="494EE55C">
            <w:pPr>
              <w:keepNext w:val="0"/>
              <w:keepLines w:val="0"/>
              <w:pageBreakBefore w:val="0"/>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查看相关资料和现场</w:t>
            </w:r>
          </w:p>
        </w:tc>
        <w:tc>
          <w:tcPr>
            <w:tcW w:w="643" w:type="dxa"/>
            <w:noWrap w:val="0"/>
            <w:vAlign w:val="center"/>
          </w:tcPr>
          <w:p w14:paraId="2DE4B7D9">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p>
        </w:tc>
      </w:tr>
      <w:tr w14:paraId="60188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2" w:hRule="atLeast"/>
        </w:trPr>
        <w:tc>
          <w:tcPr>
            <w:tcW w:w="554" w:type="dxa"/>
            <w:vMerge w:val="continue"/>
            <w:noWrap w:val="0"/>
            <w:vAlign w:val="center"/>
          </w:tcPr>
          <w:p w14:paraId="64195BAA">
            <w:pPr>
              <w:keepNext w:val="0"/>
              <w:keepLines w:val="0"/>
              <w:pageBreakBefore w:val="0"/>
              <w:widowControl/>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p>
        </w:tc>
        <w:tc>
          <w:tcPr>
            <w:tcW w:w="706" w:type="dxa"/>
            <w:noWrap w:val="0"/>
            <w:vAlign w:val="center"/>
          </w:tcPr>
          <w:p w14:paraId="6C27F04B">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入住管理</w:t>
            </w:r>
          </w:p>
        </w:tc>
        <w:tc>
          <w:tcPr>
            <w:tcW w:w="688" w:type="dxa"/>
            <w:noWrap w:val="0"/>
            <w:vAlign w:val="center"/>
          </w:tcPr>
          <w:p w14:paraId="0664F9B3">
            <w:pPr>
              <w:keepNext w:val="0"/>
              <w:keepLines w:val="0"/>
              <w:pageBreakBefore w:val="0"/>
              <w:kinsoku/>
              <w:wordWrap/>
              <w:overflowPunct/>
              <w:topLinePunct w:val="0"/>
              <w:autoSpaceDE/>
              <w:autoSpaceDN/>
              <w:bidi w:val="0"/>
              <w:adjustRightInd/>
              <w:snapToGrid/>
              <w:spacing w:line="300" w:lineRule="exact"/>
              <w:ind w:left="-105"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5分</w:t>
            </w:r>
          </w:p>
        </w:tc>
        <w:tc>
          <w:tcPr>
            <w:tcW w:w="4732" w:type="dxa"/>
            <w:noWrap w:val="0"/>
            <w:vAlign w:val="center"/>
          </w:tcPr>
          <w:p w14:paraId="3B43FE8C">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2、入住前，对供养对象做身体检查评估，入住后，每半年复核一次（2分）；</w:t>
            </w:r>
          </w:p>
          <w:p w14:paraId="3C07BDD0">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3、建立供养对象档案，1人1档，及时录入和保存供养对象信息（3分）。</w:t>
            </w:r>
          </w:p>
        </w:tc>
        <w:tc>
          <w:tcPr>
            <w:tcW w:w="1283" w:type="dxa"/>
            <w:noWrap w:val="0"/>
            <w:vAlign w:val="center"/>
          </w:tcPr>
          <w:p w14:paraId="10EB72D1">
            <w:pPr>
              <w:keepNext w:val="0"/>
              <w:keepLines w:val="0"/>
              <w:pageBreakBefore w:val="0"/>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实地查看档案台账，不完善项酌情扣分。</w:t>
            </w:r>
          </w:p>
        </w:tc>
        <w:tc>
          <w:tcPr>
            <w:tcW w:w="643" w:type="dxa"/>
            <w:noWrap w:val="0"/>
            <w:vAlign w:val="center"/>
          </w:tcPr>
          <w:p w14:paraId="76C10B2D">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p>
        </w:tc>
      </w:tr>
      <w:tr w14:paraId="6C883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148" w:hRule="atLeast"/>
        </w:trPr>
        <w:tc>
          <w:tcPr>
            <w:tcW w:w="554" w:type="dxa"/>
            <w:vMerge w:val="continue"/>
            <w:noWrap w:val="0"/>
            <w:vAlign w:val="center"/>
          </w:tcPr>
          <w:p w14:paraId="21600A36">
            <w:pPr>
              <w:keepNext w:val="0"/>
              <w:keepLines w:val="0"/>
              <w:pageBreakBefore w:val="0"/>
              <w:widowControl/>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p>
        </w:tc>
        <w:tc>
          <w:tcPr>
            <w:tcW w:w="706" w:type="dxa"/>
            <w:noWrap w:val="0"/>
            <w:vAlign w:val="center"/>
          </w:tcPr>
          <w:p w14:paraId="6E04346F">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设施配备</w:t>
            </w:r>
          </w:p>
        </w:tc>
        <w:tc>
          <w:tcPr>
            <w:tcW w:w="688" w:type="dxa"/>
            <w:noWrap w:val="0"/>
            <w:vAlign w:val="center"/>
          </w:tcPr>
          <w:p w14:paraId="37CB9F33">
            <w:pPr>
              <w:keepNext w:val="0"/>
              <w:keepLines w:val="0"/>
              <w:pageBreakBefore w:val="0"/>
              <w:kinsoku/>
              <w:wordWrap/>
              <w:overflowPunct/>
              <w:topLinePunct w:val="0"/>
              <w:autoSpaceDE/>
              <w:autoSpaceDN/>
              <w:bidi w:val="0"/>
              <w:adjustRightInd/>
              <w:snapToGrid/>
              <w:spacing w:line="300" w:lineRule="exact"/>
              <w:ind w:left="-105"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9分</w:t>
            </w:r>
          </w:p>
        </w:tc>
        <w:tc>
          <w:tcPr>
            <w:tcW w:w="4732" w:type="dxa"/>
            <w:noWrap w:val="0"/>
            <w:vAlign w:val="center"/>
          </w:tcPr>
          <w:p w14:paraId="5D96ABF5">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4、居住区进行适老化改造，出入口、门厅、平台、台阶、楼梯等设置应符合供养对象使用要求。对居住区缘石坡道、轮椅坡道、公共出入口、扶手、走道、电梯、卫生间、浴室等设施和活动区域地面做防滑处理、安装无障碍扶手等无障碍改造（4分）；</w:t>
            </w:r>
          </w:p>
          <w:p w14:paraId="29E67F01">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5、卧室配置护理型单人床、床头柜、衣柜、轮椅，卧室和过道设置应急照明灯，床头设置紧急呼叫装置（3分）；</w:t>
            </w:r>
          </w:p>
          <w:p w14:paraId="27ED32CA">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6、设有集体浴室</w:t>
            </w:r>
            <w:r>
              <w:rPr>
                <w:rFonts w:hint="eastAsia" w:ascii="方正仿宋_GBK" w:hAnsi="方正仿宋_GBK" w:eastAsia="方正仿宋_GBK" w:cs="方正仿宋_GBK"/>
                <w:sz w:val="21"/>
                <w:szCs w:val="21"/>
              </w:rPr>
              <w:t>或房间内配有浴室</w:t>
            </w:r>
            <w:r>
              <w:rPr>
                <w:rFonts w:hint="eastAsia" w:ascii="方正仿宋_GBK" w:hAnsi="方正仿宋_GBK" w:eastAsia="方正仿宋_GBK" w:cs="方正仿宋_GBK"/>
                <w:color w:val="000000"/>
                <w:sz w:val="21"/>
                <w:szCs w:val="21"/>
              </w:rPr>
              <w:t>，配置失能特困人员洗浴设施，安装空气能等取暖设备，满足特困人员冬天洗澡需求（2分）。</w:t>
            </w:r>
          </w:p>
        </w:tc>
        <w:tc>
          <w:tcPr>
            <w:tcW w:w="1283" w:type="dxa"/>
            <w:noWrap w:val="0"/>
            <w:vAlign w:val="center"/>
          </w:tcPr>
          <w:p w14:paraId="552227A4">
            <w:pPr>
              <w:keepNext w:val="0"/>
              <w:keepLines w:val="0"/>
              <w:pageBreakBefore w:val="0"/>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现场查看，未达到标准不得分。</w:t>
            </w:r>
          </w:p>
        </w:tc>
        <w:tc>
          <w:tcPr>
            <w:tcW w:w="643" w:type="dxa"/>
            <w:noWrap w:val="0"/>
            <w:vAlign w:val="center"/>
          </w:tcPr>
          <w:p w14:paraId="0CE4E125">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p>
        </w:tc>
      </w:tr>
      <w:tr w14:paraId="20A6A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80" w:hRule="atLeast"/>
        </w:trPr>
        <w:tc>
          <w:tcPr>
            <w:tcW w:w="554" w:type="dxa"/>
            <w:vMerge w:val="continue"/>
            <w:noWrap w:val="0"/>
            <w:vAlign w:val="center"/>
          </w:tcPr>
          <w:p w14:paraId="3E9CCCB9">
            <w:pPr>
              <w:keepNext w:val="0"/>
              <w:keepLines w:val="0"/>
              <w:pageBreakBefore w:val="0"/>
              <w:widowControl/>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p>
        </w:tc>
        <w:tc>
          <w:tcPr>
            <w:tcW w:w="706" w:type="dxa"/>
            <w:noWrap w:val="0"/>
            <w:vAlign w:val="center"/>
          </w:tcPr>
          <w:p w14:paraId="39853515">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人员配置</w:t>
            </w:r>
          </w:p>
        </w:tc>
        <w:tc>
          <w:tcPr>
            <w:tcW w:w="688" w:type="dxa"/>
            <w:noWrap w:val="0"/>
            <w:vAlign w:val="center"/>
          </w:tcPr>
          <w:p w14:paraId="319D7387">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8分</w:t>
            </w:r>
          </w:p>
        </w:tc>
        <w:tc>
          <w:tcPr>
            <w:tcW w:w="4732" w:type="dxa"/>
            <w:noWrap w:val="0"/>
            <w:vAlign w:val="center"/>
          </w:tcPr>
          <w:p w14:paraId="7879E851">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7、专兼职管理人员不少于2人，</w:t>
            </w:r>
            <w:r>
              <w:rPr>
                <w:rFonts w:hint="eastAsia" w:ascii="方正仿宋_GBK" w:hAnsi="方正仿宋_GBK" w:eastAsia="方正仿宋_GBK" w:cs="方正仿宋_GBK"/>
                <w:sz w:val="21"/>
                <w:szCs w:val="21"/>
              </w:rPr>
              <w:t>护理员与全失能供养人员的比例不少于1:4、护理员与半失能供养人员的比例不少于1:10</w:t>
            </w:r>
            <w:r>
              <w:rPr>
                <w:rFonts w:hint="eastAsia" w:ascii="方正仿宋_GBK" w:hAnsi="方正仿宋_GBK" w:eastAsia="方正仿宋_GBK" w:cs="方正仿宋_GBK"/>
                <w:color w:val="000000"/>
                <w:sz w:val="21"/>
                <w:szCs w:val="21"/>
              </w:rPr>
              <w:t>，持证护理员占比不少于90%（3分）；</w:t>
            </w:r>
          </w:p>
          <w:p w14:paraId="31FD5879">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8、食堂有饮食许可证，从事餐饮人员有健康证（2分）；</w:t>
            </w:r>
          </w:p>
          <w:p w14:paraId="681916F4">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9、医疗卫生室配备医生持有职业医师资格证、卫生技术人员具备与岗位相适应的资质条件（3分）。</w:t>
            </w:r>
          </w:p>
        </w:tc>
        <w:tc>
          <w:tcPr>
            <w:tcW w:w="1283" w:type="dxa"/>
            <w:noWrap w:val="0"/>
            <w:vAlign w:val="center"/>
          </w:tcPr>
          <w:p w14:paraId="52BB84F3">
            <w:pPr>
              <w:keepNext w:val="0"/>
              <w:keepLines w:val="0"/>
              <w:pageBreakBefore w:val="0"/>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现场查看证照，未达到标准不得分。</w:t>
            </w:r>
          </w:p>
        </w:tc>
        <w:tc>
          <w:tcPr>
            <w:tcW w:w="643" w:type="dxa"/>
            <w:noWrap w:val="0"/>
            <w:vAlign w:val="center"/>
          </w:tcPr>
          <w:p w14:paraId="4FEE717E">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p>
        </w:tc>
      </w:tr>
      <w:tr w14:paraId="55AE4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2" w:hRule="atLeast"/>
        </w:trPr>
        <w:tc>
          <w:tcPr>
            <w:tcW w:w="554" w:type="dxa"/>
            <w:vMerge w:val="restart"/>
            <w:noWrap w:val="0"/>
            <w:vAlign w:val="center"/>
          </w:tcPr>
          <w:p w14:paraId="4C38A8F3">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服务内容</w:t>
            </w:r>
          </w:p>
          <w:p w14:paraId="3017320D">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36分</w:t>
            </w:r>
          </w:p>
        </w:tc>
        <w:tc>
          <w:tcPr>
            <w:tcW w:w="706" w:type="dxa"/>
            <w:noWrap w:val="0"/>
            <w:vAlign w:val="center"/>
          </w:tcPr>
          <w:p w14:paraId="32A1F398">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膳食服务</w:t>
            </w:r>
          </w:p>
        </w:tc>
        <w:tc>
          <w:tcPr>
            <w:tcW w:w="688" w:type="dxa"/>
            <w:noWrap w:val="0"/>
            <w:vAlign w:val="center"/>
          </w:tcPr>
          <w:p w14:paraId="107E0B21">
            <w:pPr>
              <w:keepNext w:val="0"/>
              <w:keepLines w:val="0"/>
              <w:pageBreakBefore w:val="0"/>
              <w:kinsoku/>
              <w:wordWrap/>
              <w:overflowPunct/>
              <w:topLinePunct w:val="0"/>
              <w:autoSpaceDE/>
              <w:autoSpaceDN/>
              <w:bidi w:val="0"/>
              <w:adjustRightInd/>
              <w:snapToGrid/>
              <w:spacing w:line="300" w:lineRule="exact"/>
              <w:ind w:left="-105"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8分</w:t>
            </w:r>
          </w:p>
        </w:tc>
        <w:tc>
          <w:tcPr>
            <w:tcW w:w="4732" w:type="dxa"/>
            <w:noWrap w:val="0"/>
            <w:vAlign w:val="center"/>
          </w:tcPr>
          <w:p w14:paraId="48F153B2">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10、按时提供一日三餐，符合GB14881和GB5749相关规定（4分）；</w:t>
            </w:r>
          </w:p>
          <w:p w14:paraId="7D71F165">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11、每周制定、翻新食谱，食谱公示上墙，并全年归档，保证餐饮安全、营养和健康（4分）。</w:t>
            </w:r>
          </w:p>
        </w:tc>
        <w:tc>
          <w:tcPr>
            <w:tcW w:w="1283" w:type="dxa"/>
            <w:noWrap w:val="0"/>
            <w:vAlign w:val="center"/>
          </w:tcPr>
          <w:p w14:paraId="6D33E7AD">
            <w:pPr>
              <w:keepNext w:val="0"/>
              <w:keepLines w:val="0"/>
              <w:pageBreakBefore w:val="0"/>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查档案，现场查看、访谈，未达到标准不得分。</w:t>
            </w:r>
          </w:p>
        </w:tc>
        <w:tc>
          <w:tcPr>
            <w:tcW w:w="643" w:type="dxa"/>
            <w:noWrap w:val="0"/>
            <w:vAlign w:val="center"/>
          </w:tcPr>
          <w:p w14:paraId="0A3E85C2">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p>
        </w:tc>
      </w:tr>
      <w:tr w14:paraId="57E1F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6" w:hRule="atLeast"/>
        </w:trPr>
        <w:tc>
          <w:tcPr>
            <w:tcW w:w="554" w:type="dxa"/>
            <w:vMerge w:val="continue"/>
            <w:noWrap w:val="0"/>
            <w:vAlign w:val="center"/>
          </w:tcPr>
          <w:p w14:paraId="7F0F1C69">
            <w:pPr>
              <w:keepNext w:val="0"/>
              <w:keepLines w:val="0"/>
              <w:pageBreakBefore w:val="0"/>
              <w:widowControl/>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p>
        </w:tc>
        <w:tc>
          <w:tcPr>
            <w:tcW w:w="706" w:type="dxa"/>
            <w:noWrap w:val="0"/>
            <w:vAlign w:val="center"/>
          </w:tcPr>
          <w:p w14:paraId="1AB647D4">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医疗服务</w:t>
            </w:r>
          </w:p>
        </w:tc>
        <w:tc>
          <w:tcPr>
            <w:tcW w:w="688" w:type="dxa"/>
            <w:noWrap w:val="0"/>
            <w:vAlign w:val="center"/>
          </w:tcPr>
          <w:p w14:paraId="0AF979C5">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12分</w:t>
            </w:r>
          </w:p>
        </w:tc>
        <w:tc>
          <w:tcPr>
            <w:tcW w:w="4732" w:type="dxa"/>
            <w:noWrap w:val="0"/>
            <w:vAlign w:val="center"/>
          </w:tcPr>
          <w:p w14:paraId="54217938">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12、</w:t>
            </w:r>
            <w:r>
              <w:rPr>
                <w:rFonts w:hint="eastAsia" w:ascii="方正仿宋_GBK" w:hAnsi="方正仿宋_GBK" w:eastAsia="方正仿宋_GBK" w:cs="方正仿宋_GBK"/>
                <w:sz w:val="21"/>
                <w:szCs w:val="21"/>
              </w:rPr>
              <w:t>床头或便于查看的位置放置服务卡，标记有老年人的姓名、护理等级、膳食种类、风险防范、特殊照护注意事项等，与护理计划、医嘱相符</w:t>
            </w:r>
            <w:r>
              <w:rPr>
                <w:rFonts w:hint="eastAsia" w:ascii="方正仿宋_GBK" w:hAnsi="方正仿宋_GBK" w:eastAsia="方正仿宋_GBK" w:cs="方正仿宋_GBK"/>
                <w:color w:val="000000"/>
                <w:sz w:val="21"/>
                <w:szCs w:val="21"/>
              </w:rPr>
              <w:t>（4分）；</w:t>
            </w:r>
          </w:p>
          <w:p w14:paraId="3B73903C">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13、医务人员每天1次查房，医务、护理人员每周至少1次联合查房巡诊，有查房记录，</w:t>
            </w:r>
            <w:r>
              <w:rPr>
                <w:rFonts w:hint="eastAsia" w:ascii="方正仿宋_GBK" w:hAnsi="方正仿宋_GBK" w:eastAsia="方正仿宋_GBK" w:cs="方正仿宋_GBK"/>
                <w:sz w:val="21"/>
                <w:szCs w:val="21"/>
              </w:rPr>
              <w:t>有交接班记录表，</w:t>
            </w:r>
            <w:r>
              <w:rPr>
                <w:rFonts w:hint="eastAsia" w:ascii="方正仿宋_GBK" w:hAnsi="方正仿宋_GBK" w:eastAsia="方正仿宋_GBK" w:cs="方正仿宋_GBK"/>
                <w:color w:val="000000"/>
                <w:sz w:val="21"/>
                <w:szCs w:val="21"/>
              </w:rPr>
              <w:t>并全年归档（4分）；</w:t>
            </w:r>
          </w:p>
          <w:p w14:paraId="0255551B">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14、能为供养对象提供基本的医疗服务，包括常见病、慢性病治疗，提供常用药品，帮助特困人员服药（4分）；</w:t>
            </w:r>
          </w:p>
        </w:tc>
        <w:tc>
          <w:tcPr>
            <w:tcW w:w="1283" w:type="dxa"/>
            <w:noWrap w:val="0"/>
            <w:vAlign w:val="center"/>
          </w:tcPr>
          <w:p w14:paraId="41DAB454">
            <w:pPr>
              <w:keepNext w:val="0"/>
              <w:keepLines w:val="0"/>
              <w:pageBreakBefore w:val="0"/>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查档案，现场查看证照台账，未达到标准不得分。</w:t>
            </w:r>
          </w:p>
        </w:tc>
        <w:tc>
          <w:tcPr>
            <w:tcW w:w="643" w:type="dxa"/>
            <w:noWrap w:val="0"/>
            <w:vAlign w:val="center"/>
          </w:tcPr>
          <w:p w14:paraId="66F48CAC">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p>
        </w:tc>
      </w:tr>
      <w:tr w14:paraId="1BF3D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83" w:hRule="atLeast"/>
        </w:trPr>
        <w:tc>
          <w:tcPr>
            <w:tcW w:w="554" w:type="dxa"/>
            <w:vMerge w:val="continue"/>
            <w:noWrap w:val="0"/>
            <w:vAlign w:val="center"/>
          </w:tcPr>
          <w:p w14:paraId="628BFBC7">
            <w:pPr>
              <w:keepNext w:val="0"/>
              <w:keepLines w:val="0"/>
              <w:pageBreakBefore w:val="0"/>
              <w:widowControl/>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p>
        </w:tc>
        <w:tc>
          <w:tcPr>
            <w:tcW w:w="706" w:type="dxa"/>
            <w:noWrap w:val="0"/>
            <w:vAlign w:val="center"/>
          </w:tcPr>
          <w:p w14:paraId="30CC12F7">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卫生服务</w:t>
            </w:r>
          </w:p>
        </w:tc>
        <w:tc>
          <w:tcPr>
            <w:tcW w:w="688" w:type="dxa"/>
            <w:noWrap w:val="0"/>
            <w:vAlign w:val="center"/>
          </w:tcPr>
          <w:p w14:paraId="117F6CA5">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16分</w:t>
            </w:r>
          </w:p>
        </w:tc>
        <w:tc>
          <w:tcPr>
            <w:tcW w:w="4732" w:type="dxa"/>
            <w:noWrap w:val="0"/>
            <w:vAlign w:val="center"/>
          </w:tcPr>
          <w:p w14:paraId="0B1CF4C5">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15、每日定期清扫房间、卫生间、整理特困人员个人物品及生活用品、清洗消毒卫浴设备，保持特困人员居室整洁、地面干燥、无异味，</w:t>
            </w:r>
            <w:r>
              <w:rPr>
                <w:rFonts w:hint="eastAsia" w:ascii="方正仿宋_GBK" w:hAnsi="方正仿宋_GBK" w:eastAsia="方正仿宋_GBK" w:cs="方正仿宋_GBK"/>
                <w:color w:val="000000"/>
                <w:sz w:val="21"/>
                <w:szCs w:val="21"/>
                <w:lang w:eastAsia="zh-CN"/>
              </w:rPr>
              <w:t>建立</w:t>
            </w:r>
            <w:r>
              <w:rPr>
                <w:rFonts w:hint="eastAsia" w:ascii="方正仿宋_GBK" w:hAnsi="方正仿宋_GBK" w:eastAsia="方正仿宋_GBK" w:cs="方正仿宋_GBK"/>
                <w:color w:val="000000"/>
                <w:sz w:val="21"/>
                <w:szCs w:val="21"/>
              </w:rPr>
              <w:t>每日保洁档案（4分）；</w:t>
            </w:r>
          </w:p>
          <w:p w14:paraId="12E0EF6C">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16、定期对走廊、功能活动区及设施设备进行清洁和消毒，保持公共服务区域整洁卫生、无异味，全年建档（4分）；</w:t>
            </w:r>
          </w:p>
          <w:p w14:paraId="35911171">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17、每月至少2次换洗床单、枕套、被套等，</w:t>
            </w:r>
            <w:r>
              <w:rPr>
                <w:rFonts w:hint="eastAsia" w:ascii="方正仿宋_GBK" w:hAnsi="方正仿宋_GBK" w:eastAsia="方正仿宋_GBK" w:cs="方正仿宋_GBK"/>
                <w:sz w:val="21"/>
                <w:szCs w:val="21"/>
              </w:rPr>
              <w:t>衣物每周至少换洗一次，</w:t>
            </w:r>
            <w:r>
              <w:rPr>
                <w:rFonts w:hint="eastAsia" w:ascii="方正仿宋_GBK" w:hAnsi="方正仿宋_GBK" w:eastAsia="方正仿宋_GBK" w:cs="方正仿宋_GBK"/>
                <w:color w:val="000000"/>
                <w:sz w:val="21"/>
                <w:szCs w:val="21"/>
              </w:rPr>
              <w:t>保持生活护理用品清洁、摆放有序，保留图片，建立档案（4分）；</w:t>
            </w:r>
          </w:p>
          <w:p w14:paraId="177284CA">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18、提醒和指导供养对象做好洗漱、沐浴等个人清洁卫生，保持口腔清洁、容貌整洁、无长指（趾）甲、身体清洁无异味，</w:t>
            </w:r>
            <w:r>
              <w:rPr>
                <w:rFonts w:hint="eastAsia" w:ascii="方正仿宋_GBK" w:hAnsi="方正仿宋_GBK" w:eastAsia="方正仿宋_GBK" w:cs="方正仿宋_GBK"/>
                <w:sz w:val="21"/>
                <w:szCs w:val="21"/>
              </w:rPr>
              <w:t>有压疮风险的老年人建立翻身记录表，交接班时检查皮肤状况并做好记录</w:t>
            </w:r>
            <w:r>
              <w:rPr>
                <w:rFonts w:hint="eastAsia" w:ascii="方正仿宋_GBK" w:hAnsi="方正仿宋_GBK" w:eastAsia="方正仿宋_GBK" w:cs="方正仿宋_GBK"/>
                <w:color w:val="000000"/>
                <w:sz w:val="21"/>
                <w:szCs w:val="21"/>
              </w:rPr>
              <w:t>（4分）。</w:t>
            </w:r>
          </w:p>
        </w:tc>
        <w:tc>
          <w:tcPr>
            <w:tcW w:w="1283" w:type="dxa"/>
            <w:noWrap w:val="0"/>
            <w:vAlign w:val="center"/>
          </w:tcPr>
          <w:p w14:paraId="7AF54E47">
            <w:pPr>
              <w:keepNext w:val="0"/>
              <w:keepLines w:val="0"/>
              <w:pageBreakBefore w:val="0"/>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现场查看，查档案，未达到标准不得分。</w:t>
            </w:r>
          </w:p>
        </w:tc>
        <w:tc>
          <w:tcPr>
            <w:tcW w:w="643" w:type="dxa"/>
            <w:noWrap w:val="0"/>
            <w:vAlign w:val="center"/>
          </w:tcPr>
          <w:p w14:paraId="00581F99">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p>
        </w:tc>
      </w:tr>
      <w:tr w14:paraId="3969F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554" w:type="dxa"/>
            <w:noWrap w:val="0"/>
            <w:vAlign w:val="center"/>
          </w:tcPr>
          <w:p w14:paraId="25DE1D13">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安全保障</w:t>
            </w:r>
          </w:p>
          <w:p w14:paraId="7742C6AE">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38分</w:t>
            </w:r>
          </w:p>
        </w:tc>
        <w:tc>
          <w:tcPr>
            <w:tcW w:w="706" w:type="dxa"/>
            <w:noWrap w:val="0"/>
            <w:vAlign w:val="center"/>
          </w:tcPr>
          <w:p w14:paraId="7954CB3F">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消防安全</w:t>
            </w:r>
          </w:p>
        </w:tc>
        <w:tc>
          <w:tcPr>
            <w:tcW w:w="688" w:type="dxa"/>
            <w:noWrap w:val="0"/>
            <w:vAlign w:val="center"/>
          </w:tcPr>
          <w:p w14:paraId="21180650">
            <w:pPr>
              <w:keepNext w:val="0"/>
              <w:keepLines w:val="0"/>
              <w:pageBreakBefore w:val="0"/>
              <w:kinsoku/>
              <w:wordWrap/>
              <w:overflowPunct/>
              <w:topLinePunct w:val="0"/>
              <w:autoSpaceDE/>
              <w:autoSpaceDN/>
              <w:bidi w:val="0"/>
              <w:adjustRightInd/>
              <w:snapToGrid/>
              <w:spacing w:line="300" w:lineRule="exact"/>
              <w:ind w:left="-105"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16分</w:t>
            </w:r>
          </w:p>
        </w:tc>
        <w:tc>
          <w:tcPr>
            <w:tcW w:w="4732" w:type="dxa"/>
            <w:noWrap w:val="0"/>
            <w:vAlign w:val="center"/>
          </w:tcPr>
          <w:p w14:paraId="135B029C">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19、配备有资质的专（兼）职消防管理人员、按规定建立微型消防站、并达到“三知四会一联通，处置要在三分钟”要求（4分）；</w:t>
            </w:r>
          </w:p>
          <w:p w14:paraId="7F7CCFD5">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20、每月至少组织一次防火检查，每日防火巡查，夜间防火巡查不少于五次，并做好记录（4分）；</w:t>
            </w:r>
          </w:p>
          <w:p w14:paraId="6BD30001">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21、制定消防演练、应急疏散预案，每半年至少演练一次，保持安全出口、疏散通道、消防车通道畅通，应急照明、安全疏散指示标志完好，</w:t>
            </w:r>
            <w:r>
              <w:rPr>
                <w:rFonts w:hint="eastAsia" w:ascii="方正仿宋_GBK" w:hAnsi="方正仿宋_GBK" w:eastAsia="方正仿宋_GBK" w:cs="方正仿宋_GBK"/>
                <w:sz w:val="21"/>
                <w:szCs w:val="21"/>
                <w:lang w:eastAsia="zh-TW"/>
              </w:rPr>
              <w:t>养老机构从业人员上岗、转岗前应接受安全教育</w:t>
            </w:r>
            <w:r>
              <w:rPr>
                <w:rFonts w:hint="eastAsia" w:ascii="方正仿宋_GBK" w:hAnsi="方正仿宋_GBK" w:eastAsia="方正仿宋_GBK" w:cs="方正仿宋_GBK"/>
                <w:sz w:val="21"/>
                <w:szCs w:val="21"/>
              </w:rPr>
              <w:t>，有培训记录</w:t>
            </w:r>
            <w:r>
              <w:rPr>
                <w:rFonts w:hint="eastAsia" w:ascii="方正仿宋_GBK" w:hAnsi="方正仿宋_GBK" w:eastAsia="方正仿宋_GBK" w:cs="方正仿宋_GBK"/>
                <w:color w:val="000000"/>
                <w:sz w:val="21"/>
                <w:szCs w:val="21"/>
              </w:rPr>
              <w:t>（4分）；</w:t>
            </w:r>
          </w:p>
          <w:p w14:paraId="443BF011">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22、加强消防设施设备运行和维护保养，每年至少全面检查一次（2分）；</w:t>
            </w:r>
          </w:p>
          <w:p w14:paraId="70F8A3C5">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23、消防安全实体性功能达标，配备独立式烟感报警器、简易喷淋或消防栓。（2分）。</w:t>
            </w:r>
          </w:p>
        </w:tc>
        <w:tc>
          <w:tcPr>
            <w:tcW w:w="1283" w:type="dxa"/>
            <w:noWrap w:val="0"/>
            <w:vAlign w:val="center"/>
          </w:tcPr>
          <w:p w14:paraId="26FA5F35">
            <w:pPr>
              <w:keepNext w:val="0"/>
              <w:keepLines w:val="0"/>
              <w:pageBreakBefore w:val="0"/>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实地检查，查看档案台账、监管记录，不完善项酌情扣分。</w:t>
            </w:r>
          </w:p>
        </w:tc>
        <w:tc>
          <w:tcPr>
            <w:tcW w:w="643" w:type="dxa"/>
            <w:noWrap w:val="0"/>
            <w:vAlign w:val="center"/>
          </w:tcPr>
          <w:p w14:paraId="329BED80">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p>
        </w:tc>
      </w:tr>
      <w:tr w14:paraId="4FE00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3" w:hRule="atLeast"/>
        </w:trPr>
        <w:tc>
          <w:tcPr>
            <w:tcW w:w="554" w:type="dxa"/>
            <w:vMerge w:val="restart"/>
            <w:noWrap w:val="0"/>
            <w:vAlign w:val="center"/>
          </w:tcPr>
          <w:p w14:paraId="1B6D7477">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安全保障</w:t>
            </w:r>
          </w:p>
          <w:p w14:paraId="66B1C811">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38分</w:t>
            </w:r>
          </w:p>
        </w:tc>
        <w:tc>
          <w:tcPr>
            <w:tcW w:w="706" w:type="dxa"/>
            <w:noWrap w:val="0"/>
            <w:vAlign w:val="center"/>
          </w:tcPr>
          <w:p w14:paraId="79C881BB">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餐饮安全</w:t>
            </w:r>
          </w:p>
        </w:tc>
        <w:tc>
          <w:tcPr>
            <w:tcW w:w="688" w:type="dxa"/>
            <w:noWrap w:val="0"/>
            <w:vAlign w:val="center"/>
          </w:tcPr>
          <w:p w14:paraId="1B6D045B">
            <w:pPr>
              <w:keepNext w:val="0"/>
              <w:keepLines w:val="0"/>
              <w:pageBreakBefore w:val="0"/>
              <w:kinsoku/>
              <w:wordWrap/>
              <w:overflowPunct/>
              <w:topLinePunct w:val="0"/>
              <w:autoSpaceDE/>
              <w:autoSpaceDN/>
              <w:bidi w:val="0"/>
              <w:adjustRightInd/>
              <w:snapToGrid/>
              <w:spacing w:line="300" w:lineRule="exact"/>
              <w:ind w:left="-105"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10分</w:t>
            </w:r>
          </w:p>
        </w:tc>
        <w:tc>
          <w:tcPr>
            <w:tcW w:w="4732" w:type="dxa"/>
            <w:noWrap w:val="0"/>
            <w:vAlign w:val="center"/>
          </w:tcPr>
          <w:p w14:paraId="26CC4A3C">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24、建立食品留样备查制度，留样时间不少于48小时（2分）；</w:t>
            </w:r>
          </w:p>
          <w:p w14:paraId="5D7B3E4F">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25、做好餐（饮）具消毒，餐厨垃圾每日处理，餐（饮）具、厨房和就餐区卫生应符合国家相关规定（2分）；</w:t>
            </w:r>
          </w:p>
          <w:p w14:paraId="396BA6DB">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26、膳食的采购、处理、储存、烹饪、供应过程安全全程可控（2分）；</w:t>
            </w:r>
          </w:p>
          <w:p w14:paraId="6DEE2402">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27、燃气安全应符合国家相关规定，设置可燃气体报警装置（2分）；</w:t>
            </w:r>
          </w:p>
          <w:p w14:paraId="51FE0121">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28、托养机构周边50米内无高大杨树、危险建筑，5公里内无危化品企业等有害环境因素（2分）。</w:t>
            </w:r>
          </w:p>
        </w:tc>
        <w:tc>
          <w:tcPr>
            <w:tcW w:w="1283" w:type="dxa"/>
            <w:vMerge w:val="restart"/>
            <w:noWrap w:val="0"/>
            <w:vAlign w:val="center"/>
          </w:tcPr>
          <w:p w14:paraId="56943BFB">
            <w:pPr>
              <w:keepNext w:val="0"/>
              <w:keepLines w:val="0"/>
              <w:pageBreakBefore w:val="0"/>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实地检查，查看档案台账、监管记录，不完善项酌情扣分。</w:t>
            </w:r>
          </w:p>
        </w:tc>
        <w:tc>
          <w:tcPr>
            <w:tcW w:w="643" w:type="dxa"/>
            <w:noWrap w:val="0"/>
            <w:vAlign w:val="center"/>
          </w:tcPr>
          <w:p w14:paraId="309F4C6A">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p>
        </w:tc>
      </w:tr>
      <w:tr w14:paraId="0BE12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9" w:hRule="atLeast"/>
        </w:trPr>
        <w:tc>
          <w:tcPr>
            <w:tcW w:w="554" w:type="dxa"/>
            <w:vMerge w:val="continue"/>
            <w:noWrap w:val="0"/>
            <w:vAlign w:val="center"/>
          </w:tcPr>
          <w:p w14:paraId="5F3F6173">
            <w:pPr>
              <w:keepNext w:val="0"/>
              <w:keepLines w:val="0"/>
              <w:pageBreakBefore w:val="0"/>
              <w:widowControl/>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p>
        </w:tc>
        <w:tc>
          <w:tcPr>
            <w:tcW w:w="706" w:type="dxa"/>
            <w:noWrap w:val="0"/>
            <w:vAlign w:val="center"/>
          </w:tcPr>
          <w:p w14:paraId="422C2F2B">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其他安全</w:t>
            </w:r>
          </w:p>
        </w:tc>
        <w:tc>
          <w:tcPr>
            <w:tcW w:w="688" w:type="dxa"/>
            <w:noWrap w:val="0"/>
            <w:vAlign w:val="center"/>
          </w:tcPr>
          <w:p w14:paraId="35DB6C15">
            <w:pPr>
              <w:keepNext w:val="0"/>
              <w:keepLines w:val="0"/>
              <w:pageBreakBefore w:val="0"/>
              <w:kinsoku/>
              <w:wordWrap/>
              <w:overflowPunct/>
              <w:topLinePunct w:val="0"/>
              <w:autoSpaceDE/>
              <w:autoSpaceDN/>
              <w:bidi w:val="0"/>
              <w:adjustRightInd/>
              <w:snapToGrid/>
              <w:spacing w:line="300" w:lineRule="exact"/>
              <w:ind w:left="-105"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8分</w:t>
            </w:r>
          </w:p>
        </w:tc>
        <w:tc>
          <w:tcPr>
            <w:tcW w:w="4732" w:type="dxa"/>
            <w:noWrap w:val="0"/>
            <w:vAlign w:val="center"/>
          </w:tcPr>
          <w:p w14:paraId="57363F99">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29、房屋安全经鉴定合格，没有安全隐患（2分）；</w:t>
            </w:r>
          </w:p>
          <w:p w14:paraId="37C19CC2">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30、定期组织对电器产品及其线路、管路进行维护保养和检测，及时整改电气火灾隐患，</w:t>
            </w:r>
            <w:r>
              <w:rPr>
                <w:rFonts w:hint="eastAsia" w:ascii="方正仿宋_GBK" w:hAnsi="方正仿宋_GBK" w:eastAsia="方正仿宋_GBK" w:cs="方正仿宋_GBK"/>
                <w:sz w:val="21"/>
                <w:szCs w:val="21"/>
              </w:rPr>
              <w:t>供养对象生活、活动区域应禁止吸烟</w:t>
            </w:r>
            <w:r>
              <w:rPr>
                <w:rFonts w:hint="eastAsia" w:ascii="方正仿宋_GBK" w:hAnsi="方正仿宋_GBK" w:eastAsia="方正仿宋_GBK" w:cs="方正仿宋_GBK"/>
                <w:color w:val="000000"/>
                <w:sz w:val="21"/>
                <w:szCs w:val="21"/>
              </w:rPr>
              <w:t>（2分）；</w:t>
            </w:r>
          </w:p>
          <w:p w14:paraId="24FED6AC">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31、建立视频监控系统，对养老院公共区域进行全方位监控，数据保存时间不少于90日（2分）；</w:t>
            </w:r>
          </w:p>
          <w:p w14:paraId="448AE00E">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32、落实24小时值班制度，有值班记录，民政安全监管系统数据完备（2分）。</w:t>
            </w:r>
          </w:p>
        </w:tc>
        <w:tc>
          <w:tcPr>
            <w:tcW w:w="1283" w:type="dxa"/>
            <w:vMerge w:val="continue"/>
            <w:noWrap w:val="0"/>
            <w:vAlign w:val="center"/>
          </w:tcPr>
          <w:p w14:paraId="7E5FEA0C">
            <w:pPr>
              <w:keepNext w:val="0"/>
              <w:keepLines w:val="0"/>
              <w:pageBreakBefore w:val="0"/>
              <w:widowControl/>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p>
        </w:tc>
        <w:tc>
          <w:tcPr>
            <w:tcW w:w="643" w:type="dxa"/>
            <w:noWrap w:val="0"/>
            <w:vAlign w:val="center"/>
          </w:tcPr>
          <w:p w14:paraId="043D382A">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p>
        </w:tc>
      </w:tr>
      <w:tr w14:paraId="74A34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4" w:type="dxa"/>
            <w:vMerge w:val="continue"/>
            <w:noWrap w:val="0"/>
            <w:vAlign w:val="center"/>
          </w:tcPr>
          <w:p w14:paraId="327DF9CB">
            <w:pPr>
              <w:keepNext w:val="0"/>
              <w:keepLines w:val="0"/>
              <w:pageBreakBefore w:val="0"/>
              <w:widowControl/>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p>
        </w:tc>
        <w:tc>
          <w:tcPr>
            <w:tcW w:w="706" w:type="dxa"/>
            <w:noWrap w:val="0"/>
            <w:vAlign w:val="center"/>
          </w:tcPr>
          <w:p w14:paraId="0A2DCD27">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应急处理</w:t>
            </w:r>
          </w:p>
        </w:tc>
        <w:tc>
          <w:tcPr>
            <w:tcW w:w="688" w:type="dxa"/>
            <w:noWrap w:val="0"/>
            <w:vAlign w:val="center"/>
          </w:tcPr>
          <w:p w14:paraId="6F8571BF">
            <w:pPr>
              <w:keepNext w:val="0"/>
              <w:keepLines w:val="0"/>
              <w:pageBreakBefore w:val="0"/>
              <w:kinsoku/>
              <w:wordWrap/>
              <w:overflowPunct/>
              <w:topLinePunct w:val="0"/>
              <w:autoSpaceDE/>
              <w:autoSpaceDN/>
              <w:bidi w:val="0"/>
              <w:adjustRightInd/>
              <w:snapToGrid/>
              <w:spacing w:line="300" w:lineRule="exact"/>
              <w:ind w:left="-105"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4分</w:t>
            </w:r>
          </w:p>
        </w:tc>
        <w:tc>
          <w:tcPr>
            <w:tcW w:w="4732" w:type="dxa"/>
            <w:noWrap w:val="0"/>
            <w:vAlign w:val="center"/>
          </w:tcPr>
          <w:p w14:paraId="35ABB947">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33、有突发事件应急处理预案，</w:t>
            </w:r>
            <w:r>
              <w:rPr>
                <w:rFonts w:hint="eastAsia" w:ascii="方正仿宋_GBK" w:hAnsi="方正仿宋_GBK" w:eastAsia="方正仿宋_GBK" w:cs="方正仿宋_GBK"/>
                <w:sz w:val="21"/>
                <w:szCs w:val="21"/>
              </w:rPr>
              <w:t>内容包括但不限于</w:t>
            </w:r>
            <w:r>
              <w:rPr>
                <w:rFonts w:hint="eastAsia" w:ascii="方正仿宋_GBK" w:hAnsi="方正仿宋_GBK" w:eastAsia="方正仿宋_GBK" w:cs="方正仿宋_GBK"/>
                <w:sz w:val="21"/>
                <w:szCs w:val="21"/>
                <w:lang w:eastAsia="zh-TW"/>
              </w:rPr>
              <w:t>噎食、压疮、坠床、烫伤、跌倒、走失、他伤和自伤、食品药品误食、文娱活动意外突发事件</w:t>
            </w:r>
            <w:r>
              <w:rPr>
                <w:rFonts w:hint="eastAsia" w:ascii="方正仿宋_GBK" w:hAnsi="方正仿宋_GBK" w:eastAsia="方正仿宋_GBK" w:cs="方正仿宋_GBK"/>
                <w:color w:val="000000"/>
                <w:sz w:val="21"/>
                <w:szCs w:val="21"/>
              </w:rPr>
              <w:t>（2分）；</w:t>
            </w:r>
          </w:p>
          <w:p w14:paraId="0F131B4A">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34、与辖区医院建立绿色通道，确保供养对象出现重大疾病能及时救助（2分）。</w:t>
            </w:r>
          </w:p>
        </w:tc>
        <w:tc>
          <w:tcPr>
            <w:tcW w:w="1283" w:type="dxa"/>
            <w:vMerge w:val="continue"/>
            <w:noWrap w:val="0"/>
            <w:vAlign w:val="center"/>
          </w:tcPr>
          <w:p w14:paraId="18E5737C">
            <w:pPr>
              <w:keepNext w:val="0"/>
              <w:keepLines w:val="0"/>
              <w:pageBreakBefore w:val="0"/>
              <w:widowControl/>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p>
        </w:tc>
        <w:tc>
          <w:tcPr>
            <w:tcW w:w="643" w:type="dxa"/>
            <w:noWrap w:val="0"/>
            <w:vAlign w:val="center"/>
          </w:tcPr>
          <w:p w14:paraId="3DAE15FB">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p>
        </w:tc>
      </w:tr>
      <w:tr w14:paraId="63EB2D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4" w:type="dxa"/>
            <w:vMerge w:val="continue"/>
            <w:noWrap w:val="0"/>
            <w:vAlign w:val="center"/>
          </w:tcPr>
          <w:p w14:paraId="48A9123B">
            <w:pPr>
              <w:keepNext w:val="0"/>
              <w:keepLines w:val="0"/>
              <w:pageBreakBefore w:val="0"/>
              <w:widowControl/>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p>
        </w:tc>
        <w:tc>
          <w:tcPr>
            <w:tcW w:w="706" w:type="dxa"/>
            <w:noWrap w:val="0"/>
            <w:vAlign w:val="center"/>
          </w:tcPr>
          <w:p w14:paraId="5F3053E5">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舆情投诉</w:t>
            </w:r>
          </w:p>
        </w:tc>
        <w:tc>
          <w:tcPr>
            <w:tcW w:w="688" w:type="dxa"/>
            <w:noWrap w:val="0"/>
            <w:vAlign w:val="center"/>
          </w:tcPr>
          <w:p w14:paraId="3480BE97">
            <w:pPr>
              <w:keepNext w:val="0"/>
              <w:keepLines w:val="0"/>
              <w:pageBreakBefore w:val="0"/>
              <w:kinsoku/>
              <w:wordWrap/>
              <w:overflowPunct/>
              <w:topLinePunct w:val="0"/>
              <w:autoSpaceDE/>
              <w:autoSpaceDN/>
              <w:bidi w:val="0"/>
              <w:adjustRightInd/>
              <w:snapToGrid/>
              <w:spacing w:line="300" w:lineRule="exact"/>
              <w:ind w:left="-105"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扣分</w:t>
            </w:r>
          </w:p>
        </w:tc>
        <w:tc>
          <w:tcPr>
            <w:tcW w:w="4732" w:type="dxa"/>
            <w:noWrap w:val="0"/>
            <w:vAlign w:val="center"/>
          </w:tcPr>
          <w:p w14:paraId="34295BFA">
            <w:pPr>
              <w:keepNext w:val="0"/>
              <w:keepLines w:val="0"/>
              <w:pageBreakBefore w:val="0"/>
              <w:kinsoku/>
              <w:wordWrap/>
              <w:overflowPunct/>
              <w:topLinePunct w:val="0"/>
              <w:autoSpaceDE/>
              <w:autoSpaceDN/>
              <w:bidi w:val="0"/>
              <w:adjustRightInd/>
              <w:snapToGrid/>
              <w:spacing w:line="300" w:lineRule="exact"/>
              <w:ind w:firstLine="0"/>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无虐老、欺老、管理不到位等问题，每发生一起负面舆情或问政事件，扣2分。</w:t>
            </w:r>
          </w:p>
        </w:tc>
        <w:tc>
          <w:tcPr>
            <w:tcW w:w="1283" w:type="dxa"/>
            <w:vMerge w:val="continue"/>
            <w:noWrap w:val="0"/>
            <w:vAlign w:val="center"/>
          </w:tcPr>
          <w:p w14:paraId="33F24AF0">
            <w:pPr>
              <w:keepNext w:val="0"/>
              <w:keepLines w:val="0"/>
              <w:pageBreakBefore w:val="0"/>
              <w:widowControl/>
              <w:kinsoku/>
              <w:wordWrap/>
              <w:overflowPunct/>
              <w:topLinePunct w:val="0"/>
              <w:autoSpaceDE/>
              <w:autoSpaceDN/>
              <w:bidi w:val="0"/>
              <w:adjustRightInd/>
              <w:snapToGrid/>
              <w:spacing w:line="300" w:lineRule="exact"/>
              <w:ind w:firstLine="0"/>
              <w:jc w:val="left"/>
              <w:textAlignment w:val="auto"/>
              <w:outlineLvl w:val="9"/>
              <w:rPr>
                <w:rFonts w:hint="eastAsia" w:ascii="方正仿宋_GBK" w:hAnsi="方正仿宋_GBK" w:eastAsia="方正仿宋_GBK" w:cs="方正仿宋_GBK"/>
                <w:color w:val="000000"/>
                <w:sz w:val="21"/>
                <w:szCs w:val="21"/>
              </w:rPr>
            </w:pPr>
          </w:p>
        </w:tc>
        <w:tc>
          <w:tcPr>
            <w:tcW w:w="643" w:type="dxa"/>
            <w:noWrap w:val="0"/>
            <w:vAlign w:val="center"/>
          </w:tcPr>
          <w:p w14:paraId="2EC33B82">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p>
        </w:tc>
      </w:tr>
      <w:tr w14:paraId="53C15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4" w:type="dxa"/>
            <w:noWrap w:val="0"/>
            <w:vAlign w:val="center"/>
          </w:tcPr>
          <w:p w14:paraId="119FAAD0">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p>
        </w:tc>
        <w:tc>
          <w:tcPr>
            <w:tcW w:w="706" w:type="dxa"/>
            <w:noWrap w:val="0"/>
            <w:vAlign w:val="center"/>
          </w:tcPr>
          <w:p w14:paraId="69B8DED5">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考核得分</w:t>
            </w:r>
          </w:p>
        </w:tc>
        <w:tc>
          <w:tcPr>
            <w:tcW w:w="688" w:type="dxa"/>
            <w:noWrap w:val="0"/>
            <w:vAlign w:val="center"/>
          </w:tcPr>
          <w:p w14:paraId="36EDC197">
            <w:pPr>
              <w:keepNext w:val="0"/>
              <w:keepLines w:val="0"/>
              <w:pageBreakBefore w:val="0"/>
              <w:kinsoku/>
              <w:wordWrap/>
              <w:overflowPunct/>
              <w:topLinePunct w:val="0"/>
              <w:autoSpaceDE/>
              <w:autoSpaceDN/>
              <w:bidi w:val="0"/>
              <w:adjustRightInd/>
              <w:snapToGrid/>
              <w:spacing w:line="300" w:lineRule="exact"/>
              <w:ind w:left="-105" w:firstLine="0"/>
              <w:jc w:val="center"/>
              <w:textAlignment w:val="auto"/>
              <w:outlineLvl w:val="9"/>
              <w:rPr>
                <w:rFonts w:hint="eastAsia" w:ascii="方正仿宋_GBK" w:hAnsi="方正仿宋_GBK" w:eastAsia="方正仿宋_GBK" w:cs="方正仿宋_GBK"/>
                <w:color w:val="000000"/>
                <w:sz w:val="21"/>
                <w:szCs w:val="21"/>
              </w:rPr>
            </w:pPr>
          </w:p>
        </w:tc>
        <w:tc>
          <w:tcPr>
            <w:tcW w:w="4732" w:type="dxa"/>
            <w:noWrap w:val="0"/>
            <w:vAlign w:val="center"/>
          </w:tcPr>
          <w:p w14:paraId="64C0ADB4">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优秀</w:t>
            </w:r>
            <w:r>
              <w:rPr>
                <w:rFonts w:hint="eastAsia" w:ascii="仿宋" w:hAnsi="仿宋" w:eastAsia="仿宋" w:cs="仿宋"/>
                <w:b w:val="0"/>
                <w:bCs/>
                <w:color w:val="000000"/>
                <w:sz w:val="21"/>
                <w:szCs w:val="21"/>
                <w:u w:val="none"/>
                <w:lang w:eastAsia="zh-CN"/>
              </w:rPr>
              <w:t>□</w:t>
            </w:r>
            <w:r>
              <w:rPr>
                <w:rFonts w:hint="eastAsia" w:ascii="方正仿宋_GBK" w:hAnsi="方正仿宋_GBK" w:eastAsia="方正仿宋_GBK" w:cs="方正仿宋_GBK"/>
                <w:color w:val="000000"/>
                <w:sz w:val="21"/>
                <w:szCs w:val="21"/>
              </w:rPr>
              <w:t xml:space="preserve">   良好</w:t>
            </w:r>
            <w:r>
              <w:rPr>
                <w:rFonts w:hint="eastAsia" w:ascii="仿宋" w:hAnsi="仿宋" w:eastAsia="仿宋" w:cs="仿宋"/>
                <w:b w:val="0"/>
                <w:bCs/>
                <w:color w:val="000000"/>
                <w:sz w:val="21"/>
                <w:szCs w:val="21"/>
                <w:u w:val="none"/>
                <w:lang w:eastAsia="zh-CN"/>
              </w:rPr>
              <w:t>□</w:t>
            </w:r>
            <w:r>
              <w:rPr>
                <w:rFonts w:hint="eastAsia" w:ascii="方正仿宋_GBK" w:hAnsi="方正仿宋_GBK" w:eastAsia="方正仿宋_GBK" w:cs="方正仿宋_GBK"/>
                <w:color w:val="000000"/>
                <w:sz w:val="21"/>
                <w:szCs w:val="21"/>
              </w:rPr>
              <w:t xml:space="preserve">   合格</w:t>
            </w:r>
            <w:r>
              <w:rPr>
                <w:rFonts w:hint="eastAsia" w:ascii="仿宋" w:hAnsi="仿宋" w:eastAsia="仿宋" w:cs="仿宋"/>
                <w:b w:val="0"/>
                <w:bCs/>
                <w:color w:val="000000"/>
                <w:sz w:val="21"/>
                <w:szCs w:val="21"/>
                <w:u w:val="none"/>
                <w:lang w:eastAsia="zh-CN"/>
              </w:rPr>
              <w:t>□</w:t>
            </w:r>
            <w:r>
              <w:rPr>
                <w:rFonts w:hint="eastAsia" w:ascii="方正仿宋_GBK" w:hAnsi="方正仿宋_GBK" w:eastAsia="方正仿宋_GBK" w:cs="方正仿宋_GBK"/>
                <w:color w:val="000000"/>
                <w:sz w:val="21"/>
                <w:szCs w:val="21"/>
              </w:rPr>
              <w:t xml:space="preserve">   不合格</w:t>
            </w:r>
            <w:r>
              <w:rPr>
                <w:rFonts w:hint="eastAsia" w:ascii="仿宋" w:hAnsi="仿宋" w:eastAsia="仿宋" w:cs="仿宋"/>
                <w:b w:val="0"/>
                <w:bCs/>
                <w:color w:val="000000"/>
                <w:sz w:val="21"/>
                <w:szCs w:val="21"/>
                <w:u w:val="none"/>
                <w:lang w:eastAsia="zh-CN"/>
              </w:rPr>
              <w:t>□</w:t>
            </w:r>
          </w:p>
        </w:tc>
        <w:tc>
          <w:tcPr>
            <w:tcW w:w="1283" w:type="dxa"/>
            <w:noWrap w:val="0"/>
            <w:vAlign w:val="center"/>
          </w:tcPr>
          <w:p w14:paraId="58122C87">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p>
        </w:tc>
        <w:tc>
          <w:tcPr>
            <w:tcW w:w="643" w:type="dxa"/>
            <w:noWrap w:val="0"/>
            <w:vAlign w:val="center"/>
          </w:tcPr>
          <w:p w14:paraId="3DDB39A7">
            <w:pPr>
              <w:keepNext w:val="0"/>
              <w:keepLines w:val="0"/>
              <w:pageBreakBefore w:val="0"/>
              <w:kinsoku/>
              <w:wordWrap/>
              <w:overflowPunct/>
              <w:topLinePunct w:val="0"/>
              <w:autoSpaceDE/>
              <w:autoSpaceDN/>
              <w:bidi w:val="0"/>
              <w:adjustRightInd/>
              <w:snapToGrid/>
              <w:spacing w:line="300" w:lineRule="exact"/>
              <w:ind w:firstLine="0"/>
              <w:jc w:val="center"/>
              <w:textAlignment w:val="auto"/>
              <w:outlineLvl w:val="9"/>
              <w:rPr>
                <w:rFonts w:hint="eastAsia" w:ascii="方正仿宋_GBK" w:hAnsi="方正仿宋_GBK" w:eastAsia="方正仿宋_GBK" w:cs="方正仿宋_GBK"/>
                <w:color w:val="000000"/>
                <w:sz w:val="21"/>
                <w:szCs w:val="21"/>
              </w:rPr>
            </w:pPr>
          </w:p>
        </w:tc>
      </w:tr>
    </w:tbl>
    <w:p w14:paraId="45B0BF90">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rPr>
        <w:t>考核总分为100分，由</w:t>
      </w:r>
      <w:r>
        <w:rPr>
          <w:rFonts w:hint="eastAsia" w:ascii="方正仿宋_GBK" w:hAnsi="方正仿宋_GBK" w:eastAsia="方正仿宋_GBK" w:cs="方正仿宋_GBK"/>
          <w:sz w:val="24"/>
          <w:szCs w:val="24"/>
          <w:lang w:val="en-US" w:eastAsia="zh-CN"/>
        </w:rPr>
        <w:t>招标人</w:t>
      </w:r>
      <w:r>
        <w:rPr>
          <w:rFonts w:hint="eastAsia" w:ascii="方正仿宋_GBK" w:hAnsi="方正仿宋_GBK" w:eastAsia="方正仿宋_GBK" w:cs="方正仿宋_GBK"/>
          <w:sz w:val="24"/>
          <w:szCs w:val="24"/>
        </w:rPr>
        <w:t>组织相关人员成立考核小组，按季度考核按表上要求进行扣分。</w:t>
      </w:r>
    </w:p>
    <w:p w14:paraId="38357AA7">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考核得分90（含）分及以上为优秀，不进行扣罚；低于90分且高于80分（含）为良好，每分扣300元；低于80分且高于70分（含）为合格，每分扣400元；低于70分为不合格，每分扣500元，扣罚金额在季度考核的服务费中扣除。</w:t>
      </w:r>
    </w:p>
    <w:p w14:paraId="6038DFD5">
      <w:pPr>
        <w:pageBreakBefore w:val="0"/>
        <w:kinsoku/>
        <w:wordWrap/>
        <w:overflowPunct/>
        <w:topLinePunct w:val="0"/>
        <w:autoSpaceDE/>
        <w:autoSpaceDN/>
        <w:bidi w:val="0"/>
        <w:adjustRightInd/>
        <w:snapToGrid/>
        <w:spacing w:line="500" w:lineRule="exact"/>
        <w:ind w:firstLine="0"/>
        <w:textAlignment w:val="auto"/>
        <w:outlineLvl w:val="9"/>
        <w:rPr>
          <w:rFonts w:hint="eastAsia" w:ascii="方正仿宋_GB2312" w:hAnsi="方正仿宋_GB2312" w:eastAsia="方正仿宋_GB2312" w:cs="方正仿宋_GB2312"/>
          <w:color w:val="auto"/>
          <w:sz w:val="24"/>
          <w:szCs w:val="24"/>
          <w:highlight w:val="none"/>
        </w:rPr>
      </w:pPr>
      <w:bookmarkStart w:id="21" w:name="_GoBack"/>
      <w:bookmarkEnd w:id="21"/>
      <w:r>
        <w:rPr>
          <w:rFonts w:hint="eastAsia" w:ascii="方正仿宋_GBK" w:hAnsi="方正仿宋_GBK" w:eastAsia="方正仿宋_GBK" w:cs="方正仿宋_GBK"/>
          <w:sz w:val="24"/>
          <w:szCs w:val="24"/>
        </w:rPr>
        <w:t>3.若得分低于70分或考核发现相同问题连续重复出现两次以上，限期整改，如限期内依然达不到要求的，按照服务费的10%罚款并解除合同。</w:t>
      </w:r>
    </w:p>
    <w:p w14:paraId="69862268">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hint="eastAsia" w:ascii="方正仿宋_GB2312" w:hAnsi="方正仿宋_GB2312" w:eastAsia="方正仿宋_GB2312" w:cs="方正仿宋_GB2312"/>
          <w:color w:val="auto"/>
          <w:sz w:val="24"/>
          <w:szCs w:val="24"/>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E55EE4EA-413C-4655-AAD6-449D22CEE515}"/>
  </w:font>
  <w:font w:name="方正仿宋_GB2312">
    <w:panose1 w:val="02000000000000000000"/>
    <w:charset w:val="86"/>
    <w:family w:val="auto"/>
    <w:pitch w:val="default"/>
    <w:sig w:usb0="A00002BF" w:usb1="184F6CFA" w:usb2="00000012" w:usb3="00000000" w:csb0="00040001" w:csb1="00000000"/>
    <w:embedRegular r:id="rId2" w:fontKey="{0E3892D2-35A0-4200-8791-8281ACEEC9DF}"/>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K">
    <w:panose1 w:val="02000000000000000000"/>
    <w:charset w:val="86"/>
    <w:family w:val="script"/>
    <w:pitch w:val="default"/>
    <w:sig w:usb0="A00002BF" w:usb1="38CF7CFA" w:usb2="00082016" w:usb3="00000000" w:csb0="00040001" w:csb1="00000000"/>
    <w:embedRegular r:id="rId3" w:fontKey="{8DBC0CCD-3004-4645-AF1A-942D8277E2CC}"/>
  </w:font>
  <w:font w:name="仿宋">
    <w:panose1 w:val="02010609060101010101"/>
    <w:charset w:val="86"/>
    <w:family w:val="modern"/>
    <w:pitch w:val="default"/>
    <w:sig w:usb0="800002BF" w:usb1="38CF7CFA" w:usb2="00000016" w:usb3="00000000" w:csb0="00040001" w:csb1="00000000"/>
    <w:embedRegular r:id="rId4" w:fontKey="{4FAECEEB-4D42-4956-8B2B-6D04CA88793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NGE1ZjA3OWVhYTQxNzRkYmQwYTJjYjg4OGRkYTAifQ=="/>
  </w:docVars>
  <w:rsids>
    <w:rsidRoot w:val="417E5596"/>
    <w:rsid w:val="03E53A7C"/>
    <w:rsid w:val="10164ED0"/>
    <w:rsid w:val="103C5C8B"/>
    <w:rsid w:val="108C51BC"/>
    <w:rsid w:val="151412DC"/>
    <w:rsid w:val="24380BED"/>
    <w:rsid w:val="3048375D"/>
    <w:rsid w:val="312245A1"/>
    <w:rsid w:val="335D2E44"/>
    <w:rsid w:val="3EBA2645"/>
    <w:rsid w:val="3FA75717"/>
    <w:rsid w:val="417E5596"/>
    <w:rsid w:val="41DB7B5E"/>
    <w:rsid w:val="43CD549F"/>
    <w:rsid w:val="48F5501D"/>
    <w:rsid w:val="50C64E79"/>
    <w:rsid w:val="53F513BE"/>
    <w:rsid w:val="578E568F"/>
    <w:rsid w:val="5967369D"/>
    <w:rsid w:val="6498237D"/>
    <w:rsid w:val="67A27D14"/>
    <w:rsid w:val="6BCB7ABB"/>
    <w:rsid w:val="6C4E3B5B"/>
    <w:rsid w:val="707A5E1D"/>
    <w:rsid w:val="720C7F4E"/>
    <w:rsid w:val="7FFF1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customStyle="1" w:styleId="5">
    <w:name w:val="正文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
    <w:name w:val="正文_16_0_0"/>
    <w:next w:val="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
    <w:name w:val="正文缩进_1_0_0"/>
    <w:basedOn w:val="6"/>
    <w:unhideWhenUsed/>
    <w:qFormat/>
    <w:uiPriority w:val="0"/>
    <w:pPr>
      <w:widowControl/>
      <w:spacing w:beforeLines="0" w:afterLines="0"/>
      <w:ind w:firstLine="420"/>
      <w:jc w:val="left"/>
    </w:pPr>
    <w:rPr>
      <w:rFonts w:hint="eastAsia" w:ascii="Times New Roman" w:hAnsi="Times New Roman" w:eastAsia="Times New Roman"/>
      <w:sz w:val="20"/>
      <w:szCs w:val="24"/>
    </w:rPr>
  </w:style>
  <w:style w:type="paragraph" w:customStyle="1" w:styleId="8">
    <w:name w:val="目录 11"/>
    <w:basedOn w:val="1"/>
    <w:next w:val="1"/>
    <w:semiHidden/>
    <w:qFormat/>
    <w:uiPriority w:val="0"/>
    <w:pPr>
      <w:tabs>
        <w:tab w:val="right" w:leader="dot" w:pos="8720"/>
      </w:tabs>
      <w:spacing w:before="120" w:after="120" w:line="400" w:lineRule="exact"/>
      <w:jc w:val="left"/>
    </w:pPr>
    <w:rPr>
      <w:rFonts w:ascii="宋体" w:hAnsi="宋体"/>
      <w:caps/>
      <w:sz w:val="24"/>
      <w:szCs w:val="24"/>
    </w:rPr>
  </w:style>
  <w:style w:type="character" w:customStyle="1" w:styleId="9">
    <w:name w:val="NormalCharacter"/>
    <w:qFormat/>
    <w:uiPriority w:val="0"/>
    <w:rPr>
      <w:rFonts w:ascii="Calibri" w:hAnsi="Calibri"/>
      <w:kern w:val="2"/>
      <w:sz w:val="21"/>
      <w:szCs w:val="22"/>
      <w:lang w:val="en-US" w:eastAsia="zh-CN" w:bidi="ar-SA"/>
    </w:rPr>
  </w:style>
  <w:style w:type="paragraph" w:customStyle="1" w:styleId="10">
    <w:name w:val="UserStyle_224"/>
    <w:qFormat/>
    <w:uiPriority w:val="0"/>
    <w:pPr>
      <w:jc w:val="both"/>
      <w:textAlignment w:val="baseline"/>
    </w:pPr>
    <w:rPr>
      <w:rFonts w:ascii="Times New Roman" w:hAnsi="Times New Roman" w:eastAsia="宋体" w:cs="Times New Roman"/>
      <w:kern w:val="2"/>
      <w:sz w:val="21"/>
      <w:szCs w:val="24"/>
      <w:lang w:val="en-US" w:eastAsia="zh-CN" w:bidi="ar-SA"/>
    </w:rPr>
  </w:style>
  <w:style w:type="character" w:customStyle="1" w:styleId="11">
    <w:name w:val="font31"/>
    <w:basedOn w:val="4"/>
    <w:qFormat/>
    <w:uiPriority w:val="0"/>
    <w:rPr>
      <w:rFonts w:hint="eastAsia" w:ascii="方正仿宋_GBK" w:hAnsi="方正仿宋_GBK" w:eastAsia="方正仿宋_GBK" w:cs="方正仿宋_GBK"/>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3004</Words>
  <Characters>3087</Characters>
  <Lines>0</Lines>
  <Paragraphs>0</Paragraphs>
  <TotalTime>0</TotalTime>
  <ScaleCrop>false</ScaleCrop>
  <LinksUpToDate>false</LinksUpToDate>
  <CharactersWithSpaces>3094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2024-07-06T06:52:00Z</dcterms:created>
  <dc:creator>左手</dc:creator>
  <cp:lastModifiedBy>春暖花开</cp:lastModifiedBy>
  <dcterms:modified xsi:type="dcterms:W3CDTF">2026-10-21T06:09:50Z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84B20006B08A4494900AEF82CB38CA53_11</vt:lpwstr>
  </property>
  <property fmtid="{D5CDD505-2E9C-101B-9397-08002B2CF9AE}" pid="4" name="KSOTemplateDocerSaveRecord">
    <vt:lpwstr>eyJoZGlkIjoiM2RiZDY3MGZmNmQwNWIyMzE4OGQwOGVlN2EwM2I1NjgiLCJ1c2VySWQiOiI0MTAzODI5MzAifQ==</vt:lpwstr>
  </property>
</Properties>
</file>