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C387D">
      <w:pPr>
        <w:keepNext/>
        <w:jc w:val="center"/>
        <w:outlineLvl w:val="0"/>
        <w:rPr>
          <w:rFonts w:eastAsia="黑体"/>
          <w:bCs/>
          <w:color w:val="auto"/>
          <w:sz w:val="44"/>
          <w:szCs w:val="28"/>
          <w:highlight w:val="none"/>
        </w:rPr>
      </w:pPr>
      <w:bookmarkStart w:id="0" w:name="_GoBack"/>
      <w:bookmarkEnd w:id="0"/>
      <w:r>
        <w:rPr>
          <w:rFonts w:hint="eastAsia" w:eastAsia="黑体"/>
          <w:bCs/>
          <w:color w:val="auto"/>
          <w:sz w:val="44"/>
          <w:szCs w:val="28"/>
          <w:highlight w:val="none"/>
        </w:rPr>
        <w:t>采购需求</w:t>
      </w:r>
    </w:p>
    <w:p w14:paraId="2BBB0D38">
      <w:pPr>
        <w:snapToGrid w:val="0"/>
        <w:spacing w:before="120" w:after="120" w:line="0" w:lineRule="atLeast"/>
        <w:rPr>
          <w:rFonts w:cs="Courier New"/>
          <w:color w:val="auto"/>
          <w:sz w:val="24"/>
          <w:szCs w:val="24"/>
          <w:highlight w:val="none"/>
        </w:rPr>
      </w:pPr>
      <w:r>
        <w:rPr>
          <w:rFonts w:hint="eastAsia" w:cs="Courier New"/>
          <w:color w:val="auto"/>
          <w:sz w:val="24"/>
          <w:szCs w:val="24"/>
          <w:highlight w:val="none"/>
        </w:rPr>
        <w:t>项目属性：服务类项目</w:t>
      </w:r>
    </w:p>
    <w:p w14:paraId="66CD6B28">
      <w:pPr>
        <w:snapToGrid w:val="0"/>
        <w:spacing w:before="120" w:after="120" w:line="0" w:lineRule="atLeast"/>
        <w:rPr>
          <w:rFonts w:cs="Courier New"/>
          <w:color w:val="auto"/>
          <w:sz w:val="24"/>
          <w:szCs w:val="24"/>
          <w:highlight w:val="none"/>
          <w:u w:val="single"/>
        </w:rPr>
      </w:pPr>
      <w:r>
        <w:rPr>
          <w:rFonts w:hint="eastAsia" w:cs="Courier New"/>
          <w:color w:val="auto"/>
          <w:sz w:val="24"/>
          <w:szCs w:val="24"/>
          <w:highlight w:val="none"/>
        </w:rPr>
        <w:t>本项目采购标的对应的中小企业划分标准所属行业：</w:t>
      </w:r>
      <w:r>
        <w:rPr>
          <w:rFonts w:hint="eastAsia" w:cs="Courier New"/>
          <w:color w:val="auto"/>
          <w:sz w:val="24"/>
          <w:szCs w:val="24"/>
          <w:highlight w:val="none"/>
          <w:u w:val="single"/>
        </w:rPr>
        <w:t>其他未列明行业</w:t>
      </w:r>
    </w:p>
    <w:p w14:paraId="3F87BC99">
      <w:pPr>
        <w:spacing w:line="0" w:lineRule="atLeast"/>
        <w:rPr>
          <w:rFonts w:cs="Courier New"/>
          <w:color w:val="auto"/>
          <w:sz w:val="24"/>
          <w:szCs w:val="24"/>
          <w:highlight w:val="none"/>
        </w:rPr>
      </w:pPr>
      <w:r>
        <w:rPr>
          <w:rFonts w:hint="eastAsia" w:cs="Courier New"/>
          <w:color w:val="auto"/>
          <w:sz w:val="24"/>
          <w:szCs w:val="24"/>
          <w:highlight w:val="none"/>
        </w:rPr>
        <w:t>本项目</w:t>
      </w:r>
      <w:r>
        <w:rPr>
          <w:rFonts w:hint="eastAsia" w:cs="Courier New"/>
          <w:color w:val="auto"/>
          <w:sz w:val="24"/>
          <w:szCs w:val="24"/>
          <w:highlight w:val="none"/>
          <w:u w:val="single"/>
        </w:rPr>
        <w:t>不接受</w:t>
      </w:r>
      <w:r>
        <w:rPr>
          <w:rFonts w:hint="eastAsia" w:cs="Courier New"/>
          <w:color w:val="auto"/>
          <w:sz w:val="24"/>
          <w:szCs w:val="24"/>
          <w:highlight w:val="none"/>
        </w:rPr>
        <w:t>进口产品。</w:t>
      </w:r>
    </w:p>
    <w:p w14:paraId="612ED805">
      <w:pPr>
        <w:spacing w:before="120"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一、项目背景</w:t>
      </w:r>
    </w:p>
    <w:p w14:paraId="5183E4E6">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根据《关于推进省级卫星应用技术中心建设工作的通知》（自然资办函〔2019〕874号）、《关于推进江苏省自然资源卫星应用技术体系建设工作的通知》（苏自然资函（2021）1232号）、《国务院关于加强数字政府建设的指导意见》（国发〔2022〕14号）、《自然资源部信息化建设总体方案》（自然资发〔2019〕170号）等文件，为落实国家关于构建贯通“部省市县”四级卫星应用技术体系的部署，即时掌握宿迁市自然资源变化情况，开展2026年度自然资源宿迁市卫星技术应用中心运营保障项目。</w:t>
      </w:r>
    </w:p>
    <w:p w14:paraId="084BA1A1">
      <w:pPr>
        <w:spacing w:before="120"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二、工作内容</w:t>
      </w:r>
    </w:p>
    <w:p w14:paraId="7A00A7E4">
      <w:pPr>
        <w:spacing w:line="360" w:lineRule="auto"/>
        <w:ind w:firstLine="482"/>
        <w:rPr>
          <w:rFonts w:ascii="宋体" w:hAnsi="宋体" w:cs="宋体"/>
          <w:b/>
          <w:bCs/>
          <w:color w:val="auto"/>
          <w:sz w:val="24"/>
          <w:szCs w:val="24"/>
          <w:highlight w:val="none"/>
        </w:rPr>
      </w:pPr>
      <w:r>
        <w:rPr>
          <w:rFonts w:hint="eastAsia" w:ascii="宋体" w:hAnsi="宋体" w:cs="宋体"/>
          <w:b/>
          <w:bCs/>
          <w:color w:val="auto"/>
          <w:sz w:val="24"/>
          <w:szCs w:val="24"/>
          <w:highlight w:val="none"/>
        </w:rPr>
        <w:t>1、影像获取与处理</w:t>
      </w:r>
    </w:p>
    <w:p w14:paraId="3475CC03">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配合自然资源业务，开展遥感影像数据获取与处理工作。结合自然资源卫星遥感云服务平台资源系列、高分系列等遥感卫星有效覆盖情况，获取相关卫星遥感影像数据，经过影像纠正、影像融合、影像镶嵌、数字图像处理、影像裁切和元数据生产等处理步骤，形成宿迁全市域（含三县两区）2027年</w:t>
      </w:r>
      <w:r>
        <w:rPr>
          <w:rFonts w:ascii="宋体" w:hAnsi="宋体" w:cs="宋体"/>
          <w:color w:val="auto"/>
          <w:sz w:val="24"/>
          <w:szCs w:val="24"/>
          <w:highlight w:val="none"/>
        </w:rPr>
        <w:t>3</w:t>
      </w:r>
      <w:r>
        <w:rPr>
          <w:rFonts w:hint="eastAsia" w:ascii="宋体" w:hAnsi="宋体" w:cs="宋体"/>
          <w:color w:val="auto"/>
          <w:sz w:val="24"/>
          <w:szCs w:val="24"/>
          <w:highlight w:val="none"/>
        </w:rPr>
        <w:t>期亚米级和</w:t>
      </w:r>
      <w:r>
        <w:rPr>
          <w:rFonts w:ascii="宋体" w:hAnsi="宋体" w:cs="宋体"/>
          <w:color w:val="auto"/>
          <w:sz w:val="24"/>
          <w:szCs w:val="24"/>
          <w:highlight w:val="none"/>
        </w:rPr>
        <w:t>1</w:t>
      </w:r>
      <w:r>
        <w:rPr>
          <w:rFonts w:hint="eastAsia" w:ascii="宋体" w:hAnsi="宋体" w:cs="宋体"/>
          <w:color w:val="auto"/>
          <w:sz w:val="24"/>
          <w:szCs w:val="24"/>
          <w:highlight w:val="none"/>
        </w:rPr>
        <w:t>期2米级高分辨率季度遥感影像成果。</w:t>
      </w:r>
    </w:p>
    <w:p w14:paraId="271870B2">
      <w:pPr>
        <w:spacing w:line="360" w:lineRule="auto"/>
        <w:ind w:firstLine="482"/>
        <w:rPr>
          <w:rFonts w:ascii="宋体" w:hAnsi="宋体" w:cs="宋体"/>
          <w:b/>
          <w:bCs/>
          <w:color w:val="auto"/>
          <w:sz w:val="24"/>
          <w:szCs w:val="24"/>
          <w:highlight w:val="none"/>
        </w:rPr>
      </w:pPr>
      <w:r>
        <w:rPr>
          <w:rFonts w:hint="eastAsia" w:ascii="宋体" w:hAnsi="宋体" w:cs="宋体"/>
          <w:b/>
          <w:bCs/>
          <w:color w:val="auto"/>
          <w:sz w:val="24"/>
          <w:szCs w:val="24"/>
          <w:highlight w:val="none"/>
        </w:rPr>
        <w:t>2、自然资源遥感监测</w:t>
      </w:r>
    </w:p>
    <w:p w14:paraId="7E161A03">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根据影像收集与处理获取的正射影像成果，开展宿迁市自然资源遥感监测，具体包含以下工作内容：</w:t>
      </w:r>
    </w:p>
    <w:p w14:paraId="313DC43B">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（1）土地要素监测</w:t>
      </w:r>
    </w:p>
    <w:p w14:paraId="5D669BE0">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采用数据库对比遥感影像的方式，提取监测时点遥感影像特征与国土变更调查数据库地类不一致的图斑，为开展年度国土变更调查、土地利用现状数据库更新及动态监管提供数据支撑。</w:t>
      </w:r>
    </w:p>
    <w:p w14:paraId="646C4B06">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2</w:t>
      </w:r>
      <w:r>
        <w:rPr>
          <w:rFonts w:hint="eastAsia" w:ascii="宋体" w:hAnsi="宋体" w:cs="宋体"/>
          <w:color w:val="auto"/>
          <w:sz w:val="24"/>
          <w:szCs w:val="24"/>
          <w:highlight w:val="none"/>
        </w:rPr>
        <w:t>）人工建（构）筑物与道路监测</w:t>
      </w:r>
    </w:p>
    <w:p w14:paraId="1F1927AB">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根据已有成果数据，结合高分辨率遥感影像，监测建设用地范围外新增建设情况与建设用地范围内建设拆除情况，开展道路变化监测，统计道路增加或减少的情况，为监管建设用地规划许可执行、调整市政基础设施规划及优化交通空间布局、处置闲置土地及管控城市空间形态提供依据。</w:t>
      </w:r>
    </w:p>
    <w:p w14:paraId="2F4AB5B4">
      <w:pPr>
        <w:spacing w:line="360" w:lineRule="auto"/>
        <w:ind w:firstLine="480"/>
        <w:rPr>
          <w:rFonts w:ascii="宋体" w:hAnsi="宋体" w:cs="宋体"/>
          <w:b/>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3</w:t>
      </w:r>
      <w:r>
        <w:rPr>
          <w:rFonts w:hint="eastAsia" w:ascii="宋体" w:hAnsi="宋体" w:cs="宋体"/>
          <w:color w:val="auto"/>
          <w:sz w:val="24"/>
          <w:szCs w:val="24"/>
          <w:highlight w:val="none"/>
        </w:rPr>
        <w:t>）国土空间格局监测</w:t>
      </w:r>
    </w:p>
    <w:p w14:paraId="1D4037C0">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利用高分辨率遥感影像、国土空间总体规划和控制性详细规划数据，开展规划分区现状监测、三条控制线现状监测和控制性详细规划现状监测，及时掌握宿迁市的开发状况及动态情况，为监督国土空间规划分区管控、三条控制线落地及开发强度调控提供数据支撑。</w:t>
      </w:r>
    </w:p>
    <w:p w14:paraId="6C138D15">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4</w:t>
      </w:r>
      <w:r>
        <w:rPr>
          <w:rFonts w:hint="eastAsia" w:ascii="宋体" w:hAnsi="宋体" w:cs="宋体"/>
          <w:color w:val="auto"/>
          <w:sz w:val="24"/>
          <w:szCs w:val="24"/>
          <w:highlight w:val="none"/>
        </w:rPr>
        <w:t>）地理空间变化监测</w:t>
      </w:r>
    </w:p>
    <w:p w14:paraId="353EBADE">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利用两期高分辨率遥感卫星影像提取全市地类发生变化的图斑，图斑类型设置参考地形图要素，包括疑似新增居民地、疑似新增交通、疑似新增水系、疑似新增植被、疑似施工区等，为地形图更新提供目标图斑。</w:t>
      </w:r>
    </w:p>
    <w:p w14:paraId="74F5EB52">
      <w:pPr>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表1 自然资源监测内容及频次表</w:t>
      </w:r>
    </w:p>
    <w:tbl>
      <w:tblPr>
        <w:tblStyle w:val="4"/>
        <w:tblW w:w="6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0"/>
        <w:gridCol w:w="3035"/>
        <w:gridCol w:w="1355"/>
        <w:gridCol w:w="1276"/>
      </w:tblGrid>
      <w:tr w14:paraId="72C2B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850" w:type="dxa"/>
            <w:noWrap/>
            <w:vAlign w:val="center"/>
          </w:tcPr>
          <w:p w14:paraId="35317659">
            <w:pPr>
              <w:widowControl/>
              <w:jc w:val="center"/>
              <w:rPr>
                <w:rFonts w:ascii="宋体" w:hAnsi="宋体" w:cs="宋体"/>
                <w:b/>
                <w:bCs/>
                <w:color w:val="auto"/>
                <w:sz w:val="22"/>
                <w:szCs w:val="24"/>
                <w:highlight w:val="none"/>
                <w14:ligatures w14:val="standardContextual"/>
              </w:rPr>
            </w:pPr>
            <w:r>
              <w:rPr>
                <w:rFonts w:hint="eastAsia" w:ascii="宋体" w:hAnsi="宋体" w:cs="宋体"/>
                <w:b/>
                <w:bCs/>
                <w:color w:val="auto"/>
                <w:sz w:val="22"/>
                <w:szCs w:val="24"/>
                <w:highlight w:val="none"/>
                <w:lang w:bidi="ar"/>
                <w14:ligatures w14:val="standardContextual"/>
              </w:rPr>
              <w:t>序号</w:t>
            </w:r>
          </w:p>
        </w:tc>
        <w:tc>
          <w:tcPr>
            <w:tcW w:w="3035" w:type="dxa"/>
            <w:noWrap/>
            <w:vAlign w:val="center"/>
          </w:tcPr>
          <w:p w14:paraId="73184ECA">
            <w:pPr>
              <w:widowControl/>
              <w:jc w:val="center"/>
              <w:rPr>
                <w:rFonts w:ascii="宋体" w:hAnsi="宋体" w:cs="宋体"/>
                <w:b/>
                <w:bCs/>
                <w:color w:val="auto"/>
                <w:sz w:val="22"/>
                <w:szCs w:val="24"/>
                <w:highlight w:val="none"/>
                <w14:ligatures w14:val="standardContextual"/>
              </w:rPr>
            </w:pPr>
            <w:r>
              <w:rPr>
                <w:rFonts w:hint="eastAsia" w:ascii="宋体" w:hAnsi="宋体" w:cs="宋体"/>
                <w:b/>
                <w:bCs/>
                <w:color w:val="auto"/>
                <w:sz w:val="22"/>
                <w:szCs w:val="24"/>
                <w:highlight w:val="none"/>
                <w:lang w:bidi="ar"/>
                <w14:ligatures w14:val="standardContextual"/>
              </w:rPr>
              <w:t>应用内容</w:t>
            </w:r>
          </w:p>
        </w:tc>
        <w:tc>
          <w:tcPr>
            <w:tcW w:w="1355" w:type="dxa"/>
            <w:noWrap/>
            <w:vAlign w:val="center"/>
          </w:tcPr>
          <w:p w14:paraId="0B2881D6">
            <w:pPr>
              <w:widowControl/>
              <w:jc w:val="center"/>
              <w:rPr>
                <w:rFonts w:ascii="宋体" w:hAnsi="宋体" w:cs="宋体"/>
                <w:b/>
                <w:bCs/>
                <w:color w:val="auto"/>
                <w:sz w:val="22"/>
                <w:szCs w:val="24"/>
                <w:highlight w:val="none"/>
                <w14:ligatures w14:val="standardContextual"/>
              </w:rPr>
            </w:pPr>
            <w:r>
              <w:rPr>
                <w:rFonts w:hint="eastAsia" w:ascii="宋体" w:hAnsi="宋体" w:cs="宋体"/>
                <w:b/>
                <w:bCs/>
                <w:color w:val="auto"/>
                <w:sz w:val="22"/>
                <w:szCs w:val="24"/>
                <w:highlight w:val="none"/>
                <w:lang w:bidi="ar"/>
                <w14:ligatures w14:val="standardContextual"/>
              </w:rPr>
              <w:t>影像分辨率</w:t>
            </w:r>
          </w:p>
        </w:tc>
        <w:tc>
          <w:tcPr>
            <w:tcW w:w="1276" w:type="dxa"/>
            <w:noWrap/>
            <w:vAlign w:val="center"/>
          </w:tcPr>
          <w:p w14:paraId="0C9C2EC5">
            <w:pPr>
              <w:widowControl/>
              <w:jc w:val="center"/>
              <w:rPr>
                <w:rFonts w:ascii="宋体" w:hAnsi="宋体" w:cs="宋体"/>
                <w:b/>
                <w:bCs/>
                <w:color w:val="auto"/>
                <w:sz w:val="22"/>
                <w:szCs w:val="24"/>
                <w:highlight w:val="none"/>
                <w14:ligatures w14:val="standardContextual"/>
              </w:rPr>
            </w:pPr>
            <w:r>
              <w:rPr>
                <w:rFonts w:hint="eastAsia" w:ascii="宋体" w:hAnsi="宋体" w:cs="宋体"/>
                <w:b/>
                <w:bCs/>
                <w:color w:val="auto"/>
                <w:sz w:val="22"/>
                <w:szCs w:val="24"/>
                <w:highlight w:val="none"/>
                <w:lang w:bidi="ar"/>
                <w14:ligatures w14:val="standardContextual"/>
              </w:rPr>
              <w:t>监测频次</w:t>
            </w:r>
          </w:p>
        </w:tc>
      </w:tr>
      <w:tr w14:paraId="261F0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850" w:type="dxa"/>
            <w:noWrap/>
            <w:vAlign w:val="center"/>
          </w:tcPr>
          <w:p w14:paraId="35C49C59">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1</w:t>
            </w:r>
          </w:p>
        </w:tc>
        <w:tc>
          <w:tcPr>
            <w:tcW w:w="3035" w:type="dxa"/>
            <w:noWrap/>
            <w:vAlign w:val="center"/>
          </w:tcPr>
          <w:p w14:paraId="78EDD8EF">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土地要素监测</w:t>
            </w:r>
          </w:p>
        </w:tc>
        <w:tc>
          <w:tcPr>
            <w:tcW w:w="1355" w:type="dxa"/>
            <w:vMerge w:val="restart"/>
            <w:noWrap/>
            <w:vAlign w:val="center"/>
          </w:tcPr>
          <w:p w14:paraId="60109EC1">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亚米级影像</w:t>
            </w:r>
          </w:p>
        </w:tc>
        <w:tc>
          <w:tcPr>
            <w:tcW w:w="1276" w:type="dxa"/>
            <w:noWrap/>
            <w:vAlign w:val="center"/>
          </w:tcPr>
          <w:p w14:paraId="27BBBD26">
            <w:pPr>
              <w:widowControl/>
              <w:jc w:val="center"/>
              <w:rPr>
                <w:rFonts w:ascii="宋体" w:hAnsi="宋体" w:cs="宋体"/>
                <w:bCs/>
                <w:color w:val="auto"/>
                <w:sz w:val="22"/>
                <w:szCs w:val="24"/>
                <w:highlight w:val="none"/>
                <w14:ligatures w14:val="standardContextual"/>
              </w:rPr>
            </w:pPr>
            <w:r>
              <w:rPr>
                <w:rFonts w:ascii="宋体" w:hAnsi="宋体" w:cs="宋体"/>
                <w:bCs/>
                <w:color w:val="auto"/>
                <w:sz w:val="22"/>
                <w:szCs w:val="24"/>
                <w:highlight w:val="none"/>
                <w:lang w:bidi="ar"/>
                <w14:ligatures w14:val="standardContextual"/>
              </w:rPr>
              <w:t>3</w:t>
            </w:r>
          </w:p>
        </w:tc>
      </w:tr>
      <w:tr w14:paraId="399E7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0" w:hRule="atLeast"/>
          <w:jc w:val="center"/>
        </w:trPr>
        <w:tc>
          <w:tcPr>
            <w:tcW w:w="850" w:type="dxa"/>
            <w:noWrap/>
            <w:vAlign w:val="center"/>
          </w:tcPr>
          <w:p w14:paraId="7977777F">
            <w:pPr>
              <w:widowControl/>
              <w:jc w:val="center"/>
              <w:rPr>
                <w:rFonts w:ascii="宋体" w:hAnsi="宋体" w:cs="宋体"/>
                <w:bCs/>
                <w:color w:val="auto"/>
                <w:sz w:val="22"/>
                <w:szCs w:val="24"/>
                <w:highlight w:val="none"/>
                <w14:ligatures w14:val="standardContextual"/>
              </w:rPr>
            </w:pPr>
            <w:r>
              <w:rPr>
                <w:rFonts w:ascii="宋体" w:hAnsi="宋体" w:cs="宋体"/>
                <w:bCs/>
                <w:color w:val="auto"/>
                <w:sz w:val="22"/>
                <w:szCs w:val="24"/>
                <w:highlight w:val="none"/>
                <w:lang w:bidi="ar"/>
                <w14:ligatures w14:val="standardContextual"/>
              </w:rPr>
              <w:t>2</w:t>
            </w:r>
          </w:p>
        </w:tc>
        <w:tc>
          <w:tcPr>
            <w:tcW w:w="3035" w:type="dxa"/>
            <w:noWrap/>
            <w:vAlign w:val="center"/>
          </w:tcPr>
          <w:p w14:paraId="4D4170E4">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国土空间格局监测</w:t>
            </w:r>
          </w:p>
        </w:tc>
        <w:tc>
          <w:tcPr>
            <w:tcW w:w="1355" w:type="dxa"/>
            <w:vMerge w:val="continue"/>
            <w:noWrap/>
            <w:vAlign w:val="center"/>
          </w:tcPr>
          <w:p w14:paraId="124D21EB">
            <w:pPr>
              <w:widowControl/>
              <w:jc w:val="center"/>
              <w:rPr>
                <w:rFonts w:ascii="宋体" w:hAnsi="宋体" w:cs="宋体"/>
                <w:bCs/>
                <w:color w:val="auto"/>
                <w:sz w:val="22"/>
                <w:szCs w:val="24"/>
                <w:highlight w:val="none"/>
                <w:lang w:bidi="ar"/>
                <w14:ligatures w14:val="standardContextual"/>
              </w:rPr>
            </w:pPr>
          </w:p>
        </w:tc>
        <w:tc>
          <w:tcPr>
            <w:tcW w:w="1276" w:type="dxa"/>
            <w:noWrap/>
            <w:vAlign w:val="center"/>
          </w:tcPr>
          <w:p w14:paraId="4408A54D">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2</w:t>
            </w:r>
          </w:p>
        </w:tc>
      </w:tr>
      <w:tr w14:paraId="7F95D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0" w:hRule="atLeast"/>
          <w:jc w:val="center"/>
        </w:trPr>
        <w:tc>
          <w:tcPr>
            <w:tcW w:w="850" w:type="dxa"/>
            <w:noWrap/>
            <w:vAlign w:val="center"/>
          </w:tcPr>
          <w:p w14:paraId="0AA4C745">
            <w:pPr>
              <w:widowControl/>
              <w:jc w:val="center"/>
              <w:rPr>
                <w:rFonts w:ascii="宋体" w:hAnsi="宋体" w:cs="宋体"/>
                <w:bCs/>
                <w:color w:val="auto"/>
                <w:sz w:val="22"/>
                <w:szCs w:val="24"/>
                <w:highlight w:val="none"/>
                <w14:ligatures w14:val="standardContextual"/>
              </w:rPr>
            </w:pPr>
            <w:r>
              <w:rPr>
                <w:rFonts w:ascii="宋体" w:hAnsi="宋体" w:cs="宋体"/>
                <w:bCs/>
                <w:color w:val="auto"/>
                <w:sz w:val="22"/>
                <w:szCs w:val="24"/>
                <w:highlight w:val="none"/>
                <w:lang w:bidi="ar"/>
                <w14:ligatures w14:val="standardContextual"/>
              </w:rPr>
              <w:t>3</w:t>
            </w:r>
          </w:p>
        </w:tc>
        <w:tc>
          <w:tcPr>
            <w:tcW w:w="3035" w:type="dxa"/>
            <w:noWrap/>
            <w:vAlign w:val="center"/>
          </w:tcPr>
          <w:p w14:paraId="1C4AEDFF">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地理空间变化监测</w:t>
            </w:r>
          </w:p>
        </w:tc>
        <w:tc>
          <w:tcPr>
            <w:tcW w:w="1355" w:type="dxa"/>
            <w:vMerge w:val="continue"/>
            <w:noWrap/>
            <w:vAlign w:val="center"/>
          </w:tcPr>
          <w:p w14:paraId="115982B7">
            <w:pPr>
              <w:widowControl/>
              <w:jc w:val="center"/>
              <w:rPr>
                <w:rFonts w:ascii="宋体" w:hAnsi="宋体" w:cs="宋体"/>
                <w:bCs/>
                <w:color w:val="auto"/>
                <w:sz w:val="22"/>
                <w:szCs w:val="24"/>
                <w:highlight w:val="none"/>
                <w:lang w:bidi="ar"/>
                <w14:ligatures w14:val="standardContextual"/>
              </w:rPr>
            </w:pPr>
          </w:p>
        </w:tc>
        <w:tc>
          <w:tcPr>
            <w:tcW w:w="1276" w:type="dxa"/>
            <w:noWrap/>
            <w:vAlign w:val="center"/>
          </w:tcPr>
          <w:p w14:paraId="7D4882B4">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2</w:t>
            </w:r>
          </w:p>
        </w:tc>
      </w:tr>
      <w:tr w14:paraId="4EF56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7" w:hRule="atLeast"/>
          <w:jc w:val="center"/>
        </w:trPr>
        <w:tc>
          <w:tcPr>
            <w:tcW w:w="850" w:type="dxa"/>
            <w:noWrap/>
            <w:vAlign w:val="center"/>
          </w:tcPr>
          <w:p w14:paraId="123733F7">
            <w:pPr>
              <w:widowControl/>
              <w:jc w:val="center"/>
              <w:rPr>
                <w:rFonts w:ascii="宋体" w:hAnsi="宋体" w:cs="宋体"/>
                <w:bCs/>
                <w:color w:val="auto"/>
                <w:sz w:val="22"/>
                <w:szCs w:val="24"/>
                <w:highlight w:val="none"/>
                <w14:ligatures w14:val="standardContextual"/>
              </w:rPr>
            </w:pPr>
            <w:r>
              <w:rPr>
                <w:rFonts w:ascii="宋体" w:hAnsi="宋体" w:cs="宋体"/>
                <w:bCs/>
                <w:color w:val="auto"/>
                <w:sz w:val="22"/>
                <w:szCs w:val="24"/>
                <w:highlight w:val="none"/>
                <w:lang w:bidi="ar"/>
                <w14:ligatures w14:val="standardContextual"/>
              </w:rPr>
              <w:t>4</w:t>
            </w:r>
          </w:p>
        </w:tc>
        <w:tc>
          <w:tcPr>
            <w:tcW w:w="3035" w:type="dxa"/>
            <w:noWrap/>
            <w:vAlign w:val="center"/>
          </w:tcPr>
          <w:p w14:paraId="5496593B">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人工建（构）筑物与道路监测</w:t>
            </w:r>
          </w:p>
        </w:tc>
        <w:tc>
          <w:tcPr>
            <w:tcW w:w="1355" w:type="dxa"/>
            <w:vMerge w:val="continue"/>
            <w:noWrap/>
            <w:vAlign w:val="center"/>
          </w:tcPr>
          <w:p w14:paraId="5F6056F9">
            <w:pPr>
              <w:widowControl/>
              <w:jc w:val="center"/>
              <w:rPr>
                <w:rFonts w:ascii="宋体" w:hAnsi="宋体" w:cs="宋体"/>
                <w:bCs/>
                <w:color w:val="auto"/>
                <w:sz w:val="22"/>
                <w:szCs w:val="24"/>
                <w:highlight w:val="none"/>
                <w:lang w:bidi="ar"/>
                <w14:ligatures w14:val="standardContextual"/>
              </w:rPr>
            </w:pPr>
          </w:p>
        </w:tc>
        <w:tc>
          <w:tcPr>
            <w:tcW w:w="1276" w:type="dxa"/>
            <w:noWrap/>
            <w:vAlign w:val="center"/>
          </w:tcPr>
          <w:p w14:paraId="756EE4BE">
            <w:pPr>
              <w:widowControl/>
              <w:jc w:val="center"/>
              <w:rPr>
                <w:rFonts w:ascii="宋体" w:hAnsi="宋体" w:cs="宋体"/>
                <w:bCs/>
                <w:color w:val="auto"/>
                <w:sz w:val="22"/>
                <w:szCs w:val="24"/>
                <w:highlight w:val="none"/>
                <w14:ligatures w14:val="standardContextual"/>
              </w:rPr>
            </w:pPr>
            <w:r>
              <w:rPr>
                <w:rFonts w:ascii="宋体" w:hAnsi="宋体" w:cs="宋体"/>
                <w:bCs/>
                <w:color w:val="auto"/>
                <w:sz w:val="22"/>
                <w:szCs w:val="24"/>
                <w:highlight w:val="none"/>
                <w:lang w:bidi="ar"/>
                <w14:ligatures w14:val="standardContextual"/>
              </w:rPr>
              <w:t>3</w:t>
            </w:r>
          </w:p>
        </w:tc>
      </w:tr>
      <w:tr w14:paraId="730AA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6" w:hRule="atLeast"/>
          <w:jc w:val="center"/>
        </w:trPr>
        <w:tc>
          <w:tcPr>
            <w:tcW w:w="850" w:type="dxa"/>
            <w:noWrap/>
            <w:vAlign w:val="center"/>
          </w:tcPr>
          <w:p w14:paraId="33714300">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6</w:t>
            </w:r>
          </w:p>
        </w:tc>
        <w:tc>
          <w:tcPr>
            <w:tcW w:w="3035" w:type="dxa"/>
            <w:noWrap/>
            <w:vAlign w:val="center"/>
          </w:tcPr>
          <w:p w14:paraId="5204B0AF">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人工建（构）筑物与道路监测</w:t>
            </w:r>
          </w:p>
        </w:tc>
        <w:tc>
          <w:tcPr>
            <w:tcW w:w="1355" w:type="dxa"/>
            <w:noWrap/>
            <w:vAlign w:val="center"/>
          </w:tcPr>
          <w:p w14:paraId="0AC13C02">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2米影像</w:t>
            </w:r>
          </w:p>
        </w:tc>
        <w:tc>
          <w:tcPr>
            <w:tcW w:w="1276" w:type="dxa"/>
            <w:noWrap/>
            <w:vAlign w:val="center"/>
          </w:tcPr>
          <w:p w14:paraId="403E702D">
            <w:pPr>
              <w:widowControl/>
              <w:jc w:val="center"/>
              <w:rPr>
                <w:rFonts w:ascii="宋体" w:hAnsi="宋体" w:cs="宋体"/>
                <w:bCs/>
                <w:color w:val="auto"/>
                <w:sz w:val="22"/>
                <w:szCs w:val="24"/>
                <w:highlight w:val="none"/>
                <w14:ligatures w14:val="standardContextual"/>
              </w:rPr>
            </w:pPr>
            <w:r>
              <w:rPr>
                <w:rFonts w:hint="eastAsia" w:ascii="宋体" w:hAnsi="宋体" w:cs="宋体"/>
                <w:bCs/>
                <w:color w:val="auto"/>
                <w:sz w:val="22"/>
                <w:szCs w:val="24"/>
                <w:highlight w:val="none"/>
                <w:lang w:bidi="ar"/>
                <w14:ligatures w14:val="standardContextual"/>
              </w:rPr>
              <w:t>1</w:t>
            </w:r>
          </w:p>
        </w:tc>
      </w:tr>
    </w:tbl>
    <w:p w14:paraId="4040A63F">
      <w:pPr>
        <w:spacing w:line="360" w:lineRule="auto"/>
        <w:ind w:firstLine="482"/>
        <w:rPr>
          <w:rFonts w:ascii="宋体" w:hAnsi="宋体" w:cs="宋体"/>
          <w:b/>
          <w:bCs/>
          <w:color w:val="auto"/>
          <w:sz w:val="24"/>
          <w:szCs w:val="24"/>
          <w:highlight w:val="none"/>
        </w:rPr>
      </w:pPr>
      <w:r>
        <w:rPr>
          <w:rFonts w:hint="eastAsia" w:ascii="宋体" w:hAnsi="宋体" w:cs="宋体"/>
          <w:b/>
          <w:bCs/>
          <w:color w:val="auto"/>
          <w:sz w:val="24"/>
          <w:szCs w:val="24"/>
          <w:highlight w:val="none"/>
        </w:rPr>
        <w:t>3、资源监管服务数据更新</w:t>
      </w:r>
    </w:p>
    <w:p w14:paraId="0043D77C">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在自然资源监测的基础上，利用市局国土空间基础信息平台，通过业务数据整理、数据库更新，提升自然资源监测、预警和监管能力。</w:t>
      </w:r>
    </w:p>
    <w:p w14:paraId="122BD064">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（1）业务数据整理</w:t>
      </w:r>
    </w:p>
    <w:p w14:paraId="5AFF8755">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完成征地、供地等相关自然资源和规划业务数据的字段规范处理、镶嵌裁切、赋县镇区划和入库替换，根据系统运行情况不定期收集其它业务数据并进行处理。</w:t>
      </w:r>
    </w:p>
    <w:p w14:paraId="3ED94A5B">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（2）数据库更新</w:t>
      </w:r>
    </w:p>
    <w:p w14:paraId="4BC6ADF3">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根据已建成的国土空间基础数据库标准，对形成的遥感影像、自然资源监测成果和整理的业务数据进行数据库更新，实现数据互联互通、共享交换和服务。</w:t>
      </w:r>
    </w:p>
    <w:p w14:paraId="1BECBEBE">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（3）数据发布</w:t>
      </w:r>
    </w:p>
    <w:p w14:paraId="67A54C05">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对监测成果进行切片并发布服务，发布时需要根据已建成的国土空间基础信息平台进行规范数据处理并配图，配图后进行服务发布。</w:t>
      </w:r>
    </w:p>
    <w:p w14:paraId="46BCEDB6">
      <w:pPr>
        <w:spacing w:line="360" w:lineRule="auto"/>
        <w:ind w:firstLine="482"/>
        <w:rPr>
          <w:rFonts w:ascii="宋体" w:hAnsi="宋体" w:cs="宋体"/>
          <w:b/>
          <w:bCs/>
          <w:color w:val="auto"/>
          <w:sz w:val="24"/>
          <w:szCs w:val="24"/>
          <w:highlight w:val="none"/>
        </w:rPr>
      </w:pPr>
      <w:r>
        <w:rPr>
          <w:rFonts w:hint="eastAsia" w:ascii="宋体" w:hAnsi="宋体" w:cs="宋体"/>
          <w:b/>
          <w:bCs/>
          <w:color w:val="auto"/>
          <w:sz w:val="24"/>
          <w:szCs w:val="24"/>
          <w:highlight w:val="none"/>
        </w:rPr>
        <w:t>4、开展卫星遥感等相关数据整理工作</w:t>
      </w:r>
    </w:p>
    <w:p w14:paraId="1ED16173">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运用遥感影像相关数据，融合宿迁市全域主要道路、河流、行政机关、单位住宅等基础地名地址数据及有关基础测绘成果，服务宿迁市“一张图”地理底图建设。</w:t>
      </w:r>
    </w:p>
    <w:p w14:paraId="65E23F7D">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三、预期成果</w:t>
      </w:r>
    </w:p>
    <w:p w14:paraId="04EE3E61">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（1）高分辨率遥感影像；</w:t>
      </w:r>
    </w:p>
    <w:p w14:paraId="0EFD82C4">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（2）自然资源遥感监测成果；</w:t>
      </w:r>
    </w:p>
    <w:p w14:paraId="7CA5230A">
      <w:pPr>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（3）宿迁市基础地名地址数据库；</w:t>
      </w:r>
    </w:p>
    <w:p w14:paraId="7C18EC3F">
      <w:pPr>
        <w:pStyle w:val="2"/>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（4）资源监管服务数据更新。</w:t>
      </w:r>
    </w:p>
    <w:p w14:paraId="142C411E">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四、项目工期</w:t>
      </w:r>
    </w:p>
    <w:p w14:paraId="024A204C">
      <w:pPr>
        <w:spacing w:line="360" w:lineRule="auto"/>
        <w:ind w:firstLine="480"/>
        <w:jc w:val="left"/>
        <w:rPr>
          <w:rFonts w:ascii="宋体" w:hAnsi="宋体" w:cs="宋体"/>
          <w:color w:val="auto"/>
          <w:sz w:val="24"/>
          <w:szCs w:val="24"/>
          <w:highlight w:val="none"/>
        </w:rPr>
      </w:pPr>
      <w:r>
        <w:rPr>
          <w:rFonts w:hint="eastAsia" w:ascii="宋体" w:hAnsi="宋体" w:cs="宋体"/>
          <w:color w:val="auto"/>
          <w:sz w:val="24"/>
          <w:szCs w:val="24"/>
          <w:highlight w:val="none"/>
        </w:rPr>
        <w:t>合同履行期限：自合同签订之日起一年。</w:t>
      </w:r>
    </w:p>
    <w:p w14:paraId="1D95E941">
      <w:pPr>
        <w:pStyle w:val="2"/>
        <w:numPr>
          <w:ilvl w:val="0"/>
          <w:numId w:val="1"/>
        </w:numPr>
        <w:ind w:firstLine="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p w14:paraId="63D2B48A">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预付款：合同签订且在收到乙方发票后10个工作日内，支付合同总价款的15%。</w:t>
      </w:r>
    </w:p>
    <w:p w14:paraId="043E168F">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余款：提交最终成果并验收合格且收到乙方发票后的10个工作日内，付清余款。</w:t>
      </w:r>
    </w:p>
    <w:p w14:paraId="4883099C">
      <w:pPr>
        <w:pStyle w:val="2"/>
        <w:numPr>
          <w:ilvl w:val="0"/>
          <w:numId w:val="1"/>
        </w:numPr>
        <w:ind w:firstLine="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履行地点</w:t>
      </w:r>
    </w:p>
    <w:p w14:paraId="22DDED57">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甲方指定地点。</w:t>
      </w:r>
    </w:p>
    <w:p w14:paraId="574A87DB">
      <w:pPr>
        <w:pStyle w:val="2"/>
        <w:numPr>
          <w:ilvl w:val="0"/>
          <w:numId w:val="1"/>
        </w:numPr>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人员要求</w:t>
      </w:r>
    </w:p>
    <w:p w14:paraId="620589DB">
      <w:pPr>
        <w:spacing w:line="360" w:lineRule="auto"/>
        <w:ind w:firstLine="480"/>
        <w:rPr>
          <w:rFonts w:hint="eastAsia" w:ascii="宋体" w:hAnsi="宋体" w:cs="宋体"/>
          <w:color w:val="auto"/>
          <w:sz w:val="24"/>
          <w:szCs w:val="24"/>
          <w:highlight w:val="none"/>
        </w:rPr>
      </w:pPr>
      <w:r>
        <w:rPr>
          <w:rFonts w:ascii="Times New Roman" w:hAnsi="Times New Roman"/>
          <w:color w:val="auto"/>
          <w:highlight w:val="none"/>
        </w:rPr>
        <w:t>★</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拟派的项目</w:t>
      </w:r>
      <w:r>
        <w:rPr>
          <w:rFonts w:hint="eastAsia" w:ascii="宋体" w:hAnsi="宋体" w:cs="宋体"/>
          <w:color w:val="auto"/>
          <w:sz w:val="24"/>
          <w:szCs w:val="24"/>
          <w:highlight w:val="none"/>
          <w:lang w:val="en-US" w:eastAsia="zh-CN"/>
        </w:rPr>
        <w:t>所有成员须</w:t>
      </w:r>
      <w:r>
        <w:rPr>
          <w:rFonts w:hint="eastAsia" w:ascii="宋体" w:hAnsi="宋体" w:cs="宋体"/>
          <w:color w:val="auto"/>
          <w:sz w:val="24"/>
          <w:szCs w:val="24"/>
          <w:highlight w:val="none"/>
        </w:rPr>
        <w:t>具有国家地理信息安全保密培训合格证书。</w:t>
      </w:r>
    </w:p>
    <w:p w14:paraId="12DFC414">
      <w:pPr>
        <w:pStyle w:val="2"/>
        <w:numPr>
          <w:ilvl w:val="0"/>
          <w:numId w:val="1"/>
        </w:numPr>
        <w:ind w:firstLine="0"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验收程序及要求</w:t>
      </w:r>
    </w:p>
    <w:p w14:paraId="22039E11">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（1）甲方依法组织履约验收工作。</w:t>
      </w:r>
    </w:p>
    <w:p w14:paraId="3BC3E394">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（2）甲方在组织履约验收前，根据项目特点制定验收方案，明确履约验收的时间、方式、程序等内容，乙方根据验收方案内容做好相应配合工作。</w:t>
      </w:r>
    </w:p>
    <w:p w14:paraId="0020D975">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（3）对于实际使用人和甲方分离的项目，甲方邀请实际使用人参与验收。</w:t>
      </w:r>
    </w:p>
    <w:p w14:paraId="7278E22F">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（4）如有必要，甲方邀请参与本项目的其他供应商或者第三方专业机构或专家参与验收。</w:t>
      </w:r>
    </w:p>
    <w:p w14:paraId="75896C5C">
      <w:pPr>
        <w:pStyle w:val="2"/>
        <w:ind w:firstLine="481" w:firstLineChars="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（5）甲方成立验收小组，按照采购合同的约定对乙方的履约情况进行验收。</w:t>
      </w:r>
    </w:p>
    <w:p w14:paraId="16D46BFF">
      <w:pPr>
        <w:pStyle w:val="2"/>
        <w:ind w:firstLine="481" w:firstLineChars="0"/>
      </w:pPr>
      <w:r>
        <w:rPr>
          <w:rFonts w:hint="eastAsia" w:ascii="宋体" w:hAnsi="宋体" w:eastAsia="宋体" w:cs="宋体"/>
          <w:color w:val="auto"/>
          <w:sz w:val="24"/>
          <w:szCs w:val="24"/>
          <w:highlight w:val="none"/>
        </w:rPr>
        <w:t>（6）验收合格的项目，甲方根据采购合同的约定及时向乙方支付合同款项。验收不合格的项目，甲方依法及时处理。采购合同的履约、违约责任和解决争议的方式等适用《民法典》。乙方在履约过程中有政府采购法律法规的违法违规情形的，甲方将及时报告本级财政部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5B94FF"/>
    <w:multiLevelType w:val="singleLevel"/>
    <w:tmpl w:val="CB5B94F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0C2F1A"/>
    <w:rsid w:val="4F83183A"/>
    <w:rsid w:val="5A3A7B10"/>
    <w:rsid w:val="6E47436C"/>
    <w:rsid w:val="710C4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200" w:firstLineChars="200"/>
    </w:pPr>
    <w:rPr>
      <w:rFonts w:ascii="仿宋_GB2312" w:hAnsi="Times New Roman" w:eastAsia="仿宋_GB2312"/>
      <w:sz w:val="30"/>
      <w:szCs w:val="30"/>
    </w:rPr>
  </w:style>
  <w:style w:type="paragraph" w:styleId="3">
    <w:name w:val="Body Text"/>
    <w:basedOn w:val="1"/>
    <w:qFormat/>
    <w:uiPriority w:val="0"/>
    <w:rPr>
      <w:rFonts w:ascii="楷体_GB2312" w:hAnsi="Arial" w:eastAsia="楷体_GB2312"/>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2022-09-07T08:05:00Z</dcterms:created>
  <dc:creator>Administrator</dc:creator>
  <cp:lastModifiedBy>元宝</cp:lastModifiedBy>
  <dcterms:modified xsi:type="dcterms:W3CDTF">2026-10-12T01:26:00Z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72FF77C667FB4389A0ABFF9D2219E506</vt:lpwstr>
  </property>
  <property fmtid="{D5CDD505-2E9C-101B-9397-08002B2CF9AE}" pid="4" name="KSOTemplateDocerSaveRecord">
    <vt:lpwstr>eyJoZGlkIjoiZDRkODI5YzYzOGQzYmE5OWJjMzk0N2FlZTk5NjYwMjYiLCJ1c2VySWQiOiI0MzA0NjYwNDcifQ==</vt:lpwstr>
  </property>
</Properties>
</file>