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Times New Roman" w:hAnsi="Times New Roman" w:eastAsia="黑体" w:cs="Times New Roman"/>
          <w:b/>
          <w:bCs/>
          <w:color w:val="auto"/>
          <w:sz w:val="84"/>
          <w:szCs w:val="24"/>
          <w:highlight w:val="none"/>
        </w:rPr>
        <w:t xml:space="preserve">竞争性磋商文件</w:t>
      </w:r>
      <w:r/>
    </w:p>
    <w:p>
      <w:pPr>
        <w:ind w:firstLine="1506"/>
        <w:rPr>
          <w:rFonts w:ascii="Times New Roman" w:hAnsi="Times New Roman" w:eastAsia="宋体" w:cs="宋体"/>
          <w:b/>
          <w:color w:val="auto"/>
          <w:sz w:val="30"/>
          <w:szCs w:val="30"/>
          <w:highlight w:val="none"/>
        </w:rPr>
      </w:pPr>
      <w:r>
        <w:rPr>
          <w:rFonts w:ascii="Times New Roman" w:hAnsi="Times New Roman" w:eastAsia="宋体" w:cs="宋体"/>
          <w:b/>
          <w:color w:val="auto"/>
          <w:sz w:val="30"/>
          <w:szCs w:val="30"/>
          <w:highlight w:val="none"/>
        </w:rPr>
      </w:r>
      <w:r/>
    </w:p>
    <w:p>
      <w:pPr>
        <w:ind w:firstLine="1506"/>
        <w:rPr>
          <w:rFonts w:ascii="Times New Roman" w:hAnsi="Times New Roman" w:eastAsia="宋体" w:cs="宋体"/>
          <w:b/>
          <w:color w:val="auto"/>
          <w:sz w:val="30"/>
          <w:szCs w:val="30"/>
          <w:highlight w:val="none"/>
        </w:rPr>
      </w:pPr>
      <w:r>
        <w:rPr>
          <w:rFonts w:ascii="Times New Roman" w:hAnsi="Times New Roman" w:eastAsia="宋体" w:cs="宋体"/>
          <w:b/>
          <w:color w:val="auto"/>
          <w:sz w:val="30"/>
          <w:szCs w:val="30"/>
          <w:highlight w:val="none"/>
        </w:rPr>
      </w:r>
      <w:r/>
    </w:p>
    <w:p>
      <w:pPr>
        <w:ind w:firstLine="1506"/>
        <w:rPr>
          <w:rFonts w:ascii="Times New Roman" w:hAnsi="Times New Roman" w:eastAsia="宋体" w:cs="宋体"/>
          <w:b/>
          <w:color w:val="auto"/>
          <w:sz w:val="30"/>
          <w:szCs w:val="30"/>
          <w:highlight w:val="none"/>
        </w:rPr>
      </w:pPr>
      <w:r>
        <w:rPr>
          <w:rFonts w:ascii="Times New Roman" w:hAnsi="Times New Roman" w:eastAsia="宋体" w:cs="宋体"/>
          <w:b/>
          <w:color w:val="auto"/>
          <w:sz w:val="30"/>
          <w:szCs w:val="30"/>
          <w:highlight w:val="none"/>
        </w:rPr>
      </w:r>
      <w:r/>
    </w:p>
    <w:p>
      <w:pPr>
        <w:ind w:left="298" w:firstLine="301"/>
        <w:rPr>
          <w:rFonts w:hint="eastAsia" w:ascii="Times New Roman" w:hAnsi="Times New Roman" w:eastAsia="宋体" w:cs="宋体"/>
          <w:b/>
          <w:color w:val="auto"/>
          <w:sz w:val="30"/>
          <w:szCs w:val="30"/>
          <w:highlight w:val="none"/>
          <w:lang w:eastAsia="zh-CN"/>
        </w:rPr>
      </w:pPr>
      <w:r>
        <w:rPr>
          <w:rFonts w:hint="eastAsia" w:ascii="Times New Roman" w:hAnsi="Times New Roman" w:eastAsia="宋体" w:cs="宋体"/>
          <w:b/>
          <w:color w:val="auto"/>
          <w:sz w:val="30"/>
          <w:szCs w:val="30"/>
          <w:highlight w:val="none"/>
        </w:rPr>
        <w:t xml:space="preserve">项目名称：</w:t>
      </w:r>
      <w:r>
        <w:rPr>
          <w:rFonts w:hint="eastAsia" w:ascii="Times New Roman" w:hAnsi="Times New Roman" w:eastAsia="宋体" w:cs="宋体"/>
          <w:b/>
          <w:color w:val="auto"/>
          <w:sz w:val="30"/>
          <w:szCs w:val="30"/>
          <w:highlight w:val="none"/>
          <w:lang w:eastAsia="zh-CN"/>
        </w:rPr>
        <w:t xml:space="preserve">宿豫区智慧水务平台运维（2026-2027年）-平台升级迁改项目</w:t>
      </w:r>
      <w:r/>
    </w:p>
    <w:p>
      <w:pPr>
        <w:ind w:firstLine="1506"/>
        <w:rPr>
          <w:rFonts w:ascii="Times New Roman" w:hAnsi="Times New Roman" w:eastAsia="宋体" w:cs="宋体"/>
          <w:b/>
          <w:color w:val="auto"/>
          <w:sz w:val="30"/>
          <w:szCs w:val="30"/>
          <w:highlight w:val="none"/>
        </w:rPr>
      </w:pPr>
      <w:r>
        <w:rPr>
          <w:rFonts w:ascii="Times New Roman" w:hAnsi="Times New Roman" w:eastAsia="宋体" w:cs="宋体"/>
          <w:b/>
          <w:color w:val="auto"/>
          <w:sz w:val="30"/>
          <w:szCs w:val="30"/>
          <w:highlight w:val="none"/>
        </w:rPr>
      </w:r>
      <w:r/>
    </w:p>
    <w:p>
      <w:pPr>
        <w:ind w:firstLine="602"/>
        <w:rPr>
          <w:rFonts w:hint="eastAsia" w:ascii="Times New Roman" w:hAnsi="Times New Roman" w:eastAsia="宋体" w:cs="宋体"/>
          <w:b/>
          <w:color w:val="auto"/>
          <w:sz w:val="30"/>
          <w:szCs w:val="30"/>
          <w:highlight w:val="none"/>
          <w:lang w:eastAsia="zh-CN"/>
        </w:rPr>
      </w:pPr>
      <w:r>
        <w:rPr>
          <w:rFonts w:hint="eastAsia" w:ascii="Times New Roman" w:hAnsi="Times New Roman" w:eastAsia="宋体" w:cs="宋体"/>
          <w:b/>
          <w:color w:val="auto"/>
          <w:sz w:val="30"/>
          <w:szCs w:val="30"/>
          <w:highlight w:val="none"/>
        </w:rPr>
        <w:t xml:space="preserve">项目编号：</w:t>
      </w:r>
      <w:r>
        <w:rPr>
          <w:rFonts w:hint="eastAsia" w:ascii="Times New Roman" w:hAnsi="Times New Roman" w:eastAsia="宋体" w:cs="宋体"/>
          <w:b/>
          <w:color w:val="auto"/>
          <w:sz w:val="30"/>
          <w:szCs w:val="30"/>
          <w:highlight w:val="none"/>
          <w:lang w:eastAsia="zh-CN"/>
        </w:rPr>
        <w:t xml:space="preserve">JSZC-321311-JZCG-C2026-0001</w:t>
      </w:r>
      <w:r/>
    </w:p>
    <w:p>
      <w:pPr>
        <w:rPr>
          <w:rFonts w:ascii="Calibri" w:hAnsi="Calibri" w:eastAsia="宋体" w:cs="Times New Roman"/>
          <w:b/>
          <w:color w:val="auto"/>
          <w:sz w:val="28"/>
          <w:szCs w:val="28"/>
          <w:highlight w:val="none"/>
        </w:rPr>
      </w:pPr>
      <w:r>
        <w:rPr>
          <w:rFonts w:ascii="Calibri" w:hAnsi="Calibri" w:eastAsia="宋体" w:cs="Times New Roman"/>
          <w:b/>
          <w:color w:val="auto"/>
          <w:sz w:val="28"/>
          <w:szCs w:val="28"/>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0"/>
        <w:tblpPr w:horzAnchor="page" w:tblpX="2394" w:vertAnchor="text" w:tblpY="294" w:leftFromText="180" w:topFromText="0" w:rightFromText="180" w:bottomFromText="0"/>
        <w:tblW w:w="796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923"/>
        <w:gridCol w:w="5040"/>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Times New Roman" w:hAnsi="Times New Roman" w:eastAsia="宋体" w:cs="Times New Roman"/>
                <w:b/>
                <w:bCs/>
                <w:color w:val="auto"/>
                <w:spacing w:val="45"/>
                <w:sz w:val="32"/>
                <w:szCs w:val="24"/>
                <w:highlight w:val="none"/>
              </w:rPr>
              <w:t xml:space="preserve">采  购 人</w:t>
            </w:r>
            <w:r>
              <w:rPr>
                <w:rFonts w:hint="eastAsia" w:ascii="Times New Roman" w:hAnsi="Times New Roman" w:eastAsia="宋体" w:cs="Times New Roman"/>
                <w:b/>
                <w:bCs/>
                <w:color w:val="auto"/>
                <w:spacing w:val="1"/>
                <w:sz w:val="32"/>
                <w:szCs w:val="24"/>
                <w:highlight w:val="none"/>
              </w:rPr>
              <w:t xml:space="preserve">：</w:t>
            </w:r>
            <w:r/>
          </w:p>
        </w:tc>
        <w:tc>
          <w:tcPr>
            <w:tcW w:w="5040"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eastAsia="宋体" w:cs="Times New Roman"/>
                <w:b/>
                <w:bCs/>
                <w:color w:val="auto"/>
                <w:sz w:val="32"/>
                <w:szCs w:val="24"/>
                <w:highlight w:val="none"/>
                <w:lang w:eastAsia="zh-CN"/>
              </w:rPr>
              <w:t xml:space="preserve">宿迁市宿豫区住房和城乡建设局</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eastAsia="宋体" w:cs="Times New Roman"/>
                <w:b/>
                <w:bCs/>
                <w:color w:val="auto"/>
                <w:spacing w:val="45"/>
                <w:sz w:val="32"/>
                <w:szCs w:val="24"/>
                <w:highlight w:val="none"/>
              </w:rPr>
            </w:pPr>
            <w:r>
              <w:rPr>
                <w:rFonts w:hint="eastAsia" w:ascii="Times New Roman" w:hAnsi="Times New Roman" w:eastAsia="宋体" w:cs="Times New Roman"/>
                <w:b/>
                <w:bCs/>
                <w:color w:val="auto"/>
                <w:sz w:val="32"/>
                <w:szCs w:val="24"/>
                <w:highlight w:val="none"/>
              </w:rPr>
              <w:t xml:space="preserve">采购代理机构：</w:t>
            </w:r>
            <w:r/>
          </w:p>
        </w:tc>
        <w:tc>
          <w:tcPr>
            <w:tcW w:w="5040"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Times New Roman" w:hAnsi="Times New Roman" w:eastAsia="宋体" w:cs="Times New Roman"/>
                <w:b/>
                <w:bCs/>
                <w:color w:val="auto"/>
                <w:sz w:val="32"/>
                <w:szCs w:val="24"/>
                <w:highlight w:val="none"/>
                <w:lang w:eastAsia="zh-CN"/>
              </w:rPr>
              <w:t xml:space="preserve">宿迁市宿豫区公共资源交易中心</w:t>
            </w:r>
            <w:r/>
          </w:p>
        </w:tc>
      </w:tr>
    </w:tbl>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ascii="Arial" w:hAnsi="Arial" w:eastAsia="宋体" w:cs="Times New Roman"/>
          <w:b/>
          <w:color w:val="auto"/>
          <w:sz w:val="32"/>
          <w:szCs w:val="24"/>
          <w:highlight w:val="none"/>
        </w:rPr>
      </w:pPr>
      <w:r>
        <w:rPr>
          <w:rFonts w:ascii="Arial" w:hAnsi="Arial" w:eastAsia="宋体" w:cs="Times New Roman"/>
          <w:b/>
          <w:color w:val="auto"/>
          <w:sz w:val="32"/>
          <w:szCs w:val="24"/>
          <w:highlight w:val="none"/>
        </w:rPr>
      </w:r>
      <w:r/>
    </w:p>
    <w:p>
      <w:pPr>
        <w:jc w:val="center"/>
        <w:spacing w:before="120" w:after="120" w:line="360" w:lineRule="auto"/>
        <w:rPr>
          <w:rFonts w:ascii="Arial" w:hAnsi="Arial" w:eastAsia="宋体" w:cs="Times New Roman"/>
          <w:b/>
          <w:color w:val="auto"/>
          <w:sz w:val="32"/>
          <w:szCs w:val="24"/>
          <w:highlight w:val="none"/>
        </w:rPr>
      </w:pPr>
      <w:r>
        <w:rPr>
          <w:rFonts w:ascii="Arial" w:hAnsi="Arial" w:eastAsia="宋体" w:cs="Times New Roman"/>
          <w:b/>
          <w:color w:val="auto"/>
          <w:sz w:val="32"/>
          <w:szCs w:val="24"/>
          <w:highlight w:val="none"/>
        </w:rPr>
      </w:r>
      <w:r/>
    </w:p>
    <w:p>
      <w:pPr>
        <w:jc w:val="center"/>
        <w:spacing w:before="120" w:after="120" w:line="360" w:lineRule="auto"/>
        <w:rPr>
          <w:rFonts w:ascii="Arial" w:hAnsi="Arial" w:eastAsia="宋体" w:cs="Times New Roman"/>
          <w:b/>
          <w:color w:val="auto"/>
          <w:sz w:val="32"/>
          <w:szCs w:val="24"/>
          <w:highlight w:val="none"/>
        </w:rPr>
      </w:pPr>
      <w:r>
        <w:rPr>
          <w:rFonts w:ascii="Arial" w:hAnsi="Arial" w:eastAsia="宋体" w:cs="Times New Roman"/>
          <w:b/>
          <w:color w:val="auto"/>
          <w:sz w:val="32"/>
          <w:szCs w:val="24"/>
          <w:highlight w:val="none"/>
        </w:rPr>
        <w:t xml:space="preserve">202</w:t>
      </w:r>
      <w:r>
        <w:rPr>
          <w:rFonts w:hint="eastAsia" w:ascii="Arial" w:hAnsi="Arial" w:eastAsia="宋体" w:cs="Times New Roman"/>
          <w:b/>
          <w:color w:val="auto"/>
          <w:sz w:val="32"/>
          <w:szCs w:val="24"/>
          <w:highlight w:val="none"/>
          <w:lang w:val="en-US" w:eastAsia="zh-CN"/>
        </w:rPr>
        <w:t xml:space="preserve">6</w:t>
      </w:r>
      <w:r>
        <w:rPr>
          <w:rFonts w:hint="eastAsia" w:ascii="Arial" w:hAnsi="Arial" w:eastAsia="宋体" w:cs="宋体"/>
          <w:b/>
          <w:color w:val="auto"/>
          <w:sz w:val="32"/>
          <w:szCs w:val="24"/>
          <w:highlight w:val="none"/>
        </w:rPr>
        <w:t xml:space="preserve">年</w:t>
      </w:r>
      <w:r>
        <w:rPr>
          <w:rFonts w:hint="eastAsia" w:ascii="Arial" w:hAnsi="Arial" w:eastAsia="宋体" w:cs="宋体"/>
          <w:b/>
          <w:color w:val="auto"/>
          <w:sz w:val="32"/>
          <w:szCs w:val="24"/>
          <w:highlight w:val="none"/>
          <w:lang w:val="en-US" w:eastAsia="zh-CN"/>
        </w:rPr>
        <w:t xml:space="preserve">01</w:t>
      </w:r>
      <w:r>
        <w:rPr>
          <w:rFonts w:hint="eastAsia" w:ascii="Arial" w:hAnsi="Arial" w:eastAsia="宋体" w:cs="宋体"/>
          <w:b/>
          <w:color w:val="auto"/>
          <w:sz w:val="32"/>
          <w:szCs w:val="24"/>
          <w:highlight w:val="none"/>
        </w:rPr>
        <w:t xml:space="preserve">月</w:t>
      </w:r>
      <w:r>
        <w:rPr>
          <w:rFonts w:hint="eastAsia" w:ascii="Arial" w:hAnsi="Arial" w:eastAsia="宋体" w:cs="宋体"/>
          <w:b/>
          <w:color w:val="auto"/>
          <w:sz w:val="32"/>
          <w:szCs w:val="24"/>
          <w:highlight w:val="none"/>
          <w:lang w:val="en-US" w:eastAsia="zh-CN"/>
        </w:rPr>
        <w:t xml:space="preserve">29</w:t>
      </w:r>
      <w:r>
        <w:rPr>
          <w:rFonts w:hint="eastAsia" w:ascii="Arial" w:hAnsi="Arial" w:eastAsia="宋体" w:cs="宋体"/>
          <w:b/>
          <w:color w:val="auto"/>
          <w:sz w:val="32"/>
          <w:szCs w:val="24"/>
          <w:highlight w:val="none"/>
        </w:rPr>
        <w:t xml:space="preserve">日</w:t>
      </w:r>
      <w:r/>
    </w:p>
    <w:p>
      <w:pPr>
        <w:rPr>
          <w:rFonts w:hint="eastAsia" w:ascii="Times New Roman" w:hAnsi="Times New Roman" w:eastAsia="黑体" w:cs="Times New Roman"/>
          <w:color w:val="auto"/>
          <w:sz w:val="36"/>
          <w:szCs w:val="22"/>
          <w:highlight w:val="none"/>
        </w:rPr>
      </w:pPr>
      <w:r>
        <w:rPr>
          <w:rFonts w:hint="eastAsia" w:ascii="Times New Roman" w:hAnsi="Times New Roman" w:eastAsia="黑体" w:cs="Times New Roman"/>
          <w:color w:val="auto"/>
          <w:sz w:val="36"/>
          <w:szCs w:val="22"/>
          <w:highlight w:val="none"/>
        </w:rPr>
        <w:br w:type="page" w:clear="all"/>
      </w:r>
      <w:r/>
    </w:p>
    <w:p>
      <w:pPr>
        <w:jc w:val="center"/>
        <w:rPr>
          <w:rFonts w:ascii="Times New Roman" w:hAnsi="Times New Roman" w:eastAsia="黑体" w:cs="Times New Roman"/>
          <w:color w:val="auto"/>
          <w:sz w:val="36"/>
          <w:szCs w:val="22"/>
          <w:highlight w:val="none"/>
        </w:rPr>
      </w:pPr>
      <w:r>
        <w:rPr>
          <w:rFonts w:hint="eastAsia" w:ascii="Times New Roman" w:hAnsi="Times New Roman" w:eastAsia="黑体" w:cs="Times New Roman"/>
          <w:color w:val="auto"/>
          <w:sz w:val="36"/>
          <w:szCs w:val="22"/>
          <w:highlight w:val="none"/>
        </w:rPr>
        <w:t xml:space="preserve">目    录</w:t>
      </w:r>
      <w:r/>
    </w:p>
    <w:p>
      <w:pPr>
        <w:jc w:val="left"/>
        <w:spacing w:before="0" w:after="0" w:line="700" w:lineRule="exact"/>
        <w:widowControl w:val="off"/>
        <w:tabs>
          <w:tab w:val="right" w:pos="8306" w:leader="dot"/>
        </w:tabs>
        <w:rPr>
          <w:rFonts w:ascii="Times New Roman" w:hAnsi="Times New Roman" w:eastAsia="黑体" w:cs="Calibri"/>
          <w:b w:val="0"/>
          <w:bCs w:val="0"/>
          <w:caps w:val="0"/>
          <w:color w:val="auto"/>
          <w:sz w:val="32"/>
          <w:szCs w:val="20"/>
          <w:highlight w:val="none"/>
          <w:lang w:val="en-US" w:eastAsia="zh-CN" w:bidi="ar-SA"/>
        </w:rPr>
      </w:pPr>
      <w:r>
        <w:rPr>
          <w:rFonts w:hint="eastAsia" w:ascii="Times New Roman" w:hAnsi="Times New Roman" w:eastAsia="黑体" w:cs="Calibri"/>
          <w:b w:val="0"/>
          <w:bCs w:val="0"/>
          <w:caps w:val="0"/>
          <w:color w:val="auto"/>
          <w:sz w:val="32"/>
          <w:szCs w:val="20"/>
          <w:highlight w:val="none"/>
          <w:lang w:val="en-US" w:eastAsia="zh-CN" w:bidi="ar-SA"/>
        </w:rPr>
        <w:fldChar w:fldCharType="begin"/>
      </w:r>
      <w:r>
        <w:rPr>
          <w:rFonts w:hint="eastAsia" w:ascii="Times New Roman" w:hAnsi="Times New Roman" w:eastAsia="黑体" w:cs="Calibri"/>
          <w:b w:val="0"/>
          <w:bCs w:val="0"/>
          <w:caps w:val="0"/>
          <w:color w:val="auto"/>
          <w:sz w:val="32"/>
          <w:szCs w:val="20"/>
          <w:highlight w:val="none"/>
          <w:lang w:val="en-US" w:eastAsia="zh-CN" w:bidi="ar-SA"/>
        </w:rPr>
        <w:instrText xml:space="preserve">TOC \o "1-1" \h \u </w:instrText>
      </w:r>
      <w:r>
        <w:rPr>
          <w:rFonts w:hint="eastAsia" w:ascii="Times New Roman" w:hAnsi="Times New Roman" w:eastAsia="黑体" w:cs="Calibri"/>
          <w:b w:val="0"/>
          <w:bCs w:val="0"/>
          <w:caps w:val="0"/>
          <w:color w:val="auto"/>
          <w:sz w:val="32"/>
          <w:szCs w:val="20"/>
          <w:highlight w:val="none"/>
          <w:lang w:val="en-US" w:eastAsia="zh-CN" w:bidi="ar-SA"/>
        </w:rPr>
        <w:fldChar w:fldCharType="separate"/>
      </w:r>
      <w:r>
        <w:rPr>
          <w:rFonts w:ascii="Calibri" w:hAnsi="Calibri" w:eastAsia="宋体" w:cs="Calibri"/>
          <w:b/>
          <w:bCs/>
          <w:caps/>
          <w:color w:val="auto"/>
          <w:sz w:val="20"/>
          <w:szCs w:val="20"/>
          <w:highlight w:val="none"/>
          <w:lang w:val="en-US" w:eastAsia="zh-CN" w:bidi="ar-SA"/>
        </w:rPr>
        <w:fldChar w:fldCharType="begin"/>
      </w:r>
      <w:r>
        <w:rPr>
          <w:rFonts w:ascii="Calibri" w:hAnsi="Calibri" w:eastAsia="宋体" w:cs="Calibri"/>
          <w:b/>
          <w:bCs/>
          <w:caps/>
          <w:color w:val="auto"/>
          <w:sz w:val="20"/>
          <w:szCs w:val="20"/>
          <w:highlight w:val="none"/>
          <w:lang w:val="en-US" w:eastAsia="zh-CN" w:bidi="ar-SA"/>
        </w:rPr>
        <w:instrText xml:space="preserve"> HYPERLINK \l "_Toc7294" </w:instrText>
      </w:r>
      <w:r>
        <w:rPr>
          <w:rFonts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黑体"/>
          <w:b w:val="0"/>
          <w:bCs w:val="0"/>
          <w:caps w:val="0"/>
          <w:color w:val="auto"/>
          <w:sz w:val="32"/>
          <w:szCs w:val="44"/>
          <w:highlight w:val="none"/>
          <w:lang w:val="en-US" w:eastAsia="zh-CN" w:bidi="ar-SA"/>
        </w:rPr>
        <w:t xml:space="preserve">第一章  磋商邀请</w:t>
      </w:r>
      <w:r>
        <w:rPr>
          <w:rFonts w:ascii="Times New Roman" w:hAnsi="Times New Roman" w:eastAsia="黑体" w:cs="Calibri"/>
          <w:b w:val="0"/>
          <w:bCs w:val="0"/>
          <w:caps w:val="0"/>
          <w:color w:val="auto"/>
          <w:sz w:val="32"/>
          <w:szCs w:val="20"/>
          <w:highlight w:val="none"/>
          <w:lang w:val="en-US" w:eastAsia="zh-CN" w:bidi="ar-SA"/>
        </w:rPr>
        <w:tab/>
      </w:r>
      <w:r>
        <w:rPr>
          <w:rFonts w:ascii="Times New Roman" w:hAnsi="Times New Roman" w:eastAsia="黑体" w:cs="Calibri"/>
          <w:b w:val="0"/>
          <w:bCs w:val="0"/>
          <w:caps w:val="0"/>
          <w:color w:val="auto"/>
          <w:sz w:val="32"/>
          <w:szCs w:val="20"/>
          <w:highlight w:val="none"/>
          <w:lang w:val="en-US" w:eastAsia="zh-CN" w:bidi="ar-SA"/>
        </w:rPr>
        <w:fldChar w:fldCharType="begin"/>
      </w:r>
      <w:r>
        <w:rPr>
          <w:rFonts w:ascii="Times New Roman" w:hAnsi="Times New Roman" w:eastAsia="黑体" w:cs="Calibri"/>
          <w:b w:val="0"/>
          <w:bCs w:val="0"/>
          <w:caps w:val="0"/>
          <w:color w:val="auto"/>
          <w:sz w:val="32"/>
          <w:szCs w:val="20"/>
          <w:highlight w:val="none"/>
          <w:lang w:val="en-US" w:eastAsia="zh-CN" w:bidi="ar-SA"/>
        </w:rPr>
        <w:instrText xml:space="preserve"> PAGEREF _Toc7294 \h </w:instrText>
      </w:r>
      <w:r>
        <w:rPr>
          <w:rFonts w:ascii="Times New Roman" w:hAnsi="Times New Roman" w:eastAsia="黑体" w:cs="Calibri"/>
          <w:b w:val="0"/>
          <w:bCs w:val="0"/>
          <w:caps w:val="0"/>
          <w:color w:val="auto"/>
          <w:sz w:val="32"/>
          <w:szCs w:val="20"/>
          <w:highlight w:val="none"/>
          <w:lang w:val="en-US" w:eastAsia="zh-CN" w:bidi="ar-SA"/>
        </w:rPr>
        <w:fldChar w:fldCharType="separate"/>
      </w:r>
      <w:r>
        <w:rPr>
          <w:rFonts w:ascii="Times New Roman" w:hAnsi="Times New Roman" w:eastAsia="黑体" w:cs="Calibri"/>
          <w:b w:val="0"/>
          <w:bCs w:val="0"/>
          <w:caps w:val="0"/>
          <w:color w:val="auto"/>
          <w:sz w:val="32"/>
          <w:szCs w:val="20"/>
          <w:highlight w:val="none"/>
          <w:lang w:val="en-US" w:eastAsia="zh-CN" w:bidi="ar-SA"/>
        </w:rPr>
        <w:t xml:space="preserve">3</w:t>
      </w:r>
      <w:r>
        <w:rPr>
          <w:rFonts w:ascii="Times New Roman" w:hAnsi="Times New Roman" w:eastAsia="黑体" w:cs="Calibri"/>
          <w:b w:val="0"/>
          <w:bCs w:val="0"/>
          <w:caps w:val="0"/>
          <w:color w:val="auto"/>
          <w:sz w:val="32"/>
          <w:szCs w:val="20"/>
          <w:highlight w:val="none"/>
          <w:lang w:val="en-US" w:eastAsia="zh-CN" w:bidi="ar-SA"/>
        </w:rPr>
        <w:fldChar w:fldCharType="end"/>
      </w:r>
      <w:r>
        <w:rPr>
          <w:rFonts w:ascii="Times New Roman" w:hAnsi="Times New Roman" w:eastAsia="黑体" w:cs="Calibri"/>
          <w:b w:val="0"/>
          <w:bCs w:val="0"/>
          <w:caps w:val="0"/>
          <w:color w:val="auto"/>
          <w:sz w:val="32"/>
          <w:szCs w:val="20"/>
          <w:highlight w:val="none"/>
          <w:lang w:val="en-US" w:eastAsia="zh-CN" w:bidi="ar-SA"/>
        </w:rPr>
        <w:fldChar w:fldCharType="end"/>
      </w:r>
      <w:r/>
    </w:p>
    <w:p>
      <w:pPr>
        <w:jc w:val="left"/>
        <w:spacing w:before="0" w:after="0" w:line="700" w:lineRule="exact"/>
        <w:widowControl w:val="off"/>
        <w:tabs>
          <w:tab w:val="right" w:pos="8306" w:leader="dot"/>
        </w:tabs>
        <w:rPr>
          <w:rFonts w:ascii="Times New Roman" w:hAnsi="Times New Roman" w:eastAsia="黑体" w:cs="Calibri"/>
          <w:b w:val="0"/>
          <w:bCs w:val="0"/>
          <w:caps w:val="0"/>
          <w:color w:val="auto"/>
          <w:sz w:val="32"/>
          <w:szCs w:val="20"/>
          <w:highlight w:val="none"/>
          <w:lang w:val="en-US" w:eastAsia="zh-CN" w:bidi="ar-SA"/>
        </w:rPr>
      </w:pPr>
      <w:r>
        <w:rPr>
          <w:rFonts w:ascii="Calibri" w:hAnsi="Calibri" w:eastAsia="宋体" w:cs="Calibri"/>
          <w:b/>
          <w:bCs/>
          <w:caps/>
          <w:color w:val="auto"/>
          <w:sz w:val="20"/>
          <w:szCs w:val="20"/>
          <w:highlight w:val="none"/>
          <w:lang w:val="en-US" w:eastAsia="zh-CN" w:bidi="ar-SA"/>
        </w:rPr>
        <w:fldChar w:fldCharType="begin"/>
      </w:r>
      <w:r>
        <w:rPr>
          <w:rFonts w:ascii="Calibri" w:hAnsi="Calibri" w:eastAsia="宋体" w:cs="Calibri"/>
          <w:b/>
          <w:bCs/>
          <w:caps/>
          <w:color w:val="auto"/>
          <w:sz w:val="20"/>
          <w:szCs w:val="20"/>
          <w:highlight w:val="none"/>
          <w:lang w:val="en-US" w:eastAsia="zh-CN" w:bidi="ar-SA"/>
        </w:rPr>
        <w:instrText xml:space="preserve"> HYPERLINK \l "_Toc3297" </w:instrText>
      </w:r>
      <w:r>
        <w:rPr>
          <w:rFonts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20"/>
          <w:highlight w:val="none"/>
          <w:lang w:val="en-US" w:eastAsia="zh-CN" w:bidi="ar-SA"/>
        </w:rPr>
        <w:t xml:space="preserve">第二章  供应商须知</w:t>
      </w:r>
      <w:r>
        <w:rPr>
          <w:rFonts w:ascii="Times New Roman" w:hAnsi="Times New Roman" w:eastAsia="黑体" w:cs="Calibri"/>
          <w:b w:val="0"/>
          <w:bCs w:val="0"/>
          <w:caps w:val="0"/>
          <w:color w:val="auto"/>
          <w:sz w:val="32"/>
          <w:szCs w:val="20"/>
          <w:highlight w:val="none"/>
          <w:lang w:val="en-US" w:eastAsia="zh-CN" w:bidi="ar-SA"/>
        </w:rPr>
        <w:tab/>
      </w:r>
      <w:r>
        <w:rPr>
          <w:rFonts w:ascii="Times New Roman" w:hAnsi="Times New Roman" w:eastAsia="黑体" w:cs="Calibri"/>
          <w:b w:val="0"/>
          <w:bCs w:val="0"/>
          <w:caps w:val="0"/>
          <w:color w:val="auto"/>
          <w:sz w:val="32"/>
          <w:szCs w:val="20"/>
          <w:highlight w:val="none"/>
          <w:lang w:val="en-US" w:eastAsia="zh-CN" w:bidi="ar-SA"/>
        </w:rPr>
        <w:fldChar w:fldCharType="begin"/>
      </w:r>
      <w:r>
        <w:rPr>
          <w:rFonts w:ascii="Times New Roman" w:hAnsi="Times New Roman" w:eastAsia="黑体" w:cs="Calibri"/>
          <w:b w:val="0"/>
          <w:bCs w:val="0"/>
          <w:caps w:val="0"/>
          <w:color w:val="auto"/>
          <w:sz w:val="32"/>
          <w:szCs w:val="20"/>
          <w:highlight w:val="none"/>
          <w:lang w:val="en-US" w:eastAsia="zh-CN" w:bidi="ar-SA"/>
        </w:rPr>
        <w:instrText xml:space="preserve"> PAGEREF _Toc3297 \h </w:instrText>
      </w:r>
      <w:r>
        <w:rPr>
          <w:rFonts w:ascii="Times New Roman" w:hAnsi="Times New Roman" w:eastAsia="黑体" w:cs="Calibri"/>
          <w:b w:val="0"/>
          <w:bCs w:val="0"/>
          <w:caps w:val="0"/>
          <w:color w:val="auto"/>
          <w:sz w:val="32"/>
          <w:szCs w:val="20"/>
          <w:highlight w:val="none"/>
          <w:lang w:val="en-US" w:eastAsia="zh-CN" w:bidi="ar-SA"/>
        </w:rPr>
        <w:fldChar w:fldCharType="separate"/>
      </w:r>
      <w:r>
        <w:rPr>
          <w:rFonts w:ascii="Times New Roman" w:hAnsi="Times New Roman" w:eastAsia="黑体" w:cs="Calibri"/>
          <w:b w:val="0"/>
          <w:bCs w:val="0"/>
          <w:caps w:val="0"/>
          <w:color w:val="auto"/>
          <w:sz w:val="32"/>
          <w:szCs w:val="20"/>
          <w:highlight w:val="none"/>
          <w:lang w:val="en-US" w:eastAsia="zh-CN" w:bidi="ar-SA"/>
        </w:rPr>
        <w:t xml:space="preserve">6</w:t>
      </w:r>
      <w:r>
        <w:rPr>
          <w:rFonts w:ascii="Times New Roman" w:hAnsi="Times New Roman" w:eastAsia="黑体" w:cs="Calibri"/>
          <w:b w:val="0"/>
          <w:bCs w:val="0"/>
          <w:caps w:val="0"/>
          <w:color w:val="auto"/>
          <w:sz w:val="32"/>
          <w:szCs w:val="20"/>
          <w:highlight w:val="none"/>
          <w:lang w:val="en-US" w:eastAsia="zh-CN" w:bidi="ar-SA"/>
        </w:rPr>
        <w:fldChar w:fldCharType="end"/>
      </w:r>
      <w:r>
        <w:rPr>
          <w:rFonts w:ascii="Times New Roman" w:hAnsi="Times New Roman" w:eastAsia="黑体" w:cs="Calibri"/>
          <w:b w:val="0"/>
          <w:bCs w:val="0"/>
          <w:caps w:val="0"/>
          <w:color w:val="auto"/>
          <w:sz w:val="32"/>
          <w:szCs w:val="20"/>
          <w:highlight w:val="none"/>
          <w:lang w:val="en-US" w:eastAsia="zh-CN" w:bidi="ar-SA"/>
        </w:rPr>
        <w:fldChar w:fldCharType="end"/>
      </w:r>
      <w:r/>
    </w:p>
    <w:p>
      <w:pPr>
        <w:jc w:val="left"/>
        <w:spacing w:before="0" w:after="0" w:line="700" w:lineRule="exact"/>
        <w:widowControl w:val="off"/>
        <w:tabs>
          <w:tab w:val="right" w:pos="8306" w:leader="dot"/>
        </w:tabs>
        <w:rPr>
          <w:rFonts w:ascii="Times New Roman" w:hAnsi="Times New Roman" w:eastAsia="黑体" w:cs="Calibri"/>
          <w:b w:val="0"/>
          <w:bCs w:val="0"/>
          <w:caps w:val="0"/>
          <w:color w:val="auto"/>
          <w:sz w:val="32"/>
          <w:szCs w:val="20"/>
          <w:highlight w:val="none"/>
          <w:lang w:val="en-US" w:eastAsia="zh-CN" w:bidi="ar-SA"/>
        </w:rPr>
      </w:pPr>
      <w:r>
        <w:rPr>
          <w:rFonts w:ascii="Calibri" w:hAnsi="Calibri" w:eastAsia="宋体" w:cs="Calibri"/>
          <w:b/>
          <w:bCs/>
          <w:caps/>
          <w:color w:val="auto"/>
          <w:sz w:val="20"/>
          <w:szCs w:val="20"/>
          <w:highlight w:val="none"/>
          <w:lang w:val="en-US" w:eastAsia="zh-CN" w:bidi="ar-SA"/>
        </w:rPr>
        <w:fldChar w:fldCharType="begin"/>
      </w:r>
      <w:r>
        <w:rPr>
          <w:rFonts w:ascii="Calibri" w:hAnsi="Calibri" w:eastAsia="宋体" w:cs="Calibri"/>
          <w:b/>
          <w:bCs/>
          <w:caps/>
          <w:color w:val="auto"/>
          <w:sz w:val="20"/>
          <w:szCs w:val="20"/>
          <w:highlight w:val="none"/>
          <w:lang w:val="en-US" w:eastAsia="zh-CN" w:bidi="ar-SA"/>
        </w:rPr>
        <w:instrText xml:space="preserve"> HYPERLINK \l "_Toc21941" </w:instrText>
      </w:r>
      <w:r>
        <w:rPr>
          <w:rFonts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20"/>
          <w:highlight w:val="none"/>
          <w:lang w:val="en-US" w:eastAsia="zh-CN" w:bidi="ar-SA"/>
        </w:rPr>
        <w:t xml:space="preserve">第三章  评审方法与评审标准</w:t>
      </w:r>
      <w:r>
        <w:rPr>
          <w:rFonts w:ascii="Times New Roman" w:hAnsi="Times New Roman" w:eastAsia="黑体" w:cs="Calibri"/>
          <w:b w:val="0"/>
          <w:bCs w:val="0"/>
          <w:caps w:val="0"/>
          <w:color w:val="auto"/>
          <w:sz w:val="32"/>
          <w:szCs w:val="20"/>
          <w:highlight w:val="none"/>
          <w:lang w:val="en-US" w:eastAsia="zh-CN" w:bidi="ar-SA"/>
        </w:rPr>
        <w:tab/>
      </w:r>
      <w:r>
        <w:rPr>
          <w:rFonts w:ascii="Times New Roman" w:hAnsi="Times New Roman" w:eastAsia="黑体" w:cs="Calibri"/>
          <w:b w:val="0"/>
          <w:bCs w:val="0"/>
          <w:caps w:val="0"/>
          <w:color w:val="auto"/>
          <w:sz w:val="32"/>
          <w:szCs w:val="20"/>
          <w:highlight w:val="none"/>
          <w:lang w:val="en-US" w:eastAsia="zh-CN" w:bidi="ar-SA"/>
        </w:rPr>
        <w:fldChar w:fldCharType="begin"/>
      </w:r>
      <w:r>
        <w:rPr>
          <w:rFonts w:ascii="Times New Roman" w:hAnsi="Times New Roman" w:eastAsia="黑体" w:cs="Calibri"/>
          <w:b w:val="0"/>
          <w:bCs w:val="0"/>
          <w:caps w:val="0"/>
          <w:color w:val="auto"/>
          <w:sz w:val="32"/>
          <w:szCs w:val="20"/>
          <w:highlight w:val="none"/>
          <w:lang w:val="en-US" w:eastAsia="zh-CN" w:bidi="ar-SA"/>
        </w:rPr>
        <w:instrText xml:space="preserve"> PAGEREF _Toc21941 \h </w:instrText>
      </w:r>
      <w:r>
        <w:rPr>
          <w:rFonts w:ascii="Times New Roman" w:hAnsi="Times New Roman" w:eastAsia="黑体" w:cs="Calibri"/>
          <w:b w:val="0"/>
          <w:bCs w:val="0"/>
          <w:caps w:val="0"/>
          <w:color w:val="auto"/>
          <w:sz w:val="32"/>
          <w:szCs w:val="20"/>
          <w:highlight w:val="none"/>
          <w:lang w:val="en-US" w:eastAsia="zh-CN" w:bidi="ar-SA"/>
        </w:rPr>
        <w:fldChar w:fldCharType="separate"/>
      </w:r>
      <w:r>
        <w:rPr>
          <w:rFonts w:ascii="Times New Roman" w:hAnsi="Times New Roman" w:eastAsia="黑体" w:cs="Calibri"/>
          <w:b w:val="0"/>
          <w:bCs w:val="0"/>
          <w:caps w:val="0"/>
          <w:color w:val="auto"/>
          <w:sz w:val="32"/>
          <w:szCs w:val="20"/>
          <w:highlight w:val="none"/>
          <w:lang w:val="en-US" w:eastAsia="zh-CN" w:bidi="ar-SA"/>
        </w:rPr>
        <w:t xml:space="preserve">20</w:t>
      </w:r>
      <w:r>
        <w:rPr>
          <w:rFonts w:ascii="Times New Roman" w:hAnsi="Times New Roman" w:eastAsia="黑体" w:cs="Calibri"/>
          <w:b w:val="0"/>
          <w:bCs w:val="0"/>
          <w:caps w:val="0"/>
          <w:color w:val="auto"/>
          <w:sz w:val="32"/>
          <w:szCs w:val="20"/>
          <w:highlight w:val="none"/>
          <w:lang w:val="en-US" w:eastAsia="zh-CN" w:bidi="ar-SA"/>
        </w:rPr>
        <w:fldChar w:fldCharType="end"/>
      </w:r>
      <w:r>
        <w:rPr>
          <w:rFonts w:ascii="Times New Roman" w:hAnsi="Times New Roman" w:eastAsia="黑体" w:cs="Calibri"/>
          <w:b w:val="0"/>
          <w:bCs w:val="0"/>
          <w:caps w:val="0"/>
          <w:color w:val="auto"/>
          <w:sz w:val="32"/>
          <w:szCs w:val="20"/>
          <w:highlight w:val="none"/>
          <w:lang w:val="en-US" w:eastAsia="zh-CN" w:bidi="ar-SA"/>
        </w:rPr>
        <w:fldChar w:fldCharType="end"/>
      </w:r>
      <w:r/>
    </w:p>
    <w:p>
      <w:pPr>
        <w:jc w:val="left"/>
        <w:spacing w:before="0" w:after="0" w:line="700" w:lineRule="exact"/>
        <w:widowControl w:val="off"/>
        <w:tabs>
          <w:tab w:val="right" w:pos="8306" w:leader="dot"/>
        </w:tabs>
        <w:rPr>
          <w:rFonts w:ascii="Times New Roman" w:hAnsi="Times New Roman" w:eastAsia="黑体" w:cs="Calibri"/>
          <w:b w:val="0"/>
          <w:bCs w:val="0"/>
          <w:caps w:val="0"/>
          <w:color w:val="auto"/>
          <w:sz w:val="32"/>
          <w:szCs w:val="20"/>
          <w:highlight w:val="none"/>
          <w:lang w:val="en-US" w:eastAsia="zh-CN" w:bidi="ar-SA"/>
        </w:rPr>
      </w:pPr>
      <w:r>
        <w:rPr>
          <w:rFonts w:ascii="Calibri" w:hAnsi="Calibri" w:eastAsia="宋体" w:cs="Calibri"/>
          <w:b/>
          <w:bCs/>
          <w:caps/>
          <w:color w:val="auto"/>
          <w:sz w:val="20"/>
          <w:szCs w:val="20"/>
          <w:highlight w:val="none"/>
          <w:lang w:val="en-US" w:eastAsia="zh-CN" w:bidi="ar-SA"/>
        </w:rPr>
        <w:fldChar w:fldCharType="begin"/>
      </w:r>
      <w:r>
        <w:rPr>
          <w:rFonts w:ascii="Calibri" w:hAnsi="Calibri" w:eastAsia="宋体" w:cs="Calibri"/>
          <w:b/>
          <w:bCs/>
          <w:caps/>
          <w:color w:val="auto"/>
          <w:sz w:val="20"/>
          <w:szCs w:val="20"/>
          <w:highlight w:val="none"/>
          <w:lang w:val="en-US" w:eastAsia="zh-CN" w:bidi="ar-SA"/>
        </w:rPr>
        <w:instrText xml:space="preserve"> HYPERLINK \l "_Toc1519" </w:instrText>
      </w:r>
      <w:r>
        <w:rPr>
          <w:rFonts w:ascii="Calibri" w:hAnsi="Calibri" w:eastAsia="宋体" w:cs="Calibri"/>
          <w:b/>
          <w:bCs/>
          <w:caps/>
          <w:color w:val="auto"/>
          <w:sz w:val="20"/>
          <w:szCs w:val="20"/>
          <w:highlight w:val="none"/>
          <w:lang w:val="en-US" w:eastAsia="zh-CN" w:bidi="ar-SA"/>
        </w:rPr>
        <w:fldChar w:fldCharType="separate"/>
      </w:r>
      <w:r>
        <w:rPr>
          <w:rFonts w:ascii="Times New Roman" w:hAnsi="Times New Roman" w:eastAsia="黑体" w:cs="Calibri"/>
          <w:b w:val="0"/>
          <w:bCs w:val="0"/>
          <w:caps w:val="0"/>
          <w:color w:val="auto"/>
          <w:sz w:val="32"/>
          <w:szCs w:val="44"/>
          <w:highlight w:val="none"/>
          <w:lang w:val="en-US" w:eastAsia="zh-CN" w:bidi="ar-SA"/>
        </w:rPr>
        <w:t xml:space="preserve">第四</w:t>
      </w:r>
      <w:r>
        <w:rPr>
          <w:rFonts w:hint="eastAsia" w:ascii="Times New Roman" w:hAnsi="Times New Roman" w:eastAsia="黑体" w:cs="Calibri"/>
          <w:b w:val="0"/>
          <w:bCs w:val="0"/>
          <w:caps w:val="0"/>
          <w:color w:val="auto"/>
          <w:sz w:val="32"/>
          <w:szCs w:val="44"/>
          <w:highlight w:val="none"/>
          <w:lang w:val="en-US" w:eastAsia="zh-CN" w:bidi="ar-SA"/>
        </w:rPr>
        <w:t xml:space="preserve">章  </w:t>
      </w:r>
      <w:r>
        <w:rPr>
          <w:rFonts w:ascii="Times New Roman" w:hAnsi="Times New Roman" w:eastAsia="黑体" w:cs="Calibri"/>
          <w:b w:val="0"/>
          <w:bCs w:val="0"/>
          <w:caps w:val="0"/>
          <w:color w:val="auto"/>
          <w:sz w:val="32"/>
          <w:szCs w:val="44"/>
          <w:highlight w:val="none"/>
          <w:lang w:val="en-US" w:eastAsia="zh-CN" w:bidi="ar-SA"/>
        </w:rPr>
        <w:t xml:space="preserve">采购需求</w:t>
      </w:r>
      <w:r>
        <w:rPr>
          <w:rFonts w:ascii="Times New Roman" w:hAnsi="Times New Roman" w:eastAsia="黑体" w:cs="Calibri"/>
          <w:b w:val="0"/>
          <w:bCs w:val="0"/>
          <w:caps w:val="0"/>
          <w:color w:val="auto"/>
          <w:sz w:val="32"/>
          <w:szCs w:val="20"/>
          <w:highlight w:val="none"/>
          <w:lang w:val="en-US" w:eastAsia="zh-CN" w:bidi="ar-SA"/>
        </w:rPr>
        <w:tab/>
      </w:r>
      <w:r>
        <w:rPr>
          <w:rFonts w:ascii="Times New Roman" w:hAnsi="Times New Roman" w:eastAsia="黑体" w:cs="Calibri"/>
          <w:b w:val="0"/>
          <w:bCs w:val="0"/>
          <w:caps w:val="0"/>
          <w:color w:val="auto"/>
          <w:sz w:val="32"/>
          <w:szCs w:val="20"/>
          <w:highlight w:val="none"/>
          <w:lang w:val="en-US" w:eastAsia="zh-CN" w:bidi="ar-SA"/>
        </w:rPr>
        <w:fldChar w:fldCharType="begin"/>
      </w:r>
      <w:r>
        <w:rPr>
          <w:rFonts w:ascii="Times New Roman" w:hAnsi="Times New Roman" w:eastAsia="黑体" w:cs="Calibri"/>
          <w:b w:val="0"/>
          <w:bCs w:val="0"/>
          <w:caps w:val="0"/>
          <w:color w:val="auto"/>
          <w:sz w:val="32"/>
          <w:szCs w:val="20"/>
          <w:highlight w:val="none"/>
          <w:lang w:val="en-US" w:eastAsia="zh-CN" w:bidi="ar-SA"/>
        </w:rPr>
        <w:instrText xml:space="preserve"> PAGEREF _Toc1519 \h </w:instrText>
      </w:r>
      <w:r>
        <w:rPr>
          <w:rFonts w:ascii="Times New Roman" w:hAnsi="Times New Roman" w:eastAsia="黑体" w:cs="Calibri"/>
          <w:b w:val="0"/>
          <w:bCs w:val="0"/>
          <w:caps w:val="0"/>
          <w:color w:val="auto"/>
          <w:sz w:val="32"/>
          <w:szCs w:val="20"/>
          <w:highlight w:val="none"/>
          <w:lang w:val="en-US" w:eastAsia="zh-CN" w:bidi="ar-SA"/>
        </w:rPr>
        <w:fldChar w:fldCharType="separate"/>
      </w:r>
      <w:r>
        <w:rPr>
          <w:rFonts w:ascii="Times New Roman" w:hAnsi="Times New Roman" w:eastAsia="黑体" w:cs="Calibri"/>
          <w:b w:val="0"/>
          <w:bCs w:val="0"/>
          <w:caps w:val="0"/>
          <w:color w:val="auto"/>
          <w:sz w:val="32"/>
          <w:szCs w:val="20"/>
          <w:highlight w:val="none"/>
          <w:lang w:val="en-US" w:eastAsia="zh-CN" w:bidi="ar-SA"/>
        </w:rPr>
        <w:t xml:space="preserve">23</w:t>
      </w:r>
      <w:r>
        <w:rPr>
          <w:rFonts w:ascii="Times New Roman" w:hAnsi="Times New Roman" w:eastAsia="黑体" w:cs="Calibri"/>
          <w:b w:val="0"/>
          <w:bCs w:val="0"/>
          <w:caps w:val="0"/>
          <w:color w:val="auto"/>
          <w:sz w:val="32"/>
          <w:szCs w:val="20"/>
          <w:highlight w:val="none"/>
          <w:lang w:val="en-US" w:eastAsia="zh-CN" w:bidi="ar-SA"/>
        </w:rPr>
        <w:fldChar w:fldCharType="end"/>
      </w:r>
      <w:r>
        <w:rPr>
          <w:rFonts w:ascii="Times New Roman" w:hAnsi="Times New Roman" w:eastAsia="黑体" w:cs="Calibri"/>
          <w:b w:val="0"/>
          <w:bCs w:val="0"/>
          <w:caps w:val="0"/>
          <w:color w:val="auto"/>
          <w:sz w:val="32"/>
          <w:szCs w:val="20"/>
          <w:highlight w:val="none"/>
          <w:lang w:val="en-US" w:eastAsia="zh-CN" w:bidi="ar-SA"/>
        </w:rPr>
        <w:fldChar w:fldCharType="end"/>
      </w:r>
      <w:r/>
    </w:p>
    <w:p>
      <w:pPr>
        <w:jc w:val="left"/>
        <w:spacing w:before="0" w:after="0" w:line="700" w:lineRule="exact"/>
        <w:widowControl w:val="off"/>
        <w:tabs>
          <w:tab w:val="right" w:pos="8306" w:leader="dot"/>
        </w:tabs>
        <w:rPr>
          <w:rFonts w:hint="eastAsia" w:ascii="Times New Roman" w:hAnsi="Times New Roman" w:eastAsia="黑体" w:cs="Calibri"/>
          <w:b w:val="0"/>
          <w:bCs w:val="0"/>
          <w:caps w:val="0"/>
          <w:color w:val="auto"/>
          <w:sz w:val="32"/>
          <w:szCs w:val="20"/>
          <w:highlight w:val="none"/>
          <w:lang w:val="en-US" w:eastAsia="zh-CN" w:bidi="ar-SA"/>
        </w:rPr>
      </w:pPr>
      <w:r>
        <w:rPr>
          <w:rFonts w:ascii="Calibri" w:hAnsi="Calibri" w:eastAsia="宋体" w:cs="Calibri"/>
          <w:b/>
          <w:bCs/>
          <w:caps/>
          <w:color w:val="auto"/>
          <w:sz w:val="20"/>
          <w:szCs w:val="20"/>
          <w:highlight w:val="none"/>
          <w:lang w:val="en-US" w:eastAsia="zh-CN" w:bidi="ar-SA"/>
        </w:rPr>
        <w:fldChar w:fldCharType="begin"/>
      </w:r>
      <w:r>
        <w:rPr>
          <w:rFonts w:ascii="Calibri" w:hAnsi="Calibri" w:eastAsia="宋体" w:cs="Calibri"/>
          <w:b/>
          <w:bCs/>
          <w:caps/>
          <w:color w:val="auto"/>
          <w:sz w:val="20"/>
          <w:szCs w:val="20"/>
          <w:highlight w:val="none"/>
          <w:lang w:val="en-US" w:eastAsia="zh-CN" w:bidi="ar-SA"/>
        </w:rPr>
        <w:instrText xml:space="preserve"> HYPERLINK \l "_Toc2833" </w:instrText>
      </w:r>
      <w:r>
        <w:rPr>
          <w:rFonts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44"/>
          <w:highlight w:val="none"/>
          <w:lang w:val="en-US" w:eastAsia="zh-CN" w:bidi="ar-SA"/>
        </w:rPr>
        <w:t xml:space="preserve">第五章  合同文本</w:t>
      </w:r>
      <w:r>
        <w:rPr>
          <w:rFonts w:ascii="Times New Roman" w:hAnsi="Times New Roman" w:eastAsia="黑体" w:cs="Calibri"/>
          <w:b w:val="0"/>
          <w:bCs w:val="0"/>
          <w:caps w:val="0"/>
          <w:color w:val="auto"/>
          <w:sz w:val="32"/>
          <w:szCs w:val="20"/>
          <w:highlight w:val="none"/>
          <w:lang w:val="en-US" w:eastAsia="zh-CN" w:bidi="ar-SA"/>
        </w:rPr>
        <w:tab/>
      </w:r>
      <w:r>
        <w:rPr>
          <w:rFonts w:hint="eastAsia" w:ascii="Times New Roman" w:hAnsi="Times New Roman" w:eastAsia="黑体" w:cs="Calibri"/>
          <w:b w:val="0"/>
          <w:bCs w:val="0"/>
          <w:caps w:val="0"/>
          <w:color w:val="auto"/>
          <w:sz w:val="32"/>
          <w:szCs w:val="20"/>
          <w:highlight w:val="none"/>
          <w:lang w:val="en-US" w:eastAsia="zh-CN" w:bidi="ar-SA"/>
        </w:rPr>
        <w:t xml:space="preserve">4</w:t>
      </w:r>
      <w:r>
        <w:rPr>
          <w:rFonts w:ascii="Times New Roman" w:hAnsi="Times New Roman" w:eastAsia="黑体" w:cs="Calibri"/>
          <w:b w:val="0"/>
          <w:bCs w:val="0"/>
          <w:caps w:val="0"/>
          <w:color w:val="auto"/>
          <w:sz w:val="32"/>
          <w:szCs w:val="20"/>
          <w:highlight w:val="none"/>
          <w:lang w:val="en-US" w:eastAsia="zh-CN" w:bidi="ar-SA"/>
        </w:rPr>
        <w:fldChar w:fldCharType="end"/>
      </w:r>
      <w:r>
        <w:rPr>
          <w:rFonts w:hint="eastAsia" w:ascii="Times New Roman" w:hAnsi="Times New Roman" w:eastAsia="黑体" w:cs="Calibri"/>
          <w:b w:val="0"/>
          <w:bCs w:val="0"/>
          <w:caps w:val="0"/>
          <w:color w:val="auto"/>
          <w:sz w:val="32"/>
          <w:szCs w:val="20"/>
          <w:highlight w:val="none"/>
          <w:lang w:val="en-US" w:eastAsia="zh-CN" w:bidi="ar-SA"/>
        </w:rPr>
        <w:t xml:space="preserve">7</w:t>
      </w:r>
      <w:r/>
    </w:p>
    <w:p>
      <w:pPr>
        <w:jc w:val="left"/>
        <w:spacing w:before="0" w:after="0" w:line="700" w:lineRule="exact"/>
        <w:widowControl w:val="off"/>
        <w:tabs>
          <w:tab w:val="right" w:pos="8306" w:leader="dot"/>
        </w:tabs>
        <w:rPr>
          <w:rFonts w:hint="eastAsia" w:ascii="Times New Roman" w:hAnsi="Times New Roman" w:eastAsia="黑体" w:cs="Calibri"/>
          <w:b w:val="0"/>
          <w:bCs w:val="0"/>
          <w:caps w:val="0"/>
          <w:color w:val="auto"/>
          <w:sz w:val="32"/>
          <w:szCs w:val="20"/>
          <w:highlight w:val="none"/>
          <w:lang w:val="en-US" w:eastAsia="zh-CN" w:bidi="ar-SA"/>
        </w:rPr>
      </w:pPr>
      <w:r>
        <w:rPr>
          <w:rFonts w:ascii="Calibri" w:hAnsi="Calibri" w:eastAsia="宋体" w:cs="Calibri"/>
          <w:b/>
          <w:bCs/>
          <w:caps/>
          <w:color w:val="auto"/>
          <w:sz w:val="20"/>
          <w:szCs w:val="20"/>
          <w:highlight w:val="none"/>
          <w:lang w:val="en-US" w:eastAsia="zh-CN" w:bidi="ar-SA"/>
        </w:rPr>
        <w:fldChar w:fldCharType="begin"/>
      </w:r>
      <w:r>
        <w:rPr>
          <w:rFonts w:ascii="Calibri" w:hAnsi="Calibri" w:eastAsia="宋体" w:cs="Calibri"/>
          <w:b/>
          <w:bCs/>
          <w:caps/>
          <w:color w:val="auto"/>
          <w:sz w:val="20"/>
          <w:szCs w:val="20"/>
          <w:highlight w:val="none"/>
          <w:lang w:val="en-US" w:eastAsia="zh-CN" w:bidi="ar-SA"/>
        </w:rPr>
        <w:instrText xml:space="preserve"> HYPERLINK \l "_Toc22631" </w:instrText>
      </w:r>
      <w:r>
        <w:rPr>
          <w:rFonts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44"/>
          <w:highlight w:val="none"/>
          <w:lang w:val="en-US" w:eastAsia="zh-CN" w:bidi="ar-SA"/>
        </w:rPr>
        <w:t xml:space="preserve">第六章  响应文件格式</w:t>
      </w:r>
      <w:r>
        <w:rPr>
          <w:rFonts w:ascii="Times New Roman" w:hAnsi="Times New Roman" w:eastAsia="黑体" w:cs="Calibri"/>
          <w:b w:val="0"/>
          <w:bCs w:val="0"/>
          <w:caps w:val="0"/>
          <w:color w:val="auto"/>
          <w:sz w:val="32"/>
          <w:szCs w:val="20"/>
          <w:highlight w:val="none"/>
          <w:lang w:val="en-US" w:eastAsia="zh-CN" w:bidi="ar-SA"/>
        </w:rPr>
        <w:tab/>
      </w:r>
      <w:r>
        <w:rPr>
          <w:rFonts w:hint="eastAsia" w:ascii="Times New Roman" w:hAnsi="Times New Roman" w:eastAsia="黑体" w:cs="Calibri"/>
          <w:b w:val="0"/>
          <w:bCs w:val="0"/>
          <w:caps w:val="0"/>
          <w:color w:val="auto"/>
          <w:sz w:val="32"/>
          <w:szCs w:val="20"/>
          <w:highlight w:val="none"/>
          <w:lang w:val="en-US" w:eastAsia="zh-CN" w:bidi="ar-SA"/>
        </w:rPr>
        <w:t xml:space="preserve">5</w:t>
      </w:r>
      <w:r>
        <w:rPr>
          <w:rFonts w:ascii="Times New Roman" w:hAnsi="Times New Roman" w:eastAsia="黑体" w:cs="Calibri"/>
          <w:b w:val="0"/>
          <w:bCs w:val="0"/>
          <w:caps w:val="0"/>
          <w:color w:val="auto"/>
          <w:sz w:val="32"/>
          <w:szCs w:val="20"/>
          <w:highlight w:val="none"/>
          <w:lang w:val="en-US" w:eastAsia="zh-CN" w:bidi="ar-SA"/>
        </w:rPr>
        <w:fldChar w:fldCharType="end"/>
      </w:r>
      <w:r>
        <w:rPr>
          <w:rFonts w:hint="eastAsia" w:ascii="Times New Roman" w:hAnsi="Times New Roman" w:eastAsia="黑体" w:cs="Calibri"/>
          <w:b w:val="0"/>
          <w:bCs w:val="0"/>
          <w:caps w:val="0"/>
          <w:color w:val="auto"/>
          <w:sz w:val="32"/>
          <w:szCs w:val="20"/>
          <w:highlight w:val="none"/>
          <w:lang w:val="en-US" w:eastAsia="zh-CN" w:bidi="ar-SA"/>
        </w:rPr>
        <w:t xml:space="preserve">4</w:t>
      </w:r>
      <w:r/>
    </w:p>
    <w:p>
      <w:pPr>
        <w:jc w:val="center"/>
        <w:spacing w:line="700" w:lineRule="exact"/>
        <w:rPr>
          <w:rFonts w:ascii="Times New Roman" w:hAnsi="Times New Roman" w:eastAsia="黑体" w:cs="Times New Roman"/>
          <w:color w:val="auto"/>
          <w:sz w:val="32"/>
          <w:szCs w:val="22"/>
          <w:highlight w:val="none"/>
        </w:rPr>
      </w:pPr>
      <w:r>
        <w:rPr>
          <w:rFonts w:hint="eastAsia" w:ascii="Times New Roman" w:hAnsi="Times New Roman" w:eastAsia="黑体" w:cs="Times New Roman"/>
          <w:color w:val="auto"/>
          <w:sz w:val="32"/>
          <w:szCs w:val="22"/>
          <w:highlight w:val="none"/>
        </w:rPr>
        <w:fldChar w:fldCharType="end"/>
      </w:r>
      <w:r/>
    </w:p>
    <w:p>
      <w:pPr>
        <w:jc w:val="center"/>
        <w:spacing w:line="700" w:lineRule="exact"/>
        <w:rPr>
          <w:rFonts w:ascii="Times New Roman" w:hAnsi="Times New Roman" w:eastAsia="黑体" w:cs="Times New Roman"/>
          <w:color w:val="auto"/>
          <w:sz w:val="32"/>
          <w:szCs w:val="22"/>
          <w:highlight w:val="none"/>
        </w:rPr>
      </w:pPr>
      <w:r>
        <w:rPr>
          <w:rFonts w:ascii="Times New Roman" w:hAnsi="Times New Roman" w:eastAsia="黑体" w:cs="Times New Roman"/>
          <w:color w:val="auto"/>
          <w:sz w:val="32"/>
          <w:szCs w:val="22"/>
          <w:highlight w:val="none"/>
        </w:rPr>
      </w:r>
      <w:r/>
    </w:p>
    <w:p>
      <w:pPr>
        <w:jc w:val="center"/>
        <w:spacing w:line="700" w:lineRule="exact"/>
        <w:rPr>
          <w:rFonts w:ascii="Times New Roman" w:hAnsi="Times New Roman" w:eastAsia="黑体" w:cs="Times New Roman"/>
          <w:color w:val="auto"/>
          <w:sz w:val="32"/>
          <w:szCs w:val="22"/>
          <w:highlight w:val="none"/>
        </w:rPr>
      </w:pPr>
      <w:r>
        <w:rPr>
          <w:rFonts w:ascii="Times New Roman" w:hAnsi="Times New Roman" w:eastAsia="黑体" w:cs="Times New Roman"/>
          <w:color w:val="auto"/>
          <w:sz w:val="32"/>
          <w:szCs w:val="22"/>
          <w:highlight w:val="none"/>
        </w:rPr>
      </w:r>
      <w:r/>
    </w:p>
    <w:p>
      <w:pPr>
        <w:jc w:val="center"/>
        <w:spacing w:line="700" w:lineRule="exact"/>
        <w:rPr>
          <w:rFonts w:ascii="Times New Roman" w:hAnsi="Times New Roman" w:eastAsia="黑体" w:cs="Times New Roman"/>
          <w:color w:val="auto"/>
          <w:sz w:val="32"/>
          <w:szCs w:val="22"/>
          <w:highlight w:val="none"/>
        </w:rPr>
      </w:pPr>
      <w:r>
        <w:rPr>
          <w:rFonts w:ascii="Times New Roman" w:hAnsi="Times New Roman" w:eastAsia="黑体" w:cs="Times New Roman"/>
          <w:color w:val="auto"/>
          <w:sz w:val="32"/>
          <w:szCs w:val="22"/>
          <w:highlight w:val="none"/>
        </w:rPr>
      </w:r>
      <w:r/>
    </w:p>
    <w:p>
      <w:pPr>
        <w:jc w:val="center"/>
        <w:spacing w:line="700" w:lineRule="exact"/>
        <w:rPr>
          <w:rFonts w:ascii="Times New Roman" w:hAnsi="Times New Roman" w:eastAsia="黑体" w:cs="Times New Roman"/>
          <w:color w:val="auto"/>
          <w:sz w:val="32"/>
          <w:szCs w:val="22"/>
          <w:highlight w:val="none"/>
        </w:rPr>
      </w:pPr>
      <w:r>
        <w:rPr>
          <w:rFonts w:ascii="Times New Roman" w:hAnsi="Times New Roman" w:eastAsia="黑体" w:cs="Times New Roman"/>
          <w:color w:val="auto"/>
          <w:sz w:val="32"/>
          <w:szCs w:val="22"/>
          <w:highlight w:val="none"/>
        </w:rPr>
      </w:r>
      <w:r/>
    </w:p>
    <w:p>
      <w:pPr>
        <w:jc w:val="center"/>
        <w:spacing w:line="700" w:lineRule="exact"/>
        <w:rPr>
          <w:rFonts w:ascii="Times New Roman" w:hAnsi="Times New Roman" w:eastAsia="黑体" w:cs="Times New Roman"/>
          <w:color w:val="auto"/>
          <w:sz w:val="32"/>
          <w:szCs w:val="22"/>
          <w:highlight w:val="none"/>
        </w:rPr>
      </w:pPr>
      <w:r>
        <w:rPr>
          <w:rFonts w:ascii="Times New Roman" w:hAnsi="Times New Roman" w:eastAsia="黑体" w:cs="Times New Roman"/>
          <w:color w:val="auto"/>
          <w:sz w:val="32"/>
          <w:szCs w:val="22"/>
          <w:highlight w:val="none"/>
        </w:rPr>
      </w:r>
      <w:r/>
    </w:p>
    <w:p>
      <w:pPr>
        <w:jc w:val="center"/>
        <w:spacing w:line="700" w:lineRule="exact"/>
        <w:rPr>
          <w:rFonts w:ascii="Times New Roman" w:hAnsi="Times New Roman" w:eastAsia="黑体" w:cs="Times New Roman"/>
          <w:color w:val="auto"/>
          <w:sz w:val="32"/>
          <w:szCs w:val="22"/>
          <w:highlight w:val="none"/>
        </w:rPr>
      </w:pPr>
      <w:r>
        <w:rPr>
          <w:rFonts w:ascii="Times New Roman" w:hAnsi="Times New Roman" w:eastAsia="黑体" w:cs="Times New Roman"/>
          <w:color w:val="auto"/>
          <w:sz w:val="32"/>
          <w:szCs w:val="22"/>
          <w:highlight w:val="none"/>
        </w:rPr>
      </w:r>
      <w:r/>
    </w:p>
    <w:p>
      <w:pPr>
        <w:jc w:val="center"/>
        <w:spacing w:line="700" w:lineRule="exact"/>
        <w:rPr>
          <w:rFonts w:ascii="Times New Roman" w:hAnsi="Times New Roman" w:eastAsia="黑体" w:cs="Times New Roman"/>
          <w:color w:val="auto"/>
          <w:sz w:val="32"/>
          <w:szCs w:val="22"/>
          <w:highlight w:val="none"/>
        </w:rPr>
      </w:pPr>
      <w:r>
        <w:rPr>
          <w:rFonts w:ascii="Times New Roman" w:hAnsi="Times New Roman" w:eastAsia="黑体" w:cs="Times New Roman"/>
          <w:color w:val="auto"/>
          <w:sz w:val="32"/>
          <w:szCs w:val="22"/>
          <w:highlight w:val="none"/>
        </w:rPr>
      </w:r>
      <w:r/>
    </w:p>
    <w:p>
      <w:pPr>
        <w:jc w:val="center"/>
        <w:spacing w:line="700" w:lineRule="exact"/>
        <w:rPr>
          <w:rFonts w:ascii="Times New Roman" w:hAnsi="Times New Roman" w:eastAsia="黑体" w:cs="Times New Roman"/>
          <w:color w:val="auto"/>
          <w:sz w:val="32"/>
          <w:szCs w:val="22"/>
          <w:highlight w:val="none"/>
        </w:rPr>
      </w:pPr>
      <w:r>
        <w:rPr>
          <w:rFonts w:ascii="Times New Roman" w:hAnsi="Times New Roman" w:eastAsia="黑体" w:cs="Times New Roman"/>
          <w:color w:val="auto"/>
          <w:sz w:val="32"/>
          <w:szCs w:val="22"/>
          <w:highlight w:val="none"/>
        </w:rPr>
      </w:r>
      <w:r/>
    </w:p>
    <w:p>
      <w:pPr>
        <w:jc w:val="center"/>
        <w:spacing w:line="700" w:lineRule="exact"/>
        <w:rPr>
          <w:rFonts w:ascii="Times New Roman" w:hAnsi="Times New Roman" w:eastAsia="黑体" w:cs="Times New Roman"/>
          <w:color w:val="auto"/>
          <w:sz w:val="32"/>
          <w:szCs w:val="22"/>
          <w:highlight w:val="none"/>
        </w:rPr>
      </w:pPr>
      <w:r>
        <w:rPr>
          <w:rFonts w:ascii="Times New Roman" w:hAnsi="Times New Roman" w:eastAsia="黑体" w:cs="Times New Roman"/>
          <w:color w:val="auto"/>
          <w:sz w:val="32"/>
          <w:szCs w:val="22"/>
          <w:highlight w:val="none"/>
        </w:rPr>
      </w:r>
      <w:r/>
    </w:p>
    <w:p>
      <w:pPr>
        <w:jc w:val="center"/>
        <w:spacing w:line="700" w:lineRule="exact"/>
        <w:rPr>
          <w:rFonts w:ascii="Times New Roman" w:hAnsi="Times New Roman" w:eastAsia="黑体" w:cs="Times New Roman"/>
          <w:color w:val="auto"/>
          <w:sz w:val="32"/>
          <w:szCs w:val="22"/>
          <w:highlight w:val="none"/>
        </w:rPr>
      </w:pPr>
      <w:r>
        <w:rPr>
          <w:rFonts w:ascii="Times New Roman" w:hAnsi="Times New Roman" w:eastAsia="黑体" w:cs="Times New Roman"/>
          <w:color w:val="auto"/>
          <w:sz w:val="32"/>
          <w:szCs w:val="22"/>
          <w:highlight w:val="none"/>
        </w:rPr>
      </w:r>
      <w:r/>
    </w:p>
    <w:p>
      <w:pPr>
        <w:jc w:val="center"/>
        <w:spacing w:line="700" w:lineRule="exact"/>
        <w:rPr>
          <w:rFonts w:ascii="Times New Roman" w:hAnsi="Times New Roman" w:eastAsia="黑体" w:cs="Times New Roman"/>
          <w:color w:val="auto"/>
          <w:sz w:val="32"/>
          <w:szCs w:val="22"/>
          <w:highlight w:val="none"/>
        </w:rPr>
      </w:pPr>
      <w:r>
        <w:rPr>
          <w:rFonts w:ascii="Times New Roman" w:hAnsi="Times New Roman" w:eastAsia="黑体" w:cs="Times New Roman"/>
          <w:color w:val="auto"/>
          <w:sz w:val="32"/>
          <w:szCs w:val="22"/>
          <w:highlight w:val="none"/>
        </w:rPr>
      </w:r>
      <w:r/>
    </w:p>
    <w:p>
      <w:pPr>
        <w:rPr>
          <w:rFonts w:ascii="Times New Roman" w:hAnsi="Times New Roman" w:eastAsia="黑体" w:cs="Times New Roman"/>
          <w:color w:val="auto"/>
          <w:sz w:val="32"/>
          <w:szCs w:val="22"/>
          <w:highlight w:val="none"/>
        </w:rPr>
      </w:pPr>
      <w:r>
        <w:rPr>
          <w:rFonts w:hint="eastAsia" w:ascii="Times New Roman" w:hAnsi="Times New Roman" w:eastAsia="黑体" w:cs="Times New Roman"/>
          <w:color w:val="auto"/>
          <w:sz w:val="32"/>
          <w:szCs w:val="22"/>
          <w:highlight w:val="none"/>
        </w:rPr>
        <w:br w:type="page" w:clear="all"/>
      </w:r>
      <w:r/>
    </w:p>
    <w:p>
      <w:pPr>
        <w:jc w:val="center"/>
        <w:keepLines/>
        <w:keepNext/>
        <w:spacing w:before="480" w:after="200"/>
        <w:widowControl w:val="off"/>
        <w:rPr>
          <w:rFonts w:hint="eastAsia" w:ascii="黑体" w:hAnsi="黑体" w:eastAsia="黑体" w:cs="黑体"/>
          <w:color w:val="auto"/>
          <w:sz w:val="44"/>
          <w:szCs w:val="44"/>
          <w:highlight w:val="none"/>
          <w:lang w:val="en-US" w:eastAsia="zh-CN" w:bidi="ar-SA"/>
        </w:rPr>
        <w:outlineLvl w:val="0"/>
      </w:pPr>
      <w:r/>
      <w:bookmarkStart w:id="0" w:name="_Toc7294"/>
      <w:r/>
      <w:bookmarkStart w:id="1" w:name="_Toc13414"/>
      <w:r/>
      <w:bookmarkStart w:id="2" w:name="_Toc27259"/>
      <w:r/>
      <w:bookmarkStart w:id="3" w:name="_Toc141869960"/>
      <w:r>
        <w:rPr>
          <w:rFonts w:hint="eastAsia" w:ascii="黑体" w:hAnsi="黑体" w:eastAsia="黑体" w:cs="黑体"/>
          <w:color w:val="auto"/>
          <w:sz w:val="44"/>
          <w:szCs w:val="44"/>
          <w:highlight w:val="none"/>
          <w:lang w:val="en-US" w:eastAsia="zh-CN" w:bidi="ar-SA"/>
        </w:rPr>
        <w:t xml:space="preserve">第一章  磋商邀请</w:t>
      </w:r>
      <w:bookmarkEnd w:id="0"/>
      <w:r/>
      <w:bookmarkEnd w:id="1"/>
      <w:r/>
      <w:bookmarkEnd w:id="2"/>
      <w:r/>
      <w:r/>
    </w:p>
    <w:p>
      <w:pPr>
        <w:ind w:firstLine="480"/>
        <w:spacing w:line="520" w:lineRule="exact"/>
        <w:rPr>
          <w:rFonts w:ascii="Times New Roman" w:hAnsi="Times New Roman" w:eastAsia="宋体" w:cs="宋体"/>
          <w:color w:val="auto"/>
          <w:sz w:val="24"/>
          <w:szCs w:val="24"/>
          <w:highlight w:val="none"/>
        </w:rPr>
      </w:pPr>
      <w:r>
        <w:rPr>
          <w:rFonts w:hint="eastAsia" w:ascii="宋体" w:hAnsi="宋体" w:eastAsia="宋体" w:cs="Times New Roman"/>
          <w:color w:val="auto"/>
          <w:sz w:val="24"/>
          <w:szCs w:val="24"/>
          <w:highlight w:val="none"/>
        </w:rPr>
        <w:t xml:space="preserve">受</w:t>
      </w:r>
      <w:r>
        <w:rPr>
          <w:rFonts w:hint="eastAsia" w:ascii="宋体" w:hAnsi="宋体" w:eastAsia="宋体" w:cs="Times New Roman"/>
          <w:color w:val="auto"/>
          <w:sz w:val="24"/>
          <w:szCs w:val="24"/>
          <w:highlight w:val="none"/>
          <w:u w:val="single"/>
          <w:lang w:eastAsia="zh-CN"/>
        </w:rPr>
        <w:t xml:space="preserve">宿迁市宿豫区住房和城乡建设局</w:t>
      </w:r>
      <w:r>
        <w:rPr>
          <w:rFonts w:hint="eastAsia" w:ascii="宋体" w:hAnsi="宋体" w:eastAsia="宋体" w:cs="Times New Roman"/>
          <w:color w:val="auto"/>
          <w:sz w:val="24"/>
          <w:szCs w:val="24"/>
          <w:highlight w:val="none"/>
        </w:rPr>
        <w:t xml:space="preserve">的委托，</w:t>
      </w:r>
      <w:r>
        <w:rPr>
          <w:rFonts w:hint="eastAsia" w:ascii="宋体" w:hAnsi="宋体" w:eastAsia="宋体" w:cs="Times New Roman"/>
          <w:color w:val="auto"/>
          <w:sz w:val="24"/>
          <w:szCs w:val="24"/>
          <w:highlight w:val="none"/>
          <w:u w:val="single"/>
        </w:rPr>
        <w:t xml:space="preserve">宿迁市宿豫区公共资源交易中心</w:t>
      </w:r>
      <w:r>
        <w:rPr>
          <w:rFonts w:hint="eastAsia" w:ascii="Times New Roman" w:hAnsi="Times New Roman" w:eastAsia="宋体" w:cs="方正仿宋_GBK"/>
          <w:color w:val="auto"/>
          <w:sz w:val="24"/>
          <w:szCs w:val="24"/>
          <w:highlight w:val="none"/>
        </w:rPr>
        <w:t xml:space="preserve">就</w:t>
      </w:r>
      <w:r>
        <w:rPr>
          <w:rFonts w:hint="eastAsia" w:ascii="宋体" w:hAnsi="宋体" w:eastAsia="宋体" w:cs="Times New Roman"/>
          <w:color w:val="auto"/>
          <w:sz w:val="24"/>
          <w:szCs w:val="24"/>
          <w:highlight w:val="none"/>
          <w:u w:val="single"/>
          <w:lang w:eastAsia="zh-CN"/>
        </w:rPr>
        <w:t xml:space="preserve">宿豫区智慧水务平台运维（2026-2027年）-平台升级迁改项目</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lang w:eastAsia="zh-CN"/>
        </w:rPr>
        <w:t xml:space="preserve">JSZC-321311-JZCG-C2026-0001</w:t>
      </w:r>
      <w:r>
        <w:rPr>
          <w:rFonts w:hint="eastAsia" w:ascii="宋体" w:hAnsi="宋体" w:eastAsia="宋体" w:cs="Times New Roman"/>
          <w:color w:val="auto"/>
          <w:sz w:val="24"/>
          <w:szCs w:val="24"/>
          <w:highlight w:val="none"/>
        </w:rPr>
        <w:t xml:space="preserve">)</w:t>
      </w:r>
      <w:r>
        <w:rPr>
          <w:rFonts w:hint="eastAsia" w:ascii="Times New Roman" w:hAnsi="Times New Roman" w:eastAsia="宋体"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eastAsia="宋体"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仿宋"/>
          <w:color w:val="auto"/>
          <w:sz w:val="24"/>
          <w:szCs w:val="24"/>
          <w:highlight w:val="none"/>
        </w:rPr>
        <w:t xml:space="preserve">项目概况</w:t>
      </w:r>
      <w:r/>
    </w:p>
    <w:p>
      <w:pPr>
        <w:ind w:firstLine="480"/>
        <w:spacing w:line="500" w:lineRule="exact"/>
        <w:rPr>
          <w:rFonts w:ascii="Times New Roman" w:hAnsi="Times New Roman" w:eastAsia="宋体"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4"/>
          <w:highlight w:val="none"/>
          <w:u w:val="single"/>
          <w:lang w:eastAsia="zh-CN"/>
        </w:rPr>
        <w:t xml:space="preserve">宿豫区智慧水务平台运维（2026-2027年）-平台升级迁改项目</w:t>
      </w:r>
      <w:r>
        <w:rPr>
          <w:rFonts w:hint="eastAsia" w:ascii="Times New Roman" w:hAnsi="Times New Roman" w:eastAsia="宋体" w:cs="仿宋"/>
          <w:color w:val="auto"/>
          <w:sz w:val="24"/>
          <w:szCs w:val="24"/>
          <w:highlight w:val="none"/>
        </w:rPr>
        <w:t xml:space="preserve">的潜在供应商可在</w:t>
      </w:r>
      <w:r>
        <w:rPr>
          <w:rFonts w:hint="eastAsia" w:ascii="Times New Roman" w:hAnsi="Times New Roman" w:eastAsia="宋体" w:cs="方正仿宋_GBK"/>
          <w:color w:val="auto"/>
          <w:sz w:val="24"/>
          <w:szCs w:val="24"/>
          <w:highlight w:val="none"/>
        </w:rPr>
        <w:t xml:space="preserve">“江苏政府采购网”、“宿迁市政府采购网”</w:t>
      </w:r>
      <w:r>
        <w:rPr>
          <w:rFonts w:hint="eastAsia" w:ascii="Times New Roman" w:hAnsi="Times New Roman" w:eastAsia="宋体" w:cs="仿宋"/>
          <w:color w:val="auto"/>
          <w:sz w:val="24"/>
          <w:szCs w:val="24"/>
          <w:highlight w:val="none"/>
        </w:rPr>
        <w:t xml:space="preserve">自行免费获取磋商文件，并于</w:t>
      </w:r>
      <w:r>
        <w:rPr>
          <w:rFonts w:hint="eastAsia" w:ascii="Times New Roman" w:hAnsi="Times New Roman" w:eastAsia="宋体" w:cs="仿宋"/>
          <w:color w:val="auto"/>
          <w:sz w:val="24"/>
          <w:szCs w:val="24"/>
          <w:highlight w:val="none"/>
          <w:u w:val="single"/>
        </w:rPr>
        <w:t xml:space="preserve">202</w:t>
      </w:r>
      <w:r>
        <w:rPr>
          <w:rFonts w:hint="eastAsia" w:ascii="Times New Roman" w:hAnsi="Times New Roman" w:eastAsia="宋体" w:cs="仿宋"/>
          <w:color w:val="auto"/>
          <w:sz w:val="24"/>
          <w:szCs w:val="24"/>
          <w:highlight w:val="none"/>
          <w:u w:val="single"/>
          <w:lang w:val="en-US" w:eastAsia="zh-CN"/>
        </w:rPr>
        <w:t xml:space="preserve">6</w:t>
      </w:r>
      <w:r>
        <w:rPr>
          <w:rFonts w:hint="eastAsia" w:ascii="Times New Roman" w:hAnsi="Times New Roman" w:eastAsia="宋体" w:cs="仿宋"/>
          <w:bCs/>
          <w:color w:val="auto"/>
          <w:sz w:val="24"/>
          <w:szCs w:val="24"/>
          <w:highlight w:val="none"/>
          <w:u w:val="single"/>
        </w:rPr>
        <w:t xml:space="preserve">年</w:t>
      </w:r>
      <w:r>
        <w:rPr>
          <w:rFonts w:hint="eastAsia" w:ascii="Times New Roman" w:hAnsi="Times New Roman" w:eastAsia="宋体" w:cs="仿宋"/>
          <w:bCs/>
          <w:color w:val="auto"/>
          <w:sz w:val="24"/>
          <w:szCs w:val="24"/>
          <w:highlight w:val="none"/>
          <w:u w:val="single"/>
          <w:lang w:val="en-US" w:eastAsia="zh-CN"/>
        </w:rPr>
        <w:t xml:space="preserve">02月11</w:t>
      </w:r>
      <w:r>
        <w:rPr>
          <w:rFonts w:hint="eastAsia" w:ascii="Times New Roman" w:hAnsi="Times New Roman" w:eastAsia="宋体" w:cs="仿宋"/>
          <w:bCs/>
          <w:color w:val="auto"/>
          <w:sz w:val="24"/>
          <w:szCs w:val="24"/>
          <w:highlight w:val="none"/>
          <w:u w:val="single"/>
        </w:rPr>
        <w:t xml:space="preserve">日</w:t>
      </w:r>
      <w:r>
        <w:rPr>
          <w:rFonts w:hint="eastAsia" w:ascii="Times New Roman" w:hAnsi="Times New Roman" w:eastAsia="宋体" w:cs="仿宋"/>
          <w:bCs/>
          <w:color w:val="auto"/>
          <w:sz w:val="24"/>
          <w:szCs w:val="24"/>
          <w:highlight w:val="none"/>
          <w:u w:val="single"/>
          <w:lang w:val="en-US" w:eastAsia="zh-CN"/>
        </w:rPr>
        <w:t xml:space="preserve">09</w:t>
      </w:r>
      <w:r>
        <w:rPr>
          <w:rFonts w:hint="eastAsia" w:ascii="Times New Roman" w:hAnsi="Times New Roman" w:eastAsia="宋体" w:cs="仿宋"/>
          <w:bCs/>
          <w:color w:val="auto"/>
          <w:sz w:val="24"/>
          <w:szCs w:val="24"/>
          <w:highlight w:val="none"/>
          <w:u w:val="single"/>
        </w:rPr>
        <w:t xml:space="preserve">点</w:t>
      </w:r>
      <w:r>
        <w:rPr>
          <w:rFonts w:hint="eastAsia" w:ascii="Times New Roman" w:hAnsi="Times New Roman" w:eastAsia="宋体" w:cs="仿宋"/>
          <w:bCs/>
          <w:color w:val="auto"/>
          <w:sz w:val="24"/>
          <w:szCs w:val="24"/>
          <w:highlight w:val="none"/>
          <w:u w:val="single"/>
          <w:lang w:val="en-US" w:eastAsia="zh-CN"/>
        </w:rPr>
        <w:t xml:space="preserve">3</w:t>
      </w:r>
      <w:r>
        <w:rPr>
          <w:rFonts w:hint="eastAsia" w:ascii="Times New Roman" w:hAnsi="Times New Roman" w:eastAsia="宋体" w:cs="仿宋"/>
          <w:bCs/>
          <w:color w:val="auto"/>
          <w:sz w:val="24"/>
          <w:szCs w:val="24"/>
          <w:highlight w:val="none"/>
          <w:u w:val="single"/>
        </w:rPr>
        <w:t xml:space="preserve">0分（</w:t>
      </w:r>
      <w:r>
        <w:rPr>
          <w:rFonts w:hint="eastAsia" w:ascii="Times New Roman" w:hAnsi="Times New Roman" w:eastAsia="宋体" w:cs="仿宋"/>
          <w:bCs/>
          <w:color w:val="auto"/>
          <w:sz w:val="24"/>
          <w:szCs w:val="24"/>
          <w:highlight w:val="none"/>
        </w:rPr>
        <w:t xml:space="preserve">北京时间）前递交响应文件</w:t>
      </w:r>
      <w:r>
        <w:rPr>
          <w:rFonts w:hint="eastAsia" w:ascii="Times New Roman" w:hAnsi="Times New Roman" w:eastAsia="宋体" w:cs="仿宋"/>
          <w:color w:val="auto"/>
          <w:sz w:val="24"/>
          <w:szCs w:val="24"/>
          <w:highlight w:val="none"/>
        </w:rPr>
        <w:t xml:space="preserve">。</w:t>
      </w:r>
      <w:r/>
    </w:p>
    <w:p>
      <w:pPr>
        <w:ind w:firstLine="643"/>
        <w:jc w:val="both"/>
        <w:keepLines/>
        <w:keepNext/>
        <w:spacing w:before="0" w:after="0" w:line="520" w:lineRule="exact"/>
        <w:widowControl w:val="off"/>
        <w:rPr>
          <w:rFonts w:ascii="Arial" w:hAnsi="Arial" w:eastAsia="宋体" w:cs="Arial"/>
          <w:b/>
          <w:bCs/>
          <w:color w:val="auto"/>
          <w:sz w:val="32"/>
          <w:szCs w:val="22"/>
          <w:highlight w:val="none"/>
          <w:lang w:val="en-US" w:eastAsia="zh-CN" w:bidi="ar-SA"/>
        </w:rPr>
        <w:outlineLvl w:val="1"/>
      </w:pPr>
      <w:r/>
      <w:bookmarkStart w:id="4" w:name="_Toc28359079"/>
      <w:r/>
      <w:bookmarkStart w:id="5" w:name="_Toc35393790"/>
      <w:r/>
      <w:bookmarkStart w:id="6" w:name="_Toc35393621"/>
      <w:r/>
      <w:bookmarkStart w:id="7" w:name="_Toc28359002"/>
      <w:r/>
      <w:bookmarkStart w:id="8" w:name="_Toc38985263"/>
      <w:r/>
      <w:bookmarkStart w:id="9" w:name="_Hlk24379207"/>
      <w:r>
        <w:rPr>
          <w:rFonts w:hint="eastAsia" w:ascii="Arial" w:hAnsi="Arial" w:eastAsia="宋体" w:cs="Arial"/>
          <w:b/>
          <w:bCs/>
          <w:color w:val="auto"/>
          <w:sz w:val="32"/>
          <w:szCs w:val="22"/>
          <w:highlight w:val="none"/>
          <w:lang w:val="en-US" w:eastAsia="zh-CN" w:bidi="ar-SA"/>
        </w:rPr>
        <w:t xml:space="preserve">一、项目基本情况</w:t>
      </w:r>
      <w:bookmarkEnd w:id="4"/>
      <w:r/>
      <w:bookmarkEnd w:id="5"/>
      <w:r/>
      <w:bookmarkEnd w:id="6"/>
      <w:r/>
      <w:bookmarkEnd w:id="7"/>
      <w:r/>
      <w:bookmarkEnd w:id="8"/>
      <w:r/>
      <w:bookmarkEnd w:id="9"/>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1.项目编号：</w:t>
      </w:r>
      <w:r>
        <w:rPr>
          <w:rFonts w:hint="eastAsia" w:ascii="Times New Roman" w:hAnsi="Times New Roman" w:eastAsia="宋体" w:cs="仿宋"/>
          <w:color w:val="auto"/>
          <w:sz w:val="24"/>
          <w:szCs w:val="24"/>
          <w:highlight w:val="none"/>
          <w:lang w:eastAsia="zh-CN"/>
        </w:rPr>
        <w:t xml:space="preserve">JSZC-321311-JZCG-C2026-0001</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2.项目名称：</w:t>
      </w:r>
      <w:r>
        <w:rPr>
          <w:rFonts w:hint="eastAsia" w:ascii="Times New Roman" w:hAnsi="Times New Roman" w:eastAsia="宋体" w:cs="仿宋"/>
          <w:color w:val="auto"/>
          <w:sz w:val="24"/>
          <w:szCs w:val="24"/>
          <w:highlight w:val="none"/>
          <w:lang w:eastAsia="zh-CN"/>
        </w:rPr>
        <w:t xml:space="preserve">宿豫区智慧水务平台运维（2026-2027年）-平台升级迁改项目</w:t>
      </w:r>
      <w:r/>
    </w:p>
    <w:p>
      <w:pPr>
        <w:ind w:firstLine="480"/>
        <w:spacing w:line="480" w:lineRule="exact"/>
        <w:rPr>
          <w:rFonts w:hint="eastAsia" w:ascii="仿宋" w:hAnsi="仿宋" w:eastAsia="宋体" w:cs="Times New Roman"/>
          <w:color w:val="auto"/>
          <w:sz w:val="24"/>
          <w:szCs w:val="24"/>
          <w:highlight w:val="none"/>
        </w:rPr>
      </w:pPr>
      <w:r>
        <w:rPr>
          <w:rFonts w:hint="eastAsia" w:ascii="Times New Roman" w:hAnsi="Times New Roman" w:eastAsia="宋体" w:cs="仿宋"/>
          <w:color w:val="auto"/>
          <w:sz w:val="24"/>
          <w:szCs w:val="24"/>
          <w:highlight w:val="none"/>
        </w:rPr>
        <w:t xml:space="preserve">3.预算金额：</w:t>
      </w:r>
      <w:r>
        <w:rPr>
          <w:rFonts w:hint="eastAsia" w:ascii="Times New Roman" w:hAnsi="Times New Roman" w:eastAsia="宋体" w:cs="仿宋"/>
          <w:color w:val="auto"/>
          <w:sz w:val="24"/>
          <w:szCs w:val="24"/>
          <w:highlight w:val="none"/>
          <w:lang w:val="en-US" w:eastAsia="zh-CN"/>
        </w:rPr>
        <w:t xml:space="preserve">306.5</w:t>
      </w:r>
      <w:r>
        <w:rPr>
          <w:rFonts w:hint="eastAsia" w:ascii="Times New Roman" w:hAnsi="Times New Roman" w:eastAsia="宋体" w:cs="仿宋"/>
          <w:color w:val="auto"/>
          <w:sz w:val="24"/>
          <w:szCs w:val="24"/>
          <w:highlight w:val="none"/>
          <w:lang w:eastAsia="zh-CN"/>
        </w:rPr>
        <w:t xml:space="preserve">万</w:t>
      </w:r>
      <w:r>
        <w:rPr>
          <w:rFonts w:hint="eastAsia" w:ascii="Times New Roman" w:hAnsi="Times New Roman" w:eastAsia="宋体" w:cs="仿宋"/>
          <w:color w:val="auto"/>
          <w:sz w:val="24"/>
          <w:szCs w:val="24"/>
          <w:highlight w:val="none"/>
        </w:rPr>
        <w:t xml:space="preserve">元</w:t>
      </w:r>
      <w:r/>
    </w:p>
    <w:p>
      <w:pPr>
        <w:ind w:firstLine="480"/>
        <w:spacing w:line="480" w:lineRule="exact"/>
        <w:rPr>
          <w:rFonts w:hint="eastAsia" w:ascii="仿宋" w:hAnsi="仿宋" w:eastAsia="宋体" w:cs="Times New Roman"/>
          <w:color w:val="auto"/>
          <w:sz w:val="24"/>
          <w:szCs w:val="24"/>
          <w:highlight w:val="none"/>
        </w:rPr>
      </w:pPr>
      <w:r>
        <w:rPr>
          <w:rFonts w:hint="eastAsia" w:ascii="Times New Roman" w:hAnsi="Times New Roman" w:eastAsia="宋体" w:cs="仿宋"/>
          <w:color w:val="auto"/>
          <w:sz w:val="24"/>
          <w:szCs w:val="24"/>
          <w:highlight w:val="none"/>
        </w:rPr>
        <w:t xml:space="preserve">4.本项目设定最高限价，最高限价为：</w:t>
      </w:r>
      <w:bookmarkStart w:id="10" w:name="EB6c1f3d39c6914ae1bada8ccaa777b37a"/>
      <w:r>
        <w:rPr>
          <w:rFonts w:hint="eastAsia" w:ascii="Times New Roman" w:hAnsi="Times New Roman" w:eastAsia="宋体" w:cs="仿宋"/>
          <w:color w:val="auto"/>
          <w:sz w:val="24"/>
          <w:szCs w:val="24"/>
          <w:highlight w:val="none"/>
          <w:lang w:val="en-US" w:eastAsia="zh-CN"/>
        </w:rPr>
        <w:t xml:space="preserve">306.5</w:t>
      </w:r>
      <w:r>
        <w:rPr>
          <w:rFonts w:hint="eastAsia" w:ascii="Times New Roman" w:hAnsi="Times New Roman" w:eastAsia="宋体" w:cs="仿宋"/>
          <w:color w:val="auto"/>
          <w:sz w:val="24"/>
          <w:szCs w:val="24"/>
          <w:highlight w:val="none"/>
          <w:lang w:eastAsia="zh-CN"/>
        </w:rPr>
        <w:t xml:space="preserve">万</w:t>
      </w:r>
      <w:r>
        <w:rPr>
          <w:rFonts w:hint="eastAsia" w:ascii="Times New Roman" w:hAnsi="Times New Roman" w:eastAsia="宋体" w:cs="仿宋"/>
          <w:color w:val="auto"/>
          <w:sz w:val="24"/>
          <w:szCs w:val="24"/>
          <w:highlight w:val="none"/>
        </w:rPr>
        <w:t xml:space="preserve">元</w:t>
      </w:r>
      <w:bookmarkEnd w:id="10"/>
      <w:r/>
    </w:p>
    <w:p>
      <w:pPr>
        <w:ind w:firstLine="480"/>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5.采购需求（简介）：</w:t>
      </w:r>
      <w:r>
        <w:rPr>
          <w:rFonts w:hint="eastAsia" w:ascii="Times New Roman" w:hAnsi="Times New Roman" w:eastAsia="宋体" w:cs="仿宋"/>
          <w:color w:val="auto"/>
          <w:sz w:val="24"/>
          <w:szCs w:val="24"/>
          <w:highlight w:val="none"/>
          <w:lang w:eastAsia="zh-CN"/>
        </w:rPr>
        <w:t xml:space="preserve">宿豫区智慧水务平台运维（2026-2027年）-平台升级迁改项目</w:t>
      </w:r>
      <w:r>
        <w:rPr>
          <w:rFonts w:hint="eastAsia" w:ascii="Times New Roman" w:hAnsi="Times New Roman" w:eastAsia="宋体" w:cs="仿宋"/>
          <w:color w:val="auto"/>
          <w:sz w:val="24"/>
          <w:szCs w:val="24"/>
          <w:highlight w:val="none"/>
        </w:rPr>
        <w:t xml:space="preserve">（详细内容见第四部分采购需求）。</w:t>
      </w:r>
      <w:r/>
    </w:p>
    <w:p>
      <w:pPr>
        <w:ind w:firstLine="480"/>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6.</w:t>
      </w:r>
      <w:r>
        <w:rPr>
          <w:rFonts w:hint="eastAsia" w:ascii="Times New Roman" w:hAnsi="Times New Roman" w:eastAsia="宋体" w:cs="仿宋"/>
          <w:color w:val="auto"/>
          <w:sz w:val="24"/>
          <w:szCs w:val="24"/>
          <w:highlight w:val="none"/>
          <w:lang w:eastAsia="zh-CN"/>
        </w:rPr>
        <w:t xml:space="preserve">合同履行期限：</w:t>
      </w:r>
      <w:r>
        <w:rPr>
          <w:rFonts w:hint="eastAsia" w:ascii="宋体" w:hAnsi="宋体" w:eastAsia="宋体" w:cs="Times New Roman"/>
          <w:color w:val="auto"/>
          <w:sz w:val="24"/>
          <w:szCs w:val="24"/>
          <w:highlight w:val="none"/>
          <w:lang w:val="en-US" w:eastAsia="zh-CN"/>
        </w:rPr>
        <w:t xml:space="preserve">合同签订后，3个月内完成全部平台建设并上线；系统上线后，进入系统试运行期，试运行3个月，试运行期间须完成数据迁移工作；试运行完成并经采购人初验确认后进入运维服务期，运维期24个月。</w:t>
      </w:r>
      <w:r/>
    </w:p>
    <w:p>
      <w:pPr>
        <w:ind w:firstLine="480"/>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7.本项目</w:t>
      </w:r>
      <w:r>
        <w:rPr>
          <w:rFonts w:hint="eastAsia" w:ascii="Times New Roman" w:hAnsi="Times New Roman" w:eastAsia="宋体" w:cs="仿宋"/>
          <w:color w:val="auto"/>
          <w:sz w:val="24"/>
          <w:szCs w:val="24"/>
          <w:highlight w:val="none"/>
          <w:u w:val="single"/>
        </w:rPr>
        <w:t xml:space="preserve"> 不接受 </w:t>
      </w:r>
      <w:r>
        <w:rPr>
          <w:rFonts w:hint="eastAsia" w:ascii="Times New Roman" w:hAnsi="Times New Roman" w:eastAsia="宋体" w:cs="仿宋"/>
          <w:color w:val="auto"/>
          <w:sz w:val="24"/>
          <w:szCs w:val="24"/>
          <w:highlight w:val="none"/>
        </w:rPr>
        <w:t xml:space="preserve">联合体磋商。</w:t>
      </w:r>
      <w:r/>
    </w:p>
    <w:p>
      <w:pPr>
        <w:ind w:firstLine="643"/>
        <w:jc w:val="both"/>
        <w:keepLines/>
        <w:keepNext/>
        <w:spacing w:before="0" w:after="0" w:line="520" w:lineRule="exact"/>
        <w:widowControl w:val="off"/>
        <w:rPr>
          <w:rFonts w:ascii="Arial" w:hAnsi="Arial" w:eastAsia="宋体" w:cs="Arial"/>
          <w:b/>
          <w:bCs/>
          <w:color w:val="auto"/>
          <w:sz w:val="32"/>
          <w:szCs w:val="22"/>
          <w:highlight w:val="none"/>
          <w:lang w:val="en-US" w:eastAsia="zh-CN" w:bidi="ar-SA"/>
        </w:rPr>
        <w:outlineLvl w:val="1"/>
      </w:pPr>
      <w:r/>
      <w:bookmarkStart w:id="11" w:name="_Toc38985264"/>
      <w:r/>
      <w:bookmarkStart w:id="12" w:name="_Toc28359080"/>
      <w:r/>
      <w:bookmarkStart w:id="13" w:name="_Toc35393622"/>
      <w:r/>
      <w:bookmarkStart w:id="14" w:name="_Toc28359003"/>
      <w:r/>
      <w:bookmarkStart w:id="15" w:name="_Toc35393791"/>
      <w:r>
        <w:rPr>
          <w:rFonts w:hint="eastAsia" w:ascii="Arial" w:hAnsi="Arial" w:eastAsia="宋体" w:cs="Arial"/>
          <w:b/>
          <w:bCs/>
          <w:color w:val="auto"/>
          <w:sz w:val="32"/>
          <w:szCs w:val="22"/>
          <w:highlight w:val="none"/>
          <w:lang w:val="en-US" w:eastAsia="zh-CN" w:bidi="ar-SA"/>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eastAsia="宋体" w:cs="仿宋"/>
          <w:color w:val="auto"/>
          <w:sz w:val="24"/>
          <w:szCs w:val="24"/>
          <w:highlight w:val="none"/>
        </w:rPr>
      </w:pPr>
      <w:r/>
      <w:bookmarkStart w:id="16" w:name="_Toc38985265"/>
      <w:r/>
      <w:bookmarkStart w:id="17" w:name="_Toc35393792"/>
      <w:r/>
      <w:bookmarkStart w:id="18" w:name="_Toc28359081"/>
      <w:r/>
      <w:bookmarkStart w:id="19" w:name="_Toc28359004"/>
      <w:r/>
      <w:bookmarkStart w:id="20" w:name="_Toc35393623"/>
      <w:r>
        <w:rPr>
          <w:rFonts w:hint="eastAsia" w:ascii="Times New Roman" w:hAnsi="Times New Roman" w:eastAsia="宋体" w:cs="仿宋"/>
          <w:color w:val="auto"/>
          <w:sz w:val="24"/>
          <w:szCs w:val="24"/>
          <w:highlight w:val="none"/>
        </w:rPr>
        <w:t xml:space="preserve">（一）通用资格要求</w:t>
      </w:r>
      <w:r/>
    </w:p>
    <w:p>
      <w:pPr>
        <w:ind w:firstLine="482"/>
        <w:spacing w:line="480" w:lineRule="exact"/>
        <w:rPr>
          <w:rFonts w:hint="eastAsia" w:ascii="宋体" w:hAnsi="宋体" w:eastAsia="宋体" w:cs="宋体"/>
          <w:color w:val="auto"/>
          <w:sz w:val="24"/>
          <w:szCs w:val="24"/>
          <w:highlight w:val="none"/>
        </w:rPr>
      </w:pPr>
      <w:r>
        <w:rPr>
          <w:rFonts w:hint="eastAsia" w:ascii="Times New Roman" w:hAnsi="Times New Roman" w:eastAsia="宋体" w:cs="仿宋"/>
          <w:color w:val="auto"/>
          <w:sz w:val="24"/>
          <w:szCs w:val="24"/>
          <w:highlight w:val="none"/>
        </w:rPr>
        <w:t xml:space="preserve">1.</w:t>
      </w:r>
      <w:r>
        <w:rPr>
          <w:rFonts w:hint="eastAsia" w:ascii="宋体" w:hAnsi="宋体" w:eastAsia="宋体" w:cs="宋体"/>
          <w:color w:val="auto"/>
          <w:sz w:val="24"/>
          <w:szCs w:val="24"/>
          <w:highlight w:val="none"/>
        </w:rPr>
        <w:t xml:space="preserve">具备《中华人民共和国政府采购法》第二十二条第一款规定的6项条件（按要求提供</w:t>
      </w:r>
      <w:r>
        <w:rPr>
          <w:rFonts w:hint="eastAsia" w:ascii="宋体" w:hAnsi="宋体" w:eastAsia="宋体" w:cs="宋体"/>
          <w:color w:val="auto"/>
          <w:sz w:val="24"/>
          <w:szCs w:val="24"/>
          <w:highlight w:val="none"/>
          <w:lang w:val="en-US" w:eastAsia="zh-CN"/>
        </w:rPr>
        <w:t xml:space="preserve">磋商声明及承诺函</w:t>
      </w:r>
      <w:r>
        <w:rPr>
          <w:rFonts w:hint="eastAsia" w:ascii="宋体" w:hAnsi="宋体" w:eastAsia="宋体" w:cs="宋体"/>
          <w:color w:val="auto"/>
          <w:sz w:val="24"/>
          <w:szCs w:val="24"/>
          <w:highlight w:val="none"/>
        </w:rPr>
        <w:t xml:space="preserve">）。</w:t>
      </w:r>
      <w:r/>
    </w:p>
    <w:p>
      <w:pPr>
        <w:ind w:firstLine="482"/>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w:t>
      </w:r>
      <w:r>
        <w:rPr>
          <w:rFonts w:hint="eastAsia" w:ascii="宋体" w:hAnsi="宋体" w:eastAsia="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after="0" w:line="480" w:lineRule="exact"/>
        <w:tabs>
          <w:tab w:val="left" w:pos="312" w:leader="none"/>
        </w:tabs>
        <w:rPr>
          <w:rFonts w:hint="eastAsia" w:ascii="方正仿宋_GBK" w:hAnsi="方正仿宋_GBK" w:eastAsia="方正仿宋_GBK" w:cs="方正仿宋_GBK"/>
          <w:color w:val="auto"/>
          <w:sz w:val="24"/>
          <w:szCs w:val="24"/>
          <w:highlight w:val="none"/>
          <w:lang w:val="en-US" w:eastAsia="zh-CN" w:bidi="ar-SA"/>
        </w:rPr>
      </w:pPr>
      <w:r>
        <w:rPr>
          <w:rFonts w:hint="eastAsia" w:ascii="Times New Roman" w:hAnsi="Times New Roman" w:eastAsia="宋体" w:cs="仿宋"/>
          <w:color w:val="auto"/>
          <w:sz w:val="24"/>
          <w:szCs w:val="24"/>
          <w:highlight w:val="none"/>
          <w:lang w:val="en-US" w:eastAsia="zh-CN" w:bidi="ar-SA"/>
        </w:rPr>
        <w:t xml:space="preserve">3.落实政府采购政策需满足的资格要求：无。</w:t>
      </w:r>
      <w:r/>
    </w:p>
    <w:p>
      <w:pPr>
        <w:ind w:firstLine="482"/>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（二）本项目的特定资格要求：无。</w:t>
      </w:r>
      <w:r/>
    </w:p>
    <w:p>
      <w:pPr>
        <w:ind w:firstLine="643"/>
        <w:jc w:val="both"/>
        <w:keepLines/>
        <w:keepNext/>
        <w:spacing w:before="0" w:after="0" w:line="520" w:lineRule="exact"/>
        <w:widowControl w:val="off"/>
        <w:rPr>
          <w:rFonts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eastAsia="宋体" w:cs="仿宋"/>
          <w:color w:val="auto"/>
          <w:sz w:val="24"/>
          <w:szCs w:val="24"/>
          <w:highlight w:val="none"/>
        </w:rPr>
      </w:pPr>
      <w:r/>
      <w:bookmarkStart w:id="21" w:name="_Toc28359005"/>
      <w:r/>
      <w:bookmarkStart w:id="22" w:name="_Toc28359082"/>
      <w:r/>
      <w:bookmarkStart w:id="23" w:name="_Toc35393793"/>
      <w:r/>
      <w:bookmarkStart w:id="24" w:name="_Toc35393624"/>
      <w:r/>
      <w:bookmarkStart w:id="25" w:name="_Toc38985266"/>
      <w:r>
        <w:rPr>
          <w:rFonts w:hint="eastAsia" w:ascii="Times New Roman" w:hAnsi="Times New Roman" w:eastAsia="宋体" w:cs="仿宋"/>
          <w:color w:val="auto"/>
          <w:sz w:val="24"/>
          <w:szCs w:val="24"/>
          <w:highlight w:val="none"/>
        </w:rPr>
        <w:t xml:space="preserve">1.时间：</w:t>
      </w:r>
      <w:r>
        <w:rPr>
          <w:rFonts w:hint="eastAsia" w:ascii="宋体" w:hAnsi="宋体" w:eastAsia="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eastAsia="宋体" w:cs="仿宋"/>
          <w:color w:val="auto"/>
          <w:sz w:val="24"/>
          <w:szCs w:val="24"/>
          <w:highlight w:val="none"/>
        </w:rPr>
      </w:pPr>
      <w:r/>
      <w:bookmarkStart w:id="26" w:name="EB0c44ff4da61f4af989d119fe214be450"/>
      <w:r>
        <w:rPr>
          <w:rFonts w:hint="eastAsia" w:ascii="Times New Roman" w:hAnsi="Times New Roman" w:eastAsia="宋体" w:cs="仿宋"/>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1"/>
      <w:r/>
      <w:bookmarkEnd w:id="22"/>
      <w:r/>
      <w:bookmarkEnd w:id="23"/>
      <w:r/>
      <w:bookmarkEnd w:id="24"/>
      <w:r/>
      <w:bookmarkEnd w:id="25"/>
      <w:r/>
      <w:bookmarkEnd w:id="26"/>
      <w:r/>
      <w:r/>
    </w:p>
    <w:p>
      <w:pPr>
        <w:ind w:firstLine="643"/>
        <w:jc w:val="both"/>
        <w:keepLines/>
        <w:keepNext/>
        <w:spacing w:before="0" w:after="0" w:line="520" w:lineRule="exact"/>
        <w:widowControl w:val="off"/>
        <w:rPr>
          <w:rFonts w:ascii="Arial" w:hAnsi="Arial" w:eastAsia="宋体" w:cs="Arial"/>
          <w:b/>
          <w:bCs/>
          <w:color w:val="auto"/>
          <w:sz w:val="32"/>
          <w:szCs w:val="22"/>
          <w:highlight w:val="none"/>
          <w:lang w:val="en-US" w:eastAsia="zh-CN" w:bidi="ar-SA"/>
        </w:rPr>
        <w:outlineLvl w:val="1"/>
      </w:pPr>
      <w:r/>
      <w:bookmarkStart w:id="27" w:name="_Toc28359084"/>
      <w:r/>
      <w:bookmarkStart w:id="28" w:name="_Toc35393794"/>
      <w:r/>
      <w:bookmarkStart w:id="29" w:name="_Toc35393625"/>
      <w:r/>
      <w:bookmarkStart w:id="30" w:name="_Toc28359007"/>
      <w:r/>
      <w:bookmarkStart w:id="31" w:name="_Toc38985267"/>
      <w:r>
        <w:rPr>
          <w:rFonts w:hint="eastAsia" w:ascii="Arial" w:hAnsi="Arial" w:eastAsia="宋体" w:cs="Arial"/>
          <w:b/>
          <w:bCs/>
          <w:color w:val="auto"/>
          <w:sz w:val="32"/>
          <w:szCs w:val="22"/>
          <w:highlight w:val="none"/>
          <w:lang w:val="en-US" w:eastAsia="zh-CN" w:bidi="ar-SA"/>
        </w:rPr>
        <w:t xml:space="preserve">四、提交响应文件截止时间、磋商时间及地点</w:t>
      </w:r>
      <w:r/>
    </w:p>
    <w:p>
      <w:pPr>
        <w:ind w:firstLine="480"/>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 提交响应文件截止时间、磋商时间：20</w:t>
      </w:r>
      <w:r>
        <w:rPr>
          <w:rFonts w:hint="eastAsia" w:ascii="Times New Roman" w:hAnsi="Times New Roman" w:eastAsia="宋体" w:cs="仿宋"/>
          <w:color w:val="auto"/>
          <w:sz w:val="24"/>
          <w:szCs w:val="24"/>
          <w:highlight w:val="none"/>
          <w:lang w:val="en-US" w:eastAsia="zh-CN"/>
        </w:rPr>
        <w:t xml:space="preserve">26</w:t>
      </w:r>
      <w:r>
        <w:rPr>
          <w:rFonts w:hint="eastAsia" w:ascii="Times New Roman" w:hAnsi="Times New Roman" w:eastAsia="宋体" w:cs="仿宋"/>
          <w:color w:val="auto"/>
          <w:sz w:val="24"/>
          <w:szCs w:val="24"/>
          <w:highlight w:val="none"/>
        </w:rPr>
        <w:t xml:space="preserve">年</w:t>
      </w:r>
      <w:r>
        <w:rPr>
          <w:rFonts w:hint="eastAsia" w:ascii="Times New Roman" w:hAnsi="Times New Roman" w:eastAsia="宋体" w:cs="仿宋"/>
          <w:color w:val="auto"/>
          <w:sz w:val="24"/>
          <w:szCs w:val="24"/>
          <w:highlight w:val="none"/>
          <w:u w:val="none"/>
          <w:lang w:val="en-US" w:eastAsia="zh-CN"/>
        </w:rPr>
        <w:t xml:space="preserve">02月11</w:t>
      </w:r>
      <w:r>
        <w:rPr>
          <w:rFonts w:hint="eastAsia" w:ascii="Times New Roman" w:hAnsi="Times New Roman" w:eastAsia="宋体" w:cs="仿宋"/>
          <w:color w:val="auto"/>
          <w:sz w:val="24"/>
          <w:szCs w:val="24"/>
          <w:highlight w:val="none"/>
        </w:rPr>
        <w:t xml:space="preserve">日</w:t>
      </w:r>
      <w:r>
        <w:rPr>
          <w:rFonts w:hint="eastAsia" w:ascii="Times New Roman" w:hAnsi="Times New Roman" w:eastAsia="宋体" w:cs="仿宋"/>
          <w:color w:val="auto"/>
          <w:sz w:val="24"/>
          <w:szCs w:val="24"/>
          <w:highlight w:val="none"/>
          <w:lang w:val="en-US" w:eastAsia="zh-CN"/>
        </w:rPr>
        <w:t xml:space="preserve">09</w:t>
      </w:r>
      <w:r>
        <w:rPr>
          <w:rFonts w:hint="eastAsia" w:ascii="Times New Roman" w:hAnsi="Times New Roman" w:eastAsia="宋体" w:cs="仿宋"/>
          <w:color w:val="auto"/>
          <w:sz w:val="24"/>
          <w:szCs w:val="24"/>
          <w:highlight w:val="none"/>
        </w:rPr>
        <w:t xml:space="preserve">点</w:t>
      </w:r>
      <w:r>
        <w:rPr>
          <w:rFonts w:hint="eastAsia" w:ascii="Times New Roman" w:hAnsi="Times New Roman" w:eastAsia="宋体" w:cs="仿宋"/>
          <w:color w:val="auto"/>
          <w:sz w:val="24"/>
          <w:szCs w:val="24"/>
          <w:highlight w:val="none"/>
          <w:lang w:val="en-US" w:eastAsia="zh-CN"/>
        </w:rPr>
        <w:t xml:space="preserve">3</w:t>
      </w:r>
      <w:r>
        <w:rPr>
          <w:rFonts w:hint="eastAsia" w:ascii="Times New Roman" w:hAnsi="Times New Roman" w:eastAsia="宋体" w:cs="仿宋"/>
          <w:color w:val="auto"/>
          <w:sz w:val="24"/>
          <w:szCs w:val="24"/>
          <w:highlight w:val="none"/>
        </w:rPr>
        <w:t xml:space="preserve">0分（北京时间）。</w:t>
      </w:r>
      <w:r/>
    </w:p>
    <w:p>
      <w:pPr>
        <w:ind w:firstLine="482"/>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 地点：“苏采云”政府采购交易系统网上开标大厅。</w:t>
      </w:r>
      <w:r/>
    </w:p>
    <w:p>
      <w:pPr>
        <w:ind w:firstLine="643"/>
        <w:jc w:val="both"/>
        <w:keepLines/>
        <w:keepNext/>
        <w:spacing w:before="0" w:after="0" w:line="520" w:lineRule="exact"/>
        <w:widowControl w:val="off"/>
        <w:rPr>
          <w:rFonts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
        </w:rPr>
        <w:t xml:space="preserve">自本公告发布之日起</w:t>
      </w:r>
      <w:r>
        <w:rPr>
          <w:rFonts w:hint="eastAsia" w:ascii="Times New Roman" w:hAnsi="Times New Roman" w:eastAsia="宋体" w:cs="仿宋"/>
          <w:color w:val="auto"/>
          <w:sz w:val="24"/>
          <w:szCs w:val="24"/>
          <w:highlight w:val="none"/>
          <w:lang w:val="en-US" w:eastAsia="zh-CN"/>
        </w:rPr>
        <w:t xml:space="preserve">5</w:t>
      </w:r>
      <w:r>
        <w:rPr>
          <w:rFonts w:hint="eastAsia" w:ascii="Times New Roman" w:hAnsi="Times New Roman" w:eastAsia="宋体" w:cs="仿宋"/>
          <w:color w:val="auto"/>
          <w:sz w:val="24"/>
          <w:szCs w:val="24"/>
          <w:highlight w:val="none"/>
          <w:lang w:val="en"/>
        </w:rPr>
        <w:t xml:space="preserve">个工作日。</w:t>
      </w:r>
      <w:r/>
    </w:p>
    <w:p>
      <w:pPr>
        <w:ind w:firstLine="643"/>
        <w:jc w:val="both"/>
        <w:keepLines/>
        <w:keepNext/>
        <w:spacing w:before="0" w:after="0" w:line="520" w:lineRule="exact"/>
        <w:widowControl w:val="off"/>
        <w:rPr>
          <w:rFonts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六、其他补充事宜</w:t>
      </w:r>
      <w:r/>
    </w:p>
    <w:p>
      <w:pPr>
        <w:ind w:firstLine="480"/>
        <w:spacing w:line="480" w:lineRule="exact"/>
        <w:rPr>
          <w:rFonts w:ascii="Times New Roman" w:hAnsi="Times New Roman" w:eastAsia="宋体" w:cs="仿宋"/>
          <w:color w:val="auto"/>
          <w:sz w:val="24"/>
          <w:szCs w:val="24"/>
          <w:highlight w:val="none"/>
        </w:rPr>
      </w:pPr>
      <w:r/>
      <w:bookmarkStart w:id="32" w:name="EB64e1f522fd8c43fcb4d3ba471386b3e7"/>
      <w:r/>
      <w:bookmarkStart w:id="33" w:name="_Toc38985269"/>
      <w:r/>
      <w:bookmarkStart w:id="34" w:name="_Toc28359008"/>
      <w:r/>
      <w:bookmarkStart w:id="35" w:name="_Toc28359085"/>
      <w:r/>
      <w:bookmarkStart w:id="36" w:name="_Toc35393796"/>
      <w:r/>
      <w:bookmarkStart w:id="37" w:name="_Toc35393627"/>
      <w:r>
        <w:rPr>
          <w:rFonts w:hint="eastAsia" w:ascii="Times New Roman" w:hAnsi="Times New Roman" w:eastAsia="宋体" w:cs="仿宋"/>
          <w:color w:val="auto"/>
          <w:sz w:val="24"/>
          <w:szCs w:val="24"/>
          <w:highlight w:val="none"/>
        </w:rPr>
        <w:t xml:space="preserve">1.磋商公告发布媒体：江苏政府采购网、宿迁市政府采购网等。</w:t>
      </w:r>
      <w:r/>
    </w:p>
    <w:p>
      <w:pPr>
        <w:ind w:firstLine="480"/>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3.宿迁地区“苏采云”系统技术支持客服电话：</w:t>
      </w:r>
      <w:r>
        <w:rPr>
          <w:rFonts w:hint="eastAsia" w:ascii="Times New Roman" w:hAnsi="Times New Roman" w:eastAsia="宋体" w:cs="仿宋"/>
          <w:color w:val="auto"/>
          <w:sz w:val="24"/>
          <w:szCs w:val="24"/>
          <w:highlight w:val="none"/>
          <w:lang w:eastAsia="zh-CN"/>
        </w:rPr>
        <w:t xml:space="preserve">0527-84363067</w:t>
      </w:r>
      <w:r>
        <w:rPr>
          <w:rFonts w:hint="eastAsia" w:ascii="Times New Roman" w:hAnsi="Times New Roman" w:eastAsia="宋体" w:cs="仿宋"/>
          <w:color w:val="auto"/>
          <w:sz w:val="24"/>
          <w:szCs w:val="24"/>
          <w:highlight w:val="none"/>
        </w:rPr>
        <w:t xml:space="preserve">、0519-86722806。</w:t>
      </w:r>
      <w:bookmarkEnd w:id="32"/>
      <w:r/>
    </w:p>
    <w:p>
      <w:pPr>
        <w:ind w:firstLine="480"/>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4.质疑渠道：供应商登录“苏采云”系统“项目质疑申请”模块向采购人提出，质疑处理联系方式详见“采购人信息”；财政部门投诉受理电话：0527-84465519。</w:t>
      </w:r>
      <w:r/>
    </w:p>
    <w:p>
      <w:pPr>
        <w:ind w:firstLine="643"/>
        <w:jc w:val="both"/>
        <w:keepLines/>
        <w:keepNext/>
        <w:spacing w:before="0" w:after="0" w:line="520" w:lineRule="exact"/>
        <w:widowControl w:val="off"/>
        <w:rPr>
          <w:rFonts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1.采购人信息</w:t>
      </w:r>
      <w:r/>
    </w:p>
    <w:p>
      <w:pPr>
        <w:ind w:firstLine="482"/>
        <w:spacing w:line="48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eastAsia="宋体" w:cs="仿宋"/>
          <w:color w:val="auto"/>
          <w:spacing w:val="90"/>
          <w:sz w:val="24"/>
          <w:szCs w:val="24"/>
          <w:highlight w:val="none"/>
        </w:rPr>
        <w:t xml:space="preserve">名 </w:t>
      </w:r>
      <w:r>
        <w:rPr>
          <w:rFonts w:hint="eastAsia" w:ascii="Times New Roman" w:hAnsi="Times New Roman" w:eastAsia="宋体" w:cs="仿宋"/>
          <w:color w:val="auto"/>
          <w:sz w:val="24"/>
          <w:szCs w:val="24"/>
          <w:highlight w:val="none"/>
        </w:rPr>
        <w:t xml:space="preserve">称：</w:t>
      </w:r>
      <w:r>
        <w:rPr>
          <w:rFonts w:hint="eastAsia" w:ascii="Times New Roman" w:hAnsi="Times New Roman" w:eastAsia="宋体" w:cs="仿宋"/>
          <w:color w:val="auto"/>
          <w:sz w:val="24"/>
          <w:szCs w:val="24"/>
          <w:highlight w:val="none"/>
          <w:lang w:val="en-US" w:eastAsia="zh-CN"/>
        </w:rPr>
        <w:t xml:space="preserve">宿迁市宿豫区住房和城乡建设局</w:t>
      </w:r>
      <w:r/>
    </w:p>
    <w:p>
      <w:pPr>
        <w:ind w:firstLine="482"/>
        <w:spacing w:line="480" w:lineRule="exact"/>
        <w:rPr>
          <w:rFonts w:hint="eastAsia" w:ascii="Times New Roman" w:hAnsi="Times New Roman" w:eastAsia="宋体" w:cs="仿宋"/>
          <w:color w:val="auto"/>
          <w:sz w:val="24"/>
          <w:szCs w:val="24"/>
          <w:highlight w:val="none"/>
          <w:lang w:val="en-US" w:eastAsia="zh-CN"/>
        </w:rPr>
      </w:pPr>
      <w:r/>
      <w:bookmarkStart w:id="38" w:name="_Toc28359009"/>
      <w:r/>
      <w:bookmarkStart w:id="39" w:name="_Toc28359086"/>
      <w:r>
        <w:rPr>
          <w:rFonts w:hint="eastAsia" w:ascii="Times New Roman" w:hAnsi="Times New Roman" w:eastAsia="宋体" w:cs="仿宋"/>
          <w:color w:val="auto"/>
          <w:sz w:val="24"/>
          <w:szCs w:val="24"/>
          <w:highlight w:val="none"/>
        </w:rPr>
        <w:t xml:space="preserve">地</w:t>
      </w:r>
      <w:r>
        <w:rPr>
          <w:rFonts w:hint="eastAsia" w:ascii="Times New Roman" w:hAnsi="Times New Roman" w:eastAsia="宋体" w:cs="仿宋"/>
          <w:color w:val="auto"/>
          <w:sz w:val="24"/>
          <w:szCs w:val="24"/>
          <w:highlight w:val="none"/>
          <w:lang w:val="en-US" w:eastAsia="zh-CN"/>
        </w:rPr>
        <w:t xml:space="preserve">    </w:t>
      </w:r>
      <w:r>
        <w:rPr>
          <w:rFonts w:hint="eastAsia" w:ascii="Times New Roman" w:hAnsi="Times New Roman" w:eastAsia="宋体" w:cs="仿宋"/>
          <w:color w:val="auto"/>
          <w:sz w:val="24"/>
          <w:szCs w:val="24"/>
          <w:highlight w:val="none"/>
        </w:rPr>
        <w:t xml:space="preserve">址：</w:t>
      </w:r>
      <w:r>
        <w:rPr>
          <w:rFonts w:hint="eastAsia" w:ascii="Times New Roman" w:hAnsi="Times New Roman" w:eastAsia="宋体" w:cs="仿宋"/>
          <w:color w:val="auto"/>
          <w:sz w:val="24"/>
          <w:szCs w:val="24"/>
          <w:highlight w:val="none"/>
          <w:lang w:val="en-US" w:eastAsia="zh-CN"/>
        </w:rPr>
        <w:t xml:space="preserve">宿迁市宿豫区洪泽湖东路与湘江路交汇处</w:t>
      </w:r>
      <w:r/>
    </w:p>
    <w:p>
      <w:pPr>
        <w:ind w:firstLine="482"/>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联</w:t>
      </w:r>
      <w:r>
        <w:rPr>
          <w:rFonts w:hint="eastAsia" w:ascii="Times New Roman" w:hAnsi="Times New Roman" w:eastAsia="宋体" w:cs="仿宋"/>
          <w:color w:val="auto"/>
          <w:sz w:val="24"/>
          <w:szCs w:val="24"/>
          <w:highlight w:val="none"/>
          <w:lang w:val="en-US" w:eastAsia="zh-CN"/>
        </w:rPr>
        <w:t xml:space="preserve"> </w:t>
      </w:r>
      <w:r>
        <w:rPr>
          <w:rFonts w:hint="eastAsia" w:ascii="Times New Roman" w:hAnsi="Times New Roman" w:eastAsia="宋体" w:cs="仿宋"/>
          <w:color w:val="auto"/>
          <w:sz w:val="24"/>
          <w:szCs w:val="24"/>
          <w:highlight w:val="none"/>
        </w:rPr>
        <w:t xml:space="preserve">系</w:t>
      </w:r>
      <w:r>
        <w:rPr>
          <w:rFonts w:hint="eastAsia" w:ascii="Times New Roman" w:hAnsi="Times New Roman" w:eastAsia="宋体" w:cs="仿宋"/>
          <w:color w:val="auto"/>
          <w:sz w:val="24"/>
          <w:szCs w:val="24"/>
          <w:highlight w:val="none"/>
          <w:lang w:val="en-US" w:eastAsia="zh-CN"/>
        </w:rPr>
        <w:t xml:space="preserve"> </w:t>
      </w:r>
      <w:r>
        <w:rPr>
          <w:rFonts w:hint="eastAsia" w:ascii="Times New Roman" w:hAnsi="Times New Roman" w:eastAsia="宋体" w:cs="仿宋"/>
          <w:color w:val="auto"/>
          <w:sz w:val="24"/>
          <w:szCs w:val="24"/>
          <w:highlight w:val="none"/>
        </w:rPr>
        <w:t xml:space="preserve">人：</w:t>
      </w:r>
      <w:r>
        <w:rPr>
          <w:rFonts w:hint="eastAsia" w:ascii="Times New Roman" w:hAnsi="Times New Roman" w:eastAsia="宋体" w:cs="仿宋"/>
          <w:color w:val="auto"/>
          <w:sz w:val="24"/>
          <w:szCs w:val="24"/>
          <w:highlight w:val="none"/>
          <w:lang w:val="en-US" w:eastAsia="zh-CN"/>
        </w:rPr>
        <w:t xml:space="preserve">戴浩</w:t>
      </w:r>
      <w:r/>
    </w:p>
    <w:p>
      <w:pPr>
        <w:ind w:firstLine="482"/>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联系方式：</w:t>
      </w:r>
      <w:r>
        <w:rPr>
          <w:rFonts w:hint="eastAsia" w:ascii="Times New Roman" w:hAnsi="Times New Roman" w:eastAsia="宋体" w:cs="仿宋"/>
          <w:color w:val="auto"/>
          <w:sz w:val="24"/>
          <w:szCs w:val="24"/>
          <w:highlight w:val="none"/>
          <w:lang w:val="en-US" w:eastAsia="zh-CN"/>
        </w:rPr>
        <w:t xml:space="preserve">0527-84465265 </w:t>
      </w:r>
      <w:r/>
    </w:p>
    <w:p>
      <w:pPr>
        <w:ind w:firstLine="482"/>
        <w:spacing w:line="48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2.采购代理机构信息</w:t>
      </w:r>
      <w:bookmarkEnd w:id="38"/>
      <w:r/>
      <w:bookmarkEnd w:id="39"/>
      <w:r/>
      <w:r/>
    </w:p>
    <w:p>
      <w:pPr>
        <w:ind w:firstLine="482"/>
        <w:spacing w:line="480" w:lineRule="exact"/>
        <w:rPr>
          <w:rFonts w:hint="default" w:ascii="Times New Roman" w:hAnsi="Times New Roman" w:eastAsia="宋体" w:cs="仿宋"/>
          <w:color w:val="auto"/>
          <w:sz w:val="24"/>
          <w:szCs w:val="24"/>
          <w:highlight w:val="none"/>
          <w:u w:val="none"/>
          <w:lang w:val="en-US" w:eastAsia="zh-CN"/>
        </w:rPr>
      </w:pPr>
      <w:r>
        <w:rPr>
          <w:rFonts w:hint="eastAsia" w:ascii="Times New Roman" w:hAnsi="Times New Roman" w:eastAsia="宋体" w:cs="仿宋"/>
          <w:color w:val="auto"/>
          <w:spacing w:val="240"/>
          <w:sz w:val="24"/>
          <w:szCs w:val="24"/>
          <w:highlight w:val="none"/>
          <w:u w:val="none"/>
        </w:rPr>
        <w:t xml:space="preserve">名</w:t>
      </w:r>
      <w:r>
        <w:rPr>
          <w:rFonts w:hint="eastAsia" w:ascii="Times New Roman" w:hAnsi="Times New Roman" w:eastAsia="宋体" w:cs="仿宋"/>
          <w:color w:val="auto"/>
          <w:sz w:val="24"/>
          <w:szCs w:val="24"/>
          <w:highlight w:val="none"/>
          <w:u w:val="none"/>
        </w:rPr>
        <w:t xml:space="preserve">称：</w:t>
      </w:r>
      <w:r>
        <w:rPr>
          <w:rFonts w:hint="eastAsia" w:ascii="Times New Roman" w:hAnsi="Times New Roman" w:eastAsia="宋体" w:cs="仿宋"/>
          <w:color w:val="auto"/>
          <w:sz w:val="24"/>
          <w:szCs w:val="24"/>
          <w:highlight w:val="none"/>
          <w:u w:val="none"/>
          <w:lang w:val="en-US" w:eastAsia="zh-CN"/>
        </w:rPr>
        <w:t xml:space="preserve">宿迁市宿豫区公共资源交易中心</w:t>
      </w:r>
      <w:r/>
    </w:p>
    <w:p>
      <w:pPr>
        <w:ind w:firstLine="482"/>
        <w:spacing w:line="480" w:lineRule="exact"/>
        <w:rPr>
          <w:rFonts w:hint="default" w:ascii="Times New Roman" w:hAnsi="Times New Roman" w:eastAsia="宋体" w:cs="仿宋"/>
          <w:color w:val="auto"/>
          <w:sz w:val="24"/>
          <w:szCs w:val="24"/>
          <w:highlight w:val="none"/>
          <w:u w:val="none"/>
          <w:lang w:val="en-US" w:eastAsia="zh-CN"/>
        </w:rPr>
      </w:pPr>
      <w:r>
        <w:rPr>
          <w:rFonts w:hint="eastAsia" w:ascii="Times New Roman" w:hAnsi="Times New Roman" w:eastAsia="宋体" w:cs="仿宋"/>
          <w:color w:val="auto"/>
          <w:spacing w:val="240"/>
          <w:sz w:val="24"/>
          <w:szCs w:val="24"/>
          <w:highlight w:val="none"/>
          <w:u w:val="none"/>
        </w:rPr>
        <w:t xml:space="preserve">地</w:t>
      </w:r>
      <w:r>
        <w:rPr>
          <w:rFonts w:hint="eastAsia" w:ascii="Times New Roman" w:hAnsi="Times New Roman" w:eastAsia="宋体" w:cs="仿宋"/>
          <w:color w:val="auto"/>
          <w:sz w:val="24"/>
          <w:szCs w:val="24"/>
          <w:highlight w:val="none"/>
          <w:u w:val="none"/>
        </w:rPr>
        <w:t xml:space="preserve">址：</w:t>
      </w:r>
      <w:r>
        <w:rPr>
          <w:rFonts w:hint="eastAsia" w:ascii="Times New Roman" w:hAnsi="Times New Roman" w:eastAsia="宋体" w:cs="仿宋"/>
          <w:color w:val="auto"/>
          <w:sz w:val="24"/>
          <w:szCs w:val="24"/>
          <w:highlight w:val="none"/>
          <w:u w:val="none"/>
          <w:lang w:val="en-US" w:eastAsia="zh-CN"/>
        </w:rPr>
        <w:t xml:space="preserve">宿迁市宿豫区洪泽湖东路19号政泰大厦3楼</w:t>
      </w:r>
      <w:r/>
    </w:p>
    <w:p>
      <w:pPr>
        <w:ind w:firstLine="482"/>
        <w:spacing w:line="480" w:lineRule="exact"/>
        <w:rPr>
          <w:rFonts w:hint="default" w:ascii="Times New Roman" w:hAnsi="Times New Roman" w:eastAsia="宋体" w:cs="仿宋"/>
          <w:color w:val="auto"/>
          <w:sz w:val="24"/>
          <w:szCs w:val="24"/>
          <w:highlight w:val="none"/>
          <w:u w:val="none"/>
          <w:lang w:val="en-US" w:eastAsia="zh-CN"/>
        </w:rPr>
      </w:pPr>
      <w:r>
        <w:rPr>
          <w:rFonts w:hint="eastAsia" w:ascii="Times New Roman" w:hAnsi="Times New Roman" w:eastAsia="宋体" w:cs="仿宋"/>
          <w:color w:val="auto"/>
          <w:spacing w:val="60"/>
          <w:sz w:val="24"/>
          <w:szCs w:val="24"/>
          <w:highlight w:val="none"/>
          <w:u w:val="none"/>
        </w:rPr>
        <w:t xml:space="preserve">联系</w:t>
      </w:r>
      <w:r>
        <w:rPr>
          <w:rFonts w:hint="eastAsia" w:ascii="Times New Roman" w:hAnsi="Times New Roman" w:eastAsia="宋体" w:cs="仿宋"/>
          <w:color w:val="auto"/>
          <w:sz w:val="24"/>
          <w:szCs w:val="24"/>
          <w:highlight w:val="none"/>
          <w:u w:val="none"/>
        </w:rPr>
        <w:t xml:space="preserve">人：</w:t>
      </w:r>
      <w:r>
        <w:rPr>
          <w:rFonts w:hint="eastAsia" w:ascii="Times New Roman" w:hAnsi="Times New Roman" w:eastAsia="宋体" w:cs="仿宋"/>
          <w:color w:val="auto"/>
          <w:sz w:val="24"/>
          <w:szCs w:val="24"/>
          <w:highlight w:val="none"/>
          <w:u w:val="none"/>
          <w:lang w:val="en-US" w:eastAsia="zh-CN"/>
        </w:rPr>
        <w:t xml:space="preserve">陈海燕</w:t>
      </w:r>
      <w:r/>
    </w:p>
    <w:p>
      <w:pPr>
        <w:ind w:firstLine="482"/>
        <w:spacing w:line="480" w:lineRule="exact"/>
        <w:rPr>
          <w:rFonts w:hint="default" w:ascii="Times New Roman" w:hAnsi="Times New Roman" w:eastAsia="宋体" w:cs="仿宋"/>
          <w:color w:val="auto"/>
          <w:sz w:val="24"/>
          <w:szCs w:val="24"/>
          <w:highlight w:val="none"/>
          <w:u w:val="none"/>
          <w:lang w:val="en-US" w:eastAsia="zh-CN"/>
        </w:rPr>
      </w:pPr>
      <w:r>
        <w:rPr>
          <w:rFonts w:hint="eastAsia" w:ascii="Times New Roman" w:hAnsi="Times New Roman" w:eastAsia="宋体" w:cs="仿宋"/>
          <w:color w:val="auto"/>
          <w:sz w:val="24"/>
          <w:szCs w:val="24"/>
          <w:highlight w:val="none"/>
          <w:u w:val="none"/>
        </w:rPr>
        <w:t xml:space="preserve">联系方式：</w:t>
      </w:r>
      <w:r>
        <w:rPr>
          <w:rFonts w:hint="eastAsia" w:ascii="Times New Roman" w:hAnsi="Times New Roman" w:eastAsia="宋体" w:cs="仿宋"/>
          <w:color w:val="auto"/>
          <w:sz w:val="24"/>
          <w:szCs w:val="24"/>
          <w:highlight w:val="none"/>
          <w:u w:val="none"/>
          <w:lang w:val="en-US" w:eastAsia="zh-CN"/>
        </w:rPr>
        <w:t xml:space="preserve">0527-84480123 </w:t>
      </w:r>
      <w:r/>
    </w:p>
    <w:p>
      <w:pPr>
        <w:ind w:firstLine="482"/>
        <w:spacing w:line="480" w:lineRule="exact"/>
        <w:rPr>
          <w:rFonts w:ascii="Times New Roman" w:hAnsi="Times New Roman" w:eastAsia="宋体" w:cs="仿宋"/>
          <w:color w:val="auto"/>
          <w:sz w:val="24"/>
          <w:szCs w:val="24"/>
          <w:highlight w:val="none"/>
        </w:rPr>
      </w:pPr>
      <w:r>
        <w:rPr>
          <w:rFonts w:ascii="Times New Roman" w:hAnsi="Times New Roman" w:eastAsia="宋体" w:cs="仿宋"/>
          <w:color w:val="auto"/>
          <w:sz w:val="24"/>
          <w:szCs w:val="24"/>
          <w:highlight w:val="none"/>
        </w:rPr>
      </w:r>
      <w:r/>
    </w:p>
    <w:p>
      <w:pPr>
        <w:ind w:firstLine="482"/>
        <w:spacing w:line="480" w:lineRule="exact"/>
        <w:rPr>
          <w:rFonts w:ascii="Times New Roman" w:hAnsi="Times New Roman" w:eastAsia="宋体" w:cs="仿宋"/>
          <w:color w:val="auto"/>
          <w:sz w:val="24"/>
          <w:szCs w:val="24"/>
          <w:highlight w:val="none"/>
        </w:rPr>
      </w:pPr>
      <w:r>
        <w:rPr>
          <w:rFonts w:ascii="Times New Roman" w:hAnsi="Times New Roman" w:eastAsia="宋体" w:cs="仿宋"/>
          <w:color w:val="auto"/>
          <w:sz w:val="24"/>
          <w:szCs w:val="24"/>
          <w:highlight w:val="none"/>
        </w:rPr>
      </w:r>
      <w:r/>
    </w:p>
    <w:p>
      <w:pPr>
        <w:ind w:firstLine="482"/>
        <w:spacing w:line="480" w:lineRule="exact"/>
        <w:rPr>
          <w:rFonts w:ascii="Times New Roman" w:hAnsi="Times New Roman" w:eastAsia="宋体" w:cs="仿宋"/>
          <w:color w:val="auto"/>
          <w:sz w:val="24"/>
          <w:szCs w:val="24"/>
          <w:highlight w:val="none"/>
        </w:rPr>
      </w:pPr>
      <w:r>
        <w:rPr>
          <w:rFonts w:ascii="Times New Roman" w:hAnsi="Times New Roman" w:eastAsia="宋体" w:cs="仿宋"/>
          <w:color w:val="auto"/>
          <w:sz w:val="24"/>
          <w:szCs w:val="24"/>
          <w:highlight w:val="none"/>
        </w:rPr>
      </w:r>
      <w:r/>
    </w:p>
    <w:p>
      <w:pPr>
        <w:ind w:firstLine="482"/>
        <w:spacing w:line="480" w:lineRule="exact"/>
        <w:rPr>
          <w:rFonts w:ascii="Times New Roman" w:hAnsi="Times New Roman" w:eastAsia="宋体" w:cs="仿宋"/>
          <w:color w:val="auto"/>
          <w:sz w:val="24"/>
          <w:szCs w:val="24"/>
          <w:highlight w:val="none"/>
        </w:rPr>
      </w:pPr>
      <w:r>
        <w:rPr>
          <w:rFonts w:ascii="Times New Roman" w:hAnsi="Times New Roman" w:eastAsia="宋体" w:cs="仿宋"/>
          <w:color w:val="auto"/>
          <w:sz w:val="24"/>
          <w:szCs w:val="24"/>
          <w:highlight w:val="none"/>
        </w:rPr>
      </w:r>
      <w:r/>
    </w:p>
    <w:p>
      <w:pPr>
        <w:ind w:firstLine="482"/>
        <w:spacing w:line="480" w:lineRule="exact"/>
        <w:rPr>
          <w:rFonts w:ascii="Times New Roman" w:hAnsi="Times New Roman" w:eastAsia="宋体" w:cs="仿宋"/>
          <w:color w:val="auto"/>
          <w:sz w:val="24"/>
          <w:szCs w:val="24"/>
          <w:highlight w:val="none"/>
        </w:rPr>
      </w:pPr>
      <w:r>
        <w:rPr>
          <w:rFonts w:ascii="Times New Roman" w:hAnsi="Times New Roman" w:eastAsia="宋体" w:cs="仿宋"/>
          <w:color w:val="auto"/>
          <w:sz w:val="24"/>
          <w:szCs w:val="24"/>
          <w:highlight w:val="none"/>
        </w:rPr>
      </w:r>
      <w:r/>
    </w:p>
    <w:p>
      <w:pPr>
        <w:ind w:firstLine="482"/>
        <w:spacing w:line="480" w:lineRule="exact"/>
        <w:rPr>
          <w:rFonts w:ascii="Times New Roman" w:hAnsi="Times New Roman" w:eastAsia="宋体" w:cs="仿宋"/>
          <w:color w:val="auto"/>
          <w:sz w:val="24"/>
          <w:szCs w:val="24"/>
          <w:highlight w:val="none"/>
        </w:rPr>
      </w:pPr>
      <w:r>
        <w:rPr>
          <w:rFonts w:ascii="Times New Roman" w:hAnsi="Times New Roman" w:eastAsia="宋体" w:cs="仿宋"/>
          <w:color w:val="auto"/>
          <w:sz w:val="24"/>
          <w:szCs w:val="24"/>
          <w:highlight w:val="none"/>
        </w:rPr>
      </w:r>
      <w:r/>
    </w:p>
    <w:p>
      <w:pPr>
        <w:ind w:firstLine="482"/>
        <w:spacing w:line="480" w:lineRule="exact"/>
        <w:rPr>
          <w:rFonts w:ascii="Times New Roman" w:hAnsi="Times New Roman" w:eastAsia="宋体" w:cs="仿宋"/>
          <w:color w:val="auto"/>
          <w:sz w:val="24"/>
          <w:szCs w:val="24"/>
          <w:highlight w:val="none"/>
        </w:rPr>
      </w:pPr>
      <w:r>
        <w:rPr>
          <w:rFonts w:ascii="Times New Roman" w:hAnsi="Times New Roman" w:eastAsia="宋体" w:cs="仿宋"/>
          <w:color w:val="auto"/>
          <w:sz w:val="24"/>
          <w:szCs w:val="24"/>
          <w:highlight w:val="none"/>
        </w:rPr>
      </w:r>
      <w:r/>
    </w:p>
    <w:p>
      <w:pPr>
        <w:ind w:firstLine="482"/>
        <w:spacing w:line="480" w:lineRule="exact"/>
        <w:rPr>
          <w:rFonts w:ascii="Times New Roman" w:hAnsi="Times New Roman" w:eastAsia="宋体" w:cs="仿宋"/>
          <w:color w:val="auto"/>
          <w:sz w:val="24"/>
          <w:szCs w:val="24"/>
          <w:highlight w:val="none"/>
        </w:rPr>
      </w:pPr>
      <w:r>
        <w:rPr>
          <w:rFonts w:ascii="Times New Roman" w:hAnsi="Times New Roman" w:eastAsia="宋体" w:cs="仿宋"/>
          <w:color w:val="auto"/>
          <w:sz w:val="24"/>
          <w:szCs w:val="24"/>
          <w:highlight w:val="none"/>
        </w:rPr>
      </w:r>
      <w:r/>
    </w:p>
    <w:p>
      <w:pPr>
        <w:ind w:firstLine="482"/>
        <w:spacing w:line="480" w:lineRule="exact"/>
        <w:rPr>
          <w:rFonts w:ascii="Times New Roman" w:hAnsi="Times New Roman" w:eastAsia="宋体" w:cs="仿宋"/>
          <w:color w:val="auto"/>
          <w:sz w:val="24"/>
          <w:szCs w:val="24"/>
          <w:highlight w:val="none"/>
        </w:rPr>
      </w:pPr>
      <w:r>
        <w:rPr>
          <w:rFonts w:ascii="Times New Roman" w:hAnsi="Times New Roman" w:eastAsia="宋体" w:cs="仿宋"/>
          <w:color w:val="auto"/>
          <w:sz w:val="24"/>
          <w:szCs w:val="24"/>
          <w:highlight w:val="none"/>
        </w:rPr>
      </w:r>
      <w:r/>
    </w:p>
    <w:p>
      <w:pPr>
        <w:ind w:firstLine="482"/>
        <w:spacing w:line="480" w:lineRule="exact"/>
        <w:rPr>
          <w:rFonts w:ascii="Times New Roman" w:hAnsi="Times New Roman" w:eastAsia="宋体" w:cs="仿宋"/>
          <w:color w:val="auto"/>
          <w:sz w:val="24"/>
          <w:szCs w:val="24"/>
          <w:highlight w:val="none"/>
        </w:rPr>
      </w:pPr>
      <w:r>
        <w:rPr>
          <w:rFonts w:ascii="Times New Roman" w:hAnsi="Times New Roman" w:eastAsia="宋体" w:cs="仿宋"/>
          <w:color w:val="auto"/>
          <w:sz w:val="24"/>
          <w:szCs w:val="24"/>
          <w:highlight w:val="none"/>
        </w:rPr>
      </w:r>
      <w:r/>
    </w:p>
    <w:p>
      <w:pPr>
        <w:ind w:firstLine="482"/>
        <w:spacing w:line="480" w:lineRule="exact"/>
        <w:rPr>
          <w:rFonts w:ascii="Times New Roman" w:hAnsi="Times New Roman" w:eastAsia="宋体" w:cs="仿宋"/>
          <w:color w:val="auto"/>
          <w:sz w:val="24"/>
          <w:szCs w:val="24"/>
          <w:highlight w:val="none"/>
        </w:rPr>
      </w:pPr>
      <w:r>
        <w:rPr>
          <w:rFonts w:ascii="Times New Roman" w:hAnsi="Times New Roman" w:eastAsia="宋体" w:cs="仿宋"/>
          <w:color w:val="auto"/>
          <w:sz w:val="24"/>
          <w:szCs w:val="24"/>
          <w:highlight w:val="none"/>
        </w:rPr>
      </w:r>
      <w:r/>
    </w:p>
    <w:p>
      <w:pPr>
        <w:ind w:firstLine="482"/>
        <w:spacing w:line="480" w:lineRule="exact"/>
        <w:rPr>
          <w:rFonts w:ascii="Times New Roman" w:hAnsi="Times New Roman" w:eastAsia="宋体" w:cs="仿宋"/>
          <w:color w:val="auto"/>
          <w:sz w:val="24"/>
          <w:szCs w:val="24"/>
          <w:highlight w:val="none"/>
        </w:rPr>
      </w:pPr>
      <w:r>
        <w:rPr>
          <w:rFonts w:ascii="Times New Roman" w:hAnsi="Times New Roman" w:eastAsia="宋体" w:cs="仿宋"/>
          <w:color w:val="auto"/>
          <w:sz w:val="24"/>
          <w:szCs w:val="24"/>
          <w:highlight w:val="none"/>
        </w:rPr>
      </w:r>
      <w:r/>
    </w:p>
    <w:p>
      <w:pPr>
        <w:jc w:val="center"/>
        <w:keepLines/>
        <w:keepNext/>
        <w:spacing w:before="200" w:after="200"/>
        <w:widowControl w:val="off"/>
        <w:rPr>
          <w:rFonts w:ascii="Times New Roman" w:hAnsi="Times New Roman" w:eastAsia="黑体" w:cs="Arial"/>
          <w:color w:val="auto"/>
          <w:sz w:val="44"/>
          <w:szCs w:val="40"/>
          <w:highlight w:val="none"/>
          <w:lang w:val="en-US" w:eastAsia="zh-CN" w:bidi="ar-SA"/>
        </w:rPr>
        <w:outlineLvl w:val="0"/>
      </w:pPr>
      <w:r>
        <w:rPr>
          <w:rFonts w:hint="eastAsia" w:ascii="Times New Roman" w:hAnsi="Times New Roman" w:eastAsia="黑体" w:cs="Arial"/>
          <w:color w:val="auto"/>
          <w:sz w:val="44"/>
          <w:szCs w:val="40"/>
          <w:highlight w:val="none"/>
          <w:lang w:val="en-US" w:eastAsia="zh-CN" w:bidi="ar-SA"/>
        </w:rPr>
        <w:br w:type="page" w:clear="all"/>
      </w:r>
      <w:bookmarkStart w:id="40" w:name="_Toc11816"/>
      <w:r/>
      <w:bookmarkStart w:id="41" w:name="_Toc3297"/>
      <w:r/>
      <w:bookmarkStart w:id="42" w:name="_Toc706"/>
      <w:r>
        <w:rPr>
          <w:rFonts w:hint="eastAsia" w:ascii="Times New Roman" w:hAnsi="Times New Roman" w:eastAsia="黑体" w:cs="Arial"/>
          <w:color w:val="auto"/>
          <w:sz w:val="44"/>
          <w:szCs w:val="40"/>
          <w:highlight w:val="none"/>
          <w:lang w:val="en-US" w:eastAsia="zh-CN" w:bidi="ar-SA"/>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jc w:val="both"/>
        <w:keepLines/>
        <w:keepNext/>
        <w:spacing w:before="0" w:after="200" w:line="520" w:lineRule="exact"/>
        <w:widowControl w:val="off"/>
        <w:rPr>
          <w:rFonts w:ascii="Arial" w:hAnsi="Arial" w:eastAsia="宋体" w:cs="Arial"/>
          <w:b/>
          <w:bCs/>
          <w:color w:val="auto"/>
          <w:sz w:val="32"/>
          <w:szCs w:val="22"/>
          <w:highlight w:val="none"/>
          <w:lang w:val="en-US" w:eastAsia="zh-CN" w:bidi="ar-SA"/>
        </w:rPr>
        <w:outlineLvl w:val="1"/>
      </w:pPr>
      <w:r/>
      <w:bookmarkStart w:id="45" w:name="_Toc141869961"/>
      <w:r>
        <w:rPr>
          <w:rFonts w:hint="eastAsia" w:ascii="Arial" w:hAnsi="Arial" w:eastAsia="宋体" w:cs="Arial"/>
          <w:b/>
          <w:bCs/>
          <w:color w:val="auto"/>
          <w:sz w:val="32"/>
          <w:szCs w:val="22"/>
          <w:highlight w:val="none"/>
          <w:lang w:val="en-US" w:eastAsia="zh-CN" w:bidi="ar-SA"/>
        </w:rPr>
        <w:t xml:space="preserve">供应商须知前附表：</w:t>
      </w:r>
      <w:bookmarkEnd w:id="45"/>
      <w:r/>
      <w:r/>
    </w:p>
    <w:tbl>
      <w:tblPr>
        <w:tblStyle w:val="680"/>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eastAsia="宋体" w:cs="Times New Roman"/>
                <w:b/>
                <w:color w:val="auto"/>
                <w:sz w:val="24"/>
                <w:szCs w:val="24"/>
                <w:highlight w:val="none"/>
              </w:rPr>
            </w:pPr>
            <w:r>
              <w:rPr>
                <w:rFonts w:hint="eastAsia" w:ascii="仿宋_GB2312" w:hAnsi="仿宋" w:eastAsia="宋体" w:cs="Times New Roman"/>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eastAsia="宋体" w:cs="Times New Roman"/>
                <w:b/>
                <w:color w:val="auto"/>
                <w:sz w:val="24"/>
                <w:szCs w:val="24"/>
                <w:highlight w:val="none"/>
              </w:rPr>
            </w:pPr>
            <w:r>
              <w:rPr>
                <w:rFonts w:hint="eastAsia" w:ascii="仿宋_GB2312" w:hAnsi="仿宋" w:eastAsia="宋体" w:cs="Times New Roman"/>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eastAsia="宋体" w:cs="Times New Roman"/>
                <w:b/>
                <w:color w:val="auto"/>
                <w:sz w:val="24"/>
                <w:szCs w:val="24"/>
                <w:highlight w:val="none"/>
              </w:rPr>
            </w:pPr>
            <w:r>
              <w:rPr>
                <w:rFonts w:hint="eastAsia" w:ascii="仿宋_GB2312" w:hAnsi="仿宋" w:eastAsia="宋体" w:cs="Times New Roman"/>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本项目</w:t>
            </w:r>
            <w:bookmarkStart w:id="46" w:name="EB9a5853ee094f4f0ea6ec3169265f6f2c"/>
            <w:r>
              <w:rPr>
                <w:rFonts w:hint="eastAsia" w:ascii="Times New Roman" w:hAnsi="Times New Roman" w:eastAsia="宋体" w:cs="仿宋"/>
                <w:color w:val="auto"/>
                <w:sz w:val="24"/>
                <w:szCs w:val="24"/>
                <w:highlight w:val="none"/>
              </w:rPr>
              <w:t xml:space="preserve">属性按以下第</w:t>
            </w:r>
            <w:r>
              <w:rPr>
                <w:rFonts w:hint="eastAsia" w:ascii="Times New Roman" w:hAnsi="Times New Roman" w:eastAsia="宋体" w:cs="仿宋"/>
                <w:b/>
                <w:bCs/>
                <w:color w:val="auto"/>
                <w:sz w:val="24"/>
                <w:szCs w:val="22"/>
                <w:highlight w:val="none"/>
                <w:u w:val="single"/>
                <w:lang w:val="en-US" w:eastAsia="zh-CN"/>
              </w:rPr>
              <w:t xml:space="preserve"> 2 </w:t>
            </w:r>
            <w:r>
              <w:rPr>
                <w:rFonts w:hint="eastAsia" w:ascii="Times New Roman" w:hAnsi="Times New Roman" w:eastAsia="宋体" w:cs="仿宋"/>
                <w:color w:val="auto"/>
                <w:sz w:val="24"/>
                <w:szCs w:val="24"/>
                <w:highlight w:val="none"/>
              </w:rPr>
              <w:t xml:space="preserve">种确定：</w:t>
            </w:r>
            <w:r/>
          </w:p>
          <w:p>
            <w:pPr>
              <w:jc w:val="left"/>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w:t>
            </w:r>
            <w:bookmarkEnd w:id="46"/>
            <w:r>
              <w:rPr>
                <w:rFonts w:hint="eastAsia" w:ascii="Times New Roman" w:hAnsi="Times New Roman" w:eastAsia="宋体" w:cs="仿宋"/>
                <w:color w:val="auto"/>
                <w:sz w:val="24"/>
                <w:szCs w:val="24"/>
                <w:highlight w:val="none"/>
              </w:rPr>
              <w:t xml:space="preserve">.货物</w:t>
            </w:r>
            <w:bookmarkStart w:id="47" w:name="EBd5c6c026f9674c39b21b31ecd0c1e7fa"/>
            <w:r>
              <w:rPr>
                <w:rFonts w:hint="eastAsia" w:ascii="Times New Roman" w:hAnsi="Times New Roman" w:eastAsia="宋体" w:cs="仿宋"/>
                <w:color w:val="auto"/>
                <w:sz w:val="24"/>
                <w:szCs w:val="24"/>
                <w:highlight w:val="none"/>
              </w:rPr>
              <w:t xml:space="preserve">采购；2.</w:t>
            </w:r>
            <w:bookmarkEnd w:id="47"/>
            <w:r>
              <w:rPr>
                <w:rFonts w:hint="eastAsia" w:ascii="Times New Roman" w:hAnsi="Times New Roman" w:eastAsia="宋体" w:cs="仿宋"/>
                <w:color w:val="auto"/>
                <w:sz w:val="24"/>
                <w:szCs w:val="24"/>
                <w:highlight w:val="none"/>
              </w:rPr>
              <w:t xml:space="preserve">服务</w:t>
            </w:r>
            <w:bookmarkStart w:id="48" w:name="EBf7d2a4f44ecb4166a93ea852e73be69f"/>
            <w:r>
              <w:rPr>
                <w:rFonts w:hint="eastAsia" w:ascii="Times New Roman" w:hAnsi="Times New Roman" w:eastAsia="宋体" w:cs="仿宋"/>
                <w:color w:val="auto"/>
                <w:sz w:val="24"/>
                <w:szCs w:val="24"/>
                <w:highlight w:val="none"/>
              </w:rPr>
              <w:t xml:space="preserve">采购；3.</w:t>
            </w:r>
            <w:bookmarkEnd w:id="48"/>
            <w:r>
              <w:rPr>
                <w:rFonts w:hint="eastAsia" w:ascii="Times New Roman" w:hAnsi="Times New Roman" w:eastAsia="宋体"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eastAsia="宋体" w:cs="仿宋"/>
                <w:color w:val="auto"/>
                <w:sz w:val="24"/>
                <w:szCs w:val="24"/>
                <w:highlight w:val="none"/>
              </w:rPr>
            </w:pPr>
            <w:r/>
            <w:bookmarkStart w:id="49" w:name="EBf2540e281f614ac8b4efc83b6e64d4d2"/>
            <w:r>
              <w:rPr>
                <w:rFonts w:hint="eastAsia" w:ascii="Times New Roman" w:hAnsi="Times New Roman" w:eastAsia="宋体" w:cs="仿宋"/>
                <w:color w:val="auto"/>
                <w:sz w:val="24"/>
                <w:szCs w:val="24"/>
                <w:highlight w:val="none"/>
              </w:rPr>
              <w:t xml:space="preserve">60</w:t>
            </w:r>
            <w:bookmarkEnd w:id="49"/>
            <w:r>
              <w:rPr>
                <w:rFonts w:hint="eastAsia" w:ascii="Times New Roman" w:hAnsi="Times New Roman" w:eastAsia="宋体"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按以下第</w:t>
            </w:r>
            <w:r>
              <w:rPr>
                <w:rFonts w:hint="eastAsia" w:ascii="Times New Roman" w:hAnsi="Times New Roman" w:eastAsia="宋体" w:cs="仿宋"/>
                <w:color w:val="auto"/>
                <w:sz w:val="24"/>
                <w:szCs w:val="24"/>
                <w:highlight w:val="none"/>
                <w:u w:val="single"/>
                <w:lang w:val="en-US" w:eastAsia="zh-CN"/>
              </w:rPr>
              <w:t xml:space="preserve"> </w:t>
            </w:r>
            <w:r>
              <w:rPr>
                <w:rFonts w:hint="eastAsia" w:ascii="Times New Roman" w:hAnsi="Times New Roman" w:eastAsia="宋体" w:cs="仿宋"/>
                <w:b/>
                <w:bCs/>
                <w:color w:val="auto"/>
                <w:sz w:val="24"/>
                <w:szCs w:val="22"/>
                <w:highlight w:val="none"/>
                <w:u w:val="single"/>
              </w:rPr>
              <w:t xml:space="preserve">2</w:t>
            </w:r>
            <w:r>
              <w:rPr>
                <w:rFonts w:hint="eastAsia" w:ascii="Times New Roman" w:hAnsi="Times New Roman" w:eastAsia="宋体" w:cs="仿宋"/>
                <w:color w:val="auto"/>
                <w:sz w:val="24"/>
                <w:szCs w:val="24"/>
                <w:highlight w:val="none"/>
              </w:rPr>
              <w:t xml:space="preserve">种方式确定：</w:t>
            </w:r>
            <w:r/>
          </w:p>
          <w:p>
            <w:pPr>
              <w:jc w:val="left"/>
              <w:spacing w:line="360" w:lineRule="exact"/>
              <w:widowControl/>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1.接受进口产品。</w:t>
            </w:r>
            <w:bookmarkStart w:id="50" w:name="OLE_LINK8"/>
            <w:r>
              <w:rPr>
                <w:rFonts w:hint="eastAsia" w:ascii="Times New Roman" w:hAnsi="Times New Roman" w:eastAsia="宋体" w:cs="仿宋"/>
                <w:color w:val="auto"/>
                <w:sz w:val="24"/>
                <w:szCs w:val="22"/>
                <w:highlight w:val="none"/>
              </w:rPr>
              <w:t xml:space="preserve">应当符合《政</w:t>
            </w:r>
            <w:bookmarkStart w:id="51" w:name="OLE_LINK1"/>
            <w:r>
              <w:rPr>
                <w:rFonts w:hint="eastAsia" w:ascii="Times New Roman" w:hAnsi="Times New Roman" w:eastAsia="宋体" w:cs="仿宋"/>
                <w:color w:val="auto"/>
                <w:sz w:val="24"/>
                <w:szCs w:val="22"/>
                <w:highlight w:val="none"/>
              </w:rPr>
              <w:t xml:space="preserve">府采购进口产品管理办法</w:t>
            </w:r>
            <w:bookmarkEnd w:id="51"/>
            <w:r>
              <w:rPr>
                <w:rFonts w:hint="eastAsia" w:ascii="Times New Roman" w:hAnsi="Times New Roman" w:eastAsia="宋体" w:cs="仿宋"/>
                <w:color w:val="auto"/>
                <w:sz w:val="24"/>
                <w:szCs w:val="22"/>
                <w:highlight w:val="none"/>
              </w:rPr>
              <w:t xml:space="preserve">》（财库〔2007〕119号）《关于政府采购进口产品管理有关问题的通知》（财办库〔2008〕248号）等相关规定</w:t>
            </w:r>
            <w:r>
              <w:rPr>
                <w:rFonts w:hint="eastAsia" w:ascii="Times New Roman" w:hAnsi="Times New Roman" w:eastAsia="宋体" w:cs="仿宋"/>
                <w:color w:val="auto"/>
                <w:sz w:val="24"/>
                <w:szCs w:val="24"/>
                <w:highlight w:val="none"/>
              </w:rPr>
              <w:t xml:space="preserve">；</w:t>
            </w:r>
            <w:bookmarkEnd w:id="50"/>
            <w:r/>
          </w:p>
          <w:p>
            <w:pPr>
              <w:jc w:val="left"/>
              <w:spacing w:line="360" w:lineRule="exact"/>
              <w:widowControl/>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评审方法</w:t>
            </w:r>
            <w:r/>
          </w:p>
        </w:tc>
        <w:tc>
          <w:tcPr>
            <w:tcW w:w="5975" w:type="dxa"/>
            <w:vAlign w:val="center"/>
            <w:textDirection w:val="lrTb"/>
            <w:noWrap w:val="false"/>
          </w:tcPr>
          <w:p>
            <w:pPr>
              <w:jc w:val="left"/>
              <w:spacing w:line="360" w:lineRule="exact"/>
              <w:widowControl w:val="off"/>
              <w:rPr>
                <w:rFonts w:hint="eastAsia" w:ascii="Times New Roman" w:hAnsi="Times New Roman" w:eastAsia="宋体" w:cs="仿宋"/>
                <w:color w:val="auto"/>
                <w:sz w:val="24"/>
                <w:szCs w:val="20"/>
                <w:highlight w:val="none"/>
                <w:lang w:val="en-US" w:eastAsia="zh-CN" w:bidi="ar-SA"/>
              </w:rPr>
            </w:pPr>
            <w:r>
              <w:rPr>
                <w:rFonts w:hint="eastAsia" w:ascii="Times New Roman" w:hAnsi="Times New Roman" w:eastAsia="宋体" w:cs="仿宋"/>
                <w:color w:val="auto"/>
                <w:sz w:val="24"/>
                <w:szCs w:val="20"/>
                <w:highlight w:val="none"/>
                <w:lang w:val="en-US" w:eastAsia="zh-CN" w:bidi="ar-SA"/>
              </w:rPr>
              <w:t xml:space="preserve">具体评标办法详见招标文件第三章。</w:t>
            </w:r>
            <w:r/>
          </w:p>
          <w:p>
            <w:pPr>
              <w:jc w:val="left"/>
              <w:spacing w:line="360" w:lineRule="exact"/>
              <w:widowControl w:val="off"/>
              <w:rPr>
                <w:rFonts w:ascii="Times New Roman" w:hAnsi="Times New Roman" w:eastAsia="宋体" w:cs="仿宋"/>
                <w:color w:val="auto"/>
                <w:sz w:val="24"/>
                <w:szCs w:val="20"/>
                <w:highlight w:val="none"/>
                <w:lang w:val="en-US" w:eastAsia="zh-CN" w:bidi="ar-SA"/>
              </w:rPr>
            </w:pPr>
            <w:r>
              <w:rPr>
                <w:rFonts w:hint="eastAsia" w:ascii="Times New Roman" w:hAnsi="Times New Roman" w:eastAsia="宋体" w:cs="仿宋"/>
                <w:color w:val="auto"/>
                <w:sz w:val="24"/>
                <w:szCs w:val="20"/>
                <w:highlight w:val="none"/>
                <w:lang w:val="en-US" w:eastAsia="zh-CN" w:bidi="ar-SA"/>
              </w:rPr>
              <w:t xml:space="preserve">磋商小组会依据招标文件规定的评标办法和标准推荐3名成交候选人。</w:t>
            </w:r>
            <w:r/>
          </w:p>
        </w:tc>
      </w:tr>
      <w:tr>
        <w:trPr/>
        <w:tc>
          <w:tcPr>
            <w:tcW w:w="1101"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按以下第</w:t>
            </w:r>
            <w:r>
              <w:rPr>
                <w:rFonts w:hint="eastAsia" w:ascii="Times New Roman" w:hAnsi="Times New Roman" w:eastAsia="宋体" w:cs="仿宋"/>
                <w:b/>
                <w:bCs/>
                <w:color w:val="auto"/>
                <w:sz w:val="24"/>
                <w:szCs w:val="22"/>
                <w:highlight w:val="none"/>
                <w:u w:val="single"/>
              </w:rPr>
              <w:t xml:space="preserve"> </w:t>
            </w:r>
            <w:r>
              <w:rPr>
                <w:rFonts w:hint="eastAsia" w:ascii="Times New Roman" w:hAnsi="Times New Roman" w:eastAsia="宋体" w:cs="仿宋"/>
                <w:b/>
                <w:bCs/>
                <w:color w:val="auto"/>
                <w:sz w:val="24"/>
                <w:szCs w:val="22"/>
                <w:highlight w:val="none"/>
                <w:u w:val="single"/>
                <w:lang w:val="en-US" w:eastAsia="zh-CN"/>
              </w:rPr>
              <w:t xml:space="preserve">1</w:t>
            </w:r>
            <w:r>
              <w:rPr>
                <w:rFonts w:hint="eastAsia" w:ascii="Times New Roman" w:hAnsi="Times New Roman" w:eastAsia="宋体" w:cs="仿宋"/>
                <w:b/>
                <w:bCs/>
                <w:color w:val="auto"/>
                <w:sz w:val="24"/>
                <w:szCs w:val="22"/>
                <w:highlight w:val="none"/>
                <w:u w:val="single"/>
              </w:rPr>
              <w:t xml:space="preserve"> </w:t>
            </w:r>
            <w:r>
              <w:rPr>
                <w:rFonts w:hint="eastAsia" w:ascii="Times New Roman" w:hAnsi="Times New Roman" w:eastAsia="宋体" w:cs="仿宋"/>
                <w:color w:val="auto"/>
                <w:sz w:val="24"/>
                <w:szCs w:val="24"/>
                <w:highlight w:val="none"/>
              </w:rPr>
              <w:t xml:space="preserve">种方式确定成交人：</w:t>
            </w:r>
            <w:r/>
          </w:p>
          <w:p>
            <w:pPr>
              <w:jc w:val="left"/>
              <w:spacing w:line="360" w:lineRule="exact"/>
              <w:widowControl/>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1.采购人按照规定在磋商小组推荐的</w:t>
            </w:r>
            <w:r>
              <w:rPr>
                <w:rFonts w:hint="eastAsia" w:ascii="Times New Roman" w:hAnsi="Times New Roman" w:eastAsia="宋体" w:cs="仿宋"/>
                <w:color w:val="auto"/>
                <w:sz w:val="24"/>
                <w:szCs w:val="24"/>
                <w:highlight w:val="none"/>
                <w:lang w:val="en-US" w:eastAsia="zh-CN"/>
              </w:rPr>
              <w:t xml:space="preserve">成交</w:t>
            </w:r>
            <w:r>
              <w:rPr>
                <w:rFonts w:hint="eastAsia" w:ascii="Times New Roman" w:hAnsi="Times New Roman" w:eastAsia="宋体" w:cs="仿宋"/>
                <w:color w:val="auto"/>
                <w:sz w:val="24"/>
                <w:szCs w:val="24"/>
                <w:highlight w:val="none"/>
              </w:rPr>
              <w:t xml:space="preserve">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eastAsia="宋体" w:cs="仿宋"/>
                <w:color w:val="auto"/>
                <w:sz w:val="24"/>
                <w:szCs w:val="24"/>
                <w:highlight w:val="none"/>
              </w:rPr>
            </w:pPr>
            <w:r/>
            <w:bookmarkStart w:id="52" w:name="EBebac1462c5d9459fbda8a75065c2455d"/>
            <w:r>
              <w:rPr>
                <w:rFonts w:hint="eastAsia" w:ascii="Times New Roman" w:hAnsi="Times New Roman" w:eastAsia="宋体" w:cs="仿宋"/>
                <w:color w:val="auto"/>
                <w:sz w:val="24"/>
                <w:szCs w:val="24"/>
                <w:highlight w:val="none"/>
              </w:rPr>
              <w:t xml:space="preserve">本项目的非主体、非关键性工作是否允许分包按以下第</w:t>
            </w:r>
            <w:r>
              <w:rPr>
                <w:rFonts w:hint="eastAsia" w:ascii="Times New Roman" w:hAnsi="Times New Roman" w:eastAsia="宋体" w:cs="仿宋"/>
                <w:color w:val="auto"/>
                <w:sz w:val="24"/>
                <w:szCs w:val="24"/>
                <w:highlight w:val="none"/>
                <w:u w:val="single"/>
                <w:lang w:val="en-US" w:eastAsia="zh-CN"/>
              </w:rPr>
              <w:t xml:space="preserve"> </w:t>
            </w:r>
            <w:r>
              <w:rPr>
                <w:rFonts w:hint="eastAsia" w:ascii="Times New Roman" w:hAnsi="Times New Roman" w:eastAsia="宋体" w:cs="仿宋"/>
                <w:b/>
                <w:bCs/>
                <w:color w:val="auto"/>
                <w:sz w:val="24"/>
                <w:szCs w:val="22"/>
                <w:highlight w:val="none"/>
                <w:u w:val="single"/>
                <w:lang w:val="en-US" w:eastAsia="zh-CN"/>
              </w:rPr>
              <w:t xml:space="preserve">2</w:t>
            </w:r>
            <w:r>
              <w:rPr>
                <w:rFonts w:hint="eastAsia" w:ascii="Times New Roman" w:hAnsi="Times New Roman" w:eastAsia="宋体" w:cs="仿宋"/>
                <w:color w:val="auto"/>
                <w:sz w:val="24"/>
                <w:szCs w:val="24"/>
                <w:highlight w:val="none"/>
              </w:rPr>
              <w:t xml:space="preserve">种方式确定：</w:t>
            </w:r>
            <w:r/>
          </w:p>
          <w:p>
            <w:pPr>
              <w:jc w:val="left"/>
              <w:spacing w:line="360" w:lineRule="exact"/>
              <w:widowControl/>
              <w:rPr>
                <w:rFonts w:hint="eastAsia" w:ascii="Times New Roman" w:hAnsi="Times New Roman" w:cs="仿宋" w:eastAsiaTheme="minorEastAsia"/>
                <w:color w:val="auto"/>
                <w:sz w:val="24"/>
                <w:szCs w:val="24"/>
                <w:highlight w:val="none"/>
                <w:lang w:eastAsia="zh-CN"/>
              </w:rPr>
            </w:pPr>
            <w:r>
              <w:rPr>
                <w:rFonts w:hint="eastAsia" w:ascii="Times New Roman" w:hAnsi="Times New Roman" w:eastAsia="宋体" w:cs="仿宋"/>
                <w:color w:val="auto"/>
                <w:sz w:val="24"/>
                <w:szCs w:val="24"/>
                <w:highlight w:val="none"/>
              </w:rPr>
              <w:t xml:space="preserve">1.</w:t>
            </w:r>
            <w:bookmarkEnd w:id="52"/>
            <w:r>
              <w:rPr>
                <w:rFonts w:hint="eastAsia" w:ascii="Times New Roman" w:hAnsi="Times New Roman" w:eastAsia="宋体" w:cs="仿宋"/>
                <w:color w:val="auto"/>
                <w:sz w:val="24"/>
                <w:szCs w:val="24"/>
                <w:highlight w:val="none"/>
              </w:rPr>
              <w:t xml:space="preserve">允许分包</w:t>
            </w:r>
            <w:r>
              <w:rPr>
                <w:rFonts w:hint="eastAsia" w:ascii="Times New Roman" w:hAnsi="Times New Roman" w:cs="仿宋"/>
                <w:color w:val="auto"/>
                <w:sz w:val="24"/>
                <w:szCs w:val="24"/>
                <w:highlight w:val="none"/>
                <w:lang w:eastAsia="zh-CN"/>
              </w:rPr>
              <w:t xml:space="preserve">，</w:t>
            </w:r>
            <w:bookmarkStart w:id="53"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none"/>
              </w:rPr>
              <w:t xml:space="preserve">无</w:t>
            </w:r>
            <w:r>
              <w:rPr>
                <w:rFonts w:hint="eastAsia" w:ascii="Times New Roman" w:hAnsi="Times New Roman" w:cs="仿宋"/>
                <w:color w:val="auto"/>
                <w:sz w:val="24"/>
                <w:szCs w:val="24"/>
                <w:highlight w:val="none"/>
                <w:lang w:eastAsia="zh-CN"/>
              </w:rPr>
              <w:t xml:space="preserve">。</w:t>
            </w:r>
            <w:r/>
          </w:p>
          <w:p>
            <w:pPr>
              <w:jc w:val="left"/>
              <w:spacing w:line="360" w:lineRule="exact"/>
              <w:widowControl/>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4"/>
                <w:highlight w:val="none"/>
              </w:rPr>
              <w:t xml:space="preserve">2.不允许分包。</w:t>
            </w:r>
            <w:r/>
          </w:p>
        </w:tc>
      </w:tr>
      <w:tr>
        <w:trPr>
          <w:trHeight w:val="604"/>
        </w:trPr>
        <w:tc>
          <w:tcPr>
            <w:tcW w:w="1101"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lang w:val="en-US" w:eastAsia="zh-CN"/>
              </w:rPr>
              <w:t xml:space="preserve">8</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highlight w:val="none"/>
              </w:rPr>
            </w:pPr>
            <w:r>
              <w:rPr>
                <w:rFonts w:hint="eastAsia" w:ascii="Times New Roman" w:hAnsi="Times New Roman" w:cs="仿宋"/>
                <w:sz w:val="24"/>
                <w:szCs w:val="24"/>
              </w:rPr>
              <w:t xml:space="preserve">代理费用收取方式及标准</w:t>
            </w:r>
            <w:r/>
          </w:p>
        </w:tc>
        <w:tc>
          <w:tcPr>
            <w:shd w:val="clear" w:color="auto" w:fill="auto"/>
            <w:tcW w:w="5975"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sz w:val="24"/>
                <w:szCs w:val="24"/>
              </w:rPr>
              <w:t xml:space="preserve">本项目不收取代理费。</w:t>
            </w:r>
            <w:r/>
          </w:p>
        </w:tc>
      </w:tr>
      <w:tr>
        <w:trPr>
          <w:trHeight w:val="604"/>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9</w:t>
            </w:r>
            <w:r/>
          </w:p>
        </w:tc>
        <w:tc>
          <w:tcPr>
            <w:tcW w:w="1984"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color w:val="auto"/>
          <w:szCs w:val="22"/>
          <w:highlight w:val="none"/>
        </w:rPr>
      </w:pPr>
      <w:r/>
      <w:bookmarkStart w:id="54" w:name="EBc9d8a0a6c333409599b28034cbc893d2"/>
      <w:r/>
      <w:bookmarkEnd w:id="54"/>
      <w:r/>
      <w:bookmarkStart w:id="55" w:name="_Toc141869962"/>
      <w:r/>
      <w:r/>
    </w:p>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p>
      <w:pPr>
        <w:jc w:val="left"/>
        <w:widowControl/>
        <w:rPr>
          <w:rFonts w:ascii="Arial" w:hAnsi="Arial" w:eastAsia="宋体" w:cs="Arial"/>
          <w:b/>
          <w:bCs/>
          <w:color w:val="auto"/>
          <w:sz w:val="32"/>
          <w:szCs w:val="22"/>
          <w:highlight w:val="none"/>
        </w:rPr>
      </w:pPr>
      <w:r>
        <w:rPr>
          <w:rFonts w:ascii="Calibri" w:hAnsi="Calibri" w:eastAsia="宋体" w:cs="Times New Roman"/>
          <w:b/>
          <w:bCs/>
          <w:color w:val="auto"/>
          <w:sz w:val="32"/>
          <w:szCs w:val="22"/>
          <w:highlight w:val="none"/>
        </w:rPr>
        <w:br w:type="page" w:clear="all"/>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一、总 则</w:t>
      </w:r>
      <w:bookmarkEnd w:id="55"/>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1、采购方式</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本次采购采取竞争性磋商方式。</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2、合格的供应商</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2.2满足本文件实质性要求的规定。</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3、适用法律</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本次磋商及由磋商产生的合同受中华人民共和国的相关法律、法规制约和保护。</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4、费用</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供应商应自行承担所有参加磋商活动有关的费用。</w:t>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56" w:name="_Toc141869963"/>
      <w:r>
        <w:rPr>
          <w:rFonts w:hint="eastAsia" w:ascii="黑体" w:hAnsi="黑体" w:eastAsia="黑体" w:cs="黑体"/>
          <w:b w:val="0"/>
          <w:bCs w:val="0"/>
          <w:color w:val="auto"/>
          <w:sz w:val="32"/>
          <w:szCs w:val="22"/>
          <w:highlight w:val="none"/>
          <w:lang w:val="en-US" w:eastAsia="zh-CN" w:bidi="ar-SA"/>
        </w:rPr>
        <w:t xml:space="preserve">二、竞争性磋商文件</w:t>
      </w:r>
      <w:bookmarkEnd w:id="56"/>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5、磋商文件构成</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5.1磋商文件由以下部分组成：</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第一章：磋商邀请；</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第二章：供应商须知；</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第三章：评审方法与评审标准；</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第四章：采购需求；</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第五章：合同文本；</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第六章：响应文件格式。</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请仔细检查磋商文件是否齐全，如有缺漏请立即与代理机构联系解决。</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6、政府采购政策</w:t>
      </w:r>
      <w:r/>
    </w:p>
    <w:p>
      <w:pPr>
        <w:ind w:firstLine="482"/>
        <w:spacing w:line="480" w:lineRule="exact"/>
        <w:rPr>
          <w:rFonts w:ascii="Times New Roman" w:hAnsi="Times New Roman" w:eastAsia="宋体" w:cs="仿宋"/>
          <w:b/>
          <w:color w:val="auto"/>
          <w:sz w:val="24"/>
          <w:szCs w:val="22"/>
          <w:highlight w:val="none"/>
          <w:u w:val="single"/>
        </w:rPr>
      </w:pPr>
      <w:r>
        <w:rPr>
          <w:rFonts w:hint="eastAsia" w:ascii="Times New Roman" w:hAnsi="Times New Roman" w:eastAsia="宋体" w:cs="仿宋"/>
          <w:b/>
          <w:bCs/>
          <w:color w:val="auto"/>
          <w:sz w:val="24"/>
          <w:szCs w:val="22"/>
          <w:highlight w:val="none"/>
        </w:rPr>
        <w:t xml:space="preserve">本项目落实的政府采购政策对应序号为</w:t>
      </w:r>
      <w:r>
        <w:rPr>
          <w:rFonts w:hint="eastAsia" w:ascii="Times New Roman" w:hAnsi="Times New Roman" w:eastAsia="宋体" w:cs="仿宋"/>
          <w:b/>
          <w:bCs/>
          <w:color w:val="auto"/>
          <w:sz w:val="24"/>
          <w:szCs w:val="22"/>
          <w:highlight w:val="none"/>
          <w:u w:val="single"/>
        </w:rPr>
        <w:t xml:space="preserve"> </w:t>
      </w:r>
      <w:r>
        <w:rPr>
          <w:rFonts w:hint="eastAsia" w:ascii="Times New Roman" w:hAnsi="Times New Roman" w:eastAsia="宋体" w:cs="仿宋"/>
          <w:b/>
          <w:bCs/>
          <w:color w:val="auto"/>
          <w:sz w:val="24"/>
          <w:szCs w:val="22"/>
          <w:highlight w:val="none"/>
          <w:u w:val="single"/>
          <w:lang w:val="en-US" w:eastAsia="zh-CN"/>
        </w:rPr>
        <w:t xml:space="preserve">6.1</w:t>
      </w:r>
      <w:r>
        <w:rPr>
          <w:rFonts w:hint="eastAsia" w:ascii="Times New Roman" w:hAnsi="Times New Roman" w:eastAsia="宋体" w:cs="仿宋"/>
          <w:b/>
          <w:bCs/>
          <w:color w:val="auto"/>
          <w:sz w:val="24"/>
          <w:szCs w:val="22"/>
          <w:highlight w:val="none"/>
          <w:u w:val="single"/>
        </w:rPr>
        <w:t xml:space="preserve"> </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6.1中小企业政策</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本项目按以下第</w:t>
      </w:r>
      <w:r>
        <w:rPr>
          <w:rFonts w:hint="eastAsia" w:ascii="Times New Roman" w:hAnsi="Times New Roman" w:eastAsia="宋体" w:cs="仿宋"/>
          <w:color w:val="auto"/>
          <w:sz w:val="24"/>
          <w:szCs w:val="22"/>
          <w:highlight w:val="none"/>
          <w:u w:val="single"/>
        </w:rPr>
        <w:t xml:space="preserve">（</w:t>
      </w:r>
      <w:r>
        <w:rPr>
          <w:rFonts w:hint="eastAsia" w:ascii="Times New Roman" w:hAnsi="Times New Roman" w:eastAsia="宋体" w:cs="仿宋"/>
          <w:color w:val="auto"/>
          <w:sz w:val="24"/>
          <w:szCs w:val="22"/>
          <w:highlight w:val="none"/>
          <w:u w:val="single"/>
          <w:lang w:val="en-US" w:eastAsia="zh-CN"/>
        </w:rPr>
        <w:t xml:space="preserve">2</w:t>
      </w:r>
      <w:r>
        <w:rPr>
          <w:rFonts w:hint="eastAsia" w:ascii="Times New Roman" w:hAnsi="Times New Roman" w:eastAsia="宋体" w:cs="仿宋"/>
          <w:color w:val="auto"/>
          <w:sz w:val="24"/>
          <w:szCs w:val="22"/>
          <w:highlight w:val="none"/>
          <w:u w:val="single"/>
        </w:rPr>
        <w:t xml:space="preserve">）</w:t>
      </w:r>
      <w:r>
        <w:rPr>
          <w:rFonts w:hint="eastAsia" w:ascii="Times New Roman" w:hAnsi="Times New Roman" w:eastAsia="宋体" w:cs="仿宋"/>
          <w:color w:val="auto"/>
          <w:sz w:val="24"/>
          <w:szCs w:val="22"/>
          <w:highlight w:val="none"/>
        </w:rPr>
        <w:t xml:space="preserve">种政策确定本项目落实的中小企业政策：</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（1）本项目专门面向中小企业（含监狱与戒毒企业、残疾人福利企业）采购。</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（2）对符合规定情形的小微企业报价给予</w:t>
      </w:r>
      <w:r>
        <w:rPr>
          <w:rFonts w:hint="eastAsia" w:ascii="Times New Roman" w:hAnsi="Times New Roman" w:eastAsia="宋体" w:cs="仿宋"/>
          <w:color w:val="auto"/>
          <w:sz w:val="24"/>
          <w:szCs w:val="22"/>
          <w:highlight w:val="none"/>
          <w:u w:val="single"/>
          <w:lang w:val="en-US" w:eastAsia="zh-CN"/>
        </w:rPr>
        <w:t xml:space="preserve">15%</w:t>
      </w:r>
      <w:r>
        <w:rPr>
          <w:rFonts w:hint="eastAsia" w:ascii="Times New Roman" w:hAnsi="Times New Roman" w:eastAsia="宋体" w:cs="仿宋"/>
          <w:color w:val="auto"/>
          <w:sz w:val="24"/>
          <w:szCs w:val="22"/>
          <w:highlight w:val="none"/>
        </w:rPr>
        <w:t xml:space="preserve">扣除，用扣除后的价格参加评审。</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_GB2312"/>
          <w:color w:val="auto"/>
          <w:sz w:val="24"/>
          <w:szCs w:val="22"/>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color w:val="auto"/>
          <w:sz w:val="24"/>
          <w:szCs w:val="22"/>
          <w:highlight w:val="none"/>
          <w:u w:val="single"/>
        </w:rPr>
        <w:t xml:space="preserve">5</w:t>
      </w:r>
      <w:r>
        <w:rPr>
          <w:rFonts w:hint="eastAsia" w:ascii="Times New Roman" w:hAnsi="Times New Roman" w:eastAsia="宋体" w:cs="仿宋"/>
          <w:color w:val="auto"/>
          <w:sz w:val="24"/>
          <w:szCs w:val="22"/>
          <w:highlight w:val="none"/>
        </w:rPr>
        <w:t xml:space="preserve">%（工程项目为</w:t>
      </w:r>
      <w:r>
        <w:rPr>
          <w:rFonts w:hint="eastAsia" w:ascii="Times New Roman" w:hAnsi="Times New Roman" w:eastAsia="宋体" w:cs="仿宋"/>
          <w:color w:val="auto"/>
          <w:sz w:val="24"/>
          <w:szCs w:val="22"/>
          <w:highlight w:val="none"/>
          <w:u w:val="single"/>
        </w:rPr>
        <w:t xml:space="preserve">2</w:t>
      </w:r>
      <w:r>
        <w:rPr>
          <w:rFonts w:hint="eastAsia" w:ascii="Times New Roman" w:hAnsi="Times New Roman" w:eastAsia="宋体" w:cs="仿宋"/>
          <w:color w:val="auto"/>
          <w:sz w:val="24"/>
          <w:szCs w:val="22"/>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6.2节能产品、环境标志产品</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6.3政府采购需求标准</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6.3.1商品包装、快递包装政府采购需求标准（试行）</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6.3.2绿色数据中心政府采购需求标准（试行）</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6.3.3绿色建材政府采购需求标准</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7、磋商文件的澄清或修改</w:t>
      </w:r>
      <w:r/>
    </w:p>
    <w:p>
      <w:pPr>
        <w:ind w:firstLine="482"/>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7.3供应商应及时登录“苏采云”系统获取澄清答疑文件（修改后磋商文件），如供应商未能及时下载澄清和修改后的磋商文件，造成的相关责任由供应商承担。</w:t>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57" w:name="_Toc141869964"/>
      <w:r>
        <w:rPr>
          <w:rFonts w:hint="eastAsia" w:ascii="黑体" w:hAnsi="黑体" w:eastAsia="黑体" w:cs="黑体"/>
          <w:b w:val="0"/>
          <w:bCs w:val="0"/>
          <w:color w:val="auto"/>
          <w:sz w:val="32"/>
          <w:szCs w:val="22"/>
          <w:highlight w:val="none"/>
          <w:lang w:val="en-US" w:eastAsia="zh-CN" w:bidi="ar-SA"/>
        </w:rPr>
        <w:t xml:space="preserve">三、响应文件的编制</w:t>
      </w:r>
      <w:bookmarkEnd w:id="57"/>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8、响应文件的编制要求</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eastAsia="宋体" w:cs="Times New Roman"/>
          <w:b/>
          <w:color w:val="auto"/>
          <w:sz w:val="24"/>
          <w:szCs w:val="22"/>
          <w:highlight w:val="none"/>
        </w:rPr>
      </w:pPr>
      <w:r>
        <w:rPr>
          <w:rFonts w:ascii="Times New Roman" w:hAnsi="Times New Roman" w:eastAsia="宋体" w:cs="Times New Roman"/>
          <w:b/>
          <w:color w:val="auto"/>
          <w:sz w:val="24"/>
          <w:szCs w:val="22"/>
          <w:highlight w:val="none"/>
        </w:rPr>
        <w:t xml:space="preserve">9、响应文件构成</w:t>
      </w:r>
      <w:r/>
    </w:p>
    <w:p>
      <w:pPr>
        <w:ind w:firstLine="482"/>
        <w:spacing w:line="480" w:lineRule="exact"/>
        <w:rPr>
          <w:rFonts w:ascii="Times New Roman" w:hAnsi="Times New Roman" w:eastAsia="宋体" w:cs="Times New Roman"/>
          <w:b/>
          <w:color w:val="auto"/>
          <w:sz w:val="24"/>
          <w:szCs w:val="22"/>
          <w:highlight w:val="none"/>
        </w:rPr>
      </w:pPr>
      <w:r/>
      <w:bookmarkStart w:id="58" w:name="EBd2e6df6607b447c7a4370e6531238d19"/>
      <w:r>
        <w:rPr>
          <w:rFonts w:ascii="Times New Roman" w:hAnsi="Times New Roman" w:eastAsia="宋体" w:cs="Times New Roman"/>
          <w:color w:val="auto"/>
          <w:sz w:val="24"/>
          <w:szCs w:val="21"/>
          <w:highlight w:val="none"/>
        </w:rPr>
        <w:t xml:space="preserve">9.1响应文件包括资格证明文件、</w:t>
      </w:r>
      <w:r>
        <w:rPr>
          <w:rFonts w:ascii="Times New Roman" w:hAnsi="Times New Roman" w:eastAsia="宋体" w:cs="Times New Roman"/>
          <w:color w:val="auto"/>
          <w:sz w:val="24"/>
          <w:szCs w:val="24"/>
          <w:highlight w:val="none"/>
        </w:rPr>
        <w:t xml:space="preserve">实质性要求响应及偏离表</w:t>
      </w:r>
      <w:r>
        <w:rPr>
          <w:rFonts w:ascii="Times New Roman" w:hAnsi="Times New Roman" w:eastAsia="宋体" w:cs="Times New Roman"/>
          <w:color w:val="auto"/>
          <w:sz w:val="24"/>
          <w:szCs w:val="21"/>
          <w:highlight w:val="none"/>
        </w:rPr>
        <w:t xml:space="preserve">、分项报价表、响应及偏离表、磋商</w:t>
      </w:r>
      <w:r>
        <w:rPr>
          <w:rFonts w:hint="eastAsia" w:ascii="Times New Roman" w:hAnsi="Times New Roman" w:eastAsia="宋体" w:cs="Times New Roman"/>
          <w:color w:val="auto"/>
          <w:sz w:val="24"/>
          <w:szCs w:val="21"/>
          <w:highlight w:val="none"/>
        </w:rPr>
        <w:t xml:space="preserve">申请</w:t>
      </w:r>
      <w:r>
        <w:rPr>
          <w:rFonts w:ascii="Times New Roman" w:hAnsi="Times New Roman" w:eastAsia="宋体" w:cs="Times New Roman"/>
          <w:color w:val="auto"/>
          <w:sz w:val="24"/>
          <w:szCs w:val="21"/>
          <w:highlight w:val="none"/>
        </w:rPr>
        <w:t xml:space="preserve">函</w:t>
      </w:r>
      <w:r>
        <w:rPr>
          <w:rFonts w:hint="eastAsia" w:ascii="Times New Roman" w:hAnsi="Times New Roman" w:eastAsia="宋体" w:cs="Times New Roman"/>
          <w:color w:val="auto"/>
          <w:sz w:val="24"/>
          <w:szCs w:val="21"/>
          <w:highlight w:val="none"/>
        </w:rPr>
        <w:t xml:space="preserve">、</w:t>
      </w:r>
      <w:r>
        <w:rPr>
          <w:rFonts w:ascii="Times New Roman" w:hAnsi="Times New Roman" w:eastAsia="宋体" w:cs="Times New Roman"/>
          <w:color w:val="auto"/>
          <w:sz w:val="24"/>
          <w:szCs w:val="21"/>
          <w:highlight w:val="none"/>
        </w:rPr>
        <w:t xml:space="preserve">其他证明文件等部分。</w:t>
      </w:r>
      <w:r>
        <w:rPr>
          <w:rFonts w:ascii="Times New Roman" w:hAnsi="Times New Roman" w:eastAsia="宋体" w:cs="Times New Roman"/>
          <w:color w:val="auto"/>
          <w:sz w:val="24"/>
          <w:szCs w:val="22"/>
          <w:highlight w:val="none"/>
        </w:rPr>
        <w:t xml:space="preserve">响应文件构成资料为非中文时应提供中文译版。</w:t>
      </w:r>
      <w:r/>
    </w:p>
    <w:p>
      <w:pPr>
        <w:ind w:firstLine="482"/>
        <w:spacing w:line="480" w:lineRule="exact"/>
        <w:rPr>
          <w:rFonts w:ascii="Times New Roman" w:hAnsi="Times New Roman" w:eastAsia="宋体" w:cs="Times New Roman"/>
          <w:b/>
          <w:color w:val="auto"/>
          <w:sz w:val="24"/>
          <w:szCs w:val="22"/>
          <w:highlight w:val="none"/>
        </w:rPr>
      </w:pPr>
      <w:r>
        <w:rPr>
          <w:rFonts w:ascii="Times New Roman" w:hAnsi="Times New Roman" w:eastAsia="宋体" w:cs="Times New Roman"/>
          <w:b/>
          <w:color w:val="auto"/>
          <w:sz w:val="24"/>
          <w:szCs w:val="22"/>
          <w:highlight w:val="none"/>
        </w:rPr>
        <w:t xml:space="preserve">9.2磋商文件要求提供证书证件等原件电子件的，供应商提供的电子件应是对证书证件等原件通过扫描、拍照等方式进行数字化的可被</w:t>
      </w:r>
      <w:r>
        <w:rPr>
          <w:rFonts w:ascii="Times New Roman" w:hAnsi="Times New Roman" w:eastAsia="宋体" w:cs="Times New Roman"/>
          <w:b/>
          <w:bCs/>
          <w:color w:val="auto"/>
          <w:sz w:val="24"/>
          <w:szCs w:val="22"/>
          <w:highlight w:val="none"/>
        </w:rPr>
        <w:t xml:space="preserve">“苏采云”</w:t>
      </w:r>
      <w:r>
        <w:rPr>
          <w:rFonts w:ascii="Times New Roman" w:hAnsi="Times New Roman" w:eastAsia="宋体" w:cs="Times New Roman"/>
          <w:b/>
          <w:color w:val="auto"/>
          <w:sz w:val="24"/>
          <w:szCs w:val="22"/>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10、响应文件的报价</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11、磋商保证金</w:t>
      </w:r>
      <w:r/>
    </w:p>
    <w:p>
      <w:pPr>
        <w:ind w:firstLine="480"/>
        <w:spacing w:line="480" w:lineRule="exact"/>
        <w:rPr>
          <w:rFonts w:ascii="Times New Roman" w:hAnsi="Times New Roman" w:eastAsia="宋体" w:cs="仿宋"/>
          <w:color w:val="auto"/>
          <w:sz w:val="24"/>
          <w:szCs w:val="22"/>
          <w:highlight w:val="none"/>
        </w:rPr>
      </w:pPr>
      <w:r/>
      <w:bookmarkStart w:id="59" w:name="EB2c6535ca97b046d89f956e109e785ae2"/>
      <w:r>
        <w:rPr>
          <w:rFonts w:hint="eastAsia" w:ascii="Times New Roman" w:hAnsi="Times New Roman" w:eastAsia="宋体" w:cs="仿宋"/>
          <w:color w:val="auto"/>
          <w:sz w:val="24"/>
          <w:szCs w:val="22"/>
          <w:highlight w:val="none"/>
        </w:rPr>
        <w:t xml:space="preserve">本项目不收取磋商保证金。</w:t>
      </w:r>
      <w:bookmarkEnd w:id="59"/>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12、响应有效期</w:t>
      </w:r>
      <w:r/>
    </w:p>
    <w:p>
      <w:pPr>
        <w:ind w:firstLine="480"/>
        <w:spacing w:line="480" w:lineRule="exact"/>
        <w:rPr>
          <w:rFonts w:ascii="Times New Roman" w:hAnsi="Times New Roman" w:eastAsia="宋体" w:cs="仿宋"/>
          <w:color w:val="auto"/>
          <w:sz w:val="24"/>
          <w:szCs w:val="22"/>
          <w:highlight w:val="none"/>
        </w:rPr>
      </w:pPr>
      <w:r/>
      <w:bookmarkStart w:id="60" w:name="_Toc141869965"/>
      <w:r>
        <w:rPr>
          <w:rFonts w:hint="eastAsia" w:ascii="Times New Roman" w:hAnsi="Times New Roman" w:eastAsia="宋体" w:cs="仿宋"/>
          <w:color w:val="auto"/>
          <w:sz w:val="24"/>
          <w:szCs w:val="22"/>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12.2</w:t>
      </w:r>
      <w:r>
        <w:rPr>
          <w:rFonts w:hint="eastAsia" w:ascii="宋体" w:hAnsi="宋体" w:eastAsia="宋体" w:cs="Times New Roman"/>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Times New Roman"/>
          <w:color w:val="auto"/>
          <w:sz w:val="24"/>
          <w:szCs w:val="24"/>
          <w:highlight w:val="none"/>
        </w:rPr>
        <w:t xml:space="preserve">受磋商有效期约束的所有权利与义务均延长至新的有效期</w:t>
      </w:r>
      <w:r>
        <w:rPr>
          <w:rFonts w:hint="eastAsia" w:ascii="宋体" w:hAnsi="宋体" w:eastAsia="宋体" w:cs="Times New Roman"/>
          <w:bCs/>
          <w:color w:val="auto"/>
          <w:sz w:val="24"/>
          <w:szCs w:val="21"/>
          <w:highlight w:val="none"/>
        </w:rPr>
        <w:t xml:space="preserve">。</w:t>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四、响应文件的提交</w:t>
      </w:r>
      <w:bookmarkEnd w:id="60"/>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13、响应文件的提交</w:t>
      </w:r>
      <w:r/>
    </w:p>
    <w:p>
      <w:pPr>
        <w:ind w:firstLine="480"/>
        <w:spacing w:line="480" w:lineRule="exact"/>
        <w:widowControl/>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eastAsia="宋体" w:cs="仿宋"/>
          <w:b/>
          <w:color w:val="auto"/>
          <w:sz w:val="24"/>
          <w:szCs w:val="22"/>
          <w:highlight w:val="none"/>
          <w:u w:val="single"/>
        </w:rPr>
      </w:pPr>
      <w:r>
        <w:rPr>
          <w:rFonts w:hint="eastAsia" w:ascii="Times New Roman" w:hAnsi="Times New Roman" w:eastAsia="宋体" w:cs="仿宋"/>
          <w:color w:val="auto"/>
          <w:sz w:val="24"/>
          <w:szCs w:val="22"/>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14、响应文件被拒绝接收的情形</w:t>
      </w:r>
      <w:r/>
    </w:p>
    <w:p>
      <w:pPr>
        <w:ind w:right="105"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在磋商文件规定的响应截止时间后上传的响应文件。</w:t>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61" w:name="_Toc141869967"/>
      <w:r>
        <w:rPr>
          <w:rFonts w:hint="eastAsia" w:ascii="黑体" w:hAnsi="黑体" w:eastAsia="黑体" w:cs="黑体"/>
          <w:b w:val="0"/>
          <w:bCs w:val="0"/>
          <w:color w:val="auto"/>
          <w:sz w:val="32"/>
          <w:szCs w:val="22"/>
          <w:highlight w:val="none"/>
          <w:lang w:val="en-US" w:eastAsia="zh-CN" w:bidi="ar-SA"/>
        </w:rPr>
        <w:t xml:space="preserve">五、磋商程序及最后报价</w:t>
      </w:r>
      <w:bookmarkEnd w:id="61"/>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15、磋商会议</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b/>
          <w:color w:val="auto"/>
          <w:sz w:val="24"/>
          <w:szCs w:val="22"/>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15.3供应商在磋商全过程中应保持通讯畅通，及时登录</w:t>
      </w:r>
      <w:r>
        <w:rPr>
          <w:rFonts w:hint="eastAsia" w:ascii="Times New Roman" w:hAnsi="Times New Roman" w:eastAsia="宋体" w:cs="仿宋"/>
          <w:b/>
          <w:bCs/>
          <w:color w:val="auto"/>
          <w:sz w:val="24"/>
          <w:szCs w:val="22"/>
          <w:highlight w:val="none"/>
        </w:rPr>
        <w:t xml:space="preserve">“苏采云”系统</w:t>
      </w:r>
      <w:r>
        <w:rPr>
          <w:rFonts w:hint="eastAsia" w:ascii="Times New Roman" w:hAnsi="Times New Roman" w:eastAsia="宋体" w:cs="仿宋"/>
          <w:color w:val="auto"/>
          <w:sz w:val="24"/>
          <w:szCs w:val="22"/>
          <w:highlight w:val="none"/>
        </w:rPr>
        <w:t xml:space="preserve">查阅、答复相关信息。</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b/>
          <w:color w:val="auto"/>
          <w:sz w:val="24"/>
          <w:szCs w:val="22"/>
          <w:highlight w:val="none"/>
        </w:rPr>
        <w:t xml:space="preserve">16、磋商小组</w:t>
      </w:r>
      <w:bookmarkStart w:id="62" w:name="OLE_LINK3"/>
      <w:r/>
      <w:r/>
    </w:p>
    <w:p>
      <w:pPr>
        <w:ind w:firstLine="482"/>
        <w:spacing w:line="480" w:lineRule="exact"/>
        <w:rPr>
          <w:rFonts w:ascii="Times New Roman" w:hAnsi="Times New Roman" w:eastAsia="宋体" w:cs="仿宋"/>
          <w:b/>
          <w:color w:val="auto"/>
          <w:sz w:val="24"/>
          <w:szCs w:val="22"/>
          <w:highlight w:val="none"/>
        </w:rPr>
      </w:pPr>
      <w:r>
        <w:rPr>
          <w:rFonts w:hint="eastAsia" w:ascii="宋体" w:hAnsi="宋体" w:eastAsia="宋体" w:cs="Times New Roman"/>
          <w:color w:val="auto"/>
          <w:sz w:val="24"/>
          <w:szCs w:val="24"/>
          <w:highlight w:val="none"/>
        </w:rPr>
        <w:t xml:space="preserve">磋商小组由采购人代表和有关技术、经济等方面的专家组成，且人员构成符合政府采购有关规定。</w:t>
      </w:r>
      <w:bookmarkEnd w:id="62"/>
      <w:r>
        <w:rPr>
          <w:rFonts w:hint="eastAsia" w:ascii="Times New Roman" w:hAnsi="Times New Roman" w:eastAsia="宋体" w:cs="仿宋"/>
          <w:color w:val="auto"/>
          <w:sz w:val="24"/>
          <w:szCs w:val="22"/>
          <w:highlight w:val="none"/>
        </w:rPr>
        <w:t xml:space="preserve">磋商小组负责具体评审事务，按客观、公正、审慎的原则独立履行相关职责。</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17、磋商程序</w:t>
      </w:r>
      <w:r/>
    </w:p>
    <w:p>
      <w:pPr>
        <w:ind w:firstLine="480"/>
        <w:spacing w:line="460" w:lineRule="exact"/>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 xml:space="preserve">17.1资格审查</w:t>
      </w:r>
      <w:r/>
    </w:p>
    <w:p>
      <w:pPr>
        <w:ind w:firstLine="480"/>
        <w:spacing w:line="460" w:lineRule="exact"/>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 xml:space="preserve">17.2符合性审查</w:t>
      </w:r>
      <w:r/>
    </w:p>
    <w:p>
      <w:pPr>
        <w:ind w:firstLine="480"/>
        <w:spacing w:line="480" w:lineRule="exact"/>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1"/>
          <w:highlight w:val="none"/>
        </w:rPr>
        <w:t xml:space="preserve">17.3未通过资格审查或符合性审查的供应商，磋商小组将在</w:t>
      </w:r>
      <w:r>
        <w:rPr>
          <w:rFonts w:hint="eastAsia" w:ascii="Times New Roman" w:hAnsi="Times New Roman" w:eastAsia="宋体" w:cs="Times New Roman"/>
          <w:color w:val="auto"/>
          <w:sz w:val="24"/>
          <w:szCs w:val="24"/>
          <w:highlight w:val="none"/>
        </w:rPr>
        <w:t xml:space="preserve">“苏采云”系统</w:t>
      </w:r>
      <w:r>
        <w:rPr>
          <w:rFonts w:hint="eastAsia" w:ascii="Times New Roman" w:hAnsi="Times New Roman" w:eastAsia="宋体" w:cs="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17.5相同品牌产品响应</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Times New Roman"/>
          <w:bCs/>
          <w:color w:val="auto"/>
          <w:sz w:val="24"/>
          <w:szCs w:val="21"/>
          <w:highlight w:val="none"/>
        </w:rPr>
        <w:t xml:space="preserve">17.6磋商</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Times New Roman"/>
          <w:bCs/>
          <w:color w:val="auto"/>
          <w:sz w:val="24"/>
          <w:szCs w:val="21"/>
          <w:highlight w:val="none"/>
        </w:rPr>
        <w:t xml:space="preserve">17.7有关问题的澄清</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eastAsia="宋体" w:cs="Times New Roman"/>
          <w:color w:val="auto"/>
          <w:sz w:val="24"/>
          <w:szCs w:val="24"/>
          <w:highlight w:val="none"/>
        </w:rPr>
      </w:pPr>
      <w:r>
        <w:rPr>
          <w:rFonts w:hint="eastAsia" w:ascii="Times New Roman" w:hAnsi="Times New Roman" w:eastAsia="宋体" w:cs="仿宋"/>
          <w:color w:val="auto"/>
          <w:sz w:val="24"/>
          <w:szCs w:val="22"/>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eastAsia="宋体" w:cs="Times New Roman"/>
          <w:color w:val="auto"/>
          <w:sz w:val="24"/>
          <w:szCs w:val="24"/>
          <w:highlight w:val="none"/>
        </w:rPr>
      </w:pPr>
      <w:r>
        <w:rPr>
          <w:rFonts w:hint="eastAsia" w:ascii="Times New Roman" w:hAnsi="Times New Roman" w:eastAsia="宋体" w:cs="仿宋"/>
          <w:b/>
          <w:color w:val="auto"/>
          <w:sz w:val="24"/>
          <w:szCs w:val="22"/>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eastAsia="宋体" w:cs="Times New Roman"/>
          <w:color w:val="auto"/>
          <w:sz w:val="24"/>
          <w:szCs w:val="24"/>
          <w:highlight w:val="none"/>
        </w:rPr>
      </w:pPr>
      <w:r>
        <w:rPr>
          <w:rFonts w:hint="eastAsia" w:ascii="Times New Roman" w:hAnsi="Times New Roman" w:eastAsia="宋体" w:cs="仿宋"/>
          <w:color w:val="auto"/>
          <w:sz w:val="24"/>
          <w:szCs w:val="22"/>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eastAsia="宋体" w:cs="Times New Roman"/>
          <w:color w:val="auto"/>
          <w:sz w:val="24"/>
          <w:szCs w:val="24"/>
          <w:highlight w:val="none"/>
        </w:rPr>
      </w:pPr>
      <w:r>
        <w:rPr>
          <w:rFonts w:hint="eastAsia" w:ascii="Times New Roman" w:hAnsi="Times New Roman" w:eastAsia="宋体" w:cs="仿宋"/>
          <w:color w:val="auto"/>
          <w:sz w:val="24"/>
          <w:szCs w:val="22"/>
          <w:highlight w:val="none"/>
        </w:rPr>
        <w:t xml:space="preserve">17.8.6</w:t>
      </w:r>
      <w:r>
        <w:rPr>
          <w:rFonts w:hint="eastAsia" w:ascii="Times New Roman" w:hAnsi="Times New Roman" w:eastAsia="宋体" w:cs="Times New Roman"/>
          <w:color w:val="auto"/>
          <w:sz w:val="24"/>
          <w:szCs w:val="24"/>
          <w:highlight w:val="none"/>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479" w:lineRule="atLeast"/>
        <w:rPr>
          <w:rFonts w:ascii="Calibri" w:hAnsi="Calibri" w:eastAsia="宋体" w:cs="Times New Roman"/>
          <w:color w:val="auto"/>
          <w:szCs w:val="22"/>
          <w:highlight w:val="none"/>
        </w:rPr>
        <w:pBdr>
          <w:top w:val="none" w:color="000000" w:sz="0" w:space="0"/>
          <w:left w:val="none" w:color="000000" w:sz="0" w:space="0"/>
          <w:bottom w:val="none" w:color="000000" w:sz="0" w:space="0"/>
          <w:right w:val="none" w:color="000000" w:sz="0" w:space="0"/>
        </w:pBdr>
      </w:pPr>
      <w:r/>
      <w:bookmarkStart w:id="64" w:name="_Toc141869966"/>
      <w:r>
        <w:rPr>
          <w:rFonts w:ascii="Times New Roman" w:hAnsi="Times New Roman" w:eastAsia="Times New Roman" w:cs="Times New Roman"/>
          <w:color w:val="auto"/>
          <w:sz w:val="24"/>
          <w:szCs w:val="22"/>
          <w:highlight w:val="none"/>
        </w:rPr>
        <w:t xml:space="preserve">17.</w:t>
      </w:r>
      <w:r>
        <w:rPr>
          <w:rFonts w:hint="eastAsia" w:ascii="Times New Roman" w:hAnsi="Times New Roman" w:eastAsia="宋体" w:cs="Times New Roman"/>
          <w:color w:val="auto"/>
          <w:sz w:val="24"/>
          <w:szCs w:val="22"/>
          <w:highlight w:val="none"/>
          <w:lang w:val="en-US" w:eastAsia="zh-CN"/>
        </w:rPr>
        <w:t xml:space="preserve">9</w:t>
      </w:r>
      <w:r>
        <w:rPr>
          <w:rFonts w:ascii="宋体" w:hAnsi="宋体" w:eastAsia="宋体" w:cs="宋体"/>
          <w:color w:val="auto"/>
          <w:sz w:val="24"/>
          <w:szCs w:val="22"/>
          <w:highlight w:val="none"/>
        </w:rPr>
        <w:t xml:space="preserve">异常低价投标审查</w:t>
      </w:r>
      <w:r/>
    </w:p>
    <w:p>
      <w:pPr>
        <w:ind w:left="0" w:right="0" w:firstLine="480"/>
        <w:jc w:val="both"/>
        <w:spacing w:before="0" w:after="0" w:line="479" w:lineRule="atLeast"/>
        <w:rPr>
          <w:rFonts w:ascii="Calibri" w:hAnsi="Calibri"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17.</w:t>
      </w:r>
      <w:r>
        <w:rPr>
          <w:rFonts w:hint="eastAsia" w:ascii="Times New Roman" w:hAnsi="Times New Roman" w:eastAsia="宋体" w:cs="Times New Roman"/>
          <w:color w:val="auto"/>
          <w:sz w:val="24"/>
          <w:szCs w:val="22"/>
          <w:highlight w:val="none"/>
          <w:lang w:val="en-US" w:eastAsia="zh-CN"/>
        </w:rPr>
        <w:t xml:space="preserve">9</w:t>
      </w:r>
      <w:r>
        <w:rPr>
          <w:rFonts w:ascii="Times New Roman" w:hAnsi="Times New Roman" w:eastAsia="Times New Roman" w:cs="Times New Roman"/>
          <w:color w:val="auto"/>
          <w:sz w:val="24"/>
          <w:szCs w:val="22"/>
          <w:highlight w:val="none"/>
        </w:rPr>
        <w:t xml:space="preserve">.1</w:t>
      </w:r>
      <w:r>
        <w:rPr>
          <w:rFonts w:ascii="宋体" w:hAnsi="宋体" w:eastAsia="宋体" w:cs="宋体"/>
          <w:color w:val="auto"/>
          <w:sz w:val="24"/>
          <w:szCs w:val="22"/>
          <w:highlight w:val="none"/>
        </w:rPr>
        <w:t xml:space="preserve">评标过程中出现下列情形之一的，评标委员会应当启动异常低价投标审查程序：</w:t>
      </w:r>
      <w:r/>
    </w:p>
    <w:p>
      <w:pPr>
        <w:ind w:left="0" w:right="0" w:firstLine="480"/>
        <w:jc w:val="both"/>
        <w:spacing w:before="0" w:after="0" w:line="479" w:lineRule="atLeast"/>
        <w:rPr>
          <w:rFonts w:ascii="Calibri" w:hAnsi="Calibri"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w:t>
      </w:r>
      <w:r>
        <w:rPr>
          <w:rFonts w:ascii="Times New Roman" w:hAnsi="Times New Roman" w:eastAsia="Times New Roman" w:cs="Times New Roman"/>
          <w:color w:val="auto"/>
          <w:sz w:val="24"/>
          <w:szCs w:val="22"/>
          <w:highlight w:val="none"/>
        </w:rPr>
        <w:t xml:space="preserve">1</w:t>
      </w:r>
      <w:r>
        <w:rPr>
          <w:rFonts w:ascii="宋体" w:hAnsi="宋体" w:eastAsia="宋体" w:cs="宋体"/>
          <w:color w:val="auto"/>
          <w:sz w:val="24"/>
          <w:szCs w:val="22"/>
          <w:highlight w:val="none"/>
        </w:rPr>
        <w:t xml:space="preserve">）投标报价低于采购项目预算</w:t>
      </w:r>
      <w:r>
        <w:rPr>
          <w:rFonts w:ascii="Times New Roman" w:hAnsi="Times New Roman" w:eastAsia="Times New Roman" w:cs="Times New Roman"/>
          <w:color w:val="auto"/>
          <w:sz w:val="24"/>
          <w:szCs w:val="22"/>
          <w:highlight w:val="none"/>
        </w:rPr>
        <w:t xml:space="preserve">50%</w:t>
      </w:r>
      <w:r>
        <w:rPr>
          <w:rFonts w:ascii="宋体" w:hAnsi="宋体" w:eastAsia="宋体" w:cs="宋体"/>
          <w:color w:val="auto"/>
          <w:sz w:val="24"/>
          <w:szCs w:val="22"/>
          <w:highlight w:val="none"/>
        </w:rPr>
        <w:t xml:space="preserve">的，即投标报价＜采购项目预算×</w:t>
      </w:r>
      <w:r>
        <w:rPr>
          <w:rFonts w:ascii="Times New Roman" w:hAnsi="Times New Roman" w:eastAsia="Times New Roman" w:cs="Times New Roman"/>
          <w:color w:val="auto"/>
          <w:sz w:val="24"/>
          <w:szCs w:val="22"/>
          <w:highlight w:val="none"/>
        </w:rPr>
        <w:t xml:space="preserve">50%</w:t>
      </w:r>
      <w:r>
        <w:rPr>
          <w:rFonts w:ascii="宋体" w:hAnsi="宋体" w:eastAsia="宋体" w:cs="宋体"/>
          <w:color w:val="auto"/>
          <w:sz w:val="24"/>
          <w:szCs w:val="22"/>
          <w:highlight w:val="none"/>
        </w:rPr>
        <w:t xml:space="preserve">；</w:t>
      </w:r>
      <w:r/>
    </w:p>
    <w:p>
      <w:pPr>
        <w:ind w:left="0" w:right="0" w:firstLine="480"/>
        <w:jc w:val="both"/>
        <w:spacing w:before="0" w:after="0" w:line="479" w:lineRule="atLeast"/>
        <w:rPr>
          <w:rFonts w:ascii="Calibri" w:hAnsi="Calibri"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w:t>
      </w:r>
      <w:r>
        <w:rPr>
          <w:rFonts w:ascii="Times New Roman" w:hAnsi="Times New Roman" w:eastAsia="Times New Roman" w:cs="Times New Roman"/>
          <w:color w:val="auto"/>
          <w:sz w:val="24"/>
          <w:szCs w:val="22"/>
          <w:highlight w:val="none"/>
        </w:rPr>
        <w:t xml:space="preserve">2</w:t>
      </w:r>
      <w:r>
        <w:rPr>
          <w:rFonts w:ascii="宋体" w:hAnsi="宋体" w:eastAsia="宋体" w:cs="宋体"/>
          <w:color w:val="auto"/>
          <w:sz w:val="24"/>
          <w:szCs w:val="22"/>
          <w:highlight w:val="none"/>
        </w:rPr>
        <w:t xml:space="preserve">）投标报价低于采购项目最高限价</w:t>
      </w:r>
      <w:r>
        <w:rPr>
          <w:rFonts w:ascii="Times New Roman" w:hAnsi="Times New Roman" w:eastAsia="Times New Roman" w:cs="Times New Roman"/>
          <w:color w:val="auto"/>
          <w:sz w:val="24"/>
          <w:szCs w:val="22"/>
          <w:highlight w:val="none"/>
        </w:rPr>
        <w:t xml:space="preserve">45%</w:t>
      </w:r>
      <w:r>
        <w:rPr>
          <w:rFonts w:ascii="宋体" w:hAnsi="宋体" w:eastAsia="宋体" w:cs="宋体"/>
          <w:color w:val="auto"/>
          <w:sz w:val="24"/>
          <w:szCs w:val="22"/>
          <w:highlight w:val="none"/>
        </w:rPr>
        <w:t xml:space="preserve">的，即投标报价＜采购项目最高限价×</w:t>
      </w:r>
      <w:r>
        <w:rPr>
          <w:rFonts w:ascii="Times New Roman" w:hAnsi="Times New Roman" w:eastAsia="Times New Roman" w:cs="Times New Roman"/>
          <w:color w:val="auto"/>
          <w:sz w:val="24"/>
          <w:szCs w:val="22"/>
          <w:highlight w:val="none"/>
        </w:rPr>
        <w:t xml:space="preserve">45%</w:t>
      </w:r>
      <w:r>
        <w:rPr>
          <w:rFonts w:ascii="宋体" w:hAnsi="宋体" w:eastAsia="宋体" w:cs="宋体"/>
          <w:color w:val="auto"/>
          <w:sz w:val="24"/>
          <w:szCs w:val="22"/>
          <w:highlight w:val="none"/>
        </w:rPr>
        <w:t xml:space="preserve">；</w:t>
      </w:r>
      <w:r/>
    </w:p>
    <w:p>
      <w:pPr>
        <w:ind w:left="0" w:right="0" w:firstLine="480"/>
        <w:jc w:val="both"/>
        <w:spacing w:before="0" w:after="0" w:line="479" w:lineRule="atLeast"/>
        <w:rPr>
          <w:rFonts w:hint="eastAsia" w:ascii="Times New Roman" w:hAnsi="Times New Roman" w:eastAsia="宋体" w:cs="Times New Roman"/>
          <w:bCs/>
          <w:color w:val="auto"/>
          <w:sz w:val="24"/>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w:t>
      </w:r>
      <w:r>
        <w:rPr>
          <w:rFonts w:ascii="Times New Roman" w:hAnsi="Times New Roman" w:eastAsia="Times New Roman" w:cs="Times New Roman"/>
          <w:color w:val="auto"/>
          <w:sz w:val="24"/>
          <w:szCs w:val="22"/>
          <w:highlight w:val="none"/>
        </w:rPr>
        <w:t xml:space="preserve">3</w:t>
      </w:r>
      <w:r>
        <w:rPr>
          <w:rFonts w:ascii="宋体" w:hAnsi="宋体" w:eastAsia="宋体" w:cs="宋体"/>
          <w:color w:val="auto"/>
          <w:sz w:val="24"/>
          <w:szCs w:val="22"/>
          <w:highlight w:val="none"/>
        </w:rPr>
        <w:t xml:space="preserve">）评标委员会认定的投标人报价过低（含明显低于其他通过符合性审查投标人的报价），有可能影响产品质量或者不能诚信履约的其他情形。</w:t>
      </w:r>
      <w:r/>
    </w:p>
    <w:p>
      <w:pPr>
        <w:ind w:firstLine="480"/>
        <w:spacing w:line="480" w:lineRule="exact"/>
        <w:tabs>
          <w:tab w:val="left" w:pos="900" w:leader="none"/>
        </w:tabs>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17.9.2启动异常低价响应审查后，磋商小组应当要求相关供应商在评审现场合理的时间内，提供项目具体成本测算等与报价合理性相关的书面说明材料及相关证明材料，对最后价格作出解释，由磋商小组结合同类产品在主要电商平台的价格、该行业当地薪资水平等情况，依据专业经验对供应商报价合理性进行判断。供应商不提供书面说明、证明材料，或者提供的书面说明、证明材料不能证明其最后报价合理性的，磋商小组应当将其作为无效响应处理。审查相关情况应当在评标报告中进行记录。</w:t>
      </w:r>
      <w:r/>
    </w:p>
    <w:p>
      <w:pPr>
        <w:ind w:firstLine="480"/>
        <w:spacing w:line="480" w:lineRule="exact"/>
        <w:tabs>
          <w:tab w:val="left" w:pos="90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1"/>
          <w:highlight w:val="none"/>
        </w:rPr>
        <w:t xml:space="preserve">17.</w:t>
      </w:r>
      <w:r>
        <w:rPr>
          <w:rFonts w:hint="eastAsia" w:ascii="Times New Roman" w:hAnsi="Times New Roman" w:eastAsia="宋体" w:cs="Times New Roman"/>
          <w:bCs/>
          <w:color w:val="auto"/>
          <w:sz w:val="24"/>
          <w:szCs w:val="21"/>
          <w:highlight w:val="none"/>
          <w:lang w:val="en-US" w:eastAsia="zh-CN"/>
        </w:rPr>
        <w:t xml:space="preserve">10</w:t>
      </w:r>
      <w:r>
        <w:rPr>
          <w:rFonts w:hint="eastAsia" w:ascii="Times New Roman" w:hAnsi="Times New Roman" w:eastAsia="宋体" w:cs="Times New Roman"/>
          <w:bCs/>
          <w:color w:val="auto"/>
          <w:sz w:val="24"/>
          <w:szCs w:val="21"/>
          <w:highlight w:val="none"/>
        </w:rPr>
        <w:t xml:space="preserve">推荐成交候选供应商</w:t>
      </w:r>
      <w:r/>
    </w:p>
    <w:p>
      <w:pPr>
        <w:ind w:firstLine="477"/>
        <w:spacing w:after="120" w:line="480" w:lineRule="exact"/>
        <w:tabs>
          <w:tab w:val="left" w:pos="900" w:leader="none"/>
        </w:tabs>
        <w:rPr>
          <w:rFonts w:ascii="Times New Roman" w:hAnsi="Times New Roman" w:eastAsia="宋体" w:cs="仿宋"/>
          <w:color w:val="auto"/>
          <w:sz w:val="24"/>
          <w:szCs w:val="22"/>
          <w:highlight w:val="none"/>
        </w:rPr>
      </w:pPr>
      <w:r/>
      <w:bookmarkStart w:id="65" w:name="OLE_LINK5"/>
      <w:r>
        <w:rPr>
          <w:rFonts w:hint="eastAsia" w:ascii="Times New Roman" w:hAnsi="Times New Roman" w:eastAsia="宋体" w:cs="仿宋"/>
          <w:color w:val="auto"/>
          <w:sz w:val="24"/>
          <w:szCs w:val="22"/>
          <w:highlight w:val="none"/>
        </w:rPr>
        <w:t xml:space="preserve">磋商小组根据综合评分情况，按照评审得分由高到低顺序推荐3名成交候选供应商，并编写评审报告</w:t>
      </w:r>
      <w:bookmarkEnd w:id="65"/>
      <w:r>
        <w:rPr>
          <w:rFonts w:hint="eastAsia" w:ascii="Times New Roman" w:hAnsi="Times New Roman" w:eastAsia="宋体" w:cs="仿宋"/>
          <w:color w:val="auto"/>
          <w:sz w:val="24"/>
          <w:szCs w:val="22"/>
          <w:highlight w:val="none"/>
        </w:rPr>
        <w:t xml:space="preserve">。符合本磋商文件17.8.</w:t>
      </w:r>
      <w:r>
        <w:rPr>
          <w:rFonts w:hint="eastAsia" w:ascii="Times New Roman" w:hAnsi="Times New Roman" w:eastAsia="宋体" w:cs="仿宋"/>
          <w:color w:val="auto"/>
          <w:sz w:val="24"/>
          <w:szCs w:val="22"/>
          <w:highlight w:val="none"/>
          <w:lang w:val="en-US" w:eastAsia="zh-CN"/>
        </w:rPr>
        <w:t xml:space="preserve">6</w:t>
      </w:r>
      <w:r>
        <w:rPr>
          <w:rFonts w:hint="eastAsia" w:ascii="Times New Roman" w:hAnsi="Times New Roman" w:eastAsia="宋体" w:cs="仿宋"/>
          <w:color w:val="auto"/>
          <w:sz w:val="24"/>
          <w:szCs w:val="22"/>
          <w:highlight w:val="none"/>
        </w:rPr>
        <w:t xml:space="preserve">情形的，可以推荐2名成交候选供应商。评审得分相同的，按照最后报价由低到高的顺序推荐。评审得分且最后报价相同的，按照技术指标优劣顺序推荐。</w:t>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六、无效响应、采购活动终止、</w:t>
      </w:r>
      <w:bookmarkEnd w:id="64"/>
      <w:r>
        <w:rPr>
          <w:rFonts w:hint="eastAsia" w:ascii="黑体" w:hAnsi="黑体" w:eastAsia="黑体" w:cs="黑体"/>
          <w:b w:val="0"/>
          <w:bCs w:val="0"/>
          <w:color w:val="auto"/>
          <w:sz w:val="32"/>
          <w:szCs w:val="22"/>
          <w:highlight w:val="none"/>
          <w:lang w:val="en-US" w:eastAsia="zh-CN" w:bidi="ar-SA"/>
        </w:rPr>
        <w:t xml:space="preserve">恶意串通及取消成交候选资格情形</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18、无效响应情形</w:t>
      </w:r>
      <w:r/>
    </w:p>
    <w:p>
      <w:pPr>
        <w:ind w:firstLine="482"/>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18.1供应商同一采购包提交两个以上（含两个）不同的响应文件或者最后报价的。</w:t>
      </w:r>
      <w:r/>
    </w:p>
    <w:p>
      <w:pPr>
        <w:ind w:firstLine="482"/>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18.2供应商不符合磋商文件规定资格要求的或响应文件未按规定提交资质证件的。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18.3供应商的报价超过了采购预算或最高限价的。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18.4响应文件未通过符合性审查的。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18.6响应文件未按照磋商文件要求加盖CA电子公章的。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18.8响应文件含有采购人不能接受的附加条件的。</w:t>
      </w:r>
      <w:r/>
    </w:p>
    <w:p>
      <w:pPr>
        <w:ind w:firstLine="482"/>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18.9供应商有本磋商文件规定的恶意串通情形的。</w:t>
      </w:r>
      <w:r/>
    </w:p>
    <w:p>
      <w:pPr>
        <w:ind w:firstLine="482"/>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18.10法律、法规规定的其它情况。</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19、采购活动终止情形</w:t>
      </w:r>
      <w:r/>
    </w:p>
    <w:p>
      <w:pPr>
        <w:ind w:firstLine="482"/>
        <w:spacing w:line="480" w:lineRule="exact"/>
        <w:rPr>
          <w:rFonts w:ascii="Times New Roman" w:hAnsi="Times New Roman" w:eastAsia="宋体" w:cs="仿宋"/>
          <w:bCs/>
          <w:color w:val="auto"/>
          <w:sz w:val="24"/>
          <w:szCs w:val="22"/>
          <w:highlight w:val="none"/>
        </w:rPr>
      </w:pPr>
      <w:r>
        <w:rPr>
          <w:rFonts w:hint="eastAsia" w:ascii="Times New Roman" w:hAnsi="Times New Roman" w:eastAsia="宋体" w:cs="仿宋"/>
          <w:bCs/>
          <w:color w:val="auto"/>
          <w:sz w:val="24"/>
          <w:szCs w:val="22"/>
          <w:highlight w:val="none"/>
        </w:rPr>
        <w:t xml:space="preserve">19.1因情况变化，不再符合规定的竞争性磋商采购方式适用情形的；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19.3出现影响采购公正的违法、违规行为的。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19.4因重大变故，采购任务取消的。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19.5磋商小组认定磋商文件存在歧义、重大缺陷导致评审工作无法进行。</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19.6在苏采云系统规定时间内成功解密电子响应文件的供应商不足3家的。</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20、恶意串通情形</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20.2供应商接受采购人或采购代理机构授意撤换、修改响应文件；</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20.3供应商之间协商报价、技术方案等响应文件实质性内容；</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20.5供应商之间事先约定由某一特定供应商成交；</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20.6供应商之间商定部分供应商放弃参加政府采购活动或者放弃成交；</w:t>
      </w:r>
      <w:r/>
    </w:p>
    <w:p>
      <w:pPr>
        <w:ind w:firstLine="482"/>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21、</w:t>
      </w:r>
      <w:bookmarkStart w:id="66" w:name="OLE_LINK2"/>
      <w:r>
        <w:rPr>
          <w:rFonts w:hint="eastAsia" w:ascii="Times New Roman" w:hAnsi="Times New Roman" w:eastAsia="宋体" w:cs="仿宋"/>
          <w:b/>
          <w:color w:val="auto"/>
          <w:sz w:val="24"/>
          <w:szCs w:val="22"/>
          <w:highlight w:val="none"/>
        </w:rPr>
        <w:t xml:space="preserve">取消成交（候选）供应商资格</w:t>
      </w:r>
      <w:bookmarkEnd w:id="66"/>
      <w:r>
        <w:rPr>
          <w:rFonts w:hint="eastAsia" w:ascii="Times New Roman" w:hAnsi="Times New Roman" w:eastAsia="宋体" w:cs="仿宋"/>
          <w:b/>
          <w:color w:val="auto"/>
          <w:sz w:val="24"/>
          <w:szCs w:val="22"/>
          <w:highlight w:val="none"/>
        </w:rPr>
        <w:t xml:space="preserve">条款</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21.1提供虚假材料谋取成交的；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21.2采取不正当手段诋毁、排挤其他供应商的；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21.3与采购人、其他供应商或者采购代理机构恶意串通的；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21.4向采购人、采购代理机构行贿或者提供其他不正当利益的；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21.5未在规定时间内与采购人签订采购合同的；</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21.6法律、法规规定的其它情况。</w:t>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67" w:name="_Toc141869968"/>
      <w:r>
        <w:rPr>
          <w:rFonts w:hint="eastAsia" w:ascii="黑体" w:hAnsi="黑体" w:eastAsia="黑体" w:cs="黑体"/>
          <w:b w:val="0"/>
          <w:bCs w:val="0"/>
          <w:color w:val="auto"/>
          <w:sz w:val="32"/>
          <w:szCs w:val="22"/>
          <w:highlight w:val="none"/>
          <w:lang w:val="en-US" w:eastAsia="zh-CN" w:bidi="ar-SA"/>
        </w:rPr>
        <w:t xml:space="preserve">七、成交及合同签订</w:t>
      </w:r>
      <w:bookmarkEnd w:id="67"/>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22、确定成交供应商</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22.3采购人确定正被列为失信被执行人的供应商为成交人的，成交结果无效。</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23、成交通知书</w:t>
      </w:r>
      <w:r/>
    </w:p>
    <w:p>
      <w:pPr>
        <w:ind w:firstLine="482"/>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23.2</w:t>
      </w:r>
      <w:r>
        <w:rPr>
          <w:rFonts w:hint="eastAsia" w:ascii="宋体" w:hAnsi="宋体" w:eastAsia="宋体" w:cs="Times New Roman"/>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24、签订和公告合同</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24.1采购人与成交供应商应当在成交通知书发出之日起15日内</w:t>
      </w:r>
      <w:r>
        <w:rPr>
          <w:rFonts w:hint="eastAsia" w:ascii="宋体" w:hAnsi="宋体" w:eastAsia="宋体" w:cs="Times New Roman"/>
          <w:color w:val="auto"/>
          <w:sz w:val="24"/>
          <w:szCs w:val="24"/>
          <w:highlight w:val="none"/>
        </w:rPr>
        <w:t xml:space="preserve">，按照磋商文件确定的事项与采购人签订政府采购合同。</w:t>
      </w:r>
      <w:r>
        <w:rPr>
          <w:rFonts w:hint="eastAsia" w:ascii="Times New Roman" w:hAnsi="Times New Roman" w:eastAsia="宋体" w:cs="仿宋"/>
          <w:color w:val="auto"/>
          <w:sz w:val="24"/>
          <w:szCs w:val="22"/>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24.3采购人在自合同签订之日起2个工作日内，将合同在指定的媒体上公告。</w:t>
      </w:r>
      <w:r/>
    </w:p>
    <w:p>
      <w:pPr>
        <w:ind w:firstLine="482"/>
        <w:spacing w:line="480" w:lineRule="exact"/>
        <w:rPr>
          <w:rFonts w:ascii="Times New Roman" w:hAnsi="Times New Roman" w:eastAsia="宋体" w:cs="仿宋"/>
          <w:b/>
          <w:color w:val="auto"/>
          <w:sz w:val="24"/>
          <w:szCs w:val="22"/>
          <w:highlight w:val="none"/>
        </w:rPr>
      </w:pPr>
      <w:r/>
      <w:bookmarkStart w:id="68" w:name="_Toc141869969"/>
      <w:r>
        <w:rPr>
          <w:rFonts w:hint="eastAsia" w:ascii="Times New Roman" w:hAnsi="Times New Roman" w:eastAsia="宋体" w:cs="仿宋"/>
          <w:b/>
          <w:color w:val="auto"/>
          <w:sz w:val="24"/>
          <w:szCs w:val="22"/>
          <w:highlight w:val="none"/>
        </w:rPr>
        <w:t xml:space="preserve">25、履约保证金</w:t>
      </w:r>
      <w:r/>
    </w:p>
    <w:p>
      <w:pPr>
        <w:ind w:firstLine="480"/>
        <w:spacing w:line="480" w:lineRule="exact"/>
        <w:rPr>
          <w:rFonts w:ascii="Times New Roman" w:hAnsi="Times New Roman" w:eastAsia="宋体" w:cs="仿宋"/>
          <w:color w:val="auto"/>
          <w:sz w:val="24"/>
          <w:szCs w:val="22"/>
          <w:highlight w:val="none"/>
          <w:lang w:val="zh-CN"/>
        </w:rPr>
      </w:pPr>
      <w:r>
        <w:rPr>
          <w:rFonts w:hint="eastAsia" w:ascii="Times New Roman" w:hAnsi="Times New Roman" w:eastAsia="宋体" w:cs="仿宋"/>
          <w:color w:val="auto"/>
          <w:sz w:val="24"/>
          <w:szCs w:val="22"/>
          <w:highlight w:val="none"/>
          <w:lang w:val="zh-CN"/>
        </w:rPr>
        <w:t xml:space="preserve">按照以下第</w:t>
      </w:r>
      <w:r>
        <w:rPr>
          <w:rFonts w:hint="eastAsia" w:ascii="Times New Roman" w:hAnsi="Times New Roman" w:eastAsia="宋体" w:cs="仿宋"/>
          <w:color w:val="auto"/>
          <w:sz w:val="24"/>
          <w:szCs w:val="22"/>
          <w:highlight w:val="none"/>
          <w:u w:val="single"/>
        </w:rPr>
        <w:t xml:space="preserve">（1）</w:t>
      </w:r>
      <w:r>
        <w:rPr>
          <w:rFonts w:hint="eastAsia" w:ascii="Times New Roman" w:hAnsi="Times New Roman" w:eastAsia="宋体" w:cs="仿宋"/>
          <w:color w:val="auto"/>
          <w:sz w:val="24"/>
          <w:szCs w:val="22"/>
          <w:highlight w:val="none"/>
          <w:lang w:val="zh-CN"/>
        </w:rPr>
        <w:t xml:space="preserve">方式确定履约保证</w:t>
      </w:r>
      <w:r>
        <w:rPr>
          <w:rFonts w:hint="eastAsia" w:ascii="Times New Roman" w:hAnsi="Times New Roman" w:eastAsia="宋体" w:cs="仿宋"/>
          <w:color w:val="auto"/>
          <w:sz w:val="24"/>
          <w:szCs w:val="22"/>
          <w:highlight w:val="none"/>
        </w:rPr>
        <w:t xml:space="preserve">金</w:t>
      </w:r>
      <w:r>
        <w:rPr>
          <w:rFonts w:hint="eastAsia" w:ascii="Times New Roman" w:hAnsi="Times New Roman" w:eastAsia="宋体" w:cs="仿宋"/>
          <w:color w:val="auto"/>
          <w:sz w:val="24"/>
          <w:szCs w:val="22"/>
          <w:highlight w:val="none"/>
          <w:lang w:val="zh-CN"/>
        </w:rPr>
        <w:t xml:space="preserve">收取方式。</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（1）本项目不收取履约保证金。</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（2）本项目收取履约保证金。</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25.1履约保证金提交形式</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25.2履约保证金提交金额</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按采购合同总价的</w:t>
      </w:r>
      <w:r>
        <w:rPr>
          <w:rFonts w:hint="eastAsia" w:ascii="Times New Roman" w:hAnsi="Times New Roman" w:eastAsia="宋体" w:cs="仿宋"/>
          <w:color w:val="auto"/>
          <w:sz w:val="24"/>
          <w:szCs w:val="22"/>
          <w:highlight w:val="none"/>
          <w:u w:val="single"/>
        </w:rPr>
        <w:t xml:space="preserve"> / </w:t>
      </w:r>
      <w:r>
        <w:rPr>
          <w:rFonts w:hint="eastAsia" w:ascii="Times New Roman" w:hAnsi="Times New Roman" w:eastAsia="宋体" w:cs="仿宋"/>
          <w:color w:val="auto"/>
          <w:sz w:val="24"/>
          <w:szCs w:val="22"/>
          <w:highlight w:val="none"/>
        </w:rPr>
        <w:t xml:space="preserve">%提交。</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eastAsia="宋体" w:cs="仿宋"/>
          <w:color w:val="auto"/>
          <w:sz w:val="24"/>
          <w:szCs w:val="22"/>
          <w:highlight w:val="none"/>
          <w:u w:val="single"/>
        </w:rPr>
        <w:t xml:space="preserve"> / </w:t>
      </w:r>
      <w:r>
        <w:rPr>
          <w:rFonts w:hint="eastAsia" w:ascii="Times New Roman" w:hAnsi="Times New Roman" w:eastAsia="宋体" w:cs="仿宋"/>
          <w:color w:val="auto"/>
          <w:sz w:val="24"/>
          <w:szCs w:val="22"/>
          <w:highlight w:val="none"/>
        </w:rPr>
        <w:t xml:space="preserve">% （</w:t>
      </w:r>
      <w:bookmarkStart w:id="69" w:name="_Hlk187763955"/>
      <w:r>
        <w:rPr>
          <w:rFonts w:hint="eastAsia" w:ascii="Times New Roman" w:hAnsi="Times New Roman" w:eastAsia="宋体" w:cs="仿宋"/>
          <w:color w:val="auto"/>
          <w:sz w:val="24"/>
          <w:szCs w:val="22"/>
          <w:highlight w:val="none"/>
        </w:rPr>
        <w:t xml:space="preserve">履约保证金原提交金额的6折</w:t>
      </w:r>
      <w:bookmarkEnd w:id="69"/>
      <w:r>
        <w:rPr>
          <w:rFonts w:hint="eastAsia" w:ascii="Times New Roman" w:hAnsi="Times New Roman" w:eastAsia="宋体" w:cs="仿宋"/>
          <w:color w:val="auto"/>
          <w:sz w:val="24"/>
          <w:szCs w:val="22"/>
          <w:highlight w:val="none"/>
        </w:rPr>
        <w:t xml:space="preserve">）提交。</w:t>
      </w:r>
      <w:bookmarkStart w:id="70" w:name="_Hlk187842952"/>
      <w:r>
        <w:rPr>
          <w:rFonts w:hint="eastAsia" w:ascii="Times New Roman" w:hAnsi="Times New Roman" w:eastAsia="宋体" w:cs="仿宋"/>
          <w:color w:val="auto"/>
          <w:sz w:val="24"/>
          <w:szCs w:val="22"/>
          <w:highlight w:val="none"/>
        </w:rPr>
        <w:t xml:space="preserve">办理流程、偿付等内容见江苏政府采购网“保险保函”模块。</w:t>
      </w:r>
      <w:bookmarkEnd w:id="70"/>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25.3履约保证金退还方式</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25.4履约保证金退还条件</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具有验收合格相关证明材料。</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25.5履约保证金退还时间</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采购人收到成交供应商退付申请后5个工作日内退还。</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25.6履约保证金不予退还情形</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25.7逾期退还履约保证金违约责任</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eastAsia="宋体" w:cs="仿宋"/>
          <w:b/>
          <w:bCs/>
          <w:color w:val="auto"/>
          <w:sz w:val="24"/>
          <w:szCs w:val="24"/>
          <w:highlight w:val="none"/>
        </w:rPr>
      </w:pPr>
      <w:r>
        <w:rPr>
          <w:rFonts w:hint="eastAsia" w:ascii="Times New Roman" w:hAnsi="Times New Roman" w:eastAsia="宋体" w:cs="仿宋"/>
          <w:b/>
          <w:color w:val="auto"/>
          <w:sz w:val="24"/>
          <w:szCs w:val="22"/>
          <w:highlight w:val="none"/>
        </w:rPr>
        <w:t xml:space="preserve">26、线上融资</w:t>
      </w:r>
      <w:r/>
    </w:p>
    <w:p>
      <w:pPr>
        <w:ind w:firstLine="480"/>
        <w:spacing w:line="480" w:lineRule="exact"/>
        <w:rPr>
          <w:rFonts w:ascii="Times New Roman" w:hAnsi="Times New Roman" w:eastAsia="宋体" w:cs="仿宋"/>
          <w:b/>
          <w:bCs/>
          <w:color w:val="auto"/>
          <w:sz w:val="24"/>
          <w:szCs w:val="24"/>
          <w:highlight w:val="none"/>
        </w:rPr>
      </w:pPr>
      <w:r>
        <w:rPr>
          <w:rFonts w:hint="eastAsia" w:ascii="宋体" w:hAnsi="宋体" w:eastAsia="宋体" w:cs="Times New Roman"/>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b/>
          <w:color w:val="auto"/>
          <w:sz w:val="24"/>
          <w:szCs w:val="22"/>
          <w:highlight w:val="none"/>
        </w:rPr>
        <w:t xml:space="preserve">27、合同履行</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27.1政府采购合同订立后，合同各方不得擅自变更、中止或者终止合同。</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71" w:name="_Toc141869970"/>
      <w:r>
        <w:rPr>
          <w:rFonts w:hint="eastAsia" w:ascii="黑体" w:hAnsi="黑体" w:eastAsia="黑体" w:cs="黑体"/>
          <w:b w:val="0"/>
          <w:bCs w:val="0"/>
          <w:color w:val="auto"/>
          <w:sz w:val="32"/>
          <w:szCs w:val="22"/>
          <w:highlight w:val="none"/>
          <w:lang w:val="en-US" w:eastAsia="zh-CN" w:bidi="ar-SA"/>
        </w:rPr>
        <w:t xml:space="preserve">八、质疑与投诉</w:t>
      </w:r>
      <w:bookmarkEnd w:id="71"/>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28、质疑</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28.1供应商认为采购文件、采购过程和中标结果使自己的权益受到损害的，可以在知道或者应知其权益受到损害之日起七个工作日内，</w:t>
      </w:r>
      <w:r>
        <w:rPr>
          <w:rFonts w:hint="eastAsia" w:ascii="Times New Roman" w:hAnsi="Times New Roman" w:eastAsia="宋体" w:cs="仿宋"/>
          <w:b/>
          <w:bCs/>
          <w:color w:val="auto"/>
          <w:sz w:val="24"/>
          <w:szCs w:val="22"/>
          <w:highlight w:val="none"/>
        </w:rPr>
        <w:t xml:space="preserve">通过 CA 数字证书登录“苏采云”系统，从“项目质疑申请”模块向采购人提出质疑。</w:t>
      </w:r>
      <w:r>
        <w:rPr>
          <w:rFonts w:hint="eastAsia" w:ascii="Times New Roman" w:hAnsi="Times New Roman" w:eastAsia="宋体" w:cs="仿宋"/>
          <w:color w:val="auto"/>
          <w:sz w:val="24"/>
          <w:szCs w:val="22"/>
          <w:highlight w:val="none"/>
        </w:rPr>
        <w:t xml:space="preserve">质疑联系部门、联系电话、通讯地址详见采购公告。</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28.2供应商应知其权益受到损害之日，是指：</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（2）对本项目采购过程提出质疑的，为各采购程序环节结束之日；</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（3）对本项目中标或者成交结果提出质疑的，为中标或者成交结果公告期限届满之日。</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28.4供应商提出质疑应当提交质疑函和必要的证明材料。质疑函的必备内容：</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（1）供应商的姓名或者名称、地址、邮编、联系人及联系电话；</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（2）质疑项目的名称、编号；</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（3）获取采购文件的时间；</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（4）具体、明确的质疑事项和质疑事项相关的请求；</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（5）事实依据；</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（6）必要的法律依据；</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（7）提出质疑的日期；</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29、投诉</w:t>
      </w:r>
      <w:r/>
    </w:p>
    <w:p>
      <w:pPr>
        <w:ind w:firstLine="482"/>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br w:type="page" w:clear="all"/>
      </w:r>
      <w:r/>
    </w:p>
    <w:p>
      <w:pPr>
        <w:jc w:val="center"/>
        <w:keepLines/>
        <w:keepNext/>
        <w:spacing w:before="200" w:after="200"/>
        <w:widowControl w:val="off"/>
        <w:rPr>
          <w:rFonts w:ascii="Times New Roman" w:hAnsi="Times New Roman" w:eastAsia="黑体" w:cs="Arial"/>
          <w:color w:val="auto"/>
          <w:sz w:val="44"/>
          <w:szCs w:val="40"/>
          <w:highlight w:val="none"/>
          <w:lang w:val="en-US" w:eastAsia="zh-CN" w:bidi="ar-SA"/>
        </w:rPr>
        <w:outlineLvl w:val="0"/>
      </w:pPr>
      <w:r/>
      <w:bookmarkStart w:id="72" w:name="_Toc14692"/>
      <w:r/>
      <w:bookmarkStart w:id="73" w:name="_Toc3418"/>
      <w:r/>
      <w:bookmarkStart w:id="74" w:name="_Toc141869971"/>
      <w:r/>
      <w:bookmarkStart w:id="75" w:name="_Toc21941"/>
      <w:r>
        <w:rPr>
          <w:rFonts w:hint="eastAsia" w:ascii="Times New Roman" w:hAnsi="Times New Roman" w:eastAsia="黑体" w:cs="Arial"/>
          <w:color w:val="auto"/>
          <w:sz w:val="44"/>
          <w:szCs w:val="40"/>
          <w:highlight w:val="none"/>
          <w:lang w:val="en-US" w:eastAsia="zh-CN" w:bidi="ar-SA"/>
        </w:rPr>
        <w:t xml:space="preserve">第三章  </w:t>
      </w:r>
      <w:bookmarkEnd w:id="72"/>
      <w:r/>
      <w:bookmarkEnd w:id="73"/>
      <w:r/>
      <w:bookmarkEnd w:id="74"/>
      <w:r>
        <w:rPr>
          <w:rFonts w:hint="eastAsia" w:ascii="Times New Roman" w:hAnsi="Times New Roman" w:eastAsia="黑体" w:cs="Arial"/>
          <w:color w:val="auto"/>
          <w:sz w:val="44"/>
          <w:szCs w:val="40"/>
          <w:highlight w:val="none"/>
          <w:lang w:val="en-US" w:eastAsia="zh-CN" w:bidi="ar-SA"/>
        </w:rPr>
        <w:t xml:space="preserve">评审方法与评审标准</w:t>
      </w:r>
      <w:bookmarkEnd w:id="75"/>
      <w:r/>
      <w:r/>
    </w:p>
    <w:p>
      <w:pPr>
        <w:ind w:firstLine="482"/>
        <w:jc w:val="left"/>
        <w:spacing w:line="480" w:lineRule="exact"/>
        <w:rPr>
          <w:rFonts w:ascii="Times New Roman" w:hAnsi="Times New Roman" w:eastAsia="宋体" w:cs="仿宋"/>
          <w:b/>
          <w:bCs/>
          <w:color w:val="auto"/>
          <w:sz w:val="24"/>
          <w:szCs w:val="22"/>
          <w:highlight w:val="none"/>
        </w:rPr>
      </w:pPr>
      <w:r>
        <w:rPr>
          <w:rFonts w:hint="eastAsia" w:ascii="Times New Roman" w:hAnsi="Times New Roman" w:eastAsia="宋体" w:cs="仿宋"/>
          <w:b/>
          <w:bCs/>
          <w:color w:val="auto"/>
          <w:sz w:val="24"/>
          <w:szCs w:val="22"/>
          <w:highlight w:val="none"/>
        </w:rPr>
        <w:t xml:space="preserve">一、资格审查</w:t>
      </w:r>
      <w:r/>
    </w:p>
    <w:p>
      <w:pPr>
        <w:ind w:firstLine="480"/>
        <w:jc w:val="left"/>
        <w:spacing w:line="480" w:lineRule="exact"/>
        <w:rPr>
          <w:rFonts w:ascii="Times New Roman" w:hAnsi="Times New Roman" w:eastAsia="宋体" w:cs="仿宋"/>
          <w:color w:val="auto"/>
          <w:sz w:val="24"/>
          <w:szCs w:val="22"/>
          <w:highlight w:val="none"/>
        </w:rPr>
      </w:pPr>
      <w:r>
        <w:rPr>
          <w:rFonts w:hint="eastAsia" w:ascii="Calibri" w:hAnsi="Calibri" w:eastAsia="宋体" w:cs="Times New Roman"/>
          <w:color w:val="auto"/>
          <w:sz w:val="24"/>
          <w:szCs w:val="28"/>
          <w:highlight w:val="none"/>
        </w:rPr>
        <w:t xml:space="preserve">资格审查人员按照下列指标对各供应商的资格进行审查，未通过审查的为无效标，不参与评审。</w:t>
      </w:r>
      <w:r/>
    </w:p>
    <w:tbl>
      <w:tblPr>
        <w:tblStyle w:val="68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bl>
    <w:p>
      <w:pPr>
        <w:ind w:firstLine="482"/>
        <w:jc w:val="left"/>
        <w:spacing w:line="480" w:lineRule="exact"/>
        <w:rPr>
          <w:rFonts w:ascii="Times New Roman" w:hAnsi="Times New Roman" w:eastAsia="宋体" w:cs="仿宋"/>
          <w:b/>
          <w:bCs/>
          <w:color w:val="auto"/>
          <w:sz w:val="24"/>
          <w:szCs w:val="22"/>
          <w:highlight w:val="none"/>
        </w:rPr>
      </w:pPr>
      <w:r>
        <w:rPr>
          <w:rFonts w:hint="eastAsia" w:ascii="Times New Roman" w:hAnsi="Times New Roman" w:eastAsia="宋体" w:cs="仿宋"/>
          <w:b/>
          <w:bCs/>
          <w:color w:val="auto"/>
          <w:sz w:val="24"/>
          <w:szCs w:val="22"/>
          <w:highlight w:val="none"/>
        </w:rPr>
        <w:t xml:space="preserve">二、符合性审查</w:t>
      </w:r>
      <w:r/>
    </w:p>
    <w:p>
      <w:pPr>
        <w:ind w:firstLine="480"/>
        <w:jc w:val="left"/>
        <w:spacing w:line="480" w:lineRule="exact"/>
        <w:rPr>
          <w:rFonts w:ascii="方正仿宋_GBK" w:hAnsi="Calibri" w:eastAsia="方正仿宋_GBK" w:cs="Times New Roman"/>
          <w:color w:val="auto"/>
          <w:sz w:val="24"/>
          <w:szCs w:val="22"/>
          <w:highlight w:val="none"/>
        </w:rPr>
      </w:pPr>
      <w:r>
        <w:rPr>
          <w:rFonts w:hint="eastAsia" w:ascii="Calibri" w:hAnsi="Calibri" w:eastAsia="宋体" w:cs="Times New Roman"/>
          <w:color w:val="auto"/>
          <w:sz w:val="24"/>
          <w:szCs w:val="28"/>
          <w:highlight w:val="none"/>
        </w:rPr>
        <w:t xml:space="preserve">磋商小组对符合资格的供应商的响应文件进行符合性审查，未通过审查的为无效标，不再参与评审。</w:t>
      </w:r>
      <w:r/>
    </w:p>
    <w:tbl>
      <w:tblPr>
        <w:tblStyle w:val="68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磋商报价表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default" w:ascii="Times New Roman" w:hAnsi="Times New Roman" w:eastAsia="宋体" w:cs="仿宋"/>
                <w:color w:val="auto"/>
                <w:szCs w:val="22"/>
                <w:highlight w:val="none"/>
                <w:lang w:val="en-US" w:eastAsia="zh-CN"/>
              </w:rPr>
            </w:pPr>
            <w:r>
              <w:rPr>
                <w:rFonts w:hint="eastAsia" w:ascii="Times New Roman" w:hAnsi="Times New Roman" w:eastAsia="宋体" w:cs="仿宋"/>
                <w:color w:val="auto"/>
                <w:szCs w:val="22"/>
                <w:highlight w:val="none"/>
                <w:lang w:val="en-US" w:eastAsia="zh-CN"/>
              </w:rPr>
              <w:t xml:space="preserve">承诺函</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bl>
    <w:p>
      <w:pPr>
        <w:ind w:firstLine="482"/>
        <w:jc w:val="left"/>
        <w:spacing w:line="480" w:lineRule="exact"/>
        <w:rPr>
          <w:rFonts w:ascii="Times New Roman" w:hAnsi="Times New Roman" w:eastAsia="宋体" w:cs="仿宋"/>
          <w:b/>
          <w:color w:val="auto"/>
          <w:sz w:val="24"/>
          <w:szCs w:val="22"/>
          <w:highlight w:val="none"/>
        </w:rPr>
      </w:pPr>
      <w:r>
        <w:rPr>
          <w:rFonts w:hint="eastAsia" w:ascii="Times New Roman" w:hAnsi="Times New Roman" w:eastAsia="宋体" w:cs="仿宋"/>
          <w:color w:val="auto"/>
          <w:sz w:val="24"/>
          <w:szCs w:val="22"/>
          <w:highlight w:val="none"/>
        </w:rPr>
        <w:t xml:space="preserve">三</w:t>
      </w:r>
      <w:r>
        <w:rPr>
          <w:rFonts w:ascii="Times New Roman" w:hAnsi="Times New Roman" w:eastAsia="宋体" w:cs="仿宋"/>
          <w:color w:val="auto"/>
          <w:sz w:val="24"/>
          <w:szCs w:val="22"/>
          <w:highlight w:val="none"/>
        </w:rPr>
        <w:t xml:space="preserve">、</w:t>
      </w:r>
      <w:r>
        <w:rPr>
          <w:rFonts w:hint="eastAsia" w:ascii="Times New Roman" w:hAnsi="Times New Roman" w:eastAsia="宋体" w:cs="仿宋"/>
          <w:b/>
          <w:color w:val="auto"/>
          <w:sz w:val="24"/>
          <w:szCs w:val="22"/>
          <w:highlight w:val="none"/>
        </w:rPr>
        <w:t xml:space="preserve">评审方法</w:t>
      </w:r>
      <w:r/>
    </w:p>
    <w:p>
      <w:pPr>
        <w:ind w:firstLine="482"/>
        <w:jc w:val="left"/>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综合评分保留至小数点后两位。</w:t>
      </w:r>
      <w:r/>
    </w:p>
    <w:p>
      <w:pPr>
        <w:ind w:firstLine="482"/>
        <w:jc w:val="left"/>
        <w:spacing w:line="480" w:lineRule="exact"/>
        <w:rPr>
          <w:rFonts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磋商小组根据综合评分情况，按照评审得分由高到低顺序推荐成交候选供应商，并编写评审报告。</w:t>
      </w:r>
      <w:r/>
    </w:p>
    <w:p>
      <w:pPr>
        <w:ind w:firstLine="482"/>
        <w:jc w:val="left"/>
        <w:spacing w:line="480" w:lineRule="exact"/>
        <w:rPr>
          <w:rFonts w:hint="default" w:ascii="Times New Roman" w:hAnsi="Times New Roman" w:eastAsia="宋体" w:cs="仿宋"/>
          <w:color w:val="auto"/>
          <w:sz w:val="24"/>
          <w:szCs w:val="22"/>
          <w:highlight w:val="none"/>
        </w:rPr>
      </w:pPr>
      <w:r/>
      <w:bookmarkStart w:id="76" w:name="EB1a5d8b2c3833482f95a1f101c76adb9d"/>
      <w:r>
        <w:rPr>
          <w:rFonts w:hint="eastAsia" w:ascii="Times New Roman" w:hAnsi="Times New Roman" w:eastAsia="宋体" w:cs="仿宋"/>
          <w:b/>
          <w:color w:val="auto"/>
          <w:sz w:val="24"/>
          <w:szCs w:val="22"/>
          <w:highlight w:val="none"/>
        </w:rPr>
        <w:t xml:space="preserve">四</w:t>
      </w:r>
      <w:r>
        <w:rPr>
          <w:rFonts w:ascii="Times New Roman" w:hAnsi="Times New Roman" w:eastAsia="宋体" w:cs="仿宋"/>
          <w:b/>
          <w:color w:val="auto"/>
          <w:sz w:val="24"/>
          <w:szCs w:val="22"/>
          <w:highlight w:val="none"/>
        </w:rPr>
        <w:t xml:space="preserve">、</w:t>
      </w:r>
      <w:bookmarkEnd w:id="76"/>
      <w:r>
        <w:rPr>
          <w:rFonts w:hint="eastAsia" w:ascii="Times New Roman" w:hAnsi="Times New Roman" w:eastAsia="宋体" w:cs="仿宋"/>
          <w:b/>
          <w:bCs/>
          <w:color w:val="auto"/>
          <w:sz w:val="24"/>
          <w:szCs w:val="22"/>
          <w:highlight w:val="none"/>
        </w:rPr>
        <w:t xml:space="preserve">评审标准</w:t>
      </w:r>
      <w:bookmarkStart w:id="77" w:name="EBd5bea3a3c3254523b93c8abaa514fb10"/>
      <w:r/>
      <w:bookmarkEnd w:id="77"/>
      <w:r/>
      <w:bookmarkStart w:id="78" w:name="_Toc10422"/>
      <w:r/>
      <w:r/>
    </w:p>
    <w:tbl>
      <w:tblPr>
        <w:tblStyle w:val="680"/>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310"/>
        <w:gridCol w:w="1206"/>
        <w:gridCol w:w="6040"/>
      </w:tblGrid>
      <w:tr>
        <w:trPr>
          <w:jc w:val="center"/>
          <w:trHeight w:val="306"/>
        </w:trPr>
        <w:tc>
          <w:tcPr>
            <w:tcW w:w="732"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序号</w:t>
            </w:r>
            <w:r/>
          </w:p>
        </w:tc>
        <w:tc>
          <w:tcPr>
            <w:tcW w:w="1310"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评审因素</w:t>
            </w:r>
            <w:r/>
          </w:p>
        </w:tc>
        <w:tc>
          <w:tcPr>
            <w:tcW w:w="1206"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分数</w:t>
            </w:r>
            <w:r/>
          </w:p>
        </w:tc>
        <w:tc>
          <w:tcPr>
            <w:tcW w:w="6040"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评分标准</w:t>
            </w:r>
            <w:r/>
          </w:p>
        </w:tc>
      </w:tr>
      <w:tr>
        <w:trPr>
          <w:jc w:val="center"/>
          <w:trHeight w:val="794"/>
        </w:trPr>
        <w:tc>
          <w:tcPr>
            <w:tcW w:w="732" w:type="dxa"/>
            <w:vAlign w:val="center"/>
            <w:textDirection w:val="lrTb"/>
            <w:noWrap w:val="false"/>
          </w:tcPr>
          <w:p>
            <w:pPr>
              <w:jc w:val="center"/>
              <w:rPr>
                <w:rFonts w:hint="eastAsia" w:ascii="Calibri" w:hAnsi="Calibri" w:eastAsia="宋体" w:cs="Times New Roman"/>
                <w:color w:val="auto"/>
                <w:sz w:val="22"/>
                <w:szCs w:val="24"/>
                <w:highlight w:val="none"/>
                <w:lang w:bidi="ar"/>
              </w:rPr>
            </w:pPr>
            <w:r>
              <w:rPr>
                <w:rFonts w:hint="eastAsia" w:ascii="Calibri" w:hAnsi="Calibri" w:eastAsia="宋体" w:cs="Times New Roman"/>
                <w:color w:val="auto"/>
                <w:sz w:val="22"/>
                <w:szCs w:val="24"/>
                <w:highlight w:val="none"/>
                <w:lang w:bidi="ar"/>
              </w:rPr>
              <w:t xml:space="preserve">1</w:t>
            </w:r>
            <w:r/>
          </w:p>
        </w:tc>
        <w:tc>
          <w:tcPr>
            <w:tcW w:w="131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磋商报价</w:t>
            </w:r>
            <w:r/>
          </w:p>
        </w:tc>
        <w:tc>
          <w:tcPr>
            <w:tcW w:w="1206" w:type="dxa"/>
            <w:vAlign w:val="center"/>
            <w:textDirection w:val="lrTb"/>
            <w:noWrap w:val="false"/>
          </w:tcPr>
          <w:p>
            <w:pPr>
              <w:rPr>
                <w:rFonts w:hint="default" w:ascii="宋体" w:hAnsi="宋体" w:eastAsia="宋体" w:cs="宋体"/>
                <w:color w:val="auto"/>
                <w:sz w:val="22"/>
                <w:szCs w:val="22"/>
                <w:highlight w:val="none"/>
                <w:lang w:val="en-US" w:eastAsia="zh-CN"/>
              </w:rPr>
            </w:pPr>
            <w:r>
              <w:rPr>
                <w:rFonts w:hint="eastAsia" w:ascii="Calibri" w:hAnsi="Calibri" w:eastAsia="宋体" w:cs="Times New Roman"/>
                <w:color w:val="auto"/>
                <w:sz w:val="22"/>
                <w:szCs w:val="24"/>
                <w:highlight w:val="none"/>
                <w:lang w:val="en-US" w:eastAsia="zh-CN" w:bidi="ar"/>
              </w:rPr>
              <w:t xml:space="preserve">10</w:t>
            </w:r>
            <w:r>
              <w:rPr>
                <w:rFonts w:hint="default" w:ascii="Calibri" w:hAnsi="Calibri" w:eastAsia="宋体" w:cs="Times New Roman"/>
                <w:color w:val="auto"/>
                <w:sz w:val="22"/>
                <w:szCs w:val="24"/>
                <w:highlight w:val="none"/>
                <w:lang w:val="en-US" w:eastAsia="zh-CN" w:bidi="ar"/>
              </w:rPr>
              <w:t xml:space="preserve">.00</w:t>
            </w:r>
            <w:r>
              <w:rPr>
                <w:rFonts w:hint="eastAsia" w:ascii="Calibri" w:hAnsi="Calibri" w:eastAsia="宋体" w:cs="Times New Roman"/>
                <w:color w:val="auto"/>
                <w:sz w:val="22"/>
                <w:szCs w:val="24"/>
                <w:highlight w:val="none"/>
                <w:lang w:val="en-US" w:eastAsia="zh-CN" w:bidi="ar"/>
              </w:rPr>
              <w:t xml:space="preserve">分</w:t>
            </w:r>
            <w:r/>
          </w:p>
        </w:tc>
        <w:tc>
          <w:tcPr>
            <w:tcW w:w="6040" w:type="dxa"/>
            <w:vAlign w:val="center"/>
            <w:textDirection w:val="lrTb"/>
            <w:noWrap w:val="false"/>
          </w:tcPr>
          <w:p>
            <w:pPr>
              <w:rPr>
                <w:rFonts w:hint="eastAsia" w:ascii="宋体" w:hAnsi="宋体" w:eastAsia="宋体" w:cs="宋体"/>
                <w:color w:val="auto"/>
                <w:sz w:val="22"/>
                <w:szCs w:val="22"/>
                <w:highlight w:val="none"/>
                <w:lang w:val="en-US" w:eastAsia="zh-CN"/>
              </w:rPr>
            </w:pPr>
            <w:r/>
            <w:bookmarkStart w:id="79" w:name="OLE_LINK63"/>
            <w:r>
              <w:rPr>
                <w:rFonts w:hint="eastAsia" w:ascii="宋体" w:hAnsi="宋体" w:eastAsia="宋体" w:cs="宋体"/>
                <w:color w:val="auto"/>
                <w:sz w:val="22"/>
                <w:szCs w:val="22"/>
                <w:highlight w:val="none"/>
                <w:lang w:val="en-US" w:eastAsia="zh-CN"/>
              </w:rPr>
              <w:t xml:space="preserve">采用低价优先法计算，即满足磋商文件要求且最后报价最低的供应商的价格为磋商基准价，其价格分为满分。其他供应商磋商报价得分=（磋商基准价/最后磋商报价）×10。</w:t>
            </w:r>
            <w:bookmarkEnd w:id="79"/>
            <w:r>
              <w:rPr>
                <w:rFonts w:hint="eastAsia" w:ascii="宋体" w:hAnsi="宋体" w:eastAsia="宋体" w:cs="宋体"/>
                <w:color w:val="auto"/>
                <w:sz w:val="22"/>
                <w:szCs w:val="22"/>
                <w:highlight w:val="none"/>
                <w:lang w:val="en-US" w:eastAsia="zh-CN"/>
              </w:rPr>
              <w:t xml:space="preserve">注：符合条件的小企业（含小型、微型企业）参与磋商，对小型和微型企业产品的价格给予15%的扣除，用扣除后的价格参与评审。</w:t>
            </w:r>
            <w:r/>
          </w:p>
        </w:tc>
      </w:tr>
      <w:tr>
        <w:trPr>
          <w:jc w:val="center"/>
          <w:trHeight w:val="3230"/>
        </w:trPr>
        <w:tc>
          <w:tcPr>
            <w:tcW w:w="732" w:type="dxa"/>
            <w:vAlign w:val="center"/>
            <w:textDirection w:val="lrTb"/>
            <w:noWrap w:val="false"/>
          </w:tcPr>
          <w:p>
            <w:pPr>
              <w:jc w:val="center"/>
              <w:rPr>
                <w:rFonts w:hint="eastAsia" w:ascii="Calibri" w:hAnsi="Calibri" w:eastAsia="宋体" w:cs="Times New Roman"/>
                <w:color w:val="auto"/>
                <w:sz w:val="22"/>
                <w:szCs w:val="24"/>
                <w:highlight w:val="none"/>
                <w:lang w:bidi="ar"/>
              </w:rPr>
            </w:pPr>
            <w:r>
              <w:rPr>
                <w:rFonts w:hint="eastAsia" w:ascii="Calibri" w:hAnsi="Calibri" w:eastAsia="宋体" w:cs="Times New Roman"/>
                <w:color w:val="auto"/>
                <w:sz w:val="22"/>
                <w:szCs w:val="24"/>
                <w:highlight w:val="none"/>
                <w:lang w:bidi="ar"/>
              </w:rPr>
              <w:t xml:space="preserve">2</w:t>
            </w:r>
            <w:r/>
          </w:p>
        </w:tc>
        <w:tc>
          <w:tcPr>
            <w:tcW w:w="1310" w:type="dxa"/>
            <w:vAlign w:val="center"/>
            <w:textDirection w:val="lrTb"/>
            <w:noWrap w:val="false"/>
          </w:tcPr>
          <w:p>
            <w:pPr>
              <w:jc w:val="center"/>
              <w:rPr>
                <w:rFonts w:hint="eastAsia" w:ascii="Calibri" w:hAnsi="Calibri" w:eastAsia="宋体" w:cs="Times New Roman"/>
                <w:color w:val="auto"/>
                <w:sz w:val="22"/>
                <w:szCs w:val="24"/>
                <w:highlight w:val="none"/>
                <w:lang w:bidi="ar"/>
              </w:rPr>
            </w:pPr>
            <w:r/>
            <w:bookmarkStart w:id="80" w:name="OLE_LINK68"/>
            <w:r>
              <w:rPr>
                <w:rFonts w:hint="eastAsia" w:ascii="Calibri" w:hAnsi="Calibri" w:eastAsia="宋体" w:cs="Times New Roman"/>
                <w:color w:val="auto"/>
                <w:sz w:val="22"/>
                <w:szCs w:val="24"/>
                <w:highlight w:val="none"/>
                <w:lang w:bidi="ar"/>
              </w:rPr>
              <w:t xml:space="preserve">技术参数响应</w:t>
            </w:r>
            <w:bookmarkEnd w:id="80"/>
            <w:r/>
            <w:r/>
          </w:p>
        </w:tc>
        <w:tc>
          <w:tcPr>
            <w:tcW w:w="1206" w:type="dxa"/>
            <w:vAlign w:val="center"/>
            <w:textDirection w:val="lrTb"/>
            <w:noWrap w:val="false"/>
          </w:tcPr>
          <w:p>
            <w:pPr>
              <w:jc w:val="center"/>
              <w:rPr>
                <w:rFonts w:hint="eastAsia" w:ascii="Calibri" w:hAnsi="Calibri" w:eastAsia="宋体" w:cs="Times New Roman"/>
                <w:color w:val="auto"/>
                <w:sz w:val="22"/>
                <w:szCs w:val="24"/>
                <w:highlight w:val="none"/>
                <w:lang w:bidi="ar"/>
              </w:rPr>
            </w:pPr>
            <w:r>
              <w:rPr>
                <w:rFonts w:hint="eastAsia" w:ascii="Calibri" w:hAnsi="Calibri" w:eastAsia="宋体" w:cs="Times New Roman"/>
                <w:color w:val="auto"/>
                <w:sz w:val="22"/>
                <w:szCs w:val="24"/>
                <w:highlight w:val="none"/>
                <w:lang w:val="en-US" w:eastAsia="zh-CN" w:bidi="ar"/>
              </w:rPr>
              <w:t xml:space="preserve">30</w:t>
            </w:r>
            <w:r>
              <w:rPr>
                <w:rFonts w:hint="default" w:ascii="Calibri" w:hAnsi="Calibri" w:eastAsia="宋体" w:cs="Times New Roman"/>
                <w:color w:val="auto"/>
                <w:sz w:val="22"/>
                <w:szCs w:val="24"/>
                <w:highlight w:val="none"/>
                <w:lang w:bidi="ar"/>
              </w:rPr>
              <w:t xml:space="preserve">.00分</w:t>
            </w:r>
            <w:r/>
          </w:p>
        </w:tc>
        <w:tc>
          <w:tcPr>
            <w:tcW w:w="6040" w:type="dxa"/>
            <w:vAlign w:val="center"/>
            <w:textDirection w:val="lrTb"/>
            <w:noWrap w:val="false"/>
          </w:tcPr>
          <w:p>
            <w:pPr>
              <w:rPr>
                <w:rFonts w:hint="default" w:ascii="宋体" w:hAnsi="宋体" w:eastAsia="宋体" w:cs="宋体"/>
                <w:color w:val="auto"/>
                <w:sz w:val="22"/>
                <w:szCs w:val="22"/>
                <w:highlight w:val="none"/>
                <w:lang w:val="en-US" w:eastAsia="zh-CN"/>
              </w:rPr>
            </w:pPr>
            <w:r/>
            <w:bookmarkStart w:id="81" w:name="OLE_LINK16"/>
            <w:r/>
            <w:bookmarkStart w:id="82" w:name="OLE_LINK84"/>
            <w:r/>
            <w:bookmarkStart w:id="83" w:name="OLE_LINK17"/>
            <w:r>
              <w:rPr>
                <w:rFonts w:hint="eastAsia" w:ascii="宋体" w:hAnsi="宋体" w:eastAsia="宋体" w:cs="宋体"/>
                <w:color w:val="auto"/>
                <w:sz w:val="22"/>
                <w:szCs w:val="22"/>
                <w:highlight w:val="none"/>
                <w:lang w:val="en-US" w:eastAsia="zh-CN"/>
              </w:rPr>
              <w:t xml:space="preserve">针对磋商文件“第四章 采购需求”中的“三、建设内容-（三）技术参数要求”所列内容进行评分，</w:t>
            </w:r>
            <w:bookmarkEnd w:id="81"/>
            <w:r/>
            <w:bookmarkEnd w:id="82"/>
            <w:r/>
            <w:bookmarkEnd w:id="83"/>
            <w:r>
              <w:rPr>
                <w:rFonts w:hint="eastAsia" w:ascii="宋体" w:hAnsi="宋体" w:eastAsia="宋体" w:cs="宋体"/>
                <w:color w:val="auto"/>
                <w:sz w:val="22"/>
                <w:szCs w:val="22"/>
                <w:highlight w:val="none"/>
                <w:lang w:val="en-US" w:eastAsia="zh-CN"/>
              </w:rPr>
              <w:t xml:space="preserve">所投产品技术参数完全满足或优于采购文件技术参数要求的得30分。“▲”为重点参数要求，共10项，每有一项（一个句号的完整内容为一“项”）不满足的扣1分；其余为一般参数要求，共40项，每有一项（一个句号的完整内容为一“项”）负偏离扣0.5分，扣完为止。</w:t>
            </w:r>
            <w:r/>
          </w:p>
          <w:p>
            <w:pPr>
              <w:rPr>
                <w:rFonts w:hint="eastAsia" w:ascii="Calibri" w:hAnsi="Calibri" w:eastAsia="宋体" w:cs="Times New Roman"/>
                <w:b/>
                <w:bCs/>
                <w:color w:val="auto"/>
                <w:sz w:val="22"/>
                <w:szCs w:val="24"/>
                <w:highlight w:val="none"/>
                <w:lang w:bidi="ar"/>
              </w:rPr>
            </w:pPr>
            <w:r>
              <w:rPr>
                <w:rFonts w:hint="eastAsia" w:ascii="宋体" w:hAnsi="宋体" w:eastAsia="宋体" w:cs="宋体"/>
                <w:color w:val="auto"/>
                <w:sz w:val="22"/>
                <w:szCs w:val="22"/>
                <w:highlight w:val="none"/>
                <w:lang w:val="en-US" w:eastAsia="zh-CN"/>
              </w:rPr>
              <w:t xml:space="preserve">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jc w:val="center"/>
          <w:trHeight w:val="1094"/>
        </w:trPr>
        <w:tc>
          <w:tcPr>
            <w:tcW w:w="732" w:type="dxa"/>
            <w:vAlign w:val="center"/>
            <w:textDirection w:val="lrTb"/>
            <w:noWrap w:val="false"/>
          </w:tcPr>
          <w:p>
            <w:pPr>
              <w:jc w:val="center"/>
              <w:rPr>
                <w:rFonts w:hint="default" w:ascii="Calibri" w:hAnsi="Calibri" w:eastAsia="宋体" w:cs="Times New Roman"/>
                <w:color w:val="auto"/>
                <w:sz w:val="22"/>
                <w:szCs w:val="24"/>
                <w:highlight w:val="none"/>
                <w:lang w:val="en-US" w:eastAsia="zh-CN" w:bidi="ar"/>
              </w:rPr>
            </w:pPr>
            <w:r>
              <w:rPr>
                <w:rFonts w:hint="eastAsia" w:ascii="Calibri" w:hAnsi="Calibri" w:eastAsia="宋体" w:cs="Times New Roman"/>
                <w:color w:val="auto"/>
                <w:sz w:val="22"/>
                <w:szCs w:val="24"/>
                <w:highlight w:val="none"/>
                <w:lang w:val="en-US" w:eastAsia="zh-CN" w:bidi="ar"/>
              </w:rPr>
              <w:t xml:space="preserve">3</w:t>
            </w:r>
            <w:r/>
          </w:p>
        </w:tc>
        <w:tc>
          <w:tcPr>
            <w:shd w:val="clear" w:color="auto" w:fill="auto"/>
            <w:tcW w:w="1310" w:type="dxa"/>
            <w:vAlign w:val="center"/>
            <w:textDirection w:val="lrTb"/>
            <w:noWrap w:val="false"/>
          </w:tcPr>
          <w:p>
            <w:pPr>
              <w:jc w:val="center"/>
              <w:rPr>
                <w:rFonts w:hint="eastAsia" w:ascii="Calibri" w:hAnsi="Calibri" w:eastAsia="宋体" w:cs="Times New Roman"/>
                <w:color w:val="auto"/>
                <w:sz w:val="22"/>
                <w:szCs w:val="24"/>
                <w:highlight w:val="none"/>
                <w:lang w:bidi="ar"/>
              </w:rPr>
            </w:pPr>
            <w:r>
              <w:rPr>
                <w:rFonts w:hint="eastAsia" w:ascii="宋体" w:hAnsi="宋体" w:cs="宋体"/>
                <w:color w:val="auto"/>
                <w:szCs w:val="21"/>
                <w:highlight w:val="none"/>
              </w:rPr>
              <w:t xml:space="preserve">软件著作权</w:t>
            </w:r>
            <w:r/>
          </w:p>
        </w:tc>
        <w:tc>
          <w:tcPr>
            <w:shd w:val="clear" w:color="auto" w:fill="auto"/>
            <w:tcW w:w="1206" w:type="dxa"/>
            <w:vAlign w:val="center"/>
            <w:textDirection w:val="lrTb"/>
            <w:noWrap w:val="false"/>
          </w:tcPr>
          <w:p>
            <w:pPr>
              <w:jc w:val="center"/>
              <w:rPr>
                <w:rFonts w:hint="default" w:ascii="Calibri" w:hAnsi="Calibri" w:eastAsia="宋体" w:cs="Times New Roman"/>
                <w:color w:val="auto"/>
                <w:sz w:val="22"/>
                <w:szCs w:val="24"/>
                <w:highlight w:val="none"/>
                <w:lang w:val="en-US" w:eastAsia="zh-CN" w:bidi="ar"/>
              </w:rPr>
            </w:pPr>
            <w:r>
              <w:rPr>
                <w:rFonts w:hint="eastAsia" w:ascii="Calibri" w:hAnsi="Calibri" w:eastAsia="宋体" w:cs="Times New Roman"/>
                <w:color w:val="auto"/>
                <w:sz w:val="22"/>
                <w:szCs w:val="24"/>
                <w:highlight w:val="none"/>
                <w:lang w:val="en-US" w:eastAsia="zh-CN" w:bidi="ar"/>
              </w:rPr>
              <w:t xml:space="preserve">2.00分</w:t>
            </w:r>
            <w:r/>
          </w:p>
        </w:tc>
        <w:tc>
          <w:tcPr>
            <w:shd w:val="clear" w:color="auto" w:fill="auto"/>
            <w:tcW w:w="6040" w:type="dxa"/>
            <w:vAlign w:val="center"/>
            <w:textDirection w:val="lrTb"/>
            <w:noWrap w:val="false"/>
          </w:tcPr>
          <w:p>
            <w:pP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供应商具有数据采集、数据分析等相关功能的软件著作权的，每提供一项证书得1分，最高得2分。</w:t>
            </w:r>
            <w:r/>
          </w:p>
          <w:p>
            <w:pP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lang w:val="en-US" w:eastAsia="zh-CN"/>
              </w:rPr>
              <w:t xml:space="preserve">注：1、提供相关证明材料电子件，否则不得分；2、供应商提供的软件著作权如名称不一致，具有类似功能即可。</w:t>
            </w:r>
            <w:r/>
          </w:p>
        </w:tc>
      </w:tr>
      <w:tr>
        <w:trPr>
          <w:jc w:val="center"/>
          <w:trHeight w:val="1094"/>
        </w:trPr>
        <w:tc>
          <w:tcPr>
            <w:tcW w:w="732" w:type="dxa"/>
            <w:vAlign w:val="center"/>
            <w:textDirection w:val="lrTb"/>
            <w:noWrap w:val="false"/>
          </w:tcPr>
          <w:p>
            <w:pPr>
              <w:jc w:val="center"/>
              <w:rPr>
                <w:rFonts w:hint="eastAsia" w:ascii="Calibri" w:hAnsi="Calibri" w:eastAsia="宋体" w:cs="Times New Roman"/>
                <w:color w:val="auto"/>
                <w:sz w:val="22"/>
                <w:szCs w:val="24"/>
                <w:highlight w:val="none"/>
                <w:lang w:eastAsia="zh-CN" w:bidi="ar"/>
              </w:rPr>
            </w:pPr>
            <w:r>
              <w:rPr>
                <w:rFonts w:hint="eastAsia" w:ascii="Calibri" w:hAnsi="Calibri" w:eastAsia="宋体" w:cs="Times New Roman"/>
                <w:color w:val="auto"/>
                <w:sz w:val="22"/>
                <w:szCs w:val="24"/>
                <w:highlight w:val="none"/>
                <w:lang w:val="en-US" w:eastAsia="zh-CN" w:bidi="ar"/>
              </w:rPr>
              <w:t xml:space="preserve">4</w:t>
            </w:r>
            <w:r/>
          </w:p>
        </w:tc>
        <w:tc>
          <w:tcPr>
            <w:shd w:val="clear" w:color="auto" w:fill="auto"/>
            <w:tcW w:w="1310" w:type="dxa"/>
            <w:vAlign w:val="center"/>
            <w:textDirection w:val="lrTb"/>
            <w:noWrap w:val="false"/>
          </w:tcPr>
          <w:p>
            <w:pPr>
              <w:jc w:val="center"/>
              <w:rPr>
                <w:rFonts w:hint="eastAsia" w:ascii="Calibri" w:hAnsi="Calibri" w:eastAsia="宋体" w:cs="Times New Roman"/>
                <w:b w:val="0"/>
                <w:bCs w:val="0"/>
                <w:color w:val="auto"/>
                <w:sz w:val="22"/>
                <w:szCs w:val="24"/>
                <w:highlight w:val="none"/>
                <w:lang w:bidi="ar"/>
              </w:rPr>
            </w:pPr>
            <w:r>
              <w:rPr>
                <w:rFonts w:hint="eastAsia" w:ascii="Calibri" w:hAnsi="Calibri" w:eastAsia="宋体" w:cs="Times New Roman"/>
                <w:b w:val="0"/>
                <w:bCs w:val="0"/>
                <w:color w:val="auto"/>
                <w:sz w:val="22"/>
                <w:szCs w:val="24"/>
                <w:highlight w:val="none"/>
                <w:lang w:bidi="ar"/>
              </w:rPr>
              <w:t xml:space="preserve">企业业绩</w:t>
            </w:r>
            <w:r/>
          </w:p>
        </w:tc>
        <w:tc>
          <w:tcPr>
            <w:shd w:val="clear" w:color="auto" w:fill="auto"/>
            <w:tcW w:w="1206" w:type="dxa"/>
            <w:vAlign w:val="center"/>
            <w:textDirection w:val="lrTb"/>
            <w:noWrap w:val="false"/>
          </w:tcPr>
          <w:p>
            <w:pPr>
              <w:jc w:val="center"/>
              <w:rPr>
                <w:rFonts w:hint="eastAsia" w:ascii="Calibri" w:hAnsi="Calibri" w:eastAsia="宋体" w:cs="Times New Roman"/>
                <w:b w:val="0"/>
                <w:bCs w:val="0"/>
                <w:color w:val="auto"/>
                <w:sz w:val="22"/>
                <w:szCs w:val="24"/>
                <w:highlight w:val="none"/>
                <w:lang w:bidi="ar"/>
              </w:rPr>
            </w:pPr>
            <w:r>
              <w:rPr>
                <w:rFonts w:hint="eastAsia" w:ascii="Calibri" w:hAnsi="Calibri" w:eastAsia="宋体" w:cs="Times New Roman"/>
                <w:b w:val="0"/>
                <w:bCs w:val="0"/>
                <w:color w:val="auto"/>
                <w:sz w:val="22"/>
                <w:szCs w:val="24"/>
                <w:highlight w:val="none"/>
                <w:lang w:val="en-US" w:eastAsia="zh-CN" w:bidi="ar"/>
              </w:rPr>
              <w:t xml:space="preserve">9</w:t>
            </w:r>
            <w:r>
              <w:rPr>
                <w:rFonts w:hint="default" w:ascii="Calibri" w:hAnsi="Calibri" w:eastAsia="宋体" w:cs="Times New Roman"/>
                <w:b w:val="0"/>
                <w:bCs w:val="0"/>
                <w:color w:val="auto"/>
                <w:sz w:val="22"/>
                <w:szCs w:val="24"/>
                <w:highlight w:val="none"/>
                <w:lang w:bidi="ar"/>
              </w:rPr>
              <w:t xml:space="preserve">.00分</w:t>
            </w:r>
            <w:r/>
          </w:p>
        </w:tc>
        <w:tc>
          <w:tcPr>
            <w:shd w:val="clear" w:color="auto" w:fill="auto"/>
            <w:tcW w:w="6040" w:type="dxa"/>
            <w:vAlign w:val="center"/>
            <w:textDirection w:val="lrTb"/>
            <w:noWrap w:val="false"/>
          </w:tcPr>
          <w:p>
            <w:pP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供应商自2023年1月1日（以合同签订时间为准）以来，承担过类似项目业绩的，每有一个得3分，最高得9分。</w:t>
            </w:r>
            <w:r/>
          </w:p>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注：提供中标（成交）通知书与合同（主要内容、标的、数量清晰可见）、验收报告或业主单位</w:t>
            </w:r>
            <w:r/>
            <w:r>
              <w:rPr>
                <w:rFonts w:hint="eastAsia" w:ascii="宋体" w:hAnsi="宋体" w:eastAsia="宋体" w:cs="宋体"/>
                <w:color w:val="auto"/>
                <w:sz w:val="22"/>
                <w:szCs w:val="22"/>
                <w:highlight w:val="none"/>
                <w:lang w:val="en-US" w:eastAsia="zh-CN"/>
              </w:rPr>
            </w:r>
            <w:r/>
            <w:r>
              <w:rPr>
                <w:rFonts w:hint="eastAsia" w:ascii="宋体" w:hAnsi="宋体" w:eastAsia="宋体" w:cs="宋体"/>
                <w:color w:val="auto"/>
                <w:sz w:val="22"/>
                <w:szCs w:val="22"/>
                <w:highlight w:val="none"/>
                <w:lang w:val="en-US" w:eastAsia="zh-CN"/>
              </w:rPr>
            </w:r>
            <w:r>
              <w:rPr>
                <w:rFonts w:hint="eastAsia" w:ascii="宋体" w:hAnsi="宋体" w:eastAsia="宋体" w:cs="宋体"/>
                <w:color w:val="auto"/>
                <w:sz w:val="22"/>
                <w:szCs w:val="22"/>
                <w:highlight w:val="none"/>
                <w:lang w:val="en-US" w:eastAsia="zh-CN"/>
              </w:rPr>
              <w:t xml:space="preserve">出具的评价文件，未提供或提供不全不得分。</w:t>
            </w:r>
            <w:r/>
            <w:r>
              <w:rPr>
                <w:rFonts w:hint="eastAsia" w:ascii="宋体" w:hAnsi="宋体" w:eastAsia="宋体" w:cs="宋体"/>
                <w:color w:val="auto"/>
                <w:sz w:val="22"/>
                <w:szCs w:val="22"/>
                <w:highlight w:val="none"/>
                <w:lang w:val="en-US" w:eastAsia="zh-CN"/>
              </w:rPr>
            </w:r>
          </w:p>
        </w:tc>
      </w:tr>
      <w:tr>
        <w:trPr>
          <w:jc w:val="center"/>
          <w:trHeight w:val="1094"/>
        </w:trPr>
        <w:tc>
          <w:tcPr>
            <w:tcW w:w="732" w:type="dxa"/>
            <w:vAlign w:val="center"/>
            <w:textDirection w:val="lrTb"/>
            <w:noWrap w:val="false"/>
          </w:tcPr>
          <w:p>
            <w:pPr>
              <w:jc w:val="center"/>
              <w:rPr>
                <w:rFonts w:hint="default" w:ascii="Calibri" w:hAnsi="Calibri" w:eastAsia="宋体" w:cs="Times New Roman"/>
                <w:color w:val="auto"/>
                <w:sz w:val="22"/>
                <w:szCs w:val="24"/>
                <w:highlight w:val="none"/>
                <w:lang w:val="en-US" w:eastAsia="zh-CN" w:bidi="ar"/>
              </w:rPr>
            </w:pPr>
            <w:r>
              <w:rPr>
                <w:rFonts w:hint="eastAsia" w:ascii="Calibri" w:hAnsi="Calibri" w:eastAsia="宋体" w:cs="Times New Roman"/>
                <w:color w:val="auto"/>
                <w:sz w:val="22"/>
                <w:szCs w:val="24"/>
                <w:highlight w:val="none"/>
                <w:lang w:val="en-US" w:eastAsia="zh-CN" w:bidi="ar"/>
              </w:rPr>
              <w:t xml:space="preserve">5</w:t>
            </w:r>
            <w:r/>
          </w:p>
        </w:tc>
        <w:tc>
          <w:tcPr>
            <w:shd w:val="clear" w:color="auto" w:fill="auto"/>
            <w:tcW w:w="1310" w:type="dxa"/>
            <w:vAlign w:val="center"/>
            <w:textDirection w:val="lrTb"/>
            <w:noWrap w:val="false"/>
          </w:tcPr>
          <w:p>
            <w:pPr>
              <w:jc w:val="center"/>
              <w:rPr>
                <w:rFonts w:hint="default" w:ascii="Calibri" w:hAnsi="Calibri" w:eastAsia="宋体" w:cs="Times New Roman"/>
                <w:b w:val="0"/>
                <w:bCs w:val="0"/>
                <w:color w:val="auto"/>
                <w:sz w:val="22"/>
                <w:szCs w:val="24"/>
                <w:highlight w:val="none"/>
                <w:lang w:bidi="ar"/>
              </w:rPr>
            </w:pPr>
            <w:r>
              <w:rPr>
                <w:rFonts w:hint="eastAsia" w:ascii="Calibri" w:hAnsi="Calibri" w:eastAsia="宋体" w:cs="Times New Roman"/>
                <w:b w:val="0"/>
                <w:bCs w:val="0"/>
                <w:color w:val="auto"/>
                <w:sz w:val="22"/>
                <w:szCs w:val="24"/>
                <w:highlight w:val="none"/>
                <w:lang w:bidi="ar"/>
              </w:rPr>
              <w:t xml:space="preserve">相关</w:t>
            </w:r>
            <w:r/>
          </w:p>
          <w:p>
            <w:pPr>
              <w:jc w:val="center"/>
              <w:rPr>
                <w:rFonts w:hint="eastAsia" w:ascii="Calibri" w:hAnsi="Calibri" w:eastAsia="宋体" w:cs="Times New Roman"/>
                <w:b w:val="0"/>
                <w:bCs w:val="0"/>
                <w:color w:val="auto"/>
                <w:sz w:val="22"/>
                <w:szCs w:val="24"/>
                <w:highlight w:val="none"/>
                <w:lang w:bidi="ar"/>
              </w:rPr>
            </w:pPr>
            <w:r>
              <w:rPr>
                <w:rFonts w:hint="eastAsia" w:ascii="Calibri" w:hAnsi="Calibri" w:eastAsia="宋体" w:cs="Times New Roman"/>
                <w:b w:val="0"/>
                <w:bCs w:val="0"/>
                <w:color w:val="auto"/>
                <w:sz w:val="22"/>
                <w:szCs w:val="24"/>
                <w:highlight w:val="none"/>
                <w:lang w:bidi="ar"/>
              </w:rPr>
              <w:t xml:space="preserve">证书</w:t>
            </w:r>
            <w:r/>
          </w:p>
        </w:tc>
        <w:tc>
          <w:tcPr>
            <w:shd w:val="clear" w:color="auto" w:fill="auto"/>
            <w:tcW w:w="1206" w:type="dxa"/>
            <w:vAlign w:val="center"/>
            <w:textDirection w:val="lrTb"/>
            <w:noWrap w:val="false"/>
          </w:tcPr>
          <w:p>
            <w:pPr>
              <w:jc w:val="center"/>
              <w:rPr>
                <w:rFonts w:hint="eastAsia" w:ascii="Calibri" w:hAnsi="Calibri" w:eastAsia="宋体" w:cs="Times New Roman"/>
                <w:b w:val="0"/>
                <w:bCs w:val="0"/>
                <w:color w:val="auto"/>
                <w:sz w:val="22"/>
                <w:szCs w:val="24"/>
                <w:highlight w:val="none"/>
                <w:lang w:val="en-US" w:eastAsia="zh-CN" w:bidi="ar"/>
              </w:rPr>
            </w:pPr>
            <w:r>
              <w:rPr>
                <w:rFonts w:hint="eastAsia" w:ascii="Calibri" w:hAnsi="Calibri" w:eastAsia="宋体" w:cs="Times New Roman"/>
                <w:b w:val="0"/>
                <w:bCs w:val="0"/>
                <w:color w:val="auto"/>
                <w:sz w:val="22"/>
                <w:szCs w:val="24"/>
                <w:highlight w:val="none"/>
                <w:lang w:val="en-US" w:eastAsia="zh-CN" w:bidi="ar"/>
              </w:rPr>
              <w:t xml:space="preserve">3.00分</w:t>
            </w:r>
            <w:r/>
          </w:p>
        </w:tc>
        <w:tc>
          <w:tcPr>
            <w:shd w:val="clear" w:color="auto" w:fill="auto"/>
            <w:tcW w:w="604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供应商具有有效期内的质量管理体系认证证书、环境管理体系认证证书、职业健康安全管理体系认证证书，每有一项得1分，本项最高得3分。</w:t>
            </w:r>
            <w:r/>
          </w:p>
          <w:p>
            <w:pPr>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lang w:val="en-US" w:eastAsia="zh-CN"/>
              </w:rPr>
              <w:t xml:space="preserve">注：响应文件中提供上述相关证书电子件和在国家市场监督管理总局全国认证认可信息公共服务平台查询认证有效的页面截图，未提供的不得分。</w:t>
            </w:r>
            <w:r/>
          </w:p>
        </w:tc>
      </w:tr>
      <w:tr>
        <w:trPr>
          <w:jc w:val="center"/>
          <w:trHeight w:val="1661"/>
        </w:trPr>
        <w:tc>
          <w:tcPr>
            <w:tcW w:w="732" w:type="dxa"/>
            <w:vAlign w:val="center"/>
            <w:textDirection w:val="lrTb"/>
            <w:noWrap w:val="false"/>
          </w:tcPr>
          <w:p>
            <w:pPr>
              <w:jc w:val="center"/>
              <w:rPr>
                <w:rFonts w:hint="eastAsia" w:ascii="Calibri" w:hAnsi="Calibri" w:eastAsia="宋体" w:cs="Times New Roman"/>
                <w:color w:val="auto"/>
                <w:sz w:val="22"/>
                <w:szCs w:val="24"/>
                <w:highlight w:val="none"/>
                <w:lang w:eastAsia="zh-CN" w:bidi="ar"/>
              </w:rPr>
            </w:pPr>
            <w:r>
              <w:rPr>
                <w:rFonts w:hint="eastAsia" w:ascii="Calibri" w:hAnsi="Calibri" w:eastAsia="宋体" w:cs="Times New Roman"/>
                <w:color w:val="auto"/>
                <w:sz w:val="22"/>
                <w:szCs w:val="24"/>
                <w:highlight w:val="none"/>
                <w:lang w:val="en-US" w:eastAsia="zh-CN" w:bidi="ar"/>
              </w:rPr>
              <w:t xml:space="preserve">6</w:t>
            </w:r>
            <w:r/>
          </w:p>
        </w:tc>
        <w:tc>
          <w:tcPr>
            <w:shd w:val="clear" w:color="auto" w:fill="auto"/>
            <w:tcW w:w="1310" w:type="dxa"/>
            <w:vAlign w:val="center"/>
            <w:textDirection w:val="lrTb"/>
            <w:noWrap w:val="false"/>
          </w:tcPr>
          <w:p>
            <w:pPr>
              <w:jc w:val="center"/>
              <w:rPr>
                <w:rFonts w:hint="eastAsia" w:ascii="Calibri" w:hAnsi="Calibri" w:eastAsia="宋体" w:cs="Times New Roman"/>
                <w:color w:val="auto"/>
                <w:sz w:val="22"/>
                <w:szCs w:val="24"/>
                <w:highlight w:val="none"/>
                <w:lang w:bidi="ar"/>
              </w:rPr>
            </w:pPr>
            <w:r>
              <w:rPr>
                <w:rFonts w:hint="eastAsia" w:ascii="Calibri" w:hAnsi="Calibri" w:eastAsia="宋体" w:cs="Times New Roman"/>
                <w:color w:val="auto"/>
                <w:sz w:val="22"/>
                <w:szCs w:val="24"/>
                <w:highlight w:val="none"/>
              </w:rPr>
              <w:t xml:space="preserve">项目人员配备</w:t>
            </w:r>
            <w:r/>
          </w:p>
        </w:tc>
        <w:tc>
          <w:tcPr>
            <w:shd w:val="clear" w:color="auto" w:fill="auto"/>
            <w:tcW w:w="1206" w:type="dxa"/>
            <w:vAlign w:val="center"/>
            <w:textDirection w:val="lrTb"/>
            <w:noWrap w:val="false"/>
          </w:tcPr>
          <w:p>
            <w:pPr>
              <w:jc w:val="center"/>
              <w:rPr>
                <w:rFonts w:hint="eastAsia" w:ascii="Calibri" w:hAnsi="Calibri" w:eastAsia="宋体" w:cs="Times New Roman"/>
                <w:color w:val="auto"/>
                <w:sz w:val="22"/>
                <w:szCs w:val="24"/>
                <w:highlight w:val="none"/>
                <w:lang w:bidi="ar"/>
              </w:rPr>
            </w:pPr>
            <w:r>
              <w:rPr>
                <w:rFonts w:hint="eastAsia" w:ascii="Calibri" w:hAnsi="Calibri" w:eastAsia="宋体" w:cs="Times New Roman"/>
                <w:color w:val="auto"/>
                <w:sz w:val="22"/>
                <w:szCs w:val="24"/>
                <w:highlight w:val="none"/>
                <w:lang w:val="en-US" w:eastAsia="zh-CN" w:bidi="ar"/>
              </w:rPr>
              <w:t xml:space="preserve">16</w:t>
            </w:r>
            <w:r>
              <w:rPr>
                <w:rFonts w:hint="default" w:ascii="Calibri" w:hAnsi="Calibri" w:eastAsia="宋体" w:cs="Times New Roman"/>
                <w:color w:val="auto"/>
                <w:sz w:val="22"/>
                <w:szCs w:val="24"/>
                <w:highlight w:val="none"/>
                <w:lang w:bidi="ar"/>
              </w:rPr>
              <w:t xml:space="preserve">.00分</w:t>
            </w:r>
            <w:r/>
          </w:p>
        </w:tc>
        <w:tc>
          <w:tcPr>
            <w:shd w:val="clear" w:color="auto" w:fill="auto"/>
            <w:tcW w:w="604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1.供应商拟派的项目负责人有信息系统项目管理师证书、系统分析师证书的，每提供一个证书得2分，最高得4分。</w:t>
            </w:r>
            <w:r/>
          </w:p>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项目组其他人员（除项目负责人外）有系统架构设计师证书、系统规划与管理师证书、数字经济（人工智能）工程高级工程师及以上职称、软件设计师证书、系统集成项目管理工程师证书、信息安全工程师证书，每有一人提供证书得2分，最高得12分。</w:t>
            </w:r>
            <w:r/>
          </w:p>
          <w:p>
            <w:pPr>
              <w:rPr>
                <w:rFonts w:hint="eastAsia" w:ascii="Calibri" w:hAnsi="Calibri" w:eastAsia="宋体" w:cs="Times New Roman"/>
                <w:color w:val="auto"/>
                <w:sz w:val="22"/>
                <w:szCs w:val="24"/>
                <w:highlight w:val="none"/>
                <w:lang w:val="en-US" w:eastAsia="zh-CN" w:bidi="ar"/>
              </w:rPr>
            </w:pPr>
            <w:r>
              <w:rPr>
                <w:rFonts w:hint="eastAsia" w:ascii="宋体" w:hAnsi="宋体" w:eastAsia="宋体" w:cs="宋体"/>
                <w:color w:val="auto"/>
                <w:sz w:val="22"/>
                <w:szCs w:val="22"/>
                <w:highlight w:val="none"/>
                <w:lang w:val="en-US" w:eastAsia="zh-CN"/>
              </w:rPr>
              <w:t xml:space="preserve">注：1.以上人员须提供相关证书电子件和2025年10月（含）以来任意一个月供应商为其缴纳的社会保险证明电子件，证明以社保主管部门出具的为准，否则不得分；2.项目组其他成员（除项目负责人外）同一人具有多个证书或不同人具有同一证书的，不重复计分。</w:t>
            </w:r>
            <w:r/>
          </w:p>
        </w:tc>
      </w:tr>
      <w:tr>
        <w:trPr>
          <w:jc w:val="center"/>
          <w:trHeight w:val="860"/>
        </w:trPr>
        <w:tc>
          <w:tcPr>
            <w:tcW w:w="732" w:type="dxa"/>
            <w:vAlign w:val="center"/>
            <w:textDirection w:val="lrTb"/>
            <w:noWrap w:val="false"/>
          </w:tcPr>
          <w:p>
            <w:pPr>
              <w:jc w:val="center"/>
              <w:rPr>
                <w:rFonts w:hint="eastAsia" w:ascii="Calibri" w:hAnsi="Calibri" w:eastAsia="宋体" w:cs="Times New Roman"/>
                <w:color w:val="auto"/>
                <w:sz w:val="22"/>
                <w:szCs w:val="24"/>
                <w:highlight w:val="none"/>
                <w:lang w:eastAsia="zh-CN" w:bidi="ar"/>
              </w:rPr>
            </w:pPr>
            <w:r>
              <w:rPr>
                <w:rFonts w:hint="eastAsia" w:ascii="Calibri" w:hAnsi="Calibri" w:eastAsia="宋体" w:cs="Times New Roman"/>
                <w:color w:val="auto"/>
                <w:sz w:val="22"/>
                <w:szCs w:val="24"/>
                <w:highlight w:val="none"/>
                <w:lang w:val="en-US" w:eastAsia="zh-CN" w:bidi="ar"/>
              </w:rPr>
              <w:t xml:space="preserve">7</w:t>
            </w:r>
            <w:r/>
          </w:p>
        </w:tc>
        <w:tc>
          <w:tcPr>
            <w:shd w:val="clear" w:color="auto" w:fill="auto"/>
            <w:tcW w:w="1310" w:type="dxa"/>
            <w:vAlign w:val="center"/>
            <w:textDirection w:val="lrTb"/>
            <w:noWrap w:val="false"/>
          </w:tcPr>
          <w:p>
            <w:pPr>
              <w:jc w:val="center"/>
              <w:rPr>
                <w:rFonts w:hint="eastAsia" w:ascii="Calibri" w:hAnsi="Calibri" w:eastAsia="宋体" w:cs="Times New Roman"/>
                <w:color w:val="auto"/>
                <w:sz w:val="22"/>
                <w:szCs w:val="24"/>
                <w:highlight w:val="none"/>
                <w:lang w:bidi="ar"/>
              </w:rPr>
            </w:pPr>
            <w:r>
              <w:rPr>
                <w:rFonts w:hint="eastAsia" w:ascii="Calibri" w:hAnsi="Calibri" w:eastAsia="宋体" w:cs="Times New Roman"/>
                <w:color w:val="auto"/>
                <w:sz w:val="22"/>
                <w:szCs w:val="24"/>
                <w:highlight w:val="none"/>
                <w:lang w:bidi="ar"/>
              </w:rPr>
              <w:t xml:space="preserve">项目实施方案</w:t>
            </w:r>
            <w:r/>
          </w:p>
        </w:tc>
        <w:tc>
          <w:tcPr>
            <w:shd w:val="clear" w:color="auto" w:fill="auto"/>
            <w:tcW w:w="1206" w:type="dxa"/>
            <w:vAlign w:val="center"/>
            <w:textDirection w:val="lrTb"/>
            <w:noWrap w:val="false"/>
          </w:tcPr>
          <w:p>
            <w:pPr>
              <w:jc w:val="center"/>
              <w:rPr>
                <w:rFonts w:hint="eastAsia" w:ascii="Calibri" w:hAnsi="Calibri" w:eastAsia="宋体" w:cs="Times New Roman"/>
                <w:color w:val="auto"/>
                <w:sz w:val="22"/>
                <w:szCs w:val="24"/>
                <w:highlight w:val="none"/>
                <w:lang w:bidi="ar"/>
              </w:rPr>
            </w:pPr>
            <w:r>
              <w:rPr>
                <w:rFonts w:hint="eastAsia" w:ascii="Calibri" w:hAnsi="Calibri" w:eastAsia="宋体" w:cs="Times New Roman"/>
                <w:color w:val="auto"/>
                <w:sz w:val="22"/>
                <w:szCs w:val="24"/>
                <w:highlight w:val="none"/>
                <w:lang w:val="en-US" w:eastAsia="zh-CN" w:bidi="ar"/>
              </w:rPr>
              <w:t xml:space="preserve">5</w:t>
            </w:r>
            <w:r>
              <w:rPr>
                <w:rFonts w:hint="default" w:ascii="Calibri" w:hAnsi="Calibri" w:eastAsia="宋体" w:cs="Times New Roman"/>
                <w:color w:val="auto"/>
                <w:sz w:val="22"/>
                <w:szCs w:val="24"/>
                <w:highlight w:val="none"/>
                <w:lang w:bidi="ar"/>
              </w:rPr>
              <w:t xml:space="preserve">.00分</w:t>
            </w:r>
            <w:r/>
          </w:p>
        </w:tc>
        <w:tc>
          <w:tcPr>
            <w:shd w:val="clear" w:color="auto" w:fill="auto"/>
            <w:tcW w:w="6040" w:type="dxa"/>
            <w:vAlign w:val="center"/>
            <w:textDirection w:val="lrTb"/>
            <w:noWrap w:val="false"/>
          </w:tcPr>
          <w:p>
            <w:pPr>
              <w:numPr>
                <w:ilvl w:val="255"/>
                <w:numId w:val="0"/>
              </w:numPr>
              <w:ind w:left="0" w:firstLine="0"/>
              <w:rPr>
                <w:rFonts w:hint="eastAsia" w:ascii="Calibri" w:hAnsi="Calibri" w:eastAsia="宋体" w:cs="Times New Roman"/>
                <w:b/>
                <w:bCs/>
                <w:color w:val="auto"/>
                <w:sz w:val="22"/>
                <w:szCs w:val="24"/>
                <w:highlight w:val="none"/>
                <w:lang w:bidi="ar-SA"/>
              </w:rPr>
            </w:pPr>
            <w:r>
              <w:rPr>
                <w:rFonts w:hint="eastAsia" w:ascii="宋体" w:hAnsi="宋体" w:eastAsia="宋体" w:cs="宋体"/>
                <w:color w:val="auto"/>
                <w:sz w:val="22"/>
                <w:szCs w:val="22"/>
                <w:highlight w:val="none"/>
                <w:lang w:val="en-US" w:eastAsia="zh-CN"/>
              </w:rPr>
              <w:t xml:space="preserve">针对采购文件“第四章 采购需求-四、项目实施要求”提供项目实施方案。优于采购需求得5分；满足采购需求得3分；通过后期优化能满足采购需求的得1分；没有内容不得分。</w:t>
            </w:r>
            <w:r/>
          </w:p>
        </w:tc>
      </w:tr>
      <w:tr>
        <w:trPr>
          <w:jc w:val="center"/>
          <w:trHeight w:val="260"/>
        </w:trPr>
        <w:tc>
          <w:tcPr>
            <w:tcW w:w="732" w:type="dxa"/>
            <w:vAlign w:val="center"/>
            <w:textDirection w:val="lrTb"/>
            <w:noWrap w:val="false"/>
          </w:tcPr>
          <w:p>
            <w:pPr>
              <w:jc w:val="center"/>
              <w:rPr>
                <w:rFonts w:hint="eastAsia" w:ascii="Calibri" w:hAnsi="Calibri" w:eastAsia="宋体" w:cs="Times New Roman"/>
                <w:color w:val="auto"/>
                <w:sz w:val="22"/>
                <w:szCs w:val="24"/>
                <w:highlight w:val="none"/>
                <w:lang w:eastAsia="zh-CN" w:bidi="ar"/>
              </w:rPr>
            </w:pPr>
            <w:r>
              <w:rPr>
                <w:rFonts w:hint="eastAsia" w:ascii="Calibri" w:hAnsi="Calibri" w:eastAsia="宋体" w:cs="Times New Roman"/>
                <w:color w:val="auto"/>
                <w:sz w:val="22"/>
                <w:szCs w:val="24"/>
                <w:highlight w:val="none"/>
                <w:lang w:val="en-US" w:eastAsia="zh-CN" w:bidi="ar"/>
              </w:rPr>
              <w:t xml:space="preserve">8</w:t>
            </w:r>
            <w:r/>
          </w:p>
        </w:tc>
        <w:tc>
          <w:tcPr>
            <w:shd w:val="clear" w:color="auto" w:fill="auto"/>
            <w:tcW w:w="1310" w:type="dxa"/>
            <w:vAlign w:val="center"/>
            <w:textDirection w:val="lrTb"/>
            <w:noWrap w:val="false"/>
          </w:tcPr>
          <w:p>
            <w:pPr>
              <w:jc w:val="center"/>
              <w:rPr>
                <w:rFonts w:hint="eastAsia" w:ascii="Calibri" w:hAnsi="Calibri" w:eastAsia="宋体" w:cs="Times New Roman"/>
                <w:color w:val="auto"/>
                <w:sz w:val="22"/>
                <w:szCs w:val="24"/>
                <w:highlight w:val="none"/>
                <w:lang w:val="en-US" w:eastAsia="zh-CN" w:bidi="ar"/>
              </w:rPr>
            </w:pPr>
            <w:r>
              <w:rPr>
                <w:rFonts w:hint="eastAsia" w:ascii="Calibri" w:hAnsi="Calibri" w:eastAsia="宋体" w:cs="Times New Roman"/>
                <w:color w:val="auto"/>
                <w:sz w:val="22"/>
                <w:szCs w:val="24"/>
                <w:highlight w:val="none"/>
                <w:lang w:bidi="ar"/>
              </w:rPr>
              <w:t xml:space="preserve">风险预防及控制方案</w:t>
            </w:r>
            <w:r/>
          </w:p>
        </w:tc>
        <w:tc>
          <w:tcPr>
            <w:shd w:val="clear" w:color="auto" w:fill="auto"/>
            <w:tcW w:w="1206" w:type="dxa"/>
            <w:vAlign w:val="center"/>
            <w:textDirection w:val="lrTb"/>
            <w:noWrap w:val="false"/>
          </w:tcPr>
          <w:p>
            <w:pPr>
              <w:jc w:val="center"/>
              <w:rPr>
                <w:rFonts w:hint="eastAsia" w:ascii="Calibri" w:hAnsi="Calibri" w:eastAsia="宋体" w:cs="Times New Roman"/>
                <w:color w:val="auto"/>
                <w:sz w:val="22"/>
                <w:szCs w:val="24"/>
                <w:highlight w:val="none"/>
                <w:lang w:val="en-US" w:eastAsia="zh-CN" w:bidi="ar"/>
              </w:rPr>
            </w:pPr>
            <w:r>
              <w:rPr>
                <w:rFonts w:hint="eastAsia" w:ascii="Calibri" w:hAnsi="Calibri" w:eastAsia="宋体" w:cs="Times New Roman"/>
                <w:color w:val="auto"/>
                <w:sz w:val="22"/>
                <w:szCs w:val="24"/>
                <w:highlight w:val="none"/>
                <w:lang w:val="en-US" w:eastAsia="zh-CN" w:bidi="ar"/>
              </w:rPr>
              <w:t xml:space="preserve">5</w:t>
            </w:r>
            <w:r>
              <w:rPr>
                <w:rFonts w:hint="eastAsia" w:ascii="Calibri" w:hAnsi="Calibri" w:eastAsia="宋体" w:cs="Times New Roman"/>
                <w:color w:val="auto"/>
                <w:sz w:val="22"/>
                <w:szCs w:val="24"/>
                <w:highlight w:val="none"/>
                <w:lang w:bidi="ar"/>
              </w:rPr>
              <w:t xml:space="preserve">.00分</w:t>
            </w:r>
            <w:r/>
          </w:p>
        </w:tc>
        <w:tc>
          <w:tcPr>
            <w:shd w:val="clear" w:color="auto" w:fill="auto"/>
            <w:tcW w:w="6040" w:type="dxa"/>
            <w:vAlign w:val="center"/>
            <w:textDirection w:val="lrTb"/>
            <w:noWrap w:val="false"/>
          </w:tcPr>
          <w:p>
            <w:pPr>
              <w:numPr>
                <w:ilvl w:val="255"/>
                <w:numId w:val="0"/>
              </w:numPr>
              <w:ind w:left="0" w:firstLine="0"/>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针对采购文件“第四章 采购需求-五、风险预防及控制措施”提供项目风险预防及控制方案。优于采购需求得5分；满足采购需求得3分；通过后期优化能满足采购需求的得1分；没有内容不得分。</w:t>
            </w:r>
            <w:r/>
          </w:p>
        </w:tc>
      </w:tr>
      <w:tr>
        <w:trPr>
          <w:jc w:val="center"/>
          <w:trHeight w:val="781"/>
        </w:trPr>
        <w:tc>
          <w:tcPr>
            <w:tcW w:w="732" w:type="dxa"/>
            <w:vAlign w:val="center"/>
            <w:textDirection w:val="lrTb"/>
            <w:noWrap w:val="false"/>
          </w:tcPr>
          <w:p>
            <w:pPr>
              <w:jc w:val="center"/>
              <w:rPr>
                <w:rFonts w:hint="eastAsia" w:ascii="Calibri" w:hAnsi="Calibri" w:eastAsia="宋体" w:cs="Times New Roman"/>
                <w:color w:val="auto"/>
                <w:sz w:val="22"/>
                <w:szCs w:val="24"/>
                <w:highlight w:val="none"/>
                <w:lang w:eastAsia="zh-CN" w:bidi="ar"/>
              </w:rPr>
            </w:pPr>
            <w:r>
              <w:rPr>
                <w:rFonts w:hint="eastAsia" w:ascii="Calibri" w:hAnsi="Calibri" w:eastAsia="宋体" w:cs="Times New Roman"/>
                <w:color w:val="auto"/>
                <w:sz w:val="22"/>
                <w:szCs w:val="24"/>
                <w:highlight w:val="none"/>
                <w:lang w:val="en-US" w:eastAsia="zh-CN" w:bidi="ar"/>
              </w:rPr>
              <w:t xml:space="preserve">9</w:t>
            </w:r>
            <w:r/>
          </w:p>
        </w:tc>
        <w:tc>
          <w:tcPr>
            <w:shd w:val="clear" w:color="auto" w:fill="auto"/>
            <w:tcW w:w="1310" w:type="dxa"/>
            <w:vAlign w:val="center"/>
            <w:textDirection w:val="lrTb"/>
            <w:noWrap w:val="false"/>
          </w:tcPr>
          <w:p>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培训方案</w:t>
            </w:r>
            <w:r/>
          </w:p>
        </w:tc>
        <w:tc>
          <w:tcPr>
            <w:shd w:val="clear" w:color="auto" w:fill="auto"/>
            <w:tcW w:w="1206" w:type="dxa"/>
            <w:vAlign w:val="center"/>
            <w:textDirection w:val="lrTb"/>
            <w:noWrap w:val="false"/>
          </w:tcPr>
          <w:p>
            <w:pPr>
              <w:jc w:val="center"/>
              <w:rPr>
                <w:rFonts w:hint="eastAsia" w:ascii="Calibri" w:hAnsi="Calibri" w:eastAsia="宋体" w:cs="Times New Roman"/>
                <w:color w:val="auto"/>
                <w:sz w:val="22"/>
                <w:szCs w:val="24"/>
                <w:highlight w:val="none"/>
                <w:lang w:val="en-US" w:eastAsia="zh-CN" w:bidi="ar"/>
              </w:rPr>
            </w:pPr>
            <w:r>
              <w:rPr>
                <w:rFonts w:hint="eastAsia" w:ascii="Calibri" w:hAnsi="Calibri" w:eastAsia="宋体" w:cs="Times New Roman"/>
                <w:color w:val="auto"/>
                <w:sz w:val="22"/>
                <w:szCs w:val="24"/>
                <w:highlight w:val="none"/>
                <w:lang w:bidi="ar"/>
              </w:rPr>
              <w:t xml:space="preserve">5</w:t>
            </w:r>
            <w:r>
              <w:rPr>
                <w:rFonts w:hint="default" w:ascii="Calibri" w:hAnsi="Calibri" w:eastAsia="宋体" w:cs="Times New Roman"/>
                <w:color w:val="auto"/>
                <w:sz w:val="22"/>
                <w:szCs w:val="24"/>
                <w:highlight w:val="none"/>
                <w:lang w:bidi="ar"/>
              </w:rPr>
              <w:t xml:space="preserve">.00分</w:t>
            </w:r>
            <w:r/>
          </w:p>
        </w:tc>
        <w:tc>
          <w:tcPr>
            <w:shd w:val="clear" w:color="auto" w:fill="auto"/>
            <w:tcW w:w="6040" w:type="dxa"/>
            <w:vAlign w:val="center"/>
            <w:textDirection w:val="lrTb"/>
            <w:noWrap w:val="false"/>
          </w:tcPr>
          <w:p>
            <w:pPr>
              <w:contextualSpacing/>
              <w:ind w:left="0"/>
              <w:jc w:val="both"/>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针对采购文件“第四章 采购需求-六、培训要求”提供项目培训方案。优于采购需求得</w:t>
            </w:r>
            <w:r>
              <w:rPr>
                <w:rFonts w:hint="default"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分；满足采购需求得3分；通过后期优化能满足采购需求的得1分；没有内容不得分。</w:t>
            </w:r>
            <w:r/>
          </w:p>
        </w:tc>
      </w:tr>
      <w:tr>
        <w:trPr>
          <w:jc w:val="center"/>
          <w:trHeight w:val="924"/>
        </w:trPr>
        <w:tc>
          <w:tcPr>
            <w:tcW w:w="732" w:type="dxa"/>
            <w:vAlign w:val="center"/>
            <w:textDirection w:val="lrTb"/>
            <w:noWrap w:val="false"/>
          </w:tcPr>
          <w:p>
            <w:pPr>
              <w:jc w:val="center"/>
              <w:rPr>
                <w:rFonts w:hint="default" w:ascii="Calibri" w:hAnsi="Calibri" w:eastAsia="宋体" w:cs="Times New Roman"/>
                <w:color w:val="auto"/>
                <w:sz w:val="22"/>
                <w:szCs w:val="24"/>
                <w:highlight w:val="none"/>
                <w:lang w:val="en-US" w:eastAsia="zh-CN" w:bidi="ar"/>
              </w:rPr>
            </w:pPr>
            <w:r>
              <w:rPr>
                <w:rFonts w:hint="eastAsia" w:ascii="Calibri" w:hAnsi="Calibri" w:eastAsia="宋体" w:cs="Times New Roman"/>
                <w:color w:val="auto"/>
                <w:sz w:val="22"/>
                <w:szCs w:val="24"/>
                <w:highlight w:val="none"/>
                <w:lang w:val="en-US" w:eastAsia="zh-CN" w:bidi="ar"/>
              </w:rPr>
              <w:t xml:space="preserve">10</w:t>
            </w:r>
            <w:r/>
          </w:p>
        </w:tc>
        <w:tc>
          <w:tcPr>
            <w:shd w:val="clear" w:color="auto" w:fill="auto"/>
            <w:tcW w:w="1310" w:type="dxa"/>
            <w:vAlign w:val="center"/>
            <w:textDirection w:val="lrTb"/>
            <w:noWrap w:val="false"/>
          </w:tcPr>
          <w:p>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运维服务方案</w:t>
            </w:r>
            <w:r/>
          </w:p>
        </w:tc>
        <w:tc>
          <w:tcPr>
            <w:shd w:val="clear" w:color="auto" w:fill="auto"/>
            <w:tcW w:w="1206" w:type="dxa"/>
            <w:vAlign w:val="center"/>
            <w:textDirection w:val="lrTb"/>
            <w:noWrap w:val="false"/>
          </w:tcPr>
          <w:p>
            <w:pPr>
              <w:jc w:val="center"/>
              <w:rPr>
                <w:rFonts w:hint="eastAsia" w:ascii="Calibri" w:hAnsi="Calibri" w:eastAsia="宋体" w:cs="Times New Roman"/>
                <w:color w:val="auto"/>
                <w:sz w:val="22"/>
                <w:szCs w:val="24"/>
                <w:highlight w:val="none"/>
                <w:lang w:val="en-US" w:eastAsia="zh-CN" w:bidi="ar"/>
              </w:rPr>
            </w:pPr>
            <w:r>
              <w:rPr>
                <w:rFonts w:hint="eastAsia" w:ascii="Calibri" w:hAnsi="Calibri" w:eastAsia="宋体" w:cs="Times New Roman"/>
                <w:color w:val="auto"/>
                <w:sz w:val="22"/>
                <w:szCs w:val="24"/>
                <w:highlight w:val="none"/>
                <w:lang w:val="en-US" w:eastAsia="zh-CN" w:bidi="ar"/>
              </w:rPr>
              <w:t xml:space="preserve">5</w:t>
            </w:r>
            <w:r>
              <w:rPr>
                <w:rFonts w:hint="default" w:ascii="Calibri" w:hAnsi="Calibri" w:eastAsia="宋体" w:cs="Times New Roman"/>
                <w:color w:val="auto"/>
                <w:sz w:val="22"/>
                <w:szCs w:val="24"/>
                <w:highlight w:val="none"/>
                <w:lang w:bidi="ar"/>
              </w:rPr>
              <w:t xml:space="preserve">.00分</w:t>
            </w:r>
            <w:r/>
          </w:p>
        </w:tc>
        <w:tc>
          <w:tcPr>
            <w:shd w:val="clear" w:color="auto" w:fill="auto"/>
            <w:tcW w:w="6040" w:type="dxa"/>
            <w:vAlign w:val="center"/>
            <w:textDirection w:val="lrTb"/>
            <w:noWrap w:val="false"/>
          </w:tcPr>
          <w:p>
            <w:pPr>
              <w:contextualSpacing/>
              <w:ind w:left="0"/>
              <w:jc w:val="both"/>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针对采购文件“第四章 采购需求-七、运维服务要求”提供运维服务方案。优于采购需求得5分；满足采购需求得3分；通过后期优化能满足采购需求的得1分；没有内容不得分。</w:t>
            </w:r>
            <w:r/>
          </w:p>
        </w:tc>
      </w:tr>
      <w:tr>
        <w:trPr>
          <w:jc w:val="center"/>
          <w:trHeight w:val="795"/>
        </w:trPr>
        <w:tc>
          <w:tcPr>
            <w:tcW w:w="732" w:type="dxa"/>
            <w:vAlign w:val="center"/>
            <w:textDirection w:val="lrTb"/>
            <w:noWrap w:val="false"/>
          </w:tcPr>
          <w:p>
            <w:pPr>
              <w:jc w:val="center"/>
              <w:rPr>
                <w:rFonts w:hint="default" w:ascii="Calibri" w:hAnsi="Calibri" w:eastAsia="宋体" w:cs="Times New Roman"/>
                <w:color w:val="auto"/>
                <w:sz w:val="22"/>
                <w:szCs w:val="24"/>
                <w:highlight w:val="none"/>
                <w:lang w:val="en-US" w:eastAsia="zh-CN" w:bidi="ar"/>
              </w:rPr>
            </w:pPr>
            <w:r>
              <w:rPr>
                <w:rFonts w:hint="eastAsia" w:ascii="Calibri" w:hAnsi="Calibri" w:eastAsia="宋体" w:cs="Times New Roman"/>
                <w:color w:val="auto"/>
                <w:sz w:val="22"/>
                <w:szCs w:val="24"/>
                <w:highlight w:val="none"/>
                <w:lang w:val="en-US" w:eastAsia="zh-CN" w:bidi="ar"/>
              </w:rPr>
              <w:t xml:space="preserve">11</w:t>
            </w:r>
            <w:r/>
          </w:p>
        </w:tc>
        <w:tc>
          <w:tcPr>
            <w:shd w:val="clear" w:color="auto" w:fill="auto"/>
            <w:tcW w:w="1310" w:type="dxa"/>
            <w:vAlign w:val="center"/>
            <w:textDirection w:val="lrTb"/>
            <w:noWrap w:val="false"/>
          </w:tcPr>
          <w:p>
            <w:pPr>
              <w:jc w:val="center"/>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对接方案</w:t>
            </w:r>
            <w:r/>
          </w:p>
        </w:tc>
        <w:tc>
          <w:tcPr>
            <w:shd w:val="clear" w:color="auto" w:fill="auto"/>
            <w:tcW w:w="1206" w:type="dxa"/>
            <w:vAlign w:val="center"/>
            <w:textDirection w:val="lrTb"/>
            <w:noWrap w:val="false"/>
          </w:tcPr>
          <w:p>
            <w:pPr>
              <w:jc w:val="center"/>
              <w:rPr>
                <w:rFonts w:hint="eastAsia" w:ascii="Calibri" w:hAnsi="Calibri" w:eastAsia="宋体" w:cs="Times New Roman"/>
                <w:color w:val="auto"/>
                <w:sz w:val="22"/>
                <w:szCs w:val="24"/>
                <w:highlight w:val="none"/>
                <w:lang w:val="en-US" w:eastAsia="zh-CN" w:bidi="ar"/>
              </w:rPr>
            </w:pPr>
            <w:r>
              <w:rPr>
                <w:rFonts w:hint="eastAsia" w:ascii="Calibri" w:hAnsi="Calibri" w:eastAsia="宋体" w:cs="Times New Roman"/>
                <w:color w:val="auto"/>
                <w:sz w:val="22"/>
                <w:szCs w:val="24"/>
                <w:highlight w:val="none"/>
                <w:lang w:val="en-US" w:eastAsia="zh-CN" w:bidi="ar"/>
              </w:rPr>
              <w:t xml:space="preserve">5</w:t>
            </w:r>
            <w:r>
              <w:rPr>
                <w:rFonts w:hint="default" w:ascii="Calibri" w:hAnsi="Calibri" w:eastAsia="宋体" w:cs="Times New Roman"/>
                <w:color w:val="auto"/>
                <w:sz w:val="22"/>
                <w:szCs w:val="24"/>
                <w:highlight w:val="none"/>
                <w:lang w:bidi="ar"/>
              </w:rPr>
              <w:t xml:space="preserve">.00分</w:t>
            </w:r>
            <w:r/>
          </w:p>
        </w:tc>
        <w:tc>
          <w:tcPr>
            <w:shd w:val="clear" w:color="auto" w:fill="auto"/>
            <w:tcW w:w="6040" w:type="dxa"/>
            <w:vAlign w:val="center"/>
            <w:textDirection w:val="lrTb"/>
            <w:noWrap w:val="false"/>
          </w:tcPr>
          <w:p>
            <w:pPr>
              <w:contextualSpacing/>
              <w:ind w:left="0"/>
              <w:jc w:val="both"/>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针对采购文件“第四章 采购需求-八、对接要求”提供对接服务方案。优于采购需求得5分；满足采购需求得3分；通过后期优化能满足采购需求的得1分；没有内容不得分。</w:t>
            </w:r>
            <w:r/>
          </w:p>
        </w:tc>
      </w:tr>
      <w:tr>
        <w:trPr>
          <w:jc w:val="center"/>
          <w:trHeight w:val="814"/>
        </w:trPr>
        <w:tc>
          <w:tcPr>
            <w:tcW w:w="732" w:type="dxa"/>
            <w:vAlign w:val="center"/>
            <w:textDirection w:val="lrTb"/>
            <w:noWrap w:val="false"/>
          </w:tcPr>
          <w:p>
            <w:pPr>
              <w:jc w:val="center"/>
              <w:rPr>
                <w:rFonts w:hint="default" w:ascii="Calibri" w:hAnsi="Calibri" w:eastAsia="宋体" w:cs="Times New Roman"/>
                <w:color w:val="auto"/>
                <w:sz w:val="22"/>
                <w:szCs w:val="24"/>
                <w:highlight w:val="none"/>
                <w:lang w:val="en-US" w:eastAsia="zh-CN" w:bidi="ar"/>
              </w:rPr>
            </w:pPr>
            <w:r>
              <w:rPr>
                <w:rFonts w:hint="eastAsia" w:ascii="Calibri" w:hAnsi="Calibri" w:eastAsia="宋体" w:cs="Times New Roman"/>
                <w:color w:val="auto"/>
                <w:sz w:val="22"/>
                <w:szCs w:val="24"/>
                <w:highlight w:val="none"/>
                <w:lang w:val="en-US" w:eastAsia="zh-CN" w:bidi="ar"/>
              </w:rPr>
              <w:t xml:space="preserve">12</w:t>
            </w:r>
            <w:r/>
          </w:p>
        </w:tc>
        <w:tc>
          <w:tcPr>
            <w:shd w:val="clear" w:color="auto" w:fill="auto"/>
            <w:tcW w:w="1310" w:type="dxa"/>
            <w:vAlign w:val="center"/>
            <w:textDirection w:val="lrTb"/>
            <w:noWrap w:val="false"/>
          </w:tcPr>
          <w:p>
            <w:pPr>
              <w:jc w:val="center"/>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安全服务方案</w:t>
            </w:r>
            <w:r/>
          </w:p>
        </w:tc>
        <w:tc>
          <w:tcPr>
            <w:shd w:val="clear" w:color="auto" w:fill="auto"/>
            <w:tcW w:w="1206" w:type="dxa"/>
            <w:vAlign w:val="center"/>
            <w:textDirection w:val="lrTb"/>
            <w:noWrap w:val="false"/>
          </w:tcPr>
          <w:p>
            <w:pPr>
              <w:jc w:val="center"/>
              <w:rPr>
                <w:rFonts w:hint="eastAsia" w:ascii="Calibri" w:hAnsi="Calibri" w:eastAsia="宋体" w:cs="Times New Roman"/>
                <w:color w:val="auto"/>
                <w:sz w:val="22"/>
                <w:szCs w:val="24"/>
                <w:highlight w:val="none"/>
                <w:lang w:val="en-US" w:eastAsia="zh-CN" w:bidi="ar"/>
              </w:rPr>
            </w:pPr>
            <w:r>
              <w:rPr>
                <w:rFonts w:hint="eastAsia" w:ascii="Calibri" w:hAnsi="Calibri" w:eastAsia="宋体" w:cs="Times New Roman"/>
                <w:color w:val="auto"/>
                <w:sz w:val="22"/>
                <w:szCs w:val="24"/>
                <w:highlight w:val="none"/>
                <w:lang w:val="en-US" w:eastAsia="zh-CN" w:bidi="ar"/>
              </w:rPr>
              <w:t xml:space="preserve">5</w:t>
            </w:r>
            <w:r>
              <w:rPr>
                <w:rFonts w:hint="default" w:ascii="Calibri" w:hAnsi="Calibri" w:eastAsia="宋体" w:cs="Times New Roman"/>
                <w:color w:val="auto"/>
                <w:sz w:val="22"/>
                <w:szCs w:val="24"/>
                <w:highlight w:val="none"/>
                <w:lang w:bidi="ar"/>
              </w:rPr>
              <w:t xml:space="preserve">.00分</w:t>
            </w:r>
            <w:r/>
          </w:p>
        </w:tc>
        <w:tc>
          <w:tcPr>
            <w:shd w:val="clear" w:color="auto" w:fill="auto"/>
            <w:tcW w:w="6040" w:type="dxa"/>
            <w:vAlign w:val="center"/>
            <w:textDirection w:val="lrTb"/>
            <w:noWrap w:val="false"/>
          </w:tcPr>
          <w:p>
            <w:pPr>
              <w:contextualSpacing/>
              <w:ind w:left="0"/>
              <w:jc w:val="both"/>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针对采购文件“第四章 采购需求-十、安全要求”提供安全服务方案。优于采购需求得5分；满足采购需求得3分；通过后期优化能满足采购需求的得1分；没有内容不得分。</w:t>
            </w:r>
            <w:r/>
          </w:p>
        </w:tc>
      </w:tr>
    </w:tbl>
    <w:p>
      <w:pPr>
        <w:rPr>
          <w:rFonts w:ascii="Times New Roman" w:hAnsi="Times New Roman" w:eastAsia="宋体" w:cs="Times New Roman"/>
          <w:b/>
          <w:color w:val="auto"/>
          <w:sz w:val="44"/>
          <w:szCs w:val="44"/>
          <w:highlight w:val="none"/>
        </w:rPr>
      </w:pPr>
      <w:r>
        <w:rPr>
          <w:rFonts w:ascii="Times New Roman" w:hAnsi="Times New Roman" w:eastAsia="宋体" w:cs="Times New Roman"/>
          <w:b/>
          <w:color w:val="auto"/>
          <w:sz w:val="44"/>
          <w:szCs w:val="44"/>
          <w:highlight w:val="none"/>
        </w:rPr>
        <w:br w:type="page" w:clear="all"/>
      </w:r>
      <w:r/>
    </w:p>
    <w:p>
      <w:pPr>
        <w:jc w:val="center"/>
        <w:spacing w:line="500" w:lineRule="exact"/>
        <w:rPr>
          <w:rFonts w:ascii="Times New Roman" w:hAnsi="Times New Roman" w:eastAsia="宋体" w:cs="Times New Roman"/>
          <w:b/>
          <w:color w:val="auto"/>
          <w:sz w:val="44"/>
          <w:szCs w:val="44"/>
          <w:highlight w:val="none"/>
        </w:rPr>
        <w:outlineLvl w:val="0"/>
      </w:pPr>
      <w:r/>
      <w:bookmarkStart w:id="84" w:name="_Toc1519"/>
      <w:r/>
      <w:bookmarkStart w:id="85" w:name="_Toc31956"/>
      <w:r>
        <w:rPr>
          <w:rFonts w:ascii="Times New Roman" w:hAnsi="Times New Roman" w:eastAsia="宋体" w:cs="Times New Roman"/>
          <w:b/>
          <w:color w:val="auto"/>
          <w:sz w:val="44"/>
          <w:szCs w:val="44"/>
          <w:highlight w:val="none"/>
        </w:rPr>
        <w:t xml:space="preserve">第四</w:t>
      </w:r>
      <w:r>
        <w:rPr>
          <w:rFonts w:hint="eastAsia" w:ascii="Times New Roman" w:hAnsi="Times New Roman" w:eastAsia="宋体" w:cs="Times New Roman"/>
          <w:b/>
          <w:color w:val="auto"/>
          <w:sz w:val="44"/>
          <w:szCs w:val="44"/>
          <w:highlight w:val="none"/>
        </w:rPr>
        <w:t xml:space="preserve">章  </w:t>
      </w:r>
      <w:r>
        <w:rPr>
          <w:rFonts w:ascii="Times New Roman" w:hAnsi="Times New Roman" w:eastAsia="宋体" w:cs="Times New Roman"/>
          <w:b/>
          <w:color w:val="auto"/>
          <w:sz w:val="44"/>
          <w:szCs w:val="44"/>
          <w:highlight w:val="none"/>
        </w:rPr>
        <w:t xml:space="preserve">采购需求</w:t>
      </w:r>
      <w:bookmarkEnd w:id="78"/>
      <w:r/>
      <w:bookmarkEnd w:id="84"/>
      <w:r/>
      <w:bookmarkEnd w:id="85"/>
      <w:r/>
      <w:r/>
    </w:p>
    <w:p>
      <w:pPr>
        <w:ind w:firstLine="482"/>
        <w:jc w:val="left"/>
        <w:spacing w:line="360" w:lineRule="auto"/>
        <w:rPr>
          <w:rFonts w:hint="eastAsia" w:ascii="黑体" w:hAnsi="黑体" w:eastAsia="黑体" w:cs="宋体"/>
          <w:color w:val="auto"/>
          <w:sz w:val="28"/>
          <w:szCs w:val="28"/>
          <w:highlight w:val="none"/>
        </w:rPr>
      </w:pPr>
      <w:r/>
      <w:bookmarkStart w:id="86" w:name="_Toc17639"/>
      <w:r/>
      <w:bookmarkStart w:id="87" w:name="_Toc22280"/>
      <w:r>
        <w:rPr>
          <w:rFonts w:hint="eastAsia" w:ascii="黑体" w:hAnsi="黑体" w:eastAsia="黑体" w:cs="宋体"/>
          <w:color w:val="auto"/>
          <w:sz w:val="28"/>
          <w:szCs w:val="28"/>
          <w:highlight w:val="none"/>
        </w:rPr>
        <w:t xml:space="preserve">一、采购标的清单</w:t>
      </w:r>
      <w:r/>
    </w:p>
    <w:tbl>
      <w:tblPr>
        <w:tblStyle w:val="680"/>
        <w:tblW w:w="889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9"/>
        <w:gridCol w:w="733"/>
        <w:gridCol w:w="4140"/>
        <w:gridCol w:w="2955"/>
      </w:tblGrid>
      <w:tr>
        <w:trPr>
          <w:cantSplit/>
          <w:jc w:val="center"/>
          <w:trHeight w:val="666"/>
        </w:trPr>
        <w:tc>
          <w:tcPr>
            <w:tcW w:w="1069" w:type="dxa"/>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采购包</w:t>
            </w:r>
            <w:r/>
          </w:p>
        </w:tc>
        <w:tc>
          <w:tcPr>
            <w:tcW w:w="7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414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采购标的</w:t>
            </w:r>
            <w:r/>
          </w:p>
        </w:tc>
        <w:tc>
          <w:tcPr>
            <w:tcW w:w="2955"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对应中小企业划分标准所属行业</w:t>
            </w:r>
            <w:r/>
          </w:p>
        </w:tc>
      </w:tr>
      <w:tr>
        <w:trPr>
          <w:cantSplit/>
          <w:jc w:val="center"/>
          <w:trHeight w:val="921"/>
        </w:trPr>
        <w:tc>
          <w:tcPr>
            <w:tcW w:w="1069" w:type="dxa"/>
            <w:textDirection w:val="lrTb"/>
            <w:noWrap w:val="false"/>
          </w:tcPr>
          <w:p>
            <w:pPr>
              <w:jc w:val="center"/>
              <w:spacing w:line="0" w:lineRule="atLeas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center"/>
              <w:spacing w:line="0" w:lineRule="atLeas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一</w:t>
            </w:r>
            <w:r/>
          </w:p>
        </w:tc>
        <w:tc>
          <w:tcPr>
            <w:tcW w:w="733" w:type="dxa"/>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4140" w:type="dxa"/>
            <w:textDirection w:val="lrTb"/>
            <w:noWrap w:val="false"/>
          </w:tcPr>
          <w:p>
            <w:pPr>
              <w:jc w:val="center"/>
              <w:spacing w:line="0" w:lineRule="atLeast"/>
              <w:tabs>
                <w:tab w:val="left" w:pos="202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both"/>
              <w:spacing w:line="0" w:lineRule="atLeast"/>
              <w:tabs>
                <w:tab w:val="left" w:pos="2020" w:leader="none"/>
              </w:tabs>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宿豫区智慧水务平台运维（2026-2027年）-平台升级迁改项目</w:t>
            </w:r>
            <w:r/>
          </w:p>
        </w:tc>
        <w:tc>
          <w:tcPr>
            <w:tcW w:w="2955" w:type="dxa"/>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软件和信息技术服务业</w:t>
            </w:r>
            <w:r/>
          </w:p>
        </w:tc>
      </w:tr>
    </w:tbl>
    <w:p>
      <w:pPr>
        <w:numPr>
          <w:ilvl w:val="0"/>
          <w:numId w:val="0"/>
        </w:numPr>
        <w:ind w:firstLine="482"/>
        <w:spacing w:line="0" w:lineRule="atLeast"/>
        <w:rPr>
          <w:rFonts w:hint="eastAsia" w:ascii="宋体" w:hAnsi="宋体" w:eastAsia="宋体" w:cs="Times New Roman"/>
          <w:b/>
          <w:color w:val="auto"/>
          <w:sz w:val="24"/>
          <w:szCs w:val="24"/>
          <w:highlight w:val="none"/>
          <w:lang w:val="en-US" w:eastAsia="zh-CN" w:bidi="ar-SA"/>
        </w:rPr>
      </w:pPr>
      <w:r/>
      <w:bookmarkStart w:id="88" w:name="_Toc516580154"/>
      <w:r/>
      <w:r/>
    </w:p>
    <w:p>
      <w:pPr>
        <w:ind w:firstLine="482"/>
        <w:jc w:val="left"/>
        <w:spacing w:line="360" w:lineRule="auto"/>
        <w:rPr>
          <w:rFonts w:hint="default" w:ascii="黑体" w:hAnsi="黑体" w:eastAsia="黑体" w:cs="宋体"/>
          <w:color w:val="auto"/>
          <w:sz w:val="28"/>
          <w:szCs w:val="28"/>
          <w:highlight w:val="none"/>
          <w:lang w:val="en-US" w:eastAsia="zh-CN"/>
        </w:rPr>
      </w:pPr>
      <w:r>
        <w:rPr>
          <w:rFonts w:hint="eastAsia" w:ascii="黑体" w:hAnsi="黑体" w:eastAsia="黑体" w:cs="宋体"/>
          <w:color w:val="auto"/>
          <w:sz w:val="28"/>
          <w:szCs w:val="28"/>
          <w:highlight w:val="none"/>
          <w:lang w:val="en-US" w:eastAsia="zh-CN"/>
        </w:rPr>
        <w:t xml:space="preserve">二、项目概况</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项目背景</w:t>
      </w:r>
      <w:r>
        <w:rPr>
          <w:rFonts w:hint="eastAsia" w:ascii="宋体" w:hAnsi="宋体" w:eastAsia="宋体" w:cs="Times New Roman"/>
          <w:color w:val="auto"/>
          <w:sz w:val="24"/>
          <w:szCs w:val="24"/>
          <w:highlight w:val="none"/>
          <w:lang w:val="en-US" w:eastAsia="zh-CN"/>
        </w:rPr>
        <w:t xml:space="preserve">和目标</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现有宿豫区智慧水务相关平台已运行多年，为全区水务管理工作提供了基础信息化支撑。但随着水务业务的不断拓展（尤其是排水设施精细化管理需求提升）、数据量的持续增长以及新技术的快速发展，现有平台已难以满足新形势下的管理需求。基于此，本次宿豫区智慧水务管控平台技术服务项目核心目标为：全新搭建智慧水务管控平台，完成原平台及相关历史数据的完整对接迁移，同步保障</w:t>
      </w:r>
      <w:r>
        <w:rPr>
          <w:rFonts w:hint="eastAsia" w:ascii="宋体" w:hAnsi="宋体" w:eastAsia="宋体" w:cs="Times New Roman"/>
          <w:color w:val="auto"/>
          <w:sz w:val="24"/>
          <w:szCs w:val="24"/>
          <w:highlight w:val="none"/>
          <w:lang w:val="en-US" w:eastAsia="zh-CN"/>
        </w:rPr>
        <w:t xml:space="preserve">2026-2027年度全周期运维服务。其中，全新搭建与数据对接工作将从架构构建、功能开发、数据治理、安全建设、部署实施等方面打造全新平台体系，实现平台架构迭代、功能模块完善（涵盖PC端、移动端APP、AI智能问答等核心模块）、数据资源整合、安全体系强化，进而提升平台对排水设施管理、管网运维、水质水量监测、溢流内涝防控、巡检养护等核心业务的支撑能力；全周期运维服务将涵盖故障处置、性能优化、安全防护、数据更新入库、技术支持等内容，通过专业运维确保平台7×24小时稳定运行，保障水务数据安全可靠、业务流程顺畅高效。</w:t>
      </w:r>
      <w:r/>
    </w:p>
    <w:p>
      <w:pPr>
        <w:ind w:firstLine="480"/>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合同履行期限：合同签订后，3个月内完成全部平台建设并上线；系统上线后，进入系统试运行期，试运行3个月，试运行期间须完成数据迁移工作；试运行完成并经采购人初验确认后进入运维服务期，运维期24个月。</w:t>
      </w:r>
      <w:r/>
    </w:p>
    <w:p>
      <w:pPr>
        <w:ind w:firstLine="480"/>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3.运行维护期：24个月。</w:t>
      </w:r>
      <w:r/>
    </w:p>
    <w:p>
      <w:pPr>
        <w:ind w:firstLine="480"/>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4.实施地点：采购人的指定地点。</w:t>
      </w:r>
      <w:r/>
    </w:p>
    <w:p>
      <w:pPr>
        <w:ind w:firstLine="48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付款方式</w:t>
      </w:r>
      <w:r>
        <w:rPr>
          <w:rFonts w:hint="eastAsia" w:ascii="宋体" w:hAnsi="宋体" w:eastAsia="宋体" w:cs="Times New Roman"/>
          <w:color w:val="auto"/>
          <w:sz w:val="24"/>
          <w:szCs w:val="24"/>
          <w:highlight w:val="none"/>
          <w:lang w:eastAsia="zh-CN"/>
        </w:rPr>
        <w:t xml:space="preserve">：</w:t>
      </w:r>
      <w:r/>
    </w:p>
    <w:p>
      <w:pPr>
        <w:ind w:firstLine="482"/>
        <w:spacing w:line="360" w:lineRule="auto"/>
        <w:widowControl/>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合同签订后，收到供应商发票10个工作日后支付合同价款20%作为预付款；平台建设完成上线及数据迁移完成后，试运行满3个月并经采购人初验合格后支付至合同总价款的80%；初验合格后进入运维期，运维期满12个月后支付至合同总价款的90%，运维期满24个月且验收合格后支付余款（无息）。</w:t>
      </w:r>
      <w:r/>
    </w:p>
    <w:p>
      <w:pPr>
        <w:ind w:firstLine="482"/>
        <w:spacing w:line="360" w:lineRule="auto"/>
        <w:widowControl/>
        <w:rPr>
          <w:rFonts w:hint="eastAsia" w:ascii="宋体" w:hAnsi="宋体" w:eastAsia="宋体" w:cs="Times New Roman"/>
          <w:b/>
          <w:bCs/>
          <w:color w:val="auto"/>
          <w:sz w:val="24"/>
          <w:szCs w:val="24"/>
          <w:highlight w:val="none"/>
          <w:lang w:val="zh-CN" w:eastAsia="zh-CN"/>
        </w:rPr>
      </w:pPr>
      <w:r>
        <w:rPr>
          <w:rFonts w:hint="eastAsia" w:ascii="宋体" w:hAnsi="宋体" w:eastAsia="宋体" w:cs="Times New Roman"/>
          <w:b/>
          <w:bCs/>
          <w:color w:val="auto"/>
          <w:sz w:val="24"/>
          <w:szCs w:val="24"/>
          <w:highlight w:val="none"/>
          <w:lang w:val="zh-CN" w:eastAsia="zh-CN"/>
        </w:rPr>
        <w:t xml:space="preserve">注：1、在签订合同时，成交人明确表示无需预付款或者主动要求降低预付款比例的金额，采购人可不适用预付款规定。</w:t>
      </w:r>
      <w:r/>
    </w:p>
    <w:p>
      <w:pPr>
        <w:ind w:firstLine="482"/>
        <w:spacing w:line="360" w:lineRule="auto"/>
        <w:widowControl/>
        <w:rPr>
          <w:rFonts w:hint="eastAsia" w:ascii="宋体" w:hAnsi="宋体" w:eastAsia="宋体" w:cs="Times New Roman"/>
          <w:b/>
          <w:bCs/>
          <w:color w:val="auto"/>
          <w:sz w:val="24"/>
          <w:szCs w:val="24"/>
          <w:highlight w:val="none"/>
          <w:lang w:val="zh-CN" w:eastAsia="zh-CN"/>
        </w:rPr>
      </w:pPr>
      <w:r>
        <w:rPr>
          <w:rFonts w:hint="eastAsia" w:ascii="宋体" w:hAnsi="宋体" w:eastAsia="宋体" w:cs="Times New Roman"/>
          <w:b/>
          <w:bCs/>
          <w:color w:val="auto"/>
          <w:sz w:val="24"/>
          <w:szCs w:val="24"/>
          <w:highlight w:val="none"/>
          <w:lang w:eastAsia="zh-CN"/>
        </w:rPr>
        <w:t xml:space="preserve">2、</w:t>
      </w:r>
      <w:r>
        <w:rPr>
          <w:rFonts w:hint="eastAsia" w:ascii="宋体" w:hAnsi="宋体" w:eastAsia="宋体" w:cs="Times New Roman"/>
          <w:b/>
          <w:bCs/>
          <w:color w:val="auto"/>
          <w:sz w:val="24"/>
          <w:szCs w:val="24"/>
          <w:highlight w:val="none"/>
          <w:lang w:val="zh-CN" w:eastAsia="zh-CN"/>
        </w:rPr>
        <w:t xml:space="preserve">支付方式可以通过转账或数字人民币等方式。</w:t>
      </w:r>
      <w:r/>
    </w:p>
    <w:p>
      <w:pPr>
        <w:ind w:firstLine="482"/>
        <w:spacing w:line="360" w:lineRule="auto"/>
        <w:widowControl/>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3、付款前，成交供应商应向采购人提供符合要求的发票，否则，采购人有权拒绝付款，同时不免除成交供应商合同履行义务。</w:t>
      </w:r>
      <w:r/>
    </w:p>
    <w:p>
      <w:pPr>
        <w:ind w:firstLine="482"/>
        <w:jc w:val="left"/>
        <w:spacing w:line="360" w:lineRule="auto"/>
        <w:rPr>
          <w:rFonts w:hint="default" w:ascii="黑体" w:hAnsi="黑体" w:eastAsia="黑体" w:cs="宋体"/>
          <w:color w:val="auto"/>
          <w:sz w:val="28"/>
          <w:szCs w:val="28"/>
          <w:highlight w:val="none"/>
          <w:lang w:val="en-US" w:eastAsia="zh-CN"/>
        </w:rPr>
      </w:pPr>
      <w:r>
        <w:rPr>
          <w:rFonts w:hint="eastAsia" w:ascii="黑体" w:hAnsi="黑体" w:eastAsia="黑体" w:cs="宋体"/>
          <w:color w:val="auto"/>
          <w:sz w:val="28"/>
          <w:szCs w:val="28"/>
          <w:highlight w:val="none"/>
          <w:lang w:val="en-US" w:eastAsia="zh-CN"/>
        </w:rPr>
        <w:t xml:space="preserve">三、建设内容</w:t>
      </w:r>
      <w:r/>
    </w:p>
    <w:p>
      <w:pPr>
        <w:ind w:left="0"/>
        <w:jc w:val="left"/>
        <w:keepLines w:val="0"/>
        <w:keepNext w:val="0"/>
        <w:pageBreakBefore w:val="0"/>
        <w:spacing w:before="100" w:after="100" w:line="288" w:lineRule="auto"/>
        <w:widowControl w:val="off"/>
        <w:rPr>
          <w:rFonts w:hint="eastAsia" w:ascii="宋体" w:hAnsi="宋体" w:eastAsia="宋体" w:cs="宋体"/>
          <w:color w:val="auto"/>
          <w:sz w:val="18"/>
          <w:szCs w:val="20"/>
          <w:highlight w:val="none"/>
        </w:rPr>
        <w:outlineLvl w:val="1"/>
      </w:pPr>
      <w:r/>
      <w:bookmarkStart w:id="89" w:name="heading_8"/>
      <w:r>
        <w:rPr>
          <w:rFonts w:hint="eastAsia" w:ascii="宋体" w:hAnsi="宋体" w:eastAsia="宋体" w:cs="宋体"/>
          <w:b/>
          <w:color w:val="auto"/>
          <w:sz w:val="24"/>
          <w:szCs w:val="20"/>
          <w:highlight w:val="none"/>
        </w:rPr>
        <w:t xml:space="preserve">（一）总体设计</w:t>
      </w:r>
      <w:bookmarkEnd w:id="89"/>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次项目总体设计需充分借鉴现有信息化成果，遵循“架构先进、功能实用、安全可靠、可扩展、易维护”的原则，全新构建“两大体系+五大层次”的总体架构，即安全保障体系、标准规范体系，以及展现层（含PC端、APP端）、应用层（含核心业务模块、AI智能问答模块）、数据服务层、应用支撑层、基础设施层（政务云部署）。同时需制定完善的原平台及历史数据对接迁移方案，确保数据完整迁移。供应商需结合项目实际需求，明确总体设计原则、技术路线和架构方案。</w:t>
      </w:r>
      <w:r/>
    </w:p>
    <w:p>
      <w:pPr>
        <w:ind w:left="0" w:firstLine="482"/>
        <w:jc w:val="left"/>
        <w:keepLines w:val="0"/>
        <w:keepNext w:val="0"/>
        <w:pageBreakBefore w:val="0"/>
        <w:spacing w:before="120" w:after="120" w:line="288" w:lineRule="auto"/>
        <w:widowControl w:val="off"/>
        <w:rPr>
          <w:rFonts w:hint="eastAsia" w:ascii="宋体" w:hAnsi="宋体" w:eastAsia="宋体" w:cs="宋体"/>
          <w:color w:val="auto"/>
          <w:sz w:val="24"/>
          <w:szCs w:val="24"/>
          <w:highlight w:val="none"/>
        </w:rPr>
        <w:outlineLvl w:val="2"/>
      </w:pPr>
      <w:r/>
      <w:bookmarkStart w:id="90" w:name="heading_9"/>
      <w:r>
        <w:rPr>
          <w:rFonts w:hint="eastAsia" w:ascii="宋体" w:hAnsi="宋体" w:eastAsia="宋体" w:cs="宋体"/>
          <w:b/>
          <w:color w:val="auto"/>
          <w:sz w:val="24"/>
          <w:szCs w:val="24"/>
          <w:highlight w:val="none"/>
        </w:rPr>
        <w:t xml:space="preserve">1、总体设计原则</w:t>
      </w:r>
      <w:bookmarkEnd w:id="90"/>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先进性与实用性结合：采用微服务、大数据、人工智能等先进技术，全新搭建平台架构与功能模块，充分贴合宿豫区排水设施管理、管网运维等实际需求，确保系统功能实用、操作便捷；兼顾原平台数据对接的兼容性需求。</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安全可靠性优先：严格按照网络安全等级保护三级要求设计，强化安全防护措施，完成等保测评及整改工作，尤其保障原平台及历史数据对接迁移过程中的数据安全，确保新平台稳定运行和全量数据安全可靠。</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（3）兼容性与扩展性保障：兼容原平台的业务数据格式和历史业务流程，确保数据对接顺畅；新平台采用模块化、分布式架构设计，支持后续功能扩展和业务升级，适配新增监测设备接入需求。</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（4）国产化适配要求：新平台软硬件需适配国产化服务器、操作系统、数据库及中间件，符合政务信息化国产化替代相关要求；数据对接迁移过程需在国产化环境下安全实施。</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标准化与规范化：遵循国家、省、市关于水务信息化、政务信息化的相关标准规范，确保新平台建设、数据管理、运维服务的标准化；制定统一的数据对接标准和排水设施数据标准，保障原平台数据及历史业务数据规范接入新平台。</w:t>
      </w:r>
      <w:r/>
    </w:p>
    <w:p>
      <w:pPr>
        <w:ind w:left="0" w:firstLine="482"/>
        <w:jc w:val="left"/>
        <w:keepLines w:val="0"/>
        <w:keepNext w:val="0"/>
        <w:pageBreakBefore w:val="0"/>
        <w:spacing w:before="120" w:after="120" w:line="288" w:lineRule="auto"/>
        <w:widowControl w:val="off"/>
        <w:rPr>
          <w:rFonts w:hint="eastAsia" w:ascii="宋体" w:hAnsi="宋体" w:eastAsia="宋体" w:cs="宋体"/>
          <w:b/>
          <w:color w:val="auto"/>
          <w:sz w:val="24"/>
          <w:szCs w:val="24"/>
          <w:highlight w:val="none"/>
        </w:rPr>
        <w:outlineLvl w:val="2"/>
      </w:pPr>
      <w:r/>
      <w:bookmarkStart w:id="91" w:name="heading_10"/>
      <w:r>
        <w:rPr>
          <w:rFonts w:hint="eastAsia" w:ascii="宋体" w:hAnsi="宋体" w:eastAsia="宋体" w:cs="宋体"/>
          <w:b/>
          <w:color w:val="auto"/>
          <w:sz w:val="24"/>
          <w:szCs w:val="24"/>
          <w:highlight w:val="none"/>
        </w:rPr>
        <w:t xml:space="preserve">2、总体技术路线</w:t>
      </w:r>
      <w:bookmarkEnd w:id="91"/>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（1）微服务架构技术：采用微服务架构全新搭建平台，拆分出排水设施管理、管网运维、水质水量监测、溢流内涝防控、巡检养护、AI智能问答、系统管理等核心微服务模块，实现模块间独立部署、协同运行。</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（2）大数据处理技术：采用大数据处理框架，实现对海量水务数据（含原平台历史数据、管网普查数据、检测数据等）的存储、计算和分析；建立数据仓库和数据集市，支撑智能化决策分析。</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（3）GIS可视化技术：采用GIS技术构建排水管网信息化一张图，整合基础底图、排水设施、监测点位等空间数据</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实现排水设施三维场景展示</w:t>
      </w:r>
      <w:r>
        <w:rPr>
          <w:rFonts w:hint="eastAsia" w:ascii="宋体" w:hAnsi="宋体" w:eastAsia="宋体" w:cs="Times New Roman"/>
          <w:color w:val="auto"/>
          <w:sz w:val="24"/>
          <w:szCs w:val="24"/>
          <w:highlight w:val="none"/>
        </w:rPr>
        <w:t xml:space="preserve">。</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（4）水力模型技术：构建雨水系统水力模型，集成于平台内实现可视化，支撑排水设施雨天工况评估及不同重现期内涝积水风险评估。</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（5）人工智能应用技术：引入自然语言处理、机器学习等人工智能技术，构建AI智能问答模块，实现业务咨询、数据查询、故障排查等智能化服务；基于历史数据训练优化故障排查模型。</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lang w:val="en-US" w:eastAsia="zh-CN"/>
        </w:rPr>
        <w:t xml:space="preserve">政务云</w:t>
      </w:r>
      <w:r>
        <w:rPr>
          <w:rFonts w:hint="eastAsia" w:ascii="宋体" w:hAnsi="宋体" w:eastAsia="宋体" w:cs="Times New Roman"/>
          <w:color w:val="auto"/>
          <w:sz w:val="24"/>
          <w:szCs w:val="24"/>
          <w:highlight w:val="none"/>
        </w:rPr>
        <w:t xml:space="preserve">部署技术：</w:t>
      </w:r>
      <w:r>
        <w:rPr>
          <w:rFonts w:hint="eastAsia" w:ascii="宋体" w:hAnsi="宋体" w:eastAsia="宋体" w:cs="Times New Roman"/>
          <w:color w:val="auto"/>
          <w:sz w:val="24"/>
          <w:szCs w:val="24"/>
          <w:highlight w:val="none"/>
          <w:lang w:val="en-US" w:eastAsia="zh-CN"/>
        </w:rPr>
        <w:t xml:space="preserve">依托宿豫区政务云</w:t>
      </w:r>
      <w:r>
        <w:rPr>
          <w:rFonts w:hint="eastAsia" w:ascii="宋体" w:hAnsi="宋体" w:eastAsia="宋体" w:cs="Times New Roman"/>
          <w:color w:val="auto"/>
          <w:sz w:val="24"/>
          <w:szCs w:val="24"/>
          <w:highlight w:val="none"/>
        </w:rPr>
        <w:t xml:space="preserve">实现新平台应用的快速部署、弹性扩展和高效管理，提升资源利用率；部署政务云环境。</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（7）国产化适配技术：基于国产服务器、操作系统（如麒麟、统信）、数据库及中间件进行新平台开发部署，确保系统在国产化环境下稳定运行；数据对接迁移过程需适配国产化环境要求。</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（8）数据对接迁移技术：实现原平台及历史业务数据（管网基础数据、检测数据、设备监测数据等）的清洗、转换、校验和导入；建立数据对接校验机制，确保数据对接的完整性和准确性。</w:t>
      </w:r>
      <w:r/>
    </w:p>
    <w:p>
      <w:pPr>
        <w:ind w:left="0"/>
        <w:jc w:val="left"/>
        <w:keepLines w:val="0"/>
        <w:keepNext w:val="0"/>
        <w:pageBreakBefore w:val="0"/>
        <w:spacing w:before="100" w:after="100" w:line="288" w:lineRule="auto"/>
        <w:widowControl w:val="off"/>
        <w:rPr>
          <w:rFonts w:hint="eastAsia" w:ascii="宋体" w:hAnsi="宋体" w:eastAsia="宋体" w:cs="宋体"/>
          <w:b/>
          <w:color w:val="auto"/>
          <w:sz w:val="24"/>
          <w:szCs w:val="20"/>
          <w:highlight w:val="none"/>
        </w:rPr>
        <w:outlineLvl w:val="1"/>
      </w:pPr>
      <w:r/>
      <w:bookmarkStart w:id="92" w:name="heading_11"/>
      <w:r>
        <w:rPr>
          <w:rFonts w:hint="eastAsia" w:ascii="宋体" w:hAnsi="宋体" w:eastAsia="宋体" w:cs="宋体"/>
          <w:b/>
          <w:color w:val="auto"/>
          <w:sz w:val="24"/>
          <w:szCs w:val="20"/>
          <w:highlight w:val="none"/>
        </w:rPr>
        <w:t xml:space="preserve">（二）核心建设内容</w:t>
      </w:r>
      <w:bookmarkEnd w:id="92"/>
      <w:r/>
      <w:r/>
    </w:p>
    <w:p>
      <w:pPr>
        <w:ind w:left="0" w:firstLine="482"/>
        <w:jc w:val="left"/>
        <w:keepLines w:val="0"/>
        <w:keepNext w:val="0"/>
        <w:pageBreakBefore w:val="0"/>
        <w:spacing w:before="120" w:after="120" w:line="288" w:lineRule="auto"/>
        <w:widowControl w:val="off"/>
        <w:rPr>
          <w:rFonts w:hint="eastAsia" w:ascii="宋体" w:hAnsi="宋体" w:eastAsia="宋体" w:cs="宋体"/>
          <w:b/>
          <w:color w:val="auto"/>
          <w:sz w:val="24"/>
          <w:szCs w:val="24"/>
          <w:highlight w:val="none"/>
        </w:rPr>
        <w:outlineLvl w:val="2"/>
      </w:pPr>
      <w:r/>
      <w:bookmarkStart w:id="93" w:name="heading_12"/>
      <w:r>
        <w:rPr>
          <w:rFonts w:hint="eastAsia" w:ascii="宋体" w:hAnsi="宋体" w:eastAsia="宋体" w:cs="宋体"/>
          <w:b/>
          <w:color w:val="auto"/>
          <w:sz w:val="24"/>
          <w:szCs w:val="24"/>
          <w:highlight w:val="none"/>
        </w:rPr>
        <w:t xml:space="preserve">1、全新平台搭建（PC端）</w:t>
      </w:r>
      <w:bookmarkEnd w:id="93"/>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系统首页：提供片区排水设施总体情况总览，包括污水厂进水主管水质监测情况和排水设施、拓扑问题、缺陷问题、感知设备分布情况；支持关键数据可视化展示，如监测设备在线率、拓扑问题统计、病害问题处置进度等。</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（2）基础管网模块：</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 建立统一的排水设施数据标准，将现状及历史的排水设施普查等成果，按照标准进行处理和入库，实现排水设施数据的信息化管理。</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 形成基于GIS技术的排水管网信息化一张图，实现排水设施数据的可视化管理；支持基础信息、混接等信息的查询，支持三维排水设施场景展示。</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 建立排水管网历史版本管理，支持查看各年度历史管网情况。</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 提供基础地图工具：包括查询、追溯分析、区域查询、纵断面分析、最短路径分析、坐标定位、复合信息查询、CAD导出，街道地图/影像地图切换等工具。</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（3）拓扑管理模块：</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 梳理排水系统连接关系，对管网流向脉络、管网混接情况等进行分析，系统自动识别并定位排水管网中存在大管接小管、逆坡、断头、混接点等拓扑问题，形成拓扑问题专题数据库。</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 拓扑问题空间落图：与管网一张图叠加，实现拓扑问题可视化管理。</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 拓扑问题分析：提供拓扑问题统计、查询、筛选、下载、地图定位、详情查看等功能。</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（4）健康评估模块：</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 以排水设施为入口，整合管道检测成果，包括检测报告、检测视频、缺陷截图、缺陷记录等信息，梳理并入库，形成病害问题专题数据库。</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 病害问题空间落图：与管网一张图叠加，实现病害问题可视化管理。</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 病害问题分析：提供病害问题统计、查询、筛选、下载、地图定位、详情查看等功能；其中详情信息查询支持病害问题缺陷信息、缺陷截图、检测视频等信息。</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（5）终端监测模块：</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 对项目现状安装的排水感知设备，包括液位计、污染源污水异常排放监测设备、内涝积水在线监测站、在线水质自动监测系统、地表水监测等设备，按照统一传输规范进行数据接入和设备管理。</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 对监测设备安装位置进行空间落图，实现感知设备的可视化管理。</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 监测预警：支持对设备监测值及设备运行情况设定预警功能；对监测超限、离线、故障等设备进行突出显示。</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 数据分析：提供基础信息查询、监测数据查询、数据导出、支持多设备监测数据关联分析功能等功能。</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（6）动态巡检模块：</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 提供排水设施巡查、维修等排水设施运维管理功能，结合移动端APP的使用实现排水设施运维的闭环管理。</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 支持运维任务的发布和运维记录详情查看等功能。</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（7）溢流内涝模块：</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 对历史溢流内涝数据进行梳理入库，形成溢流内涝历史数据库。</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 数据查询与分析：对历史溢流内涝记录进行空间可视化查询分析，包括积水区域空间落图，支持对内涝成因、面积、现场照片等信息的查询。</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（8）模型计算模块：建立雨水系统水力模型，模型集成于系统平台内实现可视化；功能适用于排水设施雨天工况评估，实现对不同重现期下内涝积水风险评估。</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（9）监测点位模块：</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 建立区域水质水量监测点位，通过列表和空间落图的形式进行展示，对水质超标点位进行突出展示。</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 绘制监测点位上游汇水区域，实现监测点位与地图联动，关联查询区域内的排水设施情况。</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 支持通过点击查询、关联分析的方式查询水质监测情况。</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（10）监测数据模块：建立水质监测数据台账，对监测数据进行电子化管理；支持通过批量导入的方式录入监测数据；支持通过日期、点位编号等方式查询数据和导出数据。</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（11）点位管理模块：对监测点位信息进行台账管理，支持对监测点位基本信息、位置、监测因子、报警规则进行自定义配置。</w:t>
      </w:r>
      <w:r/>
    </w:p>
    <w:p>
      <w:pPr>
        <w:ind w:left="0" w:firstLine="482"/>
        <w:jc w:val="left"/>
        <w:keepLines w:val="0"/>
        <w:keepNext w:val="0"/>
        <w:pageBreakBefore w:val="0"/>
        <w:spacing w:before="120" w:after="120" w:line="288" w:lineRule="auto"/>
        <w:widowControl w:val="off"/>
        <w:rPr>
          <w:rFonts w:hint="eastAsia" w:ascii="宋体" w:hAnsi="宋体" w:eastAsia="宋体" w:cs="宋体"/>
          <w:b/>
          <w:color w:val="auto"/>
          <w:sz w:val="24"/>
          <w:szCs w:val="24"/>
          <w:highlight w:val="none"/>
        </w:rPr>
        <w:outlineLvl w:val="2"/>
      </w:pPr>
      <w:r/>
      <w:bookmarkStart w:id="94" w:name="heading_13"/>
      <w:r>
        <w:rPr>
          <w:rFonts w:hint="eastAsia" w:ascii="宋体" w:hAnsi="宋体" w:eastAsia="宋体" w:cs="宋体"/>
          <w:b/>
          <w:color w:val="auto"/>
          <w:sz w:val="24"/>
          <w:szCs w:val="24"/>
          <w:highlight w:val="none"/>
        </w:rPr>
        <w:t xml:space="preserve">2、全新平台搭建（APP端）</w:t>
      </w:r>
      <w:bookmarkEnd w:id="94"/>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（1）巡查任务模块：提供移动端巡查任务作业模块，支持巡查任务查看、执行、进度上报等功能；支持巡查过程中问题拍照、记录上传。</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（2）维修任务模块：提供移动端维修任务作业模块，支持维修工单查看、维修过程记录、维修结果反馈等功能，实现维修闭环管理。</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（3）问题上报模块：提供移动端即时上报作业模块，支持一线人员随时上报发现的排水设施问题、监测设备故障等，附带位置、照片、描述等信息。</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（4）终端监测模块：提供移动端感知监测数据查询功能，支持感知设备分布情况查询、监测数据实时查看等。</w:t>
      </w:r>
      <w:r/>
    </w:p>
    <w:p>
      <w:pPr>
        <w:ind w:left="0" w:firstLine="482"/>
        <w:jc w:val="left"/>
        <w:keepLines w:val="0"/>
        <w:keepNext w:val="0"/>
        <w:pageBreakBefore w:val="0"/>
        <w:spacing w:before="120" w:after="120" w:line="288" w:lineRule="auto"/>
        <w:widowControl w:val="off"/>
        <w:rPr>
          <w:rFonts w:hint="eastAsia" w:ascii="宋体" w:hAnsi="宋体" w:eastAsia="宋体" w:cs="宋体"/>
          <w:b/>
          <w:color w:val="auto"/>
          <w:sz w:val="24"/>
          <w:szCs w:val="24"/>
          <w:highlight w:val="none"/>
        </w:rPr>
        <w:outlineLvl w:val="2"/>
      </w:pPr>
      <w:r/>
      <w:bookmarkStart w:id="95" w:name="heading_14"/>
      <w:r>
        <w:rPr>
          <w:rFonts w:hint="eastAsia" w:ascii="宋体" w:hAnsi="宋体" w:eastAsia="宋体" w:cs="宋体"/>
          <w:b/>
          <w:color w:val="auto"/>
          <w:sz w:val="24"/>
          <w:szCs w:val="24"/>
          <w:highlight w:val="none"/>
        </w:rPr>
        <w:t xml:space="preserve">3、AI智能问答模块</w:t>
      </w:r>
      <w:bookmarkEnd w:id="95"/>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AI问答交互模式，为平台用户提供7×24小时智能化服务，具体包含：</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（1）基础交互：支持中文口语化/书面化问句解析、多轮上下文对话，精准识别水务业务咨询、数据查询、故障排查等用户意图。</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（2）专业问答：内置宿豫区水务专项知识库（涵盖管网运维、水质监测等业务），支持模糊查询与精准查询，可联动平台实时数据生成可视化报表。</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（3）故障指引：基于本地水务设施常见故障类型，推送分步排查方案，支持一键生成并同步故障工单。</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（4）管理运维：支持知识库批量导入更新、问答日志统计分析、模型迭代优化，按角色分级管控数据查询权限。</w:t>
      </w:r>
      <w:r/>
    </w:p>
    <w:p>
      <w:pPr>
        <w:ind w:left="0" w:firstLine="482"/>
        <w:jc w:val="left"/>
        <w:keepLines w:val="0"/>
        <w:keepNext w:val="0"/>
        <w:pageBreakBefore w:val="0"/>
        <w:spacing w:before="120" w:after="120" w:line="288" w:lineRule="auto"/>
        <w:widowControl w:val="off"/>
        <w:rPr>
          <w:rFonts w:hint="eastAsia" w:ascii="宋体" w:hAnsi="宋体" w:eastAsia="宋体" w:cs="宋体"/>
          <w:b/>
          <w:color w:val="auto"/>
          <w:sz w:val="24"/>
          <w:szCs w:val="24"/>
          <w:highlight w:val="none"/>
        </w:rPr>
        <w:outlineLvl w:val="2"/>
      </w:pPr>
      <w:r/>
      <w:bookmarkStart w:id="96" w:name="heading_15"/>
      <w:r>
        <w:rPr>
          <w:rFonts w:hint="eastAsia" w:ascii="宋体" w:hAnsi="宋体" w:eastAsia="宋体" w:cs="宋体"/>
          <w:b/>
          <w:color w:val="auto"/>
          <w:sz w:val="24"/>
          <w:szCs w:val="24"/>
          <w:highlight w:val="none"/>
        </w:rPr>
        <w:t xml:space="preserve">4、巡查养护管理系统</w:t>
      </w:r>
      <w:bookmarkEnd w:id="96"/>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通过后台管理端和手机端APP的联合可实现对养护工作的“数量+质量”的双复核监管，能够准确量化养护的工作量，提高养护的质量，并为后续养护计划的制定提供合理依据。</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（1）支持按照周、月、季、年生成巡检计划；计划在得到批准后，可下达工单并提醒相关执行人员，安排维修与维护工作。</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（2）系统支持按照巡检计划，派发管线巡检工单；规定执行日期、路线、巡查内容等；巡检过程中发现的问题可被记录下来并生成故障工作单。</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（3）系统支持管网封堵作业审批、作业过程全记录。</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（4）系统支持下井作业审批、作业全过程记录。</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（5）系统支持各类台账导出。</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（6）系统支持各类报表自定义导出。</w:t>
      </w:r>
      <w:r/>
    </w:p>
    <w:p>
      <w:pPr>
        <w:ind w:left="0" w:firstLine="482"/>
        <w:jc w:val="left"/>
        <w:keepLines w:val="0"/>
        <w:keepNext w:val="0"/>
        <w:pageBreakBefore w:val="0"/>
        <w:spacing w:before="120" w:after="120" w:line="288" w:lineRule="auto"/>
        <w:widowControl w:val="off"/>
        <w:rPr>
          <w:rFonts w:hint="eastAsia" w:ascii="宋体" w:hAnsi="宋体" w:eastAsia="宋体" w:cs="宋体"/>
          <w:b/>
          <w:color w:val="auto"/>
          <w:sz w:val="24"/>
          <w:szCs w:val="24"/>
          <w:highlight w:val="none"/>
        </w:rPr>
        <w:outlineLvl w:val="2"/>
      </w:pPr>
      <w:r/>
      <w:bookmarkStart w:id="97" w:name="heading_16"/>
      <w:r>
        <w:rPr>
          <w:rFonts w:hint="eastAsia" w:ascii="宋体" w:hAnsi="宋体" w:eastAsia="宋体" w:cs="宋体"/>
          <w:b/>
          <w:color w:val="auto"/>
          <w:sz w:val="24"/>
          <w:szCs w:val="24"/>
          <w:highlight w:val="none"/>
        </w:rPr>
        <w:t xml:space="preserve">5、数据对接迁移与新平台部署</w:t>
      </w:r>
      <w:bookmarkEnd w:id="97"/>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（1）部署环境搭建：在政务云环境下搭建国产化部署环境，配置国产服务器、操作系统、数据库及中间件，确保环境稳定可靠；为数据对接迁移工作搭建安全的临时数据传输通道。</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（2）数据迁移：</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 迁移范围：包括管网基础数据、管网检测数据（检测图片、视频、缺陷记录）、设备监测数据、系统基础数据（基础底图、模型计算、溢流内涝等数据）。</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 数据梳理：全面梳理需迁移数据的类型、格式、数据量、存储方式等信息，形成数据梳理报告，明确需对接迁移的数据范围和要求。</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 数据清洗转换：按照新平台数据标准规范，对需迁移数据进行清洗、去重、补全、格式转换等处理，确保数据符合新平台接入要求。</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 数据对接导入：通过工具或标准化接口，将处理后的数据分批次、分类型导入新平台；建立数据对接过程监控机制，实时跟踪对接进度和数据质量。</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 数据校验验收：对接完成后，通过数据抽样检查、完整性核查、一致性比对等方式，对迁移数据进行全面校验；确保全量数据完整、准确对接至新平台，出具数据对接验收报告。</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（3）系统调整及部署：</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 系统部署：包括地图应用模块（基础管网、拓扑管理、健康评估、动态巡检、溢流内涝、模型计算）、监测设备模块（终端监测）、水质水量监测模块（监测点位、监测数据）、系统管理模块（个人设置）等。</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 系统调整：包括监测设备数据推送调整、排水数据共享接口调整、APP调整迁移、CAD图纸导出功能调整等。</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 系统测试：包括功能测试、压力测试、上线试运行及漏洞修复。</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（4）等保测评与备案相关工作：</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 等保测评：对系统进行安全等级保护测评（三级）和风险评估，以及针对测评结果对系统进行整改（包括安全漏洞修复等）。</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 资源申请材料编制：包括建设方案、政务云资源申请表、等保备案定级（网安）、系统网络规划（含设计拓扑图、专线信息）、系统安全应急保障方案、系统数据字典、系统公共数据共享清单、数据需求清单、云资源需求清单、数据库只读账号、政务云应用系统上云调查问卷、堡垒机账号申请表等。</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 联网备案：办理计算机信息网络国际联网备案；申请独立互联网域名并取得国家工信部的ICP备案；申请SSL安全证书。</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（5）域名与标识配置：新平台域名后缀需符合政务网站规范，按照要求添加政府网站标识和平台入口。</w:t>
      </w:r>
      <w:r/>
    </w:p>
    <w:p>
      <w:pPr>
        <w:ind w:left="0" w:firstLine="482"/>
        <w:jc w:val="left"/>
        <w:keepLines w:val="0"/>
        <w:keepNext w:val="0"/>
        <w:pageBreakBefore w:val="0"/>
        <w:spacing w:before="120" w:after="120" w:line="288" w:lineRule="auto"/>
        <w:widowControl w:val="off"/>
        <w:rPr>
          <w:rFonts w:hint="eastAsia" w:ascii="宋体" w:hAnsi="宋体" w:eastAsia="宋体" w:cs="宋体"/>
          <w:b/>
          <w:color w:val="auto"/>
          <w:sz w:val="24"/>
          <w:szCs w:val="24"/>
          <w:highlight w:val="none"/>
        </w:rPr>
        <w:outlineLvl w:val="2"/>
      </w:pPr>
      <w:r/>
      <w:bookmarkStart w:id="98" w:name="heading_17"/>
      <w:r>
        <w:rPr>
          <w:rFonts w:hint="eastAsia" w:ascii="宋体" w:hAnsi="宋体" w:eastAsia="宋体" w:cs="宋体"/>
          <w:b/>
          <w:color w:val="auto"/>
          <w:sz w:val="24"/>
          <w:szCs w:val="24"/>
          <w:highlight w:val="none"/>
        </w:rPr>
        <w:t xml:space="preserve">6、运维服务保障（2026-2027年）</w:t>
      </w:r>
      <w:bookmarkEnd w:id="98"/>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（1）日常运维服务：包括新平台系统及配套软硬件的日常监控、故障排查、性能优化、数据维护（含迁移后历史数据的维护）等服务；定期开展现场巡检和回访，及时发现并解决运行问题。</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（2）安全运维服务：定期开展安全漏洞扫描、入侵检测、安全审计等工作；及时修复安全漏洞，更新安全防护策略；配合完成网络安全等级保护测评相关工作；重点保障迁移数据的安全存储和使用。</w:t>
      </w:r>
      <w:r/>
    </w:p>
    <w:p>
      <w:pPr>
        <w:ind w:firstLine="48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（3）技术支持服务：提供7×24小时技术咨询和故障响应服务，保障平台运行异常时快速响应和处置；为用户提供新平台操作技术培训和指导，同时解答数据对接迁移相关的疑问</w:t>
      </w:r>
      <w:r>
        <w:rPr>
          <w:rFonts w:hint="eastAsia" w:ascii="宋体" w:hAnsi="宋体" w:eastAsia="宋体" w:cs="Times New Roman"/>
          <w:color w:val="auto"/>
          <w:sz w:val="24"/>
          <w:szCs w:val="24"/>
          <w:highlight w:val="none"/>
          <w:lang w:eastAsia="zh-CN"/>
        </w:rPr>
        <w:t xml:space="preserve">。</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（4）应急保障服务：建立应急响应机制，针对系统故障、网络攻击、数据安全事件、突发事件等情况，制定应急预案并组织演练；确保突发事件发生时能够快速处置，最小化影响。</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（5）优化升级服务：根据业务需求变化和政策调整，对新平台功能进行适当调整完善；配合完成国产化适配优化、数据对接迁移后续完善等工作。</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（6）排水管网数据更新入库：提供排水管网普查数据录入服务</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包括数据提取、数据处理、数据检查、数据入库、计算拓扑数据，管网数据版本建设。</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（7）排水管网监测数据更新入库：提供排水管网检测数据录入服务，包括缺陷数据提取、数据处理、数据入库；缺陷视频、缺陷图片与检测记录挂接、检测数据版本建设。</w:t>
      </w:r>
      <w:r/>
    </w:p>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在线监测设备接入服务：提供在线监测设备接入服务，包括设备信息建库、数据接入、数据存储、数据展示等服务；在线监测设备类型包括污染源污水异常排放监测设备、内涝积水在线监测站、在线水质自动监测系统、在线液位计</w:t>
      </w:r>
      <w:r>
        <w:rPr>
          <w:rFonts w:hint="eastAsia" w:ascii="宋体" w:hAnsi="宋体" w:eastAsia="宋体" w:cs="Times New Roman"/>
          <w:color w:val="auto"/>
          <w:sz w:val="24"/>
          <w:szCs w:val="24"/>
          <w:highlight w:val="none"/>
          <w:lang w:val="en-US" w:eastAsia="zh-CN"/>
        </w:rPr>
        <w:t xml:space="preserve">等</w:t>
      </w:r>
      <w:r>
        <w:rPr>
          <w:rFonts w:hint="eastAsia" w:ascii="宋体" w:hAnsi="宋体" w:eastAsia="宋体" w:cs="Times New Roman"/>
          <w:color w:val="auto"/>
          <w:sz w:val="24"/>
          <w:szCs w:val="24"/>
          <w:highlight w:val="none"/>
        </w:rPr>
        <w:t xml:space="preserve">。</w:t>
      </w:r>
      <w:r/>
    </w:p>
    <w:p>
      <w:pPr>
        <w:ind w:firstLine="562"/>
        <w:jc w:val="center"/>
        <w:spacing w:line="360" w:lineRule="auto"/>
        <w:widowControl/>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 xml:space="preserve">服务清单</w:t>
      </w:r>
      <w:r/>
    </w:p>
    <w:tbl>
      <w:tblPr>
        <w:tblStyle w:val="680"/>
        <w:tblW w:w="90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7"/>
        <w:gridCol w:w="1232"/>
        <w:gridCol w:w="958"/>
        <w:gridCol w:w="4850"/>
        <w:gridCol w:w="725"/>
        <w:gridCol w:w="712"/>
      </w:tblGrid>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服务类型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center"/>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智慧水务管控平台PC端</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系统首页</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提供片区排水设施总体情况总览、包括污水厂进水主管水质监测情况和排水设施、拓扑问题、缺陷问题、感知设备分布情况。</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基础管网</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1、建立统一的排水设施数据标准，将现状及历史的排水设施普查等成果，按照标准进行处理和入库，实现排水设施数据的信息化管理。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2、形成基于GIS技术的排水管网信息化一张图，实现排水设施数据的可视化管理。支持基础信息、混接等信息的查询，支持三维排水设施场景展示。</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3、建立排水管网历史版本管理，支持查看各年度历史管网情况。</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4、提供基础地图工具：包括查询、追溯分析、区域查询、纵断面分析、最短路径分析、坐标定位、复合信息查询、CAD导出，街道地图/影像地图切换等工具。</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拓扑管理</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1、梳理排水系统连接关系、对管网流向脉络、管网混接情况等进行分析，系统自动识别并定位排水管网中存在大管接小管、逆坡、断头、混接点等拓扑问题，形成拓扑问题专题数据库。</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2、拓扑问题空间落图：与管网一张图叠加，实现拓扑问题可视化管理。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3、拓扑问题分析：提供拓扑问题统计、查询、筛选、下载、地图定位、详情查看等功能。</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健康评估</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1、以排水设施为入口，整合管道检测成果，包括检测报告、检测视频、缺陷截图、缺陷记录等信息，梳理并入库，形成病害问题专题数据库。</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2、病害问题空间落图：与管网一张图叠加，实现病害问题可视化管理。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3、病害问题分析：提供病害问题统计、查询、筛选、下载、地图定位、详情查看等功能；其中详情信息查询支持病害问题缺陷信息、缺陷截图、检测视频等信息。</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终端监测</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1、对项目现状安装的排水感知设备，包括液位计、污染源污水异常排放监测设备、内涝积水在线监测站、在线水质自动监测系统、地表水监测等设备，按照统一传输规范进行数据接入和设备管理。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2、对监测设备安装位置进行空间落图，实现感知设备的可视化管理。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3、监测预警：支持对设备监测值及设备运行情况设定预警功能；对监测超限、离线、故障等设备进行突出显示。</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4、数据分析：提供基础信息查询、监测数据查询、数据导出、支持多设备监测数据关联分析功能等功能。</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动态巡检</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1、提供排水设施巡查、维修等排水设施运维管理功能,结合移动端APP的使用实现排水设施运维的闭环管理；</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2、支持运维任务的发布和运维记录详情查看等功能。</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溢流内涝</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1、对历史溢流内涝数据进行梳理入库，形成溢流内涝历史数据库；</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2、数据查询与分析：对历史溢流内涝记录进行空间可视化查询分析，包括积水区域空间落图，支持对内涝成因、面积、现场照片等信息的查询。</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模型计算</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建立雨水系统水力模型，模型集成于系统平台内实现可视化；功能适用于排水设施雨天工况评估，实现对不同重现期下内涝积水风险评估。</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临测点位</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1、建立区域水质水量临测点位，通过列表和空间落图的形式进行展示，对水质超标点位进行突出展示；</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2、绘制临测点位上游汇水区域，实现临测点位与地图联动，关联查询区域内的排水设施情况；</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3、支持通过点击查询、关联分析的方式查询水质监测情况。</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临测数据</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建立水质临测数据台账，对临测数据进行电子化管理；支持通过批量导入的方式录入临测数据；支持通过日期、点位编号等方式查询数据和导出数据。</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点位管理</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对临测点位信息进行台账管理，支持对临测点位基本信息、位置、监测因子、报警规则进行自定义配置。</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智慧水务管控平台APP</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巡查任务</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提供移动端巡查任务作业模块。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维修任务</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提供移动端维修任务作业模块。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问题上报</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提供移动端即时上报作业模块。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终端监测</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提供移动端感知监测数据查询功能，支持感知设备分布情况查询、监测数据查询等。</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539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巡查养护</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巡查养护管理系统</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通过后台管理端和手机端APP的联合可实现对养护工作的“数量+质量”的双复核监管，能够准确量化养护的工作量，提高养护的质量，并为后续养护计划的制定提供合理依据。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(1)支持按照周，月，季，年生成巡检计划。计划在得到批准后，可下达工单并提醒相关执行人员，安排维修与维护工作；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（2）系统支持按照巡检计划，派发管线巡检工单。规定执行日期、路线、巡查内容等。巡检过程中发现的问题可被记录下来并发生故障工作单；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（3）系统支持管网封堵作业审批、作业过程全记录；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（4）系统支持下井作业审批、作业全过程记录；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（5）系统支持各类台账导出；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（6）系统支持各类报表自定义导出；</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智慧水务AI智能问答模块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AI智能问答模块</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AI问答交互模式，为平台用户提供7×24小时智能化服务，具体包含：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1.基础交互：支持中文口语化/书面化问句解析、多轮上下文对话，精准识别水务业务咨询、数据查询、故障排查等用户意图；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2.专业问答：内置宿豫区水务专项知识库（涵盖管网运维、水质监测、供水调度等业务），支持模糊查询与精准查询，可联动平台实时数据生成可视化报表；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3.故障指引：基于本地水务设施常见故障类型，推送分步排查方案，支持一键生成并同步故障工单；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4.管理运维：支持知识库批量导入更新、问答日志统计分析、模型迭代优化，按角色分级管控数据查询权限</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single" w:color="000000" w:sz="4" w:space="0"/>
            </w:tcBorders>
            <w:tcW w:w="12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系统部署政务云服务</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等保测评</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对系统进行安全等级保护测评（三级）和风险评估、以及针对测评结果对系统进行整改(包括安全漏洞修复等)。</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资源申请</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材料编制：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资源申请材料的编制包括：建设方案、宿豫区政务云资源申请表、等保备案定级（网安）、系统网络规划（含设计拓扑图、专线信息）、系统安全应急保障方案、系统数据字典、系统公共数据共享清单、数据需求清单、云资源需求清单、数据库只读账号、政务云应用系统上云调查问卷、堡垒机账号申请表等。</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联网备案</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1.办理计算机信息网络国际联网备案；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2.申请独立互联网域名并取得国家工信部的ICP备案；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3.申请SSL安全证书。</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8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数据迁移</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包括：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1.管网基础数据；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2.管网检测数据（检测图片、视频、缺陷记录）；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3.设备监测数据；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4.系统基础数据（基础底图、模型计算、溢流内涝等数据）。</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5298"/>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系统调整及部署</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bookmarkStart w:id="123" w:name="_GoBack"/>
            <w:r>
              <w:rPr>
                <w:rFonts w:hint="eastAsia" w:ascii="宋体" w:hAnsi="宋体" w:eastAsia="宋体" w:cs="宋体"/>
                <w:i w:val="0"/>
                <w:iCs w:val="0"/>
                <w:color w:val="auto"/>
                <w:sz w:val="24"/>
                <w:szCs w:val="24"/>
                <w:highlight w:val="none"/>
                <w:u w:val="none"/>
                <w:lang w:val="en-US" w:eastAsia="zh-CN" w:bidi="ar"/>
              </w:rPr>
              <w:t xml:space="preserve">一.系统部署：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1.地图应用模块：包括基础管网、拓扑管理、健康评估、动态巡检、溢流内涝、模型计算。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2.监测设备模块：终端监测。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3.水质水量监测模块：包括临测点位、临测数据。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4.系统管理模块：个人设置。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二.系统调整：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1.监测设备数据推送调整；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2.排水数据共享接口调整；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3.app调整迁移；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4.CAD图纸导出功能调整。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三.系统测试：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1.功能测试；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2.压力测试；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3.上线试运行及漏洞修复。</w:t>
            </w:r>
            <w:bookmarkEnd w:id="123"/>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系统运维服务</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系统运维服务</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保障系统运维期间的系统正常运行，提供平台的日常运行监控。技术支持、故障处理、数据备份与恢复</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排水管网数据更新入库</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提供排水管网普查数据录入服务，包括数据提取、数据处理、数据检查、数据入库、计算拓扑数据，管网</w:t>
            </w:r>
            <w:r>
              <w:rPr>
                <w:rFonts w:hint="eastAsia" w:ascii="宋体" w:hAnsi="宋体" w:eastAsia="宋体" w:cs="宋体"/>
                <w:i w:val="0"/>
                <w:iCs w:val="0"/>
                <w:color w:val="auto"/>
                <w:sz w:val="24"/>
                <w:szCs w:val="24"/>
                <w:highlight w:val="none"/>
                <w:u w:val="none"/>
                <w:lang w:val="en-US" w:eastAsia="zh-CN" w:bidi="ar"/>
              </w:rPr>
              <w:t xml:space="preserve">数据版本建设。</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排水管网监测数据更新入库</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提供排水管网检测数据录入服务，包括缺陷数据提取、数据处理。数据入库；缺陷视频，缺陷图片与检测记录挂接、检测数据版本建设。</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875"/>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在线监测设备接入服务</w:t>
            </w:r>
            <w:r/>
          </w:p>
        </w:tc>
        <w:tc>
          <w:tcPr>
            <w:shd w:val="clear" w:color="auto" w:fill="auto"/>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在线监测设备接入服务：包括设备信息建库、数据接入、数据存储、数据展示等服务；在线监测设备类型包括污染源污水异常排放监测设备、内涝积水在线监测站、在线水质自动监测系统、在线液位计、监控等。</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bl>
    <w:p>
      <w:pPr>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备注：1、系统需部署在宿豫区政务云平台；</w:t>
      </w:r>
      <w:r/>
    </w:p>
    <w:p>
      <w:pPr>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2、供应商须义务配合在采购人提供的资源环境中进行环境搭建和政务云的部署；</w:t>
      </w:r>
      <w:r/>
    </w:p>
    <w:p>
      <w:pPr>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3、目前在线设备预估数量（包含但不限于）：液位计---74套、污染源监控---130套、内涝积水点监控---14套、</w:t>
      </w:r>
      <w:r>
        <w:rPr>
          <w:rFonts w:hint="eastAsia" w:ascii="宋体" w:hAnsi="宋体" w:eastAsia="宋体" w:cs="宋体"/>
          <w:b/>
          <w:bCs/>
          <w:i w:val="0"/>
          <w:iCs w:val="0"/>
          <w:color w:val="auto"/>
          <w:sz w:val="24"/>
          <w:szCs w:val="24"/>
          <w:highlight w:val="none"/>
          <w:u w:val="none"/>
          <w:lang w:val="en-US" w:eastAsia="zh-CN" w:bidi="ar"/>
        </w:rPr>
        <w:t xml:space="preserve">在线水质自动监测系统</w:t>
      </w:r>
      <w:r>
        <w:rPr>
          <w:rFonts w:hint="eastAsia" w:ascii="宋体" w:hAnsi="宋体" w:eastAsia="宋体" w:cs="Times New Roman"/>
          <w:b/>
          <w:bCs/>
          <w:color w:val="auto"/>
          <w:sz w:val="24"/>
          <w:szCs w:val="24"/>
          <w:highlight w:val="none"/>
          <w:lang w:val="en-US" w:eastAsia="zh-CN"/>
        </w:rPr>
        <w:t xml:space="preserve">---24套、地表水监测---6套、雨水闸门监控----24个。</w:t>
      </w:r>
      <w:r/>
    </w:p>
    <w:p>
      <w:pPr>
        <w:ind w:left="0"/>
        <w:jc w:val="left"/>
        <w:keepLines w:val="0"/>
        <w:keepNext w:val="0"/>
        <w:pageBreakBefore w:val="0"/>
        <w:spacing w:before="100" w:after="100" w:line="288" w:lineRule="auto"/>
        <w:widowControl w:val="off"/>
        <w:rPr>
          <w:rFonts w:hint="eastAsia" w:ascii="宋体" w:hAnsi="宋体" w:eastAsia="宋体" w:cs="宋体"/>
          <w:b/>
          <w:color w:val="auto"/>
          <w:sz w:val="24"/>
          <w:szCs w:val="20"/>
          <w:highlight w:val="none"/>
          <w:lang w:val="en-US" w:eastAsia="zh-CN"/>
        </w:rPr>
        <w:outlineLvl w:val="1"/>
      </w:pPr>
      <w:r/>
      <w:bookmarkStart w:id="99" w:name="heading_18"/>
      <w:r>
        <w:rPr>
          <w:rFonts w:hint="eastAsia" w:ascii="宋体" w:hAnsi="宋体" w:eastAsia="宋体" w:cs="宋体"/>
          <w:b/>
          <w:color w:val="auto"/>
          <w:sz w:val="24"/>
          <w:szCs w:val="20"/>
          <w:highlight w:val="none"/>
        </w:rPr>
        <w:t xml:space="preserve">（三）</w:t>
      </w:r>
      <w:r>
        <w:rPr>
          <w:rFonts w:hint="eastAsia" w:ascii="宋体" w:hAnsi="宋体" w:eastAsia="宋体" w:cs="宋体"/>
          <w:b/>
          <w:color w:val="auto"/>
          <w:sz w:val="24"/>
          <w:szCs w:val="20"/>
          <w:highlight w:val="none"/>
          <w:lang w:val="en-US" w:eastAsia="zh-CN"/>
        </w:rPr>
        <w:t xml:space="preserve">技术</w:t>
      </w:r>
      <w:r>
        <w:rPr>
          <w:rFonts w:hint="eastAsia" w:ascii="宋体" w:hAnsi="宋体" w:eastAsia="宋体" w:cs="宋体"/>
          <w:b/>
          <w:color w:val="auto"/>
          <w:sz w:val="24"/>
          <w:szCs w:val="20"/>
          <w:highlight w:val="none"/>
        </w:rPr>
        <w:t xml:space="preserve">参数</w:t>
      </w:r>
      <w:bookmarkEnd w:id="99"/>
      <w:r>
        <w:rPr>
          <w:rFonts w:hint="eastAsia" w:ascii="宋体" w:hAnsi="宋体" w:eastAsia="宋体" w:cs="宋体"/>
          <w:b/>
          <w:color w:val="auto"/>
          <w:sz w:val="24"/>
          <w:szCs w:val="20"/>
          <w:highlight w:val="none"/>
          <w:lang w:val="en-US" w:eastAsia="zh-CN"/>
        </w:rPr>
        <w:t xml:space="preserve">要求</w:t>
      </w:r>
      <w:r/>
    </w:p>
    <w:tbl>
      <w:tblPr>
        <w:tblStyle w:val="680"/>
        <w:tblW w:w="83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64"/>
        <w:gridCol w:w="1530"/>
        <w:gridCol w:w="6067"/>
      </w:tblGrid>
      <w:tr>
        <w:trPr/>
        <w:tc>
          <w:tcPr>
            <w:tcMar>
              <w:left w:w="120" w:type="dxa"/>
              <w:top w:w="60" w:type="dxa"/>
              <w:right w:w="120" w:type="dxa"/>
              <w:bottom w:w="30" w:type="dxa"/>
            </w:tcMar>
            <w:tcW w:w="764" w:type="dxa"/>
            <w:textDirection w:val="lrTb"/>
            <w:noWrap w:val="false"/>
          </w:tcPr>
          <w:p>
            <w:pPr>
              <w:jc w:val="center"/>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序号</w:t>
            </w:r>
            <w:r/>
          </w:p>
        </w:tc>
        <w:tc>
          <w:tcPr>
            <w:tcMar>
              <w:left w:w="120" w:type="dxa"/>
              <w:top w:w="60" w:type="dxa"/>
              <w:right w:w="120" w:type="dxa"/>
              <w:bottom w:w="30" w:type="dxa"/>
            </w:tcMar>
            <w:tcW w:w="1530" w:type="dxa"/>
            <w:textDirection w:val="lrTb"/>
            <w:noWrap w:val="false"/>
          </w:tcPr>
          <w:p>
            <w:pPr>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功能模块</w:t>
            </w:r>
            <w:r/>
          </w:p>
        </w:tc>
        <w:tc>
          <w:tcPr>
            <w:tcMar>
              <w:left w:w="120" w:type="dxa"/>
              <w:top w:w="60" w:type="dxa"/>
              <w:right w:w="120" w:type="dxa"/>
              <w:bottom w:w="30" w:type="dxa"/>
            </w:tcMar>
            <w:tcW w:w="6067" w:type="dxa"/>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功能描述</w:t>
            </w:r>
            <w:r/>
          </w:p>
        </w:tc>
      </w:tr>
      <w:tr>
        <w:trPr>
          <w:trHeight w:val="90"/>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系统首页</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▲支持片区排水设施总体情况总览，含污水厂进水主管水质监测情况、排水设施分布、拓扑问题统计、缺陷问题统计、感知设备分布</w:t>
            </w:r>
            <w:r>
              <w:rPr>
                <w:rFonts w:hint="eastAsia" w:ascii="宋体" w:hAnsi="宋体" w:eastAsia="宋体" w:cs="Times New Roman"/>
                <w:color w:val="auto"/>
                <w:sz w:val="24"/>
                <w:szCs w:val="24"/>
                <w:highlight w:val="none"/>
                <w:lang w:eastAsia="zh-CN"/>
              </w:rPr>
              <w:t xml:space="preserve">。</w:t>
            </w:r>
            <w:r/>
          </w:p>
        </w:tc>
      </w:tr>
      <w:tr>
        <w:trPr>
          <w:trHeight w:val="399"/>
        </w:trPr>
        <w:tc>
          <w:tcPr>
            <w:tcMar>
              <w:left w:w="120" w:type="dxa"/>
              <w:top w:w="60" w:type="dxa"/>
              <w:right w:w="120" w:type="dxa"/>
              <w:bottom w:w="30" w:type="dxa"/>
            </w:tcMar>
            <w:tcW w:w="764" w:type="dxa"/>
            <w:vAlign w:val="center"/>
            <w:vMerge w:val="continue"/>
            <w:textDirection w:val="lrTb"/>
            <w:noWrap w:val="false"/>
          </w:tcPr>
          <w:p>
            <w:pPr>
              <w:ind w:firstLine="420"/>
              <w:jc w:val="center"/>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20"/>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关键数据可视化展示，支持数据钻取查询</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页面响应速度＜1秒</w:t>
            </w:r>
            <w:r>
              <w:rPr>
                <w:rFonts w:hint="eastAsia" w:ascii="宋体" w:hAnsi="宋体" w:eastAsia="宋体" w:cs="Times New Roman"/>
                <w:color w:val="auto"/>
                <w:sz w:val="24"/>
                <w:szCs w:val="24"/>
                <w:highlight w:val="none"/>
                <w:lang w:eastAsia="zh-CN"/>
              </w:rPr>
              <w:t xml:space="preserve">。</w:t>
            </w:r>
            <w:r/>
          </w:p>
        </w:tc>
      </w:tr>
      <w:tr>
        <w:trPr>
          <w:trHeight w:val="482"/>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基础管网模块</w:t>
            </w:r>
            <w:r/>
          </w:p>
        </w:tc>
        <w:tc>
          <w:tcPr>
            <w:tcMar>
              <w:left w:w="120" w:type="dxa"/>
              <w:top w:w="60" w:type="dxa"/>
              <w:right w:w="120" w:type="dxa"/>
              <w:bottom w:w="30" w:type="dxa"/>
            </w:tcMar>
            <w:tcW w:w="6067" w:type="dxa"/>
            <w:textDirection w:val="lrTb"/>
            <w:noWrap w:val="false"/>
          </w:tcPr>
          <w:p>
            <w:pPr>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支持排水设施数据标准化处理与入库，数据入库准确率≥99.5%</w:t>
            </w:r>
            <w:r>
              <w:rPr>
                <w:rFonts w:hint="eastAsia" w:ascii="宋体" w:hAnsi="宋体" w:eastAsia="宋体" w:cs="Times New Roman"/>
                <w:color w:val="auto"/>
                <w:sz w:val="24"/>
                <w:szCs w:val="24"/>
                <w:highlight w:val="none"/>
                <w:lang w:eastAsia="zh-CN"/>
              </w:rPr>
              <w:t xml:space="preserve">。</w:t>
            </w:r>
            <w:r/>
          </w:p>
        </w:tc>
      </w:tr>
      <w:tr>
        <w:trPr>
          <w:trHeight w:val="90"/>
        </w:trPr>
        <w:tc>
          <w:tcPr>
            <w:tcMar>
              <w:left w:w="120" w:type="dxa"/>
              <w:top w:w="60" w:type="dxa"/>
              <w:right w:w="120" w:type="dxa"/>
              <w:bottom w:w="30" w:type="dxa"/>
            </w:tcMar>
            <w:tcW w:w="764" w:type="dxa"/>
            <w:vAlign w:val="center"/>
            <w:vMerge w:val="continue"/>
            <w:textDirection w:val="lrTb"/>
            <w:noWrap w:val="false"/>
          </w:tcPr>
          <w:p>
            <w:pPr>
              <w:ind w:firstLine="420"/>
              <w:jc w:val="center"/>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20"/>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▲具备GIS管网一张图可视化功能，支持三维排水设施场景展示</w:t>
            </w:r>
            <w:r>
              <w:rPr>
                <w:rFonts w:hint="eastAsia" w:ascii="宋体" w:hAnsi="宋体" w:eastAsia="宋体" w:cs="Times New Roman"/>
                <w:color w:val="auto"/>
                <w:sz w:val="24"/>
                <w:szCs w:val="24"/>
                <w:highlight w:val="none"/>
                <w:lang w:eastAsia="zh-CN"/>
              </w:rPr>
              <w:t xml:space="preserve">。</w:t>
            </w:r>
            <w:r/>
          </w:p>
        </w:tc>
      </w:tr>
      <w:tr>
        <w:trPr>
          <w:trHeight w:val="482"/>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支持管网历史版本管理，可查看近5年历史管网数据</w:t>
            </w:r>
            <w:r>
              <w:rPr>
                <w:rFonts w:hint="eastAsia" w:ascii="宋体" w:hAnsi="宋体" w:eastAsia="宋体" w:cs="Times New Roman"/>
                <w:color w:val="auto"/>
                <w:sz w:val="24"/>
                <w:szCs w:val="24"/>
                <w:highlight w:val="none"/>
                <w:lang w:eastAsia="zh-CN"/>
              </w:rPr>
              <w:t xml:space="preserve">。</w:t>
            </w:r>
            <w:r/>
          </w:p>
        </w:tc>
      </w:tr>
      <w:tr>
        <w:trPr>
          <w:trHeight w:val="482"/>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提供多种地图工具，CAD导出格式支持DWG、DXF，导出成功率≥99%</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地图操作响应速度＜2秒。</w:t>
            </w:r>
            <w:r/>
          </w:p>
        </w:tc>
      </w:tr>
      <w:tr>
        <w:trPr>
          <w:trHeight w:val="649"/>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拓扑管理模块</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▲支持自动识别大管接小管、逆坡、断头、混接点等拓扑问题，识别准确率≥95%。</w:t>
            </w:r>
            <w:r/>
          </w:p>
        </w:tc>
      </w:tr>
      <w:tr>
        <w:trPr>
          <w:trHeight w:val="649"/>
        </w:trPr>
        <w:tc>
          <w:tcPr>
            <w:tcMar>
              <w:left w:w="120" w:type="dxa"/>
              <w:top w:w="60" w:type="dxa"/>
              <w:right w:w="120" w:type="dxa"/>
              <w:bottom w:w="30" w:type="dxa"/>
            </w:tcMar>
            <w:tcW w:w="764" w:type="dxa"/>
            <w:vAlign w:val="center"/>
            <w:vMerge w:val="continue"/>
            <w:textDirection w:val="lrTb"/>
            <w:noWrap w:val="false"/>
          </w:tcPr>
          <w:p>
            <w:pPr>
              <w:jc w:val="center"/>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拓扑问题可与管网一张图叠加展示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支持拓扑问题统计、查询、筛选、下载，数据导出格式支持Excel、PDF</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地图定位精度≤10米</w:t>
            </w:r>
            <w:r>
              <w:rPr>
                <w:rFonts w:hint="eastAsia" w:ascii="宋体" w:hAnsi="宋体" w:eastAsia="宋体" w:cs="Times New Roman"/>
                <w:color w:val="auto"/>
                <w:sz w:val="24"/>
                <w:szCs w:val="24"/>
                <w:highlight w:val="none"/>
                <w:lang w:eastAsia="zh-CN"/>
              </w:rPr>
              <w:t xml:space="preserve">。</w:t>
            </w:r>
            <w:r/>
          </w:p>
        </w:tc>
      </w:tr>
      <w:tr>
        <w:trPr>
          <w:trHeight w:val="486"/>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健康评估模块</w:t>
            </w:r>
            <w:r/>
          </w:p>
        </w:tc>
        <w:tc>
          <w:tcPr>
            <w:tcMar>
              <w:left w:w="120" w:type="dxa"/>
              <w:top w:w="60" w:type="dxa"/>
              <w:right w:w="120" w:type="dxa"/>
              <w:bottom w:w="30" w:type="dxa"/>
            </w:tcMar>
            <w:tcW w:w="6067" w:type="dxa"/>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▲支持管道检测成果（报告、视频、截图、记录）整合入库，数据完整性≥99%</w:t>
            </w:r>
            <w:r>
              <w:rPr>
                <w:rFonts w:hint="eastAsia" w:ascii="宋体" w:hAnsi="宋体" w:eastAsia="宋体" w:cs="Times New Roman"/>
                <w:color w:val="auto"/>
                <w:sz w:val="24"/>
                <w:szCs w:val="24"/>
                <w:highlight w:val="none"/>
                <w:lang w:eastAsia="zh-CN"/>
              </w:rPr>
              <w:t xml:space="preserve">。</w:t>
            </w:r>
            <w:r/>
          </w:p>
        </w:tc>
      </w:tr>
      <w:tr>
        <w:trPr>
          <w:trHeight w:val="486"/>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jc w:val="both"/>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病害问题与管网一张图叠加展示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支持病害问题多条件筛选查询</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详情查看可关联缺陷截图、检测视频，视频播放流畅无卡顿</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支持病害问题处置进度跟踪。</w:t>
            </w:r>
            <w:r/>
          </w:p>
        </w:tc>
      </w:tr>
      <w:tr>
        <w:trPr>
          <w:trHeight w:val="603"/>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终端监测模块</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▲支持多种类型感知设备数据接入，接入协议兼容MQTT、Modbus、TCP/IP等，设备接入成功率≥99%</w:t>
            </w:r>
            <w:r>
              <w:rPr>
                <w:rFonts w:hint="eastAsia" w:ascii="宋体" w:hAnsi="宋体" w:eastAsia="宋体" w:cs="Times New Roman"/>
                <w:color w:val="auto"/>
                <w:sz w:val="24"/>
                <w:szCs w:val="24"/>
                <w:highlight w:val="none"/>
                <w:lang w:eastAsia="zh-CN"/>
              </w:rPr>
              <w:t xml:space="preserve">。</w:t>
            </w:r>
            <w:r/>
          </w:p>
        </w:tc>
      </w:tr>
      <w:tr>
        <w:trPr>
          <w:trHeight w:val="603"/>
        </w:trPr>
        <w:tc>
          <w:tcPr>
            <w:tcMar>
              <w:left w:w="120" w:type="dxa"/>
              <w:top w:w="60" w:type="dxa"/>
              <w:right w:w="120" w:type="dxa"/>
              <w:bottom w:w="30" w:type="dxa"/>
            </w:tcMar>
            <w:tcW w:w="764" w:type="dxa"/>
            <w:vAlign w:val="center"/>
            <w:vMerge w:val="continue"/>
            <w:textDirection w:val="lrTb"/>
            <w:noWrap w:val="false"/>
          </w:tcPr>
          <w:p>
            <w:pPr>
              <w:ind w:firstLine="420"/>
              <w:jc w:val="center"/>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20"/>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设备位置空间落图准确率100%</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支持监测值、设备运行状态预警设置，预警响应时间≤1分钟</w:t>
            </w:r>
            <w:r>
              <w:rPr>
                <w:rFonts w:hint="eastAsia" w:ascii="宋体" w:hAnsi="宋体" w:eastAsia="宋体" w:cs="Times New Roman"/>
                <w:color w:val="auto"/>
                <w:sz w:val="24"/>
                <w:szCs w:val="24"/>
                <w:highlight w:val="none"/>
                <w:lang w:eastAsia="zh-CN"/>
              </w:rPr>
              <w:t xml:space="preserve">。</w:t>
            </w:r>
            <w:r/>
          </w:p>
        </w:tc>
      </w:tr>
      <w:tr>
        <w:trPr>
          <w:trHeight w:val="603"/>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监测数据查询支持按时间、设备类型、监测因子筛选，数据导出成功率≥99%。</w:t>
            </w:r>
            <w:r/>
          </w:p>
        </w:tc>
      </w:tr>
      <w:tr>
        <w:trPr>
          <w:trHeight w:val="90"/>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动态巡检模块</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支持巡检、维修任务发布与跟踪，任务派发响应时间＜30秒</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支持与移动端APP协同，实现任务闭环管理</w:t>
            </w:r>
            <w:r>
              <w:rPr>
                <w:rFonts w:hint="eastAsia" w:ascii="宋体" w:hAnsi="宋体" w:eastAsia="宋体" w:cs="Times New Roman"/>
                <w:color w:val="auto"/>
                <w:sz w:val="24"/>
                <w:szCs w:val="24"/>
                <w:highlight w:val="none"/>
                <w:lang w:eastAsia="zh-CN"/>
              </w:rPr>
              <w:t xml:space="preserve">。</w:t>
            </w:r>
            <w:r/>
          </w:p>
        </w:tc>
      </w:tr>
      <w:tr>
        <w:trPr>
          <w:trHeight w:val="486"/>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运维记录查询完整率≥99%</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支持任务执行情况统计分析，生成月度、季度巡检报告。</w:t>
            </w:r>
            <w:r/>
          </w:p>
        </w:tc>
      </w:tr>
      <w:tr>
        <w:trPr>
          <w:trHeight w:val="486"/>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溢流内涝模块</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支持历史溢流内涝数据梳理入库，数据完整性≥99%</w:t>
            </w:r>
            <w:r>
              <w:rPr>
                <w:rFonts w:hint="eastAsia" w:ascii="宋体" w:hAnsi="宋体" w:eastAsia="宋体" w:cs="Times New Roman"/>
                <w:color w:val="auto"/>
                <w:sz w:val="24"/>
                <w:szCs w:val="24"/>
                <w:highlight w:val="none"/>
                <w:lang w:eastAsia="zh-CN"/>
              </w:rPr>
              <w:t xml:space="preserve">。</w:t>
            </w:r>
            <w:r/>
          </w:p>
        </w:tc>
      </w:tr>
      <w:tr>
        <w:trPr>
          <w:trHeight w:val="486"/>
        </w:trPr>
        <w:tc>
          <w:tcPr>
            <w:tcMar>
              <w:left w:w="120" w:type="dxa"/>
              <w:top w:w="60" w:type="dxa"/>
              <w:right w:w="120" w:type="dxa"/>
              <w:bottom w:w="30" w:type="dxa"/>
            </w:tcMar>
            <w:tcW w:w="764" w:type="dxa"/>
            <w:vAlign w:val="center"/>
            <w:vMerge w:val="continue"/>
            <w:textDirection w:val="lrTb"/>
            <w:noWrap w:val="false"/>
          </w:tcPr>
          <w:p>
            <w:pPr>
              <w:jc w:val="center"/>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积水区域空间落图准确率≥95%</w:t>
            </w:r>
            <w:r>
              <w:rPr>
                <w:rFonts w:hint="eastAsia" w:ascii="宋体" w:hAnsi="宋体" w:eastAsia="宋体" w:cs="Times New Roman"/>
                <w:color w:val="auto"/>
                <w:sz w:val="24"/>
                <w:szCs w:val="24"/>
                <w:highlight w:val="none"/>
                <w:lang w:eastAsia="zh-CN"/>
              </w:rPr>
              <w:t xml:space="preserve">。</w:t>
            </w:r>
            <w:r/>
          </w:p>
        </w:tc>
      </w:tr>
      <w:tr>
        <w:trPr>
          <w:trHeight w:val="486"/>
        </w:trPr>
        <w:tc>
          <w:tcPr>
            <w:tcMar>
              <w:left w:w="120" w:type="dxa"/>
              <w:top w:w="60" w:type="dxa"/>
              <w:right w:w="120" w:type="dxa"/>
              <w:bottom w:w="30" w:type="dxa"/>
            </w:tcMar>
            <w:tcW w:w="764" w:type="dxa"/>
            <w:vAlign w:val="center"/>
            <w:vMerge w:val="continue"/>
            <w:textDirection w:val="lrTb"/>
            <w:noWrap w:val="false"/>
          </w:tcPr>
          <w:p>
            <w:pPr>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支持内涝成因、面积、现场照片等信息查询</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可生成溢流内涝统计报表，支持数据导出与可视化展示</w:t>
            </w:r>
            <w:r>
              <w:rPr>
                <w:rFonts w:hint="eastAsia" w:ascii="宋体" w:hAnsi="宋体" w:eastAsia="宋体" w:cs="Times New Roman"/>
                <w:color w:val="auto"/>
                <w:sz w:val="24"/>
                <w:szCs w:val="24"/>
                <w:highlight w:val="none"/>
                <w:lang w:eastAsia="zh-CN"/>
              </w:rPr>
              <w:t xml:space="preserve">。</w:t>
            </w:r>
            <w:r/>
          </w:p>
        </w:tc>
      </w:tr>
      <w:tr>
        <w:trPr>
          <w:trHeight w:val="493"/>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eastAsia" w:eastAsiaTheme="minor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8</w:t>
            </w:r>
            <w:r/>
          </w:p>
        </w:tc>
        <w:tc>
          <w:tcPr>
            <w:tcMar>
              <w:left w:w="120" w:type="dxa"/>
              <w:top w:w="60" w:type="dxa"/>
              <w:right w:w="120" w:type="dxa"/>
              <w:bottom w:w="30" w:type="dxa"/>
            </w:tcMar>
            <w:tcW w:w="1530" w:type="dxa"/>
            <w:vAlign w:val="center"/>
            <w:vMerge w:val="restart"/>
            <w:textDirection w:val="lrTb"/>
            <w:noWrap w:val="false"/>
          </w:tcPr>
          <w:p>
            <w:pPr>
              <w:spacing w:line="360" w:lineRule="auto"/>
              <w:widowControl/>
              <w:rPr>
                <w:color w:val="auto"/>
                <w:highlight w:val="none"/>
              </w:rPr>
            </w:pPr>
            <w:r>
              <w:rPr>
                <w:rFonts w:hint="eastAsia" w:ascii="宋体" w:hAnsi="宋体" w:eastAsia="宋体" w:cs="Times New Roman"/>
                <w:color w:val="auto"/>
                <w:sz w:val="24"/>
                <w:szCs w:val="24"/>
                <w:highlight w:val="none"/>
              </w:rPr>
              <w:t xml:space="preserve">模型计算模块</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支持雨水系统水力模型可视化展示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可模拟不同重现期（</w:t>
            </w:r>
            <w:r>
              <w:rPr>
                <w:rFonts w:hint="eastAsia" w:ascii="宋体" w:hAnsi="宋体" w:eastAsia="宋体" w:cs="Times New Roman"/>
                <w:color w:val="auto"/>
                <w:sz w:val="24"/>
                <w:szCs w:val="24"/>
                <w:highlight w:val="none"/>
                <w:lang w:val="en-US" w:eastAsia="zh-CN"/>
              </w:rPr>
              <w:t xml:space="preserve">如</w:t>
            </w:r>
            <w:r>
              <w:rPr>
                <w:rFonts w:hint="eastAsia" w:ascii="宋体" w:hAnsi="宋体" w:eastAsia="宋体" w:cs="Times New Roman"/>
                <w:color w:val="auto"/>
                <w:sz w:val="24"/>
                <w:szCs w:val="24"/>
                <w:highlight w:val="none"/>
              </w:rPr>
              <w:t xml:space="preserve">1年、3年、5年、10年）内涝积水风险，模拟结果准确率≥90%；</w:t>
            </w:r>
            <w:r/>
          </w:p>
        </w:tc>
      </w:tr>
      <w:tr>
        <w:trPr>
          <w:trHeight w:val="493"/>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支持模型参数调整与优化，计算结果可导出为图表格式。</w:t>
            </w:r>
            <w:r/>
          </w:p>
        </w:tc>
      </w:tr>
      <w:tr>
        <w:trPr>
          <w:trHeight w:val="649"/>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临</w:t>
            </w:r>
            <w:r>
              <w:rPr>
                <w:rFonts w:hint="eastAsia" w:ascii="宋体" w:hAnsi="宋体" w:eastAsia="宋体" w:cs="Times New Roman"/>
                <w:color w:val="auto"/>
                <w:sz w:val="24"/>
                <w:szCs w:val="24"/>
                <w:highlight w:val="none"/>
              </w:rPr>
              <w:t xml:space="preserve">测点位模块</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▲支持水质水量</w:t>
            </w:r>
            <w:r>
              <w:rPr>
                <w:rFonts w:hint="eastAsia" w:ascii="宋体" w:hAnsi="宋体" w:eastAsia="宋体" w:cs="Times New Roman"/>
                <w:color w:val="auto"/>
                <w:sz w:val="24"/>
                <w:szCs w:val="24"/>
                <w:highlight w:val="none"/>
                <w:lang w:val="en-US" w:eastAsia="zh-CN"/>
              </w:rPr>
              <w:t xml:space="preserve">临</w:t>
            </w:r>
            <w:r>
              <w:rPr>
                <w:rFonts w:hint="eastAsia" w:ascii="宋体" w:hAnsi="宋体" w:eastAsia="宋体" w:cs="Times New Roman"/>
                <w:color w:val="auto"/>
                <w:sz w:val="24"/>
                <w:szCs w:val="24"/>
                <w:highlight w:val="none"/>
              </w:rPr>
              <w:t xml:space="preserve">测点位列表与空间落图双重展示，水质超标点位突出显示（红色标记）</w:t>
            </w:r>
            <w:r>
              <w:rPr>
                <w:rFonts w:hint="eastAsia" w:ascii="宋体" w:hAnsi="宋体" w:eastAsia="宋体" w:cs="Times New Roman"/>
                <w:color w:val="auto"/>
                <w:sz w:val="24"/>
                <w:szCs w:val="24"/>
                <w:highlight w:val="none"/>
                <w:lang w:eastAsia="zh-CN"/>
              </w:rPr>
              <w:t xml:space="preserve">。</w:t>
            </w:r>
            <w:r/>
          </w:p>
        </w:tc>
      </w:tr>
      <w:tr>
        <w:trPr>
          <w:trHeight w:val="649"/>
        </w:trPr>
        <w:tc>
          <w:tcPr>
            <w:tcMar>
              <w:left w:w="120" w:type="dxa"/>
              <w:top w:w="60" w:type="dxa"/>
              <w:right w:w="120" w:type="dxa"/>
              <w:bottom w:w="30" w:type="dxa"/>
            </w:tcMar>
            <w:tcW w:w="764" w:type="dxa"/>
            <w:vAlign w:val="center"/>
            <w:vMerge w:val="continue"/>
            <w:textDirection w:val="lrTb"/>
            <w:noWrap w:val="false"/>
          </w:tcPr>
          <w:p>
            <w:pPr>
              <w:ind w:firstLine="420"/>
              <w:jc w:val="center"/>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20"/>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可绘制</w:t>
            </w:r>
            <w:r>
              <w:rPr>
                <w:rFonts w:hint="eastAsia" w:ascii="宋体" w:hAnsi="宋体" w:eastAsia="宋体" w:cs="Times New Roman"/>
                <w:color w:val="auto"/>
                <w:sz w:val="24"/>
                <w:szCs w:val="24"/>
                <w:highlight w:val="none"/>
                <w:lang w:val="en-US" w:eastAsia="zh-CN"/>
              </w:rPr>
              <w:t xml:space="preserve">临</w:t>
            </w:r>
            <w:r>
              <w:rPr>
                <w:rFonts w:hint="eastAsia" w:ascii="宋体" w:hAnsi="宋体" w:eastAsia="宋体" w:cs="Times New Roman"/>
                <w:color w:val="auto"/>
                <w:sz w:val="24"/>
                <w:szCs w:val="24"/>
                <w:highlight w:val="none"/>
              </w:rPr>
              <w:t xml:space="preserve">测点位上游汇水区域，汇水区域计算准确率≥95%</w:t>
            </w:r>
            <w:r>
              <w:rPr>
                <w:rFonts w:hint="eastAsia" w:ascii="宋体" w:hAnsi="宋体" w:eastAsia="宋体" w:cs="Times New Roman"/>
                <w:color w:val="auto"/>
                <w:sz w:val="24"/>
                <w:szCs w:val="24"/>
                <w:highlight w:val="none"/>
                <w:lang w:eastAsia="zh-CN"/>
              </w:rPr>
              <w:t xml:space="preserve">。</w:t>
            </w:r>
            <w:r/>
          </w:p>
        </w:tc>
      </w:tr>
      <w:tr>
        <w:trPr>
          <w:trHeight w:val="649"/>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支持点击查询、关联分析水质</w:t>
            </w:r>
            <w:r>
              <w:rPr>
                <w:rFonts w:hint="eastAsia" w:ascii="宋体" w:hAnsi="宋体" w:eastAsia="宋体" w:cs="Times New Roman"/>
                <w:color w:val="auto"/>
                <w:sz w:val="24"/>
                <w:szCs w:val="24"/>
                <w:highlight w:val="none"/>
                <w:lang w:val="en-US" w:eastAsia="zh-CN"/>
              </w:rPr>
              <w:t xml:space="preserve">临</w:t>
            </w:r>
            <w:r>
              <w:rPr>
                <w:rFonts w:hint="eastAsia" w:ascii="宋体" w:hAnsi="宋体" w:eastAsia="宋体" w:cs="Times New Roman"/>
                <w:color w:val="auto"/>
                <w:sz w:val="24"/>
                <w:szCs w:val="24"/>
                <w:highlight w:val="none"/>
              </w:rPr>
              <w:t xml:space="preserve">测数据，响应速度＜2秒。</w:t>
            </w:r>
            <w:r/>
          </w:p>
        </w:tc>
      </w:tr>
      <w:tr>
        <w:trPr>
          <w:trHeight w:val="649"/>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临</w:t>
            </w:r>
            <w:r>
              <w:rPr>
                <w:rFonts w:hint="eastAsia" w:ascii="宋体" w:hAnsi="宋体" w:eastAsia="宋体" w:cs="Times New Roman"/>
                <w:color w:val="auto"/>
                <w:sz w:val="24"/>
                <w:szCs w:val="24"/>
                <w:highlight w:val="none"/>
              </w:rPr>
              <w:t xml:space="preserve">测数据模块</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支持水质</w:t>
            </w:r>
            <w:r>
              <w:rPr>
                <w:rFonts w:hint="eastAsia" w:ascii="宋体" w:hAnsi="宋体" w:eastAsia="宋体" w:cs="Times New Roman"/>
                <w:color w:val="auto"/>
                <w:sz w:val="24"/>
                <w:szCs w:val="24"/>
                <w:highlight w:val="none"/>
                <w:lang w:val="en-US" w:eastAsia="zh-CN"/>
              </w:rPr>
              <w:t xml:space="preserve">临</w:t>
            </w:r>
            <w:r>
              <w:rPr>
                <w:rFonts w:hint="eastAsia" w:ascii="宋体" w:hAnsi="宋体" w:eastAsia="宋体" w:cs="Times New Roman"/>
                <w:color w:val="auto"/>
                <w:sz w:val="24"/>
                <w:szCs w:val="24"/>
                <w:highlight w:val="none"/>
              </w:rPr>
              <w:t xml:space="preserve">测数据台账管理，数据录入支持批量导入，导入成功率≥99%</w:t>
            </w:r>
            <w:r>
              <w:rPr>
                <w:rFonts w:hint="eastAsia" w:ascii="宋体" w:hAnsi="宋体" w:eastAsia="宋体" w:cs="Times New Roman"/>
                <w:color w:val="auto"/>
                <w:sz w:val="24"/>
                <w:szCs w:val="24"/>
                <w:highlight w:val="none"/>
                <w:lang w:eastAsia="zh-CN"/>
              </w:rPr>
              <w:t xml:space="preserve">。</w:t>
            </w:r>
            <w:r/>
          </w:p>
        </w:tc>
      </w:tr>
      <w:tr>
        <w:trPr>
          <w:trHeight w:val="649"/>
        </w:trPr>
        <w:tc>
          <w:tcPr>
            <w:tcMar>
              <w:left w:w="120" w:type="dxa"/>
              <w:top w:w="60" w:type="dxa"/>
              <w:right w:w="120" w:type="dxa"/>
              <w:bottom w:w="30" w:type="dxa"/>
            </w:tcMar>
            <w:tcW w:w="764" w:type="dxa"/>
            <w:vAlign w:val="center"/>
            <w:vMerge w:val="continue"/>
            <w:textDirection w:val="lrTb"/>
            <w:noWrap w:val="false"/>
          </w:tcPr>
          <w:p>
            <w:pPr>
              <w:ind w:firstLine="420"/>
              <w:jc w:val="center"/>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20"/>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支持按日期、点位编号等多条件查询，查询响应速度＜1秒</w:t>
            </w:r>
            <w:r>
              <w:rPr>
                <w:rFonts w:hint="eastAsia" w:ascii="宋体" w:hAnsi="宋体" w:eastAsia="宋体" w:cs="Times New Roman"/>
                <w:color w:val="auto"/>
                <w:sz w:val="24"/>
                <w:szCs w:val="24"/>
                <w:highlight w:val="none"/>
                <w:lang w:eastAsia="zh-CN"/>
              </w:rPr>
              <w:t xml:space="preserve">。</w:t>
            </w:r>
            <w:r/>
          </w:p>
        </w:tc>
      </w:tr>
      <w:tr>
        <w:trPr>
          <w:trHeight w:val="649"/>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数据导出格式支持Excel、CSV，导出成功率≥99%。</w:t>
            </w:r>
            <w:r/>
          </w:p>
        </w:tc>
      </w:tr>
      <w:tr>
        <w:trPr>
          <w:trHeight w:val="649"/>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点位管理模块</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w:t>
            </w:r>
            <w:r>
              <w:rPr>
                <w:rFonts w:hint="eastAsia" w:ascii="宋体" w:hAnsi="宋体" w:eastAsia="宋体" w:cs="Times New Roman"/>
                <w:color w:val="auto"/>
                <w:sz w:val="24"/>
                <w:szCs w:val="24"/>
                <w:highlight w:val="none"/>
                <w:lang w:val="en-US" w:eastAsia="zh-CN"/>
              </w:rPr>
              <w:t xml:space="preserve">临</w:t>
            </w:r>
            <w:r>
              <w:rPr>
                <w:rFonts w:hint="eastAsia" w:ascii="宋体" w:hAnsi="宋体" w:eastAsia="宋体" w:cs="Times New Roman"/>
                <w:color w:val="auto"/>
                <w:sz w:val="24"/>
                <w:szCs w:val="24"/>
                <w:highlight w:val="none"/>
              </w:rPr>
              <w:t xml:space="preserve">测点位基本信息、位置、</w:t>
            </w:r>
            <w:r>
              <w:rPr>
                <w:rFonts w:hint="eastAsia" w:ascii="宋体" w:hAnsi="宋体" w:eastAsia="宋体" w:cs="Times New Roman"/>
                <w:color w:val="auto"/>
                <w:sz w:val="24"/>
                <w:szCs w:val="24"/>
                <w:highlight w:val="none"/>
                <w:lang w:val="en-US" w:eastAsia="zh-CN"/>
              </w:rPr>
              <w:t xml:space="preserve">临</w:t>
            </w:r>
            <w:r>
              <w:rPr>
                <w:rFonts w:hint="eastAsia" w:ascii="宋体" w:hAnsi="宋体" w:eastAsia="宋体" w:cs="Times New Roman"/>
                <w:color w:val="auto"/>
                <w:sz w:val="24"/>
                <w:szCs w:val="24"/>
                <w:highlight w:val="none"/>
              </w:rPr>
              <w:t xml:space="preserve">测因子、报警规则自定义配置，配置修改响应时间＜30秒</w:t>
            </w:r>
            <w:r>
              <w:rPr>
                <w:rFonts w:hint="eastAsia" w:ascii="宋体" w:hAnsi="宋体" w:eastAsia="宋体" w:cs="Times New Roman"/>
                <w:color w:val="auto"/>
                <w:sz w:val="24"/>
                <w:szCs w:val="24"/>
                <w:highlight w:val="none"/>
                <w:lang w:eastAsia="zh-CN"/>
              </w:rPr>
              <w:t xml:space="preserve">。</w:t>
            </w:r>
            <w:r/>
          </w:p>
        </w:tc>
      </w:tr>
      <w:tr>
        <w:trPr>
          <w:trHeight w:val="649"/>
        </w:trPr>
        <w:tc>
          <w:tcPr>
            <w:tcMar>
              <w:left w:w="120" w:type="dxa"/>
              <w:top w:w="60" w:type="dxa"/>
              <w:right w:w="120" w:type="dxa"/>
              <w:bottom w:w="30" w:type="dxa"/>
            </w:tcMar>
            <w:tcW w:w="764" w:type="dxa"/>
            <w:vAlign w:val="center"/>
            <w:vMerge w:val="continue"/>
            <w:textDirection w:val="lrTb"/>
            <w:noWrap w:val="false"/>
          </w:tcPr>
          <w:p>
            <w:pPr>
              <w:ind w:firstLine="420"/>
              <w:jc w:val="center"/>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20"/>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支持点位信息批量导入与导出，数据一致性≥99.5%</w:t>
            </w:r>
            <w:r>
              <w:rPr>
                <w:rFonts w:hint="eastAsia" w:ascii="宋体" w:hAnsi="宋体" w:eastAsia="宋体" w:cs="Times New Roman"/>
                <w:color w:val="auto"/>
                <w:sz w:val="24"/>
                <w:szCs w:val="24"/>
                <w:highlight w:val="none"/>
                <w:lang w:eastAsia="zh-CN"/>
              </w:rPr>
              <w:t xml:space="preserve">。</w:t>
            </w:r>
            <w:r/>
          </w:p>
        </w:tc>
      </w:tr>
      <w:tr>
        <w:trPr>
          <w:trHeight w:val="649"/>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报警规则设置支持多级阈值，触发报警响应时间≤1分钟。</w:t>
            </w:r>
            <w:r/>
          </w:p>
        </w:tc>
      </w:tr>
      <w:tr>
        <w:trPr>
          <w:trHeight w:val="603"/>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APP端模块</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支持巡查、维修任务查看与执行，任务同步响应时间＜30秒</w:t>
            </w:r>
            <w:r>
              <w:rPr>
                <w:rFonts w:hint="eastAsia" w:ascii="宋体" w:hAnsi="宋体" w:eastAsia="宋体" w:cs="Times New Roman"/>
                <w:color w:val="auto"/>
                <w:sz w:val="24"/>
                <w:szCs w:val="24"/>
                <w:highlight w:val="none"/>
                <w:lang w:eastAsia="zh-CN"/>
              </w:rPr>
              <w:t xml:space="preserve">。</w:t>
            </w:r>
            <w:r/>
          </w:p>
        </w:tc>
      </w:tr>
      <w:tr>
        <w:trPr>
          <w:trHeight w:val="603"/>
        </w:trPr>
        <w:tc>
          <w:tcPr>
            <w:tcMar>
              <w:left w:w="120" w:type="dxa"/>
              <w:top w:w="60" w:type="dxa"/>
              <w:right w:w="120" w:type="dxa"/>
              <w:bottom w:w="30" w:type="dxa"/>
            </w:tcMar>
            <w:tcW w:w="764" w:type="dxa"/>
            <w:vAlign w:val="center"/>
            <w:vMerge w:val="continue"/>
            <w:textDirection w:val="lrTb"/>
            <w:noWrap w:val="false"/>
          </w:tcPr>
          <w:p>
            <w:pPr>
              <w:ind w:firstLine="420"/>
              <w:jc w:val="center"/>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20"/>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▲支持问题即时上报，上报信息含位置、照片、描述，照片上传清晰度≥1080P</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支持感知设备数据查询，数据更新频率与PC端一致</w:t>
            </w:r>
            <w:r>
              <w:rPr>
                <w:rFonts w:hint="eastAsia" w:ascii="宋体" w:hAnsi="宋体" w:eastAsia="宋体" w:cs="Times New Roman"/>
                <w:color w:val="auto"/>
                <w:sz w:val="24"/>
                <w:szCs w:val="24"/>
                <w:highlight w:val="none"/>
                <w:lang w:eastAsia="zh-CN"/>
              </w:rPr>
              <w:t xml:space="preserve">。</w:t>
            </w:r>
            <w:r/>
          </w:p>
        </w:tc>
      </w:tr>
      <w:tr>
        <w:trPr>
          <w:trHeight w:val="603"/>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APP运行流畅，无卡顿、闪退现象，兼容Android 8.0及以上、iOS 12.0及以上系统。</w:t>
            </w:r>
            <w:r/>
          </w:p>
        </w:tc>
      </w:tr>
      <w:tr>
        <w:trPr>
          <w:trHeight w:val="480"/>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AI智能问答模块</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支持中文口语化/书面化问句解析，解析准确率≥90%</w:t>
            </w:r>
            <w:r>
              <w:rPr>
                <w:rFonts w:hint="eastAsia" w:ascii="宋体" w:hAnsi="宋体" w:eastAsia="宋体" w:cs="Times New Roman"/>
                <w:color w:val="auto"/>
                <w:sz w:val="24"/>
                <w:szCs w:val="24"/>
                <w:highlight w:val="none"/>
                <w:lang w:eastAsia="zh-CN"/>
              </w:rPr>
              <w:t xml:space="preserve">。</w:t>
            </w:r>
            <w:r/>
          </w:p>
        </w:tc>
      </w:tr>
      <w:tr>
        <w:trPr>
          <w:trHeight w:val="480"/>
        </w:trPr>
        <w:tc>
          <w:tcPr>
            <w:tcMar>
              <w:left w:w="120" w:type="dxa"/>
              <w:top w:w="60" w:type="dxa"/>
              <w:right w:w="120" w:type="dxa"/>
              <w:bottom w:w="30" w:type="dxa"/>
            </w:tcMar>
            <w:tcW w:w="764" w:type="dxa"/>
            <w:vAlign w:val="center"/>
            <w:vMerge w:val="continue"/>
            <w:textDirection w:val="lrTb"/>
            <w:noWrap w:val="false"/>
          </w:tcPr>
          <w:p>
            <w:pPr>
              <w:ind w:firstLine="420"/>
              <w:jc w:val="center"/>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20"/>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支持多轮上下文对话，对话连贯性≥95%</w:t>
            </w:r>
            <w:r>
              <w:rPr>
                <w:rFonts w:hint="eastAsia" w:ascii="宋体" w:hAnsi="宋体" w:eastAsia="宋体" w:cs="Times New Roman"/>
                <w:color w:val="auto"/>
                <w:sz w:val="24"/>
                <w:szCs w:val="24"/>
                <w:highlight w:val="none"/>
                <w:lang w:eastAsia="zh-CN"/>
              </w:rPr>
              <w:t xml:space="preserve">。</w:t>
            </w:r>
            <w:r/>
          </w:p>
        </w:tc>
      </w:tr>
      <w:tr>
        <w:trPr>
          <w:trHeight w:val="506"/>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内置宿豫区水务专项知识库，知识覆盖率≥90%</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支持模糊查询与精准查询，查询响应时间＜2秒</w:t>
            </w:r>
            <w:r>
              <w:rPr>
                <w:rFonts w:hint="eastAsia" w:ascii="宋体" w:hAnsi="宋体" w:eastAsia="宋体" w:cs="Times New Roman"/>
                <w:color w:val="auto"/>
                <w:sz w:val="24"/>
                <w:szCs w:val="24"/>
                <w:highlight w:val="none"/>
                <w:lang w:eastAsia="zh-CN"/>
              </w:rPr>
              <w:t xml:space="preserve">。</w:t>
            </w:r>
            <w:r/>
          </w:p>
        </w:tc>
      </w:tr>
      <w:tr>
        <w:trPr>
          <w:trHeight w:val="480"/>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可联动平台实时数据生成可视化报表，报表生成时间＜3秒</w:t>
            </w:r>
            <w:r>
              <w:rPr>
                <w:rFonts w:hint="eastAsia" w:ascii="宋体" w:hAnsi="宋体" w:eastAsia="宋体" w:cs="Times New Roman"/>
                <w:color w:val="auto"/>
                <w:sz w:val="24"/>
                <w:szCs w:val="24"/>
                <w:highlight w:val="none"/>
                <w:lang w:eastAsia="zh-CN"/>
              </w:rPr>
              <w:t xml:space="preserve">。</w:t>
            </w:r>
            <w:r/>
          </w:p>
        </w:tc>
      </w:tr>
      <w:tr>
        <w:trPr>
          <w:trHeight w:val="480"/>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支持故障排查方案推送，一键生成故障工单响应时间＜30秒。</w:t>
            </w:r>
            <w:r/>
          </w:p>
        </w:tc>
      </w:tr>
      <w:tr>
        <w:trPr>
          <w:trHeight w:val="603"/>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巡查养护管理系统</w:t>
            </w:r>
            <w:r>
              <w:rPr>
                <w:rFonts w:hint="eastAsia" w:ascii="宋体" w:hAnsi="宋体" w:eastAsia="宋体" w:cs="Times New Roman"/>
                <w:color w:val="auto"/>
                <w:sz w:val="24"/>
                <w:szCs w:val="24"/>
                <w:highlight w:val="none"/>
                <w:lang w:val="en-US" w:eastAsia="zh-CN"/>
              </w:rPr>
              <w:t xml:space="preserve">模块</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支持按周、月、季、年生成巡检计划，计划生成与审批响应时间＜1分钟</w:t>
            </w:r>
            <w:r>
              <w:rPr>
                <w:rFonts w:hint="eastAsia" w:ascii="宋体" w:hAnsi="宋体" w:eastAsia="宋体" w:cs="Times New Roman"/>
                <w:color w:val="auto"/>
                <w:sz w:val="24"/>
                <w:szCs w:val="24"/>
                <w:highlight w:val="none"/>
                <w:lang w:eastAsia="zh-CN"/>
              </w:rPr>
              <w:t xml:space="preserve">。</w:t>
            </w:r>
            <w:r/>
          </w:p>
        </w:tc>
      </w:tr>
      <w:tr>
        <w:trPr>
          <w:trHeight w:val="603"/>
        </w:trPr>
        <w:tc>
          <w:tcPr>
            <w:tcMar>
              <w:left w:w="120" w:type="dxa"/>
              <w:top w:w="60" w:type="dxa"/>
              <w:right w:w="120" w:type="dxa"/>
              <w:bottom w:w="30" w:type="dxa"/>
            </w:tcMar>
            <w:tcW w:w="764" w:type="dxa"/>
            <w:vAlign w:val="center"/>
            <w:vMerge w:val="continue"/>
            <w:textDirection w:val="lrTb"/>
            <w:noWrap w:val="false"/>
          </w:tcPr>
          <w:p>
            <w:pPr>
              <w:ind w:firstLine="420"/>
              <w:jc w:val="center"/>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20"/>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支持管线巡检工单派发，工单推送成功率≥99%</w:t>
            </w:r>
            <w:r>
              <w:rPr>
                <w:rFonts w:hint="eastAsia" w:ascii="宋体" w:hAnsi="宋体" w:eastAsia="宋体" w:cs="Times New Roman"/>
                <w:color w:val="auto"/>
                <w:sz w:val="24"/>
                <w:szCs w:val="24"/>
                <w:highlight w:val="none"/>
                <w:lang w:eastAsia="zh-CN"/>
              </w:rPr>
              <w:t xml:space="preserve">。</w:t>
            </w:r>
            <w:r/>
          </w:p>
        </w:tc>
      </w:tr>
      <w:tr>
        <w:trPr>
          <w:trHeight w:val="603"/>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▲支持管网封堵、下井作业审批与全过程记录，记录完整性≥99%</w:t>
            </w:r>
            <w:r>
              <w:rPr>
                <w:rFonts w:hint="eastAsia" w:ascii="宋体" w:hAnsi="宋体" w:eastAsia="宋体" w:cs="Times New Roman"/>
                <w:color w:val="auto"/>
                <w:sz w:val="24"/>
                <w:szCs w:val="24"/>
                <w:highlight w:val="none"/>
                <w:lang w:eastAsia="zh-CN"/>
              </w:rPr>
              <w:t xml:space="preserve">。</w:t>
            </w:r>
            <w:r/>
          </w:p>
        </w:tc>
      </w:tr>
      <w:tr>
        <w:trPr>
          <w:trHeight w:val="603"/>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支持各类台账、报表自定义导出，导出格式支持Excel、PDF，导出成功率≥99%。</w:t>
            </w:r>
            <w:r/>
          </w:p>
        </w:tc>
      </w:tr>
      <w:tr>
        <w:trPr>
          <w:trHeight w:val="649"/>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数据迁移</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▲支持管网基础数据、检测数据、设备监测数据等全量数据迁移，迁移数据完整性≥99.5%</w:t>
            </w:r>
            <w:r>
              <w:rPr>
                <w:rFonts w:hint="eastAsia" w:ascii="宋体" w:hAnsi="宋体" w:eastAsia="宋体" w:cs="Times New Roman"/>
                <w:color w:val="auto"/>
                <w:sz w:val="24"/>
                <w:szCs w:val="24"/>
                <w:highlight w:val="none"/>
                <w:lang w:eastAsia="zh-CN"/>
              </w:rPr>
              <w:t xml:space="preserve">。</w:t>
            </w:r>
            <w:r/>
          </w:p>
        </w:tc>
      </w:tr>
      <w:tr>
        <w:trPr>
          <w:trHeight w:val="649"/>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迁移完成后提供完整性、准确性校验报告，数据准确率≥99%。</w:t>
            </w:r>
            <w:r/>
          </w:p>
        </w:tc>
      </w:tr>
      <w:tr>
        <w:trPr>
          <w:trHeight w:val="486"/>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16</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系统部署与等保测评</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▲完成政务云环境部署，系统部署成功率100%</w:t>
            </w:r>
            <w:r>
              <w:rPr>
                <w:rFonts w:hint="eastAsia" w:ascii="宋体" w:hAnsi="宋体" w:eastAsia="宋体" w:cs="Times New Roman"/>
                <w:color w:val="auto"/>
                <w:sz w:val="24"/>
                <w:szCs w:val="24"/>
                <w:highlight w:val="none"/>
                <w:lang w:eastAsia="zh-CN"/>
              </w:rPr>
              <w:t xml:space="preserve">。</w:t>
            </w:r>
            <w:r/>
          </w:p>
        </w:tc>
      </w:tr>
      <w:tr>
        <w:trPr>
          <w:trHeight w:val="486"/>
        </w:trPr>
        <w:tc>
          <w:tcPr>
            <w:tcMar>
              <w:left w:w="120" w:type="dxa"/>
              <w:top w:w="60" w:type="dxa"/>
              <w:right w:w="120" w:type="dxa"/>
              <w:bottom w:w="30" w:type="dxa"/>
            </w:tcMar>
            <w:tcW w:w="764" w:type="dxa"/>
            <w:vAlign w:val="center"/>
            <w:vMerge w:val="continue"/>
            <w:textDirection w:val="lrTb"/>
            <w:noWrap w:val="false"/>
          </w:tcPr>
          <w:p>
            <w:pPr>
              <w:ind w:firstLine="420"/>
              <w:jc w:val="center"/>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20"/>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通过网络安全等级保护三级测评，测评整改完成率100%</w:t>
            </w:r>
            <w:r>
              <w:rPr>
                <w:rFonts w:hint="eastAsia" w:ascii="宋体" w:hAnsi="宋体" w:eastAsia="宋体" w:cs="Times New Roman"/>
                <w:color w:val="auto"/>
                <w:sz w:val="24"/>
                <w:szCs w:val="24"/>
                <w:highlight w:val="none"/>
                <w:lang w:eastAsia="zh-CN"/>
              </w:rPr>
              <w:t xml:space="preserve">。</w:t>
            </w:r>
            <w:r/>
          </w:p>
        </w:tc>
      </w:tr>
      <w:tr>
        <w:trPr>
          <w:trHeight w:val="486"/>
        </w:trPr>
        <w:tc>
          <w:tcPr>
            <w:tcMar>
              <w:left w:w="120" w:type="dxa"/>
              <w:top w:w="60" w:type="dxa"/>
              <w:right w:w="120" w:type="dxa"/>
              <w:bottom w:w="30" w:type="dxa"/>
            </w:tcMar>
            <w:tcW w:w="764" w:type="dxa"/>
            <w:vAlign w:val="center"/>
            <w:vMerge w:val="continue"/>
            <w:textDirection w:val="lrTb"/>
            <w:noWrap w:val="false"/>
          </w:tcPr>
          <w:p>
            <w:pPr>
              <w:ind w:firstLine="480"/>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完成联网备案、域名申请及ICP备案、SSL安全证书申请，备案办理合规率100%</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资源申请材料编制完整、规范，通过率100%。</w:t>
            </w:r>
            <w:r/>
          </w:p>
        </w:tc>
      </w:tr>
      <w:tr>
        <w:trPr>
          <w:trHeight w:val="578"/>
        </w:trPr>
        <w:tc>
          <w:tcPr>
            <w:tcMar>
              <w:left w:w="120" w:type="dxa"/>
              <w:top w:w="60" w:type="dxa"/>
              <w:right w:w="120" w:type="dxa"/>
              <w:bottom w:w="30" w:type="dxa"/>
            </w:tcMar>
            <w:tcW w:w="764" w:type="dxa"/>
            <w:vAlign w:val="center"/>
            <w:vMerge w:val="restart"/>
            <w:textDirection w:val="lrTb"/>
            <w:noWrap w:val="false"/>
          </w:tcPr>
          <w:p>
            <w:pPr>
              <w:jc w:val="center"/>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w:t>
            </w:r>
            <w:r/>
          </w:p>
        </w:tc>
        <w:tc>
          <w:tcPr>
            <w:tcMar>
              <w:left w:w="120" w:type="dxa"/>
              <w:top w:w="60" w:type="dxa"/>
              <w:right w:w="120" w:type="dxa"/>
              <w:bottom w:w="30" w:type="dxa"/>
            </w:tcMar>
            <w:tcW w:w="1530" w:type="dxa"/>
            <w:vAlign w:val="center"/>
            <w:vMerge w:val="restart"/>
            <w:textDirection w:val="lrTb"/>
            <w:noWrap w:val="false"/>
          </w:tcPr>
          <w:p>
            <w:pPr>
              <w:jc w:val="both"/>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运维服务</w:t>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提供7×24小时日常运维服务</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每月至少1次现场巡检，每季度1次全面安全巡检，巡检报告提交及时率100%，系统运行监控覆盖率100%</w:t>
            </w:r>
            <w:r>
              <w:rPr>
                <w:rFonts w:hint="eastAsia" w:ascii="宋体" w:hAnsi="宋体" w:eastAsia="宋体" w:cs="Times New Roman"/>
                <w:color w:val="auto"/>
                <w:sz w:val="24"/>
                <w:szCs w:val="24"/>
                <w:highlight w:val="none"/>
                <w:lang w:eastAsia="zh-CN"/>
              </w:rPr>
              <w:t xml:space="preserve">。</w:t>
            </w:r>
            <w:r/>
          </w:p>
        </w:tc>
      </w:tr>
      <w:tr>
        <w:trPr>
          <w:trHeight w:val="578"/>
        </w:trPr>
        <w:tc>
          <w:tcPr>
            <w:tcMar>
              <w:left w:w="120" w:type="dxa"/>
              <w:top w:w="60" w:type="dxa"/>
              <w:right w:w="120" w:type="dxa"/>
              <w:bottom w:w="30" w:type="dxa"/>
            </w:tcMar>
            <w:tcW w:w="764" w:type="dxa"/>
            <w:vAlign w:val="center"/>
            <w:vMerge w:val="continue"/>
            <w:textDirection w:val="lrTb"/>
            <w:noWrap w:val="false"/>
          </w:tcPr>
          <w:p>
            <w:pPr>
              <w:ind w:firstLine="420"/>
              <w:spacing w:line="360" w:lineRule="auto"/>
              <w:widowControl/>
              <w:rPr>
                <w:color w:val="auto"/>
                <w:highlight w:val="none"/>
              </w:rPr>
            </w:pPr>
            <w:r>
              <w:rPr>
                <w:color w:val="auto"/>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20"/>
              <w:spacing w:line="360" w:lineRule="auto"/>
              <w:widowControl/>
              <w:rPr>
                <w:color w:val="auto"/>
                <w:highlight w:val="none"/>
              </w:rPr>
            </w:pPr>
            <w:r>
              <w:rPr>
                <w:color w:val="auto"/>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故障响应时间≤30分钟，现场到达时间≤2小时，一般故障处置时间≤24小时，重大故障处置时间≤48小时</w:t>
            </w:r>
            <w:r>
              <w:rPr>
                <w:rFonts w:hint="eastAsia" w:ascii="宋体" w:hAnsi="宋体" w:eastAsia="宋体" w:cs="Times New Roman"/>
                <w:color w:val="auto"/>
                <w:sz w:val="24"/>
                <w:szCs w:val="24"/>
                <w:highlight w:val="none"/>
                <w:lang w:eastAsia="zh-CN"/>
              </w:rPr>
              <w:t xml:space="preserve">。</w:t>
            </w:r>
            <w:r/>
          </w:p>
        </w:tc>
      </w:tr>
      <w:tr>
        <w:trPr>
          <w:trHeight w:val="418"/>
        </w:trPr>
        <w:tc>
          <w:tcPr>
            <w:tcMar>
              <w:left w:w="120" w:type="dxa"/>
              <w:top w:w="60" w:type="dxa"/>
              <w:right w:w="120" w:type="dxa"/>
              <w:bottom w:w="30" w:type="dxa"/>
            </w:tcMar>
            <w:tcW w:w="764"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排水管网数据、监测数据更新入库准确率≥99.5%</w:t>
            </w:r>
            <w:r>
              <w:rPr>
                <w:rFonts w:hint="eastAsia" w:ascii="宋体" w:hAnsi="宋体" w:eastAsia="宋体" w:cs="Times New Roman"/>
                <w:color w:val="auto"/>
                <w:sz w:val="24"/>
                <w:szCs w:val="24"/>
                <w:highlight w:val="none"/>
                <w:lang w:eastAsia="zh-CN"/>
              </w:rPr>
              <w:t xml:space="preserve">。</w:t>
            </w:r>
            <w:r/>
          </w:p>
        </w:tc>
      </w:tr>
      <w:tr>
        <w:trPr>
          <w:trHeight w:val="578"/>
        </w:trPr>
        <w:tc>
          <w:tcPr>
            <w:tcMar>
              <w:left w:w="120" w:type="dxa"/>
              <w:top w:w="60" w:type="dxa"/>
              <w:right w:w="120" w:type="dxa"/>
              <w:bottom w:w="30" w:type="dxa"/>
            </w:tcMar>
            <w:tcW w:w="764"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1530" w:type="dxa"/>
            <w:vAlign w:val="center"/>
            <w:vMerge w:val="continue"/>
            <w:textDirection w:val="lrTb"/>
            <w:noWrap w:val="false"/>
          </w:tcPr>
          <w:p>
            <w:pPr>
              <w:ind w:firstLine="48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Mar>
              <w:left w:w="120" w:type="dxa"/>
              <w:top w:w="60" w:type="dxa"/>
              <w:right w:w="120" w:type="dxa"/>
              <w:bottom w:w="30" w:type="dxa"/>
            </w:tcMar>
            <w:tcW w:w="6067" w:type="dxa"/>
            <w:textDirection w:val="lrTb"/>
            <w:noWrap w:val="false"/>
          </w:tcPr>
          <w:p>
            <w:pP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在线监测设备接入服务响应时间≤3个工作日。</w:t>
            </w:r>
            <w:r/>
          </w:p>
        </w:tc>
      </w:tr>
    </w:tbl>
    <w:p>
      <w:pPr>
        <w:numPr>
          <w:ilvl w:val="0"/>
          <w:numId w:val="0"/>
        </w:numPr>
        <w:jc w:val="left"/>
        <w:spacing w:line="360" w:lineRule="auto"/>
        <w:rPr>
          <w:rFonts w:hint="default" w:ascii="黑体" w:hAnsi="黑体" w:eastAsia="黑体" w:cs="宋体"/>
          <w:color w:val="auto"/>
          <w:sz w:val="28"/>
          <w:szCs w:val="28"/>
          <w:highlight w:val="none"/>
          <w:lang w:val="en-US" w:eastAsia="zh-CN" w:bidi="ar-SA"/>
        </w:rPr>
      </w:pPr>
      <w:r>
        <w:rPr>
          <w:rFonts w:hint="eastAsia" w:ascii="黑体" w:hAnsi="黑体" w:eastAsia="黑体" w:cs="宋体"/>
          <w:color w:val="auto"/>
          <w:sz w:val="28"/>
          <w:szCs w:val="28"/>
          <w:highlight w:val="none"/>
          <w:lang w:val="en-US" w:eastAsia="zh-CN" w:bidi="ar-SA"/>
        </w:rPr>
        <w:t xml:space="preserve">备注：技术参数要求中的1-14项，建设的模块的数量和功能不得低于原平台95%的完整度。</w:t>
      </w:r>
      <w:r/>
    </w:p>
    <w:p>
      <w:pPr>
        <w:numPr>
          <w:ilvl w:val="0"/>
          <w:numId w:val="0"/>
        </w:numPr>
        <w:ind w:firstLine="482"/>
        <w:jc w:val="left"/>
        <w:spacing w:line="360" w:lineRule="auto"/>
        <w:rPr>
          <w:rFonts w:hint="eastAsia" w:ascii="黑体" w:hAnsi="黑体" w:eastAsia="黑体" w:cs="宋体"/>
          <w:color w:val="auto"/>
          <w:sz w:val="28"/>
          <w:szCs w:val="28"/>
          <w:highlight w:val="none"/>
        </w:rPr>
      </w:pPr>
      <w:r>
        <w:rPr>
          <w:rFonts w:hint="eastAsia" w:ascii="黑体" w:hAnsi="黑体" w:eastAsia="黑体" w:cs="宋体"/>
          <w:color w:val="auto"/>
          <w:sz w:val="28"/>
          <w:szCs w:val="28"/>
          <w:highlight w:val="none"/>
          <w:lang w:val="en-US" w:eastAsia="zh-CN" w:bidi="ar-SA"/>
        </w:rPr>
        <w:t xml:space="preserve">四、</w:t>
      </w:r>
      <w:r>
        <w:rPr>
          <w:rFonts w:hint="eastAsia" w:ascii="黑体" w:hAnsi="黑体" w:eastAsia="黑体" w:cs="宋体"/>
          <w:color w:val="auto"/>
          <w:sz w:val="28"/>
          <w:szCs w:val="28"/>
          <w:highlight w:val="none"/>
        </w:rPr>
        <w:t xml:space="preserve">项目实施要求</w:t>
      </w:r>
      <w:bookmarkStart w:id="100" w:name="heading_25"/>
      <w:r/>
      <w:r/>
    </w:p>
    <w:p>
      <w:pPr>
        <w:ind w:left="0" w:firstLine="482"/>
        <w:jc w:val="left"/>
        <w:keepLines w:val="0"/>
        <w:keepNext w:val="0"/>
        <w:pageBreakBefore w:val="0"/>
        <w:spacing w:before="100" w:after="100" w:line="288" w:lineRule="auto"/>
        <w:widowControl w:val="off"/>
        <w:rPr>
          <w:rFonts w:hint="eastAsia" w:ascii="宋体" w:hAnsi="宋体" w:eastAsia="宋体" w:cs="宋体"/>
          <w:b/>
          <w:color w:val="auto"/>
          <w:sz w:val="24"/>
          <w:szCs w:val="20"/>
          <w:highlight w:val="none"/>
        </w:rPr>
        <w:outlineLvl w:val="1"/>
      </w:pPr>
      <w:r>
        <w:rPr>
          <w:rFonts w:hint="eastAsia" w:ascii="宋体" w:hAnsi="宋体" w:eastAsia="宋体" w:cs="宋体"/>
          <w:b/>
          <w:color w:val="auto"/>
          <w:sz w:val="24"/>
          <w:szCs w:val="20"/>
          <w:highlight w:val="none"/>
        </w:rPr>
        <w:t xml:space="preserve">1、项目管理要求</w:t>
      </w:r>
      <w:bookmarkEnd w:id="10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（1）供应商需提交详细可行的项目实施方案，包括项目新平台搭建方案、数据迁移方案、等保测评及备案方案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管理制度、</w:t>
      </w:r>
      <w:r>
        <w:rPr>
          <w:rFonts w:hint="eastAsia" w:ascii="宋体" w:hAnsi="宋体" w:eastAsia="宋体" w:cs="宋体"/>
          <w:color w:val="auto"/>
          <w:sz w:val="24"/>
          <w:szCs w:val="24"/>
          <w:highlight w:val="none"/>
          <w:lang w:val="en-US" w:eastAsia="zh-CN"/>
        </w:rPr>
        <w:t xml:space="preserve">项目实施计划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质量保障措施等。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组建专业的项目实施组织机构，明确项目负责人、技术负责人及其他成员分工；在响应文件中提供项目组成员名单、基本情况（含资质证书、工作经验）等信息，其中需包含具备数据迁移、GIS开发、AI技术、等保测评相关经验的专业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（3）实施过程中，定期向采购人提交项目进展报告（月度报告），及时汇报新平台搭建进度、数据迁移进展、等保测评进展、存在问题及解决措施。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（4）数据迁移过程中，需事先制定详细的迁移方案并征得采购人同意，确保原数据安全与业务稳定，迁移过程需全程留痕。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（5）积极配合采购人及其委托的第三方测评单位的管理，严格按照相关要求实施项目，及时落实整改要求；未按要求整改的，每次向采购人支付合同总金额的千分之五作为违约金。</w:t>
      </w:r>
      <w:r/>
    </w:p>
    <w:p>
      <w:pPr>
        <w:ind w:left="0" w:firstLine="482"/>
        <w:jc w:val="left"/>
        <w:keepLines w:val="0"/>
        <w:keepNext w:val="0"/>
        <w:pageBreakBefore w:val="0"/>
        <w:spacing w:before="100" w:after="100" w:line="288" w:lineRule="auto"/>
        <w:widowControl w:val="off"/>
        <w:rPr>
          <w:rFonts w:hint="eastAsia" w:ascii="宋体" w:hAnsi="宋体" w:eastAsia="宋体" w:cs="宋体"/>
          <w:b/>
          <w:color w:val="auto"/>
          <w:sz w:val="24"/>
          <w:szCs w:val="20"/>
          <w:highlight w:val="none"/>
        </w:rPr>
        <w:outlineLvl w:val="1"/>
      </w:pPr>
      <w:r/>
      <w:bookmarkStart w:id="101" w:name="heading_26"/>
      <w:r>
        <w:rPr>
          <w:rFonts w:hint="eastAsia" w:ascii="宋体" w:hAnsi="宋体" w:eastAsia="宋体" w:cs="宋体"/>
          <w:b/>
          <w:color w:val="auto"/>
          <w:sz w:val="24"/>
          <w:szCs w:val="20"/>
          <w:highlight w:val="none"/>
        </w:rPr>
        <w:t xml:space="preserve">2、质量保证要求</w:t>
      </w:r>
      <w:bookmarkEnd w:id="10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（1）提交项目质量计划，明确质量目标、质量标准；确定项目遵循的国家、行业及地方标准规范，若采用其他标准，需在质量计划中说明；重点明确数据迁移的质量标准和验收要求、等保测评整改质量要求。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（2）建立完善的质量管理制度，明确质量管理流程、质量问题发现与解决机制；针对新平台搭建、数据迁移、等保测评三个核心环节制定专项质量管控措施。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（3）明确质量管理方法和工具，确定关键质量控制节点（含新平台功能测试节点、数据迁移校验节点、等保测评整改节点），制定检查、控制措施；定期开展质量检查，及时整改质量问题。</w:t>
      </w:r>
      <w:r/>
    </w:p>
    <w:p>
      <w:pPr>
        <w:numPr>
          <w:ilvl w:val="0"/>
          <w:numId w:val="0"/>
        </w:numPr>
        <w:ind w:firstLine="482"/>
        <w:jc w:val="left"/>
        <w:spacing w:line="360" w:lineRule="auto"/>
        <w:rPr>
          <w:rFonts w:hint="default" w:ascii="黑体" w:hAnsi="黑体" w:eastAsia="黑体" w:cs="宋体"/>
          <w:color w:val="auto"/>
          <w:sz w:val="28"/>
          <w:szCs w:val="28"/>
          <w:highlight w:val="none"/>
          <w:lang w:val="en-US" w:eastAsia="zh-CN" w:bidi="ar-SA"/>
        </w:rPr>
      </w:pPr>
      <w:r/>
      <w:bookmarkStart w:id="102" w:name="heading_27"/>
      <w:r>
        <w:rPr>
          <w:rFonts w:hint="eastAsia" w:ascii="黑体" w:hAnsi="黑体" w:eastAsia="黑体" w:cs="宋体"/>
          <w:color w:val="auto"/>
          <w:sz w:val="28"/>
          <w:szCs w:val="28"/>
          <w:highlight w:val="none"/>
          <w:lang w:val="en-US" w:eastAsia="zh-CN" w:bidi="ar-SA"/>
        </w:rPr>
        <w:t xml:space="preserve">五、风险防控及应急预案要求</w:t>
      </w:r>
      <w:r/>
    </w:p>
    <w:p>
      <w:pPr>
        <w:ind w:left="0" w:firstLine="482"/>
        <w:jc w:val="left"/>
        <w:keepLines w:val="0"/>
        <w:keepNext w:val="0"/>
        <w:pageBreakBefore w:val="0"/>
        <w:spacing w:before="100" w:after="100" w:line="288" w:lineRule="auto"/>
        <w:widowControl w:val="off"/>
        <w:rPr>
          <w:rFonts w:hint="eastAsia" w:ascii="宋体" w:hAnsi="宋体" w:eastAsia="宋体" w:cs="宋体"/>
          <w:b/>
          <w:color w:val="auto"/>
          <w:sz w:val="24"/>
          <w:szCs w:val="20"/>
          <w:highlight w:val="none"/>
        </w:rPr>
        <w:outlineLvl w:val="1"/>
      </w:pPr>
      <w:r>
        <w:rPr>
          <w:rFonts w:hint="eastAsia" w:ascii="宋体" w:hAnsi="宋体" w:eastAsia="宋体" w:cs="宋体"/>
          <w:b/>
          <w:color w:val="auto"/>
          <w:sz w:val="24"/>
          <w:szCs w:val="20"/>
          <w:highlight w:val="none"/>
          <w:lang w:val="en-US" w:eastAsia="zh-CN"/>
        </w:rPr>
        <w:t xml:space="preserve">1</w:t>
      </w:r>
      <w:r>
        <w:rPr>
          <w:rFonts w:hint="eastAsia" w:ascii="宋体" w:hAnsi="宋体" w:eastAsia="宋体" w:cs="宋体"/>
          <w:b/>
          <w:color w:val="auto"/>
          <w:sz w:val="24"/>
          <w:szCs w:val="20"/>
          <w:highlight w:val="none"/>
        </w:rPr>
        <w:t xml:space="preserve">、风险管理与控制要求</w:t>
      </w:r>
      <w:bookmarkEnd w:id="10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详细分析项目各阶段可能存在的技术风险（含新平台技术架构风险、数据迁移技术风险、AI模块开发风险、等保测评风险）、进度风险、质量风险、安全风险等，制定针对性的风险管理策略和应对措施；重点评估数据丢失、迁移失败、等保测评不通过等风险，制定应急预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（2）项目完成后，按采购人要求整理并提交需求分析、新平台设计开发文档、数据迁移方案及校验报告、等保测评报告、测试报告、试运行报告、验收等各阶段工作文档，确保文档完整、规范、准确。</w:t>
      </w:r>
      <w:r/>
    </w:p>
    <w:p>
      <w:pPr>
        <w:ind w:left="0" w:firstLine="482"/>
        <w:jc w:val="left"/>
        <w:keepLines w:val="0"/>
        <w:keepNext w:val="0"/>
        <w:pageBreakBefore w:val="0"/>
        <w:spacing w:before="100" w:after="100" w:line="288" w:lineRule="auto"/>
        <w:widowControl w:val="off"/>
        <w:rPr>
          <w:rFonts w:hint="eastAsia" w:ascii="宋体" w:hAnsi="宋体" w:eastAsia="宋体" w:cs="宋体"/>
          <w:b/>
          <w:color w:val="auto"/>
          <w:sz w:val="24"/>
          <w:szCs w:val="20"/>
          <w:highlight w:val="none"/>
        </w:rPr>
        <w:outlineLvl w:val="1"/>
      </w:pPr>
      <w:r/>
      <w:bookmarkStart w:id="103" w:name="heading_28"/>
      <w:r>
        <w:rPr>
          <w:rFonts w:hint="eastAsia" w:ascii="宋体" w:hAnsi="宋体" w:eastAsia="宋体" w:cs="宋体"/>
          <w:b/>
          <w:color w:val="auto"/>
          <w:sz w:val="24"/>
          <w:szCs w:val="20"/>
          <w:highlight w:val="none"/>
          <w:lang w:val="en-US" w:eastAsia="zh-CN"/>
        </w:rPr>
        <w:t xml:space="preserve">2</w:t>
      </w:r>
      <w:r>
        <w:rPr>
          <w:rFonts w:hint="eastAsia" w:ascii="宋体" w:hAnsi="宋体" w:eastAsia="宋体" w:cs="宋体"/>
          <w:b/>
          <w:color w:val="auto"/>
          <w:sz w:val="24"/>
          <w:szCs w:val="20"/>
          <w:highlight w:val="none"/>
        </w:rPr>
        <w:t xml:space="preserve">、应急预案</w:t>
      </w:r>
      <w:bookmarkEnd w:id="10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要求供应商</w:t>
      </w:r>
      <w:r>
        <w:rPr>
          <w:rFonts w:hint="eastAsia" w:ascii="宋体" w:hAnsi="宋体" w:eastAsia="宋体" w:cs="宋体"/>
          <w:color w:val="auto"/>
          <w:sz w:val="24"/>
          <w:szCs w:val="24"/>
          <w:highlight w:val="none"/>
        </w:rPr>
        <w:t xml:space="preserve">设计</w:t>
      </w:r>
      <w:r>
        <w:rPr>
          <w:rFonts w:hint="eastAsia" w:ascii="宋体" w:hAnsi="宋体" w:eastAsia="宋体" w:cs="宋体"/>
          <w:color w:val="auto"/>
          <w:sz w:val="24"/>
          <w:szCs w:val="24"/>
          <w:highlight w:val="none"/>
          <w:lang w:val="en-US" w:eastAsia="zh-CN"/>
        </w:rPr>
        <w:t xml:space="preserve">一套</w:t>
      </w:r>
      <w:r>
        <w:rPr>
          <w:rFonts w:hint="eastAsia" w:ascii="宋体" w:hAnsi="宋体" w:eastAsia="宋体" w:cs="宋体"/>
          <w:color w:val="auto"/>
          <w:sz w:val="24"/>
          <w:szCs w:val="24"/>
          <w:highlight w:val="none"/>
        </w:rPr>
        <w:t xml:space="preserve">全面、高效的应急响应机制，涵盖硬件故障、软件错误、网络攻击、数据泄露、数据迁移异常、等保测评问题等各类潜在威胁；明确应急处置思路、功能设计、内容流程，以及责任分工、沟通渠道和恢复流程；针对数据迁移失败、数据丢失、系统重大故障等情况制定专项应急恢复方案。</w:t>
      </w:r>
      <w:r/>
    </w:p>
    <w:p>
      <w:pPr>
        <w:numPr>
          <w:ilvl w:val="0"/>
          <w:numId w:val="0"/>
        </w:numPr>
        <w:ind w:firstLine="482"/>
        <w:jc w:val="left"/>
        <w:spacing w:line="360" w:lineRule="auto"/>
        <w:rPr>
          <w:rFonts w:hint="eastAsia" w:ascii="黑体" w:hAnsi="黑体" w:eastAsia="黑体" w:cs="宋体"/>
          <w:color w:val="auto"/>
          <w:sz w:val="28"/>
          <w:szCs w:val="28"/>
          <w:highlight w:val="none"/>
          <w:lang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为验证应急响应机制的有效性，供应商须</w:t>
      </w:r>
      <w:r>
        <w:rPr>
          <w:rFonts w:hint="eastAsia" w:ascii="宋体" w:hAnsi="宋体" w:eastAsia="宋体" w:cs="宋体"/>
          <w:bCs/>
          <w:color w:val="auto"/>
          <w:sz w:val="24"/>
          <w:szCs w:val="24"/>
          <w:highlight w:val="none"/>
          <w:lang w:val="en-US" w:eastAsia="zh-CN"/>
        </w:rPr>
        <w:t xml:space="preserve">按采购人要求</w:t>
      </w:r>
      <w:r>
        <w:rPr>
          <w:rFonts w:hint="eastAsia" w:ascii="宋体" w:hAnsi="宋体" w:eastAsia="宋体" w:cs="宋体"/>
          <w:bCs/>
          <w:color w:val="auto"/>
          <w:sz w:val="24"/>
          <w:szCs w:val="24"/>
          <w:highlight w:val="none"/>
        </w:rPr>
        <w:t xml:space="preserve">定期（至少每年一次）组织应急演练，覆盖多种情景下的应急响应，确保所有相关人员熟悉各自的职责与操作流程。每次演练后需进行总结分析，根据演练结果不断优化应急方案，从而保障信息系</w:t>
      </w:r>
      <w:r>
        <w:rPr>
          <w:rFonts w:hint="eastAsia" w:ascii="宋体" w:hAnsi="宋体" w:eastAsia="宋体" w:cs="宋体"/>
          <w:bCs/>
          <w:color w:val="auto"/>
          <w:sz w:val="24"/>
          <w:szCs w:val="24"/>
          <w:highlight w:val="none"/>
          <w:lang w:val="en-US" w:eastAsia="zh-CN"/>
        </w:rPr>
        <w:t xml:space="preserve">统在面对突发状况时能够快速恢复至正常运行状态。</w:t>
      </w:r>
      <w:r/>
    </w:p>
    <w:p>
      <w:pPr>
        <w:ind w:firstLine="482"/>
        <w:jc w:val="left"/>
        <w:spacing w:line="360" w:lineRule="auto"/>
        <w:rPr>
          <w:rFonts w:hint="default" w:ascii="黑体" w:hAnsi="黑体" w:eastAsia="黑体" w:cs="宋体"/>
          <w:color w:val="auto"/>
          <w:sz w:val="28"/>
          <w:szCs w:val="28"/>
          <w:highlight w:val="none"/>
        </w:rPr>
      </w:pPr>
      <w:r>
        <w:rPr>
          <w:rFonts w:hint="eastAsia" w:ascii="黑体" w:hAnsi="黑体" w:eastAsia="黑体" w:cs="宋体"/>
          <w:color w:val="auto"/>
          <w:sz w:val="28"/>
          <w:szCs w:val="28"/>
          <w:highlight w:val="none"/>
          <w:lang w:val="en-US" w:eastAsia="zh-CN"/>
        </w:rPr>
        <w:t xml:space="preserve">六</w:t>
      </w:r>
      <w:r>
        <w:rPr>
          <w:rFonts w:hint="eastAsia" w:ascii="黑体" w:hAnsi="黑体" w:eastAsia="黑体" w:cs="宋体"/>
          <w:color w:val="auto"/>
          <w:sz w:val="28"/>
          <w:szCs w:val="28"/>
          <w:highlight w:val="none"/>
        </w:rPr>
        <w:t xml:space="preserve">、培训要求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培训内容：成交供应商应在平台使用方面为采购人的技术人员开设培训课程，使其能够掌握系统的运行、检查、维护工作。</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培训时间：</w:t>
      </w:r>
      <w:r>
        <w:rPr>
          <w:rFonts w:hint="eastAsia" w:ascii="宋体" w:hAnsi="宋体" w:eastAsia="宋体" w:cs="宋体"/>
          <w:color w:val="auto"/>
          <w:sz w:val="24"/>
          <w:szCs w:val="24"/>
          <w:highlight w:val="none"/>
          <w:lang w:val="en-US" w:eastAsia="zh-CN"/>
        </w:rPr>
        <w:t xml:space="preserve">提供不少于3</w:t>
      </w:r>
      <w:r>
        <w:rPr>
          <w:rFonts w:hint="eastAsia" w:ascii="宋体" w:hAnsi="宋体" w:eastAsia="宋体" w:cs="宋体"/>
          <w:color w:val="auto"/>
          <w:sz w:val="24"/>
          <w:szCs w:val="24"/>
          <w:highlight w:val="none"/>
        </w:rPr>
        <w:t xml:space="preserve">次培训服务，不少于2小时</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培训地点：由采购人指定。</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培训方法及目标：成交供应商要详细制定详细的培训计划。要求根据用户的实际工作通过分角色、分流程、分系统进行全面培训，使各岗位相关人员（管理员、技术人员、使用人员等）全面熟练</w:t>
      </w:r>
      <w:r>
        <w:rPr>
          <w:rFonts w:hint="eastAsia" w:ascii="宋体" w:hAnsi="宋体" w:eastAsia="宋体" w:cs="宋体"/>
          <w:color w:val="auto"/>
          <w:sz w:val="24"/>
          <w:szCs w:val="24"/>
          <w:highlight w:val="none"/>
          <w:lang w:val="en-US" w:eastAsia="zh-CN"/>
        </w:rPr>
        <w:t xml:space="preserve">把</w:t>
      </w:r>
      <w:r>
        <w:rPr>
          <w:rFonts w:hint="eastAsia" w:ascii="宋体" w:hAnsi="宋体" w:eastAsia="宋体" w:cs="宋体"/>
          <w:color w:val="auto"/>
          <w:sz w:val="24"/>
          <w:szCs w:val="24"/>
          <w:highlight w:val="none"/>
        </w:rPr>
        <w:t xml:space="preserve">握与自己工作相关的软件应用，确保日常工作的顺利完成。</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成交供应商应向接受培训人员提供技术资料、图纸、参考文献材料等。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成交供应商负责培训的一切费用。</w:t>
      </w:r>
      <w:r/>
    </w:p>
    <w:p>
      <w:pPr>
        <w:ind w:firstLine="482"/>
        <w:jc w:val="left"/>
        <w:spacing w:line="360" w:lineRule="auto"/>
        <w:rPr>
          <w:rFonts w:hint="default" w:ascii="黑体" w:hAnsi="黑体" w:eastAsia="黑体" w:cs="宋体"/>
          <w:color w:val="auto"/>
          <w:sz w:val="28"/>
          <w:szCs w:val="28"/>
          <w:highlight w:val="none"/>
        </w:rPr>
      </w:pPr>
      <w:r>
        <w:rPr>
          <w:rFonts w:hint="eastAsia" w:ascii="黑体" w:hAnsi="黑体" w:eastAsia="黑体" w:cs="宋体"/>
          <w:color w:val="auto"/>
          <w:sz w:val="28"/>
          <w:szCs w:val="28"/>
          <w:highlight w:val="none"/>
          <w:lang w:val="en-US" w:eastAsia="zh-CN"/>
        </w:rPr>
        <w:t xml:space="preserve">七</w:t>
      </w:r>
      <w:r>
        <w:rPr>
          <w:rFonts w:hint="eastAsia" w:ascii="黑体" w:hAnsi="黑体" w:eastAsia="黑体" w:cs="宋体"/>
          <w:color w:val="auto"/>
          <w:sz w:val="28"/>
          <w:szCs w:val="28"/>
          <w:highlight w:val="none"/>
        </w:rPr>
        <w:t xml:space="preserve">、运维服务要求</w:t>
      </w:r>
      <w:r/>
    </w:p>
    <w:p>
      <w:pPr>
        <w:ind w:firstLine="480"/>
        <w:spacing w:line="480" w:lineRule="exact"/>
        <w:tabs>
          <w:tab w:val="left" w:pos="819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2"/>
          <w:highlight w:val="none"/>
          <w:lang w:val="zh-CN"/>
        </w:rPr>
        <w:t xml:space="preserve">1、运维期为自试运行通过之日起</w:t>
      </w:r>
      <w:r>
        <w:rPr>
          <w:rFonts w:hint="eastAsia" w:ascii="宋体" w:hAnsi="宋体" w:eastAsia="宋体" w:cs="宋体"/>
          <w:color w:val="auto"/>
          <w:sz w:val="24"/>
          <w:szCs w:val="22"/>
          <w:highlight w:val="none"/>
          <w:lang w:val="en-US" w:eastAsia="zh-CN"/>
        </w:rPr>
        <w:t xml:space="preserve">24</w:t>
      </w:r>
      <w:r>
        <w:rPr>
          <w:rFonts w:hint="eastAsia" w:ascii="宋体" w:hAnsi="宋体" w:eastAsia="宋体" w:cs="宋体"/>
          <w:color w:val="auto"/>
          <w:sz w:val="24"/>
          <w:szCs w:val="22"/>
          <w:highlight w:val="none"/>
          <w:lang w:val="zh-CN"/>
        </w:rPr>
        <w:t xml:space="preserve">个月，供应商需提供包括故障排除、安全漏洞修复、数据及数据库更新、性能调优、技术咨询、其他维护服务。提供定期现场巡检和回访，系统日常管理的交流，进行定期的预防性维护服务。</w:t>
      </w:r>
      <w:r/>
    </w:p>
    <w:p>
      <w:pPr>
        <w:ind w:firstLine="480"/>
        <w:spacing w:line="480" w:lineRule="exact"/>
        <w:tabs>
          <w:tab w:val="left" w:pos="8190" w:leader="none"/>
        </w:tabs>
        <w:rPr>
          <w:rFonts w:hint="default"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zh-CN"/>
        </w:rPr>
        <w:t xml:space="preserve">、应急预案：成交供应商做好应急预案，制定配套应急措施，做到线上线下及时响应，在维护期发生导致系统无法正常运行、影响业务正常开展的故障时，接到甲方反馈后，在10分</w:t>
      </w:r>
      <w:r>
        <w:rPr>
          <w:rFonts w:hint="eastAsia" w:ascii="宋体" w:hAnsi="宋体" w:eastAsia="宋体" w:cs="宋体"/>
          <w:color w:val="auto"/>
          <w:sz w:val="24"/>
          <w:szCs w:val="22"/>
          <w:highlight w:val="none"/>
          <w:lang w:val="zh-CN"/>
        </w:rPr>
        <w:t xml:space="preserve">钟内响应，在2小时内快速解决问题，若无法通过远程或网络解决问题，工程师最短在48小时内到达现场开始问题的排查。供应商应对系统运行中的突发故障，建立24小时服务器性能监测体系，借助网络管理工具对网络设备及关键链路进行24小时实时监测，一旦发现异常情况，立即启动故障评估流程，精准定位出现故障的局部模块或功能，并判断其对整体业务的影响程度，同时记录故障发生的时间、环境信息及初步的故障表现特征，为后续的应急处理提供详细的数据支持，确保相关人员能够在第一时间收到通知并采取相应行动，为后续的应急处置争取宝贵的时间窗口。</w:t>
      </w:r>
      <w:r/>
    </w:p>
    <w:p>
      <w:pPr>
        <w:ind w:firstLine="480"/>
        <w:spacing w:line="480" w:lineRule="exact"/>
        <w:tabs>
          <w:tab w:val="left" w:pos="8190" w:leader="none"/>
        </w:tabs>
        <w:rPr>
          <w:rFonts w:hint="eastAsia" w:ascii="宋体" w:hAnsi="宋体" w:eastAsia="宋体" w:cs="宋体"/>
          <w:color w:val="auto"/>
          <w:sz w:val="24"/>
          <w:szCs w:val="22"/>
          <w:highlight w:val="none"/>
          <w:lang w:val="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、若有政策性要求导致系统模块、功能等产生变更，需要对系统进行开发、升级、改造时，成交供应商应配合响应。</w:t>
      </w:r>
      <w:r>
        <w:rPr>
          <w:rFonts w:hint="eastAsia" w:ascii="宋体" w:hAnsi="宋体" w:eastAsia="宋体" w:cs="宋体"/>
          <w:color w:val="auto"/>
          <w:sz w:val="24"/>
          <w:szCs w:val="22"/>
          <w:highlight w:val="none"/>
        </w:rPr>
        <w:t xml:space="preserve">运维期</w:t>
      </w:r>
      <w:r>
        <w:rPr>
          <w:rFonts w:hint="eastAsia" w:ascii="宋体" w:hAnsi="宋体" w:eastAsia="宋体" w:cs="宋体"/>
          <w:color w:val="auto"/>
          <w:sz w:val="24"/>
          <w:szCs w:val="22"/>
          <w:highlight w:val="none"/>
          <w:lang w:val="zh-CN"/>
        </w:rPr>
        <w:t xml:space="preserve">内，成交供应商接到用户报修请求后,应即时做出响应，如通过远程方式无法解决的问题,应派售后服务人员</w:t>
      </w:r>
      <w:r>
        <w:rPr>
          <w:rFonts w:hint="eastAsia" w:ascii="宋体" w:hAnsi="宋体" w:eastAsia="宋体" w:cs="宋体"/>
          <w:color w:val="auto"/>
          <w:sz w:val="24"/>
          <w:szCs w:val="22"/>
          <w:highlight w:val="none"/>
          <w:lang w:val="en-US" w:eastAsia="zh-CN"/>
        </w:rPr>
        <w:t xml:space="preserve">48</w:t>
      </w:r>
      <w:r>
        <w:rPr>
          <w:rFonts w:hint="eastAsia" w:ascii="宋体" w:hAnsi="宋体" w:eastAsia="宋体" w:cs="宋体"/>
          <w:color w:val="auto"/>
          <w:sz w:val="24"/>
          <w:szCs w:val="22"/>
          <w:highlight w:val="none"/>
          <w:lang w:val="zh-CN"/>
        </w:rPr>
        <w:t xml:space="preserve">小时内赶到现场。</w:t>
      </w:r>
      <w:r/>
    </w:p>
    <w:p>
      <w:pPr>
        <w:ind w:firstLine="480"/>
        <w:spacing w:line="480" w:lineRule="exact"/>
        <w:tabs>
          <w:tab w:val="left" w:pos="8190" w:leader="none"/>
        </w:tabs>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lang w:val="zh-CN"/>
        </w:rPr>
        <w:t xml:space="preserve">、运维服务期内，成交供应商负责所有软件的维护，所有的上门服务产生的费用均不再另行收取；运维服务期内，成交供应商负责对本项目涉及的软件提供升级、维护排障服务，保证系统正常运行并负责系统安全问题处理；成交供应商应配合采购单位后期系统升级改造。</w:t>
      </w:r>
      <w:r/>
    </w:p>
    <w:p>
      <w:pPr>
        <w:ind w:firstLine="480"/>
        <w:spacing w:line="480" w:lineRule="exact"/>
        <w:rPr>
          <w:rFonts w:hint="eastAsia" w:ascii="黑体" w:hAnsi="黑体" w:eastAsia="黑体" w:cs="宋体"/>
          <w:color w:val="auto"/>
          <w:sz w:val="28"/>
          <w:szCs w:val="28"/>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如成交供应商服务期内不能按时效响应，每出现1次响应不及时的情况，采购人有权给予成交供应商2000元/次的处罚；当月出现3次或3次以上响应不及时的情况，相应处罚翻倍；因此，响应不及时导致采购人产生额外费用的，由成交供应商承担。</w:t>
      </w:r>
      <w:r/>
    </w:p>
    <w:p>
      <w:pPr>
        <w:ind w:firstLine="482"/>
        <w:jc w:val="left"/>
        <w:spacing w:line="360" w:lineRule="auto"/>
        <w:rPr>
          <w:rFonts w:hint="default" w:ascii="黑体" w:hAnsi="黑体" w:eastAsia="黑体" w:cs="宋体"/>
          <w:color w:val="auto"/>
          <w:sz w:val="28"/>
          <w:szCs w:val="28"/>
          <w:highlight w:val="none"/>
        </w:rPr>
      </w:pPr>
      <w:r>
        <w:rPr>
          <w:rFonts w:hint="eastAsia" w:ascii="宋体" w:hAnsi="宋体" w:eastAsia="宋体" w:cs="宋体"/>
          <w:b/>
          <w:color w:val="auto"/>
          <w:sz w:val="24"/>
          <w:szCs w:val="24"/>
          <w:highlight w:val="none"/>
        </w:rPr>
        <w:t xml:space="preserve">★</w:t>
      </w:r>
      <w:r>
        <w:rPr>
          <w:rFonts w:hint="eastAsia" w:ascii="黑体" w:hAnsi="黑体" w:eastAsia="黑体" w:cs="宋体"/>
          <w:color w:val="auto"/>
          <w:sz w:val="28"/>
          <w:szCs w:val="28"/>
          <w:highlight w:val="none"/>
          <w:lang w:val="en-US" w:eastAsia="zh-CN"/>
        </w:rPr>
        <w:t xml:space="preserve">八</w:t>
      </w:r>
      <w:r>
        <w:rPr>
          <w:rFonts w:hint="eastAsia" w:ascii="黑体" w:hAnsi="黑体" w:eastAsia="黑体" w:cs="宋体"/>
          <w:color w:val="auto"/>
          <w:sz w:val="28"/>
          <w:szCs w:val="28"/>
          <w:highlight w:val="none"/>
        </w:rPr>
        <w:t xml:space="preserve">、对接要求</w:t>
      </w:r>
      <w:r/>
    </w:p>
    <w:p>
      <w:pPr>
        <w:ind w:firstLine="561"/>
        <w:jc w:val="both"/>
        <w:spacing w:line="400" w:lineRule="exact"/>
        <w:widowControl w:val="off"/>
        <w:rPr>
          <w:rFonts w:hint="eastAsia" w:ascii="黑体" w:hAnsi="黑体" w:eastAsia="黑体" w:cs="黑体"/>
          <w:b/>
          <w:color w:val="auto"/>
          <w:sz w:val="28"/>
          <w:szCs w:val="28"/>
          <w:highlight w:val="none"/>
          <w:lang w:val="en-US" w:eastAsia="zh-CN" w:bidi="ar"/>
        </w:rPr>
      </w:pPr>
      <w:r>
        <w:rPr>
          <w:rFonts w:hint="eastAsia" w:ascii="方正仿宋_GBK" w:hAnsi="Times New Roman" w:eastAsia="方正仿宋_GBK" w:cs="Times New Roman"/>
          <w:b/>
          <w:color w:val="auto"/>
          <w:sz w:val="32"/>
          <w:szCs w:val="32"/>
          <w:highlight w:val="none"/>
          <w:lang w:val="en-US" w:eastAsia="zh-CN" w:bidi="ar-SA"/>
        </w:rPr>
        <w:t xml:space="preserve">提供满足以下对接要求的承诺函（格式见第六部分“十、承诺函”），不接受负偏离，否则按无效标处理。</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与原平台及历史数据对接：实现原平台全量业务数据及相关历史数据（管网基础数据、检测数据、设备监测数据、溢流内涝数据等）的梳理、清洗、转换和对接导入；建立数据对接校验机制，确保对接数据完整、准确、无遗漏；对接过程需采用加密传输方式，保障数据安全。</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2、与政务系统对接：</w:t>
      </w:r>
      <w:r>
        <w:rPr>
          <w:rFonts w:hint="eastAsia" w:ascii="宋体" w:hAnsi="宋体" w:eastAsia="宋体" w:cs="宋体"/>
          <w:bCs/>
          <w:color w:val="auto"/>
          <w:sz w:val="24"/>
          <w:szCs w:val="24"/>
          <w:highlight w:val="none"/>
          <w:lang w:val="en-US" w:eastAsia="zh-CN"/>
        </w:rPr>
        <w:t xml:space="preserve">依托政务云部署环境，实现新平台与政务云内宿豫区政务服务平台、大数据管理平台的数据共享交换与互联互通；同步梳理原平台与上述政务系统的历史对接数据，在政务云全环境内完成数据规范整合与迁移衔接，确保跨系统数据衔接一致、安全可控。</w:t>
      </w:r>
      <w:r/>
    </w:p>
    <w:p>
      <w:pPr>
        <w:ind w:firstLine="480"/>
        <w:jc w:val="both"/>
        <w:keepLines w:val="0"/>
        <w:keepNext w:val="0"/>
        <w:pageBreakBefore w:val="0"/>
        <w:spacing w:line="348"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、与监测设备对接：对接取水口、水文站点、水质监测站点、管网监测设备等终端设备，实现监测数据的实时采集与传输；支持多种通信协议；确保原设备接入的历史监测数据通过数据迁移同步至新平台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新老平台平稳过渡</w:t>
      </w:r>
      <w:r>
        <w:rPr>
          <w:rFonts w:hint="eastAsia" w:ascii="宋体" w:hAnsi="宋体" w:eastAsia="宋体" w:cs="宋体"/>
          <w:bCs/>
          <w:color w:val="auto"/>
          <w:sz w:val="24"/>
          <w:szCs w:val="24"/>
          <w:highlight w:val="none"/>
        </w:rPr>
        <w:t xml:space="preserve">。</w:t>
      </w:r>
      <w:r/>
    </w:p>
    <w:p>
      <w:pPr>
        <w:ind w:firstLine="480"/>
        <w:jc w:val="both"/>
        <w:keepLines w:val="0"/>
        <w:keepNext w:val="0"/>
        <w:pageBreakBefore w:val="0"/>
        <w:spacing w:line="348"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4、新老平台过渡期间须确保用户使用的连续性。</w:t>
      </w:r>
      <w:r/>
    </w:p>
    <w:p>
      <w:pPr>
        <w:ind w:firstLine="480"/>
        <w:jc w:val="both"/>
        <w:keepLines w:val="0"/>
        <w:keepNext w:val="0"/>
        <w:pageBreakBefore w:val="0"/>
        <w:spacing w:line="348" w:lineRule="auto"/>
        <w:widowControl w:val="off"/>
        <w:rPr>
          <w:rFonts w:hint="default" w:ascii="宋体" w:hAnsi="宋体" w:eastAsia="宋体" w:cs="宋体"/>
          <w:color w:val="auto"/>
          <w:sz w:val="24"/>
          <w:szCs w:val="24"/>
          <w:highlight w:val="none"/>
        </w:rPr>
      </w:pPr>
      <w:r>
        <w:rPr>
          <w:rFonts w:hint="eastAsia" w:ascii="黑体" w:hAnsi="黑体" w:eastAsia="黑体" w:cs="宋体"/>
          <w:color w:val="auto"/>
          <w:sz w:val="28"/>
          <w:szCs w:val="28"/>
          <w:highlight w:val="none"/>
          <w:lang w:val="en-US" w:eastAsia="zh-CN"/>
        </w:rPr>
        <w:t xml:space="preserve">九</w:t>
      </w:r>
      <w:r>
        <w:rPr>
          <w:rFonts w:hint="eastAsia" w:ascii="黑体" w:hAnsi="黑体" w:eastAsia="黑体" w:cs="宋体"/>
          <w:color w:val="auto"/>
          <w:sz w:val="28"/>
          <w:szCs w:val="28"/>
          <w:highlight w:val="none"/>
        </w:rPr>
        <w:t xml:space="preserve">、项目组人员要求</w:t>
      </w:r>
      <w:r/>
    </w:p>
    <w:p>
      <w:pPr>
        <w:ind w:firstLine="482"/>
        <w:keepLines w:val="0"/>
        <w:keepNext w:val="0"/>
        <w:pageBreakBefore w:val="0"/>
        <w:spacing w:line="348"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bCs/>
          <w:color w:val="auto"/>
          <w:sz w:val="24"/>
          <w:szCs w:val="24"/>
          <w:highlight w:val="none"/>
        </w:rPr>
        <w:t xml:space="preserve">组建不少于6人的项目团队，其中包含：项目负责人、技术负责人和项目组其他成员。供应商一经</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，项目负责人和技术负责人不得随意更换，如有特殊原因需更换，须提前10天通知，经采购人同意后，方可更换；</w:t>
      </w:r>
      <w:r/>
    </w:p>
    <w:p>
      <w:pPr>
        <w:ind w:firstLine="482"/>
        <w:jc w:val="both"/>
        <w:keepLines w:val="0"/>
        <w:keepNext w:val="0"/>
        <w:pageBreakBefore w:val="0"/>
        <w:spacing w:line="348"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项目负责人1名：</w:t>
      </w:r>
      <w:r>
        <w:rPr>
          <w:rFonts w:hint="eastAsia" w:ascii="宋体" w:hAnsi="宋体" w:eastAsia="宋体" w:cs="宋体"/>
          <w:color w:val="auto"/>
          <w:sz w:val="24"/>
          <w:szCs w:val="24"/>
          <w:highlight w:val="none"/>
        </w:rPr>
        <w:t xml:space="preserve">具备信息化项目管理经验，牵头负责项目整体规划、进度管控、质量保障及各方协调工作；熟悉新平台搭建、数据迁移、等保测评类项目的管理流程；定期向采购人汇报项目进展，确保项目顺利推进</w:t>
      </w:r>
      <w:r>
        <w:rPr>
          <w:rFonts w:hint="eastAsia" w:ascii="宋体" w:hAnsi="宋体" w:eastAsia="宋体" w:cs="宋体"/>
          <w:bCs/>
          <w:color w:val="auto"/>
          <w:sz w:val="24"/>
          <w:szCs w:val="24"/>
          <w:highlight w:val="none"/>
          <w:lang w:eastAsia="zh-CN"/>
        </w:rPr>
        <w:t xml:space="preserve">。</w:t>
      </w:r>
      <w:r/>
    </w:p>
    <w:p>
      <w:pPr>
        <w:ind w:firstLine="482"/>
        <w:jc w:val="both"/>
        <w:keepLines w:val="0"/>
        <w:keepNext w:val="0"/>
        <w:pageBreakBefore w:val="0"/>
        <w:spacing w:line="348"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技术负责人1名：负责软件系统开发策略，确保项目满足既定的时间表和质量标准，制定软件开发框架，管理和协调开发团队，细化软件开发流程，负责软件质量保证和测试工作，确保软件开发高效正常开展。</w:t>
      </w:r>
      <w:r/>
    </w:p>
    <w:p>
      <w:pPr>
        <w:ind w:firstLine="482"/>
        <w:jc w:val="both"/>
        <w:keepLines w:val="0"/>
        <w:keepNext w:val="0"/>
        <w:pageBreakBefore w:val="0"/>
        <w:spacing w:line="348"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项目组其他成员：不少于4人，</w:t>
      </w:r>
      <w:r>
        <w:rPr>
          <w:rFonts w:hint="default" w:ascii="宋体" w:hAnsi="宋体" w:eastAsia="宋体" w:cs="宋体"/>
          <w:bCs/>
          <w:color w:val="auto"/>
          <w:sz w:val="24"/>
          <w:szCs w:val="24"/>
          <w:highlight w:val="none"/>
        </w:rPr>
        <w:t xml:space="preserve">需全程参与项目现场沟通、需求对接及开发实施工作</w:t>
      </w:r>
      <w:r>
        <w:rPr>
          <w:rFonts w:hint="eastAsia" w:ascii="宋体" w:hAnsi="宋体" w:eastAsia="宋体" w:cs="宋体"/>
          <w:bCs/>
          <w:color w:val="auto"/>
          <w:sz w:val="24"/>
          <w:szCs w:val="24"/>
          <w:highlight w:val="none"/>
        </w:rPr>
        <w:t xml:space="preserve">，掌握各专项技术领域的相关基础知识，具备应用开发等相应能力，现场进行软件安装调试工作。</w:t>
      </w:r>
      <w:r/>
    </w:p>
    <w:p>
      <w:pPr>
        <w:ind w:firstLine="482"/>
        <w:jc w:val="left"/>
        <w:keepLines w:val="0"/>
        <w:keepNext w:val="0"/>
        <w:pageBreakBefore w:val="0"/>
        <w:spacing w:line="348" w:lineRule="auto"/>
        <w:rPr>
          <w:rFonts w:hint="default" w:ascii="黑体" w:hAnsi="黑体" w:eastAsia="黑体" w:cs="宋体"/>
          <w:color w:val="auto"/>
          <w:sz w:val="28"/>
          <w:szCs w:val="28"/>
          <w:highlight w:val="none"/>
        </w:rPr>
      </w:pPr>
      <w:r>
        <w:rPr>
          <w:rFonts w:hint="eastAsia" w:ascii="黑体" w:hAnsi="黑体" w:eastAsia="黑体" w:cs="宋体"/>
          <w:color w:val="auto"/>
          <w:sz w:val="28"/>
          <w:szCs w:val="28"/>
          <w:highlight w:val="none"/>
          <w:lang w:val="en-US" w:eastAsia="zh-CN"/>
        </w:rPr>
        <w:t xml:space="preserve">十</w:t>
      </w:r>
      <w:r>
        <w:rPr>
          <w:rFonts w:hint="eastAsia" w:ascii="黑体" w:hAnsi="黑体" w:eastAsia="黑体" w:cs="宋体"/>
          <w:color w:val="auto"/>
          <w:sz w:val="28"/>
          <w:szCs w:val="28"/>
          <w:highlight w:val="none"/>
        </w:rPr>
        <w:t xml:space="preserve">、安全要求</w:t>
      </w:r>
      <w:r/>
    </w:p>
    <w:p>
      <w:pPr>
        <w:ind w:firstLine="482"/>
        <w:keepLines w:val="0"/>
        <w:keepNext w:val="0"/>
        <w:pageBreakBefore w:val="0"/>
        <w:spacing w:after="0" w:line="34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供应商有责任维护采购人提供的数据资料所有权和保密性，不得向第三方提供采购人的数据资料，不得将采购人提供的数据资料用于本合同以外的用途。除为进行合作事项所必需以外，不得复制或部分复制披露方提供的保密信息，或以其他方式制作副本、备份等。</w:t>
      </w:r>
      <w:r/>
    </w:p>
    <w:p>
      <w:pPr>
        <w:ind w:firstLine="482"/>
        <w:keepLines w:val="0"/>
        <w:keepNext w:val="0"/>
        <w:pageBreakBefore w:val="0"/>
        <w:spacing w:after="0" w:line="34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一整套完备的安全性策略体系，通过设计统一的人员和权限管理功能，建立数据备份措施与制度，实行“运行日志制度”等，确保数据安全性、准确性与可靠性。提供涉密数据管理和网络安全等方面的建设方案，需包括数据脱敏脱密、网络安全、传输安全、数据库管理等方面的措施。</w:t>
      </w:r>
      <w:r/>
    </w:p>
    <w:p>
      <w:pPr>
        <w:ind w:firstLine="482"/>
        <w:keepLines w:val="0"/>
        <w:keepNext w:val="0"/>
        <w:pageBreakBefore w:val="0"/>
        <w:spacing w:after="0" w:line="34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息系统的设计、部署、实施等活动须满足《计算机网络安全管理办法》《计算机信息系统安全保护条例》等相关法律法规的要求并承担相应网络安全责任。如因软件设计缺陷、部署或运维规范问题导致甲方遭受黑客攻击、数据泄露、数据丢失、业务系统中断等网络安全事件，供应商需对此类事件负责并承担由此造成的经济损失，承担的赔付金额不低于损失金额。</w:t>
      </w:r>
      <w:r/>
    </w:p>
    <w:p>
      <w:pPr>
        <w:ind w:firstLine="482"/>
        <w:keepLines w:val="0"/>
        <w:keepNext w:val="0"/>
        <w:pageBreakBefore w:val="0"/>
        <w:spacing w:after="0" w:line="34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4、当采购人或第三方机构通过漏扫、渗透或其他核验方式发现系统在架构、配置、功能、环境等方面存在安全漏洞时，应在24小时之内配合完成修复工作。</w:t>
      </w:r>
      <w:r/>
    </w:p>
    <w:p>
      <w:pPr>
        <w:ind w:firstLine="480"/>
        <w:jc w:val="left"/>
        <w:keepLines w:val="0"/>
        <w:keepNext w:val="0"/>
        <w:pageBreakBefore w:val="0"/>
        <w:spacing w:line="34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default" w:ascii="Times New Roman" w:hAnsi="Times New Roman" w:eastAsia="宋体" w:cs="仿宋"/>
          <w:color w:val="auto"/>
          <w:sz w:val="24"/>
          <w:szCs w:val="24"/>
          <w:highlight w:val="none"/>
        </w:rPr>
        <w:t xml:space="preserve">本项目所采购的软件、服务须满足国产化要求。</w:t>
      </w:r>
      <w:r>
        <w:rPr>
          <w:rFonts w:hint="eastAsia" w:ascii="宋体" w:hAnsi="宋体" w:eastAsia="宋体" w:cs="宋体"/>
          <w:color w:val="auto"/>
          <w:sz w:val="24"/>
          <w:szCs w:val="24"/>
          <w:highlight w:val="none"/>
        </w:rPr>
        <w:t xml:space="preserve">提供服务所用软件需进行国产化适配测试，确保产品在国产化环境下能够正常运行，这包括兼容性、稳定性、性能、安全性等测试。</w:t>
      </w:r>
      <w:r>
        <w:rPr>
          <w:rFonts w:hint="eastAsia" w:ascii="宋体" w:hAnsi="宋体" w:eastAsia="宋体" w:cs="宋体"/>
          <w:color w:val="auto"/>
          <w:sz w:val="24"/>
          <w:szCs w:val="24"/>
          <w:highlight w:val="none"/>
          <w:lang w:val="en-US" w:eastAsia="zh-CN"/>
        </w:rPr>
        <w:t xml:space="preserve">对于采购人提出的</w:t>
      </w:r>
      <w:r>
        <w:rPr>
          <w:rFonts w:hint="eastAsia" w:ascii="宋体" w:hAnsi="宋体" w:eastAsia="宋体" w:cs="宋体"/>
          <w:color w:val="auto"/>
          <w:sz w:val="24"/>
          <w:szCs w:val="24"/>
          <w:highlight w:val="none"/>
        </w:rPr>
        <w:t xml:space="preserve">国产化适配等工作要求，</w:t>
      </w:r>
      <w:r>
        <w:rPr>
          <w:rFonts w:hint="eastAsia" w:ascii="宋体" w:hAnsi="宋体" w:eastAsia="宋体" w:cs="宋体"/>
          <w:color w:val="auto"/>
          <w:sz w:val="24"/>
          <w:szCs w:val="24"/>
          <w:highlight w:val="none"/>
          <w:lang w:val="en-US" w:eastAsia="zh-CN"/>
        </w:rPr>
        <w:t xml:space="preserve">成交人</w:t>
      </w:r>
      <w:r>
        <w:rPr>
          <w:rFonts w:hint="eastAsia" w:ascii="宋体" w:hAnsi="宋体" w:eastAsia="宋体" w:cs="宋体"/>
          <w:color w:val="auto"/>
          <w:sz w:val="24"/>
          <w:szCs w:val="24"/>
          <w:highlight w:val="none"/>
        </w:rPr>
        <w:t xml:space="preserve">需配合完成，并不得另行收费。</w:t>
      </w:r>
      <w:r/>
    </w:p>
    <w:p>
      <w:pPr>
        <w:ind w:firstLine="482"/>
        <w:jc w:val="left"/>
        <w:spacing w:line="360" w:lineRule="auto"/>
        <w:rPr>
          <w:rFonts w:hint="eastAsia" w:ascii="黑体" w:hAnsi="黑体" w:eastAsia="黑体" w:cs="宋体"/>
          <w:color w:val="auto"/>
          <w:sz w:val="28"/>
          <w:szCs w:val="28"/>
          <w:highlight w:val="none"/>
        </w:rPr>
      </w:pPr>
      <w:r>
        <w:rPr>
          <w:rFonts w:hint="eastAsia" w:ascii="黑体" w:hAnsi="黑体" w:eastAsia="黑体" w:cs="宋体"/>
          <w:color w:val="auto"/>
          <w:sz w:val="28"/>
          <w:szCs w:val="28"/>
          <w:highlight w:val="none"/>
          <w:lang w:val="en-US" w:eastAsia="zh-CN"/>
        </w:rPr>
        <w:t xml:space="preserve">十一</w:t>
      </w:r>
      <w:r>
        <w:rPr>
          <w:rFonts w:hint="eastAsia" w:ascii="黑体" w:hAnsi="黑体" w:eastAsia="黑体" w:cs="宋体"/>
          <w:color w:val="auto"/>
          <w:sz w:val="28"/>
          <w:szCs w:val="28"/>
          <w:highlight w:val="none"/>
        </w:rPr>
        <w:t xml:space="preserve">、验收要求</w:t>
      </w:r>
      <w:r/>
    </w:p>
    <w:p>
      <w:pPr>
        <w:ind w:firstLine="482"/>
        <w:spacing w:line="480" w:lineRule="exact"/>
        <w:rPr>
          <w:rFonts w:hint="default" w:ascii="宋体" w:hAnsi="宋体" w:eastAsia="宋体" w:cs="宋体"/>
          <w:bCs/>
          <w:color w:val="auto"/>
          <w:sz w:val="24"/>
          <w:szCs w:val="24"/>
          <w:highlight w:val="none"/>
        </w:rPr>
      </w:pPr>
      <w:r/>
      <w:bookmarkStart w:id="104" w:name="OLE_LINK31"/>
      <w:r>
        <w:rPr>
          <w:rFonts w:hint="eastAsia" w:ascii="宋体" w:hAnsi="宋体" w:eastAsia="宋体" w:cs="宋体"/>
          <w:bCs/>
          <w:color w:val="auto"/>
          <w:sz w:val="24"/>
          <w:szCs w:val="24"/>
          <w:highlight w:val="none"/>
        </w:rPr>
        <w:t xml:space="preserve">1、系统上线后，进入系统试运行期，试运行3个月后，成交供应商可提出初验申请，若试运行期间出现问题，成交供应商须在5个工作日内进行调整完毕。采购人在收到成交供应商的初验申请后根据技术要求和合同约定，5个工作日内组织验收，并出具初验确认报告。运维期满</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个月且经验收合格后，出具最终验收报告。</w:t>
      </w:r>
      <w:r/>
    </w:p>
    <w:p>
      <w:pPr>
        <w:ind w:firstLine="514"/>
        <w:jc w:val="both"/>
        <w:spacing w:line="480" w:lineRule="exact"/>
        <w:widowControl w:val="off"/>
        <w:tabs>
          <w:tab w:val="left" w:pos="8190" w:leader="none"/>
        </w:tabs>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验收小组组建和验收程序符合《江苏省政府采购履约验收管理办法》（苏财规〔2024〕7号）规定，并满足采购人实际需求，</w:t>
      </w:r>
      <w:r>
        <w:rPr>
          <w:rFonts w:hint="default" w:ascii="宋体" w:hAnsi="宋体" w:eastAsia="宋体" w:cs="宋体"/>
          <w:bCs/>
          <w:color w:val="auto"/>
          <w:sz w:val="24"/>
          <w:szCs w:val="24"/>
          <w:highlight w:val="none"/>
        </w:rPr>
        <w:t xml:space="preserve">当</w:t>
      </w:r>
      <w:r>
        <w:rPr>
          <w:rFonts w:hint="eastAsia" w:ascii="宋体" w:hAnsi="宋体" w:eastAsia="宋体" w:cs="宋体"/>
          <w:bCs/>
          <w:color w:val="auto"/>
          <w:sz w:val="24"/>
          <w:szCs w:val="24"/>
          <w:highlight w:val="none"/>
        </w:rPr>
        <w:t xml:space="preserve">标准、规范等不一致的，以要求高的为准。</w:t>
      </w:r>
      <w:r/>
    </w:p>
    <w:p>
      <w:pPr>
        <w:ind w:firstLine="482"/>
        <w:jc w:val="both"/>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w:t>
      </w:r>
      <w:r>
        <w:rPr>
          <w:rFonts w:hint="eastAsia" w:ascii="Times New Roman" w:hAnsi="Times New Roman" w:eastAsia="宋体" w:cs="仿宋"/>
          <w:color w:val="auto"/>
          <w:sz w:val="24"/>
          <w:szCs w:val="24"/>
          <w:highlight w:val="none"/>
        </w:rPr>
        <w:t xml:space="preserve">成交供应商提供项目初步验收相关材料，包括不限于合同；用户需求说明书；概要设计说明书；数据及数据库设计要求说明书；详细设计说明书；用户手册；组织系统培训会；系统接口规范；提供本项目研发的源代码。</w:t>
      </w:r>
      <w:bookmarkEnd w:id="104"/>
      <w:r/>
      <w:bookmarkEnd w:id="88"/>
      <w:r/>
    </w:p>
    <w:p>
      <w:pPr>
        <w:ind w:firstLine="482"/>
        <w:jc w:val="left"/>
        <w:spacing w:line="360" w:lineRule="auto"/>
        <w:rPr>
          <w:rFonts w:hint="default" w:ascii="黑体" w:hAnsi="黑体" w:eastAsia="黑体" w:cs="宋体"/>
          <w:color w:val="auto"/>
          <w:sz w:val="28"/>
          <w:szCs w:val="28"/>
          <w:highlight w:val="none"/>
        </w:rPr>
      </w:pPr>
      <w:r>
        <w:rPr>
          <w:rFonts w:hint="eastAsia" w:ascii="黑体" w:hAnsi="黑体" w:eastAsia="黑体" w:cs="宋体"/>
          <w:color w:val="auto"/>
          <w:sz w:val="28"/>
          <w:szCs w:val="28"/>
          <w:highlight w:val="none"/>
        </w:rPr>
        <w:t xml:space="preserve">十</w:t>
      </w:r>
      <w:r>
        <w:rPr>
          <w:rFonts w:hint="eastAsia" w:ascii="黑体" w:hAnsi="黑体" w:eastAsia="黑体" w:cs="宋体"/>
          <w:color w:val="auto"/>
          <w:sz w:val="28"/>
          <w:szCs w:val="28"/>
          <w:highlight w:val="none"/>
          <w:lang w:val="en-US" w:eastAsia="zh-CN"/>
        </w:rPr>
        <w:t xml:space="preserve">二</w:t>
      </w:r>
      <w:r>
        <w:rPr>
          <w:rFonts w:hint="eastAsia" w:ascii="黑体" w:hAnsi="黑体" w:eastAsia="黑体" w:cs="宋体"/>
          <w:color w:val="auto"/>
          <w:sz w:val="28"/>
          <w:szCs w:val="28"/>
          <w:highlight w:val="none"/>
        </w:rPr>
        <w:t xml:space="preserve">、知识产权及其他要求</w:t>
      </w:r>
      <w:r/>
    </w:p>
    <w:p>
      <w:p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、本项目中系统开发的归属权及数据归属于采购人，成交供应商交付采购人时应当递交开发基础代码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相关手册</w:t>
      </w:r>
      <w:r>
        <w:rPr>
          <w:rFonts w:hint="eastAsia" w:ascii="宋体" w:hAnsi="宋体" w:eastAsia="宋体" w:cs="宋体"/>
          <w:color w:val="auto"/>
          <w:sz w:val="24"/>
          <w:szCs w:val="24"/>
          <w:highlight w:val="none"/>
        </w:rPr>
        <w:t xml:space="preserve">等基础性资料。</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供应商应保证采购人在使用该系统或其任何一部分时不受第三方提出侵犯专利权、商标权或工业设备等知识产权的指控，如果第三方提出侵权指控，成交供应商须与第三方交涉并承担可能发生的一切法律责任和费用。</w:t>
      </w:r>
      <w:r>
        <w:rPr>
          <w:rFonts w:hint="eastAsia" w:ascii="宋体" w:hAnsi="宋体" w:eastAsia="宋体" w:cs="宋体"/>
          <w:color w:val="auto"/>
          <w:sz w:val="24"/>
          <w:szCs w:val="24"/>
          <w:highlight w:val="none"/>
          <w:lang w:val="en-US" w:eastAsia="zh-CN"/>
        </w:rPr>
        <w:t xml:space="preserve">成交人</w:t>
      </w:r>
      <w:r>
        <w:rPr>
          <w:rFonts w:hint="eastAsia" w:ascii="宋体" w:hAnsi="宋体" w:eastAsia="宋体" w:cs="宋体"/>
          <w:color w:val="auto"/>
          <w:sz w:val="24"/>
          <w:szCs w:val="24"/>
          <w:highlight w:val="none"/>
        </w:rPr>
        <w:t xml:space="preserve">所开发的系统产权、数据产权归属于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3、若采购人在项目建设和运维期间内信息系统发生变化，导致数据重新同步，则由成交供应商重新发起。</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4、新建系统按照规定应直接部署在宿豫区政务云，并确保如期正式上线运行。期间可能发生的费用包含网站认证、国产数据库、操作系统、中间件授权费用均由成交单位负责。</w:t>
      </w:r>
      <w:r/>
    </w:p>
    <w:p>
      <w:pPr>
        <w:ind w:firstLine="480"/>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项目</w:t>
      </w:r>
      <w:r>
        <w:rPr>
          <w:rFonts w:hint="eastAsia" w:ascii="宋体" w:hAnsi="宋体" w:eastAsia="宋体" w:cs="宋体"/>
          <w:color w:val="auto"/>
          <w:sz w:val="24"/>
          <w:szCs w:val="24"/>
          <w:highlight w:val="none"/>
        </w:rPr>
        <w:t xml:space="preserve">服务期</w:t>
      </w:r>
      <w:r>
        <w:rPr>
          <w:rFonts w:hint="eastAsia" w:ascii="宋体" w:hAnsi="宋体" w:eastAsia="宋体" w:cs="宋体"/>
          <w:color w:val="auto"/>
          <w:sz w:val="24"/>
          <w:szCs w:val="24"/>
          <w:highlight w:val="none"/>
          <w:lang w:eastAsia="zh-Hans"/>
        </w:rPr>
        <w:t xml:space="preserve">内，</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eastAsia="zh-Hans"/>
        </w:rPr>
        <w:t xml:space="preserve">如有系统版本更新升级，主动提供升级更新服务，不得存在故意停更版本情况，一旦被</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Hans"/>
        </w:rPr>
        <w:t xml:space="preserve">知晓，扣除</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lang w:eastAsia="zh-Hans"/>
        </w:rPr>
        <w:t xml:space="preserve">1000元/次。</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系统涉及与</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现有系统产生的对接费用、可能产生的接口修改服务产生的费用等均包含在项目投标报价总金额内。</w:t>
      </w:r>
      <w:r/>
    </w:p>
    <w:p>
      <w:pPr>
        <w:ind w:firstLine="480"/>
        <w:jc w:val="both"/>
        <w:spacing w:line="360" w:lineRule="auto"/>
        <w:widowControl w:val="off"/>
        <w:rPr>
          <w:rFonts w:hint="eastAsia" w:ascii="Calibri" w:hAnsi="Calibri" w:eastAsia="宋体" w:cs="Times New Roman"/>
          <w:color w:val="auto"/>
          <w:szCs w:val="22"/>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、本项目不接受备选的投标方案或有选择的报价，只允许有一个报价。投标报价内容包括：服务本身价格、劳务、管理、检测、利润、税金及设备交付使用过程中涉及到的其他一切费用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成交供应商报价时应充分考虑所有可能影响到报价的因素，一旦评标结束最终成交，如发生漏、缺、少项，都将被认为是成交人的报价让利行为，损失自负。</w:t>
      </w:r>
      <w:bookmarkEnd w:id="86"/>
      <w:bookmarkEnd w:id="87"/>
      <w:r/>
    </w:p>
    <w:p>
      <w:pPr>
        <w:ind w:firstLine="640"/>
        <w:spacing w:line="360" w:lineRule="auto"/>
        <w:rPr>
          <w:rFonts w:hint="eastAsia" w:ascii="宋体" w:hAnsi="宋体" w:eastAsia="宋体" w:cs="Times New Roman"/>
          <w:color w:val="ff0000"/>
          <w:sz w:val="24"/>
          <w:szCs w:val="24"/>
          <w:highlight w:val="none"/>
        </w:rPr>
      </w:pPr>
      <w:r/>
      <w:bookmarkStart w:id="105" w:name="_Toc2833"/>
      <w:r>
        <w:rPr>
          <w:rFonts w:hint="eastAsia" w:ascii="Times New Roman" w:hAnsi="Times New Roman" w:eastAsia="宋体" w:cs="Times New Roman"/>
          <w:color w:val="ff0000"/>
          <w:sz w:val="24"/>
          <w:szCs w:val="24"/>
          <w:highlight w:val="none"/>
        </w:rPr>
        <w:t xml:space="preserve">本项目采购需求中</w:t>
      </w:r>
      <w:r>
        <w:rPr>
          <w:rFonts w:hint="eastAsia" w:ascii="宋体" w:hAnsi="宋体" w:eastAsia="宋体" w:cs="宋体"/>
          <w:b/>
          <w:color w:val="ff0000"/>
          <w:sz w:val="24"/>
          <w:szCs w:val="24"/>
          <w:highlight w:val="none"/>
        </w:rPr>
        <w:t xml:space="preserve">★</w:t>
      </w:r>
      <w:r>
        <w:rPr>
          <w:rFonts w:hint="eastAsia" w:ascii="Times New Roman" w:hAnsi="Times New Roman" w:eastAsia="宋体" w:cs="Times New Roman"/>
          <w:color w:val="ff0000"/>
          <w:sz w:val="24"/>
          <w:szCs w:val="24"/>
          <w:highlight w:val="none"/>
        </w:rPr>
        <w:t xml:space="preserve">项为实质性条款要求，不接受负偏离，否则按无效标处理。</w:t>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br w:type="page" w:clear="all"/>
      </w:r>
      <w:r/>
    </w:p>
    <w:p>
      <w:pPr>
        <w:jc w:val="center"/>
        <w:keepLines w:val="0"/>
        <w:keepNext w:val="0"/>
        <w:pageBreakBefore w:val="0"/>
        <w:spacing w:line="500" w:lineRule="exact"/>
        <w:widowControl w:val="off"/>
        <w:rPr>
          <w:rFonts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t xml:space="preserve">第五章  合同</w:t>
      </w:r>
      <w:bookmarkEnd w:id="105"/>
      <w:r>
        <w:rPr>
          <w:rFonts w:hint="eastAsia" w:ascii="Times New Roman" w:hAnsi="Times New Roman" w:eastAsia="宋体" w:cs="Times New Roman"/>
          <w:b/>
          <w:color w:val="auto"/>
          <w:sz w:val="44"/>
          <w:szCs w:val="44"/>
          <w:highlight w:val="none"/>
        </w:rPr>
        <w:t xml:space="preserve">文本</w:t>
      </w:r>
      <w:r/>
    </w:p>
    <w:p>
      <w:pPr>
        <w:jc w:val="center"/>
        <w:rPr>
          <w:rFonts w:ascii="Calibri" w:hAnsi="Calibri" w:eastAsia="宋体" w:cs="Times New Roman"/>
          <w:color w:val="auto"/>
          <w:sz w:val="32"/>
          <w:szCs w:val="32"/>
          <w:highlight w:val="none"/>
        </w:rPr>
      </w:pPr>
      <w:r>
        <w:rPr>
          <w:rFonts w:ascii="Calibri" w:hAnsi="Calibri" w:eastAsia="宋体" w:cs="Times New Roman"/>
          <w:color w:val="auto"/>
          <w:sz w:val="32"/>
          <w:szCs w:val="32"/>
          <w:highlight w:val="none"/>
        </w:rPr>
      </w:r>
      <w:r/>
    </w:p>
    <w:p>
      <w:pPr>
        <w:jc w:val="center"/>
        <w:rPr>
          <w:rFonts w:ascii="Calibri" w:hAnsi="Calibri" w:eastAsia="宋体" w:cs="Times New Roman"/>
          <w:color w:val="auto"/>
          <w:sz w:val="32"/>
          <w:szCs w:val="32"/>
          <w:highlight w:val="none"/>
        </w:rPr>
      </w:pPr>
      <w:r>
        <w:rPr>
          <w:rFonts w:ascii="Calibri" w:hAnsi="Calibri" w:eastAsia="宋体" w:cs="Times New Roman"/>
          <w:color w:val="auto"/>
          <w:sz w:val="32"/>
          <w:szCs w:val="32"/>
          <w:highlight w:val="none"/>
        </w:rPr>
      </w:r>
      <w:r/>
    </w:p>
    <w:p>
      <w:pPr>
        <w:jc w:val="center"/>
        <w:rPr>
          <w:rFonts w:ascii="Calibri" w:hAnsi="Calibri" w:eastAsia="宋体" w:cs="Times New Roman"/>
          <w:color w:val="auto"/>
          <w:sz w:val="32"/>
          <w:szCs w:val="32"/>
          <w:highlight w:val="none"/>
        </w:rPr>
      </w:pPr>
      <w:r>
        <w:rPr>
          <w:rFonts w:ascii="Calibri" w:hAnsi="Calibri" w:eastAsia="宋体" w:cs="Times New Roman"/>
          <w:color w:val="auto"/>
          <w:sz w:val="32"/>
          <w:szCs w:val="32"/>
          <w:highlight w:val="none"/>
        </w:rPr>
      </w:r>
      <w:r/>
    </w:p>
    <w:p>
      <w:pPr>
        <w:jc w:val="center"/>
        <w:spacing w:before="0" w:beforeAutospacing="0" w:after="0" w:afterAutospacing="0" w:line="480" w:lineRule="auto"/>
        <w:widowControl w:val="off"/>
        <w:rPr>
          <w:rFonts w:hint="eastAsia" w:ascii="宋体" w:hAnsi="宋体" w:eastAsia="宋体" w:cs="宋体"/>
          <w:color w:val="auto"/>
          <w:sz w:val="24"/>
          <w:szCs w:val="24"/>
          <w:highlight w:val="none"/>
        </w:rPr>
      </w:pPr>
      <w:r/>
      <w:bookmarkStart w:id="106" w:name="_Toc1657"/>
      <w:r>
        <w:rPr>
          <w:rFonts w:hint="eastAsia" w:ascii="宋体" w:hAnsi="宋体" w:eastAsia="宋体" w:cs="宋体"/>
          <w:b/>
          <w:bCs/>
          <w:color w:val="auto"/>
          <w:sz w:val="30"/>
          <w:szCs w:val="30"/>
          <w:highlight w:val="none"/>
        </w:rPr>
        <w:t xml:space="preserve">政府采购合同（服务）（合同编号）</w:t>
      </w:r>
      <w:r/>
    </w:p>
    <w:p>
      <w:pPr>
        <w:ind w:firstLine="840"/>
        <w:jc w:val="both"/>
        <w:spacing w:before="0" w:beforeAutospacing="0" w:after="0" w:afterAutospacing="0"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400"/>
        <w:keepLines w:val="0"/>
        <w:keepNext w:val="0"/>
        <w:pageBreakBefore w:val="0"/>
        <w:spacing w:line="720" w:lineRule="auto"/>
        <w:widowControl w:val="off"/>
        <w:rPr>
          <w:rFonts w:hint="default" w:ascii="Calibri" w:hAnsi="Calibri" w:eastAsia="宋体" w:cs="Times New Roman"/>
          <w:b/>
          <w:color w:val="auto"/>
          <w:sz w:val="30"/>
          <w:szCs w:val="30"/>
          <w:highlight w:val="none"/>
        </w:rPr>
      </w:pPr>
      <w:r>
        <w:rPr>
          <w:rFonts w:hint="eastAsia" w:ascii="Calibri" w:hAnsi="Calibri" w:eastAsia="宋体" w:cs="Times New Roman"/>
          <w:color w:val="auto"/>
          <w:sz w:val="28"/>
          <w:szCs w:val="28"/>
          <w:highlight w:val="none"/>
        </w:rPr>
        <w:t xml:space="preserve">项目名称：</w:t>
      </w:r>
      <w:r>
        <w:rPr>
          <w:rFonts w:hint="eastAsia" w:ascii="Calibri" w:hAnsi="Calibri" w:eastAsia="宋体" w:cs="Times New Roman"/>
          <w:color w:val="auto"/>
          <w:sz w:val="28"/>
          <w:szCs w:val="28"/>
          <w:highlight w:val="none"/>
          <w:u w:val="single"/>
        </w:rPr>
        <w:t xml:space="preserve">宿豫区智慧水务平台运维（2026-2027年）-平台升级迁改项目</w:t>
      </w:r>
      <w:r/>
    </w:p>
    <w:p>
      <w:pPr>
        <w:ind w:firstLine="1400"/>
        <w:jc w:val="left"/>
        <w:keepLines w:val="0"/>
        <w:keepNext w:val="0"/>
        <w:pageBreakBefore w:val="0"/>
        <w:spacing w:before="0" w:beforeAutospacing="0" w:after="0" w:afterAutospacing="0" w:line="72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Calibri" w:hAnsi="Calibri" w:eastAsia="宋体" w:cs="Times New Roman"/>
          <w:color w:val="auto"/>
          <w:sz w:val="28"/>
          <w:szCs w:val="28"/>
          <w:highlight w:val="none"/>
          <w:lang w:val="en-US" w:eastAsia="zh-CN"/>
        </w:rPr>
        <w:t xml:space="preserve"> </w:t>
      </w:r>
      <w:r/>
    </w:p>
    <w:p>
      <w:pPr>
        <w:ind w:firstLine="1400"/>
        <w:jc w:val="left"/>
        <w:keepLines w:val="0"/>
        <w:keepNext w:val="0"/>
        <w:pageBreakBefore w:val="0"/>
        <w:spacing w:line="72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甲方（全称）：</w:t>
      </w:r>
      <w:r>
        <w:rPr>
          <w:rFonts w:hint="eastAsia" w:ascii="宋体" w:hAnsi="宋体" w:eastAsia="宋体" w:cs="宋体"/>
          <w:color w:val="auto"/>
          <w:sz w:val="28"/>
          <w:szCs w:val="28"/>
          <w:highlight w:val="none"/>
          <w:u w:val="single"/>
        </w:rPr>
        <w:t xml:space="preserve">宿迁市宿豫区住房和城乡建设局</w:t>
      </w:r>
      <w:r/>
    </w:p>
    <w:p>
      <w:pPr>
        <w:ind w:firstLine="1400"/>
        <w:jc w:val="left"/>
        <w:keepLines w:val="0"/>
        <w:keepNext w:val="0"/>
        <w:pageBreakBefore w:val="0"/>
        <w:spacing w:line="72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乙方（全称）：</w:t>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br w:type="page" w:clear="all"/>
      </w:r>
      <w:r/>
    </w:p>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甲方（全称）：</w:t>
      </w:r>
      <w:r>
        <w:rPr>
          <w:rFonts w:hint="eastAsia" w:ascii="宋体" w:hAnsi="宋体" w:eastAsia="宋体" w:cs="宋体"/>
          <w:color w:val="auto"/>
          <w:sz w:val="24"/>
          <w:szCs w:val="22"/>
          <w:highlight w:val="none"/>
          <w:u w:val="single"/>
        </w:rPr>
        <w:t xml:space="preserve">宿迁市宿豫区住房和城乡建设局</w:t>
      </w:r>
      <w:r>
        <w:rPr>
          <w:rFonts w:hint="eastAsia" w:ascii="宋体" w:hAnsi="宋体" w:eastAsia="宋体" w:cs="宋体"/>
          <w:color w:val="auto"/>
          <w:sz w:val="24"/>
          <w:szCs w:val="22"/>
          <w:highlight w:val="none"/>
        </w:rPr>
        <w:t xml:space="preserve">（采购人）</w:t>
      </w:r>
      <w:r/>
    </w:p>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乙方（全称）：</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（供应商）</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一、合同内容</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（一）标的名称：</w:t>
      </w:r>
      <w:r>
        <w:rPr>
          <w:rFonts w:hint="eastAsia" w:ascii="宋体" w:hAnsi="宋体" w:eastAsia="宋体" w:cs="宋体"/>
          <w:color w:val="auto"/>
          <w:sz w:val="24"/>
          <w:szCs w:val="24"/>
          <w:highlight w:val="none"/>
          <w:u w:val="single"/>
        </w:rPr>
        <w:t xml:space="preserve">宿豫区智慧水务平台运维（2026-2027年）-平台升级迁改项目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（二）标的质量：合格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（三）标的数量（规模）：详见合同清单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（四）履行时间（期限）：</w:t>
      </w:r>
      <w:r>
        <w:rPr>
          <w:rFonts w:hint="eastAsia" w:ascii="宋体" w:hAnsi="宋体" w:eastAsia="宋体" w:cs="Times New Roman"/>
          <w:color w:val="auto"/>
          <w:sz w:val="24"/>
          <w:szCs w:val="24"/>
          <w:highlight w:val="none"/>
          <w:lang w:val="en-US" w:eastAsia="zh-CN"/>
        </w:rPr>
        <w:t xml:space="preserve">合同签订后，3个月内完成全部平台建设并上线；系统上线后，进入系统试运行期，试运行3个月，试运行期间须完成数据迁移工作；试运行完成并经采购人初验确认后进入运维服务期，运维期24个月。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（五）履行地点：采购人指定地点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（六）人员要求</w:t>
      </w:r>
      <w:r/>
    </w:p>
    <w:p>
      <w:pPr>
        <w:ind w:firstLine="482"/>
        <w:keepLines w:val="0"/>
        <w:keepNext w:val="0"/>
        <w:pageBreakBefore w:val="0"/>
        <w:spacing w:line="348"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w:t>
      </w:r>
      <w:r>
        <w:rPr>
          <w:rFonts w:hint="eastAsia" w:ascii="宋体" w:hAnsi="宋体" w:eastAsia="宋体" w:cs="宋体"/>
          <w:bCs/>
          <w:color w:val="auto"/>
          <w:sz w:val="24"/>
          <w:szCs w:val="24"/>
          <w:highlight w:val="none"/>
        </w:rPr>
        <w:t xml:space="preserve">组建不少于6人的项目团队，其中包含：项目负责人、技术负责人和项目组其他成员。供应商一经</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，项目负责人和技术负责人不得随意更换，如有特殊原因需更换，须提前10天通知，经采购人同意后，方可更换；</w:t>
      </w:r>
      <w:r/>
    </w:p>
    <w:p>
      <w:pPr>
        <w:ind w:firstLine="482"/>
        <w:jc w:val="both"/>
        <w:keepLines w:val="0"/>
        <w:keepNext w:val="0"/>
        <w:pageBreakBefore w:val="0"/>
        <w:spacing w:line="348"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项目负责人1名：</w:t>
      </w:r>
      <w:r>
        <w:rPr>
          <w:rFonts w:hint="eastAsia" w:ascii="宋体" w:hAnsi="宋体" w:eastAsia="宋体" w:cs="宋体"/>
          <w:color w:val="auto"/>
          <w:sz w:val="24"/>
          <w:szCs w:val="24"/>
          <w:highlight w:val="none"/>
        </w:rPr>
        <w:t xml:space="preserve">具备信息化项目管理经验，牵头负责项目整体规划、进度管控、质量保障及各方协调工作；熟悉新平台搭建、数据迁移、等保测评类项目的管理流程；定期向采购人汇报项目进展，确保项目顺利推进</w:t>
      </w:r>
      <w:r>
        <w:rPr>
          <w:rFonts w:hint="eastAsia" w:ascii="宋体" w:hAnsi="宋体" w:eastAsia="宋体" w:cs="宋体"/>
          <w:bCs/>
          <w:color w:val="auto"/>
          <w:sz w:val="24"/>
          <w:szCs w:val="24"/>
          <w:highlight w:val="none"/>
          <w:lang w:eastAsia="zh-CN"/>
        </w:rPr>
        <w:t xml:space="preserve">。</w:t>
      </w:r>
      <w:r/>
    </w:p>
    <w:p>
      <w:pPr>
        <w:ind w:firstLine="482"/>
        <w:jc w:val="both"/>
        <w:keepLines w:val="0"/>
        <w:keepNext w:val="0"/>
        <w:pageBreakBefore w:val="0"/>
        <w:spacing w:line="348"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技术负责人1名：负责软件系统开发策略，确保项目满足既定的时间表和质量标准，制定软件开发框架，管理和协调开发团队，细化软件开发流程，负责软件质量保证和测试工作，确保软件开发高效正常开展。</w:t>
      </w:r>
      <w:r/>
    </w:p>
    <w:p>
      <w:pPr>
        <w:ind w:firstLine="482"/>
        <w:jc w:val="both"/>
        <w:keepLines w:val="0"/>
        <w:keepNext w:val="0"/>
        <w:pageBreakBefore w:val="0"/>
        <w:spacing w:line="348"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项目组其他成员：不少于4人，</w:t>
      </w:r>
      <w:r>
        <w:rPr>
          <w:rFonts w:hint="default" w:ascii="宋体" w:hAnsi="宋体" w:eastAsia="宋体" w:cs="宋体"/>
          <w:bCs/>
          <w:color w:val="auto"/>
          <w:sz w:val="24"/>
          <w:szCs w:val="24"/>
          <w:highlight w:val="none"/>
        </w:rPr>
        <w:t xml:space="preserve">需全程参与项目现场沟通、需求对接及开发实施工作</w:t>
      </w:r>
      <w:r>
        <w:rPr>
          <w:rFonts w:hint="eastAsia" w:ascii="宋体" w:hAnsi="宋体" w:eastAsia="宋体" w:cs="宋体"/>
          <w:bCs/>
          <w:color w:val="auto"/>
          <w:sz w:val="24"/>
          <w:szCs w:val="24"/>
          <w:highlight w:val="none"/>
        </w:rPr>
        <w:t xml:space="preserve">，掌握各专项技术领域的相关基础知识，具备应用开发等相应能力，现场进行软件安装调试工作。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2、执行有关项目建设的国家法律、法规、规范、标准和制度，履行合同规定的义务和职责；遵守国家的法律和政府的有关条例、规定和办法等。</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二、合同金额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（一）本合同金额为（大写）：___________________（_______________元）人民币。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（二）合同清单</w:t>
      </w:r>
      <w:r/>
    </w:p>
    <w:tbl>
      <w:tblPr>
        <w:tblStyle w:val="680"/>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1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9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7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4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13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cantSplit/>
          <w:trHeight w:val="634"/>
        </w:trPr>
        <w:tc>
          <w:tcPr>
            <w:tcW w:w="866" w:type="dxa"/>
            <w:vAlign w:val="center"/>
            <w:vMerge w:val="continue"/>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分项服务名称</w:t>
            </w:r>
            <w:r/>
          </w:p>
        </w:tc>
        <w:tc>
          <w:tcPr>
            <w:tcW w:w="151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09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7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164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tcW w:w="113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666"/>
        </w:trPr>
        <w:tc>
          <w:tcPr>
            <w:tcW w:w="8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6"/>
        </w:trPr>
        <w:tc>
          <w:tcPr>
            <w:tcW w:w="8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6"/>
        </w:trPr>
        <w:tc>
          <w:tcPr>
            <w:tcW w:w="8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6"/>
        </w:trPr>
        <w:tc>
          <w:tcPr>
            <w:tcW w:w="8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51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08"/>
        </w:trPr>
        <w:tc>
          <w:tcPr>
            <w:gridSpan w:val="5"/>
            <w:tcW w:w="66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总报价（人民币：元）</w:t>
            </w:r>
            <w:r/>
          </w:p>
        </w:tc>
        <w:tc>
          <w:tcPr>
            <w:tcW w:w="1642" w:type="dxa"/>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0" w:type="dxa"/>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三、技术资料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3.1乙方应按磋商文件规定的时间向甲方提供与合同标的有关的技术资料。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四、知识产权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4.2本项目</w:t>
      </w:r>
      <w:r>
        <w:rPr>
          <w:rFonts w:hint="eastAsia" w:ascii="宋体" w:hAnsi="宋体" w:eastAsia="宋体" w:cs="宋体"/>
          <w:color w:val="auto"/>
          <w:sz w:val="24"/>
          <w:szCs w:val="24"/>
          <w:highlight w:val="none"/>
        </w:rPr>
        <w:t xml:space="preserve">合同标的中系统开发的归属权及数据归属于甲方，乙方交付甲方时应当递交开发基础代码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相关手册</w:t>
      </w:r>
      <w:r>
        <w:rPr>
          <w:rFonts w:hint="eastAsia" w:ascii="宋体" w:hAnsi="宋体" w:eastAsia="宋体" w:cs="宋体"/>
          <w:color w:val="auto"/>
          <w:sz w:val="24"/>
          <w:szCs w:val="24"/>
          <w:highlight w:val="none"/>
        </w:rPr>
        <w:t xml:space="preserve">等基础性资料。</w:t>
      </w:r>
      <w:r/>
    </w:p>
    <w:p>
      <w:pPr>
        <w:ind w:firstLine="482"/>
        <w:spacing w:line="360" w:lineRule="auto"/>
        <w:rPr>
          <w:rFonts w:hint="eastAsia" w:ascii="宋体" w:hAnsi="宋体" w:eastAsia="宋体" w:cs="宋体"/>
          <w:color w:val="auto"/>
          <w:sz w:val="24"/>
          <w:szCs w:val="24"/>
          <w:highlight w:val="none"/>
          <w:u w:val="single"/>
        </w:rPr>
        <w:outlineLvl w:val="1"/>
      </w:pPr>
      <w:r>
        <w:rPr>
          <w:rFonts w:hint="eastAsia" w:ascii="宋体" w:hAnsi="宋体" w:eastAsia="宋体" w:cs="宋体"/>
          <w:b/>
          <w:color w:val="auto"/>
          <w:sz w:val="24"/>
          <w:szCs w:val="24"/>
          <w:highlight w:val="none"/>
        </w:rPr>
        <w:t xml:space="preserve">五、产权担保</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5.1乙方保证所交付的合同标的的所有权完全属于乙方且无任何抵押、查封等产权瑕疵。</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ind w:firstLine="48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七、合同转包或分包</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Times New Roman" w:hAnsi="Times New Roman"/>
          <w:color w:val="auto"/>
          <w:sz w:val="24"/>
          <w:szCs w:val="24"/>
          <w:highlight w:val="none"/>
        </w:rPr>
        <w:t xml:space="preserve">乙方不得将合同标的分包给他人履行。</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ind w:firstLine="482"/>
        <w:keepLines w:val="0"/>
        <w:keepNext w:val="0"/>
        <w:pageBreakBefore w:val="0"/>
        <w:spacing w:line="44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八、合同款项支付</w:t>
      </w:r>
      <w:r/>
    </w:p>
    <w:p>
      <w:pPr>
        <w:ind w:firstLine="482"/>
        <w:keepLines w:val="0"/>
        <w:keepNext w:val="0"/>
        <w:pageBreakBefore w:val="0"/>
        <w:spacing w:line="440" w:lineRule="exact"/>
        <w:widowControl/>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合同签订后，收到供应商发票10个工作日后支付合同价款20%作为预付款；平台建设完成上线及数据迁移完成后，试运行满3个月并经采购人初验合格后支付至合同总价款的80%；初验合格后进入运维期，运维期满12个月后支付至合同总价款的90%，运维期满24个月且验收合格后支付余款（无息）。</w:t>
      </w:r>
      <w:r/>
    </w:p>
    <w:p>
      <w:pPr>
        <w:ind w:firstLine="482"/>
        <w:keepLines w:val="0"/>
        <w:keepNext w:val="0"/>
        <w:pageBreakBefore w:val="0"/>
        <w:spacing w:line="440" w:lineRule="exact"/>
        <w:widowControl/>
        <w:rPr>
          <w:rFonts w:hint="eastAsia" w:ascii="宋体" w:hAnsi="宋体" w:eastAsia="宋体" w:cs="Times New Roman"/>
          <w:b/>
          <w:bCs/>
          <w:color w:val="auto"/>
          <w:sz w:val="24"/>
          <w:szCs w:val="24"/>
          <w:highlight w:val="none"/>
          <w:lang w:val="zh-CN" w:eastAsia="zh-CN"/>
        </w:rPr>
      </w:pPr>
      <w:r>
        <w:rPr>
          <w:rFonts w:hint="eastAsia" w:ascii="宋体" w:hAnsi="宋体" w:eastAsia="宋体" w:cs="Times New Roman"/>
          <w:b/>
          <w:bCs/>
          <w:color w:val="auto"/>
          <w:sz w:val="24"/>
          <w:szCs w:val="24"/>
          <w:highlight w:val="none"/>
          <w:lang w:val="zh-CN" w:eastAsia="zh-CN"/>
        </w:rPr>
        <w:t xml:space="preserve">注：1、在签订合同时，成交人明确表示无需预付款或者主动要求降低预付款比例的金额，采购人可不适用预付款规定。</w:t>
      </w:r>
      <w:r/>
    </w:p>
    <w:p>
      <w:pPr>
        <w:ind w:firstLine="482"/>
        <w:keepLines w:val="0"/>
        <w:keepNext w:val="0"/>
        <w:pageBreakBefore w:val="0"/>
        <w:spacing w:line="440" w:lineRule="exact"/>
        <w:widowControl/>
        <w:rPr>
          <w:rFonts w:hint="eastAsia" w:ascii="宋体" w:hAnsi="宋体" w:eastAsia="宋体" w:cs="Times New Roman"/>
          <w:b/>
          <w:bCs/>
          <w:color w:val="auto"/>
          <w:sz w:val="24"/>
          <w:szCs w:val="24"/>
          <w:highlight w:val="none"/>
          <w:lang w:val="zh-CN" w:eastAsia="zh-CN"/>
        </w:rPr>
      </w:pPr>
      <w:r>
        <w:rPr>
          <w:rFonts w:hint="eastAsia" w:ascii="宋体" w:hAnsi="宋体" w:eastAsia="宋体" w:cs="Times New Roman"/>
          <w:b/>
          <w:bCs/>
          <w:color w:val="auto"/>
          <w:sz w:val="24"/>
          <w:szCs w:val="24"/>
          <w:highlight w:val="none"/>
          <w:lang w:eastAsia="zh-CN"/>
        </w:rPr>
        <w:t xml:space="preserve">2、</w:t>
      </w:r>
      <w:r>
        <w:rPr>
          <w:rFonts w:hint="eastAsia" w:ascii="宋体" w:hAnsi="宋体" w:eastAsia="宋体" w:cs="Times New Roman"/>
          <w:b/>
          <w:bCs/>
          <w:color w:val="auto"/>
          <w:sz w:val="24"/>
          <w:szCs w:val="24"/>
          <w:highlight w:val="none"/>
          <w:lang w:val="zh-CN" w:eastAsia="zh-CN"/>
        </w:rPr>
        <w:t xml:space="preserve">支付方式可以通过转账或数字人民币等方式。</w:t>
      </w:r>
      <w:r/>
    </w:p>
    <w:p>
      <w:pPr>
        <w:ind w:firstLine="482"/>
        <w:keepLines w:val="0"/>
        <w:keepNext w:val="0"/>
        <w:pageBreakBefore w:val="0"/>
        <w:spacing w:line="440" w:lineRule="exact"/>
        <w:widowControl/>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3、付款前，成交供应商应向采购人提供符合要求的发票，否则，采购人有权拒绝付款，同时不免除成交供应商合同履行义务。</w:t>
      </w:r>
      <w:r/>
    </w:p>
    <w:p>
      <w:pPr>
        <w:ind w:firstLine="482"/>
        <w:keepLines w:val="0"/>
        <w:keepNext w:val="0"/>
        <w:pageBreakBefore w:val="0"/>
        <w:spacing w:line="44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九、税费</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10.1甲方无正当理由拒绝接受乙方提供的合同标的的，甲方向乙方偿付拒绝接受合同价款总值</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的违约金。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10.2甲方无故逾期验收和办理合同款项支付手续的,甲方应按逾期付款总额</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每日向乙方支付违约金。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10.3乙方逾期交付合同标的的，乙方应按逾期交付合同总额每日千分之</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rPr>
        <w:t xml:space="preserve">的违约金，如造成甲方损失超过违约金的，超出部分由乙方继续承担赔偿责任。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10.4乙方交付合同标的的标准不符合合同规定及磋商文件规定标准的，甲方有权拒绝接受合同标的，并可单方面解除合同。</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5</w:t>
      </w:r>
      <w:r>
        <w:rPr>
          <w:rFonts w:hint="eastAsia" w:ascii="Times New Roman" w:hAnsi="Times New Roman" w:eastAsia="宋体" w:cs="Courier New"/>
          <w:color w:val="auto"/>
          <w:sz w:val="24"/>
          <w:szCs w:val="24"/>
          <w:highlight w:val="none"/>
        </w:rPr>
        <w:t xml:space="preserve">在合同期内，如乙方运维服务不能按时效响应，或响应后不能及时解决问题，甲方给予</w:t>
      </w:r>
      <w:r>
        <w:rPr>
          <w:rFonts w:hint="eastAsia" w:ascii="Times New Roman" w:hAnsi="Times New Roman" w:eastAsia="宋体" w:cs="Courier New"/>
          <w:color w:val="auto"/>
          <w:sz w:val="24"/>
          <w:szCs w:val="24"/>
          <w:highlight w:val="none"/>
          <w:u w:val="single"/>
        </w:rPr>
        <w:t xml:space="preserve"> 2000 </w:t>
      </w:r>
      <w:r>
        <w:rPr>
          <w:rFonts w:hint="eastAsia" w:ascii="Times New Roman" w:hAnsi="Times New Roman" w:eastAsia="宋体" w:cs="Courier New"/>
          <w:color w:val="auto"/>
          <w:sz w:val="24"/>
          <w:szCs w:val="24"/>
          <w:highlight w:val="none"/>
        </w:rPr>
        <w:t xml:space="preserve">元/次处罚，同时有权追究乙方造成的全部损失责任，出现三次以上的，甲方有权解除合同。如存在乙方人员不服从甲方管理的，甲方可给乙方予</w:t>
      </w:r>
      <w:r>
        <w:rPr>
          <w:rFonts w:hint="eastAsia" w:ascii="Times New Roman" w:hAnsi="Times New Roman" w:eastAsia="宋体" w:cs="Courier New"/>
          <w:color w:val="auto"/>
          <w:sz w:val="24"/>
          <w:szCs w:val="24"/>
          <w:highlight w:val="none"/>
          <w:u w:val="single"/>
        </w:rPr>
        <w:t xml:space="preserve"> 2000 </w:t>
      </w:r>
      <w:r>
        <w:rPr>
          <w:rFonts w:hint="eastAsia" w:ascii="Times New Roman" w:hAnsi="Times New Roman" w:eastAsia="宋体" w:cs="Courier New"/>
          <w:color w:val="auto"/>
          <w:sz w:val="24"/>
          <w:szCs w:val="24"/>
          <w:highlight w:val="none"/>
        </w:rPr>
        <w:t xml:space="preserve">元/次处罚。</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bookmarkStart w:id="107" w:name="_Hlk55398186"/>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6</w:t>
      </w:r>
      <w:r>
        <w:rPr>
          <w:rFonts w:hint="eastAsia" w:ascii="Times New Roman" w:hAnsi="Times New Roman" w:eastAsia="宋体" w:cs="Courier New"/>
          <w:color w:val="auto"/>
          <w:sz w:val="24"/>
          <w:szCs w:val="24"/>
          <w:highlight w:val="none"/>
        </w:rPr>
        <w:t xml:space="preserve">一方如未按本合同要求履行保密义务，另一方有权终止合同并要求违约方向守约方支付合同总金额5%的违约金</w:t>
      </w:r>
      <w:bookmarkEnd w:id="107"/>
      <w:r>
        <w:rPr>
          <w:rFonts w:hint="eastAsia" w:ascii="Times New Roman" w:hAnsi="Times New Roman" w:eastAsia="宋体" w:cs="Courier New"/>
          <w:color w:val="auto"/>
          <w:sz w:val="24"/>
          <w:szCs w:val="24"/>
          <w:highlight w:val="none"/>
        </w:rPr>
        <w:t xml:space="preserve">，并赔偿守约方因此遭受的损失。</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7</w:t>
      </w:r>
      <w:r>
        <w:rPr>
          <w:rFonts w:hint="eastAsia" w:ascii="Times New Roman" w:hAnsi="Times New Roman" w:eastAsia="宋体" w:cs="Courier New"/>
          <w:color w:val="auto"/>
          <w:sz w:val="24"/>
          <w:szCs w:val="24"/>
          <w:highlight w:val="none"/>
        </w:rPr>
        <w:t xml:space="preserve">乙方拟派项目组人员离开项目现场需经甲方同意，若无正当理由且未经</w:t>
      </w:r>
      <w:r>
        <w:rPr>
          <w:rFonts w:hint="eastAsia" w:ascii="宋体" w:hAnsi="宋体" w:eastAsia="宋体" w:cs="宋体"/>
          <w:color w:val="auto"/>
          <w:sz w:val="24"/>
          <w:szCs w:val="24"/>
          <w:highlight w:val="none"/>
        </w:rPr>
        <w:t xml:space="preserve">甲方</w:t>
      </w:r>
      <w:r>
        <w:rPr>
          <w:rFonts w:hint="eastAsia" w:ascii="Times New Roman" w:hAnsi="Times New Roman" w:eastAsia="宋体" w:cs="Courier New"/>
          <w:color w:val="auto"/>
          <w:sz w:val="24"/>
          <w:szCs w:val="24"/>
          <w:highlight w:val="none"/>
        </w:rPr>
        <w:t xml:space="preserve">同意不在项目现场的，乙方按每天</w:t>
      </w:r>
      <w:r>
        <w:rPr>
          <w:rFonts w:hint="eastAsia" w:ascii="Times New Roman" w:hAnsi="Times New Roman" w:eastAsia="宋体" w:cs="Courier New"/>
          <w:color w:val="auto"/>
          <w:sz w:val="24"/>
          <w:szCs w:val="24"/>
          <w:highlight w:val="none"/>
          <w:u w:val="single"/>
        </w:rPr>
        <w:t xml:space="preserve">2000</w:t>
      </w:r>
      <w:r>
        <w:rPr>
          <w:rFonts w:hint="eastAsia" w:ascii="Times New Roman" w:hAnsi="Times New Roman" w:eastAsia="宋体" w:cs="Courier New"/>
          <w:color w:val="auto"/>
          <w:sz w:val="24"/>
          <w:szCs w:val="24"/>
          <w:highlight w:val="none"/>
        </w:rPr>
        <w:t xml:space="preserve">元向甲方支付违约金。</w:t>
      </w:r>
      <w:r/>
    </w:p>
    <w:p>
      <w:pPr>
        <w:ind w:firstLine="480"/>
        <w:keepLines w:val="0"/>
        <w:keepNext w:val="0"/>
        <w:pageBreakBefore w:val="0"/>
        <w:spacing w:line="440" w:lineRule="exact"/>
        <w:widowControl w:val="off"/>
        <w:rPr>
          <w:rFonts w:hint="eastAsia" w:ascii="Times New Roman" w:hAnsi="Times New Roman" w:eastAsia="宋体" w:cs="Courier New"/>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8</w:t>
      </w:r>
      <w:r>
        <w:rPr>
          <w:rFonts w:hint="eastAsia" w:ascii="Times New Roman" w:hAnsi="Times New Roman" w:eastAsia="宋体" w:cs="Courier New"/>
          <w:color w:val="auto"/>
          <w:sz w:val="24"/>
          <w:szCs w:val="24"/>
          <w:highlight w:val="none"/>
        </w:rPr>
        <w:t xml:space="preserve">乙方应当保证其对本项目中的系统有合法知识产权，并保证甲方不因正常使用该系统而受到第三方追责，否则相应法律责任、甲方受到的损失，以及参与相应法律行动而发生的诉讼费用、律师费用等必要费用，由乙方承担。</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default" w:ascii="宋体" w:hAnsi="宋体" w:eastAsia="宋体" w:cs="宋体"/>
          <w:color w:val="auto"/>
          <w:sz w:val="24"/>
          <w:szCs w:val="24"/>
          <w:highlight w:val="none"/>
          <w:lang w:val="en-US" w:eastAsia="zh-CN"/>
        </w:rPr>
        <w:t xml:space="preserve">10.9</w:t>
      </w:r>
      <w:r>
        <w:rPr>
          <w:rFonts w:hint="default" w:ascii="宋体" w:hAnsi="宋体" w:eastAsia="宋体" w:cs="宋体"/>
          <w:color w:val="auto"/>
          <w:sz w:val="24"/>
          <w:szCs w:val="24"/>
          <w:highlight w:val="none"/>
        </w:rPr>
        <w:t xml:space="preserve"> </w:t>
      </w:r>
      <w:r>
        <w:rPr>
          <w:rFonts w:hint="default" w:ascii="Times New Roman" w:hAnsi="Times New Roman" w:eastAsia="宋体" w:cs="Courier New"/>
          <w:color w:val="auto"/>
          <w:sz w:val="24"/>
          <w:szCs w:val="24"/>
          <w:highlight w:val="none"/>
        </w:rPr>
        <w:t xml:space="preserve">若乙方未能完全履行本合同项下的项目需求、技术标准、功能要求或交付成果不符合约定，包括但不限于：</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default" w:ascii="Times New Roman" w:hAnsi="Times New Roman" w:eastAsia="宋体" w:cs="Courier New"/>
          <w:color w:val="auto"/>
          <w:sz w:val="24"/>
          <w:szCs w:val="24"/>
          <w:highlight w:val="none"/>
        </w:rPr>
        <w:t xml:space="preserve">（1）交付的功能模块缺失或存在重大缺陷，无法通过验收；</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default" w:ascii="Times New Roman" w:hAnsi="Times New Roman" w:eastAsia="宋体" w:cs="Courier New"/>
          <w:color w:val="auto"/>
          <w:sz w:val="24"/>
          <w:szCs w:val="24"/>
          <w:highlight w:val="none"/>
        </w:rPr>
        <w:t xml:space="preserve">（2）项目进度严重滞后，超出合同约定的最终交付期限；</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default" w:ascii="Times New Roman" w:hAnsi="Times New Roman" w:eastAsia="宋体" w:cs="Courier New"/>
          <w:color w:val="auto"/>
          <w:sz w:val="24"/>
          <w:szCs w:val="24"/>
          <w:highlight w:val="none"/>
        </w:rPr>
        <w:t xml:space="preserve">（3）交付的系统或升级成果存在安全问题或稳定性问题，影响平台正常运行；</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default" w:ascii="Times New Roman" w:hAnsi="Times New Roman" w:eastAsia="宋体" w:cs="Courier New"/>
          <w:color w:val="auto"/>
          <w:sz w:val="24"/>
          <w:szCs w:val="24"/>
          <w:highlight w:val="none"/>
        </w:rPr>
        <w:t xml:space="preserve">（4）未能提供符合合同约定的运维服务标准；</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default" w:ascii="Times New Roman" w:hAnsi="Times New Roman" w:eastAsia="宋体" w:cs="Courier New"/>
          <w:color w:val="auto"/>
          <w:sz w:val="24"/>
          <w:szCs w:val="24"/>
          <w:highlight w:val="none"/>
        </w:rPr>
        <w:t xml:space="preserve">（5）其他违反本合同核心义务的情形。</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default" w:ascii="Times New Roman" w:hAnsi="Times New Roman" w:eastAsia="宋体" w:cs="Courier New"/>
          <w:color w:val="auto"/>
          <w:sz w:val="24"/>
          <w:szCs w:val="24"/>
          <w:highlight w:val="none"/>
        </w:rPr>
        <w:t xml:space="preserve">每发生一项或一种情形，经甲方书面通知后，乙方应在合理期限内（具体期限可由双方在通知中约定，一般为10-15个工作日）采取有效补救措施。若逾期未完成补救或补救后仍不符合约定，甲方有权根据违约事项的严重程度，要求乙方支付违约金。 </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default" w:ascii="Times New Roman" w:hAnsi="Times New Roman" w:eastAsia="宋体" w:cs="Courier New"/>
          <w:color w:val="auto"/>
          <w:sz w:val="24"/>
          <w:szCs w:val="24"/>
          <w:highlight w:val="none"/>
        </w:rPr>
        <w:t xml:space="preserve">违约金计算标准如下：</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default" w:ascii="Times New Roman" w:hAnsi="Times New Roman" w:eastAsia="宋体" w:cs="Courier New"/>
          <w:color w:val="auto"/>
          <w:sz w:val="24"/>
          <w:szCs w:val="24"/>
          <w:highlight w:val="none"/>
        </w:rPr>
        <w:t xml:space="preserve">（1）交付成果不符：对于未达到约定标准的功能模块或交付物，乙方应按该部分对应合同价款的10%-20% 向甲方支付违约金。具体比例由双方根据缺陷严重程度协商确定，或由甲方委托的第三方检测报告作为依据。</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default" w:ascii="Times New Roman" w:hAnsi="Times New Roman" w:eastAsia="宋体" w:cs="Courier New"/>
          <w:color w:val="auto"/>
          <w:sz w:val="24"/>
          <w:szCs w:val="24"/>
          <w:highlight w:val="none"/>
        </w:rPr>
        <w:t xml:space="preserve">（</w:t>
      </w:r>
      <w:r>
        <w:rPr>
          <w:rFonts w:hint="eastAsia" w:ascii="Times New Roman" w:hAnsi="Times New Roman" w:eastAsia="宋体" w:cs="Courier New"/>
          <w:color w:val="auto"/>
          <w:sz w:val="24"/>
          <w:szCs w:val="24"/>
          <w:highlight w:val="none"/>
          <w:lang w:val="en-US" w:eastAsia="zh-CN"/>
        </w:rPr>
        <w:t xml:space="preserve">2</w:t>
      </w:r>
      <w:r>
        <w:rPr>
          <w:rFonts w:hint="default" w:ascii="Times New Roman" w:hAnsi="Times New Roman" w:eastAsia="宋体" w:cs="Courier New"/>
          <w:color w:val="auto"/>
          <w:sz w:val="24"/>
          <w:szCs w:val="24"/>
          <w:highlight w:val="none"/>
        </w:rPr>
        <w:t xml:space="preserve">）运维服务不达标：在运维期内，乙方服务未达到合同约定的服务标准，应按</w:t>
      </w:r>
      <w:r>
        <w:rPr>
          <w:rFonts w:hint="default" w:ascii="Times New Roman" w:hAnsi="Times New Roman" w:eastAsia="宋体" w:cs="Courier New"/>
          <w:color w:val="auto"/>
          <w:sz w:val="24"/>
          <w:szCs w:val="24"/>
          <w:highlight w:val="none"/>
          <w:lang w:val="en-US" w:eastAsia="zh-CN"/>
        </w:rPr>
        <w:t xml:space="preserve">10.5条款</w:t>
      </w:r>
      <w:r>
        <w:rPr>
          <w:rFonts w:hint="default" w:ascii="Times New Roman" w:hAnsi="Times New Roman" w:eastAsia="宋体" w:cs="Courier New"/>
          <w:color w:val="auto"/>
          <w:sz w:val="24"/>
          <w:szCs w:val="24"/>
          <w:highlight w:val="none"/>
        </w:rPr>
        <w:t xml:space="preserve">则支付违约金</w:t>
      </w:r>
      <w:r>
        <w:rPr>
          <w:rFonts w:hint="default" w:ascii="Times New Roman" w:hAnsi="Times New Roman" w:eastAsia="宋体" w:cs="Courier New"/>
          <w:color w:val="auto"/>
          <w:sz w:val="24"/>
          <w:szCs w:val="24"/>
          <w:highlight w:val="none"/>
          <w:lang w:eastAsia="zh-CN"/>
        </w:rPr>
        <w:t xml:space="preserve">。</w:t>
      </w:r>
      <w:r>
        <w:rPr>
          <w:rFonts w:hint="default" w:ascii="Times New Roman" w:hAnsi="Times New Roman" w:eastAsia="宋体" w:cs="Courier New"/>
          <w:color w:val="auto"/>
          <w:sz w:val="24"/>
          <w:szCs w:val="24"/>
          <w:highlight w:val="none"/>
        </w:rPr>
        <w:t xml:space="preserve"> </w:t>
      </w:r>
      <w:r/>
    </w:p>
    <w:p>
      <w:pPr>
        <w:ind w:firstLine="480"/>
        <w:keepLines w:val="0"/>
        <w:keepNext w:val="0"/>
        <w:pageBreakBefore w:val="0"/>
        <w:spacing w:line="440" w:lineRule="exact"/>
        <w:widowControl w:val="off"/>
        <w:rPr>
          <w:rFonts w:hint="default" w:ascii="Times New Roman" w:hAnsi="Times New Roman" w:eastAsia="宋体" w:cs="Courier New"/>
          <w:color w:val="auto"/>
          <w:sz w:val="24"/>
          <w:szCs w:val="24"/>
          <w:highlight w:val="none"/>
        </w:rPr>
      </w:pPr>
      <w:r>
        <w:rPr>
          <w:rFonts w:hint="eastAsia" w:ascii="宋体" w:hAnsi="宋体" w:eastAsia="宋体" w:cs="宋体"/>
          <w:color w:val="auto"/>
          <w:sz w:val="24"/>
          <w:szCs w:val="24"/>
          <w:highlight w:val="none"/>
          <w:lang w:val="en-US" w:eastAsia="zh-CN"/>
        </w:rPr>
        <w:t xml:space="preserve">10.10</w:t>
      </w:r>
      <w:r>
        <w:rPr>
          <w:rFonts w:hint="default" w:ascii="Times New Roman" w:hAnsi="Times New Roman" w:eastAsia="宋体" w:cs="Courier New"/>
          <w:color w:val="auto"/>
          <w:sz w:val="24"/>
          <w:szCs w:val="24"/>
          <w:highlight w:val="none"/>
        </w:rPr>
        <w:t xml:space="preserve">本合同约定的违约金，甲方有权从未支付的合同款项中直接抵扣。若合同款项不足抵扣，乙方应在甲方通知后10日内向甲方支付差额部分。</w:t>
      </w:r>
      <w:r/>
    </w:p>
    <w:p>
      <w:pPr>
        <w:ind w:firstLine="482"/>
        <w:keepLines w:val="0"/>
        <w:keepNext w:val="0"/>
        <w:pageBreakBefore w:val="0"/>
        <w:spacing w:line="440" w:lineRule="exact"/>
        <w:widowControl w:val="off"/>
        <w:rPr>
          <w:rFonts w:hint="default"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10.11</w:t>
      </w:r>
      <w:r>
        <w:rPr>
          <w:rFonts w:hint="default" w:ascii="Times New Roman" w:hAnsi="Times New Roman" w:eastAsia="宋体" w:cs="Courier New"/>
          <w:color w:val="auto"/>
          <w:sz w:val="24"/>
          <w:szCs w:val="24"/>
          <w:highlight w:val="none"/>
        </w:rPr>
        <w:t xml:space="preserve">乙方支付违约金或赔偿金后，并不免除其继续履行合同、采取补救措施的责任。若乙方的违约行为给甲方造成损失（包括间接损失）超过违约金额额的，乙方应对</w:t>
      </w:r>
      <w:r>
        <w:rPr>
          <w:rFonts w:hint="default" w:ascii="宋体" w:hAnsi="宋体" w:eastAsia="宋体" w:cs="宋体"/>
          <w:b w:val="0"/>
          <w:bCs/>
          <w:color w:val="auto"/>
          <w:sz w:val="24"/>
          <w:szCs w:val="24"/>
          <w:highlight w:val="none"/>
        </w:rPr>
        <w:t xml:space="preserve">超出部分予以赔偿。 </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十一、项目验收</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11.1</w:t>
      </w:r>
      <w:r>
        <w:rPr>
          <w:rFonts w:hint="eastAsia" w:ascii="宋体" w:hAnsi="宋体" w:eastAsia="宋体" w:cs="宋体"/>
          <w:bCs/>
          <w:color w:val="auto"/>
          <w:sz w:val="24"/>
          <w:szCs w:val="24"/>
          <w:highlight w:val="none"/>
        </w:rPr>
        <w:t xml:space="preserve">系统上线后，进入系统试运行期，试运行</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个月后，成交供应商可提出初验申请，若试运行期间出现问题，成交供应商须在5个工作日内进行调整完毕。采购人在收到成交供应商的初验申请后根据技术要求和合同约定，5个工作日内组织验收，并出具初验确认报告。运维期满</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个月且经验收合格后，出具最终验收报告。</w:t>
      </w:r>
      <w:r/>
    </w:p>
    <w:p>
      <w:pPr>
        <w:ind w:firstLine="480"/>
        <w:jc w:val="both"/>
        <w:keepLines w:val="0"/>
        <w:keepNext w:val="0"/>
        <w:pageBreakBefore w:val="0"/>
        <w:spacing w:line="440" w:lineRule="exact"/>
        <w:widowControl w:val="off"/>
        <w:tabs>
          <w:tab w:val="left" w:pos="819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bCs/>
          <w:color w:val="auto"/>
          <w:sz w:val="24"/>
          <w:szCs w:val="24"/>
          <w:highlight w:val="none"/>
        </w:rPr>
        <w:t xml:space="preserve">验收小组组建和验收程序符合《江苏省政府采购履约验收管理办法》（苏财规〔2024〕7号）规定，并满足采购人实际需求，</w:t>
      </w:r>
      <w:r>
        <w:rPr>
          <w:rFonts w:hint="default" w:ascii="宋体" w:hAnsi="宋体" w:eastAsia="宋体" w:cs="宋体"/>
          <w:bCs/>
          <w:color w:val="auto"/>
          <w:sz w:val="24"/>
          <w:szCs w:val="24"/>
          <w:highlight w:val="none"/>
        </w:rPr>
        <w:t xml:space="preserve">当</w:t>
      </w:r>
      <w:r>
        <w:rPr>
          <w:rFonts w:hint="eastAsia" w:ascii="宋体" w:hAnsi="宋体" w:eastAsia="宋体" w:cs="宋体"/>
          <w:bCs/>
          <w:color w:val="auto"/>
          <w:sz w:val="24"/>
          <w:szCs w:val="24"/>
          <w:highlight w:val="none"/>
        </w:rPr>
        <w:t xml:space="preserve">标准、规范等不一致的，以要求高的为准。</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2"/>
          <w:highlight w:val="none"/>
          <w:lang w:val="en-US" w:eastAsia="zh-CN"/>
        </w:rPr>
        <w:t xml:space="preserve">11.3乙方</w:t>
      </w:r>
      <w:r>
        <w:rPr>
          <w:rFonts w:hint="eastAsia" w:ascii="宋体" w:hAnsi="宋体" w:eastAsia="宋体" w:cs="宋体"/>
          <w:color w:val="auto"/>
          <w:sz w:val="24"/>
          <w:szCs w:val="22"/>
          <w:highlight w:val="none"/>
        </w:rPr>
        <w:t xml:space="preserve">提供项目初步验收相关材料，包括不限于合同；用户需求说明书；概要设计说明书；数据及数据库设计要求说明书；详细设计说明书；用户手册；组织系统培训会；系统接口规范；提供本项目研发的源代码。</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十二、供应商合法权益补偿机制</w:t>
      </w:r>
      <w:r/>
    </w:p>
    <w:p>
      <w:pPr>
        <w:ind w:firstLine="482"/>
        <w:jc w:val="both"/>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108" w:name="_Toc23650"/>
      <w:r>
        <w:rPr>
          <w:rFonts w:hint="eastAsia" w:ascii="宋体" w:hAnsi="宋体" w:eastAsia="宋体" w:cs="宋体"/>
          <w:color w:val="auto"/>
          <w:sz w:val="24"/>
          <w:szCs w:val="24"/>
          <w:highlight w:val="none"/>
        </w:rPr>
        <w:t xml:space="preserve">供应商合法权益补偿救济机制。在履约过程因政策变化、规划调整而无法履行合同约定，造成企业合法权益受损的，采购人依据实际情况对供应商进行补偿救济。</w:t>
      </w:r>
      <w:bookmarkEnd w:id="108"/>
      <w:r/>
      <w:r/>
    </w:p>
    <w:p>
      <w:pPr>
        <w:ind w:firstLine="482"/>
        <w:keepLines w:val="0"/>
        <w:keepNext w:val="0"/>
        <w:pageBreakBefore w:val="0"/>
        <w:spacing w:line="44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十三、不可抗力事件处理</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13.1在合同有效期内，任何一方因不可抗力事件导致不能履行合同，则合同履行期可延长，其延长期与不可抗力影响期相同。</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13.2不可抗力事件发生后，应立即通知对方，并寄送有关权威机构出具的证明。</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13.3不可抗力事件延续120天以上，双方应通过友好协商，确定是否继续履行合同。</w:t>
      </w:r>
      <w:r/>
    </w:p>
    <w:p>
      <w:pPr>
        <w:ind w:firstLine="482"/>
        <w:keepLines w:val="0"/>
        <w:keepNext w:val="0"/>
        <w:pageBreakBefore w:val="0"/>
        <w:spacing w:line="44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十四、解决争议的方法</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14.1双方在签订、履行合同中所发生的一切争议，应通过友好协商解决。如协商不成，由甲方住所地人民法院管辖。</w:t>
      </w:r>
      <w:r/>
    </w:p>
    <w:p>
      <w:pPr>
        <w:ind w:firstLine="482"/>
        <w:keepLines w:val="0"/>
        <w:keepNext w:val="0"/>
        <w:pageBreakBefore w:val="0"/>
        <w:spacing w:line="44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十五、合同生效及其它</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15.1合同经双方法定代表人或授权委托代表人签字并加盖单位公章后生效。</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15.2本合同未尽事宜，遵照《中华人民共和国民法典》、《中华人民共和国政府采购法》有关条文执行。</w:t>
      </w:r>
      <w:r/>
    </w:p>
    <w:p>
      <w:pPr>
        <w:ind w:firstLine="480"/>
        <w:keepLines w:val="0"/>
        <w:keepNext w:val="0"/>
        <w:pageBreakBefore w:val="0"/>
        <w:spacing w:line="440" w:lineRule="exact"/>
        <w:rPr>
          <w:rFonts w:hint="eastAsia" w:ascii="宋体" w:hAnsi="宋体" w:eastAsia="宋体" w:cs="宋体"/>
          <w:bCs/>
          <w:color w:val="auto"/>
          <w:sz w:val="44"/>
          <w:szCs w:val="28"/>
          <w:highlight w:val="none"/>
        </w:rPr>
      </w:pPr>
      <w:r>
        <w:rPr>
          <w:rFonts w:hint="eastAsia" w:ascii="宋体" w:hAnsi="宋体" w:eastAsia="宋体" w:cs="宋体"/>
          <w:color w:val="auto"/>
          <w:sz w:val="24"/>
          <w:szCs w:val="24"/>
          <w:highlight w:val="none"/>
        </w:rPr>
        <w:t xml:space="preserve">15.3本合同正本一式</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份，具有同等法律效力。</w:t>
      </w:r>
      <w:r/>
      <w:r>
        <w:rPr>
          <w:rFonts w:hint="eastAsia" w:ascii="宋体" w:hAnsi="宋体" w:eastAsia="宋体" w:cs="宋体"/>
          <w:bCs/>
          <w:color w:val="auto"/>
          <w:sz w:val="44"/>
          <w:szCs w:val="28"/>
          <w:highlight w:val="none"/>
        </w:rPr>
      </w:r>
      <w:r/>
      <w:r>
        <w:rPr>
          <w:rFonts w:hint="eastAsia" w:ascii="宋体" w:hAnsi="宋体" w:eastAsia="宋体" w:cs="宋体"/>
          <w:bCs/>
          <w:color w:val="auto"/>
          <w:sz w:val="44"/>
          <w:szCs w:val="28"/>
          <w:highlight w:val="none"/>
        </w:rP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                              法定代表人或</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授权代表（签字）：                        授权代表（签字）：</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联系人：</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约定送达地址：                            约定送达地址：</w:t>
      </w:r>
      <w:r/>
    </w:p>
    <w:p>
      <w:pPr>
        <w:ind w:firstLine="480"/>
        <w:keepLines w:val="0"/>
        <w:keepNext w:val="0"/>
        <w:pageBreakBefore w:val="0"/>
        <w:spacing w:line="440" w:lineRule="exact"/>
        <w:rPr>
          <w:rFonts w:hint="eastAsia" w:ascii="Times New Roman" w:hAnsi="Times New Roman" w:eastAsia="宋体" w:cs="Times New Roman"/>
          <w:b/>
          <w:color w:val="auto"/>
          <w:sz w:val="44"/>
          <w:szCs w:val="44"/>
          <w:highlight w:val="none"/>
        </w:rPr>
      </w:pPr>
      <w:r>
        <w:rPr>
          <w:rFonts w:hint="eastAsia" w:ascii="宋体" w:hAnsi="宋体" w:eastAsia="宋体" w:cs="宋体"/>
          <w:color w:val="auto"/>
          <w:sz w:val="24"/>
          <w:szCs w:val="24"/>
          <w:highlight w:val="none"/>
        </w:rPr>
        <w:t xml:space="preserve">电话：                                    电话：</w:t>
      </w:r>
      <w:bookmarkStart w:id="109" w:name="_Toc22631"/>
      <w:r/>
      <w:bookmarkStart w:id="110" w:name="_Toc7955"/>
      <w:r/>
      <w:r/>
      <w:r>
        <w:rPr>
          <w:rFonts w:hint="eastAsia" w:ascii="Times New Roman" w:hAnsi="Times New Roman" w:eastAsia="宋体" w:cs="Times New Roman"/>
          <w:b/>
          <w:color w:val="auto"/>
          <w:sz w:val="44"/>
          <w:szCs w:val="44"/>
          <w:highlight w:val="none"/>
        </w:rPr>
        <w:br w:type="page" w:clear="all"/>
      </w:r>
      <w:r/>
      <w:r>
        <w:rPr>
          <w:rFonts w:hint="eastAsia" w:ascii="Times New Roman" w:hAnsi="Times New Roman" w:eastAsia="宋体" w:cs="Times New Roman"/>
          <w:b/>
          <w:color w:val="auto"/>
          <w:sz w:val="44"/>
          <w:szCs w:val="44"/>
          <w:highlight w:val="none"/>
        </w:rPr>
      </w:r>
    </w:p>
    <w:p>
      <w:pPr>
        <w:jc w:val="center"/>
        <w:spacing w:line="500" w:lineRule="exact"/>
        <w:rPr>
          <w:rFonts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第六章  响应文件格式</w:t>
      </w:r>
      <w:bookmarkEnd w:id="106"/>
      <w:r/>
      <w:bookmarkEnd w:id="109"/>
      <w:r/>
      <w:bookmarkEnd w:id="110"/>
      <w:r/>
      <w:bookmarkStart w:id="111" w:name="_Hlt26955039"/>
      <w:r/>
      <w:bookmarkEnd w:id="111"/>
      <w:r/>
      <w:bookmarkStart w:id="112" w:name="_Hlt26671244"/>
      <w:r/>
      <w:bookmarkEnd w:id="112"/>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szCs w:val="22"/>
          <w:highlight w:val="none"/>
        </w:rPr>
      </w:pPr>
      <w:r>
        <w:rPr>
          <w:rFonts w:hint="eastAsia" w:ascii="仿宋" w:hAnsi="仿宋" w:eastAsia="仿宋" w:cs="仿宋"/>
          <w:b/>
          <w:color w:val="auto"/>
          <w:sz w:val="36"/>
          <w:szCs w:val="22"/>
          <w:highlight w:val="none"/>
        </w:rPr>
        <w:t xml:space="preserve">项 目 名 称：</w:t>
      </w:r>
      <w:r/>
    </w:p>
    <w:p>
      <w:pPr>
        <w:ind w:firstLine="1084"/>
        <w:rPr>
          <w:rFonts w:hint="eastAsia" w:ascii="仿宋" w:hAnsi="仿宋" w:eastAsia="仿宋" w:cs="仿宋"/>
          <w:b/>
          <w:color w:val="auto"/>
          <w:sz w:val="36"/>
          <w:szCs w:val="22"/>
          <w:highlight w:val="none"/>
          <w:u w:val="single"/>
        </w:rPr>
      </w:pPr>
      <w:r>
        <w:rPr>
          <w:rFonts w:hint="eastAsia" w:ascii="仿宋" w:hAnsi="仿宋" w:eastAsia="仿宋" w:cs="仿宋"/>
          <w:b/>
          <w:color w:val="auto"/>
          <w:sz w:val="36"/>
          <w:szCs w:val="22"/>
          <w:highlight w:val="none"/>
        </w:rPr>
        <w:t xml:space="preserve">项 目 编 号：</w:t>
      </w:r>
      <w:r/>
    </w:p>
    <w:p>
      <w:pPr>
        <w:rPr>
          <w:rFonts w:hint="eastAsia" w:ascii="仿宋" w:hAnsi="仿宋" w:eastAsia="仿宋" w:cs="仿宋"/>
          <w:b/>
          <w:color w:val="auto"/>
          <w:sz w:val="36"/>
          <w:szCs w:val="22"/>
          <w:highlight w:val="none"/>
          <w:u w:val="single"/>
        </w:rPr>
      </w:pPr>
      <w:r>
        <w:rPr>
          <w:rFonts w:hint="eastAsia" w:ascii="仿宋" w:hAnsi="仿宋" w:eastAsia="仿宋" w:cs="仿宋"/>
          <w:b/>
          <w:color w:val="auto"/>
          <w:sz w:val="36"/>
          <w:szCs w:val="22"/>
          <w:highlight w:val="none"/>
        </w:rPr>
        <w:t xml:space="preserve">      供应商名称 ：</w:t>
      </w:r>
      <w:r>
        <w:rPr>
          <w:rFonts w:hint="eastAsia" w:ascii="仿宋" w:hAnsi="仿宋" w:eastAsia="仿宋" w:cs="仿宋"/>
          <w:b/>
          <w:color w:val="auto"/>
          <w:sz w:val="36"/>
          <w:szCs w:val="22"/>
          <w:highlight w:val="none"/>
          <w:u w:val="single"/>
        </w:rPr>
        <w:t xml:space="preserve">（盖CA电子公章）</w:t>
      </w:r>
      <w:r/>
    </w:p>
    <w:p>
      <w:pPr>
        <w:rPr>
          <w:rFonts w:hint="eastAsia" w:ascii="仿宋" w:hAnsi="仿宋" w:eastAsia="仿宋" w:cs="仿宋"/>
          <w:b/>
          <w:color w:val="auto"/>
          <w:sz w:val="36"/>
          <w:szCs w:val="22"/>
          <w:highlight w:val="none"/>
          <w:u w:val="single"/>
        </w:rPr>
      </w:pPr>
      <w:r>
        <w:rPr>
          <w:rFonts w:hint="eastAsia" w:ascii="仿宋" w:hAnsi="仿宋" w:eastAsia="仿宋" w:cs="仿宋"/>
          <w:b/>
          <w:color w:val="auto"/>
          <w:sz w:val="36"/>
          <w:szCs w:val="22"/>
          <w:highlight w:val="none"/>
        </w:rPr>
        <w:t xml:space="preserve">      日      期 ：</w:t>
      </w:r>
      <w:r/>
    </w:p>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color w:val="auto"/>
          <w:szCs w:val="22"/>
          <w:highlight w:val="none"/>
        </w:rPr>
        <w:br w:type="page" w:clear="all"/>
      </w:r>
      <w:r>
        <w:rPr>
          <w:rFonts w:hint="eastAsia" w:ascii="仿宋" w:hAnsi="仿宋" w:eastAsia="仿宋" w:cs="仿宋"/>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一、磋商申请及声明函</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二、法人授权书</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三、磋商报价表</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四、分项报价表</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五、中小企业声明函</w:t>
      </w:r>
      <w:r/>
    </w:p>
    <w:p>
      <w:pPr>
        <w:spacing w:line="360" w:lineRule="auto"/>
        <w:rPr>
          <w:rFonts w:hint="eastAsia" w:ascii="Times New Roman" w:hAnsi="Times New Roman" w:eastAsia="宋体" w:cs="Times New Roman"/>
          <w:color w:val="auto"/>
          <w:sz w:val="28"/>
          <w:szCs w:val="28"/>
          <w:highlight w:val="none"/>
          <w:lang w:eastAsia="zh-CN"/>
        </w:rPr>
      </w:pPr>
      <w:r>
        <w:rPr>
          <w:rFonts w:hint="eastAsia" w:ascii="Times New Roman" w:hAnsi="Times New Roman" w:eastAsia="宋体" w:cs="Times New Roman"/>
          <w:color w:val="auto"/>
          <w:sz w:val="28"/>
          <w:szCs w:val="28"/>
          <w:highlight w:val="none"/>
          <w:lang w:eastAsia="zh-CN"/>
        </w:rPr>
        <w:t xml:space="preserve">六、</w:t>
      </w:r>
      <w:bookmarkStart w:id="113" w:name="OLE_LINK4"/>
      <w:r>
        <w:rPr>
          <w:rFonts w:hint="eastAsia" w:ascii="Times New Roman" w:hAnsi="Times New Roman" w:eastAsia="宋体" w:cs="Times New Roman"/>
          <w:color w:val="auto"/>
          <w:sz w:val="28"/>
          <w:szCs w:val="28"/>
          <w:highlight w:val="none"/>
          <w:lang w:eastAsia="zh-CN"/>
        </w:rPr>
        <w:t xml:space="preserve">技术响应偏离表</w:t>
      </w:r>
      <w:bookmarkEnd w:id="113"/>
      <w:r>
        <w:rPr>
          <w:rFonts w:hint="eastAsia" w:ascii="Times New Roman" w:hAnsi="Times New Roman" w:eastAsia="宋体" w:cs="Times New Roman"/>
          <w:color w:val="auto"/>
          <w:sz w:val="28"/>
          <w:szCs w:val="28"/>
          <w:highlight w:val="none"/>
          <w:lang w:eastAsia="zh-CN"/>
        </w:rPr>
        <w:t xml:space="preserve">（技术参数响应）</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七、项目组人员</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八、企业业绩</w:t>
      </w:r>
      <w:r/>
    </w:p>
    <w:p>
      <w:pPr>
        <w:spacing w:line="360" w:lineRule="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rPr>
        <w:t xml:space="preserve">九、</w:t>
      </w:r>
      <w:r>
        <w:rPr>
          <w:rFonts w:hint="eastAsia" w:ascii="Times New Roman" w:hAnsi="Times New Roman" w:eastAsia="宋体" w:cs="Times New Roman"/>
          <w:color w:val="auto"/>
          <w:sz w:val="28"/>
          <w:szCs w:val="28"/>
          <w:highlight w:val="none"/>
          <w:lang w:val="en-US" w:eastAsia="zh-CN"/>
        </w:rPr>
        <w:t xml:space="preserve">企业证书</w:t>
      </w:r>
      <w:r/>
    </w:p>
    <w:p>
      <w:pPr>
        <w:spacing w:line="360" w:lineRule="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 xml:space="preserve">十、承诺函</w:t>
      </w:r>
      <w:r/>
    </w:p>
    <w:p>
      <w:pPr>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十一、</w:t>
      </w:r>
      <w:r>
        <w:rPr>
          <w:rFonts w:hint="eastAsia" w:ascii="Times New Roman" w:hAnsi="Times New Roman" w:eastAsia="宋体" w:cs="Times New Roman"/>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ascii="Calibri" w:hAnsi="Calibri" w:eastAsia="宋体" w:cs="Times New Roman"/>
          <w:b/>
          <w:bCs/>
          <w:color w:val="auto"/>
          <w:sz w:val="32"/>
          <w:szCs w:val="22"/>
          <w:highlight w:val="none"/>
        </w:rPr>
      </w:pPr>
      <w:r>
        <w:rPr>
          <w:rFonts w:hint="eastAsia" w:ascii="Calibri" w:hAnsi="Calibri" w:eastAsia="宋体" w:cs="Times New Roman"/>
          <w:b/>
          <w:bCs/>
          <w:color w:val="auto"/>
          <w:sz w:val="32"/>
          <w:szCs w:val="22"/>
          <w:highlight w:val="none"/>
        </w:rPr>
        <w:br w:type="page" w:clear="all"/>
      </w:r>
      <w:r/>
    </w:p>
    <w:p>
      <w:pPr>
        <w:jc w:val="both"/>
        <w:keepLines/>
        <w:keepNext/>
        <w:spacing w:before="0" w:after="0" w:line="520" w:lineRule="exact"/>
        <w:widowControl w:val="off"/>
        <w:rPr>
          <w:rFonts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一、磋商声明及承诺函</w:t>
      </w:r>
      <w:r/>
    </w:p>
    <w:p>
      <w:pPr>
        <w:jc w:val="center"/>
        <w:widowControl w:val="off"/>
        <w:rPr>
          <w:rFonts w:hint="eastAsia" w:ascii="宋体" w:hAnsi="宋体" w:eastAsia="宋体" w:cs="仿宋"/>
          <w:b/>
          <w:color w:val="auto"/>
          <w:sz w:val="24"/>
          <w:szCs w:val="24"/>
          <w:highlight w:val="none"/>
          <w:lang w:val="en-US" w:eastAsia="zh-CN" w:bidi="ar-SA"/>
        </w:rPr>
      </w:pPr>
      <w:r>
        <w:rPr>
          <w:rFonts w:hint="eastAsia" w:ascii="宋体" w:hAnsi="宋体" w:eastAsia="宋体" w:cs="仿宋"/>
          <w:b/>
          <w:color w:val="auto"/>
          <w:sz w:val="24"/>
          <w:szCs w:val="24"/>
          <w:highlight w:val="none"/>
          <w:lang w:val="en-US" w:eastAsia="zh-CN" w:bidi="ar-SA"/>
        </w:rPr>
      </w:r>
      <w:r/>
    </w:p>
    <w:p>
      <w:pPr>
        <w:jc w:val="center"/>
        <w:widowControl w:val="off"/>
        <w:rPr>
          <w:rFonts w:hint="eastAsia" w:ascii="宋体" w:hAnsi="宋体" w:eastAsia="宋体" w:cs="仿宋"/>
          <w:b/>
          <w:color w:val="auto"/>
          <w:sz w:val="32"/>
          <w:szCs w:val="32"/>
          <w:highlight w:val="none"/>
          <w:lang w:val="en-US" w:eastAsia="zh-CN" w:bidi="ar-SA"/>
        </w:rPr>
      </w:pPr>
      <w:r>
        <w:rPr>
          <w:rFonts w:hint="eastAsia" w:ascii="宋体" w:hAnsi="宋体" w:eastAsia="宋体" w:cs="仿宋"/>
          <w:b/>
          <w:color w:val="auto"/>
          <w:sz w:val="32"/>
          <w:szCs w:val="32"/>
          <w:highlight w:val="none"/>
          <w:lang w:val="en-US" w:eastAsia="zh-CN" w:bidi="ar-SA"/>
        </w:rPr>
        <w:t xml:space="preserve">磋商声明及承诺函</w:t>
      </w:r>
      <w:r/>
    </w:p>
    <w:p>
      <w:pPr>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u w:val="single"/>
          <w:lang w:val="en-US" w:eastAsia="zh-CN" w:bidi="ar-SA"/>
        </w:rPr>
        <w:t xml:space="preserve">宿迁市宿豫区住房和城乡建设局</w:t>
      </w:r>
      <w:r>
        <w:rPr>
          <w:rFonts w:hint="eastAsia" w:ascii="宋体" w:hAnsi="宋体" w:eastAsia="宋体" w:cs="仿宋"/>
          <w:color w:val="auto"/>
          <w:sz w:val="24"/>
          <w:szCs w:val="24"/>
          <w:highlight w:val="none"/>
          <w:lang w:val="en-US" w:eastAsia="zh-CN" w:bidi="ar-SA"/>
        </w:rPr>
        <w:t xml:space="preserve">：</w:t>
      </w:r>
      <w:r/>
    </w:p>
    <w:p>
      <w:pPr>
        <w:ind w:firstLine="480"/>
        <w:jc w:val="left"/>
        <w:spacing w:line="5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根据</w:t>
      </w:r>
      <w:r>
        <w:rPr>
          <w:rFonts w:hint="eastAsia" w:ascii="Times New Roman" w:hAnsi="Times New Roman" w:eastAsia="宋体" w:cs="Times New Roman"/>
          <w:color w:val="auto"/>
          <w:sz w:val="24"/>
          <w:szCs w:val="24"/>
          <w:highlight w:val="none"/>
          <w:u w:val="single"/>
          <w:lang w:val="en-US" w:eastAsia="zh-CN" w:bidi="ar-SA"/>
        </w:rPr>
        <w:t xml:space="preserve">JSZC-321311-JZCG-C2026-0001</w:t>
      </w:r>
      <w:r>
        <w:rPr>
          <w:rFonts w:ascii="Times New Roman" w:hAnsi="Times New Roman" w:eastAsia="宋体" w:cs="Times New Roman"/>
          <w:color w:val="auto"/>
          <w:sz w:val="24"/>
          <w:szCs w:val="24"/>
          <w:highlight w:val="none"/>
          <w:lang w:val="en-US" w:eastAsia="zh-CN" w:bidi="ar-SA"/>
        </w:rPr>
        <w:t xml:space="preserve">的</w:t>
      </w:r>
      <w:r>
        <w:rPr>
          <w:rFonts w:hint="eastAsia" w:ascii="Times New Roman" w:hAnsi="Times New Roman" w:eastAsia="宋体" w:cs="Times New Roman"/>
          <w:color w:val="auto"/>
          <w:sz w:val="24"/>
          <w:szCs w:val="24"/>
          <w:highlight w:val="none"/>
          <w:u w:val="single"/>
          <w:lang w:val="en-US" w:eastAsia="zh-CN" w:bidi="ar-SA"/>
        </w:rPr>
        <w:t xml:space="preserve">宿豫区智慧水务平台运维（2026-2027年）-平台升级迁改项目</w:t>
      </w:r>
      <w:r>
        <w:rPr>
          <w:rFonts w:ascii="Times New Roman" w:hAnsi="Times New Roman" w:eastAsia="宋体" w:cs="Times New Roman"/>
          <w:color w:val="auto"/>
          <w:sz w:val="24"/>
          <w:szCs w:val="24"/>
          <w:highlight w:val="none"/>
          <w:lang w:val="en-US" w:eastAsia="zh-CN" w:bidi="ar-SA"/>
        </w:rPr>
        <w:t xml:space="preserve">竞争性磋商文件，我方在参加本项目竞争性磋商活动中，特做出如下承诺：</w:t>
      </w:r>
      <w:r/>
    </w:p>
    <w:p>
      <w:pPr>
        <w:ind w:firstLine="480"/>
        <w:jc w:val="left"/>
        <w:spacing w:line="5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一、我方具备《中华人民共和国政府采购法》第二十二条第一款规定的6项条件；</w:t>
      </w:r>
      <w:r/>
    </w:p>
    <w:p>
      <w:pPr>
        <w:ind w:firstLine="480"/>
        <w:jc w:val="left"/>
        <w:spacing w:line="5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三、我方按磋商文件要求提交响应文件，响应磋商文件规定的响应有效期；</w:t>
      </w:r>
      <w:r/>
    </w:p>
    <w:p>
      <w:pPr>
        <w:ind w:firstLine="480"/>
        <w:jc w:val="left"/>
        <w:spacing w:line="5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六、我方同意采购人、采购代理机构将本声明及承诺进行公开。</w:t>
      </w:r>
      <w:r/>
    </w:p>
    <w:p>
      <w:pPr>
        <w:ind w:firstLine="480"/>
        <w:jc w:val="left"/>
        <w:spacing w:line="5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480"/>
        <w:jc w:val="left"/>
        <w:spacing w:line="5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480"/>
        <w:jc w:val="left"/>
        <w:spacing w:line="5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供应商名称： （盖CA电子公章）</w:t>
      </w:r>
      <w:r/>
    </w:p>
    <w:p>
      <w:pPr>
        <w:ind w:firstLine="480"/>
        <w:jc w:val="left"/>
        <w:spacing w:line="5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日期：    年    月   日</w:t>
      </w:r>
      <w:r/>
    </w:p>
    <w:p>
      <w:pPr>
        <w:ind w:firstLine="480"/>
        <w:spacing w:line="440" w:lineRule="exact"/>
        <w:rPr>
          <w:rFonts w:ascii="Times New Roman" w:hAnsi="Times New Roman" w:eastAsia="仿宋" w:cs="Times New Roman"/>
          <w:color w:val="auto"/>
          <w:sz w:val="24"/>
          <w:szCs w:val="24"/>
          <w:highlight w:val="none"/>
        </w:rPr>
      </w:pPr>
      <w:r>
        <w:rPr>
          <w:rFonts w:ascii="Times New Roman" w:hAnsi="Times New Roman" w:eastAsia="仿宋" w:cs="Times New Roman"/>
          <w:color w:val="auto"/>
          <w:sz w:val="24"/>
          <w:szCs w:val="24"/>
          <w:highlight w:val="none"/>
        </w:rPr>
      </w:r>
      <w:r/>
    </w:p>
    <w:p>
      <w:pPr>
        <w:rPr>
          <w:rFonts w:hint="eastAsia" w:ascii="宋体" w:hAnsi="宋体" w:eastAsia="宋体" w:cs="仿宋"/>
          <w:color w:val="auto"/>
          <w:sz w:val="24"/>
          <w:szCs w:val="24"/>
          <w:highlight w:val="none"/>
        </w:rPr>
      </w:pPr>
      <w:r/>
      <w:bookmarkStart w:id="114" w:name="_Toc120614284"/>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rPr>
          <w:rFonts w:ascii="Calibri" w:hAnsi="Calibri" w:eastAsia="宋体" w:cs="Times New Roman"/>
          <w:color w:val="auto"/>
          <w:szCs w:val="22"/>
          <w:highlight w:val="none"/>
        </w:rPr>
      </w:pPr>
      <w:r>
        <w:rPr>
          <w:rFonts w:ascii="Calibri" w:hAnsi="Calibri" w:eastAsia="宋体" w:cs="Times New Roman"/>
          <w:color w:val="auto"/>
          <w:szCs w:val="22"/>
          <w:highlight w:val="none"/>
        </w:rPr>
      </w:r>
      <w:r/>
    </w:p>
    <w:p>
      <w:pPr>
        <w:jc w:val="both"/>
        <w:keepLines/>
        <w:keepNext/>
        <w:spacing w:before="0" w:after="0" w:line="520" w:lineRule="exact"/>
        <w:widowControl w:val="off"/>
        <w:rPr>
          <w:rFonts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二、法人授权书</w:t>
      </w:r>
      <w:r/>
    </w:p>
    <w:p>
      <w:pPr>
        <w:jc w:val="center"/>
        <w:widowControl w:val="off"/>
        <w:rPr>
          <w:rFonts w:ascii="方正小标宋_GBK" w:hAnsi="Calibri" w:eastAsia="方正小标宋_GBK" w:cs="Times New Roman"/>
          <w:b w:val="0"/>
          <w:bCs/>
          <w:color w:val="auto"/>
          <w:sz w:val="32"/>
          <w:szCs w:val="32"/>
          <w:highlight w:val="none"/>
          <w:lang w:val="en-US" w:eastAsia="zh-CN" w:bidi="ar-SA"/>
        </w:rPr>
      </w:pPr>
      <w:r>
        <w:rPr>
          <w:rFonts w:hint="eastAsia" w:ascii="方正小标宋_GBK" w:hAnsi="Calibri" w:eastAsia="方正小标宋_GBK" w:cs="Times New Roman"/>
          <w:b w:val="0"/>
          <w:bCs/>
          <w:color w:val="auto"/>
          <w:sz w:val="32"/>
          <w:szCs w:val="32"/>
          <w:highlight w:val="none"/>
          <w:lang w:val="en-US" w:eastAsia="zh-CN" w:bidi="ar-SA"/>
        </w:rPr>
        <w:t xml:space="preserve">法人授权书</w:t>
      </w:r>
      <w:r/>
    </w:p>
    <w:p>
      <w:pPr>
        <w:jc w:val="left"/>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本授权书声明：____________（供应商名称）授权________________（被授权人的姓名）为我方就</w:t>
      </w:r>
      <w:r>
        <w:rPr>
          <w:rFonts w:hint="eastAsia" w:ascii="宋体" w:hAnsi="宋体" w:eastAsia="宋体" w:cs="Times New Roman"/>
          <w:color w:val="auto"/>
          <w:sz w:val="24"/>
          <w:szCs w:val="24"/>
          <w:highlight w:val="none"/>
          <w:u w:val="single"/>
          <w:lang w:val="en-US" w:eastAsia="zh-CN" w:bidi="ar-SA"/>
        </w:rPr>
        <w:t xml:space="preserve">JSZC-321311-JZCG-C2026-0001</w:t>
      </w:r>
      <w:r>
        <w:rPr>
          <w:rFonts w:hint="eastAsia" w:ascii="宋体" w:hAnsi="宋体" w:eastAsia="宋体" w:cs="Times New Roman"/>
          <w:color w:val="auto"/>
          <w:sz w:val="24"/>
          <w:szCs w:val="24"/>
          <w:highlight w:val="none"/>
          <w:lang w:val="en-US" w:eastAsia="zh-CN" w:bidi="ar-SA"/>
        </w:rPr>
        <w:t xml:space="preserve">号</w:t>
      </w:r>
      <w:r>
        <w:rPr>
          <w:rFonts w:hint="eastAsia" w:ascii="Times New Roman" w:hAnsi="Times New Roman" w:eastAsia="宋体" w:cs="Times New Roman"/>
          <w:color w:val="auto"/>
          <w:sz w:val="24"/>
          <w:szCs w:val="24"/>
          <w:highlight w:val="none"/>
          <w:u w:val="single"/>
          <w:lang w:val="en-US" w:eastAsia="zh-CN" w:bidi="ar-SA"/>
        </w:rPr>
        <w:t xml:space="preserve">宿豫区智慧水务平台运维（2026-2027年）-平台升级迁改项目</w:t>
      </w:r>
      <w:r>
        <w:rPr>
          <w:rFonts w:hint="eastAsia" w:ascii="宋体" w:hAnsi="宋体" w:eastAsia="宋体" w:cs="仿宋"/>
          <w:color w:val="auto"/>
          <w:sz w:val="24"/>
          <w:szCs w:val="24"/>
          <w:highlight w:val="none"/>
          <w:lang w:val="en-US" w:eastAsia="zh-CN" w:bidi="ar-SA"/>
        </w:rPr>
        <w:t xml:space="preserve">采购活动的合法代理人，以本单位名义全权处理一切与该项目采购有关的事务。</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本授权书于______年____月____日起生效，特此声明。</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被授权人身份证号码：</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被授权人联系电话：（手机）</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授权单位名称：（盖CA电子公章）</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单位地址：</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日期：</w:t>
      </w:r>
      <w:bookmarkStart w:id="115" w:name="_Hlt26671380"/>
      <w:r/>
      <w:bookmarkEnd w:id="115"/>
      <w:r/>
      <w:bookmarkStart w:id="116" w:name="_Hlt26955070"/>
      <w:r/>
      <w:bookmarkEnd w:id="116"/>
      <w:r/>
      <w:bookmarkStart w:id="117" w:name="_格式3__银行出具的资信证明"/>
      <w:r/>
      <w:bookmarkEnd w:id="117"/>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both"/>
        <w:keepLines/>
        <w:keepNext/>
        <w:spacing w:before="0" w:after="0" w:line="520" w:lineRule="exact"/>
        <w:widowControl w:val="off"/>
        <w:rPr>
          <w:rFonts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三、磋商报价表</w:t>
      </w:r>
      <w:r/>
    </w:p>
    <w:p>
      <w:pPr>
        <w:spacing w:line="480" w:lineRule="exact"/>
        <w:rPr>
          <w:rFonts w:ascii="Times New Roman" w:hAnsi="Times New Roman" w:eastAsia="宋体" w:cs="Calibri"/>
          <w:color w:val="auto"/>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本次为首次报价</w:t>
      </w:r>
      <w:r/>
    </w:p>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货币单位：人民币元</w:t>
      </w:r>
      <w:r/>
    </w:p>
    <w:p>
      <w:pPr>
        <w:spacing w:line="480" w:lineRule="exact"/>
        <w:rPr>
          <w:rFonts w:hint="default" w:ascii="Times New Roman" w:hAnsi="Times New Roman" w:eastAsia="宋体" w:cs="仿宋"/>
          <w:color w:val="auto"/>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项目编号：</w:t>
      </w:r>
      <w:r/>
    </w:p>
    <w:tbl>
      <w:tblPr>
        <w:tblStyle w:val="683"/>
        <w:tblW w:w="91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ind w:firstLine="240"/>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szCs w:val="22"/>
                <w:highlight w:val="none"/>
              </w:rPr>
              <w:t xml:space="preserve">磋商</w:t>
            </w:r>
            <w:r>
              <w:rPr>
                <w:rFonts w:hint="default" w:ascii="Times New Roman" w:hAnsi="Times New Roman" w:eastAsia="宋体" w:cs="仿宋"/>
                <w:color w:val="auto"/>
                <w:sz w:val="24"/>
                <w:szCs w:val="22"/>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3"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金额大写</w:t>
            </w:r>
            <w:r>
              <w:rPr>
                <w:rFonts w:hint="default" w:ascii="Times New Roman" w:hAnsi="Times New Roman" w:eastAsia="宋体" w:cs="Calibri"/>
                <w:color w:val="auto"/>
                <w:sz w:val="24"/>
                <w:szCs w:val="22"/>
                <w:highlight w:val="none"/>
              </w:rPr>
              <w:t xml:space="preserve"> </w:t>
            </w:r>
            <w:r/>
          </w:p>
        </w:tc>
      </w:tr>
    </w:tbl>
    <w:p>
      <w:pPr>
        <w:spacing w:line="480" w:lineRule="exact"/>
        <w:rPr>
          <w:rFonts w:hint="default" w:ascii="宋体" w:hAnsi="宋体" w:eastAsia="宋体" w:cs="仿宋"/>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供</w:t>
      </w:r>
      <w:r>
        <w:rPr>
          <w:rFonts w:hint="default" w:ascii="宋体" w:hAnsi="宋体" w:eastAsia="宋体" w:cs="仿宋"/>
          <w:color w:val="auto"/>
          <w:sz w:val="24"/>
          <w:szCs w:val="22"/>
          <w:highlight w:val="none"/>
        </w:rPr>
        <w:t xml:space="preserve">应商（CA电子签章）：</w:t>
      </w:r>
      <w:r/>
    </w:p>
    <w:p>
      <w:pPr>
        <w:spacing w:line="480" w:lineRule="exact"/>
        <w:rPr>
          <w:rFonts w:hint="default" w:ascii="宋体" w:hAnsi="宋体" w:eastAsia="宋体" w:cs="Calibri"/>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仿宋"/>
          <w:color w:val="auto"/>
          <w:sz w:val="24"/>
          <w:szCs w:val="22"/>
          <w:highlight w:val="none"/>
        </w:rPr>
        <w:t xml:space="preserve">供应商名称</w:t>
      </w:r>
      <w:r/>
    </w:p>
    <w:p>
      <w:pPr>
        <w:spacing w:line="480" w:lineRule="exact"/>
        <w:rPr>
          <w:rFonts w:hint="default" w:ascii="宋体" w:hAnsi="宋体"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仿宋"/>
          <w:color w:val="auto"/>
          <w:sz w:val="24"/>
          <w:szCs w:val="22"/>
          <w:highlight w:val="none"/>
        </w:rPr>
        <w:t xml:space="preserve">日期：</w:t>
      </w:r>
      <w:r>
        <w:rPr>
          <w:rFonts w:hint="default" w:ascii="宋体" w:hAnsi="宋体" w:eastAsia="宋体" w:cs="Calibri"/>
          <w:color w:val="auto"/>
          <w:sz w:val="24"/>
          <w:szCs w:val="22"/>
          <w:highlight w:val="none"/>
        </w:rPr>
        <w:t xml:space="preserve">   </w:t>
      </w:r>
      <w:r>
        <w:rPr>
          <w:rFonts w:hint="default" w:ascii="宋体" w:hAnsi="宋体" w:eastAsia="宋体" w:cs="仿宋"/>
          <w:color w:val="auto"/>
          <w:sz w:val="24"/>
          <w:szCs w:val="22"/>
          <w:highlight w:val="none"/>
        </w:rPr>
        <w:t xml:space="preserve">年</w:t>
      </w:r>
      <w:r>
        <w:rPr>
          <w:rFonts w:hint="default" w:ascii="宋体" w:hAnsi="宋体" w:eastAsia="宋体" w:cs="Calibri"/>
          <w:color w:val="auto"/>
          <w:sz w:val="24"/>
          <w:szCs w:val="22"/>
          <w:highlight w:val="none"/>
        </w:rPr>
        <w:t xml:space="preserve">   </w:t>
      </w:r>
      <w:r>
        <w:rPr>
          <w:rFonts w:hint="default" w:ascii="宋体" w:hAnsi="宋体" w:eastAsia="宋体" w:cs="仿宋"/>
          <w:color w:val="auto"/>
          <w:sz w:val="24"/>
          <w:szCs w:val="22"/>
          <w:highlight w:val="none"/>
        </w:rPr>
        <w:t xml:space="preserve">月</w:t>
      </w:r>
      <w:r>
        <w:rPr>
          <w:rFonts w:hint="default" w:ascii="宋体" w:hAnsi="宋体" w:eastAsia="宋体" w:cs="Calibri"/>
          <w:color w:val="auto"/>
          <w:sz w:val="24"/>
          <w:szCs w:val="22"/>
          <w:highlight w:val="none"/>
        </w:rPr>
        <w:t xml:space="preserve">   </w:t>
      </w:r>
      <w:r>
        <w:rPr>
          <w:rFonts w:hint="default" w:ascii="宋体" w:hAnsi="宋体" w:eastAsia="宋体" w:cs="仿宋"/>
          <w:color w:val="auto"/>
          <w:sz w:val="24"/>
          <w:szCs w:val="22"/>
          <w:highlight w:val="none"/>
        </w:rPr>
        <w:t xml:space="preserve">日</w:t>
      </w:r>
      <w:r/>
    </w:p>
    <w:p>
      <w:pPr>
        <w:spacing w:line="480" w:lineRule="exact"/>
        <w:rPr>
          <w:rFonts w:hint="default" w:ascii="宋体" w:hAnsi="宋体" w:eastAsia="宋体" w:cs="黑体"/>
          <w:b/>
          <w:color w:val="auto"/>
          <w:sz w:val="32"/>
          <w:szCs w:val="24"/>
          <w:highlight w:val="none"/>
        </w:rPr>
      </w:pPr>
      <w:r>
        <w:rPr>
          <w:rFonts w:hint="default" w:ascii="宋体" w:hAnsi="宋体" w:eastAsia="宋体" w:cs="黑体"/>
          <w:b/>
          <w:color w:val="auto"/>
          <w:sz w:val="32"/>
          <w:szCs w:val="24"/>
          <w:highlight w:val="none"/>
        </w:rPr>
      </w:r>
      <w:r/>
    </w:p>
    <w:p>
      <w:pPr>
        <w:spacing w:line="460" w:lineRule="exact"/>
        <w:rPr>
          <w:rFonts w:hint="default" w:ascii="黑体" w:hAnsi="黑体" w:eastAsia="黑体" w:cs="黑体"/>
          <w:b/>
          <w:color w:val="auto"/>
          <w:sz w:val="32"/>
          <w:szCs w:val="24"/>
          <w:highlight w:val="none"/>
        </w:rPr>
      </w:pPr>
      <w:r>
        <w:rPr>
          <w:rFonts w:hint="default" w:ascii="黑体" w:hAnsi="黑体" w:eastAsia="黑体" w:cs="黑体"/>
          <w:b/>
          <w:color w:val="auto"/>
          <w:sz w:val="32"/>
          <w:szCs w:val="24"/>
          <w:highlight w:val="none"/>
        </w:rPr>
      </w:r>
      <w:r/>
    </w:p>
    <w:p>
      <w:pPr>
        <w:rPr>
          <w:rFonts w:hint="default" w:ascii="黑体" w:hAnsi="黑体" w:eastAsia="黑体" w:cs="黑体"/>
          <w:b/>
          <w:color w:val="auto"/>
          <w:sz w:val="32"/>
          <w:szCs w:val="24"/>
          <w:highlight w:val="none"/>
        </w:rPr>
      </w:pPr>
      <w:r>
        <w:rPr>
          <w:rFonts w:hint="default" w:ascii="黑体" w:hAnsi="黑体" w:eastAsia="黑体" w:cs="黑体"/>
          <w:b/>
          <w:color w:val="auto"/>
          <w:sz w:val="32"/>
          <w:szCs w:val="24"/>
          <w:highlight w:val="none"/>
        </w:rPr>
        <w:br w:type="page" w:clear="all"/>
      </w:r>
      <w:r/>
    </w:p>
    <w:p>
      <w:pPr>
        <w:ind w:firstLine="320"/>
        <w:jc w:val="both"/>
        <w:keepLines/>
        <w:keepNext/>
        <w:spacing w:before="0" w:after="0" w:line="520" w:lineRule="exact"/>
        <w:widowControl w:val="off"/>
        <w:rPr>
          <w:rFonts w:hint="default" w:ascii="黑体" w:hAnsi="黑体" w:eastAsia="黑体" w:cs="黑体"/>
          <w:color w:val="auto"/>
          <w:sz w:val="32"/>
          <w:szCs w:val="22"/>
          <w:highlight w:val="none"/>
        </w:rPr>
        <w:outlineLvl w:val="1"/>
      </w:pPr>
      <w:r>
        <w:rPr>
          <w:rFonts w:hint="eastAsia" w:ascii="黑体" w:hAnsi="黑体" w:eastAsia="黑体" w:cs="黑体"/>
          <w:color w:val="auto"/>
          <w:sz w:val="32"/>
          <w:szCs w:val="22"/>
          <w:highlight w:val="none"/>
        </w:rPr>
        <w:t xml:space="preserve">四、分项报价表</w:t>
      </w:r>
      <w:r/>
    </w:p>
    <w:tbl>
      <w:tblPr>
        <w:tblStyle w:val="680"/>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73"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11"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99"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78"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42"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130"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cantSplit/>
          <w:trHeight w:val="634"/>
        </w:trPr>
        <w:tc>
          <w:tcPr>
            <w:tcW w:w="866" w:type="dxa"/>
            <w:vAlign w:val="center"/>
            <w:vMerge w:val="continue"/>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673"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分项服务名称</w:t>
            </w:r>
            <w:r/>
          </w:p>
        </w:tc>
        <w:tc>
          <w:tcPr>
            <w:tcW w:w="1511"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099"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78"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1642"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tcW w:w="1130"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666"/>
        </w:trPr>
        <w:tc>
          <w:tcPr>
            <w:tcW w:w="866"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73"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511"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099"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78"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642"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130"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trHeight w:val="666"/>
        </w:trPr>
        <w:tc>
          <w:tcPr>
            <w:tcW w:w="866"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73"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511"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099"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78"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642"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130"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trHeight w:val="666"/>
        </w:trPr>
        <w:tc>
          <w:tcPr>
            <w:tcW w:w="866"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73"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511"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099"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78"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642"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130"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trHeight w:val="666"/>
        </w:trPr>
        <w:tc>
          <w:tcPr>
            <w:tcW w:w="866"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73"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511"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099"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78"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642"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130"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trHeight w:val="508"/>
        </w:trPr>
        <w:tc>
          <w:tcPr>
            <w:gridSpan w:val="5"/>
            <w:tcW w:w="6627" w:type="dxa"/>
            <w:vAlign w:val="center"/>
            <w:textDirection w:val="lrTb"/>
            <w:noWrap w:val="false"/>
          </w:tcPr>
          <w:p>
            <w:pPr>
              <w:jc w:val="center"/>
              <w:spacing w:line="0" w:lineRule="atLeas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总报价（人民币：元）</w:t>
            </w:r>
            <w:r/>
          </w:p>
        </w:tc>
        <w:tc>
          <w:tcPr>
            <w:tcW w:w="1642" w:type="dxa"/>
            <w:textDirection w:val="lrTb"/>
            <w:noWrap w:val="false"/>
          </w:tcPr>
          <w:p>
            <w:pP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130" w:type="dxa"/>
            <w:textDirection w:val="lrTb"/>
            <w:noWrap w:val="false"/>
          </w:tcPr>
          <w:p>
            <w:pPr>
              <w:spacing w:line="0" w:lineRule="atLeas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ind w:firstLine="480"/>
        <w:spacing w:line="480" w:lineRule="exact"/>
        <w:rPr>
          <w:rFonts w:hint="default" w:ascii="宋体" w:hAnsi="宋体" w:eastAsia="宋体" w:cs="Times New Roman"/>
          <w:color w:val="auto"/>
          <w:sz w:val="24"/>
          <w:szCs w:val="24"/>
          <w:highlight w:val="none"/>
        </w:rPr>
      </w:pPr>
      <w:r>
        <w:rPr>
          <w:rFonts w:hint="default" w:ascii="宋体" w:hAnsi="宋体" w:eastAsia="宋体" w:cs="宋体"/>
          <w:color w:val="auto"/>
          <w:sz w:val="24"/>
          <w:szCs w:val="24"/>
          <w:highlight w:val="none"/>
        </w:rPr>
        <w:t xml:space="preserve">备注：磋商报价采用总承包方式，</w:t>
      </w:r>
      <w:r>
        <w:rPr>
          <w:rFonts w:hint="eastAsia" w:ascii="宋体" w:hAnsi="宋体" w:eastAsia="宋体" w:cs="宋体"/>
          <w:color w:val="auto"/>
          <w:sz w:val="24"/>
          <w:szCs w:val="24"/>
          <w:highlight w:val="none"/>
        </w:rPr>
        <w:t xml:space="preserve">供应商</w:t>
      </w:r>
      <w:r>
        <w:rPr>
          <w:rFonts w:hint="default" w:ascii="宋体" w:hAnsi="宋体" w:eastAsia="宋体" w:cs="宋体"/>
          <w:color w:val="auto"/>
          <w:sz w:val="24"/>
          <w:szCs w:val="24"/>
          <w:highlight w:val="none"/>
        </w:rPr>
        <w:t xml:space="preserve">的“总报价”应包括采购人需求的服务（包含与服务相关的产品）价格、培训费用及售后服务费用，项目在指定地点、环境交付、安装、调试、验收所需费用和所有相关税金费用及为完成整个项目所产生的其它所有费用。</w:t>
      </w:r>
      <w:r/>
    </w:p>
    <w:p>
      <w:pPr>
        <w:spacing w:line="48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center"/>
        <w:widowControl w:val="off"/>
        <w:rPr>
          <w:rFonts w:hint="default" w:ascii="仿宋" w:hAnsi="仿宋" w:eastAsia="仿宋" w:cs="仿宋"/>
          <w:b w:val="0"/>
          <w:color w:val="auto"/>
          <w:sz w:val="32"/>
          <w:szCs w:val="32"/>
          <w:highlight w:val="none"/>
          <w:lang w:val="en-US" w:eastAsia="zh-CN" w:bidi="ar-SA"/>
        </w:rPr>
      </w:pPr>
      <w:r>
        <w:rPr>
          <w:rFonts w:hint="eastAsia" w:ascii="黑体" w:hAnsi="黑体" w:eastAsia="黑体" w:cs="Times New Roman"/>
          <w:b/>
          <w:bCs/>
          <w:color w:val="auto"/>
          <w:sz w:val="32"/>
          <w:szCs w:val="24"/>
          <w:highlight w:val="none"/>
          <w:lang w:val="en-US" w:eastAsia="zh-CN" w:bidi="ar-SA"/>
        </w:rPr>
        <w:br w:type="page" w:clear="all"/>
      </w:r>
      <w:r/>
    </w:p>
    <w:p>
      <w:pPr>
        <w:ind w:firstLine="320"/>
        <w:jc w:val="both"/>
        <w:keepLines/>
        <w:keepNext/>
        <w:spacing w:before="0" w:after="0" w:line="520" w:lineRule="exact"/>
        <w:widowControl w:val="off"/>
        <w:rPr>
          <w:rFonts w:hint="default" w:ascii="黑体" w:hAnsi="黑体" w:eastAsia="黑体" w:cs="黑体"/>
          <w:color w:val="auto"/>
          <w:sz w:val="32"/>
          <w:szCs w:val="22"/>
          <w:highlight w:val="none"/>
        </w:rPr>
        <w:outlineLvl w:val="1"/>
      </w:pPr>
      <w:r/>
      <w:bookmarkStart w:id="118" w:name="_Toc9025"/>
      <w:r/>
      <w:bookmarkStart w:id="119" w:name="_Toc21129"/>
      <w:r>
        <w:rPr>
          <w:rFonts w:hint="eastAsia" w:ascii="黑体" w:hAnsi="黑体" w:eastAsia="黑体" w:cs="黑体"/>
          <w:color w:val="auto"/>
          <w:sz w:val="32"/>
          <w:szCs w:val="22"/>
          <w:highlight w:val="none"/>
        </w:rPr>
        <w:t xml:space="preserve">五、中小企业或残疾人福利性单位声明函</w:t>
      </w:r>
      <w:bookmarkEnd w:id="118"/>
      <w:r/>
      <w:bookmarkEnd w:id="119"/>
      <w:r/>
      <w:r/>
    </w:p>
    <w:p>
      <w:pPr>
        <w:ind w:firstLine="643"/>
        <w:jc w:val="center"/>
        <w:spacing w:line="400" w:lineRule="exact"/>
        <w:rPr>
          <w:rFonts w:hint="default" w:ascii="宋体" w:hAnsi="宋体" w:eastAsia="宋体" w:cs="Times New Roman"/>
          <w:b/>
          <w:color w:val="auto"/>
          <w:sz w:val="32"/>
          <w:szCs w:val="32"/>
          <w:highlight w:val="none"/>
        </w:rPr>
      </w:pPr>
      <w:r>
        <w:rPr>
          <w:rFonts w:hint="default" w:ascii="宋体" w:hAnsi="宋体" w:eastAsia="宋体" w:cs="Times New Roman"/>
          <w:b/>
          <w:color w:val="auto"/>
          <w:sz w:val="32"/>
          <w:szCs w:val="32"/>
          <w:highlight w:val="none"/>
        </w:rPr>
      </w:r>
      <w:r/>
    </w:p>
    <w:p>
      <w:pPr>
        <w:jc w:val="center"/>
        <w:spacing w:before="151" w:after="151" w:line="600" w:lineRule="exact"/>
        <w:widowControl w:val="off"/>
        <w:rPr>
          <w:rFonts w:hint="eastAsia" w:ascii="方正小标宋_GBK" w:hAnsi="Calibri" w:eastAsia="方正小标宋_GBK" w:cs="Times New Roman"/>
          <w:color w:val="auto"/>
          <w:sz w:val="32"/>
          <w:szCs w:val="32"/>
          <w:highlight w:val="none"/>
        </w:rPr>
      </w:pPr>
      <w:r>
        <w:rPr>
          <w:rFonts w:hint="eastAsia" w:ascii="方正小标宋_GBK" w:hAnsi="Calibri" w:eastAsia="方正小标宋_GBK" w:cs="Times New Roman"/>
          <w:color w:val="auto"/>
          <w:sz w:val="32"/>
          <w:szCs w:val="32"/>
          <w:highlight w:val="none"/>
        </w:rPr>
        <w:t xml:space="preserve">中小微企业声明函（服务类项目）</w:t>
      </w:r>
      <w:r/>
    </w:p>
    <w:p>
      <w:pPr>
        <w:ind w:firstLine="480"/>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w:t>
      </w:r>
      <w:r>
        <w:rPr>
          <w:rFonts w:hint="eastAsia" w:ascii="Times New Roman" w:hAnsi="Times New Roman" w:eastAsia="宋体" w:cs="Times New Roman"/>
          <w:color w:val="auto"/>
          <w:sz w:val="24"/>
          <w:szCs w:val="24"/>
          <w:highlight w:val="none"/>
        </w:rPr>
        <w:t xml:space="preserve">〔2020〕</w:t>
      </w:r>
      <w:r>
        <w:rPr>
          <w:rFonts w:hint="eastAsia" w:ascii="宋体" w:hAnsi="宋体" w:eastAsia="宋体" w:cs="Times New Roman"/>
          <w:color w:val="auto"/>
          <w:sz w:val="24"/>
          <w:szCs w:val="24"/>
          <w:highlight w:val="none"/>
        </w:rPr>
        <w:t xml:space="preserve">46号)的规定，本公司（联合体）参加</w:t>
      </w:r>
      <w:r>
        <w:rPr>
          <w:rFonts w:hint="eastAsia" w:ascii="宋体" w:hAnsi="宋体" w:eastAsia="宋体" w:cs="Times New Roman"/>
          <w:color w:val="auto"/>
          <w:sz w:val="24"/>
          <w:szCs w:val="24"/>
          <w:highlight w:val="none"/>
          <w:u w:val="single"/>
          <w:lang w:val="en-US" w:eastAsia="zh-CN"/>
        </w:rPr>
        <w:t xml:space="preserve">宿迁市宿豫区住房和城乡建设局</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lang w:eastAsia="zh-CN"/>
        </w:rPr>
        <w:t xml:space="preserve">宿豫区智慧水务平台运维（2026-2027年）-平台升级迁改项目</w:t>
      </w:r>
      <w:r>
        <w:rPr>
          <w:rFonts w:hint="eastAsia" w:ascii="宋体" w:hAnsi="宋体" w:eastAsia="宋体" w:cs="Times New Roman"/>
          <w:color w:val="auto"/>
          <w:sz w:val="24"/>
          <w:szCs w:val="24"/>
          <w:highlight w:val="none"/>
        </w:rPr>
        <w:t xml:space="preserve">采购活动，服务全部由符合政策的中小微企业承接。相关企业（含联合体中的中小微企业、签订采购包意向协议的中小微企业）的具体情况如下：</w:t>
      </w:r>
      <w:r/>
    </w:p>
    <w:p>
      <w:pPr>
        <w:ind w:firstLine="480"/>
        <w:spacing w:line="480" w:lineRule="exact"/>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u w:val="single"/>
        </w:rPr>
        <w:t xml:space="preserve">（标的名称）</w:t>
      </w:r>
      <w:r>
        <w:rPr>
          <w:rFonts w:hint="default" w:ascii="Times New Roman" w:hAnsi="Times New Roman" w:eastAsia="宋体" w:cs="Times New Roman"/>
          <w:i/>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属于</w:t>
      </w:r>
      <w:r>
        <w:rPr>
          <w:rFonts w:hint="default" w:ascii="Times New Roman" w:hAnsi="Times New Roman" w:eastAsia="宋体" w:cs="Times New Roman"/>
          <w:color w:val="auto"/>
          <w:sz w:val="24"/>
          <w:szCs w:val="24"/>
          <w:highlight w:val="none"/>
          <w:u w:val="single"/>
        </w:rPr>
        <w:t xml:space="preserve">（供应商填写磋商文件中明确的所属行业）</w:t>
      </w:r>
      <w:r>
        <w:rPr>
          <w:rFonts w:hint="default" w:ascii="Times New Roman" w:hAnsi="Times New Roman" w:eastAsia="宋体" w:cs="Times New Roman"/>
          <w:color w:val="auto"/>
          <w:sz w:val="24"/>
          <w:szCs w:val="24"/>
          <w:highlight w:val="none"/>
        </w:rPr>
        <w:t xml:space="preserve">行业；承接企业为</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人，营业收入为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万元，资产总额为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万元，属于</w:t>
      </w:r>
      <w:r>
        <w:rPr>
          <w:rFonts w:hint="default" w:ascii="Times New Roman" w:hAnsi="Times New Roman" w:eastAsia="宋体" w:cs="Times New Roman"/>
          <w:color w:val="auto"/>
          <w:sz w:val="24"/>
          <w:szCs w:val="24"/>
          <w:highlight w:val="none"/>
          <w:u w:val="single"/>
        </w:rPr>
        <w:t xml:space="preserve">（□中型企业 □小型企业 □微型企业）；</w:t>
      </w:r>
      <w:r/>
    </w:p>
    <w:p>
      <w:pPr>
        <w:ind w:firstLine="480"/>
        <w:spacing w:line="480" w:lineRule="exact"/>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u w:val="single"/>
        </w:rPr>
        <w:t xml:space="preserve">（标的名称）</w:t>
      </w:r>
      <w:r>
        <w:rPr>
          <w:rFonts w:hint="default" w:ascii="Times New Roman" w:hAnsi="Times New Roman" w:eastAsia="宋体" w:cs="Times New Roman"/>
          <w:i/>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属于</w:t>
      </w:r>
      <w:r>
        <w:rPr>
          <w:rFonts w:hint="default" w:ascii="Times New Roman" w:hAnsi="Times New Roman" w:eastAsia="宋体" w:cs="Times New Roman"/>
          <w:color w:val="auto"/>
          <w:sz w:val="24"/>
          <w:szCs w:val="24"/>
          <w:highlight w:val="none"/>
          <w:u w:val="single"/>
        </w:rPr>
        <w:t xml:space="preserve">（供应商填写磋商文件中明确的所属行业）</w:t>
      </w:r>
      <w:r>
        <w:rPr>
          <w:rFonts w:hint="default" w:ascii="Times New Roman" w:hAnsi="Times New Roman" w:eastAsia="宋体" w:cs="Times New Roman"/>
          <w:color w:val="auto"/>
          <w:sz w:val="24"/>
          <w:szCs w:val="24"/>
          <w:highlight w:val="none"/>
        </w:rPr>
        <w:t xml:space="preserve">行业；承接企业为</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人，营业收入为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万元，资产总额为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万元，属于</w:t>
      </w:r>
      <w:r>
        <w:rPr>
          <w:rFonts w:hint="default" w:ascii="Times New Roman" w:hAnsi="Times New Roman" w:eastAsia="宋体" w:cs="Times New Roman"/>
          <w:color w:val="auto"/>
          <w:sz w:val="24"/>
          <w:szCs w:val="24"/>
          <w:highlight w:val="none"/>
          <w:u w:val="single"/>
        </w:rPr>
        <w:t xml:space="preserve">（□中型企业 □小型企业 □微型企业）；</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本企业对上述声明内容的真实性负责。如有虚假，将依法承担相应责任</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right"/>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企业名称（加盖CA电子公章）：</w:t>
      </w:r>
      <w:r/>
    </w:p>
    <w:p>
      <w:pPr>
        <w:ind w:firstLine="696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w:t>
      </w:r>
      <w:r/>
    </w:p>
    <w:p>
      <w:pPr>
        <w:ind w:firstLine="24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rPr>
        <w:t xml:space="preserve"> 对照《工业和信息化部、国家统计局、国家发展和改革委员会、财政部关于印发中小企业划型标准规定的通知》(工信部联企业[2011]300号)的规定，供应商自行勾选承接企业的企业规模类型。</w:t>
      </w:r>
      <w:r/>
    </w:p>
    <w:p>
      <w:pPr>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r>
      <w:r/>
    </w:p>
    <w:p>
      <w:pPr>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r>
      <w:r/>
    </w:p>
    <w:p>
      <w:pPr>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r>
      <w:r/>
    </w:p>
    <w:p>
      <w:pPr>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r>
      <w:r/>
    </w:p>
    <w:p>
      <w:pPr>
        <w:jc w:val="center"/>
        <w:spacing w:before="151" w:after="151" w:line="600" w:lineRule="exact"/>
        <w:widowControl w:val="off"/>
        <w:rPr>
          <w:rFonts w:hint="eastAsia" w:ascii="方正小标宋_GBK" w:hAnsi="Calibri" w:eastAsia="方正小标宋_GBK" w:cs="Times New Roman"/>
          <w:color w:val="auto"/>
          <w:sz w:val="32"/>
          <w:szCs w:val="32"/>
          <w:highlight w:val="none"/>
        </w:rPr>
      </w:pPr>
      <w:r>
        <w:rPr>
          <w:rFonts w:hint="eastAsia" w:ascii="方正小标宋_GBK" w:hAnsi="Calibri" w:eastAsia="方正小标宋_GBK" w:cs="Times New Roman"/>
          <w:color w:val="auto"/>
          <w:sz w:val="32"/>
          <w:szCs w:val="32"/>
          <w:highlight w:val="none"/>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rPr>
      </w:pPr>
      <w:r>
        <w:rPr>
          <w:rFonts w:hint="default" w:ascii="仿宋_GB2312" w:hAnsi="Calibri" w:eastAsia="仿宋_GB2312" w:cs="Times New Roman"/>
          <w:b/>
          <w:color w:val="auto"/>
          <w:spacing w:val="6"/>
          <w:sz w:val="30"/>
          <w:szCs w:val="30"/>
          <w:highlight w:val="none"/>
        </w:rPr>
      </w:r>
      <w:r/>
    </w:p>
    <w:p>
      <w:pPr>
        <w:ind w:firstLine="480"/>
        <w:jc w:val="both"/>
        <w:spacing w:line="500" w:lineRule="exact"/>
        <w:widowControl w:val="off"/>
        <w:rPr>
          <w:rFonts w:hint="default"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rPr>
        <w:t xml:space="preserve">2017</w:t>
      </w:r>
      <w:r>
        <w:rPr>
          <w:rFonts w:hint="eastAsia" w:ascii="Times New Roman" w:hAnsi="Times New Roman" w:eastAsia="宋体" w:cs="Times New Roman"/>
          <w:color w:val="auto"/>
          <w:sz w:val="24"/>
          <w:szCs w:val="22"/>
          <w:highlight w:val="none"/>
        </w:rPr>
        <w:t xml:space="preserve">〕</w:t>
      </w:r>
      <w:r>
        <w:rPr>
          <w:rFonts w:hint="default" w:ascii="Times New Roman" w:hAnsi="Times New Roman" w:eastAsia="宋体" w:cs="Times New Roman"/>
          <w:color w:val="auto"/>
          <w:sz w:val="24"/>
          <w:szCs w:val="22"/>
          <w:highlight w:val="none"/>
        </w:rPr>
        <w:t xml:space="preserve">141</w:t>
      </w:r>
      <w:r>
        <w:rPr>
          <w:rFonts w:hint="eastAsia" w:ascii="Times New Roman" w:hAnsi="Times New Roman" w:eastAsia="宋体" w:cs="Times New Roman"/>
          <w:color w:val="auto"/>
          <w:sz w:val="24"/>
          <w:szCs w:val="22"/>
          <w:highlight w:val="none"/>
        </w:rPr>
        <w:t xml:space="preserve">号）的规定，本单位为符合条件的残疾人福利性单位，且本单位参加</w:t>
      </w:r>
      <w:r>
        <w:rPr>
          <w:rFonts w:hint="eastAsia" w:ascii="宋体" w:hAnsi="宋体" w:eastAsia="宋体" w:cs="Times New Roman"/>
          <w:color w:val="auto"/>
          <w:sz w:val="24"/>
          <w:szCs w:val="24"/>
          <w:highlight w:val="none"/>
          <w:u w:val="single"/>
          <w:lang w:val="en-US" w:eastAsia="zh-CN"/>
        </w:rPr>
        <w:t xml:space="preserve">宿迁市宿豫区住房和城乡建设局</w:t>
      </w:r>
      <w:r>
        <w:rPr>
          <w:rFonts w:hint="eastAsia" w:ascii="Times New Roman" w:hAnsi="Times New Roman" w:eastAsia="宋体" w:cs="Times New Roman"/>
          <w:color w:val="auto"/>
          <w:sz w:val="24"/>
          <w:szCs w:val="22"/>
          <w:highlight w:val="none"/>
        </w:rPr>
        <w:t xml:space="preserve">的</w:t>
      </w:r>
      <w:r>
        <w:rPr>
          <w:rFonts w:hint="eastAsia" w:ascii="宋体" w:hAnsi="宋体" w:eastAsia="宋体" w:cs="Times New Roman"/>
          <w:color w:val="auto"/>
          <w:sz w:val="24"/>
          <w:szCs w:val="24"/>
          <w:highlight w:val="none"/>
          <w:u w:val="single"/>
          <w:lang w:eastAsia="zh-CN"/>
        </w:rPr>
        <w:t xml:space="preserve">宿豫区智慧水务平台运维（2026-2027年）-平台升级迁改项目</w:t>
      </w:r>
      <w:r>
        <w:rPr>
          <w:rFonts w:hint="eastAsia" w:ascii="Times New Roman" w:hAnsi="Times New Roman" w:eastAsia="宋体" w:cs="Times New Roman"/>
          <w:color w:val="auto"/>
          <w:sz w:val="24"/>
          <w:szCs w:val="22"/>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rPr>
      </w:r>
      <w:r/>
    </w:p>
    <w:p>
      <w:pPr>
        <w:ind w:firstLine="480"/>
        <w:jc w:val="left"/>
        <w:spacing w:line="500" w:lineRule="exact"/>
        <w:widowControl w:val="off"/>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单位名称：</w:t>
      </w:r>
      <w:r>
        <w:rPr>
          <w:rFonts w:hint="eastAsia"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w:t>
      </w:r>
      <w:r>
        <w:rPr>
          <w:rFonts w:hint="eastAsia" w:ascii="宋体" w:hAnsi="宋体" w:eastAsia="宋体" w:cs="Times New Roman"/>
          <w:color w:val="auto"/>
          <w:sz w:val="24"/>
          <w:szCs w:val="24"/>
          <w:highlight w:val="none"/>
        </w:rPr>
        <w:t xml:space="preserve">盖CA电子公章</w:t>
      </w:r>
      <w:r>
        <w:rPr>
          <w:rFonts w:hint="eastAsia" w:ascii="宋体" w:hAnsi="宋体" w:eastAsia="宋体" w:cs="Times New Roman"/>
          <w:color w:val="auto"/>
          <w:sz w:val="24"/>
          <w:szCs w:val="22"/>
          <w:highlight w:val="none"/>
        </w:rPr>
        <w:t xml:space="preserve">）</w:t>
      </w:r>
      <w:r/>
    </w:p>
    <w:p>
      <w:pPr>
        <w:ind w:firstLine="480"/>
        <w:spacing w:line="500" w:lineRule="exact"/>
        <w:rPr>
          <w:rFonts w:hint="default" w:ascii="宋体" w:hAnsi="宋体" w:eastAsia="宋体" w:cs="Times New Roman"/>
          <w:b w:val="0"/>
          <w:color w:val="auto"/>
          <w:sz w:val="24"/>
          <w:szCs w:val="20"/>
          <w:highlight w:val="none"/>
          <w:lang w:val="en-US" w:eastAsia="zh-CN" w:bidi="ar-SA"/>
        </w:rPr>
      </w:pPr>
      <w:r>
        <w:rPr>
          <w:rFonts w:hint="eastAsia" w:ascii="宋体" w:hAnsi="宋体" w:eastAsia="宋体" w:cs="Times New Roman"/>
          <w:b w:val="0"/>
          <w:color w:val="auto"/>
          <w:sz w:val="24"/>
          <w:szCs w:val="20"/>
          <w:highlight w:val="none"/>
          <w:lang w:val="en-US" w:eastAsia="zh-CN" w:bidi="ar-SA"/>
        </w:rPr>
        <w:t xml:space="preserve">日期：  年  月  日</w:t>
      </w:r>
      <w:r/>
    </w:p>
    <w:p>
      <w:pPr>
        <w:ind w:left="357" w:firstLine="0"/>
        <w:jc w:val="both"/>
        <w:spacing w:line="500" w:lineRule="exact"/>
        <w:widowControl w:val="off"/>
        <w:rPr>
          <w:rFonts w:hint="default" w:ascii="Times New Roman" w:hAnsi="Times New Roman" w:eastAsia="宋体" w:cs="Arial"/>
          <w:color w:val="auto"/>
          <w:sz w:val="24"/>
          <w:szCs w:val="24"/>
          <w:highlight w:val="none"/>
        </w:rPr>
      </w:pPr>
      <w:r>
        <w:rPr>
          <w:rFonts w:hint="default" w:ascii="Times New Roman" w:hAnsi="Times New Roman" w:eastAsia="宋体" w:cs="Arial"/>
          <w:color w:val="auto"/>
          <w:sz w:val="24"/>
          <w:szCs w:val="24"/>
          <w:highlight w:val="none"/>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备注：1.非残疾人福利性单位不需提供此函。</w:t>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rPr>
          <w:rFonts w:hint="default" w:ascii="仿宋" w:hAnsi="仿宋" w:eastAsia="仿宋" w:cs="仿宋"/>
          <w:b/>
          <w:color w:val="auto"/>
          <w:sz w:val="24"/>
          <w:szCs w:val="24"/>
          <w:highlight w:val="none"/>
        </w:rPr>
      </w:pPr>
      <w:r>
        <w:rPr>
          <w:rFonts w:hint="eastAsia" w:ascii="Calibri" w:hAnsi="Calibri" w:eastAsia="宋体" w:cs="Times New Roman"/>
          <w:color w:val="auto"/>
          <w:sz w:val="24"/>
          <w:szCs w:val="24"/>
          <w:highlight w:val="none"/>
        </w:rPr>
        <w:br w:type="page" w:clear="all"/>
      </w:r>
      <w:r/>
    </w:p>
    <w:p>
      <w:pPr>
        <w:ind w:firstLine="320"/>
        <w:jc w:val="both"/>
        <w:keepLines/>
        <w:keepNext/>
        <w:spacing w:before="0" w:after="0" w:line="520" w:lineRule="exact"/>
        <w:widowControl w:val="off"/>
        <w:rPr>
          <w:rFonts w:hint="default" w:ascii="黑体" w:hAnsi="黑体" w:eastAsia="黑体" w:cs="黑体"/>
          <w:color w:val="auto"/>
          <w:sz w:val="32"/>
          <w:szCs w:val="22"/>
          <w:highlight w:val="none"/>
        </w:rPr>
        <w:outlineLvl w:val="1"/>
      </w:pPr>
      <w:r>
        <w:rPr>
          <w:rFonts w:hint="eastAsia" w:ascii="黑体" w:hAnsi="黑体" w:eastAsia="黑体" w:cs="黑体"/>
          <w:color w:val="auto"/>
          <w:sz w:val="32"/>
          <w:szCs w:val="22"/>
          <w:highlight w:val="none"/>
        </w:rPr>
        <w:t xml:space="preserve">六、技术响应偏离表（技术参数响应）</w:t>
      </w:r>
      <w:r/>
    </w:p>
    <w:p>
      <w:pPr>
        <w:ind w:firstLine="420"/>
        <w:jc w:val="both"/>
        <w:widowControl w:val="off"/>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rPr>
      </w:r>
      <w:r/>
    </w:p>
    <w:tbl>
      <w:tblPr>
        <w:tblStyle w:val="680"/>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仿宋" w:hAnsi="仿宋" w:eastAsia="仿宋" w:cs="仿宋"/>
                <w:color w:val="auto"/>
                <w:szCs w:val="22"/>
                <w:highlight w:val="none"/>
              </w:rPr>
            </w:pPr>
            <w:r>
              <w:rPr>
                <w:rFonts w:hint="eastAsia" w:ascii="仿宋" w:hAnsi="仿宋" w:eastAsia="仿宋" w:cs="仿宋"/>
                <w:color w:val="auto"/>
                <w:sz w:val="28"/>
                <w:szCs w:val="22"/>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仿宋" w:hAnsi="仿宋" w:eastAsia="仿宋" w:cs="仿宋"/>
                <w:color w:val="auto"/>
                <w:szCs w:val="22"/>
                <w:highlight w:val="none"/>
              </w:rPr>
            </w:pPr>
            <w:r>
              <w:rPr>
                <w:rFonts w:hint="eastAsia" w:ascii="仿宋" w:hAnsi="仿宋" w:eastAsia="仿宋" w:cs="仿宋"/>
                <w:color w:val="auto"/>
                <w:sz w:val="28"/>
                <w:szCs w:val="22"/>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default" w:ascii="仿宋" w:hAnsi="仿宋" w:eastAsia="仿宋" w:cs="仿宋"/>
                <w:color w:val="auto"/>
                <w:sz w:val="28"/>
                <w:szCs w:val="22"/>
                <w:highlight w:val="none"/>
              </w:rPr>
            </w:pPr>
            <w:r>
              <w:rPr>
                <w:rFonts w:hint="eastAsia" w:ascii="仿宋" w:hAnsi="仿宋" w:eastAsia="仿宋" w:cs="仿宋"/>
                <w:color w:val="auto"/>
                <w:sz w:val="28"/>
                <w:szCs w:val="22"/>
                <w:highlight w:val="none"/>
              </w:rPr>
              <w:t xml:space="preserve">偏离情况（</w:t>
            </w:r>
            <w:r>
              <w:rPr>
                <w:rFonts w:hint="default" w:ascii="仿宋" w:hAnsi="仿宋" w:eastAsia="仿宋" w:cs="仿宋"/>
                <w:b/>
                <w:color w:val="auto"/>
                <w:sz w:val="24"/>
                <w:szCs w:val="22"/>
                <w:highlight w:val="none"/>
              </w:rPr>
              <w:t xml:space="preserve">正偏离、负偏离、无偏离</w:t>
            </w:r>
            <w:r>
              <w:rPr>
                <w:rFonts w:hint="eastAsia" w:ascii="仿宋" w:hAnsi="仿宋" w:eastAsia="仿宋" w:cs="仿宋"/>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default" w:ascii="仿宋" w:hAnsi="仿宋" w:eastAsia="仿宋" w:cs="仿宋"/>
                <w:color w:val="auto"/>
                <w:sz w:val="28"/>
                <w:szCs w:val="28"/>
                <w:highlight w:val="none"/>
              </w:rPr>
            </w:pPr>
            <w:r>
              <w:rPr>
                <w:rFonts w:hint="eastAsia" w:ascii="仿宋" w:hAnsi="仿宋" w:eastAsia="仿宋" w:cs="仿宋"/>
                <w:color w:val="auto"/>
                <w:sz w:val="28"/>
                <w:szCs w:val="22"/>
                <w:highlight w:val="none"/>
              </w:rPr>
              <w:t xml:space="preserve">偏离内容及说明</w:t>
            </w:r>
            <w:r/>
          </w:p>
          <w:p>
            <w:pPr>
              <w:jc w:val="center"/>
              <w:spacing w:before="100" w:line="559" w:lineRule="atLeas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default"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bl>
    <w:p>
      <w:pPr>
        <w:jc w:val="right"/>
        <w:spacing w:line="559" w:lineRule="atLeast"/>
        <w:rPr>
          <w:rFonts w:hint="default" w:ascii="宋体" w:hAnsi="宋体" w:eastAsia="宋体" w:cs="仿宋"/>
          <w:color w:val="auto"/>
          <w:szCs w:val="22"/>
          <w:highlight w:val="none"/>
        </w:rPr>
      </w:pPr>
      <w:r>
        <w:rPr>
          <w:rFonts w:hint="eastAsia" w:ascii="宋体" w:hAnsi="宋体" w:eastAsia="宋体" w:cs="仿宋"/>
          <w:color w:val="auto"/>
          <w:sz w:val="24"/>
          <w:szCs w:val="22"/>
          <w:highlight w:val="none"/>
        </w:rPr>
        <w:t xml:space="preserve">单位名称：</w:t>
      </w:r>
      <w:r>
        <w:rPr>
          <w:rFonts w:hint="eastAsia" w:ascii="宋体" w:hAnsi="宋体" w:eastAsia="宋体" w:cs="仿宋"/>
          <w:color w:val="auto"/>
          <w:sz w:val="24"/>
          <w:szCs w:val="22"/>
          <w:highlight w:val="none"/>
          <w:u w:val="single"/>
        </w:rPr>
        <w:t xml:space="preserve">             </w:t>
      </w:r>
      <w:r>
        <w:rPr>
          <w:rFonts w:hint="eastAsia" w:ascii="宋体" w:hAnsi="宋体" w:eastAsia="宋体" w:cs="仿宋"/>
          <w:color w:val="auto"/>
          <w:sz w:val="24"/>
          <w:szCs w:val="22"/>
          <w:highlight w:val="none"/>
        </w:rPr>
        <w:t xml:space="preserve">（</w:t>
      </w:r>
      <w:r>
        <w:rPr>
          <w:rFonts w:hint="default" w:ascii="宋体" w:hAnsi="宋体" w:eastAsia="宋体" w:cs="仿宋"/>
          <w:color w:val="auto"/>
          <w:sz w:val="24"/>
          <w:szCs w:val="22"/>
          <w:highlight w:val="none"/>
        </w:rPr>
        <w:t xml:space="preserve">盖</w:t>
      </w:r>
      <w:r>
        <w:rPr>
          <w:rFonts w:hint="eastAsia" w:ascii="宋体" w:hAnsi="宋体" w:eastAsia="宋体" w:cs="仿宋"/>
          <w:color w:val="auto"/>
          <w:sz w:val="24"/>
          <w:szCs w:val="22"/>
          <w:highlight w:val="none"/>
        </w:rPr>
        <w:t xml:space="preserve">CA</w:t>
      </w:r>
      <w:r>
        <w:rPr>
          <w:rFonts w:hint="default" w:ascii="宋体" w:hAnsi="宋体" w:eastAsia="宋体" w:cs="仿宋"/>
          <w:color w:val="auto"/>
          <w:sz w:val="24"/>
          <w:szCs w:val="22"/>
          <w:highlight w:val="none"/>
        </w:rPr>
        <w:t xml:space="preserve">电子公章）</w:t>
      </w:r>
      <w:r/>
    </w:p>
    <w:p>
      <w:pPr>
        <w:rPr>
          <w:rFonts w:hint="default" w:ascii="宋体" w:hAnsi="宋体" w:eastAsia="宋体" w:cs="仿宋"/>
          <w:color w:val="auto"/>
          <w:szCs w:val="22"/>
          <w:highlight w:val="none"/>
        </w:rPr>
      </w:pPr>
      <w:r>
        <w:rPr>
          <w:rFonts w:hint="default" w:ascii="宋体" w:hAnsi="宋体" w:eastAsia="宋体" w:cs="仿宋"/>
          <w:color w:val="auto"/>
          <w:szCs w:val="22"/>
          <w:highlight w:val="none"/>
        </w:rPr>
      </w:r>
      <w:r/>
    </w:p>
    <w:p>
      <w:pPr>
        <w:jc w:val="both"/>
        <w:widowControl w:val="off"/>
        <w:rPr>
          <w:rFonts w:hint="eastAsia" w:ascii="宋体" w:hAnsi="宋体" w:eastAsia="宋体" w:cs="宋体"/>
          <w:b/>
          <w:bCs/>
          <w:color w:val="auto"/>
          <w:szCs w:val="22"/>
          <w:highlight w:val="none"/>
          <w:lang w:eastAsia="zh-CN"/>
        </w:rPr>
      </w:pPr>
      <w:r>
        <w:rPr>
          <w:rFonts w:hint="eastAsia" w:ascii="宋体" w:hAnsi="Courier New" w:eastAsia="宋体" w:cs="仿宋"/>
          <w:b/>
          <w:bCs/>
          <w:color w:val="auto"/>
          <w:sz w:val="24"/>
          <w:szCs w:val="36"/>
          <w:highlight w:val="none"/>
        </w:rPr>
        <w:t xml:space="preserve">备注：</w:t>
      </w:r>
      <w:bookmarkEnd w:id="114"/>
      <w:r>
        <w:rPr>
          <w:rFonts w:hint="eastAsia" w:ascii="宋体" w:hAnsi="Courier New" w:eastAsia="宋体" w:cs="仿宋"/>
          <w:b/>
          <w:bCs/>
          <w:color w:val="auto"/>
          <w:sz w:val="24"/>
          <w:szCs w:val="36"/>
          <w:highlight w:val="none"/>
        </w:rPr>
        <w:t xml:space="preserve">1.对采购需求的其他非实质性要求，投标人按所投服务情况在此表中详细列出偏离情况(包括正偏离、负偏离、无偏离)并说明理由，未列明的均视为未响应采购文件要求。2.供应商所投服务如与磋商文件要求的规格及配置不一致，则须在上表偏离说明中详细注明。</w:t>
      </w:r>
      <w:r>
        <w:rPr>
          <w:rFonts w:hint="eastAsia" w:ascii="宋体" w:hAnsi="宋体" w:eastAsia="宋体" w:cs="宋体"/>
          <w:b/>
          <w:bCs/>
          <w:color w:val="auto"/>
          <w:szCs w:val="22"/>
          <w:highlight w:val="none"/>
          <w:lang w:eastAsia="zh-CN"/>
        </w:rPr>
        <w:br w:type="page" w:clear="all"/>
      </w:r>
      <w:r/>
    </w:p>
    <w:p>
      <w:pPr>
        <w:rPr>
          <w:rFonts w:hint="default" w:ascii="仿宋" w:hAnsi="仿宋" w:eastAsia="仿宋" w:cs="仿宋"/>
          <w:b/>
          <w:color w:val="auto"/>
          <w:sz w:val="32"/>
          <w:szCs w:val="24"/>
          <w:highlight w:val="none"/>
          <w:lang w:val="en-US" w:eastAsia="zh-CN" w:bidi="ar-SA"/>
        </w:rPr>
        <w:outlineLvl w:val="1"/>
      </w:pPr>
      <w:r>
        <w:rPr>
          <w:rFonts w:hint="eastAsia" w:ascii="宋体" w:hAnsi="宋体" w:eastAsia="宋体" w:cs="宋体"/>
          <w:b/>
          <w:bCs/>
          <w:color w:val="auto"/>
          <w:sz w:val="32"/>
          <w:szCs w:val="24"/>
          <w:highlight w:val="none"/>
          <w:lang w:val="en-US" w:eastAsia="zh-CN" w:bidi="ar-SA"/>
        </w:rPr>
        <w:t xml:space="preserve">七、</w:t>
      </w:r>
      <w:bookmarkStart w:id="120" w:name="_格式2__法定代表人授权书"/>
      <w:r/>
      <w:bookmarkEnd w:id="120"/>
      <w:r>
        <w:rPr>
          <w:rFonts w:hint="eastAsia" w:ascii="仿宋" w:hAnsi="仿宋" w:eastAsia="仿宋" w:cs="仿宋"/>
          <w:b/>
          <w:color w:val="auto"/>
          <w:sz w:val="32"/>
          <w:szCs w:val="24"/>
          <w:highlight w:val="none"/>
          <w:lang w:val="en-US" w:eastAsia="zh-CN" w:bidi="ar-SA"/>
        </w:rPr>
        <w:t xml:space="preserve">项目组人员</w:t>
      </w:r>
      <w:r/>
    </w:p>
    <w:tbl>
      <w:tblPr>
        <w:tblStyle w:val="680"/>
        <w:tblpPr w:horzAnchor="margin" w:tblpXSpec="center" w:vertAnchor="text" w:tblpY="74" w:leftFromText="180" w:topFromText="0" w:rightFromText="180" w:bottomFromText="0"/>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default" w:ascii="宋体" w:hAnsi="宋体" w:eastAsia="宋体" w:cs="仿宋"/>
                <w:color w:val="auto"/>
                <w:sz w:val="28"/>
                <w:szCs w:val="28"/>
                <w:highlight w:val="none"/>
              </w:rPr>
            </w:pPr>
            <w:r>
              <w:rPr>
                <w:rFonts w:hint="eastAsia" w:ascii="宋体" w:hAnsi="宋体" w:eastAsia="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default" w:ascii="宋体" w:hAnsi="宋体" w:eastAsia="宋体" w:cs="仿宋"/>
                <w:color w:val="auto"/>
                <w:sz w:val="28"/>
                <w:szCs w:val="28"/>
                <w:highlight w:val="none"/>
              </w:rPr>
            </w:pPr>
            <w:r>
              <w:rPr>
                <w:rFonts w:hint="eastAsia" w:ascii="宋体" w:hAnsi="宋体" w:eastAsia="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default" w:ascii="宋体" w:hAnsi="宋体" w:eastAsia="宋体" w:cs="仿宋"/>
                <w:color w:val="auto"/>
                <w:sz w:val="28"/>
                <w:szCs w:val="28"/>
                <w:highlight w:val="none"/>
              </w:rPr>
            </w:pPr>
            <w:r>
              <w:rPr>
                <w:rFonts w:hint="eastAsia" w:ascii="宋体" w:hAnsi="宋体" w:eastAsia="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default" w:ascii="宋体" w:hAnsi="宋体" w:eastAsia="宋体" w:cs="仿宋"/>
                <w:color w:val="auto"/>
                <w:sz w:val="28"/>
                <w:szCs w:val="28"/>
                <w:highlight w:val="none"/>
              </w:rPr>
            </w:pPr>
            <w:r>
              <w:rPr>
                <w:rFonts w:hint="eastAsia" w:ascii="宋体" w:hAnsi="宋体" w:eastAsia="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default" w:ascii="宋体" w:hAnsi="宋体" w:eastAsia="宋体" w:cs="仿宋"/>
                <w:color w:val="auto"/>
                <w:sz w:val="28"/>
                <w:szCs w:val="28"/>
                <w:highlight w:val="none"/>
              </w:rPr>
            </w:pPr>
            <w:r>
              <w:rPr>
                <w:rFonts w:hint="eastAsia" w:ascii="宋体" w:hAnsi="宋体" w:eastAsia="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default" w:ascii="宋体" w:hAnsi="宋体" w:eastAsia="宋体" w:cs="仿宋"/>
                <w:color w:val="auto"/>
                <w:sz w:val="28"/>
                <w:szCs w:val="28"/>
                <w:highlight w:val="none"/>
              </w:rPr>
            </w:pPr>
            <w:r>
              <w:rPr>
                <w:rFonts w:hint="eastAsia" w:ascii="宋体" w:hAnsi="宋体" w:eastAsia="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技术负责人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项目组人员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项目组人员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仿宋" w:hAnsi="仿宋" w:eastAsia="仿宋" w:cs="仿宋"/>
                <w:color w:val="auto"/>
                <w:sz w:val="20"/>
                <w:szCs w:val="20"/>
                <w:highlight w:val="none"/>
              </w:rPr>
            </w:pPr>
            <w:r>
              <w:rPr>
                <w:rFonts w:hint="default"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仿宋" w:hAnsi="仿宋" w:eastAsia="仿宋" w:cs="仿宋"/>
                <w:color w:val="auto"/>
                <w:sz w:val="20"/>
                <w:szCs w:val="20"/>
                <w:highlight w:val="none"/>
              </w:rPr>
            </w:pPr>
            <w:r>
              <w:rPr>
                <w:rFonts w:hint="default"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仿宋" w:hAnsi="仿宋" w:eastAsia="仿宋" w:cs="仿宋"/>
                <w:color w:val="auto"/>
                <w:sz w:val="20"/>
                <w:szCs w:val="20"/>
                <w:highlight w:val="none"/>
              </w:rPr>
            </w:pPr>
            <w:r>
              <w:rPr>
                <w:rFonts w:hint="default"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bl>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注：1、涉及评分标准的项目组人员在本表中填报，相关证明材料附后。中标后，本表（身份证号信息除外）将随中标结果进行公开。</w:t>
      </w:r>
      <w:r/>
    </w:p>
    <w:p>
      <w:pPr>
        <w:ind w:firstLine="480"/>
        <w:spacing w:line="480" w:lineRule="exact"/>
        <w:rPr>
          <w:rFonts w:hint="eastAsia" w:ascii="仿宋" w:hAnsi="仿宋" w:eastAsia="仿宋" w:cs="仿宋"/>
          <w:color w:val="auto"/>
          <w:szCs w:val="21"/>
          <w:highlight w:val="none"/>
        </w:rPr>
      </w:pPr>
      <w:r>
        <w:rPr>
          <w:rFonts w:hint="eastAsia" w:ascii="Times New Roman" w:hAnsi="Times New Roman" w:cs="宋体"/>
          <w:sz w:val="24"/>
          <w:szCs w:val="20"/>
        </w:rPr>
        <w:t xml:space="preserve">2、如供应商成交，项目组人员必须按本表承诺人员操作，不得随意更换。按采购文件要求附相关人员证书</w:t>
      </w:r>
      <w:r>
        <w:rPr>
          <w:rFonts w:hint="eastAsia" w:ascii="Times New Roman" w:hAnsi="Times New Roman" w:cs="宋体"/>
          <w:sz w:val="24"/>
          <w:szCs w:val="20"/>
          <w:lang w:eastAsia="zh-CN"/>
        </w:rPr>
        <w:t xml:space="preserve">。</w:t>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eastAsia="宋体" w:cs="宋体"/>
          <w:b/>
          <w:bCs/>
          <w:color w:val="auto"/>
          <w:sz w:val="32"/>
          <w:szCs w:val="32"/>
          <w:highlight w:val="none"/>
        </w:rPr>
      </w:pPr>
      <w:r/>
      <w:bookmarkStart w:id="121" w:name="_Toc11176"/>
      <w:r>
        <w:rPr>
          <w:rFonts w:hint="eastAsia" w:ascii="宋体" w:hAnsi="宋体" w:eastAsia="宋体" w:cs="宋体"/>
          <w:b/>
          <w:bCs/>
          <w:color w:val="auto"/>
          <w:sz w:val="32"/>
          <w:szCs w:val="32"/>
          <w:highlight w:val="none"/>
        </w:rPr>
        <w:br w:type="page" w:clear="all"/>
      </w:r>
      <w:r/>
    </w:p>
    <w:p>
      <w:pPr>
        <w:jc w:val="both"/>
        <w:keepLines/>
        <w:keepNext/>
        <w:spacing w:before="0" w:after="0" w:line="520" w:lineRule="exact"/>
        <w:widowControl w:val="off"/>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t xml:space="preserve">八、</w:t>
      </w:r>
      <w:bookmarkEnd w:id="121"/>
      <w:r>
        <w:rPr>
          <w:rFonts w:hint="eastAsia" w:ascii="宋体" w:hAnsi="宋体" w:eastAsia="宋体" w:cs="宋体"/>
          <w:b/>
          <w:bCs/>
          <w:color w:val="auto"/>
          <w:sz w:val="32"/>
          <w:szCs w:val="32"/>
          <w:highlight w:val="none"/>
          <w:lang w:val="en-US" w:eastAsia="zh-CN" w:bidi="ar-SA"/>
        </w:rPr>
        <w:t xml:space="preserve">企业业绩</w:t>
      </w:r>
      <w:r/>
    </w:p>
    <w:p>
      <w:pPr>
        <w:jc w:val="center"/>
        <w:widowControl w:val="off"/>
        <w:rPr>
          <w:rFonts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供应商自2023年1月1日以来承担</w:t>
      </w:r>
      <w:r/>
    </w:p>
    <w:p>
      <w:pPr>
        <w:jc w:val="center"/>
        <w:widowControl w:val="off"/>
        <w:rPr>
          <w:rFonts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类似项目业绩一览表</w:t>
      </w:r>
      <w:r/>
    </w:p>
    <w:tbl>
      <w:tblPr>
        <w:tblStyle w:val="680"/>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jc w:val="center"/>
          <w:trHeight w:val="1510"/>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25"/>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bl>
    <w:p>
      <w:pPr>
        <w:ind w:firstLine="480"/>
        <w:jc w:val="both"/>
        <w:widowControl w:val="off"/>
        <w:rPr>
          <w:rFonts w:hint="eastAsia" w:ascii="Times New Roman" w:hAnsi="Times New Roman" w:eastAsia="宋体" w:cs="仿宋"/>
          <w:color w:val="auto"/>
          <w:sz w:val="24"/>
          <w:szCs w:val="24"/>
          <w:highlight w:val="none"/>
          <w:lang w:val="en-US" w:eastAsia="zh-CN" w:bidi="ar-SA"/>
        </w:rPr>
      </w:pPr>
      <w:r>
        <w:rPr>
          <w:rFonts w:hint="eastAsia" w:ascii="Times New Roman" w:hAnsi="Times New Roman" w:eastAsia="宋体" w:cs="仿宋"/>
          <w:color w:val="auto"/>
          <w:sz w:val="24"/>
          <w:szCs w:val="24"/>
          <w:highlight w:val="none"/>
          <w:lang w:val="en-US" w:eastAsia="zh-CN" w:bidi="ar-SA"/>
        </w:rPr>
        <w:t xml:space="preserve">注：涉及评分标准的“企业业绩”在本表中填报，相关证明材料附后。中标后，本表将随中标结果进行公开。</w:t>
      </w:r>
      <w:r/>
    </w:p>
    <w:p>
      <w:pPr>
        <w:ind w:firstLine="480"/>
        <w:jc w:val="both"/>
        <w:widowControl w:val="off"/>
        <w:rPr>
          <w:rFonts w:ascii="Times New Roman" w:hAnsi="Times New Roman" w:eastAsia="宋体" w:cs="仿宋"/>
          <w:color w:val="auto"/>
          <w:sz w:val="24"/>
          <w:szCs w:val="24"/>
          <w:highlight w:val="none"/>
          <w:lang w:val="en-US" w:eastAsia="zh-CN" w:bidi="ar-SA"/>
        </w:rPr>
      </w:pPr>
      <w:r>
        <w:rPr>
          <w:rFonts w:ascii="Times New Roman" w:hAnsi="Times New Roman" w:eastAsia="宋体" w:cs="仿宋"/>
          <w:color w:val="auto"/>
          <w:sz w:val="24"/>
          <w:szCs w:val="24"/>
          <w:highlight w:val="none"/>
          <w:lang w:val="en-US" w:eastAsia="zh-CN" w:bidi="ar-SA"/>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both"/>
        <w:keepLines/>
        <w:keepNext/>
        <w:spacing w:before="0" w:after="0" w:line="520" w:lineRule="exact"/>
        <w:widowControl w:val="off"/>
        <w:rPr>
          <w:rFonts w:hint="default" w:ascii="宋体" w:hAnsi="宋体" w:eastAsia="宋体" w:cs="宋体"/>
          <w:b/>
          <w:bCs/>
          <w:color w:val="auto"/>
          <w:sz w:val="32"/>
          <w:szCs w:val="32"/>
          <w:highlight w:val="none"/>
          <w:lang w:val="en-US" w:eastAsia="zh-CN" w:bidi="ar-SA"/>
        </w:rPr>
        <w:outlineLvl w:val="1"/>
      </w:pPr>
      <w:r/>
      <w:bookmarkStart w:id="122" w:name="_Toc28140"/>
      <w:r>
        <w:rPr>
          <w:rFonts w:hint="eastAsia" w:ascii="宋体" w:hAnsi="宋体" w:eastAsia="宋体" w:cs="宋体"/>
          <w:b/>
          <w:bCs/>
          <w:color w:val="auto"/>
          <w:sz w:val="32"/>
          <w:szCs w:val="32"/>
          <w:highlight w:val="none"/>
          <w:lang w:val="en-US" w:eastAsia="zh-CN" w:bidi="ar-SA"/>
        </w:rPr>
        <w:t xml:space="preserve">九、企业证书</w:t>
      </w:r>
      <w:r/>
    </w:p>
    <w:p>
      <w:pPr>
        <w:ind w:firstLine="420"/>
        <w:jc w:val="both"/>
        <w:widowControl w:val="off"/>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r>
      <w:r/>
    </w:p>
    <w:tbl>
      <w:tblPr>
        <w:tblStyle w:val="680"/>
        <w:tblW w:w="90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400" w:lineRule="exact"/>
              <w:widowControl/>
              <w:rPr>
                <w:rFonts w:hint="default" w:ascii="宋体" w:hAnsi="宋体" w:eastAsia="宋体" w:cs="宋体"/>
                <w:sz w:val="28"/>
                <w:szCs w:val="28"/>
              </w:rPr>
            </w:pPr>
            <w:r>
              <w:rPr>
                <w:rFonts w:hint="default" w:ascii="宋体" w:hAnsi="宋体" w:eastAsia="宋体"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400" w:lineRule="exact"/>
              <w:widowControl/>
              <w:rPr>
                <w:rFonts w:hint="default" w:ascii="宋体" w:hAnsi="宋体" w:eastAsia="宋体" w:cs="宋体"/>
                <w:sz w:val="28"/>
                <w:szCs w:val="28"/>
              </w:rPr>
            </w:pPr>
            <w:r>
              <w:rPr>
                <w:rFonts w:hint="eastAsia" w:ascii="宋体" w:hAnsi="宋体" w:eastAsia="宋体" w:cs="宋体"/>
                <w:sz w:val="28"/>
                <w:szCs w:val="28"/>
              </w:rPr>
              <w:t xml:space="preserve">证书名称</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400" w:lineRule="exact"/>
              <w:widowControl/>
              <w:rPr>
                <w:rFonts w:hint="default" w:ascii="宋体" w:hAnsi="宋体" w:eastAsia="宋体" w:cs="宋体"/>
                <w:sz w:val="28"/>
                <w:szCs w:val="28"/>
              </w:rPr>
            </w:pPr>
            <w:r>
              <w:rPr>
                <w:rFonts w:hint="eastAsia" w:ascii="宋体" w:hAnsi="宋体" w:eastAsia="宋体" w:cs="宋体"/>
                <w:sz w:val="28"/>
                <w:szCs w:val="28"/>
              </w:rPr>
              <w:t xml:space="preserve">颁发机构</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hint="default" w:ascii="宋体" w:hAnsi="宋体" w:eastAsia="宋体" w:cs="宋体"/>
                <w:sz w:val="28"/>
                <w:szCs w:val="28"/>
              </w:rPr>
            </w:pPr>
            <w:r>
              <w:rPr>
                <w:rFonts w:hint="eastAsia" w:ascii="宋体" w:hAnsi="宋体" w:eastAsia="宋体" w:cs="宋体"/>
                <w:sz w:val="28"/>
                <w:szCs w:val="28"/>
              </w:rPr>
              <w:t xml:space="preserve">颁发时间</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400" w:lineRule="exact"/>
              <w:widowControl/>
              <w:rPr>
                <w:rFonts w:hint="default" w:ascii="宋体" w:hAnsi="宋体" w:eastAsia="宋体" w:cs="宋体"/>
                <w:sz w:val="28"/>
                <w:szCs w:val="28"/>
              </w:rPr>
            </w:pPr>
            <w:r>
              <w:rPr>
                <w:rFonts w:hint="eastAsia" w:ascii="宋体" w:hAnsi="宋体" w:eastAsia="宋体" w:cs="宋体"/>
                <w:sz w:val="28"/>
                <w:szCs w:val="28"/>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hint="default" w:ascii="仿宋_GB2312" w:hAnsi="Times New Roman" w:eastAsia="仿宋_GB2312" w:cs="Times New Roman"/>
                <w:sz w:val="28"/>
                <w:szCs w:val="24"/>
              </w:rPr>
            </w:pPr>
            <w:r>
              <w:rPr>
                <w:rFonts w:hint="default" w:ascii="仿宋_GB2312" w:hAnsi="Times New Roman" w:eastAsia="仿宋_GB2312" w:cs="Times New Roman"/>
                <w:sz w:val="28"/>
                <w:szCs w:val="24"/>
              </w:rPr>
            </w:r>
            <w:r/>
          </w:p>
        </w:tc>
      </w:tr>
    </w:tbl>
    <w:p>
      <w:pPr>
        <w:ind w:firstLine="420"/>
        <w:jc w:val="both"/>
        <w:widowControl w:val="off"/>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r>
      <w:r/>
    </w:p>
    <w:p>
      <w:pPr>
        <w:ind w:firstLine="445"/>
        <w:jc w:val="both"/>
        <w:spacing w:before="151" w:after="151" w:line="240" w:lineRule="atLeast"/>
        <w:widowControl w:val="off"/>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注：涉及评分标准的“企业证书”在本表中填报，相关证明材料附后。成交后，本表将随成交结果进行公开。</w:t>
      </w:r>
      <w:r/>
    </w:p>
    <w:p>
      <w:pPr>
        <w:jc w:val="both"/>
        <w:keepLines/>
        <w:keepNext/>
        <w:spacing w:before="0" w:after="0" w:line="520" w:lineRule="exact"/>
        <w:widowControl w:val="off"/>
        <w:rPr>
          <w:rFonts w:hint="eastAsia" w:ascii="宋体" w:hAnsi="宋体" w:eastAsia="宋体" w:cs="宋体"/>
          <w:b/>
          <w:bCs/>
          <w:color w:val="auto"/>
          <w:sz w:val="32"/>
          <w:szCs w:val="32"/>
          <w:highlight w:val="none"/>
          <w:lang w:val="en-US" w:eastAsia="zh-CN" w:bidi="ar-SA"/>
        </w:rPr>
        <w:sectPr>
          <w:footerReference w:type="default" r:id="rId8"/>
          <w:footnotePr/>
          <w:endnotePr/>
          <w:type w:val="nextPage"/>
          <w:pgSz w:w="11906" w:h="16838" w:orient="portrait"/>
          <w:pgMar w:top="1440" w:right="1417" w:bottom="1440" w:left="1417" w:header="851" w:footer="992" w:gutter="0"/>
          <w:cols w:num="1" w:sep="0" w:space="720" w:equalWidth="1"/>
          <w:docGrid w:linePitch="360"/>
        </w:sectPr>
        <w:outlineLvl w:val="1"/>
      </w:pPr>
      <w:r>
        <w:rPr>
          <w:rFonts w:hint="eastAsia" w:ascii="宋体" w:hAnsi="宋体" w:eastAsia="宋体" w:cs="宋体"/>
          <w:b/>
          <w:bCs/>
          <w:color w:val="auto"/>
          <w:sz w:val="32"/>
          <w:szCs w:val="32"/>
          <w:highlight w:val="none"/>
          <w:lang w:val="en-US" w:eastAsia="zh-CN" w:bidi="ar-SA"/>
        </w:rPr>
      </w:r>
      <w:bookmarkEnd w:id="122"/>
      <w:r/>
    </w:p>
    <w:p>
      <w:pPr>
        <w:jc w:val="both"/>
        <w:keepLines/>
        <w:keepNext/>
        <w:spacing w:before="0" w:after="0" w:line="520" w:lineRule="exact"/>
        <w:widowControl w:val="off"/>
        <w:rPr>
          <w:rFonts w:hint="default"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t xml:space="preserve">十、承诺函</w:t>
      </w:r>
      <w:r/>
    </w:p>
    <w:p>
      <w:pPr>
        <w:jc w:val="center"/>
        <w:keepLines w:val="0"/>
        <w:keepNext w:val="0"/>
        <w:pageBreakBefore w:val="0"/>
        <w:spacing w:after="361"/>
        <w:widowControl w:val="off"/>
        <w:rPr>
          <w:rFonts w:ascii="方正小标宋_GBK" w:hAnsi="Calibri" w:eastAsia="方正小标宋_GBK" w:cs="Times New Roman"/>
          <w:color w:val="auto"/>
          <w:sz w:val="36"/>
          <w:szCs w:val="22"/>
          <w:highlight w:val="none"/>
          <w:lang w:val="en-US" w:eastAsia="zh-CN" w:bidi="ar-SA"/>
        </w:rPr>
      </w:pPr>
      <w:r>
        <w:rPr>
          <w:rFonts w:hint="eastAsia" w:ascii="方正小标宋_GBK" w:hAnsi="Calibri" w:eastAsia="方正小标宋_GBK" w:cs="Times New Roman"/>
          <w:color w:val="auto"/>
          <w:sz w:val="36"/>
          <w:szCs w:val="22"/>
          <w:highlight w:val="none"/>
          <w:lang w:val="en-US" w:eastAsia="zh-CN" w:bidi="ar-SA"/>
        </w:rPr>
        <w:t xml:space="preserve">承诺函</w:t>
      </w:r>
      <w:r/>
    </w:p>
    <w:p>
      <w:pPr>
        <w:jc w:val="both"/>
        <w:keepLines w:val="0"/>
        <w:keepNext w:val="0"/>
        <w:pageBreakBefore w:val="0"/>
        <w:spacing w:line="600" w:lineRule="exact"/>
        <w:widowControl w:val="off"/>
        <w:rPr>
          <w:rFonts w:hint="eastAsia" w:ascii="宋体" w:hAnsi="宋体" w:eastAsia="宋体" w:cs="宋体"/>
          <w:b w:val="0"/>
          <w:bCs w:val="0"/>
          <w:color w:val="auto"/>
          <w:sz w:val="28"/>
          <w:szCs w:val="32"/>
          <w:highlight w:val="none"/>
          <w:u w:val="single"/>
          <w:lang w:val="en-US" w:eastAsia="zh-CN" w:bidi="ar-SA"/>
        </w:rPr>
      </w:pPr>
      <w:r>
        <w:rPr>
          <w:rFonts w:hint="eastAsia" w:ascii="宋体" w:hAnsi="宋体" w:eastAsia="宋体" w:cs="宋体"/>
          <w:b w:val="0"/>
          <w:bCs w:val="0"/>
          <w:color w:val="auto"/>
          <w:sz w:val="32"/>
          <w:szCs w:val="24"/>
          <w:highlight w:val="none"/>
          <w:u w:val="single"/>
          <w:lang w:eastAsia="zh-CN"/>
        </w:rPr>
        <w:t xml:space="preserve">宿迁市宿豫区住房和城乡建设局</w:t>
      </w:r>
      <w:r>
        <w:rPr>
          <w:rFonts w:hint="eastAsia" w:ascii="宋体" w:hAnsi="宋体" w:eastAsia="宋体" w:cs="宋体"/>
          <w:b w:val="0"/>
          <w:bCs w:val="0"/>
          <w:color w:val="auto"/>
          <w:sz w:val="28"/>
          <w:szCs w:val="32"/>
          <w:highlight w:val="none"/>
          <w:u w:val="single"/>
          <w:lang w:val="en-US" w:eastAsia="zh-CN" w:bidi="ar-SA"/>
        </w:rPr>
        <w:t xml:space="preserve">：</w:t>
      </w:r>
      <w:r/>
    </w:p>
    <w:p>
      <w:pPr>
        <w:ind w:firstLine="482"/>
        <w:jc w:val="left"/>
        <w:keepLines w:val="0"/>
        <w:keepNext w:val="0"/>
        <w:pageBreakBefore w:val="0"/>
        <w:spacing w:line="600" w:lineRule="exact"/>
        <w:widowControl w:val="off"/>
        <w:rPr>
          <w:rFonts w:hint="eastAsia" w:ascii="宋体" w:hAnsi="宋体" w:eastAsia="宋体" w:cs="宋体"/>
          <w:color w:val="auto"/>
          <w:sz w:val="20"/>
          <w:szCs w:val="22"/>
          <w:highlight w:val="none"/>
        </w:rPr>
      </w:pPr>
      <w:r>
        <w:rPr>
          <w:rFonts w:hint="eastAsia" w:ascii="宋体" w:hAnsi="宋体" w:eastAsia="宋体" w:cs="宋体"/>
          <w:color w:val="auto"/>
          <w:sz w:val="28"/>
          <w:szCs w:val="28"/>
          <w:highlight w:val="none"/>
        </w:rPr>
        <w:t xml:space="preserve">根据</w:t>
      </w:r>
      <w:r>
        <w:rPr>
          <w:rFonts w:hint="eastAsia" w:ascii="宋体" w:hAnsi="宋体" w:eastAsia="宋体" w:cs="宋体"/>
          <w:color w:val="auto"/>
          <w:sz w:val="28"/>
          <w:szCs w:val="32"/>
          <w:highlight w:val="none"/>
          <w:u w:val="single"/>
          <w:lang w:val="en-US" w:eastAsia="zh-CN"/>
        </w:rPr>
        <w:t xml:space="preserve">JSZC-321311-JZCG-C2026-0001</w:t>
      </w:r>
      <w:r>
        <w:rPr>
          <w:rFonts w:hint="eastAsia" w:ascii="宋体" w:hAnsi="宋体" w:eastAsia="宋体" w:cs="宋体"/>
          <w:color w:val="auto"/>
          <w:sz w:val="28"/>
          <w:szCs w:val="22"/>
          <w:highlight w:val="none"/>
        </w:rPr>
        <w:t xml:space="preserve">号</w:t>
      </w:r>
      <w:r>
        <w:rPr>
          <w:rFonts w:hint="eastAsia" w:ascii="宋体" w:hAnsi="宋体" w:eastAsia="宋体" w:cs="宋体"/>
          <w:color w:val="auto"/>
          <w:sz w:val="28"/>
          <w:szCs w:val="32"/>
          <w:highlight w:val="none"/>
          <w:u w:val="single"/>
          <w:lang w:eastAsia="zh-CN"/>
        </w:rPr>
        <w:t xml:space="preserve">宿豫区智慧水务平台运维（2026-2027年）-平台升级迁改项目</w:t>
      </w:r>
      <w:r>
        <w:rPr>
          <w:rFonts w:hint="eastAsia" w:ascii="宋体" w:hAnsi="宋体" w:eastAsia="宋体" w:cs="宋体"/>
          <w:color w:val="auto"/>
          <w:sz w:val="28"/>
          <w:szCs w:val="22"/>
          <w:highlight w:val="none"/>
        </w:rPr>
        <w:t xml:space="preserve">磋商文件相关要求，承诺如下：完全响应本项目采购需求“</w:t>
      </w:r>
      <w:r>
        <w:rPr>
          <w:rFonts w:hint="eastAsia" w:ascii="黑体" w:hAnsi="黑体" w:eastAsia="黑体" w:cs="宋体"/>
          <w:color w:val="auto"/>
          <w:sz w:val="28"/>
          <w:szCs w:val="28"/>
          <w:highlight w:val="none"/>
          <w:lang w:val="en-US" w:eastAsia="zh-CN"/>
        </w:rPr>
        <w:t xml:space="preserve">八</w:t>
      </w:r>
      <w:r>
        <w:rPr>
          <w:rFonts w:hint="eastAsia" w:ascii="黑体" w:hAnsi="黑体" w:eastAsia="黑体" w:cs="宋体"/>
          <w:color w:val="auto"/>
          <w:sz w:val="28"/>
          <w:szCs w:val="28"/>
          <w:highlight w:val="none"/>
        </w:rPr>
        <w:t xml:space="preserve">、对接要求</w:t>
      </w:r>
      <w:r>
        <w:rPr>
          <w:rFonts w:hint="eastAsia" w:ascii="宋体" w:hAnsi="宋体" w:eastAsia="宋体" w:cs="宋体"/>
          <w:color w:val="auto"/>
          <w:sz w:val="28"/>
          <w:szCs w:val="22"/>
          <w:highlight w:val="none"/>
        </w:rPr>
        <w:t xml:space="preserve">”，如我单位中标，将按照响应内容进行履约。如我单位响应文件的响应方案优于采购需求，将按响应文件履约。</w:t>
      </w:r>
      <w:r/>
    </w:p>
    <w:p>
      <w:pPr>
        <w:ind w:left="4060" w:hanging="1120"/>
        <w:jc w:val="both"/>
        <w:spacing w:after="200" w:line="500" w:lineRule="exact"/>
        <w:rPr>
          <w:rFonts w:hint="eastAsia" w:ascii="宋体" w:hAnsi="宋体" w:eastAsia="宋体" w:cs="Times New Roman"/>
          <w:color w:val="auto"/>
          <w:sz w:val="28"/>
          <w:szCs w:val="22"/>
          <w:highlight w:val="none"/>
          <w:u w:val="single"/>
          <w:lang w:val="en-US" w:eastAsia="zh-CN" w:bidi="ar-SA"/>
        </w:rPr>
      </w:pPr>
      <w:r>
        <w:rPr>
          <w:rFonts w:hint="eastAsia" w:ascii="宋体" w:hAnsi="宋体" w:eastAsia="宋体" w:cs="宋体"/>
          <w:color w:val="auto"/>
          <w:sz w:val="28"/>
          <w:szCs w:val="32"/>
          <w:highlight w:val="none"/>
          <w:lang w:val="en-US" w:eastAsia="zh-CN" w:bidi="ar-SA"/>
        </w:rPr>
        <w:t xml:space="preserve">                                    </w:t>
      </w:r>
      <w:r>
        <w:rPr>
          <w:rFonts w:ascii="仿宋" w:hAnsi="仿宋" w:eastAsia="仿宋" w:cs="Times New Roman"/>
          <w:color w:val="auto"/>
          <w:sz w:val="28"/>
          <w:szCs w:val="32"/>
          <w:highlight w:val="none"/>
          <w:lang w:val="en-US" w:eastAsia="zh-CN" w:bidi="ar-SA"/>
        </w:rPr>
        <w:t xml:space="preserve">          </w:t>
      </w:r>
      <w:r>
        <w:rPr>
          <w:rFonts w:hint="eastAsia" w:ascii="宋体" w:hAnsi="宋体" w:eastAsia="宋体" w:cs="Times New Roman"/>
          <w:color w:val="auto"/>
          <w:sz w:val="28"/>
          <w:szCs w:val="22"/>
          <w:highlight w:val="none"/>
          <w:lang w:val="en-US" w:eastAsia="zh-CN" w:bidi="ar-SA"/>
        </w:rPr>
        <w:t xml:space="preserve">单位名称（公章）：</w:t>
      </w:r>
      <w:r>
        <w:rPr>
          <w:rFonts w:hint="eastAsia" w:ascii="宋体" w:hAnsi="宋体" w:eastAsia="宋体" w:cs="Times New Roman"/>
          <w:color w:val="auto"/>
          <w:sz w:val="28"/>
          <w:szCs w:val="22"/>
          <w:highlight w:val="none"/>
          <w:u w:val="single"/>
          <w:lang w:val="en-US" w:eastAsia="zh-CN" w:bidi="ar-SA"/>
        </w:rPr>
        <w:t xml:space="preserve">               </w:t>
      </w:r>
      <w:r/>
    </w:p>
    <w:p>
      <w:pPr>
        <w:pStyle w:val="686"/>
        <w:ind w:firstLine="560"/>
        <w:spacing w:after="20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jc w:val="both"/>
        <w:keepLines/>
        <w:keepNext/>
        <w:spacing w:before="0" w:after="0" w:line="520" w:lineRule="exact"/>
        <w:widowControl w:val="off"/>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t xml:space="preserve">十一、磋商所需其他材料</w:t>
      </w:r>
      <w:r/>
    </w:p>
    <w:p>
      <w:pPr>
        <w:ind w:firstLine="560"/>
        <w:jc w:val="both"/>
        <w:spacing w:line="360" w:lineRule="auto"/>
        <w:widowControl w:val="off"/>
        <w:rPr>
          <w:rFonts w:hint="eastAsia" w:ascii="仿宋" w:hAnsi="仿宋" w:eastAsia="宋体" w:cs="仿宋"/>
          <w:color w:val="auto"/>
          <w:sz w:val="28"/>
          <w:szCs w:val="28"/>
          <w:highlight w:val="none"/>
          <w:lang w:val="en-US" w:eastAsia="zh-CN" w:bidi="ar-SA"/>
        </w:rPr>
      </w:pPr>
      <w:r>
        <w:rPr>
          <w:rFonts w:hint="eastAsia" w:ascii="仿宋" w:hAnsi="仿宋" w:eastAsia="宋体" w:cs="仿宋"/>
          <w:color w:val="auto"/>
          <w:sz w:val="28"/>
          <w:szCs w:val="28"/>
          <w:highlight w:val="none"/>
          <w:lang w:val="en-US" w:eastAsia="zh-CN" w:bidi="ar-SA"/>
        </w:rPr>
      </w:r>
      <w:r/>
    </w:p>
    <w:p>
      <w:pPr>
        <w:ind w:firstLine="560"/>
        <w:jc w:val="both"/>
        <w:spacing w:line="360" w:lineRule="auto"/>
        <w:widowControl w:val="off"/>
        <w:rPr>
          <w:rFonts w:hint="eastAsia" w:ascii="仿宋" w:hAnsi="仿宋" w:eastAsia="宋体" w:cs="仿宋"/>
          <w:color w:val="auto"/>
          <w:sz w:val="28"/>
          <w:szCs w:val="28"/>
          <w:highlight w:val="none"/>
          <w:lang w:val="en-US" w:eastAsia="zh-CN" w:bidi="ar-SA"/>
        </w:rPr>
      </w:pPr>
      <w:r>
        <w:rPr>
          <w:rFonts w:hint="eastAsia" w:ascii="仿宋" w:hAnsi="仿宋" w:eastAsia="宋体" w:cs="仿宋"/>
          <w:color w:val="auto"/>
          <w:sz w:val="28"/>
          <w:szCs w:val="28"/>
          <w:highlight w:val="none"/>
          <w:lang w:val="en-US" w:eastAsia="zh-CN" w:bidi="ar-SA"/>
        </w:rPr>
        <w:t xml:space="preserve">请在此文档中增加磋商所需其他相关内容（包括资格要求、评分办法、采购需求中涉及的证件证明及其它供应商认为有必要提供的资料），如没有请将此空文档上传。</w:t>
      </w:r>
      <w:r/>
    </w:p>
    <w:p>
      <w:pPr>
        <w:pStyle w:val="686"/>
        <w:ind w:firstLine="560"/>
        <w:spacing w:after="20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sectPr>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方正仿宋_GBK">
    <w:panose1 w:val="020B0503020202020204"/>
  </w:font>
  <w:font w:name="仿宋_GB2312">
    <w:panose1 w:val="02010609060101010101"/>
  </w:font>
  <w:font w:name="黑体">
    <w:panose1 w:val="02010609060101010101"/>
  </w:font>
  <w:font w:name="仿宋">
    <w:panose1 w:val="02010609060101010101"/>
  </w:font>
  <w:font w:name="Tahoma">
    <w:panose1 w:val="020B0604030504040204"/>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7143" w:leader="none"/>
        <w:tab w:val="right" w:pos="14287" w:leader="none"/>
      </w:tabs>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tabs>
                              <w:tab w:val="center" w:pos="7143" w:leader="none"/>
                              <w:tab w:val="right" w:pos="14287" w:leader="none"/>
                            </w:tabs>
                            <w:rPr>
                              <w:rFonts w:ascii="Calibri" w:hAnsi="Calibri" w:eastAsia="宋体" w:cs="Times New Roman"/>
                              <w:sz w:val="21"/>
                              <w:szCs w:val="22"/>
                              <w:lang w:val="en-US" w:eastAsia="zh-CN" w:bidi="ar-SA"/>
                            </w:rPr>
                          </w:pPr>
                          <w:r>
                            <w:rPr>
                              <w:rFonts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ascii="Times New Roman" w:hAnsi="Times New Roman" w:eastAsia="宋体" w:cs="Times New Roman"/>
                              <w:sz w:val="32"/>
                              <w:szCs w:val="36"/>
                              <w:lang w:val="en-US" w:eastAsia="zh-CN" w:bidi="ar-SA"/>
                            </w:rPr>
                            <w:fldChar w:fldCharType="begin"/>
                          </w:r>
                          <w:r>
                            <w:rPr>
                              <w:rFonts w:ascii="Times New Roman" w:hAnsi="Times New Roman" w:eastAsia="宋体" w:cs="Times New Roman"/>
                              <w:sz w:val="32"/>
                              <w:szCs w:val="36"/>
                              <w:lang w:val="en-US" w:eastAsia="zh-CN" w:bidi="ar-SA"/>
                            </w:rPr>
                            <w:instrText xml:space="preserve"> PAGE  \* MERGEFORMAT </w:instrText>
                          </w:r>
                          <w:r>
                            <w:rPr>
                              <w:rFonts w:ascii="Times New Roman" w:hAnsi="Times New Roman" w:eastAsia="宋体" w:cs="Times New Roman"/>
                              <w:sz w:val="32"/>
                              <w:szCs w:val="36"/>
                              <w:lang w:val="en-US" w:eastAsia="zh-CN" w:bidi="ar-SA"/>
                            </w:rPr>
                            <w:fldChar w:fldCharType="separate"/>
                          </w:r>
                          <w:r>
                            <w:rPr>
                              <w:rFonts w:ascii="Times New Roman" w:hAnsi="Times New Roman" w:eastAsia="宋体" w:cs="Times New Roman"/>
                              <w:sz w:val="32"/>
                              <w:szCs w:val="36"/>
                              <w:lang w:val="en-US" w:eastAsia="zh-CN" w:bidi="ar-SA"/>
                            </w:rPr>
                            <w:t xml:space="preserve">10</w:t>
                          </w:r>
                          <w:r>
                            <w:rPr>
                              <w:rFonts w:ascii="Times New Roman" w:hAnsi="Times New Roman" w:eastAsia="宋体" w:cs="Times New Roman"/>
                              <w:sz w:val="32"/>
                              <w:szCs w:val="36"/>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jc w:val="center"/>
                      <w:widowControl w:val="off"/>
                      <w:tabs>
                        <w:tab w:val="center" w:pos="7143" w:leader="none"/>
                        <w:tab w:val="right" w:pos="14287" w:leader="none"/>
                      </w:tabs>
                      <w:rPr>
                        <w:rFonts w:ascii="Calibri" w:hAnsi="Calibri" w:eastAsia="宋体" w:cs="Times New Roman"/>
                        <w:sz w:val="21"/>
                        <w:szCs w:val="22"/>
                        <w:lang w:val="en-US" w:eastAsia="zh-CN" w:bidi="ar-SA"/>
                      </w:rPr>
                    </w:pPr>
                    <w:r>
                      <w:rPr>
                        <w:rFonts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ascii="Times New Roman" w:hAnsi="Times New Roman" w:eastAsia="宋体" w:cs="Times New Roman"/>
                        <w:sz w:val="32"/>
                        <w:szCs w:val="36"/>
                        <w:lang w:val="en-US" w:eastAsia="zh-CN" w:bidi="ar-SA"/>
                      </w:rPr>
                      <w:fldChar w:fldCharType="begin"/>
                    </w:r>
                    <w:r>
                      <w:rPr>
                        <w:rFonts w:ascii="Times New Roman" w:hAnsi="Times New Roman" w:eastAsia="宋体" w:cs="Times New Roman"/>
                        <w:sz w:val="32"/>
                        <w:szCs w:val="36"/>
                        <w:lang w:val="en-US" w:eastAsia="zh-CN" w:bidi="ar-SA"/>
                      </w:rPr>
                      <w:instrText xml:space="preserve"> PAGE  \* MERGEFORMAT </w:instrText>
                    </w:r>
                    <w:r>
                      <w:rPr>
                        <w:rFonts w:ascii="Times New Roman" w:hAnsi="Times New Roman" w:eastAsia="宋体" w:cs="Times New Roman"/>
                        <w:sz w:val="32"/>
                        <w:szCs w:val="36"/>
                        <w:lang w:val="en-US" w:eastAsia="zh-CN" w:bidi="ar-SA"/>
                      </w:rPr>
                      <w:fldChar w:fldCharType="separate"/>
                    </w:r>
                    <w:r>
                      <w:rPr>
                        <w:rFonts w:ascii="Times New Roman" w:hAnsi="Times New Roman" w:eastAsia="宋体" w:cs="Times New Roman"/>
                        <w:sz w:val="32"/>
                        <w:szCs w:val="36"/>
                        <w:lang w:val="en-US" w:eastAsia="zh-CN" w:bidi="ar-SA"/>
                      </w:rPr>
                      <w:t xml:space="preserve">10</w:t>
                    </w:r>
                    <w:r>
                      <w:rPr>
                        <w:rFonts w:ascii="Times New Roman" w:hAnsi="Times New Roman" w:eastAsia="宋体" w:cs="Times New Roman"/>
                        <w:sz w:val="32"/>
                        <w:szCs w:val="36"/>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ascii="Times New Roman" w:hAnsi="Times New Roman" w:eastAsia="宋体" w:cs="Times New Roman"/>
                        <w:sz w:val="32"/>
                        <w:szCs w:val="36"/>
                        <w:lang w:val="en-US" w:eastAsia="zh-CN" w:bidi="ar-SA"/>
                      </w:rPr>
                      <w:t xml:space="preserve">—</w:t>
                    </w:r>
                    <w:r/>
                  </w:p>
                </w:txbxContent>
              </v:textbox>
            </v:shape>
          </w:pict>
        </mc:Fallback>
      </mc:AlternateContent>
    </w:r>
    <w:r>
      <w:rPr>
        <w:rFonts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tabs>
                              <w:tab w:val="center" w:pos="7143" w:leader="none"/>
                              <w:tab w:val="right" w:pos="14287" w:leader="none"/>
                            </w:tabs>
                            <w:rPr>
                              <w:rFonts w:ascii="Times New Roman" w:hAnsi="Times New Roman" w:eastAsia="宋体" w:cs="Times New Roman"/>
                              <w:sz w:val="32"/>
                              <w:szCs w:val="36"/>
                              <w:lang w:val="en-US" w:eastAsia="zh-CN" w:bidi="ar-SA"/>
                            </w:rPr>
                          </w:pPr>
                          <w:r>
                            <w:rPr>
                              <w:rFonts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ascii="Times New Roman" w:hAnsi="Times New Roman" w:eastAsia="宋体" w:cs="Times New Roman"/>
                        <w:sz w:val="32"/>
                        <w:szCs w:val="36"/>
                        <w:lang w:val="en-US" w:eastAsia="zh-CN" w:bidi="ar-SA"/>
                      </w:rPr>
                    </w:pPr>
                    <w:r>
                      <w:rPr>
                        <w:rFonts w:ascii="Times New Roman" w:hAnsi="Times New Roman" w:eastAsia="宋体" w:cs="Times New Roman"/>
                        <w:sz w:val="32"/>
                        <w:szCs w:val="36"/>
                        <w:lang w:val="en-US" w:eastAsia="zh-CN" w:bidi="ar-SA"/>
                      </w:rPr>
                    </w:r>
                    <w:r/>
                  </w:p>
                </w:txbxContent>
              </v:textbox>
            </v:shape>
          </w:pict>
        </mc:Fallback>
      </mc:AlternateContent>
    </w:r>
    <w:r>
      <w:rPr>
        <w:rFonts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ascii="Calibri" w:hAnsi="Calibri" w:eastAsia="宋体" w:cs="Times New Roman"/>
                              <w:szCs w:val="22"/>
                            </w:rPr>
                          </w:pPr>
                          <w:r>
                            <w:rPr>
                              <w:rFonts w:ascii="Calibri" w:hAnsi="Calibri" w:eastAsia="宋体" w:cs="Times New Roman"/>
                              <w:szCs w:val="22"/>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ascii="Calibri" w:hAnsi="Calibri" w:eastAsia="宋体" w:cs="Times New Roman"/>
                        <w:szCs w:val="22"/>
                      </w:rPr>
                    </w:pPr>
                    <w:r>
                      <w:rPr>
                        <w:rFonts w:ascii="Calibri" w:hAnsi="Calibri" w:eastAsia="宋体" w:cs="Times New Roman"/>
                        <w:szCs w:val="22"/>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9"/>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9"/>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9"/>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9"/>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9"/>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9"/>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9"/>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9"/>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9"/>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79"/>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79"/>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679"/>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679"/>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9"/>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9"/>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679" w:default="1">
    <w:name w:val="Default Paragraph Font"/>
    <w:uiPriority w:val="0"/>
    <w:semiHidden/>
    <w:qFormat/>
  </w:style>
  <w:style w:type="table" w:styleId="680" w:default="1">
    <w:name w:val="Normal Table"/>
    <w:uiPriority w:val="0"/>
    <w:semiHidden/>
    <w:qFormat/>
    <w:tblPr>
      <w:tblLayout w:type="fixed"/>
      <w:tblCellMar>
        <w:left w:w="108" w:type="dxa"/>
        <w:top w:w="0" w:type="dxa"/>
        <w:right w:w="108" w:type="dxa"/>
        <w:bottom w:w="0" w:type="dxa"/>
      </w:tblCellMar>
    </w:tblPr>
  </w:style>
  <w:style w:type="paragraph" w:styleId="681">
    <w:name w:val="annotation text"/>
    <w:basedOn w:val="678"/>
    <w:uiPriority w:val="0"/>
    <w:qFormat/>
    <w:pPr>
      <w:jc w:val="left"/>
    </w:pPr>
  </w:style>
  <w:style w:type="character" w:styleId="682">
    <w:name w:val="Strong"/>
    <w:basedOn w:val="679"/>
    <w:uiPriority w:val="0"/>
    <w:qFormat/>
    <w:rPr>
      <w:b/>
    </w:rPr>
  </w:style>
  <w:style w:type="table" w:styleId="6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684" w:customStyle="1">
    <w:name w:val="Table Normal"/>
    <w:uiPriority w:val="0"/>
    <w:semiHidden/>
    <w:unhideWhenUsed/>
    <w:qFormat/>
    <w:tblPr>
      <w:tblLayout w:type="fixed"/>
      <w:tblCellMar>
        <w:left w:w="0" w:type="dxa"/>
        <w:top w:w="0" w:type="dxa"/>
        <w:right w:w="0" w:type="dxa"/>
        <w:bottom w:w="0" w:type="dxa"/>
      </w:tblCellMar>
    </w:tblPr>
  </w:style>
  <w:style w:type="paragraph" w:styleId="685" w:customStyle="1">
    <w:name w:val="Normal_16_0_0"/>
    <w:uiPriority w:val="0"/>
    <w:qFormat/>
    <w:pPr>
      <w:jc w:val="both"/>
      <w:widowControl w:val="off"/>
    </w:pPr>
    <w:rPr>
      <w:rFonts w:ascii="Calibri" w:hAnsi="Calibri" w:eastAsia="宋体" w:cs="Times New Roman"/>
      <w:lang w:val="en-US" w:eastAsia="zh-CN" w:bidi="ar-SA"/>
    </w:rPr>
  </w:style>
  <w:style w:type="paragraph" w:styleId="686" w:customStyle="1">
    <w:name w:val="Normal_22_0"/>
    <w:uiPriority w:val="0"/>
    <w:qFormat/>
    <w:pPr>
      <w:jc w:val="both"/>
      <w:widowControl w:val="off"/>
    </w:pPr>
    <w:rPr>
      <w:rFonts w:ascii="Calibri" w:hAnsi="Calibri" w:eastAsia="宋体" w:cs="Times New Roman"/>
      <w:szCs w:val="24"/>
      <w:lang w:val="en-US" w:eastAsia="zh-CN" w:bidi="ar-SA"/>
    </w:rPr>
  </w:style>
  <w:style w:type="paragraph" w:styleId="687" w:customStyle="1">
    <w:name w:val="Normal_19_0_1"/>
    <w:uiPriority w:val="0"/>
    <w:qFormat/>
    <w:rPr>
      <w:rFonts w:ascii="Tahoma" w:hAnsi="Tahoma" w:eastAsia="微软雅黑" w:cs="Times New Roman"/>
      <w:lang w:val="en-US" w:eastAsia="zh-CN" w:bidi="ar-SA"/>
    </w:rPr>
  </w:style>
  <w:style w:type="numbering" w:styleId="126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江苏鑫玺</dc:creator>
  <cp:lastModifiedBy>陈海燕</cp:lastModifiedBy>
  <cp:revision>2</cp:revision>
  <dcterms:created xsi:type="dcterms:W3CDTF">2025-12-23T09:31:00Z</dcterms:created>
  <dcterms:modified xsi:type="dcterms:W3CDTF">2026-01-29T03:28:16Z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2052-10.8.2.7090</vt:lpwstr>
  </property>
  <property fmtid="{D5CDD505-2E9C-101B-9397-08002B2CF9AE}" pid="3" name="ICV">
    <vt:lpwstr>C059B4DA01EB4B73ACBBD4224E4BD4E9_13</vt:lpwstr>
  </property>
  <property fmtid="{D5CDD505-2E9C-101B-9397-08002B2CF9AE}" pid="4" name="KSOTemplateDocerSaveRecord">
    <vt:lpwstr>eyJoZGlkIjoiYzA1OGM5ODJiNzc0NTUzNzUzMWQ4YzQ3YTY3ZjMzY2MiLCJ1c2VySWQiOiI5MTY1MDU5MTYifQ==</vt:lpwstr>
  </property>
</Properties>
</file>