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C2DA4E">
      <w:pPr>
        <w:pStyle w:val="222"/>
        <w:spacing w:before="120" w:after="120" w:line="0" w:lineRule="atLeast"/>
        <w:jc w:val="center"/>
        <w:rPr>
          <w:rFonts w:hint="eastAsia" w:ascii="Times New Roman" w:hAnsi="Times New Roman"/>
          <w:color w:val="auto"/>
          <w:sz w:val="24"/>
          <w:szCs w:val="24"/>
        </w:rPr>
      </w:pPr>
      <w:bookmarkStart w:id="0" w:name="_Toc20823346"/>
      <w:bookmarkStart w:id="1" w:name="_Toc120614244"/>
      <w:bookmarkStart w:id="2" w:name="_Toc16938590"/>
      <w:bookmarkStart w:id="3" w:name="_Toc479757211"/>
      <w:bookmarkStart w:id="4" w:name="_Toc462564139"/>
      <w:bookmarkStart w:id="9" w:name="_GoBack"/>
      <w:bookmarkEnd w:id="9"/>
      <w:r>
        <w:rPr>
          <w:rFonts w:hint="eastAsia" w:ascii="Times New Roman" w:hAnsi="Times New Roman" w:eastAsia="黑体"/>
          <w:bCs/>
          <w:color w:val="auto"/>
          <w:sz w:val="44"/>
        </w:rPr>
        <w:t xml:space="preserve"> 采购需求</w:t>
      </w:r>
      <w:bookmarkEnd w:id="0"/>
      <w:bookmarkEnd w:id="1"/>
      <w:bookmarkEnd w:id="2"/>
    </w:p>
    <w:p w14:paraId="337F824B">
      <w:pPr>
        <w:spacing w:before="120" w:after="120" w:line="0" w:lineRule="atLeast"/>
        <w:rPr>
          <w:rFonts w:hint="eastAsia" w:cs="Courier New"/>
          <w:color w:val="auto"/>
          <w:sz w:val="24"/>
          <w:szCs w:val="24"/>
          <w:highlight w:val="yellow"/>
        </w:rPr>
      </w:pPr>
      <w:bookmarkStart w:id="5" w:name="_Toc49090575"/>
      <w:bookmarkStart w:id="6" w:name="_Toc26554093"/>
      <w:r>
        <w:rPr>
          <w:rFonts w:hint="eastAsia" w:cs="Courier New"/>
          <w:color w:val="auto"/>
          <w:sz w:val="24"/>
          <w:szCs w:val="24"/>
        </w:rPr>
        <w:t>项目属性：货物类项目</w:t>
      </w:r>
    </w:p>
    <w:p w14:paraId="355EB3ED">
      <w:pPr>
        <w:spacing w:before="120" w:after="120" w:line="0" w:lineRule="atLeast"/>
        <w:rPr>
          <w:rFonts w:hint="eastAsia" w:cs="Courier New"/>
          <w:color w:val="auto"/>
          <w:sz w:val="24"/>
          <w:szCs w:val="24"/>
          <w:u w:val="single"/>
        </w:rPr>
      </w:pPr>
      <w:r>
        <w:rPr>
          <w:rFonts w:hint="eastAsia" w:cs="Courier New"/>
          <w:color w:val="auto"/>
          <w:sz w:val="24"/>
          <w:szCs w:val="24"/>
        </w:rPr>
        <w:t>本项目采购标的对应的中小企业划分标准所属行业：</w:t>
      </w:r>
      <w:r>
        <w:rPr>
          <w:rFonts w:hint="eastAsia" w:cs="Courier New"/>
          <w:color w:val="auto"/>
          <w:sz w:val="24"/>
          <w:szCs w:val="24"/>
          <w:u w:val="single"/>
        </w:rPr>
        <w:t>工业（专用设备制造业）</w:t>
      </w:r>
    </w:p>
    <w:p w14:paraId="17F59C33">
      <w:pPr>
        <w:spacing w:before="120" w:after="120" w:line="0" w:lineRule="atLeast"/>
        <w:rPr>
          <w:rFonts w:hint="eastAsia" w:cs="Courier New"/>
          <w:color w:val="auto"/>
          <w:sz w:val="24"/>
          <w:szCs w:val="24"/>
          <w:highlight w:val="yellow"/>
        </w:rPr>
      </w:pPr>
      <w:r>
        <w:rPr>
          <w:rFonts w:hint="eastAsia" w:cs="Courier New"/>
          <w:color w:val="auto"/>
          <w:sz w:val="24"/>
          <w:szCs w:val="24"/>
        </w:rPr>
        <w:t>本项目</w:t>
      </w:r>
      <w:r>
        <w:rPr>
          <w:rFonts w:hint="eastAsia" w:cs="Courier New"/>
          <w:color w:val="auto"/>
          <w:sz w:val="24"/>
          <w:szCs w:val="24"/>
          <w:u w:val="single"/>
        </w:rPr>
        <w:t xml:space="preserve"> 不接受 </w:t>
      </w:r>
      <w:r>
        <w:rPr>
          <w:rFonts w:hint="eastAsia" w:cs="Courier New"/>
          <w:color w:val="auto"/>
          <w:sz w:val="24"/>
          <w:szCs w:val="24"/>
        </w:rPr>
        <w:t>（接受/不接受）进口产品。</w:t>
      </w:r>
    </w:p>
    <w:p w14:paraId="625F582C">
      <w:pPr>
        <w:pStyle w:val="333"/>
        <w:ind w:left="0"/>
        <w:rPr>
          <w:rFonts w:ascii="宋体" w:hAnsi="宋体" w:eastAsia="宋体" w:cs="仿宋"/>
          <w:color w:val="auto"/>
          <w:sz w:val="24"/>
          <w:szCs w:val="24"/>
        </w:rPr>
      </w:pPr>
      <w:r>
        <w:rPr>
          <w:rFonts w:hint="eastAsia" w:ascii="宋体" w:hAnsi="宋体" w:eastAsia="宋体" w:cs="仿宋"/>
          <w:color w:val="auto"/>
          <w:sz w:val="24"/>
          <w:szCs w:val="24"/>
        </w:rPr>
        <w:t>一、项目概况</w:t>
      </w:r>
    </w:p>
    <w:p w14:paraId="54D122BC">
      <w:pPr>
        <w:pStyle w:val="332"/>
        <w:spacing w:line="440" w:lineRule="exact"/>
        <w:ind w:firstLine="492"/>
        <w:rPr>
          <w:color w:val="auto"/>
          <w:spacing w:val="3"/>
          <w:sz w:val="24"/>
          <w:szCs w:val="24"/>
        </w:rPr>
      </w:pPr>
      <w:r>
        <w:rPr>
          <w:rFonts w:hint="eastAsia" w:ascii="宋体" w:hAnsi="宋体"/>
          <w:color w:val="auto"/>
          <w:spacing w:val="3"/>
          <w:sz w:val="24"/>
          <w:szCs w:val="24"/>
        </w:rPr>
        <w:t>1.采购内容：本项目为</w:t>
      </w:r>
      <w:r>
        <w:rPr>
          <w:rFonts w:hint="eastAsia" w:ascii="宋体" w:hAnsi="宋体"/>
          <w:color w:val="auto"/>
          <w:spacing w:val="3"/>
          <w:sz w:val="24"/>
          <w:szCs w:val="24"/>
          <w:lang w:eastAsia="zh-CN"/>
        </w:rPr>
        <w:t>泗洪县公安局2025年警用装备采购项目</w:t>
      </w:r>
      <w:r>
        <w:rPr>
          <w:rFonts w:hint="eastAsia" w:ascii="宋体" w:hAnsi="宋体"/>
          <w:color w:val="auto"/>
          <w:spacing w:val="3"/>
          <w:sz w:val="24"/>
          <w:szCs w:val="24"/>
        </w:rPr>
        <w:t>:</w:t>
      </w:r>
      <w:r>
        <w:rPr>
          <w:rFonts w:hint="eastAsia" w:ascii="宋体" w:hAnsi="宋体"/>
          <w:color w:val="auto"/>
          <w:spacing w:val="3"/>
          <w:sz w:val="24"/>
          <w:szCs w:val="24"/>
          <w:lang w:eastAsia="zh-CN"/>
        </w:rPr>
        <w:t>泗洪县公安局拟采购部分业务装备，包括单警装备、反恐防暴装备、刑侦技术装备、水上救援装备等。，</w:t>
      </w:r>
      <w:r>
        <w:rPr>
          <w:rFonts w:hint="eastAsia" w:ascii="宋体" w:hAnsi="宋体"/>
          <w:color w:val="auto"/>
          <w:spacing w:val="3"/>
          <w:sz w:val="24"/>
          <w:szCs w:val="24"/>
        </w:rPr>
        <w:t>具体采购内容详见清单及技术参数要求</w:t>
      </w:r>
      <w:r>
        <w:rPr>
          <w:rFonts w:ascii="宋体" w:hAnsi="宋体"/>
          <w:color w:val="auto"/>
          <w:spacing w:val="3"/>
          <w:sz w:val="24"/>
          <w:szCs w:val="24"/>
        </w:rPr>
        <w:t>。</w:t>
      </w:r>
    </w:p>
    <w:p w14:paraId="31969C7F">
      <w:pPr>
        <w:pStyle w:val="332"/>
        <w:spacing w:line="440" w:lineRule="exact"/>
        <w:ind w:firstLine="480"/>
        <w:rPr>
          <w:rFonts w:hint="eastAsia" w:ascii="宋体" w:hAnsi="宋体"/>
          <w:color w:val="auto"/>
          <w:spacing w:val="3"/>
          <w:sz w:val="24"/>
          <w:szCs w:val="24"/>
        </w:rPr>
      </w:pPr>
      <w:r>
        <w:rPr>
          <w:rFonts w:hint="eastAsia" w:ascii="宋体" w:hAnsi="宋体" w:cs="仿宋"/>
          <w:color w:val="auto"/>
          <w:sz w:val="24"/>
          <w:szCs w:val="24"/>
        </w:rPr>
        <w:t>2.</w:t>
      </w:r>
      <w:r>
        <w:rPr>
          <w:rFonts w:hint="eastAsia" w:ascii="宋体" w:hAnsi="宋体"/>
          <w:color w:val="auto"/>
          <w:spacing w:val="3"/>
          <w:sz w:val="24"/>
          <w:szCs w:val="24"/>
        </w:rPr>
        <w:t>付款方式：</w:t>
      </w:r>
    </w:p>
    <w:p w14:paraId="13EC6CF0">
      <w:pPr>
        <w:pStyle w:val="332"/>
        <w:spacing w:line="44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预付款：签订合同并收到供应商发票10个工作日内支付合同总价款的30%；</w:t>
      </w:r>
    </w:p>
    <w:p w14:paraId="1983934F">
      <w:pPr>
        <w:pStyle w:val="332"/>
        <w:spacing w:line="440" w:lineRule="exact"/>
        <w:ind w:firstLine="480"/>
        <w:rPr>
          <w:rFonts w:ascii="Times New Roman" w:hAnsi="Times New Roman"/>
          <w:bCs/>
          <w:color w:val="auto"/>
          <w:sz w:val="24"/>
          <w:highlight w:val="none"/>
        </w:rPr>
      </w:pPr>
      <w:r>
        <w:rPr>
          <w:rFonts w:hint="eastAsia" w:ascii="Times New Roman" w:hAnsi="Times New Roman"/>
          <w:bCs/>
          <w:color w:val="auto"/>
          <w:sz w:val="24"/>
          <w:highlight w:val="none"/>
        </w:rPr>
        <w:t>进度款：项目完成，供应商提供项目完整技术文档，采购人3个工作日内组织验收并出具验收报告，验收完成收到供应商发票10个工作日内，支付至合同总额的100%。（合同款支付方式可采用数字人民币支付）</w:t>
      </w:r>
    </w:p>
    <w:p w14:paraId="0187CC04">
      <w:pPr>
        <w:pStyle w:val="332"/>
        <w:spacing w:line="440" w:lineRule="exact"/>
        <w:ind w:firstLine="492"/>
        <w:rPr>
          <w:rFonts w:ascii="宋体" w:hAnsi="宋体"/>
          <w:color w:val="auto"/>
          <w:spacing w:val="3"/>
          <w:sz w:val="24"/>
          <w:szCs w:val="24"/>
          <w:highlight w:val="none"/>
        </w:rPr>
      </w:pPr>
      <w:r>
        <w:rPr>
          <w:rFonts w:ascii="宋体" w:hAnsi="宋体"/>
          <w:color w:val="auto"/>
          <w:spacing w:val="3"/>
          <w:sz w:val="24"/>
          <w:szCs w:val="24"/>
          <w:highlight w:val="none"/>
        </w:rPr>
        <w:t>资金支付的时间：收到供应商发票10个工作日内</w:t>
      </w:r>
      <w:r>
        <w:rPr>
          <w:rFonts w:hint="eastAsia" w:ascii="宋体" w:hAnsi="宋体"/>
          <w:color w:val="auto"/>
          <w:spacing w:val="3"/>
          <w:sz w:val="24"/>
          <w:szCs w:val="24"/>
          <w:highlight w:val="none"/>
        </w:rPr>
        <w:t>。</w:t>
      </w:r>
    </w:p>
    <w:p w14:paraId="4E98E516">
      <w:pPr>
        <w:pStyle w:val="332"/>
        <w:spacing w:line="440" w:lineRule="exact"/>
        <w:ind w:firstLine="492"/>
        <w:rPr>
          <w:rFonts w:ascii="宋体" w:hAnsi="宋体"/>
          <w:color w:val="auto"/>
          <w:spacing w:val="3"/>
          <w:sz w:val="24"/>
          <w:szCs w:val="24"/>
          <w:highlight w:val="none"/>
        </w:rPr>
      </w:pPr>
      <w:r>
        <w:rPr>
          <w:rFonts w:ascii="宋体" w:hAnsi="宋体"/>
          <w:color w:val="auto"/>
          <w:spacing w:val="3"/>
          <w:sz w:val="24"/>
          <w:szCs w:val="24"/>
          <w:highlight w:val="none"/>
        </w:rPr>
        <w:t>资金支付的条件：满足相应阶段的要求且收到供应商发票</w:t>
      </w:r>
      <w:r>
        <w:rPr>
          <w:rFonts w:hint="eastAsia" w:ascii="宋体" w:hAnsi="宋体"/>
          <w:color w:val="auto"/>
          <w:spacing w:val="3"/>
          <w:sz w:val="24"/>
          <w:szCs w:val="24"/>
          <w:highlight w:val="none"/>
        </w:rPr>
        <w:t>。</w:t>
      </w:r>
    </w:p>
    <w:p w14:paraId="47419171">
      <w:pPr>
        <w:pStyle w:val="332"/>
        <w:spacing w:line="440" w:lineRule="exact"/>
        <w:ind w:firstLine="492"/>
        <w:rPr>
          <w:rFonts w:ascii="宋体" w:hAnsi="宋体"/>
          <w:color w:val="auto"/>
          <w:spacing w:val="3"/>
          <w:sz w:val="24"/>
          <w:szCs w:val="24"/>
          <w:highlight w:val="none"/>
        </w:rPr>
      </w:pPr>
      <w:r>
        <w:rPr>
          <w:rFonts w:ascii="宋体" w:hAnsi="宋体"/>
          <w:color w:val="auto"/>
          <w:spacing w:val="3"/>
          <w:sz w:val="24"/>
          <w:szCs w:val="24"/>
          <w:highlight w:val="none"/>
        </w:rPr>
        <w:t>可以采用数字人民币支付。</w:t>
      </w:r>
    </w:p>
    <w:p w14:paraId="62201111">
      <w:pPr>
        <w:pStyle w:val="332"/>
        <w:spacing w:line="440" w:lineRule="exact"/>
        <w:ind w:firstLine="492"/>
        <w:rPr>
          <w:rFonts w:hint="eastAsia" w:ascii="宋体" w:hAnsi="宋体"/>
          <w:color w:val="auto"/>
          <w:spacing w:val="3"/>
          <w:sz w:val="24"/>
          <w:szCs w:val="24"/>
          <w:highlight w:val="none"/>
        </w:rPr>
      </w:pPr>
      <w:r>
        <w:rPr>
          <w:rFonts w:ascii="宋体" w:hAnsi="宋体"/>
          <w:color w:val="auto"/>
          <w:spacing w:val="3"/>
          <w:sz w:val="24"/>
          <w:szCs w:val="24"/>
          <w:highlight w:val="none"/>
        </w:rPr>
        <w:t>注：在签订合同时，中标人明确表示无需预付款或者主动要求降低预付款比例的，采购人可不适用前述规定。</w:t>
      </w:r>
    </w:p>
    <w:p w14:paraId="14A89D57">
      <w:pPr>
        <w:pStyle w:val="332"/>
        <w:spacing w:line="440" w:lineRule="exact"/>
        <w:ind w:firstLine="492"/>
        <w:rPr>
          <w:rFonts w:hint="eastAsia" w:ascii="宋体" w:hAnsi="宋体" w:cs="仿宋"/>
          <w:color w:val="auto"/>
          <w:sz w:val="24"/>
          <w:szCs w:val="24"/>
          <w:highlight w:val="none"/>
        </w:rPr>
      </w:pPr>
      <w:r>
        <w:rPr>
          <w:rFonts w:hint="eastAsia" w:ascii="宋体" w:hAnsi="宋体"/>
          <w:color w:val="auto"/>
          <w:spacing w:val="3"/>
          <w:sz w:val="24"/>
          <w:szCs w:val="24"/>
          <w:highlight w:val="none"/>
        </w:rPr>
        <w:t>3.</w:t>
      </w:r>
      <w:r>
        <w:rPr>
          <w:rFonts w:hint="eastAsia" w:ascii="宋体" w:hAnsi="宋体" w:cs="仿宋"/>
          <w:color w:val="auto"/>
          <w:sz w:val="24"/>
          <w:szCs w:val="24"/>
          <w:highlight w:val="none"/>
        </w:rPr>
        <w:t xml:space="preserve"> 合同履行期限：30日历天（自签订合同之日起计）。</w:t>
      </w:r>
    </w:p>
    <w:p w14:paraId="119D1F4E">
      <w:pPr>
        <w:pStyle w:val="332"/>
        <w:spacing w:line="440" w:lineRule="exact"/>
        <w:ind w:firstLine="480"/>
        <w:rPr>
          <w:rFonts w:hint="eastAsia" w:ascii="宋体" w:hAnsi="宋体"/>
          <w:color w:val="auto"/>
          <w:sz w:val="24"/>
        </w:rPr>
      </w:pPr>
      <w:r>
        <w:rPr>
          <w:rFonts w:hint="eastAsia" w:ascii="宋体" w:hAnsi="宋体" w:cs="仿宋"/>
          <w:color w:val="auto"/>
          <w:sz w:val="24"/>
          <w:szCs w:val="24"/>
          <w:highlight w:val="none"/>
        </w:rPr>
        <w:t>4.</w:t>
      </w:r>
      <w:r>
        <w:rPr>
          <w:rFonts w:hint="eastAsia" w:ascii="宋体" w:hAnsi="宋体"/>
          <w:color w:val="auto"/>
          <w:sz w:val="24"/>
          <w:highlight w:val="none"/>
        </w:rPr>
        <w:t xml:space="preserve"> 实施地点：采购单位</w:t>
      </w:r>
      <w:r>
        <w:rPr>
          <w:rFonts w:hint="eastAsia" w:ascii="宋体" w:hAnsi="宋体"/>
          <w:color w:val="auto"/>
          <w:sz w:val="24"/>
        </w:rPr>
        <w:t>指定地点。</w:t>
      </w:r>
    </w:p>
    <w:p w14:paraId="53F407F9">
      <w:pPr>
        <w:pStyle w:val="332"/>
        <w:spacing w:line="440" w:lineRule="exact"/>
        <w:ind w:firstLine="480"/>
        <w:rPr>
          <w:rFonts w:hint="eastAsia" w:ascii="宋体" w:hAnsi="宋体"/>
          <w:color w:val="auto"/>
          <w:sz w:val="24"/>
        </w:rPr>
      </w:pPr>
      <w:r>
        <w:rPr>
          <w:rFonts w:hint="eastAsia" w:ascii="宋体" w:hAnsi="宋体"/>
          <w:color w:val="auto"/>
          <w:sz w:val="24"/>
        </w:rPr>
        <w:t>5.</w:t>
      </w:r>
      <w:r>
        <w:rPr>
          <w:rFonts w:hint="eastAsia" w:ascii="宋体" w:hAnsi="宋体" w:cs="宋体"/>
          <w:color w:val="auto"/>
          <w:sz w:val="24"/>
          <w:szCs w:val="24"/>
        </w:rPr>
        <w:t>维护期(售后服务期)：3年（自验收合格之日起）</w:t>
      </w:r>
    </w:p>
    <w:p w14:paraId="0229C0BA">
      <w:pPr>
        <w:pStyle w:val="332"/>
        <w:spacing w:line="440" w:lineRule="exact"/>
        <w:ind w:firstLine="480"/>
        <w:rPr>
          <w:rFonts w:ascii="宋体" w:hAnsi="宋体"/>
          <w:color w:val="auto"/>
          <w:sz w:val="24"/>
        </w:rPr>
      </w:pPr>
      <w:r>
        <w:rPr>
          <w:rFonts w:hint="eastAsia" w:ascii="宋体" w:hAnsi="宋体"/>
          <w:color w:val="auto"/>
          <w:sz w:val="24"/>
        </w:rPr>
        <w:t>6. 质量要求：</w:t>
      </w:r>
      <w:r>
        <w:rPr>
          <w:rFonts w:ascii="宋体" w:hAnsi="宋体"/>
          <w:color w:val="auto"/>
          <w:sz w:val="24"/>
        </w:rPr>
        <w:t>合格，符合国家、行业质量要求。</w:t>
      </w:r>
    </w:p>
    <w:p w14:paraId="68738FE1">
      <w:pPr>
        <w:pStyle w:val="333"/>
        <w:ind w:left="0"/>
        <w:rPr>
          <w:rFonts w:hint="eastAsia" w:ascii="宋体" w:hAnsi="宋体" w:eastAsia="宋体" w:cs="仿宋"/>
          <w:color w:val="auto"/>
          <w:sz w:val="24"/>
          <w:szCs w:val="24"/>
        </w:rPr>
      </w:pPr>
      <w:r>
        <w:rPr>
          <w:rFonts w:hint="eastAsia" w:ascii="宋体" w:hAnsi="宋体" w:eastAsia="宋体" w:cs="仿宋"/>
          <w:color w:val="auto"/>
          <w:sz w:val="24"/>
          <w:szCs w:val="24"/>
        </w:rPr>
        <w:t>二、清单及技术参数要求：</w:t>
      </w:r>
    </w:p>
    <w:tbl>
      <w:tblPr>
        <w:tblStyle w:val="31"/>
        <w:tblW w:w="8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1418"/>
        <w:gridCol w:w="5735"/>
        <w:gridCol w:w="529"/>
      </w:tblGrid>
      <w:tr w14:paraId="2C77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4A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9F5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品名</w:t>
            </w:r>
          </w:p>
        </w:tc>
        <w:tc>
          <w:tcPr>
            <w:tcW w:w="57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343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参数</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BAF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数量</w:t>
            </w:r>
          </w:p>
        </w:tc>
      </w:tr>
      <w:tr w14:paraId="1275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7"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270D1">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CF549">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护目镜</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F7D4F">
            <w:pPr>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1、采用3组PC材质太空镜片，防风、防尘、防破片、100%防UV400紫外线、抗冲击力强、不易破损。</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2、眼镜镜架：材质属高级PC塑胶，抗折，抗冲击，且表面光滑靓丽。</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3、配备三色镜片：灰色镜片、透明镜片、黄色增光片</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4、眼镜布：擦试镜片上的污垢，保持镜片干净，清晰可见。</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5、眼镜袋：镜袋口部内镶嵌抽拉绳，将眼镜安全保护，保护镜片不划伤。</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6、镜脚防滑垫：运动时可防止眼镜脱落，起到防滑的作用。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7、眼镜盒：用于存放眼镜，携带方便，保护眼镜配件。</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8、镜片厚度：≥2.5mm</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8、重量：小于80g</w:t>
            </w:r>
            <w:r>
              <w:rPr>
                <w:rFonts w:hint="eastAsia" w:ascii="宋体" w:hAnsi="宋体" w:cs="宋体"/>
                <w:color w:val="auto"/>
                <w:sz w:val="22"/>
                <w:szCs w:val="22"/>
                <w:lang w:val="en-US" w:eastAsia="zh-CN"/>
              </w:rPr>
              <w:t>。</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FF1D">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55</w:t>
            </w:r>
          </w:p>
        </w:tc>
      </w:tr>
      <w:tr w14:paraId="1F28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A265F">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C6570">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战术手套</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6E365">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1、速干面料，保持手部透气、干爽、舒适</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2、拇指及虎口易磨损部位双层耐磨革保护，增加耐用性</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3、0.5mm超薄耐磨麂皮绒面料，触感轻便，版型贴合手部，活动灵活自如。</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22DB7">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40</w:t>
            </w:r>
          </w:p>
        </w:tc>
      </w:tr>
      <w:tr w14:paraId="432C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E3D6D">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FC20">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多功能链接警棍</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BF8D0">
            <w:pPr>
              <w:jc w:val="left"/>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1、多功能防暴叉是一种可快速拆装的约束装置，既能作为约束叉使用，又能拆卸叉头作为防暴长警棍或者短棍使用，同时还能与同类型长警棍或救援设备首尾相连，可无限延长，从而实现救援功能。实现一叉多用的目的。</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2.、产品由叉头与两节叉杆组合构成，叉杆为碳纤维构件，末端装有弧形插头，可通过触碰方式约束对象，多功能警用约束叉可快速拆卸组合为长警棍、短警棍、救援棍使用。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3、警用约束叉的工作长度2005mm±5mm，警用约束叉的携行长度应小于或等于1300mm，为组合机构，其中叉头尺寸550mm±10mm、前叉杆752mm±5mm、后叉杆758mm±5mm。</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4、警用约束叉的叉杆握持部位直径应在30mm〜35mm之间。</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5、警用约束叉的叉头闭合缝隙应小于或等于1mm。</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6.、警用约束叉的质量应小于或等于1.3kg。</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快反碳纤维组合式防暴棍</w:t>
            </w:r>
            <w:r>
              <w:rPr>
                <w:rFonts w:hint="eastAsia" w:ascii="宋体" w:hAnsi="宋体" w:cs="宋体"/>
                <w:color w:val="auto"/>
                <w:sz w:val="22"/>
                <w:szCs w:val="22"/>
                <w:lang w:val="en-US" w:eastAsia="zh-CN"/>
              </w:rPr>
              <w:t>。</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highlight w:val="none"/>
                <w:lang w:val="en-US" w:eastAsia="zh-CN"/>
              </w:rPr>
              <w:t>1、执行标准：GA 1124-2013《长警棍》。</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2、警用长警棍主体为碳纤维材质，单节可当普通警棍使用，连接后可当长警棍使用；长警棍一端配有多功能连接装置，该连接装置可与其他同类长警棍或救援装备首尾连接，连接组合后可做水上救援杆使用。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3、外观：长警棍表面光滑，握持端应有防滑结构，金属部件应进行防腐蚀处理。</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4、尺寸：长警棍棍体总长度1.5m±0.5m，棍体外径φ30mm±φ1mm。</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5、质量：长警棍质量0.6kg±0.05kg。</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6、柔韧性性能：长警棍在外力作用下应能弯曲，且两端夹角为120°时不应出现裂纹或断裂。</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7、刚性性能：长警棍一端受垂直于棍体的外力作用，经自然回复后产生的残余变形量应小于等于5mm。</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8、棍体抗拉性能：长警棍在2000N拉力作用下，棍体不应出现裂纹或断裂，组合式长警棍的连接装置应能正常使用。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9、连接装置可靠性：组合式长警棍的连接装置在正常连接、拆卸1000次后，应无卡、涩、滞现象，且能正常使用。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10、抗击打性能：长警棍连续击打2000次后，棍体不应出现裂纹或断裂，组合式长警棍的连接装置应能正常使用。</w:t>
            </w:r>
            <w:r>
              <w:rPr>
                <w:rFonts w:hint="eastAsia" w:ascii="宋体" w:hAnsi="宋体" w:eastAsia="宋体" w:cs="宋体"/>
                <w:color w:val="auto"/>
                <w:sz w:val="22"/>
                <w:szCs w:val="22"/>
                <w:lang w:val="en-US" w:eastAsia="zh-CN"/>
              </w:rPr>
              <w:br w:type="textWrapping"/>
            </w:r>
            <w:r>
              <w:rPr>
                <w:rFonts w:hint="eastAsia" w:ascii="宋体" w:hAnsi="宋体" w:eastAsia="宋体" w:cs="宋体"/>
                <w:color w:val="auto"/>
                <w:sz w:val="22"/>
                <w:szCs w:val="22"/>
                <w:lang w:val="en-US" w:eastAsia="zh-CN"/>
              </w:rPr>
              <w:t>11、阻燃性：长警棍应具有阻燃性，棍体表面续燃时间应≤1s。</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B1955">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10</w:t>
            </w:r>
          </w:p>
        </w:tc>
      </w:tr>
      <w:tr w14:paraId="39A1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CF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5B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催泪喷射器</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C73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1、执行标准：《GA884-2018公安单警装备射器》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2、结构：横型催泪喷射器应由保险盖、扭簧、转轴、喷嘴、压套、支撑套、支撑盖、内罐、囊袋组件、催泪剂溶液、外罐等零部件组成。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3、尺寸：竖喷型催泪喷射器外形尺寸应为高176mm±1.0mm,简身最大外径应为39mm±0.5mm，外罐外径应为37.5mm±0.2，观察窗尺寸宽为8mm±0.lmm，高为80nm±0.1mm。质量：催泪喷射器质量:195g±8g。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4、催泪剂溶液体积应为70ml±0.2ml(包含溶质(合成辣椒素)和溶剂)；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5、催泪剂合成辣椒素含量应为1.8%~2.0%。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▲6、性能：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6.1、连续喷射性能：催泪喷射器喷射应为定向射流状，喷射距离应≥5.2m，有效喷射时间≥9.5s；完全喷射后剩余溶液量应≤0.6ml。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6.2、间断喷射性能：催泪喷射器有效喷射3s后，放置8h后再次进行喷射，喷射距离应≥4.2m,喷射距离达到4.2m的时间应＞9s。完全喷射后剩余溶液量应≤0.8ml。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6.3、承压安全性：催泪喷射器经1200N承压试验后，应不解体、不泄漏、不爆裂，能正常使用，且符合喷射性能的要求，喷射为定向射流状，喷射距离应≥4m，有效喷射时间应≥10s，完全喷射后剩余溶液量应≤0.6ml。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6.4、保险盖可靠性：催泪喷射器应配有安全可靠的防止误喷的保护帽，保护帽应装配平滑、复位顺畅，按钮开关松紧适度，有足够的回复力，保险盖重复启闭200次应可正常使用，且应符合喷射性能的要求，喷射为定向射流状，喷射距离应≥4m，有效喷射时间应≥10s，完全喷射后剩余溶液量应≤0.8ml。</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16B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31C4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8"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2FB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27F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防割护臂</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5B6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1、能有效的防范：匕首、三棱刮刀、玻璃、石头等利器的切割伤害，加长至小臂的设计能够有效防止利器对手臂防护。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2、防割手套材料：采用高强金属丝和超高温分子聚乙烯纤维包覆纱织成。</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3、手套防护性能：用专用的手套切割试验机，设定刀口压力为 20N、刀片转速为 20r/min，在被检测防割护臂垂直于护臂方向上进行 5次切割，每次割穿发生时，切割周数不少于20周，且耐切割系数I应不小于4.5。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4、尺寸：≥420.mm</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B0F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r>
      <w:tr w14:paraId="2EA9A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4"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BC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EDE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破窗梯</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2D4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用于特警快速突入各种类型的公共交通车辆的玻璃窗户，如公交车、旅游大巴车等。其顶部的拉簧激发装置，在前端探头触碰到目标玻璃时，拉簧自动激发，击碎玻璃，从而达到破窗的目的。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1、顶端独特的钩型设计，使其在使用过程中将破窗、架梯两个动作合二为一，缩短行动时间，并可快速配置用于翻越带倒刺的铁丝网。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2、本产品采用金刚石撞针，相较于常规的不锈钢撞针可击碎的玻璃更厚，同时寿命更长且更稳定可靠。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技术参数：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1、展开高度：2.03米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2、折叠高度：1.07米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3、宽度：0.5米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4、重量：10Kg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5、承重：500Kg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6、材质：铝合金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7、破玻厚度：≥12mm钢化玻璃</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1B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r w14:paraId="6D43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27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AB6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防弹盾牌</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FD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质为芳纶浸胶材料层压制作，厚度：≤6.5mm，防护面积：≥0.45m²，盾体防护等级为3级，观察窗防护等级为4级，总重量：≤5.3kg，防弹盾牌观察窗光畸变最大量为≤5＇，透光率≥80%，观察窗透明面板四周的搭接宽度20mm，最小可视面积≥160cm²。连接强度：手柄与盾牌的连接处承受700N的拉力没有发生断裂现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2、阻燃性能：盾体外表面续燃时间为≤1.6s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3、漆膜附着力：≥2级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4、盾牌经高温处理(+55℃±2℃，4h)后，5min内进行耐击打强度试验，试验结果符合耐击打强度试验要求; 耐冲击强度147J动能冲击，冲击后盾体受力点没有穿洞或在受力点半径50mm之外出现破裂。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5、弹道极限V50值≥582m/s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6、执行标准：</w:t>
            </w:r>
            <w:r>
              <w:rPr>
                <w:rFonts w:hint="eastAsia" w:ascii="宋体" w:hAnsi="宋体" w:eastAsia="宋体" w:cs="宋体"/>
                <w:i w:val="0"/>
                <w:iCs w:val="0"/>
                <w:color w:val="auto"/>
                <w:kern w:val="0"/>
                <w:sz w:val="22"/>
                <w:szCs w:val="22"/>
                <w:highlight w:val="none"/>
                <w:u w:val="none"/>
                <w:lang w:val="en-US" w:eastAsia="zh-CN" w:bidi="ar"/>
              </w:rPr>
              <w:t>《GA 423-2015 警用防弹盾牌》，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4D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178BB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7D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74E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快反单元装备模块</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BD5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1、尺寸：≤56cm×32cm×12cm;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2、材料：500D尼龙；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3、重量：≤1.45kg;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4、功能：战术背包采用500D尼龙制作，有很好的耐磨和耐腐蚀性能，背包本体包括内层的表面固定连接有防潮层及加强层，具有很好的防水防潮性能，防撞缓冲性能。 肩带及背部位置采用三明治式软垫设计，提高舒适性，以及透气性。背包外部，侧面及侧面仓袋增加魔术贴及MOLLE系统，可粘贴标识牌，可悬挂单警装备，以及其他户外防护装备；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5、配置：含多功能连接式碳纤维战术棍、约束叉头、可卷曲柔性防刺服、臂盾、封控警戒带、可解锁约束带、便携式警用灭火器、肩灯、自充气快反救生圈、旗语、腰灯、破窗器等。</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CFD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r>
      <w:tr w14:paraId="4D40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4"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BB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720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金刚盾</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E24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 盾边内藏式防砍结构：盾体“警察”字样正立时对应的上面四条边内嵌钢丝条，直径≤3.0mm，盾体厚度≤3.3mm。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▲2、规格：外形:正八边形；边长:210土5mm；投影宽度:550士5mm；质量：防暴盾牌的质量≤2.20kg (不包含腰间磁吸悬挂件质量)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3、防护面积:≥0.220m²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4、连接强度：握持装置的连接部件、握持装置与盾体的连接部件应能承受大于或等于500N的拉力。试验后，不应有脱落、松动、脱扣或断裂现象。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5、耐冲击强度：防暴盾牌应能承受147J动能的击，冲击后受力点不应有穿洞或在受力点半径50mm之外出现贯穿性开裂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▲6、耐穿刺性能、耐击打性能、耐刀砍性能、护环性能: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6.1、穿刺性能：防暴盾牌应承受147J动能的穿刺，穿刺后受力点不应有直径大于4mm穿洞或在受力点半径20mm之外出现贯穿性开裂。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6.2、耐击打强度：防暴盾牌应能承受线速度为18m/s士0.3m/s、能量为342J士13J的击打,击打后盾体不应破碎或出现长度大于20mm的贯穿性开裂,击打后盾体产生的最大凹陷深度应小于或等于20mm。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6.3、耐刀砍性能：防暴盾牌的上边沿(“警察”字样正立时对应的上面四条边)应能抵御8.5m/s士0.5m/s、能量为100J土5J的击砍，试验后刀砍痕迹深度应小于或等于8mm。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6.4、护环性能：护环由塑料、橡胶和磁铁构成，能提供硬质抓握与握把形成临时双手抓握使用。护环具有脱手保护性能，在盾牌受到抢夺或扭动的情况能脱离手臂保护警员。护环尾端受到≥70N的拉力时，尾端开口应≥110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7、高温耐击打强度检验：防暴盾牌在环境温度为 55C士2C的恒温箱，保持 4h，进行击打强度试验，试验应在 5min内完成应符合耐击打强度要求。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8、高温耐击打强度检验：防暴盾牌在环境温度为-30C士2C的恒温箱，保持 4h,进行击打强度试验，试验应在 5min 内完成，应符合耐击打强度要求。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▲9、腰间磁吸悬挂装置：盾牌护环和腰带配件的磁吸功能具有抗抢夺性能，结合后，对护环和腰带配件施加 100N 的轴向静拉力不应分离。盾牌可通过护环磁铁与腰带配件结合，在腰间悬挂使用，盾牌护环磁铁与腰间悬挂件结合部位的自动结合距离≤55mm，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10、便携组件作用要求：通过固定在盾牌和固定在腰带上的两个组件，盾牌能快速搭扣在腰带上，搭拆动作≤1秒。利于备勤及抓捕时解放双手，同时不阻碍影响身上其它装备。</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①组件间不应有任何连接物。</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②腰带组件部分可适合腰封、战术背心模块。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④战术动作移动过程不得脱落。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⑤须可单手操作，组件自动闭锁分离。</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⑥须可无需视觉操作。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F6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r>
      <w:tr w14:paraId="7472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7"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8BF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2D1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伞式围挡</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6C9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1、伞式围挡由可折叠骨架，防水围挡布，防脱落配重挂钩，便携携行包组成；每片围挡可以互相粘连任意组合，可以组合成围挡隔离、正方形或长方形，也可以单独使用。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2、骨架：玻纤材质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3、围布材质：高密度防水涤纶布+荧光黄反光条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4、展开尺寸：≥高2000mm×宽2000mm；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5、收纳尺寸：≤长960mm×直径φ160mm；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6、重    量：≤3.5Kg；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7、状态转换时间：单片围挡展开或收缩时间≤30秒；</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8、脱卸性能：围挡布与围挡框架可脱卸更换。</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44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r>
      <w:tr w14:paraId="5F80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C81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5F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轻型折叠围挡</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0FA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1、支架材质：25×25mm高强度镀锌管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2、连接件材质：金属</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3、围布材质：防水涤纶布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4、单片尺寸：≥2000×2000（mm）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5、方管：≥25mm×25mm镀锌管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6、围布材质：牛津布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7、警示条 高强度反光材料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8、面料撕破强力：径向≥50N，纬向≥20N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9、单片抗风强度：4-5级，组合抗风强度：6-7级。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10、组合方式多，可直线式、半包围式、全包围式使用</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38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r>
      <w:tr w14:paraId="2180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0" w:hRule="atLeast"/>
          <w:jc w:val="center"/>
        </w:trPr>
        <w:tc>
          <w:tcPr>
            <w:tcW w:w="53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BF9E">
            <w:pPr>
              <w:keepNext w:val="0"/>
              <w:keepLines w:val="0"/>
              <w:widowControl/>
              <w:suppressLineNumbers w:val="0"/>
              <w:jc w:val="both"/>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3F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智能警犬指挥系统</w:t>
            </w:r>
          </w:p>
        </w:tc>
        <w:tc>
          <w:tcPr>
            <w:tcW w:w="573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61B3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一、4G双镜头图传摄像头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▲1、主机内置双镜头存储摄录，前置镜头支持不低于1920×1080P，30帧高清录像，后置镜头支持不低于1280×720P，30帧高清录像。双镜头均可实现±90度旋转。</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2、配备高强度魔术贴，可与头盔紧密贴合，方便快速安装拆卸。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▲3、关闭红外灯和白光灯，照度为0.01 lx情况下，可分辨≥4m外人脸。主机前置白光灯，有效距离≥1.4m以上；主机后置红外灯，50米外可通过夜视仪查看辨识，肉眼不可见。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▲4、无线通讯功能：可通过4G网络或由专网便携式基站搭建的无线专网传输视频，并可通过电脑上的客户端软件实现同屏显示监视画面；可通过无线网络连接电脑或手机后设置单兵主机参数。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5、设备支持与后台的独立对讲，和群组之间集群对讲，通过无线蓝牙耳机实现, 并与其它布控类设备在同一平台显示。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6、GPS/北斗双模定位，后台可随时调取前端设备位置信息，进行轨迹回放。</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▲7、从按下开机键到进入录像模式所用时间不应大于8s，支持一键报警，按下报警键后，客户端有文字报警提示，且报警录像前后30min录像重点标记。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8、开关操作均有震动提示。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9、主机配备高性能锂电池，无线传输模式4h以上，配重电池工作时间不少于3h。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10、外壳防护等级和跌落距离：防护等级≥IP67，跌落≥2.0米。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11、需提供公安部检测中心出具的检测报告复印件（加盖制造商公章），▲项需在检测报告中体现，否则为不满足。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二、犬头盔</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头盔主体部分依据工作犬活体测量，通过3D扫描建模，使用高强度尼龙材质整体打印而成。头盔内衬可根据佩戴犬种不同而分为M/L/XL三个规格，每个规格均能贴合绝大部分适配犬种的头型，头盔内部采用EVA材质冲压成型，对犬只头部起到充分保护作用。头盔主体的裸重克数小于等于207克。 其搭载的电子降噪耳机可在机降，遇敌交火时隔绝风阻与嘈杂环境音，同时接收带犬员清晰的指令。                                                             三、犬背心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主要材质特点：凯夫拉弹道尼龙，高强度航空铝扣件，胸腹四点固定，建立稳定的多功能挂载平台。可根据需求灵活搭配战术各类套件。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四、遥控口笼：</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依据工作犬活体测量，通过3D扫描建模，使用高强度尼龙材质整体打印而成。口笼内衬可根据佩戴犬种不同而分为M/L/XL三个规格，每个规格均能贴合绝大部分适配犬种的头型，口笼内部采用EVA材质冲压成型，对犬只口吻起到充分保护作用。口笼主体的裸重克数小于等于127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口笼可根据实际情况需要，通过物理按键方式远程遥控，在0~350米范围内可在0.1秒内弹出，释放犬只咬捕功能。在口笼锁闭状态下，可承受约100公斤的撞击力而不脱落，具有普通攻击口笼的撞击作业能力。</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五、电子降噪耳机</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搭载的电子降噪耳机可在垂降、机降、敌后渗透任务中，减少风阻给犬只提供良好的听力保护。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六、护目镜</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采用UV400防紫外线镜片，可拆卸的设计可根据不同场景更换镜片，PC材质具备高韧性、抗冲击、耐腐蚀、防剧蹭、有效的保护犬只的眼部。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弧面设计更提供犬只适应的视角，在防护的同时不影响犬只活动。</w:t>
            </w:r>
          </w:p>
        </w:tc>
        <w:tc>
          <w:tcPr>
            <w:tcW w:w="52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170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r>
      <w:tr w14:paraId="5274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53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C811F">
            <w:pPr>
              <w:jc w:val="center"/>
              <w:rPr>
                <w:rFonts w:hint="eastAsia" w:ascii="宋体" w:hAnsi="宋体" w:eastAsia="宋体" w:cs="宋体"/>
                <w:i w:val="0"/>
                <w:iCs w:val="0"/>
                <w:color w:val="auto"/>
                <w:sz w:val="22"/>
                <w:szCs w:val="22"/>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1BC12">
            <w:pPr>
              <w:jc w:val="center"/>
              <w:rPr>
                <w:rFonts w:hint="eastAsia" w:ascii="宋体" w:hAnsi="宋体" w:eastAsia="宋体" w:cs="宋体"/>
                <w:i w:val="0"/>
                <w:iCs w:val="0"/>
                <w:color w:val="auto"/>
                <w:sz w:val="22"/>
                <w:szCs w:val="22"/>
                <w:u w:val="none"/>
              </w:rPr>
            </w:pPr>
          </w:p>
        </w:tc>
        <w:tc>
          <w:tcPr>
            <w:tcW w:w="573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E035C1">
            <w:pPr>
              <w:jc w:val="left"/>
              <w:rPr>
                <w:rFonts w:hint="eastAsia" w:ascii="宋体" w:hAnsi="宋体" w:eastAsia="宋体" w:cs="宋体"/>
                <w:i w:val="0"/>
                <w:iCs w:val="0"/>
                <w:color w:val="auto"/>
                <w:sz w:val="22"/>
                <w:szCs w:val="22"/>
                <w:u w:val="none"/>
              </w:rPr>
            </w:pPr>
          </w:p>
        </w:tc>
        <w:tc>
          <w:tcPr>
            <w:tcW w:w="52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B60E5">
            <w:pPr>
              <w:jc w:val="center"/>
              <w:rPr>
                <w:rFonts w:hint="eastAsia" w:ascii="宋体" w:hAnsi="宋体" w:eastAsia="宋体" w:cs="宋体"/>
                <w:i w:val="0"/>
                <w:iCs w:val="0"/>
                <w:color w:val="auto"/>
                <w:sz w:val="22"/>
                <w:szCs w:val="22"/>
                <w:u w:val="none"/>
              </w:rPr>
            </w:pPr>
          </w:p>
        </w:tc>
      </w:tr>
      <w:tr w14:paraId="5F34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5"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B55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E0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蝰蛇抓捕叉</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624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▲1、产品由叉杆、侧拉叉头、束缚带及连接绳组成，连接绳与叉头和束缚带连接。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2、尺寸：工作长度:≥2350mm，安保叉携行长度:≤1560mm，安保叉收纳长度:≤967mm，束缚带长度:≥670mm，束缚带宽度:≤64.0mm，握杆直径:≤34.5mm。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3、质量:≤1.75kg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4、纵向抗拉能力:安保叉在叉杆展开、束缚带闭合状态，沿叉杆纵向承受1000N的静拉力作用时，又杆的连接部位、连接绳与叉头和束缚带的连接部位、连接绳、束缚带等不应出现裂纹、断裂或拉脱等现象。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▲5、操作压力:对束缚带进行3次压力试验，束缚带由展开状态转为闭合状态的最大压力为≤45.0N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6、跌落性能:安保叉以水平状态、叉头向下状态、尾端向下状态三种姿态，从3m高度自由跌落至水泥地面上各一次，各部件应无裂纹、变形和断裂，且能正常使用。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7、操作可靠性:束缚带经500次操作后正常使用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C95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4B7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B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AE7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移动照明系统</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3F9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1、一体化灯头设计，由左右两个灯头组成，可折叠收起放置于灯具表面。</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2、采用大容量高能锂离子电池。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▲3、功能和性能检验：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3.1、支持蓝牙、U盘连接播放音频，大功率喇叭，具有无线喊话、扩音、录音功能。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3.2、移动方式：设备应具有滑轮，可实现拉杆拖行、手提、肩背等移动方式，并支持在铁轨上拖行。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升降高度：设备应采用5节伸缩杆，可手动调节高度，最大升起高度大于等于2000mm，收缩高度小于等于 650mm。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3.3、警示灯：设备应具备红蓝交替闪烁式警示灯。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3.4、无极调光功能试验：亮度均可手动实现10%—100%无极调光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3.5、灯头调节角度检查：设备的灯头应能实现水平大于等于360°俯仰 0°-180°的角度调节。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3.6、照度检验：设备在 2m处的光照强度应大于等于20000.0 lx；设备在 5m 处的光照强度应大于等于4000 1x；设备在15m处的光照强度应大于等于 300 1x；设备在 20m 处的光照强度应大于等于200 1x。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3.7、限位功能试验：设备升降杆在达到最大高度后，1h内下滑距离应不超过1.0cm。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3.8、特有的USB输出功能。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4、光源寿命：≥100000h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5、电池寿命：≥1000次循环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6、连续强光使用时间：≥8h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7、充电时间：≤8h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8、照明模式：聚光/泛光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9、防护等级：≥灯头IP66/箱体IP65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10、外形尺寸(收纳)：≤645mm×350mm×210mm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11、重   量：≤19Kg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F5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r>
      <w:tr w14:paraId="24CD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BB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D2E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响尾蛇快速催泪激发器</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4A5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标配一个快速切换快拔套，一个快速催泪击发器，一个公安部新标标横喷催泪器。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 击发器主体和快拔套材料采用进口杜邦PA66注塑成型。</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 快速催泪击发器尺寸（不含快拔套，催泪器）：击发器尺寸：≤188mm×47mm×157mm，重量：≤163克（不含催泪瓦斯）。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 快拔套采用防抢设计，食指解锁，每次拔出需按下释放键击发器才能拔出，快拔套可以在不借用任何工具的情况下，一只手持快拔套一只手持后板反向扭动，可以360度调整角度。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 连接快拔套的板都是采用最新设计的快拆卸板，可以直接快速扣在腰带和背心上，打开方式是侧面按钮按下解锁。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 快速互换结构:快拔套连接有一个方形板，可以直接由上面往下拉插入连接板的快速U形开口位，侧面有按键结构，插入直接卡死，防止快拔套脱落。需要拔出快拔套的时候拇指按下按键解锁，快拔套上拉就可以拔出。</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CD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r>
      <w:tr w14:paraId="099B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98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01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手持金属探测仪</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C05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1、外形尺寸：≤600mm×100mm×70mm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2、整机重量：＜600g（含电池）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3、操作和控制装置检验：按键、开关、充电插孔、信号插座等操作灵活，手感明确，功能可靠</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4、辐射磁感度强度检验：探测器发出的辐射磁场，七磁感应强度在其表面任一点都不超过20μT.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5、适应环境：-20℃-50℃</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DEF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30A2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5"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F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4AA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足迹宽幅强光灯</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5CC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1、尺寸：≤225*200*80mm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2、重量：≤1.92kg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3、功率：≥100W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4、色温：≥6000K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5、光通量：≥1642LM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6、1m处光斑中心照度：≥15650LX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7、工作时间：最大功率工作续航时间≥68min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8、光源：≥18颗 LED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9、光照均匀度：边缘光斑的光强不小中心光斑的80%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10、材料：采用全铝合金精雕加工而成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11、标准配置：足迹灯一个、铝箱一个、电源线一个、充电器一个、说明书一本、合格证一个</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90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6F789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C3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0C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救生衣(充气式)</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274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1、产品有一个尼龙布复合TPU材料制作的气室、自动充气装置、CO2贮气瓶、嘴吹气管和外衣套等组成，在遇险落水的紧急情况下，自动充气装置可在5秒钟内对气室充气，以保证落水人员的安全。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2、重量：≤1.2kg；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3、入水干舷：口部与水平面距离≥100mm；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4、充气时间：≤5s；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5、F浮力：≥150N；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6、漂浮时间：≥24h；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7、24小时后浮力损失：≤5%；</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8、使用环境温度：-30℃～+65℃；</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18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721F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AA9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0EF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救生圈</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30D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1、外观：救生圈外表颜色为橙红色，救生圈表面无凹凸，无开裂，沿救生圈周长四个相等间距位置，环绕贴有50mm宽度的逆向反光带</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2、尺寸：救生圈外径小于800mm，内径大于400mm；救生圈外围装有直径大于9.5mm、长度大于救生圈外径4倍的可浮把手索。此索能紧固在圈体周边4个等距位置上，并形成4个等长的索环。</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3、重量：＞2.5kg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4、材料：整体式救生圈的材料和外壳内充式救生圈的内充材料应采用闭孔型发泡材料。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5、高低温循环：在承受10个高低温循环后，救生圈无皱缩、破裂、膨胀、分解。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6、漂浮试验：救生圈能支撑14.5kg的铁块在淡水重持续漂浮24h。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7、强度试验：悬挂90kg的重物，30min后检查救生圈无破裂和永久变形。</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71D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6732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9D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CB3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救生绳</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7B8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1、材质：高强度丙纶长丝线</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2、颜色：红色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3、拉力≥7000N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4、直径≥10mm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5、长度:≥20m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6、带救生快速拉扣</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C80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6B7D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6"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B9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2B0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救生杆</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B3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杆身材料:玻璃钢纤维绝缘材料</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胶圈材料:抗拉伸胶体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重量:≤0.65 公斤</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最大弯曲直线:≥500 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长度:总长≥ 5.5 米</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节数:≥4 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套圈:直径≥30CM</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D2D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r>
      <w:tr w14:paraId="5400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9"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B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9DD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远距离观察取证仪</w:t>
            </w:r>
          </w:p>
        </w:tc>
        <w:tc>
          <w:tcPr>
            <w:tcW w:w="5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4B9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1、外观尺寸要求：≤149mm*98mm*74mm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▲2、设备重量要求：≤930g</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3、LED显示屏尺寸应不大于3英寸</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4、充电时间：≤5h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整机功耗：白天模式≤2.8W，夜间+激光模式≤5.9W；激光波长和功率：激光中心波长≥940nm，激光功率2W-9W范围可调。激光光源匀化和功率调节：激光光源可随镜头变焦而实现光源匀化，激光开启后，激光光源功率强弱可实现8档调节。彩色模式最低照度要求≤0.001lx,黑白模式最低照度要求≤0.0001lx</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6、镜头可放大倍率范围为1-40倍连续可调，倍率可显示在屏幕上；</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7、耐高低温工作要求：最低工作温度-45℃±2℃，最高工作温度+60℃±2℃</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8、防护等级要求不低于IP64；</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9、激光光源出射角度应能随镜头变焦而同步自动变化，可在2°-65°范围内自动调节。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10、设备具备自动聚焦、键控聚焦和旋钮聚焦三种聚焦模式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▲11、聚焦记忆功能：当镜头变倍后，按下旋钮并前后旋转对目标进行手动聚焦，聚焦清晰后松开旋钮，设备可记忆该聚焦位置，并在下次变焦至该倍率时可自动调用该聚焦位置。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▲12、识别距离性能等检验：</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12.1、观察识别距离要求：白天可识别距样机不低于8500m处的建筑物或大货车轮廓（4.2m x1.9m x1.8m）；夜间照度不大于0.001lx时，可识别距样机3000米处的人体轮廓（1.7m x0.5m）；全黑激光模式下，照度不大于0.001lx时，可识别距样机500米处的人体轮廓（1.7m x0.5m）；在全黑激光模式下，照度不大于0.001lx时，可分辨距样机100米处A4纸上的100磅宋体字。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12.2、最近聚焦距离要求：最近聚焦距离应≤5mm，镜头变倍至1倍时，可分辨距样机5mm处的5号宋体字体。</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12.3、车牌识别距离要求：白天可分辨距样机不低于500米处的小轿车车牌号码，夜间在低照度≤0.001lx时，分辨距样机不低于200米处的小轿车车牌号码。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12.4、透玻璃目标观察功能：夜间平均光照度≤0.001lx时，在激光开启模式下，设备可分辨距样机200m处汽车玻璃或窗户玻璃后的人员面部特征。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13、设备支持本地一键录像、移动侦测录像、循环分段录像（1min、3min、5min可选）手机无线录像四种模式，最大可支持接入128G存储卡。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14、具备一键拍照功能。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15、视频分辨率要求可切换，具备1920x1080、1280x720、848x480三种像素规格，视频帧率为30fps。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16、设备视频可通过手机APP观看，实现拍照和录像功能，并将照片和录像文件存储至手机中。</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17、主机文件和照片可在本机上浏览、播放和删除，具有2秒、5秒、8秒通过幻灯片模式轮流播放预览照片，也可通过USB数据线导出文件。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▲18、扩展功能：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18.1、设备具有无线wifi功能，可作为热点连接手机等设备，可实现无线观察，拍照和录像功能，热点连接有效距离应不小于50m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18.2、运动目标检测功能：设备开启移动侦测功能后，当监控区域内有运动目标出现时，可自动开启录像功能，无运动目标时，自动停止录像。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18.3、应配置外接BF-Y20视频眼镜，内置安卓操作系统，可连接wifi、安装APP软件，眼罩可触摸操作，遥控操作，可播放视频文件，可读取TF卡文件，可通过HDMI接口或Wifi热点方式外接视频眼镜，浏览视频图像。夜视仪主机配接目镜取景器后，可单目隐蔽屏幕观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18.4、屏幕省电保护功能要求：设备在开机无操作状态1min、3min、5min后自动进入屏幕保护模式，保护期间设备可正常录像，任意键可唤醒屏幕。</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    18.5、文件保护功能要求满足：可对存储于设备存储介质中的照片和录像文件进行文件枷锁/解锁保护，被枷锁的文件不能被删除，具备枷锁当前，解锁当前，枷锁全部，解锁全部功能。</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▲19、连续工作时间要求：内置电池供电时，彩色模式工作时间≥20h，夜间模式工作时间≥18h；采用外接电池盒供电时，彩色模式工作时间≥38h，夜间模式工作时间≥35h。</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20、需提供公安部检测中心出具的检测报告复印件（加盖制造商公章），▲项需在检测报告中体现，否则为不满足。</w:t>
            </w:r>
          </w:p>
        </w:tc>
        <w:tc>
          <w:tcPr>
            <w:tcW w:w="5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9C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r>
    </w:tbl>
    <w:p w14:paraId="701A3767">
      <w:pPr>
        <w:pStyle w:val="332"/>
        <w:rPr>
          <w:rFonts w:hint="eastAsia"/>
          <w:color w:val="auto"/>
        </w:rPr>
      </w:pPr>
    </w:p>
    <w:p w14:paraId="20623C1F">
      <w:pPr>
        <w:pStyle w:val="332"/>
        <w:spacing w:line="440" w:lineRule="exact"/>
        <w:ind w:firstLine="480"/>
        <w:rPr>
          <w:rFonts w:hint="eastAsia" w:ascii="宋体" w:hAnsi="宋体"/>
          <w:color w:val="auto"/>
          <w:sz w:val="24"/>
        </w:rPr>
      </w:pPr>
      <w:r>
        <w:rPr>
          <w:rFonts w:hint="eastAsia" w:ascii="宋体" w:hAnsi="宋体"/>
          <w:color w:val="auto"/>
          <w:sz w:val="24"/>
        </w:rPr>
        <w:t>三、注意事项：</w:t>
      </w:r>
    </w:p>
    <w:p w14:paraId="534688A4">
      <w:pPr>
        <w:pStyle w:val="332"/>
        <w:spacing w:line="440" w:lineRule="exact"/>
        <w:ind w:firstLine="480"/>
        <w:rPr>
          <w:rFonts w:ascii="宋体" w:hAnsi="宋体"/>
          <w:color w:val="auto"/>
          <w:sz w:val="24"/>
        </w:rPr>
      </w:pPr>
      <w:r>
        <w:rPr>
          <w:rFonts w:hint="eastAsia" w:ascii="宋体" w:hAnsi="宋体"/>
          <w:color w:val="auto"/>
          <w:sz w:val="24"/>
        </w:rPr>
        <w:t>1.</w:t>
      </w:r>
      <w:r>
        <w:rPr>
          <w:rFonts w:hint="eastAsia" w:ascii="宋体" w:hAnsi="宋体"/>
          <w:color w:val="auto"/>
          <w:sz w:val="24"/>
          <w:lang w:val="zh-CN"/>
        </w:rPr>
        <w:t>当采购数量与实际使用数量不一致时，乙方应根据实际使用量供货，合同的最终结算金额按实际使用量乘以成交单价进行计算。</w:t>
      </w:r>
    </w:p>
    <w:p w14:paraId="0084991D">
      <w:pPr>
        <w:pStyle w:val="332"/>
        <w:spacing w:line="440" w:lineRule="exact"/>
        <w:ind w:firstLine="480"/>
        <w:rPr>
          <w:rFonts w:ascii="宋体" w:hAnsi="宋体"/>
          <w:color w:val="auto"/>
          <w:sz w:val="24"/>
        </w:rPr>
      </w:pPr>
      <w:r>
        <w:rPr>
          <w:rFonts w:hint="eastAsia" w:ascii="宋体" w:hAnsi="宋体"/>
          <w:color w:val="auto"/>
          <w:sz w:val="24"/>
        </w:rPr>
        <w:t>2.除辅助材料和设备（含以施工为主的条目、标明为定制的设备）之外的其它应该标明品牌和规格型号的设备，在响应文件中必须标明设备的品牌和规格型号，否则按无效标处理。</w:t>
      </w:r>
    </w:p>
    <w:p w14:paraId="15B3C578">
      <w:pPr>
        <w:pStyle w:val="332"/>
        <w:spacing w:line="440" w:lineRule="exact"/>
        <w:ind w:firstLine="480"/>
        <w:rPr>
          <w:rFonts w:ascii="宋体" w:hAnsi="宋体"/>
          <w:color w:val="auto"/>
          <w:sz w:val="24"/>
        </w:rPr>
      </w:pPr>
      <w:r>
        <w:rPr>
          <w:rFonts w:hint="eastAsia" w:ascii="宋体" w:hAnsi="宋体"/>
          <w:color w:val="auto"/>
          <w:sz w:val="24"/>
        </w:rPr>
        <w:t>3.供应商在编制投标文件时，供应商应依据采购清单分项进行填报《明细报价表》不得自行增减或改变采购清单数量，否则按无效标处理。</w:t>
      </w:r>
    </w:p>
    <w:p w14:paraId="393A992E">
      <w:pPr>
        <w:pStyle w:val="332"/>
        <w:spacing w:line="440" w:lineRule="exact"/>
        <w:ind w:firstLine="480"/>
        <w:rPr>
          <w:rFonts w:hint="eastAsia" w:ascii="宋体" w:hAnsi="宋体"/>
          <w:color w:val="auto"/>
          <w:sz w:val="24"/>
        </w:rPr>
      </w:pPr>
      <w:r>
        <w:rPr>
          <w:rFonts w:hint="eastAsia" w:ascii="宋体" w:hAnsi="宋体"/>
          <w:color w:val="auto"/>
          <w:sz w:val="24"/>
        </w:rPr>
        <w:t>4.投标人应当对《中小企业声明函》真实性负责。</w:t>
      </w:r>
    </w:p>
    <w:p w14:paraId="43541998">
      <w:pPr>
        <w:pStyle w:val="332"/>
        <w:spacing w:line="440" w:lineRule="exact"/>
        <w:ind w:firstLine="480"/>
        <w:rPr>
          <w:rFonts w:ascii="宋体" w:hAnsi="宋体"/>
          <w:b/>
          <w:bCs/>
          <w:color w:val="auto"/>
          <w:sz w:val="24"/>
        </w:rPr>
      </w:pPr>
      <w:r>
        <w:rPr>
          <w:rFonts w:hint="eastAsia" w:ascii="宋体" w:hAnsi="宋体"/>
          <w:color w:val="auto"/>
          <w:sz w:val="24"/>
        </w:rPr>
        <w:t>5.</w:t>
      </w:r>
      <w:r>
        <w:rPr>
          <w:rFonts w:ascii="宋体" w:hAnsi="宋体"/>
          <w:b/>
          <w:bCs/>
          <w:color w:val="auto"/>
          <w:sz w:val="24"/>
        </w:rPr>
        <w:t>《采购清单及技术参数要求》</w:t>
      </w:r>
      <w:r>
        <w:rPr>
          <w:rFonts w:hint="eastAsia" w:ascii="宋体" w:hAnsi="宋体"/>
          <w:b/>
          <w:bCs/>
          <w:color w:val="auto"/>
          <w:sz w:val="24"/>
        </w:rPr>
        <w:t>中：尺寸标示为“≥、≤、＜、＞”的，不允许偏差；已经</w:t>
      </w:r>
      <w:r>
        <w:rPr>
          <w:rFonts w:ascii="宋体" w:hAnsi="宋体"/>
          <w:b/>
          <w:bCs/>
          <w:color w:val="auto"/>
          <w:sz w:val="24"/>
        </w:rPr>
        <w:t>特别标注偏差</w:t>
      </w:r>
      <w:r>
        <w:rPr>
          <w:rFonts w:hint="eastAsia" w:ascii="宋体" w:hAnsi="宋体"/>
          <w:b/>
          <w:bCs/>
          <w:color w:val="auto"/>
          <w:sz w:val="24"/>
        </w:rPr>
        <w:t>的，按标注处理。其它未标明偏差范围的标的物</w:t>
      </w:r>
      <w:r>
        <w:rPr>
          <w:rFonts w:ascii="宋体" w:hAnsi="宋体"/>
          <w:b/>
          <w:bCs/>
          <w:color w:val="auto"/>
          <w:sz w:val="24"/>
        </w:rPr>
        <w:t>规格尺寸允许偏差</w:t>
      </w:r>
      <w:r>
        <w:rPr>
          <w:rFonts w:hint="eastAsia" w:ascii="宋体" w:hAnsi="宋体"/>
          <w:b/>
          <w:bCs/>
          <w:color w:val="auto"/>
          <w:sz w:val="24"/>
        </w:rPr>
        <w:t>范围为</w:t>
      </w:r>
      <w:r>
        <w:rPr>
          <w:rFonts w:ascii="宋体" w:hAnsi="宋体"/>
          <w:b/>
          <w:bCs/>
          <w:color w:val="auto"/>
          <w:sz w:val="24"/>
        </w:rPr>
        <w:t>±5%。</w:t>
      </w:r>
    </w:p>
    <w:p w14:paraId="62215529">
      <w:pPr>
        <w:pStyle w:val="332"/>
        <w:spacing w:line="440" w:lineRule="exact"/>
        <w:ind w:firstLine="480"/>
        <w:rPr>
          <w:rFonts w:hint="eastAsia" w:ascii="宋体" w:hAnsi="宋体"/>
          <w:color w:val="auto"/>
          <w:sz w:val="24"/>
        </w:rPr>
      </w:pPr>
      <w:r>
        <w:rPr>
          <w:rFonts w:hint="eastAsia" w:ascii="宋体" w:hAnsi="宋体"/>
          <w:color w:val="auto"/>
          <w:sz w:val="24"/>
        </w:rPr>
        <w:t>6.《采购清单及技术参数要求》中所有产品包含该设备安装和使用必需的辅材、配件以及该设备运行所必需的，但清单中未列出的相关设备及辅材设备需供应商自行考虑</w:t>
      </w:r>
      <w:r>
        <w:rPr>
          <w:rFonts w:hint="eastAsia" w:ascii="宋体" w:hAnsi="宋体"/>
          <w:color w:val="auto"/>
          <w:sz w:val="24"/>
          <w:lang w:eastAsia="zh-CN"/>
        </w:rPr>
        <w:t>，</w:t>
      </w:r>
      <w:r>
        <w:rPr>
          <w:rFonts w:hint="eastAsia" w:ascii="宋体" w:hAnsi="宋体"/>
          <w:color w:val="auto"/>
          <w:sz w:val="24"/>
        </w:rPr>
        <w:t>所需的费用一并考虑至投标报价中，后期采购单位将不再额外结算。</w:t>
      </w:r>
    </w:p>
    <w:p w14:paraId="70532E6C">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7.★投标人需承诺本项目要求的产品能够配合接入智能化装备仓储管理平台；融合以下关键功能：</w:t>
      </w:r>
    </w:p>
    <w:p w14:paraId="2CAA1516">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1.数据互通：精准对接装备库存总量、明细表与详细数据，实时反馈出入库总量，保障平台掌握装备静态与流转情况。</w:t>
      </w:r>
    </w:p>
    <w:p w14:paraId="15052E3B">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2.流程协同：适配入库流程自动传数据、依指令精准出库并同步状态；配合盘点任务输出结果；内置传感器实现实时监控与异常告警。</w:t>
      </w:r>
    </w:p>
    <w:p w14:paraId="1AE3732D">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3.统计反馈：按要求报送装备使用频率，主动监测并推送质保过期、库存不足、报废待检等告警数据。</w:t>
      </w:r>
    </w:p>
    <w:p w14:paraId="7D3AA358">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4.记录操作：完整上传领取、归还记录，支持平台对其删除、查询；依指令按类型展示装备列表，允许平台执行装备全生命周期操作。</w:t>
      </w:r>
    </w:p>
    <w:p w14:paraId="5ADB2188">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（投标人需提供承诺函并加盖公章，格式自拟）</w:t>
      </w:r>
    </w:p>
    <w:p w14:paraId="7E8FA309">
      <w:pPr>
        <w:pStyle w:val="332"/>
        <w:spacing w:line="440" w:lineRule="exact"/>
        <w:ind w:firstLine="48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标“</w:t>
      </w:r>
      <w:bookmarkStart w:id="7" w:name="OLE_LINK73"/>
      <w:r>
        <w:rPr>
          <w:rFonts w:hint="eastAsia" w:ascii="宋体" w:hAnsi="宋体"/>
          <w:color w:val="auto"/>
          <w:sz w:val="24"/>
          <w:highlight w:val="none"/>
          <w:lang w:val="en-US" w:eastAsia="zh-CN"/>
        </w:rPr>
        <w:t>★</w:t>
      </w:r>
      <w:bookmarkEnd w:id="7"/>
      <w:r>
        <w:rPr>
          <w:rFonts w:hint="eastAsia" w:ascii="宋体" w:hAnsi="宋体"/>
          <w:color w:val="auto"/>
          <w:sz w:val="24"/>
          <w:highlight w:val="none"/>
          <w:lang w:val="en-US" w:eastAsia="zh-CN"/>
        </w:rPr>
        <w:t>”部分，为实质性要求，不接受负偏离，按要求提供证明材料，否则按无效标处理。</w:t>
      </w:r>
    </w:p>
    <w:p w14:paraId="22CB0B2B">
      <w:pPr>
        <w:pStyle w:val="335"/>
        <w:spacing w:line="480" w:lineRule="exact"/>
        <w:ind w:firstLine="482"/>
        <w:outlineLvl w:val="1"/>
        <w:rPr>
          <w:rFonts w:hint="eastAsia" w:ascii="宋体" w:hAnsi="宋体" w:cs="宋体"/>
          <w:b/>
          <w:bCs/>
          <w:color w:val="auto"/>
          <w:sz w:val="24"/>
        </w:rPr>
      </w:pPr>
      <w:r>
        <w:rPr>
          <w:rFonts w:hint="eastAsia" w:ascii="宋体" w:hAnsi="宋体" w:cs="宋体"/>
          <w:b/>
          <w:bCs/>
          <w:color w:val="auto"/>
          <w:sz w:val="24"/>
        </w:rPr>
        <w:t>四、落实商品包装、快递包装政府采购需求标准</w:t>
      </w:r>
    </w:p>
    <w:p w14:paraId="5DF9E7B8">
      <w:pPr>
        <w:pStyle w:val="335"/>
        <w:spacing w:line="480" w:lineRule="exact"/>
        <w:ind w:firstLine="480"/>
        <w:rPr>
          <w:rFonts w:hint="eastAsia" w:ascii="宋体" w:hAnsi="宋体" w:cs="宋体"/>
          <w:color w:val="auto"/>
          <w:sz w:val="24"/>
        </w:rPr>
      </w:pPr>
      <w:r>
        <w:rPr>
          <w:rFonts w:hint="eastAsia" w:ascii="宋体" w:hAnsi="宋体" w:cs="宋体"/>
          <w:color w:val="auto"/>
          <w:sz w:val="24"/>
        </w:rPr>
        <w:t>供应商所投产品需进行商品包装和快递包装的，应不低于《关于印发〈商品包装政府采购需求标准（试行）〉、〈快递包装政府采购需求标准（试行）〉的通知》（财办库〔2020〕123 号）文件规定的参考标准。在履约验收时按照本条款执行，违反本约定的对照合同违约条款追究违约责任。供应商一旦参与本项目投标，即完全响应本条款要求。</w:t>
      </w:r>
    </w:p>
    <w:p w14:paraId="625265F2">
      <w:pPr>
        <w:pStyle w:val="335"/>
        <w:spacing w:line="480" w:lineRule="exact"/>
        <w:ind w:firstLine="482"/>
        <w:outlineLvl w:val="1"/>
        <w:rPr>
          <w:rFonts w:hint="eastAsia" w:ascii="宋体" w:hAnsi="宋体" w:cs="宋体"/>
          <w:b/>
          <w:bCs/>
          <w:color w:val="auto"/>
          <w:sz w:val="24"/>
        </w:rPr>
      </w:pPr>
      <w:r>
        <w:rPr>
          <w:rFonts w:hint="eastAsia" w:ascii="宋体" w:hAnsi="宋体" w:cs="宋体"/>
          <w:b/>
          <w:bCs/>
          <w:color w:val="auto"/>
          <w:sz w:val="24"/>
        </w:rPr>
        <w:t>五、落实节能、环保产品政策</w:t>
      </w:r>
    </w:p>
    <w:p w14:paraId="6C4192F5">
      <w:pPr>
        <w:pStyle w:val="335"/>
        <w:spacing w:line="480" w:lineRule="exact"/>
        <w:ind w:firstLine="480"/>
        <w:rPr>
          <w:rFonts w:hint="eastAsia" w:ascii="宋体" w:hAnsi="宋体" w:cs="宋体"/>
          <w:color w:val="auto"/>
          <w:sz w:val="24"/>
        </w:rPr>
      </w:pPr>
      <w:r>
        <w:rPr>
          <w:rFonts w:hint="eastAsia" w:ascii="宋体" w:hAnsi="宋体" w:cs="宋体"/>
          <w:color w:val="auto"/>
          <w:sz w:val="24"/>
        </w:rPr>
        <w:t>对照财库〔2019〕9 号、财库〔2019〕19 号文件规定，供应商所投产品属于强制采购产品的，应提供国家市场监督管理局确定的列入“参与实施政府采购节能产品认证机构名录”内的认证机构出具的、有效期内的该产品的节能产品认证证书电子件，不满足以上要求的按无效标处理。</w:t>
      </w:r>
    </w:p>
    <w:p w14:paraId="0B323E4F">
      <w:pPr>
        <w:spacing w:line="480" w:lineRule="exact"/>
        <w:ind w:firstLine="482"/>
        <w:rPr>
          <w:rFonts w:ascii="宋体" w:hAnsi="宋体" w:cs="宋体"/>
          <w:b/>
          <w:bCs/>
          <w:color w:val="auto"/>
          <w:sz w:val="24"/>
        </w:rPr>
      </w:pPr>
      <w:r>
        <w:rPr>
          <w:rFonts w:hint="eastAsia" w:ascii="宋体" w:hAnsi="宋体" w:cs="宋体"/>
          <w:b/>
          <w:bCs/>
          <w:color w:val="auto"/>
          <w:sz w:val="24"/>
        </w:rPr>
        <w:t>六、项目供货方案</w:t>
      </w:r>
    </w:p>
    <w:p w14:paraId="4741B300">
      <w:pPr>
        <w:spacing w:line="480" w:lineRule="exact"/>
        <w:ind w:firstLine="480"/>
        <w:rPr>
          <w:rFonts w:ascii="宋体" w:hAnsi="宋体" w:cs="宋体"/>
          <w:color w:val="auto"/>
          <w:sz w:val="24"/>
        </w:rPr>
      </w:pPr>
      <w:r>
        <w:rPr>
          <w:rFonts w:hint="eastAsia" w:ascii="宋体" w:hAnsi="宋体" w:cs="宋体"/>
          <w:color w:val="auto"/>
          <w:sz w:val="24"/>
        </w:rPr>
        <w:t>1、项目实施方案应包含工期管理、风险预防及控制措施、突发应急事件处置方案，有明确的时间节点和进度安排，项目管理运行机制健全。</w:t>
      </w:r>
    </w:p>
    <w:p w14:paraId="0384D6C9">
      <w:pPr>
        <w:spacing w:line="480" w:lineRule="exact"/>
        <w:ind w:firstLine="480"/>
        <w:rPr>
          <w:rFonts w:ascii="宋体" w:hAnsi="宋体" w:cs="宋体"/>
          <w:color w:val="auto"/>
          <w:sz w:val="24"/>
        </w:rPr>
      </w:pPr>
      <w:r>
        <w:rPr>
          <w:rFonts w:hint="eastAsia" w:ascii="宋体" w:hAnsi="宋体" w:cs="宋体"/>
          <w:color w:val="auto"/>
          <w:sz w:val="24"/>
        </w:rPr>
        <w:t>2、中标人应将所供货物运送到采购人指定地点，并为使用单位提供安装及调试服务，以保证产品正常投入使用。</w:t>
      </w:r>
    </w:p>
    <w:p w14:paraId="1E15ABE4">
      <w:pPr>
        <w:spacing w:line="480" w:lineRule="exact"/>
        <w:ind w:firstLine="480"/>
        <w:rPr>
          <w:rFonts w:hint="eastAsia" w:ascii="宋体" w:hAnsi="宋体" w:cs="宋体"/>
          <w:color w:val="auto"/>
          <w:sz w:val="24"/>
        </w:rPr>
      </w:pPr>
      <w:r>
        <w:rPr>
          <w:rFonts w:hint="eastAsia" w:ascii="宋体" w:hAnsi="宋体" w:cs="宋体"/>
          <w:color w:val="auto"/>
          <w:sz w:val="24"/>
        </w:rPr>
        <w:t>3、安全及环境保护要求：加强安全管理，对现场安全负完全责任；负责送货、安装、调试现场安全管理、环境保护管理，项目实施过程中产生的包装等废弃垃圾搬运至采购人指定地点并清扫现场。</w:t>
      </w:r>
    </w:p>
    <w:p w14:paraId="13BA7D86">
      <w:pPr>
        <w:spacing w:line="480" w:lineRule="exact"/>
        <w:ind w:firstLine="482"/>
        <w:rPr>
          <w:rFonts w:hint="eastAsia" w:ascii="宋体" w:hAnsi="宋体" w:eastAsia="宋体" w:cs="宋体"/>
          <w:b/>
          <w:bCs/>
          <w:color w:val="auto"/>
          <w:sz w:val="24"/>
        </w:rPr>
      </w:pPr>
      <w:r>
        <w:rPr>
          <w:rFonts w:hint="eastAsia" w:ascii="宋体" w:hAnsi="宋体" w:eastAsia="宋体" w:cs="宋体"/>
          <w:b/>
          <w:bCs/>
          <w:color w:val="auto"/>
          <w:sz w:val="24"/>
          <w:lang w:val="en-US" w:eastAsia="zh-CN"/>
        </w:rPr>
        <w:t>七、</w:t>
      </w:r>
      <w:r>
        <w:rPr>
          <w:rFonts w:hint="eastAsia" w:ascii="宋体" w:hAnsi="宋体" w:eastAsia="宋体" w:cs="宋体"/>
          <w:b/>
          <w:bCs/>
          <w:color w:val="auto"/>
          <w:sz w:val="24"/>
        </w:rPr>
        <w:t xml:space="preserve"> 项目质量保障措施</w:t>
      </w:r>
    </w:p>
    <w:p w14:paraId="573BF266">
      <w:pPr>
        <w:spacing w:line="480" w:lineRule="exact"/>
        <w:ind w:firstLine="787"/>
        <w:rPr>
          <w:rFonts w:hint="eastAsia" w:ascii="宋体" w:hAnsi="宋体" w:eastAsia="宋体" w:cs="宋体"/>
          <w:color w:val="auto"/>
          <w:sz w:val="24"/>
          <w:lang w:val="en-US" w:eastAsia="zh-CN"/>
        </w:rPr>
      </w:pPr>
      <w:r>
        <w:rPr>
          <w:rFonts w:hint="eastAsia" w:ascii="宋体" w:hAnsi="宋体" w:eastAsia="宋体" w:cs="宋体"/>
          <w:color w:val="auto"/>
          <w:sz w:val="24"/>
        </w:rPr>
        <w:t>提供的货物</w:t>
      </w:r>
      <w:r>
        <w:rPr>
          <w:rFonts w:hint="eastAsia" w:ascii="宋体" w:hAnsi="宋体" w:eastAsia="宋体" w:cs="宋体"/>
          <w:color w:val="auto"/>
          <w:sz w:val="24"/>
          <w:lang w:val="en-US" w:eastAsia="zh-CN"/>
        </w:rPr>
        <w:t>的</w:t>
      </w:r>
      <w:r>
        <w:rPr>
          <w:rFonts w:hint="eastAsia" w:ascii="宋体" w:hAnsi="宋体" w:eastAsia="宋体" w:cs="宋体"/>
          <w:color w:val="auto"/>
          <w:sz w:val="24"/>
        </w:rPr>
        <w:t>规格型号、技术性能、配置、质量、数量等</w:t>
      </w:r>
      <w:r>
        <w:rPr>
          <w:rFonts w:hint="eastAsia" w:ascii="宋体" w:hAnsi="宋体" w:eastAsia="宋体" w:cs="宋体"/>
          <w:color w:val="auto"/>
          <w:sz w:val="24"/>
          <w:lang w:val="en-US" w:eastAsia="zh-CN"/>
        </w:rPr>
        <w:t>要满足使用</w:t>
      </w:r>
      <w:r>
        <w:rPr>
          <w:rFonts w:hint="eastAsia" w:ascii="宋体" w:hAnsi="宋体" w:eastAsia="宋体" w:cs="宋体"/>
          <w:color w:val="auto"/>
          <w:sz w:val="24"/>
        </w:rPr>
        <w:t>要求</w:t>
      </w:r>
      <w:r>
        <w:rPr>
          <w:rFonts w:hint="eastAsia" w:ascii="宋体" w:hAnsi="宋体" w:eastAsia="宋体" w:cs="宋体"/>
          <w:color w:val="auto"/>
          <w:sz w:val="24"/>
          <w:lang w:eastAsia="zh-CN"/>
        </w:rPr>
        <w:t>，</w:t>
      </w:r>
      <w:r>
        <w:rPr>
          <w:rFonts w:hint="eastAsia" w:ascii="宋体" w:hAnsi="宋体" w:eastAsia="宋体" w:cs="宋体"/>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lang w:eastAsia="zh-CN"/>
        </w:rPr>
        <w:t>，</w:t>
      </w:r>
      <w:r>
        <w:rPr>
          <w:rFonts w:hint="eastAsia" w:ascii="宋体" w:hAnsi="宋体" w:eastAsia="宋体" w:cs="宋体"/>
          <w:color w:val="auto"/>
          <w:sz w:val="24"/>
        </w:rPr>
        <w:t>应符合国家有关安全、环保、卫生的规定。乙方应向甲方提交所提供货物的技术文件，包括相应的中文技术文件，如：产品目录、图纸、操作手册、使用说明、维护手册或服务指南等。上述文件应包装好随货物一同发运</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rPr>
        <w:t>措施方案应符合政策规定及切合当地实际情况，具有具体的保障措施手段充分保障项目质量，方案内容应当全面、细致、具体可行。</w:t>
      </w:r>
    </w:p>
    <w:p w14:paraId="6DA34DB5">
      <w:pPr>
        <w:spacing w:line="480" w:lineRule="exact"/>
        <w:ind w:firstLine="482"/>
        <w:rPr>
          <w:rFonts w:ascii="宋体" w:hAnsi="宋体" w:cs="宋体"/>
          <w:b/>
          <w:bCs/>
          <w:color w:val="auto"/>
          <w:sz w:val="24"/>
        </w:rPr>
      </w:pPr>
      <w:r>
        <w:rPr>
          <w:rFonts w:hint="eastAsia" w:ascii="宋体" w:hAnsi="宋体" w:cs="宋体"/>
          <w:b/>
          <w:bCs/>
          <w:color w:val="auto"/>
          <w:sz w:val="24"/>
          <w:lang w:val="en-US" w:eastAsia="zh-CN"/>
        </w:rPr>
        <w:t>八</w:t>
      </w:r>
      <w:r>
        <w:rPr>
          <w:rFonts w:hint="eastAsia" w:ascii="宋体" w:hAnsi="宋体" w:cs="宋体"/>
          <w:b/>
          <w:bCs/>
          <w:color w:val="auto"/>
          <w:sz w:val="24"/>
        </w:rPr>
        <w:t>、培训及技术支持要求</w:t>
      </w:r>
    </w:p>
    <w:p w14:paraId="427BD757">
      <w:pPr>
        <w:spacing w:line="480" w:lineRule="exact"/>
        <w:ind w:firstLine="480"/>
        <w:rPr>
          <w:rFonts w:ascii="宋体" w:hAnsi="宋体" w:cs="宋体"/>
          <w:color w:val="auto"/>
          <w:sz w:val="24"/>
        </w:rPr>
      </w:pPr>
      <w:r>
        <w:rPr>
          <w:rFonts w:hint="eastAsia" w:ascii="宋体" w:hAnsi="宋体" w:cs="宋体"/>
          <w:color w:val="auto"/>
          <w:sz w:val="24"/>
        </w:rPr>
        <w:t xml:space="preserve">1、针对本项目提供培训方案，包括但不限于培训设备操作内容、订立培训时间、注明培训地点和培训方式、参加培训的人员、编写培训教材等； </w:t>
      </w:r>
    </w:p>
    <w:p w14:paraId="19E43127">
      <w:pPr>
        <w:spacing w:line="480" w:lineRule="exact"/>
        <w:ind w:firstLine="480"/>
        <w:rPr>
          <w:rFonts w:ascii="宋体" w:hAnsi="宋体" w:cs="宋体"/>
          <w:color w:val="auto"/>
          <w:sz w:val="24"/>
        </w:rPr>
      </w:pPr>
      <w:r>
        <w:rPr>
          <w:rFonts w:hint="eastAsia" w:ascii="宋体" w:hAnsi="宋体" w:cs="宋体"/>
          <w:color w:val="auto"/>
          <w:sz w:val="24"/>
        </w:rPr>
        <w:t>2、供应商须配备最少1名技术人员，服务电话，负责解答用户在设备使用中遇到的问题，及时提出解决问题的建议和操作方法，并能够及时派出技术人员，现场提供临时性应急保障及维修需求。</w:t>
      </w:r>
    </w:p>
    <w:p w14:paraId="225BAD07">
      <w:pPr>
        <w:spacing w:line="480" w:lineRule="exact"/>
        <w:ind w:firstLine="480"/>
        <w:rPr>
          <w:rFonts w:hint="eastAsia" w:ascii="宋体" w:hAnsi="宋体" w:cs="宋体"/>
          <w:color w:val="auto"/>
          <w:sz w:val="24"/>
        </w:rPr>
      </w:pPr>
      <w:r>
        <w:rPr>
          <w:rFonts w:hint="eastAsia" w:ascii="宋体" w:hAnsi="宋体" w:cs="宋体"/>
          <w:color w:val="auto"/>
          <w:sz w:val="24"/>
        </w:rPr>
        <w:t>3、供应商提供每半年至少2次的专业技术人员到现场培训。</w:t>
      </w:r>
    </w:p>
    <w:p w14:paraId="73597826">
      <w:pPr>
        <w:spacing w:line="480" w:lineRule="exact"/>
        <w:ind w:firstLine="482"/>
        <w:rPr>
          <w:rFonts w:ascii="宋体" w:hAnsi="宋体" w:cs="宋体"/>
          <w:b/>
          <w:bCs/>
          <w:color w:val="auto"/>
          <w:sz w:val="24"/>
        </w:rPr>
      </w:pPr>
      <w:r>
        <w:rPr>
          <w:rFonts w:hint="eastAsia" w:ascii="宋体" w:hAnsi="宋体" w:cs="宋体"/>
          <w:b/>
          <w:bCs/>
          <w:color w:val="auto"/>
          <w:sz w:val="24"/>
          <w:lang w:val="en-US" w:eastAsia="zh-CN"/>
        </w:rPr>
        <w:t>九</w:t>
      </w:r>
      <w:r>
        <w:rPr>
          <w:rFonts w:hint="eastAsia" w:ascii="宋体" w:hAnsi="宋体" w:cs="宋体"/>
          <w:b/>
          <w:bCs/>
          <w:color w:val="auto"/>
          <w:sz w:val="24"/>
        </w:rPr>
        <w:t>、售后服务要求</w:t>
      </w:r>
    </w:p>
    <w:p w14:paraId="1486BE4F">
      <w:pPr>
        <w:spacing w:line="480" w:lineRule="exact"/>
        <w:ind w:firstLine="480"/>
        <w:rPr>
          <w:rFonts w:ascii="宋体" w:hAnsi="宋体" w:cs="宋体"/>
          <w:color w:val="auto"/>
          <w:sz w:val="24"/>
        </w:rPr>
      </w:pPr>
      <w:r>
        <w:rPr>
          <w:rFonts w:hint="eastAsia" w:ascii="宋体" w:hAnsi="宋体" w:cs="宋体"/>
          <w:color w:val="auto"/>
          <w:sz w:val="24"/>
        </w:rPr>
        <w:t>1、此项目要求提供技术支持服务，处理用户出现的各种问题和故障，以保证用户工作的正常运行。服务响应时间</w:t>
      </w:r>
      <w:r>
        <w:rPr>
          <w:rFonts w:ascii="宋体" w:hAnsi="宋体" w:cs="宋体"/>
          <w:color w:val="auto"/>
          <w:sz w:val="24"/>
        </w:rPr>
        <w:t>30</w:t>
      </w:r>
      <w:r>
        <w:rPr>
          <w:rFonts w:hint="eastAsia" w:ascii="宋体" w:hAnsi="宋体" w:cs="宋体"/>
          <w:color w:val="auto"/>
          <w:sz w:val="24"/>
        </w:rPr>
        <w:t>分钟、一般售后问题时间控制在</w:t>
      </w:r>
      <w:r>
        <w:rPr>
          <w:rFonts w:ascii="宋体" w:hAnsi="宋体" w:cs="宋体"/>
          <w:color w:val="auto"/>
          <w:sz w:val="24"/>
        </w:rPr>
        <w:t>2</w:t>
      </w:r>
      <w:r>
        <w:rPr>
          <w:rFonts w:hint="eastAsia" w:ascii="宋体" w:hAnsi="宋体" w:cs="宋体"/>
          <w:color w:val="auto"/>
          <w:sz w:val="24"/>
        </w:rPr>
        <w:t>小时内、重大售后问题时间控制住4小时内。在客户工作需要技术支持情况下，如需现场解决，到达现场时间不超过</w:t>
      </w:r>
      <w:r>
        <w:rPr>
          <w:rFonts w:ascii="宋体" w:hAnsi="宋体" w:cs="宋体"/>
          <w:color w:val="auto"/>
          <w:sz w:val="24"/>
        </w:rPr>
        <w:t>12</w:t>
      </w:r>
      <w:r>
        <w:rPr>
          <w:rFonts w:hint="eastAsia" w:ascii="宋体" w:hAnsi="宋体" w:cs="宋体"/>
          <w:color w:val="auto"/>
          <w:sz w:val="24"/>
        </w:rPr>
        <w:t>小时，特殊情况下不超过</w:t>
      </w:r>
      <w:r>
        <w:rPr>
          <w:rFonts w:ascii="宋体" w:hAnsi="宋体" w:cs="宋体"/>
          <w:color w:val="auto"/>
          <w:sz w:val="24"/>
        </w:rPr>
        <w:t>48</w:t>
      </w:r>
      <w:r>
        <w:rPr>
          <w:rFonts w:hint="eastAsia" w:ascii="宋体" w:hAnsi="宋体" w:cs="宋体"/>
          <w:color w:val="auto"/>
          <w:sz w:val="24"/>
        </w:rPr>
        <w:t>小时。</w:t>
      </w:r>
    </w:p>
    <w:p w14:paraId="7913268C">
      <w:pPr>
        <w:spacing w:line="480" w:lineRule="exact"/>
        <w:ind w:firstLine="480"/>
        <w:rPr>
          <w:rFonts w:ascii="宋体" w:hAnsi="宋体" w:cs="宋体"/>
          <w:color w:val="auto"/>
          <w:sz w:val="24"/>
        </w:rPr>
      </w:pPr>
      <w:r>
        <w:rPr>
          <w:rFonts w:hint="eastAsia" w:ascii="宋体" w:hAnsi="宋体" w:cs="宋体"/>
          <w:color w:val="auto"/>
          <w:sz w:val="24"/>
        </w:rPr>
        <w:t>2、如3个工作日内不能修复必须提供备用机使用，确保招标方能正常开展工作，设备在设计有效期内，保证更换到原厂配件。</w:t>
      </w:r>
    </w:p>
    <w:p w14:paraId="444F02F6">
      <w:pPr>
        <w:spacing w:line="480" w:lineRule="exact"/>
        <w:ind w:firstLine="480"/>
        <w:rPr>
          <w:rFonts w:ascii="宋体" w:hAnsi="宋体" w:cs="宋体"/>
          <w:color w:val="auto"/>
          <w:sz w:val="24"/>
        </w:rPr>
      </w:pPr>
      <w:r>
        <w:rPr>
          <w:rFonts w:hint="eastAsia" w:ascii="宋体" w:hAnsi="宋体" w:cs="宋体"/>
          <w:color w:val="auto"/>
          <w:sz w:val="24"/>
        </w:rPr>
        <w:t>3、在安装过程中或安装结束后，为采购方工程师和操作人员提供现场维修、保养、操作培训并提供快捷操作指南（塑胶封好，挂在设备上）。</w:t>
      </w:r>
    </w:p>
    <w:p w14:paraId="3F01DE30">
      <w:pPr>
        <w:spacing w:line="480" w:lineRule="exact"/>
        <w:ind w:firstLine="480"/>
        <w:rPr>
          <w:rFonts w:ascii="宋体" w:hAnsi="宋体" w:cs="宋体"/>
          <w:color w:val="auto"/>
          <w:sz w:val="24"/>
        </w:rPr>
      </w:pPr>
      <w:r>
        <w:rPr>
          <w:rFonts w:ascii="宋体" w:hAnsi="宋体" w:cs="宋体"/>
          <w:color w:val="auto"/>
          <w:sz w:val="24"/>
        </w:rPr>
        <w:t>4</w:t>
      </w:r>
      <w:r>
        <w:rPr>
          <w:rFonts w:hint="eastAsia" w:ascii="宋体" w:hAnsi="宋体" w:cs="宋体"/>
          <w:color w:val="auto"/>
          <w:sz w:val="24"/>
        </w:rPr>
        <w:t>、根据该项目提供符合</w:t>
      </w:r>
      <w:r>
        <w:rPr>
          <w:rFonts w:hint="eastAsia" w:ascii="宋体" w:hAnsi="宋体" w:cs="宋体"/>
          <w:color w:val="auto"/>
          <w:sz w:val="24"/>
          <w:lang w:val="en-US" w:eastAsia="zh-CN"/>
        </w:rPr>
        <w:t>实际</w:t>
      </w:r>
      <w:r>
        <w:rPr>
          <w:rFonts w:hint="eastAsia" w:ascii="宋体" w:hAnsi="宋体" w:cs="宋体"/>
          <w:color w:val="auto"/>
          <w:sz w:val="24"/>
        </w:rPr>
        <w:t>情况的售后服务方案及应急服务方案，并提供备用配件供临时使用。应急售后措施完善，有预见性，对可能存在的情况有具体应对方案和具体时间节点安排，管理力量雄厚，技术人员专业素养高且有经验，人员配备合理等。</w:t>
      </w:r>
    </w:p>
    <w:p w14:paraId="58BF7B31">
      <w:pPr>
        <w:spacing w:line="480" w:lineRule="exact"/>
        <w:ind w:firstLine="480"/>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 xml:space="preserve">、自验收单上签字之日起计算,在规定的售后服务期内，对提供的产品进行维修，不收取任何额外费用；售后服务期间内，应保证提供每年至少2次的免费维护、检修服务，除易损件（出厂随机配备的备品、备件范围）外，各种设备经两次维修后仍不能正常使用，应更换同品牌、同型号设备。自更换之日起重新计算质量保证期限。 </w:t>
      </w:r>
    </w:p>
    <w:p w14:paraId="4CA03323">
      <w:pPr>
        <w:pStyle w:val="335"/>
        <w:spacing w:line="480" w:lineRule="exact"/>
        <w:ind w:firstLine="482"/>
        <w:rPr>
          <w:rFonts w:ascii="宋体" w:hAnsi="宋体" w:cs="宋体"/>
          <w:b/>
          <w:bCs/>
          <w:color w:val="auto"/>
          <w:sz w:val="24"/>
        </w:rPr>
      </w:pPr>
      <w:r>
        <w:rPr>
          <w:rFonts w:hint="eastAsia" w:ascii="宋体" w:hAnsi="宋体" w:cs="宋体"/>
          <w:b/>
          <w:bCs/>
          <w:color w:val="auto"/>
          <w:sz w:val="24"/>
          <w:lang w:val="en-US" w:eastAsia="zh-CN"/>
        </w:rPr>
        <w:t>十</w:t>
      </w:r>
      <w:r>
        <w:rPr>
          <w:rFonts w:hint="eastAsia" w:ascii="宋体" w:hAnsi="宋体" w:cs="宋体"/>
          <w:b/>
          <w:bCs/>
          <w:color w:val="auto"/>
          <w:sz w:val="24"/>
        </w:rPr>
        <w:t>、注意</w:t>
      </w:r>
    </w:p>
    <w:p w14:paraId="6FE1AC41">
      <w:pPr>
        <w:pStyle w:val="335"/>
        <w:spacing w:line="480" w:lineRule="exact"/>
        <w:ind w:firstLine="480"/>
        <w:rPr>
          <w:rFonts w:ascii="宋体" w:hAnsi="宋体" w:cs="宋体"/>
          <w:color w:val="auto"/>
          <w:sz w:val="24"/>
        </w:rPr>
      </w:pPr>
      <w:r>
        <w:rPr>
          <w:rFonts w:hint="eastAsia" w:ascii="宋体" w:hAnsi="宋体" w:cs="宋体"/>
          <w:color w:val="auto"/>
          <w:sz w:val="24"/>
        </w:rPr>
        <w:t xml:space="preserve">（一）本项目对任何有选择的报价将不予接受，只允许有一个报价。报价内容包括: </w:t>
      </w:r>
      <w:bookmarkStart w:id="8" w:name="_Hlk168577691"/>
      <w:r>
        <w:rPr>
          <w:rFonts w:hint="eastAsia" w:ascii="宋体" w:hAnsi="宋体" w:cs="宋体"/>
          <w:color w:val="auto"/>
          <w:sz w:val="24"/>
        </w:rPr>
        <w:t>货物本身价格、安装费、装卸费、人工费、运输费、报验、检测、检验、售后服务、税金及交付使用过程中涉及到的其他一切费用。</w:t>
      </w:r>
      <w:bookmarkEnd w:id="8"/>
      <w:r>
        <w:rPr>
          <w:rFonts w:hint="eastAsia" w:ascii="宋体" w:hAnsi="宋体" w:cs="宋体"/>
          <w:color w:val="auto"/>
          <w:sz w:val="24"/>
        </w:rPr>
        <w:t xml:space="preserve"> </w:t>
      </w:r>
    </w:p>
    <w:p w14:paraId="04A0AF3F">
      <w:pPr>
        <w:pStyle w:val="336"/>
        <w:spacing w:line="480" w:lineRule="exact"/>
        <w:ind w:firstLine="480"/>
        <w:rPr>
          <w:rFonts w:hint="eastAsia" w:ascii="宋体" w:hAnsi="宋体" w:eastAsia="宋体" w:cs="宋体"/>
          <w:color w:val="auto"/>
          <w:sz w:val="24"/>
        </w:rPr>
      </w:pPr>
      <w:r>
        <w:rPr>
          <w:rFonts w:hint="eastAsia" w:ascii="宋体" w:hAnsi="宋体" w:eastAsia="宋体" w:cs="宋体"/>
          <w:color w:val="auto"/>
          <w:sz w:val="24"/>
        </w:rPr>
        <w:t>（二）供应商报价时应充分考虑所有可能影响到报价的因素，一旦最终中标，总价将包定。不予调整。如发生漏、缺、少项，都将被认为是成交人的报价让利行为，损失自负。</w:t>
      </w:r>
    </w:p>
    <w:bookmarkEnd w:id="3"/>
    <w:bookmarkEnd w:id="4"/>
    <w:bookmarkEnd w:id="5"/>
    <w:bookmarkEnd w:id="6"/>
    <w:p w14:paraId="1426D8C1">
      <w:pPr>
        <w:pStyle w:val="185"/>
        <w:jc w:val="both"/>
        <w:rPr>
          <w:color w:val="auto"/>
          <w:sz w:val="24"/>
          <w:szCs w:val="24"/>
        </w:rPr>
      </w:pPr>
    </w:p>
    <w:sectPr>
      <w:headerReference r:id="rId3" w:type="default"/>
      <w:footerReference r:id="rId4" w:type="default"/>
      <w:footerReference r:id="rId5" w:type="even"/>
      <w:pgSz w:w="11906" w:h="16838" w:orient="landscape"/>
      <w:pgMar w:top="1418" w:right="1588" w:bottom="1418" w:left="1365" w:header="851" w:footer="907"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B0604020202020204"/>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方正仿宋_GBK">
    <w:altName w:val="微软雅黑"/>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4133">
    <w:pPr>
      <w:pStyle w:val="231"/>
      <w:framePr w:wrap="around" w:vAnchor="text" w:hAnchor="margin" w:xAlign="center" w:y="1"/>
      <w:rPr>
        <w:rStyle w:val="256"/>
        <w:rFonts w:ascii="宋体" w:hAnsi="宋体"/>
      </w:rPr>
    </w:pPr>
    <w:r>
      <w:rPr>
        <w:rFonts w:ascii="宋体" w:hAnsi="宋体"/>
      </w:rPr>
      <w:fldChar w:fldCharType="begin"/>
    </w:r>
    <w:r>
      <w:rPr>
        <w:rStyle w:val="256"/>
        <w:rFonts w:ascii="宋体" w:hAnsi="宋体"/>
      </w:rPr>
      <w:instrText xml:space="preserve">PAGE  </w:instrText>
    </w:r>
    <w:r>
      <w:rPr>
        <w:rFonts w:ascii="宋体" w:hAnsi="宋体"/>
      </w:rPr>
      <w:fldChar w:fldCharType="separate"/>
    </w:r>
    <w:r>
      <w:rPr>
        <w:rStyle w:val="256"/>
        <w:rFonts w:ascii="宋体" w:hAnsi="宋体"/>
      </w:rPr>
      <w:t>５２</w:t>
    </w:r>
    <w:r>
      <w:rPr>
        <w:rFonts w:ascii="宋体" w:hAnsi="宋体"/>
      </w:rPr>
      <w:fldChar w:fldCharType="end"/>
    </w:r>
  </w:p>
  <w:p w14:paraId="099A57FE">
    <w:pPr>
      <w:pStyle w:val="231"/>
      <w:jc w:val="center"/>
      <w:rPr>
        <w:rFonts w:hint="eastAsia"/>
        <w:b/>
        <w:i/>
      </w:rPr>
    </w:pP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6031">
    <w:pPr>
      <w:pStyle w:val="231"/>
      <w:framePr w:wrap="around" w:vAnchor="text" w:hAnchor="margin" w:xAlign="center" w:y="1"/>
      <w:rPr>
        <w:rStyle w:val="256"/>
      </w:rPr>
    </w:pPr>
    <w:r>
      <w:fldChar w:fldCharType="begin"/>
    </w:r>
    <w:r>
      <w:rPr>
        <w:rStyle w:val="256"/>
      </w:rPr>
      <w:instrText xml:space="preserve">PAGE  </w:instrText>
    </w:r>
    <w:r>
      <w:fldChar w:fldCharType="separate"/>
    </w:r>
    <w:r>
      <w:rPr>
        <w:rStyle w:val="256"/>
      </w:rPr>
      <w:t>1</w:t>
    </w:r>
    <w:r>
      <w:fldChar w:fldCharType="end"/>
    </w:r>
  </w:p>
  <w:p w14:paraId="16A318C5">
    <w:pPr>
      <w:pStyle w:val="2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1C70">
    <w:pPr>
      <w:pStyle w:val="23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82040"/>
    <w:multiLevelType w:val="multilevel"/>
    <w:tmpl w:val="AE782040"/>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1"/>
      <w:suff w:val="nothing"/>
      <w:lvlText w:val=""/>
      <w:lvlJc w:val="left"/>
      <w:pPr>
        <w:ind w:left="0" w:firstLine="0"/>
      </w:pPr>
      <w:rPr>
        <w:rFonts w:hint="eastAsia"/>
      </w:rPr>
    </w:lvl>
    <w:lvl w:ilvl="6" w:tentative="0">
      <w:start w:val="1"/>
      <w:numFmt w:val="decimal"/>
      <w:pStyle w:val="192"/>
      <w:suff w:val="nothing"/>
      <w:lvlText w:val=""/>
      <w:lvlJc w:val="left"/>
      <w:pPr>
        <w:ind w:left="0" w:firstLine="0"/>
      </w:pPr>
      <w:rPr>
        <w:rFonts w:hint="eastAsia"/>
      </w:rPr>
    </w:lvl>
    <w:lvl w:ilvl="7" w:tentative="0">
      <w:start w:val="1"/>
      <w:numFmt w:val="decimal"/>
      <w:pStyle w:val="193"/>
      <w:suff w:val="nothing"/>
      <w:lvlText w:val=""/>
      <w:lvlJc w:val="left"/>
      <w:pPr>
        <w:ind w:left="0" w:firstLine="0"/>
      </w:pPr>
      <w:rPr>
        <w:rFonts w:hint="eastAsia"/>
      </w:rPr>
    </w:lvl>
    <w:lvl w:ilvl="8" w:tentative="0">
      <w:start w:val="1"/>
      <w:numFmt w:val="decimal"/>
      <w:pStyle w:val="194"/>
      <w:suff w:val="nothing"/>
      <w:lvlText w:val=""/>
      <w:lvlJc w:val="left"/>
      <w:pPr>
        <w:ind w:left="0" w:firstLine="0"/>
      </w:pPr>
      <w:rPr>
        <w:rFonts w:hint="eastAsia"/>
      </w:rPr>
    </w:lvl>
  </w:abstractNum>
  <w:abstractNum w:abstractNumId="1">
    <w:nsid w:val="0210E984"/>
    <w:multiLevelType w:val="multilevel"/>
    <w:tmpl w:val="0210E984"/>
    <w:lvl w:ilvl="0" w:tentative="0">
      <w:start w:val="1"/>
      <w:numFmt w:val="upperLetter"/>
      <w:pStyle w:val="275"/>
      <w:suff w:val="space"/>
      <w:lvlText w:val="附录%1."/>
      <w:lvlJc w:val="left"/>
      <w:pPr>
        <w:tabs>
          <w:tab w:val="left" w:pos="907"/>
        </w:tabs>
        <w:ind w:left="907" w:hanging="907"/>
      </w:pPr>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1C070DF9"/>
    <w:multiLevelType w:val="multilevel"/>
    <w:tmpl w:val="1C070DF9"/>
    <w:lvl w:ilvl="0" w:tentative="0">
      <w:start w:val="1"/>
      <w:numFmt w:val="decimal"/>
      <w:pStyle w:val="282"/>
      <w:suff w:val="space"/>
      <w:lvlText w:val="%1."/>
      <w:lvlJc w:val="left"/>
      <w:pPr>
        <w:tabs>
          <w:tab w:val="left" w:pos="709"/>
        </w:tabs>
        <w:ind w:left="709" w:hanging="709"/>
      </w:pPr>
      <w:rPr>
        <w:rFonts w:hint="eastAsia"/>
      </w:rPr>
    </w:lvl>
    <w:lvl w:ilvl="1" w:tentative="0">
      <w:start w:val="1"/>
      <w:numFmt w:val="decimal"/>
      <w:suff w:val="space"/>
      <w:lvlText w:val="%1.%2"/>
      <w:lvlJc w:val="left"/>
      <w:pPr>
        <w:tabs>
          <w:tab w:val="left" w:pos="709"/>
        </w:tabs>
        <w:ind w:left="709" w:hanging="709"/>
      </w:pPr>
      <w:rPr>
        <w:rFonts w:hint="eastAsia"/>
      </w:rPr>
    </w:lvl>
    <w:lvl w:ilvl="2" w:tentative="0">
      <w:start w:val="1"/>
      <w:numFmt w:val="decimal"/>
      <w:suff w:val="space"/>
      <w:lvlText w:val="%1.%2.%3."/>
      <w:lvlJc w:val="left"/>
      <w:pPr>
        <w:tabs>
          <w:tab w:val="left" w:pos="425"/>
        </w:tabs>
        <w:ind w:left="425" w:hanging="425"/>
      </w:pPr>
      <w:rPr>
        <w:rFonts w:hint="eastAsia"/>
      </w:rPr>
    </w:lvl>
    <w:lvl w:ilvl="3" w:tentative="0">
      <w:start w:val="1"/>
      <w:numFmt w:val="decimal"/>
      <w:suff w:val="space"/>
      <w:lvlText w:val="%1.%2.%3.%4."/>
      <w:lvlJc w:val="left"/>
      <w:pPr>
        <w:tabs>
          <w:tab w:val="left" w:pos="851"/>
        </w:tabs>
        <w:ind w:left="851" w:hanging="851"/>
      </w:pPr>
      <w:rPr>
        <w:rFonts w:hint="eastAsia"/>
      </w:rPr>
    </w:lvl>
    <w:lvl w:ilvl="4" w:tentative="0">
      <w:start w:val="1"/>
      <w:numFmt w:val="decimal"/>
      <w:suff w:val="space"/>
      <w:lvlText w:val="%1.%2.%3.%4.%5."/>
      <w:lvlJc w:val="left"/>
      <w:pPr>
        <w:tabs>
          <w:tab w:val="left" w:pos="992"/>
        </w:tabs>
        <w:ind w:left="992" w:hanging="992"/>
      </w:pPr>
      <w:rPr>
        <w:rFonts w:hint="eastAsia"/>
      </w:rPr>
    </w:lvl>
    <w:lvl w:ilvl="5" w:tentative="0">
      <w:start w:val="1"/>
      <w:numFmt w:val="decimal"/>
      <w:suff w:val="space"/>
      <w:lvlText w:val="%1.%2.%3.%4.%5.%6."/>
      <w:lvlJc w:val="left"/>
      <w:pPr>
        <w:tabs>
          <w:tab w:val="left" w:pos="1134"/>
        </w:tabs>
        <w:ind w:left="1134" w:hanging="1134"/>
      </w:pPr>
      <w:rPr>
        <w:rFonts w:hint="eastAsia"/>
      </w:rPr>
    </w:lvl>
    <w:lvl w:ilvl="6" w:tentative="0">
      <w:start w:val="1"/>
      <w:numFmt w:val="decimal"/>
      <w:suff w:val="space"/>
      <w:lvlText w:val="%1.%2.%3.%4.%5.%6.%7."/>
      <w:lvlJc w:val="left"/>
      <w:pPr>
        <w:tabs>
          <w:tab w:val="left" w:pos="1276"/>
        </w:tabs>
        <w:ind w:left="1276" w:hanging="1276"/>
      </w:pPr>
      <w:rPr>
        <w:rFonts w:hint="eastAsia"/>
      </w:rPr>
    </w:lvl>
    <w:lvl w:ilvl="7" w:tentative="0">
      <w:start w:val="1"/>
      <w:numFmt w:val="decimal"/>
      <w:suff w:val="space"/>
      <w:lvlText w:val="%1.%2.%3.%4.%5.%6.%7.%8."/>
      <w:lvlJc w:val="left"/>
      <w:pPr>
        <w:tabs>
          <w:tab w:val="left" w:pos="1418"/>
        </w:tabs>
        <w:ind w:left="1418" w:hanging="1418"/>
      </w:pPr>
      <w:rPr>
        <w:rFonts w:hint="eastAsia"/>
      </w:rPr>
    </w:lvl>
    <w:lvl w:ilvl="8" w:tentative="0">
      <w:start w:val="1"/>
      <w:numFmt w:val="decimal"/>
      <w:suff w:val="space"/>
      <w:lvlText w:val="%1.%2.%3.%4.%5.%6.%7.%8.%9."/>
      <w:lvlJc w:val="left"/>
      <w:pPr>
        <w:tabs>
          <w:tab w:val="left" w:pos="1559"/>
        </w:tabs>
        <w:ind w:left="1559" w:hanging="155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attachedTemplate r:id="rId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32515"/>
    <w:rsid w:val="01AD45D7"/>
    <w:rsid w:val="040C7782"/>
    <w:rsid w:val="05FB0B46"/>
    <w:rsid w:val="07416A2C"/>
    <w:rsid w:val="0A4F320E"/>
    <w:rsid w:val="0AE778EA"/>
    <w:rsid w:val="0AEE0C79"/>
    <w:rsid w:val="0D097FEC"/>
    <w:rsid w:val="126D4B79"/>
    <w:rsid w:val="13D013CB"/>
    <w:rsid w:val="141B1890"/>
    <w:rsid w:val="271F713F"/>
    <w:rsid w:val="2A2A502E"/>
    <w:rsid w:val="2DB17BB8"/>
    <w:rsid w:val="33395406"/>
    <w:rsid w:val="387A4288"/>
    <w:rsid w:val="3D2267FE"/>
    <w:rsid w:val="3E7F6CDF"/>
    <w:rsid w:val="3ECF7E9E"/>
    <w:rsid w:val="41956510"/>
    <w:rsid w:val="43650DD1"/>
    <w:rsid w:val="4440539A"/>
    <w:rsid w:val="4DC50DA2"/>
    <w:rsid w:val="4E6A7577"/>
    <w:rsid w:val="581846D9"/>
    <w:rsid w:val="596516D3"/>
    <w:rsid w:val="59E720E8"/>
    <w:rsid w:val="62C76F5B"/>
    <w:rsid w:val="685017A0"/>
    <w:rsid w:val="6BEB0849"/>
    <w:rsid w:val="77D23F80"/>
    <w:rsid w:val="79A32F56"/>
    <w:rsid w:val="7C232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63"/>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37"/>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27"/>
    <w:unhideWhenUsed/>
    <w:qFormat/>
    <w:uiPriority w:val="9"/>
    <w:pPr>
      <w:keepNext/>
      <w:keepLines/>
      <w:spacing w:before="360" w:after="200"/>
      <w:outlineLvl w:val="1"/>
    </w:pPr>
    <w:rPr>
      <w:rFonts w:ascii="Arial" w:hAnsi="Arial" w:eastAsia="Arial"/>
      <w:sz w:val="34"/>
      <w:lang w:val="en-US" w:eastAsia="en-US"/>
    </w:rPr>
  </w:style>
  <w:style w:type="paragraph" w:styleId="4">
    <w:name w:val="heading 3"/>
    <w:basedOn w:val="1"/>
    <w:next w:val="1"/>
    <w:link w:val="39"/>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5"/>
    <w:unhideWhenUsed/>
    <w:qFormat/>
    <w:uiPriority w:val="9"/>
    <w:pPr>
      <w:keepNext/>
      <w:keepLines/>
      <w:spacing w:before="320" w:after="200"/>
      <w:outlineLvl w:val="8"/>
    </w:pPr>
    <w:rPr>
      <w:rFonts w:ascii="Arial" w:hAnsi="Arial" w:eastAsia="Arial" w:cs="Arial"/>
      <w:i/>
      <w:iCs/>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next w:val="1"/>
    <w:qFormat/>
    <w:uiPriority w:val="99"/>
    <w:pPr>
      <w:ind w:firstLine="42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next w:val="12"/>
    <w:semiHidden/>
    <w:unhideWhenUsed/>
    <w:qFormat/>
    <w:uiPriority w:val="99"/>
    <w:pPr>
      <w:spacing w:after="12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toc 8"/>
    <w:basedOn w:val="1"/>
    <w:next w:val="1"/>
    <w:unhideWhenUsed/>
    <w:qFormat/>
    <w:uiPriority w:val="39"/>
    <w:pPr>
      <w:spacing w:after="57"/>
      <w:ind w:left="1984" w:right="0" w:firstLine="0"/>
    </w:pPr>
  </w:style>
  <w:style w:type="paragraph" w:styleId="18">
    <w:name w:val="endnote text"/>
    <w:basedOn w:val="1"/>
    <w:link w:val="183"/>
    <w:semiHidden/>
    <w:unhideWhenUsed/>
    <w:qFormat/>
    <w:uiPriority w:val="99"/>
    <w:pPr>
      <w:spacing w:after="0" w:line="240" w:lineRule="auto"/>
    </w:pPr>
    <w:rPr>
      <w:sz w:val="20"/>
    </w:rPr>
  </w:style>
  <w:style w:type="paragraph" w:styleId="19">
    <w:name w:val="footer"/>
    <w:basedOn w:val="1"/>
    <w:link w:val="56"/>
    <w:unhideWhenUsed/>
    <w:qFormat/>
    <w:uiPriority w:val="99"/>
    <w:pPr>
      <w:tabs>
        <w:tab w:val="center" w:pos="7143"/>
        <w:tab w:val="right" w:pos="14287"/>
      </w:tabs>
      <w:spacing w:after="0" w:line="240" w:lineRule="auto"/>
    </w:pPr>
  </w:style>
  <w:style w:type="paragraph" w:styleId="20">
    <w:name w:val="header"/>
    <w:basedOn w:val="1"/>
    <w:link w:val="54"/>
    <w:unhideWhenUsed/>
    <w:qFormat/>
    <w:uiPriority w:val="99"/>
    <w:pPr>
      <w:tabs>
        <w:tab w:val="center" w:pos="7143"/>
        <w:tab w:val="right" w:pos="14287"/>
      </w:tabs>
      <w:spacing w:after="0" w:line="240" w:lineRule="auto"/>
    </w:pPr>
  </w:style>
  <w:style w:type="paragraph" w:styleId="21">
    <w:name w:val="toc 1"/>
    <w:basedOn w:val="1"/>
    <w:next w:val="1"/>
    <w:unhideWhenUsed/>
    <w:qFormat/>
    <w:uiPriority w:val="39"/>
    <w:pPr>
      <w:spacing w:after="57"/>
      <w:ind w:left="0" w:right="0" w:firstLine="0"/>
    </w:pPr>
  </w:style>
  <w:style w:type="paragraph" w:styleId="22">
    <w:name w:val="toc 4"/>
    <w:basedOn w:val="1"/>
    <w:next w:val="1"/>
    <w:unhideWhenUsed/>
    <w:qFormat/>
    <w:uiPriority w:val="39"/>
    <w:pPr>
      <w:spacing w:after="57"/>
      <w:ind w:left="850" w:right="0" w:firstLine="0"/>
    </w:pPr>
  </w:style>
  <w:style w:type="paragraph" w:styleId="23">
    <w:name w:val="Subtitle"/>
    <w:basedOn w:val="1"/>
    <w:next w:val="1"/>
    <w:link w:val="49"/>
    <w:qFormat/>
    <w:uiPriority w:val="11"/>
    <w:pPr>
      <w:spacing w:before="200" w:after="200"/>
    </w:pPr>
    <w:rPr>
      <w:sz w:val="24"/>
      <w:szCs w:val="24"/>
    </w:rPr>
  </w:style>
  <w:style w:type="paragraph" w:styleId="24">
    <w:name w:val="footnote text"/>
    <w:basedOn w:val="1"/>
    <w:link w:val="182"/>
    <w:semiHidden/>
    <w:unhideWhenUsed/>
    <w:qFormat/>
    <w:uiPriority w:val="99"/>
    <w:pPr>
      <w:spacing w:after="40" w:line="240" w:lineRule="auto"/>
    </w:pPr>
    <w:rPr>
      <w:sz w:val="18"/>
    </w:rPr>
  </w:style>
  <w:style w:type="paragraph" w:styleId="25">
    <w:name w:val="toc 6"/>
    <w:basedOn w:val="1"/>
    <w:next w:val="1"/>
    <w:unhideWhenUsed/>
    <w:qFormat/>
    <w:uiPriority w:val="39"/>
    <w:pPr>
      <w:spacing w:after="57"/>
      <w:ind w:left="1417" w:right="0" w:firstLine="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57"/>
      <w:ind w:left="283" w:right="0" w:firstLine="0"/>
    </w:pPr>
  </w:style>
  <w:style w:type="paragraph" w:styleId="28">
    <w:name w:val="toc 9"/>
    <w:basedOn w:val="1"/>
    <w:next w:val="1"/>
    <w:unhideWhenUsed/>
    <w:qFormat/>
    <w:uiPriority w:val="39"/>
    <w:pPr>
      <w:spacing w:after="57"/>
      <w:ind w:left="2268" w:right="0" w:firstLine="0"/>
    </w:pPr>
  </w:style>
  <w:style w:type="paragraph" w:styleId="29">
    <w:name w:val="Title"/>
    <w:basedOn w:val="1"/>
    <w:next w:val="1"/>
    <w:link w:val="48"/>
    <w:qFormat/>
    <w:uiPriority w:val="10"/>
    <w:pPr>
      <w:spacing w:before="300" w:after="200"/>
      <w:contextualSpacing/>
    </w:pPr>
    <w:rPr>
      <w:sz w:val="48"/>
      <w:szCs w:val="48"/>
    </w:rPr>
  </w:style>
  <w:style w:type="paragraph" w:styleId="30">
    <w:name w:val="Body Text First Indent"/>
    <w:basedOn w:val="14"/>
    <w:qFormat/>
    <w:uiPriority w:val="0"/>
    <w:pPr>
      <w:spacing w:line="360" w:lineRule="auto"/>
      <w:ind w:firstLine="420"/>
    </w:pPr>
  </w:style>
  <w:style w:type="table" w:styleId="32">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semiHidden/>
    <w:unhideWhenUsed/>
    <w:qFormat/>
    <w:uiPriority w:val="99"/>
    <w:rPr>
      <w:vertAlign w:val="superscript"/>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unhideWhenUsed/>
    <w:qFormat/>
    <w:uiPriority w:val="99"/>
    <w:rPr>
      <w:vertAlign w:val="superscript"/>
    </w:rPr>
  </w:style>
  <w:style w:type="character" w:customStyle="1" w:styleId="37">
    <w:name w:val="Heading 1 Char"/>
    <w:link w:val="2"/>
    <w:qFormat/>
    <w:uiPriority w:val="9"/>
    <w:rPr>
      <w:rFonts w:ascii="Arial" w:hAnsi="Arial" w:eastAsia="Arial" w:cs="Arial"/>
      <w:sz w:val="40"/>
      <w:szCs w:val="40"/>
    </w:rPr>
  </w:style>
  <w:style w:type="character" w:customStyle="1" w:styleId="38">
    <w:name w:val="Heading 2 Char"/>
    <w:qFormat/>
    <w:uiPriority w:val="9"/>
    <w:rPr>
      <w:rFonts w:ascii="Arial" w:hAnsi="Arial" w:eastAsia="Arial" w:cs="Arial"/>
      <w:sz w:val="34"/>
    </w:rPr>
  </w:style>
  <w:style w:type="character" w:customStyle="1" w:styleId="39">
    <w:name w:val="Heading 3 Char"/>
    <w:link w:val="4"/>
    <w:qFormat/>
    <w:uiPriority w:val="9"/>
    <w:rPr>
      <w:rFonts w:ascii="Arial" w:hAnsi="Arial" w:eastAsia="Arial" w:cs="Arial"/>
      <w:sz w:val="30"/>
      <w:szCs w:val="30"/>
    </w:rPr>
  </w:style>
  <w:style w:type="character" w:customStyle="1" w:styleId="40">
    <w:name w:val="Heading 4 Char"/>
    <w:link w:val="5"/>
    <w:qFormat/>
    <w:uiPriority w:val="9"/>
    <w:rPr>
      <w:rFonts w:ascii="Arial" w:hAnsi="Arial" w:eastAsia="Arial" w:cs="Arial"/>
      <w:b/>
      <w:bCs/>
      <w:sz w:val="26"/>
      <w:szCs w:val="26"/>
    </w:rPr>
  </w:style>
  <w:style w:type="character" w:customStyle="1" w:styleId="41">
    <w:name w:val="Heading 5 Char"/>
    <w:link w:val="6"/>
    <w:qFormat/>
    <w:uiPriority w:val="9"/>
    <w:rPr>
      <w:rFonts w:ascii="Arial" w:hAnsi="Arial" w:eastAsia="Arial" w:cs="Arial"/>
      <w:b/>
      <w:bCs/>
      <w:sz w:val="24"/>
      <w:szCs w:val="24"/>
    </w:rPr>
  </w:style>
  <w:style w:type="character" w:customStyle="1" w:styleId="42">
    <w:name w:val="Heading 6 Char"/>
    <w:link w:val="7"/>
    <w:qFormat/>
    <w:uiPriority w:val="9"/>
    <w:rPr>
      <w:rFonts w:ascii="Arial" w:hAnsi="Arial" w:eastAsia="Arial" w:cs="Arial"/>
      <w:b/>
      <w:bCs/>
      <w:sz w:val="22"/>
      <w:szCs w:val="22"/>
    </w:rPr>
  </w:style>
  <w:style w:type="character" w:customStyle="1" w:styleId="43">
    <w:name w:val="Heading 7 Char"/>
    <w:link w:val="8"/>
    <w:qFormat/>
    <w:uiPriority w:val="9"/>
    <w:rPr>
      <w:rFonts w:ascii="Arial" w:hAnsi="Arial" w:eastAsia="Arial" w:cs="Arial"/>
      <w:b/>
      <w:bCs/>
      <w:i/>
      <w:iCs/>
      <w:sz w:val="22"/>
      <w:szCs w:val="22"/>
    </w:rPr>
  </w:style>
  <w:style w:type="character" w:customStyle="1" w:styleId="44">
    <w:name w:val="Heading 8 Char"/>
    <w:link w:val="9"/>
    <w:qFormat/>
    <w:uiPriority w:val="9"/>
    <w:rPr>
      <w:rFonts w:ascii="Arial" w:hAnsi="Arial" w:eastAsia="Arial" w:cs="Arial"/>
      <w:i/>
      <w:iCs/>
      <w:sz w:val="22"/>
      <w:szCs w:val="22"/>
    </w:rPr>
  </w:style>
  <w:style w:type="character" w:customStyle="1" w:styleId="45">
    <w:name w:val="Heading 9 Char"/>
    <w:link w:val="10"/>
    <w:qFormat/>
    <w:uiPriority w:val="9"/>
    <w:rPr>
      <w:rFonts w:ascii="Arial" w:hAnsi="Arial" w:eastAsia="Arial" w:cs="Arial"/>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29"/>
    <w:qFormat/>
    <w:uiPriority w:val="10"/>
    <w:rPr>
      <w:sz w:val="48"/>
      <w:szCs w:val="48"/>
    </w:rPr>
  </w:style>
  <w:style w:type="character" w:customStyle="1" w:styleId="49">
    <w:name w:val="Subtitle Char"/>
    <w:link w:val="23"/>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link w:val="20"/>
    <w:qFormat/>
    <w:uiPriority w:val="99"/>
  </w:style>
  <w:style w:type="character" w:customStyle="1" w:styleId="55">
    <w:name w:val="Footer Char"/>
    <w:link w:val="19"/>
    <w:qFormat/>
    <w:uiPriority w:val="99"/>
  </w:style>
  <w:style w:type="character" w:customStyle="1" w:styleId="56">
    <w:name w:val="Caption Char"/>
    <w:link w:val="19"/>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4"/>
    <w:qFormat/>
    <w:uiPriority w:val="99"/>
    <w:rPr>
      <w:sz w:val="18"/>
    </w:rPr>
  </w:style>
  <w:style w:type="character" w:customStyle="1" w:styleId="183">
    <w:name w:val="Endnote Text Char"/>
    <w:link w:val="18"/>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paragraph" w:customStyle="1" w:styleId="185">
    <w:name w:val="标题 11"/>
    <w:basedOn w:val="1"/>
    <w:next w:val="1"/>
    <w:link w:val="197"/>
    <w:qFormat/>
    <w:uiPriority w:val="0"/>
    <w:pPr>
      <w:keepNext/>
      <w:jc w:val="center"/>
      <w:outlineLvl w:val="0"/>
    </w:pPr>
    <w:rPr>
      <w:rFonts w:ascii="楷体_GB2312" w:eastAsia="楷体_GB2312"/>
      <w:sz w:val="28"/>
      <w:szCs w:val="28"/>
      <w:lang w:val="en-US" w:eastAsia="en-US"/>
    </w:rPr>
  </w:style>
  <w:style w:type="paragraph" w:customStyle="1" w:styleId="186">
    <w:name w:val="标题 21"/>
    <w:basedOn w:val="1"/>
    <w:next w:val="1"/>
    <w:link w:val="198"/>
    <w:qFormat/>
    <w:uiPriority w:val="0"/>
    <w:pPr>
      <w:keepNext/>
      <w:keepLines/>
      <w:spacing w:before="260" w:after="260" w:line="416" w:lineRule="auto"/>
      <w:jc w:val="center"/>
      <w:outlineLvl w:val="1"/>
    </w:pPr>
    <w:rPr>
      <w:rFonts w:ascii="Arial" w:hAnsi="Arial" w:eastAsia="幼圆"/>
      <w:b/>
      <w:bCs/>
      <w:sz w:val="44"/>
      <w:szCs w:val="44"/>
      <w:lang w:val="en-US" w:eastAsia="en-US"/>
    </w:rPr>
  </w:style>
  <w:style w:type="paragraph" w:customStyle="1" w:styleId="187">
    <w:name w:val="标题 31"/>
    <w:basedOn w:val="1"/>
    <w:next w:val="188"/>
    <w:link w:val="199"/>
    <w:qFormat/>
    <w:uiPriority w:val="0"/>
    <w:pPr>
      <w:keepNext/>
      <w:keepLines/>
      <w:spacing w:before="260" w:after="260" w:line="416" w:lineRule="auto"/>
      <w:outlineLvl w:val="2"/>
    </w:pPr>
    <w:rPr>
      <w:b/>
      <w:bCs/>
      <w:sz w:val="32"/>
      <w:szCs w:val="32"/>
      <w:lang w:val="en-US" w:eastAsia="en-US"/>
    </w:rPr>
  </w:style>
  <w:style w:type="paragraph" w:customStyle="1" w:styleId="188">
    <w:name w:val="正文缩进1"/>
    <w:basedOn w:val="1"/>
    <w:next w:val="1"/>
    <w:link w:val="200"/>
    <w:qFormat/>
    <w:uiPriority w:val="0"/>
    <w:pPr>
      <w:ind w:firstLine="420"/>
    </w:pPr>
    <w:rPr>
      <w:sz w:val="20"/>
      <w:lang w:val="en-US" w:eastAsia="en-US"/>
    </w:rPr>
  </w:style>
  <w:style w:type="paragraph" w:customStyle="1" w:styleId="189">
    <w:name w:val="标题 41"/>
    <w:basedOn w:val="1"/>
    <w:next w:val="188"/>
    <w:link w:val="201"/>
    <w:qFormat/>
    <w:uiPriority w:val="0"/>
    <w:pPr>
      <w:keepNext/>
      <w:keepLines/>
      <w:spacing w:before="280" w:after="290" w:line="376" w:lineRule="auto"/>
      <w:outlineLvl w:val="3"/>
    </w:pPr>
    <w:rPr>
      <w:rFonts w:ascii="Arial" w:hAnsi="Arial" w:eastAsia="黑体"/>
      <w:b/>
      <w:bCs/>
      <w:sz w:val="28"/>
      <w:szCs w:val="28"/>
      <w:lang w:val="en-US" w:eastAsia="en-US"/>
    </w:rPr>
  </w:style>
  <w:style w:type="paragraph" w:customStyle="1" w:styleId="190">
    <w:name w:val="标题 51"/>
    <w:basedOn w:val="1"/>
    <w:next w:val="188"/>
    <w:link w:val="202"/>
    <w:qFormat/>
    <w:uiPriority w:val="0"/>
    <w:pPr>
      <w:keepNext/>
      <w:outlineLvl w:val="4"/>
    </w:pPr>
    <w:rPr>
      <w:rFonts w:ascii="宋体"/>
      <w:color w:val="000000"/>
      <w:sz w:val="28"/>
      <w:szCs w:val="28"/>
      <w:lang w:val="en-US" w:eastAsia="en-US"/>
    </w:rPr>
  </w:style>
  <w:style w:type="paragraph" w:customStyle="1" w:styleId="191">
    <w:name w:val="标题 61"/>
    <w:basedOn w:val="1"/>
    <w:next w:val="1"/>
    <w:link w:val="203"/>
    <w:qFormat/>
    <w:uiPriority w:val="0"/>
    <w:pPr>
      <w:keepNext/>
      <w:keepLines/>
      <w:numPr>
        <w:ilvl w:val="5"/>
        <w:numId w:val="1"/>
      </w:numPr>
      <w:spacing w:before="240" w:after="64" w:line="320" w:lineRule="auto"/>
      <w:outlineLvl w:val="5"/>
    </w:pPr>
    <w:rPr>
      <w:rFonts w:ascii="Arial" w:hAnsi="Arial" w:eastAsia="黑体"/>
      <w:b/>
      <w:bCs/>
      <w:sz w:val="24"/>
      <w:szCs w:val="24"/>
      <w:lang w:val="en-US" w:eastAsia="en-US"/>
    </w:rPr>
  </w:style>
  <w:style w:type="paragraph" w:customStyle="1" w:styleId="192">
    <w:name w:val="标题 71"/>
    <w:basedOn w:val="1"/>
    <w:next w:val="1"/>
    <w:link w:val="204"/>
    <w:qFormat/>
    <w:uiPriority w:val="0"/>
    <w:pPr>
      <w:keepNext/>
      <w:keepLines/>
      <w:numPr>
        <w:ilvl w:val="6"/>
        <w:numId w:val="1"/>
      </w:numPr>
      <w:spacing w:before="240" w:after="64" w:line="320" w:lineRule="auto"/>
      <w:outlineLvl w:val="6"/>
    </w:pPr>
    <w:rPr>
      <w:b/>
      <w:bCs/>
      <w:sz w:val="24"/>
      <w:szCs w:val="24"/>
      <w:lang w:val="en-US" w:eastAsia="en-US"/>
    </w:rPr>
  </w:style>
  <w:style w:type="paragraph" w:customStyle="1" w:styleId="193">
    <w:name w:val="标题 81"/>
    <w:basedOn w:val="1"/>
    <w:next w:val="1"/>
    <w:link w:val="205"/>
    <w:qFormat/>
    <w:uiPriority w:val="0"/>
    <w:pPr>
      <w:keepNext/>
      <w:keepLines/>
      <w:numPr>
        <w:ilvl w:val="7"/>
        <w:numId w:val="1"/>
      </w:numPr>
      <w:spacing w:before="240" w:after="64" w:line="320" w:lineRule="auto"/>
      <w:outlineLvl w:val="7"/>
    </w:pPr>
    <w:rPr>
      <w:rFonts w:ascii="Arial" w:hAnsi="Arial" w:eastAsia="黑体"/>
      <w:sz w:val="24"/>
      <w:szCs w:val="24"/>
      <w:lang w:val="en-US" w:eastAsia="en-US"/>
    </w:rPr>
  </w:style>
  <w:style w:type="paragraph" w:customStyle="1" w:styleId="194">
    <w:name w:val="标题 91"/>
    <w:basedOn w:val="1"/>
    <w:next w:val="1"/>
    <w:link w:val="206"/>
    <w:qFormat/>
    <w:uiPriority w:val="0"/>
    <w:pPr>
      <w:keepNext/>
      <w:keepLines/>
      <w:numPr>
        <w:ilvl w:val="8"/>
        <w:numId w:val="1"/>
      </w:numPr>
      <w:spacing w:before="240" w:after="64" w:line="320" w:lineRule="auto"/>
      <w:outlineLvl w:val="8"/>
    </w:pPr>
    <w:rPr>
      <w:rFonts w:ascii="Arial" w:hAnsi="Arial" w:eastAsia="黑体"/>
      <w:sz w:val="20"/>
      <w:lang w:val="en-US" w:eastAsia="en-US"/>
    </w:rPr>
  </w:style>
  <w:style w:type="character" w:customStyle="1" w:styleId="195">
    <w:name w:val="默认段落字体1"/>
    <w:link w:val="1"/>
    <w:unhideWhenUsed/>
    <w:qFormat/>
    <w:uiPriority w:val="1"/>
  </w:style>
  <w:style w:type="table" w:customStyle="1" w:styleId="196">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7">
    <w:name w:val="标题 1 Char"/>
    <w:link w:val="185"/>
    <w:qFormat/>
    <w:uiPriority w:val="0"/>
    <w:rPr>
      <w:rFonts w:ascii="楷体_GB2312" w:hAnsi="Times New Roman" w:eastAsia="楷体_GB2312" w:cs="Times New Roman"/>
      <w:sz w:val="28"/>
      <w:szCs w:val="28"/>
    </w:rPr>
  </w:style>
  <w:style w:type="character" w:customStyle="1" w:styleId="198">
    <w:name w:val="标题 2 Char"/>
    <w:link w:val="186"/>
    <w:qFormat/>
    <w:uiPriority w:val="0"/>
    <w:rPr>
      <w:rFonts w:ascii="Arial" w:hAnsi="Arial" w:eastAsia="幼圆" w:cs="Arial"/>
      <w:b/>
      <w:bCs/>
      <w:sz w:val="44"/>
      <w:szCs w:val="44"/>
    </w:rPr>
  </w:style>
  <w:style w:type="character" w:customStyle="1" w:styleId="199">
    <w:name w:val="标题 3 Char"/>
    <w:link w:val="187"/>
    <w:qFormat/>
    <w:uiPriority w:val="0"/>
    <w:rPr>
      <w:rFonts w:ascii="Times New Roman" w:hAnsi="Times New Roman" w:eastAsia="宋体" w:cs="Times New Roman"/>
      <w:b/>
      <w:bCs/>
      <w:sz w:val="32"/>
      <w:szCs w:val="32"/>
    </w:rPr>
  </w:style>
  <w:style w:type="character" w:customStyle="1" w:styleId="200">
    <w:name w:val="正文缩进 Char"/>
    <w:link w:val="188"/>
    <w:qFormat/>
    <w:uiPriority w:val="0"/>
    <w:rPr>
      <w:rFonts w:ascii="Times New Roman" w:hAnsi="Times New Roman" w:eastAsia="宋体" w:cs="Times New Roman"/>
      <w:szCs w:val="21"/>
    </w:rPr>
  </w:style>
  <w:style w:type="character" w:customStyle="1" w:styleId="201">
    <w:name w:val="标题 4 Char"/>
    <w:link w:val="189"/>
    <w:qFormat/>
    <w:uiPriority w:val="0"/>
    <w:rPr>
      <w:rFonts w:ascii="Arial" w:hAnsi="Arial" w:eastAsia="黑体" w:cs="Arial"/>
      <w:b/>
      <w:bCs/>
      <w:sz w:val="28"/>
      <w:szCs w:val="28"/>
    </w:rPr>
  </w:style>
  <w:style w:type="character" w:customStyle="1" w:styleId="202">
    <w:name w:val="标题 5 Char"/>
    <w:link w:val="190"/>
    <w:qFormat/>
    <w:uiPriority w:val="0"/>
    <w:rPr>
      <w:rFonts w:ascii="宋体" w:hAnsi="Times New Roman" w:eastAsia="宋体" w:cs="Times New Roman"/>
      <w:color w:val="000000"/>
      <w:sz w:val="28"/>
      <w:szCs w:val="28"/>
    </w:rPr>
  </w:style>
  <w:style w:type="character" w:customStyle="1" w:styleId="203">
    <w:name w:val="标题 6 Char"/>
    <w:link w:val="191"/>
    <w:qFormat/>
    <w:uiPriority w:val="0"/>
    <w:rPr>
      <w:rFonts w:ascii="Arial" w:hAnsi="Arial" w:eastAsia="黑体" w:cs="Times New Roman"/>
      <w:b/>
      <w:bCs/>
      <w:sz w:val="24"/>
      <w:szCs w:val="24"/>
    </w:rPr>
  </w:style>
  <w:style w:type="character" w:customStyle="1" w:styleId="204">
    <w:name w:val="标题 7 Char"/>
    <w:link w:val="192"/>
    <w:qFormat/>
    <w:uiPriority w:val="0"/>
    <w:rPr>
      <w:rFonts w:ascii="Times New Roman" w:hAnsi="Times New Roman" w:eastAsia="宋体" w:cs="Times New Roman"/>
      <w:b/>
      <w:bCs/>
      <w:sz w:val="24"/>
      <w:szCs w:val="24"/>
    </w:rPr>
  </w:style>
  <w:style w:type="character" w:customStyle="1" w:styleId="205">
    <w:name w:val="标题 8 Char"/>
    <w:link w:val="193"/>
    <w:qFormat/>
    <w:uiPriority w:val="0"/>
    <w:rPr>
      <w:rFonts w:ascii="Arial" w:hAnsi="Arial" w:eastAsia="黑体" w:cs="Times New Roman"/>
      <w:sz w:val="24"/>
      <w:szCs w:val="24"/>
    </w:rPr>
  </w:style>
  <w:style w:type="character" w:customStyle="1" w:styleId="206">
    <w:name w:val="标题 9 Char"/>
    <w:link w:val="194"/>
    <w:qFormat/>
    <w:uiPriority w:val="0"/>
    <w:rPr>
      <w:rFonts w:ascii="Arial" w:hAnsi="Arial" w:eastAsia="黑体" w:cs="Times New Roman"/>
      <w:szCs w:val="21"/>
    </w:rPr>
  </w:style>
  <w:style w:type="paragraph" w:customStyle="1" w:styleId="207">
    <w:name w:val="列表 31"/>
    <w:basedOn w:val="1"/>
    <w:qFormat/>
    <w:uiPriority w:val="0"/>
    <w:pPr>
      <w:ind w:left="100" w:hanging="200"/>
    </w:pPr>
  </w:style>
  <w:style w:type="paragraph" w:customStyle="1" w:styleId="208">
    <w:name w:val="目录 71"/>
    <w:basedOn w:val="1"/>
    <w:next w:val="1"/>
    <w:semiHidden/>
    <w:qFormat/>
    <w:uiPriority w:val="0"/>
    <w:pPr>
      <w:ind w:left="1260"/>
      <w:jc w:val="left"/>
    </w:pPr>
  </w:style>
  <w:style w:type="paragraph" w:customStyle="1" w:styleId="209">
    <w:name w:val="文档结构图1"/>
    <w:basedOn w:val="1"/>
    <w:link w:val="210"/>
    <w:semiHidden/>
    <w:qFormat/>
    <w:uiPriority w:val="0"/>
    <w:pPr>
      <w:shd w:val="clear" w:color="auto" w:fill="000080"/>
    </w:pPr>
    <w:rPr>
      <w:sz w:val="20"/>
      <w:lang w:val="en-US" w:eastAsia="en-US"/>
    </w:rPr>
  </w:style>
  <w:style w:type="character" w:customStyle="1" w:styleId="210">
    <w:name w:val="文档结构图 Char"/>
    <w:link w:val="209"/>
    <w:semiHidden/>
    <w:qFormat/>
    <w:uiPriority w:val="0"/>
    <w:rPr>
      <w:rFonts w:ascii="Times New Roman" w:hAnsi="Times New Roman" w:eastAsia="宋体" w:cs="Times New Roman"/>
      <w:szCs w:val="21"/>
      <w:shd w:val="clear" w:color="auto" w:fill="000080"/>
    </w:rPr>
  </w:style>
  <w:style w:type="paragraph" w:customStyle="1" w:styleId="211">
    <w:name w:val="批注文字1"/>
    <w:basedOn w:val="1"/>
    <w:link w:val="212"/>
    <w:semiHidden/>
    <w:qFormat/>
    <w:uiPriority w:val="0"/>
    <w:pPr>
      <w:jc w:val="left"/>
    </w:pPr>
    <w:rPr>
      <w:sz w:val="20"/>
      <w:lang w:val="en-US" w:eastAsia="en-US"/>
    </w:rPr>
  </w:style>
  <w:style w:type="character" w:customStyle="1" w:styleId="212">
    <w:name w:val="批注文字 Char"/>
    <w:link w:val="211"/>
    <w:semiHidden/>
    <w:qFormat/>
    <w:uiPriority w:val="0"/>
    <w:rPr>
      <w:rFonts w:ascii="Times New Roman" w:hAnsi="Times New Roman" w:eastAsia="宋体" w:cs="Times New Roman"/>
      <w:szCs w:val="21"/>
    </w:rPr>
  </w:style>
  <w:style w:type="paragraph" w:customStyle="1" w:styleId="213">
    <w:name w:val="正文文本 31"/>
    <w:basedOn w:val="1"/>
    <w:link w:val="214"/>
    <w:qFormat/>
    <w:uiPriority w:val="0"/>
    <w:rPr>
      <w:rFonts w:ascii="仿宋_GB2312" w:hAnsi="Arial" w:eastAsia="仿宋_GB2312"/>
      <w:sz w:val="32"/>
      <w:szCs w:val="32"/>
      <w:lang w:val="en-US" w:eastAsia="en-US"/>
    </w:rPr>
  </w:style>
  <w:style w:type="character" w:customStyle="1" w:styleId="214">
    <w:name w:val="正文文本 3 Char"/>
    <w:link w:val="213"/>
    <w:qFormat/>
    <w:uiPriority w:val="0"/>
    <w:rPr>
      <w:rFonts w:ascii="仿宋_GB2312" w:hAnsi="Arial" w:eastAsia="仿宋_GB2312" w:cs="Times New Roman"/>
      <w:sz w:val="32"/>
      <w:szCs w:val="32"/>
    </w:rPr>
  </w:style>
  <w:style w:type="paragraph" w:customStyle="1" w:styleId="215">
    <w:name w:val="正文文本1"/>
    <w:basedOn w:val="1"/>
    <w:link w:val="216"/>
    <w:qFormat/>
    <w:uiPriority w:val="0"/>
    <w:rPr>
      <w:rFonts w:ascii="楷体_GB2312" w:hAnsi="Arial" w:eastAsia="楷体_GB2312"/>
      <w:sz w:val="28"/>
      <w:szCs w:val="28"/>
      <w:lang w:val="en-US" w:eastAsia="en-US"/>
    </w:rPr>
  </w:style>
  <w:style w:type="character" w:customStyle="1" w:styleId="216">
    <w:name w:val="正文文本 Char"/>
    <w:link w:val="215"/>
    <w:qFormat/>
    <w:uiPriority w:val="0"/>
    <w:rPr>
      <w:rFonts w:ascii="楷体_GB2312" w:hAnsi="Arial" w:eastAsia="楷体_GB2312" w:cs="Times New Roman"/>
      <w:sz w:val="28"/>
      <w:szCs w:val="28"/>
    </w:rPr>
  </w:style>
  <w:style w:type="paragraph" w:customStyle="1" w:styleId="217">
    <w:name w:val="正文文本缩进1"/>
    <w:basedOn w:val="1"/>
    <w:next w:val="1"/>
    <w:link w:val="218"/>
    <w:qFormat/>
    <w:uiPriority w:val="0"/>
    <w:pPr>
      <w:ind w:firstLine="645"/>
    </w:pPr>
    <w:rPr>
      <w:rFonts w:ascii="楷体_GB2312" w:eastAsia="楷体_GB2312"/>
      <w:sz w:val="32"/>
      <w:szCs w:val="32"/>
      <w:lang w:val="en-US" w:eastAsia="en-US"/>
    </w:rPr>
  </w:style>
  <w:style w:type="character" w:customStyle="1" w:styleId="218">
    <w:name w:val="正文文本缩进 Char"/>
    <w:link w:val="217"/>
    <w:qFormat/>
    <w:uiPriority w:val="0"/>
    <w:rPr>
      <w:rFonts w:ascii="楷体_GB2312" w:hAnsi="Times New Roman" w:eastAsia="楷体_GB2312" w:cs="Times New Roman"/>
      <w:sz w:val="32"/>
      <w:szCs w:val="32"/>
    </w:rPr>
  </w:style>
  <w:style w:type="paragraph" w:customStyle="1" w:styleId="219">
    <w:name w:val="列表 21"/>
    <w:basedOn w:val="1"/>
    <w:qFormat/>
    <w:uiPriority w:val="0"/>
    <w:pPr>
      <w:ind w:left="100" w:hanging="200"/>
    </w:pPr>
  </w:style>
  <w:style w:type="paragraph" w:customStyle="1" w:styleId="220">
    <w:name w:val="目录 51"/>
    <w:basedOn w:val="1"/>
    <w:next w:val="1"/>
    <w:semiHidden/>
    <w:qFormat/>
    <w:uiPriority w:val="0"/>
    <w:pPr>
      <w:ind w:left="840"/>
      <w:jc w:val="left"/>
    </w:pPr>
  </w:style>
  <w:style w:type="paragraph" w:customStyle="1" w:styleId="221">
    <w:name w:val="目录 31"/>
    <w:basedOn w:val="1"/>
    <w:next w:val="1"/>
    <w:semiHidden/>
    <w:qFormat/>
    <w:uiPriority w:val="0"/>
    <w:pPr>
      <w:ind w:left="420"/>
      <w:jc w:val="left"/>
    </w:pPr>
    <w:rPr>
      <w:i/>
      <w:iCs/>
      <w:szCs w:val="24"/>
    </w:rPr>
  </w:style>
  <w:style w:type="paragraph" w:customStyle="1" w:styleId="222">
    <w:name w:val="纯文本1"/>
    <w:basedOn w:val="1"/>
    <w:link w:val="223"/>
    <w:qFormat/>
    <w:uiPriority w:val="0"/>
    <w:rPr>
      <w:rFonts w:ascii="宋体" w:hAnsi="Courier New"/>
      <w:sz w:val="20"/>
      <w:lang w:val="en-US" w:eastAsia="en-US"/>
    </w:rPr>
  </w:style>
  <w:style w:type="character" w:customStyle="1" w:styleId="223">
    <w:name w:val="纯文本 Char"/>
    <w:link w:val="222"/>
    <w:qFormat/>
    <w:uiPriority w:val="0"/>
    <w:rPr>
      <w:rFonts w:ascii="宋体" w:hAnsi="Courier New" w:eastAsia="宋体" w:cs="Courier New"/>
      <w:szCs w:val="21"/>
    </w:rPr>
  </w:style>
  <w:style w:type="paragraph" w:customStyle="1" w:styleId="224">
    <w:name w:val="目录 81"/>
    <w:basedOn w:val="1"/>
    <w:next w:val="1"/>
    <w:semiHidden/>
    <w:qFormat/>
    <w:uiPriority w:val="0"/>
    <w:pPr>
      <w:ind w:left="1470"/>
      <w:jc w:val="left"/>
    </w:pPr>
  </w:style>
  <w:style w:type="paragraph" w:customStyle="1" w:styleId="225">
    <w:name w:val="日期1"/>
    <w:basedOn w:val="1"/>
    <w:next w:val="1"/>
    <w:link w:val="226"/>
    <w:qFormat/>
    <w:uiPriority w:val="0"/>
    <w:rPr>
      <w:sz w:val="24"/>
      <w:szCs w:val="24"/>
      <w:lang w:val="en-US" w:eastAsia="en-US"/>
    </w:rPr>
  </w:style>
  <w:style w:type="character" w:customStyle="1" w:styleId="226">
    <w:name w:val="日期 Char"/>
    <w:link w:val="225"/>
    <w:qFormat/>
    <w:uiPriority w:val="0"/>
    <w:rPr>
      <w:rFonts w:ascii="Times New Roman" w:hAnsi="Times New Roman" w:eastAsia="宋体" w:cs="Times New Roman"/>
      <w:sz w:val="24"/>
      <w:szCs w:val="24"/>
    </w:rPr>
  </w:style>
  <w:style w:type="paragraph" w:customStyle="1" w:styleId="227">
    <w:name w:val="正文文本缩进 21"/>
    <w:basedOn w:val="1"/>
    <w:link w:val="228"/>
    <w:qFormat/>
    <w:uiPriority w:val="0"/>
    <w:pPr>
      <w:ind w:left="630" w:firstLine="645"/>
    </w:pPr>
    <w:rPr>
      <w:rFonts w:ascii="Arial" w:hAnsi="Arial" w:eastAsia="仿宋_GB2312"/>
      <w:sz w:val="32"/>
      <w:szCs w:val="32"/>
      <w:lang w:val="en-US" w:eastAsia="en-US"/>
    </w:rPr>
  </w:style>
  <w:style w:type="character" w:customStyle="1" w:styleId="228">
    <w:name w:val="正文文本缩进 2 Char"/>
    <w:link w:val="227"/>
    <w:qFormat/>
    <w:uiPriority w:val="0"/>
    <w:rPr>
      <w:rFonts w:ascii="Arial" w:hAnsi="Arial" w:eastAsia="仿宋_GB2312" w:cs="Arial"/>
      <w:sz w:val="32"/>
      <w:szCs w:val="32"/>
    </w:rPr>
  </w:style>
  <w:style w:type="paragraph" w:customStyle="1" w:styleId="229">
    <w:name w:val="批注框文本1"/>
    <w:basedOn w:val="1"/>
    <w:link w:val="230"/>
    <w:semiHidden/>
    <w:qFormat/>
    <w:uiPriority w:val="0"/>
    <w:rPr>
      <w:sz w:val="18"/>
      <w:szCs w:val="18"/>
      <w:lang w:val="en-US" w:eastAsia="en-US"/>
    </w:rPr>
  </w:style>
  <w:style w:type="character" w:customStyle="1" w:styleId="230">
    <w:name w:val="批注框文本 Char"/>
    <w:link w:val="229"/>
    <w:semiHidden/>
    <w:qFormat/>
    <w:uiPriority w:val="0"/>
    <w:rPr>
      <w:rFonts w:ascii="Times New Roman" w:hAnsi="Times New Roman" w:eastAsia="宋体" w:cs="Times New Roman"/>
      <w:sz w:val="18"/>
      <w:szCs w:val="18"/>
    </w:rPr>
  </w:style>
  <w:style w:type="paragraph" w:customStyle="1" w:styleId="231">
    <w:name w:val="页脚1"/>
    <w:basedOn w:val="1"/>
    <w:link w:val="232"/>
    <w:qFormat/>
    <w:uiPriority w:val="0"/>
    <w:pPr>
      <w:tabs>
        <w:tab w:val="center" w:pos="4153"/>
        <w:tab w:val="right" w:pos="8306"/>
      </w:tabs>
      <w:jc w:val="left"/>
    </w:pPr>
    <w:rPr>
      <w:sz w:val="18"/>
      <w:szCs w:val="18"/>
      <w:lang w:val="en-US" w:eastAsia="en-US"/>
    </w:rPr>
  </w:style>
  <w:style w:type="character" w:customStyle="1" w:styleId="232">
    <w:name w:val="页脚 Char"/>
    <w:link w:val="231"/>
    <w:qFormat/>
    <w:uiPriority w:val="0"/>
    <w:rPr>
      <w:rFonts w:ascii="Times New Roman" w:hAnsi="Times New Roman" w:eastAsia="宋体" w:cs="Times New Roman"/>
      <w:sz w:val="18"/>
      <w:szCs w:val="18"/>
    </w:rPr>
  </w:style>
  <w:style w:type="paragraph" w:customStyle="1" w:styleId="233">
    <w:name w:val="页眉1"/>
    <w:basedOn w:val="1"/>
    <w:link w:val="234"/>
    <w:qFormat/>
    <w:uiPriority w:val="0"/>
    <w:pPr>
      <w:pBdr>
        <w:bottom w:val="single" w:color="000000" w:sz="6" w:space="1"/>
      </w:pBdr>
      <w:tabs>
        <w:tab w:val="center" w:pos="4153"/>
        <w:tab w:val="right" w:pos="8306"/>
      </w:tabs>
      <w:jc w:val="center"/>
    </w:pPr>
    <w:rPr>
      <w:sz w:val="18"/>
      <w:szCs w:val="18"/>
      <w:lang w:val="en-US" w:eastAsia="en-US"/>
    </w:rPr>
  </w:style>
  <w:style w:type="character" w:customStyle="1" w:styleId="234">
    <w:name w:val="页眉 Char"/>
    <w:link w:val="233"/>
    <w:qFormat/>
    <w:uiPriority w:val="0"/>
    <w:rPr>
      <w:rFonts w:ascii="Times New Roman" w:hAnsi="Times New Roman" w:eastAsia="宋体" w:cs="Times New Roman"/>
      <w:sz w:val="18"/>
      <w:szCs w:val="18"/>
    </w:rPr>
  </w:style>
  <w:style w:type="paragraph" w:customStyle="1" w:styleId="235">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36">
    <w:name w:val="目录 41"/>
    <w:basedOn w:val="1"/>
    <w:next w:val="1"/>
    <w:semiHidden/>
    <w:qFormat/>
    <w:uiPriority w:val="0"/>
    <w:pPr>
      <w:ind w:left="630"/>
      <w:jc w:val="left"/>
    </w:pPr>
  </w:style>
  <w:style w:type="paragraph" w:customStyle="1" w:styleId="237">
    <w:name w:val="列表1"/>
    <w:basedOn w:val="1"/>
    <w:qFormat/>
    <w:uiPriority w:val="0"/>
    <w:pPr>
      <w:ind w:left="200" w:hanging="200"/>
    </w:pPr>
  </w:style>
  <w:style w:type="paragraph" w:customStyle="1" w:styleId="238">
    <w:name w:val="目录 61"/>
    <w:basedOn w:val="1"/>
    <w:next w:val="1"/>
    <w:semiHidden/>
    <w:qFormat/>
    <w:uiPriority w:val="0"/>
    <w:pPr>
      <w:ind w:left="1050"/>
      <w:jc w:val="left"/>
    </w:pPr>
  </w:style>
  <w:style w:type="paragraph" w:customStyle="1" w:styleId="239">
    <w:name w:val="正文文本缩进 31"/>
    <w:basedOn w:val="1"/>
    <w:link w:val="240"/>
    <w:qFormat/>
    <w:uiPriority w:val="0"/>
    <w:pPr>
      <w:ind w:left="645" w:firstLine="645"/>
    </w:pPr>
    <w:rPr>
      <w:rFonts w:ascii="Arial" w:hAnsi="Arial" w:eastAsia="仿宋_GB2312"/>
      <w:color w:val="FFFF00"/>
      <w:sz w:val="32"/>
      <w:szCs w:val="32"/>
      <w:lang w:val="en-US" w:eastAsia="en-US"/>
    </w:rPr>
  </w:style>
  <w:style w:type="character" w:customStyle="1" w:styleId="240">
    <w:name w:val="正文文本缩进 3 Char"/>
    <w:link w:val="239"/>
    <w:qFormat/>
    <w:uiPriority w:val="0"/>
    <w:rPr>
      <w:rFonts w:ascii="Arial" w:hAnsi="Arial" w:eastAsia="仿宋_GB2312" w:cs="Arial"/>
      <w:color w:val="FFFF00"/>
      <w:sz w:val="32"/>
      <w:szCs w:val="32"/>
    </w:rPr>
  </w:style>
  <w:style w:type="paragraph" w:customStyle="1" w:styleId="241">
    <w:name w:val="图表目录1"/>
    <w:basedOn w:val="1"/>
    <w:next w:val="1"/>
    <w:semiHidden/>
    <w:qFormat/>
    <w:uiPriority w:val="0"/>
    <w:pPr>
      <w:ind w:left="840" w:hanging="420"/>
    </w:pPr>
  </w:style>
  <w:style w:type="paragraph" w:customStyle="1" w:styleId="242">
    <w:name w:val="目录 21"/>
    <w:basedOn w:val="1"/>
    <w:next w:val="1"/>
    <w:semiHidden/>
    <w:qFormat/>
    <w:uiPriority w:val="0"/>
    <w:pPr>
      <w:ind w:left="210"/>
      <w:jc w:val="left"/>
    </w:pPr>
    <w:rPr>
      <w:smallCaps/>
      <w:szCs w:val="24"/>
    </w:rPr>
  </w:style>
  <w:style w:type="paragraph" w:customStyle="1" w:styleId="243">
    <w:name w:val="目录 91"/>
    <w:basedOn w:val="1"/>
    <w:next w:val="1"/>
    <w:semiHidden/>
    <w:qFormat/>
    <w:uiPriority w:val="0"/>
    <w:pPr>
      <w:ind w:left="1680"/>
      <w:jc w:val="left"/>
    </w:pPr>
  </w:style>
  <w:style w:type="paragraph" w:customStyle="1" w:styleId="244">
    <w:name w:val="正文文本 21"/>
    <w:basedOn w:val="1"/>
    <w:link w:val="245"/>
    <w:qFormat/>
    <w:uiPriority w:val="0"/>
    <w:pPr>
      <w:widowControl/>
      <w:jc w:val="center"/>
    </w:pPr>
    <w:rPr>
      <w:rFonts w:ascii="楷体_GB2312" w:eastAsia="楷体_GB2312"/>
      <w:sz w:val="28"/>
      <w:szCs w:val="28"/>
      <w:lang w:val="en-US" w:eastAsia="en-US"/>
    </w:rPr>
  </w:style>
  <w:style w:type="character" w:customStyle="1" w:styleId="245">
    <w:name w:val="正文文本 2 Char"/>
    <w:link w:val="244"/>
    <w:qFormat/>
    <w:uiPriority w:val="0"/>
    <w:rPr>
      <w:rFonts w:ascii="楷体_GB2312" w:hAnsi="Times New Roman" w:eastAsia="楷体_GB2312" w:cs="Times New Roman"/>
      <w:sz w:val="28"/>
      <w:szCs w:val="28"/>
    </w:rPr>
  </w:style>
  <w:style w:type="paragraph" w:customStyle="1" w:styleId="246">
    <w:name w:val="普通(网站)1"/>
    <w:basedOn w:val="1"/>
    <w:qFormat/>
    <w:uiPriority w:val="0"/>
    <w:pPr>
      <w:widowControl/>
      <w:spacing w:before="100" w:beforeAutospacing="1" w:after="100" w:afterAutospacing="1"/>
      <w:jc w:val="left"/>
    </w:pPr>
    <w:rPr>
      <w:rFonts w:ascii="宋体" w:hAnsi="宋体" w:cs="宋体"/>
      <w:sz w:val="24"/>
      <w:szCs w:val="24"/>
    </w:rPr>
  </w:style>
  <w:style w:type="paragraph" w:customStyle="1" w:styleId="247">
    <w:name w:val="索引 11"/>
    <w:basedOn w:val="1"/>
    <w:next w:val="1"/>
    <w:semiHidden/>
    <w:qFormat/>
    <w:uiPriority w:val="0"/>
    <w:pPr>
      <w:spacing w:line="240" w:lineRule="atLeast"/>
    </w:pPr>
    <w:rPr>
      <w:b/>
      <w:bCs/>
    </w:rPr>
  </w:style>
  <w:style w:type="paragraph" w:customStyle="1" w:styleId="248">
    <w:name w:val="批注主题1"/>
    <w:basedOn w:val="211"/>
    <w:next w:val="211"/>
    <w:link w:val="249"/>
    <w:semiHidden/>
    <w:qFormat/>
    <w:uiPriority w:val="0"/>
    <w:rPr>
      <w:b/>
      <w:bCs/>
    </w:rPr>
  </w:style>
  <w:style w:type="character" w:customStyle="1" w:styleId="249">
    <w:name w:val="批注主题 Char"/>
    <w:link w:val="248"/>
    <w:semiHidden/>
    <w:qFormat/>
    <w:uiPriority w:val="0"/>
    <w:rPr>
      <w:rFonts w:ascii="Times New Roman" w:hAnsi="Times New Roman" w:eastAsia="宋体" w:cs="Times New Roman"/>
      <w:b/>
      <w:bCs/>
      <w:szCs w:val="21"/>
    </w:rPr>
  </w:style>
  <w:style w:type="paragraph" w:customStyle="1" w:styleId="250">
    <w:name w:val="正文首行缩进1"/>
    <w:basedOn w:val="1"/>
    <w:link w:val="251"/>
    <w:qFormat/>
    <w:uiPriority w:val="0"/>
    <w:pPr>
      <w:spacing w:line="360" w:lineRule="auto"/>
      <w:ind w:firstLine="200"/>
    </w:pPr>
    <w:rPr>
      <w:rFonts w:ascii="仿宋_GB2312" w:eastAsia="仿宋_GB2312"/>
      <w:sz w:val="30"/>
      <w:szCs w:val="30"/>
      <w:lang w:val="en-US" w:eastAsia="en-US"/>
    </w:rPr>
  </w:style>
  <w:style w:type="character" w:customStyle="1" w:styleId="251">
    <w:name w:val="正文首行缩进 Char"/>
    <w:link w:val="250"/>
    <w:qFormat/>
    <w:uiPriority w:val="0"/>
    <w:rPr>
      <w:rFonts w:ascii="仿宋_GB2312" w:hAnsi="Times New Roman" w:eastAsia="仿宋_GB2312" w:cs="Times New Roman"/>
      <w:sz w:val="30"/>
      <w:szCs w:val="30"/>
    </w:rPr>
  </w:style>
  <w:style w:type="paragraph" w:customStyle="1" w:styleId="252">
    <w:name w:val="正文首行缩进 21"/>
    <w:basedOn w:val="217"/>
    <w:link w:val="253"/>
    <w:qFormat/>
    <w:uiPriority w:val="0"/>
    <w:pPr>
      <w:spacing w:line="360" w:lineRule="auto"/>
      <w:ind w:firstLine="420"/>
    </w:pPr>
    <w:rPr>
      <w:rFonts w:ascii="宋体" w:hAnsi="宋体" w:eastAsia="宋体"/>
      <w:szCs w:val="20"/>
    </w:rPr>
  </w:style>
  <w:style w:type="character" w:customStyle="1" w:styleId="253">
    <w:name w:val="正文首行缩进 2 Char"/>
    <w:link w:val="252"/>
    <w:qFormat/>
    <w:uiPriority w:val="0"/>
    <w:rPr>
      <w:rFonts w:ascii="宋体" w:hAnsi="宋体" w:eastAsia="宋体" w:cs="Times New Roman"/>
      <w:sz w:val="32"/>
      <w:szCs w:val="20"/>
    </w:rPr>
  </w:style>
  <w:style w:type="table" w:customStyle="1" w:styleId="254">
    <w:name w:val="网格型1"/>
    <w:basedOn w:val="196"/>
    <w:qFormat/>
    <w:uiPriority w:val="0"/>
    <w:pPr>
      <w:widowControl w:val="0"/>
      <w:jc w:val="both"/>
    </w:pPr>
    <w:rPr>
      <w:rFonts w:ascii="Times New Roman" w:hAnsi="Times New Roman" w:eastAsia="宋体" w:cs="Times New Roman"/>
      <w:sz w:val="20"/>
      <w:szCs w:val="20"/>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55">
    <w:name w:val="要点1"/>
    <w:link w:val="1"/>
    <w:qFormat/>
    <w:uiPriority w:val="0"/>
    <w:rPr>
      <w:b/>
      <w:bCs/>
    </w:rPr>
  </w:style>
  <w:style w:type="character" w:customStyle="1" w:styleId="256">
    <w:name w:val="页码1"/>
    <w:link w:val="1"/>
    <w:qFormat/>
    <w:uiPriority w:val="0"/>
  </w:style>
  <w:style w:type="character" w:customStyle="1" w:styleId="257">
    <w:name w:val="已访问的超链接1"/>
    <w:link w:val="1"/>
    <w:qFormat/>
    <w:uiPriority w:val="0"/>
    <w:rPr>
      <w:color w:val="800080"/>
      <w:u w:val="single"/>
    </w:rPr>
  </w:style>
  <w:style w:type="character" w:customStyle="1" w:styleId="258">
    <w:name w:val="超链接1"/>
    <w:link w:val="1"/>
    <w:qFormat/>
    <w:uiPriority w:val="0"/>
    <w:rPr>
      <w:color w:val="0000FF"/>
      <w:u w:val="single"/>
    </w:rPr>
  </w:style>
  <w:style w:type="character" w:customStyle="1" w:styleId="259">
    <w:name w:val="批注引用1"/>
    <w:link w:val="1"/>
    <w:semiHidden/>
    <w:qFormat/>
    <w:uiPriority w:val="0"/>
    <w:rPr>
      <w:sz w:val="21"/>
      <w:szCs w:val="21"/>
    </w:rPr>
  </w:style>
  <w:style w:type="paragraph" w:customStyle="1" w:styleId="260">
    <w:name w:val="正文空2字"/>
    <w:basedOn w:val="261"/>
    <w:qFormat/>
    <w:uiPriority w:val="99"/>
    <w:pPr>
      <w:widowControl w:val="0"/>
      <w:spacing w:line="560" w:lineRule="exact"/>
      <w:ind w:firstLine="640"/>
    </w:pPr>
    <w:rPr>
      <w:rFonts w:ascii="仿宋_GB2312" w:hAnsi="仿宋_GB2312" w:cs="仿宋_GB2312"/>
      <w:lang w:val="zh-TW"/>
    </w:rPr>
  </w:style>
  <w:style w:type="paragraph" w:customStyle="1" w:styleId="261">
    <w:name w:val="左对齐正文"/>
    <w:qFormat/>
    <w:uiPriority w:val="99"/>
    <w:rPr>
      <w:rFonts w:hint="default" w:ascii="Calibri" w:hAnsi="Calibri" w:eastAsia="仿宋_GB2312" w:cs="Calibri"/>
      <w:sz w:val="32"/>
      <w:szCs w:val="32"/>
      <w:lang w:val="en-US" w:eastAsia="zh-CN" w:bidi="ar-SA"/>
    </w:rPr>
  </w:style>
  <w:style w:type="paragraph" w:customStyle="1" w:styleId="262">
    <w:name w:val="索引 41"/>
    <w:basedOn w:val="1"/>
    <w:next w:val="1"/>
    <w:semiHidden/>
    <w:qFormat/>
    <w:uiPriority w:val="0"/>
    <w:pPr>
      <w:ind w:left="1260"/>
    </w:pPr>
    <w:rPr>
      <w:rFonts w:ascii="Calibri" w:hAnsi="Calibri" w:eastAsia="Calibri" w:cs="宋体"/>
      <w:sz w:val="20"/>
      <w:lang w:val="zh-CN"/>
    </w:rPr>
  </w:style>
  <w:style w:type="character" w:customStyle="1" w:styleId="263">
    <w:name w:val="font5 Char"/>
    <w:link w:val="1"/>
    <w:qFormat/>
    <w:uiPriority w:val="0"/>
    <w:rPr>
      <w:rFonts w:ascii="宋体" w:hAnsi="宋体" w:eastAsia="宋体"/>
      <w:sz w:val="28"/>
      <w:szCs w:val="28"/>
      <w:lang w:val="en-US" w:eastAsia="zh-CN" w:bidi="ar-SA"/>
    </w:rPr>
  </w:style>
  <w:style w:type="character" w:customStyle="1" w:styleId="264">
    <w:name w:val="二级目录 Char"/>
    <w:link w:val="265"/>
    <w:qFormat/>
    <w:uiPriority w:val="0"/>
    <w:rPr>
      <w:b/>
      <w:sz w:val="30"/>
      <w:szCs w:val="28"/>
      <w:lang w:val="en-US" w:eastAsia="zh-CN" w:bidi="ar-SA"/>
    </w:rPr>
  </w:style>
  <w:style w:type="paragraph" w:customStyle="1" w:styleId="265">
    <w:name w:val="二级目录"/>
    <w:next w:val="1"/>
    <w:link w:val="264"/>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66">
    <w:name w:val="列出段落 Char"/>
    <w:link w:val="267"/>
    <w:qFormat/>
    <w:uiPriority w:val="0"/>
    <w:rPr>
      <w:rFonts w:ascii="Calibri" w:hAnsi="Calibri"/>
      <w:sz w:val="24"/>
      <w:szCs w:val="24"/>
      <w:lang w:eastAsia="en-US" w:bidi="en-US"/>
    </w:rPr>
  </w:style>
  <w:style w:type="paragraph" w:customStyle="1" w:styleId="267">
    <w:name w:val="列出段落1"/>
    <w:basedOn w:val="1"/>
    <w:link w:val="266"/>
    <w:qFormat/>
    <w:uiPriority w:val="0"/>
    <w:pPr>
      <w:widowControl/>
      <w:ind w:left="720"/>
      <w:contextualSpacing/>
      <w:jc w:val="left"/>
    </w:pPr>
    <w:rPr>
      <w:rFonts w:ascii="Calibri" w:hAnsi="Calibri"/>
      <w:sz w:val="24"/>
      <w:szCs w:val="24"/>
      <w:lang w:val="en-US" w:eastAsia="en-US" w:bidi="en-US"/>
    </w:rPr>
  </w:style>
  <w:style w:type="paragraph" w:customStyle="1" w:styleId="268">
    <w:name w:val="Body Text(ch)"/>
    <w:basedOn w:val="1"/>
    <w:next w:val="215"/>
    <w:qFormat/>
    <w:uiPriority w:val="0"/>
    <w:pPr>
      <w:spacing w:after="120"/>
    </w:pPr>
    <w:rPr>
      <w:rFonts w:ascii="宋体" w:hAnsi="Arial"/>
      <w:bCs/>
      <w:iCs/>
      <w:szCs w:val="24"/>
    </w:rPr>
  </w:style>
  <w:style w:type="paragraph" w:customStyle="1" w:styleId="269">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7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71">
    <w:name w:val="Char"/>
    <w:basedOn w:val="1"/>
    <w:qFormat/>
    <w:uiPriority w:val="0"/>
    <w:pPr>
      <w:tabs>
        <w:tab w:val="left" w:pos="360"/>
      </w:tabs>
      <w:ind w:firstLine="200"/>
    </w:pPr>
    <w:rPr>
      <w:sz w:val="28"/>
      <w:szCs w:val="30"/>
    </w:rPr>
  </w:style>
  <w:style w:type="paragraph" w:customStyle="1" w:styleId="272">
    <w:name w:val=" Char"/>
    <w:basedOn w:val="209"/>
    <w:qFormat/>
    <w:uiPriority w:val="0"/>
    <w:rPr>
      <w:rFonts w:ascii="Tahoma" w:hAnsi="Tahoma"/>
      <w:sz w:val="24"/>
      <w:szCs w:val="24"/>
    </w:rPr>
  </w:style>
  <w:style w:type="paragraph" w:customStyle="1" w:styleId="273">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4">
    <w:name w:val="table_lines"/>
    <w:basedOn w:val="1"/>
    <w:qFormat/>
    <w:uiPriority w:val="0"/>
    <w:pPr>
      <w:widowControl/>
      <w:jc w:val="left"/>
    </w:pPr>
    <w:rPr>
      <w:sz w:val="20"/>
      <w:szCs w:val="20"/>
      <w:lang w:val="de-DE" w:eastAsia="de-DE"/>
    </w:rPr>
  </w:style>
  <w:style w:type="paragraph" w:customStyle="1" w:styleId="275">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6">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77">
    <w:name w:val=" Char Char Char Char"/>
    <w:basedOn w:val="209"/>
    <w:qFormat/>
    <w:uiPriority w:val="0"/>
    <w:pPr>
      <w:spacing w:line="360" w:lineRule="auto"/>
    </w:pPr>
    <w:rPr>
      <w:rFonts w:ascii="Tahoma" w:hAnsi="Tahoma"/>
      <w:sz w:val="24"/>
      <w:szCs w:val="24"/>
    </w:rPr>
  </w:style>
  <w:style w:type="paragraph" w:customStyle="1" w:styleId="278">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79">
    <w:name w:val="4"/>
    <w:basedOn w:val="1"/>
    <w:next w:val="239"/>
    <w:qFormat/>
    <w:uiPriority w:val="0"/>
    <w:pPr>
      <w:spacing w:line="360" w:lineRule="auto"/>
      <w:ind w:firstLine="420"/>
    </w:pPr>
    <w:rPr>
      <w:color w:val="FF0000"/>
      <w:sz w:val="24"/>
      <w:szCs w:val="24"/>
    </w:rPr>
  </w:style>
  <w:style w:type="paragraph" w:customStyle="1" w:styleId="280">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81">
    <w:name w:val=" Char Char Char Char Char Char Char Char Char Char"/>
    <w:basedOn w:val="1"/>
    <w:qFormat/>
    <w:uiPriority w:val="0"/>
    <w:pPr>
      <w:spacing w:line="360" w:lineRule="auto"/>
    </w:pPr>
    <w:rPr>
      <w:sz w:val="24"/>
      <w:szCs w:val="20"/>
    </w:rPr>
  </w:style>
  <w:style w:type="paragraph" w:customStyle="1" w:styleId="282">
    <w:name w:val="样式1"/>
    <w:basedOn w:val="1"/>
    <w:qFormat/>
    <w:uiPriority w:val="0"/>
    <w:pPr>
      <w:numPr>
        <w:ilvl w:val="0"/>
        <w:numId w:val="3"/>
      </w:numPr>
    </w:pPr>
    <w:rPr>
      <w:rFonts w:ascii="宋体" w:hAnsi="宋体"/>
    </w:rPr>
  </w:style>
  <w:style w:type="paragraph" w:customStyle="1" w:styleId="283">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84">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85">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86">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87">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88">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89">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0">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91">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92">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93">
    <w:name w:val="Char Char Char Char"/>
    <w:basedOn w:val="209"/>
    <w:qFormat/>
    <w:uiPriority w:val="0"/>
    <w:pPr>
      <w:spacing w:line="360" w:lineRule="auto"/>
    </w:pPr>
    <w:rPr>
      <w:rFonts w:ascii="Tahoma" w:hAnsi="Tahoma"/>
      <w:sz w:val="24"/>
      <w:szCs w:val="24"/>
    </w:rPr>
  </w:style>
  <w:style w:type="paragraph" w:customStyle="1" w:styleId="294">
    <w:name w:val="table_1stline"/>
    <w:basedOn w:val="1"/>
    <w:qFormat/>
    <w:uiPriority w:val="0"/>
    <w:pPr>
      <w:widowControl/>
      <w:spacing w:before="120"/>
      <w:jc w:val="left"/>
    </w:pPr>
    <w:rPr>
      <w:bCs/>
      <w:sz w:val="20"/>
      <w:szCs w:val="20"/>
      <w:lang w:val="de-DE" w:eastAsia="de-DE"/>
    </w:rPr>
  </w:style>
  <w:style w:type="paragraph" w:customStyle="1" w:styleId="295">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96">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97">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98">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table" w:customStyle="1" w:styleId="299">
    <w:name w:val="Table Normal"/>
    <w:qFormat/>
    <w:uiPriority w:val="0"/>
    <w:rPr>
      <w:lang w:val="en-US" w:eastAsia="zh-CN" w:bidi="ar-SA"/>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00">
    <w:name w:val="Normal_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1">
    <w:name w:val="Normal_6_0"/>
    <w:qFormat/>
    <w:uiPriority w:val="0"/>
    <w:rPr>
      <w:rFonts w:hint="default" w:ascii="黑体" w:hAnsi="黑体" w:eastAsia="黑体" w:cs="黑体"/>
      <w:b/>
      <w:sz w:val="32"/>
      <w:szCs w:val="24"/>
      <w:lang w:val="en-US" w:eastAsia="zh-CN" w:bidi="ar-SA"/>
    </w:rPr>
  </w:style>
  <w:style w:type="paragraph" w:customStyle="1" w:styleId="302">
    <w:name w:val="Normal_1_2"/>
    <w:qFormat/>
    <w:uiPriority w:val="0"/>
    <w:rPr>
      <w:rFonts w:hint="default" w:ascii="Times New Roman" w:hAnsi="Times New Roman" w:eastAsia="Times New Roman" w:cs="Times New Roman"/>
      <w:sz w:val="24"/>
      <w:szCs w:val="24"/>
      <w:lang w:val="en-US" w:eastAsia="zh-CN" w:bidi="ar-SA"/>
    </w:rPr>
  </w:style>
  <w:style w:type="paragraph" w:customStyle="1" w:styleId="303">
    <w:name w:val="正文_2"/>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04">
    <w:name w:val="正文文本12"/>
    <w:basedOn w:val="1"/>
    <w:qFormat/>
    <w:uiPriority w:val="1"/>
    <w:pPr>
      <w:ind w:left="120"/>
    </w:pPr>
    <w:rPr>
      <w:rFonts w:ascii="宋体" w:hAnsi="宋体" w:eastAsia="宋体" w:cs="宋体"/>
      <w:sz w:val="21"/>
      <w:szCs w:val="21"/>
      <w:lang w:val="zh-CN" w:eastAsia="zh-CN" w:bidi="zh-CN"/>
    </w:rPr>
  </w:style>
  <w:style w:type="paragraph" w:customStyle="1" w:styleId="305">
    <w:name w:val="正文2"/>
    <w:basedOn w:val="1"/>
    <w:qFormat/>
    <w:uiPriority w:val="0"/>
    <w:pPr>
      <w:spacing w:before="156" w:line="360" w:lineRule="auto"/>
      <w:ind w:firstLine="510"/>
    </w:pPr>
    <w:rPr>
      <w:sz w:val="24"/>
      <w:szCs w:val="20"/>
    </w:rPr>
  </w:style>
  <w:style w:type="paragraph" w:customStyle="1" w:styleId="306">
    <w:name w:val="首行缩进"/>
    <w:basedOn w:val="1"/>
    <w:qFormat/>
    <w:uiPriority w:val="0"/>
    <w:pPr>
      <w:ind w:firstLine="480"/>
    </w:pPr>
    <w:rPr>
      <w:rFonts w:ascii="Times New Roman" w:hAnsi="Times New Roman" w:cs="Times New Roman"/>
      <w:lang w:val="zh-CN"/>
    </w:rPr>
  </w:style>
  <w:style w:type="paragraph" w:customStyle="1" w:styleId="307">
    <w:name w:val="Normal_18_0"/>
    <w:qFormat/>
    <w:uiPriority w:val="0"/>
    <w:rPr>
      <w:rFonts w:hint="default" w:ascii="黑体" w:hAnsi="黑体" w:eastAsia="黑体" w:cs="黑体"/>
      <w:b/>
      <w:sz w:val="32"/>
      <w:szCs w:val="24"/>
      <w:lang w:val="en-US" w:eastAsia="zh-CN" w:bidi="ar-SA"/>
    </w:rPr>
  </w:style>
  <w:style w:type="paragraph" w:customStyle="1" w:styleId="308">
    <w:name w:val="正文_12_0_0_0_0"/>
    <w:basedOn w:val="1"/>
    <w:qFormat/>
    <w:uiPriority w:val="0"/>
    <w:rPr>
      <w:rFonts w:ascii="Times New Roman" w:hAnsi="Times New Roman"/>
      <w:szCs w:val="24"/>
    </w:rPr>
  </w:style>
  <w:style w:type="paragraph" w:customStyle="1" w:styleId="309">
    <w:name w:val="正文_12_0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0">
    <w:name w:val="正文_14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1">
    <w:name w:val="正文_14_0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12">
    <w:name w:val="Normal_20"/>
    <w:qFormat/>
    <w:uiPriority w:val="0"/>
    <w:rPr>
      <w:rFonts w:hint="default" w:ascii="黑体" w:hAnsi="黑体" w:eastAsia="黑体" w:cs="黑体"/>
      <w:b/>
      <w:sz w:val="32"/>
      <w:szCs w:val="24"/>
      <w:lang w:val="en-US" w:eastAsia="zh-CN" w:bidi="ar-SA"/>
    </w:rPr>
  </w:style>
  <w:style w:type="paragraph" w:customStyle="1" w:styleId="313">
    <w:name w:val="正文_15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4">
    <w:name w:val="Normal_0"/>
    <w:qFormat/>
    <w:uiPriority w:val="0"/>
    <w:rPr>
      <w:rFonts w:hint="default" w:ascii="黑体" w:hAnsi="黑体" w:eastAsia="黑体" w:cs="Times New Roman"/>
      <w:b/>
      <w:sz w:val="32"/>
      <w:szCs w:val="24"/>
      <w:lang w:val="en-US" w:eastAsia="zh-CN" w:bidi="ar-SA"/>
    </w:rPr>
  </w:style>
  <w:style w:type="paragraph" w:customStyle="1" w:styleId="315">
    <w:name w:val="部分1"/>
    <w:basedOn w:val="1"/>
    <w:qFormat/>
    <w:uiPriority w:val="0"/>
    <w:pPr>
      <w:keepNext/>
      <w:pageBreakBefore/>
      <w:tabs>
        <w:tab w:val="left" w:pos="720"/>
      </w:tabs>
      <w:spacing w:line="360" w:lineRule="auto"/>
      <w:jc w:val="center"/>
      <w:outlineLvl w:val="0"/>
    </w:pPr>
    <w:rPr>
      <w:rFonts w:eastAsia="黑体"/>
      <w:b/>
      <w:sz w:val="36"/>
      <w:szCs w:val="20"/>
    </w:rPr>
  </w:style>
  <w:style w:type="paragraph" w:customStyle="1" w:styleId="316">
    <w:name w:val="Normal_1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7">
    <w:name w:val="正文_9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8">
    <w:name w:val="正文_8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19">
    <w:name w:val="正文_1_0_0_0_0"/>
    <w:qFormat/>
    <w:uiPriority w:val="0"/>
    <w:pPr>
      <w:widowControl w:val="0"/>
      <w:jc w:val="both"/>
    </w:pPr>
    <w:rPr>
      <w:rFonts w:hint="default" w:ascii="Times New Roman" w:hAnsi="Times New Roman" w:eastAsia="宋体" w:cs="Times New Roman"/>
      <w:sz w:val="21"/>
      <w:lang w:val="en-US" w:eastAsia="zh-CN" w:bidi="ar-SA"/>
    </w:rPr>
  </w:style>
  <w:style w:type="paragraph" w:customStyle="1" w:styleId="320">
    <w:name w:val="列出段落_2"/>
    <w:basedOn w:val="318"/>
    <w:qFormat/>
    <w:uiPriority w:val="34"/>
    <w:pPr>
      <w:ind w:firstLine="420"/>
    </w:pPr>
    <w:rPr>
      <w:rFonts w:ascii="Calibri" w:hAnsi="Calibri" w:eastAsia="宋体"/>
    </w:rPr>
  </w:style>
  <w:style w:type="paragraph" w:customStyle="1" w:styleId="321">
    <w:name w:val="Normal_13_0"/>
    <w:qFormat/>
    <w:uiPriority w:val="0"/>
    <w:rPr>
      <w:rFonts w:hint="default" w:ascii="黑体" w:hAnsi="黑体" w:eastAsia="黑体" w:cs="黑体"/>
      <w:b/>
      <w:sz w:val="32"/>
      <w:szCs w:val="24"/>
      <w:lang w:val="en-US" w:eastAsia="zh-CN" w:bidi="ar-SA"/>
    </w:rPr>
  </w:style>
  <w:style w:type="paragraph" w:customStyle="1" w:styleId="322">
    <w:name w:val="正文_16_0_0"/>
    <w:next w:val="32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23">
    <w:name w:val="正文1_0"/>
    <w:qFormat/>
    <w:uiPriority w:val="0"/>
    <w:pPr>
      <w:widowControl w:val="0"/>
      <w:jc w:val="both"/>
    </w:pPr>
    <w:rPr>
      <w:rFonts w:hint="default" w:ascii="Times New Roman" w:hAnsi="Times New Roman" w:eastAsia="宋体" w:cs="Times New Roman"/>
      <w:szCs w:val="24"/>
      <w:lang w:val="en-US" w:eastAsia="zh-CN" w:bidi="ar-SA"/>
    </w:rPr>
  </w:style>
  <w:style w:type="paragraph" w:customStyle="1" w:styleId="324">
    <w:name w:val="Footer1"/>
    <w:basedOn w:val="1"/>
    <w:link w:val="329"/>
    <w:unhideWhenUsed/>
    <w:qFormat/>
    <w:uiPriority w:val="99"/>
    <w:pPr>
      <w:tabs>
        <w:tab w:val="center" w:pos="7143"/>
        <w:tab w:val="right" w:pos="14287"/>
      </w:tabs>
    </w:pPr>
    <w:rPr>
      <w:lang w:val="en-US" w:eastAsia="en-US"/>
    </w:rPr>
  </w:style>
  <w:style w:type="paragraph" w:customStyle="1" w:styleId="325">
    <w:name w:val="Header1"/>
    <w:basedOn w:val="1"/>
    <w:link w:val="328"/>
    <w:unhideWhenUsed/>
    <w:qFormat/>
    <w:uiPriority w:val="99"/>
    <w:pPr>
      <w:tabs>
        <w:tab w:val="center" w:pos="7143"/>
        <w:tab w:val="right" w:pos="14287"/>
      </w:tabs>
    </w:pPr>
    <w:rPr>
      <w:lang w:val="en-US" w:eastAsia="en-US"/>
    </w:rPr>
  </w:style>
  <w:style w:type="paragraph" w:customStyle="1" w:styleId="326">
    <w:name w:val="正文文本11"/>
    <w:basedOn w:val="1"/>
    <w:next w:val="1"/>
    <w:qFormat/>
    <w:uiPriority w:val="0"/>
    <w:rPr>
      <w:rFonts w:ascii="楷体_GB2312" w:hAnsi="Arial" w:eastAsia="楷体_GB2312"/>
      <w:sz w:val="28"/>
      <w:szCs w:val="28"/>
    </w:rPr>
  </w:style>
  <w:style w:type="character" w:customStyle="1" w:styleId="327">
    <w:name w:val="标题 2 字符1"/>
    <w:link w:val="3"/>
    <w:qFormat/>
    <w:uiPriority w:val="9"/>
    <w:rPr>
      <w:rFonts w:ascii="Arial" w:hAnsi="Arial" w:eastAsia="Arial" w:cs="Arial"/>
      <w:sz w:val="34"/>
      <w:szCs w:val="21"/>
    </w:rPr>
  </w:style>
  <w:style w:type="character" w:customStyle="1" w:styleId="328">
    <w:name w:val="页眉 字符1"/>
    <w:link w:val="325"/>
    <w:qFormat/>
    <w:uiPriority w:val="99"/>
    <w:rPr>
      <w:sz w:val="21"/>
      <w:szCs w:val="21"/>
    </w:rPr>
  </w:style>
  <w:style w:type="character" w:customStyle="1" w:styleId="329">
    <w:name w:val="页脚 字符1"/>
    <w:link w:val="324"/>
    <w:qFormat/>
    <w:uiPriority w:val="99"/>
    <w:rPr>
      <w:sz w:val="21"/>
      <w:szCs w:val="21"/>
    </w:rPr>
  </w:style>
  <w:style w:type="paragraph" w:customStyle="1" w:styleId="330">
    <w:name w:val="Normal_19"/>
    <w:basedOn w:val="1"/>
    <w:qFormat/>
    <w:uiPriority w:val="0"/>
    <w:rPr>
      <w:rFonts w:ascii="Calibri" w:hAnsi="Calibri" w:cs="Calibri"/>
    </w:rPr>
  </w:style>
  <w:style w:type="paragraph" w:customStyle="1" w:styleId="331">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332">
    <w:name w:val="正文_3"/>
    <w:basedOn w:val="1"/>
    <w:qFormat/>
    <w:uiPriority w:val="0"/>
    <w:rPr>
      <w:rFonts w:ascii="Calibri" w:hAnsi="Calibri"/>
    </w:rPr>
  </w:style>
  <w:style w:type="paragraph" w:customStyle="1" w:styleId="333">
    <w:name w:val="标题 5_0"/>
    <w:basedOn w:val="332"/>
    <w:next w:val="332"/>
    <w:qFormat/>
    <w:uiPriority w:val="0"/>
    <w:pPr>
      <w:spacing w:before="100" w:beforeAutospacing="1" w:after="100" w:afterAutospacing="1"/>
      <w:ind w:left="522"/>
      <w:jc w:val="left"/>
      <w:outlineLvl w:val="4"/>
    </w:pPr>
    <w:rPr>
      <w:rFonts w:ascii="仿宋" w:hAnsi="仿宋" w:eastAsia="仿宋" w:cs="宋体"/>
      <w:b/>
      <w:bCs/>
      <w:sz w:val="28"/>
      <w:szCs w:val="28"/>
    </w:rPr>
  </w:style>
  <w:style w:type="paragraph" w:customStyle="1" w:styleId="334">
    <w:name w:val="正文_17"/>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335">
    <w:name w:val="正文_16"/>
    <w:next w:val="336"/>
    <w:qFormat/>
    <w:uiPriority w:val="0"/>
    <w:pPr>
      <w:widowControl w:val="0"/>
      <w:jc w:val="both"/>
    </w:pPr>
    <w:rPr>
      <w:rFonts w:hint="default" w:ascii="Calibri" w:hAnsi="Calibri" w:eastAsia="宋体" w:cs="Times New Roman"/>
      <w:sz w:val="21"/>
      <w:szCs w:val="24"/>
      <w:lang w:val="en-US" w:eastAsia="zh-CN" w:bidi="ar-SA"/>
    </w:rPr>
  </w:style>
  <w:style w:type="paragraph" w:customStyle="1" w:styleId="336">
    <w:name w:val="正文文本 2_0"/>
    <w:basedOn w:val="335"/>
    <w:qFormat/>
    <w:uiPriority w:val="0"/>
    <w:rPr>
      <w:rFonts w:ascii="仿宋_GB2312" w:eastAsia="仿宋_GB2312"/>
      <w:sz w:val="28"/>
    </w:rPr>
  </w:style>
  <w:style w:type="character" w:customStyle="1" w:styleId="337">
    <w:name w:val="font11"/>
    <w:basedOn w:val="33"/>
    <w:qFormat/>
    <w:uiPriority w:val="0"/>
    <w:rPr>
      <w:rFonts w:hint="eastAsia" w:ascii="方正仿宋_GBK" w:hAnsi="方正仿宋_GBK" w:eastAsia="方正仿宋_GBK" w:cs="方正仿宋_GBK"/>
      <w:color w:val="000000"/>
      <w:sz w:val="32"/>
      <w:szCs w:val="32"/>
      <w:u w:val="none"/>
    </w:rPr>
  </w:style>
  <w:style w:type="paragraph" w:customStyle="1" w:styleId="338">
    <w:name w:val="纯文本11"/>
    <w:basedOn w:val="1"/>
    <w:qFormat/>
    <w:uiPriority w:val="0"/>
    <w:pPr>
      <w:jc w:val="both"/>
    </w:pPr>
    <w:rPr>
      <w:rFonts w:hAnsi="Courier New"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3;&#27946;&#21439;&#20844;&#23433;&#23616;2025&#24180;&#35686;&#29992;&#35013;&#22791;&#37319;&#36141;&#39033;&#30446;\&#21442;&#32771;-&#25307;&#26631;&#25991;&#20214;2024&#24180;&#35686;&#29992;&#37319;&#36141;.dotx" TargetMode="Externa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参考-招标文件2024年警用采购.dotx</Template>
  <Pages>15</Pages>
  <Words>5765</Words>
  <Characters>6393</Characters>
  <TotalTime>436</TotalTime>
  <ScaleCrop>false</ScaleCrop>
  <LinksUpToDate>false</LinksUpToDate>
  <CharactersWithSpaces>6617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2025-08-08T08:03:00Z</dcterms:created>
  <dc:creator>WPS_1745300456</dc:creator>
  <cp:lastModifiedBy>WPS_1745300456</cp:lastModifiedBy>
  <dcterms:modified xsi:type="dcterms:W3CDTF">2025-08-26T10:03:30Z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A37876FE7D5C4892AD3FF46BBBB3B12C_13</vt:lpwstr>
  </property>
  <property fmtid="{D5CDD505-2E9C-101B-9397-08002B2CF9AE}" pid="4" name="KSOTemplateDocerSaveRecord">
    <vt:lpwstr>eyJoZGlkIjoiMWVhNmZkOTQ4MDY4MzZhNGUxMmNlMzcyMWY2N2FmNjkiLCJ1c2VySWQiOiIxNjk2NDk1OTY1In0=</vt:lpwstr>
  </property>
</Properties>
</file>