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spacing w:before="0" w:beforeAutospacing="0" w:after="0" w:afterAutospacing="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88"/>
        <w:jc w:val="both"/>
        <w:spacing w:before="0" w:beforeAutospacing="0" w:after="0" w:afterAutospacing="0"/>
        <w:rPr>
          <w:rFonts w:hint="eastAsia" w:ascii="方正仿宋_GBK" w:hAnsi="方正仿宋_GBK" w:eastAsia="方正仿宋_GBK" w:cs="方正仿宋_GBK"/>
          <w:color w:val="auto"/>
          <w:sz w:val="28"/>
          <w:szCs w:val="28"/>
          <w:highlight w:val="none"/>
        </w:rPr>
      </w:pPr>
      <w:r/>
      <w:bookmarkStart w:id="0" w:name="EB3ace3d43b98b41779337deb808be6fa3"/>
      <w:r>
        <w:rPr>
          <w:rFonts w:hint="eastAsia" w:ascii="方正仿宋_GBK" w:hAnsi="方正仿宋_GBK" w:eastAsia="方正仿宋_GBK" w:cs="方正仿宋_GBK"/>
          <w:color w:val="auto"/>
          <w:sz w:val="28"/>
          <w:szCs w:val="28"/>
          <w:highlight w:val="none"/>
          <w:shd w:val="clear" w:color="auto" w:fill="ffffff"/>
        </w:rPr>
        <w:t xml:space="preserve"> </w:t>
      </w:r>
      <w:bookmarkEnd w:id="0"/>
      <w:r/>
      <w:bookmarkStart w:id="1" w:name="EB57dd2a69e2b54b0cb3f5c2f03a1ab7bf"/>
      <w:r>
        <w:rPr>
          <w:rFonts w:hint="eastAsia" w:ascii="方正仿宋_GBK" w:hAnsi="方正仿宋_GBK" w:eastAsia="方正仿宋_GBK" w:cs="方正仿宋_GBK"/>
          <w:color w:val="auto"/>
          <w:sz w:val="28"/>
          <w:szCs w:val="28"/>
          <w:highlight w:val="none"/>
          <w:shd w:val="clear" w:color="auto" w:fill="ffffff"/>
        </w:rPr>
        <w:t xml:space="preserve"> </w:t>
      </w:r>
      <w:bookmarkEnd w:id="1"/>
      <w:r/>
      <w:r/>
    </w:p>
    <w:p>
      <w:pPr>
        <w:pStyle w:val="888"/>
        <w:jc w:val="both"/>
        <w:spacing w:before="0" w:beforeAutospacing="0" w:after="0" w:afterAutospacing="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88"/>
        <w:jc w:val="center"/>
        <w:spacing w:before="120" w:beforeAutospacing="0" w:after="12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bCs/>
          <w:color w:val="auto"/>
          <w:sz w:val="52"/>
          <w:szCs w:val="52"/>
          <w:highlight w:val="none"/>
        </w:rPr>
        <w:t xml:space="preserve">招 标 文 件</w:t>
      </w:r>
      <w:r/>
    </w:p>
    <w:p>
      <w:pPr>
        <w:pStyle w:val="888"/>
        <w:jc w:val="both"/>
        <w:spacing w:before="0" w:beforeAutospacing="0" w:after="0" w:afterAutospacing="0" w:line="480" w:lineRule="auto"/>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r>
      <w:r/>
    </w:p>
    <w:p>
      <w:pPr>
        <w:pStyle w:val="888"/>
        <w:jc w:val="both"/>
        <w:spacing w:before="0" w:beforeAutospacing="0" w:after="0" w:afterAutospacing="0" w:line="480" w:lineRule="auto"/>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r>
      <w:r/>
    </w:p>
    <w:p>
      <w:pPr>
        <w:pStyle w:val="888"/>
        <w:jc w:val="center"/>
        <w:spacing w:before="0" w:beforeAutospacing="0" w:after="0" w:afterAutospacing="0" w:line="480" w:lineRule="auto"/>
        <w:rPr>
          <w:rFonts w:hint="eastAsia" w:ascii="方正仿宋_GBK" w:hAnsi="方正仿宋_GBK" w:eastAsia="方正仿宋_GBK" w:cs="方正仿宋_GBK"/>
          <w:color w:val="auto"/>
          <w:sz w:val="30"/>
          <w:szCs w:val="30"/>
          <w:highlight w:val="none"/>
          <w:lang w:eastAsia="zh-CN"/>
        </w:rPr>
        <w:outlineLvl w:val="0"/>
      </w:pPr>
      <w:r/>
      <w:bookmarkStart w:id="2" w:name="_Toc14639"/>
      <w:r/>
      <w:bookmarkStart w:id="3" w:name="_Toc26828"/>
      <w:r/>
      <w:bookmarkStart w:id="4" w:name="_Toc12074"/>
      <w:r/>
      <w:bookmarkStart w:id="5" w:name="_Toc14984"/>
      <w:r>
        <w:rPr>
          <w:rFonts w:hint="eastAsia" w:ascii="方正仿宋_GBK" w:hAnsi="方正仿宋_GBK" w:eastAsia="方正仿宋_GBK" w:cs="方正仿宋_GBK"/>
          <w:b/>
          <w:bCs/>
          <w:color w:val="auto"/>
          <w:sz w:val="28"/>
          <w:szCs w:val="28"/>
          <w:highlight w:val="none"/>
          <w:lang w:val="en-US" w:eastAsia="zh-CN"/>
        </w:rPr>
        <w:t xml:space="preserve"> </w:t>
      </w:r>
      <w:r>
        <w:rPr>
          <w:rFonts w:hint="eastAsia" w:ascii="方正仿宋_GBK" w:hAnsi="方正仿宋_GBK" w:eastAsia="方正仿宋_GBK" w:cs="方正仿宋_GBK"/>
          <w:b/>
          <w:bCs/>
          <w:color w:val="auto"/>
          <w:sz w:val="30"/>
          <w:szCs w:val="30"/>
          <w:highlight w:val="none"/>
        </w:rPr>
        <w:t xml:space="preserve">项目名称：</w:t>
      </w:r>
      <w:bookmarkEnd w:id="2"/>
      <w:r/>
      <w:bookmarkEnd w:id="3"/>
      <w:r/>
      <w:bookmarkEnd w:id="4"/>
      <w:r/>
      <w:bookmarkEnd w:id="5"/>
      <w:r>
        <w:rPr>
          <w:rFonts w:hint="eastAsia" w:ascii="方正仿宋_GBK" w:hAnsi="方正仿宋_GBK" w:eastAsia="方正仿宋_GBK" w:cs="方正仿宋_GBK"/>
          <w:b/>
          <w:bCs/>
          <w:color w:val="auto"/>
          <w:sz w:val="30"/>
          <w:szCs w:val="30"/>
          <w:highlight w:val="none"/>
          <w:lang w:eastAsia="zh-CN"/>
        </w:rPr>
        <w:t xml:space="preserve">泗洪姜堰实验学校初中部功能室、实验室采购项目</w:t>
      </w:r>
      <w:r/>
    </w:p>
    <w:p>
      <w:pPr>
        <w:pStyle w:val="888"/>
        <w:ind w:firstLine="602"/>
        <w:jc w:val="both"/>
        <w:spacing w:before="0" w:beforeAutospacing="0" w:after="0" w:afterAutospacing="0" w:line="480" w:lineRule="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b/>
          <w:bCs/>
          <w:color w:val="auto"/>
          <w:sz w:val="30"/>
          <w:szCs w:val="30"/>
          <w:highlight w:val="none"/>
        </w:rPr>
        <w:t xml:space="preserve">项目编号：JSZC-321324-JZCG-G2026-0003</w:t>
      </w:r>
      <w:r/>
    </w:p>
    <w:p>
      <w:pPr>
        <w:pStyle w:val="888"/>
        <w:ind w:firstLine="602"/>
        <w:jc w:val="both"/>
        <w:spacing w:before="0" w:beforeAutospacing="0" w:after="0" w:afterAutospacing="0" w:line="480" w:lineRule="auto"/>
        <w:rPr>
          <w:rFonts w:hint="eastAsia" w:ascii="方正仿宋_GBK" w:hAnsi="方正仿宋_GBK" w:eastAsia="方正仿宋_GBK" w:cs="方正仿宋_GBK"/>
          <w:color w:val="auto"/>
          <w:sz w:val="30"/>
          <w:szCs w:val="30"/>
          <w:highlight w:val="none"/>
        </w:rPr>
        <w:outlineLvl w:val="0"/>
      </w:pPr>
      <w:r/>
      <w:bookmarkStart w:id="6" w:name="_Toc21355"/>
      <w:r/>
      <w:bookmarkStart w:id="7" w:name="_Toc20861"/>
      <w:r/>
      <w:bookmarkStart w:id="8" w:name="_Toc12306"/>
      <w:r/>
      <w:bookmarkStart w:id="9" w:name="_Toc6786"/>
      <w:r>
        <w:rPr>
          <w:rFonts w:hint="eastAsia" w:ascii="方正仿宋_GBK" w:hAnsi="方正仿宋_GBK" w:eastAsia="方正仿宋_GBK" w:cs="方正仿宋_GBK"/>
          <w:b/>
          <w:bCs/>
          <w:color w:val="auto"/>
          <w:sz w:val="30"/>
          <w:szCs w:val="30"/>
          <w:highlight w:val="none"/>
        </w:rPr>
        <w:t xml:space="preserve"> </w:t>
      </w:r>
      <w:r>
        <w:rPr>
          <w:rFonts w:hint="eastAsia" w:ascii="方正仿宋_GBK" w:hAnsi="方正仿宋_GBK" w:eastAsia="方正仿宋_GBK" w:cs="方正仿宋_GBK"/>
          <w:color w:val="auto"/>
          <w:sz w:val="30"/>
          <w:szCs w:val="30"/>
          <w:highlight w:val="none"/>
        </w:rPr>
        <w:t xml:space="preserve">  </w:t>
      </w:r>
      <w:r>
        <w:rPr>
          <w:rFonts w:hint="eastAsia" w:ascii="方正仿宋_GBK" w:hAnsi="方正仿宋_GBK" w:eastAsia="方正仿宋_GBK" w:cs="方正仿宋_GBK"/>
          <w:b/>
          <w:bCs/>
          <w:color w:val="auto"/>
          <w:sz w:val="30"/>
          <w:szCs w:val="30"/>
          <w:highlight w:val="none"/>
        </w:rPr>
        <w:t xml:space="preserve">（</w:t>
      </w:r>
      <w:r>
        <w:rPr>
          <w:rFonts w:hint="eastAsia" w:ascii="方正仿宋_GBK" w:hAnsi="方正仿宋_GBK" w:eastAsia="方正仿宋_GBK" w:cs="方正仿宋_GBK"/>
          <w:b/>
          <w:bCs/>
          <w:color w:val="auto"/>
          <w:sz w:val="30"/>
          <w:szCs w:val="30"/>
          <w:highlight w:val="none"/>
          <w:lang w:val="en-US" w:eastAsia="zh-CN"/>
        </w:rPr>
        <w:t xml:space="preserve">货物</w:t>
      </w:r>
      <w:r>
        <w:rPr>
          <w:rFonts w:hint="eastAsia" w:ascii="方正仿宋_GBK" w:hAnsi="方正仿宋_GBK" w:eastAsia="方正仿宋_GBK" w:cs="方正仿宋_GBK"/>
          <w:b/>
          <w:bCs/>
          <w:color w:val="auto"/>
          <w:sz w:val="30"/>
          <w:szCs w:val="30"/>
          <w:highlight w:val="none"/>
        </w:rPr>
        <w:t xml:space="preserve">类项目，</w:t>
      </w:r>
      <w:r>
        <w:rPr>
          <w:rFonts w:hint="eastAsia" w:ascii="方正仿宋_GBK" w:hAnsi="方正仿宋_GBK" w:eastAsia="方正仿宋_GBK" w:cs="方正仿宋_GBK"/>
          <w:b/>
          <w:bCs/>
          <w:color w:val="auto"/>
          <w:sz w:val="30"/>
          <w:szCs w:val="30"/>
          <w:highlight w:val="none"/>
          <w:u w:val="single"/>
        </w:rPr>
        <w:t xml:space="preserve"> </w:t>
      </w:r>
      <w:r>
        <w:rPr>
          <w:rFonts w:hint="eastAsia" w:ascii="方正仿宋_GBK" w:hAnsi="方正仿宋_GBK" w:eastAsia="方正仿宋_GBK" w:cs="方正仿宋_GBK"/>
          <w:b/>
          <w:bCs/>
          <w:color w:val="auto"/>
          <w:sz w:val="30"/>
          <w:szCs w:val="30"/>
          <w:highlight w:val="none"/>
          <w:u w:val="single"/>
          <w:lang w:val="en-US" w:eastAsia="zh-CN"/>
        </w:rPr>
        <w:t xml:space="preserve">是</w:t>
      </w:r>
      <w:r>
        <w:rPr>
          <w:rFonts w:hint="eastAsia" w:ascii="方正仿宋_GBK" w:hAnsi="方正仿宋_GBK" w:eastAsia="方正仿宋_GBK" w:cs="方正仿宋_GBK"/>
          <w:b/>
          <w:bCs/>
          <w:color w:val="auto"/>
          <w:sz w:val="30"/>
          <w:szCs w:val="30"/>
          <w:highlight w:val="none"/>
          <w:u w:val="single"/>
        </w:rPr>
        <w:t xml:space="preserve"> </w:t>
      </w:r>
      <w:r>
        <w:rPr>
          <w:rFonts w:hint="eastAsia" w:ascii="方正仿宋_GBK" w:hAnsi="方正仿宋_GBK" w:eastAsia="方正仿宋_GBK" w:cs="方正仿宋_GBK"/>
          <w:b/>
          <w:bCs/>
          <w:color w:val="auto"/>
          <w:sz w:val="30"/>
          <w:szCs w:val="30"/>
          <w:highlight w:val="none"/>
        </w:rPr>
        <w:t xml:space="preserve">专门面向中小企业）</w:t>
      </w:r>
      <w:bookmarkEnd w:id="6"/>
      <w:r/>
      <w:bookmarkEnd w:id="7"/>
      <w:r/>
      <w:bookmarkEnd w:id="8"/>
      <w:r/>
      <w:bookmarkEnd w:id="9"/>
      <w:r/>
      <w:r/>
    </w:p>
    <w:p>
      <w:pPr>
        <w:pStyle w:val="888"/>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88"/>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88"/>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88"/>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88"/>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88"/>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88"/>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88"/>
        <w:ind w:firstLine="1506"/>
        <w:jc w:val="both"/>
        <w:spacing w:before="120" w:beforeAutospacing="0" w:after="120" w:afterAutospacing="0" w:line="360" w:lineRule="auto"/>
        <w:rPr>
          <w:rFonts w:hint="eastAsia" w:ascii="方正仿宋_GBK" w:hAnsi="方正仿宋_GBK" w:eastAsia="方正仿宋_GBK" w:cs="方正仿宋_GBK"/>
          <w:color w:val="auto"/>
          <w:sz w:val="30"/>
          <w:szCs w:val="30"/>
          <w:highlight w:val="none"/>
          <w:u w:val="single"/>
          <w:lang w:eastAsia="zh-CN"/>
        </w:rPr>
        <w:outlineLvl w:val="0"/>
      </w:pPr>
      <w:r/>
      <w:bookmarkStart w:id="10" w:name="_Toc5082"/>
      <w:r/>
      <w:bookmarkStart w:id="11" w:name="_Toc12002"/>
      <w:r/>
      <w:bookmarkStart w:id="12" w:name="_Toc29674"/>
      <w:r/>
      <w:bookmarkStart w:id="13" w:name="_Toc29357"/>
      <w:r>
        <w:rPr>
          <w:rFonts w:hint="eastAsia" w:ascii="方正仿宋_GBK" w:hAnsi="方正仿宋_GBK" w:eastAsia="方正仿宋_GBK" w:cs="方正仿宋_GBK"/>
          <w:b/>
          <w:bCs/>
          <w:color w:val="auto"/>
          <w:sz w:val="30"/>
          <w:szCs w:val="30"/>
          <w:highlight w:val="none"/>
        </w:rPr>
        <w:t xml:space="preserve">采 </w:t>
      </w:r>
      <w:r>
        <w:rPr>
          <w:rFonts w:hint="eastAsia" w:ascii="方正仿宋_GBK" w:hAnsi="方正仿宋_GBK" w:eastAsia="方正仿宋_GBK" w:cs="方正仿宋_GBK"/>
          <w:b/>
          <w:bCs/>
          <w:color w:val="auto"/>
          <w:sz w:val="30"/>
          <w:szCs w:val="30"/>
          <w:highlight w:val="none"/>
          <w:lang w:val="en-US" w:eastAsia="zh-CN"/>
        </w:rPr>
        <w:t xml:space="preserve"> </w:t>
      </w:r>
      <w:r>
        <w:rPr>
          <w:rFonts w:hint="eastAsia" w:ascii="方正仿宋_GBK" w:hAnsi="方正仿宋_GBK" w:eastAsia="方正仿宋_GBK" w:cs="方正仿宋_GBK"/>
          <w:b/>
          <w:bCs/>
          <w:color w:val="auto"/>
          <w:sz w:val="30"/>
          <w:szCs w:val="30"/>
          <w:highlight w:val="none"/>
        </w:rPr>
        <w:t xml:space="preserve"> 购 </w:t>
      </w:r>
      <w:r>
        <w:rPr>
          <w:rFonts w:hint="eastAsia" w:ascii="方正仿宋_GBK" w:hAnsi="方正仿宋_GBK" w:eastAsia="方正仿宋_GBK" w:cs="方正仿宋_GBK"/>
          <w:b/>
          <w:bCs/>
          <w:color w:val="auto"/>
          <w:sz w:val="30"/>
          <w:szCs w:val="30"/>
          <w:highlight w:val="none"/>
          <w:lang w:val="en-US" w:eastAsia="zh-CN"/>
        </w:rPr>
        <w:t xml:space="preserve"> </w:t>
      </w:r>
      <w:r>
        <w:rPr>
          <w:rFonts w:hint="eastAsia" w:ascii="方正仿宋_GBK" w:hAnsi="方正仿宋_GBK" w:eastAsia="方正仿宋_GBK" w:cs="方正仿宋_GBK"/>
          <w:b/>
          <w:bCs/>
          <w:color w:val="auto"/>
          <w:sz w:val="30"/>
          <w:szCs w:val="30"/>
          <w:highlight w:val="none"/>
        </w:rPr>
        <w:t xml:space="preserve"> 人：</w:t>
      </w:r>
      <w:bookmarkEnd w:id="10"/>
      <w:r/>
      <w:bookmarkEnd w:id="11"/>
      <w:r/>
      <w:bookmarkEnd w:id="12"/>
      <w:r/>
      <w:bookmarkEnd w:id="13"/>
      <w:r>
        <w:rPr>
          <w:rFonts w:hint="eastAsia" w:ascii="方正仿宋_GBK" w:hAnsi="方正仿宋_GBK" w:eastAsia="方正仿宋_GBK" w:cs="方正仿宋_GBK"/>
          <w:b/>
          <w:bCs/>
          <w:color w:val="auto"/>
          <w:sz w:val="30"/>
          <w:szCs w:val="30"/>
          <w:highlight w:val="none"/>
          <w:u w:val="single"/>
          <w:lang w:eastAsia="zh-CN"/>
        </w:rPr>
        <w:t xml:space="preserve">泗洪姜堰实验学校</w:t>
      </w:r>
      <w:r/>
    </w:p>
    <w:p>
      <w:pPr>
        <w:pStyle w:val="888"/>
        <w:jc w:val="center"/>
        <w:spacing w:before="120" w:beforeAutospacing="0" w:after="120" w:afterAutospacing="0" w:line="360" w:lineRule="auto"/>
        <w:rPr>
          <w:rFonts w:hint="eastAsia" w:ascii="方正仿宋_GBK" w:hAnsi="方正仿宋_GBK" w:eastAsia="方正仿宋_GBK" w:cs="方正仿宋_GBK"/>
          <w:b/>
          <w:bCs/>
          <w:color w:val="auto"/>
          <w:sz w:val="30"/>
          <w:szCs w:val="30"/>
          <w:highlight w:val="none"/>
        </w:rPr>
        <w:outlineLvl w:val="0"/>
      </w:pPr>
      <w:r/>
      <w:bookmarkStart w:id="14" w:name="_Toc1955"/>
      <w:r/>
      <w:bookmarkStart w:id="15" w:name="_Toc15097"/>
      <w:r/>
      <w:bookmarkStart w:id="16" w:name="_Toc15872"/>
      <w:r/>
      <w:bookmarkStart w:id="17" w:name="_Toc10024"/>
      <w:r>
        <w:rPr>
          <w:rFonts w:hint="eastAsia" w:ascii="方正仿宋_GBK" w:hAnsi="方正仿宋_GBK" w:eastAsia="方正仿宋_GBK" w:cs="方正仿宋_GBK"/>
          <w:b/>
          <w:bCs/>
          <w:color w:val="auto"/>
          <w:sz w:val="30"/>
          <w:szCs w:val="30"/>
          <w:highlight w:val="none"/>
        </w:rPr>
        <w:t xml:space="preserve">采购代理机构</w:t>
      </w:r>
      <w:r>
        <w:rPr>
          <w:rFonts w:hint="eastAsia" w:ascii="方正仿宋_GBK" w:hAnsi="方正仿宋_GBK" w:eastAsia="方正仿宋_GBK" w:cs="方正仿宋_GBK"/>
          <w:b/>
          <w:bCs/>
          <w:color w:val="auto"/>
          <w:sz w:val="30"/>
          <w:szCs w:val="30"/>
          <w:highlight w:val="none"/>
          <w:lang w:eastAsia="zh-CN"/>
        </w:rPr>
        <w:t xml:space="preserve">：</w:t>
      </w:r>
      <w:r>
        <w:rPr>
          <w:rFonts w:hint="eastAsia" w:ascii="方正仿宋_GBK" w:hAnsi="方正仿宋_GBK" w:eastAsia="方正仿宋_GBK" w:cs="方正仿宋_GBK"/>
          <w:b/>
          <w:bCs/>
          <w:color w:val="auto"/>
          <w:sz w:val="30"/>
          <w:szCs w:val="30"/>
          <w:highlight w:val="none"/>
          <w:u w:val="single"/>
        </w:rPr>
        <w:t xml:space="preserve">泗洪县公共资源交易中心</w:t>
      </w:r>
      <w:bookmarkEnd w:id="14"/>
      <w:r/>
      <w:bookmarkEnd w:id="15"/>
      <w:r/>
      <w:bookmarkEnd w:id="16"/>
      <w:r/>
      <w:bookmarkEnd w:id="17"/>
      <w:r/>
      <w:r/>
    </w:p>
    <w:p>
      <w:pPr>
        <w:pStyle w:val="888"/>
        <w:ind w:firstLine="2570"/>
        <w:jc w:val="both"/>
        <w:spacing w:before="120" w:beforeAutospacing="0" w:after="120" w:afterAutospacing="0" w:line="360" w:lineRule="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b/>
          <w:bCs/>
          <w:color w:val="auto"/>
          <w:sz w:val="30"/>
          <w:szCs w:val="30"/>
          <w:highlight w:val="none"/>
        </w:rPr>
        <w:t xml:space="preserve">202</w:t>
      </w:r>
      <w:r>
        <w:rPr>
          <w:rFonts w:hint="eastAsia" w:ascii="方正仿宋_GBK" w:hAnsi="方正仿宋_GBK" w:eastAsia="方正仿宋_GBK" w:cs="方正仿宋_GBK"/>
          <w:b/>
          <w:bCs/>
          <w:color w:val="auto"/>
          <w:sz w:val="30"/>
          <w:szCs w:val="30"/>
          <w:highlight w:val="none"/>
          <w:lang w:val="en-US" w:eastAsia="zh-CN"/>
        </w:rPr>
        <w:t xml:space="preserve">6</w:t>
      </w:r>
      <w:r>
        <w:rPr>
          <w:rFonts w:hint="eastAsia" w:ascii="方正仿宋_GBK" w:hAnsi="方正仿宋_GBK" w:eastAsia="方正仿宋_GBK" w:cs="方正仿宋_GBK"/>
          <w:b/>
          <w:bCs/>
          <w:color w:val="auto"/>
          <w:sz w:val="30"/>
          <w:szCs w:val="30"/>
          <w:highlight w:val="none"/>
        </w:rPr>
        <w:t xml:space="preserve"> 年</w:t>
      </w:r>
      <w:r>
        <w:rPr>
          <w:rFonts w:hint="eastAsia" w:ascii="方正仿宋_GBK" w:hAnsi="方正仿宋_GBK" w:eastAsia="方正仿宋_GBK" w:cs="方正仿宋_GBK"/>
          <w:b/>
          <w:bCs/>
          <w:color w:val="auto"/>
          <w:sz w:val="30"/>
          <w:szCs w:val="30"/>
          <w:highlight w:val="none"/>
          <w:lang w:val="en-US" w:eastAsia="zh-CN"/>
        </w:rPr>
        <w:t xml:space="preserve">01月19</w:t>
      </w:r>
      <w:r>
        <w:rPr>
          <w:rFonts w:hint="eastAsia" w:ascii="方正仿宋_GBK" w:hAnsi="方正仿宋_GBK" w:eastAsia="方正仿宋_GBK" w:cs="方正仿宋_GBK"/>
          <w:b/>
          <w:bCs/>
          <w:color w:val="auto"/>
          <w:sz w:val="30"/>
          <w:szCs w:val="30"/>
          <w:highlight w:val="none"/>
        </w:rPr>
        <w:t xml:space="preserve">日</w:t>
      </w:r>
      <w:r/>
    </w:p>
    <w:p>
      <w:pPr>
        <w:pStyle w:val="888"/>
        <w:jc w:val="center"/>
        <w:keepLines/>
        <w:keepNext/>
        <w:pageBreakBefore/>
        <w:spacing w:before="0" w:beforeAutospacing="0" w:after="0" w:afterAutospacing="0"/>
        <w:rPr>
          <w:rFonts w:hint="eastAsia" w:ascii="方正仿宋_GBK" w:hAnsi="方正仿宋_GBK" w:eastAsia="方正仿宋_GBK" w:cs="方正仿宋_GBK"/>
          <w:b/>
          <w:bCs/>
          <w:color w:val="auto"/>
          <w:sz w:val="28"/>
          <w:szCs w:val="28"/>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K" w:hAnsi="方正仿宋_GBK" w:eastAsia="方正仿宋_GBK" w:cs="方正仿宋_GBK"/>
          <w:b/>
          <w:bCs/>
          <w:color w:val="auto"/>
          <w:sz w:val="28"/>
          <w:szCs w:val="28"/>
          <w:highlight w:val="none"/>
          <w:shd w:val="clear" w:color="auto" w:fill="ffffff"/>
        </w:rPr>
      </w:r>
      <w:r/>
    </w:p>
    <w:p>
      <w:pPr>
        <w:pStyle w:val="888"/>
        <w:jc w:val="center"/>
        <w:keepLines/>
        <w:keepNext/>
        <w:pageBreakBefore/>
        <w:spacing w:before="0" w:beforeAutospacing="0" w:after="0" w:afterAutospacing="0"/>
        <w:rPr>
          <w:rFonts w:hint="eastAsia" w:ascii="方正仿宋_GBK" w:hAnsi="方正仿宋_GBK" w:eastAsia="方正仿宋_GBK" w:cs="方正仿宋_GBK"/>
          <w:b/>
          <w:bCs/>
          <w:color w:val="auto"/>
          <w:sz w:val="28"/>
          <w:szCs w:val="28"/>
          <w:highlight w:val="none"/>
          <w:shd w:val="clear" w:color="auto" w:fill="ffffff"/>
        </w:rPr>
      </w:pPr>
      <w:r>
        <w:rPr>
          <w:rFonts w:hint="eastAsia" w:ascii="方正仿宋_GBK" w:hAnsi="方正仿宋_GBK" w:eastAsia="方正仿宋_GBK" w:cs="方正仿宋_GBK"/>
          <w:b/>
          <w:bCs/>
          <w:color w:val="auto"/>
          <w:sz w:val="28"/>
          <w:szCs w:val="28"/>
          <w:highlight w:val="none"/>
          <w:shd w:val="clear" w:color="auto" w:fill="ffffff"/>
        </w:rPr>
        <w:t xml:space="preserve">目 录</w:t>
      </w:r>
      <w:r/>
    </w:p>
    <w:p>
      <w:pPr>
        <w:pStyle w:val="715"/>
        <w:tabs>
          <w:tab w:val="right" w:pos="8306" w:leader="dot"/>
        </w:tabs>
        <w:rPr>
          <w:rFonts w:hint="eastAsia" w:ascii="方正仿宋_GBK" w:hAnsi="方正仿宋_GBK" w:eastAsia="方正仿宋_GBK" w:cs="方正仿宋_GBK"/>
          <w:color w:val="auto"/>
          <w:sz w:val="28"/>
          <w:szCs w:val="28"/>
          <w:highlight w:val="none"/>
        </w:rPr>
      </w:pPr>
      <w:r/>
      <w:bookmarkStart w:id="18" w:name="_Toc81575189"/>
      <w:r/>
      <w:bookmarkStart w:id="19" w:name="_Toc176774443"/>
      <w:r/>
      <w:bookmarkStart w:id="20" w:name="_Toc81575152"/>
      <w:r>
        <w:rPr>
          <w:rFonts w:hint="eastAsia" w:ascii="方正仿宋_GBK" w:hAnsi="方正仿宋_GBK" w:eastAsia="方正仿宋_GBK" w:cs="方正仿宋_GBK"/>
          <w:b/>
          <w:bCs/>
          <w:color w:val="auto"/>
          <w:sz w:val="28"/>
          <w:szCs w:val="28"/>
          <w:highlight w:val="none"/>
          <w:shd w:val="clear" w:color="auto" w:fill="ffffff"/>
        </w:rPr>
        <w:fldChar w:fldCharType="begin"/>
      </w:r>
      <w:r>
        <w:rPr>
          <w:rFonts w:hint="eastAsia" w:ascii="方正仿宋_GBK" w:hAnsi="方正仿宋_GBK" w:eastAsia="方正仿宋_GBK" w:cs="方正仿宋_GBK"/>
          <w:b/>
          <w:bCs/>
          <w:color w:val="auto"/>
          <w:sz w:val="28"/>
          <w:szCs w:val="28"/>
          <w:highlight w:val="none"/>
          <w:shd w:val="clear" w:color="auto" w:fill="ffffff"/>
        </w:rPr>
        <w:instrText xml:space="preserve">TOC \o "1-1" \h \u </w:instrText>
      </w:r>
      <w:r>
        <w:rPr>
          <w:rFonts w:hint="eastAsia" w:ascii="方正仿宋_GBK" w:hAnsi="方正仿宋_GBK" w:eastAsia="方正仿宋_GBK" w:cs="方正仿宋_GBK"/>
          <w:b/>
          <w:bCs/>
          <w:color w:val="auto"/>
          <w:sz w:val="28"/>
          <w:szCs w:val="28"/>
          <w:highlight w:val="none"/>
          <w:shd w:val="clear" w:color="auto" w:fill="ffffff"/>
        </w:rPr>
        <w:fldChar w:fldCharType="separate"/>
      </w:r>
      <w:r/>
    </w:p>
    <w:p>
      <w:pPr>
        <w:pStyle w:val="715"/>
        <w:spacing w:line="360" w:lineRule="auto"/>
        <w:tabs>
          <w:tab w:val="right" w:pos="8306" w:leader="dot"/>
        </w:tabs>
        <w:rPr>
          <w:rFonts w:hint="eastAsia" w:ascii="方正仿宋_GBK" w:hAnsi="方正仿宋_GBK" w:eastAsia="方正仿宋_GBK" w:cs="方正仿宋_GBK"/>
          <w:bCs/>
          <w:color w:val="auto"/>
          <w:sz w:val="28"/>
          <w:szCs w:val="28"/>
          <w:highlight w:val="none"/>
          <w:shd w:val="clear" w:color="auto" w:fill="ffffff"/>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_Toc21993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w:t>
      </w:r>
      <w:r>
        <w:rPr>
          <w:rFonts w:hint="eastAsia" w:ascii="方正仿宋_GBK" w:hAnsi="方正仿宋_GBK" w:eastAsia="方正仿宋_GBK" w:cs="方正仿宋_GBK"/>
          <w:bCs/>
          <w:color w:val="auto"/>
          <w:sz w:val="28"/>
          <w:szCs w:val="28"/>
          <w:highlight w:val="none"/>
          <w:shd w:val="clear" w:color="auto" w:fill="ffffff"/>
          <w:lang w:val="en-US" w:eastAsia="zh-CN"/>
        </w:rPr>
        <w:t xml:space="preserve">一</w:t>
      </w:r>
      <w:r>
        <w:rPr>
          <w:rFonts w:hint="eastAsia" w:ascii="方正仿宋_GBK" w:hAnsi="方正仿宋_GBK" w:eastAsia="方正仿宋_GBK" w:cs="方正仿宋_GBK"/>
          <w:bCs/>
          <w:color w:val="auto"/>
          <w:sz w:val="28"/>
          <w:szCs w:val="28"/>
          <w:highlight w:val="none"/>
          <w:shd w:val="clear" w:color="auto" w:fill="ffffff"/>
        </w:rPr>
        <w:t xml:space="preserve">部分  </w:t>
      </w:r>
      <w:r>
        <w:rPr>
          <w:rFonts w:hint="eastAsia" w:ascii="方正仿宋_GBK" w:hAnsi="方正仿宋_GBK" w:eastAsia="方正仿宋_GBK" w:cs="方正仿宋_GBK"/>
          <w:bCs/>
          <w:color w:val="auto"/>
          <w:sz w:val="28"/>
          <w:szCs w:val="28"/>
          <w:highlight w:val="none"/>
          <w:shd w:val="clear" w:color="auto" w:fill="ffffff"/>
          <w:lang w:val="en-US" w:eastAsia="zh-CN"/>
        </w:rPr>
        <w:t xml:space="preserve">投标邀请函</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715"/>
        <w:spacing w:line="360" w:lineRule="auto"/>
        <w:tabs>
          <w:tab w:val="right" w:pos="8306" w:leader="dot"/>
        </w:tabs>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_Toc21993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w:t>
      </w:r>
      <w:r>
        <w:rPr>
          <w:rFonts w:hint="eastAsia" w:ascii="方正仿宋_GBK" w:hAnsi="方正仿宋_GBK" w:eastAsia="方正仿宋_GBK" w:cs="方正仿宋_GBK"/>
          <w:bCs/>
          <w:color w:val="auto"/>
          <w:sz w:val="28"/>
          <w:szCs w:val="28"/>
          <w:highlight w:val="none"/>
          <w:shd w:val="clear" w:color="auto" w:fill="ffffff"/>
          <w:lang w:val="en-US" w:eastAsia="zh-CN"/>
        </w:rPr>
        <w:t xml:space="preserve">二</w:t>
      </w:r>
      <w:r>
        <w:rPr>
          <w:rFonts w:hint="eastAsia" w:ascii="方正仿宋_GBK" w:hAnsi="方正仿宋_GBK" w:eastAsia="方正仿宋_GBK" w:cs="方正仿宋_GBK"/>
          <w:bCs/>
          <w:color w:val="auto"/>
          <w:sz w:val="28"/>
          <w:szCs w:val="28"/>
          <w:highlight w:val="none"/>
          <w:shd w:val="clear" w:color="auto" w:fill="ffffff"/>
        </w:rPr>
        <w:t xml:space="preserve">部分  </w:t>
      </w:r>
      <w:r>
        <w:rPr>
          <w:rFonts w:hint="eastAsia" w:ascii="方正仿宋_GBK" w:hAnsi="方正仿宋_GBK" w:eastAsia="方正仿宋_GBK" w:cs="方正仿宋_GBK"/>
          <w:bCs/>
          <w:color w:val="auto"/>
          <w:sz w:val="28"/>
          <w:szCs w:val="28"/>
          <w:highlight w:val="none"/>
          <w:shd w:val="clear" w:color="auto" w:fill="ffffff"/>
          <w:lang w:val="en-US" w:eastAsia="zh-CN"/>
        </w:rPr>
        <w:t xml:space="preserve">投标人须知</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715"/>
        <w:spacing w:line="360" w:lineRule="auto"/>
        <w:tabs>
          <w:tab w:val="right" w:pos="8306" w:leader="dot"/>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_Toc6455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第三部分  资格审查及评标办法</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715"/>
        <w:spacing w:line="360" w:lineRule="auto"/>
        <w:tabs>
          <w:tab w:val="right" w:pos="8306" w:leader="dot"/>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_Toc9629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第四部分  采购需求</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715"/>
        <w:spacing w:line="360" w:lineRule="auto"/>
        <w:tabs>
          <w:tab w:val="right" w:pos="8306" w:leader="dot"/>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_Toc7021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第五部分  合同格式及条款</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715"/>
        <w:spacing w:line="360" w:lineRule="auto"/>
        <w:tabs>
          <w:tab w:val="right" w:pos="8306" w:leader="dot"/>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_Toc20257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第六部分  投标文件格式</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888"/>
        <w:ind w:left="0" w:right="0"/>
        <w:jc w:val="center"/>
        <w:keepLines/>
        <w:keepNext/>
        <w:pageBreakBefore/>
        <w:spacing w:before="0" w:beforeAutospacing="0" w:after="0" w:afterAutospacing="0" w:line="440" w:lineRule="exact"/>
        <w:rPr>
          <w:rFonts w:hint="eastAsia" w:ascii="方正仿宋_GBK" w:hAnsi="方正仿宋_GBK" w:eastAsia="方正仿宋_GBK" w:cs="方正仿宋_GBK"/>
          <w:bCs/>
          <w:color w:val="auto"/>
          <w:sz w:val="28"/>
          <w:szCs w:val="28"/>
          <w:highlight w:val="none"/>
          <w:shd w:val="clear" w:color="auto" w:fill="ffffff"/>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hint="eastAsia" w:ascii="方正仿宋_GBK" w:hAnsi="方正仿宋_GBK" w:eastAsia="方正仿宋_GBK" w:cs="方正仿宋_GBK"/>
          <w:bCs/>
          <w:color w:val="auto"/>
          <w:sz w:val="28"/>
          <w:szCs w:val="28"/>
          <w:highlight w:val="none"/>
          <w:shd w:val="clear" w:color="auto" w:fill="ffffff"/>
        </w:rPr>
      </w:r>
      <w:r/>
    </w:p>
    <w:p>
      <w:pPr>
        <w:pStyle w:val="888"/>
        <w:ind w:left="0" w:right="0"/>
        <w:jc w:val="center"/>
        <w:keepLines/>
        <w:keepNext/>
        <w:pageBreakBefore/>
        <w:spacing w:before="0" w:beforeAutospacing="0" w:after="0" w:afterAutospacing="0" w:line="440" w:lineRule="exact"/>
        <w:rPr>
          <w:rFonts w:hint="eastAsia" w:ascii="方正仿宋_GBK" w:hAnsi="方正仿宋_GBK" w:eastAsia="方正仿宋_GBK" w:cs="方正仿宋_GBK"/>
          <w:b/>
          <w:bCs/>
          <w:color w:val="auto"/>
          <w:sz w:val="30"/>
          <w:szCs w:val="30"/>
          <w:highlight w:val="none"/>
          <w:lang w:val="en-US" w:eastAsia="zh-CN"/>
        </w:rPr>
        <w:outlineLvl w:val="0"/>
      </w:pPr>
      <w:r>
        <w:rPr>
          <w:rFonts w:hint="eastAsia" w:ascii="方正仿宋_GBK" w:hAnsi="方正仿宋_GBK" w:eastAsia="方正仿宋_GBK" w:cs="方正仿宋_GBK"/>
          <w:bCs/>
          <w:color w:val="auto"/>
          <w:sz w:val="28"/>
          <w:szCs w:val="28"/>
          <w:highlight w:val="none"/>
          <w:shd w:val="clear" w:color="auto" w:fill="ffffff"/>
        </w:rPr>
        <w:fldChar w:fldCharType="end"/>
      </w:r>
      <w:bookmarkEnd w:id="18"/>
      <w:r/>
      <w:bookmarkEnd w:id="19"/>
      <w:r/>
      <w:bookmarkEnd w:id="20"/>
      <w:r/>
      <w:bookmarkStart w:id="21" w:name="_Toc21993"/>
      <w:r>
        <w:rPr>
          <w:rFonts w:hint="eastAsia" w:ascii="宋体" w:hAnsi="宋体" w:eastAsia="宋体" w:cs="宋体"/>
          <w:b/>
          <w:bCs/>
          <w:color w:val="auto"/>
          <w:sz w:val="36"/>
          <w:szCs w:val="36"/>
          <w:highlight w:val="none"/>
          <w:lang w:val="en-US" w:eastAsia="zh-CN"/>
        </w:rPr>
        <w:t xml:space="preserve">第一部分  投标邀请函</w:t>
      </w:r>
      <w:bookmarkEnd w:id="21"/>
      <w:r/>
      <w:r/>
    </w:p>
    <w:p>
      <w:pPr>
        <w:pStyle w:val="888"/>
        <w:ind w:left="0" w:right="0" w:firstLine="56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受</w:t>
      </w:r>
      <w:r>
        <w:rPr>
          <w:rFonts w:hint="eastAsia" w:ascii="宋体" w:hAnsi="宋体" w:cs="宋体"/>
          <w:b w:val="0"/>
          <w:bCs w:val="0"/>
          <w:color w:val="auto"/>
          <w:sz w:val="24"/>
          <w:szCs w:val="24"/>
          <w:highlight w:val="none"/>
          <w:u w:val="single"/>
          <w:lang w:eastAsia="zh-CN"/>
        </w:rPr>
        <w:t xml:space="preserve">泗洪姜堰实验学校</w:t>
      </w:r>
      <w:r>
        <w:rPr>
          <w:rFonts w:hint="eastAsia" w:ascii="宋体" w:hAnsi="宋体" w:eastAsia="宋体" w:cs="宋体"/>
          <w:b w:val="0"/>
          <w:bCs w:val="0"/>
          <w:color w:val="auto"/>
          <w:sz w:val="24"/>
          <w:szCs w:val="24"/>
          <w:highlight w:val="none"/>
        </w:rPr>
        <w:t xml:space="preserve">的委托，</w:t>
      </w:r>
      <w:r>
        <w:rPr>
          <w:rFonts w:hint="eastAsia" w:ascii="宋体" w:hAnsi="宋体" w:eastAsia="宋体" w:cs="宋体"/>
          <w:b w:val="0"/>
          <w:bCs w:val="0"/>
          <w:color w:val="auto"/>
          <w:sz w:val="24"/>
          <w:szCs w:val="24"/>
          <w:highlight w:val="none"/>
          <w:u w:val="single"/>
        </w:rPr>
        <w:t xml:space="preserve">泗洪县公共资源交易中心</w:t>
      </w:r>
      <w:r>
        <w:rPr>
          <w:rFonts w:hint="eastAsia" w:ascii="宋体" w:hAnsi="宋体" w:eastAsia="宋体" w:cs="宋体"/>
          <w:b w:val="0"/>
          <w:bCs w:val="0"/>
          <w:color w:val="auto"/>
          <w:sz w:val="24"/>
          <w:szCs w:val="24"/>
          <w:highlight w:val="none"/>
        </w:rPr>
        <w:t xml:space="preserve">就</w:t>
      </w:r>
      <w:r>
        <w:rPr>
          <w:rFonts w:hint="eastAsia" w:ascii="宋体" w:hAnsi="宋体" w:cs="宋体"/>
          <w:b w:val="0"/>
          <w:bCs w:val="0"/>
          <w:color w:val="auto"/>
          <w:sz w:val="24"/>
          <w:szCs w:val="24"/>
          <w:highlight w:val="none"/>
          <w:u w:val="single"/>
          <w:lang w:eastAsia="zh-CN"/>
        </w:rPr>
        <w:t xml:space="preserve">泗洪姜堰实验学校初中部功能室、实验室采购项目</w:t>
      </w:r>
      <w:r>
        <w:rPr>
          <w:rFonts w:hint="eastAsia" w:ascii="宋体" w:hAnsi="宋体" w:eastAsia="宋体" w:cs="宋体"/>
          <w:b w:val="0"/>
          <w:bCs w:val="0"/>
          <w:color w:val="auto"/>
          <w:sz w:val="24"/>
          <w:szCs w:val="24"/>
          <w:highlight w:val="none"/>
          <w:u w:val="single"/>
        </w:rPr>
        <w:t xml:space="preserve">（JSZC-321324-JZCG-G2026-0003）</w:t>
      </w:r>
      <w:r>
        <w:rPr>
          <w:rFonts w:hint="eastAsia" w:ascii="宋体" w:hAnsi="宋体" w:eastAsia="宋体" w:cs="宋体"/>
          <w:b w:val="0"/>
          <w:bCs w:val="0"/>
          <w:color w:val="auto"/>
          <w:sz w:val="24"/>
          <w:szCs w:val="24"/>
          <w:highlight w:val="none"/>
        </w:rPr>
        <w:t xml:space="preserve">公</w:t>
      </w:r>
      <w:r>
        <w:rPr>
          <w:rFonts w:hint="eastAsia" w:ascii="宋体" w:hAnsi="宋体" w:eastAsia="宋体" w:cs="宋体"/>
          <w:color w:val="auto"/>
          <w:sz w:val="24"/>
          <w:szCs w:val="24"/>
          <w:highlight w:val="none"/>
        </w:rPr>
        <w:t xml:space="preserve">开招标采购，欢迎符合条件的投标人投标。</w:t>
      </w:r>
      <w:r/>
    </w:p>
    <w:p>
      <w:pPr>
        <w:pStyle w:val="888"/>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88"/>
        <w:ind w:left="0" w:right="0" w:firstLine="482"/>
        <w:jc w:val="both"/>
        <w:spacing w:before="0" w:beforeAutospacing="0" w:after="0" w:afterAutospacing="0" w:line="44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val="0"/>
          <w:bCs w:val="0"/>
          <w:color w:val="auto"/>
          <w:sz w:val="24"/>
          <w:szCs w:val="24"/>
          <w:highlight w:val="none"/>
          <w:u w:val="single"/>
          <w:lang w:eastAsia="zh-CN"/>
        </w:rPr>
        <w:t xml:space="preserve">泗洪姜堰实验学校初中部功能室、实验室采购项目JSZC-321324-JZCG-G2026-0003</w:t>
      </w:r>
      <w:r>
        <w:rPr>
          <w:rFonts w:hint="eastAsia" w:ascii="宋体" w:hAnsi="宋体" w:eastAsia="宋体" w:cs="宋体"/>
          <w:color w:val="auto"/>
          <w:sz w:val="24"/>
          <w:szCs w:val="24"/>
          <w:highlight w:val="none"/>
        </w:rPr>
        <w:t xml:space="preserve">招标项目的潜在投标人应在招标文件提供的时间内，通过“苏采云”系统（网址：http://jszfcg.jsczt.cn/）或宿迁市政府采购网点击“政府采购管理交易系统（苏采云）”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使用CA锁进入系统从“项目参与”--“采购项目”菜单中，找到本项目获取招标文件，并于202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09:</w:t>
      </w:r>
      <w:r>
        <w:rPr>
          <w:rFonts w:hint="eastAsia" w:ascii="宋体" w:hAnsi="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 （北京时间）前递交投标文件。</w:t>
      </w:r>
      <w:r/>
    </w:p>
    <w:p>
      <w:pPr>
        <w:pStyle w:val="879"/>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22" w:name="_Hlk24379207"/>
      <w:r/>
      <w:bookmarkStart w:id="23" w:name="_Toc38985263"/>
      <w:r/>
      <w:bookmarkStart w:id="24" w:name="_Toc35393621"/>
      <w:r/>
      <w:bookmarkStart w:id="25" w:name="_Toc28359002"/>
      <w:r/>
      <w:bookmarkStart w:id="26" w:name="_Toc176774444"/>
      <w:r/>
      <w:bookmarkStart w:id="27" w:name="_Toc28359079"/>
      <w:r/>
      <w:bookmarkStart w:id="28" w:name="_Toc35393790"/>
      <w:r>
        <w:rPr>
          <w:rFonts w:hint="eastAsia" w:ascii="宋体" w:hAnsi="宋体" w:eastAsia="宋体" w:cs="宋体"/>
          <w:color w:val="auto"/>
          <w:sz w:val="24"/>
          <w:szCs w:val="24"/>
          <w:highlight w:val="none"/>
        </w:rPr>
        <w:t xml:space="preserve">一、项目基本情况</w:t>
      </w:r>
      <w:bookmarkEnd w:id="22"/>
      <w:r/>
      <w:bookmarkEnd w:id="23"/>
      <w:r/>
      <w:bookmarkEnd w:id="24"/>
      <w:r/>
      <w:bookmarkEnd w:id="25"/>
      <w:r/>
      <w:bookmarkEnd w:id="26"/>
      <w:r/>
      <w:bookmarkEnd w:id="27"/>
      <w:r/>
      <w:bookmarkEnd w:id="28"/>
      <w:r/>
      <w:r/>
    </w:p>
    <w:p>
      <w:pPr>
        <w:pStyle w:val="888"/>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1.项目编号：JSZC-321324-JZCG-G2026-0003</w:t>
      </w:r>
      <w:r/>
    </w:p>
    <w:p>
      <w:pPr>
        <w:pStyle w:val="888"/>
        <w:ind w:left="0" w:right="0" w:firstLine="480"/>
        <w:jc w:val="both"/>
        <w:spacing w:before="0" w:beforeAutospacing="0" w:after="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泗洪姜堰实验学校初中部功能室、实验室采购项目</w:t>
      </w:r>
      <w:r/>
    </w:p>
    <w:p>
      <w:pPr>
        <w:pStyle w:val="888"/>
        <w:ind w:left="0" w:right="0" w:firstLine="480"/>
        <w:jc w:val="both"/>
        <w:spacing w:before="0" w:beforeAutospacing="0" w:after="0" w:afterAutospacing="0" w:line="440" w:lineRule="exact"/>
        <w:rPr>
          <w:rFonts w:hint="eastAsia" w:ascii="宋体" w:hAnsi="宋体" w:eastAsia="宋体" w:cs="宋体"/>
          <w:strike w:val="0"/>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strike w:val="0"/>
          <w:color w:val="auto"/>
          <w:sz w:val="24"/>
          <w:szCs w:val="24"/>
          <w:highlight w:val="none"/>
          <w:lang w:val="en-US" w:eastAsia="zh-CN"/>
        </w:rPr>
        <w:t xml:space="preserve">8056789.4元</w:t>
      </w:r>
      <w:r>
        <w:rPr>
          <w:rFonts w:hint="eastAsia" w:ascii="宋体" w:hAnsi="宋体" w:cs="宋体"/>
          <w:strike w:val="0"/>
          <w:color w:val="auto"/>
          <w:sz w:val="24"/>
          <w:szCs w:val="24"/>
          <w:highlight w:val="none"/>
          <w:lang w:eastAsia="zh-CN"/>
        </w:rPr>
        <w:t xml:space="preserve">（</w:t>
      </w:r>
      <w:r>
        <w:rPr>
          <w:rFonts w:hint="eastAsia" w:ascii="宋体" w:hAnsi="宋体" w:cs="宋体"/>
          <w:strike w:val="0"/>
          <w:color w:val="auto"/>
          <w:sz w:val="24"/>
          <w:szCs w:val="24"/>
          <w:highlight w:val="none"/>
          <w:lang w:val="en-US" w:eastAsia="zh-CN"/>
        </w:rPr>
        <w:t xml:space="preserve">采购包1为4748474.4元；采购包2为3308315.0元</w:t>
      </w:r>
      <w:r>
        <w:rPr>
          <w:rFonts w:hint="eastAsia" w:ascii="宋体" w:hAnsi="宋体" w:cs="宋体"/>
          <w:strike w:val="0"/>
          <w:color w:val="auto"/>
          <w:sz w:val="24"/>
          <w:szCs w:val="24"/>
          <w:highlight w:val="none"/>
          <w:lang w:eastAsia="zh-CN"/>
        </w:rPr>
        <w:t xml:space="preserve">）</w:t>
      </w:r>
      <w:r/>
    </w:p>
    <w:p>
      <w:pPr>
        <w:pStyle w:val="888"/>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w:t>
      </w:r>
      <w:r>
        <w:rPr>
          <w:rFonts w:hint="eastAsia" w:ascii="宋体" w:hAnsi="宋体" w:cs="宋体"/>
          <w:strike w:val="0"/>
          <w:color w:val="auto"/>
          <w:sz w:val="24"/>
          <w:szCs w:val="24"/>
          <w:highlight w:val="none"/>
          <w:lang w:val="en-US" w:eastAsia="zh-CN"/>
        </w:rPr>
        <w:t xml:space="preserve">8056789.4</w:t>
      </w:r>
      <w:r>
        <w:rPr>
          <w:rFonts w:hint="eastAsia" w:ascii="宋体" w:hAnsi="宋体" w:eastAsia="宋体" w:cs="宋体"/>
          <w:color w:val="auto"/>
          <w:sz w:val="24"/>
          <w:szCs w:val="24"/>
          <w:highlight w:val="none"/>
        </w:rPr>
        <w:t xml:space="preserve">元。</w:t>
      </w:r>
      <w:r>
        <w:rPr>
          <w:rFonts w:hint="eastAsia" w:ascii="宋体" w:hAnsi="宋体" w:cs="宋体"/>
          <w:strike w:val="0"/>
          <w:color w:val="auto"/>
          <w:sz w:val="24"/>
          <w:szCs w:val="24"/>
          <w:highlight w:val="none"/>
          <w:lang w:val="en-US" w:eastAsia="zh-CN"/>
        </w:rPr>
        <w:t xml:space="preserve">采购包1</w:t>
      </w:r>
      <w:r>
        <w:rPr>
          <w:rFonts w:hint="eastAsia" w:ascii="宋体" w:hAnsi="宋体" w:eastAsia="宋体" w:cs="宋体"/>
          <w:strike w:val="0"/>
          <w:color w:val="auto"/>
          <w:sz w:val="24"/>
          <w:szCs w:val="24"/>
          <w:highlight w:val="none"/>
        </w:rPr>
        <w:t xml:space="preserve">最高限价为</w:t>
      </w:r>
      <w:r>
        <w:rPr>
          <w:rFonts w:hint="eastAsia" w:ascii="宋体" w:hAnsi="宋体" w:cs="宋体"/>
          <w:strike w:val="0"/>
          <w:color w:val="auto"/>
          <w:sz w:val="24"/>
          <w:szCs w:val="24"/>
          <w:highlight w:val="none"/>
          <w:lang w:val="en-US" w:eastAsia="zh-CN"/>
        </w:rPr>
        <w:t xml:space="preserve">4748474.4元</w:t>
      </w:r>
      <w:r>
        <w:rPr>
          <w:rFonts w:hint="eastAsia" w:ascii="宋体" w:hAnsi="宋体" w:cs="宋体"/>
          <w:strike w:val="0"/>
          <w:color w:val="auto"/>
          <w:sz w:val="24"/>
          <w:szCs w:val="24"/>
          <w:highlight w:val="none"/>
          <w:u w:val="none"/>
          <w:lang w:eastAsia="zh-CN"/>
        </w:rPr>
        <w:t xml:space="preserve">；</w:t>
      </w:r>
      <w:r>
        <w:rPr>
          <w:rFonts w:hint="eastAsia" w:ascii="宋体" w:hAnsi="宋体" w:cs="宋体"/>
          <w:strike w:val="0"/>
          <w:color w:val="auto"/>
          <w:sz w:val="24"/>
          <w:szCs w:val="24"/>
          <w:highlight w:val="none"/>
          <w:u w:val="none"/>
          <w:lang w:val="en-US" w:eastAsia="zh-CN"/>
        </w:rPr>
        <w:t xml:space="preserve">采购包2最高限价为</w:t>
      </w:r>
      <w:r>
        <w:rPr>
          <w:rFonts w:hint="eastAsia" w:ascii="宋体" w:hAnsi="宋体" w:cs="宋体"/>
          <w:strike w:val="0"/>
          <w:color w:val="auto"/>
          <w:sz w:val="24"/>
          <w:szCs w:val="24"/>
          <w:highlight w:val="none"/>
          <w:lang w:val="en-US" w:eastAsia="zh-CN"/>
        </w:rPr>
        <w:t xml:space="preserve">3308315.0元</w:t>
      </w:r>
      <w:r>
        <w:rPr>
          <w:rFonts w:hint="eastAsia" w:ascii="宋体" w:hAnsi="宋体" w:cs="宋体"/>
          <w:color w:val="auto"/>
          <w:sz w:val="24"/>
          <w:szCs w:val="24"/>
          <w:highlight w:val="none"/>
          <w:u w:val="none"/>
          <w:lang w:val="en-US" w:eastAsia="zh-CN"/>
        </w:rPr>
        <w:t xml:space="preserve">；高于最高限价的，按无效投标处理。</w:t>
      </w:r>
      <w:r>
        <w:rPr>
          <w:rFonts w:hint="eastAsia" w:ascii="宋体" w:hAnsi="宋体" w:eastAsia="宋体" w:cs="宋体"/>
          <w:color w:val="auto"/>
          <w:sz w:val="24"/>
          <w:szCs w:val="24"/>
          <w:highlight w:val="none"/>
        </w:rPr>
        <w:t xml:space="preserve"> </w:t>
      </w:r>
      <w:r/>
    </w:p>
    <w:p>
      <w:pPr>
        <w:pStyle w:val="888"/>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p>
    <w:p>
      <w:pPr>
        <w:pStyle w:val="888"/>
        <w:ind w:left="0" w:right="0" w:firstLine="480"/>
        <w:jc w:val="both"/>
        <w:spacing w:before="0" w:beforeAutospacing="0" w:after="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采购包1：理化生智能吊装实验室、数字化探究实验室、考评实验室等，详见采购需求和采购包1清单。</w:t>
      </w:r>
      <w:r/>
    </w:p>
    <w:p>
      <w:pPr>
        <w:pStyle w:val="888"/>
        <w:ind w:left="0" w:right="0" w:firstLine="480"/>
        <w:jc w:val="both"/>
        <w:spacing w:before="0" w:beforeAutospacing="0" w:after="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采购包2：历史地理教室、劳技教室、舞蹈教室、书法教室、美术教室等，详见采购需求和采购包2清单。</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按分包一至分包二的顺序开标、评标、定标，每个投标人可以参与全部分包的投标，但只能中一个分包。被推荐为第一中标候选人的，可以参与其他分包的评标，但不参与</w:t>
      </w:r>
      <w:r>
        <w:rPr>
          <w:rFonts w:hint="eastAsia" w:ascii="Times New Roman" w:hAnsi="Times New Roman" w:cs="仿宋"/>
          <w:color w:val="auto"/>
          <w:sz w:val="24"/>
          <w:szCs w:val="24"/>
          <w:highlight w:val="none"/>
          <w:lang w:eastAsia="zh-CN"/>
        </w:rPr>
        <w:t xml:space="preserve">其他</w:t>
      </w:r>
      <w:r>
        <w:rPr>
          <w:rFonts w:hint="eastAsia" w:ascii="Times New Roman" w:hAnsi="Times New Roman" w:cs="仿宋"/>
          <w:color w:val="auto"/>
          <w:sz w:val="24"/>
          <w:szCs w:val="24"/>
          <w:highlight w:val="none"/>
        </w:rPr>
        <w:t xml:space="preserve">分包中标候选人的推荐。</w:t>
      </w:r>
      <w:r/>
    </w:p>
    <w:p>
      <w:pPr>
        <w:ind w:firstLine="480"/>
        <w:spacing w:line="480" w:lineRule="exact"/>
        <w:rPr>
          <w:rFonts w:hint="eastAsia" w:ascii="宋体" w:hAnsi="宋体" w:eastAsia="宋体" w:cs="宋体"/>
          <w:color w:val="auto"/>
          <w:sz w:val="24"/>
          <w:szCs w:val="24"/>
          <w:highlight w:val="none"/>
        </w:rPr>
      </w:pPr>
      <w:r>
        <w:rPr>
          <w:rFonts w:hint="eastAsia" w:ascii="Times New Roman" w:hAnsi="Times New Roman" w:cs="仿宋"/>
          <w:color w:val="auto"/>
          <w:sz w:val="24"/>
          <w:szCs w:val="24"/>
          <w:highlight w:val="none"/>
        </w:rPr>
        <w:t xml:space="preserve">评审结束后，若其中一个分包受到质疑投诉等原因，导致本分包评审结果改变，但不影响其他分包的评审结果。</w:t>
      </w:r>
      <w:r/>
    </w:p>
    <w:p>
      <w:pPr>
        <w:pStyle w:val="888"/>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6.合同履行期限：采购合同签</w:t>
      </w:r>
      <w:r>
        <w:rPr>
          <w:rFonts w:hint="eastAsia" w:ascii="宋体" w:hAnsi="宋体" w:eastAsia="宋体" w:cs="宋体"/>
          <w:b w:val="0"/>
          <w:bCs w:val="0"/>
          <w:color w:val="auto"/>
          <w:sz w:val="24"/>
          <w:szCs w:val="24"/>
          <w:highlight w:val="none"/>
        </w:rPr>
        <w:t xml:space="preserve">订后</w:t>
      </w:r>
      <w:r>
        <w:rPr>
          <w:rFonts w:hint="eastAsia" w:ascii="宋体" w:hAnsi="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日历天内全部供</w:t>
      </w:r>
      <w:r>
        <w:rPr>
          <w:rFonts w:hint="eastAsia" w:ascii="宋体" w:hAnsi="宋体" w:eastAsia="宋体" w:cs="宋体"/>
          <w:color w:val="auto"/>
          <w:sz w:val="24"/>
          <w:szCs w:val="24"/>
          <w:highlight w:val="none"/>
        </w:rPr>
        <w:t xml:space="preserve">货安装完毕并交付使用。</w:t>
      </w:r>
      <w:r/>
    </w:p>
    <w:p>
      <w:pPr>
        <w:pStyle w:val="888"/>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pStyle w:val="879"/>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29" w:name="_Toc35393791"/>
      <w:r/>
      <w:bookmarkStart w:id="30" w:name="_Toc176774445"/>
      <w:r/>
      <w:bookmarkStart w:id="31" w:name="_Toc38985264"/>
      <w:r/>
      <w:bookmarkStart w:id="32" w:name="_Toc28359080"/>
      <w:r/>
      <w:bookmarkStart w:id="33" w:name="_Toc35393622"/>
      <w:r/>
      <w:bookmarkStart w:id="34" w:name="_Toc28359003"/>
      <w:r>
        <w:rPr>
          <w:rFonts w:hint="eastAsia" w:ascii="宋体" w:hAnsi="宋体" w:eastAsia="宋体" w:cs="宋体"/>
          <w:color w:val="auto"/>
          <w:sz w:val="24"/>
          <w:szCs w:val="24"/>
          <w:highlight w:val="none"/>
        </w:rPr>
        <w:t xml:space="preserve">二、申请人的资格要求：</w:t>
      </w:r>
      <w:bookmarkEnd w:id="29"/>
      <w:r/>
      <w:bookmarkEnd w:id="30"/>
      <w:r/>
      <w:bookmarkEnd w:id="31"/>
      <w:r/>
      <w:bookmarkEnd w:id="32"/>
      <w:r/>
      <w:bookmarkEnd w:id="33"/>
      <w:r/>
      <w:bookmarkEnd w:id="34"/>
      <w:r/>
      <w:r/>
    </w:p>
    <w:p>
      <w:pPr>
        <w:pStyle w:val="888"/>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bookmarkStart w:id="35" w:name="_Toc35393623"/>
      <w:r/>
      <w:bookmarkStart w:id="36" w:name="_Toc35393792"/>
      <w:r/>
      <w:bookmarkStart w:id="37" w:name="_Toc28359004"/>
      <w:r/>
      <w:bookmarkStart w:id="38" w:name="_Toc38985265"/>
      <w:r/>
      <w:bookmarkStart w:id="39" w:name="_Toc28359081"/>
      <w:r>
        <w:rPr>
          <w:rFonts w:hint="eastAsia" w:ascii="宋体" w:hAnsi="宋体" w:eastAsia="宋体" w:cs="宋体"/>
          <w:color w:val="auto"/>
          <w:sz w:val="24"/>
          <w:szCs w:val="24"/>
          <w:highlight w:val="none"/>
        </w:rPr>
        <w:t xml:space="preserve">（一）通用资格要求</w:t>
      </w:r>
      <w:bookmarkEnd w:id="35"/>
      <w:r/>
      <w:bookmarkEnd w:id="36"/>
      <w:r/>
      <w:bookmarkEnd w:id="37"/>
      <w:r/>
      <w:bookmarkEnd w:id="38"/>
      <w:r/>
      <w:bookmarkEnd w:id="39"/>
      <w:r/>
      <w:r/>
    </w:p>
    <w:p>
      <w:pPr>
        <w:pStyle w:val="888"/>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0" w:name="OLE_LINK2"/>
      <w:r>
        <w:rPr>
          <w:rFonts w:hint="eastAsia" w:ascii="宋体" w:hAnsi="宋体" w:eastAsia="宋体" w:cs="宋体"/>
          <w:color w:val="auto"/>
          <w:sz w:val="24"/>
          <w:szCs w:val="24"/>
          <w:highlight w:val="none"/>
        </w:rPr>
        <w:t xml:space="preserve">具备《中华人民共和国政府采购法》第二十二条第一款规定的6项条件（按要求提供</w:t>
      </w:r>
      <w:bookmarkStart w:id="41" w:name="OLE_LINK3"/>
      <w:r>
        <w:rPr>
          <w:rFonts w:hint="eastAsia" w:ascii="宋体" w:hAnsi="宋体" w:eastAsia="宋体" w:cs="宋体"/>
          <w:color w:val="auto"/>
          <w:sz w:val="24"/>
          <w:szCs w:val="24"/>
          <w:highlight w:val="none"/>
        </w:rPr>
        <w:t xml:space="preserve">投标声明及承诺函</w:t>
      </w:r>
      <w:bookmarkEnd w:id="41"/>
      <w:r>
        <w:rPr>
          <w:rFonts w:hint="eastAsia" w:ascii="宋体" w:hAnsi="宋体" w:eastAsia="宋体" w:cs="宋体"/>
          <w:color w:val="auto"/>
          <w:sz w:val="24"/>
          <w:szCs w:val="24"/>
          <w:highlight w:val="none"/>
        </w:rPr>
        <w:t xml:space="preserve">）。</w:t>
      </w:r>
      <w:bookmarkEnd w:id="40"/>
      <w:r/>
      <w:r/>
    </w:p>
    <w:p>
      <w:pPr>
        <w:pStyle w:val="888"/>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 </w:t>
      </w:r>
      <w:r/>
    </w:p>
    <w:p>
      <w:pPr>
        <w:pStyle w:val="888"/>
        <w:numPr>
          <w:ilvl w:val="0"/>
          <w:numId w:val="0"/>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rPr>
        <w:t xml:space="preserve">落实政府采购政策需满足的资格要求：</w:t>
      </w:r>
      <w:r/>
    </w:p>
    <w:p>
      <w:pPr>
        <w:pStyle w:val="888"/>
        <w:numPr>
          <w:ilvl w:val="0"/>
          <w:numId w:val="0"/>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采购包1：</w:t>
      </w:r>
      <w:r/>
    </w:p>
    <w:p>
      <w:pPr>
        <w:pStyle w:val="888"/>
        <w:numPr>
          <w:ilvl w:val="0"/>
          <w:numId w:val="0"/>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微企业（含监狱企业、残疾人福利企业）采购，所投产品制造商应为中小微企业（含监狱企业、残疾人福利企业）（须提供《中小企业或残疾人福利性单位声明函》）。所投产品制造商为非中小微企业（含监狱企业、残疾人福利企业）参与本项目投标，将作无效投标处理。</w:t>
      </w:r>
      <w:r/>
    </w:p>
    <w:p>
      <w:pPr>
        <w:pStyle w:val="888"/>
        <w:numPr>
          <w:ilvl w:val="0"/>
          <w:numId w:val="0"/>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p>
    <w:p>
      <w:pPr>
        <w:pStyle w:val="888"/>
        <w:numPr>
          <w:ilvl w:val="0"/>
          <w:numId w:val="0"/>
        </w:numPr>
        <w:ind w:left="0" w:right="0" w:firstLine="480"/>
        <w:jc w:val="both"/>
        <w:keepLines w:val="0"/>
        <w:keepNext w:val="0"/>
        <w:pageBreakBefore w:val="0"/>
        <w:spacing w:before="0" w:beforeAutospacing="0" w:after="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专门面向中小微企业（含监狱企业、残疾人福利企业）采购，所投产品制造商应为中小微企业（含监狱企业、残疾人福利企业）（须提供《中小企业或残疾人福利性单位声明函》）。所投产品制造商为非中小微企业（含监狱企业、残疾人福利企业）参与本项目投标，将作无效投标处理。</w:t>
      </w:r>
      <w:r/>
    </w:p>
    <w:p>
      <w:pPr>
        <w:pStyle w:val="888"/>
        <w:numPr>
          <w:ilvl w:val="0"/>
          <w:numId w:val="1"/>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本项目的特定资格要求：</w:t>
      </w:r>
      <w:bookmarkStart w:id="42" w:name="_Toc176774446"/>
      <w:r/>
      <w:r/>
    </w:p>
    <w:p>
      <w:pPr>
        <w:pStyle w:val="888"/>
        <w:numPr>
          <w:ilvl w:val="0"/>
          <w:numId w:val="0"/>
        </w:numPr>
        <w:ind w:left="480" w:right="0"/>
        <w:jc w:val="both"/>
        <w:keepLines w:val="0"/>
        <w:keepNext w:val="0"/>
        <w:pageBreakBefore w:val="0"/>
        <w:spacing w:before="0" w:beforeAutospacing="0" w:after="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w:t>
      </w:r>
      <w:r>
        <w:rPr>
          <w:rFonts w:hint="eastAsia" w:ascii="宋体" w:hAnsi="宋体" w:cs="宋体"/>
          <w:color w:val="auto"/>
          <w:sz w:val="24"/>
          <w:szCs w:val="24"/>
          <w:highlight w:val="none"/>
          <w:lang w:val="en-US" w:eastAsia="zh-CN"/>
        </w:rPr>
        <w:t xml:space="preserve">无。</w:t>
      </w:r>
      <w:r/>
    </w:p>
    <w:p>
      <w:pPr>
        <w:pStyle w:val="888"/>
        <w:numPr>
          <w:ilvl w:val="0"/>
          <w:numId w:val="0"/>
        </w:numPr>
        <w:ind w:left="480" w:right="0"/>
        <w:jc w:val="both"/>
        <w:keepLines w:val="0"/>
        <w:keepNext w:val="0"/>
        <w:pageBreakBefore w:val="0"/>
        <w:spacing w:before="0" w:beforeAutospacing="0" w:after="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无。</w:t>
      </w:r>
      <w:r/>
    </w:p>
    <w:p>
      <w:pPr>
        <w:pStyle w:val="888"/>
        <w:numPr>
          <w:ilvl w:val="0"/>
          <w:numId w:val="0"/>
        </w:numPr>
        <w:ind w:left="0" w:right="0" w:firstLine="480"/>
        <w:jc w:val="both"/>
        <w:keepLines w:val="0"/>
        <w:keepNext w:val="0"/>
        <w:pageBreakBefore w:val="0"/>
        <w:spacing w:before="0" w:beforeAutospacing="0" w:after="0" w:afterAutospacing="0" w:line="44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注：单位负责人为同一人或者存在直接控股、管理关系的不同供应商，不得参加同一合同项下的政府采购活动。否则，相关投标均无效。</w:t>
      </w:r>
      <w:r/>
    </w:p>
    <w:p>
      <w:pPr>
        <w:pStyle w:val="888"/>
        <w:numPr>
          <w:ilvl w:val="0"/>
          <w:numId w:val="0"/>
        </w:numPr>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三、获取招标文件</w:t>
      </w:r>
      <w:bookmarkEnd w:id="42"/>
      <w:r/>
      <w:bookmarkStart w:id="43" w:name="_Toc176774447"/>
      <w:r/>
      <w:r/>
    </w:p>
    <w:p>
      <w:pPr>
        <w:pStyle w:val="888"/>
        <w:numPr>
          <w:ilvl w:val="0"/>
          <w:numId w:val="0"/>
        </w:numPr>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时间：自招标文件公告发布之日起5个工作日</w:t>
      </w:r>
      <w:r/>
    </w:p>
    <w:p>
      <w:pPr>
        <w:pStyle w:val="888"/>
        <w:numPr>
          <w:ilvl w:val="0"/>
          <w:numId w:val="0"/>
        </w:numPr>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地点：招标文件提供的时间内，通过“苏采云”系统（网址：http://jszfcg.jsczt.cn/）或宿迁市政府采购网点击“政府采购管理交易系统（苏采云）”，使用CA（数字证书）锁进入系统从“项目参与”--“采购项目”菜单中，找到本项目</w:t>
      </w:r>
      <w:r>
        <w:rPr>
          <w:rFonts w:hint="eastAsia" w:ascii="宋体" w:hAnsi="宋体" w:cs="宋体"/>
          <w:b w:val="0"/>
          <w:bCs w:val="0"/>
          <w:color w:val="auto"/>
          <w:sz w:val="24"/>
          <w:szCs w:val="24"/>
          <w:highlight w:val="none"/>
          <w:lang w:val="en-US" w:eastAsia="zh-CN" w:bidi="ar"/>
        </w:rPr>
        <w:t xml:space="preserve">。</w:t>
      </w:r>
      <w:r/>
    </w:p>
    <w:p>
      <w:pPr>
        <w:pStyle w:val="888"/>
        <w:numPr>
          <w:ilvl w:val="0"/>
          <w:numId w:val="0"/>
        </w:numPr>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方式：投标人应在招标文件提供的时间内，通过“苏采云”系统（网址：http://jszfcg.jsczt.cn/）或宿迁市政府采购网点击“政府采购管理交易系统（苏采云）”，使用CA（数字证书）锁进入系统从“项目参与”--“采购项目”菜单中，找到本项目获取采购文件（后缀名为“.kedt”）。</w:t>
      </w:r>
      <w:r/>
    </w:p>
    <w:p>
      <w:pPr>
        <w:pStyle w:val="879"/>
        <w:ind w:left="0" w:right="0" w:firstLine="467"/>
        <w:jc w:val="both"/>
        <w:keepLines/>
        <w:keepNext/>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售价：0.00元</w:t>
      </w:r>
      <w:r/>
    </w:p>
    <w:p>
      <w:pPr>
        <w:pStyle w:val="879"/>
        <w:ind w:left="0" w:right="0" w:firstLine="467"/>
        <w:jc w:val="both"/>
        <w:keepLines/>
        <w:keepNext/>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本项目共分</w:t>
      </w:r>
      <w:r>
        <w:rPr>
          <w:rFonts w:hint="eastAsia" w:cs="宋体"/>
          <w:b w:val="0"/>
          <w:bCs w:val="0"/>
          <w:color w:val="auto"/>
          <w:sz w:val="24"/>
          <w:szCs w:val="24"/>
          <w:highlight w:val="none"/>
          <w:lang w:val="en-US" w:eastAsia="zh-CN" w:bidi="ar"/>
        </w:rPr>
        <w:t xml:space="preserve">贰</w:t>
      </w:r>
      <w:r>
        <w:rPr>
          <w:rFonts w:hint="eastAsia" w:ascii="宋体" w:hAnsi="宋体" w:eastAsia="宋体" w:cs="宋体"/>
          <w:b w:val="0"/>
          <w:bCs w:val="0"/>
          <w:color w:val="auto"/>
          <w:sz w:val="24"/>
          <w:szCs w:val="24"/>
          <w:highlight w:val="none"/>
          <w:lang w:val="en-US" w:eastAsia="zh-CN" w:bidi="ar"/>
        </w:rPr>
        <w:t xml:space="preserve">个包。投标人未按要求获取招标文件导致无法投标的，后果自负（其投标文件不予接受）。</w:t>
      </w:r>
      <w:r/>
    </w:p>
    <w:p>
      <w:pPr>
        <w:pStyle w:val="879"/>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四、提交投标文件截止时间、开标时间和地点</w:t>
      </w:r>
      <w:bookmarkEnd w:id="43"/>
      <w:r/>
      <w:r/>
    </w:p>
    <w:p>
      <w:pPr>
        <w:pStyle w:val="888"/>
        <w:ind w:left="0" w:right="0" w:firstLine="56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02</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日 9点</w:t>
      </w:r>
      <w:r>
        <w:rPr>
          <w:rFonts w:hint="eastAsia" w:ascii="宋体" w:hAnsi="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w:t>
      </w:r>
      <w:r/>
    </w:p>
    <w:p>
      <w:pPr>
        <w:pStyle w:val="888"/>
        <w:ind w:left="0" w:right="0" w:firstLine="56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879"/>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44" w:name="_Toc28359084"/>
      <w:r/>
      <w:bookmarkStart w:id="45" w:name="_Toc176774448"/>
      <w:r/>
      <w:bookmarkStart w:id="46" w:name="_Toc35393625"/>
      <w:r/>
      <w:bookmarkStart w:id="47" w:name="_Toc28359007"/>
      <w:r/>
      <w:bookmarkStart w:id="48" w:name="_Toc38985267"/>
      <w:r/>
      <w:bookmarkStart w:id="49" w:name="_Toc35393794"/>
      <w:r>
        <w:rPr>
          <w:rFonts w:hint="eastAsia" w:ascii="宋体" w:hAnsi="宋体" w:eastAsia="宋体" w:cs="宋体"/>
          <w:color w:val="auto"/>
          <w:sz w:val="24"/>
          <w:szCs w:val="24"/>
          <w:highlight w:val="none"/>
        </w:rPr>
        <w:t xml:space="preserve">五、公告期限</w:t>
      </w:r>
      <w:bookmarkEnd w:id="44"/>
      <w:r/>
      <w:bookmarkEnd w:id="45"/>
      <w:r/>
      <w:bookmarkEnd w:id="46"/>
      <w:r/>
      <w:bookmarkEnd w:id="47"/>
      <w:r/>
      <w:bookmarkEnd w:id="48"/>
      <w:r/>
      <w:bookmarkEnd w:id="49"/>
      <w:r/>
      <w:r/>
    </w:p>
    <w:p>
      <w:pPr>
        <w:pStyle w:val="879"/>
        <w:ind w:left="0" w:right="0" w:firstLine="467"/>
        <w:jc w:val="both"/>
        <w:keepLines/>
        <w:keepNext/>
        <w:spacing w:before="0" w:beforeAutospacing="0" w:after="0" w:afterAutospacing="0" w:line="440" w:lineRule="exact"/>
        <w:rPr>
          <w:rFonts w:hint="eastAsia" w:ascii="宋体" w:hAnsi="宋体" w:eastAsia="宋体" w:cs="宋体"/>
          <w:b w:val="0"/>
          <w:bCs w:val="0"/>
          <w:color w:val="auto"/>
          <w:sz w:val="24"/>
          <w:szCs w:val="24"/>
          <w:highlight w:val="none"/>
          <w:lang w:val="en-US" w:eastAsia="zh-CN" w:bidi="ar"/>
        </w:rPr>
      </w:pPr>
      <w:r/>
      <w:bookmarkStart w:id="50" w:name="_Toc176774449"/>
      <w:r>
        <w:rPr>
          <w:rFonts w:hint="eastAsia" w:ascii="宋体" w:hAnsi="宋体" w:eastAsia="宋体" w:cs="宋体"/>
          <w:b w:val="0"/>
          <w:bCs w:val="0"/>
          <w:color w:val="auto"/>
          <w:sz w:val="24"/>
          <w:szCs w:val="24"/>
          <w:highlight w:val="none"/>
          <w:lang w:val="en-US" w:eastAsia="zh-CN" w:bidi="ar"/>
        </w:rPr>
        <w:t xml:space="preserve">自本公告发布之日起5个工作日。</w:t>
      </w:r>
      <w:r/>
    </w:p>
    <w:p>
      <w:pPr>
        <w:pStyle w:val="879"/>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六、其他补充事宜</w:t>
      </w:r>
      <w:bookmarkEnd w:id="50"/>
      <w:r/>
      <w:r/>
    </w:p>
    <w:p>
      <w:pPr>
        <w:pStyle w:val="888"/>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bookmarkStart w:id="51" w:name="_Toc38985269"/>
      <w:r/>
      <w:bookmarkStart w:id="52" w:name="EB64e1f522fd8c43fcb4d3ba471386b3e7"/>
      <w:r/>
      <w:bookmarkStart w:id="53" w:name="_Toc35393627"/>
      <w:r/>
      <w:bookmarkStart w:id="54" w:name="_Toc28359008"/>
      <w:r/>
      <w:bookmarkStart w:id="55" w:name="_Toc28359085"/>
      <w:r/>
      <w:bookmarkStart w:id="56" w:name="_Toc35393796"/>
      <w:r>
        <w:rPr>
          <w:rFonts w:hint="eastAsia" w:ascii="宋体" w:hAnsi="宋体" w:eastAsia="宋体" w:cs="宋体"/>
          <w:color w:val="auto"/>
          <w:sz w:val="24"/>
          <w:szCs w:val="24"/>
          <w:highlight w:val="none"/>
          <w:shd w:val="clear" w:color="auto" w:fill="ffffff"/>
        </w:rPr>
        <w:t xml:space="preserve">1.财政部门监督电话：</w:t>
      </w:r>
      <w:r>
        <w:rPr>
          <w:rFonts w:hint="eastAsia" w:ascii="宋体" w:hAnsi="宋体" w:eastAsia="宋体" w:cs="宋体"/>
          <w:color w:val="auto"/>
          <w:sz w:val="24"/>
          <w:szCs w:val="24"/>
          <w:highlight w:val="none"/>
        </w:rPr>
        <w:t xml:space="preserve">0527-88359233</w:t>
      </w:r>
      <w:r>
        <w:rPr>
          <w:rFonts w:hint="eastAsia" w:ascii="宋体" w:hAnsi="宋体" w:eastAsia="宋体" w:cs="宋体"/>
          <w:color w:val="auto"/>
          <w:sz w:val="24"/>
          <w:szCs w:val="24"/>
          <w:highlight w:val="none"/>
          <w:shd w:val="clear" w:color="auto" w:fill="ffffff"/>
        </w:rPr>
        <w:t xml:space="preserve">。</w:t>
      </w:r>
      <w:bookmarkEnd w:id="51"/>
      <w:r/>
      <w:bookmarkEnd w:id="52"/>
      <w:r/>
      <w:bookmarkEnd w:id="53"/>
      <w:r/>
      <w:bookmarkEnd w:id="54"/>
      <w:r/>
      <w:bookmarkEnd w:id="55"/>
      <w:r/>
      <w:bookmarkEnd w:id="56"/>
      <w:r/>
      <w:r/>
    </w:p>
    <w:p>
      <w:pPr>
        <w:pStyle w:val="888"/>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2.“CA”数字证书办理：“苏采云”系统目前仅支持“苏采云”系统下的意源CA。省内各地区办理的“苏采云”系统下的意源CA全省通用。宿迁地区CA数字证书办理联系方式：18762803891。</w:t>
      </w:r>
      <w:r/>
    </w:p>
    <w:p>
      <w:pPr>
        <w:pStyle w:val="888"/>
        <w:ind w:left="0" w:right="0" w:firstLine="4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3.宿迁地区“苏采云”技术支持客服电话：</w:t>
      </w:r>
      <w:r>
        <w:rPr>
          <w:rFonts w:hint="eastAsia" w:ascii="宋体" w:hAnsi="宋体" w:eastAsia="宋体" w:cs="宋体"/>
          <w:color w:val="ff0000"/>
          <w:sz w:val="24"/>
          <w:szCs w:val="24"/>
          <w:highlight w:val="none"/>
          <w:shd w:val="clear" w:color="auto" w:fill="ffffff"/>
        </w:rPr>
        <w:t xml:space="preserve">0527-84363067</w:t>
      </w:r>
      <w:r>
        <w:rPr>
          <w:rFonts w:hint="eastAsia" w:ascii="宋体" w:hAnsi="宋体" w:eastAsia="宋体" w:cs="宋体"/>
          <w:color w:val="auto"/>
          <w:sz w:val="24"/>
          <w:szCs w:val="24"/>
          <w:highlight w:val="none"/>
          <w:shd w:val="clear" w:color="auto" w:fill="ffffff"/>
        </w:rPr>
        <w:t xml:space="preserve">、0519-86722806。</w:t>
      </w:r>
      <w:r/>
    </w:p>
    <w:p>
      <w:pPr>
        <w:pStyle w:val="888"/>
        <w:ind w:left="0" w:right="0" w:firstLine="482"/>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4.投标人通过苏采云系统参与政府采购项目，相关操作手册详见链接：http://www.ccgp-jiangsu.gov.cn/jiangsu/zlxz/ee/ee3a4bc5a3454aa2b0d9312230633ce9.html。</w:t>
      </w:r>
      <w:r/>
    </w:p>
    <w:p>
      <w:pPr>
        <w:pStyle w:val="888"/>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5.现场勘察及答疑：本项目不组织集中勘察及答疑，投标人如对采购需求有疑问，请咨询采购单位联系人。 </w:t>
      </w:r>
      <w:r/>
    </w:p>
    <w:p>
      <w:pPr>
        <w:pStyle w:val="879"/>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57" w:name="_Toc176774450"/>
      <w:r>
        <w:rPr>
          <w:rFonts w:hint="eastAsia" w:ascii="宋体" w:hAnsi="宋体" w:eastAsia="宋体" w:cs="宋体"/>
          <w:color w:val="auto"/>
          <w:sz w:val="24"/>
          <w:szCs w:val="24"/>
          <w:highlight w:val="none"/>
        </w:rPr>
        <w:t xml:space="preserve">七、本次招标联系方式</w:t>
      </w:r>
      <w:bookmarkEnd w:id="57"/>
      <w:r/>
      <w:r/>
    </w:p>
    <w:p>
      <w:pPr>
        <w:pStyle w:val="888"/>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1.采购人信息</w:t>
      </w:r>
      <w:r/>
    </w:p>
    <w:p>
      <w:pPr>
        <w:pStyle w:val="888"/>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u w:val="single"/>
          <w:shd w:val="clear" w:color="auto" w:fill="ffffff"/>
          <w:lang w:eastAsia="zh-CN"/>
        </w:rPr>
        <w:t xml:space="preserve">泗洪姜堰实验学校</w:t>
      </w:r>
      <w:r>
        <w:rPr>
          <w:rFonts w:hint="eastAsia" w:ascii="宋体" w:hAnsi="宋体" w:eastAsia="宋体" w:cs="宋体"/>
          <w:color w:val="auto"/>
          <w:sz w:val="24"/>
          <w:szCs w:val="24"/>
          <w:highlight w:val="none"/>
          <w:u w:val="single"/>
          <w:shd w:val="clear" w:color="auto" w:fill="ffffff"/>
        </w:rPr>
        <w:t xml:space="preserve"> </w:t>
      </w:r>
      <w:r/>
    </w:p>
    <w:p>
      <w:pPr>
        <w:pStyle w:val="888"/>
        <w:ind w:left="0" w:right="0" w:firstLine="480"/>
        <w:jc w:val="both"/>
        <w:spacing w:before="0" w:beforeAutospacing="0" w:after="0" w:afterAutospacing="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u w:val="single"/>
          <w:shd w:val="clear" w:color="auto" w:fill="ffffff"/>
          <w:lang w:val="en-US" w:eastAsia="zh-CN"/>
        </w:rPr>
        <w:t xml:space="preserve">泗洪县青阳镇古徐大道</w:t>
      </w:r>
      <w:r/>
    </w:p>
    <w:p>
      <w:pPr>
        <w:pStyle w:val="888"/>
        <w:ind w:left="0" w:right="0" w:firstLine="480"/>
        <w:jc w:val="both"/>
        <w:spacing w:before="0" w:beforeAutospacing="0" w:after="0" w:afterAutospacing="0"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rPr>
          <w:rFonts w:hint="eastAsia" w:ascii="宋体" w:hAnsi="宋体" w:cs="宋体"/>
          <w:color w:val="auto"/>
          <w:sz w:val="24"/>
          <w:szCs w:val="24"/>
          <w:highlight w:val="none"/>
          <w:u w:val="single"/>
          <w:lang w:val="en-US" w:eastAsia="zh-CN"/>
        </w:rPr>
        <w:t xml:space="preserve">许宁兵</w:t>
      </w:r>
      <w:r/>
    </w:p>
    <w:p>
      <w:pPr>
        <w:pStyle w:val="888"/>
        <w:ind w:left="0" w:right="0" w:firstLine="480"/>
        <w:jc w:val="both"/>
        <w:spacing w:before="0" w:beforeAutospacing="0" w:after="0" w:afterAutospacing="0"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15996758631</w:t>
      </w:r>
      <w:r>
        <w:rPr>
          <w:rFonts w:hint="eastAsia" w:ascii="宋体" w:hAnsi="宋体" w:eastAsia="宋体" w:cs="宋体"/>
          <w:color w:val="auto"/>
          <w:sz w:val="24"/>
          <w:szCs w:val="24"/>
          <w:highlight w:val="none"/>
          <w:u w:val="single"/>
          <w:lang w:val="en-US" w:eastAsia="zh-CN"/>
        </w:rPr>
        <w:t xml:space="preserve">  </w:t>
      </w:r>
      <w:r/>
    </w:p>
    <w:p>
      <w:pPr>
        <w:pStyle w:val="888"/>
        <w:ind w:left="0" w:right="0" w:firstLine="480"/>
        <w:spacing w:before="0" w:beforeAutospacing="0" w:after="0" w:afterAutospacing="0" w:line="440" w:lineRule="exact"/>
        <w:widowControl/>
        <w:rPr>
          <w:rFonts w:hint="eastAsia" w:ascii="宋体" w:hAnsi="宋体" w:eastAsia="宋体" w:cs="宋体"/>
          <w:color w:val="auto"/>
          <w:sz w:val="24"/>
          <w:szCs w:val="24"/>
          <w:highlight w:val="none"/>
        </w:rPr>
      </w:pPr>
      <w:r/>
      <w:bookmarkStart w:id="58" w:name="_Toc28359086"/>
      <w:r/>
      <w:bookmarkStart w:id="59" w:name="_Toc28359009"/>
      <w:r>
        <w:rPr>
          <w:rFonts w:hint="eastAsia" w:ascii="宋体" w:hAnsi="宋体" w:eastAsia="宋体" w:cs="宋体"/>
          <w:color w:val="auto"/>
          <w:sz w:val="24"/>
          <w:szCs w:val="24"/>
          <w:highlight w:val="none"/>
        </w:rPr>
        <w:t xml:space="preserve">2.</w:t>
      </w:r>
      <w:bookmarkEnd w:id="58"/>
      <w:r/>
      <w:bookmarkEnd w:id="59"/>
      <w:r>
        <w:rPr>
          <w:rFonts w:hint="eastAsia" w:ascii="宋体" w:hAnsi="宋体" w:eastAsia="宋体" w:cs="宋体"/>
          <w:color w:val="auto"/>
          <w:sz w:val="24"/>
          <w:szCs w:val="24"/>
          <w:highlight w:val="none"/>
        </w:rPr>
        <w:t xml:space="preserve">采购代理机构信息</w:t>
      </w:r>
      <w:r/>
    </w:p>
    <w:p>
      <w:pPr>
        <w:pStyle w:val="888"/>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shd w:val="clear" w:color="auto" w:fill="ffffff"/>
        </w:rPr>
        <w:t xml:space="preserve">泗</w:t>
      </w:r>
      <w:r>
        <w:rPr>
          <w:rFonts w:hint="eastAsia" w:ascii="宋体" w:hAnsi="宋体" w:eastAsia="宋体" w:cs="宋体"/>
          <w:color w:val="auto"/>
          <w:sz w:val="24"/>
          <w:szCs w:val="24"/>
          <w:highlight w:val="none"/>
          <w:u w:val="single"/>
        </w:rPr>
        <w:t xml:space="preserve">洪县公共资源交易中心</w:t>
      </w:r>
      <w:r>
        <w:rPr>
          <w:rFonts w:hint="eastAsia" w:ascii="宋体" w:hAnsi="宋体" w:eastAsia="宋体" w:cs="宋体"/>
          <w:color w:val="auto"/>
          <w:sz w:val="24"/>
          <w:szCs w:val="24"/>
          <w:highlight w:val="none"/>
          <w:u w:val="single"/>
          <w:shd w:val="clear" w:color="auto" w:fill="ffffff"/>
        </w:rPr>
        <w:t xml:space="preserve"> </w:t>
      </w:r>
      <w:r/>
    </w:p>
    <w:p>
      <w:pPr>
        <w:pStyle w:val="888"/>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泗洪县仁和路5号</w:t>
      </w:r>
      <w:r/>
    </w:p>
    <w:p>
      <w:pPr>
        <w:pStyle w:val="888"/>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朱楠</w:t>
      </w:r>
      <w:r/>
    </w:p>
    <w:p>
      <w:pPr>
        <w:pStyle w:val="888"/>
        <w:ind w:left="0" w:right="0" w:firstLine="480"/>
        <w:jc w:val="both"/>
        <w:spacing w:before="0" w:beforeAutospacing="0" w:after="0" w:afterAutospacing="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u w:val="single"/>
          <w:lang w:val="en-US" w:eastAsia="zh-CN"/>
        </w:rPr>
        <w:t xml:space="preserve">18851398356</w:t>
      </w:r>
      <w:r/>
    </w:p>
    <w:p>
      <w:pPr>
        <w:pStyle w:val="879"/>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60" w:name="_Toc176774451"/>
      <w:r>
        <w:rPr>
          <w:rFonts w:hint="eastAsia" w:ascii="宋体" w:hAnsi="宋体" w:eastAsia="宋体" w:cs="宋体"/>
          <w:color w:val="auto"/>
          <w:sz w:val="24"/>
          <w:szCs w:val="24"/>
          <w:highlight w:val="none"/>
        </w:rPr>
        <w:t xml:space="preserve">八、其他</w:t>
      </w:r>
      <w:bookmarkEnd w:id="60"/>
      <w:r/>
      <w:r/>
    </w:p>
    <w:p>
      <w:pPr>
        <w:pStyle w:val="888"/>
        <w:ind w:left="0" w:right="0" w:firstLine="480"/>
        <w:jc w:val="left"/>
        <w:spacing w:before="0" w:beforeAutospacing="0" w:after="0" w:afterAutospacing="0" w:line="44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1.有关本次招标的事项若存在变动或修改，敬请及时关注“宿迁市政府采购网”等平台更正公告。</w:t>
      </w:r>
      <w:r/>
    </w:p>
    <w:p>
      <w:pPr>
        <w:pStyle w:val="888"/>
        <w:ind w:left="0" w:right="0" w:firstLine="480"/>
        <w:jc w:val="left"/>
        <w:spacing w:before="0" w:beforeAutospacing="0" w:after="0" w:afterAutospacing="0" w:line="44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2.本次招标不收取投标保证金。</w:t>
      </w:r>
      <w:r/>
    </w:p>
    <w:p>
      <w:pPr>
        <w:pStyle w:val="888"/>
        <w:ind w:left="0" w:right="0" w:firstLine="480"/>
        <w:jc w:val="left"/>
        <w:spacing w:before="0" w:beforeAutospacing="0" w:after="0" w:afterAutospacing="0" w:line="44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val="0"/>
          <w:bCs w:val="0"/>
          <w:iCs/>
          <w:caps w:val="0"/>
          <w:color w:val="000000"/>
          <w:sz w:val="24"/>
          <w:szCs w:val="24"/>
          <w:highlight w:val="none"/>
          <w:lang w:val="en-US" w:eastAsia="zh-CN"/>
        </w:rPr>
        <w:t xml:space="preserve">3.本项目要求提供的证明资料为清晰可辨的彩色或黑白的扫描件、复印件均可。</w:t>
      </w:r>
      <w:r/>
    </w:p>
    <w:p>
      <w:pPr>
        <w:pStyle w:val="888"/>
        <w:ind w:left="0" w:right="0" w:firstLine="42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br w:type="page" w:clear="all"/>
      </w:r>
      <w:r>
        <w:rPr>
          <w:rFonts w:hint="eastAsia" w:ascii="宋体" w:hAnsi="宋体" w:eastAsia="宋体" w:cs="宋体"/>
          <w:b/>
          <w:bCs/>
          <w:color w:val="auto"/>
          <w:sz w:val="36"/>
          <w:szCs w:val="36"/>
          <w:highlight w:val="none"/>
          <w:lang w:val="en-US" w:eastAsia="zh-CN"/>
        </w:rPr>
        <w:t xml:space="preserve">第二部分  投标人须知</w:t>
      </w:r>
      <w:r/>
    </w:p>
    <w:p>
      <w:pPr>
        <w:pStyle w:val="888"/>
        <w:ind w:left="0" w:right="0"/>
        <w:jc w:val="both"/>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rPr>
        <w:t xml:space="preserve">投标人须知前附表：</w:t>
      </w:r>
      <w:bookmarkStart w:id="61" w:name="_Toc8239"/>
      <w:r/>
      <w:bookmarkEnd w:id="61"/>
      <w:r/>
      <w:bookmarkStart w:id="62" w:name="_Toc81575192"/>
      <w:r/>
      <w:bookmarkEnd w:id="62"/>
      <w:r/>
      <w:bookmarkStart w:id="63" w:name="_Toc176774452"/>
      <w:r/>
      <w:r/>
    </w:p>
    <w:tbl>
      <w:tblPr>
        <w:tblStyle w:val="70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W w:w="6579"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本项目属性按以下第</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种确定：</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1.货物采购；2.服务采购；3.工程采购。</w:t>
            </w:r>
            <w:r/>
          </w:p>
        </w:tc>
      </w:tr>
      <w:tr>
        <w:trPr>
          <w:trHeight w:val="680"/>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bookmarkStart w:id="64" w:name="EBd40b5fb42f2944a3b45e579ce3941f02"/>
            <w:r/>
            <w:bookmarkEnd w:id="64"/>
            <w:r>
              <w:rPr>
                <w:rFonts w:hint="eastAsia" w:ascii="宋体" w:hAnsi="宋体" w:eastAsia="宋体" w:cs="宋体"/>
                <w:color w:val="auto"/>
                <w:sz w:val="24"/>
                <w:szCs w:val="24"/>
                <w:highlight w:val="none"/>
              </w:rPr>
              <w:t xml:space="preserve">60日（从提交投标文件截止之日起算）</w:t>
            </w:r>
            <w:r/>
          </w:p>
        </w:tc>
      </w:tr>
      <w:tr>
        <w:trPr>
          <w:trHeight w:val="680"/>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ind w:left="0" w:right="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1.接受进口产品。应当符合《政府采购进口产品管理办法》（财库〔2007〕119号）、《关于政府采购进口产品管理有关问题的通知》（财办库〔2008〕248号）等相关规定；</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具体评标办法详见招标文件第三章。</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名中标候选人。</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种方式确定中标人：</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1.采购人按规定在评标委员会推荐的中标候选人中确定中标人；</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2.采购人授权评标委员会直接确定中标人。</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种方式确定：</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cs="宋体"/>
                <w:color w:val="auto"/>
                <w:sz w:val="24"/>
                <w:szCs w:val="24"/>
                <w:highlight w:val="none"/>
                <w:u w:val="single"/>
                <w:lang w:val="en-US" w:eastAsia="zh-CN"/>
              </w:rPr>
              <w:t xml:space="preserve">医疗产品类、装修类</w:t>
            </w:r>
            <w:r>
              <w:rPr>
                <w:rFonts w:hint="eastAsia" w:ascii="宋体" w:hAnsi="宋体" w:eastAsia="宋体" w:cs="宋体"/>
                <w:color w:val="auto"/>
                <w:sz w:val="24"/>
                <w:szCs w:val="24"/>
                <w:highlight w:val="none"/>
                <w:u w:val="none"/>
                <w:lang w:val="en-US" w:eastAsia="zh-CN"/>
              </w:rPr>
              <w:t xml:space="preserve">。</w:t>
            </w:r>
            <w:r/>
          </w:p>
          <w:p>
            <w:pPr>
              <w:numPr>
                <w:ilvl w:val="0"/>
                <w:numId w:val="0"/>
              </w:numPr>
              <w:ind w:right="0"/>
              <w:jc w:val="left"/>
              <w:keepLines w:val="0"/>
              <w:keepNext w:val="0"/>
              <w:pageBreakBefore w:val="0"/>
              <w:spacing w:beforeAutospacing="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分包企业要求：</w:t>
            </w:r>
            <w:r/>
          </w:p>
          <w:p>
            <w:pPr>
              <w:numPr>
                <w:ilvl w:val="0"/>
                <w:numId w:val="0"/>
              </w:numPr>
              <w:ind w:right="0"/>
              <w:jc w:val="left"/>
              <w:keepLines w:val="0"/>
              <w:keepNext w:val="0"/>
              <w:pageBreakBefore w:val="0"/>
              <w:spacing w:beforeAutospacing="0" w:afterAutospacing="0"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1.1医疗产品类</w:t>
            </w:r>
            <w:r>
              <w:rPr>
                <w:rFonts w:hint="eastAsia" w:ascii="宋体" w:hAnsi="宋体" w:eastAsia="宋体" w:cs="宋体"/>
                <w:color w:val="auto"/>
                <w:sz w:val="24"/>
                <w:szCs w:val="24"/>
                <w:highlight w:val="none"/>
              </w:rPr>
              <w:t xml:space="preserve">分包要求：</w:t>
            </w:r>
            <w:r>
              <w:rPr>
                <w:rFonts w:hint="eastAsia" w:ascii="宋体" w:hAnsi="宋体" w:cs="宋体"/>
                <w:color w:val="auto"/>
                <w:sz w:val="24"/>
                <w:szCs w:val="24"/>
                <w:highlight w:val="none"/>
                <w:lang w:val="en-US" w:eastAsia="zh-CN"/>
              </w:rPr>
              <w:t xml:space="preserve">产品如果属于医疗器械注册范畴的，须根据投标产品的类别，提供《医疗器械经营企业许可证》或者《医疗器械经营备案凭证》；</w:t>
            </w:r>
            <w:r/>
          </w:p>
          <w:p>
            <w:pPr>
              <w:numPr>
                <w:ilvl w:val="0"/>
                <w:numId w:val="0"/>
              </w:numPr>
              <w:ind w:right="0"/>
              <w:jc w:val="left"/>
              <w:keepLines w:val="0"/>
              <w:keepNext w:val="0"/>
              <w:pageBreakBefore w:val="0"/>
              <w:spacing w:beforeAutospacing="0" w:afterAutospacing="0"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1.2装修类分包要求：具有建筑装修装饰工程专业承包二级</w:t>
            </w:r>
            <w:r>
              <w:rPr>
                <w:rFonts w:hint="eastAsia" w:ascii="宋体" w:hAnsi="宋体" w:cs="宋体"/>
                <w:color w:val="ff0000"/>
                <w:sz w:val="24"/>
                <w:szCs w:val="24"/>
                <w:highlight w:val="none"/>
                <w:lang w:val="en-US" w:eastAsia="zh-CN"/>
              </w:rPr>
              <w:t xml:space="preserve">及以上</w:t>
            </w:r>
            <w:r>
              <w:rPr>
                <w:rFonts w:hint="eastAsia" w:ascii="宋体" w:hAnsi="宋体" w:cs="宋体"/>
                <w:color w:val="auto"/>
                <w:sz w:val="24"/>
                <w:szCs w:val="24"/>
                <w:highlight w:val="none"/>
                <w:lang w:val="en-US" w:eastAsia="zh-CN"/>
              </w:rPr>
              <w:t xml:space="preserve">资质。</w:t>
            </w:r>
            <w:r/>
          </w:p>
          <w:p>
            <w:pPr>
              <w:numPr>
                <w:ilvl w:val="0"/>
                <w:numId w:val="0"/>
              </w:numPr>
              <w:ind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rHeight w:val="1020"/>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bookmarkStart w:id="65" w:name="EBfe735bb6fc4d4e5e9e350f940db98c5f"/>
            <w:r/>
            <w:bookmarkEnd w:id="65"/>
            <w:r>
              <w:rPr>
                <w:rFonts w:hint="eastAsia" w:ascii="宋体" w:hAnsi="宋体" w:eastAsia="宋体" w:cs="宋体"/>
                <w:color w:val="auto"/>
                <w:sz w:val="24"/>
                <w:szCs w:val="24"/>
                <w:highlight w:val="none"/>
              </w:rPr>
              <w:t xml:space="preserve">本项目不收取代理费。</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6579" w:type="dxa"/>
            <w:vAlign w:val="center"/>
            <w:textDirection w:val="lrTb"/>
            <w:noWrap w:val="false"/>
          </w:tcPr>
          <w:p>
            <w:pPr>
              <w:numPr>
                <w:ilvl w:val="0"/>
                <w:numId w:val="0"/>
              </w:num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信用信息查询截止时间：资格审查结束前。由采购人在资格审查现场查询信用信息，网页截屏打印，查询结果留存并归档。</w:t>
            </w:r>
            <w:bookmarkEnd w:id="63"/>
            <w:r/>
            <w:r/>
          </w:p>
        </w:tc>
      </w:tr>
    </w:tbl>
    <w:p>
      <w:pPr>
        <w:pStyle w:val="944"/>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66" w:name="_Toc81575155"/>
      <w:r/>
      <w:bookmarkStart w:id="67" w:name="_Toc30953"/>
      <w:r>
        <w:rPr>
          <w:rFonts w:hint="eastAsia" w:ascii="宋体" w:hAnsi="宋体" w:eastAsia="宋体" w:cs="宋体"/>
          <w:bCs/>
          <w:color w:val="auto"/>
          <w:sz w:val="24"/>
          <w:szCs w:val="24"/>
          <w:highlight w:val="none"/>
        </w:rPr>
        <w:t xml:space="preserve">一、总 则</w:t>
      </w:r>
      <w:bookmarkEnd w:id="66"/>
      <w:r/>
      <w:bookmarkEnd w:id="67"/>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1、招标方式</w:t>
      </w:r>
      <w:r/>
    </w:p>
    <w:p>
      <w:pPr>
        <w:ind w:left="0" w:right="0" w:firstLine="480"/>
        <w:pageBreakBefore w:val="0"/>
        <w:spacing w:beforeAutospacing="0" w:afterAutospacing="0" w:line="440" w:lineRule="exact"/>
        <w:widowControl w:val="off"/>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t xml:space="preserve">1.1 本次招标采取公开招标方式，本招标文件仅适用于招标公告中所述项目。</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2、合格的投标人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3、适用法律</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 本次招标及由此产生的合同受中华人民共和国有关的法律法规制约和保护。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3.2 在本项目政府采购活动过程中，如果所执行的标准有更新的，按照最新标准执行。</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4、投标费用</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
        </w:rPr>
      </w:pPr>
      <w:r/>
      <w:bookmarkStart w:id="68" w:name="_Toc29306"/>
      <w:r/>
      <w:bookmarkStart w:id="69" w:name="_Toc81575156"/>
      <w:r/>
      <w:bookmarkStart w:id="70" w:name="_Toc15995"/>
      <w:r/>
      <w:bookmarkStart w:id="71" w:name="_Toc81575193"/>
      <w:r>
        <w:rPr>
          <w:rFonts w:hint="eastAsia" w:ascii="宋体" w:hAnsi="宋体" w:eastAsia="宋体" w:cs="宋体"/>
          <w:color w:val="auto"/>
          <w:sz w:val="24"/>
          <w:szCs w:val="24"/>
          <w:highlight w:val="none"/>
          <w:lang w:val="en-US" w:eastAsia="zh"/>
        </w:rPr>
        <w:t xml:space="preserve">4.1 投标人应自行承担所有与参加投标有关的费用，无论投标过程中的做法和结果如何，</w:t>
      </w:r>
      <w:r>
        <w:rPr>
          <w:rFonts w:hint="eastAsia" w:ascii="宋体" w:hAnsi="宋体" w:cs="宋体"/>
          <w:color w:val="auto"/>
          <w:sz w:val="24"/>
          <w:szCs w:val="24"/>
          <w:highlight w:val="none"/>
          <w:lang w:val="en-US" w:eastAsia="zh"/>
        </w:rPr>
        <w:t xml:space="preserve">采购代理机构</w:t>
      </w:r>
      <w:r>
        <w:rPr>
          <w:rFonts w:hint="eastAsia" w:ascii="宋体" w:hAnsi="宋体" w:eastAsia="宋体" w:cs="宋体"/>
          <w:color w:val="auto"/>
          <w:sz w:val="24"/>
          <w:szCs w:val="24"/>
          <w:highlight w:val="none"/>
          <w:lang w:val="en-US" w:eastAsia="zh"/>
        </w:rPr>
        <w:t xml:space="preserve">在任何情况下均无义务和责任承担这些费用。</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4.2代理费用收取方式及标准：本项目不收取代理费。</w:t>
      </w:r>
      <w:r/>
    </w:p>
    <w:p>
      <w:pPr>
        <w:ind w:left="0" w:right="0" w:firstLine="480"/>
        <w:pageBreakBefore w:val="0"/>
        <w:spacing w:beforeAutospacing="0" w:afterAutospacing="0" w:line="440" w:lineRule="exact"/>
        <w:widowControl w:val="off"/>
        <w:rPr>
          <w:rFonts w:hint="default" w:ascii="宋体" w:hAnsi="宋体" w:eastAsia="宋体" w:cs="宋体"/>
          <w:b/>
          <w:bCs/>
          <w:color w:val="auto"/>
          <w:sz w:val="24"/>
          <w:szCs w:val="24"/>
          <w:highlight w:val="none"/>
          <w:lang w:val="en-US" w:eastAsia="zh"/>
        </w:rPr>
      </w:pPr>
      <w:r>
        <w:rPr>
          <w:rFonts w:hint="eastAsia" w:ascii="宋体" w:hAnsi="宋体" w:eastAsia="宋体" w:cs="宋体"/>
          <w:b/>
          <w:bCs/>
          <w:color w:val="auto"/>
          <w:sz w:val="24"/>
          <w:szCs w:val="24"/>
          <w:highlight w:val="none"/>
          <w:lang w:val="en-US" w:eastAsia="zh-CN"/>
        </w:rPr>
        <w:t xml:space="preserve">5</w:t>
      </w:r>
      <w:r>
        <w:rPr>
          <w:rFonts w:hint="default" w:ascii="宋体" w:hAnsi="宋体" w:eastAsia="宋体" w:cs="宋体"/>
          <w:b/>
          <w:bCs/>
          <w:color w:val="auto"/>
          <w:sz w:val="24"/>
          <w:szCs w:val="24"/>
          <w:highlight w:val="none"/>
          <w:lang w:val="en-US" w:eastAsia="zh-CN"/>
        </w:rPr>
        <w:t xml:space="preserve">、招标文件的约束力</w:t>
      </w:r>
      <w:r/>
    </w:p>
    <w:p>
      <w:pPr>
        <w:ind w:left="0" w:right="0" w:firstLine="480"/>
        <w:pageBreakBefore w:val="0"/>
        <w:spacing w:beforeAutospacing="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5.1 投标人一旦参加本项目采购活动，即被认为接受了本招标文件的规定和约束。</w:t>
      </w:r>
      <w:r/>
    </w:p>
    <w:p>
      <w:pPr>
        <w:ind w:left="0" w:right="0" w:firstLine="480"/>
        <w:pageBreakBefore w:val="0"/>
        <w:spacing w:beforeAutospacing="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二、招标文件</w:t>
      </w:r>
      <w:bookmarkEnd w:id="68"/>
      <w:r/>
      <w:bookmarkEnd w:id="69"/>
      <w:r/>
      <w:bookmarkEnd w:id="70"/>
      <w:r/>
      <w:bookmarkEnd w:id="71"/>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
        </w:rPr>
        <w:t xml:space="preserve">6</w:t>
      </w:r>
      <w:r>
        <w:rPr>
          <w:rFonts w:hint="eastAsia" w:ascii="宋体" w:hAnsi="宋体" w:eastAsia="宋体" w:cs="宋体"/>
          <w:b/>
          <w:color w:val="auto"/>
          <w:sz w:val="24"/>
          <w:szCs w:val="24"/>
          <w:highlight w:val="none"/>
        </w:rPr>
        <w:t xml:space="preserve">、招标文件构成</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6</w:t>
      </w:r>
      <w:r>
        <w:rPr>
          <w:rFonts w:hint="eastAsia" w:ascii="宋体" w:hAnsi="宋体" w:eastAsia="宋体" w:cs="宋体"/>
          <w:color w:val="auto"/>
          <w:sz w:val="24"/>
          <w:szCs w:val="24"/>
          <w:highlight w:val="none"/>
        </w:rPr>
        <w:t xml:space="preserve">.1招标文件由以下部分组成：</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（1）投标邀请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（2）投标人须知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（3）合同文本</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（4）采购需求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（5）评标方法与评标标准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（6）投标文件格式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请仔细检查招标文件是否齐全，如有缺漏请立即与代理机构联系解决。</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6</w:t>
      </w:r>
      <w:r>
        <w:rPr>
          <w:rFonts w:hint="eastAsia" w:ascii="宋体" w:hAnsi="宋体" w:eastAsia="宋体" w:cs="宋体"/>
          <w:color w:val="auto"/>
          <w:sz w:val="24"/>
          <w:szCs w:val="24"/>
          <w:highlight w:val="none"/>
        </w:rPr>
        <w:t xml:space="preserve">.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
        </w:rPr>
        <w:t xml:space="preserve">7</w:t>
      </w:r>
      <w:r>
        <w:rPr>
          <w:rFonts w:hint="eastAsia" w:ascii="宋体" w:hAnsi="宋体" w:eastAsia="宋体" w:cs="宋体"/>
          <w:b/>
          <w:color w:val="auto"/>
          <w:sz w:val="24"/>
          <w:szCs w:val="24"/>
          <w:highlight w:val="none"/>
        </w:rPr>
        <w:t xml:space="preserve">、政府采购政策功能落实</w:t>
      </w:r>
      <w:r/>
    </w:p>
    <w:p>
      <w:pPr>
        <w:ind w:left="0" w:right="0" w:firstLine="482"/>
        <w:pageBreakBefore w:val="0"/>
        <w:spacing w:beforeAutospacing="0" w:afterAutospacing="0" w:line="440" w:lineRule="exact"/>
        <w:widowControl w:val="off"/>
        <w:rPr>
          <w:rFonts w:hint="default"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rPr>
        <w:t xml:space="preserve">本项目落实的政府采购政策对应序号为</w:t>
      </w:r>
      <w:r>
        <w:rPr>
          <w:rFonts w:hint="eastAsia" w:ascii="宋体" w:hAnsi="宋体" w:cs="宋体"/>
          <w:b/>
          <w:bCs/>
          <w:color w:val="auto"/>
          <w:sz w:val="24"/>
          <w:szCs w:val="24"/>
          <w:highlight w:val="none"/>
          <w:lang w:eastAsia="zh"/>
        </w:rPr>
        <w:t xml:space="preserve">7</w:t>
      </w:r>
      <w:r>
        <w:rPr>
          <w:rFonts w:hint="eastAsia" w:ascii="宋体" w:hAnsi="宋体" w:eastAsia="宋体" w:cs="宋体"/>
          <w:b/>
          <w:bCs/>
          <w:color w:val="auto"/>
          <w:sz w:val="24"/>
          <w:szCs w:val="24"/>
          <w:highlight w:val="none"/>
          <w:u w:val="single"/>
        </w:rPr>
        <w:t xml:space="preserve">.1、</w:t>
      </w:r>
      <w:r>
        <w:rPr>
          <w:rFonts w:hint="eastAsia" w:ascii="宋体" w:hAnsi="宋体" w:cs="宋体"/>
          <w:b/>
          <w:bCs/>
          <w:color w:val="auto"/>
          <w:sz w:val="24"/>
          <w:szCs w:val="24"/>
          <w:highlight w:val="none"/>
          <w:u w:val="single"/>
          <w:lang w:eastAsia="zh"/>
        </w:rPr>
        <w:t xml:space="preserve">7</w:t>
      </w:r>
      <w:r>
        <w:rPr>
          <w:rFonts w:hint="eastAsia" w:ascii="宋体" w:hAnsi="宋体" w:eastAsia="宋体" w:cs="宋体"/>
          <w:b/>
          <w:bCs/>
          <w:color w:val="auto"/>
          <w:sz w:val="24"/>
          <w:szCs w:val="24"/>
          <w:highlight w:val="none"/>
          <w:u w:val="single"/>
        </w:rPr>
        <w:t xml:space="preserve">.2 、</w:t>
      </w:r>
      <w:r>
        <w:rPr>
          <w:rFonts w:hint="eastAsia" w:ascii="宋体" w:hAnsi="宋体" w:cs="宋体"/>
          <w:b/>
          <w:bCs/>
          <w:color w:val="auto"/>
          <w:sz w:val="24"/>
          <w:szCs w:val="24"/>
          <w:highlight w:val="none"/>
          <w:u w:val="single"/>
          <w:lang w:eastAsia="zh"/>
        </w:rPr>
        <w:t xml:space="preserve">7</w:t>
      </w:r>
      <w:r>
        <w:rPr>
          <w:rFonts w:hint="eastAsia" w:ascii="宋体" w:hAnsi="宋体" w:eastAsia="宋体" w:cs="宋体"/>
          <w:b/>
          <w:bCs/>
          <w:color w:val="auto"/>
          <w:sz w:val="24"/>
          <w:szCs w:val="24"/>
          <w:highlight w:val="none"/>
          <w:u w:val="single"/>
        </w:rPr>
        <w:t xml:space="preserve">.3</w:t>
      </w:r>
      <w:r>
        <w:rPr>
          <w:rFonts w:hint="eastAsia" w:ascii="宋体" w:hAnsi="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lang w:eastAsia="zh"/>
        </w:rPr>
        <w:t xml:space="preserve">7</w:t>
      </w:r>
      <w:r>
        <w:rPr>
          <w:rFonts w:hint="eastAsia" w:ascii="宋体" w:hAnsi="宋体" w:cs="宋体"/>
          <w:b/>
          <w:bCs/>
          <w:color w:val="auto"/>
          <w:sz w:val="24"/>
          <w:szCs w:val="24"/>
          <w:highlight w:val="none"/>
          <w:u w:val="single"/>
          <w:lang w:val="en-US" w:eastAsia="zh-CN"/>
        </w:rPr>
        <w:t xml:space="preserve">.4</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.1中小企业政策</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本项目按第</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none"/>
          <w:lang w:val="en-US" w:eastAsia="zh-CN"/>
        </w:rPr>
        <w:t xml:space="preserve">项</w:t>
      </w:r>
      <w:r>
        <w:rPr>
          <w:rFonts w:hint="eastAsia" w:ascii="宋体" w:hAnsi="宋体" w:eastAsia="宋体" w:cs="宋体"/>
          <w:color w:val="auto"/>
          <w:sz w:val="24"/>
          <w:szCs w:val="24"/>
          <w:highlight w:val="none"/>
        </w:rPr>
        <w:t xml:space="preserve">政策落实：</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（1）本项目专门面向中小企业（含监狱与戒毒企业、残疾人福利企业）采购。</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（2）对符合规定情形的小微企业报价给予</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扣除，用扣除后的价格参加评审。</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.2节能产品、环境标志产品</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.2.1拟采购的产品属于政府强制采购的节能产品品目清单范围的，投标人须提供国家确定的认证机构出具的、处于有效期之内的节能产品认证证书，否则其投标文件作无效标处理。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.2.2采购人拟采购的产品属于优先采购的节能环保品目清单范围的，按以下条件优先采购：</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.3政府采购需求标准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.3.1商品包装、快递包装政府采购需求标准（试行）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.3.2绿色数据中心政府采购需求标准（试行）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.3.3绿色建材政府采购需求标准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
        </w:rPr>
        <w:t xml:space="preserve">8</w:t>
      </w:r>
      <w:r>
        <w:rPr>
          <w:rFonts w:hint="eastAsia" w:ascii="宋体" w:hAnsi="宋体" w:eastAsia="宋体" w:cs="宋体"/>
          <w:b/>
          <w:color w:val="auto"/>
          <w:sz w:val="24"/>
          <w:szCs w:val="24"/>
          <w:highlight w:val="none"/>
        </w:rPr>
        <w:t xml:space="preserve">、招标文件的澄清或修改</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.2招标文件的澄清、修改将在原公告媒体上发布更正公告，澄清、修改文件均作为招标文件的组成部分，并对投标人具有约束力。</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.3投标人应及时登录“苏采云”系统获取澄清答疑文件（修改后的招标文件），如投标人未能及时下载澄清答疑文件，造成的相关责任由投标人承担。</w:t>
      </w:r>
      <w:r/>
    </w:p>
    <w:p>
      <w:pPr>
        <w:pStyle w:val="944"/>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72" w:name="_Toc11461"/>
      <w:r/>
      <w:bookmarkStart w:id="73" w:name="_Toc81575157"/>
      <w:r/>
      <w:bookmarkStart w:id="74" w:name="_Toc5574"/>
      <w:r/>
      <w:bookmarkStart w:id="75" w:name="_Toc81575194"/>
      <w:r>
        <w:rPr>
          <w:rFonts w:hint="eastAsia" w:ascii="宋体" w:hAnsi="宋体" w:eastAsia="宋体" w:cs="宋体"/>
          <w:bCs/>
          <w:color w:val="auto"/>
          <w:sz w:val="24"/>
          <w:szCs w:val="24"/>
          <w:highlight w:val="none"/>
        </w:rPr>
        <w:t xml:space="preserve">三、投标文件的编制</w:t>
      </w:r>
      <w:bookmarkEnd w:id="72"/>
      <w:r/>
      <w:bookmarkEnd w:id="73"/>
      <w:r/>
      <w:bookmarkEnd w:id="74"/>
      <w:r/>
      <w:bookmarkEnd w:id="75"/>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
        </w:rPr>
        <w:t xml:space="preserve">9</w:t>
      </w:r>
      <w:r>
        <w:rPr>
          <w:rFonts w:hint="eastAsia" w:ascii="宋体" w:hAnsi="宋体" w:eastAsia="宋体" w:cs="宋体"/>
          <w:b/>
          <w:color w:val="auto"/>
          <w:sz w:val="24"/>
          <w:szCs w:val="24"/>
          <w:highlight w:val="none"/>
        </w:rPr>
        <w:t xml:space="preserve">、投标文件的编制要求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9</w:t>
      </w:r>
      <w:r>
        <w:rPr>
          <w:rFonts w:hint="eastAsia" w:ascii="宋体" w:hAnsi="宋体" w:eastAsia="宋体" w:cs="宋体"/>
          <w:color w:val="auto"/>
          <w:sz w:val="24"/>
          <w:szCs w:val="24"/>
          <w:highlight w:val="none"/>
        </w:rPr>
        <w:t xml:space="preserve">.1投标人应仔细阅读“招标文件”的所有内容，保证所提供的全部资料的真实性、完整性及有效性，以使其投标对“招标文件”作出实质性响应。</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9</w:t>
      </w:r>
      <w:r>
        <w:rPr>
          <w:rFonts w:hint="eastAsia" w:ascii="宋体" w:hAnsi="宋体" w:eastAsia="宋体" w:cs="宋体"/>
          <w:color w:val="auto"/>
          <w:sz w:val="24"/>
          <w:szCs w:val="24"/>
          <w:highlight w:val="none"/>
        </w:rPr>
        <w:t xml:space="preserve">.2投标文件要求加盖电子签章之处，应按要求加盖投标人数字证书的电子签章。其他需要盖章但未明确要求电子签章的，投标人可按要求加盖公章后上传材料电子件或直接加盖电子签章。</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9</w:t>
      </w:r>
      <w:r>
        <w:rPr>
          <w:rFonts w:hint="eastAsia" w:ascii="宋体" w:hAnsi="宋体" w:eastAsia="宋体" w:cs="宋体"/>
          <w:color w:val="auto"/>
          <w:sz w:val="24"/>
          <w:szCs w:val="24"/>
          <w:highlight w:val="none"/>
        </w:rPr>
        <w:t xml:space="preserve">.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
        </w:rPr>
        <w:t xml:space="preserve">10</w:t>
      </w:r>
      <w:r>
        <w:rPr>
          <w:rFonts w:hint="eastAsia" w:ascii="宋体" w:hAnsi="宋体" w:eastAsia="宋体" w:cs="宋体"/>
          <w:b/>
          <w:color w:val="auto"/>
          <w:sz w:val="24"/>
          <w:szCs w:val="24"/>
          <w:highlight w:val="none"/>
        </w:rPr>
        <w:t xml:space="preserve">、投标文件构成</w:t>
      </w:r>
      <w:r/>
    </w:p>
    <w:p>
      <w:pPr>
        <w:ind w:left="0" w:right="0" w:firstLine="480"/>
        <w:pageBreakBefore w:val="0"/>
        <w:spacing w:beforeAutospacing="0" w:afterAutospacing="0" w:line="440" w:lineRule="exact"/>
        <w:widowControl w:val="off"/>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
        </w:rPr>
        <w:t xml:space="preserve">10</w:t>
      </w:r>
      <w:r>
        <w:rPr>
          <w:rFonts w:hint="eastAsia" w:ascii="宋体" w:hAnsi="宋体" w:eastAsia="宋体" w:cs="宋体"/>
          <w:color w:val="auto"/>
          <w:sz w:val="24"/>
          <w:szCs w:val="24"/>
          <w:highlight w:val="none"/>
        </w:rPr>
        <w:t xml:space="preserve">.1投标文件包括资格证明文件、开标一览表、分项报价表、响应及偏离表、投标函、其他证明文件等部分。</w:t>
      </w:r>
      <w:r>
        <w:rPr>
          <w:rFonts w:hint="eastAsia" w:ascii="宋体" w:hAnsi="宋体" w:eastAsia="宋体" w:cs="宋体"/>
          <w:bCs/>
          <w:color w:val="auto"/>
          <w:sz w:val="24"/>
          <w:szCs w:val="24"/>
          <w:highlight w:val="none"/>
        </w:rPr>
        <w:t xml:space="preserve">投标文件构成资料为非中文时应提供中文译版。</w:t>
      </w:r>
      <w:bookmarkStart w:id="76" w:name="EBc50e2bb832bb43068403b10c1cce6141"/>
      <w:r/>
      <w:r/>
    </w:p>
    <w:p>
      <w:pPr>
        <w:ind w:left="0" w:right="0" w:firstLine="482"/>
        <w:pageBreakBefore w:val="0"/>
        <w:spacing w:beforeAutospacing="0" w:afterAutospacing="0" w:line="440" w:lineRule="exact"/>
        <w:widowControl w:val="off"/>
        <w:rPr>
          <w:rFonts w:hint="eastAsia" w:ascii="宋体" w:hAnsi="宋体" w:eastAsia="宋体" w:cs="宋体"/>
          <w:bCs/>
          <w:color w:val="auto"/>
          <w:sz w:val="24"/>
          <w:szCs w:val="24"/>
          <w:highlight w:val="none"/>
        </w:rPr>
      </w:pPr>
      <w:r>
        <w:rPr>
          <w:rFonts w:hint="eastAsia" w:ascii="宋体" w:hAnsi="宋体" w:cs="宋体"/>
          <w:b/>
          <w:color w:val="auto"/>
          <w:sz w:val="24"/>
          <w:szCs w:val="24"/>
          <w:highlight w:val="none"/>
          <w:lang w:eastAsia="zh"/>
        </w:rPr>
        <w:t xml:space="preserve">10</w:t>
      </w:r>
      <w:r>
        <w:rPr>
          <w:rFonts w:hint="eastAsia" w:ascii="宋体" w:hAnsi="宋体" w:eastAsia="宋体" w:cs="宋体"/>
          <w:b/>
          <w:color w:val="auto"/>
          <w:sz w:val="24"/>
          <w:szCs w:val="24"/>
          <w:highlight w:val="none"/>
        </w:rPr>
        <w:t xml:space="preserve">.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6"/>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
        </w:rPr>
        <w:t xml:space="preserve">11</w:t>
      </w:r>
      <w:r>
        <w:rPr>
          <w:rFonts w:hint="eastAsia" w:ascii="宋体" w:hAnsi="宋体" w:eastAsia="宋体" w:cs="宋体"/>
          <w:b/>
          <w:color w:val="auto"/>
          <w:sz w:val="24"/>
          <w:szCs w:val="24"/>
          <w:highlight w:val="none"/>
        </w:rPr>
        <w:t xml:space="preserve">、投标报价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1</w:t>
      </w:r>
      <w:r>
        <w:rPr>
          <w:rFonts w:hint="eastAsia" w:ascii="宋体" w:hAnsi="宋体" w:eastAsia="宋体" w:cs="宋体"/>
          <w:color w:val="auto"/>
          <w:sz w:val="24"/>
          <w:szCs w:val="24"/>
          <w:highlight w:val="none"/>
        </w:rPr>
        <w:t xml:space="preserve">.1报价为一次报价，本项目不接受备选的投标方案或有选择的报价，只允许有一个报价。投标报价内容包括：所需设备、材料、安装、调试、维护、培训、运输、施工、垃圾清扫和搬运、成品保护、检测、检验、利润、税金、政策性文件规定及本项目包含的所有风险、责任等各项应有费用。</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1</w:t>
      </w:r>
      <w:r>
        <w:rPr>
          <w:rFonts w:hint="eastAsia" w:ascii="宋体" w:hAnsi="宋体" w:eastAsia="宋体" w:cs="宋体"/>
          <w:color w:val="auto"/>
          <w:sz w:val="24"/>
          <w:szCs w:val="24"/>
          <w:highlight w:val="none"/>
        </w:rPr>
        <w:t xml:space="preserve">.2报价注意事项：投标价格一律以人民币计算，以元为单位标注，最多保留至小数点后两位，招标文件有规定的按招标文件执行。</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eastAsia="zh"/>
        </w:rPr>
        <w:t xml:space="preserve">2</w:t>
      </w:r>
      <w:r>
        <w:rPr>
          <w:rFonts w:hint="eastAsia" w:ascii="宋体" w:hAnsi="宋体" w:eastAsia="宋体" w:cs="宋体"/>
          <w:b/>
          <w:color w:val="auto"/>
          <w:sz w:val="24"/>
          <w:szCs w:val="24"/>
          <w:highlight w:val="none"/>
        </w:rPr>
        <w:t xml:space="preserve">、投标保证金</w:t>
      </w:r>
      <w:bookmarkStart w:id="77" w:name="EB183a0bf075204c54a4ff090f1aecaaa7"/>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本项目不收取投标保证金。</w:t>
      </w:r>
      <w:bookmarkEnd w:id="77"/>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eastAsia="zh"/>
        </w:rPr>
        <w:t xml:space="preserve">3</w:t>
      </w:r>
      <w:r>
        <w:rPr>
          <w:rFonts w:hint="eastAsia" w:ascii="宋体" w:hAnsi="宋体" w:eastAsia="宋体" w:cs="宋体"/>
          <w:b/>
          <w:color w:val="auto"/>
          <w:sz w:val="24"/>
          <w:szCs w:val="24"/>
          <w:highlight w:val="none"/>
        </w:rPr>
        <w:t xml:space="preserve">、投标有效期</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3</w:t>
      </w:r>
      <w:r>
        <w:rPr>
          <w:rFonts w:hint="eastAsia" w:ascii="宋体" w:hAnsi="宋体" w:eastAsia="宋体" w:cs="宋体"/>
          <w:color w:val="auto"/>
          <w:sz w:val="24"/>
          <w:szCs w:val="24"/>
          <w:highlight w:val="none"/>
        </w:rPr>
        <w:t xml:space="preserve">.1在投标人须知前附表规定的投标有效期内，投标有效期从提交投标文件的截止之日起算。投标有效期比规定短的将被视为未实质性响应招标文件。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3</w:t>
      </w:r>
      <w:r>
        <w:rPr>
          <w:rFonts w:hint="eastAsia" w:ascii="宋体" w:hAnsi="宋体" w:eastAsia="宋体" w:cs="宋体"/>
          <w:color w:val="auto"/>
          <w:sz w:val="24"/>
          <w:szCs w:val="24"/>
          <w:highlight w:val="none"/>
        </w:rPr>
        <w:t xml:space="preserve">.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944"/>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78" w:name="_Toc23443"/>
      <w:r/>
      <w:bookmarkStart w:id="79" w:name="_Toc81575195"/>
      <w:r/>
      <w:bookmarkStart w:id="80" w:name="_Toc81575158"/>
      <w:r/>
      <w:bookmarkStart w:id="81" w:name="_Toc2773"/>
      <w:r>
        <w:rPr>
          <w:rFonts w:hint="eastAsia" w:ascii="宋体" w:hAnsi="宋体" w:eastAsia="宋体" w:cs="宋体"/>
          <w:bCs/>
          <w:color w:val="auto"/>
          <w:sz w:val="24"/>
          <w:szCs w:val="24"/>
          <w:highlight w:val="none"/>
        </w:rPr>
        <w:t xml:space="preserve">四、投标文件的提交</w:t>
      </w:r>
      <w:bookmarkEnd w:id="78"/>
      <w:r/>
      <w:bookmarkEnd w:id="79"/>
      <w:r/>
      <w:bookmarkEnd w:id="80"/>
      <w:r/>
      <w:bookmarkEnd w:id="81"/>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eastAsia="zh"/>
        </w:rPr>
        <w:t xml:space="preserve">4</w:t>
      </w:r>
      <w:r>
        <w:rPr>
          <w:rFonts w:hint="eastAsia" w:ascii="宋体" w:hAnsi="宋体" w:eastAsia="宋体" w:cs="宋体"/>
          <w:b/>
          <w:color w:val="auto"/>
          <w:sz w:val="24"/>
          <w:szCs w:val="24"/>
          <w:highlight w:val="none"/>
        </w:rPr>
        <w:t xml:space="preserve">、投标文件的提交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4</w:t>
      </w:r>
      <w:r>
        <w:rPr>
          <w:rFonts w:hint="eastAsia" w:ascii="宋体" w:hAnsi="宋体" w:eastAsia="宋体" w:cs="宋体"/>
          <w:color w:val="auto"/>
          <w:sz w:val="24"/>
          <w:szCs w:val="24"/>
          <w:highlight w:val="none"/>
        </w:rPr>
        <w:t xml:space="preserve">.1投标人应在招标文件规定的投标截止时间前提交投标文件并将电子投标文件上传至“苏采云”系统对应的本次开标采购包中。除招标文件另有规定外，投标人所提交的投标文件不予退还。</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4</w:t>
      </w:r>
      <w:r>
        <w:rPr>
          <w:rFonts w:hint="eastAsia" w:ascii="宋体" w:hAnsi="宋体" w:eastAsia="宋体" w:cs="宋体"/>
          <w:color w:val="auto"/>
          <w:sz w:val="24"/>
          <w:szCs w:val="24"/>
          <w:highlight w:val="none"/>
        </w:rPr>
        <w:t xml:space="preserve">.2投标文件的修改和撤回：在投标截止时间前，投标人可以撤回或重新提交投标文件。投标文件以最终完成上传的为准。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4</w:t>
      </w:r>
      <w:r>
        <w:rPr>
          <w:rFonts w:hint="eastAsia" w:ascii="宋体" w:hAnsi="宋体" w:eastAsia="宋体" w:cs="宋体"/>
          <w:color w:val="auto"/>
          <w:sz w:val="24"/>
          <w:szCs w:val="24"/>
          <w:highlight w:val="none"/>
        </w:rPr>
        <w:t xml:space="preserve">.3采购人、采购代理机构可以通过修改招标文件酌情延长投标文件接收截止日期，在此情况下，投标人的所有权利和义务以及投标人受制约的截止日期均应以延长后新的截止日期为准。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eastAsia="zh"/>
        </w:rPr>
        <w:t xml:space="preserve">5</w:t>
      </w:r>
      <w:r>
        <w:rPr>
          <w:rFonts w:hint="eastAsia" w:ascii="宋体" w:hAnsi="宋体" w:eastAsia="宋体" w:cs="宋体"/>
          <w:b/>
          <w:color w:val="auto"/>
          <w:sz w:val="24"/>
          <w:szCs w:val="24"/>
          <w:highlight w:val="none"/>
        </w:rPr>
        <w:t xml:space="preserve">、投标文件被拒绝接收的情形</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在招标文件规定的投标截止时间后上传的投标文件或对投标报价或其他实质性内容修正的文件。</w:t>
      </w:r>
      <w:r/>
    </w:p>
    <w:p>
      <w:pPr>
        <w:pStyle w:val="944"/>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82" w:name="_Toc20026"/>
      <w:r/>
      <w:bookmarkStart w:id="83" w:name="_Toc81575160"/>
      <w:r/>
      <w:bookmarkStart w:id="84" w:name="_Toc959"/>
      <w:r/>
      <w:bookmarkStart w:id="85" w:name="_Toc81575197"/>
      <w:r>
        <w:rPr>
          <w:rFonts w:hint="eastAsia" w:ascii="宋体" w:hAnsi="宋体" w:eastAsia="宋体" w:cs="宋体"/>
          <w:bCs/>
          <w:color w:val="auto"/>
          <w:sz w:val="24"/>
          <w:szCs w:val="24"/>
          <w:highlight w:val="none"/>
        </w:rPr>
        <w:t xml:space="preserve">五、开标、评标程序</w:t>
      </w:r>
      <w:bookmarkEnd w:id="82"/>
      <w:r/>
      <w:bookmarkEnd w:id="83"/>
      <w:r/>
      <w:bookmarkEnd w:id="84"/>
      <w:r/>
      <w:bookmarkEnd w:id="85"/>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eastAsia="zh"/>
        </w:rPr>
        <w:t xml:space="preserve">6</w:t>
      </w:r>
      <w:r>
        <w:rPr>
          <w:rFonts w:hint="eastAsia" w:ascii="宋体" w:hAnsi="宋体" w:eastAsia="宋体" w:cs="宋体"/>
          <w:b/>
          <w:color w:val="auto"/>
          <w:sz w:val="24"/>
          <w:szCs w:val="24"/>
          <w:highlight w:val="none"/>
        </w:rPr>
        <w:t xml:space="preserve">、开标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6</w:t>
      </w:r>
      <w:r>
        <w:rPr>
          <w:rFonts w:hint="eastAsia" w:ascii="宋体" w:hAnsi="宋体" w:eastAsia="宋体" w:cs="宋体"/>
          <w:color w:val="auto"/>
          <w:sz w:val="24"/>
          <w:szCs w:val="24"/>
          <w:highlight w:val="none"/>
        </w:rPr>
        <w:t xml:space="preserve">.1采购代理机构将在招标公告中规定的时间和地点组织公开开标。投标人应当按照《操作手册》规定，参加开标活动，在“苏采云”系统规定的时间内对投标文件解密。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6</w:t>
      </w:r>
      <w:r>
        <w:rPr>
          <w:rFonts w:hint="eastAsia" w:ascii="宋体" w:hAnsi="宋体" w:eastAsia="宋体" w:cs="宋体"/>
          <w:color w:val="auto"/>
          <w:sz w:val="24"/>
          <w:szCs w:val="24"/>
          <w:highlight w:val="none"/>
        </w:rPr>
        <w:t xml:space="preserve">.2开标仪式由采购代理机构组织。“苏采云”系统将自动对项目进行开标，并宣布各投标人名称和投标价格。</w:t>
      </w:r>
      <w:r/>
    </w:p>
    <w:p>
      <w:pPr>
        <w:ind w:left="0" w:right="0" w:firstLine="482"/>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eastAsia="zh"/>
        </w:rPr>
        <w:t xml:space="preserve">6</w:t>
      </w:r>
      <w:r>
        <w:rPr>
          <w:rFonts w:hint="eastAsia" w:ascii="宋体" w:hAnsi="宋体" w:eastAsia="宋体" w:cs="宋体"/>
          <w:b/>
          <w:bCs/>
          <w:color w:val="auto"/>
          <w:sz w:val="24"/>
          <w:szCs w:val="24"/>
          <w:highlight w:val="none"/>
        </w:rPr>
        <w:t xml:space="preserve">.3投标人用于解密的CA证书应为该投标文件生成加密、上传的同一把CA证书。投标人应登录“苏采云”系统进入“开标大厅”，在系统约定时间内使用CA证书解密，未成功解密的视为放弃投标。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6</w:t>
      </w:r>
      <w:r>
        <w:rPr>
          <w:rFonts w:hint="eastAsia" w:ascii="宋体" w:hAnsi="宋体" w:eastAsia="宋体" w:cs="宋体"/>
          <w:color w:val="auto"/>
          <w:sz w:val="24"/>
          <w:szCs w:val="24"/>
          <w:highlight w:val="none"/>
        </w:rPr>
        <w:t xml:space="preserve">.4投标人如果对开标过程和开标记录有疑义，应当根据《操作手册》规定提出。如“苏采云”系统中《开标记录表》宣布后5分钟内未提出的，视同认可开标结果。</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6</w:t>
      </w:r>
      <w:r>
        <w:rPr>
          <w:rFonts w:hint="eastAsia" w:ascii="宋体" w:hAnsi="宋体" w:eastAsia="宋体" w:cs="宋体"/>
          <w:color w:val="auto"/>
          <w:sz w:val="24"/>
          <w:szCs w:val="24"/>
          <w:highlight w:val="none"/>
        </w:rPr>
        <w:t xml:space="preserve">.5投标人在开、评标全过程中应保持通讯畅通，及时登录“苏采云”系统查阅、答复相关信息。</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eastAsia="zh"/>
        </w:rPr>
        <w:t xml:space="preserve">7</w:t>
      </w:r>
      <w:r>
        <w:rPr>
          <w:rFonts w:hint="eastAsia" w:ascii="宋体" w:hAnsi="宋体" w:eastAsia="宋体" w:cs="宋体"/>
          <w:b/>
          <w:color w:val="auto"/>
          <w:sz w:val="24"/>
          <w:szCs w:val="24"/>
          <w:highlight w:val="none"/>
        </w:rPr>
        <w:t xml:space="preserve">、评标委员会</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eastAsia="zh"/>
        </w:rPr>
        <w:t xml:space="preserve">8</w:t>
      </w:r>
      <w:r>
        <w:rPr>
          <w:rFonts w:hint="eastAsia" w:ascii="宋体" w:hAnsi="宋体" w:eastAsia="宋体" w:cs="宋体"/>
          <w:b/>
          <w:color w:val="auto"/>
          <w:sz w:val="24"/>
          <w:szCs w:val="24"/>
          <w:highlight w:val="none"/>
        </w:rPr>
        <w:t xml:space="preserve">、评标程序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.1资格审查</w:t>
      </w:r>
      <w:bookmarkStart w:id="86" w:name="EBa9c0a2c9e523494487594c65b2a92370"/>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开标结束后，采购人依法根据招标文件的规定对投标人的资格证明文件等进行审查。</w:t>
      </w:r>
      <w:bookmarkEnd w:id="86"/>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.2符合性检查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.2.1依据招标文件的规定，由评标委员会从投标文件的有效性、完整性和对招标文件的响应程度进行审查，以确定是否对招标文件的实质性要求作出响应。</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.2.2在详细评标之前，评标委员会将首先审查每份投标文件是否实质性响应了招标文件的要求。实质性响应的投标应是与招标文件要求的全部条款、条件和规格相符，没有重大偏离的投标。</w:t>
      </w:r>
      <w:bookmarkStart w:id="87" w:name="EB1499356fad43416eb16398733accabf7"/>
      <w:r>
        <w:rPr>
          <w:rFonts w:hint="eastAsia" w:ascii="宋体" w:hAnsi="宋体" w:eastAsia="宋体" w:cs="宋体"/>
          <w:color w:val="auto"/>
          <w:sz w:val="24"/>
          <w:szCs w:val="24"/>
          <w:highlight w:val="none"/>
        </w:rPr>
        <w:t xml:space="preserve">所谓重大偏离是指投标人投标文件中所述设备质量、技术规格、数量、交货期、服务等明显不能满足招标文件要求。</w:t>
      </w:r>
      <w:bookmarkEnd w:id="87"/>
      <w:r>
        <w:rPr>
          <w:rFonts w:hint="eastAsia" w:ascii="宋体" w:hAnsi="宋体" w:eastAsia="宋体" w:cs="宋体"/>
          <w:color w:val="auto"/>
          <w:sz w:val="24"/>
          <w:szCs w:val="24"/>
          <w:highlight w:val="none"/>
        </w:rPr>
        <w:t xml:space="preserve">重大偏离的认定需经过评标委员会以少数服从多数的原则作出结论。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.3未通过资格审查或符合性审查的投标人，采购代理机构将在“苏采云”系统中告知未通过资格审查或符合性审查的原因，评标结束后，采购代理机构将不再告知未通过资格审查或符合性审查的原因。</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.4评标委员会判断投标文件的响应性，仅基于投标文件本身而不靠外部证据。对非实质性响应的投标文件，投标人不能通过修正或撤销不符之处，而使其成为实质性响应。</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.5相同品牌产品投标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.5.3非单一产品采购项目，采购人确定核心产品，并在招标文件中载明。多家投标人提供的核心产品品牌相同的，按前两款规定处理。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eastAsia="zh"/>
        </w:rPr>
        <w:t xml:space="preserve">8</w:t>
      </w:r>
      <w:r>
        <w:rPr>
          <w:rFonts w:hint="eastAsia" w:ascii="宋体" w:hAnsi="宋体" w:eastAsia="宋体" w:cs="宋体"/>
          <w:b/>
          <w:color w:val="auto"/>
          <w:sz w:val="24"/>
          <w:szCs w:val="24"/>
          <w:highlight w:val="none"/>
        </w:rPr>
        <w:t xml:space="preserve">.6有关问题的澄清</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.6.2投标文件报价出现前后不一致的，除招标文件另有规定外，按照下列规定修正：</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①投标文件中开标一览表（报价表）内容与投标文件中相应内容不一致的，以开标一览表（报价表）为准；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②大写金额和小写金额不一致的，以大写金额为准；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③单价金额小数点或者百分比有明显错位的，以开标一览表的总价为准，并修改单价；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④总价金额与按单价汇总金额不一致的，以单价金额计算结果为准。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.6.3评标委员会将按上述修正错误的方法调整投标文件中的投标报价，并通过“苏采云”系统告知投标人，调整后的价格应对投标人具有约束力。投标人不接受修正后的价格，其投标将被拒绝。</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w:t>
      </w:r>
      <w:r>
        <w:rPr>
          <w:rFonts w:hint="eastAsia" w:ascii="Times New Roman" w:hAnsi="Times New Roman" w:cs="仿宋"/>
          <w:b/>
          <w:bCs/>
          <w:color w:val="auto"/>
          <w:sz w:val="24"/>
          <w:highlight w:val="none"/>
          <w:lang w:eastAsia="zh"/>
        </w:rPr>
        <w:t xml:space="preserve">8</w:t>
      </w:r>
      <w:r>
        <w:rPr>
          <w:rFonts w:hint="eastAsia" w:ascii="Times New Roman" w:hAnsi="Times New Roman" w:cs="仿宋"/>
          <w:b/>
          <w:bCs/>
          <w:color w:val="auto"/>
          <w:sz w:val="24"/>
          <w:highlight w:val="none"/>
        </w:rPr>
        <w:t xml:space="preserve">.7异常低价投标审查</w:t>
      </w:r>
      <w:r/>
    </w:p>
    <w:p>
      <w:pPr>
        <w:ind w:firstLine="480"/>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w:t>
      </w:r>
      <w:r>
        <w:rPr>
          <w:rFonts w:hint="eastAsia" w:ascii="Times New Roman" w:hAnsi="Times New Roman" w:cs="仿宋"/>
          <w:b/>
          <w:bCs/>
          <w:color w:val="auto"/>
          <w:sz w:val="24"/>
          <w:highlight w:val="none"/>
          <w:lang w:eastAsia="zh"/>
        </w:rPr>
        <w:t xml:space="preserve">8</w:t>
      </w:r>
      <w:r>
        <w:rPr>
          <w:rFonts w:hint="eastAsia" w:ascii="Times New Roman" w:hAnsi="Times New Roman" w:cs="仿宋"/>
          <w:b/>
          <w:bCs/>
          <w:color w:val="auto"/>
          <w:sz w:val="24"/>
          <w:highlight w:val="none"/>
        </w:rPr>
        <w:t xml:space="preserve">.7.1评标过程中出现下列情形之一的，评标委员会应当启动异常低价投标审查程序：</w:t>
      </w:r>
      <w:r/>
    </w:p>
    <w:p>
      <w:pPr>
        <w:ind w:firstLine="480"/>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（1）投标报价低于采购项目预算50%的，即投标报价＜采购项目预算×50%；</w:t>
      </w:r>
      <w:r/>
    </w:p>
    <w:p>
      <w:pPr>
        <w:ind w:firstLine="480"/>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（2）投标报价低于采购项目最高限价45%的，即投标报价＜采购项目最高限价×45%；</w:t>
      </w:r>
      <w:r/>
    </w:p>
    <w:p>
      <w:pPr>
        <w:ind w:firstLine="480"/>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（3）评标委员会认定的供应商报价过低（含明显低于其他通过符合性审查投标人的报价）、有可能影响产品质量或者不能诚信履约的其他情形。</w:t>
      </w:r>
      <w:r/>
    </w:p>
    <w:p>
      <w:pPr>
        <w:ind w:firstLine="480"/>
        <w:spacing w:line="480" w:lineRule="exact"/>
        <w:rPr>
          <w:rFonts w:hint="eastAsia" w:ascii="宋体" w:hAnsi="宋体" w:eastAsia="宋体" w:cs="宋体"/>
          <w:b/>
          <w:bCs/>
          <w:color w:val="auto"/>
          <w:sz w:val="24"/>
          <w:szCs w:val="24"/>
          <w:highlight w:val="none"/>
        </w:rPr>
      </w:pPr>
      <w:r>
        <w:rPr>
          <w:rFonts w:hint="eastAsia" w:ascii="Times New Roman" w:hAnsi="Times New Roman" w:cs="仿宋"/>
          <w:b/>
          <w:bCs/>
          <w:color w:val="auto"/>
          <w:sz w:val="24"/>
          <w:highlight w:val="none"/>
        </w:rPr>
        <w:t xml:space="preserve">1</w:t>
      </w:r>
      <w:r>
        <w:rPr>
          <w:rFonts w:hint="eastAsia" w:ascii="Times New Roman" w:hAnsi="Times New Roman" w:cs="仿宋"/>
          <w:b/>
          <w:bCs/>
          <w:color w:val="auto"/>
          <w:sz w:val="24"/>
          <w:highlight w:val="none"/>
          <w:lang w:eastAsia="zh"/>
        </w:rPr>
        <w:t xml:space="preserve">8</w:t>
      </w:r>
      <w:r>
        <w:rPr>
          <w:rFonts w:hint="eastAsia" w:ascii="Times New Roman" w:hAnsi="Times New Roman" w:cs="仿宋"/>
          <w:b/>
          <w:bCs/>
          <w:color w:val="auto"/>
          <w:sz w:val="24"/>
          <w:highlight w:val="none"/>
        </w:rPr>
        <w:t xml:space="preserve">.7.2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比较</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评标委员会将按招标文件中规定的评标方法和标准，对符合性检查合格的投标文件进行商务和技术评比。</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推荐中标候选人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评标委员会按照招标文件中规定的评标方法和标准推荐中标候选人。</w:t>
      </w:r>
      <w:r/>
    </w:p>
    <w:p>
      <w:pPr>
        <w:pStyle w:val="944"/>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88" w:name="_Toc8841"/>
      <w:r/>
      <w:bookmarkStart w:id="89" w:name="_Toc81575196"/>
      <w:r/>
      <w:bookmarkStart w:id="90" w:name="_Toc81575159"/>
      <w:r/>
      <w:bookmarkStart w:id="91" w:name="_Toc8712"/>
      <w:r>
        <w:rPr>
          <w:rFonts w:hint="eastAsia" w:ascii="宋体" w:hAnsi="宋体" w:eastAsia="宋体" w:cs="宋体"/>
          <w:bCs/>
          <w:color w:val="auto"/>
          <w:sz w:val="24"/>
          <w:szCs w:val="24"/>
          <w:highlight w:val="none"/>
        </w:rPr>
        <w:t xml:space="preserve">六、无效投标、废标、串通投标</w:t>
      </w:r>
      <w:bookmarkEnd w:id="88"/>
      <w:r/>
      <w:bookmarkEnd w:id="89"/>
      <w:r/>
      <w:bookmarkEnd w:id="90"/>
      <w:r/>
      <w:bookmarkEnd w:id="91"/>
      <w:r>
        <w:rPr>
          <w:rFonts w:hint="eastAsia" w:ascii="宋体" w:hAnsi="宋体" w:eastAsia="宋体" w:cs="宋体"/>
          <w:bCs/>
          <w:color w:val="auto"/>
          <w:sz w:val="24"/>
          <w:szCs w:val="24"/>
          <w:highlight w:val="none"/>
        </w:rPr>
        <w:t xml:space="preserve">及取消中标候选人资格情形</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eastAsia="zh"/>
        </w:rPr>
        <w:t xml:space="preserve">9</w:t>
      </w:r>
      <w:r>
        <w:rPr>
          <w:rFonts w:hint="eastAsia" w:ascii="宋体" w:hAnsi="宋体" w:eastAsia="宋体" w:cs="宋体"/>
          <w:b/>
          <w:color w:val="auto"/>
          <w:sz w:val="24"/>
          <w:szCs w:val="24"/>
          <w:highlight w:val="none"/>
        </w:rPr>
        <w:t xml:space="preserve">、无效投标情形</w:t>
      </w:r>
      <w:r/>
    </w:p>
    <w:p>
      <w:pPr>
        <w:ind w:left="0" w:right="0" w:firstLine="480"/>
        <w:pageBreakBefore w:val="0"/>
        <w:spacing w:beforeAutospacing="0" w:afterAutospacing="0" w:line="440" w:lineRule="exact"/>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9</w:t>
      </w:r>
      <w:r>
        <w:rPr>
          <w:rFonts w:hint="eastAsia" w:ascii="宋体" w:hAnsi="宋体" w:eastAsia="宋体" w:cs="宋体"/>
          <w:color w:val="auto"/>
          <w:sz w:val="24"/>
          <w:szCs w:val="24"/>
          <w:highlight w:val="none"/>
        </w:rPr>
        <w:t xml:space="preserve">.1投标人同一采购包提交两个（含两个）以上不同的投标报价的。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9</w:t>
      </w:r>
      <w:r>
        <w:rPr>
          <w:rFonts w:hint="eastAsia" w:ascii="宋体" w:hAnsi="宋体" w:eastAsia="宋体" w:cs="宋体"/>
          <w:color w:val="auto"/>
          <w:sz w:val="24"/>
          <w:szCs w:val="24"/>
          <w:highlight w:val="none"/>
        </w:rPr>
        <w:t xml:space="preserve">.2投标人不符合招标文件规定资格要求的或未按规定提交资质证件的。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9</w:t>
      </w:r>
      <w:r>
        <w:rPr>
          <w:rFonts w:hint="eastAsia" w:ascii="宋体" w:hAnsi="宋体" w:eastAsia="宋体" w:cs="宋体"/>
          <w:color w:val="auto"/>
          <w:sz w:val="24"/>
          <w:szCs w:val="24"/>
          <w:highlight w:val="none"/>
        </w:rPr>
        <w:t xml:space="preserve">.3投标人的报价超过了采购预算或最高限价的。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9</w:t>
      </w:r>
      <w:r>
        <w:rPr>
          <w:rFonts w:hint="eastAsia" w:ascii="宋体" w:hAnsi="宋体" w:eastAsia="宋体" w:cs="宋体"/>
          <w:color w:val="auto"/>
          <w:sz w:val="24"/>
          <w:szCs w:val="24"/>
          <w:highlight w:val="none"/>
        </w:rPr>
        <w:t xml:space="preserve">.4投标文件未通过符合性审查的。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9</w:t>
      </w:r>
      <w:r>
        <w:rPr>
          <w:rFonts w:hint="eastAsia" w:ascii="宋体" w:hAnsi="宋体" w:eastAsia="宋体" w:cs="宋体"/>
          <w:color w:val="auto"/>
          <w:sz w:val="24"/>
          <w:szCs w:val="24"/>
          <w:highlight w:val="none"/>
        </w:rPr>
        <w:t xml:space="preserve">.5投标文件出现重大偏离，不符合招标文件中规定的实质性要求的（★部分为实质性要求）。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9</w:t>
      </w:r>
      <w:r>
        <w:rPr>
          <w:rFonts w:hint="eastAsia" w:ascii="宋体" w:hAnsi="宋体" w:eastAsia="宋体" w:cs="宋体"/>
          <w:color w:val="auto"/>
          <w:sz w:val="24"/>
          <w:szCs w:val="24"/>
          <w:highlight w:val="none"/>
        </w:rPr>
        <w:t xml:space="preserve">.6评标委员会认为投标人的报价明显低于其他通过符合性审查投标人的报价，有可能影响产品质量或者不能诚信履约的，且投标人不能在合理的时间内提供说明，证明其报价合理性的。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
        </w:rPr>
        <w:t xml:space="preserve">9</w:t>
      </w:r>
      <w:r>
        <w:rPr>
          <w:rFonts w:hint="eastAsia" w:ascii="宋体" w:hAnsi="宋体" w:cs="宋体"/>
          <w:color w:val="auto"/>
          <w:sz w:val="24"/>
          <w:szCs w:val="24"/>
          <w:highlight w:val="none"/>
          <w:lang w:val="en-US" w:eastAsia="zh-CN"/>
        </w:rPr>
        <w:t xml:space="preserve">.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投标文件未按照招标文件要求加盖CA电子公章的。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投标人有本招标文件规定的恶意串通投标情形的。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投标文件含有采购人不能接受的附加条件的。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lang w:eastAsia="zh"/>
        </w:rPr>
      </w:pPr>
      <w:r>
        <w:rPr>
          <w:rFonts w:hint="eastAsia" w:ascii="宋体" w:hAnsi="宋体" w:cs="宋体"/>
          <w:color w:val="auto"/>
          <w:sz w:val="24"/>
          <w:szCs w:val="24"/>
          <w:highlight w:val="none"/>
          <w:lang w:eastAsia="zh"/>
        </w:rPr>
        <w:t xml:space="preserve">19.11投标人所投标产品不符合招标文件中所列国家强制性标准的。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
        </w:rPr>
        <w:t xml:space="preserve">2</w:t>
      </w:r>
      <w:r>
        <w:rPr>
          <w:rFonts w:hint="eastAsia" w:ascii="宋体" w:hAnsi="宋体" w:eastAsia="宋体" w:cs="宋体"/>
          <w:color w:val="auto"/>
          <w:sz w:val="24"/>
          <w:szCs w:val="24"/>
          <w:highlight w:val="none"/>
        </w:rPr>
        <w:t xml:space="preserve">其他法律、法规及本招标文件规定的属无效投标的情形。</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
        </w:rPr>
        <w:t xml:space="preserve">20</w:t>
      </w:r>
      <w:r>
        <w:rPr>
          <w:rFonts w:hint="eastAsia" w:ascii="宋体" w:hAnsi="宋体" w:eastAsia="宋体" w:cs="宋体"/>
          <w:b/>
          <w:color w:val="auto"/>
          <w:sz w:val="24"/>
          <w:szCs w:val="24"/>
          <w:highlight w:val="none"/>
        </w:rPr>
        <w:t xml:space="preserve">、废标情形</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20</w:t>
      </w:r>
      <w:r>
        <w:rPr>
          <w:rFonts w:hint="eastAsia" w:ascii="宋体" w:hAnsi="宋体" w:eastAsia="宋体" w:cs="宋体"/>
          <w:color w:val="auto"/>
          <w:sz w:val="24"/>
          <w:szCs w:val="24"/>
          <w:highlight w:val="none"/>
        </w:rPr>
        <w:t xml:space="preserve">.1符合专业条件的投标人或者对招标文件作实质响应的投标人不足三家的。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20</w:t>
      </w:r>
      <w:r>
        <w:rPr>
          <w:rFonts w:hint="eastAsia" w:ascii="宋体" w:hAnsi="宋体" w:eastAsia="宋体" w:cs="宋体"/>
          <w:color w:val="auto"/>
          <w:sz w:val="24"/>
          <w:szCs w:val="24"/>
          <w:highlight w:val="none"/>
        </w:rPr>
        <w:t xml:space="preserve">.2出现影响采购公正的违法、违规行为的。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20</w:t>
      </w:r>
      <w:r>
        <w:rPr>
          <w:rFonts w:hint="eastAsia" w:ascii="宋体" w:hAnsi="宋体" w:eastAsia="宋体" w:cs="宋体"/>
          <w:color w:val="auto"/>
          <w:sz w:val="24"/>
          <w:szCs w:val="24"/>
          <w:highlight w:val="none"/>
        </w:rPr>
        <w:t xml:space="preserve">.3因重大变故，采购任务取消的。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20</w:t>
      </w:r>
      <w:r>
        <w:rPr>
          <w:rFonts w:hint="eastAsia" w:ascii="宋体" w:hAnsi="宋体" w:eastAsia="宋体" w:cs="宋体"/>
          <w:color w:val="auto"/>
          <w:sz w:val="24"/>
          <w:szCs w:val="24"/>
          <w:highlight w:val="none"/>
        </w:rPr>
        <w:t xml:space="preserve">.4评标委员会认定招标文件存在歧义、重大缺陷导致评审工作无法进行的。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20</w:t>
      </w:r>
      <w:r>
        <w:rPr>
          <w:rFonts w:hint="eastAsia" w:ascii="宋体" w:hAnsi="宋体" w:eastAsia="宋体" w:cs="宋体"/>
          <w:color w:val="auto"/>
          <w:sz w:val="24"/>
          <w:szCs w:val="24"/>
          <w:highlight w:val="none"/>
        </w:rPr>
        <w:t xml:space="preserve">.5在“苏采云”系统规定时间内成功解密电子投标文件的投标人不足3家的。</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cs="宋体"/>
          <w:b/>
          <w:color w:val="auto"/>
          <w:sz w:val="24"/>
          <w:szCs w:val="24"/>
          <w:highlight w:val="none"/>
          <w:lang w:eastAsia="zh"/>
        </w:rPr>
        <w:t xml:space="preserve">1</w:t>
      </w:r>
      <w:r>
        <w:rPr>
          <w:rFonts w:hint="eastAsia" w:ascii="宋体" w:hAnsi="宋体" w:eastAsia="宋体" w:cs="宋体"/>
          <w:b/>
          <w:color w:val="auto"/>
          <w:sz w:val="24"/>
          <w:szCs w:val="24"/>
          <w:highlight w:val="none"/>
        </w:rPr>
        <w:t xml:space="preserve">、投标人不足三家情形处理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投标截止后投标人不足3家或者通过资格审查或符合性审查的投标人不足3家的，除采购任务取消情形外，按财政部令第87号第四十三条条款进行处理。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cs="宋体"/>
          <w:b/>
          <w:color w:val="auto"/>
          <w:sz w:val="24"/>
          <w:szCs w:val="24"/>
          <w:highlight w:val="none"/>
          <w:lang w:eastAsia="zh"/>
        </w:rPr>
        <w:t xml:space="preserve">2</w:t>
      </w:r>
      <w:r>
        <w:rPr>
          <w:rFonts w:hint="eastAsia" w:ascii="宋体" w:hAnsi="宋体" w:eastAsia="宋体" w:cs="宋体"/>
          <w:b/>
          <w:color w:val="auto"/>
          <w:sz w:val="24"/>
          <w:szCs w:val="24"/>
          <w:highlight w:val="none"/>
        </w:rPr>
        <w:t xml:space="preserve">、串通投标情形</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有下列情形之一的，属于恶意串通投标：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2</w:t>
      </w:r>
      <w:r>
        <w:rPr>
          <w:rFonts w:hint="eastAsia" w:ascii="宋体" w:hAnsi="宋体" w:eastAsia="宋体" w:cs="宋体"/>
          <w:color w:val="auto"/>
          <w:sz w:val="24"/>
          <w:szCs w:val="24"/>
          <w:highlight w:val="none"/>
        </w:rPr>
        <w:t xml:space="preserve">.1供应商直接或间接从采购人或采购代理机构处获得其他供应商的投标情况，并修改其投标文件；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2</w:t>
      </w:r>
      <w:r>
        <w:rPr>
          <w:rFonts w:hint="eastAsia" w:ascii="宋体" w:hAnsi="宋体" w:eastAsia="宋体" w:cs="宋体"/>
          <w:color w:val="auto"/>
          <w:sz w:val="24"/>
          <w:szCs w:val="24"/>
          <w:highlight w:val="none"/>
        </w:rPr>
        <w:t xml:space="preserve">.2评审活动开始前供应商直接或间接从采购人或采购代理机构处获得评标委员会组成人员情况；</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2</w:t>
      </w:r>
      <w:r>
        <w:rPr>
          <w:rFonts w:hint="eastAsia" w:ascii="宋体" w:hAnsi="宋体" w:eastAsia="宋体" w:cs="宋体"/>
          <w:color w:val="auto"/>
          <w:sz w:val="24"/>
          <w:szCs w:val="24"/>
          <w:highlight w:val="none"/>
        </w:rPr>
        <w:t xml:space="preserve">.3供应商接受采购人或采购代理机构授意撤换、修改投标文件；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2</w:t>
      </w:r>
      <w:r>
        <w:rPr>
          <w:rFonts w:hint="eastAsia" w:ascii="宋体" w:hAnsi="宋体" w:eastAsia="宋体" w:cs="宋体"/>
          <w:color w:val="auto"/>
          <w:sz w:val="24"/>
          <w:szCs w:val="24"/>
          <w:highlight w:val="none"/>
        </w:rPr>
        <w:t xml:space="preserve">.4供应商之间协商投标报价、技术方案等投标文件实质性内容；</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2</w:t>
      </w:r>
      <w:r>
        <w:rPr>
          <w:rFonts w:hint="eastAsia" w:ascii="宋体" w:hAnsi="宋体" w:eastAsia="宋体" w:cs="宋体"/>
          <w:color w:val="auto"/>
          <w:sz w:val="24"/>
          <w:szCs w:val="24"/>
          <w:highlight w:val="none"/>
        </w:rPr>
        <w:t xml:space="preserve">.5属于同一集团、协会、商会等组织成员的供应商按照该组织要求协同投标；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2</w:t>
      </w:r>
      <w:r>
        <w:rPr>
          <w:rFonts w:hint="eastAsia" w:ascii="宋体" w:hAnsi="宋体" w:eastAsia="宋体" w:cs="宋体"/>
          <w:color w:val="auto"/>
          <w:sz w:val="24"/>
          <w:szCs w:val="24"/>
          <w:highlight w:val="none"/>
        </w:rPr>
        <w:t xml:space="preserve">.6供应商之间事先约定由某一特定供应商中标、成交；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2</w:t>
      </w:r>
      <w:r>
        <w:rPr>
          <w:rFonts w:hint="eastAsia" w:ascii="宋体" w:hAnsi="宋体" w:eastAsia="宋体" w:cs="宋体"/>
          <w:color w:val="auto"/>
          <w:sz w:val="24"/>
          <w:szCs w:val="24"/>
          <w:highlight w:val="none"/>
        </w:rPr>
        <w:t xml:space="preserve">.7供应商之间商定部分供应商放弃投标或者放弃中标、成交；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2</w:t>
      </w:r>
      <w:r>
        <w:rPr>
          <w:rFonts w:hint="eastAsia" w:ascii="宋体" w:hAnsi="宋体" w:eastAsia="宋体" w:cs="宋体"/>
          <w:color w:val="auto"/>
          <w:sz w:val="24"/>
          <w:szCs w:val="24"/>
          <w:highlight w:val="none"/>
        </w:rPr>
        <w:t xml:space="preserve">.8供应商与采购人或采购代理机构之间、供应商相互之间为谋求特定供应商中标成交或者排斥其他供应商的其他串通行为；</w:t>
      </w:r>
      <w:r/>
    </w:p>
    <w:p>
      <w:pPr>
        <w:ind w:left="0" w:right="0" w:firstLine="482"/>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有下列情形之一的，视为投标人串通投标，其投标无效：</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2</w:t>
      </w:r>
      <w:r>
        <w:rPr>
          <w:rFonts w:hint="eastAsia" w:ascii="宋体" w:hAnsi="宋体" w:eastAsia="宋体" w:cs="宋体"/>
          <w:color w:val="auto"/>
          <w:sz w:val="24"/>
          <w:szCs w:val="24"/>
          <w:highlight w:val="none"/>
        </w:rPr>
        <w:t xml:space="preserve">.9不同投标人的投标文件由同一单位或者个人编制；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2</w:t>
      </w:r>
      <w:r>
        <w:rPr>
          <w:rFonts w:hint="eastAsia" w:ascii="宋体" w:hAnsi="宋体" w:eastAsia="宋体" w:cs="宋体"/>
          <w:color w:val="auto"/>
          <w:sz w:val="24"/>
          <w:szCs w:val="24"/>
          <w:highlight w:val="none"/>
        </w:rPr>
        <w:t xml:space="preserve">.10不同投标人委托同一单位或者个人办理投标事宜；</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2</w:t>
      </w:r>
      <w:r>
        <w:rPr>
          <w:rFonts w:hint="eastAsia" w:ascii="宋体" w:hAnsi="宋体" w:eastAsia="宋体" w:cs="宋体"/>
          <w:color w:val="auto"/>
          <w:sz w:val="24"/>
          <w:szCs w:val="24"/>
          <w:highlight w:val="none"/>
        </w:rPr>
        <w:t xml:space="preserve">.11不同投标人的投标文件载明的项目管理成员或者联系人员为同一人；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2</w:t>
      </w:r>
      <w:r>
        <w:rPr>
          <w:rFonts w:hint="eastAsia" w:ascii="宋体" w:hAnsi="宋体" w:eastAsia="宋体" w:cs="宋体"/>
          <w:color w:val="auto"/>
          <w:sz w:val="24"/>
          <w:szCs w:val="24"/>
          <w:highlight w:val="none"/>
        </w:rPr>
        <w:t xml:space="preserve">.12不同投标人的投标文件异常一致或者投标报价呈规律性差异；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2</w:t>
      </w:r>
      <w:r>
        <w:rPr>
          <w:rFonts w:hint="eastAsia" w:ascii="宋体" w:hAnsi="宋体" w:eastAsia="宋体" w:cs="宋体"/>
          <w:color w:val="auto"/>
          <w:sz w:val="24"/>
          <w:szCs w:val="24"/>
          <w:highlight w:val="none"/>
        </w:rPr>
        <w:t xml:space="preserve">.13不同投标人的投标文件相互混装；</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2</w:t>
      </w:r>
      <w:r>
        <w:rPr>
          <w:rFonts w:hint="eastAsia" w:ascii="宋体" w:hAnsi="宋体" w:eastAsia="宋体" w:cs="宋体"/>
          <w:color w:val="auto"/>
          <w:sz w:val="24"/>
          <w:szCs w:val="24"/>
          <w:highlight w:val="none"/>
        </w:rPr>
        <w:t xml:space="preserve">.14不同投标人的投标保证金从同一单位或者个人的账户转出。</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cs="宋体"/>
          <w:b/>
          <w:color w:val="auto"/>
          <w:sz w:val="24"/>
          <w:szCs w:val="24"/>
          <w:highlight w:val="none"/>
          <w:lang w:eastAsia="zh"/>
        </w:rPr>
        <w:t xml:space="preserve">3</w:t>
      </w:r>
      <w:r>
        <w:rPr>
          <w:rFonts w:hint="eastAsia" w:ascii="宋体" w:hAnsi="宋体" w:eastAsia="宋体" w:cs="宋体"/>
          <w:b/>
          <w:color w:val="auto"/>
          <w:sz w:val="24"/>
          <w:szCs w:val="24"/>
          <w:highlight w:val="none"/>
        </w:rPr>
        <w:t xml:space="preserve">、</w:t>
      </w:r>
      <w:bookmarkStart w:id="92" w:name="OLE_LINK4"/>
      <w:r>
        <w:rPr>
          <w:rFonts w:hint="eastAsia" w:ascii="宋体" w:hAnsi="宋体" w:eastAsia="宋体" w:cs="宋体"/>
          <w:b/>
          <w:color w:val="auto"/>
          <w:sz w:val="24"/>
          <w:szCs w:val="24"/>
          <w:highlight w:val="none"/>
        </w:rPr>
        <w:t xml:space="preserve">取消中标候选人资格情形</w:t>
      </w:r>
      <w:bookmarkEnd w:id="92"/>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3</w:t>
      </w:r>
      <w:r>
        <w:rPr>
          <w:rFonts w:hint="eastAsia" w:ascii="宋体" w:hAnsi="宋体" w:eastAsia="宋体" w:cs="宋体"/>
          <w:color w:val="auto"/>
          <w:sz w:val="24"/>
          <w:szCs w:val="24"/>
          <w:highlight w:val="none"/>
        </w:rPr>
        <w:t xml:space="preserve">.1提供虚假材料谋取中标的；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3</w:t>
      </w:r>
      <w:r>
        <w:rPr>
          <w:rFonts w:hint="eastAsia" w:ascii="宋体" w:hAnsi="宋体" w:eastAsia="宋体" w:cs="宋体"/>
          <w:color w:val="auto"/>
          <w:sz w:val="24"/>
          <w:szCs w:val="24"/>
          <w:highlight w:val="none"/>
        </w:rPr>
        <w:t xml:space="preserve">.2采取不正当手段诋毁、排挤其他投标人的；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3</w:t>
      </w:r>
      <w:r>
        <w:rPr>
          <w:rFonts w:hint="eastAsia" w:ascii="宋体" w:hAnsi="宋体" w:eastAsia="宋体" w:cs="宋体"/>
          <w:color w:val="auto"/>
          <w:sz w:val="24"/>
          <w:szCs w:val="24"/>
          <w:highlight w:val="none"/>
        </w:rPr>
        <w:t xml:space="preserve">.3与采购人、其他投标人或者采购代理机构恶意串通的；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3</w:t>
      </w:r>
      <w:r>
        <w:rPr>
          <w:rFonts w:hint="eastAsia" w:ascii="宋体" w:hAnsi="宋体" w:eastAsia="宋体" w:cs="宋体"/>
          <w:color w:val="auto"/>
          <w:sz w:val="24"/>
          <w:szCs w:val="24"/>
          <w:highlight w:val="none"/>
        </w:rPr>
        <w:t xml:space="preserve">.4向采购人、采购代理机构行贿或者提供其他不正当利益的；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3</w:t>
      </w:r>
      <w:r>
        <w:rPr>
          <w:rFonts w:hint="eastAsia" w:ascii="宋体" w:hAnsi="宋体" w:eastAsia="宋体" w:cs="宋体"/>
          <w:color w:val="auto"/>
          <w:sz w:val="24"/>
          <w:szCs w:val="24"/>
          <w:highlight w:val="none"/>
        </w:rPr>
        <w:t xml:space="preserve">.5未在规定时间内与采购人签订采购合同的；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3</w:t>
      </w:r>
      <w:r>
        <w:rPr>
          <w:rFonts w:hint="eastAsia" w:ascii="宋体" w:hAnsi="宋体" w:eastAsia="宋体" w:cs="宋体"/>
          <w:color w:val="auto"/>
          <w:sz w:val="24"/>
          <w:szCs w:val="24"/>
          <w:highlight w:val="none"/>
        </w:rPr>
        <w:t xml:space="preserve">.6法律、法规规定的其</w:t>
      </w:r>
      <w:r>
        <w:rPr>
          <w:rFonts w:hint="eastAsia" w:ascii="宋体" w:hAnsi="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rPr>
        <w:t xml:space="preserve">情况。</w:t>
      </w:r>
      <w:bookmarkStart w:id="93" w:name="_Toc81575161"/>
      <w:r/>
      <w:bookmarkStart w:id="94" w:name="_Toc81575198"/>
      <w:r/>
      <w:bookmarkStart w:id="95" w:name="_Toc2391"/>
      <w:r/>
      <w:bookmarkStart w:id="96" w:name="_Toc6494"/>
      <w:r/>
      <w:r/>
    </w:p>
    <w:p>
      <w:pPr>
        <w:ind w:left="0" w:right="0" w:firstLine="321"/>
        <w:pageBreakBefore w:val="0"/>
        <w:spacing w:beforeAutospacing="0" w:afterAutospacing="0" w:line="440" w:lineRule="exact"/>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七、中标及合同签订</w:t>
      </w:r>
      <w:bookmarkEnd w:id="93"/>
      <w:r/>
      <w:bookmarkEnd w:id="94"/>
      <w:r/>
      <w:bookmarkEnd w:id="95"/>
      <w:r/>
      <w:bookmarkEnd w:id="96"/>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cs="宋体"/>
          <w:b/>
          <w:color w:val="auto"/>
          <w:sz w:val="24"/>
          <w:szCs w:val="24"/>
          <w:highlight w:val="none"/>
          <w:lang w:eastAsia="zh"/>
        </w:rPr>
        <w:t xml:space="preserve">4</w:t>
      </w:r>
      <w:r>
        <w:rPr>
          <w:rFonts w:hint="eastAsia" w:ascii="宋体" w:hAnsi="宋体" w:eastAsia="宋体" w:cs="宋体"/>
          <w:b/>
          <w:color w:val="auto"/>
          <w:sz w:val="24"/>
          <w:szCs w:val="24"/>
          <w:highlight w:val="none"/>
        </w:rPr>
        <w:t xml:space="preserve">、确定中标人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4</w:t>
      </w:r>
      <w:r>
        <w:rPr>
          <w:rFonts w:hint="eastAsia" w:ascii="宋体" w:hAnsi="宋体" w:eastAsia="宋体" w:cs="宋体"/>
          <w:color w:val="auto"/>
          <w:sz w:val="24"/>
          <w:szCs w:val="24"/>
          <w:highlight w:val="none"/>
        </w:rPr>
        <w:t xml:space="preserve">.1采购人应当自收到评审报告之日起5个工作日内在评审报告推荐的中标候选人中按顺序确定中标人。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4</w:t>
      </w:r>
      <w:r>
        <w:rPr>
          <w:rFonts w:hint="eastAsia" w:ascii="宋体" w:hAnsi="宋体" w:eastAsia="宋体" w:cs="宋体"/>
          <w:color w:val="auto"/>
          <w:sz w:val="24"/>
          <w:szCs w:val="24"/>
          <w:highlight w:val="none"/>
        </w:rPr>
        <w:t xml:space="preserve">.2中标人确定之日起2个工作日内，采购人、采购代理机构将发布中标结果，中标公告的公告期限为1个工作日。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4</w:t>
      </w:r>
      <w:r>
        <w:rPr>
          <w:rFonts w:hint="eastAsia" w:ascii="宋体" w:hAnsi="宋体" w:eastAsia="宋体" w:cs="宋体"/>
          <w:color w:val="auto"/>
          <w:sz w:val="24"/>
          <w:szCs w:val="24"/>
          <w:highlight w:val="none"/>
        </w:rPr>
        <w:t xml:space="preserve">.3采购人确定正被列为失信被执行人的投标人为中标人的，中标结果无效。</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cs="宋体"/>
          <w:b/>
          <w:color w:val="auto"/>
          <w:sz w:val="24"/>
          <w:szCs w:val="24"/>
          <w:highlight w:val="none"/>
          <w:lang w:eastAsia="zh"/>
        </w:rPr>
        <w:t xml:space="preserve">5</w:t>
      </w:r>
      <w:r>
        <w:rPr>
          <w:rFonts w:hint="eastAsia" w:ascii="宋体" w:hAnsi="宋体" w:eastAsia="宋体" w:cs="宋体"/>
          <w:b/>
          <w:color w:val="auto"/>
          <w:sz w:val="24"/>
          <w:szCs w:val="24"/>
          <w:highlight w:val="none"/>
        </w:rPr>
        <w:t xml:space="preserve">、中标通知书</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5</w:t>
      </w:r>
      <w:r>
        <w:rPr>
          <w:rFonts w:hint="eastAsia" w:ascii="宋体" w:hAnsi="宋体" w:eastAsia="宋体" w:cs="宋体"/>
          <w:color w:val="auto"/>
          <w:sz w:val="24"/>
          <w:szCs w:val="24"/>
          <w:highlight w:val="none"/>
        </w:rPr>
        <w:t xml:space="preserve">.1在公告中标结果的同时，采购代理机构将向中标人发出中标通知书。中标人使用CA数字证书登录“苏采云”系统及时下载中标通知书。</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5</w:t>
      </w:r>
      <w:r>
        <w:rPr>
          <w:rFonts w:hint="eastAsia" w:ascii="宋体" w:hAnsi="宋体" w:eastAsia="宋体" w:cs="宋体"/>
          <w:color w:val="auto"/>
          <w:sz w:val="24"/>
          <w:szCs w:val="24"/>
          <w:highlight w:val="none"/>
        </w:rPr>
        <w:t xml:space="preserve">.2中标通知书发出后，采购人改变中标结果的，或者中标人放弃中标项目的，应当依法承担法律责任。</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5</w:t>
      </w:r>
      <w:r>
        <w:rPr>
          <w:rFonts w:hint="eastAsia" w:ascii="宋体" w:hAnsi="宋体" w:eastAsia="宋体" w:cs="宋体"/>
          <w:color w:val="auto"/>
          <w:sz w:val="24"/>
          <w:szCs w:val="24"/>
          <w:highlight w:val="none"/>
        </w:rPr>
        <w:t xml:space="preserve">.3采用综合评分法评审的，未中标人可于中标结果公告期限届满之日起通过“苏采云”系统查看</w:t>
      </w:r>
      <w:bookmarkStart w:id="97" w:name="OLE_LINK5"/>
      <w:r>
        <w:rPr>
          <w:rFonts w:hint="eastAsia" w:ascii="宋体" w:hAnsi="宋体" w:eastAsia="宋体" w:cs="宋体"/>
          <w:color w:val="auto"/>
          <w:sz w:val="24"/>
          <w:szCs w:val="24"/>
          <w:highlight w:val="none"/>
        </w:rPr>
        <w:t xml:space="preserve">自己的评审得分及排序情况。</w:t>
      </w:r>
      <w:bookmarkEnd w:id="97"/>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cs="宋体"/>
          <w:b/>
          <w:color w:val="auto"/>
          <w:sz w:val="24"/>
          <w:szCs w:val="24"/>
          <w:highlight w:val="none"/>
          <w:lang w:eastAsia="zh"/>
        </w:rPr>
        <w:t xml:space="preserve">6</w:t>
      </w:r>
      <w:r>
        <w:rPr>
          <w:rFonts w:hint="eastAsia" w:ascii="宋体" w:hAnsi="宋体" w:eastAsia="宋体" w:cs="宋体"/>
          <w:b/>
          <w:color w:val="auto"/>
          <w:sz w:val="24"/>
          <w:szCs w:val="24"/>
          <w:highlight w:val="none"/>
        </w:rPr>
        <w:t xml:space="preserve">、授予合同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6</w:t>
      </w:r>
      <w:r>
        <w:rPr>
          <w:rFonts w:hint="eastAsia" w:ascii="宋体" w:hAnsi="宋体" w:eastAsia="宋体" w:cs="宋体"/>
          <w:color w:val="auto"/>
          <w:sz w:val="24"/>
          <w:szCs w:val="24"/>
          <w:highlight w:val="none"/>
        </w:rPr>
        <w:t xml:space="preserve">.1采购人与中标人应当在中标通知书发出之日起15日内签订政府采购合同。招标文件、中标人的投标文件以及评标过程中有关澄清文件均作为合同附件。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6</w:t>
      </w:r>
      <w:r>
        <w:rPr>
          <w:rFonts w:hint="eastAsia" w:ascii="宋体" w:hAnsi="宋体" w:eastAsia="宋体" w:cs="宋体"/>
          <w:color w:val="auto"/>
          <w:sz w:val="24"/>
          <w:szCs w:val="24"/>
          <w:highlight w:val="none"/>
        </w:rPr>
        <w:t xml:space="preserve">.2采购人在自合同签订之日起2个工作日内，将合同在指定的媒体上公告。</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种方式确定：</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医疗产品</w:t>
      </w:r>
      <w:r>
        <w:rPr>
          <w:rFonts w:hint="eastAsia" w:ascii="宋体" w:hAnsi="宋体" w:cs="宋体"/>
          <w:color w:val="auto"/>
          <w:sz w:val="24"/>
          <w:szCs w:val="24"/>
          <w:highlight w:val="none"/>
          <w:u w:val="single"/>
          <w:lang w:val="en-US" w:eastAsia="zh-CN"/>
        </w:rPr>
        <w:t xml:space="preserve">类</w:t>
      </w:r>
      <w:r>
        <w:rPr>
          <w:rFonts w:hint="eastAsia" w:ascii="宋体" w:hAnsi="宋体" w:eastAsia="宋体" w:cs="宋体"/>
          <w:color w:val="auto"/>
          <w:sz w:val="24"/>
          <w:szCs w:val="24"/>
          <w:highlight w:val="none"/>
          <w:u w:val="single"/>
        </w:rPr>
        <w:t xml:space="preserve">、装修类</w:t>
      </w:r>
      <w:r>
        <w:rPr>
          <w:rFonts w:hint="eastAsia" w:ascii="宋体" w:hAnsi="宋体" w:eastAsia="宋体" w:cs="宋体"/>
          <w:color w:val="auto"/>
          <w:sz w:val="24"/>
          <w:szCs w:val="24"/>
          <w:highlight w:val="none"/>
        </w:rPr>
        <w:t xml:space="preserve">。</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分包企业要求：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1.1医疗产品类分包要求：产品如果属于医疗器械注册范畴的，须根据投标产品的类别，提供《医疗器械经营企业许可证》或者《医疗器械经营备案凭证》（复印件）；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1.2装修类分包要求：具有建筑装修装饰工程专业承包二级</w:t>
      </w:r>
      <w:r>
        <w:rPr>
          <w:rFonts w:hint="eastAsia" w:ascii="宋体" w:hAnsi="宋体" w:eastAsia="宋体" w:cs="宋体"/>
          <w:color w:val="ff0000"/>
          <w:sz w:val="24"/>
          <w:szCs w:val="24"/>
          <w:highlight w:val="none"/>
        </w:rPr>
        <w:t xml:space="preserve">及以上</w:t>
      </w:r>
      <w:r>
        <w:rPr>
          <w:rFonts w:hint="eastAsia" w:ascii="宋体" w:hAnsi="宋体" w:eastAsia="宋体" w:cs="宋体"/>
          <w:color w:val="auto"/>
          <w:sz w:val="24"/>
          <w:szCs w:val="24"/>
          <w:highlight w:val="none"/>
        </w:rPr>
        <w:t xml:space="preserve">资质。</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left="0" w:right="0" w:firstLine="480"/>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cs="宋体"/>
          <w:b/>
          <w:color w:val="auto"/>
          <w:sz w:val="24"/>
          <w:szCs w:val="24"/>
          <w:highlight w:val="none"/>
          <w:lang w:eastAsia="zh"/>
        </w:rPr>
        <w:t xml:space="preserve">7</w:t>
      </w:r>
      <w:r>
        <w:rPr>
          <w:rFonts w:hint="eastAsia" w:ascii="宋体" w:hAnsi="宋体" w:eastAsia="宋体" w:cs="宋体"/>
          <w:b/>
          <w:color w:val="auto"/>
          <w:sz w:val="24"/>
          <w:szCs w:val="24"/>
          <w:highlight w:val="none"/>
        </w:rPr>
        <w:t xml:space="preserve">、履约保证金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按照以下第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lang w:val="zh-CN"/>
        </w:rPr>
        <w:t xml:space="preserve">方式确定履约保证</w:t>
      </w:r>
      <w:r>
        <w:rPr>
          <w:rFonts w:hint="eastAsia" w:ascii="宋体" w:hAnsi="宋体" w:eastAsia="宋体" w:cs="宋体"/>
          <w:color w:val="auto"/>
          <w:sz w:val="24"/>
          <w:szCs w:val="24"/>
          <w:highlight w:val="none"/>
        </w:rPr>
        <w:t xml:space="preserve">金</w:t>
      </w:r>
      <w:r>
        <w:rPr>
          <w:rFonts w:hint="eastAsia" w:ascii="宋体" w:hAnsi="宋体" w:eastAsia="宋体" w:cs="宋体"/>
          <w:color w:val="auto"/>
          <w:sz w:val="24"/>
          <w:szCs w:val="24"/>
          <w:highlight w:val="none"/>
          <w:lang w:val="zh-CN"/>
        </w:rPr>
        <w:t xml:space="preserve">收取方式。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（1）本项目不收取履约保证金。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（2）本项目收取履约保证金。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.1履约保证金提交形式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履约保证金应在</w:t>
      </w:r>
      <w:r>
        <w:rPr>
          <w:rFonts w:hint="eastAsia" w:ascii="宋体" w:hAnsi="宋体" w:eastAsia="宋体" w:cs="宋体"/>
          <w:color w:val="auto"/>
          <w:sz w:val="24"/>
          <w:szCs w:val="24"/>
          <w:highlight w:val="none"/>
          <w:lang w:val="zh-CN"/>
        </w:rPr>
        <w:t xml:space="preserve">中标结果公告发布后</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个</w:t>
      </w:r>
      <w:r>
        <w:rPr>
          <w:rFonts w:hint="eastAsia" w:ascii="宋体" w:hAnsi="宋体" w:cs="宋体"/>
          <w:color w:val="auto"/>
          <w:sz w:val="24"/>
          <w:szCs w:val="24"/>
          <w:highlight w:val="none"/>
          <w:lang w:val="en-US" w:eastAsia="zh-CN"/>
        </w:rPr>
        <w:t xml:space="preserve">日历天</w:t>
      </w:r>
      <w:r>
        <w:rPr>
          <w:rFonts w:hint="eastAsia" w:ascii="宋体" w:hAnsi="宋体" w:eastAsia="宋体" w:cs="宋体"/>
          <w:color w:val="auto"/>
          <w:sz w:val="24"/>
          <w:szCs w:val="24"/>
          <w:highlight w:val="none"/>
          <w:lang w:val="zh-CN"/>
        </w:rPr>
        <w:t xml:space="preserve">内提交</w:t>
      </w:r>
      <w:r>
        <w:rPr>
          <w:rFonts w:hint="eastAsia" w:ascii="宋体" w:hAnsi="宋体" w:eastAsia="宋体" w:cs="宋体"/>
          <w:color w:val="auto"/>
          <w:sz w:val="24"/>
          <w:szCs w:val="24"/>
          <w:highlight w:val="none"/>
        </w:rPr>
        <w:t xml:space="preserve">，除银行电汇、网上银行、数字人民币外，投标人还可选用银行保函、担保公司的保证担保或保险公司的保证保险等多种形式向采购人缴纳。</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.2履约保证金提交金额</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按采购合同总价的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%提交。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支持和鼓励投标人使用江苏政府采购电子履约保函（保险）代替缴纳履约保证金，投标人如使用江苏政府采购电子履约保函（保险）的，可按采购合同总价的 </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%（履约保证金原提交金额的6折）提交。办理流程、偿付等内容见江苏政府采购网“保险保函”模块。</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.3履约保证金退还方式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.4履约保证金退还条件</w:t>
      </w:r>
      <w:r/>
    </w:p>
    <w:p>
      <w:pPr>
        <w:ind w:left="479"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货物类项目，项目验收合格，出具验收报告及履约保证金收据申请退付；2</w:t>
      </w: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.5履约保证金退还时间</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采购人收到投标人退付申请后5个工作日内退还。</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.6履约保证金不予退还情形</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除不可抗力外，中标人不履行与采购人订立的采购合同的，履约保证金不予退还，给采购人造成的损失超过履约保证金数额的，还应对超过部分予以赔偿。</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.7逾期退还履约保证金违约责任</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7</w:t>
      </w:r>
      <w:r>
        <w:rPr>
          <w:rFonts w:hint="eastAsia" w:ascii="宋体" w:hAnsi="宋体" w:eastAsia="宋体" w:cs="宋体"/>
          <w:color w:val="auto"/>
          <w:sz w:val="24"/>
          <w:szCs w:val="24"/>
          <w:highlight w:val="none"/>
        </w:rPr>
        <w:t xml:space="preserve">.8如中标人未在规定时间内缴纳履约保证金，视为虚假承诺，采购人有权报请财政部门进行处理。</w:t>
      </w:r>
      <w:r/>
    </w:p>
    <w:p>
      <w:pPr>
        <w:ind w:left="0" w:right="0" w:firstLine="482"/>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cs="宋体"/>
          <w:b/>
          <w:color w:val="auto"/>
          <w:sz w:val="24"/>
          <w:szCs w:val="24"/>
          <w:highlight w:val="none"/>
          <w:lang w:eastAsia="zh"/>
        </w:rPr>
        <w:t xml:space="preserve">8</w:t>
      </w:r>
      <w:r>
        <w:rPr>
          <w:rFonts w:hint="eastAsia" w:ascii="宋体" w:hAnsi="宋体" w:eastAsia="宋体" w:cs="宋体"/>
          <w:b/>
          <w:color w:val="auto"/>
          <w:sz w:val="24"/>
          <w:szCs w:val="24"/>
          <w:highlight w:val="none"/>
        </w:rPr>
        <w:t xml:space="preserve">、政府采购履约资金扶持政策</w:t>
      </w:r>
      <w:r/>
    </w:p>
    <w:p>
      <w:pPr>
        <w:ind w:left="0" w:right="0" w:firstLine="482"/>
        <w:pageBreakBefore w:val="0"/>
        <w:spacing w:beforeAutospacing="0" w:afterAutospacing="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江苏省财政厅、中国人民银行南京分行《关于深入推进政府采购线上合同信用融资工作的通知》（苏财购〔2021〕82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left="0" w:right="0" w:firstLine="482"/>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cs="宋体"/>
          <w:b/>
          <w:color w:val="auto"/>
          <w:sz w:val="24"/>
          <w:szCs w:val="24"/>
          <w:highlight w:val="none"/>
          <w:lang w:eastAsia="zh"/>
        </w:rPr>
        <w:t xml:space="preserve">9</w:t>
      </w:r>
      <w:r>
        <w:rPr>
          <w:rFonts w:hint="eastAsia" w:ascii="宋体" w:hAnsi="宋体" w:eastAsia="宋体" w:cs="宋体"/>
          <w:b/>
          <w:color w:val="auto"/>
          <w:sz w:val="24"/>
          <w:szCs w:val="24"/>
          <w:highlight w:val="none"/>
        </w:rPr>
        <w:t xml:space="preserve">、合同履行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9</w:t>
      </w:r>
      <w:r>
        <w:rPr>
          <w:rFonts w:hint="eastAsia" w:ascii="宋体" w:hAnsi="宋体" w:eastAsia="宋体" w:cs="宋体"/>
          <w:color w:val="auto"/>
          <w:sz w:val="24"/>
          <w:szCs w:val="24"/>
          <w:highlight w:val="none"/>
        </w:rPr>
        <w:t xml:space="preserve">.1政府采购合同订立后，合同各方不得擅自变更、中止或者终止合同。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
        </w:rPr>
        <w:t xml:space="preserve">9</w:t>
      </w:r>
      <w:r>
        <w:rPr>
          <w:rFonts w:hint="eastAsia" w:ascii="宋体" w:hAnsi="宋体" w:eastAsia="宋体" w:cs="宋体"/>
          <w:color w:val="auto"/>
          <w:sz w:val="24"/>
          <w:szCs w:val="24"/>
          <w:highlight w:val="none"/>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pStyle w:val="944"/>
        <w:ind w:left="0" w:right="0" w:firstLine="482"/>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98" w:name="_Toc81575162"/>
      <w:r/>
      <w:bookmarkStart w:id="99" w:name="_Toc7550"/>
      <w:r/>
      <w:bookmarkStart w:id="100" w:name="_Toc81575199"/>
      <w:r/>
      <w:bookmarkStart w:id="101" w:name="_Toc22084"/>
      <w:r>
        <w:rPr>
          <w:rFonts w:hint="eastAsia" w:ascii="宋体" w:hAnsi="宋体" w:eastAsia="宋体" w:cs="宋体"/>
          <w:bCs/>
          <w:color w:val="auto"/>
          <w:sz w:val="24"/>
          <w:szCs w:val="24"/>
          <w:highlight w:val="none"/>
        </w:rPr>
        <w:t xml:space="preserve">八、</w:t>
      </w:r>
      <w:bookmarkEnd w:id="98"/>
      <w:r/>
      <w:bookmarkEnd w:id="99"/>
      <w:r/>
      <w:bookmarkEnd w:id="100"/>
      <w:r/>
      <w:bookmarkEnd w:id="101"/>
      <w:r/>
      <w:bookmarkStart w:id="102" w:name="_Toc12263"/>
      <w:r/>
      <w:bookmarkStart w:id="103" w:name="_Toc81575200"/>
      <w:r/>
      <w:bookmarkStart w:id="104" w:name="_Toc81575163"/>
      <w:r/>
      <w:bookmarkStart w:id="105" w:name="_Toc31888"/>
      <w:r>
        <w:rPr>
          <w:rFonts w:hint="eastAsia" w:ascii="宋体" w:hAnsi="宋体" w:eastAsia="宋体" w:cs="宋体"/>
          <w:bCs/>
          <w:color w:val="auto"/>
          <w:sz w:val="24"/>
          <w:szCs w:val="24"/>
          <w:highlight w:val="none"/>
        </w:rPr>
        <w:t xml:space="preserve">质疑与投诉</w:t>
      </w:r>
      <w:bookmarkEnd w:id="102"/>
      <w:r/>
      <w:bookmarkEnd w:id="103"/>
      <w:r/>
      <w:bookmarkEnd w:id="104"/>
      <w:r/>
      <w:bookmarkEnd w:id="105"/>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
        </w:rPr>
        <w:t xml:space="preserve">30</w:t>
      </w:r>
      <w:r>
        <w:rPr>
          <w:rFonts w:hint="eastAsia" w:ascii="宋体" w:hAnsi="宋体" w:eastAsia="宋体" w:cs="宋体"/>
          <w:b/>
          <w:color w:val="auto"/>
          <w:sz w:val="24"/>
          <w:szCs w:val="24"/>
          <w:highlight w:val="none"/>
        </w:rPr>
        <w:t xml:space="preserve">、质疑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30</w:t>
      </w:r>
      <w:r>
        <w:rPr>
          <w:rFonts w:hint="eastAsia" w:ascii="宋体" w:hAnsi="宋体" w:eastAsia="宋体" w:cs="宋体"/>
          <w:color w:val="auto"/>
          <w:sz w:val="24"/>
          <w:szCs w:val="24"/>
          <w:highlight w:val="none"/>
        </w:rPr>
        <w:t xml:space="preserve">.1供应商认为采购文件、采购过程和中标结果使自己的权益受到损害的，可以在知道或者应知其权益受到损害之日起七个工作日内，（具体起算时间见</w:t>
      </w:r>
      <w:r>
        <w:rPr>
          <w:rFonts w:hint="eastAsia" w:ascii="宋体" w:hAnsi="宋体" w:cs="宋体"/>
          <w:color w:val="auto"/>
          <w:sz w:val="24"/>
          <w:szCs w:val="24"/>
          <w:highlight w:val="none"/>
          <w:lang w:eastAsia="zh"/>
        </w:rPr>
        <w:t xml:space="preserve">30</w:t>
      </w:r>
      <w:r>
        <w:rPr>
          <w:rFonts w:hint="eastAsia" w:ascii="宋体" w:hAnsi="宋体" w:eastAsia="宋体" w:cs="宋体"/>
          <w:color w:val="auto"/>
          <w:sz w:val="24"/>
          <w:szCs w:val="24"/>
          <w:highlight w:val="none"/>
        </w:rPr>
        <w:t xml:space="preserve">.2），以书面形式向采购人或者其委托的采购代理机构提出质疑。质疑超出采购机构代理范围的，投标人应当向采购人提出。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本项目接收质疑函的方式：现场接收或邮寄接收。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联系部门：</w:t>
      </w:r>
      <w:r>
        <w:rPr>
          <w:rFonts w:hint="eastAsia" w:ascii="宋体" w:hAnsi="宋体" w:cs="宋体"/>
          <w:color w:val="auto"/>
          <w:sz w:val="24"/>
          <w:szCs w:val="24"/>
          <w:highlight w:val="none"/>
          <w:lang w:eastAsia="zh-CN"/>
        </w:rPr>
        <w:t xml:space="preserve">泗洪姜堰实验学校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泗洪县公共资源交易中心</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联系电话：15996758631  </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通讯地址：泗洪县青阳镇古徐大道</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30</w:t>
      </w:r>
      <w:r>
        <w:rPr>
          <w:rFonts w:hint="eastAsia" w:ascii="宋体" w:hAnsi="宋体" w:eastAsia="宋体" w:cs="宋体"/>
          <w:color w:val="auto"/>
          <w:sz w:val="24"/>
          <w:szCs w:val="24"/>
          <w:highlight w:val="none"/>
        </w:rPr>
        <w:t xml:space="preserve">.2供应商应知其权益受到损害之日，是指：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（1）对本项目采购文件提出质疑的，为获取采购文件之日或者采购文件公告期限届满之日；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（2）对本项目采购过程提出质疑的，为各采购程序环节结束之日；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（3）对本项目中标结果提出质疑的，为中标结果公告期限届满之日。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30</w:t>
      </w:r>
      <w:r>
        <w:rPr>
          <w:rFonts w:hint="eastAsia" w:ascii="宋体" w:hAnsi="宋体" w:eastAsia="宋体" w:cs="宋体"/>
          <w:color w:val="auto"/>
          <w:sz w:val="24"/>
          <w:szCs w:val="24"/>
          <w:highlight w:val="none"/>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30</w:t>
      </w:r>
      <w:r>
        <w:rPr>
          <w:rFonts w:hint="eastAsia" w:ascii="宋体" w:hAnsi="宋体" w:eastAsia="宋体" w:cs="宋体"/>
          <w:color w:val="auto"/>
          <w:sz w:val="24"/>
          <w:szCs w:val="24"/>
          <w:highlight w:val="none"/>
        </w:rPr>
        <w:t xml:space="preserve">.4供应商提出质疑应当提交质疑函和必要的证明材料。质疑函的必备内容：</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（3）获取采购文件的时间；</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（4）具体、明确的质疑事项和质疑事项相关的请求；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（5）事实依据；</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（6）必要的法律依据；</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（7）提出质疑的日期；</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（8）供应商为自然人的，由本人签字；供应商为法人或者其他组织的，应当由法定代表人、主要负责人，或者其授权代表签字或者盖章，并加盖公章；</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
        </w:rPr>
        <w:t xml:space="preserve">30</w:t>
      </w:r>
      <w:r>
        <w:rPr>
          <w:rFonts w:hint="eastAsia" w:ascii="宋体" w:hAnsi="宋体" w:eastAsia="宋体" w:cs="宋体"/>
          <w:color w:val="auto"/>
          <w:sz w:val="24"/>
          <w:szCs w:val="24"/>
          <w:highlight w:val="none"/>
        </w:rPr>
        <w:t xml:space="preserve">.5采购人在收到质疑函后7个工作日内作出答复，并以书面形式通知质疑供应商和其他有关供应商，但质疑答复的内容不涉及商业秘密。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cs="宋体"/>
          <w:b/>
          <w:color w:val="auto"/>
          <w:sz w:val="24"/>
          <w:szCs w:val="24"/>
          <w:highlight w:val="none"/>
          <w:lang w:eastAsia="zh"/>
        </w:rPr>
        <w:t xml:space="preserve">1</w:t>
      </w:r>
      <w:r>
        <w:rPr>
          <w:rFonts w:hint="eastAsia" w:ascii="宋体" w:hAnsi="宋体" w:eastAsia="宋体" w:cs="宋体"/>
          <w:b/>
          <w:color w:val="auto"/>
          <w:sz w:val="24"/>
          <w:szCs w:val="24"/>
          <w:highlight w:val="none"/>
        </w:rPr>
        <w:t xml:space="preserve">、投诉</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质疑供应商对答复不满意或采购人未在规定时间内作出答复的，可在答复期满后15个工作日内向同级财政部门提起投诉。</w:t>
      </w:r>
      <w:r/>
    </w:p>
    <w:p>
      <w:pPr>
        <w:pStyle w:val="888"/>
        <w:ind w:left="0" w:right="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br w:type="page" w:clear="all"/>
      </w:r>
      <w:r/>
    </w:p>
    <w:p>
      <w:pPr>
        <w:pStyle w:val="888"/>
        <w:ind w:left="0" w:right="0"/>
        <w:jc w:val="center"/>
        <w:keepLines/>
        <w:keepNext/>
        <w:pageBreakBefore/>
        <w:spacing w:before="0" w:beforeAutospacing="0" w:after="0" w:afterAutospacing="0" w:line="440" w:lineRule="exact"/>
        <w:rPr>
          <w:rFonts w:hint="eastAsia" w:ascii="宋体" w:hAnsi="宋体" w:eastAsia="宋体" w:cs="宋体"/>
          <w:b/>
          <w:bCs/>
          <w:color w:val="auto"/>
          <w:sz w:val="36"/>
          <w:szCs w:val="36"/>
          <w:highlight w:val="none"/>
          <w:lang w:val="en-US" w:eastAsia="zh-CN"/>
        </w:rPr>
        <w:outlineLvl w:val="0"/>
      </w:pPr>
      <w:r/>
      <w:bookmarkStart w:id="106" w:name="_Toc81575201"/>
      <w:r/>
      <w:bookmarkStart w:id="107" w:name="_Toc6455"/>
      <w:r/>
      <w:bookmarkStart w:id="108" w:name="_Toc81575164"/>
      <w:r>
        <w:rPr>
          <w:rFonts w:hint="eastAsia" w:ascii="宋体" w:hAnsi="宋体" w:eastAsia="宋体" w:cs="宋体"/>
          <w:b/>
          <w:bCs/>
          <w:color w:val="auto"/>
          <w:sz w:val="36"/>
          <w:szCs w:val="36"/>
          <w:highlight w:val="none"/>
          <w:lang w:val="en-US" w:eastAsia="zh-CN"/>
        </w:rPr>
        <w:t xml:space="preserve">第三部分  资格审查及评标办法</w:t>
      </w:r>
      <w:bookmarkEnd w:id="106"/>
      <w:r/>
      <w:bookmarkEnd w:id="107"/>
      <w:r/>
      <w:bookmarkEnd w:id="108"/>
      <w:r/>
      <w:r/>
    </w:p>
    <w:p>
      <w:pPr>
        <w:pStyle w:val="888"/>
        <w:ind w:left="0" w:right="0" w:firstLine="643"/>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一、资格审查</w:t>
      </w:r>
      <w:r/>
    </w:p>
    <w:p>
      <w:pPr>
        <w:pStyle w:val="888"/>
        <w:ind w:left="0" w:right="0" w:firstLine="42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资格审查人员按照下列指标对各投标人的资格进行审查，未通过审查的为无效标，不参与评标。</w:t>
      </w:r>
      <w:r/>
    </w:p>
    <w:tbl>
      <w:tblPr>
        <w:tblStyle w:val="701"/>
        <w:tblW w:w="9213"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jc w:val="center"/>
              <w:spacing w:beforeAutospacing="0" w:afterAutospacing="0" w:line="440" w:lineRule="exact"/>
              <w:rPr>
                <w:rFonts w:hint="eastAsia" w:ascii="宋体" w:hAnsi="宋体" w:eastAsia="宋体" w:cs="宋体"/>
                <w:b/>
                <w:bCs/>
                <w:color w:val="auto"/>
                <w:sz w:val="24"/>
                <w:szCs w:val="24"/>
                <w:highlight w:val="none"/>
              </w:rPr>
            </w:pPr>
            <w:r/>
            <w:bookmarkStart w:id="109" w:name="EB9af8278fd1df4f8591f0fad951f64ddb"/>
            <w:r>
              <w:rPr>
                <w:rFonts w:hint="eastAsia" w:ascii="宋体" w:hAnsi="宋体" w:eastAsia="宋体" w:cs="宋体"/>
                <w:b/>
                <w:bCs/>
                <w:color w:val="auto"/>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jc w:val="center"/>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审查标准</w:t>
            </w:r>
            <w:r/>
          </w:p>
        </w:tc>
      </w:tr>
      <w:tr>
        <w:trPr>
          <w:trHeight w:val="355"/>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p>
        </w:tc>
        <w:tc>
          <w:tcPr>
            <w:shd w:val="clear" w:color="auto" w:fill="auto"/>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信用信息</w:t>
            </w:r>
            <w:bookmarkEnd w:id="109"/>
            <w:r/>
            <w:r/>
          </w:p>
        </w:tc>
        <w:tc>
          <w:tcPr>
            <w:shd w:val="clear" w:color="auto" w:fill="auto"/>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本项目不接受联合体</w:t>
            </w:r>
            <w:r/>
          </w:p>
        </w:tc>
      </w:tr>
    </w:tbl>
    <w:p>
      <w:pPr>
        <w:pStyle w:val="888"/>
        <w:ind w:left="0" w:right="0" w:firstLine="643"/>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二、评分办法—综合评分法</w:t>
      </w:r>
      <w:r/>
    </w:p>
    <w:p>
      <w:pPr>
        <w:pStyle w:val="888"/>
        <w:ind w:left="0" w:right="0" w:firstLine="482"/>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1、评标办法：</w:t>
      </w:r>
      <w:r>
        <w:rPr>
          <w:rFonts w:hint="eastAsia" w:ascii="宋体" w:hAnsi="宋体" w:eastAsia="宋体" w:cs="宋体"/>
          <w:color w:val="auto"/>
          <w:sz w:val="24"/>
          <w:szCs w:val="24"/>
          <w:highlight w:val="none"/>
          <w:shd w:val="clear" w:color="auto" w:fill="ffffff"/>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888"/>
        <w:ind w:left="0" w:right="0" w:firstLine="4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评标委员会根据评审后投标人排序推荐中标候选人。投标文件满足招标文件全部实质性要求，且评审后排序第一的投标人为第一中标候选人，依次类推。</w:t>
      </w:r>
      <w:r/>
    </w:p>
    <w:p>
      <w:pPr>
        <w:pStyle w:val="888"/>
        <w:ind w:left="0" w:right="0" w:firstLine="4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综合评分保留至小数点后两位。 </w:t>
      </w:r>
      <w:r/>
    </w:p>
    <w:p>
      <w:pPr>
        <w:pStyle w:val="888"/>
        <w:ind w:left="0" w:right="0" w:firstLine="482"/>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2、符合性审查。</w:t>
      </w:r>
      <w:r>
        <w:rPr>
          <w:rFonts w:hint="eastAsia" w:ascii="宋体" w:hAnsi="宋体" w:eastAsia="宋体" w:cs="宋体"/>
          <w:color w:val="auto"/>
          <w:sz w:val="24"/>
          <w:szCs w:val="24"/>
          <w:highlight w:val="none"/>
          <w:shd w:val="clear" w:color="auto" w:fill="ffffff"/>
        </w:rPr>
        <w:t xml:space="preserve">评标委员会首先按照下列指标对各投标人的投标文件进行符合性审查，未通过审查的为无效标，不再参与评审。</w:t>
      </w:r>
      <w:r/>
    </w:p>
    <w:tbl>
      <w:tblPr>
        <w:tblStyle w:val="701"/>
        <w:tblW w:w="9213"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649"/>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firstLine="480"/>
              <w:jc w:val="center"/>
              <w:spacing w:beforeAutospacing="0" w:afterAutospacing="0" w:line="440" w:lineRule="exact"/>
              <w:rPr>
                <w:rFonts w:hint="eastAsia" w:ascii="宋体" w:hAnsi="宋体" w:eastAsia="宋体" w:cs="宋体"/>
                <w:b/>
                <w:bCs/>
                <w:color w:val="auto"/>
                <w:sz w:val="24"/>
                <w:szCs w:val="24"/>
                <w:highlight w:val="none"/>
              </w:rPr>
            </w:pPr>
            <w:r/>
            <w:bookmarkStart w:id="110" w:name="EB75d0996a6f1d4348a21f8c3293010436"/>
            <w:r>
              <w:rPr>
                <w:rFonts w:hint="eastAsia" w:ascii="宋体" w:hAnsi="宋体" w:eastAsia="宋体" w:cs="宋体"/>
                <w:b/>
                <w:bCs/>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firstLine="480"/>
              <w:jc w:val="center"/>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left"/>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开标一览表及报价</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jc w:val="left"/>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bookmarkEnd w:id="110"/>
            <w:r/>
            <w:r/>
          </w:p>
        </w:tc>
      </w:tr>
    </w:tbl>
    <w:p>
      <w:pPr>
        <w:pStyle w:val="888"/>
        <w:ind w:left="0" w:right="0" w:firstLine="482"/>
        <w:spacing w:before="0" w:beforeAutospacing="0" w:after="0" w:afterAutospacing="0" w:line="440" w:lineRule="exact"/>
        <w:rPr>
          <w:rFonts w:hint="eastAsia" w:ascii="宋体" w:hAnsi="宋体" w:eastAsia="宋体" w:cs="宋体"/>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lang w:val="en-US" w:eastAsia="zh-CN"/>
        </w:rPr>
        <w:t xml:space="preserve">3、</w:t>
      </w:r>
      <w:r>
        <w:rPr>
          <w:rFonts w:hint="eastAsia" w:ascii="宋体" w:hAnsi="宋体" w:eastAsia="宋体" w:cs="宋体"/>
          <w:b/>
          <w:bCs/>
          <w:color w:val="auto"/>
          <w:sz w:val="24"/>
          <w:szCs w:val="24"/>
          <w:highlight w:val="none"/>
          <w:shd w:val="clear" w:color="auto" w:fill="ffffff"/>
        </w:rPr>
        <w:t xml:space="preserve">详细评审。</w:t>
      </w:r>
      <w:r>
        <w:rPr>
          <w:rFonts w:hint="eastAsia" w:ascii="宋体" w:hAnsi="宋体" w:eastAsia="宋体" w:cs="宋体"/>
          <w:color w:val="auto"/>
          <w:sz w:val="24"/>
          <w:szCs w:val="24"/>
          <w:highlight w:val="none"/>
          <w:shd w:val="clear" w:color="auto" w:fill="ffffff"/>
        </w:rPr>
        <w:t xml:space="preserve">评标委员会按照招标文件规定的评分标准，对各投标文件进行详细评审打分。评标委员会组长对各评审专家的打分情况进行复核无误后汇总，形成评审报告。</w:t>
      </w:r>
      <w:r/>
    </w:p>
    <w:p>
      <w:pPr>
        <w:pStyle w:val="888"/>
        <w:ind w:left="0" w:right="0" w:firstLine="482"/>
        <w:spacing w:before="0" w:beforeAutospacing="0" w:after="0" w:afterAutospacing="0" w:line="440" w:lineRule="exact"/>
        <w:rPr>
          <w:rFonts w:hint="default" w:ascii="宋体" w:hAnsi="宋体" w:eastAsia="宋体" w:cs="宋体"/>
          <w:b/>
          <w:bCs/>
          <w:color w:val="auto"/>
          <w:sz w:val="24"/>
          <w:szCs w:val="24"/>
          <w:highlight w:val="none"/>
          <w:shd w:val="clear" w:color="auto" w:fill="ffffff"/>
          <w:lang w:val="en-US" w:eastAsia="zh-CN"/>
        </w:rPr>
      </w:pPr>
      <w:r>
        <w:rPr>
          <w:rFonts w:hint="eastAsia" w:ascii="宋体" w:hAnsi="宋体" w:cs="宋体"/>
          <w:b/>
          <w:bCs/>
          <w:color w:val="auto"/>
          <w:sz w:val="24"/>
          <w:szCs w:val="24"/>
          <w:highlight w:val="none"/>
          <w:shd w:val="clear" w:color="auto" w:fill="ffffff"/>
          <w:lang w:val="en-US" w:eastAsia="zh-CN"/>
        </w:rPr>
        <w:t xml:space="preserve">采购包1：</w:t>
      </w:r>
      <w:r/>
    </w:p>
    <w:tbl>
      <w:tblPr>
        <w:tblStyle w:val="701"/>
        <w:tblW w:w="8950"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3"/>
        <w:gridCol w:w="1325"/>
        <w:gridCol w:w="1223"/>
        <w:gridCol w:w="5439"/>
      </w:tblGrid>
      <w:tr>
        <w:trPr>
          <w:trHeight w:val="510"/>
        </w:trPr>
        <w:tc>
          <w:tcPr>
            <w:gridSpan w:val="2"/>
            <w:tcW w:w="2288"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1223"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分数</w:t>
            </w:r>
            <w:r/>
          </w:p>
        </w:tc>
        <w:tc>
          <w:tcPr>
            <w:tcW w:w="5439"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trHeight w:val="23"/>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价格分采用低价优先法，即满足招标文件要求且投标价格最低的投标报价为评标基准价，其价格为满分</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分，其他投标人的价格分别按照下列公式计算：投标报价得分=（评标基准价/投标报价）×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，小数点保留2位。</w:t>
            </w:r>
            <w:r/>
          </w:p>
        </w:tc>
      </w:tr>
      <w:tr>
        <w:trPr>
          <w:trHeight w:val="23"/>
        </w:trPr>
        <w:tc>
          <w:tcPr>
            <w:tcW w:w="963"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1" w:name="OLE_LINK30"/>
            <w:r>
              <w:rPr>
                <w:rFonts w:hint="eastAsia" w:ascii="宋体" w:hAnsi="宋体" w:eastAsia="宋体" w:cs="宋体"/>
                <w:color w:val="auto"/>
                <w:sz w:val="24"/>
                <w:szCs w:val="24"/>
                <w:highlight w:val="none"/>
              </w:rPr>
              <w:t xml:space="preserve">技术响应</w:t>
            </w:r>
            <w:bookmarkEnd w:id="111"/>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w:t>
            </w:r>
            <w:r/>
          </w:p>
        </w:tc>
        <w:tc>
          <w:tcPr>
            <w:tcW w:w="1223" w:type="dxa"/>
            <w:vAlign w:val="center"/>
            <w:textDirection w:val="lrTb"/>
            <w:noWrap w:val="false"/>
          </w:tcPr>
          <w:p>
            <w:pPr>
              <w:ind w:left="0" w:right="0" w:firstLine="480"/>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针对招标文件“第四部分、采购需求”中的“三、</w:t>
            </w:r>
            <w:r>
              <w:rPr>
                <w:rFonts w:hint="eastAsia" w:ascii="宋体" w:hAnsi="宋体" w:cs="宋体"/>
                <w:color w:val="auto"/>
                <w:sz w:val="24"/>
                <w:szCs w:val="24"/>
                <w:highlight w:val="none"/>
                <w:lang w:val="en-US" w:eastAsia="zh-CN"/>
              </w:rPr>
              <w:t xml:space="preserve">采购清单及</w:t>
            </w:r>
            <w:r>
              <w:rPr>
                <w:rFonts w:hint="eastAsia" w:ascii="宋体" w:hAnsi="宋体" w:eastAsia="宋体" w:cs="宋体"/>
                <w:color w:val="auto"/>
                <w:sz w:val="24"/>
                <w:szCs w:val="24"/>
                <w:highlight w:val="none"/>
              </w:rPr>
              <w:t xml:space="preserve">技术参数要求”所列内容进行评分，所投产品技术参数完全满足或优于招标文件技术参数要求的得</w:t>
            </w:r>
            <w:r>
              <w:rPr>
                <w:rFonts w:hint="eastAsia" w:ascii="宋体" w:hAnsi="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w:t>
            </w:r>
            <w:r/>
          </w:p>
          <w:p>
            <w:pPr>
              <w:numPr>
                <w:ilvl w:val="0"/>
                <w:numId w:val="0"/>
              </w:numPr>
              <w:ind w:left="0"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lang w:val="en-US" w:eastAsia="zh-CN"/>
              </w:rPr>
              <w:t xml:space="preserve">条，计</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为重点参数要求，每有一项不满足的扣</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按照要求</w:t>
            </w:r>
            <w:r>
              <w:rPr>
                <w:rFonts w:hint="eastAsia" w:ascii="宋体" w:hAnsi="宋体" w:eastAsia="宋体" w:cs="宋体"/>
                <w:color w:val="auto"/>
                <w:sz w:val="24"/>
                <w:szCs w:val="24"/>
                <w:highlight w:val="none"/>
              </w:rPr>
              <w:t xml:space="preserve">在投标文件《技术响应偏离表》中逐条列出响应及偏离情况</w:t>
            </w:r>
            <w:r>
              <w:rPr>
                <w:rFonts w:hint="eastAsia" w:ascii="宋体" w:hAnsi="宋体" w:eastAsia="宋体" w:cs="宋体"/>
                <w:color w:val="auto"/>
                <w:sz w:val="24"/>
                <w:szCs w:val="24"/>
                <w:highlight w:val="none"/>
                <w:lang w:val="en-US" w:eastAsia="zh-CN"/>
              </w:rPr>
              <w:t xml:space="preserve">并</w:t>
            </w:r>
            <w:r>
              <w:rPr>
                <w:rFonts w:hint="eastAsia" w:ascii="宋体" w:hAnsi="宋体" w:cs="宋体"/>
                <w:color w:val="auto"/>
                <w:sz w:val="24"/>
                <w:szCs w:val="24"/>
                <w:highlight w:val="none"/>
                <w:lang w:val="en-US" w:eastAsia="zh-CN"/>
              </w:rPr>
              <w:t xml:space="preserve">按要求</w:t>
            </w:r>
            <w:r>
              <w:rPr>
                <w:rFonts w:hint="eastAsia" w:ascii="宋体" w:hAnsi="宋体" w:eastAsia="宋体" w:cs="宋体"/>
                <w:color w:val="auto"/>
                <w:sz w:val="24"/>
                <w:szCs w:val="24"/>
                <w:highlight w:val="none"/>
                <w:lang w:eastAsia="zh-CN"/>
              </w:rPr>
              <w:t xml:space="preserve">提供证明材料，否则视为负偏离扣分。</w:t>
            </w:r>
            <w:r/>
          </w:p>
          <w:p>
            <w:pPr>
              <w:numPr>
                <w:ilvl w:val="0"/>
                <w:numId w:val="0"/>
              </w:numPr>
              <w:ind w:left="0" w:right="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其他参数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u w:val="single"/>
                <w:lang w:val="en-US" w:eastAsia="zh-CN"/>
              </w:rPr>
              <w:t xml:space="preserve">700</w:t>
            </w:r>
            <w:r>
              <w:rPr>
                <w:rFonts w:hint="eastAsia" w:ascii="宋体" w:hAnsi="宋体" w:eastAsia="宋体" w:cs="宋体"/>
                <w:color w:val="auto"/>
                <w:sz w:val="24"/>
                <w:szCs w:val="24"/>
                <w:highlight w:val="none"/>
                <w:lang w:val="en-US" w:eastAsia="zh-CN"/>
              </w:rPr>
              <w:t xml:space="preserve">条，计</w:t>
            </w:r>
            <w:r>
              <w:rPr>
                <w:rFonts w:hint="eastAsia" w:ascii="宋体" w:hAnsi="宋体" w:cs="宋体"/>
                <w:color w:val="auto"/>
                <w:sz w:val="24"/>
                <w:szCs w:val="24"/>
                <w:highlight w:val="none"/>
                <w:u w:val="single"/>
                <w:lang w:val="en-US" w:eastAsia="zh-CN"/>
              </w:rPr>
              <w:t xml:space="preserve">42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参数要求，每有一项不满足的扣</w:t>
            </w:r>
            <w:r>
              <w:rPr>
                <w:rFonts w:hint="eastAsia" w:ascii="宋体" w:hAnsi="宋体" w:cs="宋体"/>
                <w:color w:val="auto"/>
                <w:sz w:val="24"/>
                <w:szCs w:val="24"/>
                <w:highlight w:val="none"/>
                <w:u w:val="single"/>
                <w:lang w:val="en-US" w:eastAsia="zh-CN"/>
              </w:rPr>
              <w:t xml:space="preserve">0.06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其他参数</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《技术响应偏离表》中列出响应及偏离情况</w:t>
            </w:r>
            <w:r>
              <w:rPr>
                <w:rFonts w:hint="eastAsia" w:ascii="宋体" w:hAnsi="宋体" w:eastAsia="宋体" w:cs="宋体"/>
                <w:color w:val="auto"/>
                <w:sz w:val="24"/>
                <w:szCs w:val="24"/>
                <w:highlight w:val="none"/>
                <w:lang w:eastAsia="zh-CN"/>
              </w:rPr>
              <w:t xml:space="preserve">为准，</w:t>
            </w:r>
            <w:r>
              <w:rPr>
                <w:rFonts w:hint="eastAsia" w:ascii="宋体" w:hAnsi="宋体" w:eastAsia="宋体" w:cs="宋体"/>
                <w:color w:val="auto"/>
                <w:sz w:val="24"/>
                <w:szCs w:val="24"/>
                <w:highlight w:val="none"/>
              </w:rPr>
              <w:t xml:space="preserve">未对应</w:t>
            </w:r>
            <w:r>
              <w:rPr>
                <w:rFonts w:hint="eastAsia" w:ascii="宋体" w:hAnsi="宋体" w:eastAsia="宋体" w:cs="宋体"/>
                <w:color w:val="auto"/>
                <w:sz w:val="24"/>
                <w:szCs w:val="24"/>
                <w:highlight w:val="none"/>
                <w:lang w:val="en-US" w:eastAsia="zh-CN"/>
              </w:rPr>
              <w:t xml:space="preserve">列出</w:t>
            </w:r>
            <w:r>
              <w:rPr>
                <w:rFonts w:hint="eastAsia" w:ascii="宋体" w:hAnsi="宋体" w:eastAsia="宋体" w:cs="宋体"/>
                <w:color w:val="auto"/>
                <w:sz w:val="24"/>
                <w:szCs w:val="24"/>
                <w:highlight w:val="none"/>
              </w:rPr>
              <w:t xml:space="preserve">按负偏离进行扣分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有要求提供佐证资料的按照要求提供，无要求的以</w:t>
            </w:r>
            <w:r>
              <w:rPr>
                <w:rFonts w:hint="eastAsia" w:ascii="宋体" w:hAnsi="宋体" w:eastAsia="宋体" w:cs="宋体"/>
                <w:color w:val="auto"/>
                <w:sz w:val="24"/>
                <w:szCs w:val="24"/>
                <w:highlight w:val="none"/>
              </w:rPr>
              <w:t xml:space="preserve">《技术响应偏离表》</w:t>
            </w:r>
            <w:r>
              <w:rPr>
                <w:rFonts w:hint="eastAsia" w:ascii="宋体" w:hAnsi="宋体" w:cs="宋体"/>
                <w:color w:val="auto"/>
                <w:sz w:val="24"/>
                <w:szCs w:val="24"/>
                <w:highlight w:val="none"/>
                <w:lang w:val="en-US" w:eastAsia="zh-CN"/>
              </w:rPr>
              <w:t xml:space="preserve">为准</w:t>
            </w:r>
            <w:r>
              <w:rPr>
                <w:rFonts w:hint="eastAsia" w:ascii="宋体" w:hAnsi="宋体" w:eastAsia="宋体" w:cs="宋体"/>
                <w:color w:val="auto"/>
                <w:sz w:val="24"/>
                <w:szCs w:val="24"/>
                <w:highlight w:val="none"/>
                <w:lang w:eastAsia="zh-CN"/>
              </w:rPr>
              <w:t xml:space="preserve">。</w:t>
            </w:r>
            <w:r/>
          </w:p>
        </w:tc>
      </w:tr>
      <w:tr>
        <w:trPr>
          <w:trHeight w:val="23"/>
        </w:trPr>
        <w:tc>
          <w:tcPr>
            <w:shd w:val="clear" w:color="auto" w:fill="auto"/>
            <w:tcW w:w="963" w:type="dxa"/>
            <w:vAlign w:val="center"/>
            <w:vMerge w:val="restart"/>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w:t>
            </w:r>
            <w:r>
              <w:rPr>
                <w:rFonts w:hint="eastAsia" w:ascii="宋体" w:hAnsi="宋体" w:cs="宋体"/>
                <w:color w:val="auto"/>
                <w:sz w:val="24"/>
                <w:szCs w:val="24"/>
                <w:highlight w:val="none"/>
                <w:lang w:eastAsia="zh-CN"/>
              </w:rPr>
              <w:t xml:space="preserve">经营</w:t>
            </w:r>
            <w:r>
              <w:rPr>
                <w:rFonts w:hint="eastAsia" w:ascii="宋体" w:hAnsi="宋体" w:eastAsia="宋体" w:cs="宋体"/>
                <w:color w:val="auto"/>
                <w:sz w:val="24"/>
                <w:szCs w:val="24"/>
                <w:highlight w:val="none"/>
              </w:rPr>
              <w:t xml:space="preserve">业绩、信誉</w:t>
            </w:r>
            <w:r/>
          </w:p>
        </w:tc>
        <w:tc>
          <w:tcPr>
            <w:shd w:val="clear" w:color="auto" w:fill="auto"/>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企业业绩</w:t>
            </w:r>
            <w:r/>
          </w:p>
        </w:tc>
        <w:tc>
          <w:tcPr>
            <w:shd w:val="clear" w:color="auto" w:fill="auto"/>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.00分</w:t>
            </w:r>
            <w:r/>
          </w:p>
        </w:tc>
        <w:tc>
          <w:tcPr>
            <w:shd w:val="clear" w:color="auto" w:fill="auto"/>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bookmarkStart w:id="112" w:name="OLE_LINK33"/>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日以来（以合同签订时间为准）承接过类似业绩的，每提供一个得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投标人需提供业绩证明材料至投标文件，证明材料</w:t>
            </w:r>
            <w:r>
              <w:rPr>
                <w:rFonts w:hint="eastAsia" w:ascii="宋体" w:hAnsi="宋体" w:cs="宋体"/>
                <w:color w:val="auto"/>
                <w:sz w:val="24"/>
                <w:szCs w:val="24"/>
                <w:highlight w:val="none"/>
                <w:lang w:val="en-US" w:eastAsia="zh-CN"/>
              </w:rPr>
              <w:t xml:space="preserve">电子</w:t>
            </w:r>
            <w:r>
              <w:rPr>
                <w:rFonts w:hint="eastAsia" w:ascii="宋体" w:hAnsi="宋体" w:eastAsia="宋体" w:cs="宋体"/>
                <w:color w:val="auto"/>
                <w:sz w:val="24"/>
                <w:szCs w:val="24"/>
                <w:highlight w:val="none"/>
              </w:rPr>
              <w:t xml:space="preserve">扫描件需包含中标（或成交）通知书、合同（或者合同协议书）、采购人履约评价（或者验收合格报告或者验收合格证明），三者缺一不可，未提供或提供不全或模糊不清无法辨认均不予计分。</w:t>
            </w:r>
            <w:r/>
          </w:p>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合同甲方履约评价中出现“不满意”或“差”或“不合格”或同等意思表达的，该业绩不得分。</w:t>
            </w:r>
            <w:r/>
          </w:p>
          <w:p>
            <w:pPr>
              <w:ind w:left="0" w:right="0"/>
              <w:jc w:val="left"/>
              <w:keepLines w:val="0"/>
              <w:keepNext w:val="0"/>
              <w:pageBreakBefore w:val="0"/>
              <w:spacing w:beforeAutospacing="0" w:afterAutospacing="0"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（3）投标人提供的企业业绩将随中标结果公告同步公开。</w:t>
            </w:r>
            <w:bookmarkEnd w:id="112"/>
            <w:r/>
            <w:r/>
          </w:p>
        </w:tc>
      </w:tr>
      <w:tr>
        <w:trPr>
          <w:trHeight w:val="5061"/>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3" w:name="OLE_LINK34"/>
            <w:r>
              <w:rPr>
                <w:rFonts w:hint="eastAsia" w:ascii="宋体" w:hAnsi="宋体" w:eastAsia="宋体" w:cs="宋体"/>
                <w:color w:val="auto"/>
                <w:sz w:val="24"/>
                <w:szCs w:val="24"/>
                <w:highlight w:val="none"/>
              </w:rPr>
              <w:t xml:space="preserve">环境标志、节能产品</w:t>
            </w:r>
            <w:bookmarkEnd w:id="113"/>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bookmarkStart w:id="114" w:name="OLE_LINK35"/>
            <w:r>
              <w:rPr>
                <w:rFonts w:hint="eastAsia" w:ascii="宋体" w:hAnsi="宋体" w:eastAsia="宋体" w:cs="宋体"/>
                <w:color w:val="auto"/>
                <w:sz w:val="24"/>
                <w:szCs w:val="24"/>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bookmarkEnd w:id="114"/>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人提供的节能环保</w:t>
            </w:r>
            <w:r>
              <w:rPr>
                <w:rFonts w:hint="eastAsia" w:ascii="宋体" w:hAnsi="宋体" w:eastAsia="宋体" w:cs="宋体"/>
                <w:b/>
                <w:bCs/>
                <w:color w:val="auto"/>
                <w:sz w:val="24"/>
                <w:szCs w:val="24"/>
                <w:highlight w:val="none"/>
                <w:lang w:val="en-US" w:eastAsia="zh-CN"/>
              </w:rPr>
              <w:t xml:space="preserve">证书</w:t>
            </w:r>
            <w:r>
              <w:rPr>
                <w:rFonts w:hint="eastAsia" w:ascii="宋体" w:hAnsi="宋体" w:eastAsia="宋体" w:cs="宋体"/>
                <w:b/>
                <w:bCs/>
                <w:color w:val="auto"/>
                <w:sz w:val="24"/>
                <w:szCs w:val="24"/>
                <w:highlight w:val="none"/>
              </w:rPr>
              <w:t xml:space="preserve">将随中标结果同步公开。</w:t>
            </w:r>
            <w:r/>
          </w:p>
        </w:tc>
      </w:tr>
      <w:tr>
        <w:trPr>
          <w:trHeight w:val="23"/>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项目组成员</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.00分</w:t>
            </w:r>
            <w:r/>
          </w:p>
        </w:tc>
        <w:tc>
          <w:tcPr>
            <w:tcW w:w="5439" w:type="dxa"/>
            <w:vAlign w:val="center"/>
            <w:textDirection w:val="lrTb"/>
            <w:noWrap w:val="false"/>
          </w:tcPr>
          <w:p>
            <w:pPr>
              <w:numPr>
                <w:ilvl w:val="0"/>
                <w:numId w:val="0"/>
              </w:numPr>
              <w:ind w:left="0" w:right="0"/>
              <w:jc w:val="left"/>
              <w:spacing w:beforeAutospacing="0" w:afterAutospacing="0" w:line="440" w:lineRule="exact"/>
              <w:shd w:val="clear" w:color="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负责人具有相关专业职称（工程师）证书：初级职称（工程师）的得0.5分；中级及以上职称（工程师）的得1分；本项最高得1分。</w:t>
            </w:r>
            <w:r/>
          </w:p>
          <w:p>
            <w:pPr>
              <w:numPr>
                <w:ilvl w:val="0"/>
                <w:numId w:val="0"/>
              </w:numPr>
              <w:ind w:left="0" w:right="0"/>
              <w:jc w:val="left"/>
              <w:spacing w:beforeAutospacing="0" w:afterAutospacing="0" w:line="440" w:lineRule="exact"/>
              <w:shd w:val="clear" w:color="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组成员（不含项目负责人）具有相关专业职称（工程师）证书：初级职称（工程师）的得0.5分；中级及以上职称（工程师）的得1分；本项最高得1分。</w:t>
            </w:r>
            <w:r/>
          </w:p>
          <w:p>
            <w:pPr>
              <w:ind w:left="0" w:right="0"/>
              <w:jc w:val="left"/>
              <w:spacing w:beforeAutospacing="0" w:afterAutospacing="0" w:line="44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相关专业如：计算机技术与软件；电子信息；系统集成、机械工程、安装等与本项目采购内容相关的专业；</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）上述项目组成员必须为本单位员工，需提供</w:t>
            </w:r>
            <w:r>
              <w:rPr>
                <w:rFonts w:hint="eastAsia" w:ascii="宋体" w:hAnsi="宋体" w:cs="宋体"/>
                <w:color w:val="auto"/>
                <w:sz w:val="24"/>
                <w:szCs w:val="24"/>
                <w:highlight w:val="none"/>
                <w:lang w:val="en-US" w:eastAsia="zh-CN"/>
              </w:rPr>
              <w:t xml:space="preserve">2025年6月1日</w:t>
            </w:r>
            <w:r>
              <w:rPr>
                <w:rFonts w:hint="eastAsia" w:ascii="宋体" w:hAnsi="宋体" w:eastAsia="宋体" w:cs="宋体"/>
                <w:color w:val="auto"/>
                <w:sz w:val="24"/>
                <w:szCs w:val="24"/>
                <w:highlight w:val="none"/>
                <w:lang w:val="en-US" w:eastAsia="zh-CN"/>
              </w:rPr>
              <w:t xml:space="preserve">以来</w:t>
            </w:r>
            <w:r>
              <w:rPr>
                <w:rFonts w:hint="eastAsia" w:ascii="宋体" w:hAnsi="宋体" w:cs="宋体"/>
                <w:color w:val="auto"/>
                <w:sz w:val="24"/>
                <w:szCs w:val="24"/>
                <w:highlight w:val="none"/>
                <w:lang w:val="en-US" w:eastAsia="zh-CN"/>
              </w:rPr>
              <w:t xml:space="preserve">任意一个月</w:t>
            </w:r>
            <w:r>
              <w:rPr>
                <w:rFonts w:hint="eastAsia" w:ascii="宋体" w:hAnsi="宋体" w:eastAsia="宋体" w:cs="宋体"/>
                <w:color w:val="auto"/>
                <w:sz w:val="24"/>
                <w:szCs w:val="24"/>
                <w:highlight w:val="none"/>
              </w:rPr>
              <w:t xml:space="preserve">社保部门出具的投标人为其缴纳社会养老保险证明材料，否则不得分。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）以上项目组成员中同一人员具备上述多种证书的，不重复计分；同一证书多人具备的，不重复计分。</w:t>
            </w:r>
            <w:r>
              <w:rPr>
                <w:rFonts w:hint="eastAsia" w:ascii="宋体" w:hAnsi="宋体" w:cs="宋体"/>
                <w:color w:val="auto"/>
                <w:sz w:val="24"/>
                <w:szCs w:val="24"/>
                <w:highlight w:val="none"/>
                <w:lang w:val="en-US" w:eastAsia="zh-CN"/>
              </w:rPr>
              <w:t xml:space="preserve">职称证明以人社部门评审的职称证明为准（如非人社部门评审的，须提供评审单位的人社部门核准备案证明，否则不予认可。</w:t>
            </w:r>
            <w:r/>
          </w:p>
          <w:p>
            <w:pPr>
              <w:numPr>
                <w:ilvl w:val="0"/>
                <w:numId w:val="0"/>
              </w:numPr>
              <w:ind w:left="0" w:right="0"/>
              <w:jc w:val="left"/>
              <w:spacing w:beforeAutospacing="0" w:afterAutospacing="0" w:line="440" w:lineRule="exact"/>
              <w:shd w:val="clear" w:color="auto"/>
              <w:rPr>
                <w:rFonts w:hint="default" w:ascii="宋体" w:hAnsi="宋体" w:cs="宋体"/>
                <w:strike/>
                <w:color w:val="auto"/>
                <w:sz w:val="24"/>
                <w:szCs w:val="24"/>
                <w:highlight w:val="none"/>
                <w:lang w:val="en-US" w:eastAsia="zh-CN"/>
              </w:rPr>
            </w:pPr>
            <w:r>
              <w:rPr>
                <w:rFonts w:hint="eastAsia" w:ascii="宋体" w:hAnsi="宋体" w:cs="宋体"/>
                <w:b/>
                <w:bCs/>
                <w:strike w:val="0"/>
                <w:color w:val="auto"/>
                <w:sz w:val="24"/>
                <w:szCs w:val="24"/>
                <w:highlight w:val="none"/>
                <w:lang w:val="en-US" w:eastAsia="zh-CN"/>
              </w:rPr>
              <w:t xml:space="preserve">（4）投标人提供的项目组人员证书将随中标结果同步公开。</w:t>
            </w:r>
            <w:r/>
          </w:p>
        </w:tc>
      </w:tr>
      <w:tr>
        <w:trPr>
          <w:trHeight w:val="23"/>
        </w:trPr>
        <w:tc>
          <w:tcPr>
            <w:tcW w:w="963" w:type="dxa"/>
            <w:vAlign w:val="center"/>
            <w:vMerge w:val="restart"/>
            <w:textDirection w:val="lrTb"/>
            <w:noWrap w:val="false"/>
          </w:tcPr>
          <w:p>
            <w:pPr>
              <w:ind w:left="0" w:right="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项目实施</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质量保障方案</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、项目实施要求（一）</w:t>
            </w:r>
            <w:r>
              <w:rPr>
                <w:rFonts w:hint="eastAsia" w:ascii="宋体" w:hAnsi="宋体" w:eastAsia="宋体" w:cs="宋体"/>
                <w:color w:val="auto"/>
                <w:sz w:val="24"/>
                <w:szCs w:val="24"/>
                <w:highlight w:val="none"/>
                <w:lang w:val="en-US" w:eastAsia="zh-CN"/>
              </w:rPr>
              <w:t xml:space="preserve">质量保障要求</w:t>
            </w:r>
            <w:r>
              <w:rPr>
                <w:rFonts w:hint="eastAsia" w:ascii="宋体" w:hAnsi="宋体" w:eastAsia="宋体" w:cs="宋体"/>
                <w:color w:val="auto"/>
                <w:sz w:val="24"/>
                <w:szCs w:val="24"/>
                <w:highlight w:val="none"/>
              </w:rPr>
              <w:t xml:space="preserve">”制定</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eastAsia="宋体" w:cs="宋体"/>
                <w:color w:val="auto"/>
                <w:sz w:val="24"/>
                <w:szCs w:val="24"/>
                <w:highlight w:val="none"/>
              </w:rPr>
              <w:t xml:space="preserve">，评标委员会根据投标人提供的</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eastAsia="宋体" w:cs="宋体"/>
                <w:color w:val="auto"/>
                <w:sz w:val="24"/>
                <w:szCs w:val="24"/>
                <w:highlight w:val="none"/>
              </w:rPr>
              <w:t xml:space="preserve">进行评审：概述详细，方案考虑周全、切实可行，优于采购需求得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r/>
          </w:p>
        </w:tc>
      </w:tr>
      <w:tr>
        <w:trPr>
          <w:trHeight w:val="23"/>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5" w:name="OLE_LINK44"/>
            <w:r>
              <w:rPr>
                <w:rFonts w:hint="eastAsia" w:ascii="宋体" w:hAnsi="宋体" w:eastAsia="宋体" w:cs="宋体"/>
                <w:color w:val="auto"/>
                <w:sz w:val="24"/>
                <w:szCs w:val="24"/>
                <w:highlight w:val="none"/>
              </w:rPr>
              <w:t xml:space="preserve">培训及技术支持方案</w:t>
            </w:r>
            <w:bookmarkEnd w:id="115"/>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、项目实施要求—（</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）培训及技术支持要求”制定培训及技术支持方案，评标委员会根据投标人提供的培训及技术支持方案进行评审：概述详细，方案考虑周全、切实可行，优于采购需求得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r/>
          </w:p>
        </w:tc>
      </w:tr>
      <w:tr>
        <w:trPr>
          <w:trHeight w:val="23"/>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售后服务</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售后服务</w:t>
            </w:r>
            <w:r>
              <w:rPr>
                <w:rFonts w:hint="eastAsia" w:ascii="宋体" w:hAnsi="宋体" w:cs="宋体"/>
                <w:color w:val="auto"/>
                <w:sz w:val="24"/>
                <w:szCs w:val="24"/>
                <w:highlight w:val="none"/>
                <w:lang w:val="en-US" w:eastAsia="zh-CN"/>
              </w:rPr>
              <w:t xml:space="preserve">方案</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6" w:name="OLE_LINK47"/>
            <w:r>
              <w:rPr>
                <w:rFonts w:hint="eastAsia" w:ascii="宋体" w:hAnsi="宋体" w:eastAsia="宋体" w:cs="宋体"/>
                <w:color w:val="auto"/>
                <w:sz w:val="24"/>
                <w:szCs w:val="24"/>
                <w:highlight w:val="none"/>
              </w:rPr>
              <w:t xml:space="preserve">投标人根据招标文件“第四章、采购需求—</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、售后服务要求”制定售后服务方案，评标委员会根据投标人提供的售后服务方案进行评审：概述详细，方案考虑周全、切实可行，优于采购需求得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bookmarkEnd w:id="116"/>
            <w:r/>
            <w:r/>
          </w:p>
        </w:tc>
      </w:tr>
    </w:tbl>
    <w:p>
      <w:pPr>
        <w:pStyle w:val="888"/>
        <w:ind w:left="0" w:right="0" w:firstLine="482"/>
        <w:jc w:val="both"/>
        <w:keepLines w:val="0"/>
        <w:keepNext w:val="0"/>
        <w:spacing w:before="0" w:beforeAutospacing="0" w:after="0" w:afterAutospacing="0" w:line="440" w:lineRule="exact"/>
        <w:widowControl w:val="off"/>
        <w:rPr>
          <w:rFonts w:hint="eastAsia" w:ascii="宋体" w:hAnsi="宋体" w:eastAsia="宋体" w:cs="宋体"/>
          <w:b/>
          <w:bCs/>
          <w:color w:val="auto"/>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7" w:name="_Toc81575205"/>
      <w:r/>
      <w:bookmarkEnd w:id="117"/>
      <w:r/>
      <w:r/>
    </w:p>
    <w:p>
      <w:pPr>
        <w:pStyle w:val="888"/>
        <w:ind w:left="0" w:right="0" w:firstLine="482"/>
        <w:jc w:val="both"/>
        <w:keepLines w:val="0"/>
        <w:keepNext w:val="0"/>
        <w:spacing w:before="0" w:beforeAutospacing="0" w:after="0" w:afterAutospacing="0" w:line="440" w:lineRule="exact"/>
        <w:widowControl w:val="off"/>
        <w:rPr>
          <w:rFonts w:hint="eastAsia" w:ascii="宋体" w:hAnsi="宋体" w:cs="宋体"/>
          <w:b/>
          <w:bCs/>
          <w:color w:val="auto"/>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auto"/>
          <w:sz w:val="24"/>
          <w:szCs w:val="24"/>
          <w:highlight w:val="none"/>
          <w:shd w:val="clear" w:color="auto" w:fill="ffffff"/>
          <w:lang w:val="en-US" w:eastAsia="zh-CN"/>
        </w:rPr>
        <w:t xml:space="preserve">采购包2：</w:t>
      </w:r>
      <w:r/>
    </w:p>
    <w:tbl>
      <w:tblPr>
        <w:tblStyle w:val="701"/>
        <w:tblW w:w="8950"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3"/>
        <w:gridCol w:w="1325"/>
        <w:gridCol w:w="1223"/>
        <w:gridCol w:w="5439"/>
      </w:tblGrid>
      <w:tr>
        <w:trPr>
          <w:trHeight w:val="510"/>
        </w:trPr>
        <w:tc>
          <w:tcPr>
            <w:gridSpan w:val="2"/>
            <w:tcW w:w="2288"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1223"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分数</w:t>
            </w:r>
            <w:r/>
          </w:p>
        </w:tc>
        <w:tc>
          <w:tcPr>
            <w:tcW w:w="5439"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trHeight w:val="2160"/>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价格分采用低价优先法，即满足招标文件要求且投标价格最低的投标报价为评标基准价，其价格为满分</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分，其他投标人的价格分别按照下列公式计算：投标报价得分=（评标基准价/投标报价）×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，小数点保留2位。</w:t>
            </w:r>
            <w:r/>
          </w:p>
        </w:tc>
      </w:tr>
      <w:tr>
        <w:trPr>
          <w:trHeight w:val="23"/>
        </w:trPr>
        <w:tc>
          <w:tcPr>
            <w:tcW w:w="963"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w:t>
            </w:r>
            <w:r/>
          </w:p>
        </w:tc>
        <w:tc>
          <w:tcPr>
            <w:tcW w:w="1223" w:type="dxa"/>
            <w:vAlign w:val="center"/>
            <w:textDirection w:val="lrTb"/>
            <w:noWrap w:val="false"/>
          </w:tcPr>
          <w:p>
            <w:pPr>
              <w:ind w:left="0" w:right="0" w:firstLine="480"/>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47.50</w:t>
            </w:r>
            <w:r>
              <w:rPr>
                <w:rFonts w:hint="eastAsia" w:ascii="宋体" w:hAnsi="宋体" w:eastAsia="宋体" w:cs="宋体"/>
                <w:color w:val="auto"/>
                <w:sz w:val="24"/>
                <w:szCs w:val="24"/>
                <w:highlight w:val="none"/>
              </w:rPr>
              <w:t xml:space="preserve">分</w:t>
            </w:r>
            <w:r/>
          </w:p>
        </w:tc>
        <w:tc>
          <w:tcPr>
            <w:tcW w:w="5439" w:type="dxa"/>
            <w:vAlign w:val="center"/>
            <w:textDirection w:val="lrTb"/>
            <w:noWrap w:val="false"/>
          </w:tcPr>
          <w:p>
            <w:pPr>
              <w:numPr>
                <w:ilvl w:val="0"/>
                <w:numId w:val="0"/>
              </w:numPr>
              <w:ind w:left="0"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针对招标文件“第四部分、采购需求”中的“三、采购清单及技术参数要求”所列内容进行评分，所投产品技术参数完全满足或优于招标文件技术参数要求的得</w:t>
            </w:r>
            <w:r>
              <w:rPr>
                <w:rFonts w:hint="eastAsia" w:ascii="宋体" w:hAnsi="宋体" w:cs="宋体"/>
                <w:color w:val="auto"/>
                <w:sz w:val="24"/>
                <w:szCs w:val="24"/>
                <w:highlight w:val="none"/>
                <w:lang w:val="en-US" w:eastAsia="zh-CN"/>
              </w:rPr>
              <w:t xml:space="preserve">47.5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w:t>
            </w:r>
            <w:r/>
          </w:p>
          <w:p>
            <w:pPr>
              <w:numPr>
                <w:ilvl w:val="0"/>
                <w:numId w:val="0"/>
              </w:numPr>
              <w:ind w:left="0"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lang w:val="en-US" w:eastAsia="zh-CN"/>
              </w:rPr>
              <w:t xml:space="preserve">条，计</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为重点参数要求，每有一项不满足的扣</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按照要求</w:t>
            </w:r>
            <w:r>
              <w:rPr>
                <w:rFonts w:hint="eastAsia" w:ascii="宋体" w:hAnsi="宋体" w:eastAsia="宋体" w:cs="宋体"/>
                <w:color w:val="auto"/>
                <w:sz w:val="24"/>
                <w:szCs w:val="24"/>
                <w:highlight w:val="none"/>
              </w:rPr>
              <w:t xml:space="preserve">在投标文件《技术响应偏离表》中逐条列出响应及偏离情况</w:t>
            </w:r>
            <w:r>
              <w:rPr>
                <w:rFonts w:hint="eastAsia" w:ascii="宋体" w:hAnsi="宋体" w:eastAsia="宋体" w:cs="宋体"/>
                <w:color w:val="auto"/>
                <w:sz w:val="24"/>
                <w:szCs w:val="24"/>
                <w:highlight w:val="none"/>
                <w:lang w:val="en-US" w:eastAsia="zh-CN"/>
              </w:rPr>
              <w:t xml:space="preserve">并按要求</w:t>
            </w:r>
            <w:r>
              <w:rPr>
                <w:rFonts w:hint="eastAsia" w:ascii="宋体" w:hAnsi="宋体" w:eastAsia="宋体" w:cs="宋体"/>
                <w:color w:val="auto"/>
                <w:sz w:val="24"/>
                <w:szCs w:val="24"/>
                <w:highlight w:val="none"/>
                <w:lang w:eastAsia="zh-CN"/>
              </w:rPr>
              <w:t xml:space="preserve">提供证明材料，否则视为负偏离扣分。</w:t>
            </w:r>
            <w:r/>
          </w:p>
          <w:p>
            <w:pPr>
              <w:numPr>
                <w:ilvl w:val="0"/>
                <w:numId w:val="0"/>
              </w:numPr>
              <w:ind w:left="0" w:right="0" w:firstLine="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其他参数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u w:val="single"/>
                <w:lang w:val="en-US" w:eastAsia="zh-CN"/>
              </w:rPr>
              <w:t xml:space="preserve">2125</w:t>
            </w:r>
            <w:r>
              <w:rPr>
                <w:rFonts w:hint="eastAsia" w:ascii="宋体" w:hAnsi="宋体" w:eastAsia="宋体" w:cs="宋体"/>
                <w:color w:val="auto"/>
                <w:sz w:val="24"/>
                <w:szCs w:val="24"/>
                <w:highlight w:val="none"/>
                <w:lang w:val="en-US" w:eastAsia="zh-CN"/>
              </w:rPr>
              <w:t xml:space="preserve">条，计</w:t>
            </w:r>
            <w:r>
              <w:rPr>
                <w:rFonts w:hint="eastAsia" w:ascii="宋体" w:hAnsi="宋体" w:cs="宋体"/>
                <w:color w:val="auto"/>
                <w:sz w:val="24"/>
                <w:szCs w:val="24"/>
                <w:highlight w:val="none"/>
                <w:u w:val="single"/>
                <w:lang w:val="en-US" w:eastAsia="zh-CN"/>
              </w:rPr>
              <w:t xml:space="preserve">42.5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参数要求，每有一项不满足的扣</w:t>
            </w:r>
            <w:r>
              <w:rPr>
                <w:rFonts w:hint="eastAsia" w:ascii="宋体" w:hAnsi="宋体" w:cs="宋体"/>
                <w:color w:val="auto"/>
                <w:sz w:val="24"/>
                <w:szCs w:val="24"/>
                <w:highlight w:val="none"/>
                <w:u w:val="single"/>
                <w:lang w:val="en-US" w:eastAsia="zh-CN"/>
              </w:rPr>
              <w:t xml:space="preserve">0.02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其他参数以《技术响应偏离表》中列出响应及偏离情况为准，未对应列出按负偏离进行扣分，有要求提供佐证资料的按照要求提供，无要求的以《技术响应偏离表》为准。</w:t>
            </w:r>
            <w:r/>
          </w:p>
        </w:tc>
      </w:tr>
      <w:tr>
        <w:trPr>
          <w:trHeight w:val="23"/>
        </w:trPr>
        <w:tc>
          <w:tcPr>
            <w:shd w:val="clear" w:color="auto" w:fill="auto"/>
            <w:tcW w:w="963" w:type="dxa"/>
            <w:vAlign w:val="center"/>
            <w:vMerge w:val="restart"/>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w:t>
            </w:r>
            <w:r>
              <w:rPr>
                <w:rFonts w:hint="eastAsia" w:ascii="宋体" w:hAnsi="宋体" w:cs="宋体"/>
                <w:color w:val="auto"/>
                <w:sz w:val="24"/>
                <w:szCs w:val="24"/>
                <w:highlight w:val="none"/>
                <w:lang w:eastAsia="zh-CN"/>
              </w:rPr>
              <w:t xml:space="preserve">经营</w:t>
            </w:r>
            <w:r>
              <w:rPr>
                <w:rFonts w:hint="eastAsia" w:ascii="宋体" w:hAnsi="宋体" w:eastAsia="宋体" w:cs="宋体"/>
                <w:color w:val="auto"/>
                <w:sz w:val="24"/>
                <w:szCs w:val="24"/>
                <w:highlight w:val="none"/>
              </w:rPr>
              <w:t xml:space="preserve">业绩、信誉</w:t>
            </w:r>
            <w:r/>
          </w:p>
        </w:tc>
        <w:tc>
          <w:tcPr>
            <w:shd w:val="clear" w:color="auto" w:fill="auto"/>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企业业绩</w:t>
            </w:r>
            <w:r/>
          </w:p>
        </w:tc>
        <w:tc>
          <w:tcPr>
            <w:shd w:val="clear" w:color="auto" w:fill="auto"/>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4.50</w:t>
            </w:r>
            <w:r>
              <w:rPr>
                <w:rFonts w:hint="eastAsia" w:ascii="宋体" w:hAnsi="宋体" w:eastAsia="宋体" w:cs="宋体"/>
                <w:color w:val="auto"/>
                <w:sz w:val="24"/>
                <w:szCs w:val="24"/>
                <w:highlight w:val="none"/>
              </w:rPr>
              <w:t xml:space="preserve">分</w:t>
            </w:r>
            <w:r/>
          </w:p>
        </w:tc>
        <w:tc>
          <w:tcPr>
            <w:shd w:val="clear" w:color="auto" w:fill="auto"/>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投标人自2022年1月1日以来（以合同签订时间为准）承接过类似业绩的，每提供一个得</w:t>
            </w:r>
            <w:r>
              <w:rPr>
                <w:rFonts w:hint="eastAsia" w:ascii="宋体" w:hAnsi="宋体" w:cs="宋体"/>
                <w:b w:val="0"/>
                <w:bCs w:val="0"/>
                <w:color w:val="auto"/>
                <w:sz w:val="24"/>
                <w:szCs w:val="24"/>
                <w:highlight w:val="none"/>
                <w:lang w:val="en-US" w:eastAsia="zh-CN"/>
              </w:rPr>
              <w:t xml:space="preserve">1.5</w:t>
            </w:r>
            <w:r>
              <w:rPr>
                <w:rFonts w:hint="default" w:ascii="宋体" w:hAnsi="宋体" w:eastAsia="宋体" w:cs="宋体"/>
                <w:b w:val="0"/>
                <w:bCs w:val="0"/>
                <w:color w:val="auto"/>
                <w:sz w:val="24"/>
                <w:szCs w:val="24"/>
                <w:highlight w:val="none"/>
                <w:lang w:val="en-US" w:eastAsia="zh-CN"/>
              </w:rPr>
              <w:t xml:space="preserve">分，本项最高得</w:t>
            </w:r>
            <w:r>
              <w:rPr>
                <w:rFonts w:hint="eastAsia" w:ascii="宋体" w:hAnsi="宋体" w:cs="宋体"/>
                <w:b w:val="0"/>
                <w:bCs w:val="0"/>
                <w:color w:val="auto"/>
                <w:sz w:val="24"/>
                <w:szCs w:val="24"/>
                <w:highlight w:val="none"/>
                <w:lang w:val="en-US" w:eastAsia="zh-CN"/>
              </w:rPr>
              <w:t xml:space="preserve">4.5</w:t>
            </w:r>
            <w:r>
              <w:rPr>
                <w:rFonts w:hint="default" w:ascii="宋体" w:hAnsi="宋体" w:eastAsia="宋体" w:cs="宋体"/>
                <w:b w:val="0"/>
                <w:bCs w:val="0"/>
                <w:color w:val="auto"/>
                <w:sz w:val="24"/>
                <w:szCs w:val="24"/>
                <w:highlight w:val="none"/>
                <w:lang w:val="en-US" w:eastAsia="zh-CN"/>
              </w:rPr>
              <w:t xml:space="preserve">分。</w:t>
            </w:r>
            <w:r/>
          </w:p>
          <w:p>
            <w:pPr>
              <w:ind w:left="0" w:right="0"/>
              <w:jc w:val="left"/>
              <w:keepLines w:val="0"/>
              <w:keepNext w:val="0"/>
              <w:pageBreakBefore w:val="0"/>
              <w:spacing w:beforeAutospacing="0" w:afterAutospacing="0" w:line="44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注：</w:t>
            </w:r>
            <w:r/>
          </w:p>
          <w:p>
            <w:pPr>
              <w:ind w:left="0" w:right="0"/>
              <w:jc w:val="left"/>
              <w:keepLines w:val="0"/>
              <w:keepNext w:val="0"/>
              <w:pageBreakBefore w:val="0"/>
              <w:spacing w:beforeAutospacing="0" w:afterAutospacing="0" w:line="44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投标人需提供业绩证明材料至投标文件，证明材料电子扫描件需包含中标（或成交）通知书、合同（或者合同协议书）、采购人履约评价（或者验收合格报告或者验收合格证明），三者缺一不可，未提供或提供不全或模糊不清无法辨认均不予计分。</w:t>
            </w:r>
            <w:r/>
          </w:p>
          <w:p>
            <w:pPr>
              <w:ind w:left="0" w:right="0"/>
              <w:jc w:val="left"/>
              <w:keepLines w:val="0"/>
              <w:keepNext w:val="0"/>
              <w:pageBreakBefore w:val="0"/>
              <w:spacing w:beforeAutospacing="0" w:afterAutospacing="0" w:line="440" w:lineRule="exact"/>
              <w:widowControl w:val="off"/>
              <w:rPr>
                <w:rFonts w:hint="default" w:ascii="宋体" w:hAnsi="宋体" w:eastAsia="宋体" w:cs="宋体"/>
                <w:b/>
                <w:bCs/>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（2）合同甲方履约评价中出现“不满意”或“差”或“不合格”或同等意思表达的，该业绩不得分。</w:t>
            </w:r>
            <w:r/>
          </w:p>
          <w:p>
            <w:pPr>
              <w:ind w:left="0" w:right="0"/>
              <w:jc w:val="left"/>
              <w:keepLines w:val="0"/>
              <w:keepNext w:val="0"/>
              <w:pageBreakBefore w:val="0"/>
              <w:spacing w:beforeAutospacing="0" w:afterAutospacing="0" w:line="440" w:lineRule="exact"/>
              <w:widowControl w:val="off"/>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（3）投标人提供的企业业绩将随中标结果公告同步公开。</w:t>
            </w:r>
            <w:r/>
          </w:p>
        </w:tc>
      </w:tr>
      <w:tr>
        <w:trPr>
          <w:trHeight w:val="5061"/>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环境标志、节能产品</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人提供的节能环保</w:t>
            </w:r>
            <w:r>
              <w:rPr>
                <w:rFonts w:hint="eastAsia" w:ascii="宋体" w:hAnsi="宋体" w:eastAsia="宋体" w:cs="宋体"/>
                <w:b/>
                <w:bCs/>
                <w:color w:val="auto"/>
                <w:sz w:val="24"/>
                <w:szCs w:val="24"/>
                <w:highlight w:val="none"/>
                <w:lang w:val="en-US" w:eastAsia="zh-CN"/>
              </w:rPr>
              <w:t xml:space="preserve">证书</w:t>
            </w:r>
            <w:r>
              <w:rPr>
                <w:rFonts w:hint="eastAsia" w:ascii="宋体" w:hAnsi="宋体" w:eastAsia="宋体" w:cs="宋体"/>
                <w:b/>
                <w:bCs/>
                <w:color w:val="auto"/>
                <w:sz w:val="24"/>
                <w:szCs w:val="24"/>
                <w:highlight w:val="none"/>
              </w:rPr>
              <w:t xml:space="preserve">将随中标结果同步公开。</w:t>
            </w:r>
            <w:r/>
          </w:p>
        </w:tc>
      </w:tr>
      <w:tr>
        <w:trPr>
          <w:trHeight w:val="23"/>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项目组成员</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.00分</w:t>
            </w:r>
            <w:r/>
          </w:p>
        </w:tc>
        <w:tc>
          <w:tcPr>
            <w:tcW w:w="5439" w:type="dxa"/>
            <w:vAlign w:val="center"/>
            <w:textDirection w:val="lrTb"/>
            <w:noWrap w:val="false"/>
          </w:tcPr>
          <w:p>
            <w:pPr>
              <w:numPr>
                <w:ilvl w:val="0"/>
                <w:numId w:val="0"/>
              </w:numPr>
              <w:ind w:left="0" w:right="0"/>
              <w:jc w:val="left"/>
              <w:spacing w:beforeAutospacing="0" w:afterAutospacing="0" w:line="440" w:lineRule="exact"/>
              <w:shd w:val="clear" w:color="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负责人具有相关专业职称（工程师）证书：初级职称（工程师）的得0.5分；中级及以上职称（工程师）的得1分；本项最高得1分。</w:t>
            </w:r>
            <w:r/>
          </w:p>
          <w:p>
            <w:pPr>
              <w:numPr>
                <w:ilvl w:val="0"/>
                <w:numId w:val="0"/>
              </w:numPr>
              <w:ind w:left="0" w:right="0"/>
              <w:jc w:val="left"/>
              <w:spacing w:beforeAutospacing="0" w:afterAutospacing="0" w:line="440" w:lineRule="exact"/>
              <w:shd w:val="clear" w:color="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组成员（不含项目负责人）具有相关专业职称（工程师）证书：初级职称（工程师）的得0.5分；中级及以上职称（工程师）的得1分；本项最高得1分。</w:t>
            </w:r>
            <w:r/>
          </w:p>
          <w:p>
            <w:pPr>
              <w:ind w:left="0" w:right="0"/>
              <w:jc w:val="left"/>
              <w:spacing w:beforeAutospacing="0" w:afterAutospacing="0" w:line="44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eastAsia="zh-CN"/>
              </w:rPr>
              <w:t xml:space="preserve">（1）相关专业如：计算机技术与软件；电子信息；系统集成、机械工程、安装等与本项目采购内容相关的专业；</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）上述项目组成员必须为本单位员工，需提供</w:t>
            </w:r>
            <w:r>
              <w:rPr>
                <w:rFonts w:hint="eastAsia" w:ascii="宋体" w:hAnsi="宋体" w:cs="宋体"/>
                <w:color w:val="auto"/>
                <w:sz w:val="24"/>
                <w:szCs w:val="24"/>
                <w:highlight w:val="none"/>
                <w:lang w:val="en-US" w:eastAsia="zh-CN"/>
              </w:rPr>
              <w:t xml:space="preserve">2025年6月1日</w:t>
            </w:r>
            <w:r>
              <w:rPr>
                <w:rFonts w:hint="eastAsia" w:ascii="宋体" w:hAnsi="宋体" w:eastAsia="宋体" w:cs="宋体"/>
                <w:color w:val="auto"/>
                <w:sz w:val="24"/>
                <w:szCs w:val="24"/>
                <w:highlight w:val="none"/>
                <w:lang w:val="en-US" w:eastAsia="zh-CN"/>
              </w:rPr>
              <w:t xml:space="preserve">以来</w:t>
            </w:r>
            <w:r>
              <w:rPr>
                <w:rFonts w:hint="eastAsia" w:ascii="宋体" w:hAnsi="宋体" w:cs="宋体"/>
                <w:color w:val="auto"/>
                <w:sz w:val="24"/>
                <w:szCs w:val="24"/>
                <w:highlight w:val="none"/>
                <w:lang w:val="en-US" w:eastAsia="zh-CN"/>
              </w:rPr>
              <w:t xml:space="preserve">任意一个月</w:t>
            </w:r>
            <w:r>
              <w:rPr>
                <w:rFonts w:hint="eastAsia" w:ascii="宋体" w:hAnsi="宋体" w:eastAsia="宋体" w:cs="宋体"/>
                <w:color w:val="auto"/>
                <w:sz w:val="24"/>
                <w:szCs w:val="24"/>
                <w:highlight w:val="none"/>
              </w:rPr>
              <w:t xml:space="preserve">社保部门出具的投标人为其缴纳社会养老保险证明材料，否则不得分。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）以上项目组成员中同一人员具备上述多种证书的，不重复计分；同一证书多人具备的，不重复计分。</w:t>
            </w:r>
            <w:r>
              <w:rPr>
                <w:rFonts w:hint="eastAsia" w:ascii="宋体" w:hAnsi="宋体" w:cs="宋体"/>
                <w:color w:val="auto"/>
                <w:sz w:val="24"/>
                <w:szCs w:val="24"/>
                <w:highlight w:val="none"/>
                <w:lang w:val="en-US" w:eastAsia="zh-CN"/>
              </w:rPr>
              <w:t xml:space="preserve">职称证明以人社部门评审的职称证明为准（如非人社部门评审的，须提供评审单位的人社部门核准备案证明，否则不予认可。</w:t>
            </w:r>
            <w:r/>
          </w:p>
          <w:p>
            <w:pPr>
              <w:numPr>
                <w:ilvl w:val="0"/>
                <w:numId w:val="0"/>
              </w:numPr>
              <w:ind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cs="宋体"/>
                <w:b/>
                <w:bCs/>
                <w:strike w:val="0"/>
                <w:color w:val="auto"/>
                <w:sz w:val="24"/>
                <w:szCs w:val="24"/>
                <w:highlight w:val="none"/>
                <w:lang w:val="en-US" w:eastAsia="zh-CN"/>
              </w:rPr>
              <w:t xml:space="preserve">（4）投标人提供的项目组人员证书将随中标结果同步公开。</w:t>
            </w:r>
            <w:r/>
          </w:p>
        </w:tc>
      </w:tr>
      <w:tr>
        <w:trPr>
          <w:trHeight w:val="23"/>
        </w:trPr>
        <w:tc>
          <w:tcPr>
            <w:tcW w:w="963" w:type="dxa"/>
            <w:vAlign w:val="center"/>
            <w:vMerge w:val="restart"/>
            <w:textDirection w:val="lrTb"/>
            <w:noWrap w:val="false"/>
          </w:tcPr>
          <w:p>
            <w:pPr>
              <w:ind w:left="0" w:right="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项目实施</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质量保障方案</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、项目实施要求（一）</w:t>
            </w:r>
            <w:r>
              <w:rPr>
                <w:rFonts w:hint="eastAsia" w:ascii="宋体" w:hAnsi="宋体" w:eastAsia="宋体" w:cs="宋体"/>
                <w:color w:val="auto"/>
                <w:sz w:val="24"/>
                <w:szCs w:val="24"/>
                <w:highlight w:val="none"/>
                <w:lang w:val="en-US" w:eastAsia="zh-CN"/>
              </w:rPr>
              <w:t xml:space="preserve">质量保障要求</w:t>
            </w:r>
            <w:r>
              <w:rPr>
                <w:rFonts w:hint="eastAsia" w:ascii="宋体" w:hAnsi="宋体" w:eastAsia="宋体" w:cs="宋体"/>
                <w:color w:val="auto"/>
                <w:sz w:val="24"/>
                <w:szCs w:val="24"/>
                <w:highlight w:val="none"/>
              </w:rPr>
              <w:t xml:space="preserve">”制定</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eastAsia="宋体" w:cs="宋体"/>
                <w:color w:val="auto"/>
                <w:sz w:val="24"/>
                <w:szCs w:val="24"/>
                <w:highlight w:val="none"/>
              </w:rPr>
              <w:t xml:space="preserve">，评标委员会根据投标人提供的</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eastAsia="宋体" w:cs="宋体"/>
                <w:color w:val="auto"/>
                <w:sz w:val="24"/>
                <w:szCs w:val="24"/>
                <w:highlight w:val="none"/>
              </w:rPr>
              <w:t xml:space="preserve">进行评审：概述详细，方案考虑周全、切实可行，优于采购需求得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r/>
          </w:p>
        </w:tc>
      </w:tr>
      <w:tr>
        <w:trPr>
          <w:trHeight w:val="23"/>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培训及技术支持方案</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、项目实施要求—（</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）培训及技术支持要求”制定培训及技术支持方案，评标委员会根据投标人提供的培训及技术支持方案进行评审：概述详细，方案考虑周全、切实可行，优于采购需求得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r/>
          </w:p>
        </w:tc>
      </w:tr>
      <w:tr>
        <w:trPr>
          <w:trHeight w:val="23"/>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售后服务</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售后服务</w:t>
            </w:r>
            <w:r>
              <w:rPr>
                <w:rFonts w:hint="eastAsia" w:ascii="宋体" w:hAnsi="宋体" w:cs="宋体"/>
                <w:color w:val="auto"/>
                <w:sz w:val="24"/>
                <w:szCs w:val="24"/>
                <w:highlight w:val="none"/>
                <w:lang w:val="en-US" w:eastAsia="zh-CN"/>
              </w:rPr>
              <w:t xml:space="preserve">方案</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、售后服务要求”制定售后服务方案，评标委员会根据投标人提供的售后服务方案进行评审：概述详细，方案考虑周全、切实可行，优于采购需求得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r/>
          </w:p>
        </w:tc>
      </w:tr>
    </w:tbl>
    <w:p>
      <w:pPr>
        <w:pStyle w:val="888"/>
        <w:ind w:left="0" w:right="0" w:firstLine="482"/>
        <w:jc w:val="both"/>
        <w:keepLines w:val="0"/>
        <w:keepNext w:val="0"/>
        <w:spacing w:before="0" w:beforeAutospacing="0" w:after="0" w:afterAutospacing="0" w:line="440" w:lineRule="exact"/>
        <w:widowControl w:val="off"/>
        <w:rPr>
          <w:rFonts w:hint="eastAsia" w:ascii="宋体" w:hAnsi="宋体" w:cs="宋体"/>
          <w:b/>
          <w:bCs/>
          <w:color w:val="auto"/>
          <w:sz w:val="24"/>
          <w:szCs w:val="24"/>
          <w:highlight w:val="none"/>
          <w:shd w:val="clear" w:color="auto" w:fill="ffffff"/>
          <w:lang w:val="en-US" w:eastAsia="zh"/>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auto"/>
          <w:sz w:val="24"/>
          <w:szCs w:val="24"/>
          <w:highlight w:val="none"/>
          <w:shd w:val="clear" w:color="auto" w:fill="ffffff"/>
          <w:lang w:val="en-US" w:eastAsia="zh"/>
        </w:rPr>
      </w:r>
      <w:r/>
    </w:p>
    <w:p>
      <w:pPr>
        <w:pStyle w:val="888"/>
        <w:ind w:left="0" w:right="0" w:firstLine="482"/>
        <w:jc w:val="both"/>
        <w:keepLines w:val="0"/>
        <w:keepNext w:val="0"/>
        <w:spacing w:before="0" w:beforeAutospacing="0" w:after="0" w:afterAutospacing="0" w:line="440" w:lineRule="exact"/>
        <w:widowControl w:val="off"/>
        <w:rPr>
          <w:rFonts w:hint="eastAsia" w:ascii="宋体" w:hAnsi="宋体" w:cs="宋体"/>
          <w:b/>
          <w:bCs/>
          <w:color w:val="auto"/>
          <w:sz w:val="24"/>
          <w:szCs w:val="24"/>
          <w:highlight w:val="none"/>
          <w:shd w:val="clear" w:color="auto" w:fill="ffffff"/>
          <w:lang w:val="en-US" w:eastAsia="zh"/>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auto"/>
          <w:sz w:val="24"/>
          <w:szCs w:val="24"/>
          <w:highlight w:val="none"/>
          <w:shd w:val="clear" w:color="auto" w:fill="ffffff"/>
          <w:lang w:val="en-US" w:eastAsia="zh-CN"/>
        </w:rPr>
        <w:t xml:space="preserve">4、</w:t>
      </w:r>
      <w:r>
        <w:rPr>
          <w:rFonts w:hint="eastAsia" w:ascii="宋体" w:hAnsi="宋体" w:cs="宋体"/>
          <w:b/>
          <w:bCs/>
          <w:color w:val="auto"/>
          <w:sz w:val="24"/>
          <w:szCs w:val="24"/>
          <w:highlight w:val="none"/>
          <w:shd w:val="clear" w:color="auto" w:fill="ffffff"/>
          <w:lang w:val="en-US" w:eastAsia="zh"/>
        </w:rPr>
        <w:t xml:space="preserve">采购本国产品的支持政策</w:t>
      </w:r>
      <w:r/>
    </w:p>
    <w:p>
      <w:pPr>
        <w:pStyle w:val="888"/>
        <w:ind w:left="0" w:right="0" w:firstLine="482"/>
        <w:jc w:val="both"/>
        <w:keepLines w:val="0"/>
        <w:keepNext w:val="0"/>
        <w:spacing w:before="0" w:beforeAutospacing="0" w:after="0" w:afterAutospacing="0" w:line="440" w:lineRule="exact"/>
        <w:widowControl w:val="off"/>
        <w:rPr>
          <w:rFonts w:hint="eastAsia" w:ascii="宋体" w:hAnsi="宋体" w:cs="宋体"/>
          <w:b w:val="0"/>
          <w:bCs w:val="0"/>
          <w:color w:val="auto"/>
          <w:sz w:val="24"/>
          <w:szCs w:val="24"/>
          <w:highlight w:val="none"/>
          <w:shd w:val="clear" w:color="auto" w:fill="ffffff"/>
          <w:lang w:val="en-US" w:eastAsia="zh"/>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auto"/>
          <w:sz w:val="24"/>
          <w:szCs w:val="24"/>
          <w:highlight w:val="none"/>
          <w:shd w:val="clear" w:color="auto" w:fill="ffffff"/>
          <w:lang w:val="en-US" w:eastAsia="zh"/>
        </w:rPr>
        <w:t xml:space="preserve">1.1 本项目政府采购活动中既有本国产品又有非本国产品参与竞争的，依法对本国产品给予价格评审优惠，对本国产品的报价给予</w:t>
      </w:r>
      <w:r>
        <w:rPr>
          <w:rFonts w:hint="eastAsia" w:ascii="宋体" w:hAnsi="宋体" w:cs="宋体"/>
          <w:b w:val="0"/>
          <w:bCs w:val="0"/>
          <w:color w:val="auto"/>
          <w:sz w:val="24"/>
          <w:szCs w:val="24"/>
          <w:highlight w:val="none"/>
          <w:u w:val="single"/>
          <w:shd w:val="clear" w:color="auto" w:fill="ffffff"/>
          <w:lang w:val="en-US" w:eastAsia="zh"/>
        </w:rPr>
        <w:t xml:space="preserve">20%</w:t>
      </w:r>
      <w:r>
        <w:rPr>
          <w:rFonts w:hint="eastAsia" w:ascii="宋体" w:hAnsi="宋体" w:cs="宋体"/>
          <w:b w:val="0"/>
          <w:bCs w:val="0"/>
          <w:color w:val="auto"/>
          <w:sz w:val="24"/>
          <w:szCs w:val="24"/>
          <w:highlight w:val="none"/>
          <w:shd w:val="clear" w:color="auto" w:fill="ffffff"/>
          <w:lang w:val="en-US" w:eastAsia="zh"/>
        </w:rPr>
        <w:t xml:space="preserve">的价格扣除，用扣除后的价格参与评审。</w:t>
      </w:r>
      <w:r/>
    </w:p>
    <w:p>
      <w:pPr>
        <w:pStyle w:val="888"/>
        <w:ind w:left="0" w:right="0" w:firstLine="482"/>
        <w:jc w:val="both"/>
        <w:keepLines w:val="0"/>
        <w:keepNext w:val="0"/>
        <w:spacing w:before="0" w:beforeAutospacing="0" w:after="0" w:afterAutospacing="0" w:line="440" w:lineRule="exact"/>
        <w:widowControl w:val="off"/>
        <w:rPr>
          <w:rFonts w:hint="eastAsia" w:ascii="宋体" w:hAnsi="宋体" w:cs="宋体"/>
          <w:b w:val="0"/>
          <w:bCs w:val="0"/>
          <w:color w:val="auto"/>
          <w:sz w:val="24"/>
          <w:szCs w:val="24"/>
          <w:highlight w:val="none"/>
          <w:shd w:val="clear" w:color="auto" w:fill="ffffff"/>
          <w:lang w:val="en-US" w:eastAsia="zh"/>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auto"/>
          <w:sz w:val="24"/>
          <w:szCs w:val="24"/>
          <w:highlight w:val="none"/>
          <w:shd w:val="clear" w:color="auto" w:fill="ffffff"/>
          <w:lang w:val="en-US" w:eastAsia="zh"/>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88"/>
        <w:ind w:left="0" w:right="0" w:firstLine="482"/>
        <w:jc w:val="both"/>
        <w:keepLines w:val="0"/>
        <w:keepNext w:val="0"/>
        <w:spacing w:before="0" w:beforeAutospacing="0" w:after="0" w:afterAutospacing="0" w:line="440" w:lineRule="exact"/>
        <w:widowControl w:val="off"/>
        <w:rPr>
          <w:rFonts w:hint="eastAsia" w:ascii="宋体" w:hAnsi="宋体" w:cs="宋体"/>
          <w:b w:val="0"/>
          <w:bCs w:val="0"/>
          <w:color w:val="auto"/>
          <w:sz w:val="24"/>
          <w:szCs w:val="24"/>
          <w:highlight w:val="none"/>
          <w:shd w:val="clear" w:color="auto" w:fill="ffffff"/>
          <w:lang w:val="en-US" w:eastAsia="zh"/>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auto"/>
          <w:sz w:val="24"/>
          <w:szCs w:val="24"/>
          <w:highlight w:val="none"/>
          <w:shd w:val="clear" w:color="auto" w:fill="ffffff"/>
          <w:lang w:val="en-US" w:eastAsia="zh"/>
        </w:rPr>
        <w:t xml:space="preserve">1.3 供应商需按照招标文件的要求提供《关于符合本国产品标准的声明函》（以下简称《声明函》），如不提供将不享受本国产品价格评审优惠。</w:t>
      </w:r>
      <w:r/>
    </w:p>
    <w:p>
      <w:pPr>
        <w:pStyle w:val="888"/>
        <w:ind w:left="0" w:right="0" w:firstLine="482"/>
        <w:jc w:val="both"/>
        <w:keepLines w:val="0"/>
        <w:keepNext w:val="0"/>
        <w:spacing w:before="0" w:beforeAutospacing="0" w:after="0" w:afterAutospacing="0" w:line="440" w:lineRule="exact"/>
        <w:widowControl w:val="off"/>
        <w:rPr>
          <w:rFonts w:hint="eastAsia" w:ascii="宋体" w:hAnsi="宋体" w:cs="宋体"/>
          <w:b w:val="0"/>
          <w:bCs w:val="0"/>
          <w:color w:val="auto"/>
          <w:sz w:val="24"/>
          <w:szCs w:val="24"/>
          <w:highlight w:val="none"/>
          <w:shd w:val="clear" w:color="auto" w:fill="ffffff"/>
          <w:lang w:val="en-US" w:eastAsia="zh"/>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auto"/>
          <w:sz w:val="24"/>
          <w:szCs w:val="24"/>
          <w:highlight w:val="none"/>
          <w:shd w:val="clear" w:color="auto" w:fill="ffffff"/>
          <w:lang w:val="en-US" w:eastAsia="zh"/>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88"/>
        <w:ind w:left="0" w:right="0" w:firstLine="482"/>
        <w:jc w:val="both"/>
        <w:keepLines w:val="0"/>
        <w:keepNext w:val="0"/>
        <w:spacing w:before="0" w:beforeAutospacing="0" w:after="0" w:afterAutospacing="0" w:line="440" w:lineRule="exact"/>
        <w:widowControl w:val="off"/>
        <w:rPr>
          <w:rFonts w:hint="eastAsia" w:ascii="宋体" w:hAnsi="宋体" w:eastAsia="宋体" w:cs="宋体"/>
          <w:b/>
          <w:bCs/>
          <w:color w:val="auto"/>
          <w:sz w:val="24"/>
          <w:szCs w:val="24"/>
          <w:highlight w:val="none"/>
          <w:shd w:val="clear" w:color="auto" w:fill="ffffff"/>
          <w:lang w:val="en-US" w:eastAsia="zh"/>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auto"/>
          <w:sz w:val="24"/>
          <w:szCs w:val="24"/>
          <w:highlight w:val="none"/>
          <w:shd w:val="clear" w:color="auto" w:fill="ffffff"/>
          <w:lang w:val="en-US" w:eastAsia="zh"/>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88"/>
        <w:ind w:left="0" w:right="0" w:firstLine="482"/>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shd w:val="clear" w:color="auto" w:fill="ffffff"/>
        </w:rPr>
        <w:t xml:space="preserve">（三）评标结果。</w:t>
      </w:r>
      <w:r>
        <w:rPr>
          <w:rFonts w:hint="eastAsia" w:ascii="宋体" w:hAnsi="宋体" w:eastAsia="宋体" w:cs="宋体"/>
          <w:color w:val="auto"/>
          <w:sz w:val="24"/>
          <w:szCs w:val="24"/>
          <w:highlight w:val="none"/>
          <w:shd w:val="clear" w:color="auto" w:fill="ffffff"/>
        </w:rPr>
        <w:t xml:space="preserve">评标委员会按照本办法规定推荐中标候选人，并形成评标报告。</w:t>
      </w:r>
      <w:r/>
    </w:p>
    <w:p>
      <w:pPr>
        <w:pStyle w:val="888"/>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bookmarkStart w:id="118" w:name="_Toc9629"/>
      <w:r/>
      <w:bookmarkStart w:id="119" w:name="EB7816f6fdbc96408ea7b735c177a21493"/>
      <w:r/>
      <w:r/>
    </w:p>
    <w:p>
      <w:pPr>
        <w:pStyle w:val="888"/>
        <w:ind w:left="0" w:right="0"/>
        <w:jc w:val="both"/>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88"/>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88"/>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auto"/>
          <w:sz w:val="24"/>
          <w:szCs w:val="24"/>
          <w:highlight w:val="none"/>
          <w:shd w:val="clear" w:color="auto" w:fill="ffffff"/>
        </w:rPr>
      </w:r>
      <w:r/>
    </w:p>
    <w:p>
      <w:pPr>
        <w:pStyle w:val="888"/>
        <w:ind w:right="0"/>
        <w:jc w:val="center"/>
        <w:spacing w:before="0" w:beforeAutospacing="0" w:after="0" w:afterAutospacing="0" w:line="440" w:lineRule="exact"/>
        <w:rPr>
          <w:rFonts w:hint="eastAsia" w:ascii="宋体" w:hAnsi="宋体" w:eastAsia="宋体" w:cs="宋体"/>
          <w:b/>
          <w:bCs/>
          <w:color w:val="auto"/>
          <w:sz w:val="36"/>
          <w:szCs w:val="36"/>
          <w:highlight w:val="none"/>
          <w:shd w:val="clear" w:color="auto" w:fill="ffffff"/>
        </w:rPr>
      </w:pPr>
      <w:r>
        <w:rPr>
          <w:rFonts w:hint="eastAsia" w:ascii="宋体" w:hAnsi="宋体" w:eastAsia="宋体" w:cs="宋体"/>
          <w:b/>
          <w:bCs/>
          <w:color w:val="auto"/>
          <w:sz w:val="36"/>
          <w:szCs w:val="36"/>
          <w:highlight w:val="none"/>
          <w:shd w:val="clear" w:color="auto" w:fill="ffffff"/>
        </w:rPr>
        <w:t xml:space="preserve">第四部分  采购需求</w:t>
      </w:r>
      <w:bookmarkEnd w:id="118"/>
      <w:r/>
      <w:bookmarkEnd w:id="119"/>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项目属性：货物类项目</w:t>
      </w:r>
      <w:r/>
    </w:p>
    <w:p>
      <w:pPr>
        <w:ind w:left="0" w:right="0"/>
        <w:spacing w:beforeAutospacing="0" w:afterAutospacing="0" w:line="440" w:lineRule="exact"/>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cs="宋体"/>
          <w:color w:val="auto"/>
          <w:sz w:val="24"/>
          <w:szCs w:val="24"/>
          <w:highlight w:val="none"/>
          <w:lang w:val="en-US" w:eastAsia="zh-CN"/>
        </w:rPr>
        <w:t xml:space="preserve">详见附件1</w:t>
      </w:r>
      <w:r/>
    </w:p>
    <w:p>
      <w:pPr>
        <w:ind w:left="0" w:right="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本项目不接受进口产品</w:t>
      </w:r>
      <w:r>
        <w:rPr>
          <w:rFonts w:hint="eastAsia" w:ascii="宋体" w:hAnsi="宋体" w:eastAsia="宋体" w:cs="宋体"/>
          <w:color w:val="auto"/>
          <w:sz w:val="24"/>
          <w:szCs w:val="24"/>
          <w:highlight w:val="none"/>
          <w:lang w:eastAsia="zh-CN"/>
        </w:rPr>
        <w:t xml:space="preserve">。</w:t>
      </w:r>
      <w:r/>
    </w:p>
    <w:p>
      <w:pPr>
        <w:ind w:left="0" w:right="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pStyle w:val="911"/>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泗洪姜堰实验学校初中部功能室、实验室采购项目</w:t>
      </w:r>
      <w:r/>
    </w:p>
    <w:p>
      <w:pPr>
        <w:pStyle w:val="911"/>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2、主要内容为：</w:t>
      </w:r>
      <w:r/>
    </w:p>
    <w:p>
      <w:pPr>
        <w:pStyle w:val="888"/>
        <w:ind w:left="0" w:right="0" w:firstLine="480"/>
        <w:jc w:val="both"/>
        <w:spacing w:before="0" w:beforeAutospacing="0" w:after="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采购包1：理化生智能吊装实验室、数字化探究实验室、考评实验室等，详见采购需求和采购包1清单。</w:t>
      </w:r>
      <w:r/>
    </w:p>
    <w:p>
      <w:pPr>
        <w:pStyle w:val="888"/>
        <w:ind w:left="0" w:right="0" w:firstLine="480"/>
        <w:jc w:val="both"/>
        <w:spacing w:before="0" w:beforeAutospacing="0" w:after="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采购包2：历史地理教室、劳技教室、舞蹈教室、书法教室、美术教室等，详见采购需求和采购包2清单。</w:t>
      </w:r>
      <w:r/>
    </w:p>
    <w:p>
      <w:pPr>
        <w:pStyle w:val="911"/>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3、供货地点：采购人指定地点。</w:t>
      </w:r>
      <w:r/>
    </w:p>
    <w:p>
      <w:pPr>
        <w:pStyle w:val="911"/>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4、供货期：采购合同签订后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日历天内全部供货安装完毕并交付使用。</w:t>
      </w:r>
      <w:r/>
    </w:p>
    <w:p>
      <w:pPr>
        <w:pStyle w:val="911"/>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5、售后服务期：</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如产品清单中有特殊要求的按清单执行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911"/>
        <w:ind w:left="0" w:right="0" w:firstLine="560"/>
        <w:spacing w:beforeAutospacing="0" w:afterAutospacing="0" w:line="440" w:lineRule="exact"/>
        <w:tabs>
          <w:tab w:val="left" w:pos="753"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质量：合格，符合国家、行业质量要求。</w:t>
      </w:r>
      <w:r>
        <w:rPr>
          <w:rFonts w:hint="eastAsia" w:ascii="宋体" w:hAnsi="宋体" w:cs="宋体"/>
          <w:color w:val="auto"/>
          <w:sz w:val="24"/>
          <w:szCs w:val="24"/>
          <w:highlight w:val="none"/>
          <w:lang w:val="en-US" w:eastAsia="zh-CN"/>
        </w:rPr>
        <w:t xml:space="preserve">有最新标准的参照最新标准执行。</w:t>
      </w:r>
      <w:r/>
    </w:p>
    <w:p>
      <w:pPr>
        <w:pStyle w:val="705"/>
        <w:ind w:left="0" w:right="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二、付款方式</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采购合同签订后，收到</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发票10个工作日内预付合同价款的30%；设备全部安装调试完毕</w:t>
      </w:r>
      <w:r>
        <w:rPr>
          <w:rFonts w:hint="eastAsia" w:ascii="宋体" w:hAnsi="宋体" w:cs="宋体"/>
          <w:color w:val="auto"/>
          <w:sz w:val="24"/>
          <w:szCs w:val="24"/>
          <w:highlight w:val="none"/>
          <w:lang w:val="en-US" w:eastAsia="zh-CN"/>
        </w:rPr>
        <w:t xml:space="preserve">交付使用</w:t>
      </w:r>
      <w:r>
        <w:rPr>
          <w:rFonts w:hint="eastAsia" w:ascii="宋体" w:hAnsi="宋体" w:eastAsia="宋体" w:cs="宋体"/>
          <w:color w:val="auto"/>
          <w:sz w:val="24"/>
          <w:szCs w:val="24"/>
          <w:highlight w:val="none"/>
        </w:rPr>
        <w:t xml:space="preserve">后，采购人组织验收并出具验收报告，在收到</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发票后10个工作日内支付至合同总额的100%。</w:t>
      </w:r>
      <w:r/>
    </w:p>
    <w:p>
      <w:pPr>
        <w:pStyle w:val="912"/>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可以使用数字人民币支付。</w:t>
      </w:r>
      <w:r/>
    </w:p>
    <w:p>
      <w:pPr>
        <w:pStyle w:val="913"/>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注：在签订合同时，</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明确表示无需预付款或者主动要求降低预付款比例的，采购人可不适用预付规定。</w:t>
      </w:r>
      <w:r/>
    </w:p>
    <w:p>
      <w:pPr>
        <w:pStyle w:val="705"/>
        <w:ind w:left="0" w:right="0"/>
        <w:spacing w:beforeAutospacing="0" w:afterAutospacing="0" w:line="440" w:lineRule="exact"/>
        <w:rPr>
          <w:rFonts w:hint="eastAsia" w:ascii="宋体" w:hAnsi="宋体" w:eastAsia="宋体" w:cs="宋体"/>
          <w:b/>
          <w:bCs/>
          <w:color w:val="auto"/>
          <w:sz w:val="24"/>
          <w:szCs w:val="24"/>
          <w:highlight w:val="none"/>
          <w:lang w:val="en-US" w:eastAsia="zh"/>
        </w:rPr>
      </w:pPr>
      <w:r>
        <w:rPr>
          <w:rFonts w:hint="eastAsia" w:ascii="宋体" w:hAnsi="宋体" w:eastAsia="宋体" w:cs="宋体"/>
          <w:b/>
          <w:bCs/>
          <w:color w:val="auto"/>
          <w:sz w:val="24"/>
          <w:szCs w:val="24"/>
          <w:highlight w:val="none"/>
          <w:lang w:val="en-US" w:eastAsia="zh"/>
        </w:rPr>
        <w:t xml:space="preserve">三、政府采购中实施本国产品标准及相关政策</w:t>
      </w:r>
      <w:r/>
    </w:p>
    <w:p>
      <w:pPr>
        <w:ind w:left="0" w:right="0" w:firstLine="480"/>
        <w:spacing w:beforeAutospacing="0" w:afterAutospacing="0" w:line="440" w:lineRule="exact"/>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1.本项目对采购本国产品给予政策支持，具体内容见招标文件“第</w:t>
      </w:r>
      <w:r>
        <w:rPr>
          <w:rFonts w:hint="eastAsia" w:ascii="宋体" w:hAnsi="宋体" w:cs="宋体"/>
          <w:color w:val="auto"/>
          <w:sz w:val="24"/>
          <w:szCs w:val="24"/>
          <w:highlight w:val="none"/>
          <w:lang w:val="en-US" w:eastAsia="zh"/>
        </w:rPr>
        <w:t xml:space="preserve">三</w:t>
      </w:r>
      <w:r>
        <w:rPr>
          <w:rFonts w:hint="eastAsia" w:ascii="宋体" w:hAnsi="宋体" w:eastAsia="宋体" w:cs="宋体"/>
          <w:color w:val="auto"/>
          <w:sz w:val="24"/>
          <w:szCs w:val="24"/>
          <w:highlight w:val="none"/>
          <w:lang w:val="en-US" w:eastAsia="zh"/>
        </w:rPr>
        <w:t xml:space="preserve">章 资格审查及评标办法”。</w:t>
      </w:r>
      <w:r/>
    </w:p>
    <w:p>
      <w:pPr>
        <w:ind w:left="0" w:right="0" w:firstLine="480"/>
        <w:spacing w:beforeAutospacing="0" w:afterAutospacing="0" w:line="440" w:lineRule="exact"/>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Autospacing="0" w:afterAutospacing="0" w:line="440" w:lineRule="exact"/>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05"/>
        <w:ind w:left="0" w:right="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
        </w:rPr>
        <w:t xml:space="preserve">四</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采购清单及技术参数要求</w:t>
      </w:r>
      <w:r/>
    </w:p>
    <w:p>
      <w:pPr>
        <w:numPr>
          <w:ilvl w:val="0"/>
          <w:numId w:val="2"/>
        </w:num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采购清单及技术参数要求</w:t>
      </w:r>
      <w:r/>
    </w:p>
    <w:p>
      <w:pPr>
        <w:numPr>
          <w:ilvl w:val="0"/>
          <w:numId w:val="0"/>
        </w:numPr>
        <w:ind w:right="0"/>
        <w:jc w:val="both"/>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2"/>
        </w:numPr>
        <w:ind w:left="0" w:right="0"/>
        <w:keepLines w:val="0"/>
        <w:keepNext w:val="0"/>
        <w:pageBreakBefore w:val="0"/>
        <w:spacing w:beforeAutospacing="0" w:afterAutospacing="0" w:line="400" w:lineRule="exact"/>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r>
      <w:r/>
    </w:p>
    <w:tbl>
      <w:tblPr>
        <w:tblStyle w:val="701"/>
        <w:tblpPr w:horzAnchor="page" w:tblpX="1140" w:vertAnchor="text" w:tblpY="303" w:leftFromText="180" w:topFromText="0" w:rightFromText="180" w:bottomFromText="0"/>
        <w:tblW w:w="552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2"/>
        <w:gridCol w:w="4281"/>
        <w:gridCol w:w="1557"/>
        <w:gridCol w:w="1256"/>
        <w:gridCol w:w="1596"/>
      </w:tblGrid>
      <w:tr>
        <w:trPr>
          <w:trHeight w:val="877" w:hRule="exact"/>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泗洪姜堰实验学校初中部功能室、实验室采购项目采购包1</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采购清单明细表及技术参数要求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功能室科目名称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836"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non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A-化学智能吊装实验室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一层2间；二层1间</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B-化学数字化探究</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C-化学考评实验室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二层1间</w:t>
            </w:r>
            <w:r/>
          </w:p>
        </w:tc>
      </w:tr>
      <w:tr>
        <w:trPr>
          <w:trHeight w:val="665"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D-物理智能吊装实验室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三层2间；四层1间</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E-物理数字化探究</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F-理化生虚拟仿真VR创新实验室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四层1间</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G-物理考评实验室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H-生物智能吊装实验室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I-生物数字化探究</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J-生物考评实验室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K-智慧实验室校级管理平台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L-化学准备室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M-智能药品室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N-化学智能危化品室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O-物理准备室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P-生物器材准备室1</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Q-生物器材准备室2</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五层</w:t>
            </w:r>
            <w:r/>
          </w:p>
        </w:tc>
      </w:tr>
    </w:tbl>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Calibri" w:hAnsi="Calibri" w:eastAsia="宋体" w:cs="Times New Roman"/>
          <w:color w:val="auto"/>
          <w:sz w:val="21"/>
          <w:szCs w:val="24"/>
          <w:highlight w:val="none"/>
          <w:lang w:val="en-US" w:eastAsia="zh-CN" w:bidi="ar-SA"/>
        </w:rPr>
      </w:pPr>
      <w:r>
        <w:rPr>
          <w:rFonts w:hint="eastAsia" w:ascii="Calibri" w:hAnsi="Calibri" w:eastAsia="宋体" w:cs="Times New Roman"/>
          <w:color w:val="auto"/>
          <w:sz w:val="21"/>
          <w:szCs w:val="24"/>
          <w:highlight w:val="none"/>
          <w:lang w:val="en-US" w:eastAsia="zh-CN" w:bidi="ar-SA"/>
        </w:rPr>
      </w:r>
      <w:r/>
    </w:p>
    <w:p>
      <w:pPr>
        <w:rPr>
          <w:rFonts w:hint="eastAsia"/>
          <w:color w:val="auto"/>
          <w:highlight w:val="none"/>
          <w:lang w:val="en-US" w:eastAsia="zh-CN"/>
        </w:rPr>
      </w:pPr>
      <w:r>
        <w:rPr>
          <w:rFonts w:hint="eastAsia"/>
          <w:color w:val="auto"/>
          <w:highlight w:val="none"/>
          <w:lang w:val="en-US" w:eastAsia="zh-CN"/>
        </w:rPr>
      </w:r>
      <w:r/>
    </w:p>
    <w:p>
      <w:pPr>
        <w:jc w:val="left"/>
        <w:rPr>
          <w:rFonts w:hint="eastAsia"/>
          <w:b/>
          <w:bCs/>
          <w:color w:val="auto"/>
          <w:highlight w:val="none"/>
          <w:lang w:val="en-US" w:eastAsia="zh-CN"/>
        </w:rPr>
      </w:pPr>
      <w:r>
        <w:rPr>
          <w:rFonts w:hint="eastAsia"/>
          <w:b/>
          <w:bCs/>
          <w:color w:val="auto"/>
          <w:highlight w:val="none"/>
          <w:lang w:val="en-US" w:eastAsia="zh-CN"/>
        </w:rPr>
        <w:t xml:space="preserve">注：以下清单为1间教室的清单。请投标人先按照1间教室清单汇总价格后再进行采购包总价汇总合计。</w:t>
      </w:r>
      <w:r/>
    </w:p>
    <w:p>
      <w:pPr>
        <w:jc w:val="left"/>
        <w:rPr>
          <w:rFonts w:hint="eastAsia"/>
          <w:b/>
          <w:bCs/>
          <w:color w:val="auto"/>
          <w:highlight w:val="none"/>
          <w:lang w:val="en-US" w:eastAsia="zh-CN"/>
        </w:rPr>
      </w:pPr>
      <w:r>
        <w:rPr>
          <w:rFonts w:hint="eastAsia"/>
          <w:b/>
          <w:bCs/>
          <w:color w:val="auto"/>
          <w:highlight w:val="none"/>
          <w:lang w:val="en-US" w:eastAsia="zh-CN"/>
        </w:rPr>
      </w:r>
      <w:r/>
    </w:p>
    <w:p>
      <w:pPr>
        <w:jc w:val="left"/>
        <w:rPr>
          <w:rFonts w:hint="eastAsia"/>
          <w:b/>
          <w:bCs/>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b/>
          <w:bCs/>
          <w:color w:val="auto"/>
          <w:highlight w:val="none"/>
          <w:lang w:val="en-US" w:eastAsia="zh-CN"/>
        </w:rPr>
      </w:r>
      <w:r/>
    </w:p>
    <w:p>
      <w:pPr>
        <w:jc w:val="left"/>
        <w:rPr>
          <w:rFonts w:hint="eastAsia"/>
          <w:b/>
          <w:bCs/>
          <w:color w:val="auto"/>
          <w:highlight w:val="none"/>
          <w:lang w:val="en-US" w:eastAsia="zh-CN"/>
        </w:rPr>
      </w:pPr>
      <w:r>
        <w:rPr>
          <w:rFonts w:hint="eastAsia"/>
          <w:b/>
          <w:bCs/>
          <w:color w:val="auto"/>
          <w:highlight w:val="none"/>
          <w:lang w:val="en-US" w:eastAsia="zh-CN"/>
        </w:rPr>
      </w:r>
      <w:r/>
    </w:p>
    <w:p>
      <w:pPr>
        <w:jc w:val="left"/>
        <w:rPr>
          <w:rFonts w:hint="eastAsia"/>
          <w:b/>
          <w:bCs/>
          <w:color w:val="auto"/>
          <w:highlight w:val="none"/>
          <w:lang w:val="en-US" w:eastAsia="zh-CN"/>
        </w:rPr>
      </w:pPr>
      <w:r>
        <w:rPr>
          <w:rFonts w:hint="eastAsia"/>
          <w:b/>
          <w:bCs/>
          <w:color w:val="auto"/>
          <w:highlight w:val="none"/>
          <w:lang w:val="en-US" w:eastAsia="zh-CN"/>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054"/>
        <w:gridCol w:w="6659"/>
        <w:gridCol w:w="703"/>
        <w:gridCol w:w="733"/>
      </w:tblGrid>
      <w:tr>
        <w:trPr>
          <w:trHeight w:val="285"/>
        </w:trPr>
        <w:tc>
          <w:tcPr>
            <w:gridSpan w:val="5"/>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A-56座化学智能吊装实验室</w:t>
            </w:r>
            <w:r/>
          </w:p>
        </w:tc>
      </w:tr>
      <w:tr>
        <w:trPr>
          <w:trHeight w:val="285"/>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3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85"/>
        </w:trPr>
        <w:tc>
          <w:tcPr>
            <w:gridSpan w:val="3"/>
            <w:tcW w:w="427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A1、实验室基础设备配置</w:t>
            </w:r>
            <w:r/>
          </w:p>
        </w:tc>
        <w:tc>
          <w:tcPr>
            <w:tcW w:w="353"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366"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015"/>
        </w:trPr>
        <w:tc>
          <w:tcPr>
            <w:tcW w:w="408"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A1-01</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Style w:val="943"/>
                <w:rFonts w:hint="eastAsia" w:ascii="宋体" w:hAnsi="宋体" w:eastAsia="宋体" w:cs="宋体"/>
                <w:color w:val="auto"/>
                <w:sz w:val="21"/>
                <w:szCs w:val="21"/>
                <w:highlight w:val="none"/>
                <w:lang w:val="en-US" w:eastAsia="zh-CN" w:bidi="ar"/>
              </w:rPr>
              <w:t xml:space="preserve">教师演示台</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#1、规格：≥L2400mm*W700mm*H850mm； 台面：采用≥25mm厚理化板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桌身：整体采用≥1.0mm厚冷轧钢板，全部钢制件镀膜防锈处理。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、结构：演示台设有储物柜，中间为演示台,设置电源主控系统、多媒体设备（主机、显示器、中控、功放、交换机）的位置预留。含PP水槽、下水管及三联水嘴。                                                                                                                                                                          #</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、柜门：门板加衬板双层结构，内含填充物。</w:t>
            </w:r>
            <w:r>
              <w:rPr>
                <w:rStyle w:val="943"/>
                <w:rFonts w:hint="eastAsia" w:ascii="宋体" w:hAnsi="宋体" w:eastAsia="宋体" w:cs="宋体"/>
                <w:color w:val="auto"/>
                <w:sz w:val="21"/>
                <w:szCs w:val="21"/>
                <w:highlight w:val="none"/>
                <w:lang w:val="en-US" w:eastAsia="zh-CN" w:bidi="ar"/>
              </w:rPr>
              <w:t xml:space="preserve">滑道：抽屉全部采用三节承重式滚珠滑道。</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w:t>
            </w:r>
            <w:r>
              <w:rPr>
                <w:rStyle w:val="943"/>
                <w:rFonts w:hint="eastAsia" w:ascii="宋体" w:hAnsi="宋体" w:cs="宋体"/>
                <w:color w:val="auto"/>
                <w:sz w:val="21"/>
                <w:szCs w:val="21"/>
                <w:highlight w:val="none"/>
                <w:lang w:val="en-US" w:eastAsia="zh-CN" w:bidi="ar"/>
              </w:rPr>
              <w:t xml:space="preserve">4</w:t>
            </w:r>
            <w:r>
              <w:rPr>
                <w:rStyle w:val="943"/>
                <w:rFonts w:hint="eastAsia" w:ascii="宋体" w:hAnsi="宋体" w:eastAsia="宋体" w:cs="宋体"/>
                <w:color w:val="auto"/>
                <w:sz w:val="21"/>
                <w:szCs w:val="21"/>
                <w:highlight w:val="none"/>
                <w:lang w:val="en-US" w:eastAsia="zh-CN" w:bidi="ar"/>
              </w:rPr>
              <w:t xml:space="preserve">、三联水嘴：鹅颈式实验室专用化验水嘴：要求防酸碱、防锈、防虹吸、防阻塞，表面环氧树脂喷涂。开关阀芯为铜质陶瓷芯，高头，可拆卸清洗阻塞。出水嘴可拆卸，内有成型螺纹，可方便连接循环等特殊用水水管。</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w:t>
            </w:r>
            <w:r>
              <w:rPr>
                <w:rStyle w:val="943"/>
                <w:rFonts w:hint="eastAsia" w:ascii="宋体" w:hAnsi="宋体" w:cs="宋体"/>
                <w:color w:val="auto"/>
                <w:sz w:val="21"/>
                <w:szCs w:val="21"/>
                <w:highlight w:val="none"/>
                <w:lang w:val="en-US" w:eastAsia="zh-CN" w:bidi="ar"/>
              </w:rPr>
              <w:t xml:space="preserve">5</w:t>
            </w:r>
            <w:r>
              <w:rPr>
                <w:rStyle w:val="943"/>
                <w:rFonts w:hint="eastAsia" w:ascii="宋体" w:hAnsi="宋体" w:eastAsia="宋体" w:cs="宋体"/>
                <w:color w:val="auto"/>
                <w:sz w:val="21"/>
                <w:szCs w:val="21"/>
                <w:highlight w:val="none"/>
                <w:lang w:val="en-US" w:eastAsia="zh-CN" w:bidi="ar"/>
              </w:rPr>
              <w:t xml:space="preserve">、下水管：水槽专配型排水管，不锈钢卡扣连接，安装方便不渗漏。</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w:t>
            </w:r>
            <w:r>
              <w:rPr>
                <w:rStyle w:val="943"/>
                <w:rFonts w:hint="eastAsia" w:ascii="宋体" w:hAnsi="宋体" w:cs="宋体"/>
                <w:color w:val="auto"/>
                <w:sz w:val="21"/>
                <w:szCs w:val="21"/>
                <w:highlight w:val="none"/>
                <w:lang w:val="en-US" w:eastAsia="zh-CN" w:bidi="ar"/>
              </w:rPr>
              <w:t xml:space="preserve">6</w:t>
            </w:r>
            <w:r>
              <w:rPr>
                <w:rStyle w:val="943"/>
                <w:rFonts w:hint="eastAsia" w:ascii="宋体" w:hAnsi="宋体" w:eastAsia="宋体" w:cs="宋体"/>
                <w:color w:val="auto"/>
                <w:sz w:val="21"/>
                <w:szCs w:val="21"/>
                <w:highlight w:val="none"/>
                <w:lang w:val="en-US" w:eastAsia="zh-CN" w:bidi="ar"/>
              </w:rPr>
              <w:t xml:space="preserve">、教师演示台技术要求</w:t>
            </w:r>
            <w:r>
              <w:rPr>
                <w:rStyle w:val="943"/>
                <w:rFonts w:hint="eastAsia" w:ascii="宋体" w:hAnsi="宋体" w:cs="宋体"/>
                <w:color w:val="auto"/>
                <w:sz w:val="21"/>
                <w:szCs w:val="21"/>
                <w:highlight w:val="none"/>
                <w:lang w:val="en-US" w:eastAsia="zh-CN" w:bidi="ar"/>
              </w:rPr>
              <w:t xml:space="preserve">符合</w:t>
            </w:r>
            <w:r>
              <w:rPr>
                <w:rStyle w:val="943"/>
                <w:rFonts w:hint="eastAsia" w:ascii="宋体" w:hAnsi="宋体" w:eastAsia="宋体" w:cs="宋体"/>
                <w:color w:val="auto"/>
                <w:sz w:val="21"/>
                <w:szCs w:val="21"/>
                <w:highlight w:val="none"/>
                <w:lang w:val="en-US" w:eastAsia="zh-CN" w:bidi="ar"/>
              </w:rPr>
              <w:t xml:space="preserve">：GB/T24820-2024实验室家具通用技术条件</w:t>
            </w:r>
            <w:r>
              <w:rPr>
                <w:rStyle w:val="947"/>
                <w:rFonts w:hint="eastAsia" w:ascii="宋体" w:hAnsi="宋体" w:eastAsia="宋体" w:cs="宋体"/>
                <w:color w:val="auto"/>
                <w:sz w:val="21"/>
                <w:szCs w:val="21"/>
                <w:highlight w:val="none"/>
                <w:lang w:val="en-US" w:eastAsia="zh-CN" w:bidi="ar"/>
              </w:rPr>
              <w:t xml:space="preserve">（提供具有CMA标识的第三方检测机构出具的检测报告原件扫描件）</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467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A1-02</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教师总控电源</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#1、采用密码开机管理；具有年月日，时分秒，定时自动关机功能；定时关机时间可以教师根据任务要求按需设定；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、采用耐用的数码管显示教师和学生交直流电压，电流；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、分4组向学生实验桌输出安全的220V交流电源，具备漏电及过载保护功能；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、教师可远程控制和锁定学生电源的低压交、直流电压。控制交流0V - 30V，分辨率为1V；直流0V - 30.0V，分辨率为0.1V。分4组控制；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、教师自用低压交流电源电压为0V-18V/3A、19V-30V/2A，分辨率为1V。具备自动过载保护功能；教师自用低压直流电源电压为0V-18.0V/2A、18.0V-30.0V/1.5A，分辨率为0.1V。</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、具备自动过载保护功能；大电流短时输出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自动关断；</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A1-03</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实验桌</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#1、规格：约L1200mm*W600mm*H780mm；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#2、台面：选用实验室专用 ≥20mm 厚陶瓷台面，耐高温、釉面和坯体结合后不脱落、不脱层，耐磨、耐强腐蚀，釉面有</w:t>
            </w:r>
            <w:r>
              <w:rPr>
                <w:rFonts w:hint="eastAsia" w:ascii="宋体" w:hAnsi="宋体" w:cs="宋体"/>
                <w:i w:val="0"/>
                <w:iCs w:val="0"/>
                <w:strike w:val="0"/>
                <w:color w:val="auto"/>
                <w:sz w:val="21"/>
                <w:szCs w:val="21"/>
                <w:highlight w:val="none"/>
                <w:u w:val="none"/>
                <w:lang w:val="en-US" w:eastAsia="zh-CN" w:bidi="ar"/>
              </w:rPr>
              <w:t xml:space="preserve">多种</w:t>
            </w:r>
            <w:r>
              <w:rPr>
                <w:rFonts w:hint="eastAsia" w:ascii="宋体" w:hAnsi="宋体" w:eastAsia="宋体" w:cs="宋体"/>
                <w:i w:val="0"/>
                <w:iCs w:val="0"/>
                <w:color w:val="auto"/>
                <w:sz w:val="21"/>
                <w:szCs w:val="21"/>
                <w:highlight w:val="none"/>
                <w:u w:val="none"/>
                <w:lang w:val="en-US" w:eastAsia="zh-CN" w:bidi="ar"/>
              </w:rPr>
              <w:t xml:space="preserve">可选。</w:t>
            </w:r>
            <w:r/>
          </w:p>
          <w:p>
            <w:pPr>
              <w:jc w:val="left"/>
              <w:keepLines w:val="0"/>
              <w:keepNext w:val="0"/>
              <w:pageBreakBefore w:val="0"/>
              <w:spacing w:line="320" w:lineRule="exact"/>
              <w:widowControl/>
              <w:rPr>
                <w:rStyle w:val="947"/>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 w:bidi="ar"/>
              </w:rPr>
              <w:t xml:space="preserve">3</w:t>
            </w:r>
            <w:r>
              <w:rPr>
                <w:rFonts w:hint="eastAsia" w:ascii="宋体" w:hAnsi="宋体" w:eastAsia="宋体" w:cs="宋体"/>
                <w:i w:val="0"/>
                <w:iCs w:val="0"/>
                <w:strike w:val="0"/>
                <w:color w:val="auto"/>
                <w:sz w:val="21"/>
                <w:szCs w:val="21"/>
                <w:highlight w:val="none"/>
                <w:u w:val="none"/>
                <w:lang w:val="en-US" w:eastAsia="zh-CN" w:bidi="ar"/>
              </w:rPr>
              <w:t xml:space="preserve">、左右横梁：左右横梁采用≥</w:t>
            </w:r>
            <w:r>
              <w:rPr>
                <w:rFonts w:hint="eastAsia" w:ascii="宋体" w:hAnsi="宋体" w:cs="宋体"/>
                <w:i w:val="0"/>
                <w:iCs w:val="0"/>
                <w:strike w:val="0"/>
                <w:color w:val="auto"/>
                <w:sz w:val="21"/>
                <w:szCs w:val="21"/>
                <w:highlight w:val="none"/>
                <w:u w:val="none"/>
                <w:lang w:val="en-US" w:eastAsia="zh" w:bidi="ar"/>
              </w:rPr>
              <w:t xml:space="preserve">1.5</w:t>
            </w:r>
            <w:r>
              <w:rPr>
                <w:rFonts w:hint="eastAsia" w:ascii="宋体" w:hAnsi="宋体" w:eastAsia="宋体" w:cs="宋体"/>
                <w:i w:val="0"/>
                <w:iCs w:val="0"/>
                <w:strike w:val="0"/>
                <w:color w:val="auto"/>
                <w:sz w:val="21"/>
                <w:szCs w:val="21"/>
                <w:highlight w:val="none"/>
                <w:u w:val="none"/>
                <w:lang w:val="en-US" w:eastAsia="zh-CN" w:bidi="ar"/>
              </w:rPr>
              <w:t xml:space="preserve">mm冷轧钢板焊接成型，表面经高压静电喷涂环氧树脂防护层，耐酸碱，耐腐蚀处理；</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 w:bidi="ar"/>
              </w:rPr>
              <w:t xml:space="preserve">4</w:t>
            </w:r>
            <w:r>
              <w:rPr>
                <w:rFonts w:hint="eastAsia" w:ascii="宋体" w:hAnsi="宋体" w:eastAsia="宋体" w:cs="宋体"/>
                <w:i w:val="0"/>
                <w:iCs w:val="0"/>
                <w:strike w:val="0"/>
                <w:color w:val="auto"/>
                <w:sz w:val="21"/>
                <w:szCs w:val="21"/>
                <w:highlight w:val="none"/>
                <w:u w:val="none"/>
                <w:lang w:val="en-US" w:eastAsia="zh-CN" w:bidi="ar"/>
              </w:rPr>
              <w:t xml:space="preserve">、前中横梁：左右横梁采用≥</w:t>
            </w:r>
            <w:r>
              <w:rPr>
                <w:rFonts w:hint="eastAsia" w:ascii="宋体" w:hAnsi="宋体" w:cs="宋体"/>
                <w:i w:val="0"/>
                <w:iCs w:val="0"/>
                <w:strike w:val="0"/>
                <w:color w:val="auto"/>
                <w:sz w:val="21"/>
                <w:szCs w:val="21"/>
                <w:highlight w:val="none"/>
                <w:u w:val="none"/>
                <w:lang w:val="en-US" w:eastAsia="zh-CN" w:bidi="ar"/>
              </w:rPr>
              <w:t xml:space="preserve">1</w:t>
            </w:r>
            <w:r>
              <w:rPr>
                <w:rFonts w:hint="eastAsia" w:ascii="宋体" w:hAnsi="宋体" w:eastAsia="宋体" w:cs="宋体"/>
                <w:i w:val="0"/>
                <w:iCs w:val="0"/>
                <w:strike w:val="0"/>
                <w:color w:val="auto"/>
                <w:sz w:val="21"/>
                <w:szCs w:val="21"/>
                <w:highlight w:val="none"/>
                <w:u w:val="none"/>
                <w:lang w:val="en-US" w:eastAsia="zh-CN" w:bidi="ar"/>
              </w:rPr>
              <w:t xml:space="preserve">.0mm冷轧钢板焊接成型，表面经高压静电喷涂环氧树脂防护层，耐酸碱，耐腐蚀处理；</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 w:bidi="ar"/>
              </w:rPr>
              <w:t xml:space="preserve">5</w:t>
            </w:r>
            <w:r>
              <w:rPr>
                <w:rFonts w:hint="eastAsia" w:ascii="宋体" w:hAnsi="宋体" w:eastAsia="宋体" w:cs="宋体"/>
                <w:i w:val="0"/>
                <w:iCs w:val="0"/>
                <w:strike w:val="0"/>
                <w:color w:val="auto"/>
                <w:sz w:val="21"/>
                <w:szCs w:val="21"/>
                <w:highlight w:val="none"/>
                <w:u w:val="none"/>
                <w:lang w:val="en-US" w:eastAsia="zh-CN" w:bidi="ar"/>
              </w:rPr>
              <w:t xml:space="preserve">、后横梁：后横梁采用铝合金挤出，壁厚≥1.</w:t>
            </w:r>
            <w:r>
              <w:rPr>
                <w:rFonts w:hint="eastAsia" w:ascii="宋体" w:hAnsi="宋体" w:cs="宋体"/>
                <w:i w:val="0"/>
                <w:iCs w:val="0"/>
                <w:strike w:val="0"/>
                <w:color w:val="auto"/>
                <w:sz w:val="21"/>
                <w:szCs w:val="21"/>
                <w:highlight w:val="none"/>
                <w:u w:val="none"/>
                <w:lang w:val="en-US" w:eastAsia="zh" w:bidi="ar"/>
              </w:rPr>
              <w:t xml:space="preserve">0</w:t>
            </w:r>
            <w:r>
              <w:rPr>
                <w:rFonts w:hint="eastAsia" w:ascii="宋体" w:hAnsi="宋体" w:eastAsia="宋体" w:cs="宋体"/>
                <w:i w:val="0"/>
                <w:iCs w:val="0"/>
                <w:strike w:val="0"/>
                <w:color w:val="auto"/>
                <w:sz w:val="21"/>
                <w:szCs w:val="21"/>
                <w:highlight w:val="none"/>
                <w:u w:val="none"/>
                <w:lang w:val="en-US" w:eastAsia="zh-CN" w:bidi="ar"/>
              </w:rPr>
              <w:t xml:space="preserve">mm，表面经高压静电喷涂环氧树脂防护层，耐酸碱，耐腐蚀处理；</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 w:bidi="ar"/>
              </w:rPr>
              <w:t xml:space="preserve">6</w:t>
            </w:r>
            <w:r>
              <w:rPr>
                <w:rFonts w:hint="eastAsia" w:ascii="宋体" w:hAnsi="宋体" w:eastAsia="宋体" w:cs="宋体"/>
                <w:i w:val="0"/>
                <w:iCs w:val="0"/>
                <w:strike w:val="0"/>
                <w:color w:val="auto"/>
                <w:sz w:val="21"/>
                <w:szCs w:val="21"/>
                <w:highlight w:val="none"/>
                <w:u w:val="none"/>
                <w:lang w:val="en-US" w:eastAsia="zh-CN" w:bidi="ar"/>
              </w:rPr>
              <w:t xml:space="preserve">、拉筋：拉筋采用壁厚为≥1.</w:t>
            </w:r>
            <w:r>
              <w:rPr>
                <w:rFonts w:hint="eastAsia" w:ascii="宋体" w:hAnsi="宋体" w:cs="宋体"/>
                <w:i w:val="0"/>
                <w:iCs w:val="0"/>
                <w:strike w:val="0"/>
                <w:color w:val="auto"/>
                <w:sz w:val="21"/>
                <w:szCs w:val="21"/>
                <w:highlight w:val="none"/>
                <w:u w:val="none"/>
                <w:lang w:val="en-US" w:eastAsia="zh" w:bidi="ar"/>
              </w:rPr>
              <w:t xml:space="preserve">0</w:t>
            </w:r>
            <w:r>
              <w:rPr>
                <w:rFonts w:hint="eastAsia" w:ascii="宋体" w:hAnsi="宋体" w:eastAsia="宋体" w:cs="宋体"/>
                <w:i w:val="0"/>
                <w:iCs w:val="0"/>
                <w:strike w:val="0"/>
                <w:color w:val="auto"/>
                <w:sz w:val="21"/>
                <w:szCs w:val="21"/>
                <w:highlight w:val="none"/>
                <w:u w:val="none"/>
                <w:lang w:val="en-US" w:eastAsia="zh-CN" w:bidi="ar"/>
              </w:rPr>
              <w:t xml:space="preserve">mm，60*30的平椭圆管与≥3.</w:t>
            </w:r>
            <w:r>
              <w:rPr>
                <w:rFonts w:hint="eastAsia" w:ascii="宋体" w:hAnsi="宋体" w:cs="宋体"/>
                <w:i w:val="0"/>
                <w:iCs w:val="0"/>
                <w:strike w:val="0"/>
                <w:color w:val="auto"/>
                <w:sz w:val="21"/>
                <w:szCs w:val="21"/>
                <w:highlight w:val="none"/>
                <w:u w:val="none"/>
                <w:lang w:val="en-US" w:eastAsia="zh-CN" w:bidi="ar"/>
              </w:rPr>
              <w:t xml:space="preserve">0</w:t>
            </w:r>
            <w:r>
              <w:rPr>
                <w:rFonts w:hint="eastAsia" w:ascii="宋体" w:hAnsi="宋体" w:eastAsia="宋体" w:cs="宋体"/>
                <w:i w:val="0"/>
                <w:iCs w:val="0"/>
                <w:strike w:val="0"/>
                <w:color w:val="auto"/>
                <w:sz w:val="21"/>
                <w:szCs w:val="21"/>
                <w:highlight w:val="none"/>
                <w:u w:val="none"/>
                <w:lang w:val="en-US" w:eastAsia="zh-CN" w:bidi="ar"/>
              </w:rPr>
              <w:t xml:space="preserve">mm的连接片焊接而成，表面经高压静电喷涂环氧树脂防护层，耐酸碱，耐腐蚀处理；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7</w:t>
            </w:r>
            <w:r>
              <w:rPr>
                <w:rFonts w:hint="eastAsia" w:ascii="宋体" w:hAnsi="宋体" w:eastAsia="宋体" w:cs="宋体"/>
                <w:i w:val="0"/>
                <w:iCs w:val="0"/>
                <w:color w:val="auto"/>
                <w:sz w:val="21"/>
                <w:szCs w:val="21"/>
                <w:highlight w:val="none"/>
                <w:u w:val="none"/>
                <w:lang w:val="en-US" w:eastAsia="zh-CN" w:bidi="ar"/>
              </w:rPr>
              <w:t xml:space="preserve">、书包斗：采用PP工程塑料作原料，经模具注塑一次成型，外形规格：420mm×300㎜×175㎜</w:t>
            </w:r>
            <w:r>
              <w:rPr>
                <w:rFonts w:hint="eastAsia" w:ascii="宋体" w:hAnsi="宋体" w:cs="宋体"/>
                <w:i w:val="0"/>
                <w:iCs w:val="0"/>
                <w:color w:val="auto"/>
                <w:sz w:val="21"/>
                <w:szCs w:val="21"/>
                <w:highlight w:val="none"/>
                <w:u w:val="none"/>
                <w:lang w:val="en-US" w:eastAsia="zh-CN" w:bidi="ar"/>
              </w:rPr>
              <w:t xml:space="preserve">（±20mm）</w:t>
            </w:r>
            <w:r>
              <w:rPr>
                <w:rFonts w:hint="eastAsia" w:ascii="宋体" w:hAnsi="宋体" w:eastAsia="宋体" w:cs="宋体"/>
                <w:i w:val="0"/>
                <w:iCs w:val="0"/>
                <w:color w:val="auto"/>
                <w:sz w:val="21"/>
                <w:szCs w:val="21"/>
                <w:highlight w:val="none"/>
                <w:u w:val="none"/>
                <w:lang w:val="en-US" w:eastAsia="zh-CN" w:bidi="ar"/>
              </w:rPr>
              <w:t xml:space="preserve">，壁厚≥3mm；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8</w:t>
            </w:r>
            <w:r>
              <w:rPr>
                <w:rFonts w:hint="eastAsia" w:ascii="宋体" w:hAnsi="宋体" w:eastAsia="宋体" w:cs="宋体"/>
                <w:i w:val="0"/>
                <w:iCs w:val="0"/>
                <w:color w:val="auto"/>
                <w:sz w:val="21"/>
                <w:szCs w:val="21"/>
                <w:highlight w:val="none"/>
                <w:u w:val="none"/>
                <w:lang w:val="en-US" w:eastAsia="zh-CN" w:bidi="ar"/>
              </w:rPr>
              <w:t xml:space="preserve">、实验桌技术要求</w:t>
            </w:r>
            <w:r>
              <w:rPr>
                <w:rFonts w:hint="eastAsia" w:ascii="宋体" w:hAnsi="宋体" w:cs="宋体"/>
                <w:i w:val="0"/>
                <w:iCs w:val="0"/>
                <w:color w:val="auto"/>
                <w:sz w:val="21"/>
                <w:szCs w:val="21"/>
                <w:highlight w:val="none"/>
                <w:u w:val="none"/>
                <w:lang w:val="en-US" w:eastAsia="zh-CN" w:bidi="ar"/>
              </w:rPr>
              <w:t xml:space="preserve">符合</w:t>
            </w:r>
            <w:r>
              <w:rPr>
                <w:rFonts w:hint="eastAsia" w:ascii="宋体" w:hAnsi="宋体" w:eastAsia="宋体" w:cs="宋体"/>
                <w:i w:val="0"/>
                <w:iCs w:val="0"/>
                <w:color w:val="auto"/>
                <w:sz w:val="21"/>
                <w:szCs w:val="21"/>
                <w:highlight w:val="none"/>
                <w:u w:val="none"/>
                <w:lang w:val="en-US" w:eastAsia="zh-CN" w:bidi="ar"/>
              </w:rPr>
              <w:t xml:space="preserve">：</w:t>
            </w:r>
            <w:r>
              <w:rPr>
                <w:rStyle w:val="943"/>
                <w:rFonts w:hint="eastAsia" w:ascii="宋体" w:hAnsi="宋体" w:eastAsia="宋体" w:cs="宋体"/>
                <w:color w:val="auto"/>
                <w:sz w:val="21"/>
                <w:szCs w:val="21"/>
                <w:highlight w:val="none"/>
                <w:lang w:val="en-US" w:eastAsia="zh-CN" w:bidi="ar"/>
              </w:rPr>
              <w:t xml:space="preserve">GB/T24820-2024实验室家具通用技术条件</w:t>
            </w:r>
            <w:r>
              <w:rPr>
                <w:rStyle w:val="947"/>
                <w:rFonts w:hint="eastAsia" w:ascii="宋体" w:hAnsi="宋体" w:eastAsia="宋体" w:cs="宋体"/>
                <w:color w:val="auto"/>
                <w:sz w:val="21"/>
                <w:szCs w:val="21"/>
                <w:highlight w:val="none"/>
                <w:lang w:val="en-US" w:eastAsia="zh-CN" w:bidi="ar"/>
              </w:rPr>
              <w:t xml:space="preserve">（提供具有CMA标识的第三方检测机构出具的检测报告原件扫描件）</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35"/>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A1-04</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W w:w="3342" w:type="pct"/>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#1、凳面：</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直径≥300mm×30mm 采用环保型PP塑料；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#2、凳架：采用≥20×40×1.2mm椭圆形无缝钢管成型制作，结构牢固，长时间使用也不会产生表面烤漆剥落现象；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#3、升降螺杆：采用内置螺杆式螺旋升降，高度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430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#4、托盘采用≥16</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*16</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MM钢板冲压而成，托盘与螺杆之间设有一个锥形盘加固，使凳子更加稳固；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、脚垫：采用PP塑料；</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r>
      <w:tr>
        <w:trPr>
          <w:trHeight w:val="135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A1-05</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L350*W200*H7</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0mm；整体采用PP材质，耐摔坚固耐酸耐碱，上桶整体注塑成型，侧面无缝无需螺丝安装。</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四角圆弧造型，底脚两侧带与地面带安装孔构建，内部隐藏实验线管及通风管道，壁厚≥2.5MM。</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88"/>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A1-06</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水槽柜</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L450mm*W600mm*H840mm；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#2、水槽：采用PP材料，内置溢水孔，防止水位过高导致溢水；</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w:t>
            </w:r>
            <w:r>
              <w:rPr>
                <w:rStyle w:val="943"/>
                <w:rFonts w:hint="eastAsia" w:ascii="宋体" w:hAnsi="宋体" w:cs="宋体"/>
                <w:color w:val="auto"/>
                <w:sz w:val="21"/>
                <w:szCs w:val="21"/>
                <w:highlight w:val="none"/>
                <w:lang w:val="en-US" w:eastAsia="zh-CN" w:bidi="ar"/>
              </w:rPr>
              <w:t xml:space="preserve">3</w:t>
            </w:r>
            <w:r>
              <w:rPr>
                <w:rStyle w:val="943"/>
                <w:rFonts w:hint="eastAsia" w:ascii="宋体" w:hAnsi="宋体" w:eastAsia="宋体" w:cs="宋体"/>
                <w:color w:val="auto"/>
                <w:sz w:val="21"/>
                <w:szCs w:val="21"/>
                <w:highlight w:val="none"/>
                <w:lang w:val="en-US" w:eastAsia="zh-CN" w:bidi="ar"/>
              </w:rPr>
              <w:t xml:space="preserve">、水槽托架：采用≥1.0mm冷轧钢板焊接成型，表面经喷涂防护层，耐酸碱，耐腐蚀处理,通过螺丝将水槽固定在托架上；</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w:t>
            </w:r>
            <w:r>
              <w:rPr>
                <w:rStyle w:val="943"/>
                <w:rFonts w:hint="eastAsia" w:ascii="宋体" w:hAnsi="宋体" w:cs="宋体"/>
                <w:color w:val="auto"/>
                <w:sz w:val="21"/>
                <w:szCs w:val="21"/>
                <w:highlight w:val="none"/>
                <w:lang w:val="en-US" w:eastAsia="zh-CN" w:bidi="ar"/>
              </w:rPr>
              <w:t xml:space="preserve">4</w:t>
            </w:r>
            <w:r>
              <w:rPr>
                <w:rStyle w:val="943"/>
                <w:rFonts w:hint="eastAsia" w:ascii="宋体" w:hAnsi="宋体" w:eastAsia="宋体" w:cs="宋体"/>
                <w:color w:val="auto"/>
                <w:sz w:val="21"/>
                <w:szCs w:val="21"/>
                <w:highlight w:val="none"/>
                <w:lang w:val="en-US" w:eastAsia="zh-CN" w:bidi="ar"/>
              </w:rPr>
              <w:t xml:space="preserve">、水槽柜体：水槽柜体由侧板、前门板、后门板及底座组成，前后各设置一个柜门；</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A1-07</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上水装置</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#1、用于连接地面水管及水龙头，上水管两端接头采用不锈钢螺帽铜芯，外管是304钢丝+尼龙丝混编的、内管采用三元内管、角阀是钻石轮（塑料包铁）、阀芯和阀体均为铜制；</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A1-08</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下水装置</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#1、采用PP材质专用连接管，配有防虹吸，防阻塞装置，不锈钢卡扣连接；</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A1-09</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三联水嘴</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#1、主体：加厚铜质；陶瓷阀芯90°旋转；鹅颈管可360°旋转；开关旋钮：高密度PP；</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A1-10</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≥L500mm*W500mm*H800mm； 靠背及下座采用高密度网布格，阻燃、舒适、回弹性好；面料为网布格，骨架钢管电镀，气动升降</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                                                                                                                                                                                                                                                                </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189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A1-11</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单口洗眼器</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#1、台面安装方式：平时放置于台面，紧急使用时可随意抽起，使用方便；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#2、洗眼喷头：具有过滤泡棉及防尘功能，使用时可随时被水冲开，并降低突然打开时短暂的高水压，避免冲伤眼睛；控水阀采用黄铜制作，经高亮度环氧树脂涂层处理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阀门可自动关闭；</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、供水软管：采用≥1.5米长不锈钢软管。                                                                        </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15"/>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A1-12</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智能云盒</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#1.天线类型：内置天线；CPU参数：双核心、四线程、≥2.2GHZ、三级缓存4MB；RAM：≥8GB；</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#2.内置硬盘：≥128GB，支持截屏图片、录制视频的存储与调用；HDMI接口：具备≥2个HDMI输入接口，支持有线接入；具备≥2个HDMI输出接口，支持输出到≥2个不同的大屏端；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影音</w:t>
            </w:r>
            <w:r>
              <w:rPr>
                <w:rFonts w:hint="eastAsia" w:ascii="宋体" w:hAnsi="宋体" w:cs="宋体"/>
                <w:i w:val="0"/>
                <w:iCs w:val="0"/>
                <w:color w:val="auto"/>
                <w:sz w:val="21"/>
                <w:szCs w:val="21"/>
                <w:highlight w:val="none"/>
                <w:u w:val="none"/>
                <w:lang w:val="en-US" w:eastAsia="zh-CN" w:bidi="ar"/>
              </w:rPr>
              <w:t xml:space="preserve">连接</w:t>
            </w:r>
            <w:r>
              <w:rPr>
                <w:rFonts w:hint="eastAsia" w:ascii="宋体" w:hAnsi="宋体" w:eastAsia="宋体" w:cs="宋体"/>
                <w:i w:val="0"/>
                <w:iCs w:val="0"/>
                <w:color w:val="auto"/>
                <w:sz w:val="21"/>
                <w:szCs w:val="21"/>
                <w:highlight w:val="none"/>
                <w:u w:val="none"/>
                <w:lang w:val="en-US" w:eastAsia="zh-CN" w:bidi="ar"/>
              </w:rPr>
              <w:t xml:space="preserve">，支持麦克风连接；支持音箱连接；USB接口：具备≥3个USB接口；内置无线AP：内置无线AP模块；</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.网络接口：具备≥3个数据接口，支持WAN口外接网线接入互联网，或LAN口外接网线输出网络数据；网络工作模式：支持无线路由器、无线交换和网络终端</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模式；HDMI输出适配：支持多种显示分辨率，可自动适配外接的大屏端分辨率，最高支持3840*2160分辨率；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.支持定时重启功能，投屏传输距离大于100米。</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27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A1-13</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课堂交互系统软件</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#1.多语言切换：系统支持多种语言模式的快速切换；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#2.屏幕工具条：工具条具有截屏、录制、广播、布局、切屏、批注、白板、互动等功能按钮。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#3.软件遥控器：</w:t>
            </w:r>
            <w:r>
              <w:rPr>
                <w:rFonts w:hint="eastAsia" w:ascii="宋体" w:hAnsi="宋体" w:cs="宋体"/>
                <w:i w:val="0"/>
                <w:iCs w:val="0"/>
                <w:color w:val="auto"/>
                <w:sz w:val="21"/>
                <w:szCs w:val="21"/>
                <w:highlight w:val="none"/>
                <w:u w:val="none"/>
                <w:lang w:val="en-US" w:eastAsia="zh-CN" w:bidi="ar"/>
              </w:rPr>
              <w:t xml:space="preserve">扫</w:t>
            </w:r>
            <w:r>
              <w:rPr>
                <w:rFonts w:hint="eastAsia" w:ascii="宋体" w:hAnsi="宋体" w:eastAsia="宋体" w:cs="宋体"/>
                <w:i w:val="0"/>
                <w:iCs w:val="0"/>
                <w:color w:val="auto"/>
                <w:sz w:val="21"/>
                <w:szCs w:val="21"/>
                <w:highlight w:val="none"/>
                <w:u w:val="none"/>
                <w:lang w:val="en-US" w:eastAsia="zh-CN" w:bidi="ar"/>
              </w:rPr>
              <w:t xml:space="preserve">码下载遥控器APP即可将移动终端作为控制端，软件控制端支持截屏、录制、广播、布局、批注、白板、互动等功能按钮，支持Windows、Android、iOS系统设备安装控制端软件。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#4.全屏缩放：支持在遥控器APP端或触控显示屏端对显示画面进行缩小、放大操作，能够对单屏或多屏画面进行放大。</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#5.国产化支持：支持国产操作系统和国产CPU环境下，实现</w:t>
            </w:r>
            <w:r>
              <w:rPr>
                <w:rFonts w:hint="eastAsia" w:ascii="宋体" w:hAnsi="宋体" w:eastAsia="宋体" w:cs="宋体"/>
                <w:i w:val="0"/>
                <w:iCs w:val="0"/>
                <w:strike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个国产电脑同时接入教学互动终端，≥10个画面同时显示。</w:t>
            </w:r>
            <w:r/>
          </w:p>
          <w:p>
            <w:pPr>
              <w:jc w:val="left"/>
              <w:keepLines w:val="0"/>
              <w:keepNext w:val="0"/>
              <w:pageBreakBefore w:val="0"/>
              <w:spacing w:line="320" w:lineRule="exact"/>
              <w:widowControl/>
              <w:rPr>
                <w:rFonts w:hint="eastAsia" w:ascii="宋体" w:hAnsi="宋体" w:eastAsia="宋体" w:cs="宋体"/>
                <w:i w:val="0"/>
                <w:iCs w:val="0"/>
                <w:strike/>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实验展播：支持通过网络把网络摄像机信号接入，在教学互动终端上直接读取显示。可以通过APP遥控器或屏幕工具栏对摄像机预置≥20个机位，使用时可以对摄像机快速切换机位，支持调整摄像机转动速度的快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7</w:t>
            </w:r>
            <w:r>
              <w:rPr>
                <w:rFonts w:hint="eastAsia" w:ascii="宋体" w:hAnsi="宋体" w:eastAsia="宋体" w:cs="宋体"/>
                <w:i w:val="0"/>
                <w:iCs w:val="0"/>
                <w:color w:val="auto"/>
                <w:sz w:val="21"/>
                <w:szCs w:val="21"/>
                <w:highlight w:val="none"/>
                <w:u w:val="none"/>
                <w:lang w:val="en-US" w:eastAsia="zh-CN" w:bidi="ar"/>
              </w:rPr>
              <w:t xml:space="preserve">.多种画面布局显示：支持≥10个投屏设备同时接入教学互动终端，≥10个画面同时显示，且支持Auto（自适应）画面。一键截屏：支持一键截取当前屏幕的显示画面。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8</w:t>
            </w:r>
            <w:r>
              <w:rPr>
                <w:rFonts w:hint="eastAsia" w:ascii="宋体" w:hAnsi="宋体" w:eastAsia="宋体" w:cs="宋体"/>
                <w:i w:val="0"/>
                <w:iCs w:val="0"/>
                <w:color w:val="auto"/>
                <w:sz w:val="21"/>
                <w:szCs w:val="21"/>
                <w:highlight w:val="none"/>
                <w:u w:val="none"/>
                <w:lang w:val="en-US" w:eastAsia="zh-CN" w:bidi="ar"/>
              </w:rPr>
              <w:t xml:space="preserve">.微课录制：支持多种方式开启微课录制，如教学互动终端的“录制”按键、屏幕工具条的“录制”按钮和遥控器APP中的“录制”按钮；支持屏幕多画面和外接麦克风声音同步录入，录制的视频可保存在外接U盘、云盘或内置硬盘中，支持存储空间不足时的文字提醒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9</w:t>
            </w:r>
            <w:r>
              <w:rPr>
                <w:rFonts w:hint="eastAsia" w:ascii="宋体" w:hAnsi="宋体" w:eastAsia="宋体" w:cs="宋体"/>
                <w:i w:val="0"/>
                <w:iCs w:val="0"/>
                <w:color w:val="auto"/>
                <w:sz w:val="21"/>
                <w:szCs w:val="21"/>
                <w:highlight w:val="none"/>
                <w:u w:val="none"/>
                <w:lang w:val="en-US" w:eastAsia="zh-CN" w:bidi="ar"/>
              </w:rPr>
              <w:t xml:space="preserve">.App应用：支持第三方应用程序嵌入式安装在教学互动终端。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反向控制：支持在触控显示屏上对HDMI有线接入的Windows电脑进行反向控制操作，支持无线投屏的部分Android、Windows设备进行反向控制操作，具有选择开启或关闭功能按钮，同时还支持在显示终端大屏触摸或通过教学互动终端外接鼠标以及遥控器软件进行反向控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1</w:t>
            </w:r>
            <w:r>
              <w:rPr>
                <w:rFonts w:hint="eastAsia" w:ascii="宋体" w:hAnsi="宋体" w:eastAsia="宋体" w:cs="宋体"/>
                <w:i w:val="0"/>
                <w:iCs w:val="0"/>
                <w:color w:val="auto"/>
                <w:sz w:val="21"/>
                <w:szCs w:val="21"/>
                <w:highlight w:val="none"/>
                <w:u w:val="none"/>
                <w:lang w:val="en-US" w:eastAsia="zh-CN" w:bidi="ar"/>
              </w:rPr>
              <w:t xml:space="preserve">.双屏显示：支持教学互动终端外接≥2个显示屏，显示模式包含镜像模式、扩展模式</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显示效果。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.课程录播：支持添加追踪摄像机并对摄像机镜头和焦距进行控制。#1</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.支持常态录播模式、电影模式、手动导播模式。</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635"/>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A1-14</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互动音频处理器</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#1.具有≥4路48V供电麦克风输入； 具有≥4路平衡式线性输入，可接低延时无线麦克风输入（任何频段），无线麦克风和有线麦克风支持闪避设置；具有≥6路平衡式线性输出；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#2.预留1路两通道USB音频接口；2路（左右声道）功放输出，每通道支持2路并联，每路最大100W；物理面板支持远程控制和音频监听、对讲功能。</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A1-15</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全向麦克风</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#1.传感器类型：电容式；频响：50Hz~16kHz；输出阻抗：2.2kΩ（@1kHz）；</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A1-16</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指向麦克风</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#1.传感器类型：Φ24背极式驻极体电容极头；电路特征：JFET阻抗变换；电子平衡；指向性：360度全向拾音，拾音半径</w:t>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8米；频响：50Hz-20kHz；</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A1-17</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音箱</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#1.系统类型：单6.5"专业全频音箱；阻抗：8Ω；频响： 50Hz-18kHz；额定功率： ≥40W；承受功率：≥100W。</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162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A1-18</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跟踪摄像机</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#1.支持4K超高清分辨率图像，最大可提供4K@30fps/25fps图像编码输出，同时向下兼容1080p，720p等分辨率；传感器要求：传感器尺寸≥1/2.8英寸, 有效像素≥800万；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#2.内置图像识别与跟踪算法</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镜头焦距：8±0.3mm；</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#3.摄像机可同时输出≥4路码流的图像，支持全景画面和特写画面同时输出，且至少一路视频支持自动导切视频输出，全景画面和特写画面分辨率同时支持1920x1080@25fps以上；具备畸变矫正功能。</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5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A1-19</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云台摄像机</w:t>
            </w:r>
            <w:r/>
          </w:p>
        </w:tc>
        <w:tc>
          <w:tcPr>
            <w:tcW w:w="3342" w:type="pct"/>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#1.视频分辨率：1080P60，1080P50，1080P30，1080P25，720P60，720P50；200万有效像素高品质HD CMOS传感器；镜头：12x, f3.5mm~42.3mm, F1.8~F2.8；数字变焦：16x；数字降噪：可同时应用2D和3D降噪算法；图像信噪比：≥55dB；</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1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A1-20</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互动电视机</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#1.屏幕物理尺寸≥55吋；屏幕分辨率≥3840*2160；屏幕刷新率≥60Hz；屏幕可视角度≥±176度；整机功耗≤120W。</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85"/>
        </w:trPr>
        <w:tc>
          <w:tcPr>
            <w:gridSpan w:val="3"/>
            <w:tcW w:w="427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A2、智能控制系统</w:t>
            </w:r>
            <w:r/>
          </w:p>
        </w:tc>
        <w:tc>
          <w:tcPr>
            <w:tcW w:w="353"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366"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175"/>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A2-01</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智能系统控制箱</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L</w:t>
            </w:r>
            <w:r>
              <w:rPr>
                <w:rFonts w:hint="eastAsia" w:ascii="宋体" w:hAnsi="宋体" w:eastAsia="宋体" w:cs="宋体"/>
                <w:i w:val="0"/>
                <w:iCs w:val="0"/>
                <w:strike w:val="0"/>
                <w:color w:val="auto"/>
                <w:sz w:val="21"/>
                <w:szCs w:val="21"/>
                <w:highlight w:val="none"/>
                <w:u w:val="none"/>
                <w:lang w:val="en-US" w:eastAsia="zh-CN" w:bidi="ar"/>
              </w:rPr>
              <w:t xml:space="preserve">530m</w:t>
            </w:r>
            <w:r>
              <w:rPr>
                <w:rFonts w:hint="eastAsia" w:ascii="宋体" w:hAnsi="宋体" w:eastAsia="宋体" w:cs="宋体"/>
                <w:i w:val="0"/>
                <w:iCs w:val="0"/>
                <w:color w:val="auto"/>
                <w:sz w:val="21"/>
                <w:szCs w:val="21"/>
                <w:highlight w:val="none"/>
                <w:u w:val="none"/>
                <w:lang w:val="en-US" w:eastAsia="zh-CN" w:bidi="ar"/>
              </w:rPr>
              <w:t xml:space="preserve">m*W</w:t>
            </w:r>
            <w:r>
              <w:rPr>
                <w:rFonts w:hint="eastAsia" w:ascii="宋体" w:hAnsi="宋体" w:cs="宋体"/>
                <w:i w:val="0"/>
                <w:iCs w:val="0"/>
                <w:strike w:val="0"/>
                <w:color w:val="auto"/>
                <w:sz w:val="21"/>
                <w:szCs w:val="21"/>
                <w:highlight w:val="none"/>
                <w:u w:val="none"/>
                <w:lang w:val="en-US" w:eastAsia="zh-CN" w:bidi="ar"/>
              </w:rPr>
              <w:t xml:space="preserve">200</w:t>
            </w:r>
            <w:r>
              <w:rPr>
                <w:rFonts w:hint="eastAsia" w:ascii="宋体" w:hAnsi="宋体" w:eastAsia="宋体" w:cs="宋体"/>
                <w:i w:val="0"/>
                <w:iCs w:val="0"/>
                <w:color w:val="auto"/>
                <w:sz w:val="21"/>
                <w:szCs w:val="21"/>
                <w:highlight w:val="none"/>
                <w:u w:val="none"/>
                <w:lang w:val="en-US" w:eastAsia="zh-CN" w:bidi="ar"/>
              </w:rPr>
              <w:t xml:space="preserve">mm*H850mm；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控制箱内置：3P总电源开关1组，3P风机开关1组，学生总控2P漏电保护器一组，交流电源开关1组，单片机控制器及功能扩展模块1套，单片机保护模块1个,风机控制系统1套，急停控制系统1套。电源分组控制系统1套、照明分组控制系统1套、供排水分组控制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摇臂控制系统：教师通过控制箱或移动设备对全室摇臂进行单独或分组控制；电源控制系统：教师通过控制箱或移动设备对全室220V高压及0-30V低压进行单独或分组控制；照明控制系统：教师通过控制箱或移动设备对全室照明进行单独或分组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#4、通风控制系统：标配高性能矢量控制变频器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给水系统：每个学生终端配置一组水流检测传感器，当供水时自动进行排水控制，摇臂下方配有插拔式自动锁紧供水接口，接口与学生水槽柜之间通过硅胶软管连接，即插即用，用完拔下收起即可；排水系统：排水由智能化控制系统集中控制，摇臂下方配有插拔式自动锁紧排水接口，接口与学生水槽柜通过硅胶软管连接，即插即用，用完拔下收起即可。供排水管具有到位检测功能，水管未拔下，摇臂不能收起（防摇臂误操作收起检测系统）；</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89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A2-02</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智能控制屏</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#1、规格：≥10寸高分辨率工业触摸屏，集中控制系统，可执行各选项控制（配一启动按钮开关和一急停开关）；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摇臂控制：对全室摇臂进行单独或分组控制（上升、下降或暂停，上升或下降到底后摇臂会自动停止），具有防卡，防夹功能；电源控制：对全室220V进行单独或分组控制；照明控制：对全室照明进行单独或分组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#3、通风控制：触摸数字无极变频控制，具有频率数字显示功能，可精确控制通风风量；供水控制：对全室供排水进行控制；</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A2-03</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吊装控制系统</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#1、APP登录，网络注册后进入系统，方便用户找回忘记的密码；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#2、APP可控制总电源的开关；可控制学生实验用低压直流电源（0-30V），学生也可自己调节；可显示当前温度、相对湿度及当前时间；同时还可控制水/电/风/灯的开启与关闭等；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#3、APP移动设备与智能控制屏可以同步操作；</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A2-04</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温湿度探测系统</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#1、智能系统控制箱内配置精密温湿度传感器，实时监测室内的温度和湿度，实时显示当前环境的温度和湿度；</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85"/>
        </w:trPr>
        <w:tc>
          <w:tcPr>
            <w:gridSpan w:val="3"/>
            <w:tcW w:w="427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A3、顶部集成供给系统</w:t>
            </w:r>
            <w:r/>
          </w:p>
        </w:tc>
        <w:tc>
          <w:tcPr>
            <w:tcW w:w="353"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366"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98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A3-01</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吊装主体框架</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#1、舱体规格：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L1200mm*W500mm*H</w:t>
            </w:r>
            <w:r>
              <w:rPr>
                <w:rFonts w:hint="eastAsia" w:ascii="宋体" w:hAnsi="宋体" w:cs="宋体"/>
                <w:i w:val="0"/>
                <w:iCs w:val="0"/>
                <w:strike w:val="0"/>
                <w:color w:val="auto"/>
                <w:sz w:val="21"/>
                <w:szCs w:val="21"/>
                <w:highlight w:val="none"/>
                <w:u w:val="none"/>
                <w:lang w:val="en-US" w:eastAsia="zh-CN" w:bidi="ar"/>
              </w:rPr>
              <w:t xml:space="preserve">200</w:t>
            </w:r>
            <w:r>
              <w:rPr>
                <w:rFonts w:hint="eastAsia" w:ascii="宋体" w:hAnsi="宋体" w:eastAsia="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#2、整体模块化设计,框架采用冷轧钢板，表面经环氧树脂粉末喷涂高温固化处理，承重性能强且耐酸碱、耐腐蚀；两侧设置铝合金保护罩；端头采用整体ABS注塑成型；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▲3、冷轧钢板技术要求</w:t>
            </w:r>
            <w:r>
              <w:rPr>
                <w:rFonts w:hint="eastAsia" w:ascii="宋体" w:hAnsi="宋体" w:cs="宋体"/>
                <w:i w:val="0"/>
                <w:iCs w:val="0"/>
                <w:color w:val="auto"/>
                <w:sz w:val="21"/>
                <w:szCs w:val="21"/>
                <w:highlight w:val="none"/>
                <w:u w:val="none"/>
                <w:lang w:val="en-US" w:eastAsia="zh-CN" w:bidi="ar"/>
              </w:rPr>
              <w:t xml:space="preserve">符合</w:t>
            </w:r>
            <w:r>
              <w:rPr>
                <w:rFonts w:hint="eastAsia" w:ascii="宋体" w:hAnsi="宋体" w:eastAsia="宋体" w:cs="宋体"/>
                <w:i w:val="0"/>
                <w:iCs w:val="0"/>
                <w:color w:val="auto"/>
                <w:sz w:val="21"/>
                <w:szCs w:val="21"/>
                <w:highlight w:val="none"/>
                <w:u w:val="none"/>
                <w:lang w:val="en-US" w:eastAsia="zh-CN" w:bidi="ar"/>
              </w:rPr>
              <w:t xml:space="preserve">GB/T10125-2021《人造气氛腐蚀试验盐雾试验》</w:t>
            </w:r>
            <w:r>
              <w:rPr>
                <w:rFonts w:hint="eastAsia" w:ascii="宋体" w:hAnsi="宋体" w:cs="宋体"/>
                <w:i w:val="0"/>
                <w:iCs w:val="0"/>
                <w:color w:val="auto"/>
                <w:sz w:val="21"/>
                <w:szCs w:val="21"/>
                <w:highlight w:val="none"/>
                <w:u w:val="none"/>
                <w:lang w:val="en-US" w:eastAsia="zh-CN" w:bidi="ar"/>
              </w:rPr>
              <w:t xml:space="preserve">和</w:t>
            </w:r>
            <w:r>
              <w:rPr>
                <w:rFonts w:hint="eastAsia" w:ascii="宋体" w:hAnsi="宋体" w:eastAsia="宋体" w:cs="宋体"/>
                <w:i w:val="0"/>
                <w:iCs w:val="0"/>
                <w:color w:val="auto"/>
                <w:sz w:val="21"/>
                <w:szCs w:val="21"/>
                <w:highlight w:val="none"/>
                <w:u w:val="none"/>
                <w:lang w:val="en-US" w:eastAsia="zh-CN" w:bidi="ar"/>
              </w:rPr>
              <w:t xml:space="preserve">GB/T6461-2002《金属基体上金属和其他无机覆盖层经腐蚀试验后的试样和试件的评级》</w:t>
            </w:r>
            <w:r>
              <w:rPr>
                <w:rFonts w:hint="eastAsia" w:ascii="宋体" w:hAnsi="宋体" w:eastAsia="宋体" w:cs="宋体"/>
                <w:i w:val="0"/>
                <w:iCs w:val="0"/>
                <w:strike w:val="0"/>
                <w:color w:val="auto"/>
                <w:sz w:val="21"/>
                <w:szCs w:val="21"/>
                <w:highlight w:val="none"/>
                <w:u w:val="none"/>
                <w:lang w:val="en-US" w:eastAsia="zh-CN" w:bidi="ar"/>
              </w:rPr>
              <w:t xml:space="preserve">标准测试</w:t>
            </w:r>
            <w:r>
              <w:rPr>
                <w:rFonts w:hint="eastAsia" w:ascii="宋体" w:hAnsi="宋体" w:cs="宋体"/>
                <w:i w:val="0"/>
                <w:iCs w:val="0"/>
                <w:strike w:val="0"/>
                <w:color w:val="auto"/>
                <w:sz w:val="21"/>
                <w:szCs w:val="21"/>
                <w:highlight w:val="none"/>
                <w:u w:val="none"/>
                <w:lang w:val="en-US" w:eastAsia="zh-CN" w:bidi="ar"/>
              </w:rPr>
              <w:t xml:space="preserve">中保护评级与外观评级</w:t>
            </w:r>
            <w:r>
              <w:rPr>
                <w:rFonts w:hint="eastAsia" w:ascii="宋体" w:hAnsi="宋体" w:eastAsia="宋体" w:cs="宋体"/>
                <w:i w:val="0"/>
                <w:iCs w:val="0"/>
                <w:strike w:val="0"/>
                <w:color w:val="auto"/>
                <w:sz w:val="21"/>
                <w:szCs w:val="21"/>
                <w:highlight w:val="none"/>
                <w:u w:val="none"/>
                <w:lang w:val="en-US" w:eastAsia="zh-CN" w:bidi="ar"/>
              </w:rPr>
              <w:t xml:space="preserve">符合10级要求</w:t>
            </w:r>
            <w:r>
              <w:rPr>
                <w:rFonts w:hint="eastAsia" w:ascii="宋体" w:hAnsi="宋体" w:eastAsia="宋体" w:cs="宋体"/>
                <w:i w:val="0"/>
                <w:iCs w:val="0"/>
                <w:color w:val="auto"/>
                <w:sz w:val="21"/>
                <w:szCs w:val="21"/>
                <w:highlight w:val="none"/>
                <w:u w:val="none"/>
                <w:lang w:val="en-US" w:eastAsia="zh-CN" w:bidi="ar"/>
              </w:rPr>
              <w:t xml:space="preserve">；</w:t>
            </w:r>
            <w:r>
              <w:rPr>
                <w:rStyle w:val="947"/>
                <w:rFonts w:hint="eastAsia" w:ascii="宋体" w:hAnsi="宋体" w:eastAsia="宋体" w:cs="宋体"/>
                <w:color w:val="auto"/>
                <w:sz w:val="21"/>
                <w:szCs w:val="21"/>
                <w:highlight w:val="none"/>
                <w:lang w:val="en-US" w:eastAsia="zh-CN" w:bidi="ar"/>
              </w:rPr>
              <w:t xml:space="preserve">（提供具有CMA标识的第三方检测机构出具的检测报告原件扫描件）</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A3-02</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主体保护罩</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#1、铝合金型材，辅件采用冷轧钢板</w:t>
            </w:r>
            <w:r>
              <w:rPr>
                <w:rFonts w:hint="eastAsia" w:ascii="宋体" w:hAnsi="宋体" w:eastAsia="宋体" w:cs="宋体"/>
                <w:i w:val="0"/>
                <w:iCs w:val="0"/>
                <w:strike w:val="0"/>
                <w:color w:val="auto"/>
                <w:sz w:val="21"/>
                <w:szCs w:val="21"/>
                <w:highlight w:val="none"/>
                <w:u w:val="none"/>
                <w:lang w:val="en-US" w:eastAsia="zh-CN" w:bidi="ar"/>
              </w:rPr>
              <w:t xml:space="preserve">，保护主体构架内的供应系统的安全，防止灰尘进入罩体内；</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16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A3-03</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吊装端头</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#1、整体采用ABS材料；模具一体成型，头部配备</w:t>
            </w:r>
            <w:r>
              <w:rPr>
                <w:rFonts w:hint="eastAsia" w:ascii="宋体" w:hAnsi="宋体" w:eastAsia="宋体" w:cs="宋体"/>
                <w:i w:val="0"/>
                <w:iCs w:val="0"/>
                <w:strike w:val="0"/>
                <w:color w:val="auto"/>
                <w:sz w:val="21"/>
                <w:szCs w:val="21"/>
                <w:highlight w:val="none"/>
                <w:u w:val="none"/>
                <w:lang w:val="en-US" w:eastAsia="zh-CN" w:bidi="ar"/>
              </w:rPr>
              <w:t xml:space="preserve">双色LE</w:t>
            </w:r>
            <w:r>
              <w:rPr>
                <w:rFonts w:hint="eastAsia" w:ascii="宋体" w:hAnsi="宋体" w:eastAsia="宋体" w:cs="宋体"/>
                <w:i w:val="0"/>
                <w:iCs w:val="0"/>
                <w:color w:val="auto"/>
                <w:sz w:val="21"/>
                <w:szCs w:val="21"/>
                <w:highlight w:val="none"/>
                <w:u w:val="none"/>
                <w:lang w:val="en-US" w:eastAsia="zh-CN" w:bidi="ar"/>
              </w:rPr>
              <w:t xml:space="preserve">D工作状态指示灯；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▲2、ABS原材料技术要求</w:t>
            </w:r>
            <w:r>
              <w:rPr>
                <w:rFonts w:hint="eastAsia" w:ascii="宋体" w:hAnsi="宋体" w:cs="宋体"/>
                <w:i w:val="0"/>
                <w:iCs w:val="0"/>
                <w:color w:val="auto"/>
                <w:sz w:val="21"/>
                <w:szCs w:val="21"/>
                <w:highlight w:val="none"/>
                <w:u w:val="none"/>
                <w:lang w:val="en-US" w:eastAsia="zh-CN" w:bidi="ar"/>
              </w:rPr>
              <w:t xml:space="preserve">符合</w:t>
            </w:r>
            <w:r>
              <w:rPr>
                <w:rFonts w:hint="eastAsia" w:ascii="宋体" w:hAnsi="宋体" w:eastAsia="宋体" w:cs="宋体"/>
                <w:i w:val="0"/>
                <w:iCs w:val="0"/>
                <w:strike w:val="0"/>
                <w:color w:val="auto"/>
                <w:sz w:val="21"/>
                <w:szCs w:val="21"/>
                <w:highlight w:val="none"/>
                <w:u w:val="none"/>
                <w:lang w:val="en-US" w:eastAsia="zh-CN" w:bidi="ar"/>
              </w:rPr>
              <w:t xml:space="preserve">GB/T 1843-2008、</w:t>
            </w:r>
            <w:r>
              <w:rPr>
                <w:rFonts w:hint="eastAsia" w:ascii="宋体" w:hAnsi="宋体" w:eastAsia="宋体" w:cs="宋体"/>
                <w:i w:val="0"/>
                <w:iCs w:val="0"/>
                <w:color w:val="auto"/>
                <w:sz w:val="21"/>
                <w:szCs w:val="21"/>
                <w:highlight w:val="none"/>
                <w:u w:val="none"/>
                <w:lang w:val="en-US" w:eastAsia="zh-CN" w:bidi="ar"/>
              </w:rPr>
              <w:t xml:space="preserve">GB/T4207-2022标准检测</w:t>
            </w:r>
            <w:r>
              <w:rPr>
                <w:rFonts w:hint="eastAsia" w:ascii="宋体" w:hAnsi="宋体" w:cs="宋体"/>
                <w:i w:val="0"/>
                <w:iCs w:val="0"/>
                <w:color w:val="auto"/>
                <w:sz w:val="21"/>
                <w:szCs w:val="21"/>
                <w:highlight w:val="none"/>
                <w:u w:val="none"/>
                <w:lang w:val="en-US" w:eastAsia="zh-CN" w:bidi="ar"/>
              </w:rPr>
              <w:t xml:space="preserve">。</w:t>
            </w:r>
            <w:r>
              <w:rPr>
                <w:rStyle w:val="947"/>
                <w:rFonts w:hint="eastAsia" w:ascii="宋体" w:hAnsi="宋体" w:eastAsia="宋体" w:cs="宋体"/>
                <w:color w:val="auto"/>
                <w:sz w:val="21"/>
                <w:szCs w:val="21"/>
                <w:highlight w:val="none"/>
                <w:lang w:val="en-US" w:eastAsia="zh-CN" w:bidi="ar"/>
              </w:rPr>
              <w:t xml:space="preserve">（提供具有CMA标识的第三方检测机构出具的检测报告原件扫描件）</w:t>
            </w:r>
            <w:r/>
          </w:p>
        </w:tc>
        <w:tc>
          <w:tcPr>
            <w:tcW w:w="35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6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16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A3-04</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智能摇臂升降系统</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#1、摇臂转动系统控制接收信号</w:t>
            </w:r>
            <w:r>
              <w:rPr>
                <w:rFonts w:hint="eastAsia" w:ascii="宋体" w:hAnsi="宋体" w:cs="宋体"/>
                <w:i w:val="0"/>
                <w:iCs w:val="0"/>
                <w:strike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远程智能手动和触摸远程无线操作功能，动力采用直流24V静音低速低压电机；                                                                                                                                                                                                                 #2、连接杆采用≥80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*55</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mm铝合金模具一体成型，内部水电分离，功能模块采用注塑模具一体成型，形状为长方形设计；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#3、功能模块可安装高低压电源（低压电源为交直流，可以显示交直流电压）、急停开关、网络接口、USB接口等功能；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#4、系统自带障碍物保护功能，具有防夹，防卡功能，当摇臂在运动的过程中遇到障碍物时会自动停止，具有过流保护功能；</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A3-05</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集成功能模块</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#1、采用ABS材质，模具一体成型；模块内部采用双层设计，水电隔离设计，相互不干扰，保证设备安全可靠性；模块内预留高压、低压、网络、USB、举手按键、上下水接口位置；</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85"/>
        </w:trPr>
        <w:tc>
          <w:tcPr>
            <w:tcW w:w="408" w:type="pct"/>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A3-06</w:t>
            </w:r>
            <w:r/>
          </w:p>
        </w:tc>
        <w:tc>
          <w:tcPr>
            <w:tcW w:w="529" w:type="pct"/>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电源供应模块</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#1、接收智能化控制系统控制，内含新国标5孔插座；可以分组或独立控制电源供给；220V；</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160"/>
        </w:trPr>
        <w:tc>
          <w:tcPr>
            <w:tcW w:w="408"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29"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#1、学生电源采用耐磨、耐腐蚀、耐高温的PC亮光薄膜面板。</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微电脑控制；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#2、直流稳压输出：0-16V，额定电流2A；16-30V，额定电流1A。最小调节单元0.1V。交流电压输出：0~18V，额定电流2A；18V-30V，额定电流1A。最小调节单元1V。交直流电源具有过载保护智能检测功能。采用按钮复位功能；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#3、电源采用液晶屏，显示电压，电流，温度，湿度等信息；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#4、学生低压电源都可接收主控电源发送的锁定信号，在锁定标识显示后，学生接收教师输送的设定电源电压，教师锁定时，学生自己无法操作，这样可避免学生的误操作，可以分组或独立控制；</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85"/>
        </w:trPr>
        <w:tc>
          <w:tcPr>
            <w:tcW w:w="408"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29"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#1、采用485网络模块接口、USB接口，即插即用；</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85"/>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A3-07</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保险模块</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#1、系统出现异常时，自动切断电源，确保实验操作时的安全性；</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85"/>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A3-08</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急停装置</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#1、铝合金材质，在水电系统出现故障时紧急制动，确保实验操作时的安全性；</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85"/>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A3-09</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供电线路</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#1、模块化设计，每组模块间采用活接式连接，方便安装、检修，采用2.5mm²电线进行系统布线；</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A3-10</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照明系统</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#1、接收智能化控制系统控制，功能面板采用≥1200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60</w:t>
            </w:r>
            <w:r>
              <w:rPr>
                <w:rFonts w:hint="eastAsia" w:ascii="宋体" w:hAnsi="宋体" w:eastAsia="宋体" w:cs="宋体"/>
                <w:i w:val="0"/>
                <w:iCs w:val="0"/>
                <w:color w:val="auto"/>
                <w:sz w:val="21"/>
                <w:szCs w:val="21"/>
                <w:highlight w:val="none"/>
                <w:u w:val="none"/>
                <w:lang w:val="en-US" w:eastAsia="zh-CN" w:bidi="ar"/>
              </w:rPr>
              <w:t xml:space="preserve">mm，配置LED日光灯1根，每根15W；灯罩采用PC一次成型；</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A3-11</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举手系统</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#1、学生举手系统，通过按压电源面板“举手”按键，端头指示灯发生颜色变换，反馈与老师；</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62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A3-12</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自动给排水系统</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#1、排水模块一组，水位控制器一组，电源控制器一组，自动回位器一组；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#2、所有排水由智能化控制系统集中控制，与学生水槽柜采用硅胶软管连接；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接口均采用自动锁紧插拔式连接方式（拔掉时没有污水流出），用时接上，不用时可收起。当学生水槽柜量达到一定值时系统自动排水、污水经过连接管排至顶部排水管总管后流出，当水槽柜污水排净后排水系统自动关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#4、控制系统设置一键排空功能，可一键将管道内所有的污水排空；</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A3-13</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给排水接口</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#1、给排水接口采用PVC材质，具有耐酸碱，拔插轻松，不生锈；即插即用，具有高密封性能，即使在供水排水工作时，随时拔掉接口不会有任何滴漏现象；</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A3-14</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给水管路</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#1、给水主管选用φ20-32mmPP-R给水管，模块化设计，每组模块间采用活接式连接；</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A3-15</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排水管路</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#1、排水管选用加厚φ50-75mmPVC-U国标管，模块化设计，每组模块间采用活接式连接；</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A3-16</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学生端分组控制系统</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#1、采用模块化设计，可单独设置独立控制装置，包含独立摇臂、独立上水、独立排水、独立电源，独立照明，每个装置的每个功能可以单独开启、关闭；</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A3-17</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系统安装辅件</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#1、采用横梁吊装方式，减少楼板承重，防止左右晃动，可进行上下、左右的平衡调节；主要辅件有：三角构件、直角座、龙骨架连接件、吊装挂件、安装连接板等；</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85"/>
        </w:trPr>
        <w:tc>
          <w:tcPr>
            <w:gridSpan w:val="3"/>
            <w:tcW w:w="427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A4、通风系统</w:t>
            </w:r>
            <w:r/>
          </w:p>
        </w:tc>
        <w:tc>
          <w:tcPr>
            <w:tcW w:w="353"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366"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085"/>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A4-01</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万向吸风罩</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#1、关节：采用高密度PP聚丙烯材质，可360°旋转调节方向</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颜色可选；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#2、关节密封圈：采用不易老化的高密度橡胶；关节连接杆：304不锈钢连接杆；关节松紧旋钮：高密度PP材质，内嵌不锈钢轴承，与关节连接杆锁合；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#3、气流调节阀：方便的手动调节外部阀门旋钮，控制进入之气流量；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#4、集气罩：PP白色/红色/透明， 罩口直径不小于350mm；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#5、标配固定底座：非粘接而成，模具注塑一体成型，牢度强，不脱底；</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A4-02</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室内行程通风系统</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#1、主风管：采用具有耐酸碱性能PVCФ400㎜、支分管Ф160㎜，Ф110mm；管</w:t>
            </w:r>
            <w:r>
              <w:rPr>
                <w:rFonts w:hint="eastAsia" w:ascii="宋体" w:hAnsi="宋体" w:eastAsia="宋体" w:cs="宋体"/>
                <w:i w:val="0"/>
                <w:iCs w:val="0"/>
                <w:color w:val="auto"/>
                <w:sz w:val="21"/>
                <w:szCs w:val="21"/>
                <w:highlight w:val="none"/>
                <w:u w:val="none"/>
                <w:lang w:val="en-US" w:eastAsia="zh-CN" w:bidi="ar"/>
              </w:rPr>
              <w:t xml:space="preserve">卡采用碳钢制作，表面经镀铬处理，具有耐腐蚀、防火、防潮等功能；                                                                                                                                                                                                                                 </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A4-03</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室外行程通风系统</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#1、采用PVC风管，或PP焊接管具有耐酸碱性能；规格：主风管直径400mm；管卡采用碳钢制作，表面经镀铬处理，具有耐腐蚀、防火、防潮等功能；          </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                                                                                                                                                                                                                                                                </w:t>
            </w:r>
            <w:r/>
          </w:p>
        </w:tc>
        <w:tc>
          <w:tcPr>
            <w:tcW w:w="35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A4-04</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通风风机</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#1、离心风机；材料：PP板材料；电机功率：6A-4kW；技术要求：转速≥ 1450r/min，</w:t>
            </w:r>
            <w:r>
              <w:rPr>
                <w:rFonts w:hint="eastAsia" w:ascii="宋体" w:hAnsi="宋体" w:eastAsia="宋体" w:cs="宋体"/>
                <w:i w:val="0"/>
                <w:iCs w:val="0"/>
                <w:strike w:val="0"/>
                <w:color w:val="auto"/>
                <w:sz w:val="21"/>
                <w:szCs w:val="21"/>
                <w:highlight w:val="none"/>
                <w:u w:val="none"/>
                <w:lang w:val="en-US" w:eastAsia="zh-CN" w:bidi="ar"/>
              </w:rPr>
              <w:t xml:space="preserve">风量：</w:t>
            </w:r>
            <w:r>
              <w:rPr>
                <w:rFonts w:hint="eastAsia" w:ascii="宋体" w:hAnsi="宋体" w:cs="宋体"/>
                <w:i w:val="0"/>
                <w:iCs w:val="0"/>
                <w:strike w:val="0"/>
                <w:color w:val="auto"/>
                <w:sz w:val="21"/>
                <w:szCs w:val="21"/>
                <w:highlight w:val="none"/>
                <w:u w:val="none"/>
                <w:lang w:val="en-US" w:eastAsia="zh-CN" w:bidi="ar"/>
              </w:rPr>
              <w:t xml:space="preserve">约</w:t>
            </w:r>
            <w:r>
              <w:rPr>
                <w:rFonts w:hint="eastAsia" w:ascii="宋体" w:hAnsi="宋体" w:eastAsia="宋体" w:cs="宋体"/>
                <w:i w:val="0"/>
                <w:iCs w:val="0"/>
                <w:strike w:val="0"/>
                <w:color w:val="auto"/>
                <w:sz w:val="21"/>
                <w:szCs w:val="21"/>
                <w:highlight w:val="none"/>
                <w:u w:val="none"/>
                <w:lang w:val="en-US" w:eastAsia="zh-CN" w:bidi="ar"/>
              </w:rPr>
              <w:t xml:space="preserve">66</w:t>
            </w:r>
            <w:r>
              <w:rPr>
                <w:rFonts w:hint="eastAsia" w:ascii="宋体" w:hAnsi="宋体" w:cs="宋体"/>
                <w:i w:val="0"/>
                <w:iCs w:val="0"/>
                <w:strike w:val="0"/>
                <w:color w:val="auto"/>
                <w:sz w:val="21"/>
                <w:szCs w:val="21"/>
                <w:highlight w:val="none"/>
                <w:u w:val="none"/>
                <w:lang w:val="en-US" w:eastAsia="zh-CN" w:bidi="ar"/>
              </w:rPr>
              <w:t xml:space="preserve">00</w:t>
            </w:r>
            <w:r>
              <w:rPr>
                <w:rFonts w:hint="eastAsia" w:ascii="宋体" w:hAnsi="宋体" w:eastAsia="宋体" w:cs="宋体"/>
                <w:i w:val="0"/>
                <w:iCs w:val="0"/>
                <w:strike w:val="0"/>
                <w:color w:val="auto"/>
                <w:sz w:val="21"/>
                <w:szCs w:val="21"/>
                <w:highlight w:val="none"/>
                <w:u w:val="none"/>
                <w:lang w:val="en-US" w:eastAsia="zh-CN" w:bidi="ar"/>
              </w:rPr>
              <w:t xml:space="preserve">-1335</w:t>
            </w:r>
            <w:r>
              <w:rPr>
                <w:rFonts w:hint="eastAsia" w:ascii="宋体" w:hAnsi="宋体" w:cs="宋体"/>
                <w:i w:val="0"/>
                <w:iCs w:val="0"/>
                <w:strike w:val="0"/>
                <w:color w:val="auto"/>
                <w:sz w:val="21"/>
                <w:szCs w:val="21"/>
                <w:highlight w:val="none"/>
                <w:u w:val="none"/>
                <w:lang w:val="en-US" w:eastAsia="zh-CN" w:bidi="ar"/>
              </w:rPr>
              <w:t xml:space="preserve">0</w:t>
            </w:r>
            <w:r>
              <w:rPr>
                <w:rFonts w:hint="eastAsia" w:ascii="宋体" w:hAnsi="宋体" w:eastAsia="宋体" w:cs="宋体"/>
                <w:i w:val="0"/>
                <w:iCs w:val="0"/>
                <w:strike w:val="0"/>
                <w:color w:val="auto"/>
                <w:sz w:val="21"/>
                <w:szCs w:val="21"/>
                <w:highlight w:val="none"/>
                <w:u w:val="none"/>
                <w:lang w:val="en-US" w:eastAsia="zh-CN" w:bidi="ar"/>
              </w:rPr>
              <w:t xml:space="preserve">，全压：</w:t>
            </w:r>
            <w:r>
              <w:rPr>
                <w:rFonts w:hint="eastAsia" w:ascii="宋体" w:hAnsi="宋体" w:cs="宋体"/>
                <w:i w:val="0"/>
                <w:iCs w:val="0"/>
                <w:strike w:val="0"/>
                <w:color w:val="auto"/>
                <w:sz w:val="21"/>
                <w:szCs w:val="21"/>
                <w:highlight w:val="none"/>
                <w:u w:val="none"/>
                <w:lang w:val="en-US" w:eastAsia="zh-CN" w:bidi="ar"/>
              </w:rPr>
              <w:t xml:space="preserve">约</w:t>
            </w:r>
            <w:r>
              <w:rPr>
                <w:rFonts w:hint="eastAsia" w:ascii="宋体" w:hAnsi="宋体" w:eastAsia="宋体" w:cs="宋体"/>
                <w:i w:val="0"/>
                <w:iCs w:val="0"/>
                <w:strike w:val="0"/>
                <w:color w:val="auto"/>
                <w:sz w:val="21"/>
                <w:szCs w:val="21"/>
                <w:highlight w:val="none"/>
                <w:u w:val="none"/>
                <w:lang w:val="en-US" w:eastAsia="zh-CN" w:bidi="ar"/>
              </w:rPr>
              <w:t xml:space="preserve">113</w:t>
            </w:r>
            <w:r>
              <w:rPr>
                <w:rFonts w:hint="eastAsia" w:ascii="宋体" w:hAnsi="宋体" w:cs="宋体"/>
                <w:i w:val="0"/>
                <w:iCs w:val="0"/>
                <w:strike w:val="0"/>
                <w:color w:val="auto"/>
                <w:sz w:val="21"/>
                <w:szCs w:val="21"/>
                <w:highlight w:val="none"/>
                <w:u w:val="none"/>
                <w:lang w:val="en-US" w:eastAsia="zh-CN" w:bidi="ar"/>
              </w:rPr>
              <w:t xml:space="preserve">5</w:t>
            </w:r>
            <w:r>
              <w:rPr>
                <w:rFonts w:hint="eastAsia" w:ascii="宋体" w:hAnsi="宋体" w:eastAsia="宋体" w:cs="宋体"/>
                <w:i w:val="0"/>
                <w:iCs w:val="0"/>
                <w:strike w:val="0"/>
                <w:color w:val="auto"/>
                <w:sz w:val="21"/>
                <w:szCs w:val="21"/>
                <w:highlight w:val="none"/>
                <w:u w:val="none"/>
                <w:lang w:val="en-US" w:eastAsia="zh-CN" w:bidi="ar"/>
              </w:rPr>
              <w:t xml:space="preserve">-72</w:t>
            </w:r>
            <w:r>
              <w:rPr>
                <w:rFonts w:hint="eastAsia" w:ascii="宋体" w:hAnsi="宋体" w:cs="宋体"/>
                <w:i w:val="0"/>
                <w:iCs w:val="0"/>
                <w:strike w:val="0"/>
                <w:color w:val="auto"/>
                <w:sz w:val="21"/>
                <w:szCs w:val="21"/>
                <w:highlight w:val="none"/>
                <w:u w:val="none"/>
                <w:lang w:val="en-US" w:eastAsia="zh-CN" w:bidi="ar"/>
              </w:rPr>
              <w:t xml:space="preserve">0</w:t>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噪声符合国家标准；随机配件：防雨风帽、电机防雨罩及减震垫；输出：AC 0-380V 13A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                                                                                                                                                                                                                                                                </w:t>
            </w:r>
            <w:r/>
          </w:p>
        </w:tc>
        <w:tc>
          <w:tcPr>
            <w:tcW w:w="35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A4-05</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变频器</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#1、采用电流无感矢量控制，额定电压：AC3PH380V+15%，频率：50～60Hz；</w:t>
            </w:r>
            <w:r/>
          </w:p>
        </w:tc>
        <w:tc>
          <w:tcPr>
            <w:tcW w:w="35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A4-06</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消音器</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#1、规格：外径≥Ф600㎜，内径≥Ф400㎜、高度≥1000mm, 圆形；材料：PP材质，内置隔音棉等隔音装置；</w:t>
            </w:r>
            <w:r/>
          </w:p>
        </w:tc>
        <w:tc>
          <w:tcPr>
            <w:tcW w:w="35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A4-07</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风机软连接</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#1、进风口：采用PVC材料制作，Ф600-Ф400mm，因风机振动引起的消除振音传递和消除微量错位对风机的影响；出风口：材料PP，规格方转圆地方风机接口；技术要求：抗撞强度≥500（MPa）；                                            </w:t>
            </w:r>
            <w:r>
              <w:rPr>
                <w:rFonts w:hint="eastAsia" w:ascii="宋体" w:hAnsi="宋体" w:eastAsia="宋体" w:cs="宋体"/>
                <w:i w:val="0"/>
                <w:iCs w:val="0"/>
                <w:color w:val="auto"/>
                <w:sz w:val="21"/>
                <w:szCs w:val="21"/>
                <w:highlight w:val="none"/>
                <w:u w:val="none"/>
                <w:lang w:val="en-US" w:eastAsia="zh-CN" w:bidi="ar"/>
              </w:rPr>
              <w:t xml:space="preserve">                                                                                                                                                                                                                                                                </w:t>
            </w:r>
            <w:r/>
          </w:p>
        </w:tc>
        <w:tc>
          <w:tcPr>
            <w:tcW w:w="35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A4-08</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风机控制线</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#1、国标：采用交联聚乙烯绝缘﹑铝塑带绕包总屏蔽﹑低烟无卤聚烯烃内衬层﹑钢丝铠装﹑低烟无卤聚烯烃护套耐火计算机对绞控制电缆；                                        </w:t>
            </w:r>
            <w:r>
              <w:rPr>
                <w:rFonts w:hint="eastAsia" w:ascii="宋体" w:hAnsi="宋体" w:eastAsia="宋体" w:cs="宋体"/>
                <w:i w:val="0"/>
                <w:iCs w:val="0"/>
                <w:color w:val="auto"/>
                <w:sz w:val="21"/>
                <w:szCs w:val="21"/>
                <w:highlight w:val="none"/>
                <w:u w:val="none"/>
                <w:lang w:val="en-US" w:eastAsia="zh-CN" w:bidi="ar"/>
              </w:rPr>
              <w:t xml:space="preserve">                                                                                                                                                              #2、电缆的额定电压300/500V，电缆长期工作温度-30～90℃，电缆敷设温度不低于0℃，电缆弯曲半径不小于电缆直径的12倍，低烟无卤成束阻燃型电缆燃烧时析出气体中HCL含量≤100mg/g；</w:t>
            </w:r>
            <w:r/>
          </w:p>
        </w:tc>
        <w:tc>
          <w:tcPr>
            <w:tcW w:w="35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85"/>
        </w:trPr>
        <w:tc>
          <w:tcPr>
            <w:gridSpan w:val="3"/>
            <w:tcW w:w="427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A5、文宣装修</w:t>
            </w:r>
            <w:r/>
          </w:p>
        </w:tc>
        <w:tc>
          <w:tcPr>
            <w:tcW w:w="353"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366"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950"/>
        </w:trPr>
        <w:tc>
          <w:tcPr>
            <w:tcW w:w="40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A5-01</w:t>
            </w:r>
            <w:r/>
          </w:p>
        </w:tc>
        <w:tc>
          <w:tcPr>
            <w:tcW w:w="52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文宣装修</w:t>
            </w:r>
            <w:r/>
          </w:p>
        </w:tc>
        <w:tc>
          <w:tcPr>
            <w:tcW w:w="334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#1、吊顶（约120</w:t>
            </w:r>
            <w:r>
              <w:rPr>
                <w:rStyle w:val="950"/>
                <w:rFonts w:hint="eastAsia" w:ascii="宋体" w:hAnsi="宋体" w:eastAsia="宋体" w:cs="宋体"/>
                <w:color w:val="auto"/>
                <w:sz w:val="21"/>
                <w:szCs w:val="21"/>
                <w:highlight w:val="none"/>
                <w:lang w:val="en-US" w:eastAsia="zh-CN" w:bidi="ar"/>
              </w:rPr>
              <w:t xml:space="preserve">㎡</w:t>
            </w:r>
            <w:r>
              <w:rPr>
                <w:rStyle w:val="943"/>
                <w:rFonts w:hint="eastAsia" w:ascii="宋体" w:hAnsi="宋体" w:eastAsia="宋体" w:cs="宋体"/>
                <w:color w:val="auto"/>
                <w:sz w:val="21"/>
                <w:szCs w:val="21"/>
                <w:highlight w:val="none"/>
                <w:lang w:val="en-US" w:eastAsia="zh-CN" w:bidi="ar"/>
              </w:rPr>
              <w:t xml:space="preserve">）：</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1）铝方通吊顶（</w:t>
            </w:r>
            <w:r>
              <w:rPr>
                <w:rStyle w:val="943"/>
                <w:rFonts w:hint="eastAsia" w:ascii="宋体" w:hAnsi="宋体" w:cs="宋体"/>
                <w:color w:val="auto"/>
                <w:sz w:val="21"/>
                <w:szCs w:val="21"/>
                <w:highlight w:val="none"/>
                <w:lang w:val="en-US" w:eastAsia="zh-CN" w:bidi="ar"/>
              </w:rPr>
              <w:t xml:space="preserve">约</w:t>
            </w:r>
            <w:r>
              <w:rPr>
                <w:rStyle w:val="943"/>
                <w:rFonts w:hint="eastAsia" w:ascii="宋体" w:hAnsi="宋体" w:eastAsia="宋体" w:cs="宋体"/>
                <w:color w:val="auto"/>
                <w:sz w:val="21"/>
                <w:szCs w:val="21"/>
                <w:highlight w:val="none"/>
                <w:lang w:val="en-US" w:eastAsia="zh-CN" w:bidi="ar"/>
              </w:rPr>
              <w:t xml:space="preserve">长1000*宽300*厚1.0mm）颜色定制；</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2）龙骨：包含A－字龙骨元件、主龙骨、主龙骨吊件、三角龙骨、三角龙骨吊件等；</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3）其他辅件：封边条、钢丝、膨胀螺丝、钢钉、木条等；</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#2、墙面（约165㎡）：</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1）打磨原有墙面，批腻子一遍，乳胶漆一遍，彩色漆；</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#3、地面（约120</w:t>
            </w:r>
            <w:r>
              <w:rPr>
                <w:rStyle w:val="950"/>
                <w:rFonts w:hint="eastAsia" w:ascii="宋体" w:hAnsi="宋体" w:eastAsia="宋体" w:cs="宋体"/>
                <w:color w:val="auto"/>
                <w:sz w:val="21"/>
                <w:szCs w:val="21"/>
                <w:highlight w:val="none"/>
                <w:lang w:val="en-US" w:eastAsia="zh-CN" w:bidi="ar"/>
              </w:rPr>
              <w:t xml:space="preserve">㎡</w:t>
            </w:r>
            <w:r>
              <w:rPr>
                <w:rStyle w:val="943"/>
                <w:rFonts w:hint="eastAsia" w:ascii="宋体" w:hAnsi="宋体" w:eastAsia="宋体" w:cs="宋体"/>
                <w:color w:val="auto"/>
                <w:sz w:val="21"/>
                <w:szCs w:val="21"/>
                <w:highlight w:val="none"/>
                <w:lang w:val="en-US" w:eastAsia="zh-CN" w:bidi="ar"/>
              </w:rPr>
              <w:t xml:space="preserve">）：</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1）清理原地面基础上的浮尘和砂粒；                                                                                                                     </w:t>
            </w:r>
            <w:r>
              <w:rPr>
                <w:rStyle w:val="943"/>
                <w:rFonts w:hint="eastAsia" w:ascii="宋体" w:hAnsi="宋体" w:eastAsia="宋体" w:cs="宋体"/>
                <w:color w:val="auto"/>
                <w:sz w:val="21"/>
                <w:szCs w:val="21"/>
                <w:highlight w:val="none"/>
                <w:lang w:val="en-US" w:eastAsia="zh-CN" w:bidi="ar"/>
              </w:rPr>
              <w:t xml:space="preserve">                                                                                                                                                                                            2）黑色哑光不锈钢饰面踢脚线；                                                     </w:t>
            </w:r>
            <w:r>
              <w:rPr>
                <w:rStyle w:val="943"/>
                <w:rFonts w:hint="eastAsia" w:ascii="宋体" w:hAnsi="宋体" w:eastAsia="宋体" w:cs="宋体"/>
                <w:color w:val="auto"/>
                <w:sz w:val="21"/>
                <w:szCs w:val="21"/>
                <w:highlight w:val="none"/>
                <w:lang w:val="en-US" w:eastAsia="zh-CN" w:bidi="ar"/>
              </w:rPr>
              <w:t xml:space="preserve">                                                                                                                                                                                                                                                      3）采用PVC地胶：</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#4、线路改造：</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1）强电：照明、插座2.5平方国标线材，PVC阻燃套管、阻燃型86盒，电线无接头、分线有盒，国标墙面地面插座、双控开关移位及增补；</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2）弱电：PVC阻燃套管、阻燃型86盒，网线、音频线、视频线、控制线敷设及线头压制，配套各类接着头；</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3）其他：除楼板以外均须开槽暗敷并修复，包含垃圾清运；</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#5、照明：LED光源筒灯24组嵌入式安装，银色铝质型材边框，预留安装定位台阶面，边框厚度≤12（mm）；</w:t>
            </w:r>
            <w:r>
              <w:rPr>
                <w:rStyle w:val="943"/>
                <w:rFonts w:hint="eastAsia" w:ascii="宋体" w:hAnsi="宋体" w:eastAsia="宋体" w:cs="宋体"/>
                <w:color w:val="auto"/>
                <w:sz w:val="21"/>
                <w:szCs w:val="21"/>
                <w:highlight w:val="none"/>
                <w:lang w:val="en-US" w:eastAsia="zh-CN" w:bidi="ar"/>
              </w:rPr>
              <w:br/>
            </w:r>
            <w:r>
              <w:rPr>
                <w:rStyle w:val="943"/>
                <w:rFonts w:hint="eastAsia" w:ascii="宋体" w:hAnsi="宋体" w:eastAsia="宋体" w:cs="宋体"/>
                <w:color w:val="auto"/>
                <w:sz w:val="21"/>
                <w:szCs w:val="21"/>
                <w:highlight w:val="none"/>
                <w:lang w:val="en-US" w:eastAsia="zh-CN" w:bidi="ar"/>
              </w:rPr>
              <w:t xml:space="preserve">#6、其他：全部文宣内容及装修样式，施工前需经采购方确认；包含施工垃圾清运。</w:t>
            </w:r>
            <w:r/>
          </w:p>
        </w:tc>
        <w:tc>
          <w:tcPr>
            <w:tcW w:w="35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174"/>
        <w:gridCol w:w="6587"/>
        <w:gridCol w:w="721"/>
        <w:gridCol w:w="715"/>
      </w:tblGrid>
      <w:tr>
        <w:trPr>
          <w:trHeight w:val="270"/>
        </w:trPr>
        <w:tc>
          <w:tcPr>
            <w:gridSpan w:val="5"/>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B－化学数字化探究</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33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gridSpan w:val="3"/>
            <w:tcW w:w="427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B1、教师端无线带屏手持式传感器和配套实验器材</w:t>
            </w:r>
            <w:r/>
          </w:p>
        </w:tc>
        <w:tc>
          <w:tcPr>
            <w:tcW w:w="362"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357"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523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B1-01</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便携式实验终端</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#1、数字化探究实验专用，集数据采集、分析、存储为一体，可移动，便携，配套数据采集器或智能数字实验终端或直连传感器使用。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#2、显示屏幕尺寸：不低于10.1英寸。显示触摸屏：IPS触摸屏。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#3、处理器CPU：功耗低至6W；处理器频率1.1GHz～2.4GHz。运行内存：不低于4GB。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#4、储存空间：不小于64GB的内置储存空间，支持扩展储存卡。</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#5、摄像头：不低于前置200万像素和后置200万像素。电池容量：内置大容量电池，使用续航时间不少于5小时。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#6、操作系统：</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Windows</w:t>
            </w:r>
            <w:r>
              <w:rPr>
                <w:rFonts w:hint="eastAsia" w:ascii="宋体" w:hAnsi="宋体" w:cs="宋体"/>
                <w:i w:val="0"/>
                <w:iCs w:val="0"/>
                <w:strike w:val="0"/>
                <w:color w:val="auto"/>
                <w:sz w:val="21"/>
                <w:szCs w:val="21"/>
                <w:highlight w:val="none"/>
                <w:u w:val="none"/>
                <w:lang w:val="en-US" w:eastAsia="zh-CN" w:bidi="ar"/>
              </w:rPr>
              <w:t xml:space="preserve"> 7及以上</w:t>
            </w:r>
            <w:r>
              <w:rPr>
                <w:rFonts w:hint="eastAsia" w:ascii="宋体" w:hAnsi="宋体" w:eastAsia="宋体" w:cs="宋体"/>
                <w:i w:val="0"/>
                <w:iCs w:val="0"/>
                <w:color w:val="auto"/>
                <w:sz w:val="21"/>
                <w:szCs w:val="21"/>
                <w:highlight w:val="none"/>
                <w:u w:val="none"/>
                <w:lang w:val="en-US" w:eastAsia="zh-CN" w:bidi="ar"/>
              </w:rPr>
              <w:t xml:space="preserve">操作系统。配备磁吸式键盘，支持切换平板形态和笔记本形态。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#7、接口齐备，方便拓展：USB3.0×1；Type-C接口×1；DC接口；Mini HDMI接口×1。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#8、内置数据分析软件：配套DIS实验软件，中文界面，符合新课程标准要求。</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985"/>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B1-02</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w:t>
            </w:r>
            <w:r>
              <w:rPr>
                <w:rFonts w:hint="eastAsia" w:ascii="宋体" w:hAnsi="宋体" w:eastAsia="宋体" w:cs="宋体"/>
                <w:i w:val="0"/>
                <w:iCs w:val="0"/>
                <w:color w:val="auto"/>
                <w:sz w:val="21"/>
                <w:szCs w:val="21"/>
                <w:highlight w:val="none"/>
                <w:u w:val="none"/>
                <w:lang w:val="en-US" w:eastAsia="zh-CN" w:bidi="ar"/>
              </w:rPr>
              <w:t xml:space="preserve">、通过USB-B口与计算机或便携式实验终端连接；通过USB2.0口与传感器连接，可同时接入八个传感器，即插即用，自动识别所有传感器；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、八路全数字通道，采集分辨率14bits，采样频率最大可达100KHz，支持数据采集器级联；采集器采用低压设计保证用户安全，所有端口具备短路保护功能。</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B1-03</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无线蓝牙模块</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#1、与无线带屏幕数字化传感器配合使用，接插于数据采集终端（便携式实验终端或笔记本电脑）的USB口；通过无线蓝牙方式实现传感器的无线数据通讯，可实现多通道无障碍传输距离≥100米；</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36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B1-04</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#1、量程：-50℃～250℃，分辨率：0.1℃。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#2、不锈钢探针，用于测各种物体或溶液的温度；手持式技术，便于直接观察数据；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高清电容触摸屏与振动警告功能单元，支持多点触摸方式；传感器自带滚轮调节键，通过滚轮可调节温度采集频率；支持快速开关机功能；自动关机。</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395"/>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B1-05</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#1、量程：0～1200°C，分辨率：0.25°C。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#2、用于测量物体表面、气体、酸碱等液体的温度，也可用于超高温的测量；手持式技术，便于直接观察数据；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strike w:val="0"/>
                <w:color w:val="auto"/>
                <w:sz w:val="21"/>
                <w:szCs w:val="21"/>
                <w:highlight w:val="none"/>
                <w:u w:val="none"/>
                <w:lang w:val="en-US" w:eastAsia="zh-CN" w:bidi="ar"/>
              </w:rPr>
              <w:t xml:space="preserve">高清电容触摸屏与振动警告功能单元，支持多点触摸方式；传感器自带滚轮调节键，通过滚轮可调节高温采集频率；</w:t>
            </w:r>
            <w:r>
              <w:rPr>
                <w:rFonts w:hint="eastAsia" w:ascii="宋体" w:hAnsi="宋体" w:eastAsia="宋体" w:cs="宋体"/>
                <w:i w:val="0"/>
                <w:iCs w:val="0"/>
                <w:color w:val="auto"/>
                <w:sz w:val="21"/>
                <w:szCs w:val="21"/>
                <w:highlight w:val="none"/>
                <w:u w:val="none"/>
                <w:lang w:val="en-US" w:eastAsia="zh-CN" w:bidi="ar"/>
              </w:rPr>
              <w:t xml:space="preserve">支持快速开关机功能；自动关机。</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41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B1-06</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气压传感器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#1、量程：0～700kPa，分辨率：0.1kPa。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#2、配有针筒，用于测量大气环境下或密闭空间内的气体的绝对压强；手持式技术，便于直接观察数据；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寸电容触摸屏、内置大容量可充电锂电池/蜂鸣器/振动马达为一体化设计，不接受分体拼接模式；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高清电容触摸屏与振动警告功能单元，支持多点触摸方式；传感器自带滚轮调节键，通过滚轮可调节气压采集频率；支持快速开关机功能；自动关机。</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31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B1-07</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相对压强传感器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#1、量程±20kPa，分辨率：0.01kPa。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#2、用于测量大气环境下于被测量空间内的气体的压强差；手持式技术，便于直接观察数据；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高清电容触摸屏与振动警告功能单元，支持多点触摸方式；传感器自带滚轮调节键，通过滚轮可调节相对压强采集频率；支持快速开关机功能；自动关机。</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345"/>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B1-08</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#1、量程：0%～100%RH，分辨率：0.05%。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#2、用于测量空气的相对湿度；手持式技术，便于直接观察数据；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高清电容触摸屏与振动警告功能单元，支持多点触摸方式；传感器自带滚轮调节键，通过滚轮可调节湿度采集频率；支持快速开关机功能；自动关机。</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15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B1-09</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#1、量程：0～14 pH，分辨率：0.01 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#2、用于精确测量溶液的酸碱值；手持式技术，便于直接观察数据；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高清电容触摸屏与振动警告功能单元，支持多点触摸方式；传感器自带滚轮调节键，通过滚轮可调节pH采集频率；支持快速开关机功能；自动关机。</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36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B1-10</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#1、量程：0～20000μS/cm，分辨率：10μS/cm。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#2、用于测量溶液的电导率及其变化；手持式技术，便于直接观察数据；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高清电容触摸屏与振动警告功能单元，支持多点触摸方式；传感器自带滚轮调节键，通过滚轮可调节电导率采集频率；支持快速开关机功能；自动关机。</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1"/>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B1-11</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#1、量程：0%～100%，分辨率：0.025%。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#2、用于测量空气中氧气含量变化；手持式技术，便于直接观察数据；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高清电容触摸屏与振动警告功能单元，支持多点触摸方式，可通过多点触摸方式选择曲线界面内任意区域的放大缩小；传感器自带滚轮调节键，通过滚轮可调节氧气采集频率；支持快速开关机功能；自动关机。</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80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B1-12</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 0～50,000 ppm，分辨率：1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#2、用于测量空气中二氧化碳含量变化；手持式技术，便于直接观察数据；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高清电容触摸屏与振动警告功能单元，支持多点触摸方式，可通过多点触摸方式选择曲线界面内任意区域的放大缩小；传感器自带滚轮调节键，通过滚轮可调节二氧化碳采集频率；支持快速开关机功能；自动关机。</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2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B1-13</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浊度计传感器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#1、量程：0～400 NTU，分辨率：0.1NTU。用于测量悬浮于水或透明液体中不溶性颗粒物质所产生的散射程度，标示不同悬浊液的浊度。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工作方式。传感器数据传输时，无需数据采集器。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B1-14</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二氧化硫传感器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#1、量程：0～20ppm，分辨率：0.1ppm。用于检测化学反应中二氧化硫的生成。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B1-15</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一氧化碳传感器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#1、量程：20～1000ppm，分辨率：1ppm。用于测量一氧化碳气体含量。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43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B1-16</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#1、量程1：-2A～+2A、分辨率：0.01A；量程2：-200mA～+200mA、分辨率：0.1mA；量程3：-20mA ～+20mA、分辨率：0.01mA ；用于测量电路中的电流。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、自带硬件切换按钮，短按可在≥3种量程间循环切换。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595"/>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B1-17</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数字化探究实验软件</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#1、符合最新初中化学教学装备配置标准，满足基础课程、探究性学习、创新实验教学的需求。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#2、软件支持所有已正式发布的同系列传感器，支持即插即用，自动识别所有传感器的类型、量程与接入的通道序号；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#3、支持1~12路相同或不同的传感器并行采集；支持新建实验模板，支持打开预设实验模板快速进入课标实验，支持保存实验模板；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#4、支持设置采样频率，支持限时采集、循环采集、连续采集和手工采集等多种采集方式；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#5、具有曲线、仪表、表格、数字等多种显示方式，显示框可随意调节大小及位置；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#6、每个实验能多次重复，在同一坐标轴内保存多次采集结果，便于数据比较和分析；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#7、可自定义设置数据名称、单位、颜色、数据点形状；可自定义设置数值显示范围；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#8、可自由定义坐标轴，可自由放大、缩小、全景显示坐标轴，支持曲线的函数拟合、积分、切线、统计等，对实验结果进行充分分析并发现实验规律；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#9、可设置采集数据高于或者低于设定的数值时发出多种形式的警告，构建自动控制系统；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#10、软件可模拟信号发生器，产生≥2组独立的正弦波或者脉冲波信号；软件可采集音频，具有录音功能和录音播放功能，录音时间可调；软件可录制实验数据采集过程并回放，播放速率可调；</w:t>
            </w:r>
            <w:r>
              <w:rPr>
                <w:rFonts w:hint="eastAsia" w:ascii="宋体" w:hAnsi="宋体" w:eastAsia="宋体" w:cs="宋体"/>
                <w:i w:val="0"/>
                <w:iCs w:val="0"/>
                <w:color w:val="auto"/>
                <w:sz w:val="21"/>
                <w:szCs w:val="21"/>
                <w:highlight w:val="none"/>
                <w:u w:val="none"/>
                <w:lang w:val="en-US" w:eastAsia="zh-CN" w:bidi="ar"/>
              </w:rPr>
              <w:br/>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B1-18</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铝合金箱及附件</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#1、手拎式铝合金箱，方便携带。铝合金外架，高强度面板，硬海绵内胆。含USB连接线等。</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B1-19</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原电池实验器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研究电解池或者原电池。用于探究化学能可以转化为电能，材料不同的电极活泼的为负极。配合微电流传感器使用。透明亚克力水槽2个、配套盖板2个、锌电极片2个、铜电极片2个、导线和LED灯，电极端材料可以替换。</w:t>
            </w:r>
            <w:r/>
          </w:p>
        </w:tc>
        <w:tc>
          <w:tcPr>
            <w:tcW w:w="36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B1-20</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酸碱反应热实验器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#1、用于中学化学探究酸碱中和反应过程中热量的测量。配合温度传感器使用。由外隔热桶、内盛液器等组成。</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B1-21</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酸碱中和滴定装置</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#1、可探究酸碱中和滴定反应过程中pH值的变化特点，绘制中和滴定曲线，体会定量实验在化学研究中的作用。由滴定计数器（光电门传感器+定位装置），铝杆，滴定开关，滴定嘴，长尾夹，转接头和铁架台</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组成</w:t>
            </w:r>
            <w:r>
              <w:rPr>
                <w:rFonts w:hint="eastAsia" w:ascii="宋体" w:hAnsi="宋体" w:cs="宋体"/>
                <w:i w:val="0"/>
                <w:iCs w:val="0"/>
                <w:color w:val="auto"/>
                <w:sz w:val="21"/>
                <w:szCs w:val="21"/>
                <w:highlight w:val="none"/>
                <w:u w:val="none"/>
                <w:lang w:val="en-US" w:eastAsia="zh-CN" w:bidi="ar"/>
              </w:rPr>
              <w:t xml:space="preserve">。</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B1-22</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磁力搅拌器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生化酸碱中和滴定实验、不同浓度的溶液搅拌、液体混合、组织培养实验。磁力搅拌器主体、电源适配器、磁子组成。通过调节转速旋钮调节速度，无级调速，搅拌速度为每分钟0~1800转。混合效果显著，混合容量1000毫升。工作功率：≥5W，电源电压：12V。工作台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130*130mm，外观尺寸：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150*200*</w:t>
            </w:r>
            <w:r>
              <w:rPr>
                <w:rFonts w:hint="eastAsia" w:ascii="宋体" w:hAnsi="宋体" w:cs="宋体"/>
                <w:i w:val="0"/>
                <w:iCs w:val="0"/>
                <w:color w:val="auto"/>
                <w:sz w:val="21"/>
                <w:szCs w:val="21"/>
                <w:highlight w:val="none"/>
                <w:u w:val="none"/>
                <w:lang w:val="en-US" w:eastAsia="zh-CN" w:bidi="ar"/>
              </w:rPr>
              <w:t xml:space="preserve">55</w:t>
            </w:r>
            <w:r>
              <w:rPr>
                <w:rFonts w:hint="eastAsia" w:ascii="宋体" w:hAnsi="宋体" w:eastAsia="宋体" w:cs="宋体"/>
                <w:i w:val="0"/>
                <w:iCs w:val="0"/>
                <w:color w:val="auto"/>
                <w:sz w:val="21"/>
                <w:szCs w:val="21"/>
                <w:highlight w:val="none"/>
                <w:u w:val="none"/>
                <w:lang w:val="en-US" w:eastAsia="zh-CN" w:bidi="ar"/>
              </w:rPr>
              <w:t xml:space="preserve">mm，净重：≥0.5kg。</w:t>
            </w:r>
            <w:r/>
          </w:p>
        </w:tc>
        <w:tc>
          <w:tcPr>
            <w:tcW w:w="36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B1-23</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化学反应速率实验器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#1、用于探究催化剂对过氧化氢分解的影响、金属与酸反应，生物上酶催化的高效性。结合气压传感器使用。主要由密封反应瓶、泄压组件</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组成。装置中设有开关、泄压装置，充分保证了实验的安全性；带盖密封反应瓶，保证实验器的密封性，大大减少因气体逸散导致的实验误差，更科学严谨。</w:t>
            </w:r>
            <w:r/>
          </w:p>
        </w:tc>
        <w:tc>
          <w:tcPr>
            <w:tcW w:w="36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B1-24</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#1、装配组合部件，双向交叉，孔内径适应于标准铁架台，用于连接多种附件及传感器等。</w:t>
            </w:r>
            <w:r/>
          </w:p>
        </w:tc>
        <w:tc>
          <w:tcPr>
            <w:tcW w:w="36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B1-25</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铁的吸氧腐蚀实验器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化学“铁的吸氧腐蚀实验的探究”及“空气中氧气含量的测定”。由宽径浅口玻璃试管、压强鲁尔接头、多孔橡胶塞组成。通过测量反应过程中温度、压强、氧气含量的变化，探究铁的吸氧腐蚀现象。其中，采用宽径浅口玻璃试管，非普通试管或烧杯，实现增大与氧气反应的接触面积，加快反应速率，缩短反应时间，又易于观察和清洗的功能。</w:t>
            </w:r>
            <w:r/>
          </w:p>
        </w:tc>
        <w:tc>
          <w:tcPr>
            <w:tcW w:w="36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B1-26</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粉尘爆炸实验器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化学燃烧和灭火实验，用于探究粉尘爆炸的实验原理。可清楚观察到淀粉燃烧和爆炸的全过程，加深学生对燃烧条件的认识，进一步了解灭火原理。由翻盖式保鲜盒、穿板弯头、橡胶管、吹尘球、蜡烛、淀粉、点火枪和防火架组成。</w:t>
            </w:r>
            <w:r/>
          </w:p>
        </w:tc>
        <w:tc>
          <w:tcPr>
            <w:tcW w:w="36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B1-27</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气液相密封实验器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生化-水陆生植物的光合作用、蒸腾作用，种子的萌发放热，酵母菌的呼吸作用，酶的特性实验。配合温度、湿度、氧气、CO2等传感器使用。由实验盒、实验盖、不同规格的硅胶塞等组成。实验盖开孔，分别为氧气探头孔、二氧化碳探头孔和温度探头孔。</w:t>
            </w:r>
            <w:r/>
          </w:p>
        </w:tc>
        <w:tc>
          <w:tcPr>
            <w:tcW w:w="36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B1-28</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多功能电极支架</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#1、用于中学生化传感器电极的固定夹持，方便实验的操作。由底座、机械臂和电极夹构成。实验室仪器专用电极支架，5孔，可以360度旋转，可以自由伸缩。可以应用于PH计、电导率、离子计等。</w:t>
            </w:r>
            <w:r/>
          </w:p>
        </w:tc>
        <w:tc>
          <w:tcPr>
            <w:tcW w:w="36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gridSpan w:val="3"/>
            <w:tcW w:w="427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B2、学生端传感器和配套实验器材</w:t>
            </w:r>
            <w:r/>
          </w:p>
        </w:tc>
        <w:tc>
          <w:tcPr>
            <w:tcW w:w="362"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357"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54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B2-01</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便携式实验终端</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技术参数同“B1-01 便携式实验终端”</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B2-02</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技术参数同“B1-02 数据采集器”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62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B2-03</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#1、量程：-50℃～250℃，分辨率：0.1℃。不锈钢探针，用于测各种物体或溶液的温度。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02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B2-04</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#1、量程：0～1200°C，分辨率：0.25°C。用于测量物体表面、气体、酸碱等液体的温度，也可用于超高温的测量。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89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B2-05</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气压传感器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#1、量程：0～700kPa，分辨率：0.1kPa。配有针筒，用于测量大气环境下或密闭空间内的气体的绝对压强。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B2-06</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#1、量程：0%～100%RH，分辨率：0.05%。用于测量空气的相对湿度。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B2-07</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#1、量程：0～14 pH，分辨率：0.01 PH。用于精确测量溶液的酸碱值。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113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B2-08</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#1、量程：0～20000μS/cm，分辨率：10μS/cm。用于测量溶液的电导率及其变化。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strike w:val="0"/>
                <w:color w:val="auto"/>
                <w:sz w:val="21"/>
                <w:szCs w:val="21"/>
                <w:highlight w:val="none"/>
                <w:u w:val="none"/>
                <w:lang w:val="en-US" w:eastAsia="zh-CN" w:bidi="ar"/>
              </w:rPr>
              <w:t xml:space="preserve">工</w:t>
            </w:r>
            <w:r>
              <w:rPr>
                <w:rFonts w:hint="eastAsia" w:ascii="宋体" w:hAnsi="宋体" w:eastAsia="宋体" w:cs="宋体"/>
                <w:i w:val="0"/>
                <w:iCs w:val="0"/>
                <w:color w:val="auto"/>
                <w:sz w:val="21"/>
                <w:szCs w:val="21"/>
                <w:highlight w:val="none"/>
                <w:u w:val="none"/>
                <w:lang w:val="en-US" w:eastAsia="zh-CN" w:bidi="ar"/>
              </w:rPr>
              <w:t xml:space="preserve">作方式。传感器自带M5螺纹孔，可实现与多种数字化实验装置的组装和固定。传感器数据传输时，无需数据采集器。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B2-09</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#1、量程：0%～100%，分辨率：0.025%。用于测量空气中氧气含量变化。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B2-10</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 0～50,000 ppm，分辨率：1 ppm。用于测量空气中二氧化碳含量变化。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B2-11</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浊度计传感器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技术参数同“B1-13 浊度计传感器”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B2-12</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铝合金箱及附件</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技术参数同“B1-18 铝合金箱及附件”</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B2-13</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酸碱反应热实验器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技术参数同“B1-20 酸碱反应热实验器”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B2-14</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酸碱中和滴定装置</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技术参数同“B1-21 酸碱中和滴定装置”</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B2-15</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磁力搅拌器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技术参数同“B1-22 磁力搅拌器”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B2-16</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化学反应速率实验器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技术参数同“B1-23 化学反应速率实验器”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B2-17</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技术参数同“B1-24 多向转接头”</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B2-18</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铁的吸氧腐蚀实验器</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技术参数同“B1-25 铁的吸氧腐蚀实验器”</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B2-19</w:t>
            </w:r>
            <w:r/>
          </w:p>
        </w:tc>
        <w:tc>
          <w:tcPr>
            <w:tcW w:w="58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多功能电极支架</w:t>
            </w:r>
            <w:r/>
          </w:p>
        </w:tc>
        <w:tc>
          <w:tcPr>
            <w:tcW w:w="3305"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技术参数同“B1-28 多功能电极支架”</w:t>
            </w:r>
            <w:r/>
          </w:p>
        </w:tc>
        <w:tc>
          <w:tcPr>
            <w:tcW w:w="36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176"/>
        <w:gridCol w:w="6591"/>
        <w:gridCol w:w="691"/>
        <w:gridCol w:w="747"/>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C-化学考评实验室</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C1、实验室基础设备配置</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C1-0</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C1-0</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技术参数同“A1-02 教师总控电源”</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C1-0</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技术参数同“A1-10 教师椅”</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C1-0</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技术参数同“A1-03 实验桌”</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C1-0</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技术参数同“A1-05 功能柱”</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C1-0</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学生交流2V到24V输出，电流2A，自动过载保护，自动恢复。电压2V每档，由教师集中控制；学生直流2V到24V输出，电流2A，自动过载保护，自动恢复。由教师集中控制；220V国标五孔插座，保险丝保护，工作指示；</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C1-</w:t>
            </w:r>
            <w:r>
              <w:rPr>
                <w:rFonts w:hint="eastAsia" w:ascii="宋体" w:hAnsi="宋体" w:cs="宋体"/>
                <w:i w:val="0"/>
                <w:iCs w:val="0"/>
                <w:color w:val="auto"/>
                <w:sz w:val="21"/>
                <w:szCs w:val="21"/>
                <w:highlight w:val="none"/>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C1-</w:t>
            </w:r>
            <w:r>
              <w:rPr>
                <w:rFonts w:hint="eastAsia" w:ascii="宋体" w:hAnsi="宋体" w:cs="宋体"/>
                <w:i w:val="0"/>
                <w:iCs w:val="0"/>
                <w:color w:val="auto"/>
                <w:sz w:val="21"/>
                <w:szCs w:val="21"/>
                <w:highlight w:val="none"/>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水槽柜</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技术参数同“A1-06 水槽柜”</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C1-</w:t>
            </w:r>
            <w:r>
              <w:rPr>
                <w:rFonts w:hint="eastAsia" w:ascii="宋体" w:hAnsi="宋体" w:cs="宋体"/>
                <w:i w:val="0"/>
                <w:iCs w:val="0"/>
                <w:color w:val="auto"/>
                <w:sz w:val="21"/>
                <w:szCs w:val="21"/>
                <w:highlight w:val="none"/>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上水装置</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技术参数同“A1-07 上水装置”</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C1-</w:t>
            </w:r>
            <w:r>
              <w:rPr>
                <w:rFonts w:hint="eastAsia" w:ascii="宋体" w:hAnsi="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下水装置</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技术参数同“A1-08 下水装置”</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C1-1</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三联水嘴</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技术参数同“A1-09 三联水嘴”</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C1-1</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单口洗眼器</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技术参数同“A1-11 单口洗眼器”</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C1-1</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#1、DN25mm阻燃线管；2.5平方国标线材，符合国家标准；                                                                        </w:t>
            </w:r>
            <w:r>
              <w:rPr>
                <w:rFonts w:hint="eastAsia" w:ascii="宋体" w:hAnsi="宋体" w:eastAsia="宋体" w:cs="宋体"/>
                <w:i w:val="0"/>
                <w:iCs w:val="0"/>
                <w:color w:val="auto"/>
                <w:sz w:val="21"/>
                <w:szCs w:val="21"/>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C1-1</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#1、ф32、ф25、ф20；DN75、DN50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给水：采用PPR复合管敷设；排水：使用国标UPVC专用排水管；  </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C1-1</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万向吸风罩</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技术参数同“A4-01 万向吸风罩”</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C1-1</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w:t>
            </w:r>
            <w:r>
              <w:rPr>
                <w:rFonts w:hint="eastAsia" w:ascii="宋体" w:hAnsi="宋体" w:cs="宋体"/>
                <w:i w:val="0"/>
                <w:iCs w:val="0"/>
                <w:color w:val="auto"/>
                <w:sz w:val="21"/>
                <w:szCs w:val="21"/>
                <w:highlight w:val="none"/>
                <w:u w:val="none"/>
                <w:lang w:val="en-US" w:eastAsia="zh-CN" w:bidi="ar"/>
              </w:rPr>
              <w:t xml:space="preserve">行程</w:t>
            </w:r>
            <w:r>
              <w:rPr>
                <w:rFonts w:hint="eastAsia" w:ascii="宋体" w:hAnsi="宋体" w:eastAsia="宋体" w:cs="宋体"/>
                <w:i w:val="0"/>
                <w:iCs w:val="0"/>
                <w:color w:val="auto"/>
                <w:sz w:val="21"/>
                <w:szCs w:val="21"/>
                <w:highlight w:val="none"/>
                <w:u w:val="none"/>
                <w:lang w:val="en-US" w:eastAsia="zh-CN" w:bidi="ar"/>
              </w:rPr>
              <w:t xml:space="preserve">通风系统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技术参数同“A4-02 室内</w:t>
            </w:r>
            <w:r>
              <w:rPr>
                <w:rFonts w:hint="eastAsia" w:ascii="宋体" w:hAnsi="宋体" w:cs="宋体"/>
                <w:i w:val="0"/>
                <w:iCs w:val="0"/>
                <w:color w:val="auto"/>
                <w:sz w:val="21"/>
                <w:szCs w:val="21"/>
                <w:highlight w:val="none"/>
                <w:u w:val="none"/>
                <w:lang w:val="en-US" w:eastAsia="zh-CN" w:bidi="ar"/>
              </w:rPr>
              <w:t xml:space="preserve">行程</w:t>
            </w:r>
            <w:r>
              <w:rPr>
                <w:rFonts w:hint="eastAsia" w:ascii="宋体" w:hAnsi="宋体" w:eastAsia="宋体" w:cs="宋体"/>
                <w:i w:val="0"/>
                <w:iCs w:val="0"/>
                <w:color w:val="auto"/>
                <w:sz w:val="21"/>
                <w:szCs w:val="21"/>
                <w:highlight w:val="none"/>
                <w:u w:val="none"/>
                <w:lang w:val="en-US" w:eastAsia="zh-CN" w:bidi="ar"/>
              </w:rPr>
              <w:t xml:space="preserve">通风系统”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C1-</w:t>
            </w:r>
            <w:r>
              <w:rPr>
                <w:rFonts w:hint="eastAsia" w:ascii="宋体" w:hAnsi="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w:t>
            </w:r>
            <w:r>
              <w:rPr>
                <w:rFonts w:hint="eastAsia" w:ascii="宋体" w:hAnsi="宋体" w:cs="宋体"/>
                <w:i w:val="0"/>
                <w:iCs w:val="0"/>
                <w:color w:val="auto"/>
                <w:sz w:val="21"/>
                <w:szCs w:val="21"/>
                <w:highlight w:val="none"/>
                <w:u w:val="none"/>
                <w:lang w:val="en-US" w:eastAsia="zh-CN" w:bidi="ar"/>
              </w:rPr>
              <w:t xml:space="preserve">行程</w:t>
            </w:r>
            <w:r>
              <w:rPr>
                <w:rFonts w:hint="eastAsia" w:ascii="宋体" w:hAnsi="宋体" w:eastAsia="宋体" w:cs="宋体"/>
                <w:i w:val="0"/>
                <w:iCs w:val="0"/>
                <w:color w:val="auto"/>
                <w:sz w:val="21"/>
                <w:szCs w:val="21"/>
                <w:highlight w:val="none"/>
                <w:u w:val="none"/>
                <w:lang w:val="en-US" w:eastAsia="zh-CN" w:bidi="ar"/>
              </w:rPr>
              <w:t xml:space="preserve">通风系统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技术参数同“A4-03 室外</w:t>
            </w:r>
            <w:r>
              <w:rPr>
                <w:rFonts w:hint="eastAsia" w:ascii="宋体" w:hAnsi="宋体" w:cs="宋体"/>
                <w:i w:val="0"/>
                <w:iCs w:val="0"/>
                <w:color w:val="auto"/>
                <w:sz w:val="21"/>
                <w:szCs w:val="21"/>
                <w:highlight w:val="none"/>
                <w:u w:val="none"/>
                <w:lang w:val="en-US" w:eastAsia="zh-CN" w:bidi="ar"/>
              </w:rPr>
              <w:t xml:space="preserve">行程</w:t>
            </w:r>
            <w:r>
              <w:rPr>
                <w:rFonts w:hint="eastAsia" w:ascii="宋体" w:hAnsi="宋体" w:eastAsia="宋体" w:cs="宋体"/>
                <w:i w:val="0"/>
                <w:iCs w:val="0"/>
                <w:color w:val="auto"/>
                <w:sz w:val="21"/>
                <w:szCs w:val="21"/>
                <w:highlight w:val="none"/>
                <w:u w:val="none"/>
                <w:lang w:val="en-US" w:eastAsia="zh-CN" w:bidi="ar"/>
              </w:rPr>
              <w:t xml:space="preserve">通风系统”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C1-</w:t>
            </w:r>
            <w:r>
              <w:rPr>
                <w:rFonts w:hint="eastAsia" w:ascii="宋体" w:hAnsi="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通风</w:t>
            </w:r>
            <w:r>
              <w:rPr>
                <w:rFonts w:hint="eastAsia" w:ascii="宋体" w:hAnsi="宋体" w:eastAsia="宋体" w:cs="宋体"/>
                <w:i w:val="0"/>
                <w:iCs w:val="0"/>
                <w:color w:val="auto"/>
                <w:sz w:val="21"/>
                <w:szCs w:val="21"/>
                <w:highlight w:val="none"/>
                <w:u w:val="none"/>
                <w:lang w:val="en-US" w:eastAsia="zh-CN" w:bidi="ar"/>
              </w:rPr>
              <w:t xml:space="preserve">风机</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技术参数同“A4-04 </w:t>
            </w:r>
            <w:r>
              <w:rPr>
                <w:rFonts w:hint="eastAsia" w:ascii="宋体" w:hAnsi="宋体" w:cs="宋体"/>
                <w:i w:val="0"/>
                <w:iCs w:val="0"/>
                <w:color w:val="auto"/>
                <w:sz w:val="21"/>
                <w:szCs w:val="21"/>
                <w:highlight w:val="none"/>
                <w:u w:val="none"/>
                <w:lang w:val="en-US" w:eastAsia="zh-CN" w:bidi="ar"/>
              </w:rPr>
              <w:t xml:space="preserve">通风</w:t>
            </w:r>
            <w:r>
              <w:rPr>
                <w:rFonts w:hint="eastAsia" w:ascii="宋体" w:hAnsi="宋体" w:eastAsia="宋体" w:cs="宋体"/>
                <w:i w:val="0"/>
                <w:iCs w:val="0"/>
                <w:color w:val="auto"/>
                <w:sz w:val="21"/>
                <w:szCs w:val="21"/>
                <w:highlight w:val="none"/>
                <w:u w:val="none"/>
                <w:lang w:val="en-US" w:eastAsia="zh-CN" w:bidi="ar"/>
              </w:rPr>
              <w:t xml:space="preserve">风机”</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C1-</w:t>
            </w:r>
            <w:r>
              <w:rPr>
                <w:rFonts w:hint="eastAsia" w:ascii="宋体" w:hAnsi="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变频器</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技术参数同“A4-05 变频器”</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C1-2</w:t>
            </w:r>
            <w:r>
              <w:rPr>
                <w:rFonts w:hint="eastAsia" w:ascii="宋体" w:hAnsi="宋体" w:cs="宋体"/>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消音器</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技术参数同“A4-06 消音器”</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C1-2</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风机软连接</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技术参数同“A4-07 风机软连接”</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C1-2</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风机控制线</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技术参数同“A4-08 风机控制线”</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C1-2</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C1-2</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C1-2</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C1-2</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C1-</w:t>
            </w:r>
            <w:r>
              <w:rPr>
                <w:rFonts w:hint="eastAsia" w:ascii="宋体" w:hAnsi="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C1-</w:t>
            </w:r>
            <w:r>
              <w:rPr>
                <w:rFonts w:hint="eastAsia" w:ascii="宋体" w:hAnsi="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C1-</w:t>
            </w:r>
            <w:r>
              <w:rPr>
                <w:rFonts w:hint="eastAsia" w:ascii="宋体" w:hAnsi="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C1-</w:t>
            </w:r>
            <w:r>
              <w:rPr>
                <w:rFonts w:hint="eastAsia" w:ascii="宋体" w:hAnsi="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C1-3</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技术参数同“A1-20 互动</w:t>
            </w:r>
            <w:r>
              <w:rPr>
                <w:rFonts w:hint="eastAsia" w:ascii="宋体" w:hAnsi="宋体" w:cs="宋体"/>
                <w:i w:val="0"/>
                <w:iCs w:val="0"/>
                <w:color w:val="auto"/>
                <w:sz w:val="21"/>
                <w:szCs w:val="21"/>
                <w:highlight w:val="none"/>
                <w:u w:val="none"/>
                <w:lang w:val="en-US" w:eastAsia="zh-CN" w:bidi="ar"/>
              </w:rPr>
              <w:t xml:space="preserve">电视机</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C2、智能控制系统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C2-01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技术参数同“A2-01 智能系统控制箱”</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C2-02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智能控制屏</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技术参数同“A2-02 智能控制屏”</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C2-03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技术参数同“A2-03 吊装控制系统”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C2-04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温湿度探测系统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技术参数同“A2-04 温湿度探测系统”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C3、顶部集成供给系统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C3-01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吊装主体框架</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技术参数同“A3-01 吊装主体框架”</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C3-02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主体保护罩</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技术参数同“A3-02 主体保护罩”</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C3-03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吊装端头</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技术参数同“A3-03 吊装端头”</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C3-04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智能摇臂升降系统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技术参数同“A3-04 智能摇臂升降系统”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C3-05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集成功能模块</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技术参数同“A3-05 集成功能模块”</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C3-06</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电源供应模块</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C3-07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保险模块</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技术参数同“A3-07 保险模块”</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C3-08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急停装置</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技术参数同“A3-08 急停装置”</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C3-09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C3-10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C3-11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C3-12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自动给排水系统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技术参数同“A3-12 自动给排水系统”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C3-13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给排水接口</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技术参数同“A3-13 给排水接口”</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C3-14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给水管路</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技术参数同“A3-14 给水管路”</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C3-15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排水管路</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技术参数同“A3-15 排水管路”</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C3-16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学生端分组控制系统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技术参数同“A3-16 学生端分组控制系统”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C3-17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系统安装辅件</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技术参数同“A3-17 系统安装辅件”</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C4、实验室信息化系统相关配置及配套服务</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04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C4-01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实验台信息采集终端</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Style w:val="938"/>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#1、一体化设计终端，整机由≥2个摄像头、≥1块触摸屏、≥1个底座组成，整机没有任何外露线材；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#2、终端可根据需要固定在桌面也可便携移动；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、处理器≥6核心，主频≥1.8GHz；内存≥4G，存储空间≥32GB；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设备应具有≥11.5英寸触摸屏，</w:t>
            </w:r>
            <w:r>
              <w:rPr>
                <w:rStyle w:val="938"/>
                <w:rFonts w:hint="eastAsia" w:ascii="宋体" w:hAnsi="宋体" w:eastAsia="宋体" w:cs="宋体"/>
                <w:color w:val="auto"/>
                <w:sz w:val="21"/>
                <w:szCs w:val="21"/>
                <w:highlight w:val="none"/>
                <w:lang w:val="en-US" w:eastAsia="zh-CN" w:bidi="ar"/>
              </w:rPr>
              <w:t xml:space="preserve">≥1个USB3.0接口；具有≥1个HDMI接口，可以输出≥1路1080P视频信号,用于拓展显示屏画面；具有≥1个Type-C接口，可以用于调试模式；</w:t>
            </w:r>
            <w:r/>
          </w:p>
          <w:p>
            <w:pPr>
              <w:numPr>
                <w:ilvl w:val="0"/>
                <w:numId w:val="0"/>
              </w:numPr>
              <w:jc w:val="left"/>
              <w:keepLines w:val="0"/>
              <w:keepNext w:val="0"/>
              <w:pageBreakBefore w:val="0"/>
              <w:spacing w:line="320" w:lineRule="exact"/>
              <w:widowControl/>
              <w:rPr>
                <w:rStyle w:val="938"/>
                <w:rFonts w:hint="eastAsia" w:ascii="宋体" w:hAnsi="宋体" w:eastAsia="宋体" w:cs="宋体"/>
                <w:color w:val="auto"/>
                <w:sz w:val="21"/>
                <w:szCs w:val="21"/>
                <w:highlight w:val="none"/>
                <w:lang w:val="en-US" w:eastAsia="zh-CN" w:bidi="ar"/>
              </w:rPr>
              <w:suppressLineNumbers w:val="0"/>
            </w:pPr>
            <w:r>
              <w:rPr>
                <w:rStyle w:val="938"/>
                <w:rFonts w:hint="eastAsia" w:ascii="宋体" w:hAnsi="宋体" w:eastAsia="宋体" w:cs="宋体"/>
                <w:color w:val="auto"/>
                <w:sz w:val="21"/>
                <w:szCs w:val="21"/>
                <w:highlight w:val="none"/>
                <w:lang w:val="en-US" w:eastAsia="zh-CN" w:bidi="ar"/>
              </w:rPr>
              <w:t xml:space="preserve">#</w:t>
            </w:r>
            <w:r>
              <w:rPr>
                <w:rStyle w:val="938"/>
                <w:rFonts w:hint="eastAsia" w:ascii="宋体" w:hAnsi="宋体" w:cs="宋体"/>
                <w:color w:val="auto"/>
                <w:sz w:val="21"/>
                <w:szCs w:val="21"/>
                <w:highlight w:val="none"/>
                <w:lang w:val="en-US" w:eastAsia="zh" w:bidi="ar"/>
              </w:rPr>
              <w:t xml:space="preserve">4</w:t>
            </w:r>
            <w:r>
              <w:rPr>
                <w:rStyle w:val="938"/>
                <w:rFonts w:hint="eastAsia" w:ascii="宋体" w:hAnsi="宋体" w:eastAsia="宋体" w:cs="宋体"/>
                <w:color w:val="auto"/>
                <w:sz w:val="21"/>
                <w:szCs w:val="21"/>
                <w:highlight w:val="none"/>
                <w:lang w:val="en-US" w:eastAsia="zh-CN" w:bidi="ar"/>
              </w:rPr>
              <w:t xml:space="preserve">、满足考试视频录制和传输性能要求；满足教学场景灵活应用；</w:t>
            </w:r>
            <w:r>
              <w:rPr>
                <w:rStyle w:val="938"/>
                <w:rFonts w:hint="eastAsia" w:ascii="宋体" w:hAnsi="宋体" w:eastAsia="宋体" w:cs="宋体"/>
                <w:color w:val="auto"/>
                <w:sz w:val="21"/>
                <w:szCs w:val="21"/>
                <w:highlight w:val="none"/>
                <w:lang w:val="en-US" w:eastAsia="zh-CN" w:bidi="ar"/>
              </w:rPr>
              <w:br/>
            </w:r>
            <w:r>
              <w:rPr>
                <w:rStyle w:val="938"/>
                <w:rFonts w:hint="eastAsia" w:ascii="宋体" w:hAnsi="宋体" w:eastAsia="宋体" w:cs="宋体"/>
                <w:color w:val="auto"/>
                <w:sz w:val="21"/>
                <w:szCs w:val="21"/>
                <w:highlight w:val="none"/>
                <w:lang w:val="en-US" w:eastAsia="zh-CN" w:bidi="ar"/>
              </w:rPr>
              <w:t xml:space="preserve">#</w:t>
            </w:r>
            <w:r>
              <w:rPr>
                <w:rStyle w:val="938"/>
                <w:rFonts w:hint="eastAsia" w:ascii="宋体" w:hAnsi="宋体" w:cs="宋体"/>
                <w:color w:val="auto"/>
                <w:sz w:val="21"/>
                <w:szCs w:val="21"/>
                <w:highlight w:val="none"/>
                <w:lang w:val="en-US" w:eastAsia="zh" w:bidi="ar"/>
              </w:rPr>
              <w:t xml:space="preserve">5</w:t>
            </w:r>
            <w:r>
              <w:rPr>
                <w:rStyle w:val="938"/>
                <w:rFonts w:hint="eastAsia" w:ascii="宋体" w:hAnsi="宋体" w:eastAsia="宋体" w:cs="宋体"/>
                <w:color w:val="auto"/>
                <w:sz w:val="21"/>
                <w:szCs w:val="21"/>
                <w:highlight w:val="none"/>
                <w:lang w:val="en-US" w:eastAsia="zh-CN" w:bidi="ar"/>
              </w:rPr>
              <w:t xml:space="preserve">、POE特性：具有≥100Mbps的以太网端口，支持POE供电；</w:t>
            </w:r>
            <w:r>
              <w:rPr>
                <w:rStyle w:val="938"/>
                <w:rFonts w:hint="eastAsia" w:ascii="宋体" w:hAnsi="宋体" w:eastAsia="宋体" w:cs="宋体"/>
                <w:color w:val="auto"/>
                <w:sz w:val="21"/>
                <w:szCs w:val="21"/>
                <w:highlight w:val="none"/>
                <w:lang w:val="en-US" w:eastAsia="zh-CN" w:bidi="ar"/>
              </w:rPr>
              <w:br/>
            </w:r>
            <w:r>
              <w:rPr>
                <w:rStyle w:val="938"/>
                <w:rFonts w:hint="eastAsia" w:ascii="宋体" w:hAnsi="宋体" w:eastAsia="宋体" w:cs="宋体"/>
                <w:color w:val="auto"/>
                <w:sz w:val="21"/>
                <w:szCs w:val="21"/>
                <w:highlight w:val="none"/>
                <w:lang w:val="en-US" w:eastAsia="zh-CN" w:bidi="ar"/>
              </w:rPr>
              <w:t xml:space="preserve">#</w:t>
            </w:r>
            <w:r>
              <w:rPr>
                <w:rStyle w:val="938"/>
                <w:rFonts w:hint="eastAsia" w:ascii="宋体" w:hAnsi="宋体" w:cs="宋体"/>
                <w:color w:val="auto"/>
                <w:sz w:val="21"/>
                <w:szCs w:val="21"/>
                <w:highlight w:val="none"/>
                <w:lang w:val="en-US" w:eastAsia="zh" w:bidi="ar"/>
              </w:rPr>
              <w:t xml:space="preserve">6</w:t>
            </w:r>
            <w:r>
              <w:rPr>
                <w:rStyle w:val="938"/>
                <w:rFonts w:hint="eastAsia" w:ascii="宋体" w:hAnsi="宋体" w:eastAsia="宋体" w:cs="宋体"/>
                <w:color w:val="auto"/>
                <w:sz w:val="21"/>
                <w:szCs w:val="21"/>
                <w:highlight w:val="none"/>
                <w:lang w:val="en-US" w:eastAsia="zh-CN" w:bidi="ar"/>
              </w:rPr>
              <w:t xml:space="preserve">、独立式网络相机设计；</w:t>
            </w:r>
            <w:r>
              <w:rPr>
                <w:rStyle w:val="938"/>
                <w:rFonts w:hint="eastAsia" w:ascii="宋体" w:hAnsi="宋体" w:eastAsia="宋体" w:cs="宋体"/>
                <w:color w:val="auto"/>
                <w:sz w:val="21"/>
                <w:szCs w:val="21"/>
                <w:highlight w:val="none"/>
                <w:lang w:val="en-US" w:eastAsia="zh-CN" w:bidi="ar"/>
              </w:rPr>
              <w:br/>
            </w:r>
            <w:r>
              <w:rPr>
                <w:rStyle w:val="938"/>
                <w:rFonts w:hint="eastAsia" w:ascii="宋体" w:hAnsi="宋体" w:eastAsia="宋体" w:cs="宋体"/>
                <w:color w:val="auto"/>
                <w:sz w:val="21"/>
                <w:szCs w:val="21"/>
                <w:highlight w:val="none"/>
                <w:lang w:val="en-US" w:eastAsia="zh-CN" w:bidi="ar"/>
              </w:rPr>
              <w:t xml:space="preserve">#</w:t>
            </w:r>
            <w:r>
              <w:rPr>
                <w:rStyle w:val="938"/>
                <w:rFonts w:hint="eastAsia" w:ascii="宋体" w:hAnsi="宋体" w:cs="宋体"/>
                <w:color w:val="auto"/>
                <w:sz w:val="21"/>
                <w:szCs w:val="21"/>
                <w:highlight w:val="none"/>
                <w:lang w:val="en-US" w:eastAsia="zh" w:bidi="ar"/>
              </w:rPr>
              <w:t xml:space="preserve">7</w:t>
            </w:r>
            <w:r>
              <w:rPr>
                <w:rStyle w:val="938"/>
                <w:rFonts w:hint="eastAsia" w:ascii="宋体" w:hAnsi="宋体" w:eastAsia="宋体" w:cs="宋体"/>
                <w:color w:val="auto"/>
                <w:sz w:val="21"/>
                <w:szCs w:val="21"/>
                <w:highlight w:val="none"/>
                <w:lang w:val="en-US" w:eastAsia="zh-CN" w:bidi="ar"/>
              </w:rPr>
              <w:t xml:space="preserve">、供电：具有220V转DC持续供电，支持POE供电；</w:t>
            </w:r>
            <w:r>
              <w:rPr>
                <w:rStyle w:val="938"/>
                <w:rFonts w:hint="eastAsia" w:ascii="宋体" w:hAnsi="宋体" w:eastAsia="宋体" w:cs="宋体"/>
                <w:color w:val="auto"/>
                <w:sz w:val="21"/>
                <w:szCs w:val="21"/>
                <w:highlight w:val="none"/>
                <w:lang w:val="en-US" w:eastAsia="zh-CN" w:bidi="ar"/>
              </w:rPr>
              <w:br/>
            </w:r>
            <w:r>
              <w:rPr>
                <w:rStyle w:val="938"/>
                <w:rFonts w:hint="eastAsia" w:ascii="宋体" w:hAnsi="宋体" w:eastAsia="宋体" w:cs="宋体"/>
                <w:color w:val="auto"/>
                <w:sz w:val="21"/>
                <w:szCs w:val="21"/>
                <w:highlight w:val="none"/>
                <w:lang w:val="en-US" w:eastAsia="zh-CN" w:bidi="ar"/>
              </w:rPr>
              <w:t xml:space="preserve">#</w:t>
            </w:r>
            <w:r>
              <w:rPr>
                <w:rStyle w:val="938"/>
                <w:rFonts w:hint="eastAsia" w:ascii="宋体" w:hAnsi="宋体" w:cs="宋体"/>
                <w:color w:val="auto"/>
                <w:sz w:val="21"/>
                <w:szCs w:val="21"/>
                <w:highlight w:val="none"/>
                <w:lang w:val="en-US" w:eastAsia="zh" w:bidi="ar"/>
              </w:rPr>
              <w:t xml:space="preserve">8</w:t>
            </w:r>
            <w:r>
              <w:rPr>
                <w:rStyle w:val="938"/>
                <w:rFonts w:hint="eastAsia" w:ascii="宋体" w:hAnsi="宋体" w:eastAsia="宋体" w:cs="宋体"/>
                <w:color w:val="auto"/>
                <w:sz w:val="21"/>
                <w:szCs w:val="21"/>
                <w:highlight w:val="none"/>
                <w:lang w:val="en-US" w:eastAsia="zh-CN" w:bidi="ar"/>
              </w:rPr>
              <w:t xml:space="preserve">、</w:t>
            </w:r>
            <w:r>
              <w:rPr>
                <w:rStyle w:val="938"/>
                <w:rFonts w:hint="eastAsia" w:ascii="宋体" w:hAnsi="宋体" w:cs="宋体"/>
                <w:color w:val="auto"/>
                <w:sz w:val="21"/>
                <w:szCs w:val="21"/>
                <w:highlight w:val="none"/>
                <w:lang w:val="en-US" w:eastAsia="zh" w:bidi="ar"/>
              </w:rPr>
              <w:t xml:space="preserve">支</w:t>
            </w:r>
            <w:r>
              <w:rPr>
                <w:rStyle w:val="938"/>
                <w:rFonts w:hint="eastAsia" w:ascii="宋体" w:hAnsi="宋体" w:eastAsia="宋体" w:cs="宋体"/>
                <w:color w:val="auto"/>
                <w:sz w:val="21"/>
                <w:szCs w:val="21"/>
                <w:highlight w:val="none"/>
                <w:lang w:val="en-US" w:eastAsia="zh-CN" w:bidi="ar"/>
              </w:rPr>
              <w:t xml:space="preserve">持本机视频录制；支持在本机视频录制过程中进行书写批注；支持在教室的大屏一体机上观看本机实时直播画面和实时批注；</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Style w:val="938"/>
                <w:rFonts w:hint="eastAsia" w:ascii="宋体" w:hAnsi="宋体" w:eastAsia="宋体" w:cs="宋体"/>
                <w:color w:val="auto"/>
                <w:sz w:val="21"/>
                <w:szCs w:val="21"/>
                <w:highlight w:val="none"/>
                <w:lang w:val="en-US" w:eastAsia="zh-CN" w:bidi="ar"/>
              </w:rPr>
              <w:t xml:space="preserve">#</w:t>
            </w:r>
            <w:r>
              <w:rPr>
                <w:rStyle w:val="938"/>
                <w:rFonts w:hint="eastAsia" w:ascii="宋体" w:hAnsi="宋体" w:cs="宋体"/>
                <w:color w:val="auto"/>
                <w:sz w:val="21"/>
                <w:szCs w:val="21"/>
                <w:highlight w:val="none"/>
                <w:lang w:val="en-US" w:eastAsia="zh-CN" w:bidi="ar"/>
              </w:rPr>
              <w:t xml:space="preserve">9</w:t>
            </w:r>
            <w:r>
              <w:rPr>
                <w:rStyle w:val="938"/>
                <w:rFonts w:hint="eastAsia" w:ascii="宋体" w:hAnsi="宋体" w:eastAsia="宋体" w:cs="宋体"/>
                <w:color w:val="auto"/>
                <w:sz w:val="21"/>
                <w:szCs w:val="21"/>
                <w:highlight w:val="none"/>
                <w:lang w:val="en-US" w:eastAsia="zh-CN" w:bidi="ar"/>
              </w:rPr>
              <w:t xml:space="preserve">、支持生成1个直播间二维码，可通过手机微信扫码进入直播间；</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72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C4-02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考生终端软件</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#1、软件架构：采用C/S客户端或B/S架构设计，与考室监考端的通讯地址绑定，修改绑定的监考端通讯地址后，系统能自动接收考室的信息；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#2、跨网通信：终端软件只与考室监考端通信，不与考试管理系统进行通信，实现网络隔离，可以通过监考端转发信息实现视频录制；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#3、IP配置：支持通过DHCP配置自动获取IP，支持手动配置固定IP；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#4、网络连接方式：支持有线或无线连接；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#5、多类视频接入：支持接入USB摄像机、网络摄像机，可支持≥1080P；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#6、外接设备设置：支持接入数码显微镜、电子目镜；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#7、快速备换：当有设备发生故障时，备用终端仅需改动座位号即可快速替换使用，其他配置无需改动；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#8、状态上报：不间断向上级平台上报自身运行状态，包括：IP地址、磁盘使用率、版本号、座位号等；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#9、模式切换：拥有考试模式、练习模式，用户可在不同模式之间自由切换，但是以监考端的统一指令为最高优先级指令；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#10、屏幕录制：支持在考试时自动开启后台屏幕录制，对终端的屏幕所显示的画面进行录制并保存为MP4文件；屏幕录制功能不受软件崩溃影响，当终端软件停止运行时，也应能继续录制；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#11、每一批次考试开始之前（考生入座时），可以全屏显示座位号，便于考生进入考室后快速定位考试座位号；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#12、支持触屏操作，考生可以核对考生信息（如考生姓名、考号等），并检查摄像头状态；</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、软件可以在本地录制的同时生成直播视频流供监考端录制，即使校级平台或监考端停止运行，也不影响本机录制；</w:t>
            </w:r>
            <w:r>
              <w:rPr>
                <w:rFonts w:hint="eastAsia" w:ascii="宋体" w:hAnsi="宋体" w:eastAsia="宋体" w:cs="宋体"/>
                <w:i w:val="0"/>
                <w:iCs w:val="0"/>
                <w:color w:val="auto"/>
                <w:sz w:val="21"/>
                <w:szCs w:val="21"/>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C4-03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路由器</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#1、WAN接口：≥1个10/100/1000Base-T电口；LAN接口：≥2个10/100/1000Base-T电口；无线速率：≥3000 Mbps；无线协议：支持WIFI 6。</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60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C4-04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考室监考系统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#1、支持练习模式、考试模式，老师可选择任意一种模式，系统能自动控制下属所有终端进入对应模式；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C/S客户端或B/S架构设计，具有调取、显示考场内所有考生终端视频信息的功能，可同时监看包括但不限于24名、12名、6名考生的≥2个操作画面，可同时显示≥48路学生操作画面；支持开始和结束考试、座位号打印、试卷上传管理、视频上传管理、视频MD5上传管理等常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#3、能够处理数据中心与终端之间的数据交换；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#4、当到达指定考试时间时，系统将自动强制所有终端退出原有模式并进入考试模式，且不允许自由退出；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#5、考试时支持自动轮巡，支持手动和自动翻页显示考生画面；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#6、可实现视频实时监看，同步查看学生实验操作过程，观看延时≤0.5秒；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#7、支持调节监看窗口的数量，可以选择只看主画面或只看副画面，也可以选择同时监看主画面和副画面；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8</w:t>
            </w:r>
            <w:r>
              <w:rPr>
                <w:rFonts w:hint="eastAsia" w:ascii="宋体" w:hAnsi="宋体" w:eastAsia="宋体" w:cs="宋体"/>
                <w:i w:val="0"/>
                <w:iCs w:val="0"/>
                <w:color w:val="auto"/>
                <w:sz w:val="21"/>
                <w:szCs w:val="21"/>
                <w:highlight w:val="none"/>
                <w:u w:val="none"/>
                <w:lang w:val="en-US" w:eastAsia="zh-CN" w:bidi="ar"/>
              </w:rPr>
              <w:t xml:space="preserve">、智能排题：可以在监考端软件中设置所在教室的座位排列方式（包括行数和列数）；开考前，系统会自动为每个座位分配题目，确保每个座位前后左右的题目不冲突，并支持在监考端进行微调，方便管理员提前安排实验器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9</w:t>
            </w:r>
            <w:r>
              <w:rPr>
                <w:rFonts w:hint="eastAsia" w:ascii="宋体" w:hAnsi="宋体" w:eastAsia="宋体" w:cs="宋体"/>
                <w:i w:val="0"/>
                <w:iCs w:val="0"/>
                <w:color w:val="auto"/>
                <w:sz w:val="21"/>
                <w:szCs w:val="21"/>
                <w:highlight w:val="none"/>
                <w:u w:val="none"/>
                <w:lang w:val="en-US" w:eastAsia="zh-CN" w:bidi="ar"/>
              </w:rPr>
              <w:t xml:space="preserve">、考试状态：支持监考界面显示每个座位考生的考试状态，包括人工核验、提前交卷、考生报错、取消考试、现场评分提交情况等，每个状态可以显示为不同色块，便于监考老师快速定位异常；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10</w:t>
            </w:r>
            <w:r>
              <w:rPr>
                <w:rFonts w:hint="eastAsia" w:ascii="宋体" w:hAnsi="宋体" w:eastAsia="宋体" w:cs="宋体"/>
                <w:i w:val="0"/>
                <w:iCs w:val="0"/>
                <w:color w:val="auto"/>
                <w:sz w:val="21"/>
                <w:szCs w:val="21"/>
                <w:highlight w:val="none"/>
                <w:u w:val="none"/>
                <w:lang w:val="en-US" w:eastAsia="zh-CN" w:bidi="ar"/>
              </w:rPr>
              <w:t xml:space="preserve">、人工核验：当考试登录方式设置为刷脸登录时，若终端已配备人脸识别摄像头，软件可调用人脸识别摄像头进行刷脸登录；如果考生在考位上刷脸登录失败，可以将现场考生照片发送到监考端，在监考界面进行人工比对核验；通过核验后，考生可以继续考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11</w:t>
            </w:r>
            <w:r>
              <w:rPr>
                <w:rFonts w:hint="eastAsia" w:ascii="宋体" w:hAnsi="宋体" w:eastAsia="宋体" w:cs="宋体"/>
                <w:i w:val="0"/>
                <w:iCs w:val="0"/>
                <w:color w:val="auto"/>
                <w:sz w:val="21"/>
                <w:szCs w:val="21"/>
                <w:highlight w:val="none"/>
                <w:u w:val="none"/>
                <w:lang w:val="en-US" w:eastAsia="zh-CN" w:bidi="ar"/>
              </w:rPr>
              <w:t xml:space="preserve">、突发事故处理：考试时，如出现作弊、设备故障等各类突发情况，可以在监考端上取消某个考生的本场考试；若选择安排补考，可直接在校级平台上进行补考安排；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12</w:t>
            </w:r>
            <w:r>
              <w:rPr>
                <w:rFonts w:hint="eastAsia" w:ascii="宋体" w:hAnsi="宋体" w:eastAsia="宋体" w:cs="宋体"/>
                <w:i w:val="0"/>
                <w:iCs w:val="0"/>
                <w:color w:val="auto"/>
                <w:sz w:val="21"/>
                <w:szCs w:val="21"/>
                <w:highlight w:val="none"/>
                <w:u w:val="none"/>
                <w:lang w:val="en-US" w:eastAsia="zh-CN" w:bidi="ar"/>
              </w:rPr>
              <w:t xml:space="preserve">、信息查核：系统可以监看考试视频，并将每个考生的视频与考生信息（包括姓名、准考证号、座位号）同步显示，方便监考老师核对考生信息；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13</w:t>
            </w:r>
            <w:r>
              <w:rPr>
                <w:rFonts w:hint="eastAsia" w:ascii="宋体" w:hAnsi="宋体" w:eastAsia="宋体" w:cs="宋体"/>
                <w:i w:val="0"/>
                <w:iCs w:val="0"/>
                <w:color w:val="auto"/>
                <w:sz w:val="21"/>
                <w:szCs w:val="21"/>
                <w:highlight w:val="none"/>
                <w:u w:val="none"/>
                <w:lang w:val="en-US" w:eastAsia="zh-CN" w:bidi="ar"/>
              </w:rPr>
              <w:t xml:space="preserve">、倒计时：在定时定点模式下，系统能显示当前考试的名称和考室信息，并显示考试结束倒计时；在考试准备过程中，系统还可以显示下一场考试的开始倒计时；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14</w:t>
            </w:r>
            <w:r>
              <w:rPr>
                <w:rFonts w:hint="eastAsia" w:ascii="宋体" w:hAnsi="宋体" w:eastAsia="宋体" w:cs="宋体"/>
                <w:i w:val="0"/>
                <w:iCs w:val="0"/>
                <w:color w:val="auto"/>
                <w:sz w:val="21"/>
                <w:szCs w:val="21"/>
                <w:highlight w:val="none"/>
                <w:u w:val="none"/>
                <w:lang w:val="en-US" w:eastAsia="zh-CN" w:bidi="ar"/>
              </w:rPr>
              <w:t xml:space="preserve">、考情统计：可以统计并显示当前批次考试的评分提交情况、显微镜截图提交情况以及电子试卷填写提交情况；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15</w:t>
            </w:r>
            <w:r>
              <w:rPr>
                <w:rFonts w:hint="eastAsia" w:ascii="宋体" w:hAnsi="宋体" w:eastAsia="宋体" w:cs="宋体"/>
                <w:i w:val="0"/>
                <w:iCs w:val="0"/>
                <w:color w:val="auto"/>
                <w:sz w:val="21"/>
                <w:szCs w:val="21"/>
                <w:highlight w:val="none"/>
                <w:u w:val="none"/>
                <w:lang w:val="en-US" w:eastAsia="zh-CN" w:bidi="ar"/>
              </w:rPr>
              <w:t xml:space="preserve">、考试控制：当考试方式为定点不定时或随到随考时，监考老师可以根据考室情况控制考试的开启与结束；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16</w:t>
            </w:r>
            <w:r>
              <w:rPr>
                <w:rFonts w:hint="eastAsia" w:ascii="宋体" w:hAnsi="宋体" w:eastAsia="宋体" w:cs="宋体"/>
                <w:i w:val="0"/>
                <w:iCs w:val="0"/>
                <w:color w:val="auto"/>
                <w:sz w:val="21"/>
                <w:szCs w:val="21"/>
                <w:highlight w:val="none"/>
                <w:u w:val="none"/>
                <w:lang w:val="en-US" w:eastAsia="zh-CN" w:bidi="ar"/>
              </w:rPr>
              <w:t xml:space="preserve">、延长考试：当考试设置了继续考试时长后，到达预设的考试时间时，系统将提示用户是否延长考试；如果选择延长考试，考生可以继续作答；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17</w:t>
            </w:r>
            <w:r>
              <w:rPr>
                <w:rFonts w:hint="eastAsia" w:ascii="宋体" w:hAnsi="宋体" w:eastAsia="宋体" w:cs="宋体"/>
                <w:i w:val="0"/>
                <w:iCs w:val="0"/>
                <w:color w:val="auto"/>
                <w:sz w:val="21"/>
                <w:szCs w:val="21"/>
                <w:highlight w:val="none"/>
                <w:u w:val="none"/>
                <w:lang w:val="en-US" w:eastAsia="zh-CN" w:bidi="ar"/>
              </w:rPr>
              <w:t xml:space="preserve">、记录实验操作过程并生成视频文件，支持传输至校平台服务端；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18</w:t>
            </w:r>
            <w:r>
              <w:rPr>
                <w:rFonts w:hint="eastAsia" w:ascii="宋体" w:hAnsi="宋体" w:eastAsia="宋体" w:cs="宋体"/>
                <w:i w:val="0"/>
                <w:iCs w:val="0"/>
                <w:color w:val="auto"/>
                <w:sz w:val="21"/>
                <w:szCs w:val="21"/>
                <w:highlight w:val="none"/>
                <w:u w:val="none"/>
                <w:lang w:val="en-US" w:eastAsia="zh-CN" w:bidi="ar"/>
              </w:rPr>
              <w:t xml:space="preserve">、视频上传管理：可设定同时上传至校级服务器的视频数量，并限制上传带宽，以减少资源占用，确保考试顺利进行；</w:t>
            </w:r>
            <w:r>
              <w:rPr>
                <w:rFonts w:hint="eastAsia" w:ascii="宋体" w:hAnsi="宋体" w:eastAsia="宋体" w:cs="宋体"/>
                <w:i w:val="0"/>
                <w:iCs w:val="0"/>
                <w:color w:val="auto"/>
                <w:sz w:val="21"/>
                <w:szCs w:val="21"/>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C4-05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#1、端口：≥24个自适应10/100/1000M以太网端口，≥4个千兆光口；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#2、网络性能：交换容量≥300</w:t>
            </w:r>
            <w:r>
              <w:rPr>
                <w:rFonts w:hint="eastAsia" w:ascii="宋体" w:hAnsi="宋体" w:cs="宋体"/>
                <w:i w:val="0"/>
                <w:iCs w:val="0"/>
                <w:strike w:val="0"/>
                <w:color w:val="auto"/>
                <w:sz w:val="21"/>
                <w:szCs w:val="21"/>
                <w:highlight w:val="none"/>
                <w:u w:val="none"/>
                <w:lang w:val="en-US" w:eastAsia="zh-CN" w:bidi="ar"/>
              </w:rPr>
              <w:t xml:space="preserve"> </w:t>
            </w:r>
            <w:r>
              <w:rPr>
                <w:rFonts w:hint="eastAsia" w:ascii="宋体" w:hAnsi="宋体" w:cs="宋体"/>
                <w:i w:val="0"/>
                <w:iCs w:val="0"/>
                <w:color w:val="auto"/>
                <w:sz w:val="21"/>
                <w:szCs w:val="21"/>
                <w:highlight w:val="none"/>
                <w:u w:val="none"/>
                <w:lang w:val="en-US" w:eastAsia="zh-CN" w:bidi="ar"/>
              </w:rPr>
              <w:t xml:space="preserve">Gbps</w:t>
            </w:r>
            <w:r>
              <w:rPr>
                <w:rFonts w:hint="eastAsia" w:ascii="宋体" w:hAnsi="宋体" w:eastAsia="宋体" w:cs="宋体"/>
                <w:i w:val="0"/>
                <w:iCs w:val="0"/>
                <w:color w:val="auto"/>
                <w:sz w:val="21"/>
                <w:szCs w:val="21"/>
                <w:highlight w:val="none"/>
                <w:u w:val="none"/>
                <w:lang w:val="en-US" w:eastAsia="zh-CN" w:bidi="ar"/>
              </w:rPr>
              <w:t xml:space="preserve">，包转发率≥90Mpps；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#3、以太网功能：支持端口聚合、端口镜像、静态镜像、VLAN；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#4、支持POE供电，最大输出功率≥370W；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 CLI命令行，Web 网管，TELNET支持</w:t>
            </w:r>
            <w:r>
              <w:rPr>
                <w:rFonts w:hint="eastAsia" w:ascii="宋体" w:hAnsi="宋体" w:cs="宋体"/>
                <w:i w:val="0"/>
                <w:iCs w:val="0"/>
                <w:color w:val="auto"/>
                <w:sz w:val="21"/>
                <w:szCs w:val="21"/>
                <w:highlight w:val="none"/>
                <w:u w:val="none"/>
                <w:lang w:val="en-US" w:eastAsia="zh-CN" w:bidi="ar"/>
              </w:rPr>
              <w:t xml:space="preserve">多种</w:t>
            </w:r>
            <w:r>
              <w:rPr>
                <w:rFonts w:hint="eastAsia" w:ascii="宋体" w:hAnsi="宋体" w:eastAsia="宋体" w:cs="宋体"/>
                <w:i w:val="0"/>
                <w:iCs w:val="0"/>
                <w:color w:val="auto"/>
                <w:sz w:val="21"/>
                <w:szCs w:val="21"/>
                <w:highlight w:val="none"/>
                <w:u w:val="none"/>
                <w:lang w:val="en-US" w:eastAsia="zh-CN" w:bidi="ar"/>
              </w:rPr>
              <w:t xml:space="preserve">通用网管平台；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#6、ARP入侵检测：支持ARP入侵检测功能、IP Source Guard 特性、DHCP Snooping 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#7、安全口令：支持可控 IP 地址的 FTP 登录和口令机制；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 IPv6 静态路由、双协议栈，支持 DHCPv6 Snooping</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C4-06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#1、机柜，高度≥18U,深度≥600MM；要求配置≥1把风扇，≥1个6位PDU；立柱间距：标准19英寸，可放置考场UPS、交换机、路由器等设备；门：前后六角孔或玻璃门。</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43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C4-07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电子目镜</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#1、铝合金外壳材质，表面阳极化处理；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1/3.2”，像素≥1100万；分辨率支持≥3840x3032@15帧，向下兼容3840*2160@15帧和1920*1080@30帧等常见规格；显微镜调节清晰后，直接接入电子目镜即可拍摄清晰画面，无需二次调焦；拍摄画面与肉眼通过光学目镜观察一致，边缘是黑色，中间的可观测区域是圆形，不存在过度放大；</w:t>
            </w:r>
            <w:r/>
          </w:p>
          <w:p>
            <w:pPr>
              <w:jc w:val="left"/>
              <w:keepLines w:val="0"/>
              <w:keepNext w:val="0"/>
              <w:pageBreakBefore w:val="0"/>
              <w:spacing w:line="320" w:lineRule="exact"/>
              <w:widowControl/>
              <w:rPr>
                <w:rStyle w:val="938"/>
                <w:rFonts w:hint="eastAsia" w:ascii="宋体" w:hAnsi="宋体" w:eastAsia="宋体" w:cs="宋体"/>
                <w:color w:val="auto"/>
                <w:sz w:val="21"/>
                <w:szCs w:val="21"/>
                <w:highlight w:val="none"/>
                <w:lang w:val="en-US" w:eastAsia="zh-CN" w:bidi="ar"/>
              </w:rPr>
              <w:suppressLineNumbers w:val="0"/>
            </w:pPr>
            <w:r>
              <w:rPr>
                <w:rStyle w:val="938"/>
                <w:rFonts w:hint="eastAsia" w:ascii="宋体" w:hAnsi="宋体" w:eastAsia="宋体" w:cs="宋体"/>
                <w:color w:val="auto"/>
                <w:sz w:val="21"/>
                <w:szCs w:val="21"/>
                <w:highlight w:val="none"/>
                <w:lang w:val="en-US" w:eastAsia="zh-CN" w:bidi="ar"/>
              </w:rPr>
              <w:t xml:space="preserve">#3、传输协议：支持但不限于MJPEG图像格式；支持自动曝光、自动白平衡；传输接口：通用型USB2.0；</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Style w:val="938"/>
                <w:rFonts w:hint="eastAsia" w:ascii="宋体" w:hAnsi="宋体" w:eastAsia="宋体" w:cs="宋体"/>
                <w:color w:val="auto"/>
                <w:sz w:val="21"/>
                <w:szCs w:val="21"/>
                <w:highlight w:val="none"/>
                <w:lang w:val="en-US" w:eastAsia="zh-CN" w:bidi="ar"/>
              </w:rPr>
              <w:t xml:space="preserve">#</w:t>
            </w:r>
            <w:r>
              <w:rPr>
                <w:rStyle w:val="938"/>
                <w:rFonts w:hint="eastAsia" w:ascii="宋体" w:hAnsi="宋体" w:cs="宋体"/>
                <w:color w:val="auto"/>
                <w:sz w:val="21"/>
                <w:szCs w:val="21"/>
                <w:highlight w:val="none"/>
                <w:lang w:val="en-US" w:eastAsia="zh-CN" w:bidi="ar"/>
              </w:rPr>
              <w:t xml:space="preserve">4</w:t>
            </w:r>
            <w:r>
              <w:rPr>
                <w:rStyle w:val="938"/>
                <w:rFonts w:hint="eastAsia" w:ascii="宋体" w:hAnsi="宋体" w:eastAsia="宋体" w:cs="宋体"/>
                <w:color w:val="auto"/>
                <w:sz w:val="21"/>
                <w:szCs w:val="21"/>
                <w:highlight w:val="none"/>
                <w:lang w:val="en-US" w:eastAsia="zh-CN" w:bidi="ar"/>
              </w:rPr>
              <w:t xml:space="preserve">、线缆：采用防屏蔽线缆连接，有效避免输出画面干扰。</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C4-08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考室网络摄像机</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#1、支持poe供电网络</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监控高清摄像机镜头焦距≤2.8mm</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≥100M 以太网端口</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C4-09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配置辅材及施工</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#1、辅材：含教室内内配电箱主电源接入（主线≥国标6mm²*3电线）；每个学生座位分别≥1个二三插面板（≥国标1.5mm²*3电线）以及≥1个单口网络面板（≥六类网线）等必要配件；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#2、综合布线：采用开槽、吊顶或线槽的布线方式，如若开槽完成后需对施工面进行复原；安装调试：包含考场内所有设备的卸货、安装、调试工作。</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C4-10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181"/>
        <w:gridCol w:w="6537"/>
        <w:gridCol w:w="693"/>
        <w:gridCol w:w="788"/>
      </w:tblGrid>
      <w:tr>
        <w:trPr>
          <w:trHeight w:val="270"/>
        </w:trPr>
        <w:tc>
          <w:tcPr>
            <w:gridSpan w:val="5"/>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D-56座物理智能吊装实验室</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327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gridSpan w:val="3"/>
            <w:tcW w:w="42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D1、实验室基础设备配置</w:t>
            </w:r>
            <w:r/>
          </w:p>
        </w:tc>
        <w:tc>
          <w:tcPr>
            <w:tcW w:w="348"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393"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D1-01</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技术参数同“A1-01 教师演示台”</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D1-0</w:t>
            </w:r>
            <w:r>
              <w:rPr>
                <w:rFonts w:hint="eastAsia" w:ascii="宋体" w:hAnsi="宋体" w:cs="宋体"/>
                <w:i w:val="0"/>
                <w:iCs w:val="0"/>
                <w:color w:val="auto"/>
                <w:sz w:val="21"/>
                <w:szCs w:val="21"/>
                <w:highlight w:val="none"/>
                <w:u w:val="none"/>
                <w:lang w:val="en-US" w:eastAsia="zh-CN" w:bidi="ar"/>
              </w:rPr>
              <w:t xml:space="preserve">2</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教师总控电源</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技术参数同“A1-02 教师总控电源”</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D1-0</w:t>
            </w:r>
            <w:r>
              <w:rPr>
                <w:rFonts w:hint="eastAsia" w:ascii="宋体" w:hAnsi="宋体" w:cs="宋体"/>
                <w:i w:val="0"/>
                <w:iCs w:val="0"/>
                <w:color w:val="auto"/>
                <w:sz w:val="21"/>
                <w:szCs w:val="21"/>
                <w:highlight w:val="none"/>
                <w:u w:val="none"/>
                <w:lang w:val="en-US" w:eastAsia="zh-CN" w:bidi="ar"/>
              </w:rPr>
              <w:t xml:space="preserve">3</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技术参数同“A1-10 教师椅”</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D1-0</w:t>
            </w:r>
            <w:r>
              <w:rPr>
                <w:rFonts w:hint="eastAsia" w:ascii="宋体" w:hAnsi="宋体" w:cs="宋体"/>
                <w:i w:val="0"/>
                <w:iCs w:val="0"/>
                <w:color w:val="auto"/>
                <w:sz w:val="21"/>
                <w:szCs w:val="21"/>
                <w:highlight w:val="none"/>
                <w:u w:val="none"/>
                <w:lang w:val="en-US" w:eastAsia="zh-CN" w:bidi="ar"/>
              </w:rPr>
              <w:t xml:space="preserve">4</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实验桌</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技术参数同“A1-03 实验桌”</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D1-0</w:t>
            </w:r>
            <w:r>
              <w:rPr>
                <w:rFonts w:hint="eastAsia" w:ascii="宋体" w:hAnsi="宋体" w:cs="宋体"/>
                <w:i w:val="0"/>
                <w:iCs w:val="0"/>
                <w:color w:val="auto"/>
                <w:sz w:val="21"/>
                <w:szCs w:val="21"/>
                <w:highlight w:val="none"/>
                <w:u w:val="none"/>
                <w:lang w:val="en-US" w:eastAsia="zh-CN" w:bidi="ar"/>
              </w:rPr>
              <w:t xml:space="preserve">5</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技术参数同“A1-04 实验凳”</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D1-0</w:t>
            </w:r>
            <w:r>
              <w:rPr>
                <w:rFonts w:hint="eastAsia" w:ascii="宋体" w:hAnsi="宋体" w:cs="宋体"/>
                <w:i w:val="0"/>
                <w:iCs w:val="0"/>
                <w:color w:val="auto"/>
                <w:sz w:val="21"/>
                <w:szCs w:val="21"/>
                <w:highlight w:val="none"/>
                <w:u w:val="none"/>
                <w:lang w:val="en-US" w:eastAsia="zh-CN" w:bidi="ar"/>
              </w:rPr>
              <w:t xml:space="preserve">6</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智能云盒</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技术参数同“A1-12 智能云盒”</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D1-0</w:t>
            </w:r>
            <w:r>
              <w:rPr>
                <w:rFonts w:hint="eastAsia" w:ascii="宋体" w:hAnsi="宋体" w:cs="宋体"/>
                <w:i w:val="0"/>
                <w:iCs w:val="0"/>
                <w:color w:val="auto"/>
                <w:sz w:val="21"/>
                <w:szCs w:val="21"/>
                <w:highlight w:val="none"/>
                <w:u w:val="none"/>
                <w:lang w:val="en-US" w:eastAsia="zh-CN" w:bidi="ar"/>
              </w:rPr>
              <w:t xml:space="preserve">7</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课堂交互系统软件</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技术参数同“A1-13 课堂交互系统软件”</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D1-</w:t>
            </w:r>
            <w:r>
              <w:rPr>
                <w:rFonts w:hint="eastAsia" w:ascii="宋体" w:hAnsi="宋体" w:cs="宋体"/>
                <w:i w:val="0"/>
                <w:iCs w:val="0"/>
                <w:color w:val="auto"/>
                <w:sz w:val="21"/>
                <w:szCs w:val="21"/>
                <w:highlight w:val="none"/>
                <w:u w:val="none"/>
                <w:lang w:val="en-US" w:eastAsia="zh-CN" w:bidi="ar"/>
              </w:rPr>
              <w:t xml:space="preserve">08</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互动音频处理器</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技术参数同“A1-14 互动音频处理器”</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D1-</w:t>
            </w:r>
            <w:r>
              <w:rPr>
                <w:rFonts w:hint="eastAsia" w:ascii="宋体" w:hAnsi="宋体" w:cs="宋体"/>
                <w:i w:val="0"/>
                <w:iCs w:val="0"/>
                <w:color w:val="auto"/>
                <w:sz w:val="21"/>
                <w:szCs w:val="21"/>
                <w:highlight w:val="none"/>
                <w:u w:val="none"/>
                <w:lang w:val="en-US" w:eastAsia="zh-CN" w:bidi="ar"/>
              </w:rPr>
              <w:t xml:space="preserve">09</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全向麦克风</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技术参数同“A1-15 全向麦克风”</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D1-1</w:t>
            </w:r>
            <w:r>
              <w:rPr>
                <w:rFonts w:hint="eastAsia" w:ascii="宋体" w:hAnsi="宋体" w:cs="宋体"/>
                <w:i w:val="0"/>
                <w:iCs w:val="0"/>
                <w:color w:val="auto"/>
                <w:sz w:val="21"/>
                <w:szCs w:val="21"/>
                <w:highlight w:val="none"/>
                <w:u w:val="none"/>
                <w:lang w:val="en-US" w:eastAsia="zh-CN" w:bidi="ar"/>
              </w:rPr>
              <w:t xml:space="preserve">0</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指向麦克风</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技术参数同“A1-16 指向麦克风”</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D1-1</w:t>
            </w:r>
            <w:r>
              <w:rPr>
                <w:rFonts w:hint="eastAsia" w:ascii="宋体" w:hAnsi="宋体" w:cs="宋体"/>
                <w:i w:val="0"/>
                <w:iCs w:val="0"/>
                <w:color w:val="auto"/>
                <w:sz w:val="21"/>
                <w:szCs w:val="21"/>
                <w:highlight w:val="none"/>
                <w:u w:val="none"/>
                <w:lang w:val="en-US" w:eastAsia="zh-CN" w:bidi="ar"/>
              </w:rPr>
              <w:t xml:space="preserve">1</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音箱</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技术参数同“A1-17 音箱”</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D1-1</w:t>
            </w:r>
            <w:r>
              <w:rPr>
                <w:rFonts w:hint="eastAsia" w:ascii="宋体" w:hAnsi="宋体" w:cs="宋体"/>
                <w:i w:val="0"/>
                <w:iCs w:val="0"/>
                <w:color w:val="auto"/>
                <w:sz w:val="21"/>
                <w:szCs w:val="21"/>
                <w:highlight w:val="none"/>
                <w:u w:val="none"/>
                <w:lang w:val="en-US" w:eastAsia="zh-CN" w:bidi="ar"/>
              </w:rPr>
              <w:t xml:space="preserve">2</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跟踪摄像机</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技术参数同“A1-18 跟踪摄像机”</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D1-1</w:t>
            </w:r>
            <w:r>
              <w:rPr>
                <w:rFonts w:hint="eastAsia" w:ascii="宋体" w:hAnsi="宋体" w:cs="宋体"/>
                <w:i w:val="0"/>
                <w:iCs w:val="0"/>
                <w:color w:val="auto"/>
                <w:sz w:val="21"/>
                <w:szCs w:val="21"/>
                <w:highlight w:val="none"/>
                <w:u w:val="none"/>
                <w:lang w:val="en-US" w:eastAsia="zh-CN" w:bidi="ar"/>
              </w:rPr>
              <w:t xml:space="preserve">3</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云台摄像机</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技术参数同“A1-19 云台摄像机”</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D1-1</w:t>
            </w:r>
            <w:r>
              <w:rPr>
                <w:rFonts w:hint="eastAsia" w:ascii="宋体" w:hAnsi="宋体" w:cs="宋体"/>
                <w:i w:val="0"/>
                <w:iCs w:val="0"/>
                <w:color w:val="auto"/>
                <w:sz w:val="21"/>
                <w:szCs w:val="21"/>
                <w:highlight w:val="none"/>
                <w:u w:val="none"/>
                <w:lang w:val="en-US" w:eastAsia="zh-CN" w:bidi="ar"/>
              </w:rPr>
              <w:t xml:space="preserve">4</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互动电视机</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技术参数同“A1-20 互动电视机”</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gridSpan w:val="3"/>
            <w:tcW w:w="42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D2、智能控制系统</w:t>
            </w:r>
            <w:r/>
          </w:p>
        </w:tc>
        <w:tc>
          <w:tcPr>
            <w:tcW w:w="348"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393"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D2-01</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智能系统控制箱</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技术参数同“A2-01 智能系统控制箱”</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D2-02</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智能控制屏</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技术参数同“A2-02 智能控制屏”</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D2-03</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吊装控制系统</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技术参数同“A2-03 吊装控制系统”</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D2-04</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温湿度探测系统</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技术参数同“A2-04 温湿度探测系统”</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gridSpan w:val="3"/>
            <w:tcW w:w="42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D3、顶部集成供给系统</w:t>
            </w:r>
            <w:r/>
          </w:p>
        </w:tc>
        <w:tc>
          <w:tcPr>
            <w:tcW w:w="348"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393"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D3-01</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吊装主体框架</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技术参数同“A3-01 吊装主体框架”</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D3-02</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主体保护罩</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技术参数同“A3-02 主体保护罩”</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D3-03</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吊装端头</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技术参数同“A3-03 吊装端头”</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D3-04</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智能摇臂升降系统</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技术参数同“A3-04 智能摇臂升降系统”</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D3-05</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集成功能模块</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技术参数同“A3-05 集成功能模块”</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3" w:type="pct"/>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D3-06</w:t>
            </w:r>
            <w:r/>
          </w:p>
        </w:tc>
        <w:tc>
          <w:tcPr>
            <w:tcW w:w="593" w:type="pct"/>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电源供应模块</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技术参数同“A3-06 电源供应模块”</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W w:w="383"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93"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技术参数同“A3-06 电源供应模块”</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W w:w="383"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93"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技术参数同“A3-06 电源供应模块”</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D3-07</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保险模块</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技术参数同“A3-07 保险模块”</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D3-08</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急停装置</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技术参数同“A3-08 急停装置”</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D3-09</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供电线路</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技术参数同“A3-09 供电线路”</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D3-10</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照明系统</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技术参数同“A3-10 照明系统”</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D3-11</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举手系统</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技术参数同“A3-11 举手系统”</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D3-12</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学生端分组控制系统</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技术参数同“A3-16 学生端分组控制系统”</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D3-13</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系统安装辅件</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技术参数同“A3-17 系统安装辅件”</w:t>
            </w:r>
            <w:r/>
          </w:p>
        </w:tc>
        <w:tc>
          <w:tcPr>
            <w:tcW w:w="34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gridSpan w:val="3"/>
            <w:tcW w:w="42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D4、文宣装修</w:t>
            </w:r>
            <w:r/>
          </w:p>
        </w:tc>
        <w:tc>
          <w:tcPr>
            <w:tcW w:w="348"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393"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D4-01</w:t>
            </w:r>
            <w:r/>
          </w:p>
        </w:tc>
        <w:tc>
          <w:tcPr>
            <w:tcW w:w="5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文宣装修</w:t>
            </w:r>
            <w:r/>
          </w:p>
        </w:tc>
        <w:tc>
          <w:tcPr>
            <w:tcW w:w="327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技术参数同“A5-01 文宣装修”</w:t>
            </w:r>
            <w:r/>
          </w:p>
        </w:tc>
        <w:tc>
          <w:tcPr>
            <w:tcW w:w="34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185"/>
        <w:gridCol w:w="6509"/>
        <w:gridCol w:w="697"/>
        <w:gridCol w:w="800"/>
      </w:tblGrid>
      <w:tr>
        <w:trPr>
          <w:trHeight w:val="420"/>
        </w:trPr>
        <w:tc>
          <w:tcPr>
            <w:gridSpan w:val="5"/>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E、物理数字化探究</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32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gridSpan w:val="3"/>
            <w:tcW w:w="424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E1、教师端演示性传感器和配套实验器材</w:t>
            </w:r>
            <w:r/>
          </w:p>
        </w:tc>
        <w:tc>
          <w:tcPr>
            <w:tcW w:w="350"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399"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E1-01</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便携式实验终端</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技术参数同“B1-01 便携式实验终端”</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E1-02</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技术参数同“B1-02 数据采集器”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E1-03</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无线蓝牙模块</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技术参数同“B1-03 无线蓝牙模块”</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5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E1-04</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#1、量程：-50N~50N，分辨率：0.01N，用于测拉力（显示正值）和压力（显示负值）。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#2、自带硬件调零按钮，短按自动校零，长按可自动切换力的正负值，节约时间，无需软件内设置公式。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E1-05</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技术参数同“B2-03 温度传感器”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89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E1-06</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#1、量程：0~∞s，分辨率：0.001ms。用于测量物体通过光电门的挡光时间以及速度、加速度、动量、动能等。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189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E1-07</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相对压强传感器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#1、量程：±20kPa，分辨率：0.01kPa。用于测量大气环境下被测量空间内的气体的压强差。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70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E1-08</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分体位移传感器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 0m～2m，分辨率：0.5mm。用于小车运动时速度的测量、用于测量物体间的位移或距离。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由发射端和接收端两个部分组成，发射器带有拨动开关，内置锂电池，可充电。实验时，发射端与实验器材组合，接收端与数据采集器或PC连接，通过发射端发射超声波，接收端接收超声波信号，计算转化成位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43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E1-09</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#1、量程1：-2A～+2A、分辨率：0.01A；量程2：-200mA～+200mA、分辨率：0.1mA；量程3：-20mA ～+20mA、分辨率：0.01mA ；用于测量电路中的电流。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、自带硬件切换按钮，短按可在3种量程间循环切换。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415"/>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E1-10</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多量程电压传感器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#1、量程1：-20V～+20V、分辨率：0.01V；量程2：-2V～+2V、分辨率：0.001V；量程3：-0.2V～+0.2V、分辨率：0.0001V；用于测量电路、电器两端的电压。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、自带硬件切换按钮，短按可在3种量程间循环切换。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strike w:val="0"/>
                <w:color w:val="auto"/>
                <w:sz w:val="21"/>
                <w:szCs w:val="21"/>
                <w:highlight w:val="none"/>
                <w:u w:val="none"/>
                <w:lang w:val="en-US" w:eastAsia="zh-CN" w:bidi="ar"/>
              </w:rPr>
              <w:t xml:space="preserve">工</w:t>
            </w:r>
            <w:r>
              <w:rPr>
                <w:rFonts w:hint="eastAsia" w:ascii="宋体" w:hAnsi="宋体" w:eastAsia="宋体" w:cs="宋体"/>
                <w:i w:val="0"/>
                <w:iCs w:val="0"/>
                <w:color w:val="auto"/>
                <w:sz w:val="21"/>
                <w:szCs w:val="21"/>
                <w:highlight w:val="none"/>
                <w:u w:val="none"/>
                <w:lang w:val="en-US" w:eastAsia="zh-CN" w:bidi="ar"/>
              </w:rPr>
              <w:t xml:space="preserve">作方式。传感器自带M5螺纹孔，可实现与多种数字化实验装置的组装和固定。传感器数据传输时，无需数据采集器。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74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E1-11</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电压电流一体传感器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#1、电压量程：±20V，分辨率：0.01V；电流量程：±2A，分辨率：0.001A；一个传感器可同时测量≥两种数据。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#2、用于测量电路、电器两端的电压和电流；手持式技术，便于直接观察数据；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高清电容触摸屏与振动警告功能单元，支持多点触摸方式；传感器自带滚轮调节键，通过滚轮可调节电流/电压采集频率；</w:t>
            </w:r>
            <w:r>
              <w:rPr>
                <w:rFonts w:hint="eastAsia" w:ascii="宋体" w:hAnsi="宋体" w:eastAsia="宋体" w:cs="宋体"/>
                <w:i w:val="0"/>
                <w:iCs w:val="0"/>
                <w:strike w:val="0"/>
                <w:color w:val="auto"/>
                <w:sz w:val="21"/>
                <w:szCs w:val="21"/>
                <w:highlight w:val="none"/>
                <w:u w:val="none"/>
                <w:lang w:val="en-US" w:eastAsia="zh-CN" w:bidi="ar"/>
              </w:rPr>
              <w:t xml:space="preserve">支持快速开关机功能；自动关机。</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3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E1-12</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#1、量程：±50μA，分辨率：0.02μA。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#2、用于测量电路、电器两端的微安数量级的电流；手持式技术，便于直接观察数据；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高清电容触摸屏与振动警告功能单元，支持多点触摸方式；传感器自带滚轮调节键，通过滚轮可调节微电流采集频率；</w:t>
            </w:r>
            <w:r>
              <w:rPr>
                <w:rFonts w:hint="eastAsia" w:ascii="宋体" w:hAnsi="宋体" w:eastAsia="宋体" w:cs="宋体"/>
                <w:i w:val="0"/>
                <w:iCs w:val="0"/>
                <w:strike w:val="0"/>
                <w:color w:val="auto"/>
                <w:sz w:val="21"/>
                <w:szCs w:val="21"/>
                <w:highlight w:val="none"/>
                <w:u w:val="none"/>
                <w:lang w:val="en-US" w:eastAsia="zh-CN" w:bidi="ar"/>
              </w:rPr>
              <w:t xml:space="preserve">支持快速开关机功能；自动关机。</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245"/>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E1-13</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声强传感器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#1、量程：30～120dB，分辨率：0.1dB。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#2、用于探测声音的强度(dB)；手持式技术，便于直接观察数据；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高清电容触摸屏与振动警告功能单元，支持多点触摸方式；传感器自带滚轮调节键，通过滚轮可调节声强采集频率；</w:t>
            </w:r>
            <w:r>
              <w:rPr>
                <w:rFonts w:hint="eastAsia" w:ascii="宋体" w:hAnsi="宋体" w:eastAsia="宋体" w:cs="宋体"/>
                <w:i w:val="0"/>
                <w:iCs w:val="0"/>
                <w:strike w:val="0"/>
                <w:color w:val="auto"/>
                <w:sz w:val="21"/>
                <w:szCs w:val="21"/>
                <w:highlight w:val="none"/>
                <w:u w:val="none"/>
                <w:lang w:val="en-US" w:eastAsia="zh-CN" w:bidi="ar"/>
              </w:rPr>
              <w:t xml:space="preserve">支持快速开关机功能；自动关机。</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745"/>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E1-14</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声波传感器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#1、量程：20Hz～20,000Hz，分辨率：1Hz。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#2、用于探测声音的波形；手持式技术，便于直接观察数据；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高清电容触摸屏与振动警告功能单元，支持多点触摸方式；传感器自带滚轮调节键，通过滚轮可调节音频采集频率；</w:t>
            </w:r>
            <w:r>
              <w:rPr>
                <w:rFonts w:hint="eastAsia" w:ascii="宋体" w:hAnsi="宋体" w:eastAsia="宋体" w:cs="宋体"/>
                <w:i w:val="0"/>
                <w:iCs w:val="0"/>
                <w:strike w:val="0"/>
                <w:color w:val="auto"/>
                <w:sz w:val="21"/>
                <w:szCs w:val="21"/>
                <w:highlight w:val="none"/>
                <w:u w:val="none"/>
                <w:lang w:val="en-US" w:eastAsia="zh-CN" w:bidi="ar"/>
              </w:rPr>
              <w:t xml:space="preserve">支持快速开关机功能；自动关机。</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54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E1-15</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磁场传感器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#1、量程：-100mT～+100mT，分辨率：0.05mT。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#2、用于测量磁场的磁感应强度；手持式技术，便于直接观察数据；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高清电容触摸屏与振动警告功能单元，支持多点触摸方式；传感器自带滚轮调节键，通过滚轮可调节磁场强度采集频率；</w:t>
            </w:r>
            <w:r>
              <w:rPr>
                <w:rFonts w:hint="eastAsia" w:ascii="宋体" w:hAnsi="宋体" w:eastAsia="宋体" w:cs="宋体"/>
                <w:i w:val="0"/>
                <w:iCs w:val="0"/>
                <w:strike w:val="0"/>
                <w:color w:val="auto"/>
                <w:sz w:val="21"/>
                <w:szCs w:val="21"/>
                <w:highlight w:val="none"/>
                <w:u w:val="none"/>
                <w:lang w:val="en-US" w:eastAsia="zh-CN" w:bidi="ar"/>
              </w:rPr>
              <w:t xml:space="preserve">支持快速开关机功能；自动关机。</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E1-16</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气压传感器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技术参数同“B1-06 气压传感器”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19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E1-17</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数字化探究实验软件</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#1、符合最新初中物理教学装备配置标准，满足基础课程、探究性学习、创新实验教学的需求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#2、软件支持所有已正式发布的同系列传感器，支持即插即用，自动识别所有传感器的类型、量程与接入的通道序号；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#3、支持1~12路相同或不同的传感器并行采集；支持新建实验模板，支持打开预设实验模板快速进入课标实验，支持保存实验模板；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#4、支持设置采样频率，支持限时采集、循环采集、连续采集和手工采集等多种采集方式；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#5、具有曲线、仪表、表格、数字等多种显示方式，显示框可随意调节大小及位置；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#6、每个实验能多次重复，在同一坐标轴内保存多次采集结果，便于数据比较和分析；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#7、可自定义设置数据名称、单位、颜色、数据点形状；可自定义设置数值显示范围；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#8、可自由定义坐标轴，可自由放大、缩小、全景显示坐标轴，支持曲线的函数拟合、积分、切线、统计等，对实验结果进行充分分析并发现实验规律；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#9、可设置采集数据高于或者低于设定的数值时发出多种形式的警告，构建自动控制系统；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#10、软件可模拟信号发生器，产生2组独立的正弦波或者脉冲波信号；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11</w:t>
            </w:r>
            <w:r>
              <w:rPr>
                <w:rFonts w:hint="eastAsia" w:ascii="宋体" w:hAnsi="宋体" w:eastAsia="宋体" w:cs="宋体"/>
                <w:i w:val="0"/>
                <w:iCs w:val="0"/>
                <w:color w:val="auto"/>
                <w:sz w:val="21"/>
                <w:szCs w:val="21"/>
                <w:highlight w:val="none"/>
                <w:u w:val="none"/>
                <w:lang w:val="en-US" w:eastAsia="zh-CN" w:bidi="ar"/>
              </w:rPr>
              <w:t xml:space="preserve">、软件可采集音频，具有录音功能和录音播放功能，录音时间可调；软件可录制实验数据采集过程并回放，播放速率可调；</w:t>
            </w:r>
            <w:r>
              <w:rPr>
                <w:rFonts w:hint="eastAsia" w:ascii="宋体" w:hAnsi="宋体" w:eastAsia="宋体" w:cs="宋体"/>
                <w:i w:val="0"/>
                <w:iCs w:val="0"/>
                <w:color w:val="auto"/>
                <w:sz w:val="21"/>
                <w:szCs w:val="21"/>
                <w:highlight w:val="none"/>
                <w:u w:val="none"/>
                <w:lang w:val="en-US" w:eastAsia="zh-CN" w:bidi="ar"/>
              </w:rPr>
              <w:br/>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40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E1-18</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智能数字实验终端</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#1、组成：智能数字实验终端、8路TYPE-C接口、4路USB接口等组成，传感器插头采用双面设计，双向易插易用，且与采集器之间无需有线连接；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#2、无需实体功能按键或触摸笔，需融合数据采集器和内置≥4.3寸电容触摸屏为一体化设计，为保证产品整体性和性能稳定性，不接受分体拼接模式；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#3、支持曲线、仪表、表格、数字等多种显示方式，并且显示方式之间有一键切换功能；支持多次采样，多曲线显示功能；支持逻辑输出功能；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#4、与计算机或便携式实验终端连接采用USB2.0通讯协议，12路全数字通道，可同时接入12个传感器同时工作；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内置蓝牙通讯模块，可根据实验教学需要，方便有线、无线工作模式切换；①有线通讯方式：在显示屏上点击“usb连接方式”，与计算机或便携实验终端的USB口有线连接进行实验；②无线通讯方式：在显示屏上点击“蓝牙连接方式”，输入“蓝牙地址”，与计算机或便携实验终端无线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内置自定义采样功能，可根据实验教学要求，方便自动、手动采样模式切换；①自动采样模式：在显示屏上设置自动采样频率和时间；②手动采样模式，在显示屏上选择手动模式，采集数据时需手动点击“取值”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#7、内置逻辑指令功能，可设置多种自定义条件时，执行一个或多个蜂鸣器、振动、延时、记录、停止采集等指令，满足复杂数字实验条件下的智能需求；支持新建实验、保存实验、删除实验等功能；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#8、内置大容量可充电锂电池，供室内及户外长时间使用；智能节能模式①：可设置背光亮度；智能节能模式②：一段时间无任何操作，进入熄屏模式，再过一段时间自动关机；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#9、内置TF卡卡槽，最大可支持256GB内存卡；内置蜂鸣器和振动马达，可根据需要执行逻辑指令功能；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、支持快速开关机功能，极速启动，即时进入实验界面。</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E1-19</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铝合金箱及附件</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技术参数同“B1-18 铝合金箱及附件”</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E1-20</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力传感器附件</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#1、用于配合力传感器使用，称重组件用于测量物体的质量，压力实验组件用于测量物体的表面压力。由称重组件和压力实验组件构成。称重组件含托盘和底座，压力实验组件含尖头顶针和平头顶针。</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62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E1-21</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多用力学轨道</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#1、用于中学物理测量轨道小车运动的位移、速度、加速度、时间等实验，配合力传感器、光电门传感器、位移传感器使用。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1.2m强化铝合金轨道1条、轨道小车2辆、弹簧2条、固定柱2只、50克配重片4片、沙桶1只、挡光片五片（20×2、40、60、80）、摩擦块1块、磁碰片2片、磁碰座架1套、弹性碰圈2只、滑轮1套、小车收纳器1套、轨道倾角调节器1套、T型支撑架1只、塑料I型支架2只、塑料L型挂架2只、铝合金I型支架4只、紧固螺丝件1套。</w:t>
            </w:r>
            <w:r/>
          </w:p>
        </w:tc>
        <w:tc>
          <w:tcPr>
            <w:tcW w:w="3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E1-22</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作用力与反作用力实验器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#1、用于初中物理力的作用是相互的实验，用于高中物理牛顿第三定律实验。配合2只力传感器使用。由亚克力底板支架、滑板支架和连接套件构成。可使两个力传感器在同一方向上受力。</w:t>
            </w:r>
            <w:r/>
          </w:p>
        </w:tc>
        <w:tc>
          <w:tcPr>
            <w:tcW w:w="3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62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E1-23</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浮力定律实验器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初中物理浮力相关实验，探究影响浮力大小的因素，配合力传感器使用，用压差法求得F浮-V图线关系。由无级调节升降台、溢水杯、专用物块、水平杆、十字转接器及塑帽螺栓构成，专用物块由5只相同的铝圆块用细杆连接而成。配合铁架台及力传感器使用，验证浮力定律。升降台采用齿轮式升降结构由下而上移动溢水杯，可改变物块浸入深度，测得不同的F浮数值。</w:t>
            </w:r>
            <w:r/>
          </w:p>
        </w:tc>
        <w:tc>
          <w:tcPr>
            <w:tcW w:w="3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E1-24</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二力平衡实验器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初中物理二力平衡实验。与力传感器配合使用，测量物体运动过程中力的变化情况。与光电门传感器配合，可扩展为同时测量物体运动速度功能。由匀速运动升降装置、砝码、多向转接头、横杆等组成。匀速运动升降装置内置可充电电池，无需外接电源，Type C充电口，可使用传感器线充电。</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E1-25</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#1、用于中学物理电阻相关实验，探究电阻的材料、长度、横截面积对导体电阻大小的影响。配合电压、电流传感器使用。由底座和铜、铁、镍铬三种材料的金属丝构成。</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5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E1-26</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初中物理探究电流热效应与电流、电流热效应与电阻的关系实验。用于高中物理焦耳定律实验。配合3个温度传感器使用。由PCB底板、接线柱、调节开关、不同阻值电阻丝和3个透明保温量热器组成。电阻丝对应面板位置有传感器插入孔，与传感器适配性高，配合温度传感器，能定量地反映出电流热效应与电流、导体电阻和通电时间的关系。</w:t>
            </w:r>
            <w:r/>
          </w:p>
        </w:tc>
        <w:tc>
          <w:tcPr>
            <w:tcW w:w="3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E1-27</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吸热散热实验器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#1、用于探究不同颜色的同一物质的吸热散热性能。配合1～3只温度传感器使用。由黑色耐高温亚克力双层底座，模拟太阳灯，光源灯泡，三只表面颜色不同、材质相同的实验瓶等组成。</w:t>
            </w:r>
            <w:r/>
          </w:p>
        </w:tc>
        <w:tc>
          <w:tcPr>
            <w:tcW w:w="3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E1-28</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比热容实验器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#1、用于初中物理“比热容实验”“比较不同物质的吸热情况”，用于初高中生物“温室效应”实验。由加热器、试管*2、试管卡夹、带孔橡胶塞*2、带孔橡胶圈等组件构成。</w:t>
            </w:r>
            <w:r/>
          </w:p>
        </w:tc>
        <w:tc>
          <w:tcPr>
            <w:tcW w:w="3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E1-29</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电磁铁实验器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#1、用于初中物理测量不同匝数相同电流或同一线圈不同电流时线圈产生磁感强度。配合磁场传感器使用。由底座、不同匝数线圈、铁芯、不同匝数接线柱和磁场探头架组成。可选200匝、400匝和600匝线圈。</w:t>
            </w:r>
            <w:r/>
          </w:p>
        </w:tc>
        <w:tc>
          <w:tcPr>
            <w:tcW w:w="3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E1-30</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摩擦力实验器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#1、用于中学物理摩擦力实验，研究平面或斜面上不同材质/质量物体的静摩擦力、最大静摩擦力和滑动摩擦力。配合力传感器使用。由底座、摩擦块、电机、电源适配器、控制开关等组成。</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E1-31</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环形线圈</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#1、用于中学物理测量切割地磁场产生的感生电流，也可测不同电器的电磁辐射强度。配合微电流传感器使用。塑壳封装、带屏蔽、高灵敏度、无源。</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E1-32</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匀强螺线管</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#1、用于中学物理研究匀强磁场实验，得出在通电线圈外部及内部的磁场强度大小及分布，产生匀强磁场。配合磁感应强度传感器使用。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5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E1-33</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电学实验板</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物理电学多个相关实验。配合电压传感器、电流传感器、微电流传感器使用。高度集成共12块。半波、全波整流、滤波；RC、RL移相；LC振荡；复杂电路分析；测量电池的电动势和内阻；分压、限流；恒压源、恒流源；双稳态、多谐振荡；简单门电路；串并联及电容充放电；描绘小灯泡的伏安特性曲线等。</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E1-34</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玻璃导电实验器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#1、用于中学物理探究玻璃常温/熔融状态的导电规律。配合微电流传感器使用。由底座、专用实验板组成。</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72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E1-35</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温差电流实验器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#1、用于中学物理探究温差发电现象。配合多量程电流传感器使用。由底座、接线柱、铜铝金属加热杆等组成。</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E1-36</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流体压强实验器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初中物理流体压强与流速的关系实验，用于伯努利定律的演示和实验探究。配合三只相对压强传感器使用。由气泵、三节不同粗细的套管、气压接头和支架组成，可清晰显示气流的不同流速对应的气体压强差异。</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56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E1-37</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液体内部压强实验器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初中物理探究液体内部压强的存在，以及影响液体内部压强的因素实验，供教师演示和学生实验用。配合气压传感器做定量分析。由水槽、上下同步轮及旋钮、同步带、刻度尺、透明支撑架、旋转架、硅胶制的橡皮膜套、承压盒、硅胶管、宝塔转接头、传感器鲁尔接头等组成。旋动上部同步旋钮，能使承压盒绕主轴作360°旋转。</w:t>
            </w:r>
            <w:r/>
          </w:p>
        </w:tc>
        <w:tc>
          <w:tcPr>
            <w:tcW w:w="3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0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E1-38</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金属热膨胀实验器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#1、用于中学物理研究金属的热胀冷缩的规律。配合力传感器使用。由金属底座、开孔固定杆、两头带接线端的铜丝、活动螺丝钩组成。活动螺丝钩可微调金属丝绷紧程度，加热金属丝时可灵敏</w:t>
            </w:r>
            <w:r>
              <w:rPr>
                <w:rFonts w:hint="eastAsia" w:ascii="宋体" w:hAnsi="宋体" w:cs="宋体"/>
                <w:i w:val="0"/>
                <w:iCs w:val="0"/>
                <w:color w:val="auto"/>
                <w:sz w:val="21"/>
                <w:szCs w:val="21"/>
                <w:highlight w:val="none"/>
                <w:u w:val="none"/>
                <w:lang w:val="en-US" w:eastAsia="zh-CN" w:bidi="ar"/>
              </w:rPr>
              <w:t xml:space="preserve">反应</w:t>
            </w:r>
            <w:r>
              <w:rPr>
                <w:rFonts w:hint="eastAsia" w:ascii="宋体" w:hAnsi="宋体" w:eastAsia="宋体" w:cs="宋体"/>
                <w:i w:val="0"/>
                <w:iCs w:val="0"/>
                <w:color w:val="auto"/>
                <w:sz w:val="21"/>
                <w:szCs w:val="21"/>
                <w:highlight w:val="none"/>
                <w:u w:val="none"/>
                <w:lang w:val="en-US" w:eastAsia="zh-CN" w:bidi="ar"/>
              </w:rPr>
              <w:t xml:space="preserve">力的变化。</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4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E1-39</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压缩气体做功实验器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#1、用于中学物理压缩气体做功实验，研究气体压缩或膨胀时温度的变化。配合温度传感器使用。由底座、橡胶管</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组成。</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E1-40</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摩擦做功实验器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#1、用于中学物理摩擦生热实验，可探究绳子摩擦后金属棒升温，验证机械能转化为内能。配合温度传感器使用。由铜管、支架、摩擦绳组成。</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76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E1-41</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小型材料实验器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#1、用于探究不同的材料在受到相同力的作用下，其形变各不相同，配合力传感器使用。由亚克力底座支架板、不同材料棍子组成。</w:t>
            </w:r>
            <w:r/>
          </w:p>
        </w:tc>
        <w:tc>
          <w:tcPr>
            <w:tcW w:w="3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E1-42</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人体发电实验器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#1、可用于探究原电池的原理，研究人体原电池的发电与哪些因素有关。与电压、电流传感器配合使用。由底座、多根不同材质的金属棒及固定件构成。</w:t>
            </w:r>
            <w:r/>
          </w:p>
        </w:tc>
        <w:tc>
          <w:tcPr>
            <w:tcW w:w="3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95"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32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E2、学生端传感器和配套实验器材</w:t>
            </w:r>
            <w:r/>
          </w:p>
        </w:tc>
        <w:tc>
          <w:tcPr>
            <w:tcW w:w="350" w:type="pct"/>
            <w:vAlign w:val="center"/>
            <w:textDirection w:val="lrTb"/>
            <w:noWrap/>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99" w:type="pct"/>
            <w:vAlign w:val="center"/>
            <w:textDirection w:val="lrTb"/>
            <w:noWrap/>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E2-01</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便携式实验终端</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技术参数同“B1-01 便携式实验终端”</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E2-02</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技术参数同“B1-02 数据采集器”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E2-03</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技术参数同“E1-04 力传感器”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E2-04</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技术参数同“B2-03 温度传感器”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62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E2-05</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声波传感器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#1、量程：20Hz～20,000Hz，分辨率：1Hz。用于探测声音的波形。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E2-06</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技术参数同“E1-06 光电门传感器”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189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E2-07</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#1、量程：±50μA，分辨率：0.02μA。用于测量电路、电器两端的微安数量级的电流。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E2-08</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技术参数同“E1-09 多量程电流传感器”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E2-09</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多量程电压传感器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技术参数同“E1-10 多量程电压传感器”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5"/>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E2-10</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磁场传感器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#1、量程：-100mT～+100mT，分辨率：0.05mT。用于测量磁场的磁感应强度。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E2-11</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分体位移传感器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 0m～2m，分辨率：0.5mm。用于小车运动时速度的测量、用于测量物体间的位移或距离。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由发射端和接收端两个部分组成，发射器带有拨动开关，内置锂电池，可充电。实验时，发射端与实验器材组合，接收端与数据采集器或PC连接，通过发射端发射超声波，接收端接收超声波信号，计算转化成位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E2-12</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气压传感器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技术参数同“B2-05 气压传感器”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E2-13</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铝合金箱及附件</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技术参数同“B1-18 铝合金箱及附件”</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E2-14</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多用力学轨道</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技术参数同“E1-21 多用力学轨道”</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E2-15</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浮力定律实验器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技术参数同“E1-23 浮力定律实验器”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E2-16</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二力平衡实验器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技术参数同“E1-24 二力平衡实验器”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E2-17</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技术参数同“E1-26 焦耳定律实验器”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E2-18</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比热容实验器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技术参数同“E1-28 比热容实验器”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E2-19</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电磁铁实验器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技术参数同“E1-29 电磁铁实验器”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E2-20</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摩擦力实验器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技术参数同“E1-30 摩擦力实验器”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E2-21</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液体内部压强实验器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技术参数同“E1-37 液体内部压强实验器”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E2-22</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摩擦做功实验器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技术参数同“E1-40 摩擦做功实验器”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E2-23</w:t>
            </w:r>
            <w:r/>
          </w:p>
        </w:tc>
        <w:tc>
          <w:tcPr>
            <w:tcW w:w="59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人体发电实验器</w:t>
            </w:r>
            <w:r/>
          </w:p>
        </w:tc>
        <w:tc>
          <w:tcPr>
            <w:tcW w:w="326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技术参数同“E1-42 人体发电实验器”</w:t>
            </w:r>
            <w:r/>
          </w:p>
        </w:tc>
        <w:tc>
          <w:tcPr>
            <w:tcW w:w="3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1125"/>
        <w:gridCol w:w="6420"/>
        <w:gridCol w:w="795"/>
        <w:gridCol w:w="773"/>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57150" cy="152400"/>
                      <wp:effectExtent l="0" t="0" r="0" b="0"/>
                      <wp:wrapNone/>
                      <wp:docPr id="2" name="Picture_197"/>
                      <wp:cNvGraphicFramePr/>
                      <a:graphic xmlns:a="http://schemas.openxmlformats.org/drawingml/2006/main">
                        <a:graphicData uri="http://schemas.openxmlformats.org/drawingml/2006/picture">
                          <pic:pic xmlns:pic="http://schemas.openxmlformats.org/drawingml/2006/picture">
                            <pic:nvPicPr>
                              <pic:cNvPr id="2" name="Picture_197"/>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57150" cy="152400"/>
                      <wp:effectExtent l="0" t="0" r="0" b="0"/>
                      <wp:wrapNone/>
                      <wp:docPr id="3" name="Picture_204"/>
                      <wp:cNvGraphicFramePr/>
                      <a:graphic xmlns:a="http://schemas.openxmlformats.org/drawingml/2006/main">
                        <a:graphicData uri="http://schemas.openxmlformats.org/drawingml/2006/picture">
                          <pic:pic xmlns:pic="http://schemas.openxmlformats.org/drawingml/2006/picture">
                            <pic:nvPicPr>
                              <pic:cNvPr id="3" name="Picture_20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438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57150" cy="152400"/>
                      <wp:effectExtent l="0" t="0" r="0" b="0"/>
                      <wp:wrapNone/>
                      <wp:docPr id="4" name="Picture_204_SpCnt_1"/>
                      <wp:cNvGraphicFramePr/>
                      <a:graphic xmlns:a="http://schemas.openxmlformats.org/drawingml/2006/main">
                        <a:graphicData uri="http://schemas.openxmlformats.org/drawingml/2006/picture">
                          <pic:pic xmlns:pic="http://schemas.openxmlformats.org/drawingml/2006/picture">
                            <pic:nvPicPr>
                              <pic:cNvPr id="4" name="Picture_204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540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57150" cy="152400"/>
                      <wp:effectExtent l="0" t="0" r="0" b="0"/>
                      <wp:wrapNone/>
                      <wp:docPr id="5" name="Picture_409"/>
                      <wp:cNvGraphicFramePr/>
                      <a:graphic xmlns:a="http://schemas.openxmlformats.org/drawingml/2006/main">
                        <a:graphicData uri="http://schemas.openxmlformats.org/drawingml/2006/picture">
                          <pic:pic xmlns:pic="http://schemas.openxmlformats.org/drawingml/2006/picture">
                            <pic:nvPicPr>
                              <pic:cNvPr id="5" name="Picture_409"/>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57150" cy="152400"/>
                      <wp:effectExtent l="0" t="0" r="0" b="0"/>
                      <wp:wrapNone/>
                      <wp:docPr id="6" name="Picture_409_SpCnt_1"/>
                      <wp:cNvGraphicFramePr/>
                      <a:graphic xmlns:a="http://schemas.openxmlformats.org/drawingml/2006/main">
                        <a:graphicData uri="http://schemas.openxmlformats.org/drawingml/2006/picture">
                          <pic:pic xmlns:pic="http://schemas.openxmlformats.org/drawingml/2006/picture">
                            <pic:nvPicPr>
                              <pic:cNvPr id="6" name="Picture_409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745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57150" cy="147955"/>
                      <wp:effectExtent l="0" t="0" r="0" b="0"/>
                      <wp:wrapNone/>
                      <wp:docPr id="7" name="Picture_409_SpCnt_2"/>
                      <wp:cNvGraphicFramePr/>
                      <a:graphic xmlns:a="http://schemas.openxmlformats.org/drawingml/2006/main">
                        <a:graphicData uri="http://schemas.openxmlformats.org/drawingml/2006/picture">
                          <pic:pic xmlns:pic="http://schemas.openxmlformats.org/drawingml/2006/picture">
                            <pic:nvPicPr>
                              <pic:cNvPr id="7" name="Picture_409_SpCnt_2"/>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848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57150" cy="147955"/>
                      <wp:effectExtent l="0" t="0" r="0" b="0"/>
                      <wp:wrapNone/>
                      <wp:docPr id="8" name="Picture_408"/>
                      <wp:cNvGraphicFramePr/>
                      <a:graphic xmlns:a="http://schemas.openxmlformats.org/drawingml/2006/main">
                        <a:graphicData uri="http://schemas.openxmlformats.org/drawingml/2006/picture">
                          <pic:pic xmlns:pic="http://schemas.openxmlformats.org/drawingml/2006/picture">
                            <pic:nvPicPr>
                              <pic:cNvPr id="8" name="Picture_408"/>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950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57150" cy="152400"/>
                      <wp:effectExtent l="0" t="0" r="0" b="0"/>
                      <wp:wrapNone/>
                      <wp:docPr id="9" name="Picture_408_SpCnt_1"/>
                      <wp:cNvGraphicFramePr/>
                      <a:graphic xmlns:a="http://schemas.openxmlformats.org/drawingml/2006/main">
                        <a:graphicData uri="http://schemas.openxmlformats.org/drawingml/2006/picture">
                          <pic:pic xmlns:pic="http://schemas.openxmlformats.org/drawingml/2006/picture">
                            <pic:nvPicPr>
                              <pic:cNvPr id="9" name="Picture_408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052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57150" cy="147955"/>
                      <wp:effectExtent l="0" t="0" r="0" b="0"/>
                      <wp:wrapNone/>
                      <wp:docPr id="10" name="Picture_407"/>
                      <wp:cNvGraphicFramePr/>
                      <a:graphic xmlns:a="http://schemas.openxmlformats.org/drawingml/2006/main">
                        <a:graphicData uri="http://schemas.openxmlformats.org/drawingml/2006/picture">
                          <pic:pic xmlns:pic="http://schemas.openxmlformats.org/drawingml/2006/picture">
                            <pic:nvPicPr>
                              <pic:cNvPr id="10" name="Picture_407"/>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155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57150" cy="147955"/>
                      <wp:effectExtent l="0" t="0" r="0" b="0"/>
                      <wp:wrapNone/>
                      <wp:docPr id="11" name="Picture_248"/>
                      <wp:cNvGraphicFramePr/>
                      <a:graphic xmlns:a="http://schemas.openxmlformats.org/drawingml/2006/main">
                        <a:graphicData uri="http://schemas.openxmlformats.org/drawingml/2006/picture">
                          <pic:pic xmlns:pic="http://schemas.openxmlformats.org/drawingml/2006/picture">
                            <pic:nvPicPr>
                              <pic:cNvPr id="11" name="Picture_248"/>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257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57150" cy="152400"/>
                      <wp:effectExtent l="0" t="0" r="0" b="0"/>
                      <wp:wrapNone/>
                      <wp:docPr id="12" name="Picture_408_SpCnt_2"/>
                      <wp:cNvGraphicFramePr/>
                      <a:graphic xmlns:a="http://schemas.openxmlformats.org/drawingml/2006/main">
                        <a:graphicData uri="http://schemas.openxmlformats.org/drawingml/2006/picture">
                          <pic:pic xmlns:pic="http://schemas.openxmlformats.org/drawingml/2006/picture">
                            <pic:nvPicPr>
                              <pic:cNvPr id="12" name="Picture_408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360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57150" cy="152400"/>
                      <wp:effectExtent l="0" t="0" r="0" b="0"/>
                      <wp:wrapNone/>
                      <wp:docPr id="13" name="Picture_407_SpCnt_1"/>
                      <wp:cNvGraphicFramePr/>
                      <a:graphic xmlns:a="http://schemas.openxmlformats.org/drawingml/2006/main">
                        <a:graphicData uri="http://schemas.openxmlformats.org/drawingml/2006/picture">
                          <pic:pic xmlns:pic="http://schemas.openxmlformats.org/drawingml/2006/picture">
                            <pic:nvPicPr>
                              <pic:cNvPr id="13" name="Picture_407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462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57150" cy="147955"/>
                      <wp:effectExtent l="0" t="0" r="0" b="0"/>
                      <wp:wrapNone/>
                      <wp:docPr id="14" name="Picture_247"/>
                      <wp:cNvGraphicFramePr/>
                      <a:graphic xmlns:a="http://schemas.openxmlformats.org/drawingml/2006/main">
                        <a:graphicData uri="http://schemas.openxmlformats.org/drawingml/2006/picture">
                          <pic:pic xmlns:pic="http://schemas.openxmlformats.org/drawingml/2006/picture">
                            <pic:nvPicPr>
                              <pic:cNvPr id="14" name="Picture_247"/>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564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57150" cy="147955"/>
                      <wp:effectExtent l="0" t="0" r="0" b="0"/>
                      <wp:wrapNone/>
                      <wp:docPr id="15" name="Picture_246"/>
                      <wp:cNvGraphicFramePr/>
                      <a:graphic xmlns:a="http://schemas.openxmlformats.org/drawingml/2006/main">
                        <a:graphicData uri="http://schemas.openxmlformats.org/drawingml/2006/picture">
                          <pic:pic xmlns:pic="http://schemas.openxmlformats.org/drawingml/2006/picture">
                            <pic:nvPicPr>
                              <pic:cNvPr id="15" name="Picture_246"/>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667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57150" cy="152400"/>
                      <wp:effectExtent l="0" t="0" r="0" b="0"/>
                      <wp:wrapNone/>
                      <wp:docPr id="16" name="Picture_248_SpCnt_1"/>
                      <wp:cNvGraphicFramePr/>
                      <a:graphic xmlns:a="http://schemas.openxmlformats.org/drawingml/2006/main">
                        <a:graphicData uri="http://schemas.openxmlformats.org/drawingml/2006/picture">
                          <pic:pic xmlns:pic="http://schemas.openxmlformats.org/drawingml/2006/picture">
                            <pic:nvPicPr>
                              <pic:cNvPr id="16" name="Picture_248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769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57150" cy="147955"/>
                      <wp:effectExtent l="0" t="0" r="0" b="0"/>
                      <wp:wrapNone/>
                      <wp:docPr id="17" name="Picture_245"/>
                      <wp:cNvGraphicFramePr/>
                      <a:graphic xmlns:a="http://schemas.openxmlformats.org/drawingml/2006/main">
                        <a:graphicData uri="http://schemas.openxmlformats.org/drawingml/2006/picture">
                          <pic:pic xmlns:pic="http://schemas.openxmlformats.org/drawingml/2006/picture">
                            <pic:nvPicPr>
                              <pic:cNvPr id="17" name="Picture_245"/>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872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57150" cy="147955"/>
                      <wp:effectExtent l="0" t="0" r="0" b="0"/>
                      <wp:wrapNone/>
                      <wp:docPr id="18" name="Picture_205"/>
                      <wp:cNvGraphicFramePr/>
                      <a:graphic xmlns:a="http://schemas.openxmlformats.org/drawingml/2006/main">
                        <a:graphicData uri="http://schemas.openxmlformats.org/drawingml/2006/picture">
                          <pic:pic xmlns:pic="http://schemas.openxmlformats.org/drawingml/2006/picture">
                            <pic:nvPicPr>
                              <pic:cNvPr id="18" name="Picture_205"/>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974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57150" cy="152400"/>
                      <wp:effectExtent l="0" t="0" r="0" b="0"/>
                      <wp:wrapNone/>
                      <wp:docPr id="19" name="Picture_200"/>
                      <wp:cNvGraphicFramePr/>
                      <a:graphic xmlns:a="http://schemas.openxmlformats.org/drawingml/2006/main">
                        <a:graphicData uri="http://schemas.openxmlformats.org/drawingml/2006/picture">
                          <pic:pic xmlns:pic="http://schemas.openxmlformats.org/drawingml/2006/picture">
                            <pic:nvPicPr>
                              <pic:cNvPr id="19" name="Picture_200"/>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8076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57150" cy="152400"/>
                      <wp:effectExtent l="0" t="0" r="0" b="0"/>
                      <wp:wrapNone/>
                      <wp:docPr id="20" name="Picture_407_SpCnt_2"/>
                      <wp:cNvGraphicFramePr/>
                      <a:graphic xmlns:a="http://schemas.openxmlformats.org/drawingml/2006/main">
                        <a:graphicData uri="http://schemas.openxmlformats.org/drawingml/2006/picture">
                          <pic:pic xmlns:pic="http://schemas.openxmlformats.org/drawingml/2006/picture">
                            <pic:nvPicPr>
                              <pic:cNvPr id="20" name="Picture_407_SpCnt_2"/>
                              <pic:cNvPicPr/>
                              <pic:nvPr/>
                            </pic:nvPicPr>
                            <pic:blipFill>
                              <a:blip r:embed="rId12"/>
                              <a:stretch/>
                            </pic:blipFill>
                            <pic:spPr bwMode="auto">
                              <a:xfrm>
                                <a:off x="0" y="0"/>
                                <a:ext cx="57150" cy="1524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8179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57150" cy="152400"/>
                      <wp:effectExtent l="0" t="0" r="0" b="0"/>
                      <wp:wrapNone/>
                      <wp:docPr id="21" name="Picture_247_SpCnt_1"/>
                      <wp:cNvGraphicFramePr/>
                      <a:graphic xmlns:a="http://schemas.openxmlformats.org/drawingml/2006/main">
                        <a:graphicData uri="http://schemas.openxmlformats.org/drawingml/2006/picture">
                          <pic:pic xmlns:pic="http://schemas.openxmlformats.org/drawingml/2006/picture">
                            <pic:nvPicPr>
                              <pic:cNvPr id="21" name="Picture_247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8281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57150" cy="147955"/>
                      <wp:effectExtent l="0" t="0" r="0" b="0"/>
                      <wp:wrapNone/>
                      <wp:docPr id="22" name="Picture_204_SpCnt_2"/>
                      <wp:cNvGraphicFramePr/>
                      <a:graphic xmlns:a="http://schemas.openxmlformats.org/drawingml/2006/main">
                        <a:graphicData uri="http://schemas.openxmlformats.org/drawingml/2006/picture">
                          <pic:pic xmlns:pic="http://schemas.openxmlformats.org/drawingml/2006/picture">
                            <pic:nvPicPr>
                              <pic:cNvPr id="22" name="Picture_204_SpCnt_2"/>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384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57150" cy="147955"/>
                      <wp:effectExtent l="0" t="0" r="0" b="0"/>
                      <wp:wrapNone/>
                      <wp:docPr id="23" name="Picture_200_SpCnt_1"/>
                      <wp:cNvGraphicFramePr/>
                      <a:graphic xmlns:a="http://schemas.openxmlformats.org/drawingml/2006/main">
                        <a:graphicData uri="http://schemas.openxmlformats.org/drawingml/2006/picture">
                          <pic:pic xmlns:pic="http://schemas.openxmlformats.org/drawingml/2006/picture">
                            <pic:nvPicPr>
                              <pic:cNvPr id="23" name="Picture_200_SpCnt_1"/>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486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57150" cy="152400"/>
                      <wp:effectExtent l="0" t="0" r="0" b="0"/>
                      <wp:wrapNone/>
                      <wp:docPr id="24" name="Picture_246_SpCnt_1"/>
                      <wp:cNvGraphicFramePr/>
                      <a:graphic xmlns:a="http://schemas.openxmlformats.org/drawingml/2006/main">
                        <a:graphicData uri="http://schemas.openxmlformats.org/drawingml/2006/picture">
                          <pic:pic xmlns:pic="http://schemas.openxmlformats.org/drawingml/2006/picture">
                            <pic:nvPicPr>
                              <pic:cNvPr id="24" name="Picture_246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58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57150" cy="147955"/>
                      <wp:effectExtent l="0" t="0" r="0" b="0"/>
                      <wp:wrapNone/>
                      <wp:docPr id="25" name="Picture_197_SpCnt_1"/>
                      <wp:cNvGraphicFramePr/>
                      <a:graphic xmlns:a="http://schemas.openxmlformats.org/drawingml/2006/main">
                        <a:graphicData uri="http://schemas.openxmlformats.org/drawingml/2006/picture">
                          <pic:pic xmlns:pic="http://schemas.openxmlformats.org/drawingml/2006/picture">
                            <pic:nvPicPr>
                              <pic:cNvPr id="25" name="Picture_197_SpCnt_1"/>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691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57150" cy="147955"/>
                      <wp:effectExtent l="0" t="0" r="0" b="0"/>
                      <wp:wrapNone/>
                      <wp:docPr id="26" name="Picture_205_SpCnt_1"/>
                      <wp:cNvGraphicFramePr/>
                      <a:graphic xmlns:a="http://schemas.openxmlformats.org/drawingml/2006/main">
                        <a:graphicData uri="http://schemas.openxmlformats.org/drawingml/2006/picture">
                          <pic:pic xmlns:pic="http://schemas.openxmlformats.org/drawingml/2006/picture">
                            <pic:nvPicPr>
                              <pic:cNvPr id="26" name="Picture_205_SpCnt_1"/>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793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57150" cy="152400"/>
                      <wp:effectExtent l="0" t="0" r="0" b="0"/>
                      <wp:wrapNone/>
                      <wp:docPr id="27" name="Picture_248_SpCnt_2"/>
                      <wp:cNvGraphicFramePr/>
                      <a:graphic xmlns:a="http://schemas.openxmlformats.org/drawingml/2006/main">
                        <a:graphicData uri="http://schemas.openxmlformats.org/drawingml/2006/picture">
                          <pic:pic xmlns:pic="http://schemas.openxmlformats.org/drawingml/2006/picture">
                            <pic:nvPicPr>
                              <pic:cNvPr id="27" name="Picture_248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896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57150" cy="152400"/>
                      <wp:effectExtent l="0" t="0" r="0" b="0"/>
                      <wp:wrapNone/>
                      <wp:docPr id="28" name="Picture_245_SpCnt_1"/>
                      <wp:cNvGraphicFramePr/>
                      <a:graphic xmlns:a="http://schemas.openxmlformats.org/drawingml/2006/main">
                        <a:graphicData uri="http://schemas.openxmlformats.org/drawingml/2006/picture">
                          <pic:pic xmlns:pic="http://schemas.openxmlformats.org/drawingml/2006/picture">
                            <pic:nvPicPr>
                              <pic:cNvPr id="28" name="Picture_245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998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57150" cy="147955"/>
                      <wp:effectExtent l="0" t="0" r="0" b="0"/>
                      <wp:wrapNone/>
                      <wp:docPr id="29" name="Picture_204_SpCnt_3"/>
                      <wp:cNvGraphicFramePr/>
                      <a:graphic xmlns:a="http://schemas.openxmlformats.org/drawingml/2006/main">
                        <a:graphicData uri="http://schemas.openxmlformats.org/drawingml/2006/picture">
                          <pic:pic xmlns:pic="http://schemas.openxmlformats.org/drawingml/2006/picture">
                            <pic:nvPicPr>
                              <pic:cNvPr id="29" name="Picture_204_SpCnt_3"/>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9100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57150" cy="147955"/>
                      <wp:effectExtent l="0" t="0" r="0" b="0"/>
                      <wp:wrapNone/>
                      <wp:docPr id="30" name="Picture_200_SpCnt_2"/>
                      <wp:cNvGraphicFramePr/>
                      <a:graphic xmlns:a="http://schemas.openxmlformats.org/drawingml/2006/main">
                        <a:graphicData uri="http://schemas.openxmlformats.org/drawingml/2006/picture">
                          <pic:pic xmlns:pic="http://schemas.openxmlformats.org/drawingml/2006/picture">
                            <pic:nvPicPr>
                              <pic:cNvPr id="30" name="Picture_200_SpCnt_2"/>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9203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57150" cy="152400"/>
                      <wp:effectExtent l="0" t="0" r="0" b="0"/>
                      <wp:wrapNone/>
                      <wp:docPr id="31" name="Picture_205_SpCnt_2"/>
                      <wp:cNvGraphicFramePr/>
                      <a:graphic xmlns:a="http://schemas.openxmlformats.org/drawingml/2006/main">
                        <a:graphicData uri="http://schemas.openxmlformats.org/drawingml/2006/picture">
                          <pic:pic xmlns:pic="http://schemas.openxmlformats.org/drawingml/2006/picture">
                            <pic:nvPicPr>
                              <pic:cNvPr id="31" name="Picture_205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9305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57150" cy="147955"/>
                      <wp:effectExtent l="0" t="0" r="0" b="0"/>
                      <wp:wrapNone/>
                      <wp:docPr id="32" name="Picture_197_SpCnt_2"/>
                      <wp:cNvGraphicFramePr/>
                      <a:graphic xmlns:a="http://schemas.openxmlformats.org/drawingml/2006/main">
                        <a:graphicData uri="http://schemas.openxmlformats.org/drawingml/2006/picture">
                          <pic:pic xmlns:pic="http://schemas.openxmlformats.org/drawingml/2006/picture">
                            <pic:nvPicPr>
                              <pic:cNvPr id="32" name="Picture_197_SpCnt_2"/>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9408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57150" cy="147955"/>
                      <wp:effectExtent l="0" t="0" r="0" b="0"/>
                      <wp:wrapNone/>
                      <wp:docPr id="33" name="Picture_410"/>
                      <wp:cNvGraphicFramePr/>
                      <a:graphic xmlns:a="http://schemas.openxmlformats.org/drawingml/2006/main">
                        <a:graphicData uri="http://schemas.openxmlformats.org/drawingml/2006/picture">
                          <pic:pic xmlns:pic="http://schemas.openxmlformats.org/drawingml/2006/picture">
                            <pic:nvPicPr>
                              <pic:cNvPr id="33" name="Picture_410"/>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9510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57150" cy="147320"/>
                      <wp:effectExtent l="0" t="0" r="0" b="0"/>
                      <wp:wrapNone/>
                      <wp:docPr id="34" name="Picture_410_SpCnt_1"/>
                      <wp:cNvGraphicFramePr/>
                      <a:graphic xmlns:a="http://schemas.openxmlformats.org/drawingml/2006/main">
                        <a:graphicData uri="http://schemas.openxmlformats.org/drawingml/2006/picture">
                          <pic:pic xmlns:pic="http://schemas.openxmlformats.org/drawingml/2006/picture">
                            <pic:nvPicPr>
                              <pic:cNvPr id="34" name="Picture_410_SpCnt_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9612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57150" cy="152400"/>
                      <wp:effectExtent l="0" t="0" r="0" b="0"/>
                      <wp:wrapNone/>
                      <wp:docPr id="35" name="Picture_200_SpCnt_3"/>
                      <wp:cNvGraphicFramePr/>
                      <a:graphic xmlns:a="http://schemas.openxmlformats.org/drawingml/2006/main">
                        <a:graphicData uri="http://schemas.openxmlformats.org/drawingml/2006/picture">
                          <pic:pic xmlns:pic="http://schemas.openxmlformats.org/drawingml/2006/picture">
                            <pic:nvPicPr>
                              <pic:cNvPr id="35" name="Picture_200_SpCnt_3"/>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9715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57150" cy="152400"/>
                      <wp:effectExtent l="0" t="0" r="0" b="0"/>
                      <wp:wrapNone/>
                      <wp:docPr id="36" name="Picture_197_SpCnt_3"/>
                      <wp:cNvGraphicFramePr/>
                      <a:graphic xmlns:a="http://schemas.openxmlformats.org/drawingml/2006/main">
                        <a:graphicData uri="http://schemas.openxmlformats.org/drawingml/2006/picture">
                          <pic:pic xmlns:pic="http://schemas.openxmlformats.org/drawingml/2006/picture">
                            <pic:nvPicPr>
                              <pic:cNvPr id="36" name="Picture_197_SpCnt_3"/>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817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0</wp:posOffset>
                      </wp:positionH>
                      <wp:positionV relativeFrom="paragraph">
                        <wp:posOffset>0</wp:posOffset>
                      </wp:positionV>
                      <wp:extent cx="57150" cy="152400"/>
                      <wp:effectExtent l="0" t="0" r="0" b="0"/>
                      <wp:wrapNone/>
                      <wp:docPr id="37" name="Picture_247_SpCnt_2"/>
                      <wp:cNvGraphicFramePr/>
                      <a:graphic xmlns:a="http://schemas.openxmlformats.org/drawingml/2006/main">
                        <a:graphicData uri="http://schemas.openxmlformats.org/drawingml/2006/picture">
                          <pic:pic xmlns:pic="http://schemas.openxmlformats.org/drawingml/2006/picture">
                            <pic:nvPicPr>
                              <pic:cNvPr id="37" name="Picture_247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920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0</wp:posOffset>
                      </wp:positionH>
                      <wp:positionV relativeFrom="paragraph">
                        <wp:posOffset>0</wp:posOffset>
                      </wp:positionV>
                      <wp:extent cx="57150" cy="152400"/>
                      <wp:effectExtent l="0" t="0" r="0" b="0"/>
                      <wp:wrapNone/>
                      <wp:docPr id="38" name="Picture_204_SpCnt_4"/>
                      <wp:cNvGraphicFramePr/>
                      <a:graphic xmlns:a="http://schemas.openxmlformats.org/drawingml/2006/main">
                        <a:graphicData uri="http://schemas.openxmlformats.org/drawingml/2006/picture">
                          <pic:pic xmlns:pic="http://schemas.openxmlformats.org/drawingml/2006/picture">
                            <pic:nvPicPr>
                              <pic:cNvPr id="38" name="Picture_204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70022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57150" cy="147955"/>
                      <wp:effectExtent l="0" t="0" r="0" b="0"/>
                      <wp:wrapNone/>
                      <wp:docPr id="39" name="Picture_409_SpCnt_3"/>
                      <wp:cNvGraphicFramePr/>
                      <a:graphic xmlns:a="http://schemas.openxmlformats.org/drawingml/2006/main">
                        <a:graphicData uri="http://schemas.openxmlformats.org/drawingml/2006/picture">
                          <pic:pic xmlns:pic="http://schemas.openxmlformats.org/drawingml/2006/picture">
                            <pic:nvPicPr>
                              <pic:cNvPr id="39" name="Picture_409_SpCnt_3"/>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70124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0</wp:posOffset>
                      </wp:positionH>
                      <wp:positionV relativeFrom="paragraph">
                        <wp:posOffset>0</wp:posOffset>
                      </wp:positionV>
                      <wp:extent cx="57150" cy="147320"/>
                      <wp:effectExtent l="0" t="0" r="0" b="0"/>
                      <wp:wrapNone/>
                      <wp:docPr id="40" name="Picture_409_SpCnt_4"/>
                      <wp:cNvGraphicFramePr/>
                      <a:graphic xmlns:a="http://schemas.openxmlformats.org/drawingml/2006/main">
                        <a:graphicData uri="http://schemas.openxmlformats.org/drawingml/2006/picture">
                          <pic:pic xmlns:pic="http://schemas.openxmlformats.org/drawingml/2006/picture">
                            <pic:nvPicPr>
                              <pic:cNvPr id="40" name="Picture_409_SpCnt_4"/>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70227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0</wp:posOffset>
                      </wp:positionH>
                      <wp:positionV relativeFrom="paragraph">
                        <wp:posOffset>0</wp:posOffset>
                      </wp:positionV>
                      <wp:extent cx="57150" cy="147320"/>
                      <wp:effectExtent l="0" t="0" r="0" b="0"/>
                      <wp:wrapNone/>
                      <wp:docPr id="41" name="Picture_408_SpCnt_3"/>
                      <wp:cNvGraphicFramePr/>
                      <a:graphic xmlns:a="http://schemas.openxmlformats.org/drawingml/2006/main">
                        <a:graphicData uri="http://schemas.openxmlformats.org/drawingml/2006/picture">
                          <pic:pic xmlns:pic="http://schemas.openxmlformats.org/drawingml/2006/picture">
                            <pic:nvPicPr>
                              <pic:cNvPr id="41" name="Picture_408_SpCnt_3"/>
                              <pic:cNvPicPr/>
                              <pic:nvPr/>
                            </pic:nvPicPr>
                            <pic:blipFill>
                              <a:blip r:embed="rId12"/>
                              <a:stretch/>
                            </pic:blipFill>
                            <pic:spPr bwMode="auto">
                              <a:xfrm>
                                <a:off x="0" y="0"/>
                                <a:ext cx="57150" cy="1473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70329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0</wp:posOffset>
                      </wp:positionH>
                      <wp:positionV relativeFrom="paragraph">
                        <wp:posOffset>0</wp:posOffset>
                      </wp:positionV>
                      <wp:extent cx="57150" cy="147955"/>
                      <wp:effectExtent l="0" t="0" r="0" b="0"/>
                      <wp:wrapNone/>
                      <wp:docPr id="42" name="Picture_408_SpCnt_4"/>
                      <wp:cNvGraphicFramePr/>
                      <a:graphic xmlns:a="http://schemas.openxmlformats.org/drawingml/2006/main">
                        <a:graphicData uri="http://schemas.openxmlformats.org/drawingml/2006/picture">
                          <pic:pic xmlns:pic="http://schemas.openxmlformats.org/drawingml/2006/picture">
                            <pic:nvPicPr>
                              <pic:cNvPr id="42" name="Picture_408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70432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0</wp:posOffset>
                      </wp:positionH>
                      <wp:positionV relativeFrom="paragraph">
                        <wp:posOffset>0</wp:posOffset>
                      </wp:positionV>
                      <wp:extent cx="57150" cy="147320"/>
                      <wp:effectExtent l="0" t="0" r="0" b="0"/>
                      <wp:wrapNone/>
                      <wp:docPr id="43" name="Picture_407_SpCnt_3"/>
                      <wp:cNvGraphicFramePr/>
                      <a:graphic xmlns:a="http://schemas.openxmlformats.org/drawingml/2006/main">
                        <a:graphicData uri="http://schemas.openxmlformats.org/drawingml/2006/picture">
                          <pic:pic xmlns:pic="http://schemas.openxmlformats.org/drawingml/2006/picture">
                            <pic:nvPicPr>
                              <pic:cNvPr id="43" name="Picture_407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70534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0</wp:posOffset>
                      </wp:positionH>
                      <wp:positionV relativeFrom="paragraph">
                        <wp:posOffset>0</wp:posOffset>
                      </wp:positionV>
                      <wp:extent cx="57150" cy="147320"/>
                      <wp:effectExtent l="0" t="0" r="0" b="0"/>
                      <wp:wrapNone/>
                      <wp:docPr id="44" name="Picture_248_SpCnt_3"/>
                      <wp:cNvGraphicFramePr/>
                      <a:graphic xmlns:a="http://schemas.openxmlformats.org/drawingml/2006/main">
                        <a:graphicData uri="http://schemas.openxmlformats.org/drawingml/2006/picture">
                          <pic:pic xmlns:pic="http://schemas.openxmlformats.org/drawingml/2006/picture">
                            <pic:nvPicPr>
                              <pic:cNvPr id="44" name="Picture_248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70636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0</wp:posOffset>
                      </wp:positionH>
                      <wp:positionV relativeFrom="paragraph">
                        <wp:posOffset>0</wp:posOffset>
                      </wp:positionV>
                      <wp:extent cx="57150" cy="152400"/>
                      <wp:effectExtent l="0" t="0" r="0" b="0"/>
                      <wp:wrapNone/>
                      <wp:docPr id="45" name="Picture_200_SpCnt_4"/>
                      <wp:cNvGraphicFramePr/>
                      <a:graphic xmlns:a="http://schemas.openxmlformats.org/drawingml/2006/main">
                        <a:graphicData uri="http://schemas.openxmlformats.org/drawingml/2006/picture">
                          <pic:pic xmlns:pic="http://schemas.openxmlformats.org/drawingml/2006/picture">
                            <pic:nvPicPr>
                              <pic:cNvPr id="45" name="Picture_200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739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57150" cy="147955"/>
                      <wp:effectExtent l="0" t="0" r="0" b="0"/>
                      <wp:wrapNone/>
                      <wp:docPr id="46" name="Picture_407_SpCnt_4"/>
                      <wp:cNvGraphicFramePr/>
                      <a:graphic xmlns:a="http://schemas.openxmlformats.org/drawingml/2006/main">
                        <a:graphicData uri="http://schemas.openxmlformats.org/drawingml/2006/picture">
                          <pic:pic xmlns:pic="http://schemas.openxmlformats.org/drawingml/2006/picture">
                            <pic:nvPicPr>
                              <pic:cNvPr id="46" name="Picture_407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841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0</wp:posOffset>
                      </wp:positionH>
                      <wp:positionV relativeFrom="paragraph">
                        <wp:posOffset>0</wp:posOffset>
                      </wp:positionV>
                      <wp:extent cx="57150" cy="147320"/>
                      <wp:effectExtent l="0" t="0" r="0" b="0"/>
                      <wp:wrapNone/>
                      <wp:docPr id="47" name="Picture_247_SpCnt_3"/>
                      <wp:cNvGraphicFramePr/>
                      <a:graphic xmlns:a="http://schemas.openxmlformats.org/drawingml/2006/main">
                        <a:graphicData uri="http://schemas.openxmlformats.org/drawingml/2006/picture">
                          <pic:pic xmlns:pic="http://schemas.openxmlformats.org/drawingml/2006/picture">
                            <pic:nvPicPr>
                              <pic:cNvPr id="47" name="Picture_247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944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0</wp:posOffset>
                      </wp:positionH>
                      <wp:positionV relativeFrom="paragraph">
                        <wp:posOffset>0</wp:posOffset>
                      </wp:positionV>
                      <wp:extent cx="57150" cy="147320"/>
                      <wp:effectExtent l="0" t="0" r="0" b="0"/>
                      <wp:wrapNone/>
                      <wp:docPr id="48" name="Picture_246_SpCnt_2"/>
                      <wp:cNvGraphicFramePr/>
                      <a:graphic xmlns:a="http://schemas.openxmlformats.org/drawingml/2006/main">
                        <a:graphicData uri="http://schemas.openxmlformats.org/drawingml/2006/picture">
                          <pic:pic xmlns:pic="http://schemas.openxmlformats.org/drawingml/2006/picture">
                            <pic:nvPicPr>
                              <pic:cNvPr id="48" name="Picture_246_SpCnt_2"/>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1046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0</wp:posOffset>
                      </wp:positionH>
                      <wp:positionV relativeFrom="paragraph">
                        <wp:posOffset>0</wp:posOffset>
                      </wp:positionV>
                      <wp:extent cx="57150" cy="147955"/>
                      <wp:effectExtent l="0" t="0" r="0" b="0"/>
                      <wp:wrapNone/>
                      <wp:docPr id="49" name="Picture_248_SpCnt_4"/>
                      <wp:cNvGraphicFramePr/>
                      <a:graphic xmlns:a="http://schemas.openxmlformats.org/drawingml/2006/main">
                        <a:graphicData uri="http://schemas.openxmlformats.org/drawingml/2006/picture">
                          <pic:pic xmlns:pic="http://schemas.openxmlformats.org/drawingml/2006/picture">
                            <pic:nvPicPr>
                              <pic:cNvPr id="49" name="Picture_248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1148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0</wp:posOffset>
                      </wp:positionH>
                      <wp:positionV relativeFrom="paragraph">
                        <wp:posOffset>0</wp:posOffset>
                      </wp:positionV>
                      <wp:extent cx="57150" cy="147320"/>
                      <wp:effectExtent l="0" t="0" r="0" b="0"/>
                      <wp:wrapNone/>
                      <wp:docPr id="50" name="Picture_245_SpCnt_2"/>
                      <wp:cNvGraphicFramePr/>
                      <a:graphic xmlns:a="http://schemas.openxmlformats.org/drawingml/2006/main">
                        <a:graphicData uri="http://schemas.openxmlformats.org/drawingml/2006/picture">
                          <pic:pic xmlns:pic="http://schemas.openxmlformats.org/drawingml/2006/picture">
                            <pic:nvPicPr>
                              <pic:cNvPr id="50" name="Picture_245_SpCnt_2"/>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1251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0</wp:posOffset>
                      </wp:positionH>
                      <wp:positionV relativeFrom="paragraph">
                        <wp:posOffset>0</wp:posOffset>
                      </wp:positionV>
                      <wp:extent cx="57150" cy="147320"/>
                      <wp:effectExtent l="0" t="0" r="0" b="0"/>
                      <wp:wrapNone/>
                      <wp:docPr id="51" name="Picture_205_SpCnt_3"/>
                      <wp:cNvGraphicFramePr/>
                      <a:graphic xmlns:a="http://schemas.openxmlformats.org/drawingml/2006/main">
                        <a:graphicData uri="http://schemas.openxmlformats.org/drawingml/2006/picture">
                          <pic:pic xmlns:pic="http://schemas.openxmlformats.org/drawingml/2006/picture">
                            <pic:nvPicPr>
                              <pic:cNvPr id="51" name="Picture_205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1353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0</wp:posOffset>
                      </wp:positionH>
                      <wp:positionV relativeFrom="paragraph">
                        <wp:posOffset>0</wp:posOffset>
                      </wp:positionV>
                      <wp:extent cx="57150" cy="152400"/>
                      <wp:effectExtent l="0" t="0" r="0" b="0"/>
                      <wp:wrapNone/>
                      <wp:docPr id="52" name="Picture_246_SpCnt_3"/>
                      <wp:cNvGraphicFramePr/>
                      <a:graphic xmlns:a="http://schemas.openxmlformats.org/drawingml/2006/main">
                        <a:graphicData uri="http://schemas.openxmlformats.org/drawingml/2006/picture">
                          <pic:pic xmlns:pic="http://schemas.openxmlformats.org/drawingml/2006/picture">
                            <pic:nvPicPr>
                              <pic:cNvPr id="52" name="Picture_246_SpCnt_3"/>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1456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0</wp:posOffset>
                      </wp:positionH>
                      <wp:positionV relativeFrom="paragraph">
                        <wp:posOffset>0</wp:posOffset>
                      </wp:positionV>
                      <wp:extent cx="57150" cy="152400"/>
                      <wp:effectExtent l="0" t="0" r="0" b="0"/>
                      <wp:wrapNone/>
                      <wp:docPr id="53" name="Picture_197_SpCnt_4"/>
                      <wp:cNvGraphicFramePr/>
                      <a:graphic xmlns:a="http://schemas.openxmlformats.org/drawingml/2006/main">
                        <a:graphicData uri="http://schemas.openxmlformats.org/drawingml/2006/picture">
                          <pic:pic xmlns:pic="http://schemas.openxmlformats.org/drawingml/2006/picture">
                            <pic:nvPicPr>
                              <pic:cNvPr id="53" name="Picture_197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1558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0</wp:posOffset>
                      </wp:positionH>
                      <wp:positionV relativeFrom="paragraph">
                        <wp:posOffset>0</wp:posOffset>
                      </wp:positionV>
                      <wp:extent cx="57150" cy="147955"/>
                      <wp:effectExtent l="0" t="0" r="0" b="0"/>
                      <wp:wrapNone/>
                      <wp:docPr id="54" name="Picture_247_SpCnt_4"/>
                      <wp:cNvGraphicFramePr/>
                      <a:graphic xmlns:a="http://schemas.openxmlformats.org/drawingml/2006/main">
                        <a:graphicData uri="http://schemas.openxmlformats.org/drawingml/2006/picture">
                          <pic:pic xmlns:pic="http://schemas.openxmlformats.org/drawingml/2006/picture">
                            <pic:nvPicPr>
                              <pic:cNvPr id="54" name="Picture_247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1660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57150" cy="147320"/>
                      <wp:effectExtent l="0" t="0" r="0" b="0"/>
                      <wp:wrapNone/>
                      <wp:docPr id="55" name="Picture_204_SpCnt_5"/>
                      <wp:cNvGraphicFramePr/>
                      <a:graphic xmlns:a="http://schemas.openxmlformats.org/drawingml/2006/main">
                        <a:graphicData uri="http://schemas.openxmlformats.org/drawingml/2006/picture">
                          <pic:pic xmlns:pic="http://schemas.openxmlformats.org/drawingml/2006/picture">
                            <pic:nvPicPr>
                              <pic:cNvPr id="55" name="Picture_204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1763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0</wp:posOffset>
                      </wp:positionH>
                      <wp:positionV relativeFrom="paragraph">
                        <wp:posOffset>0</wp:posOffset>
                      </wp:positionV>
                      <wp:extent cx="57150" cy="147320"/>
                      <wp:effectExtent l="0" t="0" r="0" b="0"/>
                      <wp:wrapNone/>
                      <wp:docPr id="56" name="Picture_200_SpCnt_5"/>
                      <wp:cNvGraphicFramePr/>
                      <a:graphic xmlns:a="http://schemas.openxmlformats.org/drawingml/2006/main">
                        <a:graphicData uri="http://schemas.openxmlformats.org/drawingml/2006/picture">
                          <pic:pic xmlns:pic="http://schemas.openxmlformats.org/drawingml/2006/picture">
                            <pic:nvPicPr>
                              <pic:cNvPr id="56" name="Picture_200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1865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0</wp:posOffset>
                      </wp:positionH>
                      <wp:positionV relativeFrom="paragraph">
                        <wp:posOffset>0</wp:posOffset>
                      </wp:positionV>
                      <wp:extent cx="57150" cy="147955"/>
                      <wp:effectExtent l="0" t="0" r="0" b="0"/>
                      <wp:wrapNone/>
                      <wp:docPr id="57" name="Picture_246_SpCnt_4"/>
                      <wp:cNvGraphicFramePr/>
                      <a:graphic xmlns:a="http://schemas.openxmlformats.org/drawingml/2006/main">
                        <a:graphicData uri="http://schemas.openxmlformats.org/drawingml/2006/picture">
                          <pic:pic xmlns:pic="http://schemas.openxmlformats.org/drawingml/2006/picture">
                            <pic:nvPicPr>
                              <pic:cNvPr id="57" name="Picture_246_SpCnt_4"/>
                              <pic:cNvPicPr/>
                              <pic:nvPr/>
                            </pic:nvPicPr>
                            <pic:blipFill>
                              <a:blip r:embed="rId12"/>
                              <a:stretch/>
                            </pic:blipFill>
                            <pic:spPr bwMode="auto">
                              <a:xfrm>
                                <a:off x="0" y="0"/>
                                <a:ext cx="57150" cy="14795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968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0</wp:posOffset>
                      </wp:positionH>
                      <wp:positionV relativeFrom="paragraph">
                        <wp:posOffset>0</wp:posOffset>
                      </wp:positionV>
                      <wp:extent cx="57150" cy="147320"/>
                      <wp:effectExtent l="0" t="0" r="0" b="0"/>
                      <wp:wrapNone/>
                      <wp:docPr id="58" name="Picture_197_SpCnt_5"/>
                      <wp:cNvGraphicFramePr/>
                      <a:graphic xmlns:a="http://schemas.openxmlformats.org/drawingml/2006/main">
                        <a:graphicData uri="http://schemas.openxmlformats.org/drawingml/2006/picture">
                          <pic:pic xmlns:pic="http://schemas.openxmlformats.org/drawingml/2006/picture">
                            <pic:nvPicPr>
                              <pic:cNvPr id="58" name="Picture_197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2070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57150" cy="147320"/>
                      <wp:effectExtent l="0" t="0" r="0" b="0"/>
                      <wp:wrapNone/>
                      <wp:docPr id="59" name="Picture_205_SpCnt_4"/>
                      <wp:cNvGraphicFramePr/>
                      <a:graphic xmlns:a="http://schemas.openxmlformats.org/drawingml/2006/main">
                        <a:graphicData uri="http://schemas.openxmlformats.org/drawingml/2006/picture">
                          <pic:pic xmlns:pic="http://schemas.openxmlformats.org/drawingml/2006/picture">
                            <pic:nvPicPr>
                              <pic:cNvPr id="59" name="Picture_205_SpCnt_4"/>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2172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0</wp:posOffset>
                      </wp:positionH>
                      <wp:positionV relativeFrom="paragraph">
                        <wp:posOffset>0</wp:posOffset>
                      </wp:positionV>
                      <wp:extent cx="57150" cy="152400"/>
                      <wp:effectExtent l="0" t="0" r="0" b="0"/>
                      <wp:wrapNone/>
                      <wp:docPr id="60" name="Picture_205_SpCnt_5"/>
                      <wp:cNvGraphicFramePr/>
                      <a:graphic xmlns:a="http://schemas.openxmlformats.org/drawingml/2006/main">
                        <a:graphicData uri="http://schemas.openxmlformats.org/drawingml/2006/picture">
                          <pic:pic xmlns:pic="http://schemas.openxmlformats.org/drawingml/2006/picture">
                            <pic:nvPicPr>
                              <pic:cNvPr id="60" name="Picture_205_SpCnt_5"/>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2275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0</wp:posOffset>
                      </wp:positionH>
                      <wp:positionV relativeFrom="paragraph">
                        <wp:posOffset>0</wp:posOffset>
                      </wp:positionV>
                      <wp:extent cx="57150" cy="147955"/>
                      <wp:effectExtent l="0" t="0" r="0" b="0"/>
                      <wp:wrapNone/>
                      <wp:docPr id="61" name="Picture_245_SpCnt_3"/>
                      <wp:cNvGraphicFramePr/>
                      <a:graphic xmlns:a="http://schemas.openxmlformats.org/drawingml/2006/main">
                        <a:graphicData uri="http://schemas.openxmlformats.org/drawingml/2006/picture">
                          <pic:pic xmlns:pic="http://schemas.openxmlformats.org/drawingml/2006/picture">
                            <pic:nvPicPr>
                              <pic:cNvPr id="61" name="Picture_245_SpCnt_3"/>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2377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0</wp:posOffset>
                      </wp:positionH>
                      <wp:positionV relativeFrom="paragraph">
                        <wp:posOffset>0</wp:posOffset>
                      </wp:positionV>
                      <wp:extent cx="57150" cy="147320"/>
                      <wp:effectExtent l="0" t="0" r="0" b="0"/>
                      <wp:wrapNone/>
                      <wp:docPr id="62" name="Picture_204_SpCnt_6"/>
                      <wp:cNvGraphicFramePr/>
                      <a:graphic xmlns:a="http://schemas.openxmlformats.org/drawingml/2006/main">
                        <a:graphicData uri="http://schemas.openxmlformats.org/drawingml/2006/picture">
                          <pic:pic xmlns:pic="http://schemas.openxmlformats.org/drawingml/2006/picture">
                            <pic:nvPicPr>
                              <pic:cNvPr id="62" name="Picture_204_SpCnt_6"/>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2480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0</wp:posOffset>
                      </wp:positionH>
                      <wp:positionV relativeFrom="paragraph">
                        <wp:posOffset>0</wp:posOffset>
                      </wp:positionV>
                      <wp:extent cx="57150" cy="147320"/>
                      <wp:effectExtent l="0" t="0" r="0" b="0"/>
                      <wp:wrapNone/>
                      <wp:docPr id="63" name="Picture_200_SpCnt_6"/>
                      <wp:cNvGraphicFramePr/>
                      <a:graphic xmlns:a="http://schemas.openxmlformats.org/drawingml/2006/main">
                        <a:graphicData uri="http://schemas.openxmlformats.org/drawingml/2006/picture">
                          <pic:pic xmlns:pic="http://schemas.openxmlformats.org/drawingml/2006/picture">
                            <pic:nvPicPr>
                              <pic:cNvPr id="63" name="Picture_200_SpCnt_6"/>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2582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0</wp:posOffset>
                      </wp:positionH>
                      <wp:positionV relativeFrom="paragraph">
                        <wp:posOffset>0</wp:posOffset>
                      </wp:positionV>
                      <wp:extent cx="57150" cy="147955"/>
                      <wp:effectExtent l="0" t="0" r="0" b="0"/>
                      <wp:wrapNone/>
                      <wp:docPr id="64" name="Picture_205_SpCnt_6"/>
                      <wp:cNvGraphicFramePr/>
                      <a:graphic xmlns:a="http://schemas.openxmlformats.org/drawingml/2006/main">
                        <a:graphicData uri="http://schemas.openxmlformats.org/drawingml/2006/picture">
                          <pic:pic xmlns:pic="http://schemas.openxmlformats.org/drawingml/2006/picture">
                            <pic:nvPicPr>
                              <pic:cNvPr id="64" name="Picture_205_SpCnt_6"/>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2684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0</wp:posOffset>
                      </wp:positionH>
                      <wp:positionV relativeFrom="paragraph">
                        <wp:posOffset>0</wp:posOffset>
                      </wp:positionV>
                      <wp:extent cx="57150" cy="147320"/>
                      <wp:effectExtent l="0" t="0" r="0" b="0"/>
                      <wp:wrapNone/>
                      <wp:docPr id="65" name="Picture_197_SpCnt_6"/>
                      <wp:cNvGraphicFramePr/>
                      <a:graphic xmlns:a="http://schemas.openxmlformats.org/drawingml/2006/main">
                        <a:graphicData uri="http://schemas.openxmlformats.org/drawingml/2006/picture">
                          <pic:pic xmlns:pic="http://schemas.openxmlformats.org/drawingml/2006/picture">
                            <pic:nvPicPr>
                              <pic:cNvPr id="65" name="Picture_197_SpCnt_6"/>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2787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0</wp:posOffset>
                      </wp:positionH>
                      <wp:positionV relativeFrom="paragraph">
                        <wp:posOffset>0</wp:posOffset>
                      </wp:positionV>
                      <wp:extent cx="57150" cy="147320"/>
                      <wp:effectExtent l="0" t="0" r="0" b="0"/>
                      <wp:wrapNone/>
                      <wp:docPr id="66" name="Picture_410_SpCnt_2"/>
                      <wp:cNvGraphicFramePr/>
                      <a:graphic xmlns:a="http://schemas.openxmlformats.org/drawingml/2006/main">
                        <a:graphicData uri="http://schemas.openxmlformats.org/drawingml/2006/picture">
                          <pic:pic xmlns:pic="http://schemas.openxmlformats.org/drawingml/2006/picture">
                            <pic:nvPicPr>
                              <pic:cNvPr id="66" name="Picture_410_SpCnt_2"/>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2889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0</wp:posOffset>
                      </wp:positionH>
                      <wp:positionV relativeFrom="paragraph">
                        <wp:posOffset>0</wp:posOffset>
                      </wp:positionV>
                      <wp:extent cx="57150" cy="152400"/>
                      <wp:effectExtent l="0" t="0" r="0" b="0"/>
                      <wp:wrapNone/>
                      <wp:docPr id="67" name="Picture_205_SpCnt_7"/>
                      <wp:cNvGraphicFramePr/>
                      <a:graphic xmlns:a="http://schemas.openxmlformats.org/drawingml/2006/main">
                        <a:graphicData uri="http://schemas.openxmlformats.org/drawingml/2006/picture">
                          <pic:pic xmlns:pic="http://schemas.openxmlformats.org/drawingml/2006/picture">
                            <pic:nvPicPr>
                              <pic:cNvPr id="67" name="Picture_205_SpCnt_7"/>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992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0</wp:posOffset>
                      </wp:positionH>
                      <wp:positionV relativeFrom="paragraph">
                        <wp:posOffset>0</wp:posOffset>
                      </wp:positionV>
                      <wp:extent cx="57150" cy="152400"/>
                      <wp:effectExtent l="0" t="0" r="0" b="0"/>
                      <wp:wrapNone/>
                      <wp:docPr id="68" name="Picture_245_SpCnt_4"/>
                      <wp:cNvGraphicFramePr/>
                      <a:graphic xmlns:a="http://schemas.openxmlformats.org/drawingml/2006/main">
                        <a:graphicData uri="http://schemas.openxmlformats.org/drawingml/2006/picture">
                          <pic:pic xmlns:pic="http://schemas.openxmlformats.org/drawingml/2006/picture">
                            <pic:nvPicPr>
                              <pic:cNvPr id="68" name="Picture_245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3094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0</wp:posOffset>
                      </wp:positionH>
                      <wp:positionV relativeFrom="paragraph">
                        <wp:posOffset>0</wp:posOffset>
                      </wp:positionV>
                      <wp:extent cx="57150" cy="152400"/>
                      <wp:effectExtent l="0" t="0" r="0" b="0"/>
                      <wp:wrapNone/>
                      <wp:docPr id="69" name="Picture_204_SpCnt_7"/>
                      <wp:cNvGraphicFramePr/>
                      <a:graphic xmlns:a="http://schemas.openxmlformats.org/drawingml/2006/main">
                        <a:graphicData uri="http://schemas.openxmlformats.org/drawingml/2006/picture">
                          <pic:pic xmlns:pic="http://schemas.openxmlformats.org/drawingml/2006/picture">
                            <pic:nvPicPr>
                              <pic:cNvPr id="69" name="Picture_204_SpCnt_7"/>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3196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0</wp:posOffset>
                      </wp:positionH>
                      <wp:positionV relativeFrom="paragraph">
                        <wp:posOffset>0</wp:posOffset>
                      </wp:positionV>
                      <wp:extent cx="57150" cy="147955"/>
                      <wp:effectExtent l="0" t="0" r="0" b="0"/>
                      <wp:wrapNone/>
                      <wp:docPr id="70" name="Picture_204_SpCnt_8"/>
                      <wp:cNvGraphicFramePr/>
                      <a:graphic xmlns:a="http://schemas.openxmlformats.org/drawingml/2006/main">
                        <a:graphicData uri="http://schemas.openxmlformats.org/drawingml/2006/picture">
                          <pic:pic xmlns:pic="http://schemas.openxmlformats.org/drawingml/2006/picture">
                            <pic:nvPicPr>
                              <pic:cNvPr id="70" name="Picture_204_SpCnt_8"/>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3299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0</wp:posOffset>
                      </wp:positionH>
                      <wp:positionV relativeFrom="paragraph">
                        <wp:posOffset>0</wp:posOffset>
                      </wp:positionV>
                      <wp:extent cx="57150" cy="147320"/>
                      <wp:effectExtent l="0" t="0" r="0" b="0"/>
                      <wp:wrapNone/>
                      <wp:docPr id="71" name="Picture_409_SpCnt_5"/>
                      <wp:cNvGraphicFramePr/>
                      <a:graphic xmlns:a="http://schemas.openxmlformats.org/drawingml/2006/main">
                        <a:graphicData uri="http://schemas.openxmlformats.org/drawingml/2006/picture">
                          <pic:pic xmlns:pic="http://schemas.openxmlformats.org/drawingml/2006/picture">
                            <pic:nvPicPr>
                              <pic:cNvPr id="71" name="Picture_409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3401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0</wp:posOffset>
                      </wp:positionH>
                      <wp:positionV relativeFrom="paragraph">
                        <wp:posOffset>0</wp:posOffset>
                      </wp:positionV>
                      <wp:extent cx="57150" cy="147320"/>
                      <wp:effectExtent l="0" t="0" r="0" b="0"/>
                      <wp:wrapNone/>
                      <wp:docPr id="72" name="Picture_408_SpCnt_5"/>
                      <wp:cNvGraphicFramePr/>
                      <a:graphic xmlns:a="http://schemas.openxmlformats.org/drawingml/2006/main">
                        <a:graphicData uri="http://schemas.openxmlformats.org/drawingml/2006/picture">
                          <pic:pic xmlns:pic="http://schemas.openxmlformats.org/drawingml/2006/picture">
                            <pic:nvPicPr>
                              <pic:cNvPr id="72" name="Picture_408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3504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0</wp:posOffset>
                      </wp:positionH>
                      <wp:positionV relativeFrom="paragraph">
                        <wp:posOffset>0</wp:posOffset>
                      </wp:positionV>
                      <wp:extent cx="57150" cy="147955"/>
                      <wp:effectExtent l="0" t="0" r="0" b="0"/>
                      <wp:wrapNone/>
                      <wp:docPr id="73" name="Picture_200_SpCnt_7"/>
                      <wp:cNvGraphicFramePr/>
                      <a:graphic xmlns:a="http://schemas.openxmlformats.org/drawingml/2006/main">
                        <a:graphicData uri="http://schemas.openxmlformats.org/drawingml/2006/picture">
                          <pic:pic xmlns:pic="http://schemas.openxmlformats.org/drawingml/2006/picture">
                            <pic:nvPicPr>
                              <pic:cNvPr id="73" name="Picture_200_SpCnt_7"/>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3606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0</wp:posOffset>
                      </wp:positionH>
                      <wp:positionV relativeFrom="paragraph">
                        <wp:posOffset>0</wp:posOffset>
                      </wp:positionV>
                      <wp:extent cx="57150" cy="147320"/>
                      <wp:effectExtent l="0" t="0" r="0" b="0"/>
                      <wp:wrapNone/>
                      <wp:docPr id="74" name="Picture_407_SpCnt_5"/>
                      <wp:cNvGraphicFramePr/>
                      <a:graphic xmlns:a="http://schemas.openxmlformats.org/drawingml/2006/main">
                        <a:graphicData uri="http://schemas.openxmlformats.org/drawingml/2006/picture">
                          <pic:pic xmlns:pic="http://schemas.openxmlformats.org/drawingml/2006/picture">
                            <pic:nvPicPr>
                              <pic:cNvPr id="74" name="Picture_407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3708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0</wp:posOffset>
                      </wp:positionH>
                      <wp:positionV relativeFrom="paragraph">
                        <wp:posOffset>0</wp:posOffset>
                      </wp:positionV>
                      <wp:extent cx="57150" cy="147320"/>
                      <wp:effectExtent l="0" t="0" r="0" b="0"/>
                      <wp:wrapNone/>
                      <wp:docPr id="75" name="Picture_248_SpCnt_5"/>
                      <wp:cNvGraphicFramePr/>
                      <a:graphic xmlns:a="http://schemas.openxmlformats.org/drawingml/2006/main">
                        <a:graphicData uri="http://schemas.openxmlformats.org/drawingml/2006/picture">
                          <pic:pic xmlns:pic="http://schemas.openxmlformats.org/drawingml/2006/picture">
                            <pic:nvPicPr>
                              <pic:cNvPr id="75" name="Picture_248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3811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0</wp:posOffset>
                      </wp:positionH>
                      <wp:positionV relativeFrom="paragraph">
                        <wp:posOffset>0</wp:posOffset>
                      </wp:positionV>
                      <wp:extent cx="57150" cy="152400"/>
                      <wp:effectExtent l="0" t="0" r="0" b="0"/>
                      <wp:wrapNone/>
                      <wp:docPr id="76" name="Picture_200_SpCnt_8"/>
                      <wp:cNvGraphicFramePr/>
                      <a:graphic xmlns:a="http://schemas.openxmlformats.org/drawingml/2006/main">
                        <a:graphicData uri="http://schemas.openxmlformats.org/drawingml/2006/picture">
                          <pic:pic xmlns:pic="http://schemas.openxmlformats.org/drawingml/2006/picture">
                            <pic:nvPicPr>
                              <pic:cNvPr id="76" name="Picture_200_SpCnt_8"/>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3913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0</wp:posOffset>
                      </wp:positionH>
                      <wp:positionV relativeFrom="paragraph">
                        <wp:posOffset>0</wp:posOffset>
                      </wp:positionV>
                      <wp:extent cx="57150" cy="147955"/>
                      <wp:effectExtent l="0" t="0" r="0" b="0"/>
                      <wp:wrapNone/>
                      <wp:docPr id="77" name="Picture_197_SpCnt_7"/>
                      <wp:cNvGraphicFramePr/>
                      <a:graphic xmlns:a="http://schemas.openxmlformats.org/drawingml/2006/main">
                        <a:graphicData uri="http://schemas.openxmlformats.org/drawingml/2006/picture">
                          <pic:pic xmlns:pic="http://schemas.openxmlformats.org/drawingml/2006/picture">
                            <pic:nvPicPr>
                              <pic:cNvPr id="77" name="Picture_197_SpCnt_7"/>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4016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0</wp:posOffset>
                      </wp:positionH>
                      <wp:positionV relativeFrom="paragraph">
                        <wp:posOffset>0</wp:posOffset>
                      </wp:positionV>
                      <wp:extent cx="57150" cy="147320"/>
                      <wp:effectExtent l="0" t="0" r="0" b="0"/>
                      <wp:wrapNone/>
                      <wp:docPr id="78" name="Picture_247_SpCnt_5"/>
                      <wp:cNvGraphicFramePr/>
                      <a:graphic xmlns:a="http://schemas.openxmlformats.org/drawingml/2006/main">
                        <a:graphicData uri="http://schemas.openxmlformats.org/drawingml/2006/picture">
                          <pic:pic xmlns:pic="http://schemas.openxmlformats.org/drawingml/2006/picture">
                            <pic:nvPicPr>
                              <pic:cNvPr id="78" name="Picture_247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4118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0</wp:posOffset>
                      </wp:positionH>
                      <wp:positionV relativeFrom="paragraph">
                        <wp:posOffset>0</wp:posOffset>
                      </wp:positionV>
                      <wp:extent cx="57150" cy="147320"/>
                      <wp:effectExtent l="0" t="0" r="0" b="0"/>
                      <wp:wrapNone/>
                      <wp:docPr id="79" name="Picture_246_SpCnt_5"/>
                      <wp:cNvGraphicFramePr/>
                      <a:graphic xmlns:a="http://schemas.openxmlformats.org/drawingml/2006/main">
                        <a:graphicData uri="http://schemas.openxmlformats.org/drawingml/2006/picture">
                          <pic:pic xmlns:pic="http://schemas.openxmlformats.org/drawingml/2006/picture">
                            <pic:nvPicPr>
                              <pic:cNvPr id="79" name="Picture_246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4220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0</wp:posOffset>
                      </wp:positionH>
                      <wp:positionV relativeFrom="paragraph">
                        <wp:posOffset>0</wp:posOffset>
                      </wp:positionV>
                      <wp:extent cx="57150" cy="147955"/>
                      <wp:effectExtent l="0" t="0" r="0" b="0"/>
                      <wp:wrapNone/>
                      <wp:docPr id="80" name="Picture_205_SpCnt_8"/>
                      <wp:cNvGraphicFramePr/>
                      <a:graphic xmlns:a="http://schemas.openxmlformats.org/drawingml/2006/main">
                        <a:graphicData uri="http://schemas.openxmlformats.org/drawingml/2006/picture">
                          <pic:pic xmlns:pic="http://schemas.openxmlformats.org/drawingml/2006/picture">
                            <pic:nvPicPr>
                              <pic:cNvPr id="80" name="Picture_205_SpCnt_8"/>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4323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0</wp:posOffset>
                      </wp:positionH>
                      <wp:positionV relativeFrom="paragraph">
                        <wp:posOffset>0</wp:posOffset>
                      </wp:positionV>
                      <wp:extent cx="57150" cy="147320"/>
                      <wp:effectExtent l="0" t="0" r="0" b="0"/>
                      <wp:wrapNone/>
                      <wp:docPr id="81" name="Picture_245_SpCnt_5"/>
                      <wp:cNvGraphicFramePr/>
                      <a:graphic xmlns:a="http://schemas.openxmlformats.org/drawingml/2006/main">
                        <a:graphicData uri="http://schemas.openxmlformats.org/drawingml/2006/picture">
                          <pic:pic xmlns:pic="http://schemas.openxmlformats.org/drawingml/2006/picture">
                            <pic:nvPicPr>
                              <pic:cNvPr id="81" name="Picture_245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4425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0</wp:posOffset>
                      </wp:positionH>
                      <wp:positionV relativeFrom="paragraph">
                        <wp:posOffset>0</wp:posOffset>
                      </wp:positionV>
                      <wp:extent cx="57150" cy="147320"/>
                      <wp:effectExtent l="0" t="0" r="0" b="0"/>
                      <wp:wrapNone/>
                      <wp:docPr id="82" name="Picture_205_SpCnt_9"/>
                      <wp:cNvGraphicFramePr/>
                      <a:graphic xmlns:a="http://schemas.openxmlformats.org/drawingml/2006/main">
                        <a:graphicData uri="http://schemas.openxmlformats.org/drawingml/2006/picture">
                          <pic:pic xmlns:pic="http://schemas.openxmlformats.org/drawingml/2006/picture">
                            <pic:nvPicPr>
                              <pic:cNvPr id="82" name="Picture_205_SpCnt_9"/>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4528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0</wp:posOffset>
                      </wp:positionH>
                      <wp:positionV relativeFrom="paragraph">
                        <wp:posOffset>0</wp:posOffset>
                      </wp:positionV>
                      <wp:extent cx="57150" cy="152400"/>
                      <wp:effectExtent l="0" t="0" r="0" b="0"/>
                      <wp:wrapNone/>
                      <wp:docPr id="83" name="Picture_205_SpCnt_10"/>
                      <wp:cNvGraphicFramePr/>
                      <a:graphic xmlns:a="http://schemas.openxmlformats.org/drawingml/2006/main">
                        <a:graphicData uri="http://schemas.openxmlformats.org/drawingml/2006/picture">
                          <pic:pic xmlns:pic="http://schemas.openxmlformats.org/drawingml/2006/picture">
                            <pic:nvPicPr>
                              <pic:cNvPr id="83" name="Picture_205_SpCnt_10"/>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4630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0</wp:posOffset>
                      </wp:positionH>
                      <wp:positionV relativeFrom="paragraph">
                        <wp:posOffset>0</wp:posOffset>
                      </wp:positionV>
                      <wp:extent cx="57150" cy="152400"/>
                      <wp:effectExtent l="0" t="0" r="0" b="0"/>
                      <wp:wrapNone/>
                      <wp:docPr id="84" name="Picture_197_SpCnt_8"/>
                      <wp:cNvGraphicFramePr/>
                      <a:graphic xmlns:a="http://schemas.openxmlformats.org/drawingml/2006/main">
                        <a:graphicData uri="http://schemas.openxmlformats.org/drawingml/2006/picture">
                          <pic:pic xmlns:pic="http://schemas.openxmlformats.org/drawingml/2006/picture">
                            <pic:nvPicPr>
                              <pic:cNvPr id="84" name="Picture_197_SpCnt_8"/>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4732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0</wp:posOffset>
                      </wp:positionH>
                      <wp:positionV relativeFrom="paragraph">
                        <wp:posOffset>0</wp:posOffset>
                      </wp:positionV>
                      <wp:extent cx="57150" cy="147955"/>
                      <wp:effectExtent l="0" t="0" r="0" b="0"/>
                      <wp:wrapNone/>
                      <wp:docPr id="85" name="Picture_204_SpCnt_9"/>
                      <wp:cNvGraphicFramePr/>
                      <a:graphic xmlns:a="http://schemas.openxmlformats.org/drawingml/2006/main">
                        <a:graphicData uri="http://schemas.openxmlformats.org/drawingml/2006/picture">
                          <pic:pic xmlns:pic="http://schemas.openxmlformats.org/drawingml/2006/picture">
                            <pic:nvPicPr>
                              <pic:cNvPr id="85" name="Picture_204_SpCnt_9"/>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4835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0</wp:posOffset>
                      </wp:positionH>
                      <wp:positionV relativeFrom="paragraph">
                        <wp:posOffset>0</wp:posOffset>
                      </wp:positionV>
                      <wp:extent cx="57150" cy="147320"/>
                      <wp:effectExtent l="0" t="0" r="0" b="0"/>
                      <wp:wrapNone/>
                      <wp:docPr id="86" name="Picture_204_SpCnt_10"/>
                      <wp:cNvGraphicFramePr/>
                      <a:graphic xmlns:a="http://schemas.openxmlformats.org/drawingml/2006/main">
                        <a:graphicData uri="http://schemas.openxmlformats.org/drawingml/2006/picture">
                          <pic:pic xmlns:pic="http://schemas.openxmlformats.org/drawingml/2006/picture">
                            <pic:nvPicPr>
                              <pic:cNvPr id="86" name="Picture_204_SpCnt_10"/>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4937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0</wp:posOffset>
                      </wp:positionH>
                      <wp:positionV relativeFrom="paragraph">
                        <wp:posOffset>0</wp:posOffset>
                      </wp:positionV>
                      <wp:extent cx="57150" cy="147320"/>
                      <wp:effectExtent l="0" t="0" r="0" b="0"/>
                      <wp:wrapNone/>
                      <wp:docPr id="87" name="Picture_200_SpCnt_9"/>
                      <wp:cNvGraphicFramePr/>
                      <a:graphic xmlns:a="http://schemas.openxmlformats.org/drawingml/2006/main">
                        <a:graphicData uri="http://schemas.openxmlformats.org/drawingml/2006/picture">
                          <pic:pic xmlns:pic="http://schemas.openxmlformats.org/drawingml/2006/picture">
                            <pic:nvPicPr>
                              <pic:cNvPr id="87" name="Picture_200_SpCnt_9"/>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5040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0</wp:posOffset>
                      </wp:positionH>
                      <wp:positionV relativeFrom="paragraph">
                        <wp:posOffset>0</wp:posOffset>
                      </wp:positionV>
                      <wp:extent cx="57150" cy="147955"/>
                      <wp:effectExtent l="0" t="0" r="0" b="0"/>
                      <wp:wrapNone/>
                      <wp:docPr id="88" name="Picture_200_SpCnt_10"/>
                      <wp:cNvGraphicFramePr/>
                      <a:graphic xmlns:a="http://schemas.openxmlformats.org/drawingml/2006/main">
                        <a:graphicData uri="http://schemas.openxmlformats.org/drawingml/2006/picture">
                          <pic:pic xmlns:pic="http://schemas.openxmlformats.org/drawingml/2006/picture">
                            <pic:nvPicPr>
                              <pic:cNvPr id="88" name="Picture_200_SpCnt_10"/>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5142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0</wp:posOffset>
                      </wp:positionH>
                      <wp:positionV relativeFrom="paragraph">
                        <wp:posOffset>0</wp:posOffset>
                      </wp:positionV>
                      <wp:extent cx="57150" cy="147320"/>
                      <wp:effectExtent l="0" t="0" r="0" b="0"/>
                      <wp:wrapNone/>
                      <wp:docPr id="89" name="Picture_197_SpCnt_9"/>
                      <wp:cNvGraphicFramePr/>
                      <a:graphic xmlns:a="http://schemas.openxmlformats.org/drawingml/2006/main">
                        <a:graphicData uri="http://schemas.openxmlformats.org/drawingml/2006/picture">
                          <pic:pic xmlns:pic="http://schemas.openxmlformats.org/drawingml/2006/picture">
                            <pic:nvPicPr>
                              <pic:cNvPr id="89" name="Picture_197_SpCnt_9"/>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5244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0</wp:posOffset>
                      </wp:positionH>
                      <wp:positionV relativeFrom="paragraph">
                        <wp:posOffset>0</wp:posOffset>
                      </wp:positionV>
                      <wp:extent cx="57150" cy="147320"/>
                      <wp:effectExtent l="0" t="0" r="0" b="0"/>
                      <wp:wrapNone/>
                      <wp:docPr id="90" name="Picture_205_SpCnt_11"/>
                      <wp:cNvGraphicFramePr/>
                      <a:graphic xmlns:a="http://schemas.openxmlformats.org/drawingml/2006/main">
                        <a:graphicData uri="http://schemas.openxmlformats.org/drawingml/2006/picture">
                          <pic:pic xmlns:pic="http://schemas.openxmlformats.org/drawingml/2006/picture">
                            <pic:nvPicPr>
                              <pic:cNvPr id="90" name="Picture_205_SpCnt_1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5347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0</wp:posOffset>
                      </wp:positionH>
                      <wp:positionV relativeFrom="paragraph">
                        <wp:posOffset>0</wp:posOffset>
                      </wp:positionV>
                      <wp:extent cx="57150" cy="152400"/>
                      <wp:effectExtent l="0" t="0" r="0" b="0"/>
                      <wp:wrapNone/>
                      <wp:docPr id="91" name="Picture_410_SpCnt_3"/>
                      <wp:cNvGraphicFramePr/>
                      <a:graphic xmlns:a="http://schemas.openxmlformats.org/drawingml/2006/main">
                        <a:graphicData uri="http://schemas.openxmlformats.org/drawingml/2006/picture">
                          <pic:pic xmlns:pic="http://schemas.openxmlformats.org/drawingml/2006/picture">
                            <pic:nvPicPr>
                              <pic:cNvPr id="91" name="Picture_410_SpCnt_3"/>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5449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0</wp:posOffset>
                      </wp:positionH>
                      <wp:positionV relativeFrom="paragraph">
                        <wp:posOffset>0</wp:posOffset>
                      </wp:positionV>
                      <wp:extent cx="57150" cy="147955"/>
                      <wp:effectExtent l="0" t="0" r="0" b="0"/>
                      <wp:wrapNone/>
                      <wp:docPr id="92" name="Picture_197_SpCnt_10"/>
                      <wp:cNvGraphicFramePr/>
                      <a:graphic xmlns:a="http://schemas.openxmlformats.org/drawingml/2006/main">
                        <a:graphicData uri="http://schemas.openxmlformats.org/drawingml/2006/picture">
                          <pic:pic xmlns:pic="http://schemas.openxmlformats.org/drawingml/2006/picture">
                            <pic:nvPicPr>
                              <pic:cNvPr id="92" name="Picture_197_SpCnt_10"/>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5552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0</wp:posOffset>
                      </wp:positionH>
                      <wp:positionV relativeFrom="paragraph">
                        <wp:posOffset>0</wp:posOffset>
                      </wp:positionV>
                      <wp:extent cx="57150" cy="147320"/>
                      <wp:effectExtent l="0" t="0" r="0" b="0"/>
                      <wp:wrapNone/>
                      <wp:docPr id="93" name="Picture_204_SpCnt_11"/>
                      <wp:cNvGraphicFramePr/>
                      <a:graphic xmlns:a="http://schemas.openxmlformats.org/drawingml/2006/main">
                        <a:graphicData uri="http://schemas.openxmlformats.org/drawingml/2006/picture">
                          <pic:pic xmlns:pic="http://schemas.openxmlformats.org/drawingml/2006/picture">
                            <pic:nvPicPr>
                              <pic:cNvPr id="93" name="Picture_204_SpCnt_1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5654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0</wp:posOffset>
                      </wp:positionH>
                      <wp:positionV relativeFrom="paragraph">
                        <wp:posOffset>0</wp:posOffset>
                      </wp:positionV>
                      <wp:extent cx="57150" cy="147320"/>
                      <wp:effectExtent l="0" t="0" r="0" b="0"/>
                      <wp:wrapNone/>
                      <wp:docPr id="94" name="Picture_200_SpCnt_11"/>
                      <wp:cNvGraphicFramePr/>
                      <a:graphic xmlns:a="http://schemas.openxmlformats.org/drawingml/2006/main">
                        <a:graphicData uri="http://schemas.openxmlformats.org/drawingml/2006/picture">
                          <pic:pic xmlns:pic="http://schemas.openxmlformats.org/drawingml/2006/picture">
                            <pic:nvPicPr>
                              <pic:cNvPr id="94" name="Picture_200_SpCnt_1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5756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0</wp:posOffset>
                      </wp:positionH>
                      <wp:positionV relativeFrom="paragraph">
                        <wp:posOffset>0</wp:posOffset>
                      </wp:positionV>
                      <wp:extent cx="57150" cy="152400"/>
                      <wp:effectExtent l="0" t="0" r="0" b="0"/>
                      <wp:wrapNone/>
                      <wp:docPr id="95" name="Picture_410_SpCnt_4"/>
                      <wp:cNvGraphicFramePr/>
                      <a:graphic xmlns:a="http://schemas.openxmlformats.org/drawingml/2006/main">
                        <a:graphicData uri="http://schemas.openxmlformats.org/drawingml/2006/picture">
                          <pic:pic xmlns:pic="http://schemas.openxmlformats.org/drawingml/2006/picture">
                            <pic:nvPicPr>
                              <pic:cNvPr id="95" name="Picture_410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5859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0</wp:posOffset>
                      </wp:positionH>
                      <wp:positionV relativeFrom="paragraph">
                        <wp:posOffset>0</wp:posOffset>
                      </wp:positionV>
                      <wp:extent cx="57150" cy="147320"/>
                      <wp:effectExtent l="0" t="0" r="0" b="0"/>
                      <wp:wrapNone/>
                      <wp:docPr id="96" name="Picture_197_SpCnt_11"/>
                      <wp:cNvGraphicFramePr/>
                      <a:graphic xmlns:a="http://schemas.openxmlformats.org/drawingml/2006/main">
                        <a:graphicData uri="http://schemas.openxmlformats.org/drawingml/2006/picture">
                          <pic:pic xmlns:pic="http://schemas.openxmlformats.org/drawingml/2006/picture">
                            <pic:nvPicPr>
                              <pic:cNvPr id="96" name="Picture_197_SpCnt_1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5961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0</wp:posOffset>
                      </wp:positionH>
                      <wp:positionV relativeFrom="paragraph">
                        <wp:posOffset>0</wp:posOffset>
                      </wp:positionV>
                      <wp:extent cx="57150" cy="147955"/>
                      <wp:effectExtent l="0" t="0" r="0" b="0"/>
                      <wp:wrapNone/>
                      <wp:docPr id="97" name="Picture_410_SpCnt_5"/>
                      <wp:cNvGraphicFramePr/>
                      <a:graphic xmlns:a="http://schemas.openxmlformats.org/drawingml/2006/main">
                        <a:graphicData uri="http://schemas.openxmlformats.org/drawingml/2006/picture">
                          <pic:pic xmlns:pic="http://schemas.openxmlformats.org/drawingml/2006/picture">
                            <pic:nvPicPr>
                              <pic:cNvPr id="97" name="Picture_410_SpCnt_5"/>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6064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highlight w:val="none"/>
                <w:u w:val="none"/>
                <w:lang w:val="en-US" w:eastAsia="zh-CN" w:bidi="ar"/>
              </w:rPr>
              <w:t xml:space="preserve">F、理化生虚拟仿真AR创新实验室</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F1、教师端AR理化生实验</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44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F1-01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AR中学物理实验平台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numPr>
                <w:ilvl w:val="0"/>
                <w:numId w:val="3"/>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平台功能要求：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#1.平台支持多种终端设备授权接入。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.平台实验模拟真实的物理特性，包括部分在现实课堂中无法直接观察和控制的事物和现象，如光、磁、电的粒子特性等，与物理实际规律、特征相匹配。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.平台模块化设计，包含实验教学模块和实验模拟考试模块。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二、实验教学模块功能要求：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#1.辅助线功能：清晰呈现抽象概念，便于理解实验原理。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#2.数据记录功能：点击记录按钮自动记录数据；</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#3.背包功能：根据实验情况从背包选择或抓取所需实验器材、实验用品。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三、实验测评考试模块功能要求：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#1.仿真实验操作与物理学业水平考试操作步骤一致，模拟真实实验考试过程。</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8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F1-02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中学物理实验课件资源</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#1.实验教学课件资源；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提供</w:t>
            </w:r>
            <w:r>
              <w:rPr>
                <w:rFonts w:hint="eastAsia" w:ascii="宋体" w:hAnsi="宋体" w:eastAsia="宋体" w:cs="宋体"/>
                <w:i w:val="0"/>
                <w:iCs w:val="0"/>
                <w:color w:val="auto"/>
                <w:sz w:val="21"/>
                <w:szCs w:val="21"/>
                <w:highlight w:val="none"/>
                <w:u w:val="none"/>
                <w:lang w:val="en-US" w:eastAsia="zh-CN" w:bidi="ar"/>
              </w:rPr>
              <w:t xml:space="preserve">：测量盐水和小石块的密度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探究同种物质的质量与体积的关系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探究凸透镜成像的规律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测量斜面的机械效率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研究定滑轮和动滑轮的特点等</w:t>
            </w:r>
            <w:r>
              <w:rPr>
                <w:rFonts w:hint="eastAsia" w:ascii="宋体" w:hAnsi="宋体" w:cs="宋体"/>
                <w:i w:val="0"/>
                <w:iCs w:val="0"/>
                <w:color w:val="auto"/>
                <w:sz w:val="21"/>
                <w:szCs w:val="21"/>
                <w:highlight w:val="none"/>
                <w:u w:val="none"/>
                <w:lang w:val="en-US" w:eastAsia="zh-CN" w:bidi="ar"/>
              </w:rPr>
              <w:t xml:space="preserve">类似课件</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#2.实验测评考试课件资源；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提供</w:t>
            </w:r>
            <w:r>
              <w:rPr>
                <w:rFonts w:hint="eastAsia" w:ascii="宋体" w:hAnsi="宋体" w:eastAsia="宋体" w:cs="宋体"/>
                <w:i w:val="0"/>
                <w:iCs w:val="0"/>
                <w:color w:val="auto"/>
                <w:sz w:val="21"/>
                <w:szCs w:val="21"/>
                <w:highlight w:val="none"/>
                <w:u w:val="none"/>
                <w:lang w:val="en-US" w:eastAsia="zh-CN" w:bidi="ar"/>
              </w:rPr>
              <w:t xml:space="preserve">：探究水沸腾时温度变化的特点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探究平面镜成像的特点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探究电流与电压的关系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用托盘天平测量物体的质量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用常见温度计测量温度等</w:t>
            </w:r>
            <w:r>
              <w:rPr>
                <w:rFonts w:hint="eastAsia" w:ascii="宋体" w:hAnsi="宋体" w:cs="宋体"/>
                <w:i w:val="0"/>
                <w:iCs w:val="0"/>
                <w:color w:val="auto"/>
                <w:sz w:val="21"/>
                <w:szCs w:val="21"/>
                <w:highlight w:val="none"/>
                <w:u w:val="none"/>
                <w:lang w:val="en-US" w:eastAsia="zh-CN" w:bidi="ar"/>
              </w:rPr>
              <w:t xml:space="preserve">类似课件</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00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F1-03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AR中学化学实验平台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一、平台功能要求：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#1.平台支持多种终端设备授权接入。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.平台模块化设计，包含实验教学模块和实验模拟考试模块。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二、实验教学模块功能要求：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#1.背包功能：根据实验情况从背包选择或抓取所需实验器材、实验用品。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#2.微观粒子展现功能：更清晰观察化学反应现象、原理。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三、实验测评考试模块功能要求：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#1.仿真实验操作与化学学业水平考试操作步骤一致，模拟真实实验考试过程。</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43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F1-04</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中学化学实验课件资源</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#1.实验教学课件资源；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提供</w:t>
            </w:r>
            <w:r>
              <w:rPr>
                <w:rFonts w:hint="eastAsia" w:ascii="宋体" w:hAnsi="宋体" w:eastAsia="宋体" w:cs="宋体"/>
                <w:i w:val="0"/>
                <w:iCs w:val="0"/>
                <w:color w:val="auto"/>
                <w:sz w:val="21"/>
                <w:szCs w:val="21"/>
                <w:highlight w:val="none"/>
                <w:u w:val="none"/>
                <w:lang w:val="en-US" w:eastAsia="zh-CN" w:bidi="ar"/>
              </w:rPr>
              <w:t xml:space="preserve">：一氧化碳还原氧化铁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测定空气里氧气的含量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硫分别在空气和氧气里燃烧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配置一定质量分数的氯化钠溶液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铁丝在氧气中剧烈燃烧等</w:t>
            </w:r>
            <w:r>
              <w:rPr>
                <w:rFonts w:hint="eastAsia" w:ascii="宋体" w:hAnsi="宋体" w:cs="宋体"/>
                <w:i w:val="0"/>
                <w:iCs w:val="0"/>
                <w:color w:val="auto"/>
                <w:sz w:val="21"/>
                <w:szCs w:val="21"/>
                <w:highlight w:val="none"/>
                <w:u w:val="none"/>
                <w:lang w:val="en-US" w:eastAsia="zh-CN" w:bidi="ar"/>
              </w:rPr>
              <w:t xml:space="preserve">类似课件</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#2.实验测评考试课件资源；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提供</w:t>
            </w:r>
            <w:r>
              <w:rPr>
                <w:rFonts w:hint="eastAsia" w:ascii="宋体" w:hAnsi="宋体" w:eastAsia="宋体" w:cs="宋体"/>
                <w:i w:val="0"/>
                <w:iCs w:val="0"/>
                <w:color w:val="auto"/>
                <w:sz w:val="21"/>
                <w:szCs w:val="21"/>
                <w:highlight w:val="none"/>
                <w:u w:val="none"/>
                <w:lang w:val="en-US" w:eastAsia="zh-CN" w:bidi="ar"/>
              </w:rPr>
              <w:t xml:space="preserve">：粗盐中难溶性杂质的去除</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氧气的实验室制取与性质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二氧化碳的实验室制取与性质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常见金属的物理性质和化学性质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常见酸、碱的化学性质等</w:t>
            </w:r>
            <w:r>
              <w:rPr>
                <w:rFonts w:hint="eastAsia" w:ascii="宋体" w:hAnsi="宋体" w:cs="宋体"/>
                <w:i w:val="0"/>
                <w:iCs w:val="0"/>
                <w:color w:val="auto"/>
                <w:sz w:val="21"/>
                <w:szCs w:val="21"/>
                <w:highlight w:val="none"/>
                <w:u w:val="none"/>
                <w:lang w:val="en-US" w:eastAsia="zh-CN" w:bidi="ar"/>
              </w:rPr>
              <w:t xml:space="preserve">类似课件</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61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F1-05</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AR中学生物实验平台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iCs/>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#1.平台支持多种终端设备授权接入。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.仿真实验操作与生物学业水平考试操作步骤一致，模拟真实实验考试过程。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.倒计时功能：模拟考试时间限制，时间结束自动提交成绩（可提前主动提交）。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.特写功能：可清晰观察生物切片、细胞、真菌、微生物等。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.AI测评功能：根据学生完成实验时的操作快速给出相应的得分，并能直接定位错误步骤和失分点。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6</w:t>
            </w:r>
            <w:r>
              <w:rPr>
                <w:rFonts w:hint="eastAsia" w:ascii="宋体" w:hAnsi="宋体" w:eastAsia="宋体" w:cs="宋体"/>
                <w:i w:val="0"/>
                <w:iCs w:val="0"/>
                <w:color w:val="auto"/>
                <w:sz w:val="21"/>
                <w:szCs w:val="21"/>
                <w:highlight w:val="none"/>
                <w:u w:val="none"/>
                <w:lang w:val="en-US" w:eastAsia="zh-CN" w:bidi="ar"/>
              </w:rPr>
              <w:t xml:space="preserve">.AI数据分析功能：包含实验总览、实验统计、综合分析、分值曲线、错误分布等。</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43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F1-06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中学生物实验课件资源</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#1.实验教学课件资源；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提供</w:t>
            </w:r>
            <w:r>
              <w:rPr>
                <w:rFonts w:hint="eastAsia" w:ascii="宋体" w:hAnsi="宋体" w:eastAsia="宋体" w:cs="宋体"/>
                <w:i w:val="0"/>
                <w:iCs w:val="0"/>
                <w:color w:val="auto"/>
                <w:sz w:val="21"/>
                <w:szCs w:val="21"/>
                <w:highlight w:val="none"/>
                <w:u w:val="none"/>
                <w:lang w:val="en-US" w:eastAsia="zh-CN" w:bidi="ar"/>
              </w:rPr>
              <w:t xml:space="preserve">：显微镜的构造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洋葱鳞片叶内表皮细胞</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植物细胞模式图</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动物细胞模式图</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动物的器官等</w:t>
            </w:r>
            <w:r>
              <w:rPr>
                <w:rFonts w:hint="eastAsia" w:ascii="宋体" w:hAnsi="宋体" w:cs="宋体"/>
                <w:i w:val="0"/>
                <w:iCs w:val="0"/>
                <w:color w:val="auto"/>
                <w:sz w:val="21"/>
                <w:szCs w:val="21"/>
                <w:highlight w:val="none"/>
                <w:u w:val="none"/>
                <w:lang w:val="en-US" w:eastAsia="zh-CN" w:bidi="ar"/>
              </w:rPr>
              <w:t xml:space="preserve">类似课件</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#2.实验测评考试课件资源；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提供</w:t>
            </w:r>
            <w:r>
              <w:rPr>
                <w:rFonts w:hint="eastAsia" w:ascii="宋体" w:hAnsi="宋体" w:eastAsia="宋体" w:cs="宋体"/>
                <w:i w:val="0"/>
                <w:iCs w:val="0"/>
                <w:color w:val="auto"/>
                <w:sz w:val="21"/>
                <w:szCs w:val="21"/>
                <w:highlight w:val="none"/>
                <w:u w:val="none"/>
                <w:lang w:val="en-US" w:eastAsia="zh-CN" w:bidi="ar"/>
              </w:rPr>
              <w:t xml:space="preserve">：练习使用显微镜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制作并观察植物细胞的临时装片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观察人的口腔上皮细胞</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观察人体的基本组织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观察种子的结构等</w:t>
            </w:r>
            <w:r>
              <w:rPr>
                <w:rFonts w:hint="eastAsia" w:ascii="宋体" w:hAnsi="宋体" w:cs="宋体"/>
                <w:i w:val="0"/>
                <w:iCs w:val="0"/>
                <w:color w:val="auto"/>
                <w:sz w:val="21"/>
                <w:szCs w:val="21"/>
                <w:highlight w:val="none"/>
                <w:u w:val="none"/>
                <w:lang w:val="en-US" w:eastAsia="zh-CN" w:bidi="ar"/>
              </w:rPr>
              <w:t xml:space="preserve">类似课件</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35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F1-07</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AR动态捕捉感应设备</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numPr>
                <w:ilvl w:val="0"/>
                <w:numId w:val="4"/>
              </w:numPr>
              <w:jc w:val="left"/>
              <w:keepLines w:val="0"/>
              <w:keepNext w:val="0"/>
              <w:pageBreakBefore w:val="0"/>
              <w:spacing w:line="32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硬件特性：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#1.≥1080P高清视频；主动式红外检测；麦克风（零点平衡）；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#2.可视范围：水平视角</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度；垂直视角：</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度；机身转动范围：+27度-27度；传感深度范围：1.2-3.5m；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#3.音效：支持群组聊天和游戏中的语音聊天；回声消除系统增强声音输入质量；多语音识别纠错；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.支持其他性能感应：颜色和深度感应镜头；语音麦克风阵列；倾斜穿刚器激动调整；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.人物追踪：摄像机能同时追踪</w:t>
            </w:r>
            <w:r>
              <w:rPr>
                <w:rFonts w:hint="eastAsia" w:ascii="宋体" w:hAnsi="宋体" w:cs="宋体"/>
                <w:i w:val="0"/>
                <w:iCs w:val="0"/>
                <w:color w:val="auto"/>
                <w:sz w:val="21"/>
                <w:szCs w:val="21"/>
                <w:highlight w:val="none"/>
                <w:u w:val="none"/>
                <w:lang w:val="en-US" w:eastAsia="zh-CN" w:bidi="ar"/>
              </w:rPr>
              <w:t xml:space="preserve">多个目标；</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二、包含与实验平台的适配开发和优化：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#1、基于识别技术和AR增强现实技术；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#2、系统处理动态传感数据的优化，实现真实手抓取虚拟物体的效果；</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F1-08</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AR设备定制安装架</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#1、与动态捕捉摄像机和显示器配套，可移动、伸缩；可实现显示器高度调节；材料坚固、外形美观；</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F1-</w:t>
            </w:r>
            <w:r>
              <w:rPr>
                <w:rFonts w:hint="eastAsia" w:ascii="宋体" w:hAnsi="宋体" w:cs="宋体"/>
                <w:i w:val="0"/>
                <w:iCs w:val="0"/>
                <w:color w:val="auto"/>
                <w:sz w:val="21"/>
                <w:szCs w:val="21"/>
                <w:highlight w:val="none"/>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安装材料</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#1、安装配件、线材一批；</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F2、学生端分组理化生虚拟仿真实验</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0</wp:posOffset>
                      </wp:positionH>
                      <wp:positionV relativeFrom="paragraph">
                        <wp:posOffset>0</wp:posOffset>
                      </wp:positionV>
                      <wp:extent cx="57150" cy="149225"/>
                      <wp:effectExtent l="0" t="0" r="0" b="0"/>
                      <wp:wrapNone/>
                      <wp:docPr id="98" name="Picture_409_SpCnt_6"/>
                      <wp:cNvGraphicFramePr/>
                      <a:graphic xmlns:a="http://schemas.openxmlformats.org/drawingml/2006/main">
                        <a:graphicData uri="http://schemas.openxmlformats.org/drawingml/2006/picture">
                          <pic:pic xmlns:pic="http://schemas.openxmlformats.org/drawingml/2006/picture">
                            <pic:nvPicPr>
                              <pic:cNvPr id="98" name="Picture_409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6166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0</wp:posOffset>
                      </wp:positionH>
                      <wp:positionV relativeFrom="paragraph">
                        <wp:posOffset>0</wp:posOffset>
                      </wp:positionV>
                      <wp:extent cx="57150" cy="149225"/>
                      <wp:effectExtent l="0" t="0" r="0" b="0"/>
                      <wp:wrapNone/>
                      <wp:docPr id="99" name="Picture_408_SpCnt_6"/>
                      <wp:cNvGraphicFramePr/>
                      <a:graphic xmlns:a="http://schemas.openxmlformats.org/drawingml/2006/main">
                        <a:graphicData uri="http://schemas.openxmlformats.org/drawingml/2006/picture">
                          <pic:pic xmlns:pic="http://schemas.openxmlformats.org/drawingml/2006/picture">
                            <pic:nvPicPr>
                              <pic:cNvPr id="99" name="Picture_408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6268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0</wp:posOffset>
                      </wp:positionH>
                      <wp:positionV relativeFrom="paragraph">
                        <wp:posOffset>0</wp:posOffset>
                      </wp:positionV>
                      <wp:extent cx="57150" cy="149225"/>
                      <wp:effectExtent l="0" t="0" r="0" b="0"/>
                      <wp:wrapNone/>
                      <wp:docPr id="100" name="Picture_407_SpCnt_6"/>
                      <wp:cNvGraphicFramePr/>
                      <a:graphic xmlns:a="http://schemas.openxmlformats.org/drawingml/2006/main">
                        <a:graphicData uri="http://schemas.openxmlformats.org/drawingml/2006/picture">
                          <pic:pic xmlns:pic="http://schemas.openxmlformats.org/drawingml/2006/picture">
                            <pic:nvPicPr>
                              <pic:cNvPr id="100" name="Picture_407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6371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0</wp:posOffset>
                      </wp:positionH>
                      <wp:positionV relativeFrom="paragraph">
                        <wp:posOffset>0</wp:posOffset>
                      </wp:positionV>
                      <wp:extent cx="57150" cy="149225"/>
                      <wp:effectExtent l="0" t="0" r="0" b="0"/>
                      <wp:wrapNone/>
                      <wp:docPr id="101" name="Picture_248_SpCnt_6"/>
                      <wp:cNvGraphicFramePr/>
                      <a:graphic xmlns:a="http://schemas.openxmlformats.org/drawingml/2006/main">
                        <a:graphicData uri="http://schemas.openxmlformats.org/drawingml/2006/picture">
                          <pic:pic xmlns:pic="http://schemas.openxmlformats.org/drawingml/2006/picture">
                            <pic:nvPicPr>
                              <pic:cNvPr id="101" name="Picture_248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6473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0</wp:posOffset>
                      </wp:positionH>
                      <wp:positionV relativeFrom="paragraph">
                        <wp:posOffset>0</wp:posOffset>
                      </wp:positionV>
                      <wp:extent cx="57150" cy="149225"/>
                      <wp:effectExtent l="0" t="0" r="0" b="0"/>
                      <wp:wrapNone/>
                      <wp:docPr id="102" name="Picture_247_SpCnt_6"/>
                      <wp:cNvGraphicFramePr/>
                      <a:graphic xmlns:a="http://schemas.openxmlformats.org/drawingml/2006/main">
                        <a:graphicData uri="http://schemas.openxmlformats.org/drawingml/2006/picture">
                          <pic:pic xmlns:pic="http://schemas.openxmlformats.org/drawingml/2006/picture">
                            <pic:nvPicPr>
                              <pic:cNvPr id="102" name="Picture_247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6576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0</wp:posOffset>
                      </wp:positionH>
                      <wp:positionV relativeFrom="paragraph">
                        <wp:posOffset>0</wp:posOffset>
                      </wp:positionV>
                      <wp:extent cx="57150" cy="149225"/>
                      <wp:effectExtent l="0" t="0" r="0" b="0"/>
                      <wp:wrapNone/>
                      <wp:docPr id="103" name="Picture_246_SpCnt_6"/>
                      <wp:cNvGraphicFramePr/>
                      <a:graphic xmlns:a="http://schemas.openxmlformats.org/drawingml/2006/main">
                        <a:graphicData uri="http://schemas.openxmlformats.org/drawingml/2006/picture">
                          <pic:pic xmlns:pic="http://schemas.openxmlformats.org/drawingml/2006/picture">
                            <pic:nvPicPr>
                              <pic:cNvPr id="103" name="Picture_246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6678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0</wp:posOffset>
                      </wp:positionH>
                      <wp:positionV relativeFrom="paragraph">
                        <wp:posOffset>0</wp:posOffset>
                      </wp:positionV>
                      <wp:extent cx="57150" cy="149225"/>
                      <wp:effectExtent l="0" t="0" r="0" b="0"/>
                      <wp:wrapNone/>
                      <wp:docPr id="104" name="Picture_245_SpCnt_6"/>
                      <wp:cNvGraphicFramePr/>
                      <a:graphic xmlns:a="http://schemas.openxmlformats.org/drawingml/2006/main">
                        <a:graphicData uri="http://schemas.openxmlformats.org/drawingml/2006/picture">
                          <pic:pic xmlns:pic="http://schemas.openxmlformats.org/drawingml/2006/picture">
                            <pic:nvPicPr>
                              <pic:cNvPr id="104" name="Picture_245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6780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0</wp:posOffset>
                      </wp:positionH>
                      <wp:positionV relativeFrom="paragraph">
                        <wp:posOffset>0</wp:posOffset>
                      </wp:positionV>
                      <wp:extent cx="57150" cy="149225"/>
                      <wp:effectExtent l="0" t="0" r="0" b="0"/>
                      <wp:wrapNone/>
                      <wp:docPr id="105" name="Picture_204_SpCnt_12"/>
                      <wp:cNvGraphicFramePr/>
                      <a:graphic xmlns:a="http://schemas.openxmlformats.org/drawingml/2006/main">
                        <a:graphicData uri="http://schemas.openxmlformats.org/drawingml/2006/picture">
                          <pic:pic xmlns:pic="http://schemas.openxmlformats.org/drawingml/2006/picture">
                            <pic:nvPicPr>
                              <pic:cNvPr id="105" name="Picture_204_SpCnt_12"/>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6883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0</wp:posOffset>
                      </wp:positionH>
                      <wp:positionV relativeFrom="paragraph">
                        <wp:posOffset>0</wp:posOffset>
                      </wp:positionV>
                      <wp:extent cx="57150" cy="149225"/>
                      <wp:effectExtent l="0" t="0" r="0" b="0"/>
                      <wp:wrapNone/>
                      <wp:docPr id="106" name="Picture_200_SpCnt_12"/>
                      <wp:cNvGraphicFramePr/>
                      <a:graphic xmlns:a="http://schemas.openxmlformats.org/drawingml/2006/main">
                        <a:graphicData uri="http://schemas.openxmlformats.org/drawingml/2006/picture">
                          <pic:pic xmlns:pic="http://schemas.openxmlformats.org/drawingml/2006/picture">
                            <pic:nvPicPr>
                              <pic:cNvPr id="106" name="Picture_200_SpCnt_12"/>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6985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0</wp:posOffset>
                      </wp:positionH>
                      <wp:positionV relativeFrom="paragraph">
                        <wp:posOffset>0</wp:posOffset>
                      </wp:positionV>
                      <wp:extent cx="57150" cy="149225"/>
                      <wp:effectExtent l="0" t="0" r="0" b="0"/>
                      <wp:wrapNone/>
                      <wp:docPr id="107" name="Picture_197_SpCnt_12"/>
                      <wp:cNvGraphicFramePr/>
                      <a:graphic xmlns:a="http://schemas.openxmlformats.org/drawingml/2006/main">
                        <a:graphicData uri="http://schemas.openxmlformats.org/drawingml/2006/picture">
                          <pic:pic xmlns:pic="http://schemas.openxmlformats.org/drawingml/2006/picture">
                            <pic:nvPicPr>
                              <pic:cNvPr id="107" name="Picture_197_SpCnt_12"/>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7088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0</wp:posOffset>
                      </wp:positionH>
                      <wp:positionV relativeFrom="paragraph">
                        <wp:posOffset>0</wp:posOffset>
                      </wp:positionV>
                      <wp:extent cx="57150" cy="149225"/>
                      <wp:effectExtent l="0" t="0" r="0" b="0"/>
                      <wp:wrapNone/>
                      <wp:docPr id="108" name="Picture_204_SpCnt_13"/>
                      <wp:cNvGraphicFramePr/>
                      <a:graphic xmlns:a="http://schemas.openxmlformats.org/drawingml/2006/main">
                        <a:graphicData uri="http://schemas.openxmlformats.org/drawingml/2006/picture">
                          <pic:pic xmlns:pic="http://schemas.openxmlformats.org/drawingml/2006/picture">
                            <pic:nvPicPr>
                              <pic:cNvPr id="108" name="Picture_204_SpCnt_13"/>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7190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0</wp:posOffset>
                      </wp:positionH>
                      <wp:positionV relativeFrom="paragraph">
                        <wp:posOffset>0</wp:posOffset>
                      </wp:positionV>
                      <wp:extent cx="57150" cy="149225"/>
                      <wp:effectExtent l="0" t="0" r="0" b="0"/>
                      <wp:wrapNone/>
                      <wp:docPr id="109" name="Picture_200_SpCnt_13"/>
                      <wp:cNvGraphicFramePr/>
                      <a:graphic xmlns:a="http://schemas.openxmlformats.org/drawingml/2006/main">
                        <a:graphicData uri="http://schemas.openxmlformats.org/drawingml/2006/picture">
                          <pic:pic xmlns:pic="http://schemas.openxmlformats.org/drawingml/2006/picture">
                            <pic:nvPicPr>
                              <pic:cNvPr id="109" name="Picture_200_SpCnt_13"/>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7292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0</wp:posOffset>
                      </wp:positionH>
                      <wp:positionV relativeFrom="paragraph">
                        <wp:posOffset>0</wp:posOffset>
                      </wp:positionV>
                      <wp:extent cx="57150" cy="149225"/>
                      <wp:effectExtent l="0" t="0" r="0" b="0"/>
                      <wp:wrapNone/>
                      <wp:docPr id="110" name="Picture_197_SpCnt_13"/>
                      <wp:cNvGraphicFramePr/>
                      <a:graphic xmlns:a="http://schemas.openxmlformats.org/drawingml/2006/main">
                        <a:graphicData uri="http://schemas.openxmlformats.org/drawingml/2006/picture">
                          <pic:pic xmlns:pic="http://schemas.openxmlformats.org/drawingml/2006/picture">
                            <pic:nvPicPr>
                              <pic:cNvPr id="110" name="Picture_197_SpCnt_13"/>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7395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0</wp:posOffset>
                      </wp:positionH>
                      <wp:positionV relativeFrom="paragraph">
                        <wp:posOffset>0</wp:posOffset>
                      </wp:positionV>
                      <wp:extent cx="57150" cy="149225"/>
                      <wp:effectExtent l="0" t="0" r="0" b="0"/>
                      <wp:wrapNone/>
                      <wp:docPr id="111" name="Picture_248_SpCnt_7"/>
                      <wp:cNvGraphicFramePr/>
                      <a:graphic xmlns:a="http://schemas.openxmlformats.org/drawingml/2006/main">
                        <a:graphicData uri="http://schemas.openxmlformats.org/drawingml/2006/picture">
                          <pic:pic xmlns:pic="http://schemas.openxmlformats.org/drawingml/2006/picture">
                            <pic:nvPicPr>
                              <pic:cNvPr id="111" name="Picture_248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7497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0</wp:posOffset>
                      </wp:positionH>
                      <wp:positionV relativeFrom="paragraph">
                        <wp:posOffset>0</wp:posOffset>
                      </wp:positionV>
                      <wp:extent cx="57150" cy="149225"/>
                      <wp:effectExtent l="0" t="0" r="0" b="0"/>
                      <wp:wrapNone/>
                      <wp:docPr id="112" name="Picture_246_SpCnt_7"/>
                      <wp:cNvGraphicFramePr/>
                      <a:graphic xmlns:a="http://schemas.openxmlformats.org/drawingml/2006/main">
                        <a:graphicData uri="http://schemas.openxmlformats.org/drawingml/2006/picture">
                          <pic:pic xmlns:pic="http://schemas.openxmlformats.org/drawingml/2006/picture">
                            <pic:nvPicPr>
                              <pic:cNvPr id="112" name="Picture_246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7600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0</wp:posOffset>
                      </wp:positionH>
                      <wp:positionV relativeFrom="paragraph">
                        <wp:posOffset>0</wp:posOffset>
                      </wp:positionV>
                      <wp:extent cx="57150" cy="149225"/>
                      <wp:effectExtent l="0" t="0" r="0" b="0"/>
                      <wp:wrapNone/>
                      <wp:docPr id="113" name="Picture_245_SpCnt_7"/>
                      <wp:cNvGraphicFramePr/>
                      <a:graphic xmlns:a="http://schemas.openxmlformats.org/drawingml/2006/main">
                        <a:graphicData uri="http://schemas.openxmlformats.org/drawingml/2006/picture">
                          <pic:pic xmlns:pic="http://schemas.openxmlformats.org/drawingml/2006/picture">
                            <pic:nvPicPr>
                              <pic:cNvPr id="113" name="Picture_245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7702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0</wp:posOffset>
                      </wp:positionH>
                      <wp:positionV relativeFrom="paragraph">
                        <wp:posOffset>0</wp:posOffset>
                      </wp:positionV>
                      <wp:extent cx="57150" cy="149225"/>
                      <wp:effectExtent l="0" t="0" r="0" b="0"/>
                      <wp:wrapNone/>
                      <wp:docPr id="114" name="Picture_409_SpCnt_7"/>
                      <wp:cNvGraphicFramePr/>
                      <a:graphic xmlns:a="http://schemas.openxmlformats.org/drawingml/2006/main">
                        <a:graphicData uri="http://schemas.openxmlformats.org/drawingml/2006/picture">
                          <pic:pic xmlns:pic="http://schemas.openxmlformats.org/drawingml/2006/picture">
                            <pic:nvPicPr>
                              <pic:cNvPr id="114" name="Picture_409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77804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0</wp:posOffset>
                      </wp:positionH>
                      <wp:positionV relativeFrom="paragraph">
                        <wp:posOffset>0</wp:posOffset>
                      </wp:positionV>
                      <wp:extent cx="57150" cy="149225"/>
                      <wp:effectExtent l="0" t="0" r="0" b="0"/>
                      <wp:wrapNone/>
                      <wp:docPr id="115" name="Picture_408_SpCnt_7"/>
                      <wp:cNvGraphicFramePr/>
                      <a:graphic xmlns:a="http://schemas.openxmlformats.org/drawingml/2006/main">
                        <a:graphicData uri="http://schemas.openxmlformats.org/drawingml/2006/picture">
                          <pic:pic xmlns:pic="http://schemas.openxmlformats.org/drawingml/2006/picture">
                            <pic:nvPicPr>
                              <pic:cNvPr id="115" name="Picture_408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7907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0</wp:posOffset>
                      </wp:positionH>
                      <wp:positionV relativeFrom="paragraph">
                        <wp:posOffset>0</wp:posOffset>
                      </wp:positionV>
                      <wp:extent cx="57150" cy="149225"/>
                      <wp:effectExtent l="0" t="0" r="0" b="0"/>
                      <wp:wrapNone/>
                      <wp:docPr id="116" name="Picture_407_SpCnt_7"/>
                      <wp:cNvGraphicFramePr/>
                      <a:graphic xmlns:a="http://schemas.openxmlformats.org/drawingml/2006/main">
                        <a:graphicData uri="http://schemas.openxmlformats.org/drawingml/2006/picture">
                          <pic:pic xmlns:pic="http://schemas.openxmlformats.org/drawingml/2006/picture">
                            <pic:nvPicPr>
                              <pic:cNvPr id="116" name="Picture_407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8009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0</wp:posOffset>
                      </wp:positionH>
                      <wp:positionV relativeFrom="paragraph">
                        <wp:posOffset>0</wp:posOffset>
                      </wp:positionV>
                      <wp:extent cx="57150" cy="149225"/>
                      <wp:effectExtent l="0" t="0" r="0" b="0"/>
                      <wp:wrapNone/>
                      <wp:docPr id="117" name="Picture_197_SpCnt_14"/>
                      <wp:cNvGraphicFramePr/>
                      <a:graphic xmlns:a="http://schemas.openxmlformats.org/drawingml/2006/main">
                        <a:graphicData uri="http://schemas.openxmlformats.org/drawingml/2006/picture">
                          <pic:pic xmlns:pic="http://schemas.openxmlformats.org/drawingml/2006/picture">
                            <pic:nvPicPr>
                              <pic:cNvPr id="117" name="Picture_197_SpCnt_14"/>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8112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0</wp:posOffset>
                      </wp:positionH>
                      <wp:positionV relativeFrom="paragraph">
                        <wp:posOffset>0</wp:posOffset>
                      </wp:positionV>
                      <wp:extent cx="57150" cy="149225"/>
                      <wp:effectExtent l="0" t="0" r="0" b="0"/>
                      <wp:wrapNone/>
                      <wp:docPr id="118" name="Picture_200_SpCnt_14"/>
                      <wp:cNvGraphicFramePr/>
                      <a:graphic xmlns:a="http://schemas.openxmlformats.org/drawingml/2006/main">
                        <a:graphicData uri="http://schemas.openxmlformats.org/drawingml/2006/picture">
                          <pic:pic xmlns:pic="http://schemas.openxmlformats.org/drawingml/2006/picture">
                            <pic:nvPicPr>
                              <pic:cNvPr id="118" name="Picture_200_SpCnt_14"/>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78214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0</wp:posOffset>
                      </wp:positionH>
                      <wp:positionV relativeFrom="paragraph">
                        <wp:posOffset>0</wp:posOffset>
                      </wp:positionV>
                      <wp:extent cx="57150" cy="149225"/>
                      <wp:effectExtent l="0" t="0" r="0" b="0"/>
                      <wp:wrapNone/>
                      <wp:docPr id="119" name="Picture_197_SpCnt_15"/>
                      <wp:cNvGraphicFramePr/>
                      <a:graphic xmlns:a="http://schemas.openxmlformats.org/drawingml/2006/main">
                        <a:graphicData uri="http://schemas.openxmlformats.org/drawingml/2006/picture">
                          <pic:pic xmlns:pic="http://schemas.openxmlformats.org/drawingml/2006/picture">
                            <pic:nvPicPr>
                              <pic:cNvPr id="119" name="Picture_197_SpCnt_15"/>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8316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0</wp:posOffset>
                      </wp:positionH>
                      <wp:positionV relativeFrom="paragraph">
                        <wp:posOffset>0</wp:posOffset>
                      </wp:positionV>
                      <wp:extent cx="57150" cy="149225"/>
                      <wp:effectExtent l="0" t="0" r="0" b="0"/>
                      <wp:wrapNone/>
                      <wp:docPr id="120" name="Picture_247_SpCnt_7"/>
                      <wp:cNvGraphicFramePr/>
                      <a:graphic xmlns:a="http://schemas.openxmlformats.org/drawingml/2006/main">
                        <a:graphicData uri="http://schemas.openxmlformats.org/drawingml/2006/picture">
                          <pic:pic xmlns:pic="http://schemas.openxmlformats.org/drawingml/2006/picture">
                            <pic:nvPicPr>
                              <pic:cNvPr id="120" name="Picture_247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8419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0</wp:posOffset>
                      </wp:positionH>
                      <wp:positionV relativeFrom="paragraph">
                        <wp:posOffset>0</wp:posOffset>
                      </wp:positionV>
                      <wp:extent cx="57150" cy="149225"/>
                      <wp:effectExtent l="0" t="0" r="0" b="0"/>
                      <wp:wrapNone/>
                      <wp:docPr id="121" name="Picture_204_SpCnt_14"/>
                      <wp:cNvGraphicFramePr/>
                      <a:graphic xmlns:a="http://schemas.openxmlformats.org/drawingml/2006/main">
                        <a:graphicData uri="http://schemas.openxmlformats.org/drawingml/2006/picture">
                          <pic:pic xmlns:pic="http://schemas.openxmlformats.org/drawingml/2006/picture">
                            <pic:nvPicPr>
                              <pic:cNvPr id="121" name="Picture_204_SpCnt_14"/>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8521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0</wp:posOffset>
                      </wp:positionH>
                      <wp:positionV relativeFrom="paragraph">
                        <wp:posOffset>0</wp:posOffset>
                      </wp:positionV>
                      <wp:extent cx="57150" cy="149225"/>
                      <wp:effectExtent l="0" t="0" r="0" b="0"/>
                      <wp:wrapNone/>
                      <wp:docPr id="122" name="Picture_200_SpCnt_15"/>
                      <wp:cNvGraphicFramePr/>
                      <a:graphic xmlns:a="http://schemas.openxmlformats.org/drawingml/2006/main">
                        <a:graphicData uri="http://schemas.openxmlformats.org/drawingml/2006/picture">
                          <pic:pic xmlns:pic="http://schemas.openxmlformats.org/drawingml/2006/picture">
                            <pic:nvPicPr>
                              <pic:cNvPr id="122" name="Picture_200_SpCnt_15"/>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8624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0</wp:posOffset>
                      </wp:positionH>
                      <wp:positionV relativeFrom="paragraph">
                        <wp:posOffset>0</wp:posOffset>
                      </wp:positionV>
                      <wp:extent cx="57150" cy="149225"/>
                      <wp:effectExtent l="0" t="0" r="0" b="0"/>
                      <wp:wrapNone/>
                      <wp:docPr id="123" name="Picture_204_SpCnt_15"/>
                      <wp:cNvGraphicFramePr/>
                      <a:graphic xmlns:a="http://schemas.openxmlformats.org/drawingml/2006/main">
                        <a:graphicData uri="http://schemas.openxmlformats.org/drawingml/2006/picture">
                          <pic:pic xmlns:pic="http://schemas.openxmlformats.org/drawingml/2006/picture">
                            <pic:nvPicPr>
                              <pic:cNvPr id="123" name="Picture_204_SpCnt_15"/>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8726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0</wp:posOffset>
                      </wp:positionH>
                      <wp:positionV relativeFrom="paragraph">
                        <wp:posOffset>0</wp:posOffset>
                      </wp:positionV>
                      <wp:extent cx="57150" cy="149225"/>
                      <wp:effectExtent l="0" t="0" r="0" b="0"/>
                      <wp:wrapNone/>
                      <wp:docPr id="124" name="Picture_205_SpCnt_12"/>
                      <wp:cNvGraphicFramePr/>
                      <a:graphic xmlns:a="http://schemas.openxmlformats.org/drawingml/2006/main">
                        <a:graphicData uri="http://schemas.openxmlformats.org/drawingml/2006/picture">
                          <pic:pic xmlns:pic="http://schemas.openxmlformats.org/drawingml/2006/picture">
                            <pic:nvPicPr>
                              <pic:cNvPr id="124" name="Picture_205_SpCnt_12"/>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8828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0</wp:posOffset>
                      </wp:positionH>
                      <wp:positionV relativeFrom="paragraph">
                        <wp:posOffset>0</wp:posOffset>
                      </wp:positionV>
                      <wp:extent cx="57150" cy="149225"/>
                      <wp:effectExtent l="0" t="0" r="0" b="0"/>
                      <wp:wrapNone/>
                      <wp:docPr id="125" name="Picture_410_SpCnt_6"/>
                      <wp:cNvGraphicFramePr/>
                      <a:graphic xmlns:a="http://schemas.openxmlformats.org/drawingml/2006/main">
                        <a:graphicData uri="http://schemas.openxmlformats.org/drawingml/2006/picture">
                          <pic:pic xmlns:pic="http://schemas.openxmlformats.org/drawingml/2006/picture">
                            <pic:nvPicPr>
                              <pic:cNvPr id="125" name="Picture_410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8931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0</wp:posOffset>
                      </wp:positionH>
                      <wp:positionV relativeFrom="paragraph">
                        <wp:posOffset>0</wp:posOffset>
                      </wp:positionV>
                      <wp:extent cx="57150" cy="149225"/>
                      <wp:effectExtent l="0" t="0" r="0" b="0"/>
                      <wp:wrapNone/>
                      <wp:docPr id="126" name="Picture_205_SpCnt_13"/>
                      <wp:cNvGraphicFramePr/>
                      <a:graphic xmlns:a="http://schemas.openxmlformats.org/drawingml/2006/main">
                        <a:graphicData uri="http://schemas.openxmlformats.org/drawingml/2006/picture">
                          <pic:pic xmlns:pic="http://schemas.openxmlformats.org/drawingml/2006/picture">
                            <pic:nvPicPr>
                              <pic:cNvPr id="126" name="Picture_205_SpCnt_13"/>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9033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0</wp:posOffset>
                      </wp:positionH>
                      <wp:positionV relativeFrom="paragraph">
                        <wp:posOffset>0</wp:posOffset>
                      </wp:positionV>
                      <wp:extent cx="57150" cy="149225"/>
                      <wp:effectExtent l="0" t="0" r="0" b="0"/>
                      <wp:wrapNone/>
                      <wp:docPr id="127" name="Picture_205_SpCnt_14"/>
                      <wp:cNvGraphicFramePr/>
                      <a:graphic xmlns:a="http://schemas.openxmlformats.org/drawingml/2006/main">
                        <a:graphicData uri="http://schemas.openxmlformats.org/drawingml/2006/picture">
                          <pic:pic xmlns:pic="http://schemas.openxmlformats.org/drawingml/2006/picture">
                            <pic:nvPicPr>
                              <pic:cNvPr id="127" name="Picture_205_SpCnt_14"/>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9136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0</wp:posOffset>
                      </wp:positionH>
                      <wp:positionV relativeFrom="paragraph">
                        <wp:posOffset>0</wp:posOffset>
                      </wp:positionV>
                      <wp:extent cx="57150" cy="149225"/>
                      <wp:effectExtent l="0" t="0" r="0" b="0"/>
                      <wp:wrapNone/>
                      <wp:docPr id="128" name="Picture_410_SpCnt_7"/>
                      <wp:cNvGraphicFramePr/>
                      <a:graphic xmlns:a="http://schemas.openxmlformats.org/drawingml/2006/main">
                        <a:graphicData uri="http://schemas.openxmlformats.org/drawingml/2006/picture">
                          <pic:pic xmlns:pic="http://schemas.openxmlformats.org/drawingml/2006/picture">
                            <pic:nvPicPr>
                              <pic:cNvPr id="128" name="Picture_410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9238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0</wp:posOffset>
                      </wp:positionH>
                      <wp:positionV relativeFrom="paragraph">
                        <wp:posOffset>0</wp:posOffset>
                      </wp:positionV>
                      <wp:extent cx="57150" cy="149225"/>
                      <wp:effectExtent l="0" t="0" r="0" b="0"/>
                      <wp:wrapNone/>
                      <wp:docPr id="129" name="Picture_205_SpCnt_15"/>
                      <wp:cNvGraphicFramePr/>
                      <a:graphic xmlns:a="http://schemas.openxmlformats.org/drawingml/2006/main">
                        <a:graphicData uri="http://schemas.openxmlformats.org/drawingml/2006/picture">
                          <pic:pic xmlns:pic="http://schemas.openxmlformats.org/drawingml/2006/picture">
                            <pic:nvPicPr>
                              <pic:cNvPr id="129" name="Picture_205_SpCnt_15"/>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9340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p>
        </w:tc>
      </w:tr>
      <w:tr>
        <w:trPr>
          <w:trHeight w:val="1793"/>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F2-01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AI算力模块</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#1.整机最大外形尺寸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260×</w:t>
            </w:r>
            <w:r>
              <w:rPr>
                <w:rFonts w:hint="eastAsia" w:ascii="宋体" w:hAnsi="宋体" w:cs="宋体"/>
                <w:i w:val="0"/>
                <w:iCs w:val="0"/>
                <w:color w:val="auto"/>
                <w:sz w:val="21"/>
                <w:szCs w:val="21"/>
                <w:highlight w:val="none"/>
                <w:u w:val="none"/>
                <w:lang w:val="en-US" w:eastAsia="zh-CN" w:bidi="ar"/>
              </w:rPr>
              <w:t xml:space="preserve">280</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CN" w:bidi="ar"/>
              </w:rPr>
              <w:t xml:space="preserve">45</w:t>
            </w:r>
            <w:r>
              <w:rPr>
                <w:rFonts w:hint="eastAsia" w:ascii="宋体" w:hAnsi="宋体" w:eastAsia="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#2.整机正面采用铝合金外壳设计；采用顶部出线，出线接口使用线槽屏蔽盖；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#3.整机壁挂式固定方式；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#4.整机接口非外接拓展，不少于2路千兆以太网交换接口；不少于3路支持PoE功能的千兆以太网接口，支持级联PoE功能的网络摄像机和阵列麦克风； 不少于1路MicroSD卡接口，支持通过MicroSD卡升级整机系统软件；不少于1路Type-C 接口，支持调试和控制功能；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.主频≥2.3GHz；内存容量大于等于16GB；</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SSD存储，支持TCG-OPAL 2.0硬件加密功能，存储容量</w:t>
            </w:r>
            <w:r>
              <w:rPr>
                <w:rFonts w:hint="eastAsia" w:ascii="宋体" w:hAnsi="宋体" w:cs="宋体"/>
                <w:i w:val="0"/>
                <w:iCs w:val="0"/>
                <w:color w:val="auto"/>
                <w:sz w:val="21"/>
                <w:szCs w:val="21"/>
                <w:highlight w:val="none"/>
                <w:u w:val="none"/>
                <w:lang w:val="en-US" w:eastAsia="zh-CN" w:bidi="ar"/>
              </w:rPr>
              <w:t xml:space="preserve">不小于</w:t>
            </w:r>
            <w:r>
              <w:rPr>
                <w:rFonts w:hint="eastAsia" w:ascii="宋体" w:hAnsi="宋体" w:eastAsia="宋体" w:cs="宋体"/>
                <w:i w:val="0"/>
                <w:iCs w:val="0"/>
                <w:color w:val="auto"/>
                <w:sz w:val="21"/>
                <w:szCs w:val="21"/>
                <w:highlight w:val="none"/>
                <w:u w:val="none"/>
                <w:lang w:val="en-US" w:eastAsia="zh-CN" w:bidi="ar"/>
              </w:rPr>
              <w:t xml:space="preserve">256GB；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6</w:t>
            </w:r>
            <w:r>
              <w:rPr>
                <w:rFonts w:hint="eastAsia" w:ascii="宋体" w:hAnsi="宋体" w:eastAsia="宋体" w:cs="宋体"/>
                <w:i w:val="0"/>
                <w:iCs w:val="0"/>
                <w:strike w:val="0"/>
                <w:color w:val="auto"/>
                <w:sz w:val="21"/>
                <w:szCs w:val="21"/>
                <w:highlight w:val="none"/>
                <w:u w:val="none"/>
                <w:lang w:val="en-US" w:eastAsia="zh-CN" w:bidi="ar"/>
              </w:rPr>
              <w:t xml:space="preserve">.整机采用国产AI算力芯片</w:t>
            </w:r>
            <w:r>
              <w:rPr>
                <w:rFonts w:hint="eastAsia" w:ascii="宋体" w:hAnsi="宋体" w:cs="宋体"/>
                <w:i w:val="0"/>
                <w:iCs w:val="0"/>
                <w:strike w:val="0"/>
                <w:color w:val="auto"/>
                <w:sz w:val="21"/>
                <w:szCs w:val="21"/>
                <w:highlight w:val="none"/>
                <w:u w:val="none"/>
                <w:lang w:val="en-US" w:eastAsia="zh-CN" w:bidi="ar"/>
              </w:rPr>
              <w:t xml:space="preserve">；</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7.</w:t>
            </w:r>
            <w:r>
              <w:rPr>
                <w:rFonts w:hint="eastAsia" w:ascii="宋体" w:hAnsi="宋体" w:eastAsia="宋体" w:cs="宋体"/>
                <w:i w:val="0"/>
                <w:iCs w:val="0"/>
                <w:color w:val="auto"/>
                <w:sz w:val="21"/>
                <w:szCs w:val="21"/>
                <w:highlight w:val="none"/>
                <w:u w:val="none"/>
                <w:lang w:val="en-US" w:eastAsia="zh-CN" w:bidi="ar"/>
              </w:rPr>
              <w:t xml:space="preserve">整机存储器支持加密功能；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8</w:t>
            </w:r>
            <w:r>
              <w:rPr>
                <w:rFonts w:hint="eastAsia" w:ascii="宋体" w:hAnsi="宋体" w:eastAsia="宋体" w:cs="宋体"/>
                <w:i w:val="0"/>
                <w:iCs w:val="0"/>
                <w:color w:val="auto"/>
                <w:sz w:val="21"/>
                <w:szCs w:val="21"/>
                <w:highlight w:val="none"/>
                <w:u w:val="none"/>
                <w:lang w:val="en-US" w:eastAsia="zh-CN" w:bidi="ar"/>
              </w:rPr>
              <w:t xml:space="preserve">.整机支持通过web管理后台实现定时开关机、远程关机功能、查看设备在线状态；支持云端在线系统固件升级。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0</wp:posOffset>
                      </wp:positionH>
                      <wp:positionV relativeFrom="paragraph">
                        <wp:posOffset>0</wp:posOffset>
                      </wp:positionV>
                      <wp:extent cx="57150" cy="139700"/>
                      <wp:effectExtent l="0" t="0" r="0" b="0"/>
                      <wp:wrapNone/>
                      <wp:docPr id="130" name="Picture_410_SpCnt_8"/>
                      <wp:cNvGraphicFramePr/>
                      <a:graphic xmlns:a="http://schemas.openxmlformats.org/drawingml/2006/main">
                        <a:graphicData uri="http://schemas.openxmlformats.org/drawingml/2006/picture">
                          <pic:pic xmlns:pic="http://schemas.openxmlformats.org/drawingml/2006/picture">
                            <pic:nvPicPr>
                              <pic:cNvPr id="130" name="Picture_410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79443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0</wp:posOffset>
                      </wp:positionH>
                      <wp:positionV relativeFrom="paragraph">
                        <wp:posOffset>0</wp:posOffset>
                      </wp:positionV>
                      <wp:extent cx="57150" cy="139700"/>
                      <wp:effectExtent l="0" t="0" r="0" b="0"/>
                      <wp:wrapNone/>
                      <wp:docPr id="131" name="Picture_409_SpCnt_8"/>
                      <wp:cNvGraphicFramePr/>
                      <a:graphic xmlns:a="http://schemas.openxmlformats.org/drawingml/2006/main">
                        <a:graphicData uri="http://schemas.openxmlformats.org/drawingml/2006/picture">
                          <pic:pic xmlns:pic="http://schemas.openxmlformats.org/drawingml/2006/picture">
                            <pic:nvPicPr>
                              <pic:cNvPr id="131" name="Picture_409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9545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0</wp:posOffset>
                      </wp:positionH>
                      <wp:positionV relativeFrom="paragraph">
                        <wp:posOffset>0</wp:posOffset>
                      </wp:positionV>
                      <wp:extent cx="57150" cy="139700"/>
                      <wp:effectExtent l="0" t="0" r="0" b="0"/>
                      <wp:wrapNone/>
                      <wp:docPr id="132" name="Picture_246_SpCnt_8"/>
                      <wp:cNvGraphicFramePr/>
                      <a:graphic xmlns:a="http://schemas.openxmlformats.org/drawingml/2006/main">
                        <a:graphicData uri="http://schemas.openxmlformats.org/drawingml/2006/picture">
                          <pic:pic xmlns:pic="http://schemas.openxmlformats.org/drawingml/2006/picture">
                            <pic:nvPicPr>
                              <pic:cNvPr id="132" name="Picture_246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9648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0</wp:posOffset>
                      </wp:positionH>
                      <wp:positionV relativeFrom="paragraph">
                        <wp:posOffset>0</wp:posOffset>
                      </wp:positionV>
                      <wp:extent cx="57150" cy="139700"/>
                      <wp:effectExtent l="0" t="0" r="0" b="0"/>
                      <wp:wrapNone/>
                      <wp:docPr id="133" name="Picture_200_SpCnt_16"/>
                      <wp:cNvGraphicFramePr/>
                      <a:graphic xmlns:a="http://schemas.openxmlformats.org/drawingml/2006/main">
                        <a:graphicData uri="http://schemas.openxmlformats.org/drawingml/2006/picture">
                          <pic:pic xmlns:pic="http://schemas.openxmlformats.org/drawingml/2006/picture">
                            <pic:nvPicPr>
                              <pic:cNvPr id="133" name="Picture_200_SpCnt_16"/>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9750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0</wp:posOffset>
                      </wp:positionH>
                      <wp:positionV relativeFrom="paragraph">
                        <wp:posOffset>0</wp:posOffset>
                      </wp:positionV>
                      <wp:extent cx="57150" cy="139700"/>
                      <wp:effectExtent l="0" t="0" r="0" b="0"/>
                      <wp:wrapNone/>
                      <wp:docPr id="134" name="Picture_200_SpCnt_17"/>
                      <wp:cNvGraphicFramePr/>
                      <a:graphic xmlns:a="http://schemas.openxmlformats.org/drawingml/2006/main">
                        <a:graphicData uri="http://schemas.openxmlformats.org/drawingml/2006/picture">
                          <pic:pic xmlns:pic="http://schemas.openxmlformats.org/drawingml/2006/picture">
                            <pic:nvPicPr>
                              <pic:cNvPr id="134" name="Picture_200_SpCnt_17"/>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9852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0</wp:posOffset>
                      </wp:positionH>
                      <wp:positionV relativeFrom="paragraph">
                        <wp:posOffset>0</wp:posOffset>
                      </wp:positionV>
                      <wp:extent cx="57150" cy="139700"/>
                      <wp:effectExtent l="0" t="0" r="0" b="0"/>
                      <wp:wrapNone/>
                      <wp:docPr id="135" name="Picture_407_SpCnt_8"/>
                      <wp:cNvGraphicFramePr/>
                      <a:graphic xmlns:a="http://schemas.openxmlformats.org/drawingml/2006/main">
                        <a:graphicData uri="http://schemas.openxmlformats.org/drawingml/2006/picture">
                          <pic:pic xmlns:pic="http://schemas.openxmlformats.org/drawingml/2006/picture">
                            <pic:nvPicPr>
                              <pic:cNvPr id="135" name="Picture_407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9955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0</wp:posOffset>
                      </wp:positionH>
                      <wp:positionV relativeFrom="paragraph">
                        <wp:posOffset>0</wp:posOffset>
                      </wp:positionV>
                      <wp:extent cx="57150" cy="139700"/>
                      <wp:effectExtent l="0" t="0" r="0" b="0"/>
                      <wp:wrapNone/>
                      <wp:docPr id="136" name="Picture_247_SpCnt_8"/>
                      <wp:cNvGraphicFramePr/>
                      <a:graphic xmlns:a="http://schemas.openxmlformats.org/drawingml/2006/main">
                        <a:graphicData uri="http://schemas.openxmlformats.org/drawingml/2006/picture">
                          <pic:pic xmlns:pic="http://schemas.openxmlformats.org/drawingml/2006/picture">
                            <pic:nvPicPr>
                              <pic:cNvPr id="136" name="Picture_247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80057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0</wp:posOffset>
                      </wp:positionH>
                      <wp:positionV relativeFrom="paragraph">
                        <wp:posOffset>0</wp:posOffset>
                      </wp:positionV>
                      <wp:extent cx="57150" cy="139700"/>
                      <wp:effectExtent l="0" t="0" r="0" b="0"/>
                      <wp:wrapNone/>
                      <wp:docPr id="137" name="Picture_197_SpCnt_16"/>
                      <wp:cNvGraphicFramePr/>
                      <a:graphic xmlns:a="http://schemas.openxmlformats.org/drawingml/2006/main">
                        <a:graphicData uri="http://schemas.openxmlformats.org/drawingml/2006/picture">
                          <pic:pic xmlns:pic="http://schemas.openxmlformats.org/drawingml/2006/picture">
                            <pic:nvPicPr>
                              <pic:cNvPr id="137" name="Picture_197_SpCnt_16"/>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80160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0</wp:posOffset>
                      </wp:positionH>
                      <wp:positionV relativeFrom="paragraph">
                        <wp:posOffset>0</wp:posOffset>
                      </wp:positionV>
                      <wp:extent cx="57150" cy="139700"/>
                      <wp:effectExtent l="0" t="0" r="0" b="0"/>
                      <wp:wrapNone/>
                      <wp:docPr id="138" name="Picture_245_SpCnt_8"/>
                      <wp:cNvGraphicFramePr/>
                      <a:graphic xmlns:a="http://schemas.openxmlformats.org/drawingml/2006/main">
                        <a:graphicData uri="http://schemas.openxmlformats.org/drawingml/2006/picture">
                          <pic:pic xmlns:pic="http://schemas.openxmlformats.org/drawingml/2006/picture">
                            <pic:nvPicPr>
                              <pic:cNvPr id="138" name="Picture_245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80262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0</wp:posOffset>
                      </wp:positionH>
                      <wp:positionV relativeFrom="paragraph">
                        <wp:posOffset>0</wp:posOffset>
                      </wp:positionV>
                      <wp:extent cx="57150" cy="139700"/>
                      <wp:effectExtent l="0" t="0" r="0" b="0"/>
                      <wp:wrapNone/>
                      <wp:docPr id="139" name="Picture_204_SpCnt_16"/>
                      <wp:cNvGraphicFramePr/>
                      <a:graphic xmlns:a="http://schemas.openxmlformats.org/drawingml/2006/main">
                        <a:graphicData uri="http://schemas.openxmlformats.org/drawingml/2006/picture">
                          <pic:pic xmlns:pic="http://schemas.openxmlformats.org/drawingml/2006/picture">
                            <pic:nvPicPr>
                              <pic:cNvPr id="139" name="Picture_204_SpCnt_16"/>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80364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0</wp:posOffset>
                      </wp:positionH>
                      <wp:positionV relativeFrom="paragraph">
                        <wp:posOffset>0</wp:posOffset>
                      </wp:positionV>
                      <wp:extent cx="57150" cy="139700"/>
                      <wp:effectExtent l="0" t="0" r="0" b="0"/>
                      <wp:wrapNone/>
                      <wp:docPr id="140" name="Picture_197_SpCnt_17"/>
                      <wp:cNvGraphicFramePr/>
                      <a:graphic xmlns:a="http://schemas.openxmlformats.org/drawingml/2006/main">
                        <a:graphicData uri="http://schemas.openxmlformats.org/drawingml/2006/picture">
                          <pic:pic xmlns:pic="http://schemas.openxmlformats.org/drawingml/2006/picture">
                            <pic:nvPicPr>
                              <pic:cNvPr id="140" name="Picture_197_SpCnt_17"/>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80467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0</wp:posOffset>
                      </wp:positionH>
                      <wp:positionV relativeFrom="paragraph">
                        <wp:posOffset>0</wp:posOffset>
                      </wp:positionV>
                      <wp:extent cx="57150" cy="139700"/>
                      <wp:effectExtent l="0" t="0" r="0" b="0"/>
                      <wp:wrapNone/>
                      <wp:docPr id="141" name="Picture_409_SpCnt_9"/>
                      <wp:cNvGraphicFramePr/>
                      <a:graphic xmlns:a="http://schemas.openxmlformats.org/drawingml/2006/main">
                        <a:graphicData uri="http://schemas.openxmlformats.org/drawingml/2006/picture">
                          <pic:pic xmlns:pic="http://schemas.openxmlformats.org/drawingml/2006/picture">
                            <pic:nvPicPr>
                              <pic:cNvPr id="141" name="Picture_409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80569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0</wp:posOffset>
                      </wp:positionH>
                      <wp:positionV relativeFrom="paragraph">
                        <wp:posOffset>0</wp:posOffset>
                      </wp:positionV>
                      <wp:extent cx="57150" cy="139700"/>
                      <wp:effectExtent l="0" t="0" r="0" b="0"/>
                      <wp:wrapNone/>
                      <wp:docPr id="142" name="Picture_408_SpCnt_8"/>
                      <wp:cNvGraphicFramePr/>
                      <a:graphic xmlns:a="http://schemas.openxmlformats.org/drawingml/2006/main">
                        <a:graphicData uri="http://schemas.openxmlformats.org/drawingml/2006/picture">
                          <pic:pic xmlns:pic="http://schemas.openxmlformats.org/drawingml/2006/picture">
                            <pic:nvPicPr>
                              <pic:cNvPr id="142" name="Picture_408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80672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7744" behindDoc="0" locked="0" layoutInCell="1" allowOverlap="1">
                      <wp:simplePos x="0" y="0"/>
                      <wp:positionH relativeFrom="column">
                        <wp:posOffset>0</wp:posOffset>
                      </wp:positionH>
                      <wp:positionV relativeFrom="paragraph">
                        <wp:posOffset>0</wp:posOffset>
                      </wp:positionV>
                      <wp:extent cx="57150" cy="139700"/>
                      <wp:effectExtent l="0" t="0" r="0" b="0"/>
                      <wp:wrapNone/>
                      <wp:docPr id="143" name="Picture_248_SpCnt_8"/>
                      <wp:cNvGraphicFramePr/>
                      <a:graphic xmlns:a="http://schemas.openxmlformats.org/drawingml/2006/main">
                        <a:graphicData uri="http://schemas.openxmlformats.org/drawingml/2006/picture">
                          <pic:pic xmlns:pic="http://schemas.openxmlformats.org/drawingml/2006/picture">
                            <pic:nvPicPr>
                              <pic:cNvPr id="143" name="Picture_248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80774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8768" behindDoc="0" locked="0" layoutInCell="1" allowOverlap="1">
                      <wp:simplePos x="0" y="0"/>
                      <wp:positionH relativeFrom="column">
                        <wp:posOffset>0</wp:posOffset>
                      </wp:positionH>
                      <wp:positionV relativeFrom="paragraph">
                        <wp:posOffset>0</wp:posOffset>
                      </wp:positionV>
                      <wp:extent cx="57150" cy="139700"/>
                      <wp:effectExtent l="0" t="0" r="0" b="0"/>
                      <wp:wrapNone/>
                      <wp:docPr id="144" name="Picture_248_SpCnt_9"/>
                      <wp:cNvGraphicFramePr/>
                      <a:graphic xmlns:a="http://schemas.openxmlformats.org/drawingml/2006/main">
                        <a:graphicData uri="http://schemas.openxmlformats.org/drawingml/2006/picture">
                          <pic:pic xmlns:pic="http://schemas.openxmlformats.org/drawingml/2006/picture">
                            <pic:nvPicPr>
                              <pic:cNvPr id="144" name="Picture_248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80876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9792" behindDoc="0" locked="0" layoutInCell="1" allowOverlap="1">
                      <wp:simplePos x="0" y="0"/>
                      <wp:positionH relativeFrom="column">
                        <wp:posOffset>0</wp:posOffset>
                      </wp:positionH>
                      <wp:positionV relativeFrom="paragraph">
                        <wp:posOffset>0</wp:posOffset>
                      </wp:positionV>
                      <wp:extent cx="57150" cy="139700"/>
                      <wp:effectExtent l="0" t="0" r="0" b="0"/>
                      <wp:wrapNone/>
                      <wp:docPr id="145" name="Picture_204_SpCnt_17"/>
                      <wp:cNvGraphicFramePr/>
                      <a:graphic xmlns:a="http://schemas.openxmlformats.org/drawingml/2006/main">
                        <a:graphicData uri="http://schemas.openxmlformats.org/drawingml/2006/picture">
                          <pic:pic xmlns:pic="http://schemas.openxmlformats.org/drawingml/2006/picture">
                            <pic:nvPicPr>
                              <pic:cNvPr id="145" name="Picture_204_SpCnt_17"/>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80979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0816" behindDoc="0" locked="0" layoutInCell="1" allowOverlap="1">
                      <wp:simplePos x="0" y="0"/>
                      <wp:positionH relativeFrom="column">
                        <wp:posOffset>0</wp:posOffset>
                      </wp:positionH>
                      <wp:positionV relativeFrom="paragraph">
                        <wp:posOffset>0</wp:posOffset>
                      </wp:positionV>
                      <wp:extent cx="57150" cy="139700"/>
                      <wp:effectExtent l="0" t="0" r="0" b="0"/>
                      <wp:wrapNone/>
                      <wp:docPr id="146" name="Picture_205_SpCnt_16"/>
                      <wp:cNvGraphicFramePr/>
                      <a:graphic xmlns:a="http://schemas.openxmlformats.org/drawingml/2006/main">
                        <a:graphicData uri="http://schemas.openxmlformats.org/drawingml/2006/picture">
                          <pic:pic xmlns:pic="http://schemas.openxmlformats.org/drawingml/2006/picture">
                            <pic:nvPicPr>
                              <pic:cNvPr id="146" name="Picture_205_SpCnt_16"/>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81081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1840" behindDoc="0" locked="0" layoutInCell="1" allowOverlap="1">
                      <wp:simplePos x="0" y="0"/>
                      <wp:positionH relativeFrom="column">
                        <wp:posOffset>0</wp:posOffset>
                      </wp:positionH>
                      <wp:positionV relativeFrom="paragraph">
                        <wp:posOffset>0</wp:posOffset>
                      </wp:positionV>
                      <wp:extent cx="57150" cy="139700"/>
                      <wp:effectExtent l="0" t="0" r="0" b="0"/>
                      <wp:wrapNone/>
                      <wp:docPr id="147" name="Picture_200_SpCnt_18"/>
                      <wp:cNvGraphicFramePr/>
                      <a:graphic xmlns:a="http://schemas.openxmlformats.org/drawingml/2006/main">
                        <a:graphicData uri="http://schemas.openxmlformats.org/drawingml/2006/picture">
                          <pic:pic xmlns:pic="http://schemas.openxmlformats.org/drawingml/2006/picture">
                            <pic:nvPicPr>
                              <pic:cNvPr id="147" name="Picture_200_SpCnt_1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81184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2864" behindDoc="0" locked="0" layoutInCell="1" allowOverlap="1">
                      <wp:simplePos x="0" y="0"/>
                      <wp:positionH relativeFrom="column">
                        <wp:posOffset>0</wp:posOffset>
                      </wp:positionH>
                      <wp:positionV relativeFrom="paragraph">
                        <wp:posOffset>0</wp:posOffset>
                      </wp:positionV>
                      <wp:extent cx="57150" cy="139700"/>
                      <wp:effectExtent l="0" t="0" r="0" b="0"/>
                      <wp:wrapNone/>
                      <wp:docPr id="148" name="Picture_204_SpCnt_18"/>
                      <wp:cNvGraphicFramePr/>
                      <a:graphic xmlns:a="http://schemas.openxmlformats.org/drawingml/2006/main">
                        <a:graphicData uri="http://schemas.openxmlformats.org/drawingml/2006/picture">
                          <pic:pic xmlns:pic="http://schemas.openxmlformats.org/drawingml/2006/picture">
                            <pic:nvPicPr>
                              <pic:cNvPr id="148" name="Picture_204_SpCnt_1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81286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3888" behindDoc="0" locked="0" layoutInCell="1" allowOverlap="1">
                      <wp:simplePos x="0" y="0"/>
                      <wp:positionH relativeFrom="column">
                        <wp:posOffset>0</wp:posOffset>
                      </wp:positionH>
                      <wp:positionV relativeFrom="paragraph">
                        <wp:posOffset>0</wp:posOffset>
                      </wp:positionV>
                      <wp:extent cx="57150" cy="139700"/>
                      <wp:effectExtent l="0" t="0" r="0" b="0"/>
                      <wp:wrapNone/>
                      <wp:docPr id="149" name="Picture_205_SpCnt_17"/>
                      <wp:cNvGraphicFramePr/>
                      <a:graphic xmlns:a="http://schemas.openxmlformats.org/drawingml/2006/main">
                        <a:graphicData uri="http://schemas.openxmlformats.org/drawingml/2006/picture">
                          <pic:pic xmlns:pic="http://schemas.openxmlformats.org/drawingml/2006/picture">
                            <pic:nvPicPr>
                              <pic:cNvPr id="149" name="Picture_205_SpCnt_17"/>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81388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4912" behindDoc="0" locked="0" layoutInCell="1" allowOverlap="1">
                      <wp:simplePos x="0" y="0"/>
                      <wp:positionH relativeFrom="column">
                        <wp:posOffset>0</wp:posOffset>
                      </wp:positionH>
                      <wp:positionV relativeFrom="paragraph">
                        <wp:posOffset>0</wp:posOffset>
                      </wp:positionV>
                      <wp:extent cx="57150" cy="139700"/>
                      <wp:effectExtent l="0" t="0" r="0" b="0"/>
                      <wp:wrapNone/>
                      <wp:docPr id="150" name="Picture_245_SpCnt_9"/>
                      <wp:cNvGraphicFramePr/>
                      <a:graphic xmlns:a="http://schemas.openxmlformats.org/drawingml/2006/main">
                        <a:graphicData uri="http://schemas.openxmlformats.org/drawingml/2006/picture">
                          <pic:pic xmlns:pic="http://schemas.openxmlformats.org/drawingml/2006/picture">
                            <pic:nvPicPr>
                              <pic:cNvPr id="150" name="Picture_245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81491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5936" behindDoc="0" locked="0" layoutInCell="1" allowOverlap="1">
                      <wp:simplePos x="0" y="0"/>
                      <wp:positionH relativeFrom="column">
                        <wp:posOffset>0</wp:posOffset>
                      </wp:positionH>
                      <wp:positionV relativeFrom="paragraph">
                        <wp:posOffset>0</wp:posOffset>
                      </wp:positionV>
                      <wp:extent cx="57150" cy="139700"/>
                      <wp:effectExtent l="0" t="0" r="0" b="0"/>
                      <wp:wrapNone/>
                      <wp:docPr id="151" name="Picture_410_SpCnt_9"/>
                      <wp:cNvGraphicFramePr/>
                      <a:graphic xmlns:a="http://schemas.openxmlformats.org/drawingml/2006/main">
                        <a:graphicData uri="http://schemas.openxmlformats.org/drawingml/2006/picture">
                          <pic:pic xmlns:pic="http://schemas.openxmlformats.org/drawingml/2006/picture">
                            <pic:nvPicPr>
                              <pic:cNvPr id="151" name="Picture_410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81593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6960" behindDoc="0" locked="0" layoutInCell="1" allowOverlap="1">
                      <wp:simplePos x="0" y="0"/>
                      <wp:positionH relativeFrom="column">
                        <wp:posOffset>0</wp:posOffset>
                      </wp:positionH>
                      <wp:positionV relativeFrom="paragraph">
                        <wp:posOffset>0</wp:posOffset>
                      </wp:positionV>
                      <wp:extent cx="57150" cy="139700"/>
                      <wp:effectExtent l="0" t="0" r="0" b="0"/>
                      <wp:wrapNone/>
                      <wp:docPr id="152" name="Picture_205_SpCnt_18"/>
                      <wp:cNvGraphicFramePr/>
                      <a:graphic xmlns:a="http://schemas.openxmlformats.org/drawingml/2006/main">
                        <a:graphicData uri="http://schemas.openxmlformats.org/drawingml/2006/picture">
                          <pic:pic xmlns:pic="http://schemas.openxmlformats.org/drawingml/2006/picture">
                            <pic:nvPicPr>
                              <pic:cNvPr id="152" name="Picture_205_SpCnt_1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81696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7984" behindDoc="0" locked="0" layoutInCell="1" allowOverlap="1">
                      <wp:simplePos x="0" y="0"/>
                      <wp:positionH relativeFrom="column">
                        <wp:posOffset>0</wp:posOffset>
                      </wp:positionH>
                      <wp:positionV relativeFrom="paragraph">
                        <wp:posOffset>0</wp:posOffset>
                      </wp:positionV>
                      <wp:extent cx="57150" cy="139700"/>
                      <wp:effectExtent l="0" t="0" r="0" b="0"/>
                      <wp:wrapNone/>
                      <wp:docPr id="153" name="Picture_204_SpCnt_19"/>
                      <wp:cNvGraphicFramePr/>
                      <a:graphic xmlns:a="http://schemas.openxmlformats.org/drawingml/2006/main">
                        <a:graphicData uri="http://schemas.openxmlformats.org/drawingml/2006/picture">
                          <pic:pic xmlns:pic="http://schemas.openxmlformats.org/drawingml/2006/picture">
                            <pic:nvPicPr>
                              <pic:cNvPr id="153" name="Picture_204_SpCnt_1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81798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9008" behindDoc="0" locked="0" layoutInCell="1" allowOverlap="1">
                      <wp:simplePos x="0" y="0"/>
                      <wp:positionH relativeFrom="column">
                        <wp:posOffset>0</wp:posOffset>
                      </wp:positionH>
                      <wp:positionV relativeFrom="paragraph">
                        <wp:posOffset>0</wp:posOffset>
                      </wp:positionV>
                      <wp:extent cx="57150" cy="139700"/>
                      <wp:effectExtent l="0" t="0" r="0" b="0"/>
                      <wp:wrapNone/>
                      <wp:docPr id="154" name="Picture_200_SpCnt_19"/>
                      <wp:cNvGraphicFramePr/>
                      <a:graphic xmlns:a="http://schemas.openxmlformats.org/drawingml/2006/main">
                        <a:graphicData uri="http://schemas.openxmlformats.org/drawingml/2006/picture">
                          <pic:pic xmlns:pic="http://schemas.openxmlformats.org/drawingml/2006/picture">
                            <pic:nvPicPr>
                              <pic:cNvPr id="154" name="Picture_200_SpCnt_1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81900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0032" behindDoc="0" locked="0" layoutInCell="1" allowOverlap="1">
                      <wp:simplePos x="0" y="0"/>
                      <wp:positionH relativeFrom="column">
                        <wp:posOffset>0</wp:posOffset>
                      </wp:positionH>
                      <wp:positionV relativeFrom="paragraph">
                        <wp:posOffset>0</wp:posOffset>
                      </wp:positionV>
                      <wp:extent cx="57150" cy="139700"/>
                      <wp:effectExtent l="0" t="0" r="0" b="0"/>
                      <wp:wrapNone/>
                      <wp:docPr id="155" name="Picture_197_SpCnt_18"/>
                      <wp:cNvGraphicFramePr/>
                      <a:graphic xmlns:a="http://schemas.openxmlformats.org/drawingml/2006/main">
                        <a:graphicData uri="http://schemas.openxmlformats.org/drawingml/2006/picture">
                          <pic:pic xmlns:pic="http://schemas.openxmlformats.org/drawingml/2006/picture">
                            <pic:nvPicPr>
                              <pic:cNvPr id="155" name="Picture_197_SpCnt_1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82003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1056" behindDoc="0" locked="0" layoutInCell="1" allowOverlap="1">
                      <wp:simplePos x="0" y="0"/>
                      <wp:positionH relativeFrom="column">
                        <wp:posOffset>0</wp:posOffset>
                      </wp:positionH>
                      <wp:positionV relativeFrom="paragraph">
                        <wp:posOffset>0</wp:posOffset>
                      </wp:positionV>
                      <wp:extent cx="57150" cy="139700"/>
                      <wp:effectExtent l="0" t="0" r="0" b="0"/>
                      <wp:wrapNone/>
                      <wp:docPr id="156" name="Picture_205_SpCnt_19"/>
                      <wp:cNvGraphicFramePr/>
                      <a:graphic xmlns:a="http://schemas.openxmlformats.org/drawingml/2006/main">
                        <a:graphicData uri="http://schemas.openxmlformats.org/drawingml/2006/picture">
                          <pic:pic xmlns:pic="http://schemas.openxmlformats.org/drawingml/2006/picture">
                            <pic:nvPicPr>
                              <pic:cNvPr id="156" name="Picture_205_SpCnt_1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82105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2080" behindDoc="0" locked="0" layoutInCell="1" allowOverlap="1">
                      <wp:simplePos x="0" y="0"/>
                      <wp:positionH relativeFrom="column">
                        <wp:posOffset>0</wp:posOffset>
                      </wp:positionH>
                      <wp:positionV relativeFrom="paragraph">
                        <wp:posOffset>0</wp:posOffset>
                      </wp:positionV>
                      <wp:extent cx="57150" cy="139700"/>
                      <wp:effectExtent l="0" t="0" r="0" b="0"/>
                      <wp:wrapNone/>
                      <wp:docPr id="157" name="Picture_247_SpCnt_9"/>
                      <wp:cNvGraphicFramePr/>
                      <a:graphic xmlns:a="http://schemas.openxmlformats.org/drawingml/2006/main">
                        <a:graphicData uri="http://schemas.openxmlformats.org/drawingml/2006/picture">
                          <pic:pic xmlns:pic="http://schemas.openxmlformats.org/drawingml/2006/picture">
                            <pic:nvPicPr>
                              <pic:cNvPr id="157" name="Picture_247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82208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0</wp:posOffset>
                      </wp:positionH>
                      <wp:positionV relativeFrom="paragraph">
                        <wp:posOffset>0</wp:posOffset>
                      </wp:positionV>
                      <wp:extent cx="57150" cy="139700"/>
                      <wp:effectExtent l="0" t="0" r="0" b="0"/>
                      <wp:wrapNone/>
                      <wp:docPr id="158" name="Picture_407_SpCnt_9"/>
                      <wp:cNvGraphicFramePr/>
                      <a:graphic xmlns:a="http://schemas.openxmlformats.org/drawingml/2006/main">
                        <a:graphicData uri="http://schemas.openxmlformats.org/drawingml/2006/picture">
                          <pic:pic xmlns:pic="http://schemas.openxmlformats.org/drawingml/2006/picture">
                            <pic:nvPicPr>
                              <pic:cNvPr id="158" name="Picture_407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82310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0</wp:posOffset>
                      </wp:positionH>
                      <wp:positionV relativeFrom="paragraph">
                        <wp:posOffset>0</wp:posOffset>
                      </wp:positionV>
                      <wp:extent cx="57150" cy="139700"/>
                      <wp:effectExtent l="0" t="0" r="0" b="0"/>
                      <wp:wrapNone/>
                      <wp:docPr id="159" name="Picture_246_SpCnt_9"/>
                      <wp:cNvGraphicFramePr/>
                      <a:graphic xmlns:a="http://schemas.openxmlformats.org/drawingml/2006/main">
                        <a:graphicData uri="http://schemas.openxmlformats.org/drawingml/2006/picture">
                          <pic:pic xmlns:pic="http://schemas.openxmlformats.org/drawingml/2006/picture">
                            <pic:nvPicPr>
                              <pic:cNvPr id="159" name="Picture_246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82412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5152" behindDoc="0" locked="0" layoutInCell="1" allowOverlap="1">
                      <wp:simplePos x="0" y="0"/>
                      <wp:positionH relativeFrom="column">
                        <wp:posOffset>0</wp:posOffset>
                      </wp:positionH>
                      <wp:positionV relativeFrom="paragraph">
                        <wp:posOffset>0</wp:posOffset>
                      </wp:positionV>
                      <wp:extent cx="57150" cy="139700"/>
                      <wp:effectExtent l="0" t="0" r="0" b="0"/>
                      <wp:wrapNone/>
                      <wp:docPr id="160" name="Picture_408_SpCnt_9"/>
                      <wp:cNvGraphicFramePr/>
                      <a:graphic xmlns:a="http://schemas.openxmlformats.org/drawingml/2006/main">
                        <a:graphicData uri="http://schemas.openxmlformats.org/drawingml/2006/picture">
                          <pic:pic xmlns:pic="http://schemas.openxmlformats.org/drawingml/2006/picture">
                            <pic:nvPicPr>
                              <pic:cNvPr id="160" name="Picture_408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82515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6176" behindDoc="0" locked="0" layoutInCell="1" allowOverlap="1">
                      <wp:simplePos x="0" y="0"/>
                      <wp:positionH relativeFrom="column">
                        <wp:posOffset>0</wp:posOffset>
                      </wp:positionH>
                      <wp:positionV relativeFrom="paragraph">
                        <wp:posOffset>0</wp:posOffset>
                      </wp:positionV>
                      <wp:extent cx="57150" cy="139700"/>
                      <wp:effectExtent l="0" t="0" r="0" b="0"/>
                      <wp:wrapNone/>
                      <wp:docPr id="161" name="Picture_197_SpCnt_19"/>
                      <wp:cNvGraphicFramePr/>
                      <a:graphic xmlns:a="http://schemas.openxmlformats.org/drawingml/2006/main">
                        <a:graphicData uri="http://schemas.openxmlformats.org/drawingml/2006/picture">
                          <pic:pic xmlns:pic="http://schemas.openxmlformats.org/drawingml/2006/picture">
                            <pic:nvPicPr>
                              <pic:cNvPr id="161" name="Picture_197_SpCnt_1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82617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763"/>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F2-02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4K教师观察摄像机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#1、产品采用一体化设计，内置4k摄像头和麦克风；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#2、摄像头水平视场角≥40°，对角线视场角≥45°，传感器有效像素≥800万，支持4K超高清影像输出；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#3、提供3840×2160图像编码输出，同时向下兼容 1920×1080、1280×720 分辨率；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#4、产品可同时提供</w:t>
            </w:r>
            <w:r>
              <w:rPr>
                <w:rFonts w:hint="eastAsia" w:ascii="宋体" w:hAnsi="宋体" w:cs="宋体"/>
                <w:i w:val="0"/>
                <w:iCs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路编码输出；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#5、内置视频处理器采用四核处理器，≥512MB系统内存、≥128MB存储空间；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6</w:t>
            </w:r>
            <w:r>
              <w:rPr>
                <w:rFonts w:hint="eastAsia" w:ascii="宋体" w:hAnsi="宋体" w:eastAsia="宋体" w:cs="宋体"/>
                <w:i w:val="0"/>
                <w:iCs w:val="0"/>
                <w:color w:val="auto"/>
                <w:sz w:val="21"/>
                <w:szCs w:val="21"/>
                <w:highlight w:val="none"/>
                <w:u w:val="none"/>
                <w:lang w:val="en-US" w:eastAsia="zh-CN" w:bidi="ar"/>
              </w:rPr>
              <w:t xml:space="preserve">、产品支持H.264视频编码格式；视频码率设置范围：819Kbps ~ 12288Kbps；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7</w:t>
            </w:r>
            <w:r>
              <w:rPr>
                <w:rFonts w:hint="eastAsia" w:ascii="宋体" w:hAnsi="宋体" w:eastAsia="宋体" w:cs="宋体"/>
                <w:i w:val="0"/>
                <w:iCs w:val="0"/>
                <w:color w:val="auto"/>
                <w:sz w:val="21"/>
                <w:szCs w:val="21"/>
                <w:highlight w:val="none"/>
                <w:u w:val="none"/>
                <w:lang w:val="en-US" w:eastAsia="zh-CN" w:bidi="ar"/>
              </w:rPr>
              <w:t xml:space="preserve">、内置8阵列麦克风，拾音角度≥180°，麦克风拾音距离≥12m，音频处理采用4核音频处理芯片，配置≥64MB系统内存，≥256MB存储空间；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8</w:t>
            </w:r>
            <w:r>
              <w:rPr>
                <w:rFonts w:hint="eastAsia" w:ascii="宋体" w:hAnsi="宋体" w:eastAsia="宋体" w:cs="宋体"/>
                <w:i w:val="0"/>
                <w:iCs w:val="0"/>
                <w:color w:val="auto"/>
                <w:sz w:val="21"/>
                <w:szCs w:val="21"/>
                <w:highlight w:val="none"/>
                <w:u w:val="none"/>
                <w:lang w:val="en-US" w:eastAsia="zh-CN" w:bidi="ar"/>
              </w:rPr>
              <w:t xml:space="preserve">、产品接口含2路RJ45级联接口，PoE in支持RJ45音频输入，PoE out 支持网络级联和信息输出；1路DC接口；1个红绿双色指示灯，支持显示产品工作状态；1路针孔按键，支持复位重启设备功能；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9</w:t>
            </w:r>
            <w:r>
              <w:rPr>
                <w:rFonts w:hint="eastAsia" w:ascii="宋体" w:hAnsi="宋体" w:eastAsia="宋体" w:cs="宋体"/>
                <w:i w:val="0"/>
                <w:iCs w:val="0"/>
                <w:color w:val="auto"/>
                <w:sz w:val="21"/>
                <w:szCs w:val="21"/>
                <w:highlight w:val="none"/>
                <w:u w:val="none"/>
                <w:lang w:val="en-US" w:eastAsia="zh-CN" w:bidi="ar"/>
              </w:rPr>
              <w:t xml:space="preserve">、内置指示灯，支持显示工作状态；工作状态包括：正常上电后状态、OTA升级状态、复位状态；正常工作状态为绿色；OTA升级，指示灯为绿色闪烁；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、支持≥2种供电方式</w:t>
            </w:r>
            <w:r>
              <w:rPr>
                <w:rFonts w:hint="eastAsia" w:ascii="宋体" w:hAnsi="宋体" w:eastAsia="宋体" w:cs="宋体"/>
                <w:i w:val="0"/>
                <w:iCs w:val="0"/>
                <w:strike w:val="0"/>
                <w:color w:val="auto"/>
                <w:sz w:val="21"/>
                <w:szCs w:val="21"/>
                <w:highlight w:val="none"/>
                <w:u w:val="none"/>
                <w:lang w:val="en-US" w:eastAsia="zh-CN" w:bidi="ar"/>
              </w:rPr>
              <w:t xml:space="preserve">给外部POE设备供电；只需要1路网线，即可实现供电及网络信号传输，</w:t>
            </w:r>
            <w:r>
              <w:rPr>
                <w:rFonts w:hint="eastAsia" w:ascii="宋体" w:hAnsi="宋体" w:eastAsia="宋体" w:cs="宋体"/>
                <w:i w:val="0"/>
                <w:iCs w:val="0"/>
                <w:color w:val="auto"/>
                <w:sz w:val="21"/>
                <w:szCs w:val="21"/>
                <w:highlight w:val="none"/>
                <w:u w:val="none"/>
                <w:lang w:val="en-US" w:eastAsia="zh-CN" w:bidi="ar"/>
              </w:rPr>
              <w:t xml:space="preserve">支持同时输出全景输出和板书记忆多路画面；</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9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F2-03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4K学生观察摄像机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#1.整机采用一体化设计，内置四个摄像头和8阵列麦克风，支持PoE和DC12V直流供电；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#2.整机具备不少于2路RJ45接口；不少于1路3.5mm audio in 音频输入接口；不少于1路Type-C接口；不少于1路DC12V电源输入接口；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#3.整机具有≥2个工作状态LED指示灯，可分别指示音频系统工作状态指示和视频系统工作状态指示；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#4.产品内置专属的不低于4核音频CPU处理器，配置独立不低于64MB系统内存，不低于256MB存储空间；支持不低于8路麦克风数据处理，采样率不低于192k，AAC编码码率不低于480kbps；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#5.整机内置独立音频CPU处理器；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#6.整机内置8阵列麦克风，拾音角度≥180°，可用于对教室环境音频进行采集，拾音距离≥12m时，信噪比不低于15dB；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#7.产品内置采用不低于4核视频处理器，≥1GB系统内存、≥8GB存储空间；</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9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F2-04</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麦克风</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#1、产品采用一体化设计，内置≥6个传感器单元，组成环形阵列；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#2、产品内置阵列麦克风，360°全向拾音，麦克风拾音距离≥4m；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#3、产品音频处理采用4核国产音频处理芯片；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#4、产品接口含2路RJ45级联接口，Down支持RJ45音频输入，Up 支持网络级联和信息输出，同时支持PoE in电源；1路USB音频接口；2路3.5mm AUX接口，支持音频输入输出接口；1个红绿双色指示灯，支持显示产品工作状态；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#5、产品整机支持POE供电</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支持给外部POE设备供电；</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3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F2-05</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课堂智能反馈系统</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#1、系统支持通过按钮控制启动、停止，当系统运行时，有指示灯提示。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#2、系统支持通过整机设备的侧边栏控制启动、停止，启动后实时显示平均语速、讲授时长、讲授字数。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#3、系统支持在整机设备的侧边栏中查看运行状态，当设备异常时，会进行异常提示。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#4、系统支持对教室环境的3D还原重建，形成桌椅、讲台、一体机的真实环境建模，采集到的师生互动行为自动对应到具体课桌位置；支持正前方、左前方、右前方、左后方、右后方</w:t>
            </w:r>
            <w:r>
              <w:rPr>
                <w:rFonts w:hint="eastAsia" w:ascii="宋体" w:hAnsi="宋体" w:cs="宋体"/>
                <w:i w:val="0"/>
                <w:iCs w:val="0"/>
                <w:strike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种视角转换。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#5、在3D课堂孪生界面中，通过课桌的颜色深浅表示学生参与互动的活跃程度，基于学生上台次数、举手次数、问答次数计算学生活跃程度，颜色越深则代表越活跃。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#6、在3D课堂孪生界面中，支持点击课堂活跃热力图中的学生头像，查看该学生的师生互动视频片段，统计该学生在本节课的上台互动、举手次数、问答次数。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#7、在3D课堂孪生界面中，支持在地面上显示教师的巡堂轨迹，颜色越深代表停留时间越长。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#8、系统根据教学内容自动生成师生问答、课堂互动、新课标落实</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三个维度的课堂反馈建议，可查看全部提问、符合知识性目标的提问、不合适的提问、提问优化建议、课堂互动建议、基于新课标的亮点和改进建议。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#9、系统支持统计课程时长、课堂中教师讲授时长、教师讲授字数、教师授课平均语速。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、系统将课堂中老师和学生的声音转写为文字，按照前后文自动切割为不同的片段；片段支持展开查看详细文字，支持跳转到文字段落对应的视频片段。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1</w:t>
            </w:r>
            <w:r>
              <w:rPr>
                <w:rFonts w:hint="eastAsia" w:ascii="宋体" w:hAnsi="宋体" w:eastAsia="宋体" w:cs="宋体"/>
                <w:i w:val="0"/>
                <w:iCs w:val="0"/>
                <w:color w:val="auto"/>
                <w:sz w:val="21"/>
                <w:szCs w:val="21"/>
                <w:highlight w:val="none"/>
                <w:u w:val="none"/>
                <w:lang w:val="en-US" w:eastAsia="zh-CN" w:bidi="ar"/>
              </w:rPr>
              <w:t xml:space="preserve">、系统支持对语音转写中的师生问答进行自动识别，所有的提问自动高亮显示，支持将识别出的问答实录一键导出为云文档。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、系统支持对识别出的文字进行手动校准，支持对识别出的问答片段标注是否有效，被标注有效的问答片段，在播放器时间轴对应的时间点上会高亮显示。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、系统支持自动识别问题分类，按简单型、追问型、思考再答型、自问自答、无响应进行分类统计。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、系统支持点击问答模式对该类型的提问进行筛选，问答实录中显示对应文字明细，文字明细会按师生角色区分，并自动进行分段分句，支持跳转到文字段落对应的视频片段。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、系统支持教师画面、学生画面双窗口显示，小窗口可自由拖动位置和自由切换；视频画面与互动课件一一对应，点击互动课件缩略图，可跳转至对应视频片段。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6</w:t>
            </w:r>
            <w:r>
              <w:rPr>
                <w:rFonts w:hint="eastAsia" w:ascii="宋体" w:hAnsi="宋体" w:eastAsia="宋体" w:cs="宋体"/>
                <w:i w:val="0"/>
                <w:iCs w:val="0"/>
                <w:color w:val="auto"/>
                <w:sz w:val="21"/>
                <w:szCs w:val="21"/>
                <w:highlight w:val="none"/>
                <w:u w:val="none"/>
                <w:lang w:val="en-US" w:eastAsia="zh-CN" w:bidi="ar"/>
              </w:rPr>
              <w:t xml:space="preserve">、系统将课堂实录自动切割为关键片段，根据模式的选择播放指定类型的片段内容；片段中包含提问、回答、举手、上台、齐读、讨论的教学事件，播放进度条支持显示事件类型、定位播放功能。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7</w:t>
            </w:r>
            <w:r>
              <w:rPr>
                <w:rFonts w:hint="eastAsia" w:ascii="宋体" w:hAnsi="宋体" w:eastAsia="宋体" w:cs="宋体"/>
                <w:i w:val="0"/>
                <w:iCs w:val="0"/>
                <w:color w:val="auto"/>
                <w:sz w:val="21"/>
                <w:szCs w:val="21"/>
                <w:highlight w:val="none"/>
                <w:u w:val="none"/>
                <w:lang w:val="en-US" w:eastAsia="zh-CN" w:bidi="ar"/>
              </w:rPr>
              <w:t xml:space="preserve">、系统支持教学环节、课堂互动、完整回放</w:t>
            </w:r>
            <w:r>
              <w:rPr>
                <w:rFonts w:hint="eastAsia" w:ascii="宋体" w:hAnsi="宋体" w:cs="宋体"/>
                <w:i w:val="0"/>
                <w:iCs w:val="0"/>
                <w:strike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种播放模式，可任意切换。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18</w:t>
            </w:r>
            <w:r>
              <w:rPr>
                <w:rFonts w:hint="eastAsia" w:ascii="宋体" w:hAnsi="宋体" w:eastAsia="宋体" w:cs="宋体"/>
                <w:i w:val="0"/>
                <w:iCs w:val="0"/>
                <w:color w:val="auto"/>
                <w:sz w:val="21"/>
                <w:szCs w:val="21"/>
                <w:highlight w:val="none"/>
                <w:u w:val="none"/>
                <w:lang w:val="en-US" w:eastAsia="zh-CN" w:bidi="ar"/>
              </w:rPr>
              <w:t xml:space="preserve">、系统支持将报告下载至本地，报告中包含基础数据、教学时间分配、讲学环节时间轴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高频词语分析、提问数据统计、提问详情列表</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19</w:t>
            </w:r>
            <w:r>
              <w:rPr>
                <w:rFonts w:hint="eastAsia" w:ascii="宋体" w:hAnsi="宋体" w:eastAsia="宋体" w:cs="宋体"/>
                <w:i w:val="0"/>
                <w:iCs w:val="0"/>
                <w:color w:val="auto"/>
                <w:sz w:val="21"/>
                <w:szCs w:val="21"/>
                <w:highlight w:val="none"/>
                <w:u w:val="none"/>
                <w:lang w:val="en-US" w:eastAsia="zh-CN" w:bidi="ar"/>
              </w:rPr>
              <w:t xml:space="preserve">、系统支持计算本节课的教师行为占有率Rt、师生行为转换率Ch，基于本节课的Rt值、Ch值得出本节课的教学模式，教学模式包含：混合型、练习型、讲授型、对话型</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、系统支持以海报、二维码</w:t>
            </w:r>
            <w:r>
              <w:rPr>
                <w:rFonts w:hint="eastAsia" w:ascii="宋体" w:hAnsi="宋体" w:cs="宋体"/>
                <w:i w:val="0"/>
                <w:iCs w:val="0"/>
                <w:strike w:val="0"/>
                <w:color w:val="auto"/>
                <w:sz w:val="21"/>
                <w:szCs w:val="21"/>
                <w:highlight w:val="none"/>
                <w:u w:val="none"/>
                <w:lang w:val="en-US" w:eastAsia="zh-CN" w:bidi="ar"/>
              </w:rPr>
              <w:t xml:space="preserve">多种</w:t>
            </w:r>
            <w:r>
              <w:rPr>
                <w:rFonts w:hint="eastAsia" w:ascii="宋体" w:hAnsi="宋体" w:eastAsia="宋体" w:cs="宋体"/>
                <w:i w:val="0"/>
                <w:iCs w:val="0"/>
                <w:color w:val="auto"/>
                <w:sz w:val="21"/>
                <w:szCs w:val="21"/>
                <w:highlight w:val="none"/>
                <w:u w:val="none"/>
                <w:lang w:val="en-US" w:eastAsia="zh-CN" w:bidi="ar"/>
              </w:rPr>
              <w:t xml:space="preserve">方式分享给他人；支持在移动端查看报告。</w:t>
            </w:r>
            <w:r>
              <w:rPr>
                <w:rFonts w:hint="eastAsia" w:ascii="宋体" w:hAnsi="宋体" w:eastAsia="宋体" w:cs="宋体"/>
                <w:i w:val="0"/>
                <w:iCs w:val="0"/>
                <w:color w:val="auto"/>
                <w:sz w:val="21"/>
                <w:szCs w:val="21"/>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89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F2-06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物化生虚拟仿真实验测评软件（学生端）</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一、平台功能要求：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#1.平台支持多终端设备授权接入；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.平台模块化设计，物理、化学、生物三学科均包含有实验模拟考试模块，物化学科增加实验教学模块。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二、实验教学模块功能要求：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#1.背包功能：根据实验情况从背包选择或抓取所需实验器材、实验用品；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#2.辅助线功能：清晰呈现物理实验的抽象概念，便于理解实验原理；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#3.数据记录功能：点击记录按钮自动记录物理实验操作数据；表格数据一目了然，方便观察，总结；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#4.微观粒子展现功能：更清晰观察化学实验中化学反应现象、原理。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三、实验测评考试模块功能要求：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#1.仿真实验操作与学科学业水平考试操作步骤一致，模拟真实实验考试过程；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四、实验课程资源要求: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#1.实验教学课件资源要求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物理资源</w:t>
            </w:r>
            <w:r>
              <w:rPr>
                <w:rFonts w:hint="eastAsia" w:ascii="宋体" w:hAnsi="宋体" w:cs="宋体"/>
                <w:i w:val="0"/>
                <w:iCs w:val="0"/>
                <w:strike w:val="0"/>
                <w:color w:val="auto"/>
                <w:sz w:val="21"/>
                <w:szCs w:val="21"/>
                <w:highlight w:val="none"/>
                <w:u w:val="none"/>
                <w:lang w:val="en-US" w:eastAsia="zh-CN" w:bidi="ar"/>
              </w:rPr>
              <w:t xml:space="preserve">内容为</w:t>
            </w:r>
            <w:r>
              <w:rPr>
                <w:rFonts w:hint="eastAsia" w:ascii="宋体" w:hAnsi="宋体" w:eastAsia="宋体" w:cs="宋体"/>
                <w:i w:val="0"/>
                <w:iCs w:val="0"/>
                <w:color w:val="auto"/>
                <w:sz w:val="21"/>
                <w:szCs w:val="21"/>
                <w:highlight w:val="none"/>
                <w:u w:val="none"/>
                <w:lang w:val="en-US" w:eastAsia="zh-CN" w:bidi="ar"/>
              </w:rPr>
              <w:t xml:space="preserve">：1）用刻度尺测量长度、用停表测量时间2）测量物体运动的平均速度3）用温度计测量水的温度4）探究固体熔化时温度的变化规律5）探究水沸腾时温度变化的特点</w:t>
            </w:r>
            <w:r>
              <w:rPr>
                <w:rFonts w:hint="eastAsia" w:ascii="宋体" w:hAnsi="宋体" w:cs="宋体"/>
                <w:i w:val="0"/>
                <w:iCs w:val="0"/>
                <w:strike w:val="0"/>
                <w:color w:val="auto"/>
                <w:sz w:val="21"/>
                <w:szCs w:val="21"/>
                <w:highlight w:val="none"/>
                <w:u w:val="none"/>
                <w:lang w:val="en-US" w:eastAsia="zh-CN" w:bidi="ar"/>
              </w:rPr>
              <w:t xml:space="preserve">等类似课件</w:t>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化学资源</w:t>
            </w:r>
            <w:r>
              <w:rPr>
                <w:rFonts w:hint="eastAsia" w:ascii="宋体" w:hAnsi="宋体" w:cs="宋体"/>
                <w:i w:val="0"/>
                <w:iCs w:val="0"/>
                <w:strike w:val="0"/>
                <w:color w:val="auto"/>
                <w:sz w:val="21"/>
                <w:szCs w:val="21"/>
                <w:highlight w:val="none"/>
                <w:u w:val="none"/>
                <w:lang w:val="en-US" w:eastAsia="zh-CN" w:bidi="ar"/>
              </w:rPr>
              <w:t xml:space="preserve">内容为：</w:t>
            </w:r>
            <w:r>
              <w:rPr>
                <w:rFonts w:hint="eastAsia" w:ascii="宋体" w:hAnsi="宋体" w:eastAsia="宋体" w:cs="宋体"/>
                <w:i w:val="0"/>
                <w:iCs w:val="0"/>
                <w:color w:val="auto"/>
                <w:sz w:val="21"/>
                <w:szCs w:val="21"/>
                <w:highlight w:val="none"/>
                <w:u w:val="none"/>
                <w:lang w:val="en-US" w:eastAsia="zh-CN" w:bidi="ar"/>
              </w:rPr>
              <w:t xml:space="preserve">1）对蜡烛及其燃烧的探究2）测定空气里氧气的含量3）硫分别在空气和氧气里燃烧4）木炭分别在空气和氧气中燃烧5）铁丝在氧气中剧烈燃烧</w:t>
            </w:r>
            <w:r>
              <w:rPr>
                <w:rFonts w:hint="eastAsia" w:ascii="宋体" w:hAnsi="宋体" w:cs="宋体"/>
                <w:i w:val="0"/>
                <w:iCs w:val="0"/>
                <w:strike w:val="0"/>
                <w:color w:val="auto"/>
                <w:sz w:val="21"/>
                <w:szCs w:val="21"/>
                <w:highlight w:val="none"/>
                <w:u w:val="none"/>
                <w:lang w:val="en-US" w:eastAsia="zh-CN" w:bidi="ar"/>
              </w:rPr>
              <w:t xml:space="preserve">等类似课件。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生物资源</w:t>
            </w:r>
            <w:r>
              <w:rPr>
                <w:rFonts w:hint="eastAsia" w:ascii="宋体" w:hAnsi="宋体" w:cs="宋体"/>
                <w:i w:val="0"/>
                <w:iCs w:val="0"/>
                <w:strike w:val="0"/>
                <w:color w:val="auto"/>
                <w:sz w:val="21"/>
                <w:szCs w:val="21"/>
                <w:highlight w:val="none"/>
                <w:u w:val="none"/>
                <w:lang w:val="en-US" w:eastAsia="zh-CN" w:bidi="ar"/>
              </w:rPr>
              <w:t xml:space="preserve">内容为：</w:t>
            </w:r>
            <w:r>
              <w:rPr>
                <w:rFonts w:hint="eastAsia" w:ascii="宋体" w:hAnsi="宋体" w:eastAsia="宋体" w:cs="宋体"/>
                <w:i w:val="0"/>
                <w:iCs w:val="0"/>
                <w:color w:val="auto"/>
                <w:sz w:val="21"/>
                <w:szCs w:val="21"/>
                <w:highlight w:val="none"/>
                <w:u w:val="none"/>
                <w:lang w:val="en-US" w:eastAsia="zh-CN" w:bidi="ar"/>
              </w:rPr>
              <w:t xml:space="preserve">1) 显微镜的构造 2) 洋葱鳞片叶内表皮细胞 3) 植物细胞模式图 4）动物细胞模式图 5）动物的器官 </w:t>
            </w:r>
            <w:r>
              <w:rPr>
                <w:rFonts w:hint="eastAsia" w:ascii="宋体" w:hAnsi="宋体" w:cs="宋体"/>
                <w:i w:val="0"/>
                <w:iCs w:val="0"/>
                <w:strike w:val="0"/>
                <w:color w:val="auto"/>
                <w:sz w:val="21"/>
                <w:szCs w:val="21"/>
                <w:highlight w:val="none"/>
                <w:u w:val="none"/>
                <w:lang w:val="en-US" w:eastAsia="zh-CN" w:bidi="ar"/>
              </w:rPr>
              <w:t xml:space="preserve">等类似课件。</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#2.实验测评考试课件资源要求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物理资源</w:t>
            </w:r>
            <w:r>
              <w:rPr>
                <w:rFonts w:hint="eastAsia" w:ascii="宋体" w:hAnsi="宋体" w:cs="宋体"/>
                <w:i w:val="0"/>
                <w:iCs w:val="0"/>
                <w:strike w:val="0"/>
                <w:color w:val="auto"/>
                <w:sz w:val="21"/>
                <w:szCs w:val="21"/>
                <w:highlight w:val="none"/>
                <w:u w:val="none"/>
                <w:lang w:val="en-US" w:eastAsia="zh-CN" w:bidi="ar"/>
              </w:rPr>
              <w:t xml:space="preserve">内容为：</w:t>
            </w:r>
            <w:r>
              <w:rPr>
                <w:rFonts w:hint="eastAsia" w:ascii="宋体" w:hAnsi="宋体" w:eastAsia="宋体" w:cs="宋体"/>
                <w:i w:val="0"/>
                <w:iCs w:val="0"/>
                <w:color w:val="auto"/>
                <w:sz w:val="21"/>
                <w:szCs w:val="21"/>
                <w:highlight w:val="none"/>
                <w:u w:val="none"/>
                <w:lang w:val="en-US" w:eastAsia="zh-CN" w:bidi="ar"/>
              </w:rPr>
              <w:t xml:space="preserve">1）用托盘天平测量物体的质量2）测量固体和液体的密度3）用常见温度计测量温度4）用刻度尺测量长度、用表测量时间5）测量物体运动的速度</w:t>
            </w:r>
            <w:r>
              <w:rPr>
                <w:rFonts w:hint="eastAsia" w:ascii="宋体" w:hAnsi="宋体" w:cs="宋体"/>
                <w:i w:val="0"/>
                <w:iCs w:val="0"/>
                <w:strike w:val="0"/>
                <w:color w:val="auto"/>
                <w:sz w:val="21"/>
                <w:szCs w:val="21"/>
                <w:highlight w:val="none"/>
                <w:u w:val="none"/>
                <w:lang w:val="en-US" w:eastAsia="zh-CN" w:bidi="ar"/>
              </w:rPr>
              <w:t xml:space="preserve">等类似课件。</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化学资源</w:t>
            </w:r>
            <w:r>
              <w:rPr>
                <w:rFonts w:hint="eastAsia" w:ascii="宋体" w:hAnsi="宋体" w:cs="宋体"/>
                <w:i w:val="0"/>
                <w:iCs w:val="0"/>
                <w:strike w:val="0"/>
                <w:color w:val="auto"/>
                <w:sz w:val="21"/>
                <w:szCs w:val="21"/>
                <w:highlight w:val="none"/>
                <w:u w:val="none"/>
                <w:lang w:val="en-US" w:eastAsia="zh-CN" w:bidi="ar"/>
              </w:rPr>
              <w:t xml:space="preserve">内容为：</w:t>
            </w:r>
            <w:r>
              <w:rPr>
                <w:rFonts w:hint="eastAsia" w:ascii="宋体" w:hAnsi="宋体" w:eastAsia="宋体" w:cs="宋体"/>
                <w:i w:val="0"/>
                <w:iCs w:val="0"/>
                <w:color w:val="auto"/>
                <w:sz w:val="21"/>
                <w:szCs w:val="21"/>
                <w:highlight w:val="none"/>
                <w:u w:val="none"/>
                <w:lang w:val="en-US" w:eastAsia="zh-CN" w:bidi="ar"/>
              </w:rPr>
              <w:t xml:space="preserve">1）探究铁、铜、铝三种金属的活动顺序2）水的净化3）二氧化碳的制取和检验4）用双氧水制取氧气5）探究过氧化氢溶液制取氧气的条件</w:t>
            </w:r>
            <w:r>
              <w:rPr>
                <w:rFonts w:hint="eastAsia" w:ascii="宋体" w:hAnsi="宋体" w:cs="宋体"/>
                <w:i w:val="0"/>
                <w:iCs w:val="0"/>
                <w:strike w:val="0"/>
                <w:color w:val="auto"/>
                <w:sz w:val="21"/>
                <w:szCs w:val="21"/>
                <w:highlight w:val="none"/>
                <w:u w:val="none"/>
                <w:lang w:val="en-US" w:eastAsia="zh-CN" w:bidi="ar"/>
              </w:rPr>
              <w:t xml:space="preserve">等类似课件。</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生物资源</w:t>
            </w:r>
            <w:r>
              <w:rPr>
                <w:rFonts w:hint="eastAsia" w:ascii="宋体" w:hAnsi="宋体" w:cs="宋体"/>
                <w:i w:val="0"/>
                <w:iCs w:val="0"/>
                <w:strike w:val="0"/>
                <w:color w:val="auto"/>
                <w:sz w:val="21"/>
                <w:szCs w:val="21"/>
                <w:highlight w:val="none"/>
                <w:u w:val="none"/>
                <w:lang w:val="en-US" w:eastAsia="zh-CN" w:bidi="ar"/>
              </w:rPr>
              <w:t xml:space="preserve">内容为：</w:t>
            </w:r>
            <w:r>
              <w:rPr>
                <w:rFonts w:hint="eastAsia" w:ascii="宋体" w:hAnsi="宋体" w:eastAsia="宋体" w:cs="宋体"/>
                <w:i w:val="0"/>
                <w:iCs w:val="0"/>
                <w:color w:val="auto"/>
                <w:sz w:val="21"/>
                <w:szCs w:val="21"/>
                <w:highlight w:val="none"/>
                <w:u w:val="none"/>
                <w:lang w:val="en-US" w:eastAsia="zh-CN" w:bidi="ar"/>
              </w:rPr>
              <w:t xml:space="preserve">1) 练习使用显微镜2) 制作并观察植物细胞的临时装片3) 观察人的口腔上皮细胞4) 观察叶片的结构5) 观察人体的基本组织</w:t>
            </w:r>
            <w:r>
              <w:rPr>
                <w:rFonts w:hint="eastAsia" w:ascii="宋体" w:hAnsi="宋体" w:cs="宋体"/>
                <w:i w:val="0"/>
                <w:iCs w:val="0"/>
                <w:strike w:val="0"/>
                <w:color w:val="auto"/>
                <w:sz w:val="21"/>
                <w:szCs w:val="21"/>
                <w:highlight w:val="none"/>
                <w:u w:val="none"/>
                <w:lang w:val="en-US" w:eastAsia="zh-CN" w:bidi="ar"/>
              </w:rPr>
              <w:t xml:space="preserve">等类似课件。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F3、基础设备</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F3-01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56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F3-02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#1.规格：≥φ1400*H740mm；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w:t>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12.7mm实芯板台面；台体颜色：</w:t>
            </w:r>
            <w:r>
              <w:rPr>
                <w:rFonts w:hint="eastAsia" w:ascii="宋体" w:hAnsi="宋体" w:cs="宋体"/>
                <w:i w:val="0"/>
                <w:iCs w:val="0"/>
                <w:color w:val="auto"/>
                <w:sz w:val="21"/>
                <w:szCs w:val="21"/>
                <w:highlight w:val="none"/>
                <w:u w:val="none"/>
                <w:lang w:val="en-US" w:eastAsia="zh-CN" w:bidi="ar"/>
              </w:rPr>
              <w:t xml:space="preserve">可选</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                                                                                                                                                                                                        #3.台体结构：整个六角台体采用环保ABS材料一次成型。组合台体使用6根鱼骨状连接件榫卯连接6个长边，短边的梯形</w:t>
            </w:r>
            <w:r>
              <w:rPr>
                <w:rFonts w:hint="eastAsia" w:ascii="宋体" w:hAnsi="宋体" w:cs="宋体"/>
                <w:i w:val="0"/>
                <w:iCs w:val="0"/>
                <w:color w:val="auto"/>
                <w:sz w:val="21"/>
                <w:szCs w:val="21"/>
                <w:highlight w:val="none"/>
                <w:u w:val="none"/>
                <w:lang w:val="en-US" w:eastAsia="zh-CN" w:bidi="ar"/>
              </w:rPr>
              <w:t xml:space="preserve">框</w:t>
            </w:r>
            <w:r>
              <w:rPr>
                <w:rFonts w:hint="eastAsia" w:ascii="宋体" w:hAnsi="宋体" w:eastAsia="宋体" w:cs="宋体"/>
                <w:i w:val="0"/>
                <w:iCs w:val="0"/>
                <w:color w:val="auto"/>
                <w:sz w:val="21"/>
                <w:szCs w:val="21"/>
                <w:highlight w:val="none"/>
                <w:u w:val="none"/>
                <w:lang w:val="en-US" w:eastAsia="zh-CN" w:bidi="ar"/>
              </w:rPr>
              <w:t xml:space="preserve">架，可接触部位均做了圆弧状处理，下部呈内凹状给学生预留出足够的腿部空间。搭配上开门综合使用柜。每张桌体都带有书包斗可供学生存放书包等物品。书包斗的外部设有挂凳口</w:t>
            </w:r>
            <w:r>
              <w:rPr>
                <w:rFonts w:hint="eastAsia" w:ascii="宋体" w:hAnsi="宋体" w:cs="宋体"/>
                <w:i w:val="0"/>
                <w:iCs w:val="0"/>
                <w:color w:val="auto"/>
                <w:sz w:val="21"/>
                <w:szCs w:val="21"/>
                <w:highlight w:val="none"/>
                <w:u w:val="none"/>
                <w:lang w:val="en-US" w:eastAsia="zh" w:bidi="ar"/>
              </w:rPr>
              <w:t xml:space="preserve">。</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F3-03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F3-04</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技术参数同“A1-10 教师椅”</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43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F3-05</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470*</w:t>
            </w:r>
            <w:r>
              <w:rPr>
                <w:rFonts w:hint="eastAsia" w:ascii="宋体" w:hAnsi="宋体" w:cs="宋体"/>
                <w:i w:val="0"/>
                <w:iCs w:val="0"/>
                <w:strike w:val="0"/>
                <w:color w:val="auto"/>
                <w:sz w:val="21"/>
                <w:szCs w:val="21"/>
                <w:highlight w:val="none"/>
                <w:u w:val="none"/>
                <w:lang w:val="en-US" w:eastAsia="zh-CN" w:bidi="ar"/>
              </w:rPr>
              <w:t xml:space="preserve">200</w:t>
            </w:r>
            <w:r>
              <w:rPr>
                <w:rFonts w:hint="eastAsia" w:ascii="宋体" w:hAnsi="宋体" w:eastAsia="宋体" w:cs="宋体"/>
                <w:i w:val="0"/>
                <w:iCs w:val="0"/>
                <w:color w:val="auto"/>
                <w:sz w:val="21"/>
                <w:szCs w:val="21"/>
                <w:highlight w:val="none"/>
                <w:u w:val="none"/>
                <w:lang w:val="en-US" w:eastAsia="zh-CN" w:bidi="ar"/>
              </w:rPr>
              <w:t xml:space="preserve">*700mm；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控制箱设置总控制器一个、总漏电保护器1个、每分路一个漏电保护器、开关电源若干个，≥10寸屏一个、紧急开关一个，启动开关一个，运行指示灯一个。多种元器件组合成强大保护集成电路。保障220V电源具有漏电、短路、过载保护，保证安全可靠。低压输出驱动电压、学生电源交直流电压，具有智能保护系统，短路过载具有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#3.控制每点的电压，高压220V开关，低压交流0-30V/2A,1V每档，低压直流0-30V直流电源电压为0V-16.0V/2A、16.1V-30.0V/1A，分辨率为0.1V。具备自动过载保护功能；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#4.采用触摸屏控制；学生低压电源采用触摸屏操作方式，电压，电流液晶显示；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16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F3-06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顶部多模块电源供应装置</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#1.采用ABS材质，模具一体成型。模块内预留高压、低压位置；</w:t>
            </w:r>
            <w:r>
              <w:rPr>
                <w:rFonts w:hint="eastAsia" w:ascii="宋体" w:hAnsi="宋体" w:eastAsia="宋体" w:cs="宋体"/>
                <w:i w:val="0"/>
                <w:iCs w:val="0"/>
                <w:color w:val="auto"/>
                <w:sz w:val="21"/>
                <w:szCs w:val="21"/>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F3-07</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模块储藏装置</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#1.采用ABS材质，模具一体成型。四周带氛围灯设计；</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438"/>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F3-08</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低压电源模块</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#2.学生电源采用耐磨、耐腐蚀、耐高温的PC亮光薄膜面板，可以随意设置电压，贴片元件生产技术，微电脑控制，采用液晶显示电源学生交直流电压；</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#3.学生交流电源通过上下键0～30V电压，最小调节单元可达1V,额定电流2.5A；用数字万用表现场测试交流30V；</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#4.学生直流电源也是通过上下键选取，调节范围为0V～30V，分辨率可达0.1V,额定电流2A；</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#5.一个吊舱上的2组低压电源应能组成正负电源，测试方法，把一组电源的负极用导线连到另一组电源的正极，组成正负电源。用数字万用表现场测试电压正负24V电压，串联48V；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#6.一个吊舱有2个网络接口及两个USB接口；</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F3-09</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高压电源模块</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#1.采用220V，多功能安全插座；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F3-10</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灯光照明系统</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F3-11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5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F3-12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智能升降机构</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#1.整体采用自动升降机构，内置卷线盘、铝合金转盘、U型导轮及直流减速电机，通过减速电机带动卷线盘实现正反转，U型导轮定位电缆线，装置设置有触碰开关，对电源升降起限位作用；</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F3-13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F3-14</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安装支架</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#1.采用环氧树脂喷涂吊杆，横梁吊装方式，减少楼板承重，防止左右晃动，可进行上下、左右的平衡调节；</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F3-15</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F3-16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F3-17</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F3-18</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F3-19</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F3-20</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F3-21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F3-22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F3-23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技术参数同“A1-20 互动电视机”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F3-16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259"/>
        <w:gridCol w:w="6352"/>
        <w:gridCol w:w="777"/>
        <w:gridCol w:w="811"/>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G、物理考评实验室</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G1、实验室基础设备配置</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-0</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-0</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技术参数同“A1-02 教师总控电源”</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-0</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技术参数同“A1-03 实验桌”</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-0</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技术参数同“A1-05 功能柱”</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16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-0</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数控学生电源</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#1、采用数字键盘轻触操作、数码显示交直流电压电流,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#2、学生低压交流电源电压为1V-18V/3A、19V-36V/2A，分辨率为1V。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#3、学生低压直流电源电压为0V-16.0V/2A、16.1V-36.0V/1A，分辨率为0.1V。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#4、学生电源被教师设置及锁定后，学生不能设置，只能实验。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学生电源特殊要求：具有电子举手管理功能，当学生需要提问时，学生按举手时，教师主控应该有语音播报哪组哪桌</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学生电源既能独立操作，也能被教师控制</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具备自动过载保护功能</w:t>
            </w:r>
            <w:r>
              <w:rPr>
                <w:rFonts w:hint="eastAsia" w:ascii="宋体" w:hAnsi="宋体" w:cs="宋体"/>
                <w:i w:val="0"/>
                <w:iCs w:val="0"/>
                <w:color w:val="auto"/>
                <w:sz w:val="21"/>
                <w:szCs w:val="21"/>
                <w:highlight w:val="none"/>
                <w:u w:val="none"/>
                <w:lang w:val="en-US" w:eastAsia="zh" w:bidi="ar"/>
              </w:rPr>
              <w:t xml:space="preserve">。</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-0</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学生凳</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技术参数同“A1-10 教师椅”</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54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技术参数同“C1-1</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 电气布线（地面以上部分）”</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G</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技术参数同“A1-20 互动电视机”</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G2、智能控制系统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G2-01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技术参数同“A2-01 智能系统控制箱”</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G2-02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智能控制屏</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技术参数同“A2-02 智能控制屏”</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G2-03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技术参数同“A2-03 吊装控制系统”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G2-04</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温湿度探测系统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技术参数同“A2-04 温湿度探测系统”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G3、顶部集成供给系统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G3-01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吊装主体框架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技术参数同“A3-01 吊装主体框架”</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G3-02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主体保护罩</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技术参数同“A3-02 主体保护罩”</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G3-03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吊装端头</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技术参数同“A3-03 吊装端头”</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G3-04</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智能摇臂升降系统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技术参数同“A3-04 智能摇臂升降系统”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G3-05</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集成功能模块</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技术参数同“A3-05 集成功能模块”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G3-06</w:t>
            </w:r>
            <w:r/>
          </w:p>
        </w:tc>
        <w:tc>
          <w:tcPr>
            <w:tcBorders>
              <w:top w:val="single" w:color="000000" w:sz="4" w:space="0"/>
              <w:left w:val="single" w:color="000000" w:sz="4" w:space="0"/>
              <w:bottom w:val="single" w:color="000000" w:sz="4" w:space="0"/>
              <w:right w:val="single" w:color="000000" w:sz="4" w:space="0"/>
            </w:tcBorders>
            <w:tcW w:w="632" w:type="pct"/>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电源供应模块</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2"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2"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G3-07</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保险模块</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技术参数同“A3-07 保险模块”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G3-08</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急停装置</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技术参数同“A3-08 急停装置”</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G3-09</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G3-10</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G3-11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G3-12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学生端分组控制系统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技术参数同“A3-16 学生端分组控制系统”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G3-13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系统安装辅件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技术参数同“A3-17 系统安装辅件”</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G4、实验室信息化系统相关配置及配套服务</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G4-01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实验台信息采集终端</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技术参数同“C4-01 实验台信息采集终端”</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G4-02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考生终端软件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技术参数同“C4-02 考生终端软件”</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G4-03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路由器</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技术参数同“C4-03 路由器”</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G4-04</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考室监考系统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技术参数同“C4-04 考室监考系统”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G4-05</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技术参数同“C4-05 交换机”</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G4-06</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技术参数同“C4-06 机柜”</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G4-07</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电子目镜</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技术参数同“C4-07 电子目镜”</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G4-08</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考室网络摄像机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技术参数同“C4-08 考室网络摄像机”</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G4-09</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配置辅材及施工</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技术参数同“C4-09 配置辅材及施工”</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G4-10</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229"/>
        <w:gridCol w:w="6382"/>
        <w:gridCol w:w="779"/>
        <w:gridCol w:w="807"/>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H、生物智能吊装实验室</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H1、实验室基础设备配置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技术参数同“A1-02 教师总控电源”</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技术参数同“A1-10 教师椅”</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技术参数同“A1-03 实验桌”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H1-05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水槽柜</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技术参数同“A1-06 水槽柜”</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H1-06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三联水嘴</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技术参数同“A1-09 三联水嘴”</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H1-07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技术参数同“A1-05 功能柱”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H1-08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上水装置</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技术参数同“A1-07 上水装置”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H1-09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下水装置</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技术参数同“A1-08 下水装置”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H1-10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H1-11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H1-12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H1-13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H1-14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H1-15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H1-16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H1-17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H1-18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H1-19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技术参数同“A1-20 互动电视机”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H2、智能控制系统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H2-01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技术参数同“A2-01 智能系统控制箱”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H2-02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智能控制屏</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技术参数同“A2-02 智能控制屏”</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H2-03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技术参数同“A2-03 吊装控制系统”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H2-04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温湿度探测系统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技术参数同“A2-04 温湿度探测系统”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H3、顶部集成供给系统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吊装主体框架</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技术参数同“A3-01 吊装主体框架”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主体保护罩</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技术参数同“A3-02 主体保护罩”</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吊装端头</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技术参数同“A3-03 吊装端头”</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智能摇臂升降系统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技术参数同“A3-04 智能摇臂升降系统”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H3-05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集成功能模块</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技术参数同“A3-05 集成功能模块”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H3-06</w:t>
            </w:r>
            <w:r/>
          </w:p>
        </w:tc>
        <w:tc>
          <w:tcPr>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电源供应模块</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H3-07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保险模块</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技术参数同“A3-07 保险模块”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H3-08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急停装置</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技术参数同“A3-08 急停装置”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H3-09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H3-10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H3-11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H3-12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自动给排水系统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技术参数同“A3-12 自动给排水系统”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H3-13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给排水接口</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技术参数同“A3-13 给排水接口”</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H3-14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给水管路</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技术参数同“A3-14 给水管路”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H3-15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排水管路</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技术参数同“A3-15 排水管路”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H3-16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学生端分组控制系统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技术参数同“A3-16 学生端分组控制系统”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H3-17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系统安装辅件</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技术参数同“A3-17 系统安装辅件”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H4、文宣装修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H4-01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257"/>
        <w:gridCol w:w="6372"/>
        <w:gridCol w:w="749"/>
        <w:gridCol w:w="819"/>
      </w:tblGrid>
      <w:tr>
        <w:trPr>
          <w:trHeight w:val="270"/>
        </w:trPr>
        <w:tc>
          <w:tcPr>
            <w:gridSpan w:val="5"/>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I、生物数字化探究</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31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gridSpan w:val="3"/>
            <w:tcW w:w="421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I1、教师端无线带屏手持式传感器和配套实验器材</w:t>
            </w:r>
            <w:r/>
          </w:p>
        </w:tc>
        <w:tc>
          <w:tcPr>
            <w:tcW w:w="376"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410"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I1-01</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便携式实验终端</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技术参数同“B1-01 便携式实验终端”</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I1-02</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技术参数同“B1-02 数据采集器”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I1-03</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无线蓝牙模块</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技术参数同“B1-03 无线蓝牙模块”</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I1-04</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技术参数同“B1-04 温度传感器”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I1-05</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气压传感器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技术参数同“B1-06 气压传感器”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I1-06</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技术参数同“B1-09 pH传感器”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I1-07</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技术参数同“B1-10 电导率传感器”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I1-08</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技术参数同“B1-11 氧气传感器”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I1-09</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技术参数同“B1-12 二氧化碳传感器”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735"/>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I1-10</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心电图传感器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#1、量程：±5mV，分辨率：0.01mV。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#2、传感器带有3根不同颜色的电极导线，用于测量人体心电图的波形图形；手持式技术，便于直接观察数据；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strike w:val="0"/>
                <w:color w:val="auto"/>
                <w:sz w:val="21"/>
                <w:szCs w:val="21"/>
                <w:highlight w:val="none"/>
                <w:u w:val="none"/>
                <w:lang w:val="en-US" w:eastAsia="zh-CN" w:bidi="ar"/>
              </w:rPr>
              <w:t xml:space="preserve">高清电容触摸屏与振动警告功能单元，支持多点触摸方式；传感器自带滚轮调节键，通过滚轮可调节心电图采集频率；</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 w:bidi="ar"/>
              </w:rPr>
              <w:t xml:space="preserve">5</w:t>
            </w:r>
            <w:r>
              <w:rPr>
                <w:rFonts w:hint="eastAsia" w:ascii="宋体" w:hAnsi="宋体" w:eastAsia="宋体" w:cs="宋体"/>
                <w:i w:val="0"/>
                <w:iCs w:val="0"/>
                <w:strike w:val="0"/>
                <w:color w:val="auto"/>
                <w:sz w:val="21"/>
                <w:szCs w:val="21"/>
                <w:highlight w:val="none"/>
                <w:u w:val="none"/>
                <w:lang w:val="en-US" w:eastAsia="zh-CN" w:bidi="ar"/>
              </w:rPr>
              <w:t xml:space="preserve">、支持快速开关机功能；自动关机。</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675"/>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I1-11</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心率传感器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#1、量程：0～250bpm。指夹式心率探头。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#2、用于测量人体的心率值；手持式技术，便于直接观察数据；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高清电容触摸屏与振动警告功能单元，支持多点触摸方式；传感器自带滚轮调节键，通过滚轮可调节人体心率采集频率；</w:t>
            </w:r>
            <w:r>
              <w:rPr>
                <w:rFonts w:hint="eastAsia" w:ascii="宋体" w:hAnsi="宋体" w:eastAsia="宋体" w:cs="宋体"/>
                <w:i w:val="0"/>
                <w:iCs w:val="0"/>
                <w:strike w:val="0"/>
                <w:color w:val="auto"/>
                <w:sz w:val="21"/>
                <w:szCs w:val="21"/>
                <w:highlight w:val="none"/>
                <w:u w:val="none"/>
                <w:lang w:val="en-US" w:eastAsia="zh-CN" w:bidi="ar"/>
              </w:rPr>
              <w:t xml:space="preserve">支持快速开关机功能；自动关机。</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51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I1-12</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呼吸率传感器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#1、量程：0～200Time/min，分辨率：1Time/min。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#2、用于测量呼吸频率；手持式技术，便于直接观察数据；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高清电容触摸屏与振动警告功能单元，支持多点触摸方式；传感器自带滚轮调节键，通过滚轮可调节呼吸率采集频率；</w:t>
            </w:r>
            <w:r>
              <w:rPr>
                <w:rFonts w:hint="eastAsia" w:ascii="宋体" w:hAnsi="宋体" w:eastAsia="宋体" w:cs="宋体"/>
                <w:i w:val="0"/>
                <w:iCs w:val="0"/>
                <w:strike w:val="0"/>
                <w:color w:val="auto"/>
                <w:sz w:val="21"/>
                <w:szCs w:val="21"/>
                <w:highlight w:val="none"/>
                <w:u w:val="none"/>
                <w:lang w:val="en-US" w:eastAsia="zh-CN" w:bidi="ar"/>
              </w:rPr>
              <w:t xml:space="preserve">支持快速开关机功能；自动关机。</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95"/>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I1-13</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温湿一体传感器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#1、湿度量程：0%～100%RH，分辨率：0.05%；温度量程：-40℃～125℃，分辨率：0.01℃；一个传感器可同时测量两种数据。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#2、温湿度一体式的探头作为测温元件，可同时测量环境的温度及相对湿度；手持式技术，便于直接观察数据；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w:t>
            </w:r>
            <w:r>
              <w:rPr>
                <w:rFonts w:hint="eastAsia" w:ascii="宋体" w:hAnsi="宋体" w:cs="宋体"/>
                <w:i w:val="0"/>
                <w:iCs w:val="0"/>
                <w:strike w:val="0"/>
                <w:color w:val="auto"/>
                <w:sz w:val="21"/>
                <w:szCs w:val="21"/>
                <w:highlight w:val="none"/>
                <w:u w:val="none"/>
                <w:lang w:val="en-US" w:eastAsia="zh-CN" w:bidi="ar"/>
              </w:rPr>
              <w:t xml:space="preserve">可视</w:t>
            </w:r>
            <w:r>
              <w:rPr>
                <w:rFonts w:hint="eastAsia" w:ascii="宋体" w:hAnsi="宋体" w:eastAsia="宋体" w:cs="宋体"/>
                <w:i w:val="0"/>
                <w:iCs w:val="0"/>
                <w:color w:val="auto"/>
                <w:sz w:val="21"/>
                <w:szCs w:val="21"/>
                <w:highlight w:val="none"/>
                <w:u w:val="none"/>
                <w:lang w:val="en-US" w:eastAsia="zh-CN" w:bidi="ar"/>
              </w:rPr>
              <w:t xml:space="preserve">高清电容触摸屏与振动警告功能单元，支持多点触摸方式；传感器自带滚轮调节键，通过滚轮可调节湿度/温度采集频率；</w:t>
            </w:r>
            <w:r>
              <w:rPr>
                <w:rFonts w:hint="eastAsia" w:ascii="宋体" w:hAnsi="宋体" w:eastAsia="宋体" w:cs="宋体"/>
                <w:i w:val="0"/>
                <w:iCs w:val="0"/>
                <w:strike w:val="0"/>
                <w:color w:val="auto"/>
                <w:sz w:val="21"/>
                <w:szCs w:val="21"/>
                <w:highlight w:val="none"/>
                <w:u w:val="none"/>
                <w:lang w:val="en-US" w:eastAsia="zh-CN" w:bidi="ar"/>
              </w:rPr>
              <w:t xml:space="preserve">支持快速开关机功能；自动关机。</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I1-14</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技术参数同“E1-12 微电流传感器”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5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I1-15</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#1、量程：20～1000ppm，分辨率：1ppm。用于测量呼出气体或者化学反应中气体酒精含量。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工作方式。传感器自带M5螺纹孔，可实现与多种数字化实验装置的组装和固定。传感器数据传输时，无需数据采集器。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I1-16</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#1、量程：0～20mg/L，分辨率：0.01mg/L。用于测量溶液中溶解氧含量变化。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、支持与数字实验终端</w:t>
            </w:r>
            <w:r>
              <w:rPr>
                <w:rFonts w:hint="eastAsia" w:ascii="宋体" w:hAnsi="宋体" w:eastAsia="宋体" w:cs="宋体"/>
                <w:i w:val="0"/>
                <w:iCs w:val="0"/>
                <w:strike w:val="0"/>
                <w:color w:val="auto"/>
                <w:sz w:val="21"/>
                <w:szCs w:val="21"/>
                <w:highlight w:val="none"/>
                <w:u w:val="none"/>
                <w:lang w:val="en-US" w:eastAsia="zh-CN" w:bidi="ar"/>
              </w:rPr>
              <w:t xml:space="preserve">的接口嵌合</w:t>
            </w:r>
            <w:r>
              <w:rPr>
                <w:rFonts w:hint="eastAsia" w:ascii="宋体" w:hAnsi="宋体" w:eastAsia="宋体" w:cs="宋体"/>
                <w:i w:val="0"/>
                <w:iCs w:val="0"/>
                <w:color w:val="auto"/>
                <w:sz w:val="21"/>
                <w:szCs w:val="21"/>
                <w:highlight w:val="none"/>
                <w:u w:val="none"/>
                <w:lang w:val="en-US" w:eastAsia="zh-CN" w:bidi="ar"/>
              </w:rPr>
              <w:t xml:space="preserve">卡口连接，也可与其USB接口连接；支持与数据采集器的USB接口连接，多个传感器并行采集实验数据；还支持与普通计算机USB口直接连接，传输数字化实验数据。</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5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I1-17</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色度计传感器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#1、量程：0%～100%，分辨率： 0.1% 。三波长光源（R、G、B）测量，可采集不同深浅颜色溶液的变化及速率。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#2、传感器支持有线通讯、采集器多路有线通讯、无线通讯、独立数据显示</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工作方式。传感器数据传输时，无需数据采集器。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I1-18</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二氧化硫传感器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技术参数同“B1-14 二氧化硫传感器”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9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I1-19</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数字化探究实验软件</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#1、符合最新初中生物教学装备配置标准，满足基础课程、探究性学习、创新实验教学的需求。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#2、软件支持所有已正式发布的同系列传感器，支持即插即用，自动识别所有传感器的类型、量程与接入的通道序号；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#3、支持1~12路相同或不同的传感器并行采集；支持新建实验模板，支持打开预设实验模板快速进入课标实验，支持保存实验模板；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#4、支持设置采样频率，支持限时采集、循环采集、连续采集和手工采集等多种采集方式；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#5、具有曲线、仪表、表格、数字等多种显示方式，显示框可随意调节大小及位置；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#6、每个实验能多次重复，在同一坐标轴内保存多次采集结果，便于数据比较和分析；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#7、可自定义设置数据名称、单位、颜色、数据点形状；可自定义设置数值显示范围；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#8、可自由定义坐标轴，可自由放大、缩小、全景显示坐标轴，支持曲线的函数拟合、积分、切线、统计等，对实验结果进行充分分析并发现实验规律；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#9、可设置采集数据高于或者低于设定的数值时发出多种形式的警告，构建自动控制系统；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#10、软件可模拟信号发生器，产生2组独立的正弦波或者脉冲波信号；软件可采集音频，具有录音功能和录音播放功能，录音时间可调；软件可录制实验数据采集过程并回放，播放速率可调；</w:t>
            </w:r>
            <w:r>
              <w:rPr>
                <w:rFonts w:hint="eastAsia" w:ascii="宋体" w:hAnsi="宋体" w:eastAsia="宋体" w:cs="宋体"/>
                <w:i w:val="0"/>
                <w:iCs w:val="0"/>
                <w:color w:val="auto"/>
                <w:sz w:val="21"/>
                <w:szCs w:val="21"/>
                <w:highlight w:val="none"/>
                <w:u w:val="none"/>
                <w:lang w:val="en-US" w:eastAsia="zh-CN" w:bidi="ar"/>
              </w:rPr>
              <w:br/>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I1-20</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铝合金箱及附件</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技术参数同“B1-18 铝合金箱及附件”</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I1-21</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技术参数同“B1-24 多向转接头”</w:t>
            </w:r>
            <w:r/>
          </w:p>
        </w:tc>
        <w:tc>
          <w:tcPr>
            <w:tcW w:w="37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I1-22</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气液相密封实验器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技术参数同“B1-27 气液相密封实验器”</w:t>
            </w:r>
            <w:r/>
          </w:p>
        </w:tc>
        <w:tc>
          <w:tcPr>
            <w:tcW w:w="37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I1-23</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光合作用实验箱</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#1、用于中学生物－水陆生植物的光合作用、蒸腾作用，种子的萌发放热，酵母菌的呼吸作用，酶的特性实验。配合温度、湿度、氧气、CO2等传感器使用。透明亚克力密闭容器，2孔盖子，含橡胶塞1套。</w:t>
            </w:r>
            <w:r/>
          </w:p>
        </w:tc>
        <w:tc>
          <w:tcPr>
            <w:tcW w:w="37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I1-24</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模拟肺呼吸实验器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中学生物“人体的呼吸”。通过模型模拟呼吸，探究胸廓的变化与呼吸的关系；配合气压传感器使用，可探究呼吸时肺部压强的变化。由透明塑料容器、弹性橡胶底座、肺叶模型、鲁尔接头、三通阀、橡胶管等部件组成，可以直观观察到内部仿人肺部的呼吸运动时的肺叶的张吸效果。</w:t>
            </w:r>
            <w:r/>
          </w:p>
        </w:tc>
        <w:tc>
          <w:tcPr>
            <w:tcW w:w="37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I1-25</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多功能电极支架</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技术参数同“B1-28 多功能电极支架”</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31"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31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I2、学生端传感器和配套实验器材</w:t>
            </w:r>
            <w:r/>
          </w:p>
        </w:tc>
        <w:tc>
          <w:tcPr>
            <w:tcW w:w="376" w:type="pct"/>
            <w:vAlign w:val="center"/>
            <w:textDirection w:val="lrTb"/>
            <w:noWrap/>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10" w:type="pct"/>
            <w:vAlign w:val="center"/>
            <w:textDirection w:val="lrTb"/>
            <w:noWrap/>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I2-01</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便携式实验终端</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技术参数同“B1-01 便携式实验终端”</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I2-02</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技术参数同“B1-02 数据采集器”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I2-03</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技术参数同“B2-03 温度传感器”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I2-04</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气压传感器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技术参数同“B2-05 气压传感器”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I2-05</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技术参数同“B2-06 湿度传感器”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I2-06</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技术参数同“B2-07 pH传感器”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I2-07</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技术参数同“B2-08 电导率传感器”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I2-08</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技术参数同“B2-09 氧气传感器”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I2-09</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技术参数同“B2-10 二氧化碳传感器”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3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I2-10</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心率传感器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#1、量程：0～250bpm。指夹式心率探头，用于测量人体的心率值。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、支持与数字实验终端的接口嵌合卡口连接，也可与其USB接口连接；支持与数据采集器的USB接口连接，多个传感器并行采集实验数据；还支持与普通计算机USB口直接连接，传输数字化实验数据。</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I2-11</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色度计传感器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技术参数同“I1-17 色度计传感器”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I2-12</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技术参数同“E2-07 微电流传感器”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I2-13</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铝合金箱及附件</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技术参数同“B1-18 铝合金箱及附件”</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I2-14</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技术参数同“B1-24 多向转接头”</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I2-15</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气液相密封实验器</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技术参数同“B1-27 气液相密封实验器”</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I2-16</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光合作用实验箱</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技术参数同“I1-23 光合作用实验箱”</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I2-17</w:t>
            </w:r>
            <w:r/>
          </w:p>
        </w:tc>
        <w:tc>
          <w:tcPr>
            <w:tcW w:w="63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多功能电极支架</w:t>
            </w:r>
            <w:r/>
          </w:p>
        </w:tc>
        <w:tc>
          <w:tcPr>
            <w:tcW w:w="319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技术参数同“B1-28 多功能电极支架”</w:t>
            </w:r>
            <w:r/>
          </w:p>
        </w:tc>
        <w:tc>
          <w:tcPr>
            <w:tcW w:w="3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41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040" w:type="pct"/>
        <w:tblInd w:w="-8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239"/>
        <w:gridCol w:w="6332"/>
        <w:gridCol w:w="747"/>
        <w:gridCol w:w="840"/>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J、生物考评实验室</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J1、实验室基础设备配置</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J1-0</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J1-0</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技术参数同“A1-02 教师总控电源”</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J1-0</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技术参数同“A1-12 教师椅”</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J1-0</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技术参数同“A1-03 实验桌”</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J1-</w:t>
            </w:r>
            <w:r>
              <w:rPr>
                <w:rFonts w:hint="eastAsia" w:ascii="宋体" w:hAnsi="宋体" w:cs="宋体"/>
                <w:i w:val="0"/>
                <w:iCs w:val="0"/>
                <w:color w:val="auto"/>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技术参数同“A1-05 功能柱”</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56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J1-0</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#1、学生交流2V到24V输出，电流2A，自动过载保护，自动恢复。电压2V每档，由教师集中控制。学生直流2V到24V输出，电流2A，自动过载保护，自动恢复。由教师集中控制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220V国标五孔插座，保险丝保护，工作指示。</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J1-</w:t>
            </w:r>
            <w:r>
              <w:rPr>
                <w:rFonts w:hint="eastAsia" w:ascii="宋体" w:hAnsi="宋体" w:cs="宋体"/>
                <w:i w:val="0"/>
                <w:iCs w:val="0"/>
                <w:color w:val="auto"/>
                <w:sz w:val="21"/>
                <w:szCs w:val="21"/>
                <w:highlight w:val="none"/>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J1-</w:t>
            </w:r>
            <w:r>
              <w:rPr>
                <w:rFonts w:hint="eastAsia" w:ascii="宋体" w:hAnsi="宋体" w:cs="宋体"/>
                <w:i w:val="0"/>
                <w:iCs w:val="0"/>
                <w:color w:val="auto"/>
                <w:sz w:val="21"/>
                <w:szCs w:val="21"/>
                <w:highlight w:val="none"/>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水槽柜</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技术参数同“A1-06 水槽柜”</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J1-</w:t>
            </w:r>
            <w:r>
              <w:rPr>
                <w:rFonts w:hint="eastAsia" w:ascii="宋体" w:hAnsi="宋体" w:cs="宋体"/>
                <w:i w:val="0"/>
                <w:iCs w:val="0"/>
                <w:color w:val="auto"/>
                <w:sz w:val="21"/>
                <w:szCs w:val="21"/>
                <w:highlight w:val="none"/>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上水装置</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技术参数同“A1-07 上水装置”</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J1-</w:t>
            </w:r>
            <w:r>
              <w:rPr>
                <w:rFonts w:hint="eastAsia" w:ascii="宋体" w:hAnsi="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下水装置</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技术参数同“A1-08 下水装置”</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J1-1</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三联水嘴</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技术参数同“A1-09 三联水嘴”</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J1-1</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单口洗眼器</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技术参数同“A1-11 单口洗眼器”</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J1-1</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技术参数同“C1-1</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J1-1</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技术参数同“C1-1</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 给、排水系统（地面以上部分）”</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J1-1</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J1-</w:t>
            </w:r>
            <w:r>
              <w:rPr>
                <w:rFonts w:hint="eastAsia" w:ascii="宋体" w:hAnsi="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J1-</w:t>
            </w:r>
            <w:r>
              <w:rPr>
                <w:rFonts w:hint="eastAsia" w:ascii="宋体" w:hAnsi="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J1-</w:t>
            </w:r>
            <w:r>
              <w:rPr>
                <w:rFonts w:hint="eastAsia" w:ascii="宋体" w:hAnsi="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J1-</w:t>
            </w:r>
            <w:r>
              <w:rPr>
                <w:rFonts w:hint="eastAsia" w:ascii="宋体" w:hAnsi="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J1-2</w:t>
            </w:r>
            <w:r>
              <w:rPr>
                <w:rFonts w:hint="eastAsia" w:ascii="宋体" w:hAnsi="宋体" w:cs="宋体"/>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J1-</w:t>
            </w:r>
            <w:r>
              <w:rPr>
                <w:rFonts w:hint="eastAsia" w:ascii="宋体" w:hAnsi="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J1-</w:t>
            </w:r>
            <w:r>
              <w:rPr>
                <w:rFonts w:hint="eastAsia" w:ascii="宋体" w:hAnsi="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J1-</w:t>
            </w:r>
            <w:r>
              <w:rPr>
                <w:rFonts w:hint="eastAsia" w:ascii="宋体" w:hAnsi="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技术参数同“A1-20 互动电视机”</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J2、智能控制系统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J2-01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技术参数同“A2-01 智能系统控制箱”</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J2-02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智能控制屏</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技术参数同“A2-02 智能控制屏”</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J2-03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技术参数同“A2-03 吊装控制系统”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J2-04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温湿度探测系统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技术参数同“A2-04 温湿度探测系统”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J3、顶部集成供给系统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吊装主体框架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技术参数同“A3-01 吊装主体框架”</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主体保护罩</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技术参数同“A3-02 主体保护罩”</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吊装端头</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技术参数同“A3-03 吊装端头”</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智能摇臂升降系统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技术参数同“A3-04 智能摇臂升降系统”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J3-05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集成功能模块</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技术参数同“A3-05 集成功能模块”</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J3-06</w:t>
            </w:r>
            <w:r/>
          </w:p>
        </w:tc>
        <w:tc>
          <w:tcPr>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电源供应模块</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J3-07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保险模块</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技术参数同“A3-07 保险模块”</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J3-08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急停装置</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技术参数同“A3-08 急停装置”</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J3-09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J3-10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J3-11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J3-12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自动给排水系统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技术参数同“A3-12 自动给排水系统”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J3-13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给排水接口</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技术参数同“A3-13 给排水接口”</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J3-14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给水管路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技术参数同“A3-14 给水管路”</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J3-15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排水管路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技术参数同“A3-15 排水管路”</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J3-16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学生端分组控制系统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技术参数同“A3-16 学生端分组控制系统”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J3-17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系统安装辅件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技术参数同“A3-17 系统安装辅件”</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J4、考室终端及配套设备</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J4-01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实验台信息采集终端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技术参数同“C4-01 实验台信息采集终端”</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J4-02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考生终端软件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技术参数同“C4-02 考生终端软件”</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J4-03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路由器</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技术参数同“C4-03 路由器”</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J4-04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考室监考系统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技术参数同“C4-04 考室监考系统”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J4-05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技术参数同“C4-05 交换机”</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J4-06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技术参数同“C4-06 机柜”</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J4-07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电子目镜</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技术参数同“C4-07 电子目镜”</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J4-08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考室网络摄像机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技术参数同“C4-08 考室网络摄像机”</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J4-09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配置辅材及施工</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技术参数同“C4-09 配置辅材及施工”</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J4-10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040" w:type="pct"/>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277"/>
        <w:gridCol w:w="6320"/>
        <w:gridCol w:w="789"/>
        <w:gridCol w:w="792"/>
      </w:tblGrid>
      <w:tr>
        <w:trPr>
          <w:trHeight w:val="270"/>
        </w:trPr>
        <w:tc>
          <w:tcPr>
            <w:gridSpan w:val="5"/>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K、智慧实验室校级管理平台</w:t>
            </w:r>
            <w:r/>
          </w:p>
        </w:tc>
      </w:tr>
      <w:tr>
        <w:trPr>
          <w:trHeight w:val="270"/>
        </w:trPr>
        <w:tc>
          <w:tcPr>
            <w:tcW w:w="430"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63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31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W w:w="393"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765"/>
        </w:trPr>
        <w:tc>
          <w:tcPr>
            <w:tcW w:w="43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K-01</w:t>
            </w:r>
            <w:r/>
          </w:p>
        </w:tc>
        <w:tc>
          <w:tcPr>
            <w:tcW w:w="63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考务管理系统</w:t>
            </w:r>
            <w:r/>
          </w:p>
        </w:tc>
        <w:tc>
          <w:tcPr>
            <w:tcW w:w="314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#1、基础信息管理：具有管理教师库、学生库、考题库等功能；具有数据录入、增加、修改、删除等功能；具有数据导入、导出、保存等功能；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#2、平台总体采用B/S架构，支持分布式部署，确保系统的伸缩性和灵活性；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#3、用户权限：具有设置不同角色及分配操作权限的功能，支持划分管理员、阅卷老师、监考老师和普通老师，并根据不同角色赋予权限；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考场编排：拥有考试管理权限的用户可以根据考生人数、考点考场等情况设置考试批次、考试学科、考场人数、考试时长和每场考试间隔时间等参数；具备缺考、参考等情况的各类统计功能；支持安排考题、设置考试日期、选择考试范围以及安排考生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#5、考点关联：支持将非考点学校关联到考点，指派非考点学校的考生到考点进行考试，并统一管理考点数据；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#6、考室管理：支持设置≥2个考室分组，可以实现单学科多考室同时排考，满足考试需求；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#7、考室布局：支持按照横排顺序、竖排顺序等规则进行快速布局，可以自定义座位号显示；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#8、场室关联：支持关联考点校考室以外的功能场室，支持每个功能场室配置≥2个摄像头的主流及辅流视频流地址；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#9、考题管理：可以根据考题评分项设置评分标准，支持启用电子试卷，并可自定义电子实验报告；报告填写内容包括但不限于填空题、简答题和选择题；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#10、考试管理：学校考点可以根据自身情况安排考试日期，也可以根据县级平台统一安排的日期进行考试；在日常教学过程中，学校还可以根据需要安排模拟考；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#11、排考办法：支持定时定点排考、定点不定时排考以及随到随考；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#12、定时定点排考：生成全部考试批次信息，固定考室、时间及考试范围，考生按指定时间和地点进行考试；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定点不定时排考：生成全部考试批次信息，固定考室和考生名单，但不固定考试时间；用户可在考室监考系统中控制考试的开始和结束，在考试结束前提供提示功能；监考老师可根据实际情况选择是否延长考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随到随考：不需要设置具体的考生批次、考试时长或考试间隔时长；用户可根据实际学生到场情况，在签到页面为学生进行签到并生成考试批次；每个批次的考生有序抽签后即可进入考室；考室老师根据学生入场情况，在考室监考系统上控制考试开始和结束；可以根据考务要求配置规则，定时结束考试；在考试结束前提供提示功能，监考老师可根据实际情况选择是否延长考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#15、并排排考：系统支持同时安排物理、化学和生物三场考试并发进行，实现不同学科考室同步并排进行考试；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#16、智能排题：当选择多个考题时，系统会根据该场考试的考题数量，自动根据不同教室的座位数量和排列方式进行智能排题，确保相邻座位的题目不相同，以防止作弊；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#17、结果预览：当用户完成排考数据填写后，可以预览排考结果，系统对数据进行检测，检测通过后，用户可以发布考试，若排考数据异常，系统将以文字形式指出错误原因，便于用户快速定位并修改异常数据；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#18、准考证下载：支持通过平台的考试信息预览界面下载该场考试的准考证；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#19、闲时补考：拥有考试管理权限的用户可以为考生安排补考；补考时间需在闲时（即非已排考的考试时间），并且补考的考试编排可以继承正常考试的数据；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#20、缺考/参考统计：具备缺考、参考等情况的各类统计功能；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#21、运维管理：具有对存储设备、终端等设备运维管理功能，包括查看和清理服务器磁盘容量；查看监考端和学生端的当前版本，并在平台上传软件更新包后，实现远程自动更新；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考室自检统计：可在考室内进行设备轮巡自检测试，自检内容包括但不限于监考主机的CPU信息、内存信息、硬盘信息、通讯IP连接情况以及监考端、学生端和平台端的时间同步情况；考室完成自检后，平台将自动记录最后一次自检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告警功能：当发现视频存储异常时，系统支持自动或手动向平台端提交告警信息；阅卷老师觉得考卷有问题时，可以手动点击异常处理，并填写具体情况；对告警进行处理时，支持重新上传视频、安排补考、取消考试成绩（舞弊情况）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#24、三端校验：平台服务端、监考端和考生端的视频文件</w:t>
            </w:r>
            <w:r>
              <w:rPr>
                <w:rFonts w:hint="eastAsia" w:ascii="宋体" w:hAnsi="宋体" w:cs="宋体"/>
                <w:i w:val="0"/>
                <w:iCs w:val="0"/>
                <w:color w:val="auto"/>
                <w:sz w:val="21"/>
                <w:szCs w:val="21"/>
                <w:highlight w:val="none"/>
                <w:u w:val="none"/>
                <w:lang w:val="en-US" w:eastAsia="zh-CN" w:bidi="ar"/>
              </w:rPr>
              <w:t xml:space="preserve">可以</w:t>
            </w:r>
            <w:r>
              <w:rPr>
                <w:rFonts w:hint="eastAsia" w:ascii="宋体" w:hAnsi="宋体" w:eastAsia="宋体" w:cs="宋体"/>
                <w:i w:val="0"/>
                <w:iCs w:val="0"/>
                <w:color w:val="auto"/>
                <w:sz w:val="21"/>
                <w:szCs w:val="21"/>
                <w:highlight w:val="none"/>
                <w:u w:val="none"/>
                <w:lang w:val="en-US" w:eastAsia="zh-CN" w:bidi="ar"/>
              </w:rPr>
              <w:t xml:space="preserve">进行校验。校验结果可在平台端查看，确保数据传输的完整性，防止文件被篡改。</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230"/>
        </w:trPr>
        <w:tc>
          <w:tcPr>
            <w:tcW w:w="43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K-02</w:t>
            </w:r>
            <w:r/>
          </w:p>
        </w:tc>
        <w:tc>
          <w:tcPr>
            <w:tcW w:w="63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抽签系统</w:t>
            </w:r>
            <w:r/>
          </w:p>
        </w:tc>
        <w:tc>
          <w:tcPr>
            <w:tcW w:w="314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#1、基础功能：具有随机抽签安排考生座位的功能，抽签信息实时呈现在显示设备上；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#2、能与校级平台进行绑定，实现考前的签到、抽签及抽签结果打印等功能，支持多种签到方式，能满足不同的签到需求；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#3、支持“三固定、一抽签”：每个位置固定考题、实验器材和座位号，学生进场时通过抽签决定座位；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#4、签到界面：支持显示当前批次、总批次、总人数、未签到人数、累计签到人数和本批次签到人数；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#5、考生签到：支持扫码（条形码或二维码）、人脸识别、身份证识别三种签到方式；签到界面可以显示考生的姓名、考号和学校；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#6、签到提示：当排考办法为随到随考时，如果当前批次签到考生人数达到考场座位总数，系统会提示人数已满，提醒用户进行抽签；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#7、报到抽签：支持考生完成签到后，系统同步抽取学生考试座位号信息，并在屏幕上展示；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#8、语音播报：在“报到即抽签”模式下，考生完成抽签后，系统会通过喇叭播报考生的抽签信息；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#9、抽签界面：支持显示当前批次、总批次、考场座位布局，并提供抽签和标签打印功能；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#10、一键抽签：支持在“定时定点”和“定点不定时”模式下，对当前批次的考生进行一键抽签；抽签信息将同步至校级平台和考场监考端；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#11、结果打印：完成抽签后，可打印考生的抽签结果；用户可自由选择打印信息，包括但不限于考生姓名、座位号、考号、条形码和二维码等；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#12、批次查看：支持按考场和场次查看历史抽签记录，并支持历史记录打印。</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820"/>
        </w:trPr>
        <w:tc>
          <w:tcPr>
            <w:tcW w:w="43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K-03</w:t>
            </w:r>
            <w:r/>
          </w:p>
        </w:tc>
        <w:tc>
          <w:tcPr>
            <w:tcW w:w="63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校级监考系统</w:t>
            </w:r>
            <w:r/>
          </w:p>
        </w:tc>
        <w:tc>
          <w:tcPr>
            <w:tcW w:w="314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#1、监考巡查：具有调取、显示考场内所有终端视频信息的功能；能实时显示各考场、候考室的视频信息；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#2、多考室巡查：能将摄像机分配到不同的考室中分别管理，能为考务人员提供多个考室的实时巡考监控视频画面；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#3、支持标准RTSP协议的监控摄像机，协议开放，可兼容市面上大部分常见的IP网络摄像机；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#4、每个考室支持≥1路前摄像机、≥1路后摄像机；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#5、存在多场考试时，支持在巡考页面中快速切换并观看其他考试的监控，无需跳出页面；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#6、能在页面中实时展示当前考试的相关信息，包括但不限于：考试科目、开考时间、考试状态等；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#7、可自由选择多个摄像头切换显示，支持单画面、四分屏、九分屏等模式；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#8、能自动显示每一个考室监控摄像头的通道名称，通道名称需清晰明了，包括但不限于：考点校名称、考室名称、摄像头安装位置（前/后摄像头）等。</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290"/>
        </w:trPr>
        <w:tc>
          <w:tcPr>
            <w:tcW w:w="43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K-04</w:t>
            </w:r>
            <w:r/>
          </w:p>
        </w:tc>
        <w:tc>
          <w:tcPr>
            <w:tcW w:w="63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阅卷评分系统</w:t>
            </w:r>
            <w:r/>
          </w:p>
        </w:tc>
        <w:tc>
          <w:tcPr>
            <w:tcW w:w="3147" w:type="pct"/>
            <w:vAlign w:val="center"/>
            <w:textDirection w:val="lrTb"/>
            <w:noWrap w:val="false"/>
          </w:tcPr>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采用C/S和B/S混合架构，既支持B/S网页阅卷，也支持C/S客户端阅卷；当阅卷规模较小时，阅卷老师可以通过网页直接访问系统进行阅卷；当阅卷规模和用户量较大时，支持通过客户端软件提前将考试视频缓存到每一台阅卷电脑；此外，支持在平台上统一管理阅卷电脑并分配考卷，支持在平台上统一查看阅卷电脑内的视频缓存情况，并支持批量清除阅卷电脑内的视频缓存；</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基础功能管理：具有试卷管理、任务管理、教师管理等功能；可设置教师与试卷的数量匹配模式及并发数；能屏蔽考生敏感信息；具有查分管理功能，支持实时直播、视频回放、可兼容AI辅助评分或AI全自动评分等阅卷模式，各模式均应有复评流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#3、评分管理：支持在线视频阅卷评分、成绩查询和导出；在线阅卷时，支持加速播放、暂停和查看考卷实验报告等操作；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#4、支持现场打分：若考试采用现场平板电脑打分模式，系统可自动导入现场打分结果；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考卷数据核验：支持对从考室上传的数据进行核验；核验内容包括电子实验报告、显微镜截图和考卷视频数据；系统输出核验结果，显示核查的考卷数和存在的问题，并支持跳转至异常考卷列表，以便补充上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#6、阅卷规则：支持单评制和多评制；在多评制中，可以设定评分阈值；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#7、阅卷试评：在正式阅卷工作之前，可以进行试评卷；支持阅卷组长分配试评卷的范围，包括随机选取部分考卷发放给阅卷老师进行评阅，以及选择同一份考卷给所有阅卷老师进行评阅，以便统一评分标准；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#8、阅卷老师可以选择一场考试，并固定一道题目进行阅卷；阅卷时，每个学生的主镜头和侧镜头画面将同时自动播放，且两个画面之间没有明显延迟；支持设置</w:t>
            </w:r>
            <w:r>
              <w:rPr>
                <w:rFonts w:hint="eastAsia" w:ascii="宋体" w:hAnsi="宋体" w:cs="宋体"/>
                <w:i w:val="0"/>
                <w:iCs w:val="0"/>
                <w:color w:val="auto"/>
                <w:sz w:val="21"/>
                <w:szCs w:val="21"/>
                <w:highlight w:val="none"/>
                <w:u w:val="none"/>
                <w:lang w:val="en-US" w:eastAsia="zh-CN" w:bidi="ar"/>
              </w:rPr>
              <w:t xml:space="preserve">不同</w:t>
            </w:r>
            <w:r>
              <w:rPr>
                <w:rFonts w:hint="eastAsia" w:ascii="宋体" w:hAnsi="宋体" w:eastAsia="宋体" w:cs="宋体"/>
                <w:i w:val="0"/>
                <w:iCs w:val="0"/>
                <w:color w:val="auto"/>
                <w:sz w:val="21"/>
                <w:szCs w:val="21"/>
                <w:highlight w:val="none"/>
                <w:u w:val="none"/>
                <w:lang w:val="en-US" w:eastAsia="zh-CN" w:bidi="ar"/>
              </w:rPr>
              <w:t xml:space="preserve">倍速播放。</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660"/>
        </w:trPr>
        <w:tc>
          <w:tcPr>
            <w:tcW w:w="43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K-05</w:t>
            </w:r>
            <w:r/>
          </w:p>
        </w:tc>
        <w:tc>
          <w:tcPr>
            <w:tcW w:w="63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机房不间断电源UPS</w:t>
            </w:r>
            <w:r/>
          </w:p>
        </w:tc>
        <w:tc>
          <w:tcPr>
            <w:tcW w:w="314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#1、机架式UPS；输入/输出电压：支持但不限于220V；内置电池 ≥8组（节），每组（节）容量 ≥12V 7AH；额定功率≥3.0kW；输入额定电压：支持但不限于208V、220V、230V、240V AC。</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705"/>
        </w:trPr>
        <w:tc>
          <w:tcPr>
            <w:tcW w:w="43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K-06</w:t>
            </w:r>
            <w:r/>
          </w:p>
        </w:tc>
        <w:tc>
          <w:tcPr>
            <w:tcW w:w="63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抽签设备</w:t>
            </w:r>
            <w:r/>
          </w:p>
        </w:tc>
        <w:tc>
          <w:tcPr>
            <w:tcW w:w="314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#1、用于考试抽签，支持标签或条码打印；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#2、配备操作系统，搭配≥2块高清LCD显示屏幕，主屏≥13英寸（分辨率≥1920*1080），副屏≥10英寸,铝合金机身，具有≥1个HDMI口可外接大屏幕，整机一体化设计，各配件之间无任何外露线材；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#3、主屏可触控，支持≥10点电容触控；处理器：≥8核64位处理器，主频≥2.2GHz，内存≥4GB，存储≥64GB；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、内嵌高拍仪，支持≤A4幅面拍摄；内嵌身份证解密模块；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、支持人脸识别比对，内置≥200万像素高清摄像头，支持活体检测；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、内嵌指纹模块；内置热敏标签打印机，支持打印学生抽签结果；内置喇叭，支持语音播放和录音；内置扫码器：支持扫码读取考生准考证上的二维码，完成考生签到。</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W w:w="43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K-07</w:t>
            </w:r>
            <w:r/>
          </w:p>
        </w:tc>
        <w:tc>
          <w:tcPr>
            <w:tcW w:w="63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汇聚交换机</w:t>
            </w:r>
            <w:r/>
          </w:p>
        </w:tc>
        <w:tc>
          <w:tcPr>
            <w:tcW w:w="314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#1、24口三层交换机；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#2、端口描述：不少于24个千兆电口+2个千兆光口 + 2个万兆光口；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#3、包转发率：不低于166Mpps；交换容量：不低于432Gbps。</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20"/>
        </w:trPr>
        <w:tc>
          <w:tcPr>
            <w:tcW w:w="43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K-08</w:t>
            </w:r>
            <w:r/>
          </w:p>
        </w:tc>
        <w:tc>
          <w:tcPr>
            <w:tcW w:w="63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路由器</w:t>
            </w:r>
            <w:r/>
          </w:p>
        </w:tc>
        <w:tc>
          <w:tcPr>
            <w:tcW w:w="314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#1、8口企业级路由器；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#2、设备类型：企业级路由器；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#3、WAN口：不低于2个GE；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#4、LAN口：不低于8个GE(3个LAN口支持切换为WAN)；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#5、处理器：高性能ARM双核CPU；产品内存：不低于256MB。</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W w:w="43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K-09</w:t>
            </w:r>
            <w:r/>
          </w:p>
        </w:tc>
        <w:tc>
          <w:tcPr>
            <w:tcW w:w="63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综合布线</w:t>
            </w:r>
            <w:r/>
          </w:p>
        </w:tc>
        <w:tc>
          <w:tcPr>
            <w:tcW w:w="314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#1、含六类双绞线、面板/插座、跳线、配线架等安装配件，面板带一个信息口。</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点</w:t>
            </w:r>
            <w:r/>
          </w:p>
        </w:tc>
      </w:tr>
      <w:tr>
        <w:trPr>
          <w:trHeight w:val="540"/>
        </w:trPr>
        <w:tc>
          <w:tcPr>
            <w:tcW w:w="43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K-10</w:t>
            </w:r>
            <w:r/>
          </w:p>
        </w:tc>
        <w:tc>
          <w:tcPr>
            <w:tcW w:w="63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电源布线</w:t>
            </w:r>
            <w:r/>
          </w:p>
        </w:tc>
        <w:tc>
          <w:tcPr>
            <w:tcW w:w="314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#1、含室内配电箱主电源接入（主线不低于国标6平方*3电线）；UPS输出电源线不低于国标1.5平方*3电线，含线槽、插座和开关等安装配件。</w:t>
            </w:r>
            <w:r/>
          </w:p>
        </w:tc>
        <w:tc>
          <w:tcPr>
            <w:tcW w:w="39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W w:w="39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点</w:t>
            </w:r>
            <w:r/>
          </w:p>
        </w:tc>
      </w:tr>
    </w:tbl>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306"/>
        <w:gridCol w:w="6255"/>
        <w:gridCol w:w="885"/>
        <w:gridCol w:w="713"/>
      </w:tblGrid>
      <w:tr>
        <w:trPr>
          <w:trHeight w:val="270"/>
        </w:trPr>
        <w:tc>
          <w:tcPr>
            <w:gridSpan w:val="5"/>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L、化学准备室</w:t>
            </w:r>
            <w:r/>
          </w:p>
        </w:tc>
      </w:tr>
      <w:tr>
        <w:trPr>
          <w:trHeight w:val="270"/>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31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W w:w="44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1690"/>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L-01</w:t>
            </w:r>
            <w:r/>
          </w:p>
        </w:tc>
        <w:tc>
          <w:tcPr>
            <w:tcW w:w="655"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准备台</w:t>
            </w:r>
            <w:r/>
          </w:p>
        </w:tc>
        <w:tc>
          <w:tcPr>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#1、规格：约L3000*W1200*H</w:t>
            </w:r>
            <w:r>
              <w:rPr>
                <w:rFonts w:hint="eastAsia" w:ascii="宋体" w:hAnsi="宋体" w:eastAsia="宋体" w:cs="宋体"/>
                <w:i w:val="0"/>
                <w:iCs w:val="0"/>
                <w:strike w:val="0"/>
                <w:color w:val="auto"/>
                <w:sz w:val="21"/>
                <w:szCs w:val="21"/>
                <w:highlight w:val="none"/>
                <w:u w:val="none"/>
                <w:lang w:val="en-US" w:eastAsia="zh-CN" w:bidi="ar"/>
              </w:rPr>
              <w:t xml:space="preserve">760m</w:t>
            </w:r>
            <w:r>
              <w:rPr>
                <w:rFonts w:hint="eastAsia" w:ascii="宋体" w:hAnsi="宋体" w:eastAsia="宋体" w:cs="宋体"/>
                <w:i w:val="0"/>
                <w:iCs w:val="0"/>
                <w:color w:val="auto"/>
                <w:sz w:val="21"/>
                <w:szCs w:val="21"/>
                <w:highlight w:val="none"/>
                <w:u w:val="none"/>
                <w:lang w:val="en-US" w:eastAsia="zh-CN" w:bidi="ar"/>
              </w:rPr>
              <w:t xml:space="preserve">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mm厚双面膜实芯理化板</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#3、桌架：桌架由左右横梁、前横梁、中横梁、后横梁及拉筋组成，整体稳固牢靠；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#4、左右横梁：左右横梁采用≥</w:t>
            </w:r>
            <w:r>
              <w:rPr>
                <w:rFonts w:hint="eastAsia" w:ascii="宋体" w:hAnsi="宋体" w:cs="宋体"/>
                <w:i w:val="0"/>
                <w:iCs w:val="0"/>
                <w:color w:val="auto"/>
                <w:sz w:val="21"/>
                <w:szCs w:val="21"/>
                <w:highlight w:val="none"/>
                <w:u w:val="none"/>
                <w:lang w:val="en-US" w:eastAsia="zh-CN" w:bidi="ar"/>
              </w:rPr>
              <w:t xml:space="preserve">2.5</w:t>
            </w:r>
            <w:r>
              <w:rPr>
                <w:rFonts w:hint="eastAsia" w:ascii="宋体" w:hAnsi="宋体" w:eastAsia="宋体" w:cs="宋体"/>
                <w:i w:val="0"/>
                <w:iCs w:val="0"/>
                <w:color w:val="auto"/>
                <w:sz w:val="21"/>
                <w:szCs w:val="21"/>
                <w:highlight w:val="none"/>
                <w:u w:val="none"/>
                <w:lang w:val="en-US" w:eastAsia="zh-CN" w:bidi="ar"/>
              </w:rPr>
              <w:t xml:space="preserve">mm冷轧钢板焊接成型，表面经高压静电喷涂环氧树脂防护层，耐酸碱，耐腐蚀处理；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#5、前中横梁：左右横梁采用≥</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mm冷轧钢板经焊接成型，表面经高压静电喷涂环氧树脂防护层，耐酸碱，耐腐蚀处理；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#6、后横梁：后横梁采用铝合金挤出，壁厚为≥1.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mm，表面经高压静电喷涂环氧树脂防护层，耐酸碱，耐腐蚀处理；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#7、拉筋：拉筋采用壁厚为≥1.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mm，60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*30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的平椭圆管与≥3.</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mm的连接片焊接而成，表面经高压静电喷涂环氧树脂防护层，耐酸碱，耐腐蚀处理；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8</w:t>
            </w:r>
            <w:r>
              <w:rPr>
                <w:rFonts w:hint="eastAsia" w:ascii="宋体" w:hAnsi="宋体" w:eastAsia="宋体" w:cs="宋体"/>
                <w:i w:val="0"/>
                <w:iCs w:val="0"/>
                <w:color w:val="auto"/>
                <w:sz w:val="21"/>
                <w:szCs w:val="21"/>
                <w:highlight w:val="none"/>
                <w:u w:val="none"/>
                <w:lang w:val="en-US" w:eastAsia="zh-CN" w:bidi="ar"/>
              </w:rPr>
              <w:t xml:space="preserve">、书包斗：采用PP工程塑料作原料，经模具注塑一次成型，外形规格：≥420mm×300㎜×175㎜，壁厚≥3mm；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9</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符合</w:t>
            </w:r>
            <w:r>
              <w:rPr>
                <w:rStyle w:val="943"/>
                <w:rFonts w:hint="eastAsia" w:ascii="宋体" w:hAnsi="宋体" w:eastAsia="宋体" w:cs="宋体"/>
                <w:color w:val="auto"/>
                <w:sz w:val="21"/>
                <w:szCs w:val="21"/>
                <w:highlight w:val="none"/>
                <w:lang w:val="en-US" w:eastAsia="zh-CN" w:bidi="ar"/>
              </w:rPr>
              <w:t xml:space="preserve">：GB/T24820-2024实验室家具通用技术条件</w:t>
            </w:r>
            <w:r>
              <w:rPr>
                <w:rStyle w:val="943"/>
                <w:rFonts w:hint="eastAsia" w:ascii="宋体" w:hAnsi="宋体" w:cs="宋体"/>
                <w:color w:val="auto"/>
                <w:sz w:val="21"/>
                <w:szCs w:val="21"/>
                <w:highlight w:val="none"/>
                <w:lang w:val="en-US" w:eastAsia="zh-CN" w:bidi="ar"/>
              </w:rPr>
              <w:t xml:space="preserve">检测标准。</w:t>
            </w:r>
            <w:r>
              <w:rPr>
                <w:rFonts w:hint="eastAsia" w:ascii="宋体" w:hAnsi="宋体" w:eastAsia="宋体" w:cs="宋体"/>
                <w:b/>
                <w:bCs/>
                <w:i w:val="0"/>
                <w:iCs w:val="0"/>
                <w:color w:val="auto"/>
                <w:sz w:val="21"/>
                <w:szCs w:val="21"/>
                <w:highlight w:val="none"/>
                <w:u w:val="none"/>
                <w:lang w:val="en-US" w:eastAsia="zh-CN" w:bidi="ar"/>
              </w:rPr>
              <w:t xml:space="preserve">（提供具有CMA标识的第三方检测机构出具的检测报告原件扫描件）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10</w:t>
            </w:r>
            <w:r>
              <w:rPr>
                <w:rFonts w:hint="eastAsia" w:ascii="宋体" w:hAnsi="宋体" w:eastAsia="宋体" w:cs="宋体"/>
                <w:i w:val="0"/>
                <w:iCs w:val="0"/>
                <w:color w:val="auto"/>
                <w:sz w:val="21"/>
                <w:szCs w:val="21"/>
                <w:highlight w:val="none"/>
                <w:u w:val="none"/>
                <w:lang w:val="en-US" w:eastAsia="zh-CN" w:bidi="ar"/>
              </w:rPr>
              <w:t xml:space="preserve">、水槽：采用PP改性材料，塑料注塑一次性成型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内置溢水孔，防止水位过高导致溢水，整体外观线条简约硬朗；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1</w:t>
            </w:r>
            <w:r>
              <w:rPr>
                <w:rFonts w:hint="eastAsia" w:ascii="宋体" w:hAnsi="宋体" w:eastAsia="宋体" w:cs="宋体"/>
                <w:i w:val="0"/>
                <w:iCs w:val="0"/>
                <w:color w:val="auto"/>
                <w:sz w:val="21"/>
                <w:szCs w:val="21"/>
                <w:highlight w:val="none"/>
                <w:u w:val="none"/>
                <w:lang w:val="en-US" w:eastAsia="zh-CN" w:bidi="ar"/>
              </w:rPr>
              <w:t xml:space="preserve">、水槽托架：采用≥1.0mm冷轧钢板焊接成型，表面经高压静电喷涂环氧树脂防护层，耐酸碱，耐腐蚀处理,通过螺丝将水槽固定在托架上，使整体更加稳固；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、水槽柜体：水槽柜体由侧板、前门板、后门板及底座组成，前后各设置一个柜门，便于日后维修养护；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、侧板：采用≥1.0mm冷轧钢板焊接成型，表面经高压静电喷涂环氧树脂防护层，耐酸碱，耐腐蚀处理；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、前门板：内置衬板，整体采用≥1.0mm冷轧钢板焊接成型，表面经高压静电喷涂环氧树脂防护层，耐酸碱，耐腐蚀处理；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、后门板：采用≥1.0mm冷轧钢板经焊接成型，表面经高压静电喷涂环氧树脂防护层，耐酸碱，耐腐蚀处理，通过搭扣锁与柜体连接，拆卸方便；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16</w:t>
            </w:r>
            <w:r>
              <w:rPr>
                <w:rFonts w:hint="eastAsia" w:ascii="宋体" w:hAnsi="宋体" w:eastAsia="宋体" w:cs="宋体"/>
                <w:i w:val="0"/>
                <w:iCs w:val="0"/>
                <w:color w:val="auto"/>
                <w:sz w:val="21"/>
                <w:szCs w:val="21"/>
                <w:highlight w:val="none"/>
                <w:u w:val="none"/>
                <w:lang w:val="en-US" w:eastAsia="zh-CN" w:bidi="ar"/>
              </w:rPr>
              <w:t xml:space="preserve">、底座：采用≥1.0mm冷轧钢板焊接成型，表面经高压静电喷涂环氧树脂防护层，耐酸碱，耐腐蚀处理，底部配置调节脚，减少与地面摩擦；</w:t>
            </w:r>
            <w:r/>
          </w:p>
        </w:tc>
        <w:tc>
          <w:tcPr>
            <w:tcW w:w="44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L-02</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三联水嘴</w:t>
            </w:r>
            <w:r/>
          </w:p>
        </w:tc>
        <w:tc>
          <w:tcPr>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技术参数同“A1-09 三联水嘴”</w:t>
            </w:r>
            <w:r/>
          </w:p>
        </w:tc>
        <w:tc>
          <w:tcPr>
            <w:tcW w:w="44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L-03</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上水装置</w:t>
            </w:r>
            <w:r/>
          </w:p>
        </w:tc>
        <w:tc>
          <w:tcPr>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技术参数同“A1-07 上水装置”</w:t>
            </w:r>
            <w:r/>
          </w:p>
        </w:tc>
        <w:tc>
          <w:tcPr>
            <w:tcW w:w="44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L-04</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下水装置</w:t>
            </w:r>
            <w:r/>
          </w:p>
        </w:tc>
        <w:tc>
          <w:tcPr>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技术参数同“A1-08 下水装置”</w:t>
            </w:r>
            <w:r/>
          </w:p>
        </w:tc>
        <w:tc>
          <w:tcPr>
            <w:tcW w:w="44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L-05</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试剂架</w:t>
            </w:r>
            <w:r/>
          </w:p>
        </w:tc>
        <w:tc>
          <w:tcPr>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220</w:t>
            </w:r>
            <w:r>
              <w:rPr>
                <w:rFonts w:hint="eastAsia" w:ascii="宋体" w:hAnsi="宋体" w:eastAsia="宋体" w:cs="宋体"/>
                <w:i w:val="0"/>
                <w:iCs w:val="0"/>
                <w:color w:val="auto"/>
                <w:sz w:val="21"/>
                <w:szCs w:val="21"/>
                <w:highlight w:val="none"/>
                <w:u w:val="none"/>
                <w:lang w:val="en-US" w:eastAsia="zh-CN" w:bidi="ar"/>
              </w:rPr>
              <w:t xml:space="preserve">0L*300W*750H；双层，分两段，采用铝合金专用型材；                                                                                                                                                                                                                                 #</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、立柱采用≥80*42*1.0mm，护栏采用≥30*12*1.0mm铝合金型材，玻璃托盘厚≥8mm,表面喷涂环氧树脂防护层，长期使用不掉漆不褪色。</w:t>
            </w:r>
            <w:r/>
          </w:p>
        </w:tc>
        <w:tc>
          <w:tcPr>
            <w:tcW w:w="44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L-06</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滴水架</w:t>
            </w:r>
            <w:r/>
          </w:p>
        </w:tc>
        <w:tc>
          <w:tcPr>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#1、材质:高密度PP；尺寸：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550*400*120mm，27支滴水棒；底部托盘中间设有排水孔；可拆卸式滴水棒，方便使用。</w:t>
            </w:r>
            <w:r/>
          </w:p>
        </w:tc>
        <w:tc>
          <w:tcPr>
            <w:tcW w:w="44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L-07</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单口洗眼器</w:t>
            </w:r>
            <w:r/>
          </w:p>
        </w:tc>
        <w:tc>
          <w:tcPr>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技术参数同“A1-11 单口洗眼器”</w:t>
            </w:r>
            <w:r/>
          </w:p>
        </w:tc>
        <w:tc>
          <w:tcPr>
            <w:tcW w:w="44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20"/>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L-08</w:t>
            </w:r>
            <w:r/>
          </w:p>
        </w:tc>
        <w:tc>
          <w:tcPr>
            <w:tcW w:w="655"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通风柜</w:t>
            </w:r>
            <w:r/>
          </w:p>
        </w:tc>
        <w:tc>
          <w:tcPr>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1500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*850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*2350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#2、外壳： 外壳采用≥ 1.0mm 冷轧钢板。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、日光灯：采用防爆灯≥1支，并设有≥5mm钢化玻璃；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、导流板：采用≥5mm，耐酸碱有机溶剂之实验室专用抗蚀材质；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、电源：采用实验室专用防爆电源插座；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6</w:t>
            </w:r>
            <w:r>
              <w:rPr>
                <w:rFonts w:hint="eastAsia" w:ascii="宋体" w:hAnsi="宋体" w:eastAsia="宋体" w:cs="宋体"/>
                <w:i w:val="0"/>
                <w:iCs w:val="0"/>
                <w:color w:val="auto"/>
                <w:sz w:val="21"/>
                <w:szCs w:val="21"/>
                <w:highlight w:val="none"/>
                <w:u w:val="none"/>
                <w:lang w:val="en-US" w:eastAsia="zh-CN" w:bidi="ar"/>
              </w:rPr>
              <w:t xml:space="preserve">、窗口：铝型材配合塑料型材边框，视窗口采用单块5mm安全玻璃，窗口也可</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3块5mm安全玻璃，可左右移动，单块并采用无段平衡装置，可上下移动，自由调节；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7</w:t>
            </w:r>
            <w:r>
              <w:rPr>
                <w:rFonts w:hint="eastAsia" w:ascii="宋体" w:hAnsi="宋体" w:eastAsia="宋体" w:cs="宋体"/>
                <w:i w:val="0"/>
                <w:iCs w:val="0"/>
                <w:color w:val="auto"/>
                <w:sz w:val="21"/>
                <w:szCs w:val="21"/>
                <w:highlight w:val="none"/>
                <w:u w:val="none"/>
                <w:lang w:val="en-US" w:eastAsia="zh-CN" w:bidi="ar"/>
              </w:rPr>
              <w:t xml:space="preserve">、调整脚：采用直径φ10mm注塑调整脚，防震、防潮、耐腐蚀，可根据室内地坪适当调整柜体高度，最大调节为0-30mm；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8</w:t>
            </w:r>
            <w:r>
              <w:rPr>
                <w:rFonts w:hint="eastAsia" w:ascii="宋体" w:hAnsi="宋体" w:eastAsia="宋体" w:cs="宋体"/>
                <w:i w:val="0"/>
                <w:iCs w:val="0"/>
                <w:color w:val="auto"/>
                <w:sz w:val="21"/>
                <w:szCs w:val="21"/>
                <w:highlight w:val="none"/>
                <w:u w:val="none"/>
                <w:lang w:val="en-US" w:eastAsia="zh-CN" w:bidi="ar"/>
              </w:rPr>
              <w:t xml:space="preserve">、集气罩：采用PP材质；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9</w:t>
            </w:r>
            <w:r>
              <w:rPr>
                <w:rFonts w:hint="eastAsia" w:ascii="宋体" w:hAnsi="宋体" w:eastAsia="宋体" w:cs="宋体"/>
                <w:i w:val="0"/>
                <w:iCs w:val="0"/>
                <w:color w:val="auto"/>
                <w:sz w:val="21"/>
                <w:szCs w:val="21"/>
                <w:highlight w:val="none"/>
                <w:u w:val="none"/>
                <w:lang w:val="en-US" w:eastAsia="zh-CN" w:bidi="ar"/>
              </w:rPr>
              <w:t xml:space="preserve">、配电箱：符合220V及380V供电要求，有漏电及电机保护装置；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、控制开关：防爆开关，集中控制整个电路系统；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1</w:t>
            </w:r>
            <w:r>
              <w:rPr>
                <w:rFonts w:hint="eastAsia" w:ascii="宋体" w:hAnsi="宋体" w:eastAsia="宋体" w:cs="宋体"/>
                <w:i w:val="0"/>
                <w:iCs w:val="0"/>
                <w:color w:val="auto"/>
                <w:sz w:val="21"/>
                <w:szCs w:val="21"/>
                <w:highlight w:val="none"/>
                <w:u w:val="none"/>
                <w:lang w:val="en-US" w:eastAsia="zh-CN" w:bidi="ar"/>
              </w:rPr>
              <w:t xml:space="preserve">、三块导流板使处于不同高度空间的有害气体分别从不同的段区排出。通风柜以操作表面风速≥0.5m/s的速度将通风柜中的空气排出，确保无任何残留气体存在。通风效率高，排风量为≥1800m³/h左右，且噪声小；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、下部柜体（一般型底柜），门板：采用≥1.0mm冷轧钢板（双层）；</w:t>
            </w:r>
            <w:r/>
          </w:p>
        </w:tc>
        <w:tc>
          <w:tcPr>
            <w:tcW w:w="44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4320"/>
        </w:trPr>
        <w:tc>
          <w:tcPr>
            <w:shd w:val="clear" w:color="auto" w:fill="auto"/>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L-09</w:t>
            </w:r>
            <w:r/>
          </w:p>
        </w:tc>
        <w:tc>
          <w:tcPr>
            <w:shd w:val="clear" w:color="auto" w:fill="ffffff"/>
            <w:tcW w:w="655"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药品柜</w:t>
            </w:r>
            <w:r/>
          </w:p>
        </w:tc>
        <w:tc>
          <w:tcPr>
            <w:shd w:val="clear" w:color="auto" w:fill="ffffff"/>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1000*500*2000mm；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#2、柜体：侧板、顶底板采用改性PP材料模具一次成型，表面沙面和光面相结合处理，保证柜体之坚固及密封性，耐腐蚀性强，顶板、底板预留模具成型排风孔。底部镶嵌≥15mm*30*1.2mm钢制横梁，承重力强；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#3、下柜柜门：内框采用改性PP材质模具一次成型，外嵌≥5mm厚钢化烤漆玻璃。上下拉手及三角对称五点固定，防止玻璃的松动或开合。伸缩式PP旋转门轴，四角圆弧倒角，内侧弧形圆边，配锁；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上柜柜门：内框采用改性PP材质模具一次成型，外嵌≥5mm厚钢化烤漆玻璃，中间烤漆镂空制作。上下拉手及三角对称五点固定，防止玻璃的松动或开合。伸缩式PP旋转门轴，四角圆弧倒角，内侧弧形圆边。配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层板：上柜配置两块活动层板，下柜配置一块活动层板，层板全部采用改性PP材料模具一次成型，表面沙面和光面相结合处理，四周有阻水边，底部镶嵌两根≥15mm*30*1.2mm钢制横梁，承重力强，添加防锈喷漆工艺。整体设计为活动式，可随意抽取放在合适的隔层，自由组合各层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#6、拉手：采用改性PP材料模具一次成型，直角梯形四周倒圆与柜门平行，开启方便；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7</w:t>
            </w:r>
            <w:r>
              <w:rPr>
                <w:rFonts w:hint="eastAsia" w:ascii="宋体" w:hAnsi="宋体" w:eastAsia="宋体" w:cs="宋体"/>
                <w:i w:val="0"/>
                <w:iCs w:val="0"/>
                <w:color w:val="auto"/>
                <w:sz w:val="21"/>
                <w:szCs w:val="21"/>
                <w:highlight w:val="none"/>
                <w:u w:val="none"/>
                <w:lang w:val="en-US" w:eastAsia="zh-CN" w:bidi="ar"/>
              </w:rPr>
              <w:t xml:space="preserve">、备注：可以用于各种腐蚀性化学品的储藏，如硫酸、盐酸、硝酸、乙酸、硫磺酸等；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8</w:t>
            </w:r>
            <w:r>
              <w:rPr>
                <w:rFonts w:hint="eastAsia" w:ascii="宋体" w:hAnsi="宋体" w:eastAsia="宋体" w:cs="宋体"/>
                <w:i w:val="0"/>
                <w:iCs w:val="0"/>
                <w:color w:val="auto"/>
                <w:sz w:val="21"/>
                <w:szCs w:val="21"/>
                <w:highlight w:val="none"/>
                <w:u w:val="none"/>
                <w:lang w:val="en-US" w:eastAsia="zh-CN" w:bidi="ar"/>
              </w:rPr>
              <w:t xml:space="preserve">、阶梯：配一块阶梯；规格≥920*225*140mm,整体PP材料一体注塑成型（非二次焊接或者拼接）,牢固耐用，一共两层，每层高度70mm，宽度≥130mm，同层板组成三层阶梯；</w:t>
            </w:r>
            <w:r/>
          </w:p>
        </w:tc>
        <w:tc>
          <w:tcPr>
            <w:shd w:val="clear" w:color="auto" w:fill="ffffff"/>
            <w:tcW w:w="44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ffffff"/>
            <w:tcW w:w="35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0"/>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L-10</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室内通风系统</w:t>
            </w:r>
            <w:r/>
          </w:p>
        </w:tc>
        <w:tc>
          <w:tcPr>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#1、主风管：采用具有耐酸碱性能PVCФ400㎜、支分管Ф160㎜，Ф110mm；管卡采用碳钢制作，表面经镀铬处理，具有耐腐蚀、防火、防潮等功能；                                                                                                              </w:t>
            </w:r>
            <w:r/>
          </w:p>
        </w:tc>
        <w:tc>
          <w:tcPr>
            <w:tcW w:w="44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810"/>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L-11</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室外通风系统</w:t>
            </w:r>
            <w:r/>
          </w:p>
        </w:tc>
        <w:tc>
          <w:tcPr>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#1、采用PVC风管，或PP焊接管具有耐酸碱性能；规格：主风管直径≥400mm；管卡采用碳钢制作，表面经镀铬处理，具有耐腐蚀、防火、防潮等功能；                                       </w:t>
            </w:r>
            <w:r>
              <w:rPr>
                <w:rFonts w:hint="eastAsia" w:ascii="宋体" w:hAnsi="宋体" w:eastAsia="宋体" w:cs="宋体"/>
                <w:i w:val="0"/>
                <w:iCs w:val="0"/>
                <w:color w:val="auto"/>
                <w:sz w:val="21"/>
                <w:szCs w:val="21"/>
                <w:highlight w:val="none"/>
                <w:u w:val="none"/>
                <w:lang w:val="en-US" w:eastAsia="zh-CN" w:bidi="ar"/>
              </w:rPr>
              <w:t xml:space="preserve">                                                                                                                                                                                                                                                                </w:t>
            </w:r>
            <w:r/>
          </w:p>
        </w:tc>
        <w:tc>
          <w:tcPr>
            <w:tcW w:w="44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1350"/>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L-12</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w:t>
            </w:r>
            <w:r/>
          </w:p>
        </w:tc>
        <w:tc>
          <w:tcPr>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#1、离心风机；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#2、材料：PP板材料；                                                                                                                                                                                                         #3、电</w:t>
            </w:r>
            <w:r>
              <w:rPr>
                <w:rFonts w:hint="eastAsia" w:ascii="宋体" w:hAnsi="宋体" w:eastAsia="宋体" w:cs="宋体"/>
                <w:i w:val="0"/>
                <w:iCs w:val="0"/>
                <w:color w:val="auto"/>
                <w:sz w:val="21"/>
                <w:szCs w:val="21"/>
                <w:highlight w:val="none"/>
                <w:u w:val="none"/>
                <w:lang w:val="en-US" w:eastAsia="zh-CN" w:bidi="ar"/>
              </w:rPr>
              <w:t xml:space="preserve">机功率：6A-4kW；                                                                                                                                                                                                                             #4、技术要求：转速 1450r/min，风量：</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6677-13353，全压：1139-724，噪声符合国家标准；输出：AC 0-380V 13A；                                                                                                                                   #5、随机配件：防雨风帽、电机防雨罩、及减震垫；</w:t>
            </w:r>
            <w:r/>
          </w:p>
        </w:tc>
        <w:tc>
          <w:tcPr>
            <w:tcW w:w="44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L-13</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变频器</w:t>
            </w:r>
            <w:r/>
          </w:p>
        </w:tc>
        <w:tc>
          <w:tcPr>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#1、采用电流无感矢量控制，（380V/5.5kW），额定电压：AC3PH380V+15%，频率：50-60Hz；</w:t>
            </w:r>
            <w:r/>
          </w:p>
        </w:tc>
        <w:tc>
          <w:tcPr>
            <w:tcW w:w="44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L-14</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消音器</w:t>
            </w:r>
            <w:r/>
          </w:p>
        </w:tc>
        <w:tc>
          <w:tcPr>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#1、规格：外径Ф600㎜，内径Ф400㎜、高度≥1000mm, 圆形；                                                                                                                                      材料：PP材质，内置隔音棉等隔音装置；</w:t>
            </w:r>
            <w:r/>
          </w:p>
        </w:tc>
        <w:tc>
          <w:tcPr>
            <w:tcW w:w="44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L-15</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风机软连接</w:t>
            </w:r>
            <w:r/>
          </w:p>
        </w:tc>
        <w:tc>
          <w:tcPr>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技术参数同“A4-07 风机软连接”</w:t>
            </w:r>
            <w:r/>
          </w:p>
        </w:tc>
        <w:tc>
          <w:tcPr>
            <w:tcW w:w="44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L-16</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风机控制线</w:t>
            </w:r>
            <w:r/>
          </w:p>
        </w:tc>
        <w:tc>
          <w:tcPr>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技术参数同“A4-08 风机控制线”</w:t>
            </w:r>
            <w:r/>
          </w:p>
        </w:tc>
        <w:tc>
          <w:tcPr>
            <w:tcW w:w="44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55"/>
        </w:trPr>
        <w:tc>
          <w:tcPr>
            <w:tcW w:w="40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L-17</w:t>
            </w:r>
            <w:r/>
          </w:p>
        </w:tc>
        <w:tc>
          <w:tcPr>
            <w:tcW w:w="655"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文宣装修</w:t>
            </w:r>
            <w:r/>
          </w:p>
        </w:tc>
        <w:tc>
          <w:tcPr>
            <w:tcW w:w="313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#1、吊顶（约60</w:t>
            </w:r>
            <w:r>
              <w:rPr>
                <w:rStyle w:val="951"/>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1）铝方通吊顶（长1000*宽300*厚1.0mm)颜色定制；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2）龙骨：包含A-字龙骨元件、主龙骨、主龙骨吊件、三角龙骨、三角龙骨吊件等；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3）其他辅件：封边条、钢丝、膨胀螺丝、钢钉、木条等；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#2、墙面（约80㎡）：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1）打磨原有墙面，批腻子一遍，乳胶漆一遍；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#3、地面（约60㎡）：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1）清理原地面基础上的浮尘和砂粒；                                                 </w:t>
            </w:r>
            <w:r>
              <w:rPr>
                <w:rFonts w:hint="eastAsia" w:ascii="宋体" w:hAnsi="宋体" w:eastAsia="宋体" w:cs="宋体"/>
                <w:i w:val="0"/>
                <w:iCs w:val="0"/>
                <w:color w:val="auto"/>
                <w:sz w:val="21"/>
                <w:szCs w:val="21"/>
                <w:highlight w:val="none"/>
                <w:u w:val="none"/>
                <w:lang w:val="en-US" w:eastAsia="zh-CN" w:bidi="ar"/>
              </w:rPr>
              <w:t xml:space="preserve">                                                                                                                                                                                                                          2）黑色哑光不锈钢饰面踢脚线；                       </w:t>
            </w:r>
            <w:r>
              <w:rPr>
                <w:rFonts w:hint="eastAsia" w:ascii="宋体" w:hAnsi="宋体" w:eastAsia="宋体" w:cs="宋体"/>
                <w:i w:val="0"/>
                <w:iCs w:val="0"/>
                <w:color w:val="auto"/>
                <w:sz w:val="21"/>
                <w:szCs w:val="21"/>
                <w:highlight w:val="none"/>
                <w:u w:val="none"/>
                <w:lang w:val="en-US" w:eastAsia="zh-CN" w:bidi="ar"/>
              </w:rPr>
              <w:t xml:space="preserve">                                                                                                                                                                                                                                                       3）PVC地胶；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#4、线路改造：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1）强电：照明、插座2.5平方国标线材，PVC阻燃套管、阻燃型86盒，电线无接头、分线有盒，国标墙面地面插座、双控开关移位及增补；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2）弱电：PVC阻燃套管、阻燃型86盒，网线、音频线、视频线、控制线敷设及线头压制，配套各类接着头；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3）其他：除楼板以外均须开槽暗敷并修复，包含垃圾清运；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#5、照明：LED光源三基色栅格灯6组，外形尺寸约600×600mm，嵌入式安装，银色铝质型材边框，预留安装定位台阶面，边框厚度≤12（mm)；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#6、其他：全部文宣内容及装修样式，施工前需经采购方确认；包含施工垃圾清运。</w:t>
            </w:r>
            <w:r/>
          </w:p>
        </w:tc>
        <w:tc>
          <w:tcPr>
            <w:tcW w:w="44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833" w:type="pct"/>
        <w:tblInd w:w="-7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302"/>
        <w:gridCol w:w="6263"/>
        <w:gridCol w:w="895"/>
        <w:gridCol w:w="711"/>
      </w:tblGrid>
      <w:tr>
        <w:trPr>
          <w:trHeight w:val="380"/>
        </w:trPr>
        <w:tc>
          <w:tcPr>
            <w:gridSpan w:val="5"/>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M、智能药品室 </w:t>
            </w:r>
            <w:r/>
          </w:p>
        </w:tc>
      </w:tr>
      <w:tr>
        <w:trPr>
          <w:trHeight w:val="520"/>
        </w:trPr>
        <w:tc>
          <w:tcPr>
            <w:tcW w:w="38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31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W w:w="4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1115"/>
        </w:trPr>
        <w:tc>
          <w:tcPr>
            <w:tcW w:w="38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M-01</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智能管理柜</w:t>
            </w:r>
            <w:r/>
          </w:p>
        </w:tc>
        <w:tc>
          <w:tcPr>
            <w:tcW w:w="315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#1.产品整体规格尺寸：约1080×2000×540mm；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#2.智能管理柜设备支持RFID读写、双目摄像头人脸识别、二维码条码扫描、电子称重精确到0.1g、热敏标签打印，电控锁控制（支持单模块最大50锁控可选），</w:t>
            </w:r>
            <w:r>
              <w:rPr>
                <w:rFonts w:hint="eastAsia" w:ascii="宋体" w:hAnsi="宋体" w:cs="宋体"/>
                <w:i w:val="0"/>
                <w:iCs w:val="0"/>
                <w:strike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WINDOWS操作系统，支持联网组网，支持WIFI和网口联网，柜外壳体全部采用≥1.2mm的冷轧钢板，柜体底座采用≥2.0mm的冷轧钢板,内外表面经酸洗磷化环氧树脂粉末喷涂，烘热固化处理。柜体内胆（上，下、左、右内衬板）均采用PP（聚丙烯树脂）板，厚度≥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.柜底部设置进风口；柜底装有四个移动尼龙轮，便于柜体移动；前轮后有2个手动调节螺杆，方便危化品储存柜定位。柜顶部中间开有φ160mm的出风口，出风口可以与风管连接。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.智能称重模块精度1g,最大称重范围20KG；供电电压: DC5V，功耗:低于0.5W，传感器激励电压: 5V，采样速率: 10HZ或40Hz可设置，分辨率: &gt;10000分度，接口形式: RS485，适用环境温度: -40~85°C；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.自动感应模块：产品尺寸：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50*50*10mm，工作电压：DC 12V，工作模式：主动模式、被动模式、触发模式，跳频方式：广 谱跳频(FHSS)或定频，可由软件设置，通讯接口：USB、WG26/34、RS485，读卡功率：0~30dBm可调，天线增益：圆极化陶瓷天线，读卡距离：0-1米，功耗：最大功率不大于4W；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6</w:t>
            </w:r>
            <w:r>
              <w:rPr>
                <w:rFonts w:hint="eastAsia" w:ascii="宋体" w:hAnsi="宋体" w:eastAsia="宋体" w:cs="宋体"/>
                <w:i w:val="0"/>
                <w:iCs w:val="0"/>
                <w:color w:val="auto"/>
                <w:sz w:val="21"/>
                <w:szCs w:val="21"/>
                <w:highlight w:val="none"/>
                <w:u w:val="none"/>
                <w:lang w:val="en-US" w:eastAsia="zh-CN" w:bidi="ar"/>
              </w:rPr>
              <w:t xml:space="preserve">.内嵌标签打印机耗材：热敏纸，默认固件支持热敏连续票据纸，可以定制热敏不干胶标签版本；纸宽：≥58mm；纸仓：&lt;40mm；切刀：带刀；打印速度：≥60mm/s；打印方式：行式热敏打印；打印内容：图形、条形码、一维码、二维码、字符；打印寿命：≥50公里。</w:t>
            </w:r>
            <w:r/>
          </w:p>
        </w:tc>
        <w:tc>
          <w:tcPr>
            <w:tcW w:w="4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5"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035"/>
        </w:trPr>
        <w:tc>
          <w:tcPr>
            <w:tcW w:w="38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M-02</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智能管理系统</w:t>
            </w:r>
            <w:r/>
          </w:p>
        </w:tc>
        <w:tc>
          <w:tcPr>
            <w:tcW w:w="315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w:t>
            </w:r>
            <w:r>
              <w:rPr>
                <w:rFonts w:hint="eastAsia" w:ascii="宋体" w:hAnsi="宋体" w:eastAsia="宋体" w:cs="宋体"/>
                <w:i w:val="0"/>
                <w:iCs w:val="0"/>
                <w:color w:val="auto"/>
                <w:sz w:val="21"/>
                <w:szCs w:val="21"/>
                <w:highlight w:val="none"/>
                <w:u w:val="none"/>
                <w:lang w:val="en-US" w:eastAsia="zh-CN" w:bidi="ar"/>
              </w:rPr>
              <w:t xml:space="preserve">.支持如下功能：入库登记；出库登记；库存查询；库存盘点；试剂使用；台账；柜子管理；通风控制；操作日志等；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RFID标签智能感知，支持标签自助打印；试剂耗材自动称重，精确到0.1g;门锁远程控制、开门关门精确记录；人脸识别检测、支持离线操作，安全无风险；视频监控24小时全天候覆盖；风险自主扫描，危化品存储、使用风险早发现；试剂耗材低库存预警；支持最多1+N主副柜自由组合；支持管理柜的组网联网。</w:t>
            </w:r>
            <w:r/>
          </w:p>
        </w:tc>
        <w:tc>
          <w:tcPr>
            <w:tcW w:w="4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5"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220"/>
        </w:trPr>
        <w:tc>
          <w:tcPr>
            <w:tcW w:w="38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M-03</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智能管理平台</w:t>
            </w:r>
            <w:r/>
          </w:p>
        </w:tc>
        <w:tc>
          <w:tcPr>
            <w:tcW w:w="315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#1.支持对全校智能组合柜的远程管理，支持动态维护组合柜；支持远程开启关闭风机，查看视频监控、查看动态库存，低库存预警，库存查询。</w:t>
            </w:r>
            <w:r/>
          </w:p>
        </w:tc>
        <w:tc>
          <w:tcPr>
            <w:tcW w:w="4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5"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115"/>
        </w:trPr>
        <w:tc>
          <w:tcPr>
            <w:tcW w:w="38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M-04</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标签纸</w:t>
            </w:r>
            <w:r/>
          </w:p>
        </w:tc>
        <w:tc>
          <w:tcPr>
            <w:tcW w:w="315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#1.标签纸：芯片类型：U7/U8/U9/H3/H10；工作频率：860~960MHZ；工作协议:IS018000-6C；工作温度:-40℃C~+85℃；</w:t>
            </w:r>
            <w:r/>
          </w:p>
        </w:tc>
        <w:tc>
          <w:tcPr>
            <w:tcW w:w="4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tcW w:w="355"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385"/>
        </w:trPr>
        <w:tc>
          <w:tcPr>
            <w:tcW w:w="38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M-05</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监控录像机</w:t>
            </w:r>
            <w:r/>
          </w:p>
        </w:tc>
        <w:tc>
          <w:tcPr>
            <w:tcW w:w="315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#1.网络硬盘录像机监控主机4路高清POE网线供电NVR满配4个摄像头带4T硬盘，网络视频输入：4路；网络视频带宽(输入/输出 )：40Mbps/60Mbps；HDMI输出：1路，分辨率:1920x1080/60Hz，1280x1024/60Hz1280x720/60Hz，1024x768/60Hz；VGA输出：1路，1920x1080/</w:t>
            </w:r>
            <w:r>
              <w:rPr>
                <w:rFonts w:hint="eastAsia" w:ascii="宋体" w:hAnsi="宋体" w:eastAsia="宋体" w:cs="宋体"/>
                <w:i w:val="0"/>
                <w:iCs w:val="0"/>
                <w:color w:val="auto"/>
                <w:sz w:val="21"/>
                <w:szCs w:val="21"/>
                <w:highlight w:val="none"/>
                <w:u w:val="none"/>
                <w:lang w:val="en-US" w:eastAsia="zh-CN" w:bidi="ar"/>
              </w:rPr>
              <w:t xml:space="preserve">60Hz，1280x1024/60Hz，1280x720/60Hz，1024x768/60Hz；音频输出：不支持；录像分辨率：4MP/3MP/1080p/UXGA/720p/VGA/4CIF/DCIF/2CIF/CIF/QCIF；同步回放：4；解码能力：4路1080P；视频解码格式：H.265/Smart 265/H.264/Smart 264；类型：1个SATA接口；最大容量：支持容量最大6TB的硬盘；存储容量：4TB；录像模式：手动录像、定时录像、移动侦测录像、报警录像、动测或报警录像、动测和报警录像；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#2.回放模式：即时回放、常规回放、事件回放、标签回放、外部文件回放；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#3.备份模式：常规备份、事件备份；网络协议：IPv6、UPnP( 即插即用)、NTP( 网络校时)、SADP(设备网络搜索)、DHCP(自动获取IP地址)；网络接口：1个，RJ45 10M/100M自适应以太网口；USB接口：2个USB 2.0(后)；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#4.PoE接口：4个，RJ45 10M/100M自适应以太网口；标准：IEEE 802.3af/at；输出功率：&lt;=36W；电源：DC 48V；工作温度：-10°C~+55°C；工作湿度：10%~90%；重量(不含硬盘）：≤1kg；尺寸：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200mm(宽)x200mm(深)x48mm(高)；功耗(不含硬盘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：≤10w。</w:t>
            </w:r>
            <w:r/>
          </w:p>
        </w:tc>
        <w:tc>
          <w:tcPr>
            <w:tcW w:w="4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5"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80"/>
        </w:trPr>
        <w:tc>
          <w:tcPr>
            <w:tcW w:w="38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M-06</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摄像头</w:t>
            </w:r>
            <w:r/>
          </w:p>
        </w:tc>
        <w:tc>
          <w:tcPr>
            <w:tcW w:w="315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#1.存储编码：H.265，像素≥200万，焦距≥4mm，红外夜视距离≥30m，补光灯数量≥1个，供电方式：POE网络供电，夜视类型：红外夜视，探头个数≥1个，报警方式：手机推送；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.供网方式：网线，存储方式：硬盘，云存储；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.防水等级：无防水等级；</w:t>
            </w:r>
            <w:r/>
          </w:p>
        </w:tc>
        <w:tc>
          <w:tcPr>
            <w:tcW w:w="4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5"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940"/>
        </w:trPr>
        <w:tc>
          <w:tcPr>
            <w:tcW w:w="38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M-07</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w:t>
            </w:r>
            <w:r/>
          </w:p>
        </w:tc>
        <w:tc>
          <w:tcPr>
            <w:tcW w:w="315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#1.功率：110W，电压：AC220V；风速：≥10m/s，静压：≥10</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Pa，噪音：≤50db，转速：≥14</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0r/min，口径：200mm，风量：≥122</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立方米/h。</w:t>
            </w:r>
            <w:r/>
          </w:p>
        </w:tc>
        <w:tc>
          <w:tcPr>
            <w:tcW w:w="4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5"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80"/>
        </w:trPr>
        <w:tc>
          <w:tcPr>
            <w:tcW w:w="38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M-08</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试剂组合柜</w:t>
            </w:r>
            <w:r/>
          </w:p>
        </w:tc>
        <w:tc>
          <w:tcPr>
            <w:tcW w:w="315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#1.产品尺寸：约900*2000*450mm；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#2.柜外壳体全部采用≥1.2mm的冷轧钢板，柜体底座采用≥2.0mm的冷轧钢板,内外表面经酸洗磷化环氧树脂粉末喷涂，烘热固化处理。柜体内胆（上，下、左、右内衬板）均采用PP（聚丙烯树脂）板，厚度≥4mm；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#3.通风控制装置：柜体底部应设置进风口及可调风阀，可调风阀旋转灵活，并能控制风量大小。通风管道口径宜采用Φ110mm，通风管应耐高温、阻燃、耐腐蚀。</w:t>
            </w:r>
            <w:r/>
          </w:p>
        </w:tc>
        <w:tc>
          <w:tcPr>
            <w:tcW w:w="4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5"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720"/>
        </w:trPr>
        <w:tc>
          <w:tcPr>
            <w:tcW w:w="38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M-09</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药品柜</w:t>
            </w:r>
            <w:r/>
          </w:p>
        </w:tc>
        <w:tc>
          <w:tcPr>
            <w:tcW w:w="315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技术参数同“L-09 药品柜”</w:t>
            </w:r>
            <w:r/>
          </w:p>
        </w:tc>
        <w:tc>
          <w:tcPr>
            <w:tcW w:w="4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355"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400"/>
        </w:trPr>
        <w:tc>
          <w:tcPr>
            <w:tcW w:w="38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M-10</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灭火设备</w:t>
            </w:r>
            <w:r/>
          </w:p>
        </w:tc>
        <w:tc>
          <w:tcPr>
            <w:tcW w:w="315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#1.4KG干粉灭火器，符合安全条例，满足意外事故需要；两个灭火器和1个灭火器箱。</w:t>
            </w:r>
            <w:r/>
          </w:p>
        </w:tc>
        <w:tc>
          <w:tcPr>
            <w:tcW w:w="4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W w:w="38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M-11</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通风系统（室内）</w:t>
            </w:r>
            <w:r/>
          </w:p>
        </w:tc>
        <w:tc>
          <w:tcPr>
            <w:tcW w:w="315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#1.主通风管规格：φ160mm/200mm，PVC成品管道；支管道规格：φ110mm/160mm，PVC成品管道；管道配件：管道三通、弯头、变径、直接。</w:t>
            </w:r>
            <w:r/>
          </w:p>
        </w:tc>
        <w:tc>
          <w:tcPr>
            <w:tcW w:w="4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w:t>
            </w:r>
            <w:r/>
          </w:p>
        </w:tc>
      </w:tr>
      <w:tr>
        <w:trPr>
          <w:trHeight w:val="520"/>
        </w:trPr>
        <w:tc>
          <w:tcPr>
            <w:tcW w:w="38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M-12</w:t>
            </w:r>
            <w:r/>
          </w:p>
        </w:tc>
        <w:tc>
          <w:tcPr>
            <w:tcW w:w="6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安装辅件</w:t>
            </w:r>
            <w:r/>
          </w:p>
        </w:tc>
        <w:tc>
          <w:tcPr>
            <w:tcW w:w="315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#1.含固定支架、连接管、耗材等。</w:t>
            </w:r>
            <w:r/>
          </w:p>
        </w:tc>
        <w:tc>
          <w:tcPr>
            <w:tcW w:w="4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w:t>
            </w:r>
            <w:r/>
          </w:p>
        </w:tc>
      </w:tr>
      <w:tr>
        <w:trPr>
          <w:trHeight w:val="520"/>
        </w:trPr>
        <w:tc>
          <w:tcPr>
            <w:tcW w:w="38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M-13</w:t>
            </w:r>
            <w:r/>
          </w:p>
        </w:tc>
        <w:tc>
          <w:tcPr>
            <w:tcW w:w="655"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文宣装修</w:t>
            </w:r>
            <w:r/>
          </w:p>
        </w:tc>
        <w:tc>
          <w:tcPr>
            <w:tcW w:w="315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技术参数同“L-17 </w:t>
            </w:r>
            <w:r>
              <w:rPr>
                <w:rFonts w:hint="eastAsia" w:ascii="宋体" w:hAnsi="宋体" w:cs="宋体"/>
                <w:i w:val="0"/>
                <w:iCs w:val="0"/>
                <w:color w:val="auto"/>
                <w:sz w:val="21"/>
                <w:szCs w:val="21"/>
                <w:highlight w:val="none"/>
                <w:u w:val="none"/>
                <w:lang w:val="en-US" w:eastAsia="zh-CN" w:bidi="ar"/>
              </w:rPr>
              <w:t xml:space="preserve">文宣装修</w:t>
            </w:r>
            <w:r>
              <w:rPr>
                <w:rFonts w:hint="eastAsia" w:ascii="宋体" w:hAnsi="宋体" w:eastAsia="宋体" w:cs="宋体"/>
                <w:i w:val="0"/>
                <w:iCs w:val="0"/>
                <w:color w:val="auto"/>
                <w:sz w:val="21"/>
                <w:szCs w:val="21"/>
                <w:highlight w:val="none"/>
                <w:u w:val="none"/>
                <w:lang w:val="en-US" w:eastAsia="zh-CN" w:bidi="ar"/>
              </w:rPr>
              <w:t xml:space="preserve">”</w:t>
            </w:r>
            <w:r/>
          </w:p>
        </w:tc>
        <w:tc>
          <w:tcPr>
            <w:tcW w:w="4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851" w:type="pct"/>
        <w:tblInd w:w="-74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328"/>
        <w:gridCol w:w="5945"/>
        <w:gridCol w:w="901"/>
        <w:gridCol w:w="918"/>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N、智能危化品室</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N-01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智能管理柜</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技术参数同“M-01 智能管理柜”</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N-02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智能管理系统</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技术参数同“M-02 智能管理系统”</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N-03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智能管理平台</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技术参数同“M-03 智能管理平台”</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N-04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标签纸</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技术参数同“M-04 标签纸”</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N-05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监控录像机</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技术参数同“M-05 监控录像机”</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N-06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摄像头</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技术参数同“M-06 摄像头”</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N-07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技术参数同“M-07 风机”</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60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N-08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危险品柜</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#1.尺寸：约700*2000*450mm；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#2.柜外壳体全部采用≥1.</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mm的冷轧钢板，柜体底座采用≥</w:t>
            </w:r>
            <w:r>
              <w:rPr>
                <w:rFonts w:hint="eastAsia" w:ascii="宋体" w:hAnsi="宋体" w:cs="宋体"/>
                <w:i w:val="0"/>
                <w:iCs w:val="0"/>
                <w:color w:val="auto"/>
                <w:sz w:val="21"/>
                <w:szCs w:val="21"/>
                <w:highlight w:val="none"/>
                <w:u w:val="none"/>
                <w:lang w:val="en-US" w:eastAsia="zh" w:bidi="ar"/>
              </w:rPr>
              <w:t xml:space="preserve">1.5</w:t>
            </w:r>
            <w:r>
              <w:rPr>
                <w:rFonts w:hint="eastAsia" w:ascii="宋体" w:hAnsi="宋体" w:eastAsia="宋体" w:cs="宋体"/>
                <w:i w:val="0"/>
                <w:iCs w:val="0"/>
                <w:color w:val="auto"/>
                <w:sz w:val="21"/>
                <w:szCs w:val="21"/>
                <w:highlight w:val="none"/>
                <w:u w:val="none"/>
                <w:lang w:val="en-US" w:eastAsia="zh-CN" w:bidi="ar"/>
              </w:rPr>
              <w:t xml:space="preserve">mm的冷轧钢板,内外表面经酸洗磷化环氧树脂粉末喷涂，烘热固化处理。柜体内胆（上，下、左、右内衬板）均采用PP（聚丙烯树脂）板，厚度≥4mm；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#3.柜底部设置进风口；柜底装有四个移动尼龙轮，便于柜体移动；前轮后有2个手动调节螺杆，方便危化品储存柜定位。柜顶部中间开有出风口，出风口可以与风管连接；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#4.通风控制装置：柜体底部应设置进风口及可调风阀，可调风阀旋转灵活，并能控制风量大小。</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91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N-09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毒害品储存柜</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#1.尺寸：约700*2000*450mm；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#2.柜外壳体全部采用≥1.</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mm的冷轧钢板，柜体底座采用≥</w:t>
            </w:r>
            <w:r>
              <w:rPr>
                <w:rFonts w:hint="eastAsia" w:ascii="宋体" w:hAnsi="宋体" w:cs="宋体"/>
                <w:i w:val="0"/>
                <w:iCs w:val="0"/>
                <w:color w:val="auto"/>
                <w:sz w:val="21"/>
                <w:szCs w:val="21"/>
                <w:highlight w:val="none"/>
                <w:u w:val="none"/>
                <w:lang w:val="en-US" w:eastAsia="zh" w:bidi="ar"/>
              </w:rPr>
              <w:t xml:space="preserve">1.5</w:t>
            </w:r>
            <w:r>
              <w:rPr>
                <w:rFonts w:hint="eastAsia" w:ascii="宋体" w:hAnsi="宋体" w:eastAsia="宋体" w:cs="宋体"/>
                <w:i w:val="0"/>
                <w:iCs w:val="0"/>
                <w:color w:val="auto"/>
                <w:sz w:val="21"/>
                <w:szCs w:val="21"/>
                <w:highlight w:val="none"/>
                <w:u w:val="none"/>
                <w:lang w:val="en-US" w:eastAsia="zh-CN" w:bidi="ar"/>
              </w:rPr>
              <w:t xml:space="preserve">mm的冷轧钢板,内外表面经酸洗磷化环氧树脂粉末喷涂，烘热固化处理。柜体内胆（上，下、左、右内衬板）均采用PP（聚丙烯树脂）板，厚度≥4mm；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#3.柜底部设置进风口；柜底装有四个移动尼龙轮，便于柜体移动；前轮后有2个手动调节螺杆，方便危化品储存柜定位。柜顶部中间开有出风口，出风口与风管连接密封件：柜体门与柜体之间应安装防火膨胀；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#4.通风控制装置：柜体底部应设置进风口及可调风阀，可调风阀旋转灵活，并能控制风量大小</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2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N-10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易燃易爆品储存柜</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700*2000*450mm；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#2.整体为双层≥1.</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mm防火钢板构造，两层钢板之间间隔≥40mm，内填特种防火材料；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.采用冷轧钢板，醒目的反光标签，焊接的隔板挂钩连接隔板具有防爆性能；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.镀锌层板，防腐蚀，防液漏，层板具有≥150公斤承重力。蓄液槽高度为≥50mm；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.柜身底部≥50mm高的防漏液槽最大可能的防止化学液体的外溢；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6</w:t>
            </w:r>
            <w:r>
              <w:rPr>
                <w:rFonts w:hint="eastAsia" w:ascii="宋体" w:hAnsi="宋体" w:eastAsia="宋体" w:cs="宋体"/>
                <w:i w:val="0"/>
                <w:iCs w:val="0"/>
                <w:color w:val="auto"/>
                <w:sz w:val="21"/>
                <w:szCs w:val="21"/>
                <w:highlight w:val="none"/>
                <w:u w:val="none"/>
                <w:lang w:val="en-US" w:eastAsia="zh-CN" w:bidi="ar"/>
              </w:rPr>
              <w:t xml:space="preserve">.柜身设有静电接地传导端口，方便连接静电接地导线；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7</w:t>
            </w:r>
            <w:r>
              <w:rPr>
                <w:rFonts w:hint="eastAsia" w:ascii="宋体" w:hAnsi="宋体" w:eastAsia="宋体" w:cs="宋体"/>
                <w:i w:val="0"/>
                <w:iCs w:val="0"/>
                <w:color w:val="auto"/>
                <w:sz w:val="21"/>
                <w:szCs w:val="21"/>
                <w:highlight w:val="none"/>
                <w:u w:val="none"/>
                <w:lang w:val="en-US" w:eastAsia="zh-CN" w:bidi="ar"/>
              </w:rPr>
              <w:t xml:space="preserve">.内置消焰装置通风口，位于柜体两侧，更好地保持通风和排气。</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N-11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通风系统（室内）</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#1.主通风管规格：φ160mm/200mm，PVC成品管道；支管道规格：φ110mm/160mm，PVC成品管道；管道配件：管道三通、弯头、变径、直接。</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w:t>
            </w:r>
            <w:r/>
          </w:p>
        </w:tc>
      </w:tr>
      <w:tr>
        <w:trPr>
          <w:trHeight w:val="48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突发事件接警云平台</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系统统计显示内容：可对报警设备总数统计，包括设备在线率、设备总数、在线设备、离线设备、报警设备、预警数量以及监测时长等数据展示。设备在线列表：可展示报警设备所在空间名称、设备编号、设备名称、设备在线/离线状态以及上一次在线时间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信息处理：应当突发事件接警云平台电脑客户端弹出警情信息，可以进行查看具体的报警信息（地图、搜索经度、纬度、地址、备注信息），并且能够对该报警信息作出上报、误报、开警号、关警号、防护、停警声等相应的处理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平台系统可采用云服务器部署方式，支持广域网操作和管理，学校用户支持通过电脑端或手机端完成所有的管理操作，方便学校进行账户管理，可以对学校、组织机构、监测楼栋以及监测空间进行管理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#4.账号管理：应可以刷新、新增系统管理员、修改管理员、删除管理员、搜索管理员账号等相应的操作；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#5.设备报警记录：可以刷新、生成Excel、搜索、查看处理状态、警情、报警时间、联系电话、地址、设备编码、防区、设备MAC、接警人、微信接警人、处理时间、地图、监控视频、防区图、离线地图；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互联功能：可以与系统主机联接，当系统主机接收到与其相连接的系统分机、移动式报警控制器发出的报警信号时，系统主机应可以通过网线或SIM卡联网方式将报警信号传输至与其相连的突发事件接警云平台电脑客户端、手机APP软件或微信端以及Internet网页端接收到报警信息后，应可以自动弹出具体的警情信息、地图（包含经度、纬度、地址、地图位置</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）、电话、防区、报警时间、设备MAC等信息；接警客户端接收到报警信息后，显示报警信息的同时，自动开启播放</w:t>
            </w:r>
            <w:r>
              <w:rPr>
                <w:rFonts w:hint="eastAsia" w:ascii="宋体" w:hAnsi="宋体" w:cs="宋体"/>
                <w:i w:val="0"/>
                <w:iCs w:val="0"/>
                <w:color w:val="auto"/>
                <w:sz w:val="21"/>
                <w:szCs w:val="21"/>
                <w:highlight w:val="none"/>
                <w:u w:val="none"/>
                <w:lang w:val="en-US" w:eastAsia="zh-CN" w:bidi="ar"/>
              </w:rPr>
              <w:t xml:space="preserve">与</w:t>
            </w:r>
            <w:r>
              <w:rPr>
                <w:rFonts w:hint="eastAsia" w:ascii="宋体" w:hAnsi="宋体" w:eastAsia="宋体" w:cs="宋体"/>
                <w:i w:val="0"/>
                <w:iCs w:val="0"/>
                <w:color w:val="auto"/>
                <w:sz w:val="21"/>
                <w:szCs w:val="21"/>
                <w:highlight w:val="none"/>
                <w:u w:val="none"/>
                <w:lang w:val="en-US" w:eastAsia="zh-CN" w:bidi="ar"/>
              </w:rPr>
              <w:t xml:space="preserve">主机对应的警报声，方便师生、安保负责人通过警报声辨别何种突发事件来临，做出正确的应对措施；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设备管理：可以刷新，新增设备，生成Excel，选择、查看设备编码、设备MAC、设备状态、设备地址、防区图、监控视频、离线地图、修改设备设置、删除设备、冻结、恢复、布防、撤防、全选、设置设备内容信息、搜索等相应的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以刷新，新增、修改、删除以及查询报警联系人，当发生应急突发事件报警时，支持以电话、短信的方式通知报警联系人，对报警设备进行报警参数进行配置管理，可选择报警设备，设置相应的推送方式、推送次数以及报警联系人，可以按照防区字段、报警设备类型进行分类查询，展示报警设备所在空间名称、设备编号、设备名称、设备在线/离线状态以及上一次在线时间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#9.数据统计分析：将设备、设备警情记录、非法撤防记录、设备不在线记录按天、按月、按年进行统计，每种数据统计结果按照已处理、误报、撤防、布防四种情况进行分类,通过扇形图的方式进行直观呈现；</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N-13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安装辅件</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#1.含固定支架、连接管、耗材等。</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N-14</w:t>
            </w:r>
            <w:r/>
          </w:p>
        </w:tc>
        <w:tc>
          <w:tcPr>
            <w:tcBorders>
              <w:top w:val="non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文宣装修</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技术参数同“L-17 </w:t>
            </w:r>
            <w:r>
              <w:rPr>
                <w:rFonts w:hint="eastAsia" w:ascii="宋体" w:hAnsi="宋体" w:cs="宋体"/>
                <w:i w:val="0"/>
                <w:iCs w:val="0"/>
                <w:color w:val="auto"/>
                <w:sz w:val="21"/>
                <w:szCs w:val="21"/>
                <w:highlight w:val="none"/>
                <w:u w:val="none"/>
                <w:lang w:val="en-US" w:eastAsia="zh-CN"/>
              </w:rPr>
              <w:t xml:space="preserve">文宣装修</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851" w:type="pct"/>
        <w:tblInd w:w="-7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291"/>
        <w:gridCol w:w="5938"/>
        <w:gridCol w:w="946"/>
        <w:gridCol w:w="899"/>
      </w:tblGrid>
      <w:tr>
        <w:trPr>
          <w:trHeight w:val="700"/>
        </w:trPr>
        <w:tc>
          <w:tcPr>
            <w:gridSpan w:val="5"/>
            <w:tcW w:w="5000"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O、物理准备室</w:t>
            </w:r>
            <w:r/>
          </w:p>
        </w:tc>
      </w:tr>
      <w:tr>
        <w:trPr>
          <w:trHeight w:val="800"/>
        </w:trPr>
        <w:tc>
          <w:tcPr>
            <w:tcW w:w="4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6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297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W w:w="47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4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640"/>
        </w:trPr>
        <w:tc>
          <w:tcPr>
            <w:tcW w:w="4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O-01</w:t>
            </w:r>
            <w:r/>
          </w:p>
        </w:tc>
        <w:tc>
          <w:tcPr>
            <w:tcW w:w="64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准备台</w:t>
            </w:r>
            <w:r/>
          </w:p>
        </w:tc>
        <w:tc>
          <w:tcPr>
            <w:tcW w:w="297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技术参数同“L-01 准备台”</w:t>
            </w:r>
            <w:r/>
          </w:p>
        </w:tc>
        <w:tc>
          <w:tcPr>
            <w:tcW w:w="47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740"/>
        </w:trPr>
        <w:tc>
          <w:tcPr>
            <w:tcW w:w="4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O-02</w:t>
            </w:r>
            <w:r/>
          </w:p>
        </w:tc>
        <w:tc>
          <w:tcPr>
            <w:tcW w:w="64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仪器储存柜</w:t>
            </w:r>
            <w:r/>
          </w:p>
        </w:tc>
        <w:tc>
          <w:tcPr>
            <w:tcW w:w="297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技术参数同“L-09 药品柜”</w:t>
            </w:r>
            <w:r/>
          </w:p>
        </w:tc>
        <w:tc>
          <w:tcPr>
            <w:tcW w:w="4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4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740"/>
        </w:trPr>
        <w:tc>
          <w:tcPr>
            <w:tcW w:w="45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O-03</w:t>
            </w:r>
            <w:r/>
          </w:p>
        </w:tc>
        <w:tc>
          <w:tcPr>
            <w:tcW w:w="64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文宣装修</w:t>
            </w:r>
            <w:r/>
          </w:p>
        </w:tc>
        <w:tc>
          <w:tcPr>
            <w:tcW w:w="297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技术参数同“L-17 </w:t>
            </w:r>
            <w:r>
              <w:rPr>
                <w:rFonts w:hint="eastAsia" w:ascii="宋体" w:hAnsi="宋体" w:cs="宋体"/>
                <w:i w:val="0"/>
                <w:iCs w:val="0"/>
                <w:color w:val="auto"/>
                <w:sz w:val="21"/>
                <w:szCs w:val="21"/>
                <w:highlight w:val="none"/>
                <w:u w:val="none"/>
                <w:lang w:val="en-US" w:eastAsia="zh-CN"/>
              </w:rPr>
              <w:t xml:space="preserve">文宣装修</w:t>
            </w:r>
            <w:r>
              <w:rPr>
                <w:rFonts w:hint="eastAsia" w:ascii="宋体" w:hAnsi="宋体" w:eastAsia="宋体" w:cs="宋体"/>
                <w:i w:val="0"/>
                <w:iCs w:val="0"/>
                <w:color w:val="auto"/>
                <w:sz w:val="21"/>
                <w:szCs w:val="21"/>
                <w:highlight w:val="none"/>
                <w:u w:val="none"/>
                <w:lang w:val="en-US" w:eastAsia="zh-CN" w:bidi="ar"/>
              </w:rPr>
              <w:t xml:space="preserve">”</w:t>
            </w:r>
            <w:r/>
          </w:p>
        </w:tc>
        <w:tc>
          <w:tcPr>
            <w:tcW w:w="4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50"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833" w:type="pct"/>
        <w:tblInd w:w="-71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328"/>
        <w:gridCol w:w="5933"/>
        <w:gridCol w:w="952"/>
        <w:gridCol w:w="864"/>
      </w:tblGrid>
      <w:tr>
        <w:trP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P、生物准备室1</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P-01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准备台</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技术参数同“L-01 准备台”</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P-02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三联水嘴</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技术参数同“A1-09 三联水嘴”</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P-03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上水装置</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技术参数同“A1-07 上水装置”</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P-04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下水装置</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技术参数同“A1-08 下水装置”</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P-05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试剂架</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技术参数同“L-05 试剂架”</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P-06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滴水架</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技术参数同“L-06 滴水架”</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P-07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单口洗眼器</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技术参数同“A1-11 单口洗眼器”</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P-08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技术参数同“L-09 药品柜”</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P-09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文宣装修</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技术参数同“L-17 </w:t>
            </w:r>
            <w:r>
              <w:rPr>
                <w:rFonts w:hint="eastAsia" w:ascii="宋体" w:hAnsi="宋体" w:cs="宋体"/>
                <w:i w:val="0"/>
                <w:iCs w:val="0"/>
                <w:color w:val="auto"/>
                <w:sz w:val="21"/>
                <w:szCs w:val="21"/>
                <w:highlight w:val="none"/>
                <w:u w:val="none"/>
                <w:lang w:val="en-US" w:eastAsia="zh-CN"/>
              </w:rPr>
              <w:t xml:space="preserve">文宣装修</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806" w:type="pct"/>
        <w:tblInd w:w="-6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330"/>
        <w:gridCol w:w="5949"/>
        <w:gridCol w:w="936"/>
        <w:gridCol w:w="820"/>
      </w:tblGrid>
      <w:tr>
        <w:trPr>
          <w:trHeight w:val="480"/>
        </w:trPr>
        <w:tc>
          <w:tcPr>
            <w:gridSpan w:val="5"/>
            <w:tcW w:w="5000"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Q、生物准备室2</w:t>
            </w:r>
            <w:r/>
          </w:p>
        </w:tc>
      </w:tr>
      <w:tr>
        <w:trPr>
          <w:trHeight w:val="580"/>
        </w:trPr>
        <w:tc>
          <w:tcPr>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6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300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W w:w="4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41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1100"/>
        </w:trPr>
        <w:tc>
          <w:tcPr>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Q-01</w:t>
            </w:r>
            <w:r/>
          </w:p>
        </w:tc>
        <w:tc>
          <w:tcPr>
            <w:tcW w:w="6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实验室水槽</w:t>
            </w:r>
            <w:r/>
          </w:p>
        </w:tc>
        <w:tc>
          <w:tcPr>
            <w:tcW w:w="300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#1、采用实验室专用高密度PP一体化成型水槽，易清洁，耐腐蚀，耐酸碱、耐有机溶剂、耐紫外线。</w:t>
            </w:r>
            <w:r/>
          </w:p>
        </w:tc>
        <w:tc>
          <w:tcPr>
            <w:tcW w:w="4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41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1100"/>
        </w:trPr>
        <w:tc>
          <w:tcPr>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Q-02</w:t>
            </w:r>
            <w:r/>
          </w:p>
        </w:tc>
        <w:tc>
          <w:tcPr>
            <w:tcW w:w="6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三联水嘴</w:t>
            </w:r>
            <w:r/>
          </w:p>
        </w:tc>
        <w:tc>
          <w:tcPr>
            <w:tcW w:w="300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技术参数同“A1-09 三联水嘴”</w:t>
            </w:r>
            <w:r/>
          </w:p>
        </w:tc>
        <w:tc>
          <w:tcPr>
            <w:tcW w:w="4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41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100"/>
        </w:trPr>
        <w:tc>
          <w:tcPr>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Q-03</w:t>
            </w:r>
            <w:r/>
          </w:p>
        </w:tc>
        <w:tc>
          <w:tcPr>
            <w:tcW w:w="6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洗眼器</w:t>
            </w:r>
            <w:r/>
          </w:p>
        </w:tc>
        <w:tc>
          <w:tcPr>
            <w:tcW w:w="300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#1、洗眼喷头：采用不助燃PC材质模铸一体成形制作，具有过滤泡棉及防尘功能，上面防尘盖平常可防尘，使用时可随时被水冲开，并降低突然打开时短暂的高水压，避免冲伤眼睛。</w:t>
            </w:r>
            <w:r/>
          </w:p>
        </w:tc>
        <w:tc>
          <w:tcPr>
            <w:tcW w:w="47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W w:w="41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445"/>
        </w:trPr>
        <w:tc>
          <w:tcPr>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Q-04</w:t>
            </w:r>
            <w:r/>
          </w:p>
        </w:tc>
        <w:tc>
          <w:tcPr>
            <w:tcW w:w="6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W w:w="300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#1、全钢结构</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3000×700×850mm；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#2、台面：采用≥12mm厚双面膜实芯理化板台面，台面边缘用同质材料板双层加厚；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#3、柜体：整体采用≥1.0mm厚冷轧钢板，全部钢制件镀膜防锈处理；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、滑轨：抽屉全部采用三节滚珠轨，开合十万次不变形；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、调整脚：柜体内可调节镀锌铁质调整脚；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6</w:t>
            </w:r>
            <w:r>
              <w:rPr>
                <w:rFonts w:hint="eastAsia" w:ascii="宋体" w:hAnsi="宋体" w:eastAsia="宋体" w:cs="宋体"/>
                <w:i w:val="0"/>
                <w:iCs w:val="0"/>
                <w:color w:val="auto"/>
                <w:sz w:val="21"/>
                <w:szCs w:val="21"/>
                <w:highlight w:val="none"/>
                <w:u w:val="none"/>
                <w:lang w:val="en-US" w:eastAsia="zh-CN" w:bidi="ar"/>
              </w:rPr>
              <w:t xml:space="preserve">、抽屉及门板的材质，横梁框架的材质：采用≥1.0mm厚冷轧钢板，全部钢制件镀膜防锈处理；</w:t>
            </w:r>
            <w:r/>
          </w:p>
        </w:tc>
        <w:tc>
          <w:tcPr>
            <w:tcW w:w="4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41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1280"/>
        </w:trPr>
        <w:tc>
          <w:tcPr>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Q-05</w:t>
            </w:r>
            <w:r/>
          </w:p>
        </w:tc>
        <w:tc>
          <w:tcPr>
            <w:tcW w:w="6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药品、仪器储存柜</w:t>
            </w:r>
            <w:r/>
          </w:p>
        </w:tc>
        <w:tc>
          <w:tcPr>
            <w:tcW w:w="300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技术参数同“L-09 药品柜”</w:t>
            </w:r>
            <w:r/>
          </w:p>
        </w:tc>
        <w:tc>
          <w:tcPr>
            <w:tcW w:w="47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411"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620"/>
        </w:trPr>
        <w:tc>
          <w:tcPr>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Q-06</w:t>
            </w:r>
            <w:r/>
          </w:p>
        </w:tc>
        <w:tc>
          <w:tcPr>
            <w:tcW w:w="67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w:t>
            </w:r>
            <w:r/>
          </w:p>
        </w:tc>
        <w:tc>
          <w:tcPr>
            <w:tcW w:w="300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#1、进水管采用 PP-R 管，主管直径≥25mm；排水管采用 PVC-U 管，管直径≥50mm；弯头、直接、三通、外丝管套、生料带、PVC、管胶水等；上水管采用不锈钢波纹管编织软管，长度不小于 75cm，下水管采用硅胶接口 PVC 软管；</w:t>
            </w:r>
            <w:r/>
          </w:p>
        </w:tc>
        <w:tc>
          <w:tcPr>
            <w:tcW w:w="4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w:t>
            </w:r>
            <w:r/>
          </w:p>
        </w:tc>
      </w:tr>
      <w:tr>
        <w:trPr>
          <w:trHeight w:val="680"/>
        </w:trPr>
        <w:tc>
          <w:tcPr>
            <w:tcW w:w="43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Q-07</w:t>
            </w:r>
            <w:r/>
          </w:p>
        </w:tc>
        <w:tc>
          <w:tcPr>
            <w:tcW w:w="67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文宣装修</w:t>
            </w:r>
            <w:r/>
          </w:p>
        </w:tc>
        <w:tc>
          <w:tcPr>
            <w:tcW w:w="3006"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技术参数同“L-17 </w:t>
            </w:r>
            <w:r>
              <w:rPr>
                <w:rFonts w:hint="eastAsia" w:ascii="宋体" w:hAnsi="宋体" w:cs="宋体"/>
                <w:i w:val="0"/>
                <w:iCs w:val="0"/>
                <w:color w:val="auto"/>
                <w:sz w:val="21"/>
                <w:szCs w:val="21"/>
                <w:highlight w:val="none"/>
                <w:u w:val="none"/>
                <w:lang w:val="en-US" w:eastAsia="zh-CN"/>
              </w:rPr>
              <w:t xml:space="preserve">文宣装修</w:t>
            </w:r>
            <w:r>
              <w:rPr>
                <w:rFonts w:hint="eastAsia" w:ascii="宋体" w:hAnsi="宋体" w:eastAsia="宋体" w:cs="宋体"/>
                <w:i w:val="0"/>
                <w:iCs w:val="0"/>
                <w:color w:val="auto"/>
                <w:sz w:val="21"/>
                <w:szCs w:val="21"/>
                <w:highlight w:val="none"/>
                <w:u w:val="none"/>
                <w:lang w:val="en-US" w:eastAsia="zh-CN" w:bidi="ar"/>
              </w:rPr>
              <w:t xml:space="preserve">”</w:t>
            </w:r>
            <w:r/>
          </w:p>
        </w:tc>
        <w:tc>
          <w:tcPr>
            <w:tcW w:w="47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11"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color w:val="auto"/>
          <w:highlight w:val="none"/>
        </w:rPr>
      </w:pPr>
      <w:r>
        <w:rPr>
          <w:color w:val="auto"/>
          <w:highlight w:val="none"/>
        </w:rPr>
      </w:r>
      <w:r/>
    </w:p>
    <w:p>
      <w:pPr>
        <w:jc w:val="left"/>
        <w:rPr>
          <w:rFonts w:hint="eastAsia"/>
          <w:b/>
          <w:bCs/>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b/>
          <w:bCs/>
          <w:color w:val="auto"/>
          <w:highlight w:val="none"/>
          <w:lang w:val="en-US" w:eastAsia="zh-CN"/>
        </w:rPr>
      </w:r>
      <w:r/>
    </w:p>
    <w:p>
      <w:pPr>
        <w:jc w:val="left"/>
        <w:rPr>
          <w:rFonts w:hint="default"/>
          <w:b/>
          <w:bCs/>
          <w:color w:val="auto"/>
          <w:highlight w:val="none"/>
          <w:lang w:val="en-US" w:eastAsia="zh-CN"/>
        </w:rPr>
      </w:pPr>
      <w:r>
        <w:rPr>
          <w:rFonts w:hint="default"/>
          <w:b/>
          <w:bCs/>
          <w:color w:val="auto"/>
          <w:highlight w:val="none"/>
          <w:lang w:val="en-US" w:eastAsia="zh-CN"/>
        </w:rPr>
      </w:r>
      <w:r/>
    </w:p>
    <w:p>
      <w:pPr>
        <w:jc w:val="both"/>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bl>
      <w:tblPr>
        <w:tblStyle w:val="701"/>
        <w:tblW w:w="497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34"/>
        <w:gridCol w:w="4936"/>
        <w:gridCol w:w="1233"/>
        <w:gridCol w:w="1237"/>
        <w:gridCol w:w="1263"/>
      </w:tblGrid>
      <w:tr>
        <w:trPr>
          <w:trHeight w:val="984" w:hRule="exact"/>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泗洪姜堰实验学校初中部功能室、实验室采购项目采购包2</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采购清单明细表及技术参数要求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功能室科目名称</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"'AA-生物标本室'!A1"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AA-生物标本室</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"'AB-历史地理教室'!A1"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AB-历史地理教室</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"'AC-生物园地'!A1"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AC-生物园地</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"'AD-4K精品录播系统'!A1"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AD-4K精品录播教室</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"'AE-初中化学仪器'!A1"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AE-初中化学仪器</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"'AF-初中生物仪器'!A1"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AF-初中生物仪器</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"'AG-初中物理仪器'!A1"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AG-初中物理仪器</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"'AH-劳技教室1'!A1"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AH-劳技教室1</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"'AI-劳技教室2'!A1"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AI-劳技教室2</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"'AJ-劳技教室3 '!A1"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AJ-劳技教室3</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"'AK-劳技教室4（创客教室）'!A1"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AK-劳技教室4（创客教室）</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"'AL-舞蹈教室'!A1"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AL-舞蹈教室</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"'AM-音乐合唱教室1'!A1"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AM-音乐合唱教室1</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"'AN-音乐教室2'!A1"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AN-音乐教室2</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"'AO-心理咨询室'!A1"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AO-心理咨询室</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"'AP-智慧书法教室'!A1"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AP-智慧书法教室</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"'AQ-传统书法教室'!A1"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AQ-传统书法教室</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"'AR-美术教室1'!A1"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AR-美术教室1</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"'AS-美术教室2'!A1"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AS-美术教室2</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三层</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fldChar w:fldCharType="begin"/>
            </w:r>
            <w:r>
              <w:rPr>
                <w:rFonts w:hint="eastAsia" w:ascii="宋体" w:hAnsi="宋体" w:eastAsia="宋体" w:cs="宋体"/>
                <w:i w:val="0"/>
                <w:iCs w:val="0"/>
                <w:color w:val="auto"/>
                <w:sz w:val="21"/>
                <w:szCs w:val="21"/>
                <w:highlight w:val="none"/>
                <w:u w:val="none"/>
                <w:lang w:val="en-US" w:eastAsia="zh-CN" w:bidi="ar"/>
              </w:rPr>
              <w:instrText xml:space="preserve"> HYPERLINK "" \l "'AT-美术教室3'!A1" </w:instrText>
            </w:r>
            <w:r>
              <w:rPr>
                <w:rFonts w:hint="eastAsia" w:ascii="宋体" w:hAnsi="宋体" w:eastAsia="宋体" w:cs="宋体"/>
                <w:i w:val="0"/>
                <w:iCs w:val="0"/>
                <w:color w:val="auto"/>
                <w:sz w:val="21"/>
                <w:szCs w:val="21"/>
                <w:highlight w:val="none"/>
                <w:u w:val="none"/>
                <w:lang w:val="en-US" w:eastAsia="zh-CN" w:bidi="ar"/>
              </w:rPr>
              <w:fldChar w:fldCharType="separate"/>
            </w:r>
            <w:r>
              <w:rPr>
                <w:rStyle w:val="728"/>
                <w:rFonts w:hint="eastAsia" w:ascii="宋体" w:hAnsi="宋体" w:eastAsia="宋体" w:cs="宋体"/>
                <w:i w:val="0"/>
                <w:iCs w:val="0"/>
                <w:color w:val="auto"/>
                <w:sz w:val="21"/>
                <w:szCs w:val="21"/>
                <w:highlight w:val="none"/>
                <w:u w:val="none"/>
              </w:rPr>
              <w:t xml:space="preserve">AT-美术教室3</w:t>
            </w:r>
            <w:r>
              <w:rPr>
                <w:rFonts w:hint="eastAsia" w:ascii="宋体" w:hAnsi="宋体" w:eastAsia="宋体" w:cs="宋体"/>
                <w:i w:val="0"/>
                <w:iCs w:val="0"/>
                <w:color w:val="auto"/>
                <w:sz w:val="21"/>
                <w:szCs w:val="21"/>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三层</w:t>
            </w:r>
            <w:r/>
          </w:p>
        </w:tc>
      </w:tr>
    </w:tbl>
    <w:p>
      <w:pPr>
        <w:jc w:val="both"/>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both"/>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ectPr>
          <w:footnotePr/>
          <w:endnotePr/>
          <w:type w:val="nextPage"/>
          <w:pgSz w:w="11906" w:h="16838" w:orient="portrait"/>
          <w:pgMar w:top="1440" w:right="1080" w:bottom="1440" w:left="1080" w:header="851" w:footer="992" w:gutter="0"/>
          <w:cols w:num="1" w:sep="0" w:space="720" w:equalWidth="1"/>
          <w:docGrid w:linePitch="360"/>
        </w:sect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both"/>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bl>
      <w:tblPr>
        <w:tblStyle w:val="701"/>
        <w:tblW w:w="5190" w:type="pct"/>
        <w:tblInd w:w="8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1322"/>
        <w:gridCol w:w="6655"/>
        <w:gridCol w:w="671"/>
        <w:gridCol w:w="709"/>
      </w:tblGrid>
      <w:tr>
        <w:trPr>
          <w:trHeight w:val="567" w:hRule="exact"/>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AA-生物标本室</w:t>
            </w:r>
            <w:r/>
          </w:p>
        </w:tc>
      </w:tr>
      <w:tr>
        <w:trPr>
          <w:trHeight w:val="27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432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AA1-01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单面标本柜</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#1.铝木结构规格：约1000*500*2000mm；下柜采用全木结构，</w:t>
            </w:r>
            <w:r>
              <w:rPr>
                <w:rFonts w:hint="eastAsia" w:ascii="宋体" w:hAnsi="宋体" w:cs="宋体"/>
                <w:i w:val="0"/>
                <w:iCs w:val="0"/>
                <w:color w:val="auto"/>
                <w:sz w:val="21"/>
                <w:szCs w:val="21"/>
                <w:highlight w:val="none"/>
                <w:u w:val="none"/>
                <w:lang w:val="en-US" w:eastAsia="zh-CN" w:bidi="ar"/>
              </w:rPr>
              <w:t xml:space="preserve">主</w:t>
            </w:r>
            <w:r>
              <w:rPr>
                <w:rFonts w:hint="eastAsia" w:ascii="宋体" w:hAnsi="宋体" w:eastAsia="宋体" w:cs="宋体"/>
                <w:i w:val="0"/>
                <w:iCs w:val="0"/>
                <w:color w:val="auto"/>
                <w:sz w:val="21"/>
                <w:szCs w:val="21"/>
                <w:highlight w:val="none"/>
                <w:u w:val="none"/>
                <w:lang w:val="en-US" w:eastAsia="zh-CN" w:bidi="ar"/>
              </w:rPr>
              <w:t xml:space="preserve">体基材采用≥</w:t>
            </w:r>
            <w:r>
              <w:rPr>
                <w:rFonts w:hint="eastAsia" w:ascii="宋体" w:hAnsi="宋体" w:cs="宋体"/>
                <w:i w:val="0"/>
                <w:iCs w:val="0"/>
                <w:strike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㎜厚E1级三聚氰胺板；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#2.上部高1400mm，四面为5mm厚透明白玻镶嵌，双面为金属包边白玻推拉门设计，内部两层5mm厚玻璃活动隔层；下部橱柜高为600mm，板式对开门，不锈钢弓型拉手；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#3.连接件：ABS专用连接组装件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脚垫：采用特制模具优质注塑脚垫，高度为2.5cm，高度可调，可有效防潮；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.铝合金型材</w:t>
            </w:r>
            <w:r>
              <w:rPr>
                <w:rFonts w:hint="eastAsia" w:ascii="宋体" w:hAnsi="宋体" w:cs="宋体"/>
                <w:i w:val="0"/>
                <w:iCs w:val="0"/>
                <w:color w:val="auto"/>
                <w:sz w:val="21"/>
                <w:szCs w:val="21"/>
                <w:highlight w:val="none"/>
                <w:u w:val="none"/>
                <w:lang w:val="en-US" w:eastAsia="zh-CN" w:bidi="ar"/>
              </w:rPr>
              <w:t xml:space="preserve">技术要求</w:t>
            </w:r>
            <w:r>
              <w:rPr>
                <w:rFonts w:hint="eastAsia" w:ascii="宋体" w:hAnsi="宋体" w:eastAsia="宋体" w:cs="宋体"/>
                <w:i w:val="0"/>
                <w:iCs w:val="0"/>
                <w:color w:val="auto"/>
                <w:sz w:val="21"/>
                <w:szCs w:val="21"/>
                <w:highlight w:val="none"/>
                <w:u w:val="none"/>
                <w:lang w:val="en-US" w:eastAsia="zh-CN" w:bidi="ar"/>
              </w:rPr>
              <w:t xml:space="preserve">符合GB/T10125-2021《人造气氛腐蚀试验盐雾试验》和GB/T6461-2002《金属基体上金属和其他无机覆盖层经腐蚀试验后的试样和试件的评级》</w:t>
            </w:r>
            <w:r>
              <w:rPr>
                <w:rFonts w:hint="eastAsia" w:ascii="宋体" w:hAnsi="宋体" w:eastAsia="宋体" w:cs="宋体"/>
                <w:i w:val="0"/>
                <w:iCs w:val="0"/>
                <w:strike w:val="0"/>
                <w:color w:val="auto"/>
                <w:sz w:val="21"/>
                <w:szCs w:val="21"/>
                <w:highlight w:val="none"/>
                <w:u w:val="none"/>
                <w:lang w:val="en-US" w:eastAsia="zh-CN" w:bidi="ar"/>
              </w:rPr>
              <w:t xml:space="preserve">标准测试</w:t>
            </w:r>
            <w:r>
              <w:rPr>
                <w:rFonts w:hint="eastAsia" w:ascii="宋体" w:hAnsi="宋体" w:cs="宋体"/>
                <w:i w:val="0"/>
                <w:iCs w:val="0"/>
                <w:strike w:val="0"/>
                <w:color w:val="auto"/>
                <w:sz w:val="21"/>
                <w:szCs w:val="21"/>
                <w:highlight w:val="none"/>
                <w:u w:val="none"/>
                <w:lang w:val="en-US" w:eastAsia="zh-CN" w:bidi="ar"/>
              </w:rPr>
              <w:t xml:space="preserve">中保护评级与外观评级</w:t>
            </w:r>
            <w:r>
              <w:rPr>
                <w:rFonts w:hint="eastAsia" w:ascii="宋体" w:hAnsi="宋体" w:eastAsia="宋体" w:cs="宋体"/>
                <w:i w:val="0"/>
                <w:iCs w:val="0"/>
                <w:strike w:val="0"/>
                <w:color w:val="auto"/>
                <w:sz w:val="21"/>
                <w:szCs w:val="21"/>
                <w:highlight w:val="none"/>
                <w:u w:val="none"/>
                <w:lang w:val="en-US" w:eastAsia="zh-CN" w:bidi="ar"/>
              </w:rPr>
              <w:t xml:space="preserve">符合10级要求</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（提供具有CMA认证标识的第三方检测机构出具的检测报告原件扫描件）</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3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“泗洪湿地”和“洪泽湖”生物标本展</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AA2-01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丹顶鹤</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AA2-02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白腰勺鹬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AA2-03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白鹳</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AA2-04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东方白鹳</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AA2-05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鹊鸭</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AA2-06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普通燕鸥</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AA2-07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白腰杓鹬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AA2-08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白枕鹤</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AA2-09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黑尾塍鹬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AA2-10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黑喉潜鸟</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AA2-11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凤头䴙䴘</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AA2-12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卷羽鹈鹕</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AA2-13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栗苇鳽</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AA2-14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黄斑苇鳽</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AA2-15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紫背苇鳽</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AA2-16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黑头白鹮</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AA2-17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凤头潜鸭</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AA2-18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斑头秋沙鸭</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AA2-19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普通鵟（狂）</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AA2-20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大鵟（狂）</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AA2-21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蓑羽鹤</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AA2-22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蒙古沙鸻</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AA2-23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铁嘴沙鸻</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AA2-24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白额燕鸥</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AA2-25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草鸮</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AA2-26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领角鸮</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AA2-27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长尾夜鹰</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AA2-28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大嘴乌鸦</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AA2-29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雪雁</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AA2-30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白琵鹭</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AA2-31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小天鹅</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AA2-32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大天鹅</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AA2-33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白眼潜鸭</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AA2-34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青脚鹬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AA2-35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斑嘴鸭</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AA2-36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针尾鸭</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AA2-37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斑背潜鸭</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AA2-38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绿头鸭♂</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AA2-39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绿头鸭♀</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AA2-40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绿翅鸭♂</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AA2-41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绿翅鸭♀</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AA2-42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翘鼻麻鸭</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AA2-43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赤麻鸭</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AA2-44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赤颈鸭</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AA2-45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黑水鸡</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AA2-46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鱼类—翘嘴鲌</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AA2-47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鱼类—红尾鲌</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AA2-48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鱼类—黄尾鲴</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AA2-49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鱼类—鲢鱼</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AA2-50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鱼类—鳙鱼</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AA2-51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鱼类—鲤鱼</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AA2-52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鱼类—鲫鱼</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AA2-53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鱼类—鮰鱼</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AA2-54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鱼类—鳜鱼</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AA2-55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鱼类—乌鳢</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415"/>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AA2-56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鱼类—塘鲺</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AA2-57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鱼类—黄颡鱼</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AA2-58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鱼类—青鱼</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AA2-59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鱼类—草鱼</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AA2-60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鱼类—赤眼鳟</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AA2-61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鱼类—鳊鱼</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AA2-62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鱼类—沙塘鳢</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AA2-63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鱼类—黄鳝</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AA2-64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鱼类—泥鳅</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AA2-65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鱼类—中华绒螯蟹</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AA2-66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獐</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成体，自然大，高仿真标本，动物真毛皮贴毛仿制制成。含亚克力L型展示牌，安装摆放展示牌需显示具体产品名称、学名及相关产品科普简介。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AA2-67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河麂</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成体，自然大，高仿真标本，动物真毛皮贴毛仿制制成。含亚克力L型展示牌，安装摆放展示牌需显示具体产品名称、学名及相关产品科普简介。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AA2-68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黄鼬</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成体，自然大，高仿真标本，动物真毛皮贴毛仿制制成。含亚克力L型展示牌，安装摆放展示牌需显示具体产品名称、学名及相关产品科普简介。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AA2-69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刺猬</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成体，自然大，高仿真标本，动物真毛皮贴毛仿制制成。含亚克力L型展示牌，安装摆放展示牌需显示具体产品名称、学名及相关产品科普简介。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AA2-70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松鼠</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成体，自然大，高仿真标本，动物真毛皮贴毛仿制制成。含亚克力L型展示牌，安装摆放展示牌需显示具体产品名称、学名及相关产品科普简介。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AA2-71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猪獾</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成体，自然大，高仿真标本，动物真毛皮贴毛仿制制成。含亚克力L型展示牌，安装摆放展示牌需显示具体产品名称、学名及相关产品科普简介。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AA2-72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麝鼠</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成体，自然大，高仿真标本，动物真毛皮贴毛仿制制成。含亚克力L型展示牌，安装摆放展示牌需显示具体产品名称、学名及相关产品科普简介。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AA2-73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滑鼠蛇</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AA2-74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赤链蛇</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AA2-75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水蛇</w:t>
            </w:r>
            <w:r/>
          </w:p>
        </w:tc>
        <w:tc>
          <w:tcPr>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动物1比1聚氨酯还原制作。呈现自然形态。含亚克力L型展示牌，安装摆放展示牌需显示具体产品名称、学名及相关产品科普简介。</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3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标本走廊墙展示</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AA3-01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蝴蝶标本100种</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#1.≥100种不同蝴蝶。</w:t>
            </w:r>
            <w:r>
              <w:rPr>
                <w:rFonts w:hint="eastAsia" w:ascii="宋体" w:hAnsi="宋体" w:eastAsia="宋体" w:cs="宋体"/>
                <w:i w:val="0"/>
                <w:iCs w:val="0"/>
                <w:strike w:val="0"/>
                <w:color w:val="auto"/>
                <w:sz w:val="21"/>
                <w:szCs w:val="21"/>
                <w:highlight w:val="none"/>
                <w:u w:val="none"/>
                <w:lang w:val="en-US" w:eastAsia="zh-CN" w:bidi="ar"/>
              </w:rPr>
              <w:t xml:space="preserve">标本盒尺寸不小于24*25*3cm，每盒4</w:t>
            </w:r>
            <w:r>
              <w:rPr>
                <w:rFonts w:hint="eastAsia" w:ascii="宋体" w:hAnsi="宋体" w:eastAsia="宋体" w:cs="宋体"/>
                <w:i w:val="0"/>
                <w:iCs w:val="0"/>
                <w:color w:val="auto"/>
                <w:sz w:val="21"/>
                <w:szCs w:val="21"/>
                <w:highlight w:val="none"/>
                <w:u w:val="none"/>
                <w:lang w:val="en-US" w:eastAsia="zh-CN" w:bidi="ar"/>
              </w:rPr>
              <w:t xml:space="preserve">只，25盒，蝴蝶完全展翅。每只蝴蝶需带有中文名、学名、分布区域等详细文字介绍。标本盒为木盒，浮法玻璃面，标本盒背板采用E1级环保背板制作。标本盒背板佩带可直接支撑摆放的支架。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AA3-02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蛾类标本100种</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#1.蛾类完全展翅。一盒4只-5只，一共20盒</w:t>
            </w:r>
            <w:r>
              <w:rPr>
                <w:rFonts w:hint="eastAsia" w:ascii="宋体" w:hAnsi="宋体" w:eastAsia="宋体" w:cs="宋体"/>
                <w:i w:val="0"/>
                <w:iCs w:val="0"/>
                <w:strike w:val="0"/>
                <w:color w:val="auto"/>
                <w:sz w:val="21"/>
                <w:szCs w:val="21"/>
                <w:highlight w:val="none"/>
                <w:u w:val="none"/>
                <w:lang w:val="en-US" w:eastAsia="zh-CN" w:bidi="ar"/>
              </w:rPr>
              <w:t xml:space="preserve">。尺寸≥30*25*4cm。生产厂家品牌需经商标注册，并持有品牌商标注册证书。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AA3-03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昆虫100种</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#1.不少于100种昆虫制作，</w:t>
            </w:r>
            <w:r>
              <w:rPr>
                <w:rFonts w:hint="eastAsia" w:ascii="宋体" w:hAnsi="宋体" w:eastAsia="宋体" w:cs="宋体"/>
                <w:i w:val="0"/>
                <w:iCs w:val="0"/>
                <w:strike w:val="0"/>
                <w:color w:val="auto"/>
                <w:sz w:val="21"/>
                <w:szCs w:val="21"/>
                <w:highlight w:val="none"/>
                <w:u w:val="none"/>
                <w:lang w:val="en-US" w:eastAsia="zh-CN" w:bidi="ar"/>
              </w:rPr>
              <w:t xml:space="preserve">尺寸≥24*25*3cm，</w:t>
            </w:r>
            <w:r>
              <w:rPr>
                <w:rFonts w:hint="eastAsia" w:ascii="宋体" w:hAnsi="宋体" w:eastAsia="宋体" w:cs="宋体"/>
                <w:i w:val="0"/>
                <w:iCs w:val="0"/>
                <w:color w:val="auto"/>
                <w:sz w:val="21"/>
                <w:szCs w:val="21"/>
                <w:highlight w:val="none"/>
                <w:u w:val="none"/>
                <w:lang w:val="en-US" w:eastAsia="zh-CN" w:bidi="ar"/>
              </w:rPr>
              <w:t xml:space="preserve">每盒10只，共10盒。标本盒为木盒，浮法玻璃面，标本盒背板采用E1级环保背板制作。标本盒背板佩带可直接支撑摆放的支架。生产厂家品牌需经商标注册，并持有品牌商标注册证书。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89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AA3-04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植物覆膜标本50种（含框）</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框包装，可直接挂墙展示。包含圆叶牵牛，锦绣杜鹃，水蜜桃，月季花，白兰花，金丝桃，圆盖阴石蕨，侧柏，小麦，荠，萝卜等50种植物。A4尺寸。内置物由新鲜植物压制吸水，经严格消毒、无虫蛀、无霉变，真空过塑包装，永久保存。采用白色卡纸塑封，立体感强。标本右下角需明显体现植物的门、目、属、纲、木、科，及该植物的拉丁文学名名称等相关信息。</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AA3-05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草本植物15种（含框）</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#1.木框包装，可直接挂墙展示。复膜需明显体现植物的门、目、属、纲、木、科，及该植物的拉丁文学名名称。生产厂家品牌需经商标注册，并持有品牌商标注册证书。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AA3-06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木本植物15种（含框）</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#1.木框包装，可直接挂墙展示。复膜需明显体现植物的门、目、属、纲、木、科，及该植物的拉丁文学名名称。生产厂家品牌需经商标注册，并持有品牌商标注册证书。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AA3-07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有趣的金龟子—墨绿彩丽金龟</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strike w:val="0"/>
                <w:color w:val="auto"/>
                <w:sz w:val="21"/>
                <w:szCs w:val="21"/>
                <w:highlight w:val="none"/>
                <w:u w:val="none"/>
                <w:lang w:val="en-US" w:eastAsia="zh-CN" w:bidi="ar"/>
              </w:rPr>
              <w:t xml:space="preserve">标本盒采用尺寸≥28*18*3cm的</w:t>
            </w:r>
            <w:r>
              <w:rPr>
                <w:rFonts w:hint="eastAsia" w:ascii="宋体" w:hAnsi="宋体" w:eastAsia="宋体" w:cs="宋体"/>
                <w:i w:val="0"/>
                <w:iCs w:val="0"/>
                <w:color w:val="auto"/>
                <w:sz w:val="21"/>
                <w:szCs w:val="21"/>
                <w:highlight w:val="none"/>
                <w:u w:val="none"/>
                <w:lang w:val="en-US" w:eastAsia="zh-CN" w:bidi="ar"/>
              </w:rPr>
              <w:t xml:space="preserve">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AA3-08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有趣的金龟子—褐色宝石金龟</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w:t>
            </w:r>
            <w:r>
              <w:rPr>
                <w:rFonts w:hint="eastAsia" w:ascii="宋体" w:hAnsi="宋体" w:eastAsia="宋体" w:cs="宋体"/>
                <w:i w:val="0"/>
                <w:iCs w:val="0"/>
                <w:strike w:val="0"/>
                <w:color w:val="auto"/>
                <w:sz w:val="21"/>
                <w:szCs w:val="21"/>
                <w:highlight w:val="none"/>
                <w:u w:val="none"/>
                <w:lang w:val="en-US" w:eastAsia="zh-CN" w:bidi="ar"/>
              </w:rPr>
              <w:t xml:space="preserve">尺寸≥28*18*3cm的</w:t>
            </w:r>
            <w:r>
              <w:rPr>
                <w:rFonts w:hint="eastAsia" w:ascii="宋体" w:hAnsi="宋体" w:eastAsia="宋体" w:cs="宋体"/>
                <w:i w:val="0"/>
                <w:iCs w:val="0"/>
                <w:color w:val="auto"/>
                <w:sz w:val="21"/>
                <w:szCs w:val="21"/>
                <w:highlight w:val="none"/>
                <w:u w:val="none"/>
                <w:lang w:val="en-US" w:eastAsia="zh-CN" w:bidi="ar"/>
              </w:rPr>
              <w:t xml:space="preserve">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AA3-09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有趣的金龟子—暗蓝异花金龟</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w:t>
            </w:r>
            <w:r>
              <w:rPr>
                <w:rFonts w:hint="eastAsia" w:ascii="宋体" w:hAnsi="宋体" w:eastAsia="宋体" w:cs="宋体"/>
                <w:i w:val="0"/>
                <w:iCs w:val="0"/>
                <w:strike w:val="0"/>
                <w:color w:val="auto"/>
                <w:sz w:val="21"/>
                <w:szCs w:val="21"/>
                <w:highlight w:val="none"/>
                <w:u w:val="none"/>
                <w:lang w:val="en-US" w:eastAsia="zh-CN" w:bidi="ar"/>
              </w:rPr>
              <w:t xml:space="preserve">尺寸≥28*18*3cm的</w:t>
            </w:r>
            <w:r>
              <w:rPr>
                <w:rFonts w:hint="eastAsia" w:ascii="宋体" w:hAnsi="宋体" w:eastAsia="宋体" w:cs="宋体"/>
                <w:i w:val="0"/>
                <w:iCs w:val="0"/>
                <w:color w:val="auto"/>
                <w:sz w:val="21"/>
                <w:szCs w:val="21"/>
                <w:highlight w:val="none"/>
                <w:u w:val="none"/>
                <w:lang w:val="en-US" w:eastAsia="zh-CN" w:bidi="ar"/>
              </w:rPr>
              <w:t xml:space="preserve">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AA3-10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有趣的金龟子—宽带鹿角花金龟</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w:t>
            </w:r>
            <w:r>
              <w:rPr>
                <w:rFonts w:hint="eastAsia" w:ascii="宋体" w:hAnsi="宋体" w:eastAsia="宋体" w:cs="宋体"/>
                <w:i w:val="0"/>
                <w:iCs w:val="0"/>
                <w:strike w:val="0"/>
                <w:color w:val="auto"/>
                <w:sz w:val="21"/>
                <w:szCs w:val="21"/>
                <w:highlight w:val="none"/>
                <w:u w:val="none"/>
                <w:lang w:val="en-US" w:eastAsia="zh-CN" w:bidi="ar"/>
              </w:rPr>
              <w:t xml:space="preserve">尺寸≥28*18*3cm的</w:t>
            </w:r>
            <w:r>
              <w:rPr>
                <w:rFonts w:hint="eastAsia" w:ascii="宋体" w:hAnsi="宋体" w:eastAsia="宋体" w:cs="宋体"/>
                <w:i w:val="0"/>
                <w:iCs w:val="0"/>
                <w:color w:val="auto"/>
                <w:sz w:val="21"/>
                <w:szCs w:val="21"/>
                <w:highlight w:val="none"/>
                <w:u w:val="none"/>
                <w:lang w:val="en-US" w:eastAsia="zh-CN" w:bidi="ar"/>
              </w:rPr>
              <w:t xml:space="preserve">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AA3-11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有趣的金龟子—日拟阔花金龟</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w:t>
            </w:r>
            <w:r>
              <w:rPr>
                <w:rFonts w:hint="eastAsia" w:ascii="宋体" w:hAnsi="宋体" w:eastAsia="宋体" w:cs="宋体"/>
                <w:i w:val="0"/>
                <w:iCs w:val="0"/>
                <w:strike w:val="0"/>
                <w:color w:val="auto"/>
                <w:sz w:val="21"/>
                <w:szCs w:val="21"/>
                <w:highlight w:val="none"/>
                <w:u w:val="none"/>
                <w:lang w:val="en-US" w:eastAsia="zh-CN" w:bidi="ar"/>
              </w:rPr>
              <w:t xml:space="preserve">尺寸≥28*18*3cm的</w:t>
            </w:r>
            <w:r>
              <w:rPr>
                <w:rFonts w:hint="eastAsia" w:ascii="宋体" w:hAnsi="宋体" w:eastAsia="宋体" w:cs="宋体"/>
                <w:i w:val="0"/>
                <w:iCs w:val="0"/>
                <w:color w:val="auto"/>
                <w:sz w:val="21"/>
                <w:szCs w:val="21"/>
                <w:highlight w:val="none"/>
                <w:u w:val="none"/>
                <w:lang w:val="en-US" w:eastAsia="zh-CN" w:bidi="ar"/>
              </w:rPr>
              <w:t xml:space="preserve">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AA3-12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有趣的金龟子—铜绿丽金龟</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w:t>
            </w:r>
            <w:r>
              <w:rPr>
                <w:rFonts w:hint="eastAsia" w:ascii="宋体" w:hAnsi="宋体" w:eastAsia="宋体" w:cs="宋体"/>
                <w:i w:val="0"/>
                <w:iCs w:val="0"/>
                <w:strike w:val="0"/>
                <w:color w:val="auto"/>
                <w:sz w:val="21"/>
                <w:szCs w:val="21"/>
                <w:highlight w:val="none"/>
                <w:u w:val="none"/>
                <w:lang w:val="en-US" w:eastAsia="zh-CN" w:bidi="ar"/>
              </w:rPr>
              <w:t xml:space="preserve">尺寸≥28*18*3cm的</w:t>
            </w:r>
            <w:r>
              <w:rPr>
                <w:rFonts w:hint="eastAsia" w:ascii="宋体" w:hAnsi="宋体" w:eastAsia="宋体" w:cs="宋体"/>
                <w:i w:val="0"/>
                <w:iCs w:val="0"/>
                <w:color w:val="auto"/>
                <w:sz w:val="21"/>
                <w:szCs w:val="21"/>
                <w:highlight w:val="none"/>
                <w:u w:val="none"/>
                <w:lang w:val="en-US" w:eastAsia="zh-CN" w:bidi="ar"/>
              </w:rPr>
              <w:t xml:space="preserve">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AA3-13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有趣的金龟子—白星花金龟</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w:t>
            </w:r>
            <w:r>
              <w:rPr>
                <w:rFonts w:hint="eastAsia" w:ascii="宋体" w:hAnsi="宋体" w:eastAsia="宋体" w:cs="宋体"/>
                <w:i w:val="0"/>
                <w:iCs w:val="0"/>
                <w:strike w:val="0"/>
                <w:color w:val="auto"/>
                <w:sz w:val="21"/>
                <w:szCs w:val="21"/>
                <w:highlight w:val="none"/>
                <w:u w:val="none"/>
                <w:lang w:val="en-US" w:eastAsia="zh-CN" w:bidi="ar"/>
              </w:rPr>
              <w:t xml:space="preserve">尺寸≥28*18*3cm的</w:t>
            </w:r>
            <w:r>
              <w:rPr>
                <w:rFonts w:hint="eastAsia" w:ascii="宋体" w:hAnsi="宋体" w:eastAsia="宋体" w:cs="宋体"/>
                <w:i w:val="0"/>
                <w:iCs w:val="0"/>
                <w:color w:val="auto"/>
                <w:sz w:val="21"/>
                <w:szCs w:val="21"/>
                <w:highlight w:val="none"/>
                <w:u w:val="none"/>
                <w:lang w:val="en-US" w:eastAsia="zh-CN" w:bidi="ar"/>
              </w:rPr>
              <w:t xml:space="preserve">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AA3-14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有趣的金龟子—中华彩丽金龟</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w:t>
            </w:r>
            <w:r>
              <w:rPr>
                <w:rFonts w:hint="eastAsia" w:ascii="宋体" w:hAnsi="宋体" w:eastAsia="宋体" w:cs="宋体"/>
                <w:i w:val="0"/>
                <w:iCs w:val="0"/>
                <w:strike w:val="0"/>
                <w:color w:val="auto"/>
                <w:sz w:val="21"/>
                <w:szCs w:val="21"/>
                <w:highlight w:val="none"/>
                <w:u w:val="none"/>
                <w:lang w:val="en-US" w:eastAsia="zh-CN" w:bidi="ar"/>
              </w:rPr>
              <w:t xml:space="preserve">尺寸≥28*18*3cm的</w:t>
            </w:r>
            <w:r>
              <w:rPr>
                <w:rFonts w:hint="eastAsia" w:ascii="宋体" w:hAnsi="宋体" w:eastAsia="宋体" w:cs="宋体"/>
                <w:i w:val="0"/>
                <w:iCs w:val="0"/>
                <w:color w:val="auto"/>
                <w:sz w:val="21"/>
                <w:szCs w:val="21"/>
                <w:highlight w:val="none"/>
                <w:u w:val="none"/>
                <w:lang w:val="en-US" w:eastAsia="zh-CN" w:bidi="ar"/>
              </w:rPr>
              <w:t xml:space="preserve">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AA3-15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有趣的金龟子—苹绿唇花金龟</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w:t>
            </w:r>
            <w:r>
              <w:rPr>
                <w:rFonts w:hint="eastAsia" w:ascii="宋体" w:hAnsi="宋体" w:eastAsia="宋体" w:cs="宋体"/>
                <w:i w:val="0"/>
                <w:iCs w:val="0"/>
                <w:strike w:val="0"/>
                <w:color w:val="auto"/>
                <w:sz w:val="21"/>
                <w:szCs w:val="21"/>
                <w:highlight w:val="none"/>
                <w:u w:val="none"/>
                <w:lang w:val="en-US" w:eastAsia="zh-CN" w:bidi="ar"/>
              </w:rPr>
              <w:t xml:space="preserve">尺寸≥28*18*3cm的</w:t>
            </w:r>
            <w:r>
              <w:rPr>
                <w:rFonts w:hint="eastAsia" w:ascii="宋体" w:hAnsi="宋体" w:eastAsia="宋体" w:cs="宋体"/>
                <w:i w:val="0"/>
                <w:iCs w:val="0"/>
                <w:color w:val="auto"/>
                <w:sz w:val="21"/>
                <w:szCs w:val="21"/>
                <w:highlight w:val="none"/>
                <w:u w:val="none"/>
                <w:lang w:val="en-US" w:eastAsia="zh-CN" w:bidi="ar"/>
              </w:rPr>
              <w:t xml:space="preserve">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AA3-16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有趣的蜘蛛—曹氏棘腹蛛</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AA3-17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有趣的蜘蛛—梭德氏棘蛛</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AA3-18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有趣的蜘蛛—狼毒</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AA3-19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有趣的蜘蛛—横纹金蛛</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AA3-20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有趣的蜘蛛—里氏盘腹蛛</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AA3-21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有趣的蜘蛛—斑络新妇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AA3-22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有趣的蜘蛛—拟水狼蛛</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AA3-23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有趣的蜘蛛—虎纹捕鸟蛛</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AA3-24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有趣的甲虫—虎纹蛛</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AA3-25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有趣的甲虫—鬼艳锹甲</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AA3-26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有趣的甲虫—锹甲</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AA3-27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有趣的甲虫—麻步甲</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AA3-28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有趣的甲虫—褐带凹缘跳甲</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AA3-29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有趣的甲虫—竹象甲</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AA3-30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有趣的甲虫—虎甲</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AA3-31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植物种子标本—黑小麦</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AA3-32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植物种子标本—大麦</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AA3-33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植物种子标本—香菜</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AA3-34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植物种子标本—茴香</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AA3-35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植物种子标本—葡萄</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AA3-36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植物种子标本—橘子</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AA3-37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植物种子标本—萝卜</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AA3-38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植物种子标本—茼蒿</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AA3-39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植物种子标本—茉莉</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AA3-40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植物种子标本—牵牛花</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AA3-41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植物种子标本—绿豆</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AA3-42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植物种子标本—红豆</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AA3-43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植物种子标本—红刺玫</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AA3-44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植物种子标本—石榴</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AA3-45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植物种子标本—空心菜</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425"/>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AA3-46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植物种子标本—茄子</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AA3-47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植物种子标本—波斯菊</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AA3-48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植物种子标本—红高粱</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AA3-49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植物种子标本—油菜</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AA3-50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植物种子标本—辣椒</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AA3-51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植物种子标本—水稻</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AA3-52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植物种子标本—玉米</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AA3-53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植物种子标本—栾树</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AA3-54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植物种子标本—剑麻</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AA3-55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植物种子标本—山楂</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AA3-56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植物种子标本—无花果</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AA3-57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植物种子标本—向日葵</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AA3-58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植物种子标本—满天星</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AA3-59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植物种子标本—南瓜</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AA3-60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植物种子标本—番茄</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AA3-61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探索古生物奥秘—古生物牙齿化石</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#1.包含多纹齿鼠鲨、乌鸦鲨、鼠鲨牙三种原生态化石，自然形态，产品由≥197*145*30mm木质标本展示盒制作，透明部分为高透浮法玻璃。标本盒内需有挡板及卡纸固定以</w:t>
            </w:r>
            <w:r>
              <w:rPr>
                <w:rFonts w:hint="eastAsia" w:ascii="宋体" w:hAnsi="宋体" w:cs="宋体"/>
                <w:i w:val="0"/>
                <w:iCs w:val="0"/>
                <w:color w:val="auto"/>
                <w:sz w:val="21"/>
                <w:szCs w:val="21"/>
                <w:highlight w:val="none"/>
                <w:u w:val="none"/>
                <w:lang w:val="en-US" w:eastAsia="zh-CN" w:bidi="ar"/>
              </w:rPr>
              <w:t xml:space="preserve">保证</w:t>
            </w:r>
            <w:r>
              <w:rPr>
                <w:rFonts w:hint="eastAsia" w:ascii="宋体" w:hAnsi="宋体" w:eastAsia="宋体" w:cs="宋体"/>
                <w:i w:val="0"/>
                <w:iCs w:val="0"/>
                <w:color w:val="auto"/>
                <w:sz w:val="21"/>
                <w:szCs w:val="21"/>
                <w:highlight w:val="none"/>
                <w:u w:val="none"/>
                <w:lang w:val="en-US" w:eastAsia="zh-CN" w:bidi="ar"/>
              </w:rPr>
              <w:t xml:space="preserve">产品美观性。标本盒背面带有可支撑支架可直接摆放并含有可挂墙的相关配件挂钩。生产厂家品牌需经商标注册，并持有品牌商标注册证书。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AA3-62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探索古生物奥秘—玉化螺化石</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#1.地球五次物种大爆发时期原生态化石，自然形态，产品由≥145*108*23mm木质标本展示盒制作，透明部分为高透浮法玻璃。标本盒内需有挡板及卡纸固定以</w:t>
            </w:r>
            <w:r>
              <w:rPr>
                <w:rFonts w:hint="eastAsia" w:ascii="宋体" w:hAnsi="宋体" w:cs="宋体"/>
                <w:i w:val="0"/>
                <w:iCs w:val="0"/>
                <w:color w:val="auto"/>
                <w:sz w:val="21"/>
                <w:szCs w:val="21"/>
                <w:highlight w:val="none"/>
                <w:u w:val="none"/>
                <w:lang w:val="en-US" w:eastAsia="zh-CN" w:bidi="ar"/>
              </w:rPr>
              <w:t xml:space="preserve">保证</w:t>
            </w:r>
            <w:r>
              <w:rPr>
                <w:rFonts w:hint="eastAsia" w:ascii="宋体" w:hAnsi="宋体" w:eastAsia="宋体" w:cs="宋体"/>
                <w:i w:val="0"/>
                <w:iCs w:val="0"/>
                <w:color w:val="auto"/>
                <w:sz w:val="21"/>
                <w:szCs w:val="21"/>
                <w:highlight w:val="none"/>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AA3-63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探索古生物奥秘—三叶角化石</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#1.地球五次物种大爆发时期原生态化石，自然形态，产品由≥145*108*23mm木质标本展示盒制作，透明部分为高透浮法玻璃。标本盒内需有挡板及卡纸固定以</w:t>
            </w:r>
            <w:r>
              <w:rPr>
                <w:rFonts w:hint="eastAsia" w:ascii="宋体" w:hAnsi="宋体" w:cs="宋体"/>
                <w:i w:val="0"/>
                <w:iCs w:val="0"/>
                <w:color w:val="auto"/>
                <w:sz w:val="21"/>
                <w:szCs w:val="21"/>
                <w:highlight w:val="none"/>
                <w:u w:val="none"/>
                <w:lang w:val="en-US" w:eastAsia="zh-CN" w:bidi="ar"/>
              </w:rPr>
              <w:t xml:space="preserve">保证</w:t>
            </w:r>
            <w:r>
              <w:rPr>
                <w:rFonts w:hint="eastAsia" w:ascii="宋体" w:hAnsi="宋体" w:eastAsia="宋体" w:cs="宋体"/>
                <w:i w:val="0"/>
                <w:iCs w:val="0"/>
                <w:color w:val="auto"/>
                <w:sz w:val="21"/>
                <w:szCs w:val="21"/>
                <w:highlight w:val="none"/>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AA3-64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探索古生物奥秘—斑彩螺化石</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#1.地球五次物种大爆发时期原生态化石，自然形态，产品由≥145*108*23mm木质标本展示盒制作，透明部分为高透浮法玻璃。标本盒内需有挡板及卡纸固定以</w:t>
            </w:r>
            <w:r>
              <w:rPr>
                <w:rFonts w:hint="eastAsia" w:ascii="宋体" w:hAnsi="宋体" w:cs="宋体"/>
                <w:i w:val="0"/>
                <w:iCs w:val="0"/>
                <w:color w:val="auto"/>
                <w:sz w:val="21"/>
                <w:szCs w:val="21"/>
                <w:highlight w:val="none"/>
                <w:u w:val="none"/>
                <w:lang w:val="en-US" w:eastAsia="zh-CN" w:bidi="ar"/>
              </w:rPr>
              <w:t xml:space="preserve">保证</w:t>
            </w:r>
            <w:r>
              <w:rPr>
                <w:rFonts w:hint="eastAsia" w:ascii="宋体" w:hAnsi="宋体" w:eastAsia="宋体" w:cs="宋体"/>
                <w:i w:val="0"/>
                <w:iCs w:val="0"/>
                <w:color w:val="auto"/>
                <w:sz w:val="21"/>
                <w:szCs w:val="21"/>
                <w:highlight w:val="none"/>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AA3-65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探索古生物奥秘—三叶虫尾化石</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#1.地球五次物种大爆发时期原生态化石，自然形态，产品由≥145*108*23mm木质标本展示盒制作，透明部分为高透浮法玻璃。标本盒内需有挡板及卡纸固定以</w:t>
            </w:r>
            <w:r>
              <w:rPr>
                <w:rFonts w:hint="eastAsia" w:ascii="宋体" w:hAnsi="宋体" w:cs="宋体"/>
                <w:i w:val="0"/>
                <w:iCs w:val="0"/>
                <w:color w:val="auto"/>
                <w:sz w:val="21"/>
                <w:szCs w:val="21"/>
                <w:highlight w:val="none"/>
                <w:u w:val="none"/>
                <w:lang w:val="en-US" w:eastAsia="zh-CN" w:bidi="ar"/>
              </w:rPr>
              <w:t xml:space="preserve">保证</w:t>
            </w:r>
            <w:r>
              <w:rPr>
                <w:rFonts w:hint="eastAsia" w:ascii="宋体" w:hAnsi="宋体" w:eastAsia="宋体" w:cs="宋体"/>
                <w:i w:val="0"/>
                <w:iCs w:val="0"/>
                <w:color w:val="auto"/>
                <w:sz w:val="21"/>
                <w:szCs w:val="21"/>
                <w:highlight w:val="none"/>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AA3-66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探索古生物奥秘—巴普洛夫菊石</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#1.地球五次物种大爆发时期原生态化石，自然形态，产品由≥145*108*23mm木质标本展示盒制作，透明部分为高透浮法玻璃。标本盒内需有挡板及卡纸固定以</w:t>
            </w:r>
            <w:r>
              <w:rPr>
                <w:rFonts w:hint="eastAsia" w:ascii="宋体" w:hAnsi="宋体" w:cs="宋体"/>
                <w:i w:val="0"/>
                <w:iCs w:val="0"/>
                <w:color w:val="auto"/>
                <w:sz w:val="21"/>
                <w:szCs w:val="21"/>
                <w:highlight w:val="none"/>
                <w:u w:val="none"/>
                <w:lang w:val="en-US" w:eastAsia="zh-CN" w:bidi="ar"/>
              </w:rPr>
              <w:t xml:space="preserve">保证</w:t>
            </w:r>
            <w:r>
              <w:rPr>
                <w:rFonts w:hint="eastAsia" w:ascii="宋体" w:hAnsi="宋体" w:eastAsia="宋体" w:cs="宋体"/>
                <w:i w:val="0"/>
                <w:iCs w:val="0"/>
                <w:color w:val="auto"/>
                <w:sz w:val="21"/>
                <w:szCs w:val="21"/>
                <w:highlight w:val="none"/>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AA3-67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探索古生物奥秘—震旦角直角石</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#1.地球五次物种大爆发时期原生态化石，自然形态，产品由≥145*108*23mm木质标本展示盒制作，透明部分为高透浮法玻璃。标本盒内需有挡板及卡纸固定以</w:t>
            </w:r>
            <w:r>
              <w:rPr>
                <w:rFonts w:hint="eastAsia" w:ascii="宋体" w:hAnsi="宋体" w:cs="宋体"/>
                <w:i w:val="0"/>
                <w:iCs w:val="0"/>
                <w:color w:val="auto"/>
                <w:sz w:val="21"/>
                <w:szCs w:val="21"/>
                <w:highlight w:val="none"/>
                <w:u w:val="none"/>
                <w:lang w:val="en-US" w:eastAsia="zh-CN" w:bidi="ar"/>
              </w:rPr>
              <w:t xml:space="preserve">保证</w:t>
            </w:r>
            <w:r>
              <w:rPr>
                <w:rFonts w:hint="eastAsia" w:ascii="宋体" w:hAnsi="宋体" w:eastAsia="宋体" w:cs="宋体"/>
                <w:i w:val="0"/>
                <w:iCs w:val="0"/>
                <w:color w:val="auto"/>
                <w:sz w:val="21"/>
                <w:szCs w:val="21"/>
                <w:highlight w:val="none"/>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33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中学常规标本</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left"/>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AA4-01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鱼解剖浸制标本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#1.标本浸泡液体采用透明度高、无味、无害的新型液体浸制制作。标本长度≥150mm鲫鱼或鲤鱼，标本右侧展示外形，做出切开展示内部器官和血管。生产厂家品牌需经商标注册，并持有品牌商标注册证书。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AA4-02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蛙解剖浸制标本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#1.标本浸泡液体采用透明度高、无味、无害的新型液体浸制制作。液体用透明度高、无毒、无味、无害的新型液体，长期使用不变色，不腐烂。</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AA4-03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蜥蜴解剖浸制标本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#1.标本浸泡液体采用透明度高、无味、无害的新型液体浸制制作。液体用透明度高、无毒、无味、无害的新型液体，长期使用不变色，不腐烂。生产厂家品牌需经商标注册，并持有品牌商标注册证书。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AA4-04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鸽解剖浸制标本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#1.标本浸泡液体采用透明度高、无味、无害的新型液体浸制制作。液体用透明度高、无毒、无味、无害的新型液体，长期使用不变色，不腐烂。生产厂家品牌需经商标注册，并持有品牌商标注册证书。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AA4-05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兔解剖浸制标本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#1.标本浸泡液体采用透明度高、无味、无害的新型液体浸制制作。兔沿腹中线切开，展示内部结构、器官和血管。生产厂家品牌需经商标注册，并持有品牌商标注册证书。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AA4-06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蛙发育顺序标本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#1.标本浸泡液体采用透明度高、无味、无害的新型液体浸制制作。液体用透明度高、无毒、无味、无害的新型液体，长期使用不变色，不腐烂。生产厂家品牌需经商标注册，并持有品牌商标注册证书。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135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AA4-07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蛔虫标本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选用雌虫体长不小于200～350㎜，雄虫体长不小于150～250㎜的成虫制成，雌雄合装于一个容器中。虫体应呈乳白色或微带红色，雌虫尾部尖直，雄虫尾部向腹面卷曲，雌雄均为前端开口，身体表面有角质层。标本保护液应基本注满容器，封口要严密牢固，绑缚在衬板上的虫体应呈丝状，牢固、不窜动。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AA4-08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花序类型保色浸制标本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#1.标本浸泡液体采用透明度高、无味、无害的新型液体浸制制作。不少于七种。</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AA4-09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花冠类型保色浸制标本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#1.标本浸泡液体采用透明度高、无味、无害的新型液体浸制制作。十字花科，豆科，菊科等七种。</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褐藻类植物保色浸制标本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浸泡液体采用透明度高、无味、无害的新型液体浸制制作。海带等四种，大小适当，边缘整齐。标本采取保色处理工艺，透明树脂覆盖工艺制成，标本平整、严密、无空隙、无气泡。植物体形态自然，构造完美，色泽正常 ，发育良好。</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红藻类植物保色浸制标本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#1.标本浸泡液体采用透明度高、无味、无害的新型液体浸制制作。紫菜等四种，标本采取保色处理工艺，透明树脂覆盖工艺制成，标本平整、严密、无空隙、无气泡。植物体形态自然，构造完美，色泽正常 ，发育良好。生产厂家品牌需经商标注册，并持有品牌商标注册证书。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海葵标本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#1.标本用营固着生活、体高不小于25mm（从口盘到基盘的垂直距离，不包括触手）的个体制作；标本以体筒的任一面向衬板或以基盘固着于瓶底，口向上，示口、口盘、触手、体筒和基盘;</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海蛰标本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#1.标本用伞部直径不小于50mm的海蛰制作；标本浮于容器内，示海蛰的伞部、腕部和附属器等；</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寄居蟹标本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浸泡液体采用透明度高、无味、无害的新型液体浸制制作。标本瓶采用3mm透明有机玻璃制作，正视为平面，以利于正常观察，标本瓶为密封状态，顶盖有可拧下来方便更换保存液的塑料螺丝，标本瓶尺寸不小于8.5×8.5×13.5cm；标本寄居蟹螺壳直径不小于5cm；浸制保存。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寄居蟹与其他生物共生标本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浸泡液体采用透明度高、无味、无害的新型液体浸制制作。标本瓶采用3mm透明有机玻璃制作，正视为平面，以利于正常观察，标本瓶为密封状态，顶盖有可拧下来方便更换保存液的塑料螺丝，标本瓶尺寸不小于8.5×8.5×13.5cm；标本寄居蟹螺壳直径不小于5cm，共生的海葵直径不小于1cm；浸制保存。生产厂家品牌需经商标注册.</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寄生绦虫囊尾蚴猪肉浸制标本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浸泡液体采用透明度高、无味、无害的新型液体浸制制作。标本瓶采用3mm透明有机玻璃制作，正视为平面，以利于正常观察，标本瓶为密封状态，顶盖有可拧下来方便更换保存液的塑料螺丝，标本瓶尺寸不小于8.5×4×19cm；标本上不少于2个病灶，浸制保存。</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珍贵植物保色浸制标本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浸泡液体采用透明度高、无味、无害的新型液体浸制制作。标本瓶采用3mm透明有机玻璃制作，正视为平面，以利于正常观察，标本瓶为密封状态，顶盖有可拧下来方便更换保存液的塑料螺丝，标本瓶尺寸不小于13×3.5×18.5cm；标本由3种组成；保色浸制保存。</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葫芦藓生活史标本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#1.产品用葫芦藓制作，示藓类植物的不同世代； </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蕨生活史标本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上盖采用透明浮法玻璃制作，下盖由环保厚卡纸加工制作而成，标本盒尺寸不小于21*17*3cm，上下盖可以打开，便于学生更直观的观察，不易破损，接合紧密。标本应固定牢固，不易脱落。生产厂家品牌需经商标注册</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AA4-20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蝗虫生活史标本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#1.产品用东亚飞蝗或亚洲飞蝗制作，示昆虫的不完全变态；标本由卵、一至五龄的跳蝻、雄性成虫、雌性成虫和被害物组成；卵和虫体浸制，分装于小容器内，虫体以腹面向下定位；按生活史顺序排列；</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AA4-21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蜜蜂生活史标本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用意蜂或中蜂制作，示昆虫的完全变态，社会性昆虫不同类型的个体和其经济意义；产品由卵、中（或老）熟幼虫、蛹、工蜂、雄蜂和母蜂（蜂王）组成，附巢础、蜂巢（包括一个母蜂房）、蜂蜡和蜂蜜；按生活史顺序排列；</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AA4-22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竹节虫拟态标本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#1.标本以选用竹节虫目中除叶科以外的种类制作，示保护色和拟竹叶状、虫体应不小于70mm；标本由一个竹节虫和一植株组成，虫体腹面向下，定位于植株上；</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AA4-23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家蚕生活史标本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#1.由卵、幼虫（四龄）、蛹、雌雄成虫及茧组成；按生活史顺序排列；蚕体洁净，示气门、胸足三对、腹足四对，尾足一对及尾角；</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AA4-24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菜粉蝶生活史标本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上盖采用透明浮法玻璃制作，下盖由环保厚卡纸加工制作而成，标本盒尺寸不小于21*17*3cm，上下盖可以打开，便于学生更直观的观察，不易破损，接合紧密。标本应固定牢固，不易脱落。生产厂家品牌需经商标注册</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AA4-25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兔骨骼标本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显示中轴骨骼的头骨、舌器骨、七块颈椎、十三块胸椎、七块腰椎、荐椎、十五至十八块尾椎、十三对肋骨和六块胸骨；标本显示附肢骨骼的肩胛骨、锁骨、肱骨、尺骨、桡骨、腕骨九块、掌骨五块、指骨五个、骨盆、股骨、膝盖骨、胫骨、腓骨、跗骨六块、骨四块、趾骨四个。</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62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AA4-26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鱼骨骼标本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由鳍条完整，骨骼形态正常的鲫鱼或鲤鱼制作，体长前者不小于220mm，后者不小于290mm；标本左侧的鳃盖骨和下鳃盖骨卸下，示头部的舌弓、鳃弓、肩带与头骨之连接方式和围耳骨等形态结构，另附尾椎一条；标本以自然形态安装定位，从左右两面显示中轴骨骼的头骨（包括颅骨和咽骨）、脊柱、肋骨；附肢骨骼的肩带和胸鳍骨、腰带和腹鳍的鳍条、背鳍骨、臀髓骨和尾鳍骨（包括七块尾上骨、五块尾下骨和鳍条）；</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AA4-27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蛙骨骼标本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#1.标本盒由有机玻璃底座及透明有机玻璃罩组成，由螺丝固定连接而成，尺寸不小于13×9×9cm，蟾蜍体长为不小于8cm的成体；干制。生产厂家品牌需经商标注册，并持有品牌商标注册证书。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AA4-28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鸽骨骼标本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由成熟家鸽制作；标本以站立的自然态固装在底座上，多附颈椎一块；标本显示中轴骨骼的头骨、舌器骨、13～14块颈椎、5～6块胸椎、愈合荐椎（综荐骨）、6块尾椎、尾综骨、5对胸椎的肋骨（每条肋骨各包括椎肋和胸肋）胸骨和龙骨突出；</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AA4-29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验证基因分离规律玉米标本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选用父代穗、母代穗、子一代穗、子二代穗及子二代测交穗5块玉米穗.标本盒上盖采用透明浮法玻璃制作，下盖由环保厚卡纸加工制作而成，标本盒尺寸不小于21*17*3cm，上下盖可以打开，便于学生更直观的观察，不易破损，接合紧密。标本应固定牢固，不易脱落。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AA4-30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褐藻类植物原色覆膜标本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#1.海带等四种，每种植物需注明其详细产地。A4制作。生产厂家品牌需经商标注册，并持有品牌商标注册证书。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AA4-31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红藻类植物原色覆膜标本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#1.紫菜等四种，海带等四种，每种植物需注明其详细产地。A4制作。生产厂家品牌需经商标注册，并持有品牌商标注册证书。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35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AA4-32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珊瑚标本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白珊瑚制作而成。标本盒上盖采用透明浮法玻璃制作，下盖由环保厚卡纸加工制作而成，标本盒尺寸不小于21*17*3cm，上下盖可以打开，便于学生更直观的观察，不易破损，接合紧密。标本应固定牢固，不易脱落。</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AA4-33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化石标本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上盖采用透明浮法玻璃制作，下盖由环保厚卡纸加工制作而成，标本盒尺寸不小于21*17*3cm，上下盖可以打开，便于学生更直观的观察，不易破损，接合紧密。标本应固定牢固，不易脱落。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AA4-34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节肢动物标本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盒上盖采用透明浮法玻璃制作，下盖由环保厚卡纸加工制作而成，标本盒尺寸不小于21*17*3cm，上下盖可以打开，便于学生更直观的观察，不易破损，接合紧密。标本应固定牢固，不易脱落。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AA4-35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昆虫标本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#1.由常见8种昆虫组成。其中有益：蚂蚁、虎头蜂、家蚕</w:t>
            </w:r>
            <w:r>
              <w:rPr>
                <w:rFonts w:hint="eastAsia" w:ascii="宋体" w:hAnsi="宋体" w:cs="宋体"/>
                <w:i w:val="0"/>
                <w:iCs w:val="0"/>
                <w:color w:val="auto"/>
                <w:sz w:val="21"/>
                <w:szCs w:val="21"/>
                <w:highlight w:val="none"/>
                <w:u w:val="none"/>
                <w:lang w:val="en-US" w:eastAsia="zh-CN" w:bidi="ar"/>
              </w:rPr>
              <w:t xml:space="preserve">蛾</w:t>
            </w:r>
            <w:r>
              <w:rPr>
                <w:rFonts w:hint="eastAsia" w:ascii="宋体" w:hAnsi="宋体" w:eastAsia="宋体" w:cs="宋体"/>
                <w:i w:val="0"/>
                <w:iCs w:val="0"/>
                <w:color w:val="auto"/>
                <w:sz w:val="21"/>
                <w:szCs w:val="21"/>
                <w:highlight w:val="none"/>
                <w:u w:val="none"/>
                <w:lang w:val="en-US" w:eastAsia="zh-CN" w:bidi="ar"/>
              </w:rPr>
              <w:t xml:space="preserve">、土元；有害：长蝽、金龟子、硕蝽、暗黑鰓金龟子。标本盒上盖采用透明浮法玻璃制作，下盖由环保厚卡纸加工制作而成，标本盒尺寸不小于21*17*3cm，上下盖可以打开，便于学生更直观的观察，不易破损，接合紧密。标本应固定牢固，不易脱落。生产厂家品牌需经商标注册，并持有品牌商标注册证书。</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27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AA4-36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苔藓类植物标本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#1.有机树脂包埋产品，≥140*6</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27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AA4-37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蕨类植物标本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#1.有机树脂包埋产品，≥16</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*20，4个。</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AA4-38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裸子植物标本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#1.有机树脂包埋产品，≥140*6</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，4个。</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AA4-39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被子植物标本</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#1.有机树脂包埋产品，≥140*6</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，4个。</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5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AA4-40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植物根尖纵切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取于人工培养的玉米根或蚕豆，取材部位为根冠至根毛区。切片厚度在8μm以内，每张玻片垂直放置材料1～2片。细胞核着色明显、胞质着色均匀，可见核仁、胞质。标本应在80×和200×学生显微镜下清楚观察到根尖结构，看清根冠、分生区、伸长区、根毛区和原形成层等。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5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AA4-41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顶芽纵切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取于人工培养的玉米根或蚕豆，取材部位为根冠至根毛区。切片厚度在8μm以内，每张玻片垂直放置材料1～2片。细胞核着色明显、胞质着色均匀，可见核仁、胞质。标本应在80×和200×学生显微镜下清楚观察到根尖结构，看清根冠、分生区、伸长区、根毛区和原形成层等。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62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AA4-42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南瓜茎纵切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田间种植的南瓜茎，注意老幼适中。纵切片厚度在15μm～25μm以内。纵切材料两端整齐，长度不少于5㎜，表皮细胞应完整，木质部的导管应连续。纵断面上能看清皮层、机械组织、薄壁组织、双韧维管束和髓腔。标本应在80×和200×学生显微镜下清楚观察到南瓜茎横断面的结构。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AA4-43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单子叶植物茎横切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#1.产品是单子叶植物茎纵、横切面的模型，为横切面的1/10（去掉中央部分），高不小于12cm，长约40cm，跨径约40cm。切片装于全新塑料一次性注塑而成的优质乳白色切片盒中。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AA4-44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双子叶植物茎横切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在80×和200×学生显微镜下,观察双子叶植物茎横断面的结构。能看清表皮（有时可看到表皮毛）厚角组织、薄壁组织、髓及环列于茎中的维管束等。能切片装于全新塑料一次性注塑而成的优质乳白色切片盒中。看清维管束为外韧型，分别认出韧皮纤维、筛板、筛管、形成层和木质导管等横断结构。取材于人工培养的向日葵幼茎。切片厚度在25um以内。</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5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AA4-45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木本双子叶植物茎横切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三年生椴木的枝条，秋末取材。切片厚度在15μm以内。各组织无破裂，表皮脱落应不超过1/4。显示横断面上木质部的年轮、皮层、木栓层、厚角组织、皮层韧皮部、形成层、木质部、髓部、髓射线等，显示基的支持和运输功能。标本应在80×和200×学生显微镜下清楚观察木本双子叶植物茎横断面的结构。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AA4-46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#1.取材为新鲜的气孔开放的蚕豆叶。材料整洁，不附带叶肉等其他组织，保卫细胞不收缩。 平铺装片，每片材料不小于2×2mm，四周剪切整齐。切片装于全新塑料一次性注塑而成的优质乳白色切片盒中。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AA4-47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#1.切片厚度为5μm，每张玻片垂直放材料1～3片。根尖应完整无破损现象，细胞间可有轻微裂隙。 标本单一染色，胞核、核仁、染色体应着色明显，胞质色淡。切片装于全新塑料一次性注塑而成的优质乳白色切片盒中。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AA4-48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松叶横切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#1.能看清表皮、厚壁组织、内陷的气孔、树脂道、内皮层、维管束、薄壁组织和叶肉组织等。切片装于全新塑料一次性注塑而成的优质乳白色切片盒中。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AA4-49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#1.切片厚芳在20μm。材料面积不小于1.5mm²，细胞不倾斜。切片装于全新塑料一次性注塑而成的优质乳白色切片盒中。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AA4-50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地衣切片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#1.应示紧密交织的菌丝组成的上皮层和下皮层，有疏松菌丝及藻类细胞组成的髓层、藻胸层。切片装于全新塑料一次性注塑而成的优质乳白色切片盒中。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AA4-51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蕨叶切片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#1.显示叶横断面的上、下表皮，栅栏组织，海绵组织及维管束等结构。切片装于全新塑料一次性注塑而成的优质乳白色切片盒中。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AA4-52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蕨原叶体装片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#1.原叶体上应显示精子器或颈卵器（也可兼有）和假根。切片装于全新塑料一次性注塑而成的优质乳白色切片盒中。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AA4-53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蕨原叶体幼孢子体装片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#1.原叶体上有根、茎和早出的第一叶。切片装于全新塑料一次性注塑而成的优质乳白色切片盒中。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AA4-54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花粉萌发装片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#1.结构及外观的一般要求产品性能满足初中生物实验教学的要求。切片装于全新塑料一次性注塑而成的优质乳白色切片盒中。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AA4-55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百合子房切片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#1.结构及外观的一般要求产品性能满足初中生物实验教学的要求。切片装于全新塑料一次性注塑而成的优质乳白色切片盒中。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AA4-56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百合花药切片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#1.结构及外观的一般要求产品性能满足初中生物实验教学的要求。切片装于全新塑料一次性注塑而成的优质乳白色切片盒中。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AA4-57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芥菜幼胚切片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#1.结构及外观的一般要求产品性能满足初中生物实验教学的要求。切片装于全新塑料一次性注塑而成的优质乳白色切片盒中。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AA4-58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芥菜老胚切片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#1.结构及外观的一般要求产品性能满足初中生物实验教学的要求。切片装于全新塑料一次性注塑而成的优质乳白色切片盒中。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89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AA4-59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迎春叶横切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#1.取材为木樨科迎春花的叶片。切片厚度在15μm 以内，每张玻片应放材料不少于二片。取材用番红、固绿染色，使表皮、叶脉呈红色，其他绿色。在80×和200×镜下可清楚观察叶子的内部结构、排列紧密的叶表皮，表皮细胞外壁有一层不易透水的角质层。表皮下有保卫细胞组成的气孔。叶肉由栅栏组织和海绵组织构成，细胞内含有较多的叶绿体。束状结构的叶脉包括两种管道：导管、筛管。玻片应完整，无污染，各组织间无裂隙。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AA4-60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玉米种子纵切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#1.结构及外观的一般要求产品性能满足初中生物实验教学的要求。切片装于全新塑料一次性注塑而成的优质乳白色切片盒中。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AA4-61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洋葱鳞片叶表皮装片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#1.取材为新鲜的洋葱鳞片叶的表皮，每片取材不小于2×2㎜，四周剪切整齐。切片装于全新塑料一次性注塑而成的优质乳白色切片盒中。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AA4-62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草本植物茎横切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#1.结构及外观的一般要求产品性能满足初中生物实验教学的要求。切片装于全新塑料一次性注塑而成的优质乳白色切片盒中。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AA4-63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洋葱表皮装片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新鲜的洋葱鳞片叶的表皮，每片取材不小于2×2㎜，四周剪切整齐。取材平铺装片，不带表皮下的组织，可轻度染色。在80×和200×显微镜下可清楚观察到排列整齐的许多小长方体（小格），同时可观察到细胞壁、细胞膜、细胞质及数个液泡。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AA4-64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叶片横切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AA4-65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叶片气孔装片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4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AA4-66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青霉装片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人工培养的典型青霉。视菌株培养情况做装片或切片，切片方向平行于分生孢子梗，厚度根据菌株培养情况决定。显示营养菌丝及其上的分生孢子梗和顶端的帚状枝。能在200×学生显微镜下清楚观察青霉的形态，在400×学生显微镜下清楚观察帚状枝的梗基和小梗上呈链状的分生孢子。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AA4-67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衣藻装片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62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AA4-68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细菌三型涂片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于人工培养的球菌、杆菌、螺旋菌。球菌可用单球菌、双球菌或葡萄球菌；杆菌可用枯草杆菌、大肠杆菌或炭疽杆菌；螺旋菌可用具有一个弯以上的任一种螺旋菌。做三种细菌的混合涂片，所用玻片应经洗液清洗。选用能显示菌体的染色方法，不得出现任何沉淀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在500×生物显微镜下清楚观察细菌的三种基本形态。切片装于全新塑料一次性注塑而成的优质乳白色切片盒中。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AA4-69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酵母菌装片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AA4-70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水绵结合生殖装片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AA4-71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水绵装片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AA4-72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团藻装片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AA4-73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曲霉装片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AA4-74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伞蕈切片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AA4-75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黑根霉装片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AA4-76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水螅纵切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AA4-77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蚯蚓横切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AA4-78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动物细胞有丝分裂切片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AA4-79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草履虫结合生殖装片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AA4-80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AA4-81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囊虫装片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AA4-82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血吸虫雌雄合抱装片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AA4-83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血吸虫雄虫装片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AA4-84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血吸虫雌虫装片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AA4-85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家蚊(雌)口器装片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AA4-86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水螅带芽整体装片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AA4-87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水螅过精巢横切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AA4-88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水螅过卵巢横切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AA4-89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动物表皮细胞装片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AA4-90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蛙卵细胞切片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AA4-91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单层扁平上皮装片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AA4-92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复层扁平上皮装片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AA4-93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人皮过毛囊切片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AA4-94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人皮过汗腺切片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AA4-95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纤维结缔组织装片（腱纵切）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AA4-96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疏松结缔组织装片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AA4-97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人血涂片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AA4-98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AA4-99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平滑肌分离装片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AA4-100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心肌切片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AA4-101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AA4-102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脊髓横切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AA4-103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运动神经末梢装片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AA4-104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胃壁切片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AA4-105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肾脏纵切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AA4-106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动静脉血管横切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AA4-107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小肠切片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AA4-108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肺血管注射切片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AA4-109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肾血管注射切片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AA4-110</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精巢切片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AA4-111</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卵巢切片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AA4-112</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精虫涂片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AA4-113</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口腔上皮细胞装片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AA4-114</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蛔虫卵装片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AA4-115</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骨细胞切片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AA4-116</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口腔粘膜细胞装片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AA4-117</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人血细胞装片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AA4-118</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字母“e”装片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903"/>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AA4-119</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ectPr>
          <w:footnotePr/>
          <w:endnotePr/>
          <w:type w:val="nextPage"/>
          <w:pgSz w:w="11906" w:h="16838" w:orient="portrait"/>
          <w:pgMar w:top="1440" w:right="1080" w:bottom="1440" w:left="1080" w:header="851" w:footer="992" w:gutter="0"/>
          <w:cols w:num="1" w:sep="0" w:space="720" w:equalWidth="1"/>
          <w:docGrid w:linePitch="360"/>
        </w:sectPr>
        <w:suppressLineNumbers w:val="0"/>
      </w:pPr>
      <w:r>
        <w:rPr>
          <w:rFonts w:hint="eastAsia" w:ascii="宋体" w:hAnsi="宋体" w:eastAsia="宋体" w:cs="宋体"/>
          <w:b/>
          <w:bCs/>
          <w:i w:val="0"/>
          <w:iCs w:val="0"/>
          <w:color w:val="auto"/>
          <w:sz w:val="21"/>
          <w:szCs w:val="21"/>
          <w:highlight w:val="none"/>
          <w:u w:val="none"/>
          <w:lang w:val="en-US" w:eastAsia="zh-CN" w:bidi="ar"/>
        </w:rPr>
      </w:r>
      <w:r/>
    </w:p>
    <w:tbl>
      <w:tblPr>
        <w:tblStyle w:val="701"/>
        <w:tblW w:w="5185" w:type="pct"/>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8"/>
        <w:gridCol w:w="1365"/>
        <w:gridCol w:w="6614"/>
        <w:gridCol w:w="735"/>
        <w:gridCol w:w="659"/>
      </w:tblGrid>
      <w:tr>
        <w:trPr>
          <w:trHeight w:val="567" w:hRule="exact"/>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AB-历史地理教室</w:t>
            </w:r>
            <w:r/>
          </w:p>
        </w:tc>
      </w:tr>
      <w:tr>
        <w:trPr>
          <w:trHeight w:val="27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378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AB1-01</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#1.天线类型：内置天线；CPU参数：双核心、四线程、≥2.2GHZ、三级缓存4MB；RAM：≥8GB；</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#2.内置硬盘：≥128GB，支持截屏图片、录制视频的存储与调用；HDMI接口：具备≥2个HDMI输入接口，支持有线接入；具备≥2个HDMI输出接口，支持输出到≥2个不同的大屏端；</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影音</w:t>
            </w:r>
            <w:r>
              <w:rPr>
                <w:rFonts w:hint="eastAsia" w:ascii="宋体" w:hAnsi="宋体" w:cs="宋体"/>
                <w:i w:val="0"/>
                <w:iCs w:val="0"/>
                <w:color w:val="auto"/>
                <w:sz w:val="21"/>
                <w:szCs w:val="21"/>
                <w:highlight w:val="none"/>
                <w:u w:val="none"/>
                <w:lang w:val="en-US" w:eastAsia="zh-CN" w:bidi="ar"/>
              </w:rPr>
              <w:t xml:space="preserve">连接</w:t>
            </w:r>
            <w:r>
              <w:rPr>
                <w:rFonts w:hint="eastAsia" w:ascii="宋体" w:hAnsi="宋体" w:eastAsia="宋体" w:cs="宋体"/>
                <w:i w:val="0"/>
                <w:iCs w:val="0"/>
                <w:color w:val="auto"/>
                <w:sz w:val="21"/>
                <w:szCs w:val="21"/>
                <w:highlight w:val="none"/>
                <w:u w:val="none"/>
                <w:lang w:val="en-US" w:eastAsia="zh-CN" w:bidi="ar"/>
              </w:rPr>
              <w:t xml:space="preserve">，支持麦克风连接；支持音箱连接；USB接口：具备≥3个USB接口；内置无线AP：内置无线AP模块；</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#3.网络接口：具备≥3个数据接口，支持WAN口外接网线接入互联网，或LAN口外接网线输出网络数据；网络工作模式：支持无线路由器、无线交换和网络终端</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模式；HDMI输出适配：支持多种显示分辨率，可自动适配外接的大屏端分辨率，最高支持3840*2160分辨率；支持定时重启功能，投屏传输距离大于100米。</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738"/>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AB1-02</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#1.多语言切换：系统支持多种语言模式的快速切换</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屏幕工具条：工具条具有截屏、录制、广播、布局、切屏、批注、白板、互动等功能按钮。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.软件遥控器：</w:t>
            </w:r>
            <w:r>
              <w:rPr>
                <w:rFonts w:hint="eastAsia" w:ascii="宋体" w:hAnsi="宋体" w:cs="宋体"/>
                <w:i w:val="0"/>
                <w:iCs w:val="0"/>
                <w:color w:val="auto"/>
                <w:sz w:val="21"/>
                <w:szCs w:val="21"/>
                <w:highlight w:val="none"/>
                <w:u w:val="none"/>
                <w:lang w:val="en-US" w:eastAsia="zh-CN" w:bidi="ar"/>
              </w:rPr>
              <w:t xml:space="preserve">扫</w:t>
            </w:r>
            <w:r>
              <w:rPr>
                <w:rFonts w:hint="eastAsia" w:ascii="宋体" w:hAnsi="宋体" w:eastAsia="宋体" w:cs="宋体"/>
                <w:i w:val="0"/>
                <w:iCs w:val="0"/>
                <w:color w:val="auto"/>
                <w:sz w:val="21"/>
                <w:szCs w:val="21"/>
                <w:highlight w:val="none"/>
                <w:u w:val="none"/>
                <w:lang w:val="en-US" w:eastAsia="zh-CN" w:bidi="ar"/>
              </w:rPr>
              <w:t xml:space="preserve">码下载遥控器APP即可将移动终端作为控制端，软件控制端支持截屏、录制、广播、布局、批注、白板、互动等功能按钮，支持Windows、Android、iOS系统设备安装控制端软件。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.全屏缩放：支持在遥控器APP端或触控显示屏端对显示画面进行缩小、放大操作，能够对单屏或多屏画面进行放大。</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.国产化支持：支持国产操作系统和国产CPU环境下，实现</w:t>
            </w:r>
            <w:r>
              <w:rPr>
                <w:rFonts w:hint="eastAsia" w:ascii="宋体" w:hAnsi="宋体" w:eastAsia="宋体" w:cs="宋体"/>
                <w:i w:val="0"/>
                <w:iCs w:val="0"/>
                <w:strike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个国产电脑同时接入教学互动终端，≥10个画面同时显示。</w:t>
            </w:r>
            <w:r/>
          </w:p>
          <w:p>
            <w:pPr>
              <w:jc w:val="left"/>
              <w:keepLines w:val="0"/>
              <w:keepNext w:val="0"/>
              <w:pageBreakBefore w:val="0"/>
              <w:spacing w:line="320" w:lineRule="exact"/>
              <w:widowControl/>
              <w:rPr>
                <w:rFonts w:hint="eastAsia" w:ascii="宋体" w:hAnsi="宋体" w:eastAsia="宋体" w:cs="宋体"/>
                <w:i w:val="0"/>
                <w:iCs w:val="0"/>
                <w:strike/>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实验展播：支持通过网络把网络摄像机信号接入，在教学互动终端上直接读取显示。可以通过APP遥控器或屏幕工具栏对摄像机预置≥20个机位，使用时可以对摄像机快速切换机位，支持调整摄像机转动速度的快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.多种画面布局显示：支持≥10个投屏设备同时接入教学互动终端，≥10个画面同时显示，且支持Auto（自适应）画面。一键截屏：支持一键截取当前屏幕的显示画面。</w:t>
            </w:r>
            <w:r/>
          </w:p>
          <w:p>
            <w:pPr>
              <w:jc w:val="left"/>
              <w:keepLines w:val="0"/>
              <w:keepNext w:val="0"/>
              <w:pageBreakBefore w:val="0"/>
              <w:spacing w:line="320" w:lineRule="exact"/>
              <w:widowControl/>
              <w:rPr>
                <w:rFonts w:hint="eastAsia" w:ascii="宋体" w:hAnsi="宋体" w:eastAsia="宋体" w:cs="宋体"/>
                <w:i w:val="0"/>
                <w:iCs w:val="0"/>
                <w:strike/>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微课录制：支持多种方式开启微课录制，如教学互动终端的“录制”按键、屏幕工具条的“录制”按钮和遥控器APP中的“录制”按钮；支持屏幕多画面和外接麦克风声音同步录入，录制的视频可保存在外接U盘、云盘或内置硬盘中，支持存储空间不足时的文字提醒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.App应用：支持第三方应用程序嵌入式安装在教学互动终端。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反向控制：支持在触控显示屏上对HDMI有线接入的Windows电脑进行反向控制操作，支持无线投屏的部分Android、Windows设备进行反向控制操作，具有选择开启或关闭功能按钮，同时还支持在显示终端大屏触摸或通过教学互动终端外接鼠标以及遥控器软件进行反向控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.双屏显示：支持教学互动终端外接≥2个显示屏，显示模式包含镜像模式、扩展模式</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显示效果。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.课程录播：支持添加追踪摄像机并对摄像机镜头和焦距进行控制。支持常态录播模式、电影模式、手动导播模式。</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97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AB1-03</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#1.具有≥4路48V供电麦克风输入； 具有≥4路平衡式线性输入，可接低延时无线麦克风输入（任何频段），无线麦克风和有线麦克风支持闪避设置；具有≥6路平衡式线性输出；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#2.预留1路两通道USB音频接口；2路（左右声道）功放输出，每通道支持2路并联，每路最大100W；物理面板支持远程控制和音频监听、对讲功能。</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6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AB1-04</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#1.传感器类型：电容式；频响：50Hz~16kHz；输出阻抗：2.2kΩ（@1kHz）；</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5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AB1-05</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#1.传感器类型：Φ24背极式驻极体电容极头；电路特征：JFET阻抗变换；电子平衡；指向性：360度全向拾音，拾音半径</w:t>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8米；频响：50Hz-20kHz。</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995"/>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AB1-06</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#1.系统类型：单6.5"专业全频音箱；阻抗：8Ω；频响： 50Hz-18kHz；额定功率： ≥40W；承受功率：≥100W。</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995"/>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AB1-07</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#1.支持4K超高清分辨率图像，最大可提供4K@30fps/25fps图像编码输出，同时向下兼容1080p，720p等分辨率；传感器要求：传感器尺寸≥1/2.8英寸, 有效像素≥800万；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#2.内置图像识别与跟踪算法</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镜头焦距：8±0.3mm；</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#3.摄像机可同时输出≥4路码流的图像，支持全景画面和特写画面同时输出，且至少一路视频支持自动导切视频输出，全景画面和特写画面分辨率同时支持1920x1080@25fps以上；具备畸变矫正功能。</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5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AB1-08</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6614"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#1.视频分辨率：1080P60，1080P50，1080P30，1080P25，720P60，720P50；200万有效像素高品质HD CMOS传感器；镜头：12x, f3.5mm~42.3mm, F1.8~F2.8；数字变焦：16x；数字降噪：可同时应用2D和3D降噪算法；图像信噪比：≥55dB；</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055"/>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AB1-09</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#1.屏幕物理尺寸≥55吋；屏幕分辨率≥3840*2160；屏幕刷新率≥60Hz；屏幕可视角度≥±176度；整机功耗≤120W。</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AB1-10</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殷墟甲骨文模型</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#1.盒装，规格：≥2</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0×230×40mm,一甲一骨，高度仿真制作。</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AB1-11</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司母戊鼎</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#1.规格:≥160×11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×19</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mm，材质：合金，高仿。</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352425</wp:posOffset>
                      </wp:positionH>
                      <wp:positionV relativeFrom="paragraph">
                        <wp:posOffset>0</wp:posOffset>
                      </wp:positionV>
                      <wp:extent cx="733425" cy="219075"/>
                      <wp:effectExtent l="0" t="0" r="0" b="0"/>
                      <wp:wrapNone/>
                      <wp:docPr id="162" name="Picture_78_SpCnt_2"/>
                      <wp:cNvGraphicFramePr/>
                      <a:graphic xmlns:a="http://schemas.openxmlformats.org/drawingml/2006/main">
                        <a:graphicData uri="http://schemas.openxmlformats.org/drawingml/2006/picture">
                          <pic:pic xmlns:pic="http://schemas.openxmlformats.org/drawingml/2006/picture">
                            <pic:nvPicPr>
                              <pic:cNvPr id="162" name="Picture_78_SpCnt_2"/>
                              <pic:cNvPicPr/>
                              <pic:nvPr/>
                            </pic:nvPicPr>
                            <pic:blipFill>
                              <a:blip r:embed="rId14"/>
                              <a:stretch/>
                            </pic:blipFill>
                            <pic:spPr bwMode="auto">
                              <a:xfrm>
                                <a:off x="0" y="0"/>
                                <a:ext cx="733424" cy="2190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60288;o:allowoverlap:true;o:allowincell:true;mso-position-horizontal-relative:text;margin-left:27.8pt;mso-position-horizontal:absolute;mso-position-vertical-relative:text;margin-top:0.0pt;mso-position-vertical:absolute;width:57.8pt;height:17.2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AB1-12</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筒车</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#1.规格：≥44</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×18</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×370mm，材质：木质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AB1-13</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司南模型</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#1.规格：≥220×220×50mm，材质：铜、木框。</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AB1-14</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曲辕犁</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#1.规格：≥600×380×9</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mm, 材质：木质。</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AB1-15</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兵马俑</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#1.规格：高≥280mm，材质：陶瓷,一匹马四个兵俑。</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AB1-16</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三轮汽车模型</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#1.规格:≥230×170×150mm。</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AB1-17</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蒸汽机模型</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#1.规格:≥150×85×90mm，材料用铝的，底板是黑色的有机板。</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AB1-18</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北京人头像</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#1.规格：≥290×260×4</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0mm，材质：高分子材料。</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AB1-19</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木活字</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#1.规格：≥280×160×2</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mm，材质：木质。</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14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AB1-20</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世界十大思想家挂画</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strike w:val="0"/>
                <w:color w:val="auto"/>
                <w:sz w:val="21"/>
                <w:szCs w:val="21"/>
                <w:highlight w:val="none"/>
                <w:u w:val="none"/>
                <w:lang w:val="en-US" w:eastAsia="zh-CN" w:bidi="ar"/>
              </w:rPr>
              <w:t xml:space="preserve">世界十大思想家为：1孔子、2柏拉图、3亚里士多德、4阿奎那、5哥白尼、6培根、7牛顿、8达尔文、9伏尔泰、10康德。适当配一些文字介绍。</w:t>
            </w:r>
            <w:r>
              <w:rPr>
                <w:rFonts w:hint="eastAsia" w:ascii="宋体" w:hAnsi="宋体" w:eastAsia="宋体" w:cs="宋体"/>
                <w:i w:val="0"/>
                <w:iCs w:val="0"/>
                <w:color w:val="auto"/>
                <w:sz w:val="21"/>
                <w:szCs w:val="21"/>
                <w:highlight w:val="none"/>
                <w:u w:val="none"/>
                <w:lang w:val="en-US" w:eastAsia="zh-CN" w:bidi="ar"/>
              </w:rPr>
              <w:t xml:space="preserve">规格：≥60*90CM。材质：KT板。</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AB1-21</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世界大地图</w:t>
            </w:r>
            <w:r>
              <w:rPr>
                <w:rFonts w:hint="eastAsia" w:ascii="宋体" w:hAnsi="宋体" w:cs="宋体"/>
                <w:i w:val="0"/>
                <w:iCs w:val="0"/>
                <w:color w:val="auto"/>
                <w:sz w:val="21"/>
                <w:szCs w:val="21"/>
                <w:highlight w:val="none"/>
                <w:u w:val="none"/>
                <w:lang w:val="en-US" w:eastAsia="zh-CN" w:bidi="ar"/>
              </w:rPr>
              <w:t xml:space="preserve">挂画</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120cm×80cm。材质：KT板。</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AB1-22</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中华民族伟大复兴历程简介图</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#1.醒过来（孙中山）、站起来（毛泽东）、富起来（邓小平）、强起来（习近平）。规格：≥60*90CM。材质：KT板。</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434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AB1-23</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数字化地理互动系统/数字化历史虚拟地图软件</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#1.软件控制平台具有选择课程功能：可根据教材及教学需要选择对应的课程资源，软</w:t>
            </w:r>
            <w:r>
              <w:rPr>
                <w:rFonts w:hint="eastAsia" w:ascii="宋体" w:hAnsi="宋体" w:eastAsia="宋体" w:cs="宋体"/>
                <w:i w:val="0"/>
                <w:iCs w:val="0"/>
                <w:color w:val="auto"/>
                <w:sz w:val="21"/>
                <w:szCs w:val="21"/>
                <w:highlight w:val="none"/>
                <w:u w:val="none"/>
                <w:lang w:val="en-US" w:eastAsia="zh-CN" w:bidi="ar"/>
              </w:rPr>
              <w:t xml:space="preserve">件平台具有开始上课、备课、自建教案、清理资源、工具栏等多种操控功能，平台操作控制开始上课：选择好课程后点击“开始上课”，系统会按系统配置的方式展现资源界面，备课：可选择科目和课程，对图片、PPT、音频、视频、题目进行导入素材和删除素材操作，自建教案：在教学模式中选择教案模式，可在备课中添加老师自己的对应资源，并可选择类目、科目进行保存配置、删除素材、添加阶段操作；素材库可选择类目、科目，对需要的图片、网页、PPT、音视频、题库、叠加地图进行双击作为对应阶段的演示资源，清理资源可对所有备课资源和教案进行清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系统配置：资源盘：用户可自定义保存目录；教学模式：可选择资源模式或教案模式；PPT版本：让用户可选择匹配的分辨率1920*1080或1024*768；显示设置：具有单屏、超宽屏、双屏可选，让用户可选择匹配的硬件选项；</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#3.工具栏：具有可选择需要演示的课程对应资源及关闭返回主界面，支持对地图内容自定义设置热点，对该热点可自主添加图片、视频、音频等内容。支持增加、删减热点。</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653"/>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AB1-24</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地理AR教学系统/历史AR教学系统</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#1.硬件组成：支架1个、专用识别板1块、无线同屏设备1套；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#2.软件部分：可通过平板无线识别到识别板，可实现无线投屏到大屏，便于学生观看；系统采用AR现实增强技术方式展示、动态互动，对教学知识进行全方位观察，同时配合文字、图片、语音等元素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系统设置有课程内容目录、难题详解、退出等控制。软件具有答题交互功能，每个AR内容均设置有题库，每次可从题库中随机组题作答；</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54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AB1-25</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地理全息交互教学系统/历史全息交互教学系统</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#1.主成像模组:物理分辨率≥1920×1920；成像比例1:1；成像对比度≥1000:1；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#2.全息成像模组：360°全息，全息成像区透光率≥65%、反光率≥30%；</w:t>
            </w:r>
            <w:r>
              <w:rPr>
                <w:rFonts w:hint="eastAsia" w:ascii="宋体" w:hAnsi="宋体" w:cs="宋体"/>
                <w:i w:val="0"/>
                <w:iCs w:val="0"/>
                <w:color w:val="auto"/>
                <w:sz w:val="21"/>
                <w:szCs w:val="21"/>
                <w:highlight w:val="none"/>
                <w:u w:val="none"/>
                <w:lang w:val="en-US" w:eastAsia="zh-CN" w:bidi="ar"/>
              </w:rPr>
              <w:t xml:space="preserve">全息</w:t>
            </w:r>
            <w:r>
              <w:rPr>
                <w:rFonts w:hint="eastAsia" w:ascii="宋体" w:hAnsi="宋体" w:eastAsia="宋体" w:cs="宋体"/>
                <w:i w:val="0"/>
                <w:iCs w:val="0"/>
                <w:color w:val="auto"/>
                <w:sz w:val="21"/>
                <w:szCs w:val="21"/>
                <w:highlight w:val="none"/>
                <w:u w:val="none"/>
                <w:lang w:val="en-US" w:eastAsia="zh-CN" w:bidi="ar"/>
              </w:rPr>
              <w:t xml:space="preserve">影像在正常日光照度下可见；全息成像四周均可同时观看，单面最大可视角度≥140°；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#3.功能概述：全息成像区域体积≥500mm*500mm*250mm；支持小组学习；系统含教师平台端：可控制全息集中观看、分组学习、互动答题三种模式；</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395"/>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AB1-26</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多媒体讲台</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#1.讲台长×宽×高≥1280mm×580mm×1000mm，环抱式设计，讲台桌面高度合适老师放置教学用品。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#2.钢木结合设计，采用冷轧钢板桌体，桌体所有金属板厚度≥1.5mm，</w:t>
            </w:r>
            <w:r>
              <w:rPr>
                <w:rFonts w:hint="eastAsia" w:ascii="宋体" w:hAnsi="宋体" w:eastAsia="宋体" w:cs="宋体"/>
                <w:i w:val="0"/>
                <w:iCs w:val="0"/>
                <w:strike w:val="0"/>
                <w:color w:val="auto"/>
                <w:sz w:val="21"/>
                <w:szCs w:val="21"/>
                <w:highlight w:val="none"/>
                <w:u w:val="none"/>
                <w:lang w:val="en-US" w:eastAsia="zh-CN" w:bidi="ar"/>
              </w:rPr>
              <w:t xml:space="preserve">老师接触位置为木质桌面</w:t>
            </w:r>
            <w:r>
              <w:rPr>
                <w:rFonts w:hint="eastAsia" w:ascii="宋体" w:hAnsi="宋体" w:eastAsia="宋体" w:cs="宋体"/>
                <w:i w:val="0"/>
                <w:iCs w:val="0"/>
                <w:color w:val="auto"/>
                <w:sz w:val="21"/>
                <w:szCs w:val="21"/>
                <w:highlight w:val="none"/>
                <w:u w:val="none"/>
                <w:lang w:val="en-US" w:eastAsia="zh-CN" w:bidi="ar"/>
              </w:rPr>
              <w:t xml:space="preserve">，桌面采用E0级环保高密度板。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.讲台支持标准机柜收纳，支持≥12U的设备收纳放置。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.讲台自带≥23.8英寸电容触摸屏。屏体侧面具有物理实体快捷按键≥8个。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.接口：HDMI IN≥2个，HDMI OUT≥1个，Type-C≥1个，USB≥4个，RJ45≥1个；AUDIO OUT≥1个，RS232≥1个，220V国标五插电源接口≥1个（支持对外供电）。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.屏体侧边内置NFC模块；屏幕可调出中控菜单界面，支持一键上课及下课两种场景控制，也可以对连接的设备单独控制开关机；支持对屏幕输入源显示画面切换。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108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AB1-27</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组合桌</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（940+520）×440×780mm；台面：≥25mm厚；台身：采用立柱Φ40mm,横杆≥20×20mm的钢管结构，可拼搭自由组合式,全班统筹，可根据教学需进行1桌1人.2桌三人.3桌6人等多种组合变化。</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54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AB1-28</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座椅</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50*49*82*45cm；材质：实木弯板+铁艺脚；</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AB1-29</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展柜</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750*600*400mm；容纳地貌模型的玻璃展柜。</w:t>
            </w:r>
            <w:r/>
          </w:p>
        </w:tc>
        <w:tc>
          <w:tcPr>
            <w:tcBorders>
              <w:top w:val="single" w:color="000000" w:sz="4" w:space="0"/>
              <w:left w:val="single" w:color="000000" w:sz="4" w:space="0"/>
              <w:bottom w:val="single" w:color="000000" w:sz="4" w:space="0"/>
              <w:right w:val="single" w:color="000000" w:sz="4" w:space="0"/>
            </w:tcBorders>
            <w:tcW w:w="355" w:type="pct"/>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5"/>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AB1-30</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中国语音立体地形图</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#1.中国立体地形模型外框尺寸:≥27</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0×18</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0 mm,有效地图尺寸：≥25</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0×1700mm,水平比例尺：1：240万,垂直比例尺：1：16.5万,材质：采用≥2mm 厚ABS材质,灯光：LED灯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#2.控制系统：无线控制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中国地理总体概况</w:t>
            </w:r>
            <w:r>
              <w:rPr>
                <w:rFonts w:hint="eastAsia" w:ascii="宋体" w:hAnsi="宋体" w:cs="宋体"/>
                <w:i w:val="0"/>
                <w:iCs w:val="0"/>
                <w:strike w:val="0"/>
                <w:color w:val="auto"/>
                <w:sz w:val="21"/>
                <w:szCs w:val="21"/>
                <w:highlight w:val="none"/>
                <w:u w:val="none"/>
                <w:lang w:val="en-US" w:eastAsia="zh"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我国地理位置、疆域和政区,地形特征和分布</w:t>
            </w:r>
            <w:r>
              <w:rPr>
                <w:rFonts w:hint="eastAsia" w:ascii="宋体" w:hAnsi="宋体" w:cs="宋体"/>
                <w:i w:val="0"/>
                <w:iCs w:val="0"/>
                <w:strike w:val="0"/>
                <w:color w:val="auto"/>
                <w:sz w:val="21"/>
                <w:szCs w:val="21"/>
                <w:highlight w:val="none"/>
                <w:u w:val="none"/>
                <w:lang w:val="en-US" w:eastAsia="zh" w:bidi="ar"/>
              </w:rPr>
              <w:t xml:space="preserve">；</w:t>
            </w:r>
            <w:r>
              <w:rPr>
                <w:rFonts w:hint="eastAsia" w:ascii="宋体" w:hAnsi="宋体" w:cs="宋体"/>
                <w:i w:val="0"/>
                <w:iCs w:val="0"/>
                <w:strike w:val="0"/>
                <w:color w:val="auto"/>
                <w:sz w:val="21"/>
                <w:szCs w:val="21"/>
                <w:highlight w:val="none"/>
                <w:u w:val="none"/>
                <w:lang w:val="en-US" w:eastAsia="zh-CN" w:bidi="ar"/>
              </w:rPr>
              <w:t xml:space="preserve">具有</w:t>
            </w:r>
            <w:r>
              <w:rPr>
                <w:rFonts w:hint="eastAsia" w:ascii="宋体" w:hAnsi="宋体" w:eastAsia="宋体" w:cs="宋体"/>
                <w:i w:val="0"/>
                <w:iCs w:val="0"/>
                <w:strike w:val="0"/>
                <w:color w:val="auto"/>
                <w:sz w:val="21"/>
                <w:szCs w:val="21"/>
                <w:highlight w:val="none"/>
                <w:u w:val="none"/>
                <w:lang w:val="en-US" w:eastAsia="zh-CN" w:bidi="ar"/>
              </w:rPr>
              <w:t xml:space="preserve">中国立体地形模型多媒体联动演示软件</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中国地图拼图软件</w:t>
            </w:r>
            <w:r>
              <w:rPr>
                <w:rFonts w:hint="eastAsia" w:ascii="宋体" w:hAnsi="宋体" w:cs="宋体"/>
                <w:i w:val="0"/>
                <w:iCs w:val="0"/>
                <w:strike w:val="0"/>
                <w:color w:val="auto"/>
                <w:sz w:val="21"/>
                <w:szCs w:val="21"/>
                <w:highlight w:val="none"/>
                <w:u w:val="none"/>
                <w:lang w:val="en-US" w:eastAsia="zh-CN" w:bidi="ar"/>
              </w:rPr>
              <w:t xml:space="preserve">等功能。</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917"/>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AB1-31</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世界语音立体地形图</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#1.世界立体地形模型,外形尺寸：≥27</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0×18</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0mm,有效地图尺寸：≥24</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0×1550mm,水平比例尺：1：1300万,垂直比例尺：1：39.3万, 材质：采用≥2mm 厚ABS材质,灯光：LED灯。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#2.控制系统：无线控制, 支持汉语</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多种民族语言;</w:t>
            </w:r>
            <w:r>
              <w:rPr>
                <w:rFonts w:hint="eastAsia" w:ascii="宋体" w:hAnsi="宋体" w:cs="宋体"/>
                <w:i w:val="0"/>
                <w:iCs w:val="0"/>
                <w:color w:val="auto"/>
                <w:sz w:val="21"/>
                <w:szCs w:val="21"/>
                <w:highlight w:val="none"/>
                <w:u w:val="none"/>
                <w:lang w:val="en-US" w:eastAsia="zh-CN" w:bidi="ar"/>
              </w:rPr>
              <w:t xml:space="preserve">具有</w:t>
            </w:r>
            <w:r>
              <w:rPr>
                <w:rFonts w:hint="eastAsia" w:ascii="宋体" w:hAnsi="宋体" w:eastAsia="宋体" w:cs="宋体"/>
                <w:i w:val="0"/>
                <w:iCs w:val="0"/>
                <w:color w:val="auto"/>
                <w:sz w:val="21"/>
                <w:szCs w:val="21"/>
                <w:highlight w:val="none"/>
                <w:u w:val="none"/>
                <w:lang w:val="en-US" w:eastAsia="zh-CN" w:bidi="ar"/>
              </w:rPr>
              <w:t xml:space="preserve">世界概况总体介绍</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世界地理详细分述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世界立体地形模型多媒体联动演示软件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世界地图拼图软件</w:t>
            </w:r>
            <w:r>
              <w:rPr>
                <w:rFonts w:hint="eastAsia" w:ascii="宋体" w:hAnsi="宋体" w:cs="宋体"/>
                <w:i w:val="0"/>
                <w:iCs w:val="0"/>
                <w:strike w:val="0"/>
                <w:color w:val="auto"/>
                <w:sz w:val="21"/>
                <w:szCs w:val="21"/>
                <w:highlight w:val="none"/>
                <w:u w:val="none"/>
                <w:lang w:val="en-US" w:eastAsia="zh-CN" w:bidi="ar"/>
              </w:rPr>
              <w:t xml:space="preserve">等功能。</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AB1-32</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黄土地貌</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600×400mm,采用pvc材质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包括：冲沟、河谷、黄土梁、黄土茆、川、窑洞及人工改造的平原、梯地（在茆上有同心园梯地）</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strike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AB1-33</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喀斯特地貌</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600×400mm,采用pvc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包括：石林、洼地坝子、落水洞、天生桥、峰林、地面河</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AB1-34</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五种地形模型</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600×400mm,采用pvc材质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按合理的水平、垂直比例尺反映高原、山地、平原、丘陵和盆地。</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AB1-35</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地上河模型</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strike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600×400mm,采用pvc材质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黄河地上河最主要的特征、平原及地上河、铁路桥、开封铁塔、船只、虹吸管灌溉工程及清淤池、</w:t>
            </w:r>
            <w:r>
              <w:rPr>
                <w:rFonts w:hint="eastAsia" w:ascii="宋体" w:hAnsi="宋体" w:cs="宋体"/>
                <w:i w:val="0"/>
                <w:iCs w:val="0"/>
                <w:color w:val="auto"/>
                <w:sz w:val="21"/>
                <w:szCs w:val="21"/>
                <w:highlight w:val="none"/>
                <w:u w:val="none"/>
                <w:lang w:val="en-US" w:eastAsia="zh-CN" w:bidi="ar"/>
              </w:rPr>
              <w:t xml:space="preserve">菏泽</w:t>
            </w:r>
            <w:r>
              <w:rPr>
                <w:rFonts w:hint="eastAsia" w:ascii="宋体" w:hAnsi="宋体" w:eastAsia="宋体" w:cs="宋体"/>
                <w:i w:val="0"/>
                <w:iCs w:val="0"/>
                <w:color w:val="auto"/>
                <w:sz w:val="21"/>
                <w:szCs w:val="21"/>
                <w:highlight w:val="none"/>
                <w:u w:val="none"/>
                <w:lang w:val="en-US" w:eastAsia="zh-CN" w:bidi="ar"/>
              </w:rPr>
              <w:t xml:space="preserve">附近的南水北调穿黄河工程。</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62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AB1-36</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流水地貌模型</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#1.规格:≥600*400mm，包括:上游的“V”形谷地及树枝。状水系，出山口的冲积扇，中游的泛滥平原、牛轭湖、下游的滨海平原、三角洲</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AB1-37</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荒漠（风蚀）地貌</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#1.规格：≥600×400mm,采用pvc材质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风蚀：风蚀城堡，风蚀蘑菇，风蚀洞穴，风蚀洼地，风蚀桂；风积：新月形沙丘，戈壁。</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AB1-38</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板块模型</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#1.规格：≥600×400mm,采用pvc材质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海底地形、地球内部圈层、地壳结构、地形变化、板块构造学说、火山地震的形成与分布、地球表面海陆轮、廓的形成等内容时使用。</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AB1-39</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等高线模型</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#1.规格：≥600×400mm,采用pvc材质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山头、鞍部、陡坡、缓坡、山谷线、山脊线、谷、陡崖、三圈等高线闭曲线，并有剖面图。</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AB1-40</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平面地形地球仪</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#1.产品由球体和支架等组成；平面比例尺≥1:40000000。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AB1-41</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平面政区地球仪</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#1.产品由球体和支架等组成；平面比例尺≥1:40000000。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AB1-42</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可拆卸经纬网地球仪</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#1.规格：整体直径≥220mm。材质：高分子；教学用途：可拆卸组合，用于学习经纬网。直观呈现不同的纬度和经度。学生通过动手拼装地球仪，辨识经线和纬线。</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81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AB1-43</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太阳直射点与昼夜长短试验套装</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#1.试验箱规格：外径≥420*320*220mm；试验箱材质：采用PP材质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珍珠棉内衬，材料环保无毒无味。</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AB1-44</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文宣装修</w:t>
            </w:r>
            <w:r/>
          </w:p>
        </w:tc>
        <w:tc>
          <w:tcPr>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#1.地面开槽布线恢复90㎡。墙面文化墙20㎡。制度牌*6，规格90*60cm。顶层采用铝方通吊顶90㎡。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ectPr>
          <w:footnotePr/>
          <w:endnotePr/>
          <w:type w:val="nextPage"/>
          <w:pgSz w:w="11906" w:h="16838" w:orient="portrait"/>
          <w:pgMar w:top="1440" w:right="1080" w:bottom="1440" w:left="1080" w:header="851" w:footer="992" w:gutter="0"/>
          <w:cols w:num="1" w:sep="0" w:space="720" w:equalWidth="1"/>
          <w:docGrid w:linePitch="360"/>
        </w:sect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bl>
      <w:tblPr>
        <w:tblStyle w:val="701"/>
        <w:tblW w:w="1028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73"/>
        <w:gridCol w:w="1365"/>
        <w:gridCol w:w="6490"/>
        <w:gridCol w:w="750"/>
        <w:gridCol w:w="710"/>
      </w:tblGrid>
      <w:tr>
        <w:trPr>
          <w:trHeight w:val="567" w:hRule="exact"/>
        </w:trPr>
        <w:tc>
          <w:tcPr>
            <w:gridSpan w:val="5"/>
            <w:tcBorders>
              <w:top w:val="single" w:color="000000" w:sz="4" w:space="0"/>
              <w:left w:val="single" w:color="000000" w:sz="4" w:space="0"/>
              <w:bottom w:val="single" w:color="000000" w:sz="4" w:space="0"/>
              <w:right w:val="single" w:color="000000" w:sz="4" w:space="0"/>
            </w:tcBorders>
            <w:tcW w:w="102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AC-生物园地</w:t>
            </w:r>
            <w:r/>
          </w:p>
        </w:tc>
      </w:tr>
      <w:tr>
        <w:trPr>
          <w:trHeight w:val="454" w:hRule="exact"/>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82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室内育苗工厂</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19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AC1-01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岛式实验桌</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#1.全钢结构≥2400×900×7</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0mm</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台面参数：采用≥1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.0mm厚实芯双面板台面</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.台身：采用≥1.0mm镀锌钢板，表面经耐酸碱粉末烤漆处理</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AC1-02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学生圆凳</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Φ300*450-500mm，凳面采用环保型ABS改性塑料一次性注塑成型，脚钢架椭圆形无缝钢管焊接完成，经高温粉体烤漆处理；承重不低于100kg；                                                    </w:t>
            </w:r>
            <w:r>
              <w:rPr>
                <w:rFonts w:hint="eastAsia" w:ascii="宋体" w:hAnsi="宋体" w:eastAsia="宋体" w:cs="宋体"/>
                <w:i w:val="0"/>
                <w:iCs w:val="0"/>
                <w:color w:val="auto"/>
                <w:sz w:val="21"/>
                <w:szCs w:val="21"/>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AC1-03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室内地上配电安装</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#1.配电安装：地上采用铝塑护套管，内穿塑铜线，与家具有效固定。</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AC1-04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室内地上给排水安装</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#1.本项按照单间教室体量测算并施工。给水采用金属软连接与龙头连接，地上每套水嘴设一控制阀门。排水采用PVC管，连接处密封，包含下水等配件;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w:t>
            </w:r>
            <w:r/>
          </w:p>
        </w:tc>
      </w:tr>
      <w:tr>
        <w:trPr>
          <w:trHeight w:val="146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AC1-05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智能化种植一体机1</w:t>
            </w:r>
            <w:r/>
          </w:p>
        </w:tc>
        <w:tc>
          <w:tcPr>
            <w:tcBorders>
              <w:top w:val="single" w:color="000000" w:sz="4" w:space="0"/>
              <w:left w:val="single" w:color="000000" w:sz="4" w:space="0"/>
              <w:bottom w:val="single" w:color="000000" w:sz="4" w:space="0"/>
              <w:right w:val="single" w:color="000000" w:sz="4" w:space="0"/>
            </w:tcBorders>
            <w:tcW w:w="6490"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 产品尺寸：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*15</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cm；种植层数：3层；材质：食品级PP+PVC+ABS。种植模组通体不含金属零件，线材灯具IP65防水。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种植机结构: 模块化设计，相同种植模块或不同种植模块可一层至多层灵活组合，可任意增减层数，上下层无固定搭建顺序，各层可取用任意水箱的营养液。设备支持分层独立清洗，各种植层互不影响。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 控制APP：提供多种</w:t>
            </w:r>
            <w:r>
              <w:rPr>
                <w:rFonts w:hint="eastAsia" w:ascii="宋体" w:hAnsi="宋体" w:cs="宋体"/>
                <w:i w:val="0"/>
                <w:iCs w:val="0"/>
                <w:color w:val="auto"/>
                <w:sz w:val="21"/>
                <w:szCs w:val="21"/>
                <w:highlight w:val="none"/>
                <w:u w:val="none"/>
                <w:lang w:val="en-US" w:eastAsia="zh" w:bidi="ar"/>
              </w:rPr>
              <w:t xml:space="preserve">种植方案</w:t>
            </w:r>
            <w:r>
              <w:rPr>
                <w:rFonts w:hint="eastAsia" w:ascii="宋体" w:hAnsi="宋体" w:eastAsia="宋体" w:cs="宋体"/>
                <w:i w:val="0"/>
                <w:iCs w:val="0"/>
                <w:color w:val="auto"/>
                <w:sz w:val="21"/>
                <w:szCs w:val="21"/>
                <w:highlight w:val="none"/>
                <w:u w:val="none"/>
                <w:lang w:val="en-US" w:eastAsia="zh-CN" w:bidi="ar"/>
              </w:rPr>
              <w:t xml:space="preserve">。可远程控制、自动控制、联动控制所有相关物联网设备。可以自由设置多种联动场景。可实现各项数据和设备状态的异常报警功能。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 植物生长灯：≥L600mm×（Φ30mm/φ50mm）。</w:t>
            </w:r>
            <w:r>
              <w:rPr>
                <w:rFonts w:hint="eastAsia" w:ascii="宋体" w:hAnsi="宋体" w:cs="宋体"/>
                <w:i w:val="0"/>
                <w:iCs w:val="0"/>
                <w:color w:val="auto"/>
                <w:sz w:val="21"/>
                <w:szCs w:val="21"/>
                <w:highlight w:val="none"/>
                <w:u w:val="none"/>
                <w:lang w:val="en-US" w:eastAsia="zh" w:bidi="ar"/>
              </w:rPr>
              <w:t xml:space="preserve">生长光谱参数达标，具备无频闪等特性。</w:t>
            </w:r>
            <w:r>
              <w:rPr>
                <w:rFonts w:hint="eastAsia" w:ascii="宋体" w:hAnsi="宋体" w:eastAsia="宋体" w:cs="宋体"/>
                <w:i w:val="0"/>
                <w:iCs w:val="0"/>
                <w:color w:val="auto"/>
                <w:sz w:val="21"/>
                <w:szCs w:val="21"/>
                <w:highlight w:val="none"/>
                <w:u w:val="none"/>
                <w:lang w:val="en-US" w:eastAsia="zh-CN" w:bidi="ar"/>
              </w:rPr>
              <w:t xml:space="preserve">交流电：220V 。防护等级：IP65。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灯具控制模块：输入110V-220V 50Hz，输出：110V-230V，负载：10A。可与其他物联网设备联动控制。灯座：灯座高度可上下多档调节。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 隐藏式水路，上下水管内置于设备立柱。隐藏式电路，灯具电线内置于设备立柱，电线为防水秒接线。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 物联网智能控制：支持接入多种传感设备，实时监测相关环境参数。</w:t>
            </w:r>
            <w:r/>
          </w:p>
          <w:p>
            <w:pPr>
              <w:jc w:val="left"/>
              <w:keepLines w:val="0"/>
              <w:keepNext w:val="0"/>
              <w:pageBreakBefore w:val="0"/>
              <w:spacing w:line="320" w:lineRule="exact"/>
              <w:widowControl/>
              <w:rPr>
                <w:rFonts w:hint="eastAsia" w:ascii="宋体" w:hAnsi="宋体" w:cs="宋体"/>
                <w:i w:val="0"/>
                <w:iCs w:val="0"/>
                <w:strike w:val="0"/>
                <w:color w:val="auto"/>
                <w:sz w:val="21"/>
                <w:szCs w:val="21"/>
                <w:highlight w:val="none"/>
                <w:u w:val="none"/>
                <w:lang w:val="en-US" w:eastAsia="zh"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 营养液供液模式：采用机械增氧，瀑布式供液</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cs="宋体"/>
                <w:i w:val="0"/>
                <w:iCs w:val="0"/>
                <w:strike w:val="0"/>
                <w:color w:val="auto"/>
                <w:sz w:val="21"/>
                <w:szCs w:val="21"/>
                <w:highlight w:val="none"/>
                <w:u w:val="none"/>
                <w:lang w:val="en-US" w:eastAsia="zh" w:bidi="ar"/>
              </w:rPr>
              <w:t xml:space="preserve">保证营养液含氧量。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 物联网多路灌溉系统：含水泵、物联网水泵控制模块。</w:t>
            </w:r>
            <w:r>
              <w:rPr>
                <w:rFonts w:hint="eastAsia" w:ascii="宋体" w:hAnsi="宋体" w:eastAsia="宋体" w:cs="宋体"/>
                <w:i w:val="0"/>
                <w:iCs w:val="0"/>
                <w:strike w:val="0"/>
                <w:color w:val="auto"/>
                <w:sz w:val="21"/>
                <w:szCs w:val="21"/>
                <w:highlight w:val="none"/>
                <w:u w:val="none"/>
                <w:lang w:val="en-US" w:eastAsia="zh-CN" w:bidi="ar"/>
              </w:rPr>
              <w:t xml:space="preserve">进水口带过滤棉、静音水泵、缓启动、耐磨</w:t>
            </w:r>
            <w:r>
              <w:rPr>
                <w:rFonts w:hint="eastAsia" w:ascii="宋体" w:hAnsi="宋体" w:cs="宋体"/>
                <w:i w:val="0"/>
                <w:iCs w:val="0"/>
                <w:strike w:val="0"/>
                <w:color w:val="auto"/>
                <w:sz w:val="21"/>
                <w:szCs w:val="21"/>
                <w:highlight w:val="none"/>
                <w:u w:val="none"/>
                <w:lang w:val="en-US" w:eastAsia="zh-CN" w:bidi="ar"/>
              </w:rPr>
              <w:t xml:space="preserve">氧化锆</w:t>
            </w:r>
            <w:r>
              <w:rPr>
                <w:rFonts w:hint="eastAsia" w:ascii="宋体" w:hAnsi="宋体" w:eastAsia="宋体" w:cs="宋体"/>
                <w:i w:val="0"/>
                <w:iCs w:val="0"/>
                <w:strike w:val="0"/>
                <w:color w:val="auto"/>
                <w:sz w:val="21"/>
                <w:szCs w:val="21"/>
                <w:highlight w:val="none"/>
                <w:u w:val="none"/>
                <w:lang w:val="en-US" w:eastAsia="zh-CN" w:bidi="ar"/>
              </w:rPr>
              <w:t xml:space="preserve">轴承、带减震硅胶套。</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多路物联网控制模块：三路控制，实现物联网控制功能，APP控制，可自定义水循环开启模式。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 可独立控制供液循环，可同时支持3种不同营养液循环分层独立供液。一键执行功能:可通过APP设置一键开启或关闭。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 水箱：≥550m*400mm*340m ，水箱带滑轮。水箱内部带水泵静音卡位，降低噪音。</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21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AC1-06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智能化种植一体机2</w:t>
            </w:r>
            <w:r/>
          </w:p>
        </w:tc>
        <w:tc>
          <w:tcPr>
            <w:tcBorders>
              <w:top w:val="single" w:color="000000" w:sz="4" w:space="0"/>
              <w:left w:val="single" w:color="000000" w:sz="4" w:space="0"/>
              <w:bottom w:val="single" w:color="000000" w:sz="4" w:space="0"/>
              <w:right w:val="single" w:color="000000" w:sz="4" w:space="0"/>
            </w:tcBorders>
            <w:tcW w:w="6490"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 产品尺寸：≥6</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*21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cm；种植层数：1层；材质：食品级PP+PVC+ABS。种植模组通体不含金属零件，线材灯具IP65防水。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种植机结构: 模块化设计，相同种植模块或不同种植模块可一层至多层灵活组合，可任意增减层数。设备支持分层独立清洗，各种植层互不影响。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 控制APP：提供多种种植方案</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可远程控制、自动控制、联动控制所有相关物联网设备。 可以自由设置多种联动场景。 可实现各项数据和设备状态的异常报警功能，并可自定义报警等级</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pageBreakBefore w:val="0"/>
              <w:spacing w:line="320" w:lineRule="exact"/>
              <w:widowControl/>
              <w:rPr>
                <w:rFonts w:hint="eastAsia" w:ascii="宋体" w:hAnsi="宋体" w:cs="宋体"/>
                <w:i w:val="0"/>
                <w:iCs w:val="0"/>
                <w:color w:val="auto"/>
                <w:sz w:val="21"/>
                <w:szCs w:val="21"/>
                <w:highlight w:val="none"/>
                <w:u w:val="none"/>
                <w:lang w:val="en-US" w:eastAsia="zh"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 植物生长灯：≥L600mm×（Φ30mm/φ50mm）。定制生长光谱，连续光谱，无频闪。交流电：220V 。防护等级：IP65。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灯具控制模块：输入110V-220V 50Hz，输出：110V-230V，负载：10A。可与其他物联网设备联动控制。灯座：灯座高度可上下多档调节</w:t>
            </w:r>
            <w:r>
              <w:rPr>
                <w:rFonts w:hint="eastAsia" w:ascii="宋体" w:hAnsi="宋体" w:cs="宋体"/>
                <w:i w:val="0"/>
                <w:iCs w:val="0"/>
                <w:color w:val="auto"/>
                <w:sz w:val="21"/>
                <w:szCs w:val="21"/>
                <w:highlight w:val="none"/>
                <w:u w:val="none"/>
                <w:lang w:val="en-US" w:eastAsia="zh" w:bidi="ar"/>
              </w:rPr>
              <w:t xml:space="preserve">。</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 隐藏式水路，上下水管内置于设备立柱。隐藏式电路，灯具电线内置于设备立柱，电线为防水秒接线。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 物联网智能控制：支持接入多种传感设备</w:t>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 营养液供液模式：采用机械增氧，瀑布式供液</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cs="宋体"/>
                <w:i w:val="0"/>
                <w:iCs w:val="0"/>
                <w:strike w:val="0"/>
                <w:color w:val="auto"/>
                <w:sz w:val="21"/>
                <w:szCs w:val="21"/>
                <w:highlight w:val="none"/>
                <w:u w:val="none"/>
                <w:lang w:val="en-US" w:eastAsia="zh" w:bidi="ar"/>
              </w:rPr>
              <w:t xml:space="preserve">保证营养液含氧量。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 物联网多路灌溉系统：含水泵、物联网水泵控制模块。</w:t>
            </w:r>
            <w:r>
              <w:rPr>
                <w:rFonts w:hint="eastAsia" w:ascii="宋体" w:hAnsi="宋体" w:eastAsia="宋体" w:cs="宋体"/>
                <w:i w:val="0"/>
                <w:iCs w:val="0"/>
                <w:strike w:val="0"/>
                <w:color w:val="auto"/>
                <w:sz w:val="21"/>
                <w:szCs w:val="21"/>
                <w:highlight w:val="none"/>
                <w:u w:val="none"/>
                <w:lang w:val="en-US" w:eastAsia="zh-CN" w:bidi="ar"/>
              </w:rPr>
              <w:t xml:space="preserve">进水口带过滤棉、静音水泵、缓启动、耐磨氧化皓轴承、带减震硅胶套。</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多路物联网控制模块：三路控制，实现物联网控制功能，APP控制，可自定义水循环开启模式。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 可独立控制供液循环，可同时支持3种不同营养液循环分层独立供液。一键执行功能:可通过APP设置一键开启或关闭。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 水箱：≥600*400*340mm ，水箱与种植机无接触组合，无水管连接，可直接抽出水箱清洗，无需拆解种植机。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AC1-07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物联网对流风扇套装（通用型）</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#1.用于种植机育苗叶菜模块、种植机果菜模块、种植机攀爬模块等模块微环境循环使用，含风扇、电源线、快接线，装配位置：种植机每层灯座下方。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AC1-08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物联网LED紫外线杀菌灯1</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#1.用于水箱营养液杀菌，含1灯，一分二线、一分三线、控制模块。LED、UVC紫外光灯珠，无汞，低压、IP68防水。功率：≥5w，电压：12-24v;</w:t>
            </w:r>
            <w:r>
              <w:rPr>
                <w:rFonts w:hint="eastAsia" w:ascii="宋体" w:hAnsi="宋体" w:eastAsia="宋体" w:cs="宋体"/>
                <w:i w:val="0"/>
                <w:iCs w:val="0"/>
                <w:strike w:val="0"/>
                <w:color w:val="auto"/>
                <w:sz w:val="21"/>
                <w:szCs w:val="21"/>
                <w:highlight w:val="none"/>
                <w:u w:val="none"/>
                <w:lang w:val="en-US" w:eastAsia="zh-CN" w:bidi="ar"/>
              </w:rPr>
              <w:t xml:space="preserve">波长：UVA395-405nm。</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AC1-09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物联网LED紫外线杀菌灯2</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#1.用于水箱营养液杀菌，含3灯，一分二线、一分三线、控制模块。LED、UVC紫外光灯珠，无汞，低压、IP68防水。功率：≥5w，电压：12-24v;波长：UVA395-405nm。</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AC1-10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种植层植株高度标尺（YC）</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#1.用于叶菜种植层植物植株高度测量，防水型。</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AC1-11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种植机电源防水套件（墙/地）</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#1.快接三通、3位防水快接排插（带3USB），输入：220V、10A、50Hz，线径1.5</w:t>
            </w:r>
            <w:r>
              <w:rPr>
                <w:rFonts w:hint="eastAsia" w:ascii="宋体" w:hAnsi="宋体" w:eastAsia="宋体" w:cs="宋体"/>
                <w:i w:val="0"/>
                <w:iCs w:val="0"/>
                <w:color w:val="ff0000"/>
                <w:sz w:val="21"/>
                <w:szCs w:val="21"/>
                <w:highlight w:val="none"/>
                <w:u w:val="none"/>
                <w:lang w:val="en-US" w:eastAsia="zh-CN" w:bidi="ar"/>
              </w:rPr>
              <w:t xml:space="preserve">mm</w:t>
            </w:r>
            <w:r>
              <w:rPr>
                <w:rFonts w:hint="eastAsia" w:ascii="宋体" w:hAnsi="宋体" w:eastAsia="宋体" w:cs="宋体"/>
                <w:i w:val="0"/>
                <w:iCs w:val="0"/>
                <w:color w:val="ff0000"/>
                <w:sz w:val="21"/>
                <w:szCs w:val="21"/>
                <w:highlight w:val="none"/>
                <w:u w:val="none"/>
                <w:vertAlign w:val="super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AC1-12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物联网RO水制水系统</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#1.活性炭+pp棉+反渗透膜三级过滤（定期更换过滤），出水为RO水（pH=7，EC=0，TDS=0），最大流量60L/H，带物联网自动补水;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#2.AC220V/50</w:t>
            </w:r>
            <w:r>
              <w:rPr>
                <w:rFonts w:hint="eastAsia" w:ascii="宋体" w:hAnsi="宋体" w:cs="宋体"/>
                <w:i w:val="0"/>
                <w:iCs w:val="0"/>
                <w:color w:val="auto"/>
                <w:sz w:val="21"/>
                <w:szCs w:val="21"/>
                <w:highlight w:val="none"/>
                <w:u w:val="none"/>
                <w:lang w:val="en-US" w:eastAsia="zh-CN" w:bidi="ar"/>
              </w:rPr>
              <w:t xml:space="preserve">Hz</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w，电源配置：24V4A，进水压力0.1-0.4Mp;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#3.输入电压：220V50Hz，输出220V，最大负载10A;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#4.控制模块：实现物联网控制功能，APP控制。可以与物联网液位检测仪器联动控制，可以与水泵联动控制，可以单独设置补水计划;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AC1-13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RO水制水系统过滤耗材补充件</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#1.含备用滤芯（炭+棉）两套，备用RO膜一个。</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AC1-14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物联网RO水储水系统（定制）（150L）</w:t>
            </w:r>
            <w:r/>
          </w:p>
        </w:tc>
        <w:tc>
          <w:tcPr>
            <w:tcBorders>
              <w:top w:val="single" w:color="000000" w:sz="4" w:space="0"/>
              <w:left w:val="single" w:color="000000" w:sz="4" w:space="0"/>
              <w:bottom w:val="single" w:color="000000" w:sz="4" w:space="0"/>
              <w:right w:val="single" w:color="000000" w:sz="4" w:space="0"/>
            </w:tcBorders>
            <w:tcW w:w="6490"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#1.订制,可用来存RO水，也可以当工作液水箱。含定制水箱、溢水保护快接头、内外出水快接头、底部排水口、盖子（打孔）等配件；150L立式（</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550*450*650mm），含</w:t>
            </w:r>
            <w:bookmarkStart w:id="147" w:name="_GoBack"/>
            <w:r/>
            <w:bookmarkEnd w:id="147"/>
            <w:r>
              <w:rPr>
                <w:rFonts w:hint="eastAsia" w:ascii="宋体" w:hAnsi="宋体" w:eastAsia="宋体" w:cs="宋体"/>
                <w:i w:val="0"/>
                <w:iCs w:val="0"/>
                <w:color w:val="auto"/>
                <w:sz w:val="21"/>
                <w:szCs w:val="21"/>
                <w:highlight w:val="none"/>
                <w:u w:val="none"/>
                <w:lang w:val="en-US" w:eastAsia="zh-CN" w:bidi="ar"/>
              </w:rPr>
              <w:t xml:space="preserve">开孔费，改装费。一般要三个，出水，溢水保护、底部排水口。</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AC1-15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物联网RO水灌溉系统（定制）(15米）</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#1.用于RO水灌溉，由储水系统给工作液水箱或其他需使用RO水的情况供水，含大流量水泵、物联网插座、15米食品级硅胶水管、水管阀门，可在APP上操作控制。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AC1-16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底吸式大流量水泵</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#1.24V，扬程4.0m，功率≥20W，流量≥2200L/h，用于种植机工作液水箱排水，移动使用。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AC1-17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物联网网关</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#1.支持有线、</w:t>
            </w:r>
            <w:r>
              <w:rPr>
                <w:rFonts w:hint="eastAsia" w:ascii="宋体" w:hAnsi="宋体" w:cs="宋体"/>
                <w:i w:val="0"/>
                <w:iCs w:val="0"/>
                <w:color w:val="auto"/>
                <w:sz w:val="21"/>
                <w:szCs w:val="21"/>
                <w:highlight w:val="none"/>
                <w:u w:val="none"/>
                <w:lang w:val="en-US" w:eastAsia="zh-CN" w:bidi="ar"/>
              </w:rPr>
              <w:t xml:space="preserve">无线连接</w:t>
            </w:r>
            <w:r>
              <w:rPr>
                <w:rFonts w:hint="eastAsia" w:ascii="宋体" w:hAnsi="宋体" w:eastAsia="宋体" w:cs="宋体"/>
                <w:i w:val="0"/>
                <w:iCs w:val="0"/>
                <w:color w:val="auto"/>
                <w:sz w:val="21"/>
                <w:szCs w:val="21"/>
                <w:highlight w:val="none"/>
                <w:u w:val="none"/>
                <w:lang w:val="en-US" w:eastAsia="zh-CN" w:bidi="ar"/>
              </w:rPr>
              <w:t xml:space="preserve">，输入5V，可连接128路设备，断网不影响设备间的联动控制。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AC1-18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物联网环境监测模块（温度、湿度、CO</w:t>
            </w:r>
            <w:r>
              <w:rPr>
                <w:rFonts w:hint="eastAsia" w:ascii="宋体" w:hAnsi="宋体" w:eastAsia="宋体" w:cs="宋体"/>
                <w:i w:val="0"/>
                <w:iCs w:val="0"/>
                <w:color w:val="auto"/>
                <w:sz w:val="21"/>
                <w:szCs w:val="21"/>
                <w:highlight w:val="none"/>
                <w:u w:val="none"/>
                <w:vertAlign w:val="sub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w:t>
            </w:r>
            <w:r>
              <w:rPr>
                <w:rFonts w:hint="eastAsia" w:ascii="宋体" w:hAnsi="宋体" w:eastAsia="宋体" w:cs="宋体"/>
                <w:i w:val="0"/>
                <w:iCs w:val="0"/>
                <w:color w:val="auto"/>
                <w:sz w:val="21"/>
                <w:szCs w:val="21"/>
                <w:highlight w:val="none"/>
                <w:u w:val="none"/>
                <w:lang w:val="en-US" w:eastAsia="zh-CN" w:bidi="ar"/>
              </w:rPr>
              <w:t xml:space="preserve">.双通道，NDIR红外传感器，LCD数字显示，自动校准，使用温度：0-70℃；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.CO2测量范围：0-5000PPM，分辨率：1PPM，精度50PPM±5%；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.测量温度范围：0-50℃，分辨率：0.1℃，精度±0.5℃；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.湿度：0-99%，分辨率 1%，精度±5%；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.电池容量：≥800mAh；输入电压：DC 5v；可与其他物联网设备联动控制，数据可按日、月、年方式查看，历史数据支持导出。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AC1-19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壁挂式收纳盒</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#1.双层百叶—木塑板，壁挂式插排插座遮挡置物架。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AC1-20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育苗盘（子母盘）</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#1.用于种子萌发与育苗，食品级PP材质；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AC1-21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种植海绵</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#1.育苗一体化专用。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AC1-22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种植杯</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#1.用于种植孔植物种植。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AC1-23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种植杯盖</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#1.用于遮盖种植杯。</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AC1-24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塑料量杯（5000mL）</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#1.用于营养液的称量配置使用。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AC1-25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塑料量杯（2000mL）</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#1.用于营养液的称量配置使用。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AC1-26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量筒（500ml)</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#1.用于营养液的称量配置使用。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AC1-27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量筒（250ml)</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#1.用于营养液的称量配置使用。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AC1-28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量筒（100ml)</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#1.用于营养液的称量配置使用。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AC1-29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量筒（25ml)</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#1.用于营养液的称量配置使用。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AC1-30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营养液商用装（10L/桶）-叶菜类AB</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#1.叶菜花卉类AB液，10L/桶，2桶/组，适用于叶菜类、花卉类植物的生长。</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AC1-31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营养液商用装（10L/桶）-果菜类AB</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#1.果菜类AB液，10L/桶，2桶/组，适用于果菜类、茄科类植物的生长。</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AC1-32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营养液商用装（10L/桶）-瓜类AB</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#1.瓜类AB，10L/桶，2桶/组，适用于瓜类植物的生长。</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AC1-33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精品优种套装</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含盆栽红番茄50粒、水果黄甜椒20粒、瀑布番茄50粒、水果黄瓜50粒、红苋菜10g、羽衣甘蓝100粒、GCGD-紫叶生菜（丸粒化）500粒、GCGD-奶油生菜（丸粒化）500粒、GCGD-绿叶生菜（丸粒化）500粒、GCGD-罗马生菜（丸粒化）500粒、GCGD-樱桃萝卜50g、JKGD-水果零食甜椒（黄）12粒、JKGD-串收小番茄（红）12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AC1-34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安装工具包</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#1.含牵引电线安装头、含橡胶榔头一把、扳手一个、mini水平仪一个、led灯堵头10个，电线固定卡中号特大号各一包（每包20个）。</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AC1-35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清洗工具包</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#1.迷你拖把一个、清洗刮板一个、刷子大小各一个、抹布1块。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AC1-36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修枝专用剪刀</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#1.用于种植区植物修剪。</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AC1-37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播种镊子</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#1.用于播种与幼苗整苗。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AC1-38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五合一多功能检测笔</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#1.功能：TDS.PH.EC.SALT.温度；量程：TDS 0-9990ppm；EC 0-19990us/cm；PH 0.00-14.00ph；SALT 0.01%-25.00%,0-10000ppm,10.1-200.0ppt；温度0-60℃；尺寸：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*8*5cm；重量：≥16</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g(配校准液三袋)。</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AC1-39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EC校准液</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#1.EC值标定校正缓冲液，718,50ml。</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AC1-40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PH校准液三瓶</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#1.pH标定校正缓冲液，4.00/6.86/9.18各50ml。</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82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室外种植园地</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AC2-01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菠萝塔水培架</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#1.采用ABS材料厚度≥2mm无土立体栽培育苗；一共十层，每层有八个孔位，每层可种植八个植物；底部水箱容水量≥30L;内部自带喷水管，接水槽，水泵；</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AC2-02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错层立体水培架</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#1.采用不锈钢材质焊接框架规格：≥400cm*200cm，主材厚度≥2mm；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#2.一共三层，每层有十二个孔位，每层可种植十二个植物；底部用膨胀螺丝固定;内部自带喷水管，接水槽，水泵；最大承重≥400KG。</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AC2-03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矩阵立体架</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#1.采用不锈钢材质焊接框架规格：≥600cm*300cm*120cm主材厚度≥2mm；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#2.一共五层，每层有二十个孔位，每层可种植二十个植物；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#3.底部用膨胀螺丝固定;内部自带喷水管，接水槽，水泵；最大承重≥600KG。</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ectPr>
          <w:footnotePr/>
          <w:endnotePr/>
          <w:type w:val="nextPage"/>
          <w:pgSz w:w="11906" w:h="16838" w:orient="portrait"/>
          <w:pgMar w:top="1440" w:right="1080" w:bottom="1440" w:left="1080" w:header="851" w:footer="992" w:gutter="0"/>
          <w:cols w:num="1" w:sep="0" w:space="720" w:equalWidth="1"/>
          <w:docGrid w:linePitch="360"/>
        </w:sect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bl>
      <w:tblPr>
        <w:tblStyle w:val="701"/>
        <w:tblW w:w="1030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73"/>
        <w:gridCol w:w="1365"/>
        <w:gridCol w:w="6460"/>
        <w:gridCol w:w="765"/>
        <w:gridCol w:w="742"/>
      </w:tblGrid>
      <w:tr>
        <w:trPr>
          <w:trHeight w:val="567" w:hRule="exact"/>
        </w:trPr>
        <w:tc>
          <w:tcPr>
            <w:gridSpan w:val="5"/>
            <w:tcBorders>
              <w:top w:val="single" w:color="000000" w:sz="4" w:space="0"/>
              <w:left w:val="single" w:color="000000" w:sz="4" w:space="0"/>
              <w:bottom w:val="single" w:color="000000" w:sz="4" w:space="0"/>
              <w:right w:val="single" w:color="000000" w:sz="4" w:space="0"/>
            </w:tcBorders>
            <w:tcW w:w="10305" w:type="dxa"/>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AD-4K精品录播系统</w:t>
            </w:r>
            <w:r/>
          </w:p>
        </w:tc>
      </w:tr>
      <w:tr>
        <w:trPr>
          <w:trHeight w:val="454" w:hRule="exact"/>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97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AD1-01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4K录播一体机</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主机采用一体化嵌入式硬件设计架构，内置不低于国产化八核处理器、≥8GB内存，≥2T硬盘，主机具有≥6英寸触控液晶屏幕，可显示设备运行状态等信息，可通过触控方式设置设备基础信息。满足录制、直播、点播、互动、导播管理、存储、切换、视音频编码、语音转写、虚拟抠像、行为分析等功能，支持远程互动教学，实现远程互动网络课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.视频输出接口：≥2路HDMI接口。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.音频接口：为保证教室内音频采集，支持≥2路本地音频信号采集接口；</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.支持双网卡，支持局域网（网络摄像机等设备的接入）和互联网彼此隔离，独立工作，互不影响。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.支持≥2路USB 3.0接口，下载；支持≥1路TYPE-C接口。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6</w:t>
            </w:r>
            <w:r>
              <w:rPr>
                <w:rFonts w:hint="eastAsia" w:ascii="宋体" w:hAnsi="宋体" w:eastAsia="宋体" w:cs="宋体"/>
                <w:i w:val="0"/>
                <w:iCs w:val="0"/>
                <w:color w:val="auto"/>
                <w:sz w:val="21"/>
                <w:szCs w:val="21"/>
                <w:highlight w:val="none"/>
                <w:u w:val="none"/>
                <w:lang w:val="en-US" w:eastAsia="zh-CN" w:bidi="ar"/>
              </w:rPr>
              <w:t xml:space="preserve">.可支持对接第三方中控、物联等可编程软件，实现对设备的管控。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7</w:t>
            </w:r>
            <w:r>
              <w:rPr>
                <w:rFonts w:hint="eastAsia" w:ascii="宋体" w:hAnsi="宋体" w:eastAsia="宋体" w:cs="宋体"/>
                <w:i w:val="0"/>
                <w:iCs w:val="0"/>
                <w:color w:val="auto"/>
                <w:sz w:val="21"/>
                <w:szCs w:val="21"/>
                <w:highlight w:val="none"/>
                <w:u w:val="none"/>
                <w:lang w:val="en-US" w:eastAsia="zh-CN" w:bidi="ar"/>
              </w:rPr>
              <w:t xml:space="preserve">.视频编码：支持</w:t>
            </w:r>
            <w:r>
              <w:rPr>
                <w:rFonts w:hint="eastAsia" w:ascii="宋体" w:hAnsi="宋体" w:cs="宋体"/>
                <w:i w:val="0"/>
                <w:iCs w:val="0"/>
                <w:strike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种视频编码协议，实现更高效率和更</w:t>
            </w:r>
            <w:r>
              <w:rPr>
                <w:rFonts w:hint="eastAsia" w:ascii="宋体" w:hAnsi="宋体" w:cs="宋体"/>
                <w:i w:val="0"/>
                <w:iCs w:val="0"/>
                <w:color w:val="auto"/>
                <w:sz w:val="21"/>
                <w:szCs w:val="21"/>
                <w:highlight w:val="none"/>
                <w:u w:val="none"/>
                <w:lang w:val="en-US" w:eastAsia="zh-CN" w:bidi="ar"/>
              </w:rPr>
              <w:t xml:space="preserve">高质量</w:t>
            </w:r>
            <w:r>
              <w:rPr>
                <w:rFonts w:hint="eastAsia" w:ascii="宋体" w:hAnsi="宋体" w:eastAsia="宋体" w:cs="宋体"/>
                <w:i w:val="0"/>
                <w:iCs w:val="0"/>
                <w:color w:val="auto"/>
                <w:sz w:val="21"/>
                <w:szCs w:val="21"/>
                <w:highlight w:val="none"/>
                <w:u w:val="none"/>
                <w:lang w:val="en-US" w:eastAsia="zh-CN" w:bidi="ar"/>
              </w:rPr>
              <w:t xml:space="preserve">的编码技术，支持4K分辨率（3840*2160）视频的编码和录制。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8</w:t>
            </w:r>
            <w:r>
              <w:rPr>
                <w:rFonts w:hint="eastAsia" w:ascii="宋体" w:hAnsi="宋体" w:eastAsia="宋体" w:cs="宋体"/>
                <w:i w:val="0"/>
                <w:iCs w:val="0"/>
                <w:color w:val="auto"/>
                <w:sz w:val="21"/>
                <w:szCs w:val="21"/>
                <w:highlight w:val="none"/>
                <w:u w:val="none"/>
                <w:lang w:val="en-US" w:eastAsia="zh-CN" w:bidi="ar"/>
              </w:rPr>
              <w:t xml:space="preserve">.要求支持IPV4、IPV6链路地址、IPV6外网地址三个网络地址配置，支持启用DHCP自动获取IP地址。</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7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AD1-02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4K高清录播系统</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#1.要求系统支持账号密码登录。录制模式支持电影模式、资源模式两种，能同时支持1路电影模式</w:t>
            </w:r>
            <w:r>
              <w:rPr>
                <w:rFonts w:hint="eastAsia" w:ascii="宋体" w:hAnsi="宋体" w:cs="宋体"/>
                <w:i w:val="0"/>
                <w:iCs w:val="0"/>
                <w:color w:val="auto"/>
                <w:sz w:val="21"/>
                <w:szCs w:val="21"/>
                <w:highlight w:val="none"/>
                <w:u w:val="none"/>
                <w:lang w:val="en-US" w:eastAsia="zh-CN" w:bidi="ar"/>
              </w:rPr>
              <w:t xml:space="preserve">和</w:t>
            </w:r>
            <w:r>
              <w:rPr>
                <w:rFonts w:hint="eastAsia" w:ascii="宋体" w:hAnsi="宋体" w:eastAsia="宋体" w:cs="宋体"/>
                <w:i w:val="0"/>
                <w:iCs w:val="0"/>
                <w:color w:val="auto"/>
                <w:sz w:val="21"/>
                <w:szCs w:val="21"/>
                <w:highlight w:val="none"/>
                <w:u w:val="none"/>
                <w:lang w:val="en-US" w:eastAsia="zh-CN" w:bidi="ar"/>
              </w:rPr>
              <w:t xml:space="preserve">≥6路资源备份，可同时录制合成画面、教师全景、教师特写、学生全景、学生特写、板书画面、电脑画面；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#2.要求录制格式支持MP4/TS/FLV，录制分辨率支持3840*2160、1920*1080、1280*720、720*480等，支持录制帧率设定，可选择25fps/30fps。码流支持1000-40000kbps可选。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#3.硬盘使用情况，≥6路预监画面；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#4.导播模式支持视频预览、直播输出监视、视频切换等功能，其中鼠标拖动视频切换时支持导播小画面定位跟随；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#5.支持添加字幕，支持包括系统时间在内的不少于九种预设字幕的设置，其中系统时间支持自动校准。可直接通过拖拽实现自定义字幕显示位置。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#6.支持导播模式设置：支持手动、半自动、全自动模式，支持查看软件版本，设备型号，硬件版本，设备编号；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#7.提供多种画面布局模式，支持视频画面叠加与组合，包括单画面、双分屏画面、三分屏画面、四分屏画面显示，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#8.支持≥4种片头和≥4种片尾的添加，可以设置插入片头片尾的时间，支持jpg、png格式；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#9.台标支持≥4个固定位置，分别为左上、右上、左下、右下，支持手动拖拽移动台标，实现界面任意位置的台标设置。支持设定图片台标，支持jpg、png格式；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#10.支持上滑、下滑、左滑、右滑等多种切换特效，支持自定义选择≥8种特效切换速度；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#11.系统支持摄像机云台控制，可以对摄像机进行变焦、上下左右位置调整以及≥8个预置位的设置，整个过程支持鼠标操作；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#12.系统可以进行音量设置，可以采用鼠标拖动方式控制设备输入输出的音量大小；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#13.系统支持录制倒计时和循环记录功能，在硬盘存储空间为0时，仍可进行录制，将最早录制的视频文件删除，支持录制到U盘。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#14.所录制的视频文件既可存储在本地硬盘，也支持通过FTP上传至平台，同时支持用户随时通过录播主机点播回放视频，并可使用移动磁盘或硬盘拷贝下载；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#15.系统支持录制单个文件和限时自动分割录制功能，可选择多种自动分割时长；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#16.支持虚拟抠像功能，支持≥5路摄像机信号的虚拟抠像处理，支持手动调整前景、人像大小以及位置，抠像功能；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#17.内置微课制作功能，支持不少于前景、人像、背景3层场景叠加，叠加的场景支持虚拟抠像后的人像、PPT、视频、图片等类型。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#18.支持虚拟抠像后合成的画面实现和远端进行音视频互动；</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19</w:t>
            </w:r>
            <w:r>
              <w:rPr>
                <w:rFonts w:hint="eastAsia" w:ascii="宋体" w:hAnsi="宋体" w:eastAsia="宋体" w:cs="宋体"/>
                <w:i w:val="0"/>
                <w:iCs w:val="0"/>
                <w:color w:val="auto"/>
                <w:sz w:val="21"/>
                <w:szCs w:val="21"/>
                <w:highlight w:val="none"/>
                <w:u w:val="none"/>
                <w:lang w:val="en-US" w:eastAsia="zh-CN" w:bidi="ar"/>
              </w:rPr>
              <w:t xml:space="preserve">.内置互动系统，支持标准SIP和H.323互动协议，支持互动列表，列表中可以显示所有与会者的信息；支持互动画面布局的显示，布局支持单分屏，双分屏，四分屏显示。互动界面支持双流、一键静音、全屏、导播设置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20</w:t>
            </w:r>
            <w:r>
              <w:rPr>
                <w:rFonts w:hint="eastAsia" w:ascii="宋体" w:hAnsi="宋体" w:eastAsia="宋体" w:cs="宋体"/>
                <w:i w:val="0"/>
                <w:iCs w:val="0"/>
                <w:color w:val="auto"/>
                <w:sz w:val="21"/>
                <w:szCs w:val="21"/>
                <w:highlight w:val="none"/>
                <w:u w:val="none"/>
                <w:lang w:val="en-US" w:eastAsia="zh-CN" w:bidi="ar"/>
              </w:rPr>
              <w:t xml:space="preserve">.可输入房间号快速加入远程互动，并显示对应的课程信息，包括时长、主讲人、房间名称、房间号、丢包率、网络延时等；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 w:bidi="ar"/>
              </w:rPr>
              <w:t xml:space="preserve">1</w:t>
            </w:r>
            <w:r>
              <w:rPr>
                <w:rFonts w:hint="eastAsia" w:ascii="宋体" w:hAnsi="宋体" w:eastAsia="宋体" w:cs="宋体"/>
                <w:i w:val="0"/>
                <w:iCs w:val="0"/>
                <w:color w:val="auto"/>
                <w:sz w:val="21"/>
                <w:szCs w:val="21"/>
                <w:highlight w:val="none"/>
                <w:u w:val="none"/>
                <w:lang w:val="en-US" w:eastAsia="zh-CN" w:bidi="ar"/>
              </w:rPr>
              <w:t xml:space="preserve">.创建房间时支持对主题、主讲人、开始日期、开始时间和结束时间、验证方式的设置，其中验证方式支持公开和加密的选择。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.支持对每个互动房间自动分配短号，可以通过短号直接实现多个设备间的互动；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2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AD1-03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智能分析主机</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w:t>
            </w:r>
            <w:r>
              <w:rPr>
                <w:rFonts w:hint="eastAsia" w:ascii="宋体" w:hAnsi="宋体" w:eastAsia="宋体" w:cs="宋体"/>
                <w:i w:val="0"/>
                <w:iCs w:val="0"/>
                <w:color w:val="auto"/>
                <w:sz w:val="21"/>
                <w:szCs w:val="21"/>
                <w:highlight w:val="none"/>
                <w:u w:val="none"/>
                <w:lang w:val="en-US" w:eastAsia="zh-CN" w:bidi="ar"/>
              </w:rPr>
              <w:t xml:space="preserve">.要求主机采用不大于DC12V安全电压供电，低功耗无风扇设计,工作噪音≤21db(A)。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.要求采用嵌入式架构，内置智能芯片，支持AI图像跟踪技术，能够达到5TOPS标准或以上的算力。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.集教师跟踪、学生定位、板书定位、学生巡视等导播切换策略于一体；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.要求具备≥4路USB接口，支持接入I/O设备，要求具备≥1路HDMI OUT；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.要求具备≥1路LAN网络接口，支持网络传输高清视频，对云台摄像机、录播设备的控制采用网络通讯；</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3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AD1-04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图像跟踪系统</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#1.要求支持智能图像分析，结合具体的场景能够实现多个活动过程的跟踪识别，并对现场视频图像进行分析，实现常态化教学下的老师、学生多人跟踪识别；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#2.可快速设定教学有效区域的，光线、场景完全自适应，无论人的正面和侧面都会被准确识别，并能够通过后台查看到多人识别效果。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#3.要求具备身高自适应功能，无论老师、学生挥手，左右晃动，前后仰俯晃动等都不会被误判；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#4.要求具备较强的抗干扰能力，图像识别系统不受外在环境影响；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#5.要求系统结构设计合理，设置简单，可以实现全自动跟踪识别；支持实时定位；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#6.要求系统支持web界面访问，支持预览视频分析状态，可远程操控图像跟踪系统；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#7.要求系统支持摄像机自动跟踪，摄像机自动定位学生起立和教师移动；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#8.要求系统支持区域聚焦功能，可通过浏览器在监视画面框选出聚焦区域，以该区域作为聚焦参考区域。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9</w:t>
            </w:r>
            <w:r>
              <w:rPr>
                <w:rFonts w:hint="eastAsia" w:ascii="宋体" w:hAnsi="宋体" w:eastAsia="宋体" w:cs="宋体"/>
                <w:i w:val="0"/>
                <w:iCs w:val="0"/>
                <w:color w:val="auto"/>
                <w:sz w:val="21"/>
                <w:szCs w:val="21"/>
                <w:highlight w:val="none"/>
                <w:u w:val="none"/>
                <w:lang w:val="en-US" w:eastAsia="zh-CN" w:bidi="ar"/>
              </w:rPr>
              <w:t xml:space="preserve">.要求系统具备跟踪拍摄和切换拍摄两种模式，两种模式之间支持一键切换；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.要求支持手势识别功能，可一键开启此功能。教师可以通过手势控制学生摄像机的拍摄。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1</w:t>
            </w:r>
            <w:r>
              <w:rPr>
                <w:rFonts w:hint="eastAsia" w:ascii="宋体" w:hAnsi="宋体" w:eastAsia="宋体" w:cs="宋体"/>
                <w:i w:val="0"/>
                <w:iCs w:val="0"/>
                <w:color w:val="auto"/>
                <w:sz w:val="21"/>
                <w:szCs w:val="21"/>
                <w:highlight w:val="none"/>
                <w:u w:val="none"/>
                <w:lang w:val="en-US" w:eastAsia="zh-CN" w:bidi="ar"/>
              </w:rPr>
              <w:t xml:space="preserve">.要求系统支持TCP、UDP两种传输协议，可以同时获取≥4路IP视频流进行智能图像分析，可对教师全景、板书全景、学生全景、学生巡视等景位进行设置；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.要求支持两种跟踪模式：伴随式模式、“特写”与“全景”切换跟踪模式；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.具有“模糊防抖”功能，避免人员小幅度活动时引起的摄像机画面抖动现象；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.要求支持学生起立跟踪功能，支持当学生起立时学生特写摄像机跟踪拍摄，支持多个学生起立切换为学生全景拍摄；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.要求系统支持切换规则定制，可以精确调整切换时间，设置云台速度；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6</w:t>
            </w:r>
            <w:r>
              <w:rPr>
                <w:rFonts w:hint="eastAsia" w:ascii="宋体" w:hAnsi="宋体" w:eastAsia="宋体" w:cs="宋体"/>
                <w:i w:val="0"/>
                <w:iCs w:val="0"/>
                <w:color w:val="auto"/>
                <w:sz w:val="21"/>
                <w:szCs w:val="21"/>
                <w:highlight w:val="none"/>
                <w:u w:val="none"/>
                <w:lang w:val="en-US" w:eastAsia="zh-CN" w:bidi="ar"/>
              </w:rPr>
              <w:t xml:space="preserve">.要求系统可设置变焦速度；要求系统可设置跟踪灵敏度。 </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AD1-05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跟踪半球</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#1.传感器类型≥1/2.8英寸CMOS；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#2.像素≥ 200万，最大分辨率≥1920×1080；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最低照度：0.01Lux(彩色模式);0.001Lux(黑白模式);0Lux(补光灯开启)；最大补光距离：50m（红外）；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 视频压缩标准：H.265；H.264；H.264B；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、音频输入：≥1路（RCA头）；音频输出：≥1路（RCA头）；供电方式：DC12V/POE；防护等级：≥IP67。</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6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AD1-06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4K超高清摄像机</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#1.≥850万像素，需支持4K(3840×2160)分辨率，兼容1080P、720P等多种分辨率，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.支持不少于2D、3D数字降噪，图像信噪比≥55dB；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.音频接口：≥1路Line in/Mic in,3.5mm音频接口，需支持 AAC 编码格式，音频采样率≥48KHz；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.视频接口：≥1路HDMI out接口；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.控制接口：≥1路RS232 in,≥1路RS232 out，≥1路RS485，需支持VISCA/Pelco-D/Pelco-P协议；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6</w:t>
            </w:r>
            <w:r>
              <w:rPr>
                <w:rFonts w:hint="eastAsia" w:ascii="宋体" w:hAnsi="宋体" w:eastAsia="宋体" w:cs="宋体"/>
                <w:i w:val="0"/>
                <w:iCs w:val="0"/>
                <w:color w:val="auto"/>
                <w:sz w:val="21"/>
                <w:szCs w:val="21"/>
                <w:highlight w:val="none"/>
                <w:u w:val="none"/>
                <w:lang w:val="en-US" w:eastAsia="zh-CN" w:bidi="ar"/>
              </w:rPr>
              <w:t xml:space="preserve">.网络接口：≥1路RJ45，10M/100M/1000M自适应口，支持POE；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7</w:t>
            </w:r>
            <w:r>
              <w:rPr>
                <w:rFonts w:hint="eastAsia" w:ascii="宋体" w:hAnsi="宋体" w:eastAsia="宋体" w:cs="宋体"/>
                <w:i w:val="0"/>
                <w:iCs w:val="0"/>
                <w:color w:val="auto"/>
                <w:sz w:val="21"/>
                <w:szCs w:val="21"/>
                <w:highlight w:val="none"/>
                <w:u w:val="none"/>
                <w:lang w:val="en-US" w:eastAsia="zh-CN" w:bidi="ar"/>
              </w:rPr>
              <w:t xml:space="preserve">.至少支持TCP/IP、HTTP、RTSP、RTMP/RTMPS、Onvif、DHCP、组播等网络协议等；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8</w:t>
            </w:r>
            <w:r>
              <w:rPr>
                <w:rFonts w:hint="eastAsia" w:ascii="宋体" w:hAnsi="宋体" w:eastAsia="宋体" w:cs="宋体"/>
                <w:i w:val="0"/>
                <w:iCs w:val="0"/>
                <w:color w:val="auto"/>
                <w:sz w:val="21"/>
                <w:szCs w:val="21"/>
                <w:highlight w:val="none"/>
                <w:u w:val="none"/>
                <w:lang w:val="en-US" w:eastAsia="zh-CN" w:bidi="ar"/>
              </w:rPr>
              <w:t xml:space="preserve">.视频制式需支持50Hz/60Hz，编码等级可设置main profile/high profile，视频编码协议至少支持 H.264/H.265/MJPEG等；帧率支持1~30fps；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9</w:t>
            </w:r>
            <w:r>
              <w:rPr>
                <w:rFonts w:hint="eastAsia" w:ascii="宋体" w:hAnsi="宋体" w:eastAsia="宋体" w:cs="宋体"/>
                <w:i w:val="0"/>
                <w:iCs w:val="0"/>
                <w:color w:val="auto"/>
                <w:sz w:val="21"/>
                <w:szCs w:val="21"/>
                <w:highlight w:val="none"/>
                <w:u w:val="none"/>
                <w:lang w:val="en-US" w:eastAsia="zh-CN" w:bidi="ar"/>
              </w:rPr>
              <w:t xml:space="preserve">.需支持≥1路HDbaseT，需集视频、音频、控制及供电一线传输，支持传输4K视频，传输距离至少100 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10</w:t>
            </w:r>
            <w:r>
              <w:rPr>
                <w:rFonts w:hint="eastAsia" w:ascii="宋体" w:hAnsi="宋体" w:eastAsia="宋体" w:cs="宋体"/>
                <w:i w:val="0"/>
                <w:iCs w:val="0"/>
                <w:color w:val="auto"/>
                <w:sz w:val="21"/>
                <w:szCs w:val="21"/>
                <w:highlight w:val="none"/>
                <w:u w:val="none"/>
                <w:lang w:val="en-US" w:eastAsia="zh-CN" w:bidi="ar"/>
              </w:rPr>
              <w:t xml:space="preserve">.至少支持HDMI、网络、HDBaseT等输出方式，实现4K视频的同步输出。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1</w:t>
            </w:r>
            <w:r>
              <w:rPr>
                <w:rFonts w:hint="eastAsia" w:ascii="宋体" w:hAnsi="宋体" w:eastAsia="宋体" w:cs="宋体"/>
                <w:i w:val="0"/>
                <w:iCs w:val="0"/>
                <w:color w:val="auto"/>
                <w:sz w:val="21"/>
                <w:szCs w:val="21"/>
                <w:highlight w:val="none"/>
                <w:u w:val="none"/>
                <w:lang w:val="en-US" w:eastAsia="zh-CN" w:bidi="ar"/>
              </w:rPr>
              <w:t xml:space="preserve">.摄像机配合录播主机可支持人物动作分析。</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AD1-07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指向性话筒</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#1.换能原理：电容式 ；声学类型：压强压差组合 ；指向性：心型单方向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#2.灵敏度：-38dB±3dB 1v/pa 1Khz 2V/2.2KΩ ；频率响应：20—18000</w:t>
            </w:r>
            <w:r>
              <w:rPr>
                <w:rFonts w:hint="eastAsia" w:ascii="宋体" w:hAnsi="宋体" w:cs="宋体"/>
                <w:i w:val="0"/>
                <w:iCs w:val="0"/>
                <w:color w:val="auto"/>
                <w:sz w:val="21"/>
                <w:szCs w:val="21"/>
                <w:highlight w:val="none"/>
                <w:u w:val="none"/>
                <w:lang w:val="en-US" w:eastAsia="zh-CN" w:bidi="ar"/>
              </w:rPr>
              <w:t xml:space="preserve">Hz</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#3.最大声压级：≥120 dB(谐波失真不超过1%) ；工作电压：≤48V 。</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49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AD1-08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数字音频矩阵</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#1.信号处理：要求主机采用≥4核高速DSP处理芯片，64bit处理内核，主频≥1GHz，信号处理延时≤8ms；支持48KHz采样率；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#2.音频输入/输出：≥16路音频通道输入，≥16路音频通道输出；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#3.麦克风输入：≥8路48V幻象供电的麦克风输入，幻象供电可软件开关；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#4.模拟音频输入：≥6路差分信号输入；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#5.模拟音频输出：≥10路差分信号输出；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#6.增益调节：支持麦克风ADC增益0到35dB可调；支持DAC输出增益0到127等级可调；支持噪声抑制有0到18等级可调，混响抑制0到4级可调，扩声还原度0到10级可调；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#7.回声消除（AEC）：回音消除尾音长度：≥512ms，回声消除幅度：≥60dB, AEC有≥16等级可调，AEC延迟值4-255ms；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#8.反馈抑制（AFC）：反馈抑制效果器支持控制开关，并且支持≥16段自适应频率滤波器；反馈抑制频率可手动调整；反馈抑制效果器可有效提升传声增益幅度：≥15dB；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#9.自动增益控制（AGC）：增益控制幅度-24dB到24dB可调，并可开关自动增益控制功能；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#10.AI智能降噪（ANS）：内置AI智能降噪算法，有效降低和滤除教室内常见稳态噪声，同时还可有效降低和滤除教室内瞬态噪声，最大噪声抑制幅度≥36dB；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#11.设备调音：主机软件可根据现场需求，分别支持反馈抑制调音、手持麦扩声调音和AEC调音功能；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一键调音：设备机身和调试软件均支持一键AI自适应声场调音。调音时，主机操作音箱自行发出调试声音，并在参数调试完成后自行结束调试。调试后，观察主机软件，可正确显示房间内吊麦及音箱数量，并明确显示调音成功或调音失败。</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AD1-09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无线话筒</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#1.一拖二U段无线麦克风，至少一手持一腰包麦克。</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9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AD1-10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功放</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#1.支持≥2组音源输入，≥2路话筒输入，支持≥1组前置录音输出及A、B组功率输出；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#2.设备应具有设置反馈、混响功能，支持独立调节话筒、线路的音量；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#3.应具有话筒中控接口，话筒接口需支持6V幻像直流电源；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#4.额定功率：不低于2×60W/8Ω 立体声；频率响应：不低于20Hz-20KHz +1/-3dB ；失真度：≤0.5%；信噪比（话筒关闭、音调平直）：≥80dB；额定电源电压：交流220V /50Hz。</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AD1-11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#1.额定/峰值功率：≥60W/120W；额定阻抗：≥8Ω；特性灵敏度：≥88dB /w/m ；连续声压级：≥113dB；最大声压级：≥120dB。</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43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AD1-12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智慧讲桌</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#1.讲桌需采用≥1.2mm冷轧钢板桌体，具备防火特性，正面中部受到冲击力时不会倾倒；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#2.桌面需采用抗倍特板材质，具备防水、耐撞击性、耐磨、防火、耐烟灼、防静电，稳定性强、平整又不易变形、无毒无害、绿色环保等特性；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#3.讲桌尺寸：长度≥1200mm、宽度≥650mm、高度≥1020mm，根据人体力学设计，讲台桌面高度合适老师放置教学用品，兼顾站立教学或者坐着操作电脑；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#4.桌面内置≥23英寸电容触控屏，并支持至少10点同时触摸；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#5.电容触控屏具备单独的开关按键，显示屏接口类型为VGA，HDMI，屏幕分辨率支持≥1920×1080像素，屏幕融合在讲台中，无突出边角，无法在没有工具的情况下拆除；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#6.电容触控屏支持同步显示并能操控交互智能平板的画面，与桌面呈至少25°角，以最佳视角显示教学内容，教师正面授课，录像效果好，提高教学效率；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#7.讲桌桌面内置弹射式接口面板，支持≥1个HDMI接口、≥1个VGA接口、≥1个USB口、≥1个网络接口、≥1个音频接口等，不使用时，可按下与桌面平齐，避免受到撞击，支持笔记本电脑接入；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#8.支持外接PC电脑，可以将PC电脑内容显示在主屏上，支持≥1路HDMI OUT输出，可外接投影、显示器等多媒体设备；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#9.讲桌柜体左侧预留电脑主机观察窗口，无需打开柜体的情况下也能正常开关电脑主机；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#10.讲台具有≥2个220V五口电源接口；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#11.讲桌需具有键盘抽屉，可放置黑板擦、书写笔、键盘和鼠标等，抽屉内预留≥4路USB快速充电接口；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#12.柜体下方设置设备安装机柜，高度≥10U；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#13.要求柜体下方预留多处散热孔，可以有效保证讲桌内设备的热量及时散出；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#14.要求讲桌支持安装地脚，选配增高底座，预留增高底座安装孔位。</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AD1-13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学生课桌</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长1500*宽750*高800mm；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#2.桌面材料:≥25mm高密复合材料，具有、防油、防水、防腐蚀性能；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#3.桌架材料：桌架均采用≥1.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mm冷轧钢焊接而成，加宽桌腿≥80*40mm,表面喷塑具有防锈、防水等；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#4.抽屉材料：抽屉面板双层≥1.0mm，其余均为正≥1.0mm裸板，喷塑后≥1.2mm，表面经过打磨、磷化、喷塑、高温烘烤而成。</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AD1-14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学生课椅</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#1.尺寸：约8</w:t>
            </w:r>
            <w:r>
              <w:rPr>
                <w:rFonts w:hint="eastAsia" w:ascii="宋体" w:hAnsi="宋体" w:cs="宋体"/>
                <w:i w:val="0"/>
                <w:iCs w:val="0"/>
                <w:color w:val="auto"/>
                <w:sz w:val="21"/>
                <w:szCs w:val="21"/>
                <w:highlight w:val="none"/>
                <w:u w:val="none"/>
                <w:lang w:val="en-US" w:eastAsia="zh-CN" w:bidi="ar"/>
              </w:rPr>
              <w:t xml:space="preserve">5mm</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0mm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45mm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#2.椅背：采用尼龙透气网背；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#3.座垫：采用高密度、慢回弹的阻燃</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，拉伸强度≥100KPa,表观密度≥35kg/m³，回弹率≥55%，撕裂强度≥2.5N/cm；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#4.椅面：采用不助燃布料；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#5.塑料背框：采用PP</w:t>
            </w:r>
            <w:r>
              <w:rPr>
                <w:rFonts w:hint="eastAsia" w:ascii="宋体" w:hAnsi="宋体" w:cs="宋体"/>
                <w:i w:val="0"/>
                <w:iCs w:val="0"/>
                <w:color w:val="auto"/>
                <w:sz w:val="21"/>
                <w:szCs w:val="21"/>
                <w:highlight w:val="none"/>
                <w:u w:val="none"/>
                <w:lang w:val="en-US" w:eastAsia="zh-CN" w:bidi="ar"/>
              </w:rPr>
              <w:t xml:space="preserve">塑料膜</w:t>
            </w:r>
            <w:r>
              <w:rPr>
                <w:rFonts w:hint="eastAsia" w:ascii="宋体" w:hAnsi="宋体" w:eastAsia="宋体" w:cs="宋体"/>
                <w:i w:val="0"/>
                <w:iCs w:val="0"/>
                <w:color w:val="auto"/>
                <w:sz w:val="21"/>
                <w:szCs w:val="21"/>
                <w:highlight w:val="none"/>
                <w:u w:val="none"/>
                <w:lang w:val="en-US" w:eastAsia="zh-CN" w:bidi="ar"/>
              </w:rPr>
              <w:t xml:space="preserve">出样，环保，不易脆裂。</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AD1-15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智能中控屏</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#1.采用≥10</w:t>
            </w:r>
            <w:r>
              <w:rPr>
                <w:rFonts w:hint="eastAsia" w:ascii="宋体" w:hAnsi="宋体" w:cs="宋体"/>
                <w:i w:val="0"/>
                <w:iCs w:val="0"/>
                <w:color w:val="auto"/>
                <w:sz w:val="21"/>
                <w:szCs w:val="21"/>
                <w:highlight w:val="none"/>
                <w:u w:val="none"/>
                <w:lang w:val="en-US" w:eastAsia="zh-CN" w:bidi="ar"/>
              </w:rPr>
              <w:t xml:space="preserve">寸</w:t>
            </w:r>
            <w:r>
              <w:rPr>
                <w:rFonts w:hint="eastAsia" w:ascii="宋体" w:hAnsi="宋体" w:eastAsia="宋体" w:cs="宋体"/>
                <w:i w:val="0"/>
                <w:iCs w:val="0"/>
                <w:color w:val="auto"/>
                <w:sz w:val="21"/>
                <w:szCs w:val="21"/>
                <w:highlight w:val="none"/>
                <w:u w:val="none"/>
                <w:lang w:val="en-US" w:eastAsia="zh-CN" w:bidi="ar"/>
              </w:rPr>
              <w:t xml:space="preserve">触控屏幕，分辨率不低于1920×1080；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#2.不少于1个RS-232接口，1个USB接口，1个网络接口，1个HDMI接口；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#3.需支持控制录播系统，至少包括录制、暂停、停止、开启互动等功能。</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103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观摩间</w:t>
            </w:r>
            <w:r/>
          </w:p>
        </w:tc>
      </w:tr>
      <w:tr>
        <w:trPr>
          <w:trHeight w:val="17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AD2-01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导播键盘</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#1.设备需支持网络控制方式，具有独立的IP地址；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#2.需采用变速四维摇杆进行控制，扭动摇杆可控制云台摄像机转动，镜头变焦放大缩小；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#3.预置位要求对应录播设备的预置位功能，可调用录播设备的预置位，也可通过键盘设置预置位，先点击预置按钮，</w:t>
            </w:r>
            <w:r>
              <w:rPr>
                <w:rFonts w:hint="eastAsia" w:ascii="宋体" w:hAnsi="宋体" w:cs="宋体"/>
                <w:i w:val="0"/>
                <w:iCs w:val="0"/>
                <w:color w:val="auto"/>
                <w:sz w:val="21"/>
                <w:szCs w:val="21"/>
                <w:highlight w:val="none"/>
                <w:u w:val="none"/>
                <w:lang w:val="en-US" w:eastAsia="zh-CN" w:bidi="ar"/>
              </w:rPr>
              <w:t xml:space="preserve">再</w:t>
            </w:r>
            <w:r>
              <w:rPr>
                <w:rFonts w:hint="eastAsia" w:ascii="宋体" w:hAnsi="宋体" w:eastAsia="宋体" w:cs="宋体"/>
                <w:i w:val="0"/>
                <w:iCs w:val="0"/>
                <w:color w:val="auto"/>
                <w:sz w:val="21"/>
                <w:szCs w:val="21"/>
                <w:highlight w:val="none"/>
                <w:u w:val="none"/>
                <w:lang w:val="en-US" w:eastAsia="zh-CN" w:bidi="ar"/>
              </w:rPr>
              <w:t xml:space="preserve">通过右上角摇杆，选择合适的画面，</w:t>
            </w:r>
            <w:r>
              <w:rPr>
                <w:rFonts w:hint="eastAsia" w:ascii="宋体" w:hAnsi="宋体" w:cs="宋体"/>
                <w:i w:val="0"/>
                <w:iCs w:val="0"/>
                <w:color w:val="auto"/>
                <w:sz w:val="21"/>
                <w:szCs w:val="21"/>
                <w:highlight w:val="none"/>
                <w:u w:val="none"/>
                <w:lang w:val="en-US" w:eastAsia="zh-CN" w:bidi="ar"/>
              </w:rPr>
              <w:t xml:space="preserve">再</w:t>
            </w:r>
            <w:r>
              <w:rPr>
                <w:rFonts w:hint="eastAsia" w:ascii="宋体" w:hAnsi="宋体" w:eastAsia="宋体" w:cs="宋体"/>
                <w:i w:val="0"/>
                <w:iCs w:val="0"/>
                <w:color w:val="auto"/>
                <w:sz w:val="21"/>
                <w:szCs w:val="21"/>
                <w:highlight w:val="none"/>
                <w:u w:val="none"/>
                <w:lang w:val="en-US" w:eastAsia="zh-CN" w:bidi="ar"/>
              </w:rPr>
              <w:t xml:space="preserve">点击预置位数字即可设置成功；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#4.需采用自主设计的旋钮功能，具有无极调速功能，可实现云台速度、变倍速度调节；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#5.需支持IE浏览器添加前端设备；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#6.需支持添加至少6路摄像机ip\端口号；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#7.预置位按键≥9，每路摄像机至少添加9个预置位。</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AD2-02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声纹识别反馈抑制器</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#1.输入阻抗20KΩ，输出阻抗100Ω；最大功耗：≤50 VA。</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AD2-03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时序电源控制器</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#1.整机最大电流：≥15A；单路最大电流：≥13A；继电器最大电流：≥30A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#2.输出路数：≥8路受控，2路直通；USB输出：不小于5V1A；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#3.显示方式：≥2.4吋显示屏；通讯方式：支持RS232、网口；级联数：≥255台；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92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AD2-04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资源管理平台应用系统</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#1.平台支持多级部署应用，以满足区域教育资源的共建共享和校本资源建设与管理。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#2.采用B/S架构设计，支持IE、360等浏览器访问，方便用户进行使用管理。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#3.首页以模块的方式展示：直播活动、课程资源、教研活动等子模块，支持通过跳转入口快速进入相关功能模块；支持后台配置相应模块的开启或关闭，支持自定义平台名称、平台LOGO。</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#4.首页具有快速导航栏，方便用户快速跳转至相关功能模块，支持自定义导航栏名称、顺序等，支持创建二级导航菜单。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#5.公告发布与管理：首页新闻公告栏可直观展示学校通知、直播活动、行政公告、教育新闻等信息，通过滚动播报的方式支持预编辑公告内容，支持自定义公告类型，支持标题检索。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#6.用户管理：平台支持通过手机号、微信扫码进行注册，注册完成后可以通过账号密码、微信扫码和手机验证码等方式进行登录。支持根据不同的角色分配相应权限。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#7.设备管理：支持把录播设备接入平台，实现自动转码、视频存储，并具备直播和点播功能。支持录播设备管理功能，可远程预览录播画面、设备信息查看、设备状态监测、数量统计等。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#8.自动转码功能：支持视频下载、上传、编辑、管理。可实现所有主流视频文件格式自动转码，包括asf、mpg、rmvb、mov、rm、avi、3gp、wmv、flv、mp4等，可设置下载及观看权限。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#9.后台管理：支持查看存储空间使用情况，支持课程永久权限开启/关闭，支持个性化设置脚链。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.强制播放：支持强制设置播放源，用户点击任意视频均强制播放指定视频源，便于学校进行统一播放和管理。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.支持个人信息查看，在线修改密码，上传个性化头像。</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11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AD2-05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督导巡课平台应用系统</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numPr>
                <w:ilvl w:val="0"/>
                <w:numId w:val="5"/>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基础功能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#1.系统架构：无需安装客户端，支持IE、360等浏览器直接访问使用。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#2.用户管理：支持通过账号密码、微信扫码和手机验证码等方式进行登录，支持查看用户督导/巡课权限，支持重置用户账号密码。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#3.角色管理：支持对所有账号细分化管控，至少支持校外专家、校级督导员、学院督导员、教师等身份访问，同时支持编辑不同角色督导员的巡课范围及相应功能权限。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督导组管理：支持对督导组的建设和管理，方便学校开展教学督导工作，可根据督导需要自由分配督导组长、督导员等；支持对用户（督导员）分群组、分配组内成员的实时巡课权限、督导院系权限用以开展巡课督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#5.评价模板：支持根据课程需求，自定义督导评课指标，</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包括教学内容、教学方法、教学态度、教学效果等，并应用至巡课督导环节中；支持多种类型的评价方式（至少包括单选、多选、打分、打星、文字输入等）；支持管理员设置多套督导评课模板，并将不同评课模板赋予不同督导员群组，以开展针对性督导评价；支持多名督导员用同一评课模板对同一名教师开展督导评价、打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#6.督导计划：支持管理员发布督导计划任务，以列表等形式展示各任务的名称、督导人员、发布时间和督导任务的整体进度等，可以直观地呈现出督导任务的相关信息和完成进度。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7</w:t>
            </w:r>
            <w:r>
              <w:rPr>
                <w:rFonts w:hint="eastAsia" w:ascii="宋体" w:hAnsi="宋体" w:eastAsia="宋体" w:cs="宋体"/>
                <w:i w:val="0"/>
                <w:iCs w:val="0"/>
                <w:color w:val="auto"/>
                <w:sz w:val="21"/>
                <w:szCs w:val="21"/>
                <w:highlight w:val="none"/>
                <w:u w:val="none"/>
                <w:lang w:val="en-US" w:eastAsia="zh-CN" w:bidi="ar"/>
              </w:rPr>
              <w:t xml:space="preserve">.支持按学科指派、按教师指派听评课任务，纳入督导的评课计划，支持督导员自由听课。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8</w:t>
            </w:r>
            <w:r>
              <w:rPr>
                <w:rFonts w:hint="eastAsia" w:ascii="宋体" w:hAnsi="宋体" w:eastAsia="宋体" w:cs="宋体"/>
                <w:i w:val="0"/>
                <w:iCs w:val="0"/>
                <w:color w:val="auto"/>
                <w:sz w:val="21"/>
                <w:szCs w:val="21"/>
                <w:highlight w:val="none"/>
                <w:u w:val="none"/>
                <w:lang w:val="en-US" w:eastAsia="zh-CN" w:bidi="ar"/>
              </w:rPr>
              <w:t xml:space="preserve">.实时巡课：支持督导员实时观看教室内的教学过程，进行巡课督导，提供包含但不限于教室巡课、班级巡课、督导组巡课等多种实时巡课模式。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9</w:t>
            </w:r>
            <w:r>
              <w:rPr>
                <w:rFonts w:hint="eastAsia" w:ascii="宋体" w:hAnsi="宋体" w:eastAsia="宋体" w:cs="宋体"/>
                <w:i w:val="0"/>
                <w:iCs w:val="0"/>
                <w:color w:val="auto"/>
                <w:sz w:val="21"/>
                <w:szCs w:val="21"/>
                <w:highlight w:val="none"/>
                <w:u w:val="none"/>
                <w:lang w:val="en-US" w:eastAsia="zh-CN" w:bidi="ar"/>
              </w:rPr>
              <w:t xml:space="preserve">.自动</w:t>
            </w:r>
            <w:r>
              <w:rPr>
                <w:rFonts w:hint="eastAsia" w:ascii="宋体" w:hAnsi="宋体" w:cs="宋体"/>
                <w:i w:val="0"/>
                <w:iCs w:val="0"/>
                <w:color w:val="auto"/>
                <w:sz w:val="21"/>
                <w:szCs w:val="21"/>
                <w:highlight w:val="none"/>
                <w:u w:val="none"/>
                <w:lang w:val="en-US" w:eastAsia="zh-CN" w:bidi="ar"/>
              </w:rPr>
              <w:t xml:space="preserve">轮播</w:t>
            </w:r>
            <w:r>
              <w:rPr>
                <w:rFonts w:hint="eastAsia" w:ascii="宋体" w:hAnsi="宋体" w:eastAsia="宋体" w:cs="宋体"/>
                <w:i w:val="0"/>
                <w:iCs w:val="0"/>
                <w:color w:val="auto"/>
                <w:sz w:val="21"/>
                <w:szCs w:val="21"/>
                <w:highlight w:val="none"/>
                <w:u w:val="none"/>
                <w:lang w:val="en-US" w:eastAsia="zh-CN" w:bidi="ar"/>
              </w:rPr>
              <w:t xml:space="preserve">：支持自动轮播教室画面内容，支持自定义轮播频率。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.多画面巡课：巡课时支持至少3种类型的画面分屏模式，用户可自主</w:t>
            </w:r>
            <w:r>
              <w:rPr>
                <w:rFonts w:hint="eastAsia" w:ascii="宋体" w:hAnsi="宋体" w:cs="宋体"/>
                <w:i w:val="0"/>
                <w:iCs w:val="0"/>
                <w:color w:val="auto"/>
                <w:sz w:val="21"/>
                <w:szCs w:val="21"/>
                <w:highlight w:val="none"/>
                <w:u w:val="none"/>
                <w:lang w:val="en-US" w:eastAsia="zh-CN" w:bidi="ar"/>
              </w:rPr>
              <w:t xml:space="preserve">选择</w:t>
            </w:r>
            <w:r>
              <w:rPr>
                <w:rFonts w:hint="eastAsia" w:ascii="宋体" w:hAnsi="宋体" w:eastAsia="宋体" w:cs="宋体"/>
                <w:i w:val="0"/>
                <w:iCs w:val="0"/>
                <w:color w:val="auto"/>
                <w:sz w:val="21"/>
                <w:szCs w:val="21"/>
                <w:highlight w:val="none"/>
                <w:u w:val="none"/>
                <w:lang w:val="en-US" w:eastAsia="zh-CN" w:bidi="ar"/>
              </w:rPr>
              <w:t xml:space="preserve">1分屏、4分屏、9分屏、16分屏查看教室内的教师画面、学生画面、电脑画面、板书画面等；支持通过鼠标拖动切换主画面；支持进入全屏模式；支持点击教室画面快速跳转至巡课详情界面。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1</w:t>
            </w:r>
            <w:r>
              <w:rPr>
                <w:rFonts w:hint="eastAsia" w:ascii="宋体" w:hAnsi="宋体" w:eastAsia="宋体" w:cs="宋体"/>
                <w:i w:val="0"/>
                <w:iCs w:val="0"/>
                <w:color w:val="auto"/>
                <w:sz w:val="21"/>
                <w:szCs w:val="21"/>
                <w:highlight w:val="none"/>
                <w:u w:val="none"/>
                <w:lang w:val="en-US" w:eastAsia="zh-CN" w:bidi="ar"/>
              </w:rPr>
              <w:t xml:space="preserve">.教室巡课：支持通过校区、教学楼的教室分布进行巡课。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.班级巡课：支持通过年级-班级课表中的全部学科进行巡课。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.督导组巡课：支持通过全校已创建的督导组进行巡课，可清晰查看每个督导组巡课情况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.课后巡课：支持督导员针对已录制的课程进行巡课督导，可通过学科进行筛选或进行关键字检索快速定位课程，督导员还可根据学科名称、上课时间、授课教师、班级、评价状态等信息进行有选择的督导。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.课堂信息：支持督导员在进行巡课督导时获取课程信息，包含但不限于学科、班级、授课教师、上课时间等信息。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6</w:t>
            </w:r>
            <w:r>
              <w:rPr>
                <w:rFonts w:hint="eastAsia" w:ascii="宋体" w:hAnsi="宋体" w:eastAsia="宋体" w:cs="宋体"/>
                <w:i w:val="0"/>
                <w:iCs w:val="0"/>
                <w:color w:val="auto"/>
                <w:sz w:val="21"/>
                <w:szCs w:val="21"/>
                <w:highlight w:val="none"/>
                <w:u w:val="none"/>
                <w:lang w:val="en-US" w:eastAsia="zh-CN" w:bidi="ar"/>
              </w:rPr>
              <w:t xml:space="preserve">.评课计划：支持按上课中/待上课/已下课显示督导计划中指定的听评课任务或在自由听课中加入评课计划的学科或教师在课表中邀请听课的学科，可根据上课时间开始评课或移出计划。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7</w:t>
            </w:r>
            <w:r>
              <w:rPr>
                <w:rFonts w:hint="eastAsia" w:ascii="宋体" w:hAnsi="宋体" w:eastAsia="宋体" w:cs="宋体"/>
                <w:i w:val="0"/>
                <w:iCs w:val="0"/>
                <w:color w:val="auto"/>
                <w:sz w:val="21"/>
                <w:szCs w:val="21"/>
                <w:highlight w:val="none"/>
                <w:u w:val="none"/>
                <w:lang w:val="en-US" w:eastAsia="zh-CN" w:bidi="ar"/>
              </w:rPr>
              <w:t xml:space="preserve">.自由听课：支持根据督导组权限范围自由选择所督导院系内的学科进行听评课，可根据上课时间选择加入计划或开始评课或移出计划。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8</w:t>
            </w:r>
            <w:r>
              <w:rPr>
                <w:rFonts w:hint="eastAsia" w:ascii="宋体" w:hAnsi="宋体" w:eastAsia="宋体" w:cs="宋体"/>
                <w:i w:val="0"/>
                <w:iCs w:val="0"/>
                <w:color w:val="auto"/>
                <w:sz w:val="21"/>
                <w:szCs w:val="21"/>
                <w:highlight w:val="none"/>
                <w:u w:val="none"/>
                <w:lang w:val="en-US" w:eastAsia="zh-CN" w:bidi="ar"/>
              </w:rPr>
              <w:t xml:space="preserve">.邀请我听：支持教师邀请听课，被邀请人可同意或拒绝，同意后该课节自动加入被邀请教师的评课计划中。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19</w:t>
            </w:r>
            <w:r>
              <w:rPr>
                <w:rFonts w:hint="eastAsia" w:ascii="宋体" w:hAnsi="宋体" w:eastAsia="宋体" w:cs="宋体"/>
                <w:i w:val="0"/>
                <w:iCs w:val="0"/>
                <w:color w:val="auto"/>
                <w:sz w:val="21"/>
                <w:szCs w:val="21"/>
                <w:highlight w:val="none"/>
                <w:u w:val="none"/>
                <w:lang w:val="en-US" w:eastAsia="zh-CN" w:bidi="ar"/>
              </w:rPr>
              <w:t xml:space="preserve">.临时评课：支持临时活动录制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.督导评价：提供对整个教学过程的督导评价。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 w:bidi="ar"/>
              </w:rPr>
              <w:t xml:space="preserve">1</w:t>
            </w:r>
            <w:r>
              <w:rPr>
                <w:rFonts w:hint="eastAsia" w:ascii="宋体" w:hAnsi="宋体" w:eastAsia="宋体" w:cs="宋体"/>
                <w:i w:val="0"/>
                <w:iCs w:val="0"/>
                <w:color w:val="auto"/>
                <w:sz w:val="21"/>
                <w:szCs w:val="21"/>
                <w:highlight w:val="none"/>
                <w:u w:val="none"/>
                <w:lang w:val="en-US" w:eastAsia="zh-CN" w:bidi="ar"/>
              </w:rPr>
              <w:t xml:space="preserve">.评课记录：支持对督导员的督导评课记录进行自动归档，支持按学期筛选或进行关键字检索。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.评课报告：系统支持自动对督导员的督导评价进行统计分析，并生成对应的课堂教学督导报告。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.巡视记录：支持查看用户巡视教室、巡视时间、巡视时长。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.数据统计：支持课堂评价统计，支持生成课堂报告；</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二、AI分析设置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#1.兼容对接：配套AI分析终端，实现视频数据分析；同时支持与视频资源管理平台无缝对接，可将数据通过平台进行分析结果数据展示。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#2.多维分析：支持多维度课堂分析数据。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#3.支持AI督导预警、提供对课程和教师的督导预警分析，可在实时巡课页面进行查看。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#4.展示模型：支持以秒为颗粒度对教师讲授、师生互动、指导学生、教师提问、书写板书等教学行为进行基于AI功能的全自动伴随式分析</w:t>
            </w:r>
            <w:r>
              <w:rPr>
                <w:rFonts w:hint="eastAsia" w:ascii="宋体" w:hAnsi="宋体" w:cs="宋体"/>
                <w:i w:val="0"/>
                <w:iCs w:val="0"/>
                <w:color w:val="auto"/>
                <w:sz w:val="21"/>
                <w:szCs w:val="21"/>
                <w:highlight w:val="none"/>
                <w:u w:val="none"/>
                <w:lang w:val="en-US" w:eastAsia="zh" w:bidi="ar"/>
              </w:rPr>
              <w:t xml:space="preserve">。</w:t>
            </w:r>
            <w:r/>
          </w:p>
          <w:p>
            <w:pPr>
              <w:numPr>
                <w:ilvl w:val="0"/>
                <w:numId w:val="0"/>
              </w:numPr>
              <w:jc w:val="left"/>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.课堂报告：支持通过AI分析自动生成课堂报告。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三、课堂教情分析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内容包括：</w:t>
            </w:r>
            <w:r>
              <w:rPr>
                <w:rFonts w:hint="eastAsia" w:ascii="宋体" w:hAnsi="宋体" w:eastAsia="宋体" w:cs="宋体"/>
                <w:i w:val="0"/>
                <w:iCs w:val="0"/>
                <w:color w:val="auto"/>
                <w:sz w:val="21"/>
                <w:szCs w:val="21"/>
                <w:highlight w:val="none"/>
                <w:u w:val="none"/>
                <w:lang w:val="en-US" w:eastAsia="zh-CN" w:bidi="ar"/>
              </w:rPr>
              <w:t xml:space="preserve">教学行为分析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支持教学行为分析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师生问答分析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.教师可查看每节课的课堂实录，可根据不同的教学行为时序进行智能打点切片，可自动定位到课堂实录的特定时刻，方便进行快速回顾教学环节。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四、课堂学生分析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内容包括：</w:t>
            </w:r>
            <w:r>
              <w:rPr>
                <w:rFonts w:hint="eastAsia" w:ascii="宋体" w:hAnsi="宋体" w:eastAsia="宋体" w:cs="宋体"/>
                <w:i w:val="0"/>
                <w:iCs w:val="0"/>
                <w:color w:val="auto"/>
                <w:sz w:val="21"/>
                <w:szCs w:val="21"/>
                <w:highlight w:val="none"/>
                <w:u w:val="none"/>
                <w:lang w:val="en-US" w:eastAsia="zh-CN" w:bidi="ar"/>
              </w:rPr>
              <w:t xml:space="preserve">班级出勤率统计</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学生专注度分析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支持学生课堂动作分析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支持学生学习行为占比分析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支持学生课堂表现分析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学生回答情况分析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学生表情分析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学生动作分析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支持对整节课堂实现学生动作和表情的统计分析</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五、语音智能分析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内容包括：</w:t>
            </w:r>
            <w:r>
              <w:rPr>
                <w:rFonts w:hint="eastAsia" w:ascii="宋体" w:hAnsi="宋体" w:eastAsia="宋体" w:cs="宋体"/>
                <w:i w:val="0"/>
                <w:iCs w:val="0"/>
                <w:color w:val="auto"/>
                <w:sz w:val="21"/>
                <w:szCs w:val="21"/>
                <w:highlight w:val="none"/>
                <w:u w:val="none"/>
                <w:lang w:val="en-US" w:eastAsia="zh-CN" w:bidi="ar"/>
              </w:rPr>
              <w:t xml:space="preserve">教师提问情况分析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教师语速分析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课堂语音转写</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课堂问答情况分析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课堂问题类型分析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课堂高频词分析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课堂语气词分析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语音转写回看</w:t>
            </w:r>
            <w:r>
              <w:rPr>
                <w:rFonts w:hint="eastAsia" w:ascii="宋体" w:hAnsi="宋体" w:cs="宋体"/>
                <w:i w:val="0"/>
                <w:iCs w:val="0"/>
                <w:strike w:val="0"/>
                <w:color w:val="auto"/>
                <w:sz w:val="21"/>
                <w:szCs w:val="21"/>
                <w:highlight w:val="none"/>
                <w:u w:val="none"/>
                <w:lang w:val="en-US" w:eastAsia="zh-CN" w:bidi="ar"/>
              </w:rPr>
              <w:t xml:space="preserve">等。</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27"/>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AD2-06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智能行为分析管理平台</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AI教情分析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#1.课堂教学行为分析：系统能自动识别的教师行为；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#2.展示模型：支持以秒为颗粒度对教师讲授、师生互动、指导学生、教师提问、书写板书等教学行为进行分析。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#3.教师巡视分析：支持对教师巡视停留占比情况进行AI分析。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#4.课堂问题汇总：支持对课堂中的问题类型和数量进行AI分析。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#5.学生回答情况分析：支持按照肯定性回答、解释性回答、无回答等维度对学生回答情况进行分析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#6.支持教学行为分析法。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二、AI学情分析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内容包括：</w:t>
            </w:r>
            <w:r>
              <w:rPr>
                <w:rFonts w:hint="eastAsia" w:ascii="宋体" w:hAnsi="宋体" w:eastAsia="宋体" w:cs="宋体"/>
                <w:i w:val="0"/>
                <w:iCs w:val="0"/>
                <w:color w:val="auto"/>
                <w:sz w:val="21"/>
                <w:szCs w:val="21"/>
                <w:highlight w:val="none"/>
                <w:u w:val="none"/>
                <w:lang w:val="en-US" w:eastAsia="zh-CN" w:bidi="ar"/>
              </w:rPr>
              <w:t xml:space="preserve">学生学习分析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学生表情分析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学生动作分析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课堂纪律分析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学生参与度和专注度分析</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ind w:left="0" w:firstLine="0"/>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三、</w:t>
            </w:r>
            <w:r>
              <w:rPr>
                <w:rFonts w:hint="eastAsia" w:ascii="宋体" w:hAnsi="宋体" w:eastAsia="宋体" w:cs="宋体"/>
                <w:i w:val="0"/>
                <w:iCs w:val="0"/>
                <w:color w:val="auto"/>
                <w:sz w:val="21"/>
                <w:szCs w:val="21"/>
                <w:highlight w:val="none"/>
                <w:u w:val="none"/>
                <w:lang w:val="en-US" w:eastAsia="zh-CN" w:bidi="ar"/>
              </w:rPr>
              <w:t xml:space="preserve">语音分析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内容包括：</w:t>
            </w:r>
            <w:r>
              <w:rPr>
                <w:rFonts w:hint="eastAsia" w:ascii="宋体" w:hAnsi="宋体" w:eastAsia="宋体" w:cs="宋体"/>
                <w:i w:val="0"/>
                <w:iCs w:val="0"/>
                <w:color w:val="auto"/>
                <w:sz w:val="21"/>
                <w:szCs w:val="21"/>
                <w:highlight w:val="none"/>
                <w:u w:val="none"/>
                <w:lang w:val="en-US" w:eastAsia="zh-CN" w:bidi="ar"/>
              </w:rPr>
              <w:t xml:space="preserve">语速分析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词汇分析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语音转写回看</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ind w:left="0" w:firstLine="0"/>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四、课程报告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内容包括：</w:t>
            </w:r>
            <w:r>
              <w:rPr>
                <w:rFonts w:hint="eastAsia" w:ascii="宋体" w:hAnsi="宋体" w:eastAsia="宋体" w:cs="宋体"/>
                <w:i w:val="0"/>
                <w:iCs w:val="0"/>
                <w:color w:val="auto"/>
                <w:sz w:val="21"/>
                <w:szCs w:val="21"/>
                <w:highlight w:val="none"/>
                <w:u w:val="none"/>
                <w:lang w:val="en-US" w:eastAsia="zh-CN" w:bidi="ar"/>
              </w:rPr>
              <w:t xml:space="preserve">AI课堂报告</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评课报告。</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9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AD2-07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千兆交换机</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#1.交换容量≥330Gbps，包转发率≥108Mpps</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#2.固化10/100/1000M以太网端口≥24个，固化10G/1G SFP+光接口≥4个</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.支持IPV4/IPV6静态路由</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.支持快速链路检测协议，可快速检测链路的通断和光纤链路的单向性，并支持端口下的环路检测功能，防止端口下因私接Hub等设备形成的环路而导致网络故障的现象;</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AD2-08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单口面板</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#1.86型单口面板；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#2.带弹簧门式防尘盖（平口），带有透明标签夹，可以插入图标，说明端口的应用功能；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#3.材料要求：面板应由ABS模塑料制成，符合UL 94V-0等级要求；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i w:val="0"/>
                <w:iCs w:val="0"/>
                <w:strike w:val="0"/>
                <w:color w:val="auto"/>
                <w:sz w:val="21"/>
                <w:szCs w:val="21"/>
                <w:highlight w:val="none"/>
                <w:u w:val="none"/>
                <w:lang w:val="en-US" w:eastAsia="zh-CN" w:bidi="ar"/>
              </w:rPr>
              <w:t xml:space="preserve">乳白色，颜色</w:t>
            </w:r>
            <w:r>
              <w:rPr>
                <w:rFonts w:hint="eastAsia" w:ascii="宋体" w:hAnsi="宋体" w:eastAsia="宋体" w:cs="宋体"/>
                <w:i w:val="0"/>
                <w:iCs w:val="0"/>
                <w:color w:val="auto"/>
                <w:sz w:val="21"/>
                <w:szCs w:val="21"/>
                <w:highlight w:val="none"/>
                <w:u w:val="none"/>
                <w:lang w:val="en-US" w:eastAsia="zh-CN" w:bidi="ar"/>
              </w:rPr>
              <w:t xml:space="preserve">可定制；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#5.要求网络面板通过硬度测试，硬度≥80 Shore D。</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AD2-09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#1.门及门锁：钢化玻璃前门，带锁；全金属后门，带锁；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#2.材料及工艺： 钢化玻璃前门和金属后门；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#3.侧板：速装卸侧板；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#4.底座：四重载轮和四调节脚；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#5.顶盖：侧通风顶盖；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#6.最大载重：300</w:t>
            </w:r>
            <w:r>
              <w:rPr>
                <w:rFonts w:hint="eastAsia" w:ascii="宋体" w:hAnsi="宋体" w:cs="宋体"/>
                <w:i w:val="0"/>
                <w:iCs w:val="0"/>
                <w:color w:val="auto"/>
                <w:sz w:val="21"/>
                <w:szCs w:val="21"/>
                <w:highlight w:val="none"/>
                <w:u w:val="none"/>
                <w:lang w:val="en-US" w:eastAsia="zh-CN" w:bidi="ar"/>
              </w:rPr>
              <w:t xml:space="preserve">kg</w:t>
            </w:r>
            <w:r>
              <w:rPr>
                <w:rFonts w:hint="eastAsia" w:ascii="宋体" w:hAnsi="宋体" w:eastAsia="宋体" w:cs="宋体"/>
                <w:i w:val="0"/>
                <w:iCs w:val="0"/>
                <w:color w:val="auto"/>
                <w:sz w:val="21"/>
                <w:szCs w:val="21"/>
                <w:highlight w:val="none"/>
                <w:u w:val="none"/>
                <w:lang w:val="en-US" w:eastAsia="zh-CN" w:bidi="ar"/>
              </w:rPr>
              <w:t xml:space="preserve">；风扇单元（一风机）：固定托架一个；五孔插口配电单元一个；地脚轮4个；地脚钉4颗；安装螺丝50颗。</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83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AD2-10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观摩电视机（含机架）</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#1.屏幕物理尺寸≥55吋；屏幕分辨率≥3840*2160；屏幕刷新率≥60Hz；屏幕可视角度≥±176度；整机功耗≤120W；待机功耗≤0.5W；内置喇叭个数≥2；喇叭总功率≥16W。</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AD2-11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LED时钟</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#1.教室后方配备LED屏。实现与录播一体机、桌面式触摸面板相结合，当老师按中控上开始录制键时，时钟从0开始计时，提醒录制时间。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AD2-12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显示器</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#1.≥22寸液晶，面板类型-TN面板  屏幕比例 16:10 </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亮度 250cd/m2，对比度 1000000：1 。</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AD2-13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监听音箱</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#1.声道 2.0，类型 多媒体音箱，理论功率 RMS 8W×2 （@fo=1kHz, THD=10%）；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#2.阻抗 20k欧姆，信噪比 &gt;=80dB(A计权，灵敏度 360mV；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#3.防磁功能 支持音箱控制音量, 超低音旋钮调节扬声器单元低音单元：≥4英寸陶瓷纸盆，防磁设计、高音单元：3/4英寸PV膜球顶高音扬声器，防磁</w:t>
            </w:r>
            <w:r>
              <w:rPr>
                <w:rFonts w:hint="eastAsia" w:ascii="宋体" w:hAnsi="宋体" w:cs="宋体"/>
                <w:i w:val="0"/>
                <w:iCs w:val="0"/>
                <w:color w:val="auto"/>
                <w:sz w:val="21"/>
                <w:szCs w:val="21"/>
                <w:highlight w:val="none"/>
                <w:u w:val="none"/>
                <w:lang w:val="en-US" w:eastAsia="zh-CN" w:bidi="ar"/>
              </w:rPr>
              <w:t xml:space="preserve">设计</w:t>
            </w:r>
            <w:r>
              <w:rPr>
                <w:rFonts w:hint="eastAsia" w:ascii="宋体" w:hAnsi="宋体" w:eastAsia="宋体" w:cs="宋体"/>
                <w:i w:val="0"/>
                <w:iCs w:val="0"/>
                <w:color w:val="auto"/>
                <w:sz w:val="21"/>
                <w:szCs w:val="21"/>
                <w:highlight w:val="none"/>
                <w:u w:val="none"/>
                <w:lang w:val="en-US" w:eastAsia="zh-CN" w:bidi="ar"/>
              </w:rPr>
              <w:t xml:space="preserve">，接口双立体声RCA接口，A口高音提升。</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57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AD2-14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控制区操作台</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#1.尺寸(长×宽×高）≥ 1280*750（950）*900mm ；                                                                                </w:t>
            </w:r>
            <w:r>
              <w:rPr>
                <w:rFonts w:hint="eastAsia" w:ascii="宋体" w:hAnsi="宋体" w:eastAsia="宋体" w:cs="宋体"/>
                <w:i w:val="0"/>
                <w:iCs w:val="0"/>
                <w:color w:val="auto"/>
                <w:sz w:val="21"/>
                <w:szCs w:val="21"/>
                <w:highlight w:val="none"/>
                <w:u w:val="none"/>
                <w:lang w:val="en-US" w:eastAsia="zh-CN" w:bidi="ar"/>
              </w:rPr>
              <w:t xml:space="preserve">                    #2.主体框架采用无螺丝卡扣式组装方式，可实现快速组装随意组合，台体底座装有高度可调节水平地脚支撑，每个工位配备一组键盘抽屉和一组19寸机架和一块托盘；                                                                                                                     #3.操作台面和侧板需选用E1级环保实木颗粒；                    </w:t>
            </w:r>
            <w:r>
              <w:rPr>
                <w:rFonts w:hint="eastAsia" w:ascii="宋体" w:hAnsi="宋体" w:eastAsia="宋体" w:cs="宋体"/>
                <w:i w:val="0"/>
                <w:iCs w:val="0"/>
                <w:color w:val="auto"/>
                <w:sz w:val="21"/>
                <w:szCs w:val="21"/>
                <w:highlight w:val="none"/>
                <w:u w:val="none"/>
                <w:lang w:val="en-US" w:eastAsia="zh-CN" w:bidi="ar"/>
              </w:rPr>
              <w:t xml:space="preserve">                                                            #4.铝型材屏风高度≥200mm，需可安装各型号显示器支架；                                                                                                       #5.金属框架需选用冷轧钢板，整体框架厚≥1.5mm,前后门厚≥1.0mm, 木质台面厚度≥25mm，铝型材厚度≥2.0mm；</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AD2-15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操作椅</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#1.座背饰面：采用抗菌防霉的网布;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#2.海绵：采用高密度、慢回弹的阻燃</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#3.结构：座位内置钢板，设置有专用通风孔。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#4.气压棒：全黑色外观，气杆行程超过100mm，满足不同身高人群，内管壁厚≥ 1.5mm，确保气压室密闭强度，提高安全性。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#5.弓形架：金属件喷涂层应无漏喷、锈蚀和脱色、掉色现象，涂层应光滑均匀、色泽一致；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生产工艺要求：钢管或钢架焊接表面要求波纹均匀，焊接处无夹渣、气孔、焊瘤、焊接头咬边和飞溅，并保证无脱焊、虚焊、焊穿等现象。所有金属作防锈工序处理，无气泡、无裂缝、表面光洁、静电喷塑、烘干处理、高温固化，表面无脱色现象。</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423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AD2-16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互动教学系统</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1</w:t>
            </w:r>
            <w:r>
              <w:rPr>
                <w:rFonts w:hint="eastAsia" w:ascii="宋体" w:hAnsi="宋体" w:eastAsia="宋体" w:cs="宋体"/>
                <w:i w:val="0"/>
                <w:iCs w:val="0"/>
                <w:color w:val="auto"/>
                <w:sz w:val="21"/>
                <w:szCs w:val="21"/>
                <w:highlight w:val="none"/>
                <w:u w:val="none"/>
                <w:lang w:val="en-US" w:eastAsia="zh-CN" w:bidi="ar"/>
              </w:rPr>
              <w:t xml:space="preserve">.支持</w:t>
            </w:r>
            <w:r>
              <w:rPr>
                <w:rFonts w:hint="eastAsia" w:ascii="宋体" w:hAnsi="宋体" w:cs="宋体"/>
                <w:i w:val="0"/>
                <w:iCs w:val="0"/>
                <w:strike w:val="0"/>
                <w:color w:val="auto"/>
                <w:sz w:val="21"/>
                <w:szCs w:val="21"/>
                <w:highlight w:val="none"/>
                <w:u w:val="none"/>
                <w:lang w:val="en-US" w:eastAsia="zh-CN" w:bidi="ar"/>
              </w:rPr>
              <w:t xml:space="preserve"> 多种</w:t>
            </w:r>
            <w:r>
              <w:rPr>
                <w:rFonts w:hint="eastAsia" w:ascii="宋体" w:hAnsi="宋体" w:eastAsia="宋体" w:cs="宋体"/>
                <w:i w:val="0"/>
                <w:iCs w:val="0"/>
                <w:color w:val="auto"/>
                <w:sz w:val="21"/>
                <w:szCs w:val="21"/>
                <w:highlight w:val="none"/>
                <w:u w:val="none"/>
                <w:lang w:val="en-US" w:eastAsia="zh-CN" w:bidi="ar"/>
              </w:rPr>
              <w:t xml:space="preserve">操作系统，可实现多种系统之间混合使用</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.屏幕广播：广播多媒体课件，3D，大型游戏界面，支持</w:t>
            </w:r>
            <w:r>
              <w:rPr>
                <w:rFonts w:hint="eastAsia" w:ascii="宋体" w:hAnsi="宋体" w:cs="宋体"/>
                <w:i w:val="0"/>
                <w:iCs w:val="0"/>
                <w:strike w:val="0"/>
                <w:color w:val="auto"/>
                <w:sz w:val="21"/>
                <w:szCs w:val="21"/>
                <w:highlight w:val="none"/>
                <w:u w:val="none"/>
                <w:lang w:val="en-US" w:eastAsia="zh-CN" w:bidi="ar"/>
              </w:rPr>
              <w:t xml:space="preserve">多种</w:t>
            </w:r>
            <w:r>
              <w:rPr>
                <w:rFonts w:hint="eastAsia" w:ascii="宋体" w:hAnsi="宋体" w:eastAsia="宋体" w:cs="宋体"/>
                <w:i w:val="0"/>
                <w:iCs w:val="0"/>
                <w:color w:val="auto"/>
                <w:sz w:val="21"/>
                <w:szCs w:val="21"/>
                <w:highlight w:val="none"/>
                <w:u w:val="none"/>
                <w:lang w:val="en-US" w:eastAsia="zh-CN" w:bidi="ar"/>
              </w:rPr>
              <w:t xml:space="preserve">显示方式，支持全屏和窗口模式切换，广播同时可进行屏幕录制</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.主题讨论：同组或同主题师生支持多种方式进行交流。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文件管理：有文件分发、收集、提交功能，可拖拽添加文件，可限制学生提交文件的数目和大小屏幕监视：教师机可监视多个学生屏幕≥3</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个,并可保存学生画面的截图;</w:t>
            </w:r>
            <w:r>
              <w:rPr>
                <w:rFonts w:hint="eastAsia" w:ascii="宋体" w:hAnsi="宋体" w:eastAsia="宋体" w:cs="宋体"/>
                <w:b/>
                <w:bCs/>
                <w:i w:val="0"/>
                <w:iCs w:val="0"/>
                <w:color w:val="auto"/>
                <w:sz w:val="21"/>
                <w:szCs w:val="21"/>
                <w:highlight w:val="none"/>
                <w:u w:val="none"/>
                <w:lang w:val="en-US" w:eastAsia="zh-CN" w:bidi="ar"/>
              </w:rPr>
              <w:t xml:space="preserve">（提供以上功能截图）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.班级模型：获取学生端计算机的名称、登录名、学生端应用程序、进程和进程 ID，远程终止学生端进程，可实时显示学生机桌面的缩图;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.课堂策略控制：在课堂上，教师可以设置上网策略、应用程序策略、USB、CD使用、打印限制策略，对不同学生设置不同策略，查看当前的学生策略，上网限制支持多浏览器;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6</w:t>
            </w:r>
            <w:r>
              <w:rPr>
                <w:rFonts w:hint="eastAsia" w:ascii="宋体" w:hAnsi="宋体" w:eastAsia="宋体" w:cs="宋体"/>
                <w:i w:val="0"/>
                <w:iCs w:val="0"/>
                <w:color w:val="auto"/>
                <w:sz w:val="21"/>
                <w:szCs w:val="21"/>
                <w:highlight w:val="none"/>
                <w:u w:val="none"/>
                <w:lang w:val="en-US" w:eastAsia="zh-CN" w:bidi="ar"/>
              </w:rPr>
              <w:t xml:space="preserve">.考试：教师导入word、ppt、excel、pdf等文档类型的考试内容共享给学生，直接生成答题卡用于学生作答；考试过程中，可以看到学生答题的进度，答题情况，考试结果</w:t>
            </w:r>
            <w:r>
              <w:rPr>
                <w:rFonts w:hint="eastAsia" w:ascii="宋体" w:hAnsi="宋体" w:cs="宋体"/>
                <w:i w:val="0"/>
                <w:iCs w:val="0"/>
                <w:color w:val="auto"/>
                <w:sz w:val="21"/>
                <w:szCs w:val="21"/>
                <w:highlight w:val="none"/>
                <w:u w:val="none"/>
                <w:lang w:val="en-US" w:eastAsia="zh-CN" w:bidi="ar"/>
              </w:rPr>
              <w:t xml:space="preserve">可以</w:t>
            </w:r>
            <w:r>
              <w:rPr>
                <w:rFonts w:hint="eastAsia" w:ascii="宋体" w:hAnsi="宋体" w:eastAsia="宋体" w:cs="宋体"/>
                <w:i w:val="0"/>
                <w:iCs w:val="0"/>
                <w:color w:val="auto"/>
                <w:sz w:val="21"/>
                <w:szCs w:val="21"/>
                <w:highlight w:val="none"/>
                <w:u w:val="none"/>
                <w:lang w:val="en-US" w:eastAsia="zh-CN" w:bidi="ar"/>
              </w:rPr>
              <w:t xml:space="preserve">导出。考试过程中有断电、关机等意外学生断线重连。自动评分，分析统计结果，将评分结果发送给学生。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7</w:t>
            </w:r>
            <w:r>
              <w:rPr>
                <w:rFonts w:hint="eastAsia" w:ascii="宋体" w:hAnsi="宋体" w:eastAsia="宋体" w:cs="宋体"/>
                <w:i w:val="0"/>
                <w:iCs w:val="0"/>
                <w:color w:val="auto"/>
                <w:sz w:val="21"/>
                <w:szCs w:val="21"/>
                <w:highlight w:val="none"/>
                <w:u w:val="none"/>
                <w:lang w:val="en-US" w:eastAsia="zh-CN" w:bidi="ar"/>
              </w:rPr>
              <w:t xml:space="preserve">.具备学生演示、视频直播、屏幕录制、语音广播、语音对讲、电子点名、远程开关机、远程命令、远程设置、远程登录、支持远程为学生端安装/卸载应用程序、登录windows前接受广播、请求帮助、举手、发言、自动锁屏、防杀进程、黑屏肃静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8</w:t>
            </w:r>
            <w:r>
              <w:rPr>
                <w:rFonts w:hint="eastAsia" w:ascii="宋体" w:hAnsi="宋体" w:eastAsia="宋体" w:cs="宋体"/>
                <w:i w:val="0"/>
                <w:iCs w:val="0"/>
                <w:color w:val="auto"/>
                <w:sz w:val="21"/>
                <w:szCs w:val="21"/>
                <w:highlight w:val="none"/>
                <w:u w:val="none"/>
                <w:lang w:val="en-US" w:eastAsia="zh-CN" w:bidi="ar"/>
              </w:rPr>
              <w:t xml:space="preserve">.支持设备的有线接入：设备具有1路HDMI输入接口，支持电脑、摄像机、实物展台等外部设备的有线接入。具有1路HDMI输出接口。可通过USB口直接接入摄像头采集环境画面，支持通过USB口进行鼠标键盘的接入，支持选择U盘中的文档、图片、视频等资料直接打开播放，也可对存储至U盘的资源进行预览、删除，支持三大类公有传输协议投屏：支持</w:t>
            </w:r>
            <w:r>
              <w:rPr>
                <w:rFonts w:hint="eastAsia" w:ascii="宋体" w:hAnsi="宋体" w:cs="宋体"/>
                <w:i w:val="0"/>
                <w:iCs w:val="0"/>
                <w:color w:val="auto"/>
                <w:sz w:val="21"/>
                <w:szCs w:val="21"/>
                <w:highlight w:val="none"/>
                <w:u w:val="none"/>
                <w:lang w:val="en-US" w:eastAsia="zh-CN" w:bidi="ar"/>
              </w:rPr>
              <w:t xml:space="preserve">多种</w:t>
            </w:r>
            <w:r>
              <w:rPr>
                <w:rFonts w:hint="eastAsia" w:ascii="宋体" w:hAnsi="宋体" w:eastAsia="宋体" w:cs="宋体"/>
                <w:i w:val="0"/>
                <w:iCs w:val="0"/>
                <w:color w:val="auto"/>
                <w:sz w:val="21"/>
                <w:szCs w:val="21"/>
                <w:highlight w:val="none"/>
                <w:u w:val="none"/>
                <w:lang w:val="en-US" w:eastAsia="zh-CN" w:bidi="ar"/>
              </w:rPr>
              <w:t xml:space="preserve">投射协议投屏，能够将</w:t>
            </w:r>
            <w:r>
              <w:rPr>
                <w:rFonts w:hint="eastAsia" w:ascii="宋体" w:hAnsi="宋体" w:cs="宋体"/>
                <w:i w:val="0"/>
                <w:iCs w:val="0"/>
                <w:color w:val="auto"/>
                <w:sz w:val="21"/>
                <w:szCs w:val="21"/>
                <w:highlight w:val="none"/>
                <w:u w:val="none"/>
                <w:lang w:val="en-US" w:eastAsia="zh-CN" w:bidi="ar"/>
              </w:rPr>
              <w:t xml:space="preserve">多种</w:t>
            </w:r>
            <w:r>
              <w:rPr>
                <w:rFonts w:hint="eastAsia" w:ascii="宋体" w:hAnsi="宋体" w:eastAsia="宋体" w:cs="宋体"/>
                <w:i w:val="0"/>
                <w:iCs w:val="0"/>
                <w:color w:val="auto"/>
                <w:sz w:val="21"/>
                <w:szCs w:val="21"/>
                <w:highlight w:val="none"/>
                <w:u w:val="none"/>
                <w:lang w:val="en-US" w:eastAsia="zh-CN" w:bidi="ar"/>
              </w:rPr>
              <w:t xml:space="preserve">设备进行投屏；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9</w:t>
            </w:r>
            <w:r>
              <w:rPr>
                <w:rFonts w:hint="eastAsia" w:ascii="宋体" w:hAnsi="宋体" w:eastAsia="宋体" w:cs="宋体"/>
                <w:i w:val="0"/>
                <w:iCs w:val="0"/>
                <w:color w:val="auto"/>
                <w:sz w:val="21"/>
                <w:szCs w:val="21"/>
                <w:highlight w:val="none"/>
                <w:u w:val="none"/>
                <w:lang w:val="en-US" w:eastAsia="zh-CN" w:bidi="ar"/>
              </w:rPr>
              <w:t xml:space="preserve">.多种画面布局显示：支持</w:t>
            </w:r>
            <w:r>
              <w:rPr>
                <w:rFonts w:hint="eastAsia" w:ascii="宋体" w:hAnsi="宋体" w:cs="宋体"/>
                <w:i w:val="0"/>
                <w:iCs w:val="0"/>
                <w:color w:val="auto"/>
                <w:sz w:val="21"/>
                <w:szCs w:val="21"/>
                <w:highlight w:val="none"/>
                <w:u w:val="none"/>
                <w:lang w:val="en-US" w:eastAsia="zh" w:bidi="ar"/>
              </w:rPr>
              <w:t xml:space="preserve">多</w:t>
            </w:r>
            <w:r>
              <w:rPr>
                <w:rFonts w:hint="eastAsia" w:ascii="宋体" w:hAnsi="宋体" w:eastAsia="宋体" w:cs="宋体"/>
                <w:i w:val="0"/>
                <w:iCs w:val="0"/>
                <w:color w:val="auto"/>
                <w:sz w:val="21"/>
                <w:szCs w:val="21"/>
                <w:highlight w:val="none"/>
                <w:u w:val="none"/>
                <w:lang w:val="en-US" w:eastAsia="zh-CN" w:bidi="ar"/>
              </w:rPr>
              <w:t xml:space="preserve">个投屏设备同时接入智能云盒，同时</w:t>
            </w:r>
            <w:r>
              <w:rPr>
                <w:rFonts w:hint="eastAsia" w:ascii="宋体" w:hAnsi="宋体" w:cs="宋体"/>
                <w:i w:val="0"/>
                <w:iCs w:val="0"/>
                <w:color w:val="auto"/>
                <w:sz w:val="21"/>
                <w:szCs w:val="21"/>
                <w:highlight w:val="none"/>
                <w:u w:val="none"/>
                <w:lang w:val="en-US" w:eastAsia="zh" w:bidi="ar"/>
              </w:rPr>
              <w:t xml:space="preserve">支持多</w:t>
            </w:r>
            <w:r>
              <w:rPr>
                <w:rFonts w:hint="eastAsia" w:ascii="宋体" w:hAnsi="宋体" w:eastAsia="宋体" w:cs="宋体"/>
                <w:i w:val="0"/>
                <w:iCs w:val="0"/>
                <w:color w:val="auto"/>
                <w:sz w:val="21"/>
                <w:szCs w:val="21"/>
                <w:highlight w:val="none"/>
                <w:u w:val="none"/>
                <w:lang w:val="en-US" w:eastAsia="zh-CN" w:bidi="ar"/>
              </w:rPr>
              <w:t xml:space="preserve">个画面显示，且支持自适应画面</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CN" w:bidi="ar"/>
              </w:rPr>
              <w:t xml:space="preserve">多种</w:t>
            </w:r>
            <w:r>
              <w:rPr>
                <w:rFonts w:hint="eastAsia" w:ascii="宋体" w:hAnsi="宋体" w:eastAsia="宋体" w:cs="宋体"/>
                <w:i w:val="0"/>
                <w:iCs w:val="0"/>
                <w:color w:val="auto"/>
                <w:sz w:val="21"/>
                <w:szCs w:val="21"/>
                <w:highlight w:val="none"/>
                <w:u w:val="none"/>
                <w:lang w:val="en-US" w:eastAsia="zh-CN" w:bidi="ar"/>
              </w:rPr>
              <w:t xml:space="preserve">画面切换模式，</w:t>
            </w:r>
            <w:r>
              <w:rPr>
                <w:rFonts w:hint="eastAsia" w:ascii="宋体" w:hAnsi="宋体" w:cs="宋体"/>
                <w:i w:val="0"/>
                <w:iCs w:val="0"/>
                <w:color w:val="auto"/>
                <w:sz w:val="21"/>
                <w:szCs w:val="21"/>
                <w:highlight w:val="none"/>
                <w:u w:val="none"/>
                <w:lang w:val="en-US" w:eastAsia="zh" w:bidi="ar"/>
              </w:rPr>
              <w:t xml:space="preserve">多</w:t>
            </w:r>
            <w:r>
              <w:rPr>
                <w:rFonts w:hint="eastAsia" w:ascii="宋体" w:hAnsi="宋体" w:eastAsia="宋体" w:cs="宋体"/>
                <w:i w:val="0"/>
                <w:iCs w:val="0"/>
                <w:color w:val="auto"/>
                <w:sz w:val="21"/>
                <w:szCs w:val="21"/>
                <w:highlight w:val="none"/>
                <w:u w:val="none"/>
                <w:lang w:val="en-US" w:eastAsia="zh-CN" w:bidi="ar"/>
              </w:rPr>
              <w:t xml:space="preserve">种默认画面布局方式，画面支持均分屏幕、一大一小、一大两小、一大三小、画中画等；一键点击，即可选择相应的布局。布局内显示的投屏设备具有设备画面记忆功能。界面布局支持：全屏模式、工具条显示模式、研讨模式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.互动：支持参会者使用手写板、反馈器、微信小程序参与会议互动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可统计互动数据，生成报告，点击下课。</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1</w:t>
            </w:r>
            <w:r>
              <w:rPr>
                <w:rFonts w:hint="eastAsia" w:ascii="宋体" w:hAnsi="宋体" w:eastAsia="宋体" w:cs="宋体"/>
                <w:i w:val="0"/>
                <w:iCs w:val="0"/>
                <w:color w:val="auto"/>
                <w:sz w:val="21"/>
                <w:szCs w:val="21"/>
                <w:highlight w:val="none"/>
                <w:u w:val="none"/>
                <w:lang w:val="en-US" w:eastAsia="zh-CN" w:bidi="ar"/>
              </w:rPr>
              <w:t xml:space="preserve">.网络直播：支持创建即时直播，收看端直接收看直播。支持选择不同的收看方式：选择云盒作为收看端设备、允许云盒通过直播间ID加入收看直播、支持移动端通过扫描二维码观看本次直播。支持锁定直播间，锁定后，其他云盒则无法再加入收看直播。支持直播端设备查看：收看端是否加入直播间、收看端设备类型、收看端加入直播间方式、是否移除收看端设备、锁定直播间、结束直播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.支持反向控制操作：支持对HDMI有线接入的电脑、无线投屏的Android、Windows设备进行反向控制操作，具有选择开启或关闭功能按钮，可在显示终端大屏触摸或通过智能云盒外接鼠标以及遥控器软件进行回控。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.扩展屏：支持android和windows系统的移动终端设备安装扩展屏软件，视频流画面实时同步到移动终端上。设置选择接收视频流画面，支持:大屏画面、录制直播画面、同步课堂画面等。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.安全策略：支持设置随机PIN码和固定PIN码，移动端设备无线投屏或使用遥控器APP时均需输入对应的PIN码；可支持设置管理员密码和密码提示信息，每次进入“设置”界面均需要输入管理员密码。</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AD2-17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高性能AP</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#1.802.11ac wave2高性能无线接入点，采用三频设计，支持2.4G、5G、5G三频并发。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#2.接入速率：2.4G≥400Mbps、5G（1）≥867Mbps、5G（2）≥1733Mbps。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#3.以太网口：≥2*10/100/1000Mbps。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#4.供电方式：支持802.3at供电，支持多以太网口同时POE供电。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#5.USB接口：支持外接U盘及物联网拓展。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#6.支持中文SSID，可以用学校或班级名称作为Wi-Fi信号，适用于多种应用场景。支持无线控制器管理。</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AD2-18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充电柜</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#1.平板电脑支持尺寸：10英寸以上；平板电脑方式方向：横放；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#2.平板充电数量：40-60位；充电接口：220V插座；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#3.柜体内部设计方便走线；柜体采用全封闭式防盗结构，安全存储；柜门采用大转角设计，方便多位同学同时取放平板；充电柜采用可移动式设计，具备万向轮，可移动。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798" w:type="dxa"/>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AD3-01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墙面聚酯纤维吸音板</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#1.聚酯纤维吸音板，规格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24</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0*12</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0*</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mm，环保等级E1，含B1级防火板底板，万能胶粘贴。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AD3-02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墙面木质吸音板</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#1.木制吸音板，规格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2400*19</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mm，环保等级E1，降噪系数0.25，立柱整包。</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AD3-03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#1.铝板集成吊顶+石膏板。</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AD3-04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地面PVC</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#1.3.0mm及以上厚度，采用原生材料，产品结构从上到下依次为pvc耐磨层，稳定层，网格布夹带层，发泡层，防移动吸附式背板。</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AD3-05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观察窗</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钢化玻璃+单面透视贴。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AD3-06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PVC板</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#1.现场定制。</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AD3-07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KT板</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#1.UV雕刻。</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AD3-08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电路工程</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#1.2.5国标铜芯电线、pvc线管、开关盒。</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AD3-09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讲台地面升高</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#1.木质底板，木工板敷面，高度12CM。</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AD3-10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踢脚线</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#与地胶匹配，木质或金属拉丝材质。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AD3-11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LED平板灯</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#1.名称：平板灯（LED）色温4500-5500k</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600*600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安装形式：吸顶安装。</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盏</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AD3-12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观摩室吊顶</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#1.铝板集成吊顶含吊筋（50mm）。</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AD3-13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观摩室地面PVC</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#1.厚度≥3.0MM 凹凸面</w:t>
            </w:r>
            <w:r>
              <w:rPr>
                <w:rFonts w:hint="eastAsia" w:ascii="宋体" w:hAnsi="宋体" w:cs="宋体"/>
                <w:i w:val="0"/>
                <w:iCs w:val="0"/>
                <w:color w:val="auto"/>
                <w:sz w:val="21"/>
                <w:szCs w:val="21"/>
                <w:highlight w:val="none"/>
                <w:u w:val="none"/>
                <w:lang w:val="en-US" w:eastAsia="zh-CN" w:bidi="ar"/>
              </w:rPr>
              <w:t xml:space="preserve">哑</w:t>
            </w:r>
            <w:r>
              <w:rPr>
                <w:rFonts w:hint="eastAsia" w:ascii="宋体" w:hAnsi="宋体" w:eastAsia="宋体" w:cs="宋体"/>
                <w:i w:val="0"/>
                <w:iCs w:val="0"/>
                <w:color w:val="auto"/>
                <w:sz w:val="21"/>
                <w:szCs w:val="21"/>
                <w:highlight w:val="none"/>
                <w:u w:val="none"/>
                <w:lang w:val="en-US" w:eastAsia="zh-CN" w:bidi="ar"/>
              </w:rPr>
              <w:t xml:space="preserve">光。</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AD3-14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观摩室墙面乳胶漆刷白</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#1.环保无机涂料，防火等级B1，成品腻子粉。</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AD3-15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观摩室电路工程</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#1.国标铜芯电线、pvc线管、开关盒。</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AD3-16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观摩室踢脚线</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#1.与地胶匹配，木质或金属拉丝材质。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AD3-17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观摩室LED平板灯</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#1.名称：平板灯（LED）色温4500-5500k</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600*600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AD3-18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观摩室开关插座及电源控箱</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#1.PZ暗装盒含漏电保护器，空开，灯开关插座等。</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ectPr>
          <w:footnotePr/>
          <w:endnotePr/>
          <w:type w:val="nextPage"/>
          <w:pgSz w:w="11906" w:h="16838" w:orient="portrait"/>
          <w:pgMar w:top="1440" w:right="1080" w:bottom="1440" w:left="1080" w:header="851" w:footer="992" w:gutter="0"/>
          <w:cols w:num="1" w:sep="0" w:space="720" w:equalWidth="1"/>
          <w:docGrid w:linePitch="360"/>
        </w:sect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bl>
      <w:tblPr>
        <w:tblStyle w:val="701"/>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8"/>
        <w:gridCol w:w="1365"/>
        <w:gridCol w:w="6630"/>
        <w:gridCol w:w="735"/>
        <w:gridCol w:w="660"/>
      </w:tblGrid>
      <w:tr>
        <w:trPr>
          <w:trHeight w:val="567" w:hRule="exact"/>
        </w:trPr>
        <w:tc>
          <w:tcPr>
            <w:gridSpan w:val="5"/>
            <w:tcBorders>
              <w:top w:val="single" w:color="000000" w:sz="4" w:space="0"/>
              <w:left w:val="single" w:color="000000" w:sz="4" w:space="0"/>
              <w:bottom w:val="single" w:color="000000" w:sz="4" w:space="0"/>
              <w:right w:val="single" w:color="000000" w:sz="4" w:space="0"/>
            </w:tcBorders>
            <w:tcW w:w="1034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AE-初中化学仪器</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95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教师演示仪器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AE1-01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钢制黑板</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#1、黑板为双面金属，中间为人造板，无</w:t>
            </w:r>
            <w:r>
              <w:rPr>
                <w:rFonts w:hint="eastAsia" w:ascii="宋体" w:hAnsi="宋体" w:cs="宋体"/>
                <w:i w:val="0"/>
                <w:iCs w:val="0"/>
                <w:color w:val="auto"/>
                <w:sz w:val="21"/>
                <w:szCs w:val="21"/>
                <w:highlight w:val="none"/>
                <w:u w:val="none"/>
                <w:lang w:val="en-US" w:eastAsia="zh-CN" w:bidi="ar"/>
              </w:rPr>
              <w:t xml:space="preserve">镜面</w:t>
            </w:r>
            <w:r>
              <w:rPr>
                <w:rFonts w:hint="eastAsia" w:ascii="宋体" w:hAnsi="宋体" w:eastAsia="宋体" w:cs="宋体"/>
                <w:i w:val="0"/>
                <w:iCs w:val="0"/>
                <w:color w:val="auto"/>
                <w:sz w:val="21"/>
                <w:szCs w:val="21"/>
                <w:highlight w:val="none"/>
                <w:u w:val="none"/>
                <w:lang w:val="en-US" w:eastAsia="zh-CN" w:bidi="ar"/>
              </w:rPr>
              <w:t xml:space="preserve">反光。尺寸为</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900mm×600mm。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AE1-02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打孔器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#1.采用优质钢材，防锈处理。穿孔管用外径为6mm．8mm．10mm，管长≥80mm，壁厚≥1mm的钢管，手柄用≥2mm厚钢板，通用条Φ3mm碳素钢等制成。四件为一套，可穿4mm．6mm．8mm的圆孔。</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89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AE1-03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打孔夹板</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#1．产品由上夹板、下夹板、螺钉及紧固蝴蝶螺母等组成。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长170mm，宽40mm。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#3．上、下夹板应由透明有机玻璃制成。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#4．上夹板应备有直径为6mm、8mm、10mm、12mm直穿孔4个。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．上夹板、下夹板厚≥10mm，具有足够强度，正常情况下使用不得断裂；</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AE1-04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手摇钻孔器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#1.组成：仪器由旋转立柱、夹持固定装置、四个不同直径刀头及捅条组成；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#2.螺旋立柱应能通过手轮的转动向安装后的刀头稳定加压打孔；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#3.四支刀口外径分别为Φ12mm，Φ10mm,Φ8mm,Φ6mm，捅条直径不小于φ4mm，刀口锋利，无卷边；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89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AE1-05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680mm×4</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0mm×800mm。不锈钢材料制。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#2．仪器车应分为2层，层间距不小于300mm。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#3．车架用直径不小于Φ19mm、壁厚不小于1mm的不锈钢管制成，高不低于800mm。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#4．车架脚安装转动灵活的万向轮。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#5．车隔板为不薄于1mm的不锈钢制成，四周安装有挡板。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#6．整车安装好后应载重≥50</w:t>
            </w:r>
            <w:r>
              <w:rPr>
                <w:rFonts w:hint="eastAsia" w:ascii="宋体" w:hAnsi="宋体" w:cs="宋体"/>
                <w:i w:val="0"/>
                <w:iCs w:val="0"/>
                <w:color w:val="auto"/>
                <w:sz w:val="21"/>
                <w:szCs w:val="21"/>
                <w:highlight w:val="none"/>
                <w:u w:val="none"/>
                <w:lang w:val="en-US" w:eastAsia="zh-CN" w:bidi="ar"/>
              </w:rPr>
              <w:t xml:space="preserve">kg</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r>
      <w:tr>
        <w:trPr>
          <w:trHeight w:val="108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AE1-06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离心沉淀器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#1.产品应采用塑料注塑成型作支架，沉淀管用半透明塑料组成；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#2.产品由固定支架、手柄、变速机构、离心机构四部分组成；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#3.可变速度50-150次/分；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#4.各部结构应可靠、灵活，金属部分电镀；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74"/>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AE1-07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蒸馏水器</w:t>
            </w:r>
            <w:r/>
          </w:p>
        </w:tc>
        <w:tc>
          <w:tcPr>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#1.采用不锈钢制作精细，卫生；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#2.采用三线电源接地保护，安全可靠。使用电源：交流220V，50Hz。功率：≥3</w:t>
            </w:r>
            <w:r>
              <w:rPr>
                <w:rFonts w:hint="eastAsia" w:ascii="宋体" w:hAnsi="宋体" w:cs="宋体"/>
                <w:i w:val="0"/>
                <w:iCs w:val="0"/>
                <w:color w:val="auto"/>
                <w:sz w:val="21"/>
                <w:szCs w:val="21"/>
                <w:highlight w:val="none"/>
                <w:u w:val="none"/>
                <w:lang w:val="en-US" w:eastAsia="zh-CN" w:bidi="ar"/>
              </w:rPr>
              <w:t xml:space="preserve">kW</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290×200×575mm；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#4.蒸馏水器由蒸发锅、冷凝器、电器装置三部分等组成。</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#5.规格：出水量≥3升/小时。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5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AE1-08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列管式烘干器</w:t>
            </w:r>
            <w:r/>
          </w:p>
        </w:tc>
        <w:tc>
          <w:tcPr>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#1.产品为列管烘干型式；外壳为不锈钢；列管为金属制，管上有直径3mm的孔12个，顶端为塑料帽，管长约170mm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#2.电热部分应与外壳及经常接触部位进行安全隔离；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#3.被干燥仪器每批</w:t>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件；结构简单的仪器每批干燥时间约为30分钟；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#4.工作电压：220V，电机功率：20W，发热功率：260W。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AE1-09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滴定台</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#1、底座台面为大理石面，尺寸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300×150×1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#2、立柱由Φ10mm圆钢制成，一端有螺纹并附螺帽及垫片，表面镀铬，置于工作台面上与台面垂直不大于5°；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#3、底座四脚有橡胶垫脚，放置平衡不晃动。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AE1-10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#1、塑料制。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#2、固定支杆的部位为塑料带凹槽，滴管夹子弹性强，夹持牢固。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230mm×120mm。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432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AE1-11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教学电源</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#1.输出电压：交流输出：2V－12V；额定输出电流：5A。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#2.直流稳压输出，1.5V－12V；额定输出电流：2A。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#3.直流大电流短时输出：40A，8秒自动关断。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#4.交流输出：a.各档空载电压不大于1.05 U标＋0.3V； b.各档满载电压不小于0.95 U标－0.3V。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#5.直流稳压输出：a. 电压偏调：±（2％U标＋0.1V） b. 电压稳定性：输入电压在198V－242V件变化，在满载时各档输出电压变化量不大于2％U标＋0.1V。 c. 负载稳定性：输入电压保持220V不变，负载电流在0至满载范围内变化，各档输出电压变化量不大于2％U标＋0.1V。 d. 纹波电压：电源电压保持220V，满载时各档纹波电压不大于0.1％U标（有效值）。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#6.直流大电流短时输出电流大于10A时，20s±2s自动关断。输出短时电流为40A+10A，8 s±2自动关断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#7.过载保护：交流和直流稳压输出电流在额定电流值的1.05－1.5倍时，自动关断输出。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8.机箱采用全塑料注塑成型，外形尺寸：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250mm×200mm×115mm。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16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AE1-12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#1．最大称量100g，分度值0.1g。 砝码组合的总质量（包括标尺计量值）应不小于天平的最大秤量，砝码分别为：50g1个、20g2个、10g1个、5g1个。 </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 w:bidi="ar"/>
              </w:rPr>
              <w:t xml:space="preserve">2</w:t>
            </w:r>
            <w:r>
              <w:rPr>
                <w:rFonts w:hint="eastAsia" w:ascii="宋体" w:hAnsi="宋体" w:eastAsia="宋体" w:cs="宋体"/>
                <w:i w:val="0"/>
                <w:iCs w:val="0"/>
                <w:strike w:val="0"/>
                <w:color w:val="auto"/>
                <w:sz w:val="21"/>
                <w:szCs w:val="21"/>
                <w:highlight w:val="none"/>
                <w:u w:val="none"/>
                <w:lang w:val="en-US" w:eastAsia="zh-CN" w:bidi="ar"/>
              </w:rPr>
              <w:t xml:space="preserve">.冲压件表面应光洁平整，不应有毛刺、锋棱、裂纹和显见砂眼。电镀件的镀层应色泽均匀，不应有露底和显见的麻点、水迹、擦伤等缺陷。 油漆件表面应平整光滑，色泽均匀，不应有露底、起泡、挂漆、擦伤等缺陷。</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 w:bidi="ar"/>
              </w:rPr>
              <w:t xml:space="preserve">3</w:t>
            </w:r>
            <w:r>
              <w:rPr>
                <w:rFonts w:hint="eastAsia" w:ascii="宋体" w:hAnsi="宋体" w:eastAsia="宋体" w:cs="宋体"/>
                <w:i w:val="0"/>
                <w:iCs w:val="0"/>
                <w:strike w:val="0"/>
                <w:color w:val="auto"/>
                <w:sz w:val="21"/>
                <w:szCs w:val="21"/>
                <w:highlight w:val="none"/>
                <w:u w:val="none"/>
                <w:lang w:val="en-US" w:eastAsia="zh-CN" w:bidi="ar"/>
              </w:rPr>
              <w:t xml:space="preserve">.附塑料镊子一把。托盘直径82mm；外形尺寸：</w:t>
            </w:r>
            <w:r>
              <w:rPr>
                <w:rFonts w:hint="eastAsia" w:ascii="宋体" w:hAnsi="宋体" w:cs="宋体"/>
                <w:i w:val="0"/>
                <w:iCs w:val="0"/>
                <w:strike w:val="0"/>
                <w:color w:val="auto"/>
                <w:sz w:val="21"/>
                <w:szCs w:val="21"/>
                <w:highlight w:val="none"/>
                <w:u w:val="none"/>
                <w:lang w:val="en-US" w:eastAsia="zh-CN" w:bidi="ar"/>
              </w:rPr>
              <w:t xml:space="preserve">约</w:t>
            </w:r>
            <w:r>
              <w:rPr>
                <w:rFonts w:hint="eastAsia" w:ascii="宋体" w:hAnsi="宋体" w:eastAsia="宋体" w:cs="宋体"/>
                <w:i w:val="0"/>
                <w:iCs w:val="0"/>
                <w:strike w:val="0"/>
                <w:color w:val="auto"/>
                <w:sz w:val="21"/>
                <w:szCs w:val="21"/>
                <w:highlight w:val="none"/>
                <w:u w:val="none"/>
                <w:lang w:val="en-US" w:eastAsia="zh-CN" w:bidi="ar"/>
              </w:rPr>
              <w:t xml:space="preserve">200mm×70mm×140mm。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2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AE1-13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#1.最大称量500g，分度值0.5 g。秤量允许误差为±0.5d(分度值)。砝码组合的总质量（包括标尺计量值）应不小于天平的最大秤量。 </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 w:bidi="ar"/>
              </w:rPr>
              <w:t xml:space="preserve">2</w:t>
            </w:r>
            <w:r>
              <w:rPr>
                <w:rFonts w:hint="eastAsia" w:ascii="宋体" w:hAnsi="宋体" w:eastAsia="宋体" w:cs="宋体"/>
                <w:i w:val="0"/>
                <w:iCs w:val="0"/>
                <w:strike w:val="0"/>
                <w:color w:val="auto"/>
                <w:sz w:val="21"/>
                <w:szCs w:val="21"/>
                <w:highlight w:val="none"/>
                <w:u w:val="none"/>
                <w:lang w:val="en-US" w:eastAsia="zh-CN" w:bidi="ar"/>
              </w:rPr>
              <w:t xml:space="preserve">.冲压件表面应光洁平整，不应有毛刺、锋棱、裂纹和显见砂眼。电镀件的镀层应色泽均匀，不应有露底和显见的麻点、水迹、擦伤等缺陷。油漆件表面应平整光滑，色泽均匀，不应有露底、起泡、挂漆、擦伤等缺陷。</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16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AE1-14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电子天平</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#1.100g，0.001g。称盘尺寸：圆盘ф130mm。电源电压：220VAC。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.采用高精度电磁平衡传达室感器，LED显示。具有计数、确认、清零、校准。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.防风罩一套，采用透明塑料注塑成型。校准砝码1个。主机外形尺寸：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185mm×235mm×50mm。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5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AE1-15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电子天平</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#1.400g，0.1g。称盘尺寸：圆盘ф130mm。电源电压：220VAC。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.采用高精度电磁平衡传达室感器，LED显示。具有计数、确认、清零、校准。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2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AE1-16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数字测温计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#1.工作参数：220V±10%.2W。外形尺寸：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200×175×80mm。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.测温范围：-55～+199℃。测量误差：±0.5℃。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.显示方式：≥4位LED红色显示。传感方式：直接接触式。</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5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AE1-17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多用电表</w:t>
            </w:r>
            <w:r/>
          </w:p>
        </w:tc>
        <w:tc>
          <w:tcPr>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磁表头。测量范围：直流电流：0～5～50～500mA,10A；直流电压：0～0.25～0.5～10～50～250～500～1000V，交流电压：0～10～50～250～500～1000V；直流电阻：X1～X10K；温度测试：-10～150℃，电容：0.01～100000μf；电感：20～1000H；音频电平：-10～+22db。表笔1套。外型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165×11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mm。重量：≥0.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AE1-18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#1.密度＞1。长度：255mm。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42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AE1-19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#1.密度＜1。长度：260mm。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AE1-20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水电解演示器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#1.由2个25ml酸式滴定管，1个直形安全漏斗，1个无色透明塑料容器，2个铂电极和附件组成。在12V.1A直流中的作用下，3-5分钟内，由电解的水生成20ml：10ml的氢气和氧气。</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AE1-21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玻璃仪器刷洗器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#1.机械式。产品由主机、旋转轴、水管等组成。主机外壳为金属制，表面烤漆处理，外形尺寸：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230mm×130mm×90mm。工作电压：220V 50Hz，功率：30W，转速：≥2500y/min。</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16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AE1-22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溶液导电演示器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#1.产品由演示板、溶液盒5套等组成。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#2．演示板应采用塑料注塑成型，白色，演示板外形尺寸：31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±2mm×21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±2mm×</w:t>
            </w:r>
            <w:r>
              <w:rPr>
                <w:rFonts w:hint="eastAsia" w:ascii="宋体" w:hAnsi="宋体" w:cs="宋体"/>
                <w:i w:val="0"/>
                <w:iCs w:val="0"/>
                <w:color w:val="auto"/>
                <w:sz w:val="21"/>
                <w:szCs w:val="21"/>
                <w:highlight w:val="none"/>
                <w:u w:val="none"/>
                <w:lang w:val="en-US" w:eastAsia="zh-CN" w:bidi="ar"/>
              </w:rPr>
              <w:t xml:space="preserve">20</w:t>
            </w:r>
            <w:r>
              <w:rPr>
                <w:rFonts w:hint="eastAsia" w:ascii="宋体" w:hAnsi="宋体" w:eastAsia="宋体" w:cs="宋体"/>
                <w:i w:val="0"/>
                <w:iCs w:val="0"/>
                <w:color w:val="auto"/>
                <w:sz w:val="21"/>
                <w:szCs w:val="21"/>
                <w:highlight w:val="none"/>
                <w:u w:val="none"/>
                <w:lang w:val="en-US" w:eastAsia="zh-CN" w:bidi="ar"/>
              </w:rPr>
              <w:t xml:space="preserve">±1mm，板上印有线路图，安装有5个6.2V的灯泡、开关、指示灯及10个接线柱。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溶液盒5套，盒体应采用透明塑料注塑成型，表面光洁透明，外形尺寸：50±2mm×28±2mm×60±2mm，溶液盒盖应采用橡胶压制而成，盖上安装石墨碳棒电极两根，电极直径为4mm，长48mm，外接导线及接线叉。供电DC6V；可同时演示五组。</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AE1-23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金刚石结构模型</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#1.全塑料制，演示用。由Φ22mm的碳原子34个、键44根组成。碳原子为黑色，四孔；键为灰色，直径4mm，长17mm。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AE1-24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石墨结构模型</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#1.全塑料制，演示用。由Φ22mm的碳原子39个、中键45根、长键14根组成。碳原子为黑色，五孔；中键为白色、长键为灰色。中键直径4mm，长15mm。长键直径3mm，长29mm。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AE1-25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碳-60结构模型</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#1.全塑料制，演示用。由Φ22mm的碳原子60个、单中键60根、双中键30根组成。碳原子为黑色，三孔；单中键为灰色、双中键为紫色。键直径4mm，长15mm。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AE1-26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氯化钠晶体结构模型</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#1.全塑料制，演示用。由Φ22mm的氯原子13个、钠原子14个、长键54根组成。氯原子为绿色、钠原子为灰色。键直径3mm，长30mm。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AE1-27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金属矿物、金属及合金标本</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#1.主要技术指标：应选取不少于5种以上的标本。 每种标本样品外形尺寸不小于25mm×15mm，标本盒内固定牢靠。标本盒不小于190mm×130mm。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8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AE1-28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原油常见馏分标本</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要技术指标：选用常见的、用途较为广泛的馏分，应包含不少于10种，每种标本应具有一定的可见度，能满足正常的教学。标本应特征明显，在标本盒内固定牢靠。每种样品均应有相应标志性质、特征、用途的文字简介，标本盒不小于190mm×130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AE1-29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#1.主要技术指标：选用不少于十种高分子材料标本。每种材料标本外形尺寸不小于25mm×15mm。在标本盒内固定牢靠。</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AE1-30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#1.人造牙、氧化铝陶瓷、压电陶瓷、光导纤维均固定于底盒，并有标签。标本盒为塑料制作，上盖为透明塑料，整体外形尺寸：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20</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mm×125mm×30mm。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95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学生分组实验仪器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r>
      <w:tr>
        <w:trPr>
          <w:trHeight w:val="108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打孔器刮刀</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#1．本产品由壳体及油石组成。壳体钢材制。壳体在磨刀时应夹紧打孔器，且打孔器正好与油石靠牢。油石为白刚玉料。打孔器刮刀装配牢固，无松动现象。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5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酒精喷灯</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#1.结构合理，制作精细、使用方便；仪器由灯壶、灯管、空气调节器、预热壶、加料口等部分组成；空气调节器应能自如的调节空气进量从而调节火焰大小；仪器应密闭而无渗漏；灯壶加工精细，壶底无焊接；</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电加热器</w:t>
            </w:r>
            <w:r/>
          </w:p>
        </w:tc>
        <w:tc>
          <w:tcPr>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#1.额定电压ＡＣ220Ｖ±5％ 50Ｈz＋5,消耗功率</w:t>
            </w:r>
            <w:r>
              <w:rPr>
                <w:rFonts w:hint="eastAsia" w:ascii="宋体" w:hAnsi="宋体" w:cs="宋体"/>
                <w:i w:val="0"/>
                <w:iCs w:val="0"/>
                <w:color w:val="auto"/>
                <w:sz w:val="21"/>
                <w:szCs w:val="21"/>
                <w:highlight w:val="none"/>
                <w:u w:val="none"/>
                <w:lang w:val="en-US" w:eastAsia="zh" w:bidi="ar"/>
              </w:rPr>
              <w:t xml:space="preserve">≥900</w:t>
            </w:r>
            <w:r>
              <w:rPr>
                <w:rFonts w:hint="eastAsia" w:ascii="宋体" w:hAnsi="宋体" w:eastAsia="宋体" w:cs="宋体"/>
                <w:i w:val="0"/>
                <w:iCs w:val="0"/>
                <w:color w:val="auto"/>
                <w:sz w:val="21"/>
                <w:szCs w:val="21"/>
                <w:highlight w:val="none"/>
                <w:u w:val="none"/>
                <w:lang w:val="en-US" w:eastAsia="zh-CN" w:bidi="ar"/>
              </w:rPr>
              <w:t xml:space="preserve">Ｗ。加热盘直径</w:t>
            </w:r>
            <w:r>
              <w:rPr>
                <w:rFonts w:hint="eastAsia" w:ascii="宋体" w:hAnsi="宋体" w:cs="宋体"/>
                <w:i w:val="0"/>
                <w:iCs w:val="0"/>
                <w:color w:val="auto"/>
                <w:sz w:val="21"/>
                <w:szCs w:val="21"/>
                <w:highlight w:val="none"/>
                <w:u w:val="none"/>
                <w:lang w:val="en-US" w:eastAsia="zh" w:bidi="ar"/>
              </w:rPr>
              <w:t xml:space="preserve">约</w:t>
            </w:r>
            <w:r>
              <w:rPr>
                <w:rFonts w:hint="eastAsia" w:ascii="宋体" w:hAnsi="宋体" w:eastAsia="宋体" w:cs="宋体"/>
                <w:i w:val="0"/>
                <w:iCs w:val="0"/>
                <w:color w:val="auto"/>
                <w:sz w:val="21"/>
                <w:szCs w:val="21"/>
                <w:highlight w:val="none"/>
                <w:u w:val="none"/>
                <w:lang w:val="en-US" w:eastAsia="zh-CN" w:bidi="ar"/>
              </w:rPr>
              <w:t xml:space="preserve">150mm。温控</w:t>
            </w:r>
            <w:r>
              <w:rPr>
                <w:rFonts w:hint="eastAsia" w:ascii="宋体" w:hAnsi="宋体" w:cs="宋体"/>
                <w:i w:val="0"/>
                <w:iCs w:val="0"/>
                <w:color w:val="auto"/>
                <w:sz w:val="21"/>
                <w:szCs w:val="21"/>
                <w:highlight w:val="none"/>
                <w:u w:val="none"/>
                <w:lang w:val="en-US" w:eastAsia="zh-CN" w:bidi="ar"/>
              </w:rPr>
              <w:t xml:space="preserve">旋钮</w:t>
            </w:r>
            <w:r>
              <w:rPr>
                <w:rFonts w:hint="eastAsia" w:ascii="宋体" w:hAnsi="宋体" w:eastAsia="宋体" w:cs="宋体"/>
                <w:i w:val="0"/>
                <w:iCs w:val="0"/>
                <w:color w:val="auto"/>
                <w:sz w:val="21"/>
                <w:szCs w:val="21"/>
                <w:highlight w:val="none"/>
                <w:u w:val="none"/>
                <w:lang w:val="en-US" w:eastAsia="zh-CN" w:bidi="ar"/>
              </w:rPr>
              <w:t xml:space="preserve">控制温度，指示灯显示加热。外形尺寸：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 w:bidi="ar"/>
              </w:rPr>
              <w:t xml:space="preserve">05</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 w:bidi="ar"/>
              </w:rPr>
              <w:t xml:space="preserve">05</w:t>
            </w:r>
            <w:r>
              <w:rPr>
                <w:rFonts w:hint="eastAsia" w:ascii="宋体" w:hAnsi="宋体" w:eastAsia="宋体" w:cs="宋体"/>
                <w:i w:val="0"/>
                <w:iCs w:val="0"/>
                <w:color w:val="auto"/>
                <w:sz w:val="21"/>
                <w:szCs w:val="21"/>
                <w:highlight w:val="none"/>
                <w:u w:val="none"/>
                <w:lang w:val="en-US" w:eastAsia="zh-CN" w:bidi="ar"/>
              </w:rPr>
              <w:t xml:space="preserve">×50(mm)。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AE2-04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注射器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#1.注射器由针头、注射管（100ml），活塞组成。注射管是用塑料做成的,符合GB15810标准。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-0</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塑料洗瓶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#1、挤压型，由塑料细口瓶和瓶口装置出水管组成。250mL。塑料瓶直径</w:t>
            </w:r>
            <w:r>
              <w:rPr>
                <w:rFonts w:hint="eastAsia" w:ascii="宋体" w:hAnsi="宋体" w:cs="宋体"/>
                <w:i w:val="0"/>
                <w:iCs w:val="0"/>
                <w:color w:val="auto"/>
                <w:sz w:val="21"/>
                <w:szCs w:val="21"/>
                <w:highlight w:val="none"/>
                <w:u w:val="none"/>
                <w:lang w:val="en-US" w:eastAsia="zh" w:bidi="ar"/>
              </w:rPr>
              <w:t xml:space="preserve">约</w:t>
            </w:r>
            <w:r>
              <w:rPr>
                <w:rFonts w:hint="eastAsia" w:ascii="宋体" w:hAnsi="宋体" w:eastAsia="宋体" w:cs="宋体"/>
                <w:i w:val="0"/>
                <w:iCs w:val="0"/>
                <w:color w:val="auto"/>
                <w:sz w:val="21"/>
                <w:szCs w:val="21"/>
                <w:highlight w:val="none"/>
                <w:u w:val="none"/>
                <w:lang w:val="en-US" w:eastAsia="zh-CN" w:bidi="ar"/>
              </w:rPr>
              <w:t xml:space="preserve">60mm，高</w:t>
            </w:r>
            <w:r>
              <w:rPr>
                <w:rFonts w:hint="eastAsia" w:ascii="宋体" w:hAnsi="宋体" w:cs="宋体"/>
                <w:i w:val="0"/>
                <w:iCs w:val="0"/>
                <w:color w:val="auto"/>
                <w:sz w:val="21"/>
                <w:szCs w:val="21"/>
                <w:highlight w:val="none"/>
                <w:u w:val="none"/>
                <w:lang w:val="en-US" w:eastAsia="zh" w:bidi="ar"/>
              </w:rPr>
              <w:t xml:space="preserve">约</w:t>
            </w:r>
            <w:r>
              <w:rPr>
                <w:rFonts w:hint="eastAsia" w:ascii="宋体" w:hAnsi="宋体" w:eastAsia="宋体" w:cs="宋体"/>
                <w:i w:val="0"/>
                <w:iCs w:val="0"/>
                <w:color w:val="auto"/>
                <w:sz w:val="21"/>
                <w:szCs w:val="21"/>
                <w:highlight w:val="none"/>
                <w:u w:val="none"/>
                <w:lang w:val="en-US" w:eastAsia="zh-CN" w:bidi="ar"/>
              </w:rPr>
              <w:t xml:space="preserve">100mm，</w:t>
            </w:r>
            <w:r>
              <w:rPr>
                <w:rFonts w:hint="eastAsia" w:ascii="宋体" w:hAnsi="宋体" w:cs="宋体"/>
                <w:i w:val="0"/>
                <w:iCs w:val="0"/>
                <w:color w:val="auto"/>
                <w:sz w:val="21"/>
                <w:szCs w:val="21"/>
                <w:highlight w:val="none"/>
                <w:u w:val="none"/>
                <w:lang w:val="en-US" w:eastAsia="zh-CN" w:bidi="ar"/>
              </w:rPr>
              <w:t xml:space="preserve">喷嘴</w:t>
            </w:r>
            <w:r>
              <w:rPr>
                <w:rFonts w:hint="eastAsia" w:ascii="宋体" w:hAnsi="宋体" w:eastAsia="宋体" w:cs="宋体"/>
                <w:i w:val="0"/>
                <w:iCs w:val="0"/>
                <w:color w:val="auto"/>
                <w:sz w:val="21"/>
                <w:szCs w:val="21"/>
                <w:highlight w:val="none"/>
                <w:u w:val="none"/>
                <w:lang w:val="en-US" w:eastAsia="zh-CN" w:bidi="ar"/>
              </w:rPr>
              <w:t xml:space="preserve">孔径约1mm。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5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-0</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试剂瓶托盘</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#1、本盘平时放于药品柜中，尺寸约300mm×200mm×55mm，短边有提耳，一盘内可同时放小试剂瓶30个以内。短边两侧有放置试管的孔，单边孔径分别为：Φ20mm孔3个，Φ16mm孔4个，Φ7mm孔4个。材质为耐酸碱塑料注塑成型。</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-0</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#1.提篮外形尺寸约（不带提手）：480mm×280mm×170mm，底部抽屉尺寸约35cm×25cm。提手部位为圆柱形，高约240mm（装好后的高度）。整体表面刷清漆。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塑料水槽</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#1.产品为半透明塑料注塑成型。外形尺寸：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250mm×180mm×100mm,水槽表面无瑕疵。</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924"/>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碘升华凝华管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葫芦状。由玻璃葫芦密封碘和万能夹组成。玻璃葫芦下部为球形、直径约55mm、上部为圆锥形、锥形直径约50mm、高约65mm，球体与锥形底部相通。碘的质量不少于0.3克。万能夹为金属制，表面电镀处理，四爪型，夹口部位应有软垫，手柄直径</w:t>
            </w:r>
            <w:r>
              <w:rPr>
                <w:rFonts w:hint="eastAsia" w:ascii="宋体" w:hAnsi="宋体" w:cs="宋体"/>
                <w:i w:val="0"/>
                <w:iCs w:val="0"/>
                <w:color w:val="auto"/>
                <w:sz w:val="21"/>
                <w:szCs w:val="21"/>
                <w:highlight w:val="none"/>
                <w:u w:val="none"/>
                <w:lang w:val="en-US" w:eastAsia="zh" w:bidi="ar"/>
              </w:rPr>
              <w:t xml:space="preserve">约</w:t>
            </w:r>
            <w:r>
              <w:rPr>
                <w:rFonts w:hint="eastAsia" w:ascii="宋体" w:hAnsi="宋体" w:eastAsia="宋体" w:cs="宋体"/>
                <w:i w:val="0"/>
                <w:iCs w:val="0"/>
                <w:color w:val="auto"/>
                <w:sz w:val="21"/>
                <w:szCs w:val="21"/>
                <w:highlight w:val="none"/>
                <w:u w:val="none"/>
                <w:lang w:val="en-US" w:eastAsia="zh-CN" w:bidi="ar"/>
              </w:rPr>
              <w:t xml:space="preserve">7mm、长不小于170mm。玻璃熔接平滑均匀，无气泡、无条纹。应耐80℃温差的急冷骤热。</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16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方座支架</w:t>
            </w:r>
            <w:r/>
          </w:p>
        </w:tc>
        <w:tc>
          <w:tcPr>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#1.产品由铸铁矩形底座、立杆、烧瓶夹、大小铁环、垂直夹（2只）、平行夹组成。尺寸：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210×135mm；立杆直径约Φ12mm，一端有M10×18mm螺纹；烧杯夹为铁制，夹杆尺寸：Φ7*85mm；底座、烧杯夹和立杆表面作防锈处理。铁环材料直径约6mm，大环内径约98mm，柄长</w:t>
            </w:r>
            <w:r>
              <w:rPr>
                <w:rFonts w:hint="eastAsia" w:ascii="宋体" w:hAnsi="宋体" w:cs="宋体"/>
                <w:i w:val="0"/>
                <w:iCs w:val="0"/>
                <w:color w:val="auto"/>
                <w:sz w:val="21"/>
                <w:szCs w:val="21"/>
                <w:highlight w:val="none"/>
                <w:u w:val="none"/>
                <w:lang w:val="en-US" w:eastAsia="zh" w:bidi="ar"/>
              </w:rPr>
              <w:t xml:space="preserve">约</w:t>
            </w:r>
            <w:r>
              <w:rPr>
                <w:rFonts w:hint="eastAsia" w:ascii="宋体" w:hAnsi="宋体" w:eastAsia="宋体" w:cs="宋体"/>
                <w:i w:val="0"/>
                <w:iCs w:val="0"/>
                <w:color w:val="auto"/>
                <w:sz w:val="21"/>
                <w:szCs w:val="21"/>
                <w:highlight w:val="none"/>
                <w:u w:val="none"/>
                <w:lang w:val="en-US" w:eastAsia="zh-CN" w:bidi="ar"/>
              </w:rPr>
              <w:t xml:space="preserve">105mm；小环内径约58mm，柄长</w:t>
            </w:r>
            <w:r>
              <w:rPr>
                <w:rFonts w:hint="eastAsia" w:ascii="宋体" w:hAnsi="宋体" w:cs="宋体"/>
                <w:i w:val="0"/>
                <w:iCs w:val="0"/>
                <w:color w:val="auto"/>
                <w:sz w:val="21"/>
                <w:szCs w:val="21"/>
                <w:highlight w:val="none"/>
                <w:u w:val="none"/>
                <w:lang w:val="en-US" w:eastAsia="zh" w:bidi="ar"/>
              </w:rPr>
              <w:t xml:space="preserve">约</w:t>
            </w:r>
            <w:r>
              <w:rPr>
                <w:rFonts w:hint="eastAsia" w:ascii="宋体" w:hAnsi="宋体" w:eastAsia="宋体" w:cs="宋体"/>
                <w:i w:val="0"/>
                <w:iCs w:val="0"/>
                <w:color w:val="auto"/>
                <w:sz w:val="21"/>
                <w:szCs w:val="21"/>
                <w:highlight w:val="none"/>
                <w:u w:val="none"/>
                <w:lang w:val="en-US" w:eastAsia="zh-CN" w:bidi="ar"/>
              </w:rPr>
              <w:t xml:space="preserve">125mm。垂直和平行夹为铸铝制。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万能夹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#1.产品由夹持柄及夹头组成，全钢制，表面电镀处理。上下夹口应转动自如、灵活，最大开口不小于40mm，四爪夹口部位分别配套有4个胶管。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5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#1．由铁环和3只脚组成。铁环内径：≥73mm ，外径：≥90mm，厚度≥4mm。三只脚与铁环焊接紧固，脚距相等，立放台上时圆环应与台面平行，所支承的容器不得有滑动。脚高：≥155mm，直径≥</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mm。三脚架须经烤漆防锈处理，漆层均匀、牢固。</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62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泥三角</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金属丝和套在其上的石棉筒组成。金属丝用Φ1mm左右的钢丝接成等边三角形，三角形的单边长不小于50mm，钢丝接头绞合，绞合长度不小于20㎜。石棉筒内径为Φ4mm，外径为Φ10mm。石棉筒应不裂、不缺、坚固、圆滑。金属丝应作防锈处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5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试管架</w:t>
            </w:r>
            <w:r/>
          </w:p>
        </w:tc>
        <w:tc>
          <w:tcPr>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#1．产品由顶板、底板、插杆组成，8孔、8柱，全塑料制。顶板外形尺寸：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250×28×4</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（mm），8孔分布均匀，孔径≥19.</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mm。底板外形尺寸：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250×60×5（mm），底板8个凹槽应与顶板8孔同心，孔深约2mm。插杆为长≥3</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mm，直径≥10mm，与底板孔对应成排。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9"/>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#1、全木制。漏斗架由漏斗板、支杆及底座三部分组成；漏斗板表面上有</w:t>
            </w:r>
            <w:r>
              <w:rPr>
                <w:rFonts w:hint="eastAsia" w:ascii="宋体" w:hAnsi="宋体" w:cs="宋体"/>
                <w:i w:val="0"/>
                <w:iCs w:val="0"/>
                <w:color w:val="auto"/>
                <w:sz w:val="21"/>
                <w:szCs w:val="21"/>
                <w:highlight w:val="none"/>
                <w:u w:val="none"/>
                <w:lang w:val="en-US" w:eastAsia="zh-CN" w:bidi="ar"/>
              </w:rPr>
              <w:t xml:space="preserve">两</w:t>
            </w:r>
            <w:r>
              <w:rPr>
                <w:rFonts w:hint="eastAsia" w:ascii="宋体" w:hAnsi="宋体" w:eastAsia="宋体" w:cs="宋体"/>
                <w:i w:val="0"/>
                <w:iCs w:val="0"/>
                <w:color w:val="auto"/>
                <w:sz w:val="21"/>
                <w:szCs w:val="21"/>
                <w:highlight w:val="none"/>
                <w:u w:val="none"/>
                <w:lang w:val="en-US" w:eastAsia="zh-CN" w:bidi="ar"/>
              </w:rPr>
              <w:t xml:space="preserve">个锥形孔，孔径约28mm；中部有一个台柱及孔，可以套在支杆上并用M6锁紧螺杆固定，板尺寸约195mm×60mm×1</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mm。支杆为Φ13×300mm。底座为长方形：约200mm×80mm×1</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mm，中部有一个台柱，台柱中间有一个不通的孔，孔与支杆配合适当。</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5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多用滴管架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#1、与塑料多用滴管配套使用。外形尺寸：滴管架分上下两层，每层10个插孔，孔径</w:t>
            </w:r>
            <w:r>
              <w:rPr>
                <w:rFonts w:hint="eastAsia" w:ascii="宋体" w:hAnsi="宋体" w:cs="宋体"/>
                <w:i w:val="0"/>
                <w:iCs w:val="0"/>
                <w:color w:val="auto"/>
                <w:sz w:val="21"/>
                <w:szCs w:val="21"/>
                <w:highlight w:val="none"/>
                <w:u w:val="none"/>
                <w:lang w:val="en-US" w:eastAsia="zh" w:bidi="ar"/>
              </w:rPr>
              <w:t xml:space="preserve">约</w:t>
            </w:r>
            <w:r>
              <w:rPr>
                <w:rFonts w:hint="eastAsia" w:ascii="宋体" w:hAnsi="宋体" w:eastAsia="宋体" w:cs="宋体"/>
                <w:i w:val="0"/>
                <w:iCs w:val="0"/>
                <w:color w:val="auto"/>
                <w:sz w:val="21"/>
                <w:szCs w:val="21"/>
                <w:highlight w:val="none"/>
                <w:u w:val="none"/>
                <w:lang w:val="en-US" w:eastAsia="zh-CN" w:bidi="ar"/>
              </w:rPr>
              <w:t xml:space="preserve">15mm，每层孔板的正下方有对应的穴板，穴内承接滴管的吸泡，可使滴管站直站牢。孔板、穴板和两侧的撑架都可拆卸和安装。外形尺寸：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215mm×55mm×55mm。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25"/>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输出电压：1.5V－9V直流稳压输出，每1.5V一档共六档。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#2.额定电流：1.5A。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#3.空载电压偏调：±（1％U标＋0.1V）。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#4.电压稳定性：输入电压在198V－242V间变化，在满载时各档输出电压变化量不大于0.1V。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#5.负载稳定性：输入电压保持220V不变，负载电流在0至满载范围内变化，各档输出电压变化量不大于1％U标＋0.1V。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#6.纹波电压：电源电压保持220V，满载时各档纹波电压不大于3mv（有效值）。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#7.过载保护：当输出电流在额定输出电流值的1.05－1.5倍间自动关断输出。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#8.短路保护：当输出电路短路时，仪器自动关断电压输出。工作电压：220V 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#9.机箱采用全塑料注塑成型，外形尺寸：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190mm×160mm×95mm。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酸度计(pH计)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#1.笔式。测量范围：0～14.00pH。电源：3×1.5V（AG-13型</w:t>
            </w:r>
            <w:r>
              <w:rPr>
                <w:rFonts w:hint="eastAsia" w:ascii="宋体" w:hAnsi="宋体" w:cs="宋体"/>
                <w:i w:val="0"/>
                <w:iCs w:val="0"/>
                <w:color w:val="auto"/>
                <w:sz w:val="21"/>
                <w:szCs w:val="21"/>
                <w:highlight w:val="none"/>
                <w:u w:val="none"/>
                <w:lang w:val="en-US" w:eastAsia="zh-CN" w:bidi="ar"/>
              </w:rPr>
              <w:t xml:space="preserve">纽扣电池</w:t>
            </w:r>
            <w:r>
              <w:rPr>
                <w:rFonts w:hint="eastAsia" w:ascii="宋体" w:hAnsi="宋体" w:eastAsia="宋体" w:cs="宋体"/>
                <w:i w:val="0"/>
                <w:iCs w:val="0"/>
                <w:color w:val="auto"/>
                <w:sz w:val="21"/>
                <w:szCs w:val="21"/>
                <w:highlight w:val="none"/>
                <w:u w:val="none"/>
                <w:lang w:val="en-US" w:eastAsia="zh-CN" w:bidi="ar"/>
              </w:rPr>
              <w:t xml:space="preserve">）。校准方式：</w:t>
            </w:r>
            <w:r>
              <w:rPr>
                <w:rFonts w:hint="eastAsia" w:ascii="宋体" w:hAnsi="宋体" w:cs="宋体"/>
                <w:i w:val="0"/>
                <w:iCs w:val="0"/>
                <w:color w:val="auto"/>
                <w:sz w:val="21"/>
                <w:szCs w:val="21"/>
                <w:highlight w:val="none"/>
                <w:u w:val="none"/>
                <w:lang w:val="en-US" w:eastAsia="zh"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两点校准（PH4.01/6.86）。外形尺寸：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150mm×30mm×15mm。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89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水电解实验器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#1.使用电源电压：DC16～24V；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#2.底座（塑料）、玻管两支和锥形嘴等组成；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#3.电极为合金。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#4.玻管：外径15±1mm，长度260±3mm，容积约35mL；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#5.活塞密封性能良好。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#6.玻件应光洁透明，厚度不小于1mm，烧结口厚薄均匀，平整光滑牢固。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#7.底座稳固，外形尺寸：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50</w:t>
            </w:r>
            <w:r>
              <w:rPr>
                <w:rFonts w:hint="eastAsia" w:ascii="宋体" w:hAnsi="宋体" w:eastAsia="宋体" w:cs="宋体"/>
                <w:i w:val="0"/>
                <w:iCs w:val="0"/>
                <w:color w:val="auto"/>
                <w:sz w:val="21"/>
                <w:szCs w:val="21"/>
                <w:highlight w:val="none"/>
                <w:u w:val="none"/>
                <w:lang w:val="en-US" w:eastAsia="zh-CN" w:bidi="ar"/>
              </w:rPr>
              <w:t xml:space="preserve">mm×8</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mm×2</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2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#1.由透明塑料容器及盖、电极板（铜板、锌板、铝板各1块）和接线柱组成。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#2.容器为透明塑料注塑成型，盖为ABS塑料注塑成型。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#3.电极板尺寸不小于60mm×15mm×1mm，每块板的短边上应安装有与接线柱连接的轴，轴的直径不大于4mm。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#4.接线柱为铜制，固定于盖上，电极板可插入接线柱孔中，用接线柱上的固定螺钉坚固，且可靠。</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初中微型化学实验箱</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#1.产品为微型器件，由泡沫塑料定位包装。器材包括：烧杯50ml1个、试管2支、</w:t>
            </w:r>
            <w:r>
              <w:rPr>
                <w:rFonts w:hint="eastAsia" w:ascii="宋体" w:hAnsi="宋体" w:cs="宋体"/>
                <w:i w:val="0"/>
                <w:iCs w:val="0"/>
                <w:color w:val="auto"/>
                <w:sz w:val="21"/>
                <w:szCs w:val="21"/>
                <w:highlight w:val="none"/>
                <w:u w:val="none"/>
                <w:lang w:val="en-US" w:eastAsia="zh-CN" w:bidi="ar"/>
              </w:rPr>
              <w:t xml:space="preserve">实验室</w:t>
            </w:r>
            <w:r>
              <w:rPr>
                <w:rFonts w:hint="eastAsia" w:ascii="宋体" w:hAnsi="宋体" w:eastAsia="宋体" w:cs="宋体"/>
                <w:i w:val="0"/>
                <w:iCs w:val="0"/>
                <w:color w:val="auto"/>
                <w:sz w:val="21"/>
                <w:szCs w:val="21"/>
                <w:highlight w:val="none"/>
                <w:u w:val="none"/>
                <w:lang w:val="en-US" w:eastAsia="zh-CN" w:bidi="ar"/>
              </w:rPr>
              <w:t xml:space="preserve">小酒精灯1个、玻璃尖管1根、玻璃弯管120度2个、直角弯管带塞1个、直角玻管3个、具支玻管2个、小漏斗1个、玻棒1根、蒸发皿1个、表面皿1个、玻璃瓶4个、药匙1个、水槽1个、多用滴管5个、井穴板2个、乳胶管1根、橡胶塞3个。</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分子间隔实验器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#1.产品由盛液显示柱、油酸、注射器5ml、底座组成。显示柱带底座为透明塑料注塑成型，容量不小于20mL，高度不小于100mm。底盘直径</w:t>
            </w:r>
            <w:r>
              <w:rPr>
                <w:rFonts w:hint="eastAsia" w:ascii="宋体" w:hAnsi="宋体" w:cs="宋体"/>
                <w:i w:val="0"/>
                <w:iCs w:val="0"/>
                <w:color w:val="auto"/>
                <w:sz w:val="21"/>
                <w:szCs w:val="21"/>
                <w:highlight w:val="none"/>
                <w:u w:val="none"/>
                <w:lang w:val="en-US" w:eastAsia="zh" w:bidi="ar"/>
              </w:rPr>
              <w:t xml:space="preserve">约</w:t>
            </w:r>
            <w:r>
              <w:rPr>
                <w:rFonts w:hint="eastAsia" w:ascii="宋体" w:hAnsi="宋体" w:eastAsia="宋体" w:cs="宋体"/>
                <w:i w:val="0"/>
                <w:iCs w:val="0"/>
                <w:color w:val="auto"/>
                <w:sz w:val="21"/>
                <w:szCs w:val="21"/>
                <w:highlight w:val="none"/>
                <w:u w:val="none"/>
                <w:lang w:val="en-US" w:eastAsia="zh-CN" w:bidi="ar"/>
              </w:rPr>
              <w:t xml:space="preserve">45mm。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微型溶液导电实验器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#1.主要由溶液盒、电极、开关、灯座、灯泡组成。溶液盒为透明塑料制成，带盖，外形尺寸：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mm×4</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mm×50mm。电极为碳棒，直径≥3mm，长≥35mm。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84"/>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初中分子结构模型</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#1.为球球式，演示用，全塑料注塑成型。碳原子为黑色，直径22mm；四面6个、</w:t>
            </w:r>
            <w:r>
              <w:rPr>
                <w:rFonts w:hint="eastAsia" w:ascii="宋体" w:hAnsi="宋体" w:cs="宋体"/>
                <w:i w:val="0"/>
                <w:iCs w:val="0"/>
                <w:color w:val="auto"/>
                <w:sz w:val="21"/>
                <w:szCs w:val="21"/>
                <w:highlight w:val="none"/>
                <w:u w:val="none"/>
                <w:lang w:val="en-US" w:eastAsia="zh-CN" w:bidi="ar"/>
              </w:rPr>
              <w:t xml:space="preserve">三面</w:t>
            </w:r>
            <w:r>
              <w:rPr>
                <w:rFonts w:hint="eastAsia" w:ascii="宋体" w:hAnsi="宋体" w:eastAsia="宋体" w:cs="宋体"/>
                <w:i w:val="0"/>
                <w:iCs w:val="0"/>
                <w:color w:val="auto"/>
                <w:sz w:val="21"/>
                <w:szCs w:val="21"/>
                <w:highlight w:val="none"/>
                <w:u w:val="none"/>
                <w:lang w:val="en-US" w:eastAsia="zh-CN" w:bidi="ar"/>
              </w:rPr>
              <w:t xml:space="preserve">14个、二面2个。氢原子为橙色，带键脚，直径15mm，共20个。氧原子为天蓝色，直径22mm；二面3个，一面2个。氮原子为深蓝色，直径22mm，四面1个、三面1个、二面1个、一面2个。硫原子为淡黄，直径22mm，二面1个。氯原子草绿，直径22mm，一面2个。金属为银灰，直径22mm，六面1个。塑料单键20个，塑料双键10个。</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碳的同素异形体结构模型</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#1.学生用，小型。可组装成</w:t>
            </w:r>
            <w:r>
              <w:rPr>
                <w:rFonts w:hint="eastAsia" w:ascii="宋体" w:hAnsi="宋体" w:cs="宋体"/>
                <w:i w:val="0"/>
                <w:iCs w:val="0"/>
                <w:color w:val="auto"/>
                <w:sz w:val="21"/>
                <w:szCs w:val="21"/>
                <w:highlight w:val="none"/>
                <w:u w:val="none"/>
                <w:lang w:val="en-US" w:eastAsia="zh-CN" w:bidi="ar"/>
              </w:rPr>
              <w:t xml:space="preserve">金刚石</w:t>
            </w:r>
            <w:r>
              <w:rPr>
                <w:rFonts w:hint="eastAsia" w:ascii="宋体" w:hAnsi="宋体" w:eastAsia="宋体" w:cs="宋体"/>
                <w:i w:val="0"/>
                <w:iCs w:val="0"/>
                <w:color w:val="auto"/>
                <w:sz w:val="21"/>
                <w:szCs w:val="21"/>
                <w:highlight w:val="none"/>
                <w:u w:val="none"/>
                <w:lang w:val="en-US" w:eastAsia="zh-CN" w:bidi="ar"/>
              </w:rPr>
              <w:t xml:space="preserve">、石墨、碳60三种结构模型。球体直径8mm，为黑色。连接管均为透明塑料管，管长约22mm，管孔与球体键配合适宜。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AE2-26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#1.红液，0～100℃。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AE2-27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strike/>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#1.水银，0～200℃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135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贮气装置</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#1.贮气装置用透明塑料和ABS工程塑料注塑成型。贮气装置外形尺寸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：直径160mm,高200mm。表面标有刻度线，最小刻度200mL，容量</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3000mL。各焊接部位牢固、密封、无漏气现象。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量杯</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#1、止水夹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#1、酸式，25mL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#1、碱式，25mL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#1、Φ12mm×70mm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#1、Φ15mm×150mm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#1、Φ18mm×180mm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#1、Φ20mm×200mm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#1、Φ32mm×200mm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具支试管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#1、Φ20mm×200mm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硬质玻璃管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#1、Φ15mm×150mm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硬质玻璃管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#1、Φ20mm×250mm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#1、圆、长，250mL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#1、平、长，250mL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蒸馏烧瓶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抽滤瓶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抽气管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#1、抽气用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干燥器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气体发生器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冷凝器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#1、直固，300mm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牛角管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#1、弯形，Φ18mm×150mm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安全漏斗</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#1、直形</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安全漏斗</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分液漏斗</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#1、锥形，100mL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分液漏斗</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#1、梨形，50mL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布氏漏斗</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#1、瓷，80mm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T形管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#1、直径Φ7－8mm，直通管长度100mm，垂直管长度50mm。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Y形管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弯管长：50mm±5mm；支管长：50mm±5mm；管厚：1±0.2mm；管径：Φ7mm－8mm；全高：100mm±5mm。弯管角度：60º±3º。</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由玻璃滴管和胶头组成。 规格：150mm；管身Φ7mm－8mm；管全长：150mm±10mm；喇叭口Φ10mm±1mm。球距上管口长：50mm±5mm。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干燥管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#1、单球，150mm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干燥管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#1、U型，Φ15mm×150mm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活塞</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#1、直形</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圆水槽</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#1、Φ200mm×100mm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圆水槽</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#1、Φ270mm×140mm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玻璃钟罩</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#1、Φ150mm×280mm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#1、125mL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液封除毒气集气瓶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#1、125mL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#1、茶，60mL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#1、茶，125mL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#1、茶，250mL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#1、125mL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#1、茶，60mL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#1、茶，125mL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#1、茶，250mL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#1、茶，500mL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#1、茶，1000mL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#1、茶，30mL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#1、茶，60mL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#1、内6mm外10mm  产品用天然橡胶制造。</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止水夹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#1、45*50mm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坩埚</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#1、瓷，30mL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坩埚钳</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#1、产品钢制，表面电镀处理。总长度约220mm。钳子的夹持端为弯头，端头应有齿纹，便于夹住物体，吻合一致。</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产品用厚度为≥2㎜的不锈钢板制造。总长度为300mm，宽度为20㎜。 产品制作应光滑、平整、无缺陷。 产品的夹持端为菱形，吻合应一致。</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镊子</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镊子用不锈钢板材制成。镊子的宽度不小于9mm，镊子的长度为160±5mm。镊子制作应光滑、平整、无缺陷。镊子的夹持端应有齿纹，便于夹住物体，吻合一致，弹性好。</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#1、产品为竹制品。长度</w:t>
            </w:r>
            <w:r>
              <w:rPr>
                <w:rFonts w:hint="eastAsia" w:ascii="宋体" w:hAnsi="宋体" w:cs="宋体"/>
                <w:i w:val="0"/>
                <w:iCs w:val="0"/>
                <w:color w:val="auto"/>
                <w:sz w:val="21"/>
                <w:szCs w:val="21"/>
                <w:highlight w:val="none"/>
                <w:u w:val="none"/>
                <w:lang w:val="en-US" w:eastAsia="zh" w:bidi="ar"/>
              </w:rPr>
              <w:t xml:space="preserve">约</w:t>
            </w:r>
            <w:r>
              <w:rPr>
                <w:rFonts w:hint="eastAsia" w:ascii="宋体" w:hAnsi="宋体" w:eastAsia="宋体" w:cs="宋体"/>
                <w:i w:val="0"/>
                <w:iCs w:val="0"/>
                <w:color w:val="auto"/>
                <w:sz w:val="21"/>
                <w:szCs w:val="21"/>
                <w:highlight w:val="none"/>
                <w:u w:val="none"/>
                <w:lang w:val="en-US" w:eastAsia="zh-CN" w:bidi="ar"/>
              </w:rPr>
              <w:t xml:space="preserve">170mm，宽度</w:t>
            </w:r>
            <w:r>
              <w:rPr>
                <w:rFonts w:hint="eastAsia" w:ascii="宋体" w:hAnsi="宋体" w:cs="宋体"/>
                <w:i w:val="0"/>
                <w:iCs w:val="0"/>
                <w:color w:val="auto"/>
                <w:sz w:val="21"/>
                <w:szCs w:val="21"/>
                <w:highlight w:val="none"/>
                <w:u w:val="none"/>
                <w:lang w:val="en-US" w:eastAsia="zh" w:bidi="ar"/>
              </w:rPr>
              <w:t xml:space="preserve">约</w:t>
            </w:r>
            <w:r>
              <w:rPr>
                <w:rFonts w:hint="eastAsia" w:ascii="宋体" w:hAnsi="宋体" w:eastAsia="宋体" w:cs="宋体"/>
                <w:i w:val="0"/>
                <w:iCs w:val="0"/>
                <w:color w:val="auto"/>
                <w:sz w:val="21"/>
                <w:szCs w:val="21"/>
                <w:highlight w:val="none"/>
                <w:u w:val="none"/>
                <w:lang w:val="en-US" w:eastAsia="zh-CN" w:bidi="ar"/>
              </w:rPr>
              <w:t xml:space="preserve">12mm，厚度</w:t>
            </w:r>
            <w:r>
              <w:rPr>
                <w:rFonts w:hint="eastAsia" w:ascii="宋体" w:hAnsi="宋体" w:cs="宋体"/>
                <w:i w:val="0"/>
                <w:iCs w:val="0"/>
                <w:color w:val="auto"/>
                <w:sz w:val="21"/>
                <w:szCs w:val="21"/>
                <w:highlight w:val="none"/>
                <w:u w:val="none"/>
                <w:lang w:val="en-US" w:eastAsia="zh" w:bidi="ar"/>
              </w:rPr>
              <w:t xml:space="preserve">约</w:t>
            </w:r>
            <w:r>
              <w:rPr>
                <w:rFonts w:hint="eastAsia" w:ascii="宋体" w:hAnsi="宋体" w:eastAsia="宋体" w:cs="宋体"/>
                <w:i w:val="0"/>
                <w:iCs w:val="0"/>
                <w:color w:val="auto"/>
                <w:sz w:val="21"/>
                <w:szCs w:val="21"/>
                <w:highlight w:val="none"/>
                <w:u w:val="none"/>
                <w:lang w:val="en-US" w:eastAsia="zh-CN" w:bidi="ar"/>
              </w:rPr>
              <w:t xml:space="preserve">7.5mm。试管夹弹簧有足够弹性，作防锈处理。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止水皮管夹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#1.产品用直径Φ1.5mm的钢丝制成。应作防锈处理。产品的夹持角度不小于60º。夹子的夹持应可靠，吻合好，弹性好。</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螺旋皮管夹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#1.产品用钢材制成。产品的夹持范围最大应不小于20mm，夹子的夹持应可靠，吻合好。螺母与螺杆螺纹应吻合好，旋动轻便，不应有卡死现象。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89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陶土网</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金属网和附在网上的石棉组成。金属网由Φ0.1mm左右的钢丝编织而成，密度均匀，织网密度间距不大于2mm，金属网为边长不小于100mm的正方形。金属网上所附石棉圈为双面附着的正圆形，直径不小于Φ100mm，厚度为3mm左右。</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燃烧匙</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#1．产品由半圆面和金属丝结合制成。半圆面为铜材制造，直径Φ为20mm左右。金属丝约用Φ2mm的钢丝或铁丝制造，长度为240mm左右。</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#1.药匙采用塑料制成。药匙的宽度约10mm，长度为120±5mm。产品制作应光滑、平整、无</w:t>
            </w:r>
            <w:r>
              <w:rPr>
                <w:rFonts w:hint="eastAsia" w:ascii="宋体" w:hAnsi="宋体" w:cs="宋体"/>
                <w:i w:val="0"/>
                <w:iCs w:val="0"/>
                <w:color w:val="auto"/>
                <w:sz w:val="21"/>
                <w:szCs w:val="21"/>
                <w:highlight w:val="none"/>
                <w:u w:val="none"/>
                <w:lang w:val="en-US" w:eastAsia="zh-CN" w:bidi="ar"/>
              </w:rPr>
              <w:t xml:space="preserve">毛刺</w:t>
            </w:r>
            <w:r>
              <w:rPr>
                <w:rFonts w:hint="eastAsia" w:ascii="宋体" w:hAnsi="宋体" w:eastAsia="宋体" w:cs="宋体"/>
                <w:i w:val="0"/>
                <w:iCs w:val="0"/>
                <w:color w:val="auto"/>
                <w:sz w:val="21"/>
                <w:szCs w:val="21"/>
                <w:highlight w:val="none"/>
                <w:u w:val="none"/>
                <w:lang w:val="en-US" w:eastAsia="zh-CN" w:bidi="ar"/>
              </w:rPr>
              <w:t xml:space="preserve">、无缺陷。</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#1.Φ5～Φ6mm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#1.Φ7～Φ8mm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#1.Φ3～Φ4mm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#1.Φ5～Φ6mm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软胶塞</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#1.产品用天然橡胶制造，白色。每包软胶塞由0~10号的胶塞组成，要求搭配合理。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#1.产品用优质天然橡胶制造。产品内径为7~8mm，壁厚≥1mm。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乳胶管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#1.产品用乳胶制造。产品内径为5~7mm。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试管刷</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#1.产品由金属丝和绞合在其上的猪鬃毛制成，大、中、小各一个。金属丝用约Φ1.5mm左右的镀锌铁丝2根绞合，总长度不小于200mm。制成的试管刷要求不散、不脱毛。</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烧瓶刷</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#1.产品由金属丝和绞合在其上的猪鬃毛制成。金属丝用约Φ1.5mm左右的镀锌铁丝2根绞合，总长度不小于200mm。制成的烧瓶刷呈鼓形，最大直径约Φ60mm，长度约100mm，要求不散、脱毛。</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结晶皿</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表面皿</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表面皿</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-13</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研钵</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#1、瓷，60mm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-13</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研钵</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#1、瓷，90mm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-13</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蒸发皿</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#1、瓷，60mm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-13</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蒸发皿</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#1、瓷，100mm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-13</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反应板</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#1、至少6穴</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-13</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井穴板</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#1、产品为透明塑料注塑料成型。9孔，0.7mL×9。整体外形尺寸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：115mm×11mm×15mm。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-13</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井穴板</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#1、产品为透明塑料注塑料成型。6孔，5mL×6。整体外形尺寸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：80mm×55mm×22mm。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-13</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胶头滴管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#1、1ml、2ml、3ml、5ml、10ml各20个</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-13</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塑料多用滴管</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#1、4mL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初中化学实验材料</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#1、黄铜片、蜡烛、剪刀、焊锡丝、炭棒2根、导线两色各1米、电灯泡（220V、25W）、木板、电珠（1.5V、2.5V、3.8V、4.8V、6.2V各2只）、砂纸。</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份</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一字螺丝刀</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#1、Φ4.5mm胶柄</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十字螺丝刀</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#1、Φ4.5mm胶柄</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钢丝钳</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#1、规格：150mm，镀铬双色塑柄，45﹟钢；</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手锤</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#1、0.5kg</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锉刀</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#1、平中齿，150mm，带手柄</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剪刀</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#1、民用，150mm，尖头</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玻璃瓶盖开启器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#1、产品由内丝旋套（塑料制）及塑料手柄带螺旋钢丝组成。供开启玻璃瓶口的软木塞。</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#1、纯白色，由布料制成，长度不小于90cm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护目镜</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#1、防机械冲击，全塑料制，侧面完全遮挡。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防护面罩</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#1.产品由透明有机玻璃和帽架组成。面罩应清洁透明，应无波纹、无划伤、裂纹。帽架应采用韧性好的材料制作，不易拆断、变形。面罩与帽架的连接应牢固可靠。帽架系带应</w:t>
            </w:r>
            <w:r>
              <w:rPr>
                <w:rFonts w:hint="eastAsia" w:ascii="宋体" w:hAnsi="宋体" w:cs="宋体"/>
                <w:i w:val="0"/>
                <w:iCs w:val="0"/>
                <w:color w:val="auto"/>
                <w:sz w:val="21"/>
                <w:szCs w:val="21"/>
                <w:highlight w:val="none"/>
                <w:u w:val="none"/>
                <w:lang w:val="en-US" w:eastAsia="zh-CN" w:bidi="ar"/>
              </w:rPr>
              <w:t xml:space="preserve">易于</w:t>
            </w:r>
            <w:r>
              <w:rPr>
                <w:rFonts w:hint="eastAsia" w:ascii="宋体" w:hAnsi="宋体" w:eastAsia="宋体" w:cs="宋体"/>
                <w:i w:val="0"/>
                <w:iCs w:val="0"/>
                <w:color w:val="auto"/>
                <w:sz w:val="21"/>
                <w:szCs w:val="21"/>
                <w:highlight w:val="none"/>
                <w:u w:val="none"/>
                <w:lang w:val="en-US" w:eastAsia="zh-CN" w:bidi="ar"/>
              </w:rPr>
              <w:t xml:space="preserve">调整松紧。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89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防毒口罩</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#1．直接式防毒口罩。由主体、滤毒盒、滤毒材料、吸气阀和系带组成。口罩能完全罩住口、鼻不漏气。系带可调节松紧。防毒时间不小于45分钟。有关口罩的数据： 口罩重量：≤300g；呼气阻力：≤49Pa；吸气阻力：≤20Pa；泄漏率：≤2%；下方视野：&gt;35º。</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手套</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#1、乳胶，优质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r>
      <w:tr>
        <w:trPr>
          <w:trHeight w:val="108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耐酸手套</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#1.产品为橡胶制品，长袖口带五指套。袖长不短于20cm.。应耐强酸、强碱及氧化剂、还原剂等化学药品试剂的腐蚀，并结实耐用。冬季不得发硬，夏季不得粘连。各部位应完整严密，无开裂和小孔。</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洗眼器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#1.玻璃制</w:t>
            </w:r>
            <w:r>
              <w:rPr>
                <w:rFonts w:hint="eastAsia" w:ascii="宋体" w:hAnsi="宋体" w:eastAsia="宋体" w:cs="宋体"/>
                <w:i w:val="0"/>
                <w:iCs w:val="0"/>
                <w:strike w:val="0"/>
                <w:color w:val="auto"/>
                <w:sz w:val="21"/>
                <w:szCs w:val="21"/>
                <w:highlight w:val="none"/>
                <w:u w:val="none"/>
                <w:lang w:val="en-US" w:eastAsia="zh-CN" w:bidi="ar"/>
              </w:rPr>
              <w:t xml:space="preserve">品。符合卫生器械的规定。方便</w:t>
            </w:r>
            <w:r>
              <w:rPr>
                <w:rFonts w:hint="eastAsia" w:ascii="宋体" w:hAnsi="宋体" w:eastAsia="宋体" w:cs="宋体"/>
                <w:i w:val="0"/>
                <w:iCs w:val="0"/>
                <w:color w:val="auto"/>
                <w:sz w:val="21"/>
                <w:szCs w:val="21"/>
                <w:highlight w:val="none"/>
                <w:u w:val="none"/>
                <w:lang w:val="en-US" w:eastAsia="zh-CN" w:bidi="ar"/>
              </w:rPr>
              <w:t xml:space="preserve">冲洗眼睛使用。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strike w:val="0"/>
                <w:color w:val="auto"/>
                <w:sz w:val="21"/>
                <w:szCs w:val="21"/>
                <w:highlight w:val="none"/>
                <w:u w:val="none"/>
                <w:lang w:val="en-US"/>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AE</w:t>
            </w:r>
            <w:r>
              <w:rPr>
                <w:rFonts w:hint="eastAsia" w:ascii="宋体" w:hAnsi="宋体" w:cs="宋体"/>
                <w:i w:val="0"/>
                <w:iCs w:val="0"/>
                <w:strike w:val="0"/>
                <w:color w:val="auto"/>
                <w:sz w:val="21"/>
                <w:szCs w:val="21"/>
                <w:highlight w:val="none"/>
                <w:u w:val="none"/>
                <w:lang w:val="en-US" w:eastAsia="zh-CN" w:bidi="ar"/>
              </w:rPr>
              <w:t xml:space="preserve">2</w:t>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简易急救箱</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急救箱内应配备以下药品及器材：酒精棉球1瓶；红霉素软膏1支；甲紫溶液1瓶；碘酒1瓶；医用脱脂纱布1包；医用棉签1包；医用绷带1卷；橡皮胶1卷；创可贴10条；旅行剪刀1把；镊子1把。塑料箱1个。碳酸氢钠溶液1瓶。硼酸溶液1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件</w:t>
            </w:r>
            <w:r/>
          </w:p>
        </w:tc>
      </w:tr>
      <w:tr>
        <w:trPr>
          <w:trHeight w:val="108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实验防护屏</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#1.产品为三片折叠式结构，由透明度好的有机玻璃制造。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w:t>
            </w:r>
            <w:r>
              <w:rPr>
                <w:rFonts w:hint="eastAsia" w:ascii="宋体" w:hAnsi="宋体" w:cs="宋体"/>
                <w:i w:val="0"/>
                <w:iCs w:val="0"/>
                <w:color w:val="auto"/>
                <w:sz w:val="21"/>
                <w:szCs w:val="21"/>
                <w:highlight w:val="none"/>
                <w:u w:val="none"/>
                <w:lang w:val="en-US" w:eastAsia="zh" w:bidi="ar"/>
              </w:rPr>
              <w:t xml:space="preserve">约</w:t>
            </w:r>
            <w:r>
              <w:rPr>
                <w:rFonts w:hint="eastAsia" w:ascii="宋体" w:hAnsi="宋体" w:eastAsia="宋体" w:cs="宋体"/>
                <w:i w:val="0"/>
                <w:iCs w:val="0"/>
                <w:color w:val="auto"/>
                <w:sz w:val="21"/>
                <w:szCs w:val="21"/>
                <w:highlight w:val="none"/>
                <w:u w:val="none"/>
                <w:lang w:val="en-US" w:eastAsia="zh-CN" w:bidi="ar"/>
              </w:rPr>
              <w:t xml:space="preserve">300mm×290mm一块，尺寸</w:t>
            </w:r>
            <w:r>
              <w:rPr>
                <w:rFonts w:hint="eastAsia" w:ascii="宋体" w:hAnsi="宋体" w:cs="宋体"/>
                <w:i w:val="0"/>
                <w:iCs w:val="0"/>
                <w:color w:val="auto"/>
                <w:sz w:val="21"/>
                <w:szCs w:val="21"/>
                <w:highlight w:val="none"/>
                <w:u w:val="none"/>
                <w:lang w:val="en-US" w:eastAsia="zh" w:bidi="ar"/>
              </w:rPr>
              <w:t xml:space="preserve">约</w:t>
            </w:r>
            <w:r>
              <w:rPr>
                <w:rFonts w:hint="eastAsia" w:ascii="宋体" w:hAnsi="宋体" w:eastAsia="宋体" w:cs="宋体"/>
                <w:i w:val="0"/>
                <w:iCs w:val="0"/>
                <w:color w:val="auto"/>
                <w:sz w:val="21"/>
                <w:szCs w:val="21"/>
                <w:highlight w:val="none"/>
                <w:u w:val="none"/>
                <w:lang w:val="en-US" w:eastAsia="zh-CN" w:bidi="ar"/>
              </w:rPr>
              <w:t xml:space="preserve">300mm×145mm二块，厚度不小于2mm。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#3.防护屏支撑牢靠，平稳。合叶与屏板连接牢靠，经多次开合不得脱落。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08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木炭、植物油、面粉、味精、食醋、洗洁精、铁钉、棉花、牛奶、鸡蛋等</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#1、木炭、植物油、面粉、味精、食醋、</w:t>
            </w:r>
            <w:r>
              <w:rPr>
                <w:rFonts w:hint="eastAsia" w:ascii="宋体" w:hAnsi="宋体" w:cs="宋体"/>
                <w:i w:val="0"/>
                <w:iCs w:val="0"/>
                <w:color w:val="auto"/>
                <w:sz w:val="21"/>
                <w:szCs w:val="21"/>
                <w:highlight w:val="none"/>
                <w:u w:val="none"/>
                <w:lang w:val="en-US" w:eastAsia="zh-CN" w:bidi="ar"/>
              </w:rPr>
              <w:t xml:space="preserve">洗洁精</w:t>
            </w:r>
            <w:r>
              <w:rPr>
                <w:rFonts w:hint="eastAsia" w:ascii="宋体" w:hAnsi="宋体" w:eastAsia="宋体" w:cs="宋体"/>
                <w:i w:val="0"/>
                <w:iCs w:val="0"/>
                <w:color w:val="auto"/>
                <w:sz w:val="21"/>
                <w:szCs w:val="21"/>
                <w:highlight w:val="none"/>
                <w:u w:val="none"/>
                <w:lang w:val="en-US" w:eastAsia="zh-CN" w:bidi="ar"/>
              </w:rPr>
              <w:t xml:space="preserve">、铁钉、棉花</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静电仪</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
              </w:rPr>
              <w:suppressLineNumbers w:val="0"/>
            </w:pPr>
            <w:r>
              <w:rPr>
                <w:rFonts w:hint="eastAsia" w:ascii="宋体" w:hAnsi="宋体" w:eastAsia="宋体" w:cs="宋体"/>
                <w:i w:val="0"/>
                <w:iCs w:val="0"/>
                <w:color w:val="auto"/>
                <w:sz w:val="21"/>
                <w:szCs w:val="21"/>
                <w:highlight w:val="none"/>
                <w:u w:val="none"/>
                <w:lang w:val="en-US" w:eastAsia="zh-CN" w:bidi="ar"/>
              </w:rPr>
              <w:t xml:space="preserve">#1、测量范围：0-±20KV；分辨率：低范围±0.1KV;高范围士1KV；测量误差：±10；尺寸规格：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165*25*115MM</w:t>
            </w:r>
            <w:r>
              <w:rPr>
                <w:rFonts w:hint="eastAsia" w:ascii="宋体" w:hAnsi="宋体" w:cs="宋体"/>
                <w:i w:val="0"/>
                <w:iCs w:val="0"/>
                <w:color w:val="auto"/>
                <w:sz w:val="21"/>
                <w:szCs w:val="21"/>
                <w:highlight w:val="none"/>
                <w:u w:val="none"/>
                <w:lang w:val="en-US" w:eastAsia="zh" w:bidi="ar"/>
              </w:rPr>
              <w:t xml:space="preserve">。</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5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温湿度仪</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#1、温度范围：-40~80℃（可外接探头-40~120℃/-40~125℃），湿度范围：0~99.9%RH；精度：温度：±0.3℃（25℃)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湿度：±2%RH（60%RH)；供电电压：5V1.5A供电；通讯接口：支持WIFI无线通讯接口，支持连接2.4GHz wif</w:t>
            </w:r>
            <w:r>
              <w:rPr>
                <w:rFonts w:hint="eastAsia" w:ascii="宋体" w:hAnsi="宋体" w:cs="宋体"/>
                <w:i w:val="0"/>
                <w:iCs w:val="0"/>
                <w:color w:val="auto"/>
                <w:sz w:val="21"/>
                <w:szCs w:val="21"/>
                <w:highlight w:val="none"/>
                <w:u w:val="none"/>
                <w:lang w:val="en-US" w:eastAsia="zh-CN" w:bidi="ar"/>
              </w:rPr>
              <w:t xml:space="preserve">i</w:t>
            </w:r>
            <w:r>
              <w:rPr>
                <w:rFonts w:hint="eastAsia" w:ascii="宋体" w:hAnsi="宋体" w:eastAsia="宋体" w:cs="宋体"/>
                <w:i w:val="0"/>
                <w:iCs w:val="0"/>
                <w:color w:val="auto"/>
                <w:sz w:val="21"/>
                <w:szCs w:val="21"/>
                <w:highlight w:val="none"/>
                <w:u w:val="none"/>
                <w:lang w:val="en-US" w:eastAsia="zh-CN" w:bidi="ar"/>
              </w:rPr>
              <w:t xml:space="preserve">网络；尺寸：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20*30*3cm，电源线长1米。</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有毒气体检测仪</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#1、复合式多气体检测仪，≥2.0英寸LCD液晶屏，尺寸：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130*6</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*30mm；采样方式：自然扩散式；报警方式：声音、振动、灯光等三重报警方式。</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灭火器</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#1、48CM+13CM，干粉灭火剂</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灭火毯</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2*2m，使用温度：800℃，材质：玻璃纤维</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消防沙箱配铲子</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40*40*40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，箱体厚度：0.4mm，容积：0.06m³，箱体材质：铁，颜色：红色；铲子：V型铲尖。</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危废品分集桶</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#1、≥22.6L</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安全信息牌</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#1、PVC塑料板，</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30*20cm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5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化学实验废水处理装置</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#1.主体透明，能进行pH测试、酸碱废液中和、重金属凝聚和过滤，兼作教学使用；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#2.能处理中学常见无机化学废液，同时可以通过仪器内的活性炭吸附少量混入的有机物；应配备适量的凝聚剂和助凝剂，至少应配备更换用活性炭包1个，处理量≥6L/次；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ectPr>
          <w:footnotePr/>
          <w:endnotePr/>
          <w:type w:val="nextPage"/>
          <w:pgSz w:w="11906" w:h="16838" w:orient="portrait"/>
          <w:pgMar w:top="1440" w:right="1080" w:bottom="1440" w:left="1080" w:header="851" w:footer="992" w:gutter="0"/>
          <w:cols w:num="1" w:sep="0" w:space="720" w:equalWidth="1"/>
          <w:docGrid w:linePitch="360"/>
        </w:sect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bl>
      <w:tblPr>
        <w:tblStyle w:val="701"/>
        <w:tblW w:w="1036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73"/>
        <w:gridCol w:w="1172"/>
        <w:gridCol w:w="6793"/>
        <w:gridCol w:w="705"/>
        <w:gridCol w:w="720"/>
      </w:tblGrid>
      <w:tr>
        <w:trPr>
          <w:trHeight w:val="567" w:hRule="exact"/>
        </w:trPr>
        <w:tc>
          <w:tcPr>
            <w:gridSpan w:val="5"/>
            <w:tcBorders>
              <w:top w:val="single" w:color="000000" w:sz="4" w:space="0"/>
              <w:left w:val="single" w:color="000000" w:sz="4" w:space="0"/>
              <w:bottom w:val="single" w:color="000000" w:sz="4" w:space="0"/>
              <w:right w:val="single" w:color="000000" w:sz="4" w:space="0"/>
            </w:tcBorders>
            <w:tcW w:w="1036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AF-初中生物仪器</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93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教师演示仪器</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AF1-01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打孔器</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#1、采用钢材，防锈处理。穿孔管用外径为6mm、8mm、10mm，壁厚≥1mm的无缝钢管，手柄用≥3mm厚低碳钢板，通用条Ф2.8mm碳素钢等制成。四件为一套，可穿4mm、6mm、8mm的圆孔。</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AF1-02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产品结构：整体采用钢管做车架，有两层托盘，每层托盘三周有护栏围杆，四底脚有万向轮，小车两端有推拉扶手。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尺寸不小于：(长)600mm×(宽)400mm×(高)800mm ，车体加载30</w:t>
            </w:r>
            <w:r>
              <w:rPr>
                <w:rFonts w:hint="eastAsia" w:ascii="宋体" w:hAnsi="宋体" w:cs="宋体"/>
                <w:i w:val="0"/>
                <w:iCs w:val="0"/>
                <w:color w:val="auto"/>
                <w:sz w:val="21"/>
                <w:szCs w:val="21"/>
                <w:highlight w:val="none"/>
                <w:u w:val="none"/>
                <w:lang w:val="en-US" w:eastAsia="zh-CN" w:bidi="ar"/>
              </w:rPr>
              <w:t xml:space="preserve">kg</w:t>
            </w:r>
            <w:r>
              <w:rPr>
                <w:rFonts w:hint="eastAsia" w:ascii="宋体" w:hAnsi="宋体" w:eastAsia="宋体" w:cs="宋体"/>
                <w:i w:val="0"/>
                <w:iCs w:val="0"/>
                <w:color w:val="auto"/>
                <w:sz w:val="21"/>
                <w:szCs w:val="21"/>
                <w:highlight w:val="none"/>
                <w:u w:val="none"/>
                <w:lang w:val="en-US" w:eastAsia="zh-CN" w:bidi="ar"/>
              </w:rPr>
              <w:t xml:space="preserve">重物后，应推拉灵活，车体无变形。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每层托盘有防振结构。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车体底脚万向轮转动灵活，结实耐用。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表面不应有明显的凹痕、裂缝、变形等缺陷。表面涂镀层应均匀，不应起泡、龟裂、脱落和磨损。金属零部件不应有锈蚀及其他机械损伤。</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r>
      <w:tr>
        <w:trPr>
          <w:trHeight w:val="3666"/>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AF1-03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生物显微镜</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#1、组成：镜座、镜臂、镜筒、准焦螺旋、物镜转换器、载物台、移动标尺、反光镜、目镜、物镜等。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#2、规格：1000倍。惠更斯目镜：H5×、H10×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物镜转换器</w:t>
            </w:r>
            <w:r>
              <w:rPr>
                <w:rFonts w:hint="eastAsia" w:ascii="宋体" w:hAnsi="宋体" w:eastAsia="宋体" w:cs="宋体"/>
                <w:i w:val="0"/>
                <w:iCs w:val="0"/>
                <w:color w:val="auto"/>
                <w:sz w:val="21"/>
                <w:szCs w:val="21"/>
                <w:highlight w:val="none"/>
                <w:u w:val="none"/>
                <w:lang w:val="en-US" w:eastAsia="zh-CN" w:bidi="ar"/>
              </w:rPr>
              <w:t xml:space="preserve">三孔同心，定位准确。镜头采用高品质光学玻璃材料。反光镜一面为平面，一面为凹面。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、载物台：单层方平台，移动尺，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120mm×120mm。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、整机机架为金属制作，镜座应为铸铁制作。所有齿轮、齿条为黄铜制造。</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837"/>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AF1-04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生物显微镜</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#1．产品由镜座、镜臂、镜筒、准焦螺旋、物镜转换器、载物台、反光镜、目镜、物镜等组成；除调焦手轮和镜片外，整体采用金属材料制造；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．放大倍率：500×或 640×；消色差物镜：10×、40×、4×；单目 45°，斜筒，可 360°旋转；惠更斯目镜：12．5 或 16×，广角：10×；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7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AF1-05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教师用生物数码显微镜</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仪器净重≥8kg,仪器高度≤60cm；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#2.无限远平场消色差物镜：4X、10X、20X、40X、100X;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#3.广视场目镜：2个，WF10×，≥φ20mm，大视场、高眼点、双筒屈光度可调；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#4.照明装置：内置LED底光源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#5.载物台：双层移动式载物台，双切片夹，X、Y同轴调节，片夹可同时夹持两块切片，方便对比观察。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#6.调焦机构：粗微动同轴调焦，左右两侧均有粗调与微调手轮，调焦行程（载物台升降行程）≥50mm，有防滑装置；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7</w:t>
            </w:r>
            <w:r>
              <w:rPr>
                <w:rFonts w:hint="eastAsia" w:ascii="宋体" w:hAnsi="宋体" w:eastAsia="宋体" w:cs="宋体"/>
                <w:i w:val="0"/>
                <w:iCs w:val="0"/>
                <w:color w:val="auto"/>
                <w:sz w:val="21"/>
                <w:szCs w:val="21"/>
                <w:highlight w:val="none"/>
                <w:u w:val="none"/>
                <w:lang w:val="en-US" w:eastAsia="zh-CN" w:bidi="ar"/>
              </w:rPr>
              <w:t xml:space="preserve">.具有在观察画面上进行标注的功能，支持使用涂鸦、直线、圆形、文字等方式标注，并生成图片保存；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8</w:t>
            </w:r>
            <w:r>
              <w:rPr>
                <w:rFonts w:hint="eastAsia" w:ascii="宋体" w:hAnsi="宋体" w:eastAsia="宋体" w:cs="宋体"/>
                <w:i w:val="0"/>
                <w:iCs w:val="0"/>
                <w:color w:val="auto"/>
                <w:sz w:val="21"/>
                <w:szCs w:val="21"/>
                <w:highlight w:val="none"/>
                <w:u w:val="none"/>
                <w:lang w:val="en-US" w:eastAsia="zh-CN" w:bidi="ar"/>
              </w:rPr>
              <w:t xml:space="preserve">.具有坐标测量和定点测量功能；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9</w:t>
            </w:r>
            <w:r>
              <w:rPr>
                <w:rFonts w:hint="eastAsia" w:ascii="宋体" w:hAnsi="宋体" w:eastAsia="宋体" w:cs="宋体"/>
                <w:i w:val="0"/>
                <w:iCs w:val="0"/>
                <w:color w:val="auto"/>
                <w:sz w:val="21"/>
                <w:szCs w:val="21"/>
                <w:highlight w:val="none"/>
                <w:u w:val="none"/>
                <w:lang w:val="en-US" w:eastAsia="zh-CN" w:bidi="ar"/>
              </w:rPr>
              <w:t xml:space="preserve">.电源：外置电源适配器，AC输入，DC输出，输出电压为安全电压；</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AF1-06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学生端生物数码显微镜</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#1.便携一体式智能平板电脑输出：多点触摸屏；内存容量≧2G;存储容量≧8G；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#2.操作系统：</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Android 10以上操作系统或其他操作系统；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#3.一体化数码成像系统，CPU: 1.8GHz 四核，屏幕硬件分辨率：1080p，拍照像素：500万像素以上,支持4K视频录制,录像分辨率1080P/15FPS以上，1080P HDMI高清数字信号输出；电源适配器规格：DC12V 2A；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.双目镜筒，三目倾斜30°，视度可调节，可360度旋转观察；物镜转换器：四孔转换器；</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5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AF1-07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网络版数码互动控制软件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#1.支持主窗口功能按钮、浮动工具条、右键菜单、快捷键多项操作方式。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#2.采用核心的动态局部截屏及实时压缩技术；可根据网络条件调节网络补偿强度，根据广播内容调节广播及录制效率。</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AF1-08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教师专业图像软件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具有</w:t>
            </w:r>
            <w:r>
              <w:rPr>
                <w:rFonts w:hint="eastAsia" w:ascii="宋体" w:hAnsi="宋体" w:eastAsia="宋体" w:cs="宋体"/>
                <w:i w:val="0"/>
                <w:iCs w:val="0"/>
                <w:color w:val="auto"/>
                <w:sz w:val="21"/>
                <w:szCs w:val="21"/>
                <w:highlight w:val="none"/>
                <w:u w:val="none"/>
                <w:lang w:val="en-US" w:eastAsia="zh-CN" w:bidi="ar"/>
              </w:rPr>
              <w:t xml:space="preserve">图像采集与存储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常规的图像处理功能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便捷的结果输出：支持所有结果输出到Word、Excel。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7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AF1-09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学生端图像软件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具有</w:t>
            </w:r>
            <w:r>
              <w:rPr>
                <w:rFonts w:hint="eastAsia" w:ascii="宋体" w:hAnsi="宋体" w:eastAsia="宋体" w:cs="宋体"/>
                <w:i w:val="0"/>
                <w:iCs w:val="0"/>
                <w:color w:val="auto"/>
                <w:sz w:val="21"/>
                <w:szCs w:val="21"/>
                <w:highlight w:val="none"/>
                <w:u w:val="none"/>
                <w:lang w:val="en-US" w:eastAsia="zh-CN" w:bidi="ar"/>
              </w:rPr>
              <w:t xml:space="preserve">图像采集与存储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常规的图像处理功能</w:t>
            </w:r>
            <w:r>
              <w:rPr>
                <w:rFonts w:hint="eastAsia" w:ascii="宋体" w:hAnsi="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网络交换机及系统集成</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#1、系统集成及现场培训，支持30个以上学生端，传输速度快、稳定、可靠；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#2、网络标准：802.11ac；支持MU-MIMO；数据传输率：》1300Mbps；频率范围：2.4G&amp;5G；独立的2.4GHz&amp;5GHz硬件加速；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、天线：扩展2至4倍的信号覆盖范围自动干扰规避、优化，适合高密度的环境集成智能天线阵列，具备300多种独特模式，具有超高可靠性 高达4dB的信号增益和-10dB的干扰抑制；安全性能：无线入侵防御系统。</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生物显微镜</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#1、目镜：大视野广角WF16X13mm</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物镜：4X、10X、40X（弹簧）消色差物镜</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镜筒：单目观察筒，45度倾斜，360度旋转</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转换器：三孔转换器</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、载物台：金属平台，平台面积110X120mm。聚光镜：单片聚光镜，数值孔径N.A0.65光源：LED高亮度光源，带充电功能，亮度可调，可与反光镜互换。</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59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双目立体显微镜</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材料要求:底座、镜臂、齿条、物镜和目镜镜筒均为金属制。 总放大倍数：20-40倍。目镜:WF10X。物镜：变倍筒物镜:2X-4X分档变倍物镜组。调焦范围: 40mm。 行程范围:90mm。  照明：自然光。</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电动离心机</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r/min～4000r/min，离心率：17000，容量：20ml*6,定时：min0-60,功率：大于120.无刷电机。</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41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离心沉淀器</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#1.产品为组合式，主要由齿轮变速箱1套，转台1套，试管4个组成。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#2.齿轮变速箱：（1）变速箱用工程塑料ABS制作.变速齿轮比例不小于1:2.下部有固定装置，</w:t>
            </w:r>
            <w:r>
              <w:rPr>
                <w:rFonts w:hint="eastAsia" w:ascii="宋体" w:hAnsi="宋体" w:cs="宋体"/>
                <w:i w:val="0"/>
                <w:iCs w:val="0"/>
                <w:color w:val="auto"/>
                <w:sz w:val="21"/>
                <w:szCs w:val="21"/>
                <w:highlight w:val="none"/>
                <w:u w:val="none"/>
                <w:lang w:val="en-US" w:eastAsia="zh-CN" w:bidi="ar"/>
              </w:rPr>
              <w:t xml:space="preserve">上部</w:t>
            </w:r>
            <w:r>
              <w:rPr>
                <w:rFonts w:hint="eastAsia" w:ascii="宋体" w:hAnsi="宋体" w:eastAsia="宋体" w:cs="宋体"/>
                <w:i w:val="0"/>
                <w:iCs w:val="0"/>
                <w:color w:val="auto"/>
                <w:sz w:val="21"/>
                <w:szCs w:val="21"/>
                <w:highlight w:val="none"/>
                <w:u w:val="none"/>
                <w:lang w:val="en-US" w:eastAsia="zh-CN" w:bidi="ar"/>
              </w:rPr>
              <w:t xml:space="preserve">有转轴，正面有手摇装置。（2）组装后的齿轮箱应固定方便、转动灵活。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#3.转台用金属制作，螺钉固定，4等分均匀分布试管环，试管环应能360°转动，表面镀锌防锈处理。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#1、搅拌容量：不小于500ml；搅拌速度：无级调速0—2000转/分；外形尺寸不小于260mm×165mm×120mm；工作电压：220V/50Hz。</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5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实验室</w:t>
            </w:r>
            <w:r>
              <w:rPr>
                <w:rFonts w:hint="eastAsia" w:ascii="宋体" w:hAnsi="宋体" w:eastAsia="宋体" w:cs="宋体"/>
                <w:i w:val="0"/>
                <w:iCs w:val="0"/>
                <w:color w:val="auto"/>
                <w:sz w:val="21"/>
                <w:szCs w:val="21"/>
                <w:highlight w:val="none"/>
                <w:u w:val="none"/>
                <w:lang w:val="en-US" w:eastAsia="zh-CN" w:bidi="ar"/>
              </w:rPr>
              <w:t xml:space="preserve">酒精喷灯</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#1、结构为座式。纯铜制作，壁厚均不得低于1mm，火焰温度不低于1200摄氏度。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#2、产品为组合式，主要由壶体、燃杯、壶嘴、喷管、火苗调节杆、钢针组成。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#3、壶体外形尺寸：直径100mm±2mm，高135mm±2mm，容量250ml，组合后应摆放平稳，左右调节,调节方便。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#4、喷管与壶体连接螺纹、壶体密封盖无漏气现象。焊接部位应焊接牢固、光滑。</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电炉</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#1、有效加热面积不小于15*15cm，密封式,额定电压 ＡＣ 220Ｖ±5％ 50Ｈz ＋5,消耗功率  1000Ｗ。</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高压灭菌锅</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#1、容量≥18L;304不锈钢材质；智能显示数控；</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蒸馏水器</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#1、仪器主要由蒸发锅、冷凝器、电器配置三大部分组成。不锈钢薄板滚压，延伸，焊接成形，工作电压220V，50Hz，功率2</w:t>
            </w:r>
            <w:r>
              <w:rPr>
                <w:rFonts w:hint="eastAsia" w:ascii="宋体" w:hAnsi="宋体" w:cs="宋体"/>
                <w:i w:val="0"/>
                <w:iCs w:val="0"/>
                <w:color w:val="auto"/>
                <w:sz w:val="21"/>
                <w:szCs w:val="21"/>
                <w:highlight w:val="none"/>
                <w:u w:val="none"/>
                <w:lang w:val="en-US" w:eastAsia="zh-CN" w:bidi="ar"/>
              </w:rPr>
              <w:t xml:space="preserve">kW</w:t>
            </w:r>
            <w:r>
              <w:rPr>
                <w:rFonts w:hint="eastAsia" w:ascii="宋体" w:hAnsi="宋体" w:eastAsia="宋体" w:cs="宋体"/>
                <w:i w:val="0"/>
                <w:iCs w:val="0"/>
                <w:color w:val="auto"/>
                <w:sz w:val="21"/>
                <w:szCs w:val="21"/>
                <w:highlight w:val="none"/>
                <w:u w:val="none"/>
                <w:lang w:val="en-US" w:eastAsia="zh-CN" w:bidi="ar"/>
              </w:rPr>
              <w:t xml:space="preserve">,出水量每小时2L；仪器部分由水源阀，回水管冷凝冷却器，进水控制器，玻璃水位器，蒸发锅，放水阀，蒸馏水出水皮管。电源线组成，电器部分由电源开关、</w:t>
            </w:r>
            <w:r>
              <w:rPr>
                <w:rFonts w:hint="eastAsia" w:ascii="宋体" w:hAnsi="宋体" w:cs="宋体"/>
                <w:i w:val="0"/>
                <w:iCs w:val="0"/>
                <w:color w:val="auto"/>
                <w:sz w:val="21"/>
                <w:szCs w:val="21"/>
                <w:highlight w:val="none"/>
                <w:u w:val="none"/>
                <w:lang w:val="en-US" w:eastAsia="zh-CN" w:bidi="ar"/>
              </w:rPr>
              <w:t xml:space="preserve">熔</w:t>
            </w:r>
            <w:r>
              <w:rPr>
                <w:rFonts w:hint="eastAsia" w:ascii="宋体" w:hAnsi="宋体" w:eastAsia="宋体" w:cs="宋体"/>
                <w:i w:val="0"/>
                <w:iCs w:val="0"/>
                <w:color w:val="auto"/>
                <w:sz w:val="21"/>
                <w:szCs w:val="21"/>
                <w:highlight w:val="none"/>
                <w:u w:val="none"/>
                <w:lang w:val="en-US" w:eastAsia="zh-CN" w:bidi="ar"/>
              </w:rPr>
              <w:t xml:space="preserve">断丝、接连板、电热管、指示灯、接地装置组成。</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AF1-20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恒温水浴锅</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#1、容器孔数：2孔。外形尺寸：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380mm*170mm*160mm.工作室尺寸：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长240mm*宽140mm*深100。工作室容积：3.4L.加热功率：500W.温控</w:t>
            </w:r>
            <w:r>
              <w:rPr>
                <w:rFonts w:hint="eastAsia" w:ascii="宋体" w:hAnsi="宋体" w:cs="宋体"/>
                <w:i w:val="0"/>
                <w:iCs w:val="0"/>
                <w:color w:val="auto"/>
                <w:sz w:val="21"/>
                <w:szCs w:val="21"/>
                <w:highlight w:val="none"/>
                <w:u w:val="none"/>
                <w:lang w:val="en-US" w:eastAsia="zh-CN" w:bidi="ar"/>
              </w:rPr>
              <w:t xml:space="preserve">范围</w:t>
            </w:r>
            <w:r>
              <w:rPr>
                <w:rFonts w:hint="eastAsia" w:ascii="宋体" w:hAnsi="宋体" w:eastAsia="宋体" w:cs="宋体"/>
                <w:i w:val="0"/>
                <w:iCs w:val="0"/>
                <w:color w:val="auto"/>
                <w:sz w:val="21"/>
                <w:szCs w:val="21"/>
                <w:highlight w:val="none"/>
                <w:u w:val="none"/>
                <w:lang w:val="en-US" w:eastAsia="zh-CN" w:bidi="ar"/>
              </w:rPr>
              <w:t xml:space="preserve">：室温~100℃.温控精度：±1℃/min.电源：交流220V/50</w:t>
            </w:r>
            <w:r>
              <w:rPr>
                <w:rFonts w:hint="eastAsia" w:ascii="宋体" w:hAnsi="宋体" w:cs="宋体"/>
                <w:i w:val="0"/>
                <w:iCs w:val="0"/>
                <w:color w:val="auto"/>
                <w:sz w:val="21"/>
                <w:szCs w:val="21"/>
                <w:highlight w:val="none"/>
                <w:u w:val="none"/>
                <w:lang w:val="en-US" w:eastAsia="zh-CN" w:bidi="ar"/>
              </w:rPr>
              <w:t xml:space="preserve">Hz</w:t>
            </w:r>
            <w:r>
              <w:rPr>
                <w:rFonts w:hint="eastAsia" w:ascii="宋体" w:hAnsi="宋体" w:eastAsia="宋体" w:cs="宋体"/>
                <w:i w:val="0"/>
                <w:iCs w:val="0"/>
                <w:color w:val="auto"/>
                <w:sz w:val="21"/>
                <w:szCs w:val="21"/>
                <w:highlight w:val="none"/>
                <w:u w:val="none"/>
                <w:lang w:val="en-US" w:eastAsia="zh-CN" w:bidi="ar"/>
              </w:rPr>
              <w:t xml:space="preserve">。微电脑恒温数显。</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AF1-21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烘干箱</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#1、材质：外壳采用冷轧钢板制造，表面静电喷塑；内胆为不锈钢材料制成；                                                                                                              </w:t>
            </w:r>
            <w:r>
              <w:rPr>
                <w:rFonts w:hint="eastAsia" w:ascii="宋体" w:hAnsi="宋体" w:eastAsia="宋体" w:cs="宋体"/>
                <w:i w:val="0"/>
                <w:iCs w:val="0"/>
                <w:color w:val="auto"/>
                <w:sz w:val="21"/>
                <w:szCs w:val="21"/>
                <w:highlight w:val="none"/>
                <w:u w:val="none"/>
                <w:lang w:val="en-US" w:eastAsia="zh-CN" w:bidi="ar"/>
              </w:rPr>
              <w:t xml:space="preserve">                         #2、系统具有控温、定时和超温报警等功能；                                                                                                                                                                          #3、电源电压：AC220±10%（50Hz）；控温范围：室温～120℃；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、显示精度0.1℃(＞100℃显示精度为1℃)；温度波动性：≤±1℃；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、设有玻璃观察窗，便于观察，智能数显控；</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AF1-22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电冰箱</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有</w:t>
            </w:r>
            <w:r>
              <w:rPr>
                <w:rFonts w:hint="eastAsia" w:ascii="宋体" w:hAnsi="宋体" w:eastAsia="宋体" w:cs="宋体"/>
                <w:i w:val="0"/>
                <w:iCs w:val="0"/>
                <w:color w:val="auto"/>
                <w:sz w:val="21"/>
                <w:szCs w:val="21"/>
                <w:highlight w:val="none"/>
                <w:u w:val="none"/>
                <w:lang w:val="en-US" w:eastAsia="zh-CN" w:bidi="ar"/>
              </w:rPr>
              <w:t xml:space="preserve">效容积</w:t>
            </w:r>
            <w:r>
              <w:rPr>
                <w:rFonts w:hint="eastAsia" w:ascii="宋体" w:hAnsi="宋体" w:cs="宋体"/>
                <w:i w:val="0"/>
                <w:iCs w:val="0"/>
                <w:color w:val="ff0000"/>
                <w:sz w:val="21"/>
                <w:szCs w:val="21"/>
                <w:highlight w:val="none"/>
                <w:u w:val="none"/>
                <w:lang w:val="en-US" w:eastAsia="zh-CN" w:bidi="ar"/>
              </w:rPr>
              <w:t xml:space="preserve">不小于</w:t>
            </w:r>
            <w:r>
              <w:rPr>
                <w:rFonts w:hint="eastAsia" w:ascii="宋体" w:hAnsi="宋体" w:eastAsia="宋体" w:cs="宋体"/>
                <w:i w:val="0"/>
                <w:iCs w:val="0"/>
                <w:color w:val="auto"/>
                <w:sz w:val="21"/>
                <w:szCs w:val="21"/>
                <w:highlight w:val="none"/>
                <w:u w:val="none"/>
                <w:lang w:val="en-US" w:eastAsia="zh-CN" w:bidi="ar"/>
              </w:rPr>
              <w:t xml:space="preserve">160L。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AF1-23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恒温培养箱</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#1、自然对流式通风结构，电子控温仪控制温度。 控温范围20℃-60℃。温度波动允差：不大于1℃。温度均匀性允差：±1℃等</w:t>
            </w:r>
            <w:r>
              <w:rPr>
                <w:rFonts w:hint="eastAsia" w:ascii="宋体" w:hAnsi="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AF1-24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光照培养箱</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#1、容积：250L；光照强度：0lx～12000lx分级可调；控温范围：10℃～50℃(有光照)；温度波动性：±1℃；温度均匀度：±2℃。</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AF1-25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超净工作台</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#1、双人单面，垂直送风，100级，送风风速：O.3m/s～0.6m/s可调。</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AF1-26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保温桶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#1、1L～2L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AF1-27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水族箱</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#1．尺寸不小于380mm×240mm×450mm（长×宽×高）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玻璃材质，带灯和充氧泵。</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AF1-28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方座支架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立杆及附件组成。方座支架的底座由铸铁制成，质量不小于1.5kg。立杆直径不小于φ10mm；立杆长610mm，直径不小于10mm，表面镀铬，立杆与方座组装后应垂直。附件由大、小铁圈各一只，平行夹一只，铸铁十字夹二只，试管夹一只构成。整套产品应有足够的平稳度，底座耐碱。采用钢材，防锈处理及表面环保油漆涂层精制而成。</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AF1-29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电子天平</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#1．最大称量200g，分度值0.2 g。 秤量允许误差为±0.5d(分度值)。油漆件表面应平整光滑，色泽均匀，不应有露底、起泡、挂漆、擦伤等缺陷。</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AF1-30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strike w:val="0"/>
                <w:color w:val="auto"/>
                <w:sz w:val="21"/>
                <w:szCs w:val="21"/>
                <w:highlight w:val="none"/>
                <w:u w:val="none"/>
                <w:lang w:val="en-US"/>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感温物质：水银。尺寸要求不小于：长300mm；外径：5mm；头：10mm。测量范围：0－200℃。玻璃应光洁透明，不得有裂痕。毛细管不得有明显的弯曲现象，其孔径应均匀，管壁内应清洁无杂质。感温液体（水银）必须纯洁、无杂质。液线不得中断。上升时不得有停滞和跳跃现象；下降时不得在管壁上留下液滴。</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支</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AF1-31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血压计</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#1．本产品为普通医用汞柱式血压计。产品由刻度盛水银的玻璃管、橡皮管、橡皮囊袖带、打气球等组成。</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AF1-32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肺活量计</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产品由容器、吹嘴、塑料软管组成，一次性吹塑而成。容器容量不小于5.5L，外形尺寸：直径：≥140mm，高度≥370mm，表面印有0.1～5.5L的标记。吹嘴外形Y形状，吹气口表面圆滑。塑料软管与软气嘴配合无漏气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AF1-33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解剖器</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#1、不锈钢材料，7件(大、小剪刀，大、小镊子，解剖刀，解剖针，弯头镊)，大剪刀长度不小于15cm，其余与之匹配。</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AF1-34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骨剪</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#1．产品用不锈钢制造。总长度不小于120mm。剪刀尖部两叶头应交叉吻合、平整，刃口在经剪切细骨后应无缺损。剪刀的弹片应用优质钢簧制成，弹性适宜。弹片应镀铬。铆接良好，松紧适度。</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把</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AF1-35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接种箱</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#1、带紫外线，铁质结构。单人操作箱，要求关闭严密、无缝，正面开两个圆洞。</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AF1-36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孵化器</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#1、（4～6）个蛋</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AF1-37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光照培养架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#1、由模拟阳光的灯泡，三层可调节，插孔暗式布线，独立开关，光照强度可调。</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4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AF1-38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植物细胞模型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#1．产品为洋葱表皮细胞显微结构的立体模型。</w:t>
            </w:r>
            <w:r>
              <w:rPr>
                <w:rFonts w:hint="eastAsia" w:ascii="宋体" w:hAnsi="宋体" w:cs="宋体"/>
                <w:i w:val="0"/>
                <w:iCs w:val="0"/>
                <w:color w:val="auto"/>
                <w:sz w:val="21"/>
                <w:szCs w:val="21"/>
                <w:highlight w:val="none"/>
                <w:u w:val="none"/>
                <w:lang w:val="en-US" w:eastAsia="zh-CN" w:bidi="ar"/>
              </w:rPr>
              <w:t xml:space="preserve">显</w:t>
            </w:r>
            <w:r>
              <w:rPr>
                <w:rFonts w:hint="eastAsia" w:ascii="宋体" w:hAnsi="宋体" w:eastAsia="宋体" w:cs="宋体"/>
                <w:i w:val="0"/>
                <w:iCs w:val="0"/>
                <w:color w:val="auto"/>
                <w:sz w:val="21"/>
                <w:szCs w:val="21"/>
                <w:highlight w:val="none"/>
                <w:u w:val="none"/>
                <w:lang w:val="en-US" w:eastAsia="zh-CN" w:bidi="ar"/>
              </w:rPr>
              <w:t xml:space="preserve">示一个细胞的完整形态及其毗邻关系。细胞的结构示细胞壁、细胞膜、细胞质、细胞核、核仁和液泡。各部结构从不同角度观察应正确、自然，着色应协调。缝口、内部元件的粘合应牢固，不得有错缝和明显的痕迹。</w:t>
            </w:r>
            <w:r>
              <w:rPr>
                <w:rFonts w:hint="eastAsia" w:ascii="宋体" w:hAnsi="宋体" w:eastAsia="宋体" w:cs="宋体"/>
                <w:i w:val="0"/>
                <w:iCs w:val="0"/>
                <w:color w:val="auto"/>
                <w:sz w:val="21"/>
                <w:szCs w:val="21"/>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AF1-39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根纵剖模型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模型取材于单子叶植物玉米根尖，作纵、横剖面，置于支架上，可水平转动。根尖中部做不同向的纵剖面，突出维管柱，示根冠、分生区、伸长区、成熟区和原形成层等。成熟区做不同层次的横剖，示表皮、皮层和维管柱。皮层示厚壁细胞、薄壁细胞和内皮层细胞；维管柱地木质部和韧皮部呈辐射状相间排列的顺序。成熟区的部分根毛作剖面，示根毛的发育顺序和各个发育顺序的细胞排列位置。</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AF1-40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导管、筛管结构模型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显微结构的立体放大模型。包括环纹导管、螺纹导管、网纹导管、孔纹导管及筛管。环、螺、网纹导管模型须显示至少一个分子间界，筛管及孔纹导管至少显示一个分子，筛管一侧还应示伴胞。各种导管及筛管的形态结构应正确、自然。各部位粘接应牢固，且内部纹路应相互吻合。</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57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AF1-41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单子叶植物茎模型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#1、模型取材于玉米茎，模型作横切，取横切面1/10，去掉中央部分。</w:t>
            </w:r>
            <w:r>
              <w:rPr>
                <w:rFonts w:hint="eastAsia" w:ascii="宋体" w:hAnsi="宋体" w:cs="宋体"/>
                <w:i w:val="0"/>
                <w:iCs w:val="0"/>
                <w:color w:val="auto"/>
                <w:sz w:val="21"/>
                <w:szCs w:val="21"/>
                <w:highlight w:val="none"/>
                <w:u w:val="none"/>
                <w:lang w:val="en-US" w:eastAsia="zh-CN" w:bidi="ar"/>
              </w:rPr>
              <w:t xml:space="preserve">显</w:t>
            </w:r>
            <w:r>
              <w:rPr>
                <w:rFonts w:hint="eastAsia" w:ascii="宋体" w:hAnsi="宋体" w:eastAsia="宋体" w:cs="宋体"/>
                <w:i w:val="0"/>
                <w:iCs w:val="0"/>
                <w:color w:val="auto"/>
                <w:sz w:val="21"/>
                <w:szCs w:val="21"/>
                <w:highlight w:val="none"/>
                <w:u w:val="none"/>
                <w:lang w:val="en-US" w:eastAsia="zh-CN" w:bidi="ar"/>
              </w:rPr>
              <w:t xml:space="preserve">示表皮、维管束、基本组织。表皮示气孔，表皮下示厚壁细胞组成的机械组织。维管束示维管束鞘，原生韧皮部、伴胞和筛管孔纹导管、环纹、螺纹导管和胞间道。标本组织示薄壁细胞和胞间隙。在纵剖面上示环纹、螺筛、孔纹导管和筛管，筛管和结构示厚壁、薄壁等各种类型细胞的结构。各缝处应修饰自然、正确、牢固。</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27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AF1-42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双子叶草本植物茎模型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#1、模型取材于双子叶草本植物茎向日葵茎。模型作纵、横切，其横切面约为茎的2/3，纵切面一侧通过髓射线，一侧通过维管束。横剖面上示表层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皮层、维管束、髓和髓射线。表皮细胞排列紧密，呈角质化，皮层细胞近表皮的呈厚角状，靠内侧的呈薄壁状。维管束韧皮纤维，初生韧皮部、形成层和初生木质部。纵切面的一侧分层剥离，示表皮、厚角把细胞薄壁细胞的表面观。维管束的横</w:t>
            </w:r>
            <w:r>
              <w:rPr>
                <w:rFonts w:hint="eastAsia" w:ascii="宋体" w:hAnsi="宋体" w:cs="宋体"/>
                <w:i w:val="0"/>
                <w:iCs w:val="0"/>
                <w:color w:val="auto"/>
                <w:sz w:val="21"/>
                <w:szCs w:val="21"/>
                <w:highlight w:val="none"/>
                <w:u w:val="none"/>
                <w:lang w:val="en-US" w:eastAsia="zh-CN" w:bidi="ar"/>
              </w:rPr>
              <w:t xml:space="preserve">断面</w:t>
            </w:r>
            <w:r>
              <w:rPr>
                <w:rFonts w:hint="eastAsia" w:ascii="宋体" w:hAnsi="宋体" w:eastAsia="宋体" w:cs="宋体"/>
                <w:i w:val="0"/>
                <w:iCs w:val="0"/>
                <w:color w:val="auto"/>
                <w:sz w:val="21"/>
                <w:szCs w:val="21"/>
                <w:highlight w:val="none"/>
                <w:u w:val="none"/>
                <w:lang w:val="en-US" w:eastAsia="zh-CN" w:bidi="ar"/>
              </w:rPr>
              <w:t xml:space="preserve">上示导管、筛管、筛板和筛孔，纵断面上示环纹导管、螺纹导管、孔纹导管、筛管和筛板等结构。各缝处应修饰自然、正确、牢固。</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4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AF1-43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叶构造模型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模型取材于双子叶植物蚕豆叶，通过主脉做部分叶片的横切，局部做不同层次的纵、横切面。模型示上、下表皮、叶肉和叶脉三部分。表皮示角质层、表皮细胞和由保卫组织细胞组成的气孔，叶内示珊栏组成和海绵组织，叶脉示主脉、侧脉和细脉。在主脉的横切面示维管束的结构（示本质部、韧皮部、叶内形成层）和其周围的薄壁结构。在模型的一侧，通过各种剖</w:t>
            </w:r>
            <w:r>
              <w:rPr>
                <w:rFonts w:hint="eastAsia" w:ascii="宋体" w:hAnsi="宋体" w:cs="宋体"/>
                <w:i w:val="0"/>
                <w:iCs w:val="0"/>
                <w:color w:val="auto"/>
                <w:sz w:val="21"/>
                <w:szCs w:val="21"/>
                <w:highlight w:val="none"/>
                <w:u w:val="none"/>
                <w:lang w:val="en-US" w:eastAsia="zh-CN" w:bidi="ar"/>
              </w:rPr>
              <w:t xml:space="preserve">面显</w:t>
            </w:r>
            <w:r>
              <w:rPr>
                <w:rFonts w:hint="eastAsia" w:ascii="宋体" w:hAnsi="宋体" w:eastAsia="宋体" w:cs="宋体"/>
                <w:i w:val="0"/>
                <w:iCs w:val="0"/>
                <w:color w:val="auto"/>
                <w:sz w:val="21"/>
                <w:szCs w:val="21"/>
                <w:highlight w:val="none"/>
                <w:u w:val="none"/>
                <w:lang w:val="en-US" w:eastAsia="zh-CN" w:bidi="ar"/>
              </w:rPr>
              <w:t xml:space="preserve">示主脉与侧脉的关系，示发育不规则的细脉。部分栅栏细胞和海绵细胞做剖面，示细胞核及叶绿素，部分气孔的内方示孔下室，海绵组织示较大的细胞间隙。各缝处应修饰自然、正确、牢固。</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AF1-44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桃花模型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产品为放大的桃花模型，示盛开形态。花瓣、子房可拆装，子房纵剖示胚珠。桃花的结构</w:t>
            </w:r>
            <w:r>
              <w:rPr>
                <w:rFonts w:hint="eastAsia" w:ascii="宋体" w:hAnsi="宋体" w:cs="宋体"/>
                <w:i w:val="0"/>
                <w:iCs w:val="0"/>
                <w:color w:val="auto"/>
                <w:sz w:val="21"/>
                <w:szCs w:val="21"/>
                <w:highlight w:val="none"/>
                <w:u w:val="none"/>
                <w:lang w:val="en-US" w:eastAsia="zh-CN" w:bidi="ar"/>
              </w:rPr>
              <w:t xml:space="preserve">是</w:t>
            </w:r>
            <w:r>
              <w:rPr>
                <w:rFonts w:hint="eastAsia" w:ascii="宋体" w:hAnsi="宋体" w:eastAsia="宋体" w:cs="宋体"/>
                <w:i w:val="0"/>
                <w:iCs w:val="0"/>
                <w:color w:val="auto"/>
                <w:sz w:val="21"/>
                <w:szCs w:val="21"/>
                <w:highlight w:val="none"/>
                <w:u w:val="none"/>
                <w:lang w:val="en-US" w:eastAsia="zh-CN" w:bidi="ar"/>
              </w:rPr>
              <w:t xml:space="preserve">：花柄、花托、花萼（萼片5个）、花冠（花瓣5个）、雄蕊（25~30个）和雌蕊。各部的形态结构和颜色应正确自然，富有真实感。各部的接插件应安装牢固，松紧适度，便于拆装。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AF1-45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小麦花模型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产品为放大的小麦花模型，附以小穗为单位的复穗状花序模型，放于支架上。大部分小穗可拆下，个别小穗去掉频片和外稃。各部的接插件应安装牢固，松紧适度，便于拆装。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AF1-46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蝗虫解剖模型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产品约为蝗虫解剖模型，固定上支架上，各部的形态结构、位置、比例应正确，外形着色应自然逼真，内部结构应清晰协调。缝口衔接处应严密。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AF1-47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蛙胚胎发育模型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#1、产品为八个放大之蛙胚胎发育模型组成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每个模型均置于支架上。</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AF1-48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草履虫模型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模型取材于大草履虫，形成的纵剖模型，立于支架上。模型纵剖面示表膜、口沟、胞口、胞咽、波动膜、食泡、肛点；示两个伸缩泡及其收集管；示小核；示外质其中的刺细胞和颗粒状的内质。伸缩泡：一个呈收缩状，一个呈伸张状。各部的形态结构和颜色应正确自然，富有真实感。</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AF1-49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蚯蚓解剖模型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通过虫体的表面，观察蚯蚓的体节、节间沟、生殖环带和运动器官——刚毛等各种结构，以及口、口前叶、雄性生殖孔、雌性生殖孔，受精囊孔及背孔等的位置。从虫体的纵横剖面观察蚯蚓的体壁、肌肉、隔膜、体腔以及消化系统、循环系统、生殖系统、神经系统和肾管等各种脏器的形态结构及其分布。（本模型所示的蚯蚓外形和内部结构反映了一般环节动物的基本特点，通过观察模型有助于了解蚯蚓的形态和构造的主要特征。）各部的形态结构和颜色应正确自然，富有真实感。</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00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AF1-50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血吸虫模型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雌雄虫体呈合抱状，并可拆下单独示教。雄虫显示：口吸盘、腹吸盘、食管和食管腺，分叉的肠支、精巢7个，各有小管通输精管，经储精囊到生殖孔通体外，腹部中央示抱雌沟。雌虫显示：口吸盘、腹吸盘、分叉的肠支，卵巢1个由输卵管通至卵，模和子宫相连，腹吸盘之后为生殖孔，虫体后部示卵黄泉，由卵黄管进入卵模，卵模周围示放射状的梅瓦泉。血吸虫生活史模型示虫卵、毛蚴、第一代胞虫蚴、第二代胞蚴和尾蚴。各部的形态结构和颜色应正确自然，富有真实感。</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AF1-51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头、颈、躯干模型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产品为男性成年头、颈、躯干解剖模型。产品采用硬质塑料制作，不得采用软塑料。显示人体内脏器官的正常位置，形态结构及其相互关系。重点显示呼吸、消化和泌尿三个系统。内脏各器官应形态正确，比例适当、纹理清晰，连接准确和切面平整。各部位着色应准确、鲜明，颜色不得溢出外界。金属零件或镶嵌件，都应按使用要求做表面处理。镶嵌件定位必须准确牢固，拆装方便，松紧适度，无松动脱落或呆滞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AF1-52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人体骨骼模型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#1．产品为男性成年骨骼模型，串制成正常直立姿势立于支架上。产品由颅、脊柱、胸廓、骨盆、上肢骨、下肢骨组成，结构比例正确。 产品采用混合树脂制作，颜色应准确，无明显差别。</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AF1-53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眼球仪</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#1、晶状体曲率可变,演示眼球成像功能,模型置于基板上，材质：PVC材料。</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49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AF1-54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心脏解剖模型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#1．规格：三倍自然大。模型的外形按照标本放大复制，沿左右心耳的上方和左右心房、心室的两侧至心尖，剖开心脏的胸肋面，将心脏分成前后两部件。</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AF1-55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喉解剖模型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模型示喉的上方与舌骨相连。下方连方管（至第八气管软骨）。后方借喉口与咽相通。喉软骨的外面附有甲状腺、甲状房腺；并示梨状隐窝以及神经血管的分布。喉的软骨部示甲状软骨、环状软骨、会厌软骨和杓状软骨。喉肌示榴横肌、杓斜肌、环杓后肌及左侧的环甲肌。剖开右侧甲状软骨（可拆下），示杓会厌肌、甲会厌肌、甲杓肌及环杓肌及环杓侧肌。模型做工正中矢状切，示喉前庭、喉中间腔、声门下腔、声门裂、喉宝、气管腔等内部结构。</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AF1-56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肺泡模型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本模型取材于终末细支气管以下的分支――呼吸部，模型高约400mm，呈锥体形，装置于底板上。示终末细支气管和分支呼吸性细支气管、肺泡管、肺泡囊和肺泡。一侧肺泡管做纵剖面，示肺泡囊（剖面）肺泡管结节、肺泡隔内毛细血管。另一侧肺泡囊做横断面，示其横切面构造。示环绕管壁和平滑肌、弹性纤维和网状纤维。示肺动脉、肺静脉的逐级分支形成包绕于肺泡壁的毛细血管网，示支气管动、静脉。</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34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AF1-57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脑解剖模型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模型为自然大之人脑解剖，去掉硬脑膜，以正常生理位置放于底座上。大脑做正中矢状切，左侧脑半球经外侧沟向枕部作水平切。左侧脑半示深部的岛叶游离，暴露于外侧沟内。大脑半球的北侧面、内侧面及底面示其脑沟、脑回、脑叶。大脑的正中矢状面示胼胝体、隔、臆脑、小脑及脑干的剖面结构。示脑干的完整结构，包括十二对脑神经。</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AF1-58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耳解剖模型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#1．产品为自然大的人脑解剖模型，以正常生理位置放于支架上。大脑做正中矢状切，左侧脑半球经外侧沟向枕部再作水平切，并保留完整的脑干形态。</w:t>
            </w:r>
            <w:r>
              <w:rPr>
                <w:rFonts w:hint="eastAsia" w:ascii="宋体" w:hAnsi="宋体" w:cs="宋体"/>
                <w:i w:val="0"/>
                <w:iCs w:val="0"/>
                <w:color w:val="auto"/>
                <w:sz w:val="21"/>
                <w:szCs w:val="21"/>
                <w:highlight w:val="none"/>
                <w:u w:val="none"/>
                <w:lang w:val="en-US" w:eastAsia="zh-CN" w:bidi="ar"/>
              </w:rPr>
              <w:t xml:space="preserve">显</w:t>
            </w:r>
            <w:r>
              <w:rPr>
                <w:rFonts w:hint="eastAsia" w:ascii="宋体" w:hAnsi="宋体" w:eastAsia="宋体" w:cs="宋体"/>
                <w:i w:val="0"/>
                <w:iCs w:val="0"/>
                <w:color w:val="auto"/>
                <w:sz w:val="21"/>
                <w:szCs w:val="21"/>
                <w:highlight w:val="none"/>
                <w:u w:val="none"/>
                <w:lang w:val="en-US" w:eastAsia="zh-CN" w:bidi="ar"/>
              </w:rPr>
              <w:t xml:space="preserve">示大脑中间的胼胝体及凹陷在外侧沟内的岛叶。要严格参照正常人脑标本，将各部的形态、位置、比例、毗邻做正确，内部的主要结构要轮廓清楚。模型采用硬塑或混合树脂制作，不得采用软塑料。</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AF1-59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男性泌尿生殖系统模型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w:t>
            </w:r>
            <w:r>
              <w:rPr>
                <w:rFonts w:hint="eastAsia" w:ascii="宋体" w:hAnsi="宋体" w:cs="宋体"/>
                <w:i w:val="0"/>
                <w:iCs w:val="0"/>
                <w:color w:val="auto"/>
                <w:sz w:val="21"/>
                <w:szCs w:val="21"/>
                <w:highlight w:val="none"/>
                <w:u w:val="none"/>
                <w:lang w:val="en-US" w:eastAsia="zh-CN" w:bidi="ar"/>
              </w:rPr>
              <w:t xml:space="preserve">自然人</w:t>
            </w:r>
            <w:r>
              <w:rPr>
                <w:rFonts w:hint="eastAsia" w:ascii="宋体" w:hAnsi="宋体" w:eastAsia="宋体" w:cs="宋体"/>
                <w:i w:val="0"/>
                <w:iCs w:val="0"/>
                <w:color w:val="auto"/>
                <w:sz w:val="21"/>
                <w:szCs w:val="21"/>
                <w:highlight w:val="none"/>
                <w:u w:val="none"/>
                <w:lang w:val="en-US" w:eastAsia="zh-CN" w:bidi="ar"/>
              </w:rPr>
              <w:t xml:space="preserve">的男性泌尿生殖系统模型，置于支架上。一侧肾做额切状，膀胱、前列腺、外生殖器和一侧睾丸做矢状切面，示其内部结构。泌尿器示：肾、输尿管、膀胱和尿道。</w:t>
            </w:r>
            <w:r>
              <w:rPr>
                <w:rFonts w:hint="eastAsia" w:ascii="宋体" w:hAnsi="宋体" w:cs="宋体"/>
                <w:i w:val="0"/>
                <w:iCs w:val="0"/>
                <w:color w:val="auto"/>
                <w:sz w:val="21"/>
                <w:szCs w:val="21"/>
                <w:highlight w:val="none"/>
                <w:u w:val="none"/>
                <w:lang w:val="en-US" w:eastAsia="zh-CN" w:bidi="ar"/>
              </w:rPr>
              <w:t xml:space="preserve">生殖器官</w:t>
            </w:r>
            <w:r>
              <w:rPr>
                <w:rFonts w:hint="eastAsia" w:ascii="宋体" w:hAnsi="宋体" w:eastAsia="宋体" w:cs="宋体"/>
                <w:i w:val="0"/>
                <w:iCs w:val="0"/>
                <w:color w:val="auto"/>
                <w:sz w:val="21"/>
                <w:szCs w:val="21"/>
                <w:highlight w:val="none"/>
                <w:u w:val="none"/>
                <w:lang w:val="en-US" w:eastAsia="zh-CN" w:bidi="ar"/>
              </w:rPr>
              <w:t xml:space="preserve">：睾丸、附睾、输精管、射精管、尿道、前列腺、精囊腺、尿道球腺和阴茎。示腹主动脉、下腔静脉、肾动脉及肾静脉等血管。各部分的形态位置，比例和颜色等均应正确自然。各器官的衔接应牢固，拆卸方便。</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AF1-60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女性泌尿生殖系统模型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产品为</w:t>
            </w:r>
            <w:r>
              <w:rPr>
                <w:rFonts w:hint="eastAsia" w:ascii="宋体" w:hAnsi="宋体" w:cs="宋体"/>
                <w:i w:val="0"/>
                <w:iCs w:val="0"/>
                <w:color w:val="auto"/>
                <w:sz w:val="21"/>
                <w:szCs w:val="21"/>
                <w:highlight w:val="none"/>
                <w:u w:val="none"/>
                <w:lang w:val="en-US" w:eastAsia="zh-CN" w:bidi="ar"/>
              </w:rPr>
              <w:t xml:space="preserve">自然人</w:t>
            </w:r>
            <w:r>
              <w:rPr>
                <w:rFonts w:hint="eastAsia" w:ascii="宋体" w:hAnsi="宋体" w:eastAsia="宋体" w:cs="宋体"/>
                <w:i w:val="0"/>
                <w:iCs w:val="0"/>
                <w:color w:val="auto"/>
                <w:sz w:val="21"/>
                <w:szCs w:val="21"/>
                <w:highlight w:val="none"/>
                <w:u w:val="none"/>
                <w:lang w:val="en-US" w:eastAsia="zh-CN" w:bidi="ar"/>
              </w:rPr>
              <w:t xml:space="preserve">的女性泌尿生殖系统模型，置于支架上。一侧肾及半侧子宫做额切状面，膀胱、一侧输卵管和卵巢做剖面，示其内部结构。泌尿器示：肾、输尿管、膀胱和尿道。</w:t>
            </w:r>
            <w:r>
              <w:rPr>
                <w:rFonts w:hint="eastAsia" w:ascii="宋体" w:hAnsi="宋体" w:cs="宋体"/>
                <w:i w:val="0"/>
                <w:iCs w:val="0"/>
                <w:color w:val="auto"/>
                <w:sz w:val="21"/>
                <w:szCs w:val="21"/>
                <w:highlight w:val="none"/>
                <w:u w:val="none"/>
                <w:lang w:val="en-US" w:eastAsia="zh-CN" w:bidi="ar"/>
              </w:rPr>
              <w:t xml:space="preserve">生殖器官</w:t>
            </w:r>
            <w:r>
              <w:rPr>
                <w:rFonts w:hint="eastAsia" w:ascii="宋体" w:hAnsi="宋体" w:eastAsia="宋体" w:cs="宋体"/>
                <w:i w:val="0"/>
                <w:iCs w:val="0"/>
                <w:color w:val="auto"/>
                <w:sz w:val="21"/>
                <w:szCs w:val="21"/>
                <w:highlight w:val="none"/>
                <w:u w:val="none"/>
                <w:lang w:val="en-US" w:eastAsia="zh-CN" w:bidi="ar"/>
              </w:rPr>
              <w:t xml:space="preserve">：卵巢、输卵管、子宫、阴道及子宫阔韧带、子宫圆韧带、卵巢圆韧带及卵巢系膜等固定结构。示腹主动脉、下腔静脉、肾动脉及肾静脉等血管。各部分的形态位置，比例和颜色等均应正确自然。各器官的衔接应牢固，拆卸方便。</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557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AF1-61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皮肤结构模型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#1、表皮：示角化层、生发层、汗腺开口。真皮：</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⑴、嵌入表皮基部的乳头层，包括含有毛细血管网和含有神经末梢的触觉小体。</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⑵、在真皮的深部，是粗大纤维交织的网状层、含有较大的血管、神经干、淋巴管、汗腺排泄管、皮脂腺、立毛肌等。</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CN" w:bidi="ar"/>
              </w:rPr>
              <w:t xml:space="preserve">2</w:t>
            </w:r>
            <w:r>
              <w:rPr>
                <w:rFonts w:hint="eastAsia" w:ascii="宋体" w:hAnsi="宋体" w:eastAsia="宋体" w:cs="宋体"/>
                <w:i w:val="0"/>
                <w:iCs w:val="0"/>
                <w:strike w:val="0"/>
                <w:color w:val="auto"/>
                <w:sz w:val="21"/>
                <w:szCs w:val="21"/>
                <w:highlight w:val="none"/>
                <w:u w:val="none"/>
                <w:lang w:val="en-US" w:eastAsia="zh-CN" w:bidi="ar"/>
              </w:rPr>
              <w:t xml:space="preserve">、皮下组织：示脂肪、血管、神经。</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CN" w:bidi="ar"/>
              </w:rPr>
              <w:t xml:space="preserve">3</w:t>
            </w:r>
            <w:r>
              <w:rPr>
                <w:rFonts w:hint="eastAsia" w:ascii="宋体" w:hAnsi="宋体" w:eastAsia="宋体" w:cs="宋体"/>
                <w:i w:val="0"/>
                <w:iCs w:val="0"/>
                <w:strike w:val="0"/>
                <w:color w:val="auto"/>
                <w:sz w:val="21"/>
                <w:szCs w:val="21"/>
                <w:highlight w:val="none"/>
                <w:u w:val="none"/>
                <w:lang w:val="en-US" w:eastAsia="zh-CN" w:bidi="ar"/>
              </w:rPr>
              <w:t xml:space="preserve">、皮肤的附属器官：</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⑴、汗腺：示盘绕成团分泌部分和皮肤表面引出导管的排泄部分。</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⑵、皮脂腺：位于毛囊与毛肌之间，示皮脂腺开口于毛囊内的外形和切面。</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⑶、毛囊：包括陷入皮内部分的毛根和毛囊以及露在皮肤表面的毛干。毛根的切面，示基部肥大的行球、凹向球内的毛乳头结构。</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CN" w:bidi="ar"/>
              </w:rPr>
              <w:t xml:space="preserve">4</w:t>
            </w:r>
            <w:r>
              <w:rPr>
                <w:rFonts w:hint="eastAsia" w:ascii="宋体" w:hAnsi="宋体" w:eastAsia="宋体" w:cs="宋体"/>
                <w:i w:val="0"/>
                <w:iCs w:val="0"/>
                <w:strike w:val="0"/>
                <w:color w:val="auto"/>
                <w:sz w:val="21"/>
                <w:szCs w:val="21"/>
                <w:highlight w:val="none"/>
                <w:u w:val="none"/>
                <w:lang w:val="en-US" w:eastAsia="zh-CN" w:bidi="ar"/>
              </w:rPr>
              <w:t xml:space="preserve">、皮肤的神经血管：示从皮下组织分支到真皮形成血管网和由此再向上分布到毛乳头，向下分布到汗腺的小血管形态。</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AF1-62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肝、十二指肠、胰脏模型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该模型为自然大，以立体正常位置置于支架上。模型示肝、胰(胰尾与脾门相接，胰头被十二指肠所环抱）、十二指肠(上部按幽门处、升部的十二指肠空肠曲续空肠处作切除；降部作部分刨面）。示胆囊、胆囊管、左、右肝管和胆部管；示肝固有动脉及左、右支；示门静脉和下腔静脉；示脾动静脉；示胰管和副胰管及开口。</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AF1-63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肾单位、肾小体模型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放大的肾、肾单位及肾小体组成。产品应采用硬塑料或复合材料制作，示肾门、肾动脉、肾静脉、肾皮质、肾髂质、肾乳头、肾小盏、肾大盏、肾盂。产品应能在距地面1m高处自由下落，不得破裂和变形。</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AF1-64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心搏与血液循环模型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#1、示心动周期及大小循环，心壁可收缩及瓣膜可启闭</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6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AF1-65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人体肌肉模型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模型为正常人体按比例缩小的全身骨骼肌模型。产品用硬塑料或复合材料制作，置于支架或硬质底座上。模型主要示浅层骨骼肌和部分深层骨骼肌。正面示额肌、眼轮匝肌、口轮匝肌、咬肌、三角肌、胸锁乳突肌、胸大肌、肱二头肌、肱三头肌、</w:t>
            </w:r>
            <w:r>
              <w:rPr>
                <w:rFonts w:hint="eastAsia" w:ascii="宋体" w:hAnsi="宋体" w:cs="宋体"/>
                <w:i w:val="0"/>
                <w:iCs w:val="0"/>
                <w:color w:val="auto"/>
                <w:sz w:val="21"/>
                <w:szCs w:val="21"/>
                <w:highlight w:val="none"/>
                <w:u w:val="none"/>
                <w:lang w:val="en-US" w:eastAsia="zh-CN" w:bidi="ar"/>
              </w:rPr>
              <w:t xml:space="preserve">前臂</w:t>
            </w:r>
            <w:r>
              <w:rPr>
                <w:rFonts w:hint="eastAsia" w:ascii="宋体" w:hAnsi="宋体" w:eastAsia="宋体" w:cs="宋体"/>
                <w:i w:val="0"/>
                <w:iCs w:val="0"/>
                <w:color w:val="auto"/>
                <w:sz w:val="21"/>
                <w:szCs w:val="21"/>
                <w:highlight w:val="none"/>
                <w:u w:val="none"/>
                <w:lang w:val="en-US" w:eastAsia="zh-CN" w:bidi="ar"/>
              </w:rPr>
              <w:t xml:space="preserve">伸肌群、</w:t>
            </w:r>
            <w:r>
              <w:rPr>
                <w:rFonts w:hint="eastAsia" w:ascii="宋体" w:hAnsi="宋体" w:cs="宋体"/>
                <w:i w:val="0"/>
                <w:iCs w:val="0"/>
                <w:color w:val="auto"/>
                <w:sz w:val="21"/>
                <w:szCs w:val="21"/>
                <w:highlight w:val="none"/>
                <w:u w:val="none"/>
                <w:lang w:val="en-US" w:eastAsia="zh-CN" w:bidi="ar"/>
              </w:rPr>
              <w:t xml:space="preserve">前臂</w:t>
            </w:r>
            <w:r>
              <w:rPr>
                <w:rFonts w:hint="eastAsia" w:ascii="宋体" w:hAnsi="宋体" w:eastAsia="宋体" w:cs="宋体"/>
                <w:i w:val="0"/>
                <w:iCs w:val="0"/>
                <w:color w:val="auto"/>
                <w:sz w:val="21"/>
                <w:szCs w:val="21"/>
                <w:highlight w:val="none"/>
                <w:u w:val="none"/>
                <w:lang w:val="en-US" w:eastAsia="zh-CN" w:bidi="ar"/>
              </w:rPr>
              <w:t xml:space="preserve">屈肌群、腹外斜肌、腹直肌、缝匠肌、股直肌、口头肌、髌韧带等。反面示颞肌、枕肌、斜方肌、三角肌、肱二头肌、肱三头肌、前壁伸肌群、</w:t>
            </w:r>
            <w:r>
              <w:rPr>
                <w:rFonts w:hint="eastAsia" w:ascii="宋体" w:hAnsi="宋体" w:cs="宋体"/>
                <w:i w:val="0"/>
                <w:iCs w:val="0"/>
                <w:color w:val="auto"/>
                <w:sz w:val="21"/>
                <w:szCs w:val="21"/>
                <w:highlight w:val="none"/>
                <w:u w:val="none"/>
                <w:lang w:val="en-US" w:eastAsia="zh-CN" w:bidi="ar"/>
              </w:rPr>
              <w:t xml:space="preserve">前臂</w:t>
            </w:r>
            <w:r>
              <w:rPr>
                <w:rFonts w:hint="eastAsia" w:ascii="宋体" w:hAnsi="宋体" w:eastAsia="宋体" w:cs="宋体"/>
                <w:i w:val="0"/>
                <w:iCs w:val="0"/>
                <w:color w:val="auto"/>
                <w:sz w:val="21"/>
                <w:szCs w:val="21"/>
                <w:highlight w:val="none"/>
                <w:u w:val="none"/>
                <w:lang w:val="en-US" w:eastAsia="zh-CN" w:bidi="ar"/>
              </w:rPr>
              <w:t xml:space="preserve">屈肌群、背阔肌、腹外斜肌、臀大肌、股外肌、股二头肌、</w:t>
            </w:r>
            <w:r>
              <w:rPr>
                <w:rFonts w:hint="eastAsia" w:ascii="宋体" w:hAnsi="宋体" w:cs="宋体"/>
                <w:i w:val="0"/>
                <w:iCs w:val="0"/>
                <w:color w:val="auto"/>
                <w:sz w:val="21"/>
                <w:szCs w:val="21"/>
                <w:highlight w:val="none"/>
                <w:u w:val="none"/>
                <w:lang w:val="en-US" w:eastAsia="zh-CN" w:bidi="ar"/>
              </w:rPr>
              <w:t xml:space="preserve">半腱肌</w:t>
            </w:r>
            <w:r>
              <w:rPr>
                <w:rFonts w:hint="eastAsia" w:ascii="宋体" w:hAnsi="宋体" w:eastAsia="宋体" w:cs="宋体"/>
                <w:i w:val="0"/>
                <w:iCs w:val="0"/>
                <w:color w:val="auto"/>
                <w:sz w:val="21"/>
                <w:szCs w:val="21"/>
                <w:highlight w:val="none"/>
                <w:u w:val="none"/>
                <w:lang w:val="en-US" w:eastAsia="zh-CN" w:bidi="ar"/>
              </w:rPr>
              <w:t xml:space="preserve">、腓肠肌、比目鱼肌、跟腚等。产品应正确显示肌纤维形态结构走向，所示肌肉协调正确。各部的形态位置，比例和颜色等均应正确自然。</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AF1-66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肘关节活动模型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#1．模型可展示肘关节伸展、弯曲和桡骨的旋转；自然大，有底座，附肩胛骨。</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AF1-67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牙列及磨牙解剖模型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#1、产品由成人恒牙部分牙列和第二磨牙解剖模型组成，分别置于底座上，可水平转动或取下，模型采用PVC制作。 </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AF1-68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胃解剖模型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本模型示胃在中等度膨胀时的形状，区分为前壁、后壁、胃小弯和胃大弯。食管入胃处为贲门，胃移行于十二指肠处为幽门，胃中部为胃体以及胃从贲门向左上方的膨隆——胃底等的形态。模型作纵剖，显示：粘膜壁、幽门瓣、幽门括约肌，胃粘膜以及由食管向胃移行之粘膜等构造。胃前壁除去腹膜，显示由三层平滑肌纤维组成的肌织膜：外层为纵层，显现于小弯及大弯处，中层为环层，深层为斜纤维。</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AF1-69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尿的形成动态模型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#1、电动式发光显示尿形成；</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132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AF1-70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人体呼吸运动模型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#1．电动式，动态模拟人体呼吸运动时，肺及肋骨等相关器官的运动过程；透明的塑料人体外部形态和 PVC 塑料肋骨、胸骨、膈肌等内部结构构成；模型是由力学机械和同步电子电路程序控制组合成，能动态模拟呼吸运动；产品应设计为用集成电路控制、发光管显示模拟的人体呼吸运动机制模型；模型设计原理应正确，效果应清晰；能够演示出由于肋间肌的交替收缩与舒张而带动肋骨和胸骨位移，而使胸腔变粗变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能够由于膈肌的上下移动而使胸腔变长、变短的过程；模型电路控制部分应可靠、安全、使用方便，功率不大于 10W。</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9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AF1-71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膈肌运动模拟器</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#1.本模型通过电动传杆周转运动，上下移动，显示呼吸运动的吸气和呼气两个过程                 </w:t>
            </w:r>
            <w:r>
              <w:rPr>
                <w:rFonts w:hint="eastAsia" w:ascii="宋体" w:hAnsi="宋体" w:eastAsia="宋体" w:cs="宋体"/>
                <w:i w:val="0"/>
                <w:iCs w:val="0"/>
                <w:color w:val="auto"/>
                <w:sz w:val="21"/>
                <w:szCs w:val="21"/>
                <w:highlight w:val="none"/>
                <w:u w:val="none"/>
                <w:lang w:val="en-US" w:eastAsia="zh-CN" w:bidi="ar"/>
              </w:rPr>
              <w:t xml:space="preserve">                                                                                                                                                                                                            显示胸廓的前面观，打开电建可见与呼吸运动有关的诸 结构胸肋关节，肋间外肌，膈肌，气管，左右支气管左右肺。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#3.演示吸气运动按吸气开关，可见：山与肋间外肌的收缩，使肋骨与胸骨向上和向外移动， 胸廓的前后径和左右径增大，同时膈肌收缩，其顶部下降，胸廓的上下径也增大，这样就扩大了整个胸廓的容积。肺也随之扩张，这时肺内的气压下降，低于大气压，是外界空气进入肺泡，完成吸气过程。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演示呼吸运动按呼气开关，可见：由于肋间外肌舒张，肋间内肌收缩，胸廓因故下降及重力和弹性作用而回位；同时膈肌舒张顶部回升，胸廓容积小，肺本身的弹性而回缩。这时肺内的气压回升，高于大气压力，迫使气体排出体外，完成呼气过程。按照每分钟30次的频率，让学生观察呼吸运动的</w:t>
            </w:r>
            <w:r>
              <w:rPr>
                <w:rFonts w:hint="eastAsia" w:ascii="宋体" w:hAnsi="宋体" w:cs="宋体"/>
                <w:i w:val="0"/>
                <w:iCs w:val="0"/>
                <w:color w:val="auto"/>
                <w:sz w:val="21"/>
                <w:szCs w:val="21"/>
                <w:highlight w:val="none"/>
                <w:u w:val="none"/>
                <w:lang w:val="en-US" w:eastAsia="zh-CN" w:bidi="ar"/>
              </w:rPr>
              <w:t xml:space="preserve">生动</w:t>
            </w:r>
            <w:r>
              <w:rPr>
                <w:rFonts w:hint="eastAsia" w:ascii="宋体" w:hAnsi="宋体" w:eastAsia="宋体" w:cs="宋体"/>
                <w:i w:val="0"/>
                <w:iCs w:val="0"/>
                <w:color w:val="auto"/>
                <w:sz w:val="21"/>
                <w:szCs w:val="21"/>
                <w:highlight w:val="none"/>
                <w:u w:val="none"/>
                <w:lang w:val="en-US" w:eastAsia="zh-CN" w:bidi="ar"/>
              </w:rPr>
              <w:t xml:space="preserve">过程</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AF1-72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护理人模型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#1、≥1700mm；热塑弹性体混合胶材质；</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AF1-73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始祖鸟化石及复原模型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#1、产品由始祖鸟化石模型及复原模型组成，分别置于底座上，模型应采用硬塑料或复合材料制作。示头骨、脊柱、肋骨、附肢骨和羽毛印迹，各部形态正确清晰，并显示化石裂缝。</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AF1-74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鱼解剖浸制标本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用鲫或鲤制作。标本右侧向衬板，并展开背鳍或尾鳍，显示其外形。标本应完整显示动物的消化系、呼吸系、循环系、排泄系、生殖系等。血管内分注红、蓝两色剂。标本应完整无缺、并保持自然色。整体浸制在密封包装的标本瓶内，保存液须将标本完全浸没。标本瓶不得有漏液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AF1-75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蛙解剖浸制标本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w:t>
            </w:r>
            <w:r>
              <w:rPr>
                <w:rFonts w:hint="eastAsia" w:ascii="宋体" w:hAnsi="宋体" w:cs="宋体"/>
                <w:i w:val="0"/>
                <w:iCs w:val="0"/>
                <w:color w:val="auto"/>
                <w:sz w:val="21"/>
                <w:szCs w:val="21"/>
                <w:highlight w:val="none"/>
                <w:u w:val="none"/>
                <w:lang w:val="en-US" w:eastAsia="zh-CN" w:bidi="ar"/>
              </w:rPr>
              <w:t xml:space="preserve">大型</w:t>
            </w:r>
            <w:r>
              <w:rPr>
                <w:rFonts w:hint="eastAsia" w:ascii="宋体" w:hAnsi="宋体" w:eastAsia="宋体" w:cs="宋体"/>
                <w:i w:val="0"/>
                <w:iCs w:val="0"/>
                <w:color w:val="auto"/>
                <w:sz w:val="21"/>
                <w:szCs w:val="21"/>
                <w:highlight w:val="none"/>
                <w:u w:val="none"/>
                <w:lang w:val="en-US" w:eastAsia="zh-CN" w:bidi="ar"/>
              </w:rPr>
              <w:t xml:space="preserve">青蛙或蟾蜍制作。将躯干背面的皮向上方翻开，以显示皮下动、静脉之分布。标本应完整显示动物的消化系、呼吸系、循环系、排泄系、生殖系等。血管内分注红、蓝两色剂。标本的背面向衬板。标本应完整无缺、并保持自然色。整体浸制在密封包装的标本瓶内，保存液须将标本完全浸没。标本瓶不得有漏液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243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AF1-76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蜥蜴解剖浸制标本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由石龙子科、蜥蜴科中较大型的个体制作。标本沿腹中线切开，体壁翻向两侧，前、后肢自然伸展，肩带和腰带的腹面切掉。血管内分注红、蓝两种色剂。标本背面向衬板。标本应完整显示动物的消化系、呼吸系、循环系、排泄系、生殖系等。标本应完整无缺、并保持自然色。整体浸制在密封包装的标本瓶内，保存液须将标本完全浸没。标本瓶不得有漏液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AF1-77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鸽解剖浸制标本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标本背面向衬板，血管内分注红、蓝两色剂。保留头部羽毛，颈和前、后肢伸展，显示外部形态。左侧的胸肌翻向外侧，显示胸动、静脉在胸肌中的分布。标本应完整显示动物的消化系、呼吸系、循环系、排泄系、生殖系等。标本应完整无缺、并保持自然色。整体浸制在密封包装的标本瓶内，保存液须将标本完全浸没。标本瓶不得有漏液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AF1-78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兔解剖浸制标本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标本背面向衬板，四肢伸展，显示外部形态，血管内分注红、蓝两色剂。标本沿腹中线切开，将皮翻向两侧， 标本应完整显示动物的消化系、呼吸系、循环系、排泄系、生殖系等。标本应完整无缺、并保持自然色。整体浸制在密封包装的标本瓶内，保存液须将标本完全浸没。标本瓶不得有漏液现象。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AF1-79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蛙发育顺序标本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由蛙的下列八个发育期组成：①单细胞期②尾牙期（已能区分头尾）③具外腮的蝌蚪④具内腮的蝌蚪⑤具后肢的蝌蚪⑥具前后肢蝌蚪⑦尾缩期的蝌蚪⑧幼蛙。①～③期在容器中不定位，④～⑧期以腹面向下定位。再按发育顺序自左向右排列。各期标本应完整无缺、饱满、肢体伸展（有肢体期），并保持自然色。</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AF1-80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蛔虫标本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#1．标本应完整无缺、并保持自然色。整体浸制在密封包装的标本瓶内。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AF1-81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花序类型保色浸制标本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#1、不少于七种</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AF1-82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花冠类型保色浸制标本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#1、十字花科，豆科，菊科等七种</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AF1-83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褐藻类植物保色浸制标本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#1、海带等四种</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AF1-84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红藻类植物保色浸制标本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#1、紫菜等四种</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AF1-85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海葵标本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#1.干制标本，盒装，工艺精美，标本体无损坏。</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AF1-86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海蛰标本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#1.干制标本，盒装，工艺精美，标本体无损坏。</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AF1-87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寄居蟹标本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#1.干制标本，盒装，工艺精美，标本体无损坏。</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AF1-88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寄居蟹与其他生物共生标本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#1.干制标本，盒装，工艺精美，标本体无损坏。</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AF1-89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寄生绦虫囊尾蚴猪肉浸制标本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#1、动物学浸制标本，用于观察寄生绦虫囊尾蚴猪肉外部形态结构的教学与实验。</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AF1-90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珍贵植物保色浸制标本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#1、技术要求应符合DB51/T 1246-2011《珍贵植物保色浸制标本》的要求。</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14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AF1-91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葫芦藓生活史标本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产品用葫芦藓制作，示藓类植物的不同世代。标本由（1）原丝体；（2）成长中的配子体；（3）具幼嫩孢蒴的配子体；（4）具成熟孢蒴的配子体（5）孢子体组成，按生活史顺序排列。</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177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AF1-92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蕨生活史标本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#1.产品用铁线制作，示蕨类植物的不同世代。标本由（1）带有孢子囊群的小羽片、（2）孢子、（3）原叶体（即配子体）、（4）原叶体幼孢子体、（5）孢子体组成，按生活史顺序排列。</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 保管和运输的环境温度0～40℃，并避免光直射。   </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AF1-93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蝗虫生活史标本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产品用东亚飞蝗或亚洲飞蝗制作，示昆虫的不完全变态。标本由卵、一至五龄的跳蝻、雄性成虫、雌性成虫和被害物组成。卵和虫体浸制，分装于小容器内，虫体以腹面向下定位。按生活史顺序排列。卵不少于四粒并排列成行。期虫姿应一致，雌性成虫应大于雄性成虫。</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243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AF1-94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蜜蜂生活史标本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用意蜂或中蜂制作，示昆虫的完全变态，社会性昆虫不同类型的个体和其经济意义。产品由卵、中（或老）熟幼虫、蛹、工蜂、雄蜂和母蜂（蜂王）组成，附巢础、蜂巢（包括一个母蜂房）、蜂蜡和蜂蜜。按生活史顺序排列。卵、幼虫（以腹面向左定位）、蛹（以背面向下定位）、成虫（以腹面向下定位）浸制，各个标本分封或部分合封于小容器内。母蜂腹部最长，并保持丰满，雄蜂腹部应粗壮，腹末圆；工蜂可显示其口器端部。各成虫的姿势应一致。</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AF1-95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竹节虫拟态标本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#1、由竹节虫、竹叶组成。</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AF1-96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家蚕生活史标本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#1、供中学生物教学实验用的动物学昆虫标本，用于观察家蚕个体发育及其经济意义的教学与实验。</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AF1-97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菜粉蝶生活史标本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#1、供中学生物教学实验用，标本包括母本穗、父本穗、Ｆ１代穗、</w:t>
            </w:r>
            <w:r>
              <w:rPr>
                <w:rFonts w:hint="eastAsia" w:ascii="宋体" w:hAnsi="宋体" w:cs="宋体"/>
                <w:i w:val="0"/>
                <w:iCs w:val="0"/>
                <w:color w:val="auto"/>
                <w:sz w:val="21"/>
                <w:szCs w:val="21"/>
                <w:highlight w:val="none"/>
                <w:u w:val="none"/>
                <w:lang w:val="en-US" w:eastAsia="zh-CN" w:bidi="ar"/>
              </w:rPr>
              <w:t xml:space="preserve">F2</w:t>
            </w:r>
            <w:r>
              <w:rPr>
                <w:rFonts w:hint="eastAsia" w:ascii="宋体" w:hAnsi="宋体" w:eastAsia="宋体" w:cs="宋体"/>
                <w:i w:val="0"/>
                <w:iCs w:val="0"/>
                <w:color w:val="auto"/>
                <w:sz w:val="21"/>
                <w:szCs w:val="21"/>
                <w:highlight w:val="none"/>
                <w:u w:val="none"/>
                <w:lang w:val="en-US" w:eastAsia="zh-CN" w:bidi="ar"/>
              </w:rPr>
              <w:t xml:space="preserve">代穗的自交穗和测交穗</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个果穗。</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AF1-98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兔骨骼标本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#1．标本显示中轴骨骼的头骨、舌器骨、七块颈椎、十三块胸椎、七块腰椎、荐椎、十五至十八块尾椎、十三对肋骨和六</w:t>
            </w:r>
            <w:r>
              <w:rPr>
                <w:rFonts w:hint="eastAsia" w:ascii="宋体" w:hAnsi="宋体" w:cs="宋体"/>
                <w:i w:val="0"/>
                <w:iCs w:val="0"/>
                <w:color w:val="auto"/>
                <w:sz w:val="21"/>
                <w:szCs w:val="21"/>
                <w:highlight w:val="none"/>
                <w:u w:val="none"/>
                <w:lang w:val="en-US" w:eastAsia="zh-CN" w:bidi="ar"/>
              </w:rPr>
              <w:t xml:space="preserve">块</w:t>
            </w:r>
            <w:r>
              <w:rPr>
                <w:rFonts w:hint="eastAsia" w:ascii="宋体" w:hAnsi="宋体" w:eastAsia="宋体" w:cs="宋体"/>
                <w:i w:val="0"/>
                <w:iCs w:val="0"/>
                <w:color w:val="auto"/>
                <w:sz w:val="21"/>
                <w:szCs w:val="21"/>
                <w:highlight w:val="none"/>
                <w:u w:val="none"/>
                <w:lang w:val="en-US" w:eastAsia="zh-CN" w:bidi="ar"/>
              </w:rPr>
              <w:t xml:space="preserve">胸骨。标本显示附肢骨骼的肩胛骨、锁骨、肱骨、尺骨、桡骨、腕骨九块、掌骨五块、指骨五个、骨盆、股骨、膝盖骨、胫骨、腓骨、跗骨六块、骨四块、趾骨四个。</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AF1-99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鱼骨骼标本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由鳍条完整，骨骼形态正常的鲫鱼或鲤鱼制作。标本左侧的鳃盖骨和下鳃盖骨卸下，示头部的舌弓、鳃弓、肩带与头骨之连接方式和围耳骨等形态结构，另附尾椎一条。标本以自然形态安装定位，从左右两面显示中轴骨骼的头骨（包括颅骨和咽骨）、脊柱、肋骨；附肢骨骼的肩带和胸鳍骨、腰带和腹鳍的鳍条、背鳍骨、臀髓骨和尾鳍骨（包括七块尾上骨、五块尾下骨和鳍条）。骨骼以原位组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AF1-100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蛙骨骼标本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#1、动物学骨骼标本，用于观察蛙骨骼形态结构的教学与实验。</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AF1-101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鸽骨骼标本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#1、采用家鸽制作。选用成年家鸽制作。家鸽以自然站立姿态固定在密封的透明树脂外壳中，多附颈椎骨一块。</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AF1-102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褐藻类植物原色覆膜标本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选用发育正常的褐藻门植物海带、裙带菜、鹿角菜、海蒿子等四种植物干制而成。示褐藻类植物的主要特征。标本应经保色或染色处理。标本的枝叶应展开，不得太密，并保持完整。标本应装订在台纸的中间，注意比例适中，应装防虫剂。标本选用形态自然，构造完整，色泽正常，发育良好的植株为材料制作。标本经保色处理后，面上由透明覆膜密封，覆膜工艺应平整、严密。标本须注明名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AF1-103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红藻类植物原色覆膜标本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选用发育正常的红藻门植物紫菜、石花菜、海索面（蜈蚣藻）、海萝等四种植物干制而成。示红藻类植物的主要特征。标本应经保色或染色处理。标本的枝叶应展开，不得太密，并保持完整。标本应装订在台纸的中间，注意比例适中，应装防虫剂。标本选用形态自然，构造完整，色泽正常，发育良好的植株为材料制作。标本经保色处理后，面上由透明覆膜密封，覆膜工艺应平整、严密。标本须注明名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AF1-104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珊瑚标本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#1、红珊瑚或</w:t>
            </w:r>
            <w:r>
              <w:rPr>
                <w:rFonts w:hint="eastAsia" w:ascii="宋体" w:hAnsi="宋体" w:cs="宋体"/>
                <w:i w:val="0"/>
                <w:iCs w:val="0"/>
                <w:color w:val="auto"/>
                <w:sz w:val="21"/>
                <w:szCs w:val="21"/>
                <w:highlight w:val="none"/>
                <w:u w:val="none"/>
                <w:lang w:val="en-US" w:eastAsia="zh-CN" w:bidi="ar"/>
              </w:rPr>
              <w:t xml:space="preserve">其他</w:t>
            </w:r>
            <w:r>
              <w:rPr>
                <w:rFonts w:hint="eastAsia" w:ascii="宋体" w:hAnsi="宋体" w:eastAsia="宋体" w:cs="宋体"/>
                <w:i w:val="0"/>
                <w:iCs w:val="0"/>
                <w:color w:val="auto"/>
                <w:sz w:val="21"/>
                <w:szCs w:val="21"/>
                <w:highlight w:val="none"/>
                <w:u w:val="none"/>
                <w:lang w:val="en-US" w:eastAsia="zh-CN" w:bidi="ar"/>
              </w:rPr>
              <w:t xml:space="preserve">珊瑚的具骨轴、其肉和虫体的标本。</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AF1-105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化石标本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标本应选用三叶虫、鱼和植物的化石组成2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AF1-106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节肢动物标本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#1、常见六种以上</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AF1-107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昆虫标本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#1、常见六种以上,益虫标本种类为：蚂蚁，异色瓢虫，宽肩步甲，蜻蜓等，害虫标本种类为：金龟子，梨蝽，负蝗，蝗虫等。</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AF1-108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单子叶植物茎横切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x和200x学生显微镜下观察单子叶植物茎横断面的结构。能看清表皮、散生维管束、薄壁组织。表皮为一层排列整齐的细胞，表皮下有一圈机械组织。标本取材于人工培养的玉米茎，取节间部位。切片厚度在25μm以内。切面应与纵轴垂直，表皮、机械组织、薄壁组织、维管束等处细胞倾斜不超过茎的1／4。标本用蕃红、固绿染色，木质导管、机械组织呈红色，其他组织绿色。</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AF1-109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双子叶植物茎横切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#1、符合双子叶植物茎横切技术条件</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7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AF1-110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标本在80x和200x学生显微镜下观察叶下表皮形态和气孔结构</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能看清不规则形的下表皮细胞，及其胞核和分散在下表皮细胞间的气孔。能看清正常开放的气孔形态和新月形的保卫细胞、胞核和叶绿体。标本取材于新鲜的、气孔开放的蚕豆叶。标本为平铺装片，每片材料不小于2x2mm，四周剪切整齐。材料整洁，不附带叶肉等其他组织，保卫细胞不收缩。闭合气孔不得超过2／3。胞质着色均匀，胞核明显，细胞界限清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AF1-111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松叶横切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#1、松叶材质</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7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AF1-112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标本在400×生物显微镜下观察植物细胞的胞间连丝形态。能看清胚乳的多边形厚壁贮藏细胞，认出细胞壁、胞间层和细胞腔。能看清许多细小的胞间连丝将两个相邻细胞的原生质体连在一起。标本取材于秋、冬季节的柿或黑枣的种子。切片厚度不超过20μm。材料面积不小于1.5</w:t>
            </w:r>
            <w:r>
              <w:rPr>
                <w:rFonts w:hint="eastAsia" w:ascii="宋体" w:hAnsi="宋体" w:eastAsia="宋体" w:cs="宋体"/>
                <w:i w:val="0"/>
                <w:iCs w:val="0"/>
                <w:color w:val="ff0000"/>
                <w:sz w:val="21"/>
                <w:szCs w:val="21"/>
                <w:highlight w:val="none"/>
                <w:u w:val="none"/>
                <w:lang w:val="en-US" w:eastAsia="zh-CN" w:bidi="ar"/>
              </w:rPr>
              <w:t xml:space="preserve">mm</w:t>
            </w:r>
            <w:r>
              <w:rPr>
                <w:rFonts w:hint="eastAsia" w:ascii="宋体" w:hAnsi="宋体" w:eastAsia="宋体" w:cs="宋体"/>
                <w:i w:val="0"/>
                <w:iCs w:val="0"/>
                <w:color w:val="ff0000"/>
                <w:sz w:val="21"/>
                <w:szCs w:val="21"/>
                <w:highlight w:val="none"/>
                <w:u w:val="none"/>
                <w:vertAlign w:val="super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，细胞不倾斜。标本用能显示胞间连丝的方法染色。胞间连丝着色应明显，细胞界限清楚，胞质色淡。有50%以上细胞能显示胞间连丝。材料四周剪切整齐，无染液的沉淀物。</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43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AF1-113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地衣切片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产品取材于地衣门（Lichende）叶状地衣（foliose-lichen）的一种，示异层地衣的结构。应示由紧密交织的菌丝组成的上皮层和下皮层，有疏松菌丝及藻类细胞组成的髓层、藻胞层。在上皮层或下皮层处可有各种附属物的结构。标本为双重染色，藻菌类染色有鲜明对比，分色适当，色泽协调。标本为地衣体的纵切片，切片厚度不超过108μm，材料长度不短于3mm，每张玻片横放材料一至二片。材料的刀痕或破损不超过二处。</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43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AF1-114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蕨叶切片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取材于地衣门（Lichende）叶状地衣（foliose-lichen）的一种，示异层地衣的结构。应示由紧密交织的菌丝组成的上皮层和下皮层，有疏松菌丝及藻类细胞组成的髓层、藻胞层。在上皮层或下皮层处可有各种附属物的结构。标本为双重染色，藻菌类染色有鲜明对比，分色适当，色泽协调。标本为地衣体的纵切片，切片厚度不超过108μm，材料长度不短于3mm，每张玻片横放材料一至二片。材料的刀痕或破损不超过二处。</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AF1-115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蕨原叶体装片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取材于真蕨纲（Filicinae）中的一种蕨原叶体，示原叶体的形态和生殖器官的结构。原叶体上应显示精子器或颈卵器（也可兼有）和假根。标本为单一染色或双重染色，分色适当，色泽协调。标本为原叶体腹面向上的整体装片。标本呈心形或基本呈心形，其“心”形的凹陷部应明显，细胞无明显收缩，</w:t>
            </w:r>
            <w:r>
              <w:rPr>
                <w:rFonts w:hint="eastAsia" w:ascii="宋体" w:hAnsi="宋体" w:cs="宋体"/>
                <w:i w:val="0"/>
                <w:iCs w:val="0"/>
                <w:color w:val="auto"/>
                <w:sz w:val="21"/>
                <w:szCs w:val="21"/>
                <w:highlight w:val="none"/>
                <w:u w:val="none"/>
                <w:lang w:val="en-US" w:eastAsia="zh-CN" w:bidi="ar"/>
              </w:rPr>
              <w:t xml:space="preserve">原</w:t>
            </w:r>
            <w:r>
              <w:rPr>
                <w:rFonts w:hint="eastAsia" w:ascii="宋体" w:hAnsi="宋体" w:eastAsia="宋体" w:cs="宋体"/>
                <w:i w:val="0"/>
                <w:iCs w:val="0"/>
                <w:color w:val="auto"/>
                <w:sz w:val="21"/>
                <w:szCs w:val="21"/>
                <w:highlight w:val="none"/>
                <w:u w:val="none"/>
                <w:lang w:val="en-US" w:eastAsia="zh-CN" w:bidi="ar"/>
              </w:rPr>
              <w:t xml:space="preserve">本完整、不破损，假根部基本无泥沙附着。</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663"/>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AF1-116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蕨原叶体幼孢子体装片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取材于真蕨纲（Filicinae）中的一种具幼孢子体的原叶体并示其形态。原叶体上有根、茎和伸出的第一叶。标本为单一染色或双重染色，分色适当，色泽协调。标本为整体装片，原叶体外形基本正常，可稍有缺陷，假根部基本无泥沙附着，幼孢子体形态正常，根不断，叶不皱，无破损。</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AF1-117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花粉萌发装片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于石蒜科（Amaryllidaceae）朱顶兰（AmaryllisVittata）的花粉，经人工培养示花粉粒和花粉管的结构；应示出未萌发的花粉、刚萌发花粉管的花粉，且其花粉管长度超过花粉的直径萌发的花粉管长度超过花粉粒直径多倍，</w:t>
            </w:r>
            <w:r>
              <w:rPr>
                <w:rFonts w:hint="eastAsia" w:ascii="宋体" w:hAnsi="宋体" w:cs="宋体"/>
                <w:i w:val="0"/>
                <w:iCs w:val="0"/>
                <w:color w:val="auto"/>
                <w:sz w:val="21"/>
                <w:szCs w:val="21"/>
                <w:highlight w:val="none"/>
                <w:u w:val="none"/>
                <w:lang w:val="en-US" w:eastAsia="zh-CN" w:bidi="ar"/>
              </w:rPr>
              <w:t xml:space="preserve">并显</w:t>
            </w:r>
            <w:r>
              <w:rPr>
                <w:rFonts w:hint="eastAsia" w:ascii="宋体" w:hAnsi="宋体" w:eastAsia="宋体" w:cs="宋体"/>
                <w:i w:val="0"/>
                <w:iCs w:val="0"/>
                <w:color w:val="auto"/>
                <w:sz w:val="21"/>
                <w:szCs w:val="21"/>
                <w:highlight w:val="none"/>
                <w:u w:val="none"/>
                <w:lang w:val="en-US" w:eastAsia="zh-CN" w:bidi="ar"/>
              </w:rPr>
              <w:t xml:space="preserve">示花粉管内的营养核或生殖核；标本为花粉萌发各期的混合装片，每张玻片上应达到 1 的要求并在 40×生物显微镜视野内同时看到；标本为双重染色，分色适当，色泽协调；花粉粒和花粉管不得断离、收缩，花粉和花粉管外不粘附污物；</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AF1-118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百合子房切片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#1、应符合JY</w:t>
            </w:r>
            <w:r>
              <w:rPr>
                <w:rFonts w:hint="eastAsia" w:ascii="宋体" w:hAnsi="宋体" w:cs="宋体"/>
                <w:i w:val="0"/>
                <w:iCs w:val="0"/>
                <w:color w:val="auto"/>
                <w:sz w:val="21"/>
                <w:szCs w:val="21"/>
                <w:highlight w:val="none"/>
                <w:u w:val="none"/>
                <w:lang w:val="en-US" w:eastAsia="zh-CN" w:bidi="ar"/>
              </w:rPr>
              <w:t xml:space="preserve">/T 00</w:t>
            </w:r>
            <w:r>
              <w:rPr>
                <w:rFonts w:hint="eastAsia" w:ascii="宋体" w:hAnsi="宋体" w:eastAsia="宋体" w:cs="宋体"/>
                <w:i w:val="0"/>
                <w:iCs w:val="0"/>
                <w:color w:val="auto"/>
                <w:sz w:val="21"/>
                <w:szCs w:val="21"/>
                <w:highlight w:val="none"/>
                <w:u w:val="none"/>
                <w:lang w:val="en-US" w:eastAsia="zh-CN" w:bidi="ar"/>
              </w:rPr>
              <w:t xml:space="preserve">67</w:t>
            </w:r>
            <w:r>
              <w:rPr>
                <w:rFonts w:hint="eastAsia" w:ascii="宋体" w:hAnsi="宋体" w:cs="宋体"/>
                <w:i w:val="0"/>
                <w:iCs w:val="0"/>
                <w:color w:val="auto"/>
                <w:sz w:val="21"/>
                <w:szCs w:val="21"/>
                <w:highlight w:val="none"/>
                <w:u w:val="none"/>
                <w:lang w:val="en-US" w:eastAsia="zh-CN" w:bidi="ar"/>
              </w:rPr>
              <w:t xml:space="preserve">-2011</w:t>
            </w:r>
            <w:r>
              <w:rPr>
                <w:rFonts w:hint="eastAsia" w:ascii="宋体" w:hAnsi="宋体" w:eastAsia="宋体" w:cs="宋体"/>
                <w:i w:val="0"/>
                <w:iCs w:val="0"/>
                <w:color w:val="auto"/>
                <w:sz w:val="21"/>
                <w:szCs w:val="21"/>
                <w:highlight w:val="none"/>
                <w:u w:val="none"/>
                <w:lang w:val="en-US" w:eastAsia="zh-CN" w:bidi="ar"/>
              </w:rPr>
              <w:t xml:space="preserve">《生物玻片标本通用</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》的规定。</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AF1-119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百合花药切片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#1、应符合JY</w:t>
            </w:r>
            <w:r>
              <w:rPr>
                <w:rFonts w:hint="eastAsia" w:ascii="宋体" w:hAnsi="宋体" w:cs="宋体"/>
                <w:i w:val="0"/>
                <w:iCs w:val="0"/>
                <w:color w:val="auto"/>
                <w:sz w:val="21"/>
                <w:szCs w:val="21"/>
                <w:highlight w:val="none"/>
                <w:u w:val="none"/>
                <w:lang w:val="en-US" w:eastAsia="zh-CN" w:bidi="ar"/>
              </w:rPr>
              <w:t xml:space="preserve">/T 00</w:t>
            </w:r>
            <w:r>
              <w:rPr>
                <w:rFonts w:hint="eastAsia" w:ascii="宋体" w:hAnsi="宋体" w:eastAsia="宋体" w:cs="宋体"/>
                <w:i w:val="0"/>
                <w:iCs w:val="0"/>
                <w:color w:val="auto"/>
                <w:sz w:val="21"/>
                <w:szCs w:val="21"/>
                <w:highlight w:val="none"/>
                <w:u w:val="none"/>
                <w:lang w:val="en-US" w:eastAsia="zh-CN" w:bidi="ar"/>
              </w:rPr>
              <w:t xml:space="preserve">67</w:t>
            </w:r>
            <w:r>
              <w:rPr>
                <w:rFonts w:hint="eastAsia" w:ascii="宋体" w:hAnsi="宋体" w:cs="宋体"/>
                <w:i w:val="0"/>
                <w:iCs w:val="0"/>
                <w:color w:val="auto"/>
                <w:sz w:val="21"/>
                <w:szCs w:val="21"/>
                <w:highlight w:val="none"/>
                <w:u w:val="none"/>
                <w:lang w:val="en-US" w:eastAsia="zh-CN" w:bidi="ar"/>
              </w:rPr>
              <w:t xml:space="preserve">-2011</w:t>
            </w:r>
            <w:r>
              <w:rPr>
                <w:rFonts w:hint="eastAsia" w:ascii="宋体" w:hAnsi="宋体" w:eastAsia="宋体" w:cs="宋体"/>
                <w:i w:val="0"/>
                <w:iCs w:val="0"/>
                <w:color w:val="auto"/>
                <w:sz w:val="21"/>
                <w:szCs w:val="21"/>
                <w:highlight w:val="none"/>
                <w:u w:val="none"/>
                <w:lang w:val="en-US" w:eastAsia="zh-CN" w:bidi="ar"/>
              </w:rPr>
              <w:t xml:space="preserve">《生物玻片标本通用</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》的规定。</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AF1-120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荠菜幼胚切片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#1、应符合JY</w:t>
            </w:r>
            <w:r>
              <w:rPr>
                <w:rFonts w:hint="eastAsia" w:ascii="宋体" w:hAnsi="宋体" w:cs="宋体"/>
                <w:i w:val="0"/>
                <w:iCs w:val="0"/>
                <w:color w:val="auto"/>
                <w:sz w:val="21"/>
                <w:szCs w:val="21"/>
                <w:highlight w:val="none"/>
                <w:u w:val="none"/>
                <w:lang w:val="en-US" w:eastAsia="zh-CN" w:bidi="ar"/>
              </w:rPr>
              <w:t xml:space="preserve">/T 00</w:t>
            </w:r>
            <w:r>
              <w:rPr>
                <w:rFonts w:hint="eastAsia" w:ascii="宋体" w:hAnsi="宋体" w:eastAsia="宋体" w:cs="宋体"/>
                <w:i w:val="0"/>
                <w:iCs w:val="0"/>
                <w:color w:val="auto"/>
                <w:sz w:val="21"/>
                <w:szCs w:val="21"/>
                <w:highlight w:val="none"/>
                <w:u w:val="none"/>
                <w:lang w:val="en-US" w:eastAsia="zh-CN" w:bidi="ar"/>
              </w:rPr>
              <w:t xml:space="preserve">67</w:t>
            </w:r>
            <w:r>
              <w:rPr>
                <w:rFonts w:hint="eastAsia" w:ascii="宋体" w:hAnsi="宋体" w:cs="宋体"/>
                <w:i w:val="0"/>
                <w:iCs w:val="0"/>
                <w:color w:val="auto"/>
                <w:sz w:val="21"/>
                <w:szCs w:val="21"/>
                <w:highlight w:val="none"/>
                <w:u w:val="none"/>
                <w:lang w:val="en-US" w:eastAsia="zh-CN" w:bidi="ar"/>
              </w:rPr>
              <w:t xml:space="preserve">-2011</w:t>
            </w:r>
            <w:r>
              <w:rPr>
                <w:rFonts w:hint="eastAsia" w:ascii="宋体" w:hAnsi="宋体" w:eastAsia="宋体" w:cs="宋体"/>
                <w:i w:val="0"/>
                <w:iCs w:val="0"/>
                <w:color w:val="auto"/>
                <w:sz w:val="21"/>
                <w:szCs w:val="21"/>
                <w:highlight w:val="none"/>
                <w:u w:val="none"/>
                <w:lang w:val="en-US" w:eastAsia="zh-CN" w:bidi="ar"/>
              </w:rPr>
              <w:t xml:space="preserve">《生物玻片标本通用</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》的规定。</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AF1-121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荠菜老胚切片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#1、应符合JY</w:t>
            </w:r>
            <w:r>
              <w:rPr>
                <w:rFonts w:hint="eastAsia" w:ascii="宋体" w:hAnsi="宋体" w:cs="宋体"/>
                <w:i w:val="0"/>
                <w:iCs w:val="0"/>
                <w:color w:val="auto"/>
                <w:sz w:val="21"/>
                <w:szCs w:val="21"/>
                <w:highlight w:val="none"/>
                <w:u w:val="none"/>
                <w:lang w:val="en-US" w:eastAsia="zh-CN" w:bidi="ar"/>
              </w:rPr>
              <w:t xml:space="preserve">/T 00</w:t>
            </w:r>
            <w:r>
              <w:rPr>
                <w:rFonts w:hint="eastAsia" w:ascii="宋体" w:hAnsi="宋体" w:eastAsia="宋体" w:cs="宋体"/>
                <w:i w:val="0"/>
                <w:iCs w:val="0"/>
                <w:color w:val="auto"/>
                <w:sz w:val="21"/>
                <w:szCs w:val="21"/>
                <w:highlight w:val="none"/>
                <w:u w:val="none"/>
                <w:lang w:val="en-US" w:eastAsia="zh-CN" w:bidi="ar"/>
              </w:rPr>
              <w:t xml:space="preserve">67</w:t>
            </w:r>
            <w:r>
              <w:rPr>
                <w:rFonts w:hint="eastAsia" w:ascii="宋体" w:hAnsi="宋体" w:cs="宋体"/>
                <w:i w:val="0"/>
                <w:iCs w:val="0"/>
                <w:color w:val="auto"/>
                <w:sz w:val="21"/>
                <w:szCs w:val="21"/>
                <w:highlight w:val="none"/>
                <w:u w:val="none"/>
                <w:lang w:val="en-US" w:eastAsia="zh-CN" w:bidi="ar"/>
              </w:rPr>
              <w:t xml:space="preserve">-2011</w:t>
            </w:r>
            <w:r>
              <w:rPr>
                <w:rFonts w:hint="eastAsia" w:ascii="宋体" w:hAnsi="宋体" w:eastAsia="宋体" w:cs="宋体"/>
                <w:i w:val="0"/>
                <w:iCs w:val="0"/>
                <w:color w:val="auto"/>
                <w:sz w:val="21"/>
                <w:szCs w:val="21"/>
                <w:highlight w:val="none"/>
                <w:u w:val="none"/>
                <w:lang w:val="en-US" w:eastAsia="zh-CN" w:bidi="ar"/>
              </w:rPr>
              <w:t xml:space="preserve">《生物玻片标本通用</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》的规定。</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48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AF1-122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玉米种子纵切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50×和200×显微镜下观察玉米种子纵切面的结构。能看清果皮、种皮、糊粉层、胚和胚乳。能看清胚内的胚芽（包括幼叶和生长锥）、胚芽鞘、胚根、胚根鞘、胚轴及一侧的一片子叶，并可见维管束。取材于</w:t>
            </w:r>
            <w:r>
              <w:rPr>
                <w:rFonts w:hint="eastAsia" w:ascii="宋体" w:hAnsi="宋体" w:cs="宋体"/>
                <w:i w:val="0"/>
                <w:iCs w:val="0"/>
                <w:color w:val="auto"/>
                <w:sz w:val="21"/>
                <w:szCs w:val="21"/>
                <w:highlight w:val="none"/>
                <w:u w:val="none"/>
                <w:lang w:val="en-US" w:eastAsia="zh-CN" w:bidi="ar"/>
              </w:rPr>
              <w:t xml:space="preserve">未</w:t>
            </w:r>
            <w:r>
              <w:rPr>
                <w:rFonts w:hint="eastAsia" w:ascii="宋体" w:hAnsi="宋体" w:eastAsia="宋体" w:cs="宋体"/>
                <w:i w:val="0"/>
                <w:iCs w:val="0"/>
                <w:color w:val="auto"/>
                <w:sz w:val="21"/>
                <w:szCs w:val="21"/>
                <w:highlight w:val="none"/>
                <w:u w:val="none"/>
                <w:lang w:val="en-US" w:eastAsia="zh-CN" w:bidi="ar"/>
              </w:rPr>
              <w:t xml:space="preserve">成熟的玉米种子。做玉米种子的纵切，每张玻片放材料一片。果皮与种皮不得脱离。胚内的各种结构应完整。</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AF1-123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洋葱鳞片叶表皮装片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#1．标本在80×和200×学生显微镜下观察鳞片叶表皮形态和结构。能看清鳞片叶表皮的长方形细胞，并具细胞核。标本取材于洋葱鳞片叶表皮。标本为平铺装片，每片材料不小于2×2mm，四周须剪整齐。</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1027"/>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AF1-124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衣藻装片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取材于绿藻门（Chlorophyta）衣藻属（Chlamydomonas）中个体较大者，示衣藻细胞的结构。应显示衣藻为单细胞，球形或卵形。应显示细胞壁，杯状叶绿体，蛋白核（造粉核、淀粉核）细胞核，鞭毛。标本染色清晰，分色适当，色泽协调。材料纯净，不密集成团，细胞不皱缩。在100×镜下的任一视野内，衣藻数不少于20个，其中有鞭毛的衣藻不少于总数的1/5。产品使用的载玻片和盖玻片，</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AF1-125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酵母菌装片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x和400x生物显微镜下观察酵母菌的形态。酵母菌为单细胞卵圆形。在不同的染色情况下，能看清细胞壁、细胞质、细胞核和液泡等。在菌体上可看清出芽生殖，分别具一、二或多个芽。标本取材于人工培养的体大的酵母菌。材料应纯净，无杂菌、污物，不密集成团。</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AF1-126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水绵接合生殖装片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#1．标本取用具梯形接合的、细胞壁为平滑型的任一种水绵。标本包括有营养细胞和接合生殖各期的藻丝，细胞不收缩，藻丝不堆集或缠绕</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标本为铁苏木精染色，可复染固绿。核、叶绿体等明显，胞质均匀，接合子内的胞核叶绿体也应区别清楚。除少数接合管处，标本应清洁无污物，不混有</w:t>
            </w:r>
            <w:r>
              <w:rPr>
                <w:rFonts w:hint="eastAsia" w:ascii="宋体" w:hAnsi="宋体" w:cs="宋体"/>
                <w:i w:val="0"/>
                <w:iCs w:val="0"/>
                <w:color w:val="auto"/>
                <w:sz w:val="21"/>
                <w:szCs w:val="21"/>
                <w:highlight w:val="none"/>
                <w:u w:val="none"/>
                <w:lang w:val="en-US" w:eastAsia="zh-CN" w:bidi="ar"/>
              </w:rPr>
              <w:t xml:space="preserve">其他</w:t>
            </w:r>
            <w:r>
              <w:rPr>
                <w:rFonts w:hint="eastAsia" w:ascii="宋体" w:hAnsi="宋体" w:eastAsia="宋体" w:cs="宋体"/>
                <w:i w:val="0"/>
                <w:iCs w:val="0"/>
                <w:color w:val="auto"/>
                <w:sz w:val="21"/>
                <w:szCs w:val="21"/>
                <w:highlight w:val="none"/>
                <w:u w:val="none"/>
                <w:lang w:val="en-US" w:eastAsia="zh-CN" w:bidi="ar"/>
              </w:rPr>
              <w:t xml:space="preserve">藻类。</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AF1-127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水绵装片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和200×学生显微镜下观察水绵营养时期的结构。能看清丝状体内圆柱形的营养细胞，位于中央的胞核，呈星芒状的原生质、平立的细胞横壁，作螺旋盘绕的叶绿体呈带状，以及纵列于叶绿体上的蛋白核等。应取材于营养时期的水绵材料，细胞不收缩，藻丝不严重堆集或缠绕（不影响观察）。标本为铁苏木精与固绿双重染色，标本应清洁无污物，不混有其他藻类。</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7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AF1-128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团藻装片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50×和100×生物显微镜下，观察团藻具子群体的形态。能看清由大量细胞构成的一个空心球体和球体内不同发育期的若干子群体。能认出形成球体的细胞只有一层，并且形态相同，从表面上观察细胞为多边形，中间有核。标本取材应</w:t>
            </w:r>
            <w:r>
              <w:rPr>
                <w:rFonts w:hint="eastAsia" w:ascii="宋体" w:hAnsi="宋体" w:cs="宋体"/>
                <w:i w:val="0"/>
                <w:iCs w:val="0"/>
                <w:color w:val="auto"/>
                <w:sz w:val="21"/>
                <w:szCs w:val="21"/>
                <w:highlight w:val="none"/>
                <w:u w:val="none"/>
                <w:lang w:val="en-US" w:eastAsia="zh-CN" w:bidi="ar"/>
              </w:rPr>
              <w:t xml:space="preserve">具有</w:t>
            </w:r>
            <w:r>
              <w:rPr>
                <w:rFonts w:hint="eastAsia" w:ascii="宋体" w:hAnsi="宋体" w:eastAsia="宋体" w:cs="宋体"/>
                <w:i w:val="0"/>
                <w:iCs w:val="0"/>
                <w:color w:val="auto"/>
                <w:sz w:val="21"/>
                <w:szCs w:val="21"/>
                <w:highlight w:val="none"/>
                <w:u w:val="none"/>
                <w:lang w:val="en-US" w:eastAsia="zh-CN" w:bidi="ar"/>
              </w:rPr>
              <w:t xml:space="preserve">群体期，具有性生殖期的材料更好。标本为洋红或苏木精与固绿的双重染色，分色适当，细胞界限及核清楚，子群体能显示。作团藻的整体装片，每张玻片内团藻数量不应少于五个，并应具有不同时期的子群体。团藻应基本呈球形，无明显收缩，压碎等情况。团藻为厚装片标本，封盖剂应充分干燥，材料不得在盖玻下移动。</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173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AF1-129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伞蕈切片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#1．标本在100×和400×生物显微镜下，观察伞蕈</w:t>
            </w:r>
            <w:r>
              <w:rPr>
                <w:rFonts w:hint="eastAsia" w:ascii="宋体" w:hAnsi="宋体" w:eastAsia="宋体" w:cs="宋体"/>
                <w:i w:val="0"/>
                <w:iCs w:val="0"/>
                <w:color w:val="auto"/>
                <w:sz w:val="21"/>
                <w:szCs w:val="21"/>
                <w:highlight w:val="none"/>
                <w:u w:val="none"/>
                <w:lang w:val="en-US" w:eastAsia="zh-CN" w:bidi="ar"/>
              </w:rPr>
              <w:t xml:space="preserve">菌盖的部分结构。能看清帽状菌盖的横切面，中间有菌柄横切面和菌褶的纵切面，两侧有担子。能认出菌褶（子实层）的结构，认出担子，担子小柄和担孢子。能认出担子顶端的有二或四个担子小柄及小柄顶有一个担孢子的典型结构。标本选用同担子菌亚纲（Homobasidiomycetidae）伞菌目（Agaricales）中任一种伞菌。标本取材不宜过老，菌盖尚未张开，呈帽形状时为佳。标本为帽状菌盖的横切片，其厚度在8μm以内。铁苏木精染色，每张玻片放材料一片。菌柄居中，菌褶、担了和担孢子不收缩。担孢子散落不应过多，材料无破损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AF1-130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黑根霉装片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#1．能看清黑根霉的营养菌丝、匍匐菌丝、假根、孢子梗、孢子囊的形态结构。</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395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AF1-131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水螅纵切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x和200x学生显微镜下观察水媳纵断面的结构。能看清外胚层、内胚层、中胚层和消化循环腔，有时可看到部分触手的纵断面。外胚层看到内皮肌细胞,内胚层看到内骨细胞,在400X镜下可见间细胞和刺细胞。基盘部细胞排列整齐，垂唇部细胞较为致密。标本取材为淡水水螅，经固定后仍应保持其伸展状态。做</w:t>
            </w:r>
            <w:r>
              <w:rPr>
                <w:rFonts w:hint="eastAsia" w:ascii="宋体" w:hAnsi="宋体" w:cs="宋体"/>
                <w:i w:val="0"/>
                <w:iCs w:val="0"/>
                <w:color w:val="auto"/>
                <w:sz w:val="21"/>
                <w:szCs w:val="21"/>
                <w:highlight w:val="none"/>
                <w:u w:val="none"/>
                <w:lang w:val="en-US" w:eastAsia="zh-CN" w:bidi="ar"/>
              </w:rPr>
              <w:t xml:space="preserve">水螅</w:t>
            </w:r>
            <w:r>
              <w:rPr>
                <w:rFonts w:hint="eastAsia" w:ascii="宋体" w:hAnsi="宋体" w:eastAsia="宋体" w:cs="宋体"/>
                <w:i w:val="0"/>
                <w:iCs w:val="0"/>
                <w:color w:val="auto"/>
                <w:sz w:val="21"/>
                <w:szCs w:val="21"/>
                <w:highlight w:val="none"/>
                <w:u w:val="none"/>
                <w:lang w:val="en-US" w:eastAsia="zh-CN" w:bidi="ar"/>
              </w:rPr>
              <w:t xml:space="preserve">整体中部纵切,切片厚度为5-7μm,每张玻片垂直放材料一片。标本为基盘部至口端部的纵断面,基盘必须完整,可以不过口和触手。内、外胚层间应无裂隙，体外不得有附着物。</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AF1-132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蚯蚓横切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#1．标本在80x和200x学生显微镜下观察蚯蚓横断面的</w:t>
            </w:r>
            <w:r>
              <w:rPr>
                <w:rFonts w:hint="eastAsia" w:ascii="宋体" w:hAnsi="宋体" w:eastAsia="宋体" w:cs="宋体"/>
                <w:i w:val="0"/>
                <w:iCs w:val="0"/>
                <w:color w:val="auto"/>
                <w:sz w:val="21"/>
                <w:szCs w:val="21"/>
                <w:highlight w:val="none"/>
                <w:u w:val="none"/>
                <w:lang w:val="en-US" w:eastAsia="zh-CN" w:bidi="ar"/>
              </w:rPr>
              <w:t xml:space="preserve">结构。能看清表皮、肌层（环肌、纵肌）、体腔、背血管、腹血管、腹神经索、神经下血管、肠、盲道、不完整的肾管、肠及背血管周围的黄色细胞等。表皮为多种细胞组成，表皮外可见一层角质膜。有时可见到刚毛的纵断切面。环肌层较薄，肌细胞呈纵断面，成柬状的纵肌层较厚，肌细胞呈横断面，纵肌内侧可见体腔膜。标本取材为环毛蚓(异唇蚓等也可使用)。切片厚度为10μm以内。标本的切面应与蝗蚓的纵轴垂直,呈圆或椭圆形.背血管\腹血管、腹神经索、神经下血管应基本位于同一垂直线上。纵肌和肠上皮细胞可有轻微收缩现象和裂隙。表皮无皱褶、无污物。</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35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AF1-133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动物细胞有丝分裂(马蛔虫受精卵切片)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x和200x学生显微镜下观察蚯蚓横断面的结构。能看清表皮、肌层（环肌、纵肌）、体腔、背血管、腹血管、腹神经索、神经下血管、肠、盲道、不完整的肾管、肠及背血管周围的黄色细胞等。表皮为多种细胞组成，表皮外可见一层角质膜。有时可见到刚毛的纵断切面。环肌层较薄，肌细胞呈纵断面，成柬状的纵肌层较厚，肌细胞呈横断面，纵肌内侧可见体腔膜。标本取材为环毛蚓(异唇蚓等也可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切片厚度为10μm以内。标本的切面应与蝗蚓的纵轴垂直,呈圆或椭圆形.背血管\腹血管、腹神经索、神经下血管应基本位于同一垂直线上。纵肌和肠上皮细胞可有轻微收缩现象和裂隙。表皮无皱褶、无污物。</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43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AF1-134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草履虫接合生殖装片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#1．标本在50×和100×生物显微镜下，观察草履虫接合生殖的形态。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能看清两个草履虫纵向平行紧贴在一起。有时隐约可见虫体是以口沟部位相紧贴的，能认出被染成深色的大核，在个别标本上可见纤毛。标本取材为人工培养的处于接合生殖时期的大草履虫（Paramecium Caudatum）。标本为整体装片，每张玻片放材料应不少于三对，并可在50×镜下的同一视野内观察到。标本用洋红或苏木精染色，分色适当，大核明显。草履虫体形正常，无收缩，膨胀及压裂现象。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35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AF1-135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#1．标本在50×和100×生物显微镜下，观察草履虫分裂时的形态。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能分别认出：a．未分裂草履虫的形态。b．大核变长，小核分裂为二。c．虫体中部出现缢痕，大核中间变细或断开，小核远离。d．虫体沿中部横裂变细，尚未断开，大核缩短。标本取材为人工培养的处于分裂时期的大草履虫（Paramecium Cauda-tum）。标本为整体装片，每张玻片上应按1.2条的要求，依次排列成一行，并在50×镜下的同一视野内观察到各期的形态。标本用洋红或苏木精染色，分色适当。虫体形态正常，无收缩，膨胀、压碎、断裂等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36"/>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AF1-136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囊虫装片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#1．标本在50×和100×生物显微镜下，观察囊虫的形态。能看清头节上的四个吸盘和顶突部分的小钩。能认出一部分颈节和囊。标本取材为寄生于猪的链状带绦虫（Taenia Solium）的囊尾蚴。取材应为成熟的囊尾蚴，囊不应过大，头节自囊内翻出。标本为洋红或苏木精染色。分色适中，颈节、头节、吸盘和囊等</w:t>
            </w:r>
            <w:r>
              <w:rPr>
                <w:rFonts w:hint="eastAsia" w:ascii="宋体" w:hAnsi="宋体" w:cs="宋体"/>
                <w:i w:val="0"/>
                <w:iCs w:val="0"/>
                <w:color w:val="auto"/>
                <w:sz w:val="21"/>
                <w:szCs w:val="21"/>
                <w:highlight w:val="none"/>
                <w:u w:val="none"/>
                <w:lang w:val="en-US" w:eastAsia="zh-CN" w:bidi="ar"/>
              </w:rPr>
              <w:t xml:space="preserve">分辨</w:t>
            </w:r>
            <w:r>
              <w:rPr>
                <w:rFonts w:hint="eastAsia" w:ascii="宋体" w:hAnsi="宋体" w:eastAsia="宋体" w:cs="宋体"/>
                <w:i w:val="0"/>
                <w:iCs w:val="0"/>
                <w:color w:val="auto"/>
                <w:sz w:val="21"/>
                <w:szCs w:val="21"/>
                <w:highlight w:val="none"/>
                <w:u w:val="none"/>
                <w:lang w:val="en-US" w:eastAsia="zh-CN" w:bidi="ar"/>
              </w:rPr>
              <w:t xml:space="preserve">清楚。囊体不破裂，可有小皱褶，头、颈无收缩现象。每张玻片放囊虫一个，头节向上。标本为特厚装片，封盖后的封盖剂必须干固，标本不能有移动现象。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7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AF1-137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血吸虫雌雄合抱装片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50×和100×生物显微镜下，观察血吸虫雌雄合抱的形态和结构。应分别认出雌、雄虫的各部主要结构：口吸盘、腹吸盘、精巢和卵巢等。重点观察雌虫在雄虫抱雌沟内的形态。标本选用经人工感染哺乳物后的日本血吸虫（Schistosoma Japonicum）雌雄虫合抱期的材料。标本为洋红或苏木精染色。分色适当，各部结构显示清晰。雌雄虫体形正常，雌体可有部分离开雌沟的现象，体外及口吸盘部位可有轻度污物，虫体可有轻度扭曲现象。每张玻片放雌雄合抱期的虫体一条，口吸盘部向前，体侧面向上。</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AF1-138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血吸虫雄虫装片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 50×和 100×生物显微镜下，观察血吸虫雄虫的形态结构；能看清雄虫体较短粗，一般向腹面弯曲，呈新月形或 C 形；能看清自吸盘以后虫体侧壁向腹面围拢形成的抱雄沟；认出口吸盘、腹吸盘、精巢（一般为七个）；在腹吸盘附近，消化道分成左右两肠支；标本选用经人工感染哺乳动物后的日本血吸虫（SchistosmaJaponicum）雄性成虫；标本用苏木精或洋红染色；精巢应着色明显易于</w:t>
            </w:r>
            <w:r>
              <w:rPr>
                <w:rFonts w:hint="eastAsia" w:ascii="宋体" w:hAnsi="宋体" w:cs="宋体"/>
                <w:i w:val="0"/>
                <w:iCs w:val="0"/>
                <w:color w:val="auto"/>
                <w:sz w:val="21"/>
                <w:szCs w:val="21"/>
                <w:highlight w:val="none"/>
                <w:u w:val="none"/>
                <w:lang w:val="en-US" w:eastAsia="zh-CN" w:bidi="ar"/>
              </w:rPr>
              <w:t xml:space="preserve">辨认</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其他</w:t>
            </w:r>
            <w:r>
              <w:rPr>
                <w:rFonts w:hint="eastAsia" w:ascii="宋体" w:hAnsi="宋体" w:eastAsia="宋体" w:cs="宋体"/>
                <w:i w:val="0"/>
                <w:iCs w:val="0"/>
                <w:color w:val="auto"/>
                <w:sz w:val="21"/>
                <w:szCs w:val="21"/>
                <w:highlight w:val="none"/>
                <w:u w:val="none"/>
                <w:lang w:val="en-US" w:eastAsia="zh-CN" w:bidi="ar"/>
              </w:rPr>
              <w:t xml:space="preserve">结构为淡兰色或粉红色；虫体形态正常，不扭曲，应呈新月形或 C 形，精巢可有 6～9 个；吸盘部允许有少许粘液附着；每张玻片放雄虫一条，口吸盘向前，侧面向上。</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AF1-139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血吸虫雌虫装片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 50×和 100×生物显微镜下，观察血吸虫雌虫的形态和结构；能看清雌虫体细长，后半部较粗；应认出口吸盘、腹吸盘、子宫、卵巢、卵巢腺和卵等；在虫体后部的肠管内，可有黑褐色的色素；标本选用经人工感染哺乳动物后的日本血吸虫（SchistosmaJaponicum）雌性成虫；标本为洋红或苏木精染色，分色适当，各部位结构均显示正常；虫体形态正常，略直，不扭曲，口吸盘处可有少数粘液，体外允许有轻微微物虫卵透明；每张玻片放雌虫一条，口吸盘向前，侧面向上。</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AF1-140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家蚊(雌)口器装片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50×显微镜下观察家蚊（雌）口器的形态结构。能看清家蚊口器的上唇、下唇、下颚须，可见上下颚及舌包在下唇之鞘内。取材于家蚊（雌）的头部。标本为装片，每张玻片放材料一片。至少上唇从下唇鞘中分出，一对下颚须分列两侧，上下颚及舌从下唇鞘中挑出则更好。口器各部不得有破损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43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AF1-141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水螅过精巢横切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 100×和 400×生物显微镜下，观察水螅过精巢横切的结构；能看清精巢、外胚层、内胚层、中胶层和消化循环腔；能认出精巢中的精细胞和精子，外胚层中的外皮肌细胞，内胚层中的内皮肌细胞还应看到间细胞和刺细胞；标本取材于经固定后仍保持其自然状态的水螅；标本为过精巢中部的切片，至少看到一个呈乳头状的精巢断面，精巢和胚层之间无裂隙，切片厚度在 7μm 以内，每张玻片放材料 1～2 片；标本用苏木精单一染色，分色适当；横断面完整，内、外胚层间应无裂隙，体内不得有附着物。</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4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AF1-142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水螅过卵巢横切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 100×和 400×生物显微镜下，观察水螅过卵巢横切的结构；能看清卵巢、外胚层、内胚层、中胚层和消化循环腔；应认出卵巢中的一个卵细胞和许多营养细胞，外胚层中的外皮肌细胞，内胚层中的内皮肌细胞。还应看到间细胞和刺细胞；标本取材于经固定后仍保持其自然状态的水螅；标本为过卵细胞的切片，其厚度在 7μm 以内，每张玻片放材料一片；标本为苏木精单一染色，分色适当；卵巢合胚层间无裂隙，体外不得有附着物。</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37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AF1-143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复层扁平上皮装片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#1．标本在80x和200x学生显微镜下观察皮肤过毛囊的结构。能看清表皮、真皮和皮下组织。表皮为复层扁平上皮，近表面的浅层细胞有角化脱落</w:t>
            </w:r>
            <w:r>
              <w:rPr>
                <w:rFonts w:hint="eastAsia" w:ascii="宋体" w:hAnsi="宋体" w:cs="宋体"/>
                <w:i w:val="0"/>
                <w:iCs w:val="0"/>
                <w:color w:val="auto"/>
                <w:sz w:val="21"/>
                <w:szCs w:val="21"/>
                <w:highlight w:val="none"/>
                <w:u w:val="none"/>
                <w:lang w:val="en-US" w:eastAsia="zh-CN" w:bidi="ar"/>
              </w:rPr>
              <w:t xml:space="preserve">现象</w:t>
            </w:r>
            <w:r>
              <w:rPr>
                <w:rFonts w:hint="eastAsia" w:ascii="宋体" w:hAnsi="宋体" w:eastAsia="宋体" w:cs="宋体"/>
                <w:i w:val="0"/>
                <w:iCs w:val="0"/>
                <w:color w:val="auto"/>
                <w:sz w:val="21"/>
                <w:szCs w:val="21"/>
                <w:highlight w:val="none"/>
                <w:u w:val="none"/>
                <w:lang w:val="en-US" w:eastAsia="zh-CN" w:bidi="ar"/>
              </w:rPr>
              <w:t xml:space="preserve">。在真皮和皮下组</w:t>
            </w:r>
            <w:r>
              <w:rPr>
                <w:rFonts w:hint="eastAsia" w:ascii="宋体" w:hAnsi="宋体" w:eastAsia="宋体" w:cs="宋体"/>
                <w:i w:val="0"/>
                <w:iCs w:val="0"/>
                <w:color w:val="auto"/>
                <w:sz w:val="21"/>
                <w:szCs w:val="21"/>
                <w:highlight w:val="none"/>
                <w:u w:val="none"/>
                <w:lang w:val="en-US" w:eastAsia="zh-CN" w:bidi="ar"/>
              </w:rPr>
              <w:t xml:space="preserve">织中，分别看清皮脂腺、立毛肌、毛干、毛根，毛囊、毛球和毛乳头等，在毛发皮质近根处的细胞中含有色素颗粒。标本应在死亡不久的尸体上取材，以成人头皮为最好，婴儿头皮也可使用。标本以毛发的纵断方向切片，切片厚度在15μm以内，每张玻片横放材料一片。标本上应有一根从毛于经毛根至毛乳头的毛发纵断面，或至少有一根自毛乳头向上至皮脂腺开口处的毛发纵断面。毛干和毛根不得移位。组织无病变，毛球和毛乳头处不收缩。如为火棉胶切片则火棉胶应无色、无污物。非主要观察部位可有刀痕一处，或表皮、真皮间有小裂隙，但不得超过材料长度的1／3。</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136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AF1-144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人皮过毛囊切片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x和200x学生显微镜下观察皮肤过汗腺的结构。能看清表皮、真皮和皮下组织。在表皮部分应看清角质层、透明层、颗粒层、棘细胞层和基底层以及穿过各层的汗腺导管。在真皮部分除看清真皮乳头、结缔组织纤维、汗腺导管的断面外，在真皮下部和皮下组织中还应看清汗腺分泌部的断面结构。标本应在死亡不久的尸体上取材，以成年人为好，取材部位为手掌或足部。平行于皮嵴切片，切片厚度在20μm以内，每张玻片横放材料一片。材料上最少应有一条与汗腺分泌或汗腺开口连接的汗腺导管，其显示长度不少于汗腺分泌部至表皮的1／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染色对比协调，棘细胞层、基底层和汗腺导管细胞的胞质着深并微呈蓝色，如为火棉胶切片，则火棉胶应无色、无污物。组织无病变，非主要观察部位的刀痕或破损、裂隙不超过一处，且裂隙不得超过材料长度的1／3。</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AF1-145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人皮过汗腺切片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#1、符合人皮过汗腺切片技术条件</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6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AF1-146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脊髓横切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x和200x学生显微镜下观察脊髓横断面的结构。在完整的脊髓横断面上能看清被膜、灰质和白质。在灰质中能看清中央管、神经胶质细胞的胞核、交错的神经纤维断面、前角处的运动神经原等。能看清前正中裂、后正中沟和前、后根的痕迹以及白质中神经纤维的轴索和髓鞘的横断结构。标本取材于哺乳动物的脊髓，取材部位为颈膨大或腰膨大处。切片厚度在8μm以内，被膜应完整。脊髓外形应正常，灰、白质中不得有空腔等病变现象。</w:t>
            </w:r>
            <w:r>
              <w:rPr>
                <w:rFonts w:hint="eastAsia" w:ascii="宋体" w:hAnsi="宋体" w:cs="宋体"/>
                <w:i w:val="0"/>
                <w:iCs w:val="0"/>
                <w:color w:val="auto"/>
                <w:sz w:val="21"/>
                <w:szCs w:val="21"/>
                <w:highlight w:val="none"/>
                <w:u w:val="none"/>
                <w:lang w:val="en-US" w:eastAsia="zh-CN" w:bidi="ar"/>
              </w:rPr>
              <w:t xml:space="preserve">运动神经源</w:t>
            </w:r>
            <w:r>
              <w:rPr>
                <w:rFonts w:hint="eastAsia" w:ascii="宋体" w:hAnsi="宋体" w:eastAsia="宋体" w:cs="宋体"/>
                <w:i w:val="0"/>
                <w:iCs w:val="0"/>
                <w:color w:val="auto"/>
                <w:sz w:val="21"/>
                <w:szCs w:val="21"/>
                <w:highlight w:val="none"/>
                <w:u w:val="none"/>
                <w:lang w:val="en-US" w:eastAsia="zh-CN" w:bidi="ar"/>
              </w:rPr>
              <w:t xml:space="preserve">和灰质</w:t>
            </w:r>
            <w:r>
              <w:rPr>
                <w:rFonts w:hint="eastAsia" w:ascii="宋体" w:hAnsi="宋体" w:cs="宋体"/>
                <w:i w:val="0"/>
                <w:iCs w:val="0"/>
                <w:color w:val="auto"/>
                <w:sz w:val="21"/>
                <w:szCs w:val="21"/>
                <w:highlight w:val="none"/>
                <w:u w:val="none"/>
                <w:lang w:val="en-US" w:eastAsia="zh-CN" w:bidi="ar"/>
              </w:rPr>
              <w:t xml:space="preserve">间</w:t>
            </w:r>
            <w:r>
              <w:rPr>
                <w:rFonts w:hint="eastAsia" w:ascii="宋体" w:hAnsi="宋体" w:eastAsia="宋体" w:cs="宋体"/>
                <w:i w:val="0"/>
                <w:iCs w:val="0"/>
                <w:color w:val="auto"/>
                <w:sz w:val="21"/>
                <w:szCs w:val="21"/>
                <w:highlight w:val="none"/>
                <w:u w:val="none"/>
                <w:lang w:val="en-US" w:eastAsia="zh-CN" w:bidi="ar"/>
              </w:rPr>
              <w:t xml:space="preserve">可有轻微裂隙。</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5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AF1-147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运动神经末梢装片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#1．标本在80×和200×学生显微镜下观察肌纤维和运动神经末梢的形态。能看清被染成蓝紫色或紫红色的肌纤维，有时可见横纹。能看清蓝黑色成束的神经纤维</w:t>
            </w:r>
            <w:r>
              <w:rPr>
                <w:rFonts w:hint="eastAsia" w:ascii="宋体" w:hAnsi="宋体" w:cs="宋体"/>
                <w:i w:val="0"/>
                <w:iCs w:val="0"/>
                <w:color w:val="auto"/>
                <w:sz w:val="21"/>
                <w:szCs w:val="21"/>
                <w:highlight w:val="none"/>
                <w:u w:val="none"/>
                <w:lang w:val="en-US" w:eastAsia="zh-CN" w:bidi="ar"/>
              </w:rPr>
              <w:t xml:space="preserve">及其分支</w:t>
            </w:r>
            <w:r>
              <w:rPr>
                <w:rFonts w:hint="eastAsia" w:ascii="宋体" w:hAnsi="宋体" w:eastAsia="宋体" w:cs="宋体"/>
                <w:i w:val="0"/>
                <w:iCs w:val="0"/>
                <w:color w:val="auto"/>
                <w:sz w:val="21"/>
                <w:szCs w:val="21"/>
                <w:highlight w:val="none"/>
                <w:u w:val="none"/>
                <w:lang w:val="en-US" w:eastAsia="zh-CN" w:bidi="ar"/>
              </w:rPr>
              <w:t xml:space="preserve">，在肌膜处形成爪状的运动终板（运动神经末梢）。标本取材于小哺乳动物的肋间肌或其他动物的骨骼肌。标本用甲酸、氯化金处理，显示神经纤维和运动神经末梢。应至少能看到一支完整的神经纤维</w:t>
            </w:r>
            <w:r>
              <w:rPr>
                <w:rFonts w:hint="eastAsia" w:ascii="宋体" w:hAnsi="宋体" w:cs="宋体"/>
                <w:i w:val="0"/>
                <w:iCs w:val="0"/>
                <w:color w:val="auto"/>
                <w:sz w:val="21"/>
                <w:szCs w:val="21"/>
                <w:highlight w:val="none"/>
                <w:u w:val="none"/>
                <w:lang w:val="en-US" w:eastAsia="zh-CN" w:bidi="ar"/>
              </w:rPr>
              <w:t xml:space="preserve">及其分支</w:t>
            </w:r>
            <w:r>
              <w:rPr>
                <w:rFonts w:hint="eastAsia" w:ascii="宋体" w:hAnsi="宋体" w:eastAsia="宋体" w:cs="宋体"/>
                <w:i w:val="0"/>
                <w:iCs w:val="0"/>
                <w:color w:val="auto"/>
                <w:sz w:val="21"/>
                <w:szCs w:val="21"/>
                <w:highlight w:val="none"/>
                <w:u w:val="none"/>
                <w:lang w:val="en-US" w:eastAsia="zh-CN" w:bidi="ar"/>
              </w:rPr>
              <w:t xml:space="preserve">伸向肌纤维形成运动终板。肌纤维应无缠绕和压碎现象，并不得与运动终板脱离。</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7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AF1-148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胃壁切片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#1．标本在400x生物显微镜下观察胃壁的结构。能看清粘膜</w:t>
            </w:r>
            <w:r>
              <w:rPr>
                <w:rFonts w:hint="eastAsia" w:ascii="宋体" w:hAnsi="宋体" w:cs="宋体"/>
                <w:i w:val="0"/>
                <w:iCs w:val="0"/>
                <w:color w:val="auto"/>
                <w:sz w:val="21"/>
                <w:szCs w:val="21"/>
                <w:highlight w:val="none"/>
                <w:u w:val="none"/>
                <w:lang w:val="en-US" w:eastAsia="zh-CN" w:bidi="ar"/>
              </w:rPr>
              <w:t xml:space="preserve">皱褶</w:t>
            </w:r>
            <w:r>
              <w:rPr>
                <w:rFonts w:hint="eastAsia" w:ascii="宋体" w:hAnsi="宋体" w:eastAsia="宋体" w:cs="宋体"/>
                <w:i w:val="0"/>
                <w:iCs w:val="0"/>
                <w:color w:val="auto"/>
                <w:sz w:val="21"/>
                <w:szCs w:val="21"/>
                <w:highlight w:val="none"/>
                <w:u w:val="none"/>
                <w:lang w:val="en-US" w:eastAsia="zh-CN" w:bidi="ar"/>
              </w:rPr>
              <w:t xml:space="preserve">、粘膜、粘膜肌层、粘膜下层、肌层、浆膜、胃小凹和胃底腺等。能看清粘膜的上皮为单层柱状上皮、胃底腺中的壁细胞和主细胞。粘膜下层能看清结缔组织、血管、淋巴管和神经的断面。标本取材于小哺乳动物的胃，取材部位为胃体。切片厚度在8μm以内，材料长度不小于5mm，每张玻片横放材料一片。粘膜外不得附着粘液或未消化的食物，上皮细胞不得有自溶现象，其他组织无炎症及病变。染色对比协调，主细胞、壁细胞区分明显，粘膜与粘膜下层之间不脱离，粘膜下层无破裂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AF1-149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肾脏纵切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#1、符合肾脏纵切技术条件</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32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AF1-150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肺血管注射切片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#1．标本在50×和100×生物显微镜下，观察肺血管分布形态。能看清由肺动脉形成的包绕肺泡外的毛细血管网。可</w:t>
            </w:r>
            <w:r>
              <w:rPr>
                <w:rFonts w:hint="eastAsia" w:ascii="宋体" w:hAnsi="宋体" w:cs="宋体"/>
                <w:i w:val="0"/>
                <w:iCs w:val="0"/>
                <w:color w:val="auto"/>
                <w:sz w:val="21"/>
                <w:szCs w:val="21"/>
                <w:highlight w:val="none"/>
                <w:u w:val="none"/>
                <w:lang w:val="en-US" w:eastAsia="zh-CN" w:bidi="ar"/>
              </w:rPr>
              <w:t xml:space="preserve">辨认出</w:t>
            </w:r>
            <w:r>
              <w:rPr>
                <w:rFonts w:hint="eastAsia" w:ascii="宋体" w:hAnsi="宋体" w:eastAsia="宋体" w:cs="宋体"/>
                <w:i w:val="0"/>
                <w:iCs w:val="0"/>
                <w:color w:val="auto"/>
                <w:sz w:val="21"/>
                <w:szCs w:val="21"/>
                <w:highlight w:val="none"/>
                <w:u w:val="none"/>
                <w:lang w:val="en-US" w:eastAsia="zh-CN" w:bidi="ar"/>
              </w:rPr>
              <w:t xml:space="preserve">肺动脉，支气管动脉和各级支气管的断面结构，但不作重点观察。标本取材于小哺乳动物的肺。标本用洋红胶液作血管注射，胶液色泽鲜艳，无颜色沉淀，不浸染</w:t>
            </w:r>
            <w:r>
              <w:rPr>
                <w:rFonts w:hint="eastAsia" w:ascii="宋体" w:hAnsi="宋体" w:cs="宋体"/>
                <w:i w:val="0"/>
                <w:iCs w:val="0"/>
                <w:color w:val="auto"/>
                <w:sz w:val="21"/>
                <w:szCs w:val="21"/>
                <w:highlight w:val="none"/>
                <w:u w:val="none"/>
                <w:lang w:val="en-US" w:eastAsia="zh-CN" w:bidi="ar"/>
              </w:rPr>
              <w:t xml:space="preserve">其他组织</w:t>
            </w:r>
            <w:r>
              <w:rPr>
                <w:rFonts w:hint="eastAsia" w:ascii="宋体" w:hAnsi="宋体" w:eastAsia="宋体" w:cs="宋体"/>
                <w:i w:val="0"/>
                <w:iCs w:val="0"/>
                <w:color w:val="auto"/>
                <w:sz w:val="21"/>
                <w:szCs w:val="21"/>
                <w:highlight w:val="none"/>
                <w:u w:val="none"/>
                <w:lang w:val="en-US" w:eastAsia="zh-CN" w:bidi="ar"/>
              </w:rPr>
              <w:t xml:space="preserve">。色胶注射适中，肺泡外毛细血管不可注射过于饱满，血管形态正常，无收缩现象，80%以上的血管应注射充分。作肺叶一部分的断面切片，材料二边应具浆膜，切片厚度视注射情况在20～80μm。每张玻片放材料一片。标本用苏木精复染细胞核。</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AF1-151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肾血管注射切片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#1、应符合JY</w:t>
            </w:r>
            <w:r>
              <w:rPr>
                <w:rFonts w:hint="eastAsia" w:ascii="宋体" w:hAnsi="宋体" w:cs="宋体"/>
                <w:i w:val="0"/>
                <w:iCs w:val="0"/>
                <w:color w:val="auto"/>
                <w:sz w:val="21"/>
                <w:szCs w:val="21"/>
                <w:highlight w:val="none"/>
                <w:u w:val="none"/>
                <w:lang w:val="en-US" w:eastAsia="zh-CN" w:bidi="ar"/>
              </w:rPr>
              <w:t xml:space="preserve">/T 00</w:t>
            </w:r>
            <w:r>
              <w:rPr>
                <w:rFonts w:hint="eastAsia" w:ascii="宋体" w:hAnsi="宋体" w:eastAsia="宋体" w:cs="宋体"/>
                <w:i w:val="0"/>
                <w:iCs w:val="0"/>
                <w:color w:val="auto"/>
                <w:sz w:val="21"/>
                <w:szCs w:val="21"/>
                <w:highlight w:val="none"/>
                <w:u w:val="none"/>
                <w:lang w:val="en-US" w:eastAsia="zh-CN" w:bidi="ar"/>
              </w:rPr>
              <w:t xml:space="preserve">67</w:t>
            </w:r>
            <w:r>
              <w:rPr>
                <w:rFonts w:hint="eastAsia" w:ascii="宋体" w:hAnsi="宋体" w:cs="宋体"/>
                <w:i w:val="0"/>
                <w:iCs w:val="0"/>
                <w:color w:val="auto"/>
                <w:sz w:val="21"/>
                <w:szCs w:val="21"/>
                <w:highlight w:val="none"/>
                <w:u w:val="none"/>
                <w:lang w:val="en-US" w:eastAsia="zh-CN" w:bidi="ar"/>
              </w:rPr>
              <w:t xml:space="preserve">-2011</w:t>
            </w:r>
            <w:r>
              <w:rPr>
                <w:rFonts w:hint="eastAsia" w:ascii="宋体" w:hAnsi="宋体" w:eastAsia="宋体" w:cs="宋体"/>
                <w:i w:val="0"/>
                <w:iCs w:val="0"/>
                <w:color w:val="auto"/>
                <w:sz w:val="21"/>
                <w:szCs w:val="21"/>
                <w:highlight w:val="none"/>
                <w:u w:val="none"/>
                <w:lang w:val="en-US" w:eastAsia="zh-CN" w:bidi="ar"/>
              </w:rPr>
              <w:t xml:space="preserve">《生物玻片标本通用</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》的规定。</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AF1-152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精巢切片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#1、应符合JY</w:t>
            </w:r>
            <w:r>
              <w:rPr>
                <w:rFonts w:hint="eastAsia" w:ascii="宋体" w:hAnsi="宋体" w:cs="宋体"/>
                <w:i w:val="0"/>
                <w:iCs w:val="0"/>
                <w:color w:val="auto"/>
                <w:sz w:val="21"/>
                <w:szCs w:val="21"/>
                <w:highlight w:val="none"/>
                <w:u w:val="none"/>
                <w:lang w:val="en-US" w:eastAsia="zh-CN" w:bidi="ar"/>
              </w:rPr>
              <w:t xml:space="preserve">/T 00</w:t>
            </w:r>
            <w:r>
              <w:rPr>
                <w:rFonts w:hint="eastAsia" w:ascii="宋体" w:hAnsi="宋体" w:eastAsia="宋体" w:cs="宋体"/>
                <w:i w:val="0"/>
                <w:iCs w:val="0"/>
                <w:color w:val="auto"/>
                <w:sz w:val="21"/>
                <w:szCs w:val="21"/>
                <w:highlight w:val="none"/>
                <w:u w:val="none"/>
                <w:lang w:val="en-US" w:eastAsia="zh-CN" w:bidi="ar"/>
              </w:rPr>
              <w:t xml:space="preserve">67</w:t>
            </w:r>
            <w:r>
              <w:rPr>
                <w:rFonts w:hint="eastAsia" w:ascii="宋体" w:hAnsi="宋体" w:cs="宋体"/>
                <w:i w:val="0"/>
                <w:iCs w:val="0"/>
                <w:color w:val="auto"/>
                <w:sz w:val="21"/>
                <w:szCs w:val="21"/>
                <w:highlight w:val="none"/>
                <w:u w:val="none"/>
                <w:lang w:val="en-US" w:eastAsia="zh-CN" w:bidi="ar"/>
              </w:rPr>
              <w:t xml:space="preserve">-2011</w:t>
            </w:r>
            <w:r>
              <w:rPr>
                <w:rFonts w:hint="eastAsia" w:ascii="宋体" w:hAnsi="宋体" w:eastAsia="宋体" w:cs="宋体"/>
                <w:i w:val="0"/>
                <w:iCs w:val="0"/>
                <w:color w:val="auto"/>
                <w:sz w:val="21"/>
                <w:szCs w:val="21"/>
                <w:highlight w:val="none"/>
                <w:u w:val="none"/>
                <w:lang w:val="en-US" w:eastAsia="zh-CN" w:bidi="ar"/>
              </w:rPr>
              <w:t xml:space="preserve">《生物玻片标本通用</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》的规定。</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AF1-153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卵巢切片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#1、应符合JY</w:t>
            </w:r>
            <w:r>
              <w:rPr>
                <w:rFonts w:hint="eastAsia" w:ascii="宋体" w:hAnsi="宋体" w:cs="宋体"/>
                <w:i w:val="0"/>
                <w:iCs w:val="0"/>
                <w:color w:val="auto"/>
                <w:sz w:val="21"/>
                <w:szCs w:val="21"/>
                <w:highlight w:val="none"/>
                <w:u w:val="none"/>
                <w:lang w:val="en-US" w:eastAsia="zh-CN" w:bidi="ar"/>
              </w:rPr>
              <w:t xml:space="preserve">/T 00</w:t>
            </w:r>
            <w:r>
              <w:rPr>
                <w:rFonts w:hint="eastAsia" w:ascii="宋体" w:hAnsi="宋体" w:eastAsia="宋体" w:cs="宋体"/>
                <w:i w:val="0"/>
                <w:iCs w:val="0"/>
                <w:color w:val="auto"/>
                <w:sz w:val="21"/>
                <w:szCs w:val="21"/>
                <w:highlight w:val="none"/>
                <w:u w:val="none"/>
                <w:lang w:val="en-US" w:eastAsia="zh-CN" w:bidi="ar"/>
              </w:rPr>
              <w:t xml:space="preserve">67</w:t>
            </w:r>
            <w:r>
              <w:rPr>
                <w:rFonts w:hint="eastAsia" w:ascii="宋体" w:hAnsi="宋体" w:cs="宋体"/>
                <w:i w:val="0"/>
                <w:iCs w:val="0"/>
                <w:color w:val="auto"/>
                <w:sz w:val="21"/>
                <w:szCs w:val="21"/>
                <w:highlight w:val="none"/>
                <w:u w:val="none"/>
                <w:lang w:val="en-US" w:eastAsia="zh-CN" w:bidi="ar"/>
              </w:rPr>
              <w:t xml:space="preserve">-2011</w:t>
            </w:r>
            <w:r>
              <w:rPr>
                <w:rFonts w:hint="eastAsia" w:ascii="宋体" w:hAnsi="宋体" w:eastAsia="宋体" w:cs="宋体"/>
                <w:i w:val="0"/>
                <w:iCs w:val="0"/>
                <w:color w:val="auto"/>
                <w:sz w:val="21"/>
                <w:szCs w:val="21"/>
                <w:highlight w:val="none"/>
                <w:u w:val="none"/>
                <w:lang w:val="en-US" w:eastAsia="zh-CN" w:bidi="ar"/>
              </w:rPr>
              <w:t xml:space="preserve">《生物玻片标本通用</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》的规定。</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AF1-154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精虫涂片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#1、应符合JY</w:t>
            </w:r>
            <w:r>
              <w:rPr>
                <w:rFonts w:hint="eastAsia" w:ascii="宋体" w:hAnsi="宋体" w:cs="宋体"/>
                <w:i w:val="0"/>
                <w:iCs w:val="0"/>
                <w:color w:val="auto"/>
                <w:sz w:val="21"/>
                <w:szCs w:val="21"/>
                <w:highlight w:val="none"/>
                <w:u w:val="none"/>
                <w:lang w:val="en-US" w:eastAsia="zh-CN" w:bidi="ar"/>
              </w:rPr>
              <w:t xml:space="preserve">/T 00</w:t>
            </w:r>
            <w:r>
              <w:rPr>
                <w:rFonts w:hint="eastAsia" w:ascii="宋体" w:hAnsi="宋体" w:eastAsia="宋体" w:cs="宋体"/>
                <w:i w:val="0"/>
                <w:iCs w:val="0"/>
                <w:color w:val="auto"/>
                <w:sz w:val="21"/>
                <w:szCs w:val="21"/>
                <w:highlight w:val="none"/>
                <w:u w:val="none"/>
                <w:lang w:val="en-US" w:eastAsia="zh-CN" w:bidi="ar"/>
              </w:rPr>
              <w:t xml:space="preserve">67</w:t>
            </w:r>
            <w:r>
              <w:rPr>
                <w:rFonts w:hint="eastAsia" w:ascii="宋体" w:hAnsi="宋体" w:cs="宋体"/>
                <w:i w:val="0"/>
                <w:iCs w:val="0"/>
                <w:color w:val="auto"/>
                <w:sz w:val="21"/>
                <w:szCs w:val="21"/>
                <w:highlight w:val="none"/>
                <w:u w:val="none"/>
                <w:lang w:val="en-US" w:eastAsia="zh-CN" w:bidi="ar"/>
              </w:rPr>
              <w:t xml:space="preserve">-2011</w:t>
            </w:r>
            <w:r>
              <w:rPr>
                <w:rFonts w:hint="eastAsia" w:ascii="宋体" w:hAnsi="宋体" w:eastAsia="宋体" w:cs="宋体"/>
                <w:i w:val="0"/>
                <w:iCs w:val="0"/>
                <w:color w:val="auto"/>
                <w:sz w:val="21"/>
                <w:szCs w:val="21"/>
                <w:highlight w:val="none"/>
                <w:u w:val="none"/>
                <w:lang w:val="en-US" w:eastAsia="zh-CN" w:bidi="ar"/>
              </w:rPr>
              <w:t xml:space="preserve">《生物玻片标本通用</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》的规定。</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011"/>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AF1-155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口腔上皮细胞装片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和400×生物显微镜下，观察口腔上皮装片结构。应能认出细胞膜、细胞质、细胞核的结构。标本取材于人口腔内两侧粘膜上皮。标本为平铺在玻片上的扁平细胞。细胞形态正常，近圆形或椭圆形。苏木精与曙红双重染色，对比协调。 </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9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AF1-156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蛔虫卵装片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x和400x生物显微镜下观察动物细胞有丝分裂的各期形态。能看清细胞分裂过程中的三个时期：前期、中期和后期或中期、后期和末期。能看清分裂前的细胞核和分裂各期的中心体（中期和后期显著）、染色体以及卵壳、</w:t>
            </w:r>
            <w:r>
              <w:rPr>
                <w:rFonts w:hint="eastAsia" w:ascii="宋体" w:hAnsi="宋体" w:cs="宋体"/>
                <w:i w:val="0"/>
                <w:iCs w:val="0"/>
                <w:color w:val="auto"/>
                <w:sz w:val="21"/>
                <w:szCs w:val="21"/>
                <w:highlight w:val="none"/>
                <w:u w:val="none"/>
                <w:lang w:val="en-US" w:eastAsia="zh-CN" w:bidi="ar"/>
              </w:rPr>
              <w:t xml:space="preserve">子宫</w:t>
            </w:r>
            <w:r>
              <w:rPr>
                <w:rFonts w:hint="eastAsia" w:ascii="宋体" w:hAnsi="宋体" w:eastAsia="宋体" w:cs="宋体"/>
                <w:i w:val="0"/>
                <w:iCs w:val="0"/>
                <w:color w:val="auto"/>
                <w:sz w:val="21"/>
                <w:szCs w:val="21"/>
                <w:highlight w:val="none"/>
                <w:u w:val="none"/>
                <w:lang w:val="en-US" w:eastAsia="zh-CN" w:bidi="ar"/>
              </w:rPr>
              <w:t xml:space="preserve">壁等，纺锤体隐约可见。标本得材于马蛔虫子宫，作子宫的纵切片，材料长度不小于10mm，每张玻片板放材料一片；也可作子宫的横切片，每张玻片放不同部位的横切片2～4片，以保证观察到细胞分裂的各个时期。切片厚度为6～8μm。卵和卵壳基本呈圆形，子宫内卵应饱满，卵不得脱出卵壳外，胞核、染色体、中心体着色明显，</w:t>
            </w:r>
            <w:r>
              <w:rPr>
                <w:rFonts w:hint="eastAsia" w:ascii="宋体" w:hAnsi="宋体" w:cs="宋体"/>
                <w:i w:val="0"/>
                <w:iCs w:val="0"/>
                <w:color w:val="auto"/>
                <w:sz w:val="21"/>
                <w:szCs w:val="21"/>
                <w:highlight w:val="none"/>
                <w:u w:val="none"/>
                <w:lang w:val="en-US" w:eastAsia="zh-CN" w:bidi="ar"/>
              </w:rPr>
              <w:t xml:space="preserve">子宫</w:t>
            </w:r>
            <w:r>
              <w:rPr>
                <w:rFonts w:hint="eastAsia" w:ascii="宋体" w:hAnsi="宋体" w:eastAsia="宋体" w:cs="宋体"/>
                <w:i w:val="0"/>
                <w:iCs w:val="0"/>
                <w:color w:val="auto"/>
                <w:sz w:val="21"/>
                <w:szCs w:val="21"/>
                <w:highlight w:val="none"/>
                <w:u w:val="none"/>
                <w:lang w:val="en-US" w:eastAsia="zh-CN" w:bidi="ar"/>
              </w:rPr>
              <w:t xml:space="preserve">壁完整。</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AF1-1</w:t>
            </w:r>
            <w:r>
              <w:rPr>
                <w:rFonts w:hint="eastAsia" w:ascii="宋体" w:hAnsi="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干燥器</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#1、160mm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AF1-1</w:t>
            </w:r>
            <w:r>
              <w:rPr>
                <w:rFonts w:hint="eastAsia" w:ascii="宋体" w:hAnsi="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玻璃弯管</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strike w:val="0"/>
                <w:color w:val="auto"/>
                <w:sz w:val="21"/>
                <w:szCs w:val="21"/>
                <w:highlight w:val="none"/>
                <w:u w:val="none"/>
                <w:lang w:val="en-US" w:eastAsia="zh-CN" w:bidi="ar"/>
              </w:rPr>
              <w:t xml:space="preserve">弯管表面不得有气泡、裂纹、疤痕、褶皱</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AF1-1</w:t>
            </w:r>
            <w:r>
              <w:rPr>
                <w:rFonts w:hint="eastAsia" w:ascii="宋体" w:hAnsi="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玻璃钟罩</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#1、φ150mm×280mm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AF1-1</w:t>
            </w:r>
            <w:r>
              <w:rPr>
                <w:rFonts w:hint="eastAsia" w:ascii="宋体" w:hAnsi="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测电笔</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#1、全长不小于145mm，测量范围小于500VAC，刀杆材料选用优质CR-V钢，全硬热处理，达到CE标准。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AF1-1</w:t>
            </w:r>
            <w:r>
              <w:rPr>
                <w:rFonts w:hint="eastAsia" w:ascii="宋体" w:hAnsi="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一字螺丝刀</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#1、磁性，一字槽,总长度158mm，主体为金属制品，长度为97mm，手柄为胶质，总长度61mm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AF1-1</w:t>
            </w:r>
            <w:r>
              <w:rPr>
                <w:rFonts w:hint="eastAsia" w:ascii="宋体" w:hAnsi="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十字螺丝刀</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#1、磁性,十字槽,长度158mm，主体为金属制品，长度为97mm，手柄为胶质，总长度61mm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AF1-1</w:t>
            </w:r>
            <w:r>
              <w:rPr>
                <w:rFonts w:hint="eastAsia" w:ascii="宋体" w:hAnsi="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钢手锯</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#1、带锯条锯弓12寸,ABS柄,方管锯,</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AF1-1</w:t>
            </w:r>
            <w:r>
              <w:rPr>
                <w:rFonts w:hint="eastAsia" w:ascii="宋体" w:hAnsi="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剥线钳</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#1、材质：高碳钢，长度不小于170mm,压接范围：0.5、1、1.5、2.5、4平方毫米，其他符合QB/T 2207-</w:t>
            </w:r>
            <w:r>
              <w:rPr>
                <w:rFonts w:hint="eastAsia" w:ascii="宋体" w:hAnsi="宋体" w:cs="宋体"/>
                <w:i w:val="0"/>
                <w:iCs w:val="0"/>
                <w:color w:val="auto"/>
                <w:sz w:val="21"/>
                <w:szCs w:val="21"/>
                <w:highlight w:val="none"/>
                <w:u w:val="none"/>
                <w:lang w:val="en-US" w:eastAsia="zh-CN" w:bidi="ar"/>
              </w:rPr>
              <w:t xml:space="preserve">2017</w:t>
            </w:r>
            <w:r>
              <w:rPr>
                <w:rFonts w:hint="eastAsia" w:ascii="宋体" w:hAnsi="宋体" w:eastAsia="宋体" w:cs="宋体"/>
                <w:i w:val="0"/>
                <w:iCs w:val="0"/>
                <w:color w:val="auto"/>
                <w:sz w:val="21"/>
                <w:szCs w:val="21"/>
                <w:highlight w:val="none"/>
                <w:u w:val="none"/>
                <w:lang w:val="en-US" w:eastAsia="zh-CN" w:bidi="ar"/>
              </w:rPr>
              <w:t xml:space="preserve">《剥线钳》标准。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AF1-1</w:t>
            </w:r>
            <w:r>
              <w:rPr>
                <w:rFonts w:hint="eastAsia" w:ascii="宋体" w:hAnsi="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钢丝钳</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#1、材质：45</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高碳钢锻造，规格：40mm*81mm，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AF1-1</w:t>
            </w:r>
            <w:r>
              <w:rPr>
                <w:rFonts w:hint="eastAsia" w:ascii="宋体" w:hAnsi="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手锤</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#1、全长280mm,直径∅25mm,木质手柄。</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AF1-1</w:t>
            </w:r>
            <w:r>
              <w:rPr>
                <w:rFonts w:hint="eastAsia" w:ascii="宋体" w:hAnsi="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活扳手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#1、材质：中碳钢，规格：8寸活动扳手。</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AF1-1</w:t>
            </w:r>
            <w:r>
              <w:rPr>
                <w:rFonts w:hint="eastAsia" w:ascii="宋体" w:hAnsi="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砂轮片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#1、断玻璃管用,直径20MM以上</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93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学生分组实验仪器</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AF2-01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生物显微镜</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#1．产品由镜座、镜臂、镜筒、准焦螺旋、物镜转换器、载物台、反光镜、目镜、物镜等组成；除调焦手轮和镜片外，整体采用金属材料制造；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．放大倍率：500×或 640×；消色差物镜：10×、40×、4×；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．单目 45°，斜筒，可 360°旋转；惠更斯目镜：12．5 或 16×，广角：10×；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AF2-02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生物显微镜</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#1、目镜：大视野广角WF16X13mm；物镜：4X、10X、40X（弹簧）；镜筒：单目观察筒，45度倾斜，360度旋转；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、转换器：三孔转换器，保证齐焦，转换器稳定性≤0.025mm；载物台：金属平台，平台面积110X120mm；聚光镜：单片聚光镜，数值孔径N.A0.65；</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、光源：LED高亮度光源，带充电功能，亮度可调，可与反光镜互换。</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467"/>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AF2-03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双目立体显微镜</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总高度不小于40cm。材料要求:底座、镜臂、齿条、物镜和目镜镜筒均为金属制。总放大倍数：20-40倍。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 目镜:WF10X。物镜：变倍筒物镜:2X-4X分档变倍物镜组。调焦范围: 40mm。 行程范围:90mm。  照明：自然光。</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AF2-04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放大镜</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#1、3倍,通光孔48mm,手柄长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AF2-05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望远镜</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#1、双筒，目镜口径30mm，物镜口径50mm。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AF2-06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#1、0.5mL～5mL，快速可调</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AF2-07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听诊器</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听诊器传音清晰，扁形听诊头的上膜片不应松动；耳环弹簧片应用弹簧钢制成，弹力应适宜，弹性应良好；三通导管总长为600mm；扁形听诊头内腔不得有裂痕、砂眼，听诊器各部的外型应对称，不得有裂纹，凹陷和镀层脱落及焊接处残留、堆积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AF2-08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整理箱</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#1、矮型，储存及分发药品用，环保塑料材质。</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AF2-09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#1.由铁环和3只脚组成。铁环内径：74mm， 外径：90mm。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AF2-10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#1．产品由顶板、底板、插杆组成，8孔、8插。</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AF2-11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软尺</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#1.规格：1500mm。软尺最小分度值为1cm，分度值之间有相应的数字，刻度线均匀、清晰，无形变。</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AF2-12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测微尺</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#1.物镜测微尺是一标淮刻尺，纵横坐标刻划长度为100mm，分为100等分，每一分度值为0.01mm,台式，显微镜用。</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AF2-13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#1.200g，0.2g</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AF2-14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电子停表</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s。教学用电子秒表，采用电子芯片，电池电压为1.5V。数据可精确到0.01s。秒表计时应带有简易计时、分段计时、时间显示，带暂停按钮。秒表具有每小时报时，每日定时响闹及自动重响功能，应可显示时间，12及24小时制式，日历、星期、防水，防震结构等功能。</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AF2-15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#1．红液。尺寸要求不小于：长300mm；外径：5mm；头：10mm。测量范围：0－100℃；玻管要直，不得弯曲，不得</w:t>
            </w:r>
            <w:r>
              <w:rPr>
                <w:rFonts w:hint="eastAsia" w:ascii="宋体" w:hAnsi="宋体" w:cs="宋体"/>
                <w:i w:val="0"/>
                <w:iCs w:val="0"/>
                <w:strike w:val="0"/>
                <w:color w:val="auto"/>
                <w:sz w:val="21"/>
                <w:szCs w:val="21"/>
                <w:highlight w:val="none"/>
                <w:u w:val="none"/>
                <w:lang w:val="en-US" w:eastAsia="zh-CN" w:bidi="ar"/>
              </w:rPr>
              <w:t xml:space="preserve">破损</w:t>
            </w:r>
            <w:r>
              <w:rPr>
                <w:rFonts w:hint="eastAsia" w:ascii="宋体" w:hAnsi="宋体" w:eastAsia="宋体" w:cs="宋体"/>
                <w:i w:val="0"/>
                <w:iCs w:val="0"/>
                <w:strike w:val="0"/>
                <w:color w:val="auto"/>
                <w:sz w:val="21"/>
                <w:szCs w:val="21"/>
                <w:highlight w:val="none"/>
                <w:u w:val="none"/>
                <w:lang w:val="en-US" w:eastAsia="zh-CN" w:bidi="ar"/>
              </w:rPr>
              <w:t xml:space="preserve">缺口，红液不得断线。</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产品应符合《玻璃仪器通用技术要求》</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支</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AF2-16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干湿球温度计</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#1．总长不小于15cm。测量温度范围：0～50℃，分度值：2℃，每度标度线间距不小于3 mm。温度示值允许误差±1℃。教学演示效果明显。</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AF2-17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计数器</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#1．手持式，金属外壳。</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AF2-18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解剖器</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#1．用优质不锈钢制成。由直刃解剖刀、尖头解剖剪、普通镊子、解剖针等组成。大剪刀长度不小于15cm，其余长度均不应小于10cm。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AF2-19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解剖盘</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 产品为盛有石蜡的金属盘。解剖盘用铝合金板或不锈钢板冲压成型。外型尺寸不小于240mmX190mm×15mm。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AF2-20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接种环</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#1、产品由镍铬丝和金属棒杆、塑料柄等组成。金属棒杆直径约Φ4mm，一端开口配有透孔紧固螺母，另一端有塑料手柄，并配有Φ0.5镍铬丝。</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AF2-21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植物光合作用、呼吸作用、蒸腾作用演示器</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#1、产品由透明容器、集气盖、试管、漏斗、盖板和试管架等部件组成。透明容器为透明有机玻璃板粘接而成。</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36"/>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AF2-22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徒手切片器</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规格及主要指标：分度值0.02mm，升降范围0～10mm，精度0.01～0.10mm，外形尺寸应不小于73～80mm</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夹持部分可靠，推进机构灵活、稳定，无跳动现象，刻度应准确。平台应平整、光滑，无明显机械缺陷。金属件应作镀铬处理，无漏底及镀层剥落现象。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AF2-23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研磨过滤器</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研磨过滤器由顶盖、研磨杆、过滤网、研磨头、外套筒组成。</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53"/>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AF2-24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心脏解剖模型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#1．规格：自然大。模型的外形按照标本复制，沿左右心耳的上方和左右心房、心室的两侧至心尖，剖开心脏的胸肋面，将心脏分成前后两部件。</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91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AF2-25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植物根尖纵切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标本在80x和200x学生显微镜下观察根尖的结构。能看清根冠、分生区、伸长区、根毛区和原形成层等。根毛与表皮细胞无间隔，可不要求看到根毛内的胞核。标本取于人工培养的玉米根，取材部位为根冠至根毛区。标本的纵切面应与原形成层平行，</w:t>
            </w:r>
            <w:r>
              <w:rPr>
                <w:rFonts w:hint="eastAsia" w:ascii="宋体" w:hAnsi="宋体" w:cs="宋体"/>
                <w:i w:val="0"/>
                <w:iCs w:val="0"/>
                <w:color w:val="auto"/>
                <w:sz w:val="21"/>
                <w:szCs w:val="21"/>
                <w:highlight w:val="none"/>
                <w:u w:val="none"/>
                <w:lang w:val="en-US" w:eastAsia="zh-CN" w:bidi="ar"/>
              </w:rPr>
              <w:t xml:space="preserve">并通</w:t>
            </w:r>
            <w:r>
              <w:rPr>
                <w:rFonts w:hint="eastAsia" w:ascii="宋体" w:hAnsi="宋体" w:eastAsia="宋体" w:cs="宋体"/>
                <w:i w:val="0"/>
                <w:iCs w:val="0"/>
                <w:color w:val="auto"/>
                <w:sz w:val="21"/>
                <w:szCs w:val="21"/>
                <w:highlight w:val="none"/>
                <w:u w:val="none"/>
                <w:lang w:val="en-US" w:eastAsia="zh-CN" w:bidi="ar"/>
              </w:rPr>
              <w:t xml:space="preserve">过原形成层。原形成层顶端至分生区顶端的距离应在基本分生组织厚度的1／3以内。如无完整根毛时，则至少应有一处表皮细胞能显示形成根毛之特征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切片厚度在8μm以内，每张玻片垂放材料1～2片。胞核着色明显，可见核仁，胞质着色均匀。</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43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AF2-26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顶芽纵切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标本在100x和400X生物显微镜下观察顶芽纵断面的结构。能看清生长锥、叶原基、幼叶、腋芽原基和芽轴等。生长锥最外层为排列整齐的原套细胞。原套内为排列不整齐细胞体较大的原体细胞。标本取材为黑藻顶芽。做芽的中部纵切,切片厚度在8μm 以内,每张玻片垂直放材料一片。应使幼叶完全包在生长锥上，原套细胞形态正常。生长锥及幼叶处细胞无“质壁分离”现象。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AF2-27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南瓜茎纵切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基本在80x和200x学生显微镜下观察南瓜茎纵横断面的结构。在</w:t>
            </w:r>
            <w:r>
              <w:rPr>
                <w:rFonts w:hint="eastAsia" w:ascii="宋体" w:hAnsi="宋体" w:cs="宋体"/>
                <w:i w:val="0"/>
                <w:iCs w:val="0"/>
                <w:color w:val="auto"/>
                <w:sz w:val="21"/>
                <w:szCs w:val="21"/>
                <w:highlight w:val="none"/>
                <w:u w:val="none"/>
                <w:lang w:val="en-US" w:eastAsia="zh-CN" w:bidi="ar"/>
              </w:rPr>
              <w:t xml:space="preserve">横断</w:t>
            </w:r>
            <w:r>
              <w:rPr>
                <w:rFonts w:hint="eastAsia" w:ascii="宋体" w:hAnsi="宋体" w:eastAsia="宋体" w:cs="宋体"/>
                <w:i w:val="0"/>
                <w:iCs w:val="0"/>
                <w:color w:val="auto"/>
                <w:sz w:val="21"/>
                <w:szCs w:val="21"/>
                <w:highlight w:val="none"/>
                <w:u w:val="none"/>
                <w:lang w:val="en-US" w:eastAsia="zh-CN" w:bidi="ar"/>
              </w:rPr>
              <w:t xml:space="preserve">面上能看清皮层、机械组织、薄壁组织、双韧维管束和髓腔，在表皮上可见表皮毛，在纵断面上应能看清上述组织的纵断结构。在双韧维管</w:t>
            </w:r>
            <w:r>
              <w:rPr>
                <w:rFonts w:hint="eastAsia" w:ascii="宋体" w:hAnsi="宋体" w:cs="宋体"/>
                <w:i w:val="0"/>
                <w:iCs w:val="0"/>
                <w:color w:val="auto"/>
                <w:sz w:val="21"/>
                <w:szCs w:val="21"/>
                <w:highlight w:val="none"/>
                <w:u w:val="none"/>
                <w:lang w:val="en-US" w:eastAsia="zh-CN" w:bidi="ar"/>
              </w:rPr>
              <w:t xml:space="preserve">束</w:t>
            </w:r>
            <w:r>
              <w:rPr>
                <w:rFonts w:hint="eastAsia" w:ascii="宋体" w:hAnsi="宋体" w:eastAsia="宋体" w:cs="宋体"/>
                <w:i w:val="0"/>
                <w:iCs w:val="0"/>
                <w:color w:val="auto"/>
                <w:sz w:val="21"/>
                <w:szCs w:val="21"/>
                <w:highlight w:val="none"/>
                <w:u w:val="none"/>
                <w:lang w:val="en-US" w:eastAsia="zh-CN" w:bidi="ar"/>
              </w:rPr>
              <w:t xml:space="preserve">的横断面上能看清导管、形成层、筛管和筛板，筛板上有筛孔。在纵断面上能看清网纹导管或环纹导管或螺纹导管中的两种和筛管、筛板等的结构。标本取材于田间种植的南瓜茎，注意老幼适中。纵横切片的厚度为15～25μm。纵切材料应两端整齐，长度不小于5mm，表皮细胞完整，木质导管基本连续。标本用蕾红、固绿染色，机械组织、木质部导管红色，其他组织绿色，筛板可呈红或绿色。</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7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AF2-28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木本双子叶植物茎横切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和200×学生显微镜下,观察双子叶植物茎横断面的结构。能看清表皮（有时可看到表皮毛）厚角组织、薄壁组织、髓及环列于茎中的维管束等。能看清维管束为外韧型，分别认出韧皮纤维、筛板、筛管、形成层和木质导管等横断结构。标本取材于椴木。切片厚度在25μm以内。表皮、厚角组织、薄壁组织和维管束等处细胞倾斜部分不超过茎横断面的1/4。形成层形态正常。标本用番红、固绿染色，导管、厚壁组织，呈红色，</w:t>
            </w:r>
            <w:r>
              <w:rPr>
                <w:rFonts w:hint="eastAsia" w:ascii="宋体" w:hAnsi="宋体" w:cs="宋体"/>
                <w:i w:val="0"/>
                <w:iCs w:val="0"/>
                <w:color w:val="auto"/>
                <w:sz w:val="21"/>
                <w:szCs w:val="21"/>
                <w:highlight w:val="none"/>
                <w:u w:val="none"/>
                <w:lang w:val="en-US" w:eastAsia="zh-CN" w:bidi="ar"/>
              </w:rPr>
              <w:t xml:space="preserve">其他组织</w:t>
            </w:r>
            <w:r>
              <w:rPr>
                <w:rFonts w:hint="eastAsia" w:ascii="宋体" w:hAnsi="宋体" w:eastAsia="宋体" w:cs="宋体"/>
                <w:i w:val="0"/>
                <w:iCs w:val="0"/>
                <w:color w:val="auto"/>
                <w:sz w:val="21"/>
                <w:szCs w:val="21"/>
                <w:highlight w:val="none"/>
                <w:u w:val="none"/>
                <w:lang w:val="en-US" w:eastAsia="zh-CN" w:bidi="ar"/>
              </w:rPr>
              <w:t xml:space="preserve">绿色，厚角组织、筛板等有时也可呈红色。</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43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AF2-29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400×生物显微镜下植物细胞有丝分裂的各期形态。期能看清分裂期间的细胞和分裂过程中的前期、中期、后期、末期的分裂形态。还能看清分裂各期染色体的位置，纺锤体隐约可见。标本取材于人工培养的细胞分裂旺盛时期的洋葱根尖，根的上端应切齐。切片厚度为5μm，每张玻片垂直放材料1～3片。根尖应完整无破损现象，细胞间可有轻微裂隙。标本单一染色，胞核、核仁、染色体应着色明显，胞质色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AF2-30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迎春叶横切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和200×学生显微镜下，观察迎春叶横断面。能看清上下表皮，气孔的断面、栅状组织、海绵组织、叶脉等。在栅栏组织和海绵组织的细胞中能看清胞核和叶绿体。在主脉的横切断面上看清木质部韧皮部形成层和机械组织。在主脉两侧可见到侧脉的横或纵断面，也应看清木质部和韧皮部，有时可见木质部导管的纵切面。标本取材为迎春叶。作过主脉的横切片厚度为8微米，每张玻片横放材料一片。</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9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AF2-31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青霉装片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#1．标本在200x学生显微镜下观察青霉的形态。在400X镜下能看清帚状枝的梗基和小梗及小梗上呈链状的分生孢子。标本取材为人工培养的典型青霉。视菌株培养</w:t>
            </w:r>
            <w:r>
              <w:rPr>
                <w:rFonts w:hint="eastAsia" w:ascii="宋体" w:hAnsi="宋体" w:cs="宋体"/>
                <w:i w:val="0"/>
                <w:iCs w:val="0"/>
                <w:color w:val="auto"/>
                <w:sz w:val="21"/>
                <w:szCs w:val="21"/>
                <w:highlight w:val="none"/>
                <w:u w:val="none"/>
                <w:lang w:val="en-US" w:eastAsia="zh-CN" w:bidi="ar"/>
              </w:rPr>
              <w:t xml:space="preserve">情况</w:t>
            </w:r>
            <w:r>
              <w:rPr>
                <w:rFonts w:hint="eastAsia" w:ascii="宋体" w:hAnsi="宋体" w:eastAsia="宋体" w:cs="宋体"/>
                <w:i w:val="0"/>
                <w:iCs w:val="0"/>
                <w:color w:val="auto"/>
                <w:sz w:val="21"/>
                <w:szCs w:val="21"/>
                <w:highlight w:val="none"/>
                <w:u w:val="none"/>
                <w:lang w:val="en-US" w:eastAsia="zh-CN" w:bidi="ar"/>
              </w:rPr>
              <w:t xml:space="preserve">可做装片或切氏切片方向应平行于分生孢子梗，厚度根据菌株培养情况决定。标本单一染色，菌丝、分生孢子梗、分生孢子应着色明显、对比协调。分生孢子梗不应断裂，散落的</w:t>
            </w:r>
            <w:r>
              <w:rPr>
                <w:rFonts w:hint="eastAsia" w:ascii="宋体" w:hAnsi="宋体" w:cs="宋体"/>
                <w:i w:val="0"/>
                <w:iCs w:val="0"/>
                <w:color w:val="auto"/>
                <w:sz w:val="21"/>
                <w:szCs w:val="21"/>
                <w:highlight w:val="none"/>
                <w:u w:val="none"/>
                <w:lang w:val="en-US" w:eastAsia="zh-CN" w:bidi="ar"/>
              </w:rPr>
              <w:t xml:space="preserve">孢子</w:t>
            </w:r>
            <w:r>
              <w:rPr>
                <w:rFonts w:hint="eastAsia" w:ascii="宋体" w:hAnsi="宋体" w:eastAsia="宋体" w:cs="宋体"/>
                <w:i w:val="0"/>
                <w:iCs w:val="0"/>
                <w:color w:val="auto"/>
                <w:sz w:val="21"/>
                <w:szCs w:val="21"/>
                <w:highlight w:val="none"/>
                <w:u w:val="none"/>
                <w:lang w:val="en-US" w:eastAsia="zh-CN" w:bidi="ar"/>
              </w:rPr>
              <w:t xml:space="preserve">不得影响对特征的观察。菌丝、孢子梗、孢子应无收缩现象。应能看到不少于五个模式的帚状枝。无杂菌、无污物，培养基和包埋剂无色。</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43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AF2-32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细菌三型涂片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在500x生物显微镜下观察细菌的三种基本形态。清晰地看出球菌、杆菌、螺旋菌的形态，不要求显示鞭毛。标本一般应取材于人工培养的球菌、杆菌、螺旋菌。球菌可用单球菌、双球菌成葡萄球菌，杆菌可用枯草杆菌、大肠杆菌或炭疽杆菌，螺旋菌可用具有一个穹以上的任一种螺旋菌。在自然界的污水中可采到三种形态的细菌混合物，其中无原生动物时也可应用。作三种细菌的混合涂片，所用载玻片应经洗液清洗。选用能清晰显示菌体的染色方法，并不得有任何沉淀物。</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AF2-33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曲霉装片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和400×生物显微镜下，观察曲霉的形态。能看清营养菌丝，及其上的分生孢子梗、顶囊和顶端的分生孢子。能认出分生孢子穗的小梗和成串的分生孢子。标本取材于人工培养的曲霉属任一种。视菌株培养的情况，可做装片或切片，切片方向应平行于分生孢子梗，切片厚度根据</w:t>
            </w:r>
            <w:r>
              <w:rPr>
                <w:rFonts w:hint="eastAsia" w:ascii="宋体" w:hAnsi="宋体" w:cs="宋体"/>
                <w:i w:val="0"/>
                <w:iCs w:val="0"/>
                <w:color w:val="auto"/>
                <w:sz w:val="21"/>
                <w:szCs w:val="21"/>
                <w:highlight w:val="none"/>
                <w:u w:val="none"/>
                <w:lang w:val="en-US" w:eastAsia="zh-CN" w:bidi="ar"/>
              </w:rPr>
              <w:t xml:space="preserve">菌株</w:t>
            </w:r>
            <w:r>
              <w:rPr>
                <w:rFonts w:hint="eastAsia" w:ascii="宋体" w:hAnsi="宋体" w:eastAsia="宋体" w:cs="宋体"/>
                <w:i w:val="0"/>
                <w:iCs w:val="0"/>
                <w:color w:val="auto"/>
                <w:sz w:val="21"/>
                <w:szCs w:val="21"/>
                <w:highlight w:val="none"/>
                <w:u w:val="none"/>
                <w:lang w:val="en-US" w:eastAsia="zh-CN" w:bidi="ar"/>
              </w:rPr>
              <w:t xml:space="preserve">培养情况决定。标本为单一染色，不复染。菌丝，分生孢子梗，分生孢子应着色明显。分生孢子玻不应断裂，散落的老孢子不得影响对特征的观察。菌丝、孢子玻和孢子应无收短现象。应能看到不少于五个模式的分生孢子穗。无杂菌，无污物，培养基或包埋剂无色。</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AF2-34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水螅带芽整体装片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显微镜下观察。取材为形体完整并带芽体的水螅。水螅体壁不皱缩、不破损、芽体无脱开现象。能看清芽体空腔与消化循环腔相通。封盖后水螅体无挤压现象，可在水螅体四周填以玻璃小片，再行封固。</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3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AF2-35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纤维结缔组织切片(腱纵切)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#1．角质标本在400x生物显微</w:t>
            </w:r>
            <w:r>
              <w:rPr>
                <w:rFonts w:hint="eastAsia" w:ascii="宋体" w:hAnsi="宋体" w:eastAsia="宋体" w:cs="宋体"/>
                <w:i w:val="0"/>
                <w:iCs w:val="0"/>
                <w:color w:val="auto"/>
                <w:sz w:val="21"/>
                <w:szCs w:val="21"/>
                <w:highlight w:val="none"/>
                <w:u w:val="none"/>
                <w:lang w:val="en-US" w:eastAsia="zh-CN" w:bidi="ar"/>
              </w:rPr>
              <w:t xml:space="preserve">镜下观察膛纵断面的结构。能看清乎行排列的胶原纤维束和呈不规则四边形的腱细胞，但在标本上由于腱细胞的切面方向不同，也可呈长条形。腱细胞核呈球形，偏于细胞一端，和邻近的细胞核并列在一起，但在标本上由于腱细胞的切面方向不同，也可呈长圆或扁圆形。标本取材于哺乳动物或两栖动物的跟腱或尾腱，并应保持其自然伸直状态。作腱的纵断面切片，切片厚度在15μm以内，材料长度应不小于4mm。胶原纤维束应伸直，可有部分略呈波纹状，但不得有断裂或卷曲现象。腱细胞核着色应明显，胞质略着色，使其与胶原纤维束易于区分。纵向裂隙不得超过一处。</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7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AF2-36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疏松结缔组织装片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#1．标本在80x和200x学生显微镜下观察疏松结缔组织的结构。 能看清纵横交错的胶原纤维和弹力纤维以及大量的成纤维细胞，胞核较大呈卵圆形。疏松结缔组织内的其他细胞不要求显示。标本取材于哺乳动物的皮下结缔组织，均匀平铺于载玻片正中。平铺的结缔组织中不得</w:t>
            </w:r>
            <w:r>
              <w:rPr>
                <w:rFonts w:hint="eastAsia" w:ascii="宋体" w:hAnsi="宋体" w:cs="宋体"/>
                <w:i w:val="0"/>
                <w:iCs w:val="0"/>
                <w:color w:val="auto"/>
                <w:sz w:val="21"/>
                <w:szCs w:val="21"/>
                <w:highlight w:val="none"/>
                <w:u w:val="none"/>
                <w:lang w:val="en-US" w:eastAsia="zh-CN" w:bidi="ar"/>
              </w:rPr>
              <w:t xml:space="preserve">混入</w:t>
            </w:r>
            <w:r>
              <w:rPr>
                <w:rFonts w:hint="eastAsia" w:ascii="宋体" w:hAnsi="宋体" w:eastAsia="宋体" w:cs="宋体"/>
                <w:i w:val="0"/>
                <w:iCs w:val="0"/>
                <w:color w:val="auto"/>
                <w:sz w:val="21"/>
                <w:szCs w:val="21"/>
                <w:highlight w:val="none"/>
                <w:u w:val="none"/>
                <w:lang w:val="en-US" w:eastAsia="zh-CN" w:bidi="ar"/>
              </w:rPr>
              <w:t xml:space="preserve">动物的毛。标本用显示弹力纤维的方法染色，再复染胶原纤维等。弹力纤维应明显，胶原纤维均匀、形态正常，不得有溶解现象；成纤维细胞的胞核不收缩，并可见胞质。</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AF2-37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人血涂片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400x生物显微镜下观察血液中血胞的形态。能看清红血细胞和白血细胞，有时可见血小板。标本取材于人的新鲜血液，血细胞变形者，不宜使用。血膜应涂布均匀、无污物，血细胞不重叠、无变形和自溶现象。用苏木精、曙红双重染色。染色要均匀，白血细胞的胞核和血小板呈</w:t>
            </w:r>
            <w:r>
              <w:rPr>
                <w:rFonts w:hint="eastAsia" w:ascii="宋体" w:hAnsi="宋体" w:cs="宋体"/>
                <w:i w:val="0"/>
                <w:iCs w:val="0"/>
                <w:color w:val="auto"/>
                <w:sz w:val="21"/>
                <w:szCs w:val="21"/>
                <w:highlight w:val="none"/>
                <w:u w:val="none"/>
                <w:lang w:val="en-US" w:eastAsia="zh-CN" w:bidi="ar"/>
              </w:rPr>
              <w:t xml:space="preserve">蓝紫色</w:t>
            </w:r>
            <w:r>
              <w:rPr>
                <w:rFonts w:hint="eastAsia" w:ascii="宋体" w:hAnsi="宋体" w:eastAsia="宋体" w:cs="宋体"/>
                <w:i w:val="0"/>
                <w:iCs w:val="0"/>
                <w:color w:val="auto"/>
                <w:sz w:val="21"/>
                <w:szCs w:val="21"/>
                <w:highlight w:val="none"/>
                <w:u w:val="none"/>
                <w:lang w:val="en-US" w:eastAsia="zh-CN" w:bidi="ar"/>
              </w:rPr>
              <w:t xml:space="preserve">，白血细胞的胞质和红血细胞呈粉红色，血浆不着色。</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136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AF2-38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#1．标本在80X和200X学生显微镜下观察骨骼肌纵横切破片标志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在纵断面上</w:t>
            </w:r>
            <w:r>
              <w:rPr>
                <w:rFonts w:hint="eastAsia" w:ascii="宋体" w:hAnsi="宋体" w:cs="宋体"/>
                <w:i w:val="0"/>
                <w:iCs w:val="0"/>
                <w:color w:val="auto"/>
                <w:sz w:val="21"/>
                <w:szCs w:val="21"/>
                <w:highlight w:val="none"/>
                <w:u w:val="none"/>
                <w:lang w:val="en-US" w:eastAsia="zh-CN" w:bidi="ar"/>
              </w:rPr>
              <w:t xml:space="preserve">能</w:t>
            </w:r>
            <w:r>
              <w:rPr>
                <w:rFonts w:hint="eastAsia" w:ascii="宋体" w:hAnsi="宋体" w:eastAsia="宋体" w:cs="宋体"/>
                <w:i w:val="0"/>
                <w:iCs w:val="0"/>
                <w:color w:val="auto"/>
                <w:sz w:val="21"/>
                <w:szCs w:val="21"/>
                <w:highlight w:val="none"/>
                <w:u w:val="none"/>
                <w:lang w:val="en-US" w:eastAsia="zh-CN" w:bidi="ar"/>
              </w:rPr>
              <w:t xml:space="preserve">看清肌外膜和成束的股</w:t>
            </w:r>
            <w:r>
              <w:rPr>
                <w:rFonts w:hint="eastAsia" w:ascii="宋体" w:hAnsi="宋体" w:cs="宋体"/>
                <w:i w:val="0"/>
                <w:iCs w:val="0"/>
                <w:color w:val="auto"/>
                <w:sz w:val="21"/>
                <w:szCs w:val="21"/>
                <w:highlight w:val="none"/>
                <w:u w:val="none"/>
                <w:lang w:val="en-US" w:eastAsia="zh-CN" w:bidi="ar"/>
              </w:rPr>
              <w:t xml:space="preserve">纤维</w:t>
            </w:r>
            <w:r>
              <w:rPr>
                <w:rFonts w:hint="eastAsia" w:ascii="宋体" w:hAnsi="宋体" w:eastAsia="宋体" w:cs="宋体"/>
                <w:i w:val="0"/>
                <w:iCs w:val="0"/>
                <w:color w:val="auto"/>
                <w:sz w:val="21"/>
                <w:szCs w:val="21"/>
                <w:highlight w:val="none"/>
                <w:u w:val="none"/>
                <w:lang w:val="en-US" w:eastAsia="zh-CN" w:bidi="ar"/>
              </w:rPr>
              <w:t xml:space="preserve">,股纤维上有显暗相间的横纹,即明带和暗带。在肌膜下可见圆形或长形的胞核。在横断面上</w:t>
            </w:r>
            <w:r>
              <w:rPr>
                <w:rFonts w:hint="eastAsia" w:ascii="宋体" w:hAnsi="宋体" w:cs="宋体"/>
                <w:i w:val="0"/>
                <w:iCs w:val="0"/>
                <w:color w:val="auto"/>
                <w:sz w:val="21"/>
                <w:szCs w:val="21"/>
                <w:highlight w:val="none"/>
                <w:u w:val="none"/>
                <w:lang w:val="en-US" w:eastAsia="zh-CN" w:bidi="ar"/>
              </w:rPr>
              <w:t xml:space="preserve">能</w:t>
            </w:r>
            <w:r>
              <w:rPr>
                <w:rFonts w:hint="eastAsia" w:ascii="宋体" w:hAnsi="宋体" w:eastAsia="宋体" w:cs="宋体"/>
                <w:i w:val="0"/>
                <w:iCs w:val="0"/>
                <w:color w:val="auto"/>
                <w:sz w:val="21"/>
                <w:szCs w:val="21"/>
                <w:highlight w:val="none"/>
                <w:u w:val="none"/>
                <w:lang w:val="en-US" w:eastAsia="zh-CN" w:bidi="ar"/>
              </w:rPr>
              <w:t xml:space="preserve">看清肌外膜、肌束膜、肌纤维及其胞核和小血管等。标本取材于哺乳动物的隔肌纵横切片的厚度均在8μm</w:t>
            </w:r>
            <w:r>
              <w:rPr>
                <w:rFonts w:hint="eastAsia" w:ascii="宋体" w:hAnsi="宋体" w:cs="宋体"/>
                <w:i w:val="0"/>
                <w:iCs w:val="0"/>
                <w:color w:val="auto"/>
                <w:sz w:val="21"/>
                <w:szCs w:val="21"/>
                <w:highlight w:val="none"/>
                <w:u w:val="none"/>
                <w:lang w:val="en-US" w:eastAsia="zh-CN" w:bidi="ar"/>
              </w:rPr>
              <w:t xml:space="preserve">以下</w:t>
            </w:r>
            <w:r>
              <w:rPr>
                <w:rFonts w:hint="eastAsia" w:ascii="宋体" w:hAnsi="宋体" w:eastAsia="宋体" w:cs="宋体"/>
                <w:i w:val="0"/>
                <w:iCs w:val="0"/>
                <w:color w:val="auto"/>
                <w:sz w:val="21"/>
                <w:szCs w:val="21"/>
                <w:highlight w:val="none"/>
                <w:u w:val="none"/>
                <w:lang w:val="en-US" w:eastAsia="zh-CN" w:bidi="ar"/>
              </w:rPr>
              <w:t xml:space="preserve">每张玻片放纵、横切各一片。明暗带及胞核等应着色清晰,对比协调。纵切材料的肌纤维应伸直,成纵断面的肌纤维不得</w:t>
            </w:r>
            <w:r>
              <w:rPr>
                <w:rFonts w:hint="eastAsia" w:ascii="宋体" w:hAnsi="宋体" w:cs="宋体"/>
                <w:i w:val="0"/>
                <w:iCs w:val="0"/>
                <w:color w:val="auto"/>
                <w:sz w:val="21"/>
                <w:szCs w:val="21"/>
                <w:highlight w:val="none"/>
                <w:u w:val="none"/>
                <w:lang w:val="en-US" w:eastAsia="zh-CN" w:bidi="ar"/>
              </w:rPr>
              <w:t xml:space="preserve">小于</w:t>
            </w:r>
            <w:r>
              <w:rPr>
                <w:rFonts w:hint="eastAsia" w:ascii="宋体" w:hAnsi="宋体" w:eastAsia="宋体" w:cs="宋体"/>
                <w:i w:val="0"/>
                <w:iCs w:val="0"/>
                <w:color w:val="auto"/>
                <w:sz w:val="21"/>
                <w:szCs w:val="21"/>
                <w:highlight w:val="none"/>
                <w:u w:val="none"/>
                <w:lang w:val="en-US" w:eastAsia="zh-CN" w:bidi="ar"/>
              </w:rPr>
              <w:t xml:space="preserve">90%,肌膜无裂隙; 横切材料肌纤维囊应不收缩、无裂隙;纵横切材料的肌</w:t>
            </w:r>
            <w:r>
              <w:rPr>
                <w:rFonts w:hint="eastAsia" w:ascii="宋体" w:hAnsi="宋体" w:cs="宋体"/>
                <w:i w:val="0"/>
                <w:iCs w:val="0"/>
                <w:color w:val="auto"/>
                <w:sz w:val="21"/>
                <w:szCs w:val="21"/>
                <w:highlight w:val="none"/>
                <w:u w:val="none"/>
                <w:lang w:val="en-US" w:eastAsia="zh-CN" w:bidi="ar"/>
              </w:rPr>
              <w:t xml:space="preserve">膜</w:t>
            </w:r>
            <w:r>
              <w:rPr>
                <w:rFonts w:hint="eastAsia" w:ascii="宋体" w:hAnsi="宋体" w:eastAsia="宋体" w:cs="宋体"/>
                <w:i w:val="0"/>
                <w:iCs w:val="0"/>
                <w:color w:val="auto"/>
                <w:sz w:val="21"/>
                <w:szCs w:val="21"/>
                <w:highlight w:val="none"/>
                <w:u w:val="none"/>
                <w:lang w:val="en-US" w:eastAsia="zh-CN" w:bidi="ar"/>
              </w:rPr>
              <w:t xml:space="preserve">,肌外膜均应完整无皱褶。</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7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AF2-39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平滑肌分离装片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#1．标本在80X和200X学生显微镜下观察骨骼肌纵横切破片标志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在纵断面上</w:t>
            </w:r>
            <w:r>
              <w:rPr>
                <w:rFonts w:hint="eastAsia" w:ascii="宋体" w:hAnsi="宋体" w:cs="宋体"/>
                <w:i w:val="0"/>
                <w:iCs w:val="0"/>
                <w:color w:val="auto"/>
                <w:sz w:val="21"/>
                <w:szCs w:val="21"/>
                <w:highlight w:val="none"/>
                <w:u w:val="none"/>
                <w:lang w:val="en-US" w:eastAsia="zh-CN" w:bidi="ar"/>
              </w:rPr>
              <w:t xml:space="preserve">能</w:t>
            </w:r>
            <w:r>
              <w:rPr>
                <w:rFonts w:hint="eastAsia" w:ascii="宋体" w:hAnsi="宋体" w:eastAsia="宋体" w:cs="宋体"/>
                <w:i w:val="0"/>
                <w:iCs w:val="0"/>
                <w:color w:val="auto"/>
                <w:sz w:val="21"/>
                <w:szCs w:val="21"/>
                <w:highlight w:val="none"/>
                <w:u w:val="none"/>
                <w:lang w:val="en-US" w:eastAsia="zh-CN" w:bidi="ar"/>
              </w:rPr>
              <w:t xml:space="preserve">看清肌外膜和成束的股</w:t>
            </w:r>
            <w:r>
              <w:rPr>
                <w:rFonts w:hint="eastAsia" w:ascii="宋体" w:hAnsi="宋体" w:cs="宋体"/>
                <w:i w:val="0"/>
                <w:iCs w:val="0"/>
                <w:color w:val="auto"/>
                <w:sz w:val="21"/>
                <w:szCs w:val="21"/>
                <w:highlight w:val="none"/>
                <w:u w:val="none"/>
                <w:lang w:val="en-US" w:eastAsia="zh-CN" w:bidi="ar"/>
              </w:rPr>
              <w:t xml:space="preserve">纤维</w:t>
            </w:r>
            <w:r>
              <w:rPr>
                <w:rFonts w:hint="eastAsia" w:ascii="宋体" w:hAnsi="宋体" w:eastAsia="宋体" w:cs="宋体"/>
                <w:i w:val="0"/>
                <w:iCs w:val="0"/>
                <w:color w:val="auto"/>
                <w:sz w:val="21"/>
                <w:szCs w:val="21"/>
                <w:highlight w:val="none"/>
                <w:u w:val="none"/>
                <w:lang w:val="en-US" w:eastAsia="zh-CN" w:bidi="ar"/>
              </w:rPr>
              <w:t xml:space="preserve">,股纤维上有显暗相间的横纹,即明带和暗带。在肌膜下可见圆形或长形的胞核。在横断面上</w:t>
            </w:r>
            <w:r>
              <w:rPr>
                <w:rFonts w:hint="eastAsia" w:ascii="宋体" w:hAnsi="宋体" w:cs="宋体"/>
                <w:i w:val="0"/>
                <w:iCs w:val="0"/>
                <w:color w:val="auto"/>
                <w:sz w:val="21"/>
                <w:szCs w:val="21"/>
                <w:highlight w:val="none"/>
                <w:u w:val="none"/>
                <w:lang w:val="en-US" w:eastAsia="zh-CN" w:bidi="ar"/>
              </w:rPr>
              <w:t xml:space="preserve">能</w:t>
            </w:r>
            <w:r>
              <w:rPr>
                <w:rFonts w:hint="eastAsia" w:ascii="宋体" w:hAnsi="宋体" w:eastAsia="宋体" w:cs="宋体"/>
                <w:i w:val="0"/>
                <w:iCs w:val="0"/>
                <w:color w:val="auto"/>
                <w:sz w:val="21"/>
                <w:szCs w:val="21"/>
                <w:highlight w:val="none"/>
                <w:u w:val="none"/>
                <w:lang w:val="en-US" w:eastAsia="zh-CN" w:bidi="ar"/>
              </w:rPr>
              <w:t xml:space="preserve">看清肌外膜、肌束膜、肌纤维及其胞核和小血管等。标本取材于哺乳动物的隔肌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纵横切片的厚度均在8μm</w:t>
            </w:r>
            <w:r>
              <w:rPr>
                <w:rFonts w:hint="eastAsia" w:ascii="宋体" w:hAnsi="宋体" w:cs="宋体"/>
                <w:i w:val="0"/>
                <w:iCs w:val="0"/>
                <w:color w:val="auto"/>
                <w:sz w:val="21"/>
                <w:szCs w:val="21"/>
                <w:highlight w:val="none"/>
                <w:u w:val="none"/>
                <w:lang w:val="en-US" w:eastAsia="zh-CN" w:bidi="ar"/>
              </w:rPr>
              <w:t xml:space="preserve">以下</w:t>
            </w:r>
            <w:r>
              <w:rPr>
                <w:rFonts w:hint="eastAsia" w:ascii="宋体" w:hAnsi="宋体" w:eastAsia="宋体" w:cs="宋体"/>
                <w:i w:val="0"/>
                <w:iCs w:val="0"/>
                <w:color w:val="auto"/>
                <w:sz w:val="21"/>
                <w:szCs w:val="21"/>
                <w:highlight w:val="none"/>
                <w:u w:val="none"/>
                <w:lang w:val="en-US" w:eastAsia="zh-CN" w:bidi="ar"/>
              </w:rPr>
              <w:t xml:space="preserve">每张玻片放纵、横切各一片。明暗带及胞核等应着色清晰,对比协调。纵切材料的肌纤维应伸直,成纵断面的肌纤维不得</w:t>
            </w:r>
            <w:r>
              <w:rPr>
                <w:rFonts w:hint="eastAsia" w:ascii="宋体" w:hAnsi="宋体" w:cs="宋体"/>
                <w:i w:val="0"/>
                <w:iCs w:val="0"/>
                <w:color w:val="auto"/>
                <w:sz w:val="21"/>
                <w:szCs w:val="21"/>
                <w:highlight w:val="none"/>
                <w:u w:val="none"/>
                <w:lang w:val="en-US" w:eastAsia="zh-CN" w:bidi="ar"/>
              </w:rPr>
              <w:t xml:space="preserve">小于</w:t>
            </w:r>
            <w:r>
              <w:rPr>
                <w:rFonts w:hint="eastAsia" w:ascii="宋体" w:hAnsi="宋体" w:eastAsia="宋体" w:cs="宋体"/>
                <w:i w:val="0"/>
                <w:iCs w:val="0"/>
                <w:color w:val="auto"/>
                <w:sz w:val="21"/>
                <w:szCs w:val="21"/>
                <w:highlight w:val="none"/>
                <w:u w:val="none"/>
                <w:lang w:val="en-US" w:eastAsia="zh-CN" w:bidi="ar"/>
              </w:rPr>
              <w:t xml:space="preserve">90%,肌膜无裂隙; 横切材料肌纤维囊应不收缩、无裂隙;纵横切材料的肌</w:t>
            </w:r>
            <w:r>
              <w:rPr>
                <w:rFonts w:hint="eastAsia" w:ascii="宋体" w:hAnsi="宋体" w:cs="宋体"/>
                <w:i w:val="0"/>
                <w:iCs w:val="0"/>
                <w:color w:val="auto"/>
                <w:sz w:val="21"/>
                <w:szCs w:val="21"/>
                <w:highlight w:val="none"/>
                <w:u w:val="none"/>
                <w:lang w:val="en-US" w:eastAsia="zh-CN" w:bidi="ar"/>
              </w:rPr>
              <w:t xml:space="preserve">膜</w:t>
            </w:r>
            <w:r>
              <w:rPr>
                <w:rFonts w:hint="eastAsia" w:ascii="宋体" w:hAnsi="宋体" w:eastAsia="宋体" w:cs="宋体"/>
                <w:i w:val="0"/>
                <w:iCs w:val="0"/>
                <w:color w:val="auto"/>
                <w:sz w:val="21"/>
                <w:szCs w:val="21"/>
                <w:highlight w:val="none"/>
                <w:u w:val="none"/>
                <w:lang w:val="en-US" w:eastAsia="zh-CN" w:bidi="ar"/>
              </w:rPr>
              <w:t xml:space="preserve">,肌外膜均应完整无皱褶。</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35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AF2-40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心肌切片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标本在80x和200x学生显微镜下观察心肌的结构。在心肌的断面上能看清柱状并具有分枝的肌纤维（肌细胞），胞核呈圆形或椭圆形，位于肌纤维的中央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在肌纤维彼此衔接的地方能看清心肌的特有结构—“闰盘”。在肌纤维的横断面上能看清肌原纤维和圆形核的横断面结构。在400x镜下能看清肌原纤维上有纤细的横纹。标本取材于哺乳动物的心脏。切片厚度在8μm以内，材料面积不小于4x4mm。用能显示闰盘和横纹的方法染色！要求闰盘、胞核着色明显，横纹清晰，胞质不着色或色淡。呈纵断面的肌纤维应不少于材料面积的2／5。应保持细胞结构正常。</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1316"/>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AF2-41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x和200x学生显微镜下观察运动神经原的形态。能看清运动神经原的细胞体和突起、细胞体内的胞核、少量的神经纤维和神经胶质细胞的胞核。不要求显示尼氏体。标本取材于脊髓灰质前角中的运动神经原，作涂片或分离装片。用能显示细胞结构和不易褪色的方法染色。神经原应分布均轧形态正执无破碎现象。在80x镜下盖玻片中间部分的任一视野内应不少于五个运动神经原。</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9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AF2-42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动静脉血管横切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400×生物显微镜下观察动脉及静脉的结构。动脉能看清内膜的内皮和内弹性膜、中膜的肌纤维、外膜的外弹性膜。静脉能看清内膜的内皮和富于纤维的外膜，中膜不明显。在动静脉外围的结缔组织中，有时可见小血管、神经、淋巴管和淋巴结等断面结构。标本取材于哺乳动物的腹主动脉和下腔静脉。取材时不应过多的保留血管外围的其它组织。标本应轮廓完整，不应切穿分枝处，厚度在9μm以内。标本用苏木精、曙红双重染色。内皮应90%以上完整，无皱褶、刀痕和破裂等现象。动静脉外围所附带的其它组织，不得影响对主要结构的观察。</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AF2-43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小肠切片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400×生物显微镜下观察小肠壁的结构。能看清粘膜，包括绒毛、粘膜肌层和肠腺，粘膜下层、肌层和浆膜等。绒毛表面为单层柱状上皮，其间杂有杯状细胞。在粘膜至粘膜下层间，有时可见淋巴小结的切面。肌层为内环、外纵，标本上环行肌呈纵断面，纵行肌呈横断面。标本取材于哺乳动物的空肠或回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作完整的小肠横断切片或小肠的部分横切片（长度不小于5mm），厚度在8μm以内，绒毛较直，切穿绒毛基部呈纵断形态者不少于三条。绒外不应附着粘液，上皮细胞不应有自溶现象，其它组织无炎症或病变。染色对比协调，着色均匀，粘膜肌层与粘膜下层不脱离，肌层无破裂。</w:t>
            </w:r>
            <w:r>
              <w:rPr>
                <w:rFonts w:hint="eastAsia" w:ascii="宋体" w:hAnsi="宋体" w:eastAsia="宋体" w:cs="宋体"/>
                <w:i w:val="0"/>
                <w:iCs w:val="0"/>
                <w:color w:val="auto"/>
                <w:sz w:val="21"/>
                <w:szCs w:val="21"/>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AF2-44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字母“e”装片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#1．标本在80×学生显微镜下能观察整体字母“e”。使学生了解掌握显微镜成像与标本实体反方向的性能。标本字母“e”字迹清晰，无污物。字母应不能脱落，放置不能歪斜。</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AF2-45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#1．标本在80×学生显微镜下能观察整体字母“e”。使学生了解掌握显微镜成像与标本实体反方向的性能。标本字母“e”字迹清晰，无污物。字母应不能脱落，放置不能歪斜。</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AF2-46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验证基因分离规律玉米标本</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#1、玉米穗</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AF2-47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AF2-48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AF2-49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AF2-50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#1、φ12mm×70mm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AF2-51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#1、φ15mm×150mm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AF2-52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AF2-53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AF2-54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AF2-55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AF2-56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AF2-57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AF2-58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AF2-59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AF2-60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Y形管</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#1、玻璃材质</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AF2-61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滴管</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#1、产品为90mm的直形滴管，上部套有吸液用的橡皮头。</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AF2-62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离心管</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AF2-63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U形管</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ascii="Arial" w:hAnsi="Arial" w:eastAsia="宋体" w:cs="Arial"/>
                <w:i w:val="0"/>
                <w:iCs w:val="0"/>
                <w:caps w:val="0"/>
                <w:color w:val="auto"/>
                <w:spacing w:val="0"/>
                <w:sz w:val="21"/>
                <w:szCs w:val="21"/>
                <w:highlight w:val="none"/>
                <w:shd w:val="clear" w:color="auto" w:fill="ffffff"/>
              </w:rPr>
              <w:t xml:space="preserve">冷弯成形</w:t>
            </w:r>
            <w:r>
              <w:rPr>
                <w:rFonts w:hint="eastAsia" w:ascii="Arial" w:hAnsi="Arial" w:cs="Arial"/>
                <w:i w:val="0"/>
                <w:iCs w:val="0"/>
                <w:caps w:val="0"/>
                <w:color w:val="auto"/>
                <w:spacing w:val="0"/>
                <w:sz w:val="21"/>
                <w:szCs w:val="21"/>
                <w:highlight w:val="none"/>
                <w:shd w:val="clear" w:color="auto" w:fill="ffffff"/>
                <w:lang w:eastAsia="zh-CN"/>
              </w:rPr>
              <w:t xml:space="preserve">。</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AF2-64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#1、125mL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AF2-65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AF2-66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AF2-67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AF2-68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AF2-69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#1、茶，30mL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AF2-70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#1、茶，60mL</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AF2-71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#1、本品由木料或竹子制作，由长臂和短臂及弹簧组成。试管夹所附毡块应粘接牢固，不得脱落。试管夹弹簧应有足够弹性，并作防锈处理。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AF2-72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单层扁平上皮装片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#1．标本在80x和200x学生显微镜下观察单层扁平上皮的结构。能看清由一些边缘不规则而呈锯齿状的扁平细胞组成的单层上皮，胞核在细胞中央，呈扁圆形。标本</w:t>
            </w:r>
            <w:r>
              <w:rPr>
                <w:rFonts w:hint="eastAsia" w:ascii="宋体" w:hAnsi="宋体" w:cs="宋体"/>
                <w:i w:val="0"/>
                <w:iCs w:val="0"/>
                <w:color w:val="auto"/>
                <w:sz w:val="21"/>
                <w:szCs w:val="21"/>
                <w:highlight w:val="none"/>
                <w:u w:val="none"/>
                <w:lang w:val="en-US" w:eastAsia="zh-CN" w:bidi="ar"/>
              </w:rPr>
              <w:t xml:space="preserve">取材</w:t>
            </w:r>
            <w:r>
              <w:rPr>
                <w:rFonts w:hint="eastAsia" w:ascii="宋体" w:hAnsi="宋体" w:eastAsia="宋体" w:cs="宋体"/>
                <w:i w:val="0"/>
                <w:iCs w:val="0"/>
                <w:color w:val="auto"/>
                <w:sz w:val="21"/>
                <w:szCs w:val="21"/>
                <w:highlight w:val="none"/>
                <w:u w:val="none"/>
                <w:lang w:val="en-US" w:eastAsia="zh-CN" w:bidi="ar"/>
              </w:rPr>
              <w:t xml:space="preserve">于动物的肠系膜等。平铺袋片，材料面积不小于2X2mm，四周剪切整齐。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标本为硝酸银法处理，要求细胞界限清晰，胞核隐约可见，并允许有两层细胞。标本上不应有硝酸银的沉淀物。细胞界限也不应有断续现象。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AF2-73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水止皮管夹</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#1、本品供生物实验夹持乳胶管用。</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AF2-74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石棉网</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#1、供生物实验实验用。本品用于化学实验时隔热。石棉膏表面平整、牢固、均匀，无划痕，无粉尘脱落。</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AF2-75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#1、供生物实验实验用。本产品每组由大、中、小三把药匙组成。药匙材质：塑料</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产品制作应光滑、平整、无</w:t>
            </w:r>
            <w:r>
              <w:rPr>
                <w:rFonts w:hint="eastAsia" w:ascii="宋体" w:hAnsi="宋体" w:cs="宋体"/>
                <w:i w:val="0"/>
                <w:iCs w:val="0"/>
                <w:color w:val="auto"/>
                <w:sz w:val="21"/>
                <w:szCs w:val="21"/>
                <w:highlight w:val="none"/>
                <w:u w:val="none"/>
                <w:lang w:val="en-US" w:eastAsia="zh-CN" w:bidi="ar"/>
              </w:rPr>
              <w:t xml:space="preserve">毛刺</w:t>
            </w:r>
            <w:r>
              <w:rPr>
                <w:rFonts w:hint="eastAsia" w:ascii="宋体" w:hAnsi="宋体" w:eastAsia="宋体" w:cs="宋体"/>
                <w:i w:val="0"/>
                <w:iCs w:val="0"/>
                <w:color w:val="auto"/>
                <w:sz w:val="21"/>
                <w:szCs w:val="21"/>
                <w:highlight w:val="none"/>
                <w:u w:val="none"/>
                <w:lang w:val="en-US" w:eastAsia="zh-CN" w:bidi="ar"/>
              </w:rPr>
              <w:t xml:space="preserve">、无缺陷。</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AF2-76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#1、φ5mm～φ6mm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AF2-77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#1、φ3mm～φ4mm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AF2-78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软胶塞</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#1、供中学生物实验用。型号规格：000号、00号、0号、1号等型号。本胶塞由天然橡胶、合成橡胶和多种辅料混炼硫化而成。适用酸碱度</w:t>
            </w:r>
            <w:r>
              <w:rPr>
                <w:rFonts w:hint="eastAsia" w:ascii="宋体" w:hAnsi="宋体" w:cs="宋体"/>
                <w:i w:val="0"/>
                <w:iCs w:val="0"/>
                <w:color w:val="auto"/>
                <w:sz w:val="21"/>
                <w:szCs w:val="21"/>
                <w:highlight w:val="none"/>
                <w:u w:val="none"/>
                <w:lang w:val="en-US" w:eastAsia="zh-CN" w:bidi="ar"/>
              </w:rPr>
              <w:t xml:space="preserve">PH</w:t>
            </w:r>
            <w:r>
              <w:rPr>
                <w:rFonts w:hint="eastAsia" w:ascii="宋体" w:hAnsi="宋体" w:eastAsia="宋体" w:cs="宋体"/>
                <w:i w:val="0"/>
                <w:iCs w:val="0"/>
                <w:color w:val="auto"/>
                <w:sz w:val="21"/>
                <w:szCs w:val="21"/>
                <w:highlight w:val="none"/>
                <w:u w:val="none"/>
                <w:lang w:val="en-US" w:eastAsia="zh-CN" w:bidi="ar"/>
              </w:rPr>
              <w:t xml:space="preserve">2～10。胶塞表面光洁、白色微黄、无明显缺陷。</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AF2-79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橡胶管</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#1、产品用优质乳胶制造。要求无砂眼，有弹性，厚薄均匀。</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AF2-80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培养皿</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AF2-81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培养皿</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AF2-82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研钵</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#1、瓷，60mm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AF2-83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棉纱缸</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#1、由不锈钢制成，作防锈处理。缸体应光滑、平整、无缺陷。</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AF2-84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记数载玻片(计数板)</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#1、质量符合</w:t>
            </w:r>
            <w:r>
              <w:rPr>
                <w:rFonts w:hint="eastAsia" w:ascii="宋体" w:hAnsi="宋体" w:cs="宋体"/>
                <w:i w:val="0"/>
                <w:iCs w:val="0"/>
                <w:strike w:val="0"/>
                <w:color w:val="auto"/>
                <w:sz w:val="21"/>
                <w:szCs w:val="21"/>
                <w:highlight w:val="none"/>
                <w:u w:val="none"/>
                <w:lang w:val="en-US" w:eastAsia="zh-CN" w:bidi="ar"/>
              </w:rPr>
              <w:t xml:space="preserve">教学实验</w:t>
            </w:r>
            <w:r>
              <w:rPr>
                <w:rFonts w:hint="eastAsia" w:ascii="宋体" w:hAnsi="宋体" w:eastAsia="宋体" w:cs="宋体"/>
                <w:i w:val="0"/>
                <w:iCs w:val="0"/>
                <w:color w:val="auto"/>
                <w:sz w:val="21"/>
                <w:szCs w:val="21"/>
                <w:highlight w:val="none"/>
                <w:u w:val="none"/>
                <w:lang w:val="en-US" w:eastAsia="zh-CN" w:bidi="ar"/>
              </w:rPr>
              <w:t xml:space="preserve">要求</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w:t>
            </w:r>
            <w:r>
              <w:rPr>
                <w:rFonts w:hint="eastAsia" w:ascii="宋体" w:hAnsi="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生物实验材料</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#1、双面刀片、消毒棉签、牙签、纱布、脱脂棉、镜头纸、吸水纸、凡士林、透明胶带、干酵母粉、坐标纸、碘酒、洋红、大豆、玉米、培养皿等</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w:t>
            </w:r>
            <w:r>
              <w:rPr>
                <w:rFonts w:hint="eastAsia" w:ascii="宋体" w:hAnsi="宋体" w:cs="宋体"/>
                <w:i w:val="0"/>
                <w:iCs w:val="0"/>
                <w:color w:val="auto"/>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载玻片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#1、玻璃制。通过计量认证。0.1mm 1/400mm²。产品执行JB/T8230.3</w:t>
            </w:r>
            <w:r>
              <w:rPr>
                <w:rFonts w:hint="eastAsia" w:ascii="宋体" w:hAnsi="宋体" w:cs="宋体"/>
                <w:i w:val="0"/>
                <w:iCs w:val="0"/>
                <w:color w:val="auto"/>
                <w:sz w:val="21"/>
                <w:szCs w:val="21"/>
                <w:highlight w:val="none"/>
                <w:u w:val="none"/>
                <w:lang w:val="en-US" w:eastAsia="zh-CN" w:bidi="ar"/>
              </w:rPr>
              <w:t xml:space="preserve">-1997</w:t>
            </w:r>
            <w:r>
              <w:rPr>
                <w:rFonts w:hint="eastAsia" w:ascii="宋体" w:hAnsi="宋体" w:eastAsia="宋体" w:cs="宋体"/>
                <w:i w:val="0"/>
                <w:iCs w:val="0"/>
                <w:color w:val="auto"/>
                <w:sz w:val="21"/>
                <w:szCs w:val="21"/>
                <w:highlight w:val="none"/>
                <w:u w:val="none"/>
                <w:lang w:val="en-US" w:eastAsia="zh-CN" w:bidi="ar"/>
              </w:rPr>
              <w:t xml:space="preserve">《载玻片》的标准。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w:t>
            </w:r>
            <w:r>
              <w:rPr>
                <w:rFonts w:hint="eastAsia" w:ascii="宋体" w:hAnsi="宋体" w:cs="宋体"/>
                <w:i w:val="0"/>
                <w:iCs w:val="0"/>
                <w:color w:val="auto"/>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盖玻片</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#1、玻璃制。通过计量认证。0.1mm 1/400mm²。产品执行JB/T8230.3</w:t>
            </w:r>
            <w:r>
              <w:rPr>
                <w:rFonts w:hint="eastAsia" w:ascii="宋体" w:hAnsi="宋体" w:cs="宋体"/>
                <w:i w:val="0"/>
                <w:iCs w:val="0"/>
                <w:color w:val="auto"/>
                <w:sz w:val="21"/>
                <w:szCs w:val="21"/>
                <w:highlight w:val="none"/>
                <w:u w:val="none"/>
                <w:lang w:val="en-US" w:eastAsia="zh-CN" w:bidi="ar"/>
              </w:rPr>
              <w:t xml:space="preserve">-1997</w:t>
            </w:r>
            <w:r>
              <w:rPr>
                <w:rFonts w:hint="eastAsia" w:ascii="宋体" w:hAnsi="宋体" w:eastAsia="宋体" w:cs="宋体"/>
                <w:i w:val="0"/>
                <w:iCs w:val="0"/>
                <w:color w:val="auto"/>
                <w:sz w:val="21"/>
                <w:szCs w:val="21"/>
                <w:highlight w:val="none"/>
                <w:u w:val="none"/>
                <w:lang w:val="en-US" w:eastAsia="zh-CN" w:bidi="ar"/>
              </w:rPr>
              <w:t xml:space="preserve">《载玻片》的标准。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w:t>
            </w:r>
            <w:r>
              <w:rPr>
                <w:rFonts w:hint="eastAsia" w:ascii="宋体" w:hAnsi="宋体" w:cs="宋体"/>
                <w:i w:val="0"/>
                <w:iCs w:val="0"/>
                <w:color w:val="auto"/>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标记笔</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#1、规格不小于14.5cm,笔尖粗细：5mm×2mm,笔头式样：斜头。</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strike w:val="0"/>
                <w:color w:val="auto"/>
                <w:sz w:val="21"/>
                <w:szCs w:val="21"/>
                <w:highlight w:val="none"/>
                <w:u w:val="none"/>
                <w:lang w:val="en-US"/>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AF2-</w:t>
            </w:r>
            <w:r>
              <w:rPr>
                <w:rFonts w:hint="eastAsia" w:ascii="宋体" w:hAnsi="宋体" w:cs="宋体"/>
                <w:i w:val="0"/>
                <w:iCs w:val="0"/>
                <w:strike w:val="0"/>
                <w:color w:val="auto"/>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生理盐水</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#1、规格:医用，250ml /瓶，0.9%氯化钠溶液</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瓶</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w:t>
            </w:r>
            <w:r>
              <w:rPr>
                <w:rFonts w:hint="eastAsia" w:ascii="宋体" w:hAnsi="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砾石</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#1、样品</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w:t>
            </w:r>
            <w:r>
              <w:rPr>
                <w:rFonts w:hint="eastAsia" w:ascii="宋体" w:hAnsi="宋体" w:cs="宋体"/>
                <w:i w:val="0"/>
                <w:iCs w:val="0"/>
                <w:color w:val="auto"/>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珍珠岩</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#1、样品</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w:t>
            </w:r>
            <w:r>
              <w:rPr>
                <w:rFonts w:hint="eastAsia" w:ascii="宋体" w:hAnsi="宋体" w:cs="宋体"/>
                <w:i w:val="0"/>
                <w:iCs w:val="0"/>
                <w:color w:val="auto"/>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ABO血型实验盒</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#1．本套模型由血型演示板4个，基因演示板18块组成。用于讲授人的血型是由基因决定的。</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w:t>
            </w:r>
            <w:r>
              <w:rPr>
                <w:rFonts w:hint="eastAsia" w:ascii="宋体" w:hAnsi="宋体" w:cs="宋体"/>
                <w:i w:val="0"/>
                <w:iCs w:val="0"/>
                <w:color w:val="auto"/>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组织培养基试剂盒</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#1、由琼脂、干酵母粉、生长素、培养皿、复合维生素、食盐、蔗糖、葡萄糖、氢氧化钠、等组成</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w:t>
            </w:r>
            <w:r>
              <w:rPr>
                <w:rFonts w:hint="eastAsia" w:ascii="宋体" w:hAnsi="宋体" w:cs="宋体"/>
                <w:i w:val="0"/>
                <w:iCs w:val="0"/>
                <w:color w:val="auto"/>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昆虫针</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#1、由优质不锈钢丝制成。</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w:t>
            </w:r>
            <w:r>
              <w:rPr>
                <w:rFonts w:hint="eastAsia" w:ascii="宋体" w:hAnsi="宋体" w:cs="宋体"/>
                <w:i w:val="0"/>
                <w:iCs w:val="0"/>
                <w:color w:val="auto"/>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昆虫盒</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盒体、盒盖、凸透镜组成。盒体用透明塑料一次性注塑而成，底部有方格。盒体喇叭状。放大倍数3X。所配塑件表面平整、光滑、无气泡。配合适当、提取方便。镜片表面无气泡、烧粉、透明度好，放大倍数误差率为1﹪。</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w:t>
            </w:r>
            <w:r>
              <w:rPr>
                <w:rFonts w:hint="eastAsia" w:ascii="宋体" w:hAnsi="宋体" w:cs="宋体"/>
                <w:i w:val="0"/>
                <w:iCs w:val="0"/>
                <w:color w:val="auto"/>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饲养笼</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#1.小学科学课分组饲养小动物用。</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w:t>
            </w:r>
            <w:r>
              <w:rPr>
                <w:rFonts w:hint="eastAsia" w:ascii="宋体" w:hAnsi="宋体" w:cs="宋体"/>
                <w:i w:val="0"/>
                <w:iCs w:val="0"/>
                <w:color w:val="auto"/>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鱼缸</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#1．大号</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w:t>
            </w:r>
            <w:r>
              <w:rPr>
                <w:rFonts w:hint="eastAsia" w:ascii="宋体" w:hAnsi="宋体" w:cs="宋体"/>
                <w:i w:val="0"/>
                <w:iCs w:val="0"/>
                <w:color w:val="auto"/>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鱼缸</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#1．小号</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w:t>
            </w:r>
            <w:r>
              <w:rPr>
                <w:rFonts w:hint="eastAsia" w:ascii="宋体" w:hAnsi="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花盆</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#1．常规</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w:t>
            </w:r>
            <w:r>
              <w:rPr>
                <w:rFonts w:hint="eastAsia" w:ascii="宋体" w:hAnsi="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展翅板</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翅板的两板面用木材制成，木材应经过脱脂干燥处理，表面平滑、无节疤、无裂纹、无毛刺。并涂清漆，漆面光亮。两板呈“V”形，一块固定，一块可滑动。滑动板滑动应灵活无阻滞，在任一位置可用蝶形螺母固定。</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AF2-1</w:t>
            </w:r>
            <w:r>
              <w:rPr>
                <w:rFonts w:hint="eastAsia" w:ascii="宋体" w:hAnsi="宋体" w:cs="宋体"/>
                <w:i w:val="0"/>
                <w:iCs w:val="0"/>
                <w:color w:val="auto"/>
                <w:sz w:val="21"/>
                <w:szCs w:val="21"/>
                <w:highlight w:val="none"/>
                <w:u w:val="none"/>
                <w:lang w:val="en-US" w:eastAsia="zh-CN" w:bidi="ar"/>
              </w:rPr>
              <w:t xml:space="preserve">00</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昆虫网(捕虫网)</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#1．网周围用直径φ4~5的镀锌铁丝制成直径φ200mm的圈。长不小于30cm，不得脱线和洞眼。</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AF2-1</w:t>
            </w:r>
            <w:r>
              <w:rPr>
                <w:rFonts w:hint="eastAsia" w:ascii="宋体" w:hAnsi="宋体" w:cs="宋体"/>
                <w:i w:val="0"/>
                <w:iCs w:val="0"/>
                <w:color w:val="auto"/>
                <w:sz w:val="21"/>
                <w:szCs w:val="21"/>
                <w:highlight w:val="none"/>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枝剪</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#1．刀体长200mm呈“V”形，刀口弧形，靠柄端加反向加强筋。剪刀应采用优质钢制成。刀柄后端有合口皮扣。</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AF2-1</w:t>
            </w:r>
            <w:r>
              <w:rPr>
                <w:rFonts w:hint="eastAsia" w:ascii="宋体" w:hAnsi="宋体" w:cs="宋体"/>
                <w:i w:val="0"/>
                <w:iCs w:val="0"/>
                <w:color w:val="auto"/>
                <w:sz w:val="21"/>
                <w:szCs w:val="21"/>
                <w:highlight w:val="none"/>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水网</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#1．网周围用直径φ4~5的镀锌铁丝制成直径φ200mm的圈。网袋用尼龙网制成，长不小于30cm.不得脱线和洞眼。</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AF2-1</w:t>
            </w:r>
            <w:r>
              <w:rPr>
                <w:rFonts w:hint="eastAsia" w:ascii="宋体" w:hAnsi="宋体" w:cs="宋体"/>
                <w:i w:val="0"/>
                <w:iCs w:val="0"/>
                <w:color w:val="auto"/>
                <w:sz w:val="21"/>
                <w:szCs w:val="21"/>
                <w:highlight w:val="none"/>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橡皮锤</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#1．长18cm,类型:圆头锤 ,垂头材质:橡胶, 柄部材料:铁制,膝跳反射用。</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29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w:t>
            </w:r>
            <w:r>
              <w:rPr>
                <w:rFonts w:hint="eastAsia" w:ascii="宋体" w:hAnsi="宋体" w:cs="宋体"/>
                <w:i w:val="0"/>
                <w:iCs w:val="0"/>
                <w:color w:val="auto"/>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眼球解剖模型</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产品为放大六倍的成人眼球模型，装置于支架上。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通过眼球前后极做正中水平切面，示眼球壁三层被膜，眼球内晶状体、玻璃体和虹膜（均可拆下）。由外向内三层被膜部分做成梯形切面，并示全部结构。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眼球壁外部显示：眼球、角膜、巩膜、虹膜、瞳孔、六块眼肌的断端、视神经、涡静脉、睫状后长动脉（虹膜动脉）、睫状后短动脉（脉络膜动脉）。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眼球壁剖面及内部主要显示：外膜（前部1/6的角膜及后部5/6的巩膜）、中膜（虹膜、睫状体和脉络膜）、内膜（视网膜及其后部的视神经盘、黄斑及视网膜血管、晶状体及玻璃体）。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各部的肌肉、膜壁、血管、神经等的形态、位置、比例和颜色等均应正确自然。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 模型采用硬塑或混合树脂制作，不得采用软塑料。</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AF2-1</w:t>
            </w:r>
            <w:r>
              <w:rPr>
                <w:rFonts w:hint="eastAsia" w:ascii="宋体" w:hAnsi="宋体" w:cs="宋体"/>
                <w:i w:val="0"/>
                <w:iCs w:val="0"/>
                <w:color w:val="auto"/>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#1、白色全棉。 型号：适合170cm身高人员使用。                                                                                     </w:t>
            </w:r>
            <w:r>
              <w:rPr>
                <w:rFonts w:hint="eastAsia" w:ascii="宋体" w:hAnsi="宋体" w:eastAsia="宋体" w:cs="宋体"/>
                <w:i w:val="0"/>
                <w:iCs w:val="0"/>
                <w:color w:val="auto"/>
                <w:sz w:val="21"/>
                <w:szCs w:val="21"/>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AF2-1</w:t>
            </w:r>
            <w:r>
              <w:rPr>
                <w:rFonts w:hint="eastAsia" w:ascii="宋体" w:hAnsi="宋体" w:cs="宋体"/>
                <w:i w:val="0"/>
                <w:iCs w:val="0"/>
                <w:color w:val="auto"/>
                <w:sz w:val="21"/>
                <w:szCs w:val="21"/>
                <w:highlight w:val="none"/>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护目镜</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具有遮挡、过滤各类强光及射线辐射的功能，并具有较好的耐腐蚀性能。眼镜四周有防护罩。侧面能够完全遮挡。</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AF2-1</w:t>
            </w:r>
            <w:r>
              <w:rPr>
                <w:rFonts w:hint="eastAsia" w:ascii="宋体" w:hAnsi="宋体" w:cs="宋体"/>
                <w:i w:val="0"/>
                <w:iCs w:val="0"/>
                <w:color w:val="auto"/>
                <w:sz w:val="21"/>
                <w:szCs w:val="21"/>
                <w:highlight w:val="none"/>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乳胶手套</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#1.产品为外覆PVC材料，内为棉质材料制成。表面应具有较好的耐酸、耐碱及其他化学试剂腐蚀的性能。柔韧性好，穿戴后便于进行各类实验操作。长度为25cm左右。</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strike w:val="0"/>
                <w:color w:val="auto"/>
                <w:sz w:val="21"/>
                <w:szCs w:val="21"/>
                <w:highlight w:val="none"/>
                <w:u w:val="none"/>
                <w:lang w:val="en-US"/>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AF2-1</w:t>
            </w:r>
            <w:r>
              <w:rPr>
                <w:rFonts w:hint="eastAsia" w:ascii="宋体" w:hAnsi="宋体" w:cs="宋体"/>
                <w:i w:val="0"/>
                <w:iCs w:val="0"/>
                <w:strike w:val="0"/>
                <w:color w:val="auto"/>
                <w:sz w:val="21"/>
                <w:szCs w:val="21"/>
                <w:highlight w:val="none"/>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急救包</w:t>
            </w:r>
            <w:r/>
          </w:p>
        </w:tc>
        <w:tc>
          <w:tcPr>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急救包内应配备的药品及器材：绿药膏1瓶；烧伤药膏1瓶；苏打粉100g；硼酸100g；创可贴10条；紫药水50ml；红药水50ml；碘酒50ml；3％双氧水100ml；胶布1卷；绷带1卷；药棉1包；手术剪1把；镊子1把；一次性注射器1支</w:t>
            </w:r>
            <w:r>
              <w:rPr>
                <w:rFonts w:hint="eastAsia" w:ascii="宋体" w:hAnsi="宋体" w:cs="宋体"/>
                <w:i w:val="0"/>
                <w:iCs w:val="0"/>
                <w:strike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个</w:t>
            </w:r>
            <w:r/>
          </w:p>
        </w:tc>
      </w:tr>
    </w:tbl>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ectPr>
          <w:footnotePr/>
          <w:endnotePr/>
          <w:type w:val="nextPage"/>
          <w:pgSz w:w="11906" w:h="16838" w:orient="portrait"/>
          <w:pgMar w:top="1440" w:right="1080" w:bottom="1440" w:left="1080" w:header="851" w:footer="992" w:gutter="0"/>
          <w:cols w:num="1" w:sep="0" w:space="720" w:equalWidth="1"/>
          <w:docGrid w:linePitch="360"/>
        </w:sect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bl>
      <w:tblPr>
        <w:tblStyle w:val="701"/>
        <w:tblW w:w="1037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73"/>
        <w:gridCol w:w="1185"/>
        <w:gridCol w:w="6765"/>
        <w:gridCol w:w="720"/>
        <w:gridCol w:w="735"/>
      </w:tblGrid>
      <w:tr>
        <w:trPr>
          <w:trHeight w:val="567" w:hRule="exact"/>
        </w:trPr>
        <w:tc>
          <w:tcPr>
            <w:gridSpan w:val="5"/>
            <w:tcBorders>
              <w:top w:val="single" w:color="000000" w:sz="4" w:space="0"/>
              <w:left w:val="single" w:color="000000" w:sz="4" w:space="0"/>
              <w:bottom w:val="single" w:color="000000" w:sz="4" w:space="0"/>
              <w:right w:val="single" w:color="000000" w:sz="4" w:space="0"/>
            </w:tcBorders>
            <w:tcW w:w="1037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AG-初中物理仪器</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92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教师演示仪器</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AG1-01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光的反射实验仪</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#1.由钣金主体、入射光调节装置、刻度盘（入射角和反射角测量装置）、转臂、底座、水雾发生器、双色激光光源、反光镜片、烧杯、围挡等组成；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#2.钣金主体尺寸规格：430*345*102mm（±5mm）；精密剪板折弯工艺；表面处理工艺：黑色烤漆，哑光处理；功能描述：为整个演示器提供牢固稳定的底座，和安装平台。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#3.刻度盘，尺寸规格：340*200*5mm（±5mm）；材质工艺：橘黄色亚克力，雕刻机一体成型；表面处理工艺：双色精密丝印；功能描述：为入射角，反射角和法线提供角度标准，直接测量入射角和反射角。</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67"/>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AG1-02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光具盘</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#1.由光具盘主体（含圆形光盘）、五线激光源、光学零件（梯形玻砖、等腰直角棱镜、半圆柱透镜、小双凹柱透镜、小双凸柱透镜、大双凸柱透镜、平面镜、凹凸柱面镜、正三棱镜）组成。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#2.光具盘主体：外形尺寸772*470（±5mm）；上下为铝型材结构，具有良好的抗拉</w:t>
            </w:r>
            <w:r>
              <w:rPr>
                <w:rFonts w:hint="eastAsia" w:ascii="宋体" w:hAnsi="宋体" w:eastAsia="宋体" w:cs="宋体"/>
                <w:i w:val="0"/>
                <w:iCs w:val="0"/>
                <w:color w:val="auto"/>
                <w:sz w:val="21"/>
                <w:szCs w:val="21"/>
                <w:highlight w:val="none"/>
                <w:u w:val="none"/>
                <w:lang w:val="en-US" w:eastAsia="zh-CN" w:bidi="ar"/>
              </w:rPr>
              <w:t xml:space="preserve">强度，表面黑色氧化细喷砂处理。左右为ABS塑料精密注塑成型边框；圆形光盘直径260mm，盘面分四个象限，以一条直径为始边，分别刻有 0°～90°刻度。功能描述：整体为磁吸附式结构，光学零件及五线激光光源可以吸附在矩形光盘上进行光学实验演示。五线激光源：规格：尺寸≥133*89*30mm，工作电压DC3V；主要材质：ABS工程塑料、铜；工艺：塑料注塑成型；功能描述：激光光学光源，磁吸式，内置电池可充电，提供1～5线平行光源（中间绿色光源），配合光学零件可直接或光具盘主体或其他磁性材料上完成多种光路的演示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光学零件：产品组成：梯形玻砖、等腰直角棱镜、半圆柱透镜、小双凹柱透镜、小双凸柱透镜、大双凸柱透镜、平面镜、凹凸柱面镜、正三棱镜。规格：统一厚度20mm；主要材质：PMMA；工艺：精加工、抛光；功能描述：磁吸式，配合激光光源可直接或吸附在光具盘主体或其他磁性材料上进行光线折射等相应光学实验。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#4.能够完成光的直线传播；光的反射；凸透镜的会聚作用；凹透镜的发散作用；凹面镜的会聚作用；凸面镜的发散作用；光的折射定律；测量玻璃砖的折射率；光的全反射等教学演示。</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07"/>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AG1-03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眼球仪</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#1.由眼球仪主体（含眼球剖面图）、五线激光光源、光学零件（正常眼球玻璃、远视眼球玻璃、近视眼球玻璃、近视镜玻璃、远视镜玻璃）组成。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#2.眼球仪主体：外形尺寸772*</w:t>
            </w:r>
            <w:r>
              <w:rPr>
                <w:rFonts w:hint="eastAsia" w:ascii="宋体" w:hAnsi="宋体" w:eastAsia="宋体" w:cs="宋体"/>
                <w:i w:val="0"/>
                <w:iCs w:val="0"/>
                <w:color w:val="auto"/>
                <w:sz w:val="21"/>
                <w:szCs w:val="21"/>
                <w:highlight w:val="none"/>
                <w:u w:val="none"/>
                <w:lang w:val="en-US" w:eastAsia="zh-CN" w:bidi="ar"/>
              </w:rPr>
              <w:t xml:space="preserve">470（±5mm）；上下为铝型材结构，具有良好的抗拉强度，表面黑色氧化细喷砂处理。左右为ABS塑料精密注塑成型边框；功能描述：整体为磁吸附式结构，配有眼球剖面图，光学零件及五线激光光源可以吸附在矩形光盘上演示眼睛的工作原理及视力矫正实验。五线激光光源：规格：尺寸≥133*89*30mm，工作电压DC3V；主要材质：ABS工程塑料、铜；工艺：塑料注塑成型；功能描述：激光光学光源，磁吸式，内置电池可充电，提供1～5线平行光源（中间绿色光源），配合光学零件可直接或眼球仪主体或其他磁性材料上完成多种光路的演示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光学零件：产品组成：正常眼球玻璃、远视眼球玻璃、近视眼球玻璃、近视镜玻璃、远视镜玻璃。规格：统一厚度20mm；主要材质：PMMA；工艺：精加工、抛光；功能描述：磁吸式，配合激光光源可直接或吸附在眼球仪主体或其他磁性材料上进行光线折射等相应光学实验。  </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5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AG1-04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光的传播、反射、折射实验器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#1.由演示板、红色激光光源、绿色激光光源、光学配件（凸凹面镜、半圆玻璃砖、双凸透镜、双凹透镜、梯形玻璃砖、等边三角形玻璃砖、直角等腰三角玻璃砖）、平面镜和漫反射镜、水箱圆盘等组成。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#2.演示板：外形尺寸666*470mm（±5mm）；上下为铝型材结构，具有良好的抗拉强度，表面黑色氧化细喷砂处理,左右为ABS塑料精密注塑成型边框；表盘外径300mm，盘面分四个象限，以一条直径为始边，分别刻有 0°～90°刻度：功能描述：整体为磁吸附式结构，可吸附激光光源、水箱圆盘、光学配件等进行相应光学实验。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光学零件：产品组成：凸凹面镜、半圆玻璃砖、双凸透镜、双凹透镜、梯形玻璃砖、等边三角形玻璃砖、直角等腰三角玻璃砖。规格：统一厚度20mm；主要材质：PMMA；工艺：精加工、抛光；功能描述：磁吸式，配合激光光源可直接或吸附在本演示板或其他磁性材料上进行光线折射等相应光学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#4.水箱圆盘：规格：φ250mm*34mm（±5mm）；主要材质：PMMA；功能描述：磁吸式，可放入水等液体进行不同物质界面的折射实验。</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66"/>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AG1-05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底座、外壳、圆球、导电杆、绝缘子、箔片、中位卡、接线柱等组成。观察面采用透明材料，可直接观察到箔片的变化。检验物体是否带电；检验物体带的电是正或负；检验物体的绝缘性；感应起电实验；配合其他仪器进行静电学相应实验等。</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AG1-06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指针验电器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外壳、圆盘、导电杆、绝缘子、指针、指针架、接线柱等组成。观察面采用透明材料，可直接观察到指针的变化。能够完成的教学演示：检验物体是否带电；检验物体带的电是正或负；检验物体的绝缘性；配合其他仪器进行静电学相应实验等。</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AG1-07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奥斯特实验演示器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塑料底座、开关、通电杆、翼形磁针组件、接线柱等组成。塑料底座：尺寸规格：436*274*49mm（±5mm）；材质工艺：ABS塑料精密注塑成型；功能描述：为整个演示器提供牢固稳定的底座，内嵌垫片，使得底座具备防滑耐磨的特点。通电杆：尺寸规格：338*184*8mm（±5mm），材质工艺：高碳45</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钢。表面处理：通体镀装饰铬；功能描述：作为电生磁的主要零件和载体，通电后周围产生磁场。</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66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AG1-08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演示电磁继电器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电磁线圈、铁芯、常开触点、常闭触点、弹簧、蜂鸣器、指示灯等组成。外形尺寸666*470mm（±5mm）；上下为铝型材结构,具有良好的抗拉强度，表面黑色氧化细喷砂处理。左右为ABS塑料精密注塑成型边框；仪器面板表面印有原理电路图，导线采用暗线布置，内部接线与面板上的电路图一致，红绿色指示灯分别指示常开和常闭状态。</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11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AG1-09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亚克力底座、螺线管、方形线圈、圆线圈等组成。亚克力底座：尺寸规格：250*250*55mm（±5mm），厚度5mm，材质：透明亚克力，良好耐候性；功能描述：良好的载体功能，为螺线管、单匝线圈、方形线圈提供良好牢固的平台；表面配有双色丝印的使用说明，美观简洁，方便直接进行实验操作。螺线管：尺寸规格：直径∅60mm，材质：透明PC材质，精密注塑成型；功能描述：为漆包线提供绕线载体。</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AG1-10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磁场对电流作用实验器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塑料底座、U型磁场器、铜管支架、黄铜管、接线柱等组成。塑料底座：尺寸规格：265*170*40mm（±5mm）；材质工艺：ABS塑料精密注塑成型；功能描述：为整个演示器提供牢固稳定的底座，内嵌垫片，使得底座具备防滑耐磨的特点。U型磁场器：尺寸规格：100*55*65mm（±5mm）；材质工艺：金属材质，表面双色喷漆；功能描述：为安装磁铁提供平台，中部空间宽敞，便于铜管在其中自由滚动。</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AG1-11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手摇交直流发电机</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#1.由定子、转子、集流环、电刷、灯座（带灯泡）、手摇驱动机构、底板等部分组成。</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AG1-12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电机原理演示器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#1.由定子、转子线圈、集流环和换向器、电刷、底座等组成。</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0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AG1-13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保险丝（1A、2A、3A、5A）、实验导线、多芯导线、灯泡（10W）、灯泡（50W）、电流表、电压表等组成。外形尺寸666*470mm（±5mm）；上下为铝型材结构，具有良好的抗拉强度，表面黑色氧化细喷砂处理。左右为ABS塑料精密注塑成型边框；仪器面板表面印有原理电路图，配有3路并联电路，实验导线和保险丝位置处可自由更换，进行保险丝作用等相关实验演示。</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AG1-14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演示电流表（磁吸）</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#1.由外壳、表盘、调零旋钮、香蕉插头接线柱等组成。外形尺寸：339*298*64mm（±5mm）；材质工艺：ABS塑料精密注塑成型；量程：-0.2A～0.6 A/-1A～3 A 双量程，功能描述：2.5级；磁吸式，内嵌磁铁，可调零，可以吸附在黑板，进行演示操作。</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154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AG1-15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演示电压表（磁吸）</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#1.由外壳、表盘、调零旋钮、香蕉插头接线柱等组成。外形尺寸：339*298*64mm（±5mm）；材质工艺：ABS塑料精密注塑成型；量程：-1V～3V/-3V～15 V 双量程；功能描述：2.5级；磁吸式，内嵌磁铁，可调零，可以吸附在黑板，进行演示操作。</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AG1-16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演示灵敏电流计（磁吸）</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外壳、表盘、调零旋钮、香蕉插头接线柱等组成。外形尺寸：339*298*64mm（±5mm）；材质工艺：ABS塑料精密注塑成型；量程：-300μA～300μA；功能描述：2.5级；磁吸式，内嵌磁铁，可以吸附在黑板，进行演示操作。</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15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AG1-17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演示电表（磁吸）</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#1.由外壳、表盘、调零旋钮、香蕉插头接线柱等组成。外形尺寸：339*298*64mm（±5mm）；材质工艺：ABS塑料精密注塑成型；功能描述：2.5 级；直流电流：0.5 A、2.5 A；直流电压：2.5 V、10 V，检流：－100 μA～100 μA；磁吸式，内嵌磁铁，可以吸附在黑板，进行演示操作。</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17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AG1-18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数字演示电表（磁吸）</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#1.由外壳、A/D转换集成电路、LED大屏幕、开关、档位按键、功能选择按键等组成。外形尺寸：339*298*64mm（±5mm）；材质工艺：ABS塑料精密注塑成型；显示方式：超高亮LED发光数码管显示；最大显示：4 1/2位；测量方式：微处理器控制双积分式A/D转换；功能描述：4-1/2 位，双面显</w:t>
            </w:r>
            <w:r>
              <w:rPr>
                <w:rFonts w:hint="eastAsia" w:ascii="宋体" w:hAnsi="宋体" w:eastAsia="宋体" w:cs="宋体"/>
                <w:i w:val="0"/>
                <w:iCs w:val="0"/>
                <w:color w:val="auto"/>
                <w:sz w:val="21"/>
                <w:szCs w:val="21"/>
                <w:highlight w:val="none"/>
                <w:u w:val="none"/>
                <w:lang w:val="en-US" w:eastAsia="zh-CN" w:bidi="ar"/>
              </w:rPr>
              <w:t xml:space="preserve">示，同一物理量能自动 转换量程；直流电流：200 μA、2 mA、 20 mA、200 mA、2 A、20 A，不确定度 0.2％；直流电压：2 V、20 V、200 V，不确定度 0.1％；电阻：200 Ω、2 kΩ、 20 kΩ、200 kΩ、2 MΩ、20 MΩ，不确定度 0.2％；交流电压：2 V、20 V、200V、700V，不确定度 0.5％；交流电流：2 mA、20 mA、200 mA、6A，不确定度 1.0％；2 A、20 A 自动过载保护，故障排除自动恢复；交流供电，采用 II 类变压器。</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59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AG1-19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亚克力面板、金属导线、铜螺柱、接线柱、电阻定律演示器支架等组成。亚克力面板：尺寸规格：1050*185*78mm（±5mm），厚度5mm；材质：黑色亚克力，良好耐候性；功能描述：良好的载体功能，为金属丝、铜螺柱以及接线柱提供良好的安装载体；表面刻度丝印，具有快速准确的测量长度的功能，同时具备较好的绝缘性，提高实验的准确度。金属导线：规格：D0.3mm、和D0.5mm；材质：镍铬丝，康铜丝；功能描述：提供倍数性变化的金属丝，配合不同的材料，采用控制变量的实验方法，确保实验的准确性。</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AG1-20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透明贮液筒、底座、电阻、数显温度计等组成。外形尺寸666*470mm（±5mm）；上下为铝型材结构，具有良好的抗拉强度，表面黑色氧化细喷砂处理。左右为ABS塑料精密注塑成型边框；仪器面板表面印有原理电路图，配有</w:t>
            </w:r>
            <w:r>
              <w:rPr>
                <w:rFonts w:hint="eastAsia" w:ascii="宋体" w:hAnsi="宋体" w:cs="宋体"/>
                <w:i w:val="0"/>
                <w:iCs w:val="0"/>
                <w:color w:val="auto"/>
                <w:sz w:val="21"/>
                <w:szCs w:val="21"/>
                <w:highlight w:val="none"/>
                <w:u w:val="none"/>
                <w:lang w:val="en-US" w:eastAsia="zh-CN" w:bidi="ar"/>
              </w:rPr>
              <w:t xml:space="preserve">透明</w:t>
            </w:r>
            <w:r>
              <w:rPr>
                <w:rFonts w:hint="eastAsia" w:ascii="宋体" w:hAnsi="宋体" w:eastAsia="宋体" w:cs="宋体"/>
                <w:i w:val="0"/>
                <w:iCs w:val="0"/>
                <w:color w:val="auto"/>
                <w:sz w:val="21"/>
                <w:szCs w:val="21"/>
                <w:highlight w:val="none"/>
                <w:u w:val="none"/>
                <w:lang w:val="en-US" w:eastAsia="zh-CN" w:bidi="ar"/>
              </w:rPr>
              <w:t xml:space="preserve">贮液筒（带底座）3个，电阻4个，一次实验可直接完成以下焦耳定律相关演示。能够完成的教学演示：电流热效应；焦耳定律中热量与电阻的关系；焦耳定律中热量与电流的关系；焦耳定律中热量与通电时间的关系。</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767"/>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AG1-21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家庭电路示教板A款</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电能表（5A）、漏电保护器、闸刀开关、保险丝盒、插座、螺口灯座、螺口灯泡、卡口灯座、卡口灯泡、拉线开关、倒板开关、AC电源插座、电源线等组成。外形尺寸1072*470mm（±5mm）；上下为铝型材结构，具有良好的抗拉强度，表面黑色氧化细喷砂处理。左右为ABS塑料精密注塑成型边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.仪器面板表面印有原理电路图，电路图中包含家庭电路中的常</w:t>
            </w:r>
            <w:r>
              <w:rPr>
                <w:rFonts w:hint="eastAsia" w:ascii="宋体" w:hAnsi="宋体" w:cs="宋体"/>
                <w:i w:val="0"/>
                <w:iCs w:val="0"/>
                <w:color w:val="auto"/>
                <w:sz w:val="21"/>
                <w:szCs w:val="21"/>
                <w:highlight w:val="none"/>
                <w:u w:val="none"/>
                <w:lang w:val="en-US" w:eastAsia="zh-CN" w:bidi="ar"/>
              </w:rPr>
              <w:t xml:space="preserve">用</w:t>
            </w:r>
            <w:r>
              <w:rPr>
                <w:rFonts w:hint="eastAsia" w:ascii="宋体" w:hAnsi="宋体" w:eastAsia="宋体" w:cs="宋体"/>
                <w:i w:val="0"/>
                <w:iCs w:val="0"/>
                <w:color w:val="auto"/>
                <w:sz w:val="21"/>
                <w:szCs w:val="21"/>
                <w:highlight w:val="none"/>
                <w:u w:val="none"/>
                <w:lang w:val="en-US" w:eastAsia="zh-CN" w:bidi="ar"/>
              </w:rPr>
              <w:t xml:space="preserve">电器、常用开关、漏电保护、电能表等。导线采用暗线布置，内部接线与面板上的电路图一致。火线为红色，零线为蓝色，保护地线为黄绿双色。开关电极左面是零线，右面是火线。能够完成的教学演示：模拟家庭电路演示。</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AG1-22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家庭电路示教板B款</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电能表（5A）、漏电保护器、声光开关、插座、螺口灯座、螺口灯泡、卡口灯座、卡口灯泡、拉线开关、倒板开关、AC电源插座、电源线等组成。外形尺寸1072*470mm（±5mm）；上下为铝型材结构，具有良好的抗拉强度，表面黑色氧化细喷砂处理。左右为ABS塑料精密注塑成型边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.仪器面板表面印有原理电路图，电路图中包含家庭电路中的常</w:t>
            </w:r>
            <w:r>
              <w:rPr>
                <w:rFonts w:hint="eastAsia" w:ascii="宋体" w:hAnsi="宋体" w:cs="宋体"/>
                <w:i w:val="0"/>
                <w:iCs w:val="0"/>
                <w:color w:val="auto"/>
                <w:sz w:val="21"/>
                <w:szCs w:val="21"/>
                <w:highlight w:val="none"/>
                <w:u w:val="none"/>
                <w:lang w:val="en-US" w:eastAsia="zh-CN" w:bidi="ar"/>
              </w:rPr>
              <w:t xml:space="preserve">用</w:t>
            </w:r>
            <w:r>
              <w:rPr>
                <w:rFonts w:hint="eastAsia" w:ascii="宋体" w:hAnsi="宋体" w:eastAsia="宋体" w:cs="宋体"/>
                <w:i w:val="0"/>
                <w:iCs w:val="0"/>
                <w:color w:val="auto"/>
                <w:sz w:val="21"/>
                <w:szCs w:val="21"/>
                <w:highlight w:val="none"/>
                <w:u w:val="none"/>
                <w:lang w:val="en-US" w:eastAsia="zh-CN" w:bidi="ar"/>
              </w:rPr>
              <w:t xml:space="preserve">电器、常用开关、声光开关、漏电保护器、电能表等。导线采用暗线布置，内部接线与面板上的电路图一致。火线为红色，零线为蓝色，保护地线为黄绿双色。开关电极应为左面是零线，右面是火线。能够完成的教学演示：模拟家庭电路演示（含声光控制灯泡演示）。</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0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AG1-23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安全用电示教板</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#1.由示教板、仿真人等组成。示教板：外形尺寸666*470mm（±5mm）；上下为铝型材结构，具有良好的抗拉强度，表面黑色氧化细喷砂处理。左右为ABS塑料精密注塑成型边框。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.仿真人：亚克力材质，自带24颗灯珠，可模拟触电时的电流路线。手脚可吸附在示教板上。能够完成的教学演示：12 V 供电，可用于模拟演示日常生活中常见的造成触电事故的现象：一手接触火线，经脚和大地触电；一手接触火线，不经脚和大地安全（脚下绝缘）；二手分别接触火线和零线触电（脚站在地面或绝缘）；一手接触漏电（连接火线）的设备（例如电动机），经脚和大地触电；跨步电压触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AG1-24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移动式多功能电源</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#1.产品规格：312×158×127mm（±2mm）。主要材质：增强型阻燃ABS工程塑料；工艺：塑料注塑成型。</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r>
      <w:tr>
        <w:trPr>
          <w:trHeight w:val="18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AG1-25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钢制黑板</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#1.≥900mm×600mm，双面。钢制双面黑板，书写面为镀锌冷轧钢板制造，中间为人造板，并与金属板粘结牢固，边框采用铝制材料四周镶边。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.允许用绿白两用黑板代替。使用普通或无尘粉笔时，应手感流畅、充实，笔迹清晰，经反复</w:t>
            </w:r>
            <w:r>
              <w:rPr>
                <w:rFonts w:hint="eastAsia" w:ascii="宋体" w:hAnsi="宋体" w:cs="宋体"/>
                <w:i w:val="0"/>
                <w:iCs w:val="0"/>
                <w:color w:val="auto"/>
                <w:sz w:val="21"/>
                <w:szCs w:val="21"/>
                <w:highlight w:val="none"/>
                <w:u w:val="none"/>
                <w:lang w:val="en-US" w:eastAsia="zh-CN" w:bidi="ar"/>
              </w:rPr>
              <w:t xml:space="preserve">擦拭</w:t>
            </w:r>
            <w:r>
              <w:rPr>
                <w:rFonts w:hint="eastAsia" w:ascii="宋体" w:hAnsi="宋体" w:eastAsia="宋体" w:cs="宋体"/>
                <w:i w:val="0"/>
                <w:iCs w:val="0"/>
                <w:color w:val="auto"/>
                <w:sz w:val="21"/>
                <w:szCs w:val="21"/>
                <w:highlight w:val="none"/>
                <w:u w:val="none"/>
                <w:lang w:val="en-US" w:eastAsia="zh-CN" w:bidi="ar"/>
              </w:rPr>
              <w:t xml:space="preserve">无明显遗留粉笔痕迹。黑板提手在长边边框中间安装牢靠，挂起或提拿时无明显歪斜。</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5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AG1-26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直联泵</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单相，功率不小于370W，扬程不小于10m，流量每小时不小于1.5m</w:t>
            </w:r>
            <w:r>
              <w:rPr>
                <w:rFonts w:hint="eastAsia" w:ascii="宋体" w:hAnsi="宋体" w:eastAsia="宋体" w:cs="宋体"/>
                <w:i w:val="0"/>
                <w:iCs w:val="0"/>
                <w:color w:val="auto"/>
                <w:sz w:val="21"/>
                <w:szCs w:val="21"/>
                <w:highlight w:val="none"/>
                <w:u w:val="none"/>
                <w:vertAlign w:val="superscript"/>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，出水口直径约25mm。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21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AG1-27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旋片式真空泵</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#1、单相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仪器油箱隔层处理，排气口设置油气分离装置，无喷油，金属外壳，工作电压220V，50Hz；抽气速率1L/S，电机功率120W，极限压力10Pa，加油量200ml，适应环境：-5℃~40℃。采用优质钢材，防锈处理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AG1-28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打气筒</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手持式。打气筒由筒体带打气接头、打气活塞、拉杆、手柄、塑料打气嘴、金属打气嘴等组成。筒体为塑料制，外径35mm，长210mm。拉杆为金属制，表面电镀处理，直径4.4mm。手柄为塑料制，长55mm，与拉杆连接可靠。</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72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AG1-29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抽气盘</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#1．产品由底盘、钟罩、电铃、气阀、垫圈等组成。底盘为塑料制成，要求表面平整，无气孔、砂眼，外径Φ≥180mm。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．钟罩为透明式，外径不小于150mm。 抽气盘的密封性能：极限压强≤6000Pa，极限压强下保持15分钟，腔内压强变化不大于2K Pa。 电铃电源：直流3～6V。 电铃放置于抽气盘内应平稳，工作中无倒覆。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AG1-30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680mm×460mm×800mm。不锈钢材料制。仪器车应分为2层，层间距不小于300mm。车架用直径不小于Φ19mm、壁厚不小于1mm的不锈钢管制成，高不低于800mm。车架脚安装有不小于Φ50mm、厚15mm转动灵活的万向轮。车隔板为不薄于1mm的不锈钢制成，四周安装有约30mm高的挡板。整车安装好后应载重≥50Kg。</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AG1-31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充磁器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#1、主要由螺线管、整流器、电源按钮开关和外壳组成。对中学物理实验室配备的小磁针、磁针进行充磁或消磁。绝缘电阻≥20MΩ。</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00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AG1-32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生物显微镜</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#1．SP-01（640X）。单目直筒，分离式粗微调，目镜：10X、16X，三孔转换器，物镜：4X、10X、40Xs，108mm×118mm塑料平台带切片压片，拨盘光栏，50平凹面反光镜，干燥剂。木箱（塑料手提箱）包装。</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94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AG1-33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注射器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100mL、注射器外套应有足够透明度，能清晰地看到基准线；表面必须清洁无杂质，不得有气泡、疙瘩、沙粒等缺陷。橡胶活塞应无胶丝、胶屑、外来杂质、喷霜。标尺的分度容量线及计量数字印刷应完整，字迹清楚，线条清晰，粗细均匀。</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94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AG1-3</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透明盛液筒</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#1、外形尺寸：高300mm±5mm，直径100mm±2mm，壁厚≥2mm；口部圆正，底部平整，表面无凸凹平现象；标尺为透明不干胶标尺，毫米单位，黑色字体。材料为透明塑料注塑成型。</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AG1-3</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透明水槽(圆形或方形)</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#1、长方形水槽。外形尺寸：≥250mm×180mm×100mm；壁厚≥2mm，四角圆度≤R5mm；材料为透苯塑料注塑成型。</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AG1-3</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物理支架</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#1、物理实验室通用仪器，可组装成垂直、平行、吊挂、夹持、放置等多种实验支架。有大小A型座各1个，立杆两支（500mm，Φ12mm ； 700mm，Φ12mm各一支）平行夹1只，垂直夹2只，烧瓶夹1只，万向夹1只，台边夹1只，大铁环1个，圆托盘1个，吊钩4只，吊钩杆1个，绝缘杆1支。    </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AG1-3</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多功能实验支架</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#1、物理实验室通用仪器，可组装成垂直、平行、吊挂、夹持、放置等多种实验支架。有大小A型座各1个，立杆两支（500mm，Φ12mm ； 700mm，Φ12mm各一支）平行夹1只，垂直夹2只，烧瓶夹1只，万向夹1只，台边夹1只，大铁环1个，圆托盘1个，吊钩4只，吊钩杆1个，绝缘杆1支，滴定夹1个，漏斗架1个。    </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AG1-3</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升降台</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上面板、下面板、旋转轴、手轮等组成。升降范围不小于150mm，载重量不小于10kg。工作台面：上面板150mm×150mm，下底板180mm×180mm。上下面板均采用厚不小于1mm的冷轧板冲压成型，成型厚度约8mm，表面烤黑漆。</w:t>
            </w:r>
            <w:r>
              <w:rPr>
                <w:rFonts w:hint="eastAsia" w:ascii="宋体" w:hAnsi="宋体" w:cs="宋体"/>
                <w:i w:val="0"/>
                <w:iCs w:val="0"/>
                <w:color w:val="auto"/>
                <w:sz w:val="21"/>
                <w:szCs w:val="21"/>
                <w:highlight w:val="none"/>
                <w:u w:val="none"/>
                <w:lang w:val="en-US" w:eastAsia="zh-CN" w:bidi="ar"/>
              </w:rPr>
              <w:t xml:space="preserve">其他</w:t>
            </w:r>
            <w:r>
              <w:rPr>
                <w:rFonts w:hint="eastAsia" w:ascii="宋体" w:hAnsi="宋体" w:eastAsia="宋体" w:cs="宋体"/>
                <w:i w:val="0"/>
                <w:iCs w:val="0"/>
                <w:color w:val="auto"/>
                <w:sz w:val="21"/>
                <w:szCs w:val="21"/>
                <w:highlight w:val="none"/>
                <w:u w:val="none"/>
                <w:lang w:val="en-US" w:eastAsia="zh-CN" w:bidi="ar"/>
              </w:rPr>
              <w:t xml:space="preserve">金属表面均电镀处理。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AG1-3</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旋转架</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支杆、旋转体构成，二件为一套。底座直径65mm，高20mm。支杆直径10mm，长75mm，顶尖为钢制，表面镀铬处理。旋转体外形尺寸：40mm×25mm×20mm，旋转体上有盛放磁铁和胶棒的凹槽。组装后的高度为105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27"/>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AG1-</w:t>
            </w:r>
            <w:r>
              <w:rPr>
                <w:rFonts w:hint="eastAsia" w:ascii="宋体" w:hAnsi="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调压变压器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#1、输入电压：交流220V 50Hz。输出电压：交流0—250V、连续可调。最大输出电流：8A。额定功率：2kVA。绝缘电阻：电源进线端和电压输出端与机壳绝缘电阻≥20MΩ。空载电源：应小于0.2A。电压试验：仪器电源进线端和电压输出与机壳间馈给试验电压，带保护接地端子为1.5kV，不带保护接地端子为3kV，漏电电流输出不小于5mA,试验电压保持1分钟，不出现飞狐击穿现象。</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AG1-4</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多功能充电器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#1、全金属外壳，表层喷漆，铝金属镶边，面板两边各有一对铝金属提拿把手。电源电压：AC220V 50Hz。功率：50W。充电电流：充可调内阻电池100mA±5%。蓄电池规格：6V4Ah、6V10Ah、6V15Ah可选。定时时间：充可调内阻电池1-99小时。外形尺寸：≥350mm×240mm×180mm。可适用于1-28只可调内阻电池的同时自动恒流充电。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AG1-4</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感应圈</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#1、电子开关式。直接使用220V、50Hz市电、消耗功率不大于120W；输出端放电火花距离为100mm；火花条数在两条以上；可连续工作15分钟；箱内装有一对（两根）放电针杆。 </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AG1-4</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演示直尺</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#1、木材制作，表面平整。最小分度值：1cm。外形尺寸：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1000mm×40mm×8mm，全尺刻度累计误差≤2mm，尺面平面度公差≤3mm，尺边直线度公差≤2mm，两面均涂白色漆，印黑色刻度线和红色数字。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AG1-4</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布卷尺</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#1、30m。布卷尺。外壳由ABS塑料制成，带摇手装置。具有抗冲击功能。采用全公制，纤维尺带不导电，不生锈，尺带黄色、</w:t>
            </w:r>
            <w:r>
              <w:rPr>
                <w:rFonts w:hint="eastAsia" w:ascii="宋体" w:hAnsi="宋体" w:cs="宋体"/>
                <w:i w:val="0"/>
                <w:iCs w:val="0"/>
                <w:color w:val="auto"/>
                <w:sz w:val="21"/>
                <w:szCs w:val="21"/>
                <w:highlight w:val="none"/>
                <w:u w:val="none"/>
                <w:lang w:val="en-US" w:eastAsia="zh-CN" w:bidi="ar"/>
              </w:rPr>
              <w:t xml:space="preserve">哑</w:t>
            </w:r>
            <w:r>
              <w:rPr>
                <w:rFonts w:hint="eastAsia" w:ascii="宋体" w:hAnsi="宋体" w:eastAsia="宋体" w:cs="宋体"/>
                <w:i w:val="0"/>
                <w:iCs w:val="0"/>
                <w:color w:val="auto"/>
                <w:sz w:val="21"/>
                <w:szCs w:val="21"/>
                <w:highlight w:val="none"/>
                <w:u w:val="none"/>
                <w:lang w:val="en-US" w:eastAsia="zh-CN" w:bidi="ar"/>
              </w:rPr>
              <w:t xml:space="preserve">光，尺带宽13mm。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AG1-4</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游标卡尺</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#1、测量范围: 0～150mm，分辨率:0.02mm，碳钢材质，表面做防锈处理，塑料盒装。</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AG1-4</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外径千分尺(螺旋测微器)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#1、测量范围: 0mm～25mm，分辨率: 0.01mm。尺架材质：铁铸件，尺架表面处理：喷塑，量面材质：硬质合金。</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38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AG1-4</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物理天平</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#1、杠杆式等臂双盘天平，有游码装置及水准器，砝码盒等。 最大载荷500g,标尺称量：0-1g，分度值20mg，不等臂偏差不大于60mg，全量变动性不大于20mg，横梁材料必须为铝合金制品，刀口、刀承材料为高碳钢或玛瑙，称盘直径不小于118mm，制动机构应保证横梁升降平稳。砝码盒为塑料制品，内装200g砝码2个、100g砝码1个、50g砝码1个、20g砝码2个、10g砝码1个、5g砝码1个、2g砝码2个、1g砝码1个及砝码镊一把，定位包装。</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AG1-4</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#1.最大称量500g，分度值0.5 g。秤量允许误差为±0.5d(分度值)。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砝码组合的总质量（包括标尺计量值）应不小于天平的最大秤量。冲压件表面应光洁平整，不应有毛刺、锋棱、裂纹。电镀件的镀层应色泽均匀，不应有露底和显见的麻点、水迹、擦伤等缺陷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油漆件表面应平整光滑，色泽均匀，不应有露底、起泡、挂漆、擦伤等缺陷。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AG1-4</w:t>
            </w:r>
            <w:r>
              <w:rPr>
                <w:rFonts w:hint="eastAsia" w:ascii="宋体" w:hAnsi="宋体" w:cs="宋体"/>
                <w:i w:val="0"/>
                <w:iCs w:val="0"/>
                <w:strike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#1、玻璃制。水银，0℃～200℃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支</w:t>
            </w:r>
            <w:r/>
          </w:p>
        </w:tc>
      </w:tr>
      <w:tr>
        <w:trPr>
          <w:trHeight w:val="109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AG1-</w:t>
            </w:r>
            <w:r>
              <w:rPr>
                <w:rFonts w:hint="eastAsia" w:ascii="宋体" w:hAnsi="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演示温度计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#1.温度测量教具，供中学教学演示实验用，可悬挂。面板规格：380mm×60mm×10mm；温度示值范围：-50℃～50℃和-50℉～120℉。示值允许误差:±1℃或±2℉； </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AG1-5</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双金属片温度计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塑料制。由温度刻度、湿度刻度、透明罩、2指针组成。产品为圆形指针式温度计，外径130mm。温度指示范围：-30℃～50℃，测量误差不大于5%。湿度指示范围：0-100%。指针转动灵活，无卡滞现象，刻度清晰，字迹清楚。</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AG1-52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红外线快速体温检测仪</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#1、产品采用红外传感器，非接触式，摄氏温度/华氏温度可选，具有自动关机省电功能，发烧报价功能。测量距离：3cm~5cm。测量范围：32~42.5℃（89.6~108.5℉）。显示分辨率：0.1℃。外形尺寸约149×77×43mm。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AG1-5</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寒暑表</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#1．由塑料材料镶嵌玻璃棒芯组成。采用摄氏（℃）和华氏（℉）塑料双刻度，面板标有：摄氏 -50℃～40℃，华氏-20℉～120℉；玻璃棒芯感温液，正面放大玻璃液读数。最小分度值：2℃；储藏条件：-30℃～60℃；外形尺寸：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200mm×52mm×10mm。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AG1-5</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#1.2.5N。由方形弹簧盒（带刻板）、弹簧、提环、挂钩、指针等组成。零点可调。盒体外形尺寸：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150mm×35mm×18mm。最小刻度：0.05N。金属表面防锈处理。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AG1-5</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圆筒测力计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#1、5N；外筒由透明塑料制成，外径21mm，长150mm；具有优良测量性能的耐疫劳弹簧、提环和塑料外筒等构成，全封闭结构。有N和g对应刻度，最小分度值为0.1N，最大分度值1N上标有数字。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AG1-5</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圆筒测力计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#1、1N；外筒由透明塑料制成，外径21mm，长150mm；具有优良测量性能的耐疫劳弹簧、提环和塑料外筒等构成，全封闭结构。有N和g对应刻度，最小分度值为0.05N，最大分度值0.2N上标有数字。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AG1-5</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圆盘测力计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#1、10N，圆盘指针式。产品由上滑杆、予力调正套、复零调节套、指针、示度盘、下予力调正套、下滑杆、后盖、联销轴、圆盘、垫板、支撑板等组成。表面直径约200mm，分度值1N。</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2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AG1-5</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演示测力计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#1、由弹簧、指针、刻度板、拉杆、悬挂装置、夹持柄等组成，刻度板为塑料制品，外形尺寸：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310mm×85mm×8mm，中间槽孔尺寸：272mm×25mm，刻度值为 0N～2N，最小分度值为0.1N、最大分度值为0.5N。右左侧刻度线一致。</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AG1-5</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#1、测量范围：G：-100uA~0~+100uA；DCA：0~200uA、0~0.5A、0~2.5A压降95mV；DCV：0~2.5V、0~10V；电压灵敏度2KΩ/V；精度：2.5级；防外磁场Ⅳ级；阻尼时间：不大于6秒；外形尺寸：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270mm×270mm×112mm。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160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AG1-</w:t>
            </w:r>
            <w:r>
              <w:rPr>
                <w:rFonts w:hint="eastAsia" w:ascii="宋体" w:hAnsi="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多用电表</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磁表头。测量范围：直流电流：0～5～50～500mA,10A；直流电压：0～0.25～0.5～10～50～250～500～1000V，交流电压：0～10～50～250～500～1000V；直流电阻：X1～X10K；温度测试：-10～150℃，电容：0.01～100000μf；电感：20～1000H；音频电平：-10～+22db。表笔1套。外型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165×113×52mm。重量：≥0.6kg。</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AG1-</w:t>
            </w:r>
            <w:r>
              <w:rPr>
                <w:rFonts w:hint="eastAsia" w:ascii="宋体" w:hAnsi="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投影电流表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#1、指示面板与水面平行，测量范围：（-0.2~0~0.6A）（-1~0~3A），测量精度：2.5级，阻尼时间：不大于4s，外形尺寸：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100mm×120mm×35mm，指针长度：45mm，最小分度值为0.02A、0.1A，对外界磁场的防御等级为Ⅲ级。</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124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AG1-6</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投影电压表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#1、指示面板与水面平行，测量范围：（-1~0~3V）(-5~0~15V)，测量精度：2.5级，阻尼时间：不大于4s，外形尺寸：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100mm×120mm×35mm，指针长度：45mm，最小分度值为0.5V、0.1V，对外界磁场的防御等级为Ⅲ级</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AG1-6</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投影检流计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#1、测量范围：±300μA，指示面板与水面平行，偏差5%，对外界磁场的防御等级为Ⅲ级，指针长度为45mm。透明外壳，尺寸：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100mm×120mm×35mm。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29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AG1-6</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教学示波器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#1、垂直系统频率响应：直流DC~5MHz≤3dB，交流10Hz~5MHz≤3dB；偏转因素：20mVp-p／格，误差±10%；输入电容：1M∥40PF；衰减倍率：1、10、100、1000，误差±10%；输入耐压：400V（DC+ACpk）；扫描系统扫描频率： 10Hz~100kHz，分</w:t>
            </w:r>
            <w:r>
              <w:rPr>
                <w:rFonts w:hint="eastAsia" w:ascii="宋体" w:hAnsi="宋体" w:cs="宋体"/>
                <w:i w:val="0"/>
                <w:iCs w:val="0"/>
                <w:color w:val="auto"/>
                <w:sz w:val="21"/>
                <w:szCs w:val="21"/>
                <w:highlight w:val="none"/>
                <w:u w:val="none"/>
                <w:lang w:val="en-US" w:eastAsia="zh-CN" w:bidi="ar"/>
              </w:rPr>
              <w:t xml:space="preserve">四档</w:t>
            </w:r>
            <w:r>
              <w:rPr>
                <w:rFonts w:hint="eastAsia" w:ascii="宋体" w:hAnsi="宋体" w:eastAsia="宋体" w:cs="宋体"/>
                <w:i w:val="0"/>
                <w:iCs w:val="0"/>
                <w:color w:val="auto"/>
                <w:sz w:val="21"/>
                <w:szCs w:val="21"/>
                <w:highlight w:val="none"/>
                <w:u w:val="none"/>
                <w:lang w:val="en-US" w:eastAsia="zh-CN" w:bidi="ar"/>
              </w:rPr>
              <w:t xml:space="preserve">；同步：内正、内负、外同步；水平系统频率响应：10Hz~500kHz≤3dB；偏转因素：100mVp-p／格；输入电容：1M∥60PF；波形：正弦波 50Hz；幅度：250mVp-p±10%；余辉：中；工作环境：温度0℃~+40℃；相对湿度：≤90%（40℃）。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AG1-6</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大屏幕示波器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显示部件：35cm黑白电视显像管，显示面积27cm×21cm，静电聚焦，电磁</w:t>
            </w:r>
            <w:r>
              <w:rPr>
                <w:rFonts w:hint="eastAsia" w:ascii="宋体" w:hAnsi="宋体" w:cs="宋体"/>
                <w:i w:val="0"/>
                <w:iCs w:val="0"/>
                <w:color w:val="auto"/>
                <w:sz w:val="21"/>
                <w:szCs w:val="21"/>
                <w:highlight w:val="none"/>
                <w:u w:val="none"/>
                <w:lang w:val="en-US" w:eastAsia="zh-CN" w:bidi="ar"/>
              </w:rPr>
              <w:t xml:space="preserve">偏转型式</w:t>
            </w:r>
            <w:r>
              <w:rPr>
                <w:rFonts w:hint="eastAsia" w:ascii="宋体" w:hAnsi="宋体" w:eastAsia="宋体" w:cs="宋体"/>
                <w:i w:val="0"/>
                <w:iCs w:val="0"/>
                <w:color w:val="auto"/>
                <w:sz w:val="21"/>
                <w:szCs w:val="21"/>
                <w:highlight w:val="none"/>
                <w:u w:val="none"/>
                <w:lang w:val="en-US" w:eastAsia="zh-CN" w:bidi="ar"/>
              </w:rPr>
              <w:t xml:space="preserve">。输入灵敏度：Y轴不劣于80mV/cm； X轴不劣于40mV/cm。频率响应范围：Y轴2Hz~5KHz； X轴2Hz~1KHz。X轴锯齿波扫描频率：200Hz、500Hz二档。机内信号：1KHz正弦波形，空载不小于1V，由面板接线柱直接引出。消耗功率：不大于38W 。重量：</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8.5</w:t>
            </w:r>
            <w:r>
              <w:rPr>
                <w:rFonts w:hint="eastAsia" w:ascii="宋体" w:hAnsi="宋体" w:cs="宋体"/>
                <w:i w:val="0"/>
                <w:iCs w:val="0"/>
                <w:color w:val="auto"/>
                <w:sz w:val="21"/>
                <w:szCs w:val="21"/>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AG1-6</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湿度计</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#1、双指针式、全塑料外壳，带座可悬挂。可测温度及湿度。直径约128mm。温度可测 -30°C~50°C，湿度可测 10%RH~90%RH。</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21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AG1-6</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空盒气压计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#1、多膜盒。产品由上拖板、真空膜盒、连接拉杆、调节螺丝、中间轴、调整器、扇形齿轮、直齿轮、偏心螺钉、游丝、指针、刻度盘及打气球等组成。测量范围：80～106Kpa，分度值：0.1Kpa，测量误差：小于0.25 Kpa。外形尺寸：直径150mm，高80mm。全透明外壳。</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AG1-6</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连通器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#1、产品由透明塑料注塑成型的连通管各插接式底座两部分组成。连通管有粗直管一根、弯直管一根、三球管一根、细直管一根，它们上端开口不连通，下部连通的容器。产品外形尺寸：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250mm×125mm×215mm。粗直管孔径为29mm、细直管孔径为9.7mm。底座为双边插接式，结构稳定可靠。</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2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AG1-6</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帕斯卡球</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#1、产品主要由圆管、空心球、活塞、活塞杆、手柄组成。圆管选用金属无缝钢管，有效尺寸不小于直径28×180mm,一端应有连接空白球的螺纹，另一端有拧盖螺纹、螺纹连接部分应牢靠、表面防锈处理。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、空心球用不锈钢制作，直径不小于80mm.圆球上装有10个不同方向的喷嘴，喷嘴连接牢固、密封。圆球与圆管连接方便。无漏水现象。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、活塞选用耐油优质橡胶制作、规格尺寸与圆管内径密封配合，活塞安装在活塞杆上。活塞另一端安装塑料手柄。组装后的帕斯卡球应抽动自如，密封性良好。 钢材表面采用防锈处理加环保油漆涂层精制而成。</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AG1-</w:t>
            </w:r>
            <w:r>
              <w:rPr>
                <w:rFonts w:hint="eastAsia" w:ascii="宋体" w:hAnsi="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浮力原理演示器</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大水槽1个，用透明材料制成，表面0～300刻度，规格不小于Φ110×300（mm）,在大水槽的底部分隔一个小水槽，规格不小于Φ70×90（mm）。排气管1个在小水槽上方边缘的位置、进气口在小水槽的中心位置。附配重物5个，直径49mm、高17mm。附浮胶管1根。</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4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AG1-</w:t>
            </w:r>
            <w:r>
              <w:rPr>
                <w:rFonts w:hint="eastAsia" w:ascii="宋体" w:hAnsi="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物体浮沉条件演示器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透明盛液筒、浮筒、配重体、导引磁铁、铁丝条组成。盛液筒用无毒、透明塑料制成，高300mmn、内径108mm，筒壁应有刻度标志，盛液筒底面平稳。浮筒为圆柱形状、空心，外径96mm，内径60mm，高98mm。配重体为直径85mm的铁丝绕制，铁丝直径2mm，表面防锈。</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AG1-7</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潜水艇浮沉演示器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产品由透明球体、配重块、吸排气筒等组成。透明球体直径≥70mm。吸排气筒容量：0～20ml。透明塑胶管长度≥20cm.各处配合无漏气现象。</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AG1-7</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液体对器壁压强演示器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#1、流体力学仪器，演示液体对器壁压强的实验。由圆柱形透明玻璃圆管，胶膜以及橡胶绳组成，圆管侧面另与两个凸出玻璃圆管连通。直管直径约30mm，长200mm；侧管直径约17mm，长25mm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AG1-7</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气体浮力演示器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#1、基本结构：由大球Φ15cm、大气球 、 塑料网、50g×10 钩码1个、球针、杠杆尺、支架、底座等组成。底座尺寸不小于200mm×60mm×10mm。   </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AG1-7</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马德堡半球</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#1、铸铁制成半球（圆盘）的合口处边表面粗糙度最大允许值为3.2um，当半球（圆盘）的内外压强差为0.0677Mpa(500mmHg)，经30分钟后，其压强不低于0.064MPa（480mmHg），内外压差用准确度不低于1.5级真空表测量。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#2、半球（圆盘）外径不小于Φ105mm，</w:t>
            </w:r>
            <w:r>
              <w:rPr>
                <w:rFonts w:hint="eastAsia" w:ascii="宋体" w:hAnsi="宋体" w:cs="宋体"/>
                <w:i w:val="0"/>
                <w:iCs w:val="0"/>
                <w:color w:val="auto"/>
                <w:sz w:val="21"/>
                <w:szCs w:val="21"/>
                <w:highlight w:val="none"/>
                <w:u w:val="none"/>
                <w:lang w:val="en-US" w:eastAsia="zh-CN" w:bidi="ar"/>
              </w:rPr>
              <w:t xml:space="preserve">内径</w:t>
            </w:r>
            <w:r>
              <w:rPr>
                <w:rFonts w:hint="eastAsia" w:ascii="宋体" w:hAnsi="宋体" w:eastAsia="宋体" w:cs="宋体"/>
                <w:i w:val="0"/>
                <w:iCs w:val="0"/>
                <w:color w:val="auto"/>
                <w:sz w:val="21"/>
                <w:szCs w:val="21"/>
                <w:highlight w:val="none"/>
                <w:u w:val="none"/>
                <w:lang w:val="en-US" w:eastAsia="zh-CN" w:bidi="ar"/>
              </w:rPr>
              <w:t xml:space="preserve">不小于Φ75mm。半球（圆盘）为铸铁、拉环为铁件，须进行时效处理，消除内应力，防止变形。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、旋塞和抽气管咀由黄铜制成。外径Φ8mm，旋塞一端装有与通气孔方向一致的旋片，旋塞应松紧适宜、转动灵活。产品外表面喷漆、平整、光滑、无毛刺。两半球（圆盘）的合口处和旋塞应进行成组匝配。</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AG1-7</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大气压系列实验器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#1、由透明杯，橡胶套圈，胶塞，方格盖板，带嘴盖板，多孔球盖，小气球，弹簧夹和乳胶管等组成。透明杯：由聚苯之类的透明材料制成，高约96mm。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橡胶套圈：可环套在杯口上，下抵杯的环肩，上部与盖板配合，实现对杯口的严紧密封。胶塞：可堵塞在杯底的气咀内，实现杯的密封。方格盖板：由聚苯之类的透明材料制成，Φ80mm，厚约3mm。带嘴盖板：由聚苯之类的透明材料制成，Φ80mm，厚约3mm。</w:t>
            </w:r>
            <w:r>
              <w:rPr>
                <w:rFonts w:hint="eastAsia" w:ascii="宋体" w:hAnsi="宋体" w:cs="宋体"/>
                <w:i w:val="0"/>
                <w:iCs w:val="0"/>
                <w:color w:val="auto"/>
                <w:sz w:val="21"/>
                <w:szCs w:val="21"/>
                <w:highlight w:val="none"/>
                <w:u w:val="none"/>
                <w:lang w:val="en-US" w:eastAsia="zh-CN" w:bidi="ar"/>
              </w:rPr>
              <w:t xml:space="preserve">多孔</w:t>
            </w:r>
            <w:r>
              <w:rPr>
                <w:rFonts w:hint="eastAsia" w:ascii="宋体" w:hAnsi="宋体" w:eastAsia="宋体" w:cs="宋体"/>
                <w:i w:val="0"/>
                <w:iCs w:val="0"/>
                <w:color w:val="auto"/>
                <w:sz w:val="21"/>
                <w:szCs w:val="21"/>
                <w:highlight w:val="none"/>
                <w:u w:val="none"/>
                <w:lang w:val="en-US" w:eastAsia="zh-CN" w:bidi="ar"/>
              </w:rPr>
              <w:t xml:space="preserve">盖板外径约65mm。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AG1-</w:t>
            </w:r>
            <w:r>
              <w:rPr>
                <w:rFonts w:hint="eastAsia" w:ascii="宋体" w:hAnsi="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压力和压强演示器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#1、由压强小桌、海绵块组成。压强小桌应采用ABS塑料注塑成型，表面光滑平整，桌面尺寸不小于130×80mm。小桌腿上粗下细，总长45mm。海绵块尺寸不小于130×70×30mm。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AG1-7</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流体流速与压强关系演示器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#1、由快慢流速管(1支)、 U形管(2个) 、滴管 (1支) 、 示教板、乳胶管、底座组成。示教板为铁制，表面烤白漆，规格：440mm×280mm。底座为铁制，表面烤黑漆，规格（长×宽×高）：440mm×120mm×18mm。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AG1-7</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演示滑轮组</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演示滑轮组的组成及规格如下：单滑轮2只。外径53mm。三并滑轮2组，外径53mm。三串滑轮2组，外径53、40、30mm。滑轮框架结构均为封闭式，采用ABS塑料制成。滑轮挂钩由金属制成，使用时将挂钩置于滑轮的挂钩孔位内即可。</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19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AG1-</w:t>
            </w:r>
            <w:r>
              <w:rPr>
                <w:rFonts w:hint="eastAsia" w:ascii="宋体" w:hAnsi="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滚摆</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滚摆摆体（摆轮和摆轴）、悬线、支柱、横梁和底座组成。摆轮Φ115mm。摆轴Φ8mm，长160mm，轴上两个穿线孔距离140mm，穿线孔径Φ1.5mm。支柱高350mm，横梁长240mm。摆轴对摆轮的垂直度公差为0.5mm。摆轴应粗细均匀。轴上二穿线孔对于摆轮的对称公差0.5mm。摆体重心偏移轴线公差为0.5mm。摆轴镀铬。底座应稳固，表面涂漆，支柱表面应作防锈处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AG1-</w:t>
            </w:r>
            <w:r>
              <w:rPr>
                <w:rFonts w:hint="eastAsia" w:ascii="宋体" w:hAnsi="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离心轨道</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底座、环形轨道、接球槽和高度调节器组成。底座塑料制成，长：300mm，宽：125mm。环形轨道采用宽20mm,厚9mm铝槽弯制而成，中心圆环的外径约140mm。接球槽为塑料制成，钢球Φ22mm。高度调节器为塑料制成，可在长轨上调节移动，长轨长约400mm,短轨长约120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AG1-8</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初中力学演示板</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#1、组合教具，全部教具组装于纸箱内。仪器由实验底板、大三角支板、紧固销、塑料吊杯、支撑杆、平直导轨、双向测力计等组成。完成初中物理力学“重力的方向和</w:t>
            </w:r>
            <w:r>
              <w:rPr>
                <w:rFonts w:hint="eastAsia" w:ascii="宋体" w:hAnsi="宋体" w:cs="宋体"/>
                <w:i w:val="0"/>
                <w:iCs w:val="0"/>
                <w:color w:val="auto"/>
                <w:sz w:val="21"/>
                <w:szCs w:val="21"/>
                <w:highlight w:val="none"/>
                <w:u w:val="none"/>
                <w:lang w:val="en-US" w:eastAsia="zh-CN" w:bidi="ar"/>
              </w:rPr>
              <w:t xml:space="preserve">重垂线</w:t>
            </w:r>
            <w:r>
              <w:rPr>
                <w:rFonts w:hint="eastAsia" w:ascii="宋体" w:hAnsi="宋体" w:eastAsia="宋体" w:cs="宋体"/>
                <w:i w:val="0"/>
                <w:iCs w:val="0"/>
                <w:color w:val="auto"/>
                <w:sz w:val="21"/>
                <w:szCs w:val="21"/>
                <w:highlight w:val="none"/>
                <w:u w:val="none"/>
                <w:lang w:val="en-US" w:eastAsia="zh-CN" w:bidi="ar"/>
              </w:rPr>
              <w:t xml:space="preserve">”、“用弹簧称测力”、“弹簧的伸长跟所受的拉力成正比”、“二力平衡的条件”、“物体的惯性”、“摩擦”、“杠杆的作用和平衡条件”、“轮轴的作用和平衡条件”、“定滑轮、动画轮和滑轮组的作用”、“功的原理”、“斜面”、“机械效率”等不少于22个实验。</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AG1-8</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飞机升力原理演示器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机翼模型、滑杆、底座、风扇等组成。机翼采用轻质材料制成，其形状仿飞机模形。风扇部分电源开关、调节器，外壳采用塑料，有良好的绝缘性，底座由优质胶合板制成。底座尺寸不小于520mm×150mm×12mm，电源：AC220V</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4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AG1-8</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手摇离心转台</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#1、产品由机座、主动轮（附摇手）和从动轮等组成。外形尺寸：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478mm×238mm×113mm。机座材料为铸铁，平放、立放均平稳可靠。主动轮直径为240mm,从动轮直径为39mm。主动轮和从动轮转动灵活、平稳，转动时皮带</w:t>
            </w:r>
            <w:r>
              <w:rPr>
                <w:rFonts w:hint="eastAsia" w:ascii="宋体" w:hAnsi="宋体" w:cs="宋体"/>
                <w:i w:val="0"/>
                <w:iCs w:val="0"/>
                <w:color w:val="auto"/>
                <w:sz w:val="21"/>
                <w:szCs w:val="21"/>
                <w:highlight w:val="none"/>
                <w:u w:val="none"/>
                <w:lang w:val="en-US" w:eastAsia="zh-CN" w:bidi="ar"/>
              </w:rPr>
              <w:t xml:space="preserve">不会</w:t>
            </w:r>
            <w:r>
              <w:rPr>
                <w:rFonts w:hint="eastAsia" w:ascii="宋体" w:hAnsi="宋体" w:eastAsia="宋体" w:cs="宋体"/>
                <w:i w:val="0"/>
                <w:iCs w:val="0"/>
                <w:color w:val="auto"/>
                <w:sz w:val="21"/>
                <w:szCs w:val="21"/>
                <w:highlight w:val="none"/>
                <w:u w:val="none"/>
                <w:lang w:val="en-US" w:eastAsia="zh-CN" w:bidi="ar"/>
              </w:rPr>
              <w:t xml:space="preserve">脱落。各部件作防锈处理。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AG1-8</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纵波演示器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中学物理演示纵波的传播、反射等；仪器采用塑料支架悬挂弹簧形式，全长不小于100cm、Φ60mm螺旋弹簧自由悬挂在支架上，振源金属可上下调节，整套仪器包括机架1个（螺旋弹簧1支、振源2只）；连接杆15个；反光白布1块；可拆卸后装入40×35×15cm的纸箱内。</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8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AG1-8</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声传播演示器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#1、演示器由演示板、信号发生器、放大</w:t>
            </w:r>
            <w:r>
              <w:rPr>
                <w:rFonts w:hint="eastAsia" w:ascii="宋体" w:hAnsi="宋体" w:cs="宋体"/>
                <w:i w:val="0"/>
                <w:iCs w:val="0"/>
                <w:color w:val="auto"/>
                <w:sz w:val="21"/>
                <w:szCs w:val="21"/>
                <w:highlight w:val="none"/>
                <w:u w:val="none"/>
                <w:lang w:val="en-US" w:eastAsia="zh-CN" w:bidi="ar"/>
              </w:rPr>
              <w:t xml:space="preserve">扬声器</w:t>
            </w:r>
            <w:r>
              <w:rPr>
                <w:rFonts w:hint="eastAsia" w:ascii="宋体" w:hAnsi="宋体" w:eastAsia="宋体" w:cs="宋体"/>
                <w:i w:val="0"/>
                <w:iCs w:val="0"/>
                <w:color w:val="auto"/>
                <w:sz w:val="21"/>
                <w:szCs w:val="21"/>
                <w:highlight w:val="none"/>
                <w:u w:val="none"/>
                <w:lang w:val="en-US" w:eastAsia="zh-CN" w:bidi="ar"/>
              </w:rPr>
              <w:t xml:space="preserve">、传声棒、</w:t>
            </w:r>
            <w:r>
              <w:rPr>
                <w:rFonts w:hint="eastAsia" w:ascii="宋体" w:hAnsi="宋体" w:cs="宋体"/>
                <w:i w:val="0"/>
                <w:iCs w:val="0"/>
                <w:color w:val="auto"/>
                <w:sz w:val="21"/>
                <w:szCs w:val="21"/>
                <w:highlight w:val="none"/>
                <w:u w:val="none"/>
                <w:lang w:val="en-US" w:eastAsia="zh-CN" w:bidi="ar"/>
              </w:rPr>
              <w:t xml:space="preserve">音量</w:t>
            </w:r>
            <w:r>
              <w:rPr>
                <w:rFonts w:hint="eastAsia" w:ascii="宋体" w:hAnsi="宋体" w:eastAsia="宋体" w:cs="宋体"/>
                <w:i w:val="0"/>
                <w:iCs w:val="0"/>
                <w:color w:val="auto"/>
                <w:sz w:val="21"/>
                <w:szCs w:val="21"/>
                <w:highlight w:val="none"/>
                <w:u w:val="none"/>
                <w:lang w:val="en-US" w:eastAsia="zh-CN" w:bidi="ar"/>
              </w:rPr>
              <w:t xml:space="preserve">调节器等组成。演示板采用塑料注塑成型，外形尺寸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为355mm×255mm×22mm，外包脚尺寸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为115mm×20mm×70mm。透明圆筒尺寸为直径45mm，长190mm，壁厚不小于3mm。</w:t>
            </w:r>
            <w:r>
              <w:rPr>
                <w:rFonts w:hint="eastAsia" w:ascii="宋体" w:hAnsi="宋体" w:cs="宋体"/>
                <w:i w:val="0"/>
                <w:iCs w:val="0"/>
                <w:color w:val="auto"/>
                <w:sz w:val="21"/>
                <w:szCs w:val="21"/>
                <w:highlight w:val="none"/>
                <w:u w:val="none"/>
                <w:lang w:val="en-US" w:eastAsia="zh-CN" w:bidi="ar"/>
              </w:rPr>
              <w:t xml:space="preserve">扬声器</w:t>
            </w:r>
            <w:r>
              <w:rPr>
                <w:rFonts w:hint="eastAsia" w:ascii="宋体" w:hAnsi="宋体" w:eastAsia="宋体" w:cs="宋体"/>
                <w:i w:val="0"/>
                <w:iCs w:val="0"/>
                <w:color w:val="auto"/>
                <w:sz w:val="21"/>
                <w:szCs w:val="21"/>
                <w:highlight w:val="none"/>
                <w:u w:val="none"/>
                <w:lang w:val="en-US" w:eastAsia="zh-CN" w:bidi="ar"/>
              </w:rPr>
              <w:t xml:space="preserve">可发出不小于50分贝。能演示空气传播、固体传播、液体传播及真空传播</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演示效果。</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AG1-8</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超声应用演示器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#1、超声应用演示器可进行超声波测距、报警、水位控制、倒车报警等控制实验的演示器。主要参数：电源电压：220V  50Hz，工作频率：40kHz，显示距离：0.2－2.5m，消耗功率：小于3W，外形尺寸：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210mm×200mm×75mm，重量：0.5</w:t>
            </w:r>
            <w:r>
              <w:rPr>
                <w:rFonts w:hint="eastAsia" w:ascii="宋体" w:hAnsi="宋体" w:cs="宋体"/>
                <w:i w:val="0"/>
                <w:iCs w:val="0"/>
                <w:color w:val="auto"/>
                <w:sz w:val="21"/>
                <w:szCs w:val="21"/>
                <w:highlight w:val="none"/>
                <w:u w:val="none"/>
                <w:lang w:val="en-US" w:eastAsia="zh-CN" w:bidi="ar"/>
              </w:rPr>
              <w:t xml:space="preserve">kg</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AG1-8</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声速测量仪</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#1、由一台主机、两个专用传感器带支架底座、自行车铃及连接导线组成。声源频率：5kHz；传感器间距：3-4m；测量精度：5%；工作电压：DC9V。</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AG1-8</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内聚力演示器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#1、由两个中空镶铅圆柱体、刮削器组成。铅柱分为红、蓝各1，每支上有挂钩，外形尺寸不小于：Φ20mm，长50mm。刮削器外壳为塑料，塑料筒内置刀片。</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8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AG1-</w:t>
            </w:r>
            <w:r>
              <w:rPr>
                <w:rFonts w:hint="eastAsia" w:ascii="宋体" w:hAnsi="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演示原副线圈</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演示原副线圈由演示原线圈、演示</w:t>
            </w:r>
            <w:r>
              <w:rPr>
                <w:rFonts w:hint="eastAsia" w:ascii="宋体" w:hAnsi="宋体" w:cs="宋体"/>
                <w:i w:val="0"/>
                <w:iCs w:val="0"/>
                <w:color w:val="auto"/>
                <w:sz w:val="21"/>
                <w:szCs w:val="21"/>
                <w:highlight w:val="none"/>
                <w:u w:val="none"/>
                <w:lang w:val="en-US" w:eastAsia="zh-CN" w:bidi="ar"/>
              </w:rPr>
              <w:t xml:space="preserve">副线圈</w:t>
            </w:r>
            <w:r>
              <w:rPr>
                <w:rFonts w:hint="eastAsia" w:ascii="宋体" w:hAnsi="宋体" w:eastAsia="宋体" w:cs="宋体"/>
                <w:i w:val="0"/>
                <w:iCs w:val="0"/>
                <w:color w:val="auto"/>
                <w:sz w:val="21"/>
                <w:szCs w:val="21"/>
                <w:highlight w:val="none"/>
                <w:u w:val="none"/>
                <w:lang w:val="en-US" w:eastAsia="zh-CN" w:bidi="ar"/>
              </w:rPr>
              <w:t xml:space="preserve">、铁芯三部分组成。原线圈：内径13±0.5mm，外径22±1mm，直径0.59漆包线平绕，绕线长度63mm。副线圈：内径35±1mm，外径49±1mm，直径0.27漆包线平绕，绕线长度67mm。铁芯：Φ 12mm；长度80mm。外形尺寸：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66mm×66mm×110mm。线圈骨架用黑色塑料制成，表面光洁，</w:t>
            </w:r>
            <w:r>
              <w:rPr>
                <w:rFonts w:hint="eastAsia" w:ascii="宋体" w:hAnsi="宋体" w:cs="宋体"/>
                <w:i w:val="0"/>
                <w:iCs w:val="0"/>
                <w:color w:val="auto"/>
                <w:sz w:val="21"/>
                <w:szCs w:val="21"/>
                <w:highlight w:val="none"/>
                <w:u w:val="none"/>
                <w:lang w:val="en-US" w:eastAsia="zh-CN" w:bidi="ar"/>
              </w:rPr>
              <w:t xml:space="preserve">副线圈</w:t>
            </w:r>
            <w:r>
              <w:rPr>
                <w:rFonts w:hint="eastAsia" w:ascii="宋体" w:hAnsi="宋体" w:eastAsia="宋体" w:cs="宋体"/>
                <w:i w:val="0"/>
                <w:iCs w:val="0"/>
                <w:color w:val="auto"/>
                <w:sz w:val="21"/>
                <w:szCs w:val="21"/>
                <w:highlight w:val="none"/>
                <w:u w:val="none"/>
                <w:lang w:val="en-US" w:eastAsia="zh-CN" w:bidi="ar"/>
              </w:rPr>
              <w:t xml:space="preserve">底座平整，直立于平面时不应晃动。</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AG1-</w:t>
            </w:r>
            <w:r>
              <w:rPr>
                <w:rFonts w:hint="eastAsia" w:ascii="宋体" w:hAnsi="宋体" w:cs="宋体"/>
                <w:i w:val="0"/>
                <w:iCs w:val="0"/>
                <w:color w:val="auto"/>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蹄形电磁铁</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#1、产品由U型铁芯、两个线圈和衔铁组成。铁芯直径11.5mm，两端中心距45mm，高110mm，带挂钩。线圈绕线长度44mm，有绕向标志。衔铁厚度2mm，带挂钩。</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157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AG1-9</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左右手定则演示器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#1.左右手定则演示器由塑料底座、两根金属电镀撑杆、塑料接线板、方形线圈组成。底座采用优质塑料，规格（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179mm×120mm×14mm）。接线板尺寸：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150mm×10mm×4mm，上有红黑接线柱。撑杆直径6mm，总长400mm，表面电镀。方形线圈内径62mm，宽10mm，带导线。</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AG1-9</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手摇交直流发电机</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#1.电学仪器，供中学物理演示交直流发电机的结构和工作原理使用，可兼作小功率电源；结构：由定子、转子，电刷、转动机构、集流环（或换向器）、小灯座，底板等组成。底板采用</w:t>
            </w:r>
            <w:r>
              <w:rPr>
                <w:rFonts w:hint="eastAsia" w:ascii="宋体" w:hAnsi="宋体" w:cs="宋体"/>
                <w:i w:val="0"/>
                <w:iCs w:val="0"/>
                <w:color w:val="auto"/>
                <w:sz w:val="21"/>
                <w:szCs w:val="21"/>
                <w:highlight w:val="none"/>
                <w:u w:val="none"/>
                <w:lang w:val="en-US" w:eastAsia="zh-CN" w:bidi="ar"/>
              </w:rPr>
              <w:t xml:space="preserve">木质</w:t>
            </w:r>
            <w:r>
              <w:rPr>
                <w:rFonts w:hint="eastAsia" w:ascii="宋体" w:hAnsi="宋体" w:eastAsia="宋体" w:cs="宋体"/>
                <w:i w:val="0"/>
                <w:iCs w:val="0"/>
                <w:color w:val="auto"/>
                <w:sz w:val="21"/>
                <w:szCs w:val="21"/>
                <w:highlight w:val="none"/>
                <w:u w:val="none"/>
                <w:lang w:val="en-US" w:eastAsia="zh-CN" w:bidi="ar"/>
              </w:rPr>
              <w:t xml:space="preserve">，尺寸：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290mm×200mm×15mm。空载电压不小于8V，负载电压不小于4V。</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6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AG1-9</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能的转化演示器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仪器可进行机械能、电能、化学能、热能、光能、声能、风能的转化演示。产品由一块主示教板和五块小示教板组成。主示教板是一只直流永磁式电机、皮带传动机构、电路图、电池盒（1号两节）、输出接线柱构成，演示板尺寸不小于300mm×200mm。小示教板由风扇示教板、音乐（声能）示教板、热能光能示教板、磁能示教板、太阳能电池板组成。</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AG1-9</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轴承模型</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#1、模型为滚动轴承,仿滚动轴承全塑料制，可拆卸。轴承外径105mm，内孔51mm，厚23mm。外圈外圆中心剖，滚珠8个。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26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AG1-9</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抽水机模型</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吸取式抽水机模型由支架、缸筒、活塞、活塞环（密封圈）、连杆、进水阀、出水阀、进水管、出水嘴、缸盖、立柱、压杆、手柄和水槽组成。立柱、缸盖、压杆采用金属制成，表面防锈处理。缸筒、进水阀、出水阀、出水管用透明塑料制成，缸筒壁厚≥4mm，缸筒</w:t>
            </w:r>
            <w:r>
              <w:rPr>
                <w:rFonts w:hint="eastAsia" w:ascii="宋体" w:hAnsi="宋体" w:cs="宋体"/>
                <w:i w:val="0"/>
                <w:iCs w:val="0"/>
                <w:color w:val="auto"/>
                <w:sz w:val="21"/>
                <w:szCs w:val="21"/>
                <w:highlight w:val="none"/>
                <w:u w:val="none"/>
                <w:lang w:val="en-US" w:eastAsia="zh-CN" w:bidi="ar"/>
              </w:rPr>
              <w:t xml:space="preserve">外径</w:t>
            </w:r>
            <w:r>
              <w:rPr>
                <w:rFonts w:hint="eastAsia" w:ascii="宋体" w:hAnsi="宋体" w:eastAsia="宋体" w:cs="宋体"/>
                <w:i w:val="0"/>
                <w:iCs w:val="0"/>
                <w:color w:val="auto"/>
                <w:sz w:val="21"/>
                <w:szCs w:val="21"/>
                <w:highlight w:val="none"/>
                <w:u w:val="none"/>
                <w:lang w:val="en-US" w:eastAsia="zh-CN" w:bidi="ar"/>
              </w:rPr>
              <w:t xml:space="preserve">≥60mm。安装稳固，密封；结构原理直观，实验效果明显。</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AG1-9</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离心水泵模型</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仪器为齿轮式，由泵体、叶轮、机轴、吸水口、出水口、排水口、手轮、齿轮、手柄组成。扬水和吸水高度均不小于0.6米。泵体表面经防锈处理，泵体轴孔应密封不漏水。叶轮应该转动灵活，无跳动卡滞现象。泵轴转速可达900转/分，叶轮Φ100mm，扬程 1m。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5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AG1-9</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液压机模型</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#1.产品由大缸体、小缸体、角式截气阀、底座、压力表和压力弹簧等构成。大小活塞为透明材料，外径分别为57mm、22mm。底座为塑料注塑成型，外形尺寸：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230mm*130mm*50mm，中心部位为油箱。压力表示值：最大值为2.5Mpa。整体高度：</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280mm。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AG1-9</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水轮机模型</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水槽、导水槽、套管、传动轴、传动轮、叶轮、橡皮塞、支脚等组成。水槽为透明塑料注塑成型，为台阶式，外径分别为：41mm、103mm、138mm，总高125mm。传动轮直径100mm。支脚塑料制，直径7.5mm，带弧形，长120mm。各部件比例适当，位置正确，连接牢固，工作稳定可靠。叶轮转动灵活，无跳动卡滞现象。</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2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AG1-</w:t>
            </w:r>
            <w:r>
              <w:rPr>
                <w:rFonts w:hint="eastAsia" w:ascii="宋体" w:hAnsi="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汽油机模型</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#1、产品由塑料制成，高度</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300mm。由进气管、进气阀、排气管、排气阀、气缸、活塞、连杆、曲轴、火花塞、齿轮组、主动轮、挺杆等组成，外壳剖开，能看清内部结构。模型各部件比例适当，位置正确，</w:t>
            </w:r>
            <w:r>
              <w:rPr>
                <w:rFonts w:hint="eastAsia" w:ascii="宋体" w:hAnsi="宋体" w:cs="宋体"/>
                <w:i w:val="0"/>
                <w:iCs w:val="0"/>
                <w:color w:val="auto"/>
                <w:sz w:val="21"/>
                <w:szCs w:val="21"/>
                <w:highlight w:val="none"/>
                <w:u w:val="none"/>
                <w:lang w:val="en-US" w:eastAsia="zh-CN" w:bidi="ar"/>
              </w:rPr>
              <w:t xml:space="preserve">连接</w:t>
            </w:r>
            <w:r>
              <w:rPr>
                <w:rFonts w:hint="eastAsia" w:ascii="宋体" w:hAnsi="宋体" w:eastAsia="宋体" w:cs="宋体"/>
                <w:i w:val="0"/>
                <w:iCs w:val="0"/>
                <w:color w:val="auto"/>
                <w:sz w:val="21"/>
                <w:szCs w:val="21"/>
                <w:highlight w:val="none"/>
                <w:u w:val="none"/>
                <w:lang w:val="en-US" w:eastAsia="zh-CN" w:bidi="ar"/>
              </w:rPr>
              <w:t xml:space="preserve">牢固，工作可靠，原理正确。模型能直观地演示出吸气过程、压缩过程、做功过程及排气过程，在做功冲程时活塞到达上止点时，演示火花点火的灯泡应发光，点火完成后灯熄灭。底座尺寸：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165mm×105mm×22mm。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AG1-</w:t>
            </w:r>
            <w:r>
              <w:rPr>
                <w:rFonts w:hint="eastAsia" w:ascii="宋体" w:hAnsi="宋体" w:cs="宋体"/>
                <w:i w:val="0"/>
                <w:iCs w:val="0"/>
                <w:color w:val="auto"/>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柴油机模型</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#1、塑料制成，高度</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300mm。由进气管、进气阀、排气管、排气阀、气缸、活塞、连杆、曲轴、喷油嘴、油针、齿轮、凸轮总成、手柄齿轮、介轮、挺杆等组成，外壳剖开，能看清内部结构。各部件比例适当，位置正确，</w:t>
            </w:r>
            <w:r>
              <w:rPr>
                <w:rFonts w:hint="eastAsia" w:ascii="宋体" w:hAnsi="宋体" w:cs="宋体"/>
                <w:i w:val="0"/>
                <w:iCs w:val="0"/>
                <w:color w:val="auto"/>
                <w:sz w:val="21"/>
                <w:szCs w:val="21"/>
                <w:highlight w:val="none"/>
                <w:u w:val="none"/>
                <w:lang w:val="en-US" w:eastAsia="zh-CN" w:bidi="ar"/>
              </w:rPr>
              <w:t xml:space="preserve">连接</w:t>
            </w:r>
            <w:r>
              <w:rPr>
                <w:rFonts w:hint="eastAsia" w:ascii="宋体" w:hAnsi="宋体" w:eastAsia="宋体" w:cs="宋体"/>
                <w:i w:val="0"/>
                <w:iCs w:val="0"/>
                <w:color w:val="auto"/>
                <w:sz w:val="21"/>
                <w:szCs w:val="21"/>
                <w:highlight w:val="none"/>
                <w:u w:val="none"/>
                <w:lang w:val="en-US" w:eastAsia="zh-CN" w:bidi="ar"/>
              </w:rPr>
              <w:t xml:space="preserve">牢固，工作可靠，原理正确。模型能直观地演示出吸气过程、压缩过程、做功过程及排气过程，在做功冲程时，油针应开启。底座尺寸：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165mm×105mm×22mm。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AG1-10</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磁分子模型</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#1、外型长方体，全透明塑料盒，下底安插二十四枚小钢针，排列成四行，每行六枚，钢针安放二十四枚小磁针。外形尺寸：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150mm×100mm×19mm。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6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AG1-10</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电机模型</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#1.立式结构,即转子的转轴为竖直方向。产品由集流环、电刷、电刷架、接线柱、U型支架、电枢、摇手、转轴、指示灯、开关、磁铁、上盖板、电路板等组成。起动电压4V。U型支架为塑料制，外尺寸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197mm×72mm×205mm。整体高度：</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280mm。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AG1-10</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电话原理模型</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#1、由示教板式、送话器、受话器及指示灯等组成。板面上印有电路及声波、振动波示意图，图形清晰醒目。工作额定电压：DC6～8V。板面尺寸：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420mm×300mm。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92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学生分组实验仪器</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15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AG2-01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#1．由铁环和3只脚组成。铁环内径：73mm ，外径：90mm，厚度4mm。三只脚与铁环焊接紧固，脚距相等，立放台上时圆环应与台面平行，所支承的容器不得有滑动。脚高：155mm，直径6mm。三脚架须经烤漆防锈处理，漆层均匀、牢固。</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AG2-02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泥三角</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#1、由3个空心瓷棒、3根铁线串接组成，呈三角形。瓷棒外径不小于6mm。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4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AG2-03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方座支架</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#1.产品由铸铁矩形底座、立杆、烧瓶夹、大小铁环、垂直夹（2只）、平行夹组成。底座重约0.98kg，尺寸：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210×135mm；立杆直径约Φ12mm，一端有M10×18mm螺纹；烧杯夹为铁制，夹杆尺寸：Φ7*85mm；底座、烧杯夹和立杆表面作防锈处理。铁环材料直径约6mm，大环内径约98mm，柄长105mm；小环内径约58mm，柄长125mm。垂直和平行夹为铸铝制。</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AG2-04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碘升华凝华管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玻璃密封管体和手柄组成，管体和手柄彼此独立，不连通。管的高度≥45mm，直径≥30mm。管内密封碘的质量≥0.1克。手柄长≥70mm，直径为Φ6±1mm。管体外形端正，玻璃熔接平滑均匀，无气泡、无条纹。管体在90℃热水中检测无泄漏（无气泡溢出）。管体应耐80℃温差的急冷骤热。升华与凝华的全过程耗时应≤2分钟。</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AG2-05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#1．输出电压：1.5V－9V直流稳压输出，每1.5V一档共六档。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#2.额定电流：1.5A。空载电压偏调：±（1％U标＋0.1V）。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#3.电压稳定性：输入电压在198V－242V间变化，在满载时各档输出电压变化量不大于0.1V。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#4.负载稳定性：输入电压保持220V不变，负载电流在0至满载范围内变化，各档输出电压变化量不大于1％U标＋0.1V。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#5.纹波电压：电源电压保持220V，满载时各档纹波电压不大于3mv（有效值）。过载保护：当输出电流在额定输出电流值的1.05－1.5倍间自动关断输出。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.短路保护：当输出电路短路时，仪器自动关断电压输出。工作电压：220V 50Hz。机箱采用全塑料注塑成型，外形尺寸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：190mm×160mm×95mm。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6"/>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AG2-06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教学电源</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#1.输出电压：交流输出：2V－12V，每2V</w:t>
            </w:r>
            <w:r>
              <w:rPr>
                <w:rFonts w:hint="eastAsia" w:ascii="宋体" w:hAnsi="宋体" w:cs="宋体"/>
                <w:i w:val="0"/>
                <w:iCs w:val="0"/>
                <w:color w:val="auto"/>
                <w:sz w:val="21"/>
                <w:szCs w:val="21"/>
                <w:highlight w:val="none"/>
                <w:u w:val="none"/>
                <w:lang w:val="en-US" w:eastAsia="zh-CN" w:bidi="ar"/>
              </w:rPr>
              <w:t xml:space="preserve">一档</w:t>
            </w:r>
            <w:r>
              <w:rPr>
                <w:rFonts w:hint="eastAsia" w:ascii="宋体" w:hAnsi="宋体" w:eastAsia="宋体" w:cs="宋体"/>
                <w:i w:val="0"/>
                <w:iCs w:val="0"/>
                <w:color w:val="auto"/>
                <w:sz w:val="21"/>
                <w:szCs w:val="21"/>
                <w:highlight w:val="none"/>
                <w:u w:val="none"/>
                <w:lang w:val="en-US" w:eastAsia="zh-CN" w:bidi="ar"/>
              </w:rPr>
              <w:t xml:space="preserve">；共六档；额定输出电流：5A。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#2.直流稳压输出，1.5V－12V，分1.5V、3V、4.5V、6V、9V、12V六档；额定输出电流：2A。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#3.直流大电流短时输出：40A，8秒自动关断。交流输出：a.各档空载电压不大于1.05 U标＋0.3V； b.各档满载电压不小于0.95 U标－0.3V。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#4.直流稳压输出：a. 电压偏调：±（2％U标＋0.1V） b. 电压稳定性：输入电压在1</w:t>
            </w:r>
            <w:r>
              <w:rPr>
                <w:rFonts w:hint="eastAsia" w:ascii="宋体" w:hAnsi="宋体" w:eastAsia="宋体" w:cs="宋体"/>
                <w:i w:val="0"/>
                <w:iCs w:val="0"/>
                <w:color w:val="auto"/>
                <w:sz w:val="21"/>
                <w:szCs w:val="21"/>
                <w:highlight w:val="none"/>
                <w:u w:val="none"/>
                <w:lang w:val="en-US" w:eastAsia="zh-CN" w:bidi="ar"/>
              </w:rPr>
              <w:t xml:space="preserve">98V－242V件变化，在满载时各档输出电压变化量不大于2％U标＋0.1V。 c. 负载稳定性：输入电压保持220V不变，负载电流在0至满载范围内变化，各档输出电压变化量不大于2％U标＋0.1V。 d. 纹波电压：电源电压保持220V，满载时各档纹波电压不大于0.1％U标（有效值）。直流大电流短时输出电流大于10A时，20s±2s自动关断。输出短时电流为40A+10A，8 s±2自动关断 。过载保护：交流和直流稳压输出电流在额定电流值的1.05－1.5倍时，自动关断输出。 机箱采用全塑料注塑成型，外形尺寸：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250mm×200mm×115mm。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AG2-07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电池盒</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#1、4个电池盒为1组。仪器可放置1节1号电池。外形尺寸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81×43×29mm。各触点使用不锈钢材料；要求接触良好，整体结构结实牢固，ABS塑料件光滑、无毛刺。</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93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AG2-08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木直尺</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木材制作，表面平整、无毛刺。木材材质应无裂纹、无伤痕，并经过脱脂干燥处理。尺身一面黄底，印有黑色刻线和数字，最小刻度为1毫米，每5毫米为一中格，每10毫米的刻线上标有数字。漆层色调美观、厚薄均匀、有足够的附着力。刻线和数字排列整齐端正，刻线粗细一致。米尺的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1000mm×25mm×8mm。全尺刻度累计误差≤2mm。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AG2-09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钢直尺</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#1、200mm,不锈钢制。最小分度值为1mm。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钢卷尺</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#1、2000mm，塑料外壳，有尺带锁紧装置。最小分度值为1mm。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10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热敏温度计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中学物理演示实验用。测量范围： -10～+100℃，线性刻度。由测温元件、单管直流放大器和机盒组成。工作电压：DC6V。注：应与演示用大型电表配套使用（灵敏度500uA-2mA）。</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AG2-12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体温计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 棒式，测量部位为口腔，测量范围35－42℃。体温计按国际实用温标刻度，</w:t>
            </w:r>
            <w:r>
              <w:rPr>
                <w:rFonts w:hint="eastAsia" w:ascii="宋体" w:hAnsi="宋体" w:cs="宋体"/>
                <w:i w:val="0"/>
                <w:iCs w:val="0"/>
                <w:color w:val="auto"/>
                <w:sz w:val="21"/>
                <w:szCs w:val="21"/>
                <w:highlight w:val="none"/>
                <w:u w:val="none"/>
                <w:lang w:val="en-US" w:eastAsia="zh-CN" w:bidi="ar"/>
              </w:rPr>
              <w:t xml:space="preserve">温度</w:t>
            </w:r>
            <w:r>
              <w:rPr>
                <w:rFonts w:hint="eastAsia" w:ascii="宋体" w:hAnsi="宋体" w:eastAsia="宋体" w:cs="宋体"/>
                <w:i w:val="0"/>
                <w:iCs w:val="0"/>
                <w:color w:val="auto"/>
                <w:sz w:val="21"/>
                <w:szCs w:val="21"/>
                <w:highlight w:val="none"/>
                <w:u w:val="none"/>
                <w:lang w:val="en-US" w:eastAsia="zh-CN" w:bidi="ar"/>
              </w:rPr>
              <w:t xml:space="preserve">最小分度值为0.1℃，分度均匀，两相邻分度中心的距离应不小于0.55mm。标度线、计量数字和标志颜色牢固，不允许</w:t>
            </w:r>
            <w:r>
              <w:rPr>
                <w:rFonts w:hint="eastAsia" w:ascii="宋体" w:hAnsi="宋体" w:cs="宋体"/>
                <w:i w:val="0"/>
                <w:iCs w:val="0"/>
                <w:color w:val="auto"/>
                <w:sz w:val="21"/>
                <w:szCs w:val="21"/>
                <w:highlight w:val="none"/>
                <w:u w:val="none"/>
                <w:lang w:val="en-US" w:eastAsia="zh-CN" w:bidi="ar"/>
              </w:rPr>
              <w:t xml:space="preserve">有</w:t>
            </w:r>
            <w:r>
              <w:rPr>
                <w:rFonts w:hint="eastAsia" w:ascii="宋体" w:hAnsi="宋体" w:eastAsia="宋体" w:cs="宋体"/>
                <w:i w:val="0"/>
                <w:iCs w:val="0"/>
                <w:color w:val="auto"/>
                <w:sz w:val="21"/>
                <w:szCs w:val="21"/>
                <w:highlight w:val="none"/>
                <w:u w:val="none"/>
                <w:lang w:val="en-US" w:eastAsia="zh-CN" w:bidi="ar"/>
              </w:rPr>
              <w:t xml:space="preserve">脱色、影响读数、颜色污迹等现象。产品应符合国标1588－89《体温计》的要求</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AG2-13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电子体温计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#1．显示范围32～42.9℃。测量时间：口腔1min、液下3min。电池为</w:t>
            </w:r>
            <w:r>
              <w:rPr>
                <w:rFonts w:hint="eastAsia" w:ascii="宋体" w:hAnsi="宋体" w:cs="宋体"/>
                <w:i w:val="0"/>
                <w:iCs w:val="0"/>
                <w:color w:val="auto"/>
                <w:sz w:val="21"/>
                <w:szCs w:val="21"/>
                <w:highlight w:val="none"/>
                <w:u w:val="none"/>
                <w:lang w:val="en-US" w:eastAsia="zh-CN" w:bidi="ar"/>
              </w:rPr>
              <w:t xml:space="preserve">纽扣</w:t>
            </w:r>
            <w:r>
              <w:rPr>
                <w:rFonts w:hint="eastAsia" w:ascii="宋体" w:hAnsi="宋体" w:eastAsia="宋体" w:cs="宋体"/>
                <w:i w:val="0"/>
                <w:iCs w:val="0"/>
                <w:color w:val="auto"/>
                <w:sz w:val="21"/>
                <w:szCs w:val="21"/>
                <w:highlight w:val="none"/>
                <w:u w:val="none"/>
                <w:lang w:val="en-US" w:eastAsia="zh-CN" w:bidi="ar"/>
              </w:rPr>
              <w:t xml:space="preserve">电池。蜂鸣提示：温度稳定约10秒鸣响。警示功能：高于37.81℃自动报警。</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学生天平</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#1、仪器包括：主机(全金属材质）1台，横梁（金属材质）1件，大吊环2件，盛物盘2件，小吊耳2件，砝码1套。最大称量200g,感量20mg，不等臂偏差：3分度。</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#1．最大称量200g，分度值0.2 g。 秤量允许误差为±0.5d(分度值)。砝码组合的总质量（包括标尺计量值）应不小于天平的最大秤量。冲压件表面应光洁平整，不应有毛刺、锋棱、裂纹。电镀件的镀层应色泽均匀，不应有露底和显见的麻点、水迹、擦伤等缺陷。油漆件表面应平整光滑，色泽均匀，不应有露底、起泡、挂漆、擦伤等缺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金属钩码</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#1、10g×1,20g×2,50g×2,200g×2。塑料盒包装。</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电子停表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#1、0.1S,防水防震,数码显示，具有显示月、日、上下午时间和累计时间显示功能。秒表计时可选择简易计时。符合国标GB6050第一章要求。</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strike w:val="0"/>
                <w:color w:val="auto"/>
                <w:sz w:val="21"/>
                <w:szCs w:val="21"/>
                <w:highlight w:val="none"/>
                <w:u w:val="none"/>
                <w:lang w:val="en-US"/>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AG2-</w:t>
            </w:r>
            <w:r>
              <w:rPr>
                <w:rFonts w:hint="eastAsia" w:ascii="宋体" w:hAnsi="宋体" w:cs="宋体"/>
                <w:i w:val="0"/>
                <w:iCs w:val="0"/>
                <w:strike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#1、玻璃制。红液，0℃～100℃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支</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直流电流表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#1.产品由测量机构、外壳等组成。指示面板与水平面成45度夹角。测量范围：（-0.2A~0~0.6A）（-1~0~3A）。仪表准确度等级：2.5级。对外界磁场的防御等级为Ⅲ级。规格：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130mm×95mm×90mm。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9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直流电压表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#1.产品由测量机构、外壳等组成。指示面板与水平面成45度夹角。测量范围：（-1~0~3V）（-5~0~15V）。仪表准确度等级：2.5级。对外界磁场的防御等级为Ⅲ级。规格：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130mm×95mm×90mm。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灵敏电流计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#1.产品由测量机构、外壳等组成。指示面板与水平面成45度夹角。测量范围：±300μA内阻。仪表准确度等级：2.5级。对外界磁场的防御等级为Ⅲ级。规格：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130mm×95mm×90mm。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85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AG2-2</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#1.10N。由方形弹簧盒（带刻板）、弹簧、提环、挂钩、指针等组成。零点可调。盒体外形尺寸：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150mm×35mm×18mm。最小刻度：0.2N。金属表面防锈处理。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AG2-2</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#1、5N。由方形弹簧盒（带刻板）、弹簧、提环、挂钩、指针等组成。零点可调。盒体外形尺寸：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150mm×35mm×18mm。最小刻度：0.1N。金属表面防锈处理。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76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AG2-2</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#1、1N。由方形弹簧盒（带刻板）、弹簧、提环、挂钩、指针等组成。零点可调。盒体外形尺寸：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150mm×35mm×18mm。最小刻度：0.02N。金属表面防锈处理。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AG2-2</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平板测力计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#1、5N，由对疲劳弹簧、可调节指针、旋片及刻度板等构成，最小刻度值为0.1N，白色塑料面板或铝板。面板尺寸：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170mm×40mm×5mm。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AG2-2</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圆柱体组</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#1、以三种材料圆柱体组成，分别为铜、铁、铝制成，三只圆柱体几何尺寸完全相同，直径20mm,高32mm。塑料盒定位包装。</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AG2-2</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立方体组</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#1.由铜、铁、铝、木材四种材料组成；四种材料均为25mm。木质致密，表面平整光滑，铁件电镀处理。塑料盒包装。</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54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运动和力实验器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水平板、斜面板、小车、过渡塑料片、毛巾，布，小球2个(金属球、塑料球），硬盒组成。水平板和斜面板用合页连接，宽度和厚度尺寸要一致，宽度118mm，厚度12mm。水平板长度525mm，斜面板长200mm，小车为塑料制品，尺寸不小于110mm×75mm×40mm，金属球直径为16mm；塑料球直径为15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AG2-2</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惯性演示器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#1、产品主要用于中学物理演示静止物体的惯性实验用。由铝合金底座、铝立柱、弹簧铁锁、金属片及钢球组成。底座采用铝合金型材制成，外形尺寸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为120mm×80mm×20mm。铝材中部为滑动槽，用于调节立柱位置时使用，调节应方便、可靠。立柱的顶端为球形凹窝，柱的直径为16mm，高20mm。弹簧锁为金属制品，锁的上面应有一开关</w:t>
            </w:r>
            <w:r>
              <w:rPr>
                <w:rFonts w:hint="eastAsia" w:ascii="宋体" w:hAnsi="宋体" w:cs="宋体"/>
                <w:i w:val="0"/>
                <w:iCs w:val="0"/>
                <w:color w:val="auto"/>
                <w:sz w:val="21"/>
                <w:szCs w:val="21"/>
                <w:highlight w:val="none"/>
                <w:u w:val="none"/>
                <w:lang w:val="en-US" w:eastAsia="zh-CN" w:bidi="ar"/>
              </w:rPr>
              <w:t xml:space="preserve">按钮</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按钮</w:t>
            </w:r>
            <w:r>
              <w:rPr>
                <w:rFonts w:hint="eastAsia" w:ascii="宋体" w:hAnsi="宋体" w:eastAsia="宋体" w:cs="宋体"/>
                <w:i w:val="0"/>
                <w:iCs w:val="0"/>
                <w:color w:val="auto"/>
                <w:sz w:val="21"/>
                <w:szCs w:val="21"/>
                <w:highlight w:val="none"/>
                <w:u w:val="none"/>
                <w:lang w:val="en-US" w:eastAsia="zh-CN" w:bidi="ar"/>
              </w:rPr>
              <w:t xml:space="preserve">控制锁舌,锁舌伸长长度约10mm。金属片直径33mm，中心有一小孔，孔径3mm。钢球直径约19mm，表面镀铬处理。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99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一块摩擦板和二块摩擦块组成。应附棉布、毛巾、木砂纸三种摩擦材料及固定的胶合板。摩擦板规格:600mm×60mm×10mm(误差在负2mm范围内）。摩擦块应采用塑料注塑成型摩擦面为木质（一个宽面一个窄面），规格应为：（110±5.4）mm×（50±3.9）mm×（35±3.9mm）。质量为50g±2g。摩擦块摩擦面的背面应各有两个放置钩码的孔，钩码孔直径应为28mm±1mm。在摩擦块一个端面的长方质心线上应设有挂钩。</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螺旋弹簧组</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#1、由钢丝绕成的螺旋弹簧5种一组组成。5种螺旋弹簧拉力限量分别为：5N，3N，2N，1N，0.5N。弹簧直径分别为：1mm、0.9mm、0.8mm、0.6mm、0.5mm。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12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AG2-3</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阿基米德原理实验器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#1、产品由筒、圆柱体、溢液杯等组成。透明溢液杯内径65mm、高140mm、离杯口20mm处有一倾角的溢水嘴，溢水嘴长不小于15mm；透明筒筒内径50mm,高约50mm；圆柱体外径50mm,高约50mm，内装细砂，上部带挂环。</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6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AG2-3</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阿基米德原理及其应用实验器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透明溢杯、浮桶、塑料桶、圆柱体、铝柱二个组成。透明溢杯Φ65mm、高140mm、离杯口20mm处有一倾角的溢水嘴，溢水嘴长不小于15mm；塑料桶为透明，直径不小于35mm、高不小于100mm，侧面有0至90mm刻度标尺、底部有挂环；浮桶为半透明塑料制成，上下均有挂环、外形尺寸：Φ35mm、高80mm，内壁上有两条刻线、刻线距离10mm、外壁上有毫米刻度标示；圆柱体为金属材料制成，表面电镀处理，圆柱外径30mm、厚18mm,一端有挂环，铝柱直径30mm、厚10mm，其中一个有挂环。</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9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AG2-3</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液体压强与深度关系实验器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组装式。产品由透明外筒、塑料接水槽、透明塑料深度实验筒及压强计等组成。透明外筒尺寸：外径104mm±1mm，高152mm±1mm。厚2mm±0.5mm。塑料接水槽尺寸为：200mm×125mm×35mm。透明塑料深度实验筒尺寸为：外径约30mm，高约190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AG2-3</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液体内部压强实验器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#1、本仪器由承压盒、支杆、胶膜等组成。承压盒的</w:t>
            </w:r>
            <w:r>
              <w:rPr>
                <w:rFonts w:hint="eastAsia" w:ascii="宋体" w:hAnsi="宋体" w:cs="宋体"/>
                <w:i w:val="0"/>
                <w:iCs w:val="0"/>
                <w:color w:val="auto"/>
                <w:sz w:val="21"/>
                <w:szCs w:val="21"/>
                <w:highlight w:val="none"/>
                <w:u w:val="none"/>
                <w:lang w:val="en-US" w:eastAsia="zh-CN" w:bidi="ar"/>
              </w:rPr>
              <w:t xml:space="preserve">内径</w:t>
            </w:r>
            <w:r>
              <w:rPr>
                <w:rFonts w:hint="eastAsia" w:ascii="宋体" w:hAnsi="宋体" w:eastAsia="宋体" w:cs="宋体"/>
                <w:i w:val="0"/>
                <w:iCs w:val="0"/>
                <w:color w:val="auto"/>
                <w:sz w:val="21"/>
                <w:szCs w:val="21"/>
                <w:highlight w:val="none"/>
                <w:u w:val="none"/>
                <w:lang w:val="en-US" w:eastAsia="zh-CN" w:bidi="ar"/>
              </w:rPr>
              <w:t xml:space="preserve">Φ36mm，转轴孔径Φ4mm。支杆由Φ4mm的低碳钢制成，一端弯解为90°±1°，表面油漆。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62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AG2-3</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微小压强计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#1、产品由U形玻璃管、刻度板、三通管、夹持柄等组成。量度范围：300mm。外形尺寸360×38×16mm.。U</w:t>
            </w:r>
            <w:r>
              <w:rPr>
                <w:rFonts w:hint="eastAsia" w:ascii="宋体" w:hAnsi="宋体" w:cs="宋体"/>
                <w:i w:val="0"/>
                <w:iCs w:val="0"/>
                <w:color w:val="auto"/>
                <w:sz w:val="21"/>
                <w:szCs w:val="21"/>
                <w:highlight w:val="none"/>
                <w:u w:val="none"/>
                <w:lang w:val="en-US" w:eastAsia="zh-CN" w:bidi="ar"/>
              </w:rPr>
              <w:t xml:space="preserve">型管用内径</w:t>
            </w:r>
            <w:r>
              <w:rPr>
                <w:rFonts w:hint="eastAsia" w:ascii="宋体" w:hAnsi="宋体" w:eastAsia="宋体" w:cs="宋体"/>
                <w:i w:val="0"/>
                <w:iCs w:val="0"/>
                <w:color w:val="auto"/>
                <w:sz w:val="21"/>
                <w:szCs w:val="21"/>
                <w:highlight w:val="none"/>
                <w:u w:val="none"/>
                <w:lang w:val="en-US" w:eastAsia="zh-CN" w:bidi="ar"/>
              </w:rPr>
              <w:t xml:space="preserve">均匀的玻璃管制成，其</w:t>
            </w:r>
            <w:r>
              <w:rPr>
                <w:rFonts w:hint="eastAsia" w:ascii="宋体" w:hAnsi="宋体" w:cs="宋体"/>
                <w:i w:val="0"/>
                <w:iCs w:val="0"/>
                <w:color w:val="auto"/>
                <w:sz w:val="21"/>
                <w:szCs w:val="21"/>
                <w:highlight w:val="none"/>
                <w:u w:val="none"/>
                <w:lang w:val="en-US" w:eastAsia="zh-CN" w:bidi="ar"/>
              </w:rPr>
              <w:t xml:space="preserve">内径</w:t>
            </w:r>
            <w:r>
              <w:rPr>
                <w:rFonts w:hint="eastAsia" w:ascii="宋体" w:hAnsi="宋体" w:eastAsia="宋体" w:cs="宋体"/>
                <w:i w:val="0"/>
                <w:iCs w:val="0"/>
                <w:color w:val="auto"/>
                <w:sz w:val="21"/>
                <w:szCs w:val="21"/>
                <w:highlight w:val="none"/>
                <w:u w:val="none"/>
                <w:lang w:val="en-US" w:eastAsia="zh-CN" w:bidi="ar"/>
              </w:rPr>
              <w:t xml:space="preserve">为4－6mm，壁厚不小于1mm。U形管竖直长度不小于365mm，两侧距离25±3mm。一端成喇叭口，另一端成“接头”状。三通管用外径为5.8mm的塑料制成，三个端头均为“接头”状。刻度板最小刻度为5mm，刻度总长为300mm。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AG2-3</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滑轮组</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#1、单滑轮2只，外径40mm。二并滑轮2组，外径40mm。滑轮框架结构均为封闭式，上下挂钩互成90°。轮盘、框架采用ABS塑料注塑制成。轮盘应转动灵活，轮盘沿</w:t>
            </w:r>
            <w:r>
              <w:rPr>
                <w:rFonts w:hint="eastAsia" w:ascii="宋体" w:hAnsi="宋体" w:cs="宋体"/>
                <w:i w:val="0"/>
                <w:iCs w:val="0"/>
                <w:color w:val="auto"/>
                <w:sz w:val="21"/>
                <w:szCs w:val="21"/>
                <w:highlight w:val="none"/>
                <w:u w:val="none"/>
                <w:lang w:val="en-US" w:eastAsia="zh-CN" w:bidi="ar"/>
              </w:rPr>
              <w:t xml:space="preserve">轴向窜动</w:t>
            </w:r>
            <w:r>
              <w:rPr>
                <w:rFonts w:hint="eastAsia" w:ascii="宋体" w:hAnsi="宋体" w:eastAsia="宋体" w:cs="宋体"/>
                <w:i w:val="0"/>
                <w:iCs w:val="0"/>
                <w:color w:val="auto"/>
                <w:sz w:val="21"/>
                <w:szCs w:val="21"/>
                <w:highlight w:val="none"/>
                <w:u w:val="none"/>
                <w:lang w:val="en-US" w:eastAsia="zh-CN" w:bidi="ar"/>
              </w:rPr>
              <w:t xml:space="preserve">距离不大于1.5mm。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121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AG2-3</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杠杆</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#1、塑料制品。本产品由杠杆、轴、调平装置组成。外形尺寸：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520mm×28mm×7mm。杠杆尺正面刻印厘米单位刻线，线宽不大于1.5mm，每5厘米印一长线并注数字，数字下面有挂孔。杠杆尺两端装有调平螺杆和调平螺母，表面均镀锌。螺母重不大于10g，每个螺杆可调</w:t>
            </w:r>
            <w:r>
              <w:rPr>
                <w:rFonts w:hint="eastAsia" w:ascii="宋体" w:hAnsi="宋体" w:cs="宋体"/>
                <w:i w:val="0"/>
                <w:iCs w:val="0"/>
                <w:color w:val="auto"/>
                <w:sz w:val="21"/>
                <w:szCs w:val="21"/>
                <w:highlight w:val="none"/>
                <w:u w:val="none"/>
                <w:lang w:val="en-US" w:eastAsia="zh-CN" w:bidi="ar"/>
              </w:rPr>
              <w:t xml:space="preserve">螺纹</w:t>
            </w:r>
            <w:r>
              <w:rPr>
                <w:rFonts w:hint="eastAsia" w:ascii="宋体" w:hAnsi="宋体" w:eastAsia="宋体" w:cs="宋体"/>
                <w:i w:val="0"/>
                <w:iCs w:val="0"/>
                <w:color w:val="auto"/>
                <w:sz w:val="21"/>
                <w:szCs w:val="21"/>
                <w:highlight w:val="none"/>
                <w:u w:val="none"/>
                <w:lang w:val="en-US" w:eastAsia="zh-CN" w:bidi="ar"/>
              </w:rPr>
              <w:t xml:space="preserve">长度25mm。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AG2-3</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力学实验盒</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#1、产品由条形盒测力计 1支、小车 1辆、钩码 4支、溢水杯 1个、圆柱体吊桶 1个、量杯 1个、小桌 1个、海绵 1块、量筒 1个、U型管 1支、乳胶管 1根、压强计 1支、压强杯 1支、多孔盖板 1个、单孔盖板 1支、气球 1个、止水夹 1个、杠杆尺 1根、立杆 1根、底座 1个、单滑轮 2个、二单滑轮 2个、横梁 1根、钢球 1个等组成。</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3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量热器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#1、构造：1）外筒，2）盖架，3）量筒（铝制），4）护热套，5）接线盖塞，6）接线柱，7）接线棒，8）电热丝，9）橡皮塞，10）盖塞，11）搅拌器。技术要求：1）电热线为</w:t>
            </w:r>
            <w:r>
              <w:rPr>
                <w:rFonts w:hint="eastAsia" w:ascii="宋体" w:hAnsi="宋体" w:cs="宋体"/>
                <w:i w:val="0"/>
                <w:iCs w:val="0"/>
                <w:color w:val="auto"/>
                <w:sz w:val="21"/>
                <w:szCs w:val="21"/>
                <w:highlight w:val="none"/>
                <w:u w:val="none"/>
                <w:lang w:val="en-US" w:eastAsia="zh-CN" w:bidi="ar"/>
              </w:rPr>
              <w:t xml:space="preserve">镍铬</w:t>
            </w:r>
            <w:r>
              <w:rPr>
                <w:rFonts w:hint="eastAsia" w:ascii="宋体" w:hAnsi="宋体" w:eastAsia="宋体" w:cs="宋体"/>
                <w:i w:val="0"/>
                <w:iCs w:val="0"/>
                <w:color w:val="auto"/>
                <w:sz w:val="21"/>
                <w:szCs w:val="21"/>
                <w:highlight w:val="none"/>
                <w:u w:val="none"/>
                <w:lang w:val="en-US" w:eastAsia="zh-CN" w:bidi="ar"/>
              </w:rPr>
              <w:t xml:space="preserve">电阻线，阻值为2Ω或1Ω。2）电热丝工作状态中，电流为1.7~2A,电压6V时，100mL水通电10分钟时，</w:t>
            </w:r>
            <w:r>
              <w:rPr>
                <w:rFonts w:hint="eastAsia" w:ascii="宋体" w:hAnsi="宋体" w:cs="宋体"/>
                <w:i w:val="0"/>
                <w:iCs w:val="0"/>
                <w:color w:val="auto"/>
                <w:sz w:val="21"/>
                <w:szCs w:val="21"/>
                <w:highlight w:val="none"/>
                <w:u w:val="none"/>
                <w:lang w:val="en-US" w:eastAsia="zh-CN" w:bidi="ar"/>
              </w:rPr>
              <w:t xml:space="preserve">达到</w:t>
            </w:r>
            <w:r>
              <w:rPr>
                <w:rFonts w:hint="eastAsia" w:ascii="宋体" w:hAnsi="宋体" w:eastAsia="宋体" w:cs="宋体"/>
                <w:i w:val="0"/>
                <w:iCs w:val="0"/>
                <w:color w:val="auto"/>
                <w:sz w:val="21"/>
                <w:szCs w:val="21"/>
                <w:highlight w:val="none"/>
                <w:u w:val="none"/>
                <w:lang w:val="en-US" w:eastAsia="zh-CN" w:bidi="ar"/>
              </w:rPr>
              <w:t xml:space="preserve">温度10℃。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音叉</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#1、音叉、橡皮槌、共鸣箱，频率256Hz，音叉应为45</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碳钢制成，表面镀铬，四面平直棱角应整齐，音叉总长190mm，叉枝厚约5mm，两支股内间距8mm，圆柄Φ7mm。槌头为橡胶带木质手柄，直径不小于20mm，长度160mm，共鸣箱应采用实木制成，空心，箱体带音叉插孔，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300mm×90mm×50mm。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1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AG2-4</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音叉</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#1、本仪器为单支系整块45号碳钢制成,表面镀烙,四面平直</w:t>
            </w:r>
            <w:r>
              <w:rPr>
                <w:rFonts w:hint="eastAsia" w:ascii="宋体" w:hAnsi="宋体" w:cs="宋体"/>
                <w:i w:val="0"/>
                <w:iCs w:val="0"/>
                <w:color w:val="auto"/>
                <w:sz w:val="21"/>
                <w:szCs w:val="21"/>
                <w:highlight w:val="none"/>
                <w:u w:val="none"/>
                <w:lang w:val="en-US" w:eastAsia="zh-CN" w:bidi="ar"/>
              </w:rPr>
              <w:t xml:space="preserve">棱角</w:t>
            </w:r>
            <w:r>
              <w:rPr>
                <w:rFonts w:hint="eastAsia" w:ascii="宋体" w:hAnsi="宋体" w:eastAsia="宋体" w:cs="宋体"/>
                <w:i w:val="0"/>
                <w:iCs w:val="0"/>
                <w:color w:val="auto"/>
                <w:sz w:val="21"/>
                <w:szCs w:val="21"/>
                <w:highlight w:val="none"/>
                <w:u w:val="none"/>
                <w:lang w:val="en-US" w:eastAsia="zh-CN" w:bidi="ar"/>
              </w:rPr>
              <w:t xml:space="preserve">整齐,总长为154mm,叉支厚5.5×8.5mm,圆柄.频率512</w:t>
            </w:r>
            <w:r>
              <w:rPr>
                <w:rFonts w:hint="eastAsia" w:ascii="宋体" w:hAnsi="宋体" w:cs="宋体"/>
                <w:i w:val="0"/>
                <w:iCs w:val="0"/>
                <w:color w:val="auto"/>
                <w:sz w:val="21"/>
                <w:szCs w:val="21"/>
                <w:highlight w:val="none"/>
                <w:u w:val="none"/>
                <w:lang w:val="en-US" w:eastAsia="zh-CN" w:bidi="ar"/>
              </w:rPr>
              <w:t xml:space="preserve">Hz</w:t>
            </w:r>
            <w:r>
              <w:rPr>
                <w:rFonts w:hint="eastAsia" w:ascii="宋体" w:hAnsi="宋体" w:eastAsia="宋体" w:cs="宋体"/>
                <w:i w:val="0"/>
                <w:iCs w:val="0"/>
                <w:color w:val="auto"/>
                <w:sz w:val="21"/>
                <w:szCs w:val="21"/>
                <w:highlight w:val="none"/>
                <w:u w:val="none"/>
                <w:lang w:val="en-US" w:eastAsia="zh-CN" w:bidi="ar"/>
              </w:rPr>
              <w:t xml:space="preserve">以钢印载明,其误差不大于±0.5周,另附有共鸣箱和橡皮击槌。橡皮击槌球直径25mm，木柄直径8mm长170mm；共鸣箱外形尺寸：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140mm×90mm×50mm。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AG2-4</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发音齿轮</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#1、三片齿轮顶圆直径为Φ78mm。三片齿轮的齿数分别为  80、 60、 40齿，齿形角度为90°±1。三片齿轮相距23mm，装在转动轴上，轴下端为锥体，锥度为1∶20，大端直径为Φ10±0.1mm。零件表面防锈处理。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AG2-4</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单摆</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#1、由摆球、线绳组成。钢球直径19mm。摆球均沿直径方向钻孔，供穿线使用，钢球表面镀铬、抛光。摆球附悬线1根，长度均≥1100mm。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91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AG2-4</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#1.标准温度20℃，温度范围0～70℃，分度值为1度。密度范围：1.000～2.000。在液体中倾斜度不大于0.2分度值。</w:t>
            </w:r>
            <w:r>
              <w:rPr>
                <w:rFonts w:hint="eastAsia" w:ascii="宋体" w:hAnsi="宋体" w:cs="宋体"/>
                <w:i w:val="0"/>
                <w:iCs w:val="0"/>
                <w:color w:val="auto"/>
                <w:sz w:val="21"/>
                <w:szCs w:val="21"/>
                <w:highlight w:val="none"/>
                <w:u w:val="none"/>
                <w:lang w:val="en-US" w:eastAsia="zh-CN" w:bidi="ar"/>
              </w:rPr>
              <w:t xml:space="preserve">其他</w:t>
            </w:r>
            <w:r>
              <w:rPr>
                <w:rFonts w:hint="eastAsia" w:ascii="宋体" w:hAnsi="宋体" w:eastAsia="宋体" w:cs="宋体"/>
                <w:i w:val="0"/>
                <w:iCs w:val="0"/>
                <w:color w:val="auto"/>
                <w:sz w:val="21"/>
                <w:szCs w:val="21"/>
                <w:highlight w:val="none"/>
                <w:u w:val="none"/>
                <w:lang w:val="en-US" w:eastAsia="zh-CN" w:bidi="ar"/>
              </w:rPr>
              <w:t xml:space="preserve">性能指标应符合GB/T 17764－1999的有关规定。</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AG2-4</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#1.标准温度20℃，温度范围10～70℃，分度值为1度。密度范围：0.700～1.000。在液体中倾斜度不大于0.2分度值。</w:t>
            </w:r>
            <w:r>
              <w:rPr>
                <w:rFonts w:hint="eastAsia" w:ascii="宋体" w:hAnsi="宋体" w:cs="宋体"/>
                <w:i w:val="0"/>
                <w:iCs w:val="0"/>
                <w:color w:val="auto"/>
                <w:sz w:val="21"/>
                <w:szCs w:val="21"/>
                <w:highlight w:val="none"/>
                <w:u w:val="none"/>
                <w:lang w:val="en-US" w:eastAsia="zh-CN" w:bidi="ar"/>
              </w:rPr>
              <w:t xml:space="preserve">其他</w:t>
            </w:r>
            <w:r>
              <w:rPr>
                <w:rFonts w:hint="eastAsia" w:ascii="宋体" w:hAnsi="宋体" w:eastAsia="宋体" w:cs="宋体"/>
                <w:i w:val="0"/>
                <w:iCs w:val="0"/>
                <w:color w:val="auto"/>
                <w:sz w:val="21"/>
                <w:szCs w:val="21"/>
                <w:highlight w:val="none"/>
                <w:u w:val="none"/>
                <w:lang w:val="en-US" w:eastAsia="zh-CN" w:bidi="ar"/>
              </w:rPr>
              <w:t xml:space="preserve">性能指标应符合GB/T 17764－1999的有关规定。</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79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AG2-4</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空气压缩引火仪</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#1、由手柄、连杆、端盖、耐油橡皮圈、气缸体、底座等组成。手柄和底座为塑料制品。气缸体为透明塑料注塑成型，表面光洁、透明。</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8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AG2-4</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气体做功内能减少演示器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#1、热敏电阻演示。产品由透明圆筒（内装热敏电阻）、酒精容器（置于透明圆筒内）、底座、橡胶塞、橡皮管及电路组成。透明圆筒应采用透明聚苯乙烯塑料注塑成型，壁厚≥2mm，</w:t>
            </w:r>
            <w:r>
              <w:rPr>
                <w:rFonts w:hint="eastAsia" w:ascii="宋体" w:hAnsi="宋体" w:cs="宋体"/>
                <w:i w:val="0"/>
                <w:iCs w:val="0"/>
                <w:color w:val="auto"/>
                <w:sz w:val="21"/>
                <w:szCs w:val="21"/>
                <w:highlight w:val="none"/>
                <w:u w:val="none"/>
                <w:lang w:val="en-US" w:eastAsia="zh-CN" w:bidi="ar"/>
              </w:rPr>
              <w:t xml:space="preserve">外径</w:t>
            </w:r>
            <w:r>
              <w:rPr>
                <w:rFonts w:hint="eastAsia" w:ascii="宋体" w:hAnsi="宋体" w:eastAsia="宋体" w:cs="宋体"/>
                <w:i w:val="0"/>
                <w:iCs w:val="0"/>
                <w:color w:val="auto"/>
                <w:sz w:val="21"/>
                <w:szCs w:val="21"/>
                <w:highlight w:val="none"/>
                <w:u w:val="none"/>
                <w:lang w:val="en-US" w:eastAsia="zh-CN" w:bidi="ar"/>
              </w:rPr>
              <w:t xml:space="preserve">100mm，高150mm。筒壁厚度均匀，无裂纹；与底座粘接牢固，无漏气；表面光洁、透明度良好，无条纹、无缩迹。酒精容器为塑料制品，置于透明圆筒内，且与底座固定可靠。橡胶塞应与出气孔配合良好。底座应为盒体，整体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226mm×150mm×55mm，盒盖为底座，上面竖直固定透明圆筒、安装外接线柱、增益、调零</w:t>
            </w:r>
            <w:r>
              <w:rPr>
                <w:rFonts w:hint="eastAsia" w:ascii="宋体" w:hAnsi="宋体" w:cs="宋体"/>
                <w:i w:val="0"/>
                <w:iCs w:val="0"/>
                <w:color w:val="auto"/>
                <w:sz w:val="21"/>
                <w:szCs w:val="21"/>
                <w:highlight w:val="none"/>
                <w:u w:val="none"/>
                <w:lang w:val="en-US" w:eastAsia="zh-CN" w:bidi="ar"/>
              </w:rPr>
              <w:t xml:space="preserve">旋钮</w:t>
            </w:r>
            <w:r>
              <w:rPr>
                <w:rFonts w:hint="eastAsia" w:ascii="宋体" w:hAnsi="宋体" w:eastAsia="宋体" w:cs="宋体"/>
                <w:i w:val="0"/>
                <w:iCs w:val="0"/>
                <w:color w:val="auto"/>
                <w:sz w:val="21"/>
                <w:szCs w:val="21"/>
                <w:highlight w:val="none"/>
                <w:u w:val="none"/>
                <w:lang w:val="en-US" w:eastAsia="zh-CN" w:bidi="ar"/>
              </w:rPr>
              <w:t xml:space="preserve">及电源指示灯和开关。塑料管：长度≥300mm。演示效果可见度良好，直观明显。</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14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AG2-4</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声热实验盒</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结构：采用小型组合式结构，插接方便。仪器盒（弦定位座） 1套 ；弦调节轴 2个；弦定位柱 2个； 三角形片 1片； 弦（粗、细长均为360mm） 各1根；弦支座 2根；喇叭  8欧 2个；喇叭固定板 1个； 喇叭罩 1个；薄膜板 1个； U形插片座 2个 ；穿线钢球 1个 ；小锤 1个  ；铜丝（Φ0.3-Φ0.5） 1根； 指针 1根； 立柱 2根；拉线杆 1个；白屏 1块；销轴 ；铜棒 1根；凡士林 1盒；蜡烛 1根； 定位螺丝 1根。</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纸盘扬声器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#1、扬声器的阻抗8Ω，功率5W。扬声器无杂音，演示效果明显。外径：165mm。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手持式喇叭</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#1、手持式，塑料制。功能：</w:t>
            </w:r>
            <w:r>
              <w:rPr>
                <w:rFonts w:hint="eastAsia" w:ascii="宋体" w:hAnsi="宋体" w:cs="宋体"/>
                <w:i w:val="0"/>
                <w:iCs w:val="0"/>
                <w:color w:val="auto"/>
                <w:sz w:val="21"/>
                <w:szCs w:val="21"/>
                <w:highlight w:val="none"/>
                <w:u w:val="none"/>
                <w:lang w:val="en-US" w:eastAsia="zh-CN" w:bidi="ar"/>
              </w:rPr>
              <w:t xml:space="preserve">音量</w:t>
            </w:r>
            <w:r>
              <w:rPr>
                <w:rFonts w:hint="eastAsia" w:ascii="宋体" w:hAnsi="宋体" w:eastAsia="宋体" w:cs="宋体"/>
                <w:i w:val="0"/>
                <w:iCs w:val="0"/>
                <w:color w:val="auto"/>
                <w:sz w:val="21"/>
                <w:szCs w:val="21"/>
                <w:highlight w:val="none"/>
                <w:u w:val="none"/>
                <w:lang w:val="en-US" w:eastAsia="zh-CN" w:bidi="ar"/>
              </w:rPr>
              <w:t xml:space="preserve">调节、语音播放、音乐播放。口径150mm，高240mm，输出功率15W。</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AG2-5</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玻棒(附丝绸)</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#1、有机玻棒(附丝绸)，教师用。直径为12mm、长为295mm，一端为锥体，头部为球形状。丝绸尺寸不小于：150mm×150mm。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AG2-5</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玻棒(附丝绸)</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有机</w:t>
            </w:r>
            <w:r>
              <w:rPr>
                <w:rFonts w:hint="eastAsia" w:ascii="宋体" w:hAnsi="宋体" w:eastAsia="宋体" w:cs="宋体"/>
                <w:i w:val="0"/>
                <w:iCs w:val="0"/>
                <w:color w:val="auto"/>
                <w:sz w:val="21"/>
                <w:szCs w:val="21"/>
                <w:highlight w:val="none"/>
                <w:u w:val="none"/>
                <w:lang w:val="en-US" w:eastAsia="zh-CN" w:bidi="ar"/>
              </w:rPr>
              <w:t xml:space="preserve">棱(附丝绸），学生用。直径为8mm、长为150mm，一端为锥体，头部为球形状。丝绸尺寸不小于：100mm×100mm。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7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AG2-5</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胶棒(附毛皮)</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#1、聚碳酸酯棒(附毛皮)，教师用。直径为12mm、长为295mm，一端为锥体，头部为球形状。毛皮尺寸不小于：100mm×100mm。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AG2-5</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胶棒(附毛皮)</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#1、聚碳酸酯棒(附毛皮)，学生用。直径为8mm、长为150mm，一端为锥体，头部为球形状。毛皮尺寸不小于：60mm×60mm。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142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AG2-5</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教师用，一对装。产品由透明外壳、底座、金属球、导电杆、箔片等组成。外壳采用透明塑料注塑成型。金属球、导电杆用金属制成，表面镀铬处理。安装后无明显松动及歪斜现象。导电杆与外壳间应有绝缘套，安装后应无明显缝隙，取下方便，不致损坏箔片。金属箔片厚度不大于0.2mm，长度不小于20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AG2-5</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#1、学生用，一对装。产品由透明外壳、导电杆、箔片组成。箔片</w:t>
            </w:r>
            <w:r>
              <w:rPr>
                <w:rFonts w:hint="eastAsia" w:ascii="宋体" w:hAnsi="宋体" w:cs="宋体"/>
                <w:i w:val="0"/>
                <w:iCs w:val="0"/>
                <w:color w:val="auto"/>
                <w:sz w:val="21"/>
                <w:szCs w:val="21"/>
                <w:highlight w:val="none"/>
                <w:u w:val="none"/>
                <w:lang w:val="en-US" w:eastAsia="zh-CN" w:bidi="ar"/>
              </w:rPr>
              <w:t xml:space="preserve">呈</w:t>
            </w:r>
            <w:r>
              <w:rPr>
                <w:rFonts w:hint="eastAsia" w:ascii="宋体" w:hAnsi="宋体" w:eastAsia="宋体" w:cs="宋体"/>
                <w:i w:val="0"/>
                <w:iCs w:val="0"/>
                <w:color w:val="auto"/>
                <w:sz w:val="21"/>
                <w:szCs w:val="21"/>
                <w:highlight w:val="none"/>
                <w:u w:val="none"/>
                <w:lang w:val="en-US" w:eastAsia="zh-CN" w:bidi="ar"/>
              </w:rPr>
              <w:t xml:space="preserve">条形。外壳采用透明塑料注塑成型，表面光洁明亮，无划痕。外形尺寸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为50mm×30mm×60mm。导电杆Φ4mm，高约45mm。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17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AG2-5</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指针验电器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一对装。产品由底脚、金属圆筒、绝缘套、金属杆、指针架、指针和接地接线柱组成。金属筒Φ170mm,表面烤漆。仪器整体结构：在底脚上装着一个金属圆筒，圆筒的前面装有透明玻璃，后面装有附标线的毛玻璃，上壁装有绝缘套筒，一根金属杆穿过套筒，插入圆筒内，金属杆下部装有竖直的指针架，一根指针装在指针架的水平轴上，并可绕轴灵活转动，圆筒下壁一侧装有一个接线柱，用来外壳接地。</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AG2-5</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感应起电机</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环境温度：-10~40℃。起电盘直径：235mm。放电距离：在相对湿度为65%的环境中火花放电距离≥30mm。本仪器由底座、莱顿瓶、支架、放电叉绝缘柄、集电杆、放电叉杆、导电层、中和电刷（感应电刷）、电刷杆、上轴及上轴螺钉、莱顿瓶盖、导电弹簧、大皮带轮、连接片组成。</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3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枕形导体</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演示静电感应和感应起电。结构：二只金属制成的空心圆筒，空心圆筒外形尺寸为Φ60mm±1mm，高约68mm；一端为半球面，另一端为平口，将二只圆筒的平口对合起来，就成为一个枕形导体，每只导体均有绝缘支杆及底座。支杆为有机玻璃Φ12mm，高110mm；底座Φ85mm，高约13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小灯座</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#1、螺旋灯座。底座塑料，尺寸：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74mm×34mm×10mm,工作电压不大于36V,工作电流不大于2.5A  </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单刀开关</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#1、由底座，接线柱，闸刀，刀座，刀承和绝缘手柄组成。底座：黑色塑料，尺寸：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74mm×34mm×10mm  ,工作电压不超过36V，工作电流不超过6A。</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3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AG2-6</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滑动变阻器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Ω，2A；产品由线绕瓷管、滑动头、滑杆、支架、接线柱等主要部件组成。有氧化膜绝缘层的铜镍合金电阻丝密绕在瓷管上。变阻器电阻值误差不超过±10%。变阻器能在环境温度-10℃至+40℃，相对湿度不大于85%的条件下连续工作。</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AG2-6</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滑动变阻器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#1、50Ω，1.5A  ；电阻阻值误差≤10% ；绝缘层耐压1.5V ；工作温升≤300℃ ；绝缘电阻：≥20MΩ；耐压1.5kV不出现飞弧和击穿。 电接触：滑动头在滑动时电阻阻值应均匀化，不得有间断跳跃现象。触头机械压力：滑动头与电阻线、滑杆保持良好的弹性、接头应圆滑，压力均可，滑动应顺畅。</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5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AG2-6</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滑动变阻器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Ω，3A；产品由线绕瓷管、滑动头、滑杆、支架、接线柱等主要部件组成。有氧化膜绝缘层的铜镍合金电阻丝密绕在瓷管上。变阻器电阻值误差不超过±10%。变阻器能在环境温度-10℃至+40℃，相对湿度不大于85%的条件下连续工作。</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AG2-6</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电阻圈</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#1、电阻圈用康铜丝绕制而成，通过接线柱固定于长方形塑料座中。塑料座外形尺寸为：</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95mm×30mm×20mm。阻值：5Ω、10Ω、15Ω各一只。总阻值误差≤±1％。电阻丝表面应经过绝缘处理，线圈排列整齐。塑料座应牢固美观，并标明电阻圈的规格。接线柱与电阻丝要接触良好。在额定电流下工作后，电阻丝无明显变形，绝缘层不得剥落，塑料座无灼焦及开裂现象。</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AG2-6</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#1、电学仪器，供中学演示金属导体电阻定律用。木质底板尺寸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：1050mm×130mm×15mm， 三种金属导线 分别为：铜丝（Φ0.5mm），铁丝（Φ0.5mm），镍铬丝（Φ0.5mm）2个组成。、三种线的有效长度均为1000mm。  </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97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AG2-6</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#1、电学仪器，供中学演示金属导体电阻定律用。由塑料底板，三种金属导线 分别为：铜丝（Φ0.5mm），铁丝（Φ0.5mm），镍铬丝（Φ0.5mm）2条组成。有效长度均为500mm。    </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AG2-6</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演示电阻箱</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#1、采用插头式电阻箱的解剖形式，插接柱采用铜金属材质，用于演示插头式电阻箱的基本构造和原理。裸露式锰铜线绕丝，最大电工作流：2A（1Ω、2Ω）、1A（5Ω）。整体固定</w:t>
            </w:r>
            <w:r>
              <w:rPr>
                <w:rFonts w:hint="eastAsia" w:ascii="宋体" w:hAnsi="宋体" w:cs="宋体"/>
                <w:i w:val="0"/>
                <w:iCs w:val="0"/>
                <w:color w:val="auto"/>
                <w:sz w:val="21"/>
                <w:szCs w:val="21"/>
                <w:highlight w:val="none"/>
                <w:u w:val="none"/>
                <w:lang w:val="en-US" w:eastAsia="zh-CN" w:bidi="ar"/>
              </w:rPr>
              <w:t xml:space="preserve">在</w:t>
            </w:r>
            <w:r>
              <w:rPr>
                <w:rFonts w:hint="eastAsia" w:ascii="宋体" w:hAnsi="宋体" w:eastAsia="宋体" w:cs="宋体"/>
                <w:i w:val="0"/>
                <w:iCs w:val="0"/>
                <w:color w:val="auto"/>
                <w:sz w:val="21"/>
                <w:szCs w:val="21"/>
                <w:highlight w:val="none"/>
                <w:u w:val="none"/>
                <w:lang w:val="en-US" w:eastAsia="zh-CN" w:bidi="ar"/>
              </w:rPr>
              <w:t xml:space="preserve">木板上，附支脚，木板尺寸：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238mm×98mm×8mm。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98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教学电阻箱</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#1、仪器采用胶木密封结构，电阻变换方式为开关式，电阻采</w:t>
            </w:r>
            <w:r>
              <w:rPr>
                <w:rFonts w:hint="eastAsia" w:ascii="宋体" w:hAnsi="宋体" w:cs="宋体"/>
                <w:i w:val="0"/>
                <w:iCs w:val="0"/>
                <w:color w:val="auto"/>
                <w:sz w:val="21"/>
                <w:szCs w:val="21"/>
                <w:highlight w:val="none"/>
                <w:u w:val="none"/>
                <w:lang w:val="en-US" w:eastAsia="zh-CN" w:bidi="ar"/>
              </w:rPr>
              <w:t xml:space="preserve">用</w:t>
            </w:r>
            <w:r>
              <w:rPr>
                <w:rFonts w:hint="eastAsia" w:ascii="宋体" w:hAnsi="宋体" w:eastAsia="宋体" w:cs="宋体"/>
                <w:i w:val="0"/>
                <w:iCs w:val="0"/>
                <w:color w:val="auto"/>
                <w:sz w:val="21"/>
                <w:szCs w:val="21"/>
                <w:highlight w:val="none"/>
                <w:u w:val="none"/>
                <w:lang w:val="en-US" w:eastAsia="zh-CN" w:bidi="ar"/>
              </w:rPr>
              <w:t xml:space="preserve">高稳定的漆包锰铜丝以无感方式绕于高频瓷管上和定值电阻，电阻制式为1：2：2：2：2。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#2、主要性能：1）准确等级0.5级；2）阻值范围0～9999.9Ω，3）零位电阻小于0.05Ω；4）电路对外壳的金属部分的绝缘电阻大于20MΩ。</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简式电阻箱</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#1、仪器采用</w:t>
            </w:r>
            <w:r>
              <w:rPr>
                <w:rFonts w:hint="eastAsia" w:ascii="宋体" w:hAnsi="宋体" w:cs="宋体"/>
                <w:i w:val="0"/>
                <w:iCs w:val="0"/>
                <w:color w:val="auto"/>
                <w:sz w:val="21"/>
                <w:szCs w:val="21"/>
                <w:highlight w:val="none"/>
                <w:u w:val="none"/>
                <w:lang w:val="en-US" w:eastAsia="zh-CN" w:bidi="ar"/>
              </w:rPr>
              <w:t xml:space="preserve">旋钮</w:t>
            </w:r>
            <w:r>
              <w:rPr>
                <w:rFonts w:hint="eastAsia" w:ascii="宋体" w:hAnsi="宋体" w:eastAsia="宋体" w:cs="宋体"/>
                <w:i w:val="0"/>
                <w:iCs w:val="0"/>
                <w:color w:val="auto"/>
                <w:sz w:val="21"/>
                <w:szCs w:val="21"/>
                <w:highlight w:val="none"/>
                <w:u w:val="none"/>
                <w:lang w:val="en-US" w:eastAsia="zh-CN" w:bidi="ar"/>
              </w:rPr>
              <w:t xml:space="preserve">式结构，外壳用塑料压制而成。阻值范围0～9999Ω，最小步进值为1Ω；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#2、各档电阻示值误差参照国家标准电阻箱相对误差公式。各档电阻的主要技术参数：1～9Ω，线绕电阻±1%，功率为3W；10～495Ω，RTL测量膜电阻±1%，功率为1W；500～9990Ω，RTL测量膜电阻±1%，功率为1/2W。</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AG2-7</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演示线路实验板</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插拼式。线路板由底板4块、电池夹6个、单极开关3个、双极开关1个、灯座3个、绕线电阻（4W5欧1个、10欧2个、15欧1个、20欧1个）、接线柱座6个、空位插座1个、镍铬丝直径0.3mm的3.3米、康铜丝直径0.3mm的1.1米、铁铬丝直径0.3mm的1.1米、电珠（3.8V4只、6.2V2只）、A符插座3个、V符插座3个、吊环14个、拼接肖30个、走线插座60个、三角插板5个、压杆和压钩各2个、各种规格连接导线若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#2、底板共4块，采用塑料注塑成型。单板面积为360mm×240mm，分布96个小孔，纵横距离30mm。单台包装采用彩色纸盒包装。</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43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AG2-7</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初中电学演示箱</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#1、磁昅式。演示箱包括特大高清型磁吸式演示电流表（0-0.6A、0-3A，尺寸：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320*330*6mm）1个；特大高清型磁吸式演示电压表（0-3A、0-15V，尺寸：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320*330*6mm）1个；大型磁吸式演示电池盒（尺寸：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150*35*27mm）4个；大型磁吸式演示单刀单掷开关2</w:t>
            </w:r>
            <w:r>
              <w:rPr>
                <w:rFonts w:hint="eastAsia" w:ascii="宋体" w:hAnsi="宋体" w:eastAsia="宋体" w:cs="宋体"/>
                <w:i w:val="0"/>
                <w:iCs w:val="0"/>
                <w:color w:val="auto"/>
                <w:sz w:val="21"/>
                <w:szCs w:val="21"/>
                <w:highlight w:val="none"/>
                <w:u w:val="none"/>
                <w:lang w:val="en-US" w:eastAsia="zh-CN" w:bidi="ar"/>
              </w:rPr>
              <w:t xml:space="preserve">个；大型磁吸式演示单刀双掷开关1个；磁吸式演示滑动变阻器2个（20欧和50欧）；大型磁吸式演示灯座3个；演示用电动机模型1个；大型磁吸式定值电阻，5欧，10欧，15欧，20欧各1个；演示实验用电珠，灯泡5个2.5V；演示用鳄鱼夹导线10根；演示用电阻定律（康铜丝直径0.5mm、镍铬丝直径0.5mm和0.7mm各一根，底座尺寸：610*90*15mm）1个；发光二极管2个。铝合金教具实验箱（665mm*350mm*160mm）1个。灯座、发光二极管、定值电阻、单刀单掷、双掷的底座尺寸：115*60*15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42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AG2-7</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学生线路实验板</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#1、拼接式。线路板由实验板1块、电池盒4个、单极开关3个、灯座3个、5欧电阻座2个、10欧电阻座2个、走线插座6个、小灯泡及各种规格的导线构成。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#2、实验板由ABS工程塑料制成，单板面积为360×240mm，板面上均布等间距的96个小孔。包装采用彩色纸盒。</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AG2-7</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单刀双掷开关</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#1、底座、接线柱，闸刀，刀座，双刀承和绝缘手柄组成。开关的最高工作电压36V，额定工作电流6A。底座为塑料制，尺寸：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77mm×35mm×9mm。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73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AG2-7</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双刀双掷开关</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#1、底座、接线柱，双闸刀，刀座，双刀承和绝缘手柄组成。开关的最高工作电压36V，额定工作电流6A。底座为塑料制，尺寸：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77mm×53mm×10mm。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AG2-7</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#1、产品由演示板、贮气盒两只，电阻：5Ω线绕电阻、玻璃管2根等组成。电源电压：直流稳压6V；电流小于2A。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#2、演示板采用塑料注塑成型，颜色为白色，外形尺寸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290mm×245mm×4mm；演示板上印刷有刻度线，每5mm为短刻线、10mm为长刻线，并标有数字，刻线数量不小于13条。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#3、贮气盒采用透明塑料制，尺寸：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78mm×78mm×30mm。在10分钟内，演示效果明显。</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60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AG2-7</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#1、产品由演示板、贮气盒两只，电阻：5Ω线绕电阻、玻璃管2根等组成。电源电压：直流稳压6V；电流小于2A。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#2、演示板采用塑料注塑成型，颜色为白色，外形尺寸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290mm×245mm×4mm；演示板上印刷有刻度线，每5mm为短刻线、10mm为长刻线，并标有数字，刻线数量不小于13条。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#3、贮气盒采用透明塑料制，尺寸：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78mm×78mm×30mm。在10分钟内，演示效果明显。</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AG2-7</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#1、手提式带支脚。面板尺寸；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450mm×310mm。面板布局合理、标志字迹清晰、插接使用方便。外接电压：220V 50Hz，电流表1只。应配置12V 21W灯泡1只，12V 10W灯泡1只。演示直观，可见度好。</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5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玩具电动机</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#1、带座和风扇。产品由小电机、风叶、电机固定架、支架组成。风叶、固定架、支架采用塑料注塑成型。小电机：使用直流电压3V。</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电子门铃</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#1、产品由门铃、开关及连接导线组成。门铃是通过开关控制，声频为音乐。电源电压为直流1.5V。门铃的外壳为塑料制。</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AG2-8</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条形磁铁</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#1、D-CG-LT-180，一对装，外形尺寸：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178mm×20mm×10mm。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AG2-8</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蹄形磁铁</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#1、D-CG-LU-80，附衔铁。外形尺寸：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60mm×16mm×80mm。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70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AG2-8</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#1、产品由透明有机成型盒内装细铁粉、配条形磁铁组成。透明有机成型盒外形尺寸：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200mm×110mm×30mm，盒体下部一角应有释放铁粉的螺丝孔。</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AG2-8</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演示器由圆形立体磁感线演示器组成；圆形立体磁感线演示器由铆有可自动转动的软铁小指针366个，透明塑料制成6块立片（相向60°）及条形磁铁或圆柱形磁铁组成。上下两圆片的直径为170mm，组装后的高度为200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3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AG2-8</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磁感线演示板</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#1、产品由有孔塑料板、小磁针、脚及条形磁铁组成。塑料板为透明有机板注塑成形，内封小针576个，外形尺寸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为250mm×250mm。小磁针直径约1mm，长约4mm，为黑色，磁针在板内孔中应转动灵活。脚为塑料，高为12mm。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AG2-8</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#1、产品由透明底座、方线圈、圆线圈、螺线管组成。底座尺寸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为：178×138×38mm。方线圈（60×60mm),圆线圈（Φ35mm），螺线管（Φ55mm）采用优质铜线。</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AG2-8</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菱形小磁针</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#1、一套16个，带底座，小磁针宽大于3mm </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2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AG2-8</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翼形磁针</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#1.磁学仪器，供演示磁体的指向性和磁极的相互作用。有垂直翼形针体和支座两部分。一对装。磁针长度140mm、宽8mm，塑料底座直径70mm。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小型电动机实验器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#1、模型主要由机架、转子、转轴螺钉、磁钢、磁钢架、换向器、电刷、接线柱、一字螺丝刀、扳手、连接导线组成。机架用优质工程塑料制作，外形尺寸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为93.5mm×48.6mm×90.5mm，磁钢尺寸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为20mm×20mm×19.5mm，换向器、电刷用磷铜制作，连接导线两端为Y型线夹。</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电磁铁实验器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#1、产品由螺旋管3支、铁芯2支、连接片1个、衔铁1个、铃声1个及塑料盒组成。铁芯直径5mm，长47mm。线圈骨架长44mm，为弹簧装置。盒体尺寸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：116mm×77mm×28mm。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电铃</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产品为立式结构，由电磁铁、衔铁、铁铃、衬板和底座组成。工作电压：直流3～6V。外形尺寸：约85mm×85mm×190mm。影响效果在15米范围内铃声清晰。电磁铁线圈的直流电阻为10～20Ω。衔铁的触点为铜质。电路导线的走向应醒目整齐。铁铃采用Φ55mm国产自行车铃盖。底板应放置平稳。</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AG2-9</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演示电磁继电器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#1、演示用，主要由电磁系统和触点系统两部分组成。电磁系统包括：电磁线圈、铁芯、轭铁、衔铁，触点系统包括：常开、常闭触点各一对。卧式或立式吸合电流不大于48mA。金属表面电镀处理。底座尺寸：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167mm×106mm×22mm。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AG2-9</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电磁继电器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#1、分组用。主要由电磁线圈、铁芯、轭铁、衔铁、常开、常闭触点各一对等组成。底座外形尺寸：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70mm×50mm×10mm。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5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AG2-9</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磁场对电流作用实验器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#1、仪器由底座、U型磁钢架、活动轨道2根、空心铜管（导电管）、框架1套、连接导线2根组成。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#2、底座应采用塑料注塑成型，表面平整光滑，无变形现象，外形尺寸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165mm×106mm×23mm，底座上应有外接用接线柱和活动导轨用四个插孔。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#3、U型磁钢架外形尺寸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98mm×40mm×74mm，内置两块永磁铁。磁铁固定在U型架上可靠。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#4、接入电源DC4V-6V；活动轨道直径3.5mm，长140mm，两端为弹性插头，插接方便，固定可靠。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#5、空心铜管外径5mm,内径4mm,长100mm。框架外形尺寸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80mm×72mm，附两根接线带叉。附带鱼夹头导线两根（一红一黑）。</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AG2-9</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能的转化实验器</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#1、产品由底座、电机、支架、手轮、电池盒、风叶、发光二极管及开关组成。底座采用塑料注塑成型，外形尺寸：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145mm×100mm×20mm。所有组件均安装在底座上，底座上印刷线路应正确、清晰。</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AG2-9</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磁悬浮演示器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#1、仪器由底座，浮体及挡板组成。</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66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AG2-9</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原副线圈</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原副线圈由原线圈、副线圈、软铁芯三部分组成。 原线圈骨架：圆筒内径 11mm；圆筒外径 15mm；绕线宽度 57mm。 付线圈骨架：圆筒内径 24mm；圆筒外径 30mm；绕线宽度 50mm。铁芯：Φ 10mm；长度 不小于77mm。 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60mm×40mm×88mm。 原</w:t>
            </w:r>
            <w:r>
              <w:rPr>
                <w:rFonts w:hint="eastAsia" w:ascii="宋体" w:hAnsi="宋体" w:cs="宋体"/>
                <w:i w:val="0"/>
                <w:iCs w:val="0"/>
                <w:color w:val="auto"/>
                <w:sz w:val="21"/>
                <w:szCs w:val="21"/>
                <w:highlight w:val="none"/>
                <w:u w:val="none"/>
                <w:lang w:val="en-US" w:eastAsia="zh-CN" w:bidi="ar"/>
              </w:rPr>
              <w:t xml:space="preserve">副线圈</w:t>
            </w:r>
            <w:r>
              <w:rPr>
                <w:rFonts w:hint="eastAsia" w:ascii="宋体" w:hAnsi="宋体" w:eastAsia="宋体" w:cs="宋体"/>
                <w:i w:val="0"/>
                <w:iCs w:val="0"/>
                <w:color w:val="auto"/>
                <w:sz w:val="21"/>
                <w:szCs w:val="21"/>
                <w:highlight w:val="none"/>
                <w:u w:val="none"/>
                <w:lang w:val="en-US" w:eastAsia="zh-CN" w:bidi="ar"/>
              </w:rPr>
              <w:t xml:space="preserve">骨架用黑色塑料制成，表面光洁。付线圈底座平整，直立于平面时不应晃动。</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AG2-9</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光具盘</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#1、分离型、磁吸附式。矩形光盘长≥650 mm，宽≥240 mm；圆形光盘直径≥245 mm。盘面分四个象限，以一条直径为始边，分别刻有0°～90°刻度。半导体激光光源，可显示 5条平行光。光学零件：梯形玻砖 1 件，等腰直角棱镜 1 件，半圆柱透镜 1 件，小双凹柱透镜 1 件，小双凸柱透镜 1 件，大双凸柱透镜 1 件，平面镜 1 件，凹凸柱面镜 1 件，正三棱镜 2 件</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5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凹面镜</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本配置为面镜、镜框、支架、镜座（各1个）组成；凹面镜的直径为100±2mm；焦距为65±10mm；基片采用普通玻璃制成，在距基片中心三分之二半径范围内，不得有目测到的气泡、结石和条纹；反射膜镀层应均匀，有牢固的保护层；镜框、支架、镜座均为塑料结构，整机应有足够的稳度；镜面可前后移动。</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凸面镜</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本配置为面镜、镜框、支架、镜座（各1个）组成；凸面镜的直径为100±2mm；焦距为-65±10mm；基片采用普通玻璃制成，在距基片中心三分之二半径范围内，不得有目测到的气泡、结石和条纹；反射膜镀层应均匀，有牢固的保护层；镜框、支架、镜座均为塑料结构，整机应有足够的稳度；镜面可前后移动。</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12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AG2-10</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玻璃砖</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#1、长方形玻璃砖。外形尺寸：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80mm×45mm×15mm。</w:t>
            </w:r>
            <w:r>
              <w:rPr>
                <w:rFonts w:hint="eastAsia" w:ascii="宋体" w:hAnsi="宋体" w:cs="宋体"/>
                <w:i w:val="0"/>
                <w:iCs w:val="0"/>
                <w:color w:val="auto"/>
                <w:sz w:val="21"/>
                <w:szCs w:val="21"/>
                <w:highlight w:val="none"/>
                <w:u w:val="none"/>
                <w:lang w:val="en-US" w:eastAsia="zh-CN" w:bidi="ar"/>
              </w:rPr>
              <w:t xml:space="preserve">两端</w:t>
            </w:r>
            <w:r>
              <w:rPr>
                <w:rFonts w:hint="eastAsia" w:ascii="宋体" w:hAnsi="宋体" w:eastAsia="宋体" w:cs="宋体"/>
                <w:i w:val="0"/>
                <w:iCs w:val="0"/>
                <w:color w:val="auto"/>
                <w:sz w:val="21"/>
                <w:szCs w:val="21"/>
                <w:highlight w:val="none"/>
                <w:u w:val="none"/>
                <w:lang w:val="en-US" w:eastAsia="zh-CN" w:bidi="ar"/>
              </w:rPr>
              <w:t xml:space="preserve">侧面和一正面磨砂，</w:t>
            </w:r>
            <w:r>
              <w:rPr>
                <w:rFonts w:hint="eastAsia" w:ascii="宋体" w:hAnsi="宋体" w:cs="宋体"/>
                <w:i w:val="0"/>
                <w:iCs w:val="0"/>
                <w:color w:val="auto"/>
                <w:sz w:val="21"/>
                <w:szCs w:val="21"/>
                <w:highlight w:val="none"/>
                <w:u w:val="none"/>
                <w:lang w:val="en-US" w:eastAsia="zh-CN" w:bidi="ar"/>
              </w:rPr>
              <w:t xml:space="preserve">其他</w:t>
            </w:r>
            <w:r>
              <w:rPr>
                <w:rFonts w:hint="eastAsia" w:ascii="宋体" w:hAnsi="宋体" w:eastAsia="宋体" w:cs="宋体"/>
                <w:i w:val="0"/>
                <w:iCs w:val="0"/>
                <w:color w:val="auto"/>
                <w:sz w:val="21"/>
                <w:szCs w:val="21"/>
                <w:highlight w:val="none"/>
                <w:u w:val="none"/>
                <w:lang w:val="en-US" w:eastAsia="zh-CN" w:bidi="ar"/>
              </w:rPr>
              <w:t xml:space="preserve">三面为光面。玻璃砖精加工面不允许有目测划痕和砂眼，边缘</w:t>
            </w:r>
            <w:r>
              <w:rPr>
                <w:rFonts w:hint="eastAsia" w:ascii="宋体" w:hAnsi="宋体" w:cs="宋体"/>
                <w:i w:val="0"/>
                <w:iCs w:val="0"/>
                <w:color w:val="auto"/>
                <w:sz w:val="21"/>
                <w:szCs w:val="21"/>
                <w:highlight w:val="none"/>
                <w:u w:val="none"/>
                <w:lang w:val="en-US" w:eastAsia="zh-CN" w:bidi="ar"/>
              </w:rPr>
              <w:t xml:space="preserve">不允</w:t>
            </w:r>
            <w:r>
              <w:rPr>
                <w:rFonts w:hint="eastAsia" w:ascii="宋体" w:hAnsi="宋体" w:eastAsia="宋体" w:cs="宋体"/>
                <w:i w:val="0"/>
                <w:iCs w:val="0"/>
                <w:color w:val="auto"/>
                <w:sz w:val="21"/>
                <w:szCs w:val="21"/>
                <w:highlight w:val="none"/>
                <w:u w:val="none"/>
                <w:lang w:val="en-US" w:eastAsia="zh-CN" w:bidi="ar"/>
              </w:rPr>
              <w:t xml:space="preserve">许有裂、碎、缺角。</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21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AG2-10</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光具座</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#1、产品由平凸透镜（Φ=50mm、F=300±12mm）1件、双凸透镜（Φ=30mm、F=50±3mm）1件、毛玻璃屏带支架（80mm×118mm）1件、1字屏（80mm×105mm）1件、</w:t>
            </w:r>
            <w:r>
              <w:rPr>
                <w:rFonts w:hint="eastAsia" w:ascii="宋体" w:hAnsi="宋体" w:eastAsia="宋体" w:cs="宋体"/>
                <w:i w:val="0"/>
                <w:iCs w:val="0"/>
                <w:color w:val="auto"/>
                <w:sz w:val="21"/>
                <w:szCs w:val="21"/>
                <w:highlight w:val="none"/>
                <w:u w:val="none"/>
                <w:lang w:val="en-US" w:eastAsia="zh-CN" w:bidi="ar"/>
              </w:rPr>
              <w:t xml:space="preserve">烛台1件、插杆5根、光源（DC6V、8W）配有Φ36mmF=50mm的双凸透镜1套、滑块4只、双凸透镜（Φ=40mm、F=100±3mm）1件、双凹透镜（Φ=30mm、F=-75±5mm）1件、白屏（80mm×105mm）1件、刻度尺1根、底座2件、导轨2根等组成。导轨采用不锈钢管制成，外径约16mm。标尺：总长约960mm,宽为18mm；刻线长度900mm,最小刻度为1mm。滑块采用ABS塑料注塑成型，滑块和支架的插杆孔中心在一条线上，指示刻线与标尺间隙约3mm。插杆直径约6mm，长约75mm，表面镀铬。</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9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AG2-10</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光具组</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光学元件、毛玻璃屏、1字屏、白屏、烛台、底座、插杆、支架及光源组成。平行光源：光源用电压6-8V，功率不小于3W的灯泡。透镜：F=100±2mm，Φ=40mm；F=50±2mm，Φ=30mm；F=300±12mm，Φ=50mm；F=-75±4.5mm，Φ=30mm。底座4只为塑料制品，底座上应有锁紧螺丝、可使插杆上下移动。插杆为金属制5根，表面电镀处理，直径6mm，长75mm，一端为连接丝杆为M4。</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AG2-10</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三棱镜</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#1．产品由三棱镜、托架、支柱、底座等组成。三棱镜体外形为正三棱柱，边长25mm，相邻两角为60±0.5°，棱长80mm。三棱镜体能作任意方向的转动，并能停止在任意位置。</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AG2-10</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白光的色散与合成演示器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#1、由棱镜、棱镜台、白屏、支杆及光源等组成。棱镜为重量火石玻璃，顶角为60°。光源额定电压为6-8V。</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AG2-10</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透镜及其应用实验器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#1、产品由凸透镜、凹透镜、支架和底座组成。凹凸透镜直径46mm。塑料框架及支杆，支杆直径10mm、长54mm。塑料底座直径64mm。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AG2-10</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平面镜成像实验器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#1、由平面镜1个、平面镜支架1对、带刻度三角尺、像物2个组成。平面镜尺寸约：120mm×70mm，厚度5mm。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72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AG2-10</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光的传播、反射、折射实验器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要配置及特征参数：由演示板、红色激光光源、绿色激光光源、光学配件（凸凹面镜、半圆玻璃砖、双凸透镜、双凹透镜、梯形玻璃砖、等边三角形玻璃砖、直角等腰三角玻璃砖、平面镜）、漫反射镜、水箱圆盘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#2.技术指标：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演示板：外形尺寸≥666*470mm（±5mm）；上下为铝型材结构，具有良好的抗拉强度，表面黑色氧化细喷砂处理,左右为ABS塑料精密注塑成型边框；表盘外径300mm，盘面分四个象限，以一条直径为始边，分别刻有 0°～90°刻度：功能描述：整体为磁吸附式结构，可吸附激光光源、水箱圆盘、光学配件等进行相应光学实验；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光学零件：产品组成：凸凹面镜、半圆玻璃砖、双凸透镜、双凹透镜、梯形玻璃砖、等边三角形玻璃砖、直角等腰三角玻璃砖、平面镜；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规格：统一厚度20mm；主要材质：PMMA；工艺：精加工、抛光；功能描述：磁吸式，配合激光光源可直接或吸附在本演示板或其他磁性材料上进行光线折射等相应光学实验；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水箱圆盘：规格：≥φ250mm*34mm（±5mm）；主要材质：PMMA；功能描述：磁吸式，可放入水等液体进行不同物质界面的折射实验；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#3.能够完成的教学演示：光的传播；光的反射；光的折射。</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w:t>
            </w:r>
            <w:r>
              <w:rPr>
                <w:rFonts w:hint="eastAsia" w:ascii="宋体" w:hAnsi="宋体" w:cs="宋体"/>
                <w:i w:val="0"/>
                <w:iCs w:val="0"/>
                <w:color w:val="auto"/>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激光笔</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#1、产品由塑胶笔身和激光头、</w:t>
            </w:r>
            <w:r>
              <w:rPr>
                <w:rFonts w:hint="eastAsia" w:ascii="宋体" w:hAnsi="宋体" w:cs="宋体"/>
                <w:i w:val="0"/>
                <w:iCs w:val="0"/>
                <w:color w:val="auto"/>
                <w:sz w:val="21"/>
                <w:szCs w:val="21"/>
                <w:highlight w:val="none"/>
                <w:u w:val="none"/>
                <w:lang w:val="en-US" w:eastAsia="zh-CN" w:bidi="ar"/>
              </w:rPr>
              <w:t xml:space="preserve">纽扣电池</w:t>
            </w:r>
            <w:r>
              <w:rPr>
                <w:rFonts w:hint="eastAsia" w:ascii="宋体" w:hAnsi="宋体" w:eastAsia="宋体" w:cs="宋体"/>
                <w:i w:val="0"/>
                <w:iCs w:val="0"/>
                <w:color w:val="auto"/>
                <w:sz w:val="21"/>
                <w:szCs w:val="21"/>
                <w:highlight w:val="none"/>
                <w:u w:val="none"/>
                <w:lang w:val="en-US" w:eastAsia="zh-CN" w:bidi="ar"/>
              </w:rPr>
              <w:t xml:space="preserve">组成。</w:t>
            </w:r>
            <w:r>
              <w:rPr>
                <w:rFonts w:hint="eastAsia" w:ascii="宋体" w:hAnsi="宋体" w:cs="宋体"/>
                <w:i w:val="0"/>
                <w:iCs w:val="0"/>
                <w:color w:val="auto"/>
                <w:sz w:val="21"/>
                <w:szCs w:val="21"/>
                <w:highlight w:val="none"/>
                <w:u w:val="none"/>
                <w:lang w:val="en-US" w:eastAsia="zh-CN" w:bidi="ar"/>
              </w:rPr>
              <w:t xml:space="preserve">适用范围</w:t>
            </w:r>
            <w:r>
              <w:rPr>
                <w:rFonts w:hint="eastAsia" w:ascii="宋体" w:hAnsi="宋体" w:eastAsia="宋体" w:cs="宋体"/>
                <w:i w:val="0"/>
                <w:iCs w:val="0"/>
                <w:color w:val="auto"/>
                <w:sz w:val="21"/>
                <w:szCs w:val="21"/>
                <w:highlight w:val="none"/>
                <w:u w:val="none"/>
                <w:lang w:val="en-US" w:eastAsia="zh-CN" w:bidi="ar"/>
              </w:rPr>
              <w:t xml:space="preserve">7-15m，波长650 nm。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69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光的三原色合成实验器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仪器使用光源为红、绿、蓝发光二极管。工作电压：DC4.5V内置（3节5号电池）也可外接电源，三色光分别为开关控制、实验时单色光斑在观察屏上的直径30±１mm（可直视）。三色光斑互相重叠部分呈白色，红、蓝色光斑重叠部分为品红色，红、绿色光斑重叠部分为黄色，蓝、绿色光斑重叠部分为青色，实验效果明显。</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5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AG2-11</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放大镜</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放大镜由透镜、镜框及压圈组成，有效通光孔径≥40mm。镜圈采用硬质塑料制成，表面平整清洁、无划痕、溶迹、缩迹、气泡和烧粉夹生现象，边缘无毛刺、变形、破边和凹凸不平。透镜用光学玻璃制成，表面应清洁无麻点、擦痕及划痕，外型端正、焦距正确。透镜与镜圈结合紧密，无晃动及透镜脱出现象。透镜成像清晰，无畸变现象，放大倍数≥3X。手把用塑料制成，表面平整、无划痕、溶迹、缩迹。手把与镜圈连接牢固，无断裂现象。</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AG2-11</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#1、10mL</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AG2-11</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#1、50mL</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AG2-11</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#1、100mL</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AG2-11</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量杯</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#1、250mL</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AG2-11</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#1、Φ15mm×150mm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AG2-11</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#1、Φ30mm×200mm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AG2-11</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#1、250mL</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#1、500mL</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#1、圆、长，500mL   </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AG2-12</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#1、平、长，250mL</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AG2-12</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#1、150mL</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AG2-12</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AG2-12</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平底管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#1、Φ12mm×150mm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AG2-12</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T形管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#1、T形</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AG2-12</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可密封长玻璃管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#1、内径10mm×800mm，有胶塞，带刻度衬板</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AG2-12</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镊子</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#1、不锈钢或不锈铁，小号125mm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AG2-12</w:t>
            </w: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石棉网</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#1、由金属网和附在网上的石棉组成</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#1、Φ7～Φ8mm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乳胶管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#1、5*7mm，乳胶制品</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AG2-13</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蒸发皿</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#1．瓷，Φ60-75mm，附中铁圈。皿口内径：Φ60mm±2mm；皿高约为外径的1/2。白色无杂色。</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电工材料</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#1、鳄鱼夹红黑各4个、香蕉插座红黑各4个、香蕉插头红黑各4个、电阻丝1根、接线叉红黑各4个、导线两色各1米。</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电子元件(工业产品)</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#1、线绕电阻（5Ω4W1只、10Ω4W1只、20Ω4W1只）、电阻(100Ω、200Ω、1KΩ、2KΩ、10KΩ、20KΩ、47KΩ、100KΩ、220KΩ)、电容（0.01pf、510pf、100pf、0.02pf</w:t>
            </w:r>
            <w:r>
              <w:rPr>
                <w:rFonts w:hint="eastAsia" w:ascii="宋体" w:hAnsi="宋体" w:eastAsia="宋体" w:cs="宋体"/>
                <w:i w:val="0"/>
                <w:iCs w:val="0"/>
                <w:color w:val="auto"/>
                <w:sz w:val="21"/>
                <w:szCs w:val="21"/>
                <w:highlight w:val="none"/>
                <w:u w:val="none"/>
                <w:lang w:val="en-US" w:eastAsia="zh-CN" w:bidi="ar"/>
              </w:rPr>
              <w:t xml:space="preserve">、0.1Mf各一）、电感2.5Mf、光敏电阻、干簧管、二极管（2AP9、4001各二）、发光二极管（Φ5、Φ8各二）、三极管（3AX、3AG、9013、9014、9018）、电解电容（10uf、100uf二只、470uf）、可控硅、小话筒、可变电阻47KΩ、电位器470KΩ、旋钮Φ6Φ4.5各一、可变电容203pf、功率放大集成电路一套、音乐集成电路、喇叭8Ω、磁棒天线、导线（60、100、150、200mm长各10根）、小灯座2个、灯泡、电池盒5号二只、开关（拨动式、按键式）、接线夹10个、松香、焊锡丝、</w:t>
            </w:r>
            <w:r>
              <w:rPr>
                <w:rFonts w:hint="eastAsia" w:ascii="宋体" w:hAnsi="宋体" w:cs="宋体"/>
                <w:i w:val="0"/>
                <w:iCs w:val="0"/>
                <w:color w:val="auto"/>
                <w:sz w:val="21"/>
                <w:szCs w:val="21"/>
                <w:highlight w:val="none"/>
                <w:u w:val="none"/>
                <w:lang w:val="en-US" w:eastAsia="zh-CN" w:bidi="ar"/>
              </w:rPr>
              <w:t xml:space="preserve">电烙铁</w:t>
            </w:r>
            <w:r>
              <w:rPr>
                <w:rFonts w:hint="eastAsia" w:ascii="宋体" w:hAnsi="宋体" w:eastAsia="宋体" w:cs="宋体"/>
                <w:i w:val="0"/>
                <w:iCs w:val="0"/>
                <w:color w:val="auto"/>
                <w:sz w:val="21"/>
                <w:szCs w:val="21"/>
                <w:highlight w:val="none"/>
                <w:u w:val="none"/>
                <w:lang w:val="en-US" w:eastAsia="zh-CN" w:bidi="ar"/>
              </w:rPr>
              <w:t xml:space="preserve">、连接板、螺批（十字、一字）。吸塑定位纸盒包装。</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新材料样品</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#1、塑料盒体包装，上盖透明。盒底贴有标签（纳米材料、超导材料、形状记忆合金、单晶和多晶、光导纤维、隐形材料），尺寸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：206mm×125mm×35mm。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7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家庭电路器材</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#1、器材由空气开关、漏电保护器、螺丝口灯座、三孔插座、三孔插头、插入式保险盒、拉线开关、按钮开关、声控开关、光控开关、导线组成</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一般材料</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锌片、铜片、磁性橡胶片、小钢球、乒乓球2个、大头针、回形针、保险管(1A、2A、3A、5A各2只)、焊锡、松香、橡皮泥2块、绝缘胶布、透明胶带、小蜡烛、塑料板、灯芯、玻璃板、毛巾、擦布、橡皮筋10根、气球2个、塑料袋、纸板2张。吸塑定位纸盒包装。</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彩色透光片</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#1、仪器由红、绿、蓝三个直径不小于60mm的透光片组成。</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颜料的三原色</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#1、红、黄、蓝颜料各1支，调色盘1个及调色笔1支组成。调色盘为塑料，</w:t>
            </w:r>
            <w:r>
              <w:rPr>
                <w:rFonts w:hint="eastAsia" w:ascii="宋体" w:hAnsi="宋体" w:cs="宋体"/>
                <w:i w:val="0"/>
                <w:iCs w:val="0"/>
                <w:color w:val="auto"/>
                <w:sz w:val="21"/>
                <w:szCs w:val="21"/>
                <w:highlight w:val="none"/>
                <w:u w:val="none"/>
                <w:lang w:val="en-US" w:eastAsia="zh-CN" w:bidi="ar"/>
              </w:rPr>
              <w:t xml:space="preserve">内含</w:t>
            </w:r>
            <w:r>
              <w:rPr>
                <w:rFonts w:hint="eastAsia" w:ascii="宋体" w:hAnsi="宋体" w:eastAsia="宋体" w:cs="宋体"/>
                <w:i w:val="0"/>
                <w:iCs w:val="0"/>
                <w:color w:val="auto"/>
                <w:sz w:val="21"/>
                <w:szCs w:val="21"/>
                <w:highlight w:val="none"/>
                <w:u w:val="none"/>
                <w:lang w:val="en-US" w:eastAsia="zh-CN" w:bidi="ar"/>
              </w:rPr>
              <w:t xml:space="preserve">8个及颜料格和1个混合区。</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测电笔</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#1、80-500V</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一字螺丝刀</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#1、中号，塑料手柄，长度为160mm。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十字螺丝刀</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#1、中号，塑料手柄，长度为160mm。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尖嘴</w:t>
            </w:r>
            <w:r>
              <w:rPr>
                <w:rFonts w:hint="eastAsia" w:ascii="宋体" w:hAnsi="宋体" w:eastAsia="宋体" w:cs="宋体"/>
                <w:i w:val="0"/>
                <w:iCs w:val="0"/>
                <w:color w:val="auto"/>
                <w:sz w:val="21"/>
                <w:szCs w:val="21"/>
                <w:highlight w:val="none"/>
                <w:u w:val="none"/>
                <w:lang w:val="en-US" w:eastAsia="zh-CN" w:bidi="ar"/>
              </w:rPr>
              <w:t xml:space="preserve">钳</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#1、中号，其他符合执行QB/T 2442.3</w:t>
            </w:r>
            <w:r>
              <w:rPr>
                <w:rFonts w:hint="eastAsia" w:ascii="宋体" w:hAnsi="宋体" w:cs="宋体"/>
                <w:i w:val="0"/>
                <w:iCs w:val="0"/>
                <w:color w:val="auto"/>
                <w:sz w:val="21"/>
                <w:szCs w:val="21"/>
                <w:highlight w:val="none"/>
                <w:u w:val="none"/>
                <w:lang w:val="en-US" w:eastAsia="zh-CN" w:bidi="ar"/>
              </w:rPr>
              <w:t xml:space="preserve">-2007</w:t>
            </w:r>
            <w:r>
              <w:rPr>
                <w:rFonts w:hint="eastAsia" w:ascii="宋体" w:hAnsi="宋体" w:eastAsia="宋体" w:cs="宋体"/>
                <w:i w:val="0"/>
                <w:iCs w:val="0"/>
                <w:color w:val="auto"/>
                <w:sz w:val="21"/>
                <w:szCs w:val="21"/>
                <w:highlight w:val="none"/>
                <w:u w:val="none"/>
                <w:lang w:val="en-US" w:eastAsia="zh-CN" w:bidi="ar"/>
              </w:rPr>
              <w:t xml:space="preserve">标准。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投影片绘制工具</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#1、投影片绘制工具由12色油性彩色画笔、塑料三角板、塑料量角器及塑料直尺组成。</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#1、纯白色，由布料制成，长度不小于90cm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护目镜</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#1、防强光，上部衰减10倍～20倍，下部透射比≥75％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手套</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#1、线织手套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望远镜</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#1、双筒，目镜口径30mm，物镜口径50mm。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天文望远镜</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#1.由镜筒、支架、脚架组成；镜筒由主镜和寻星镜两部分组成，两镜筒均为防尘密封式</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机械停表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#1、0.1s</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机械停钟</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#1、0.1s</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18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电子停表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#1、教学用电子秒表，采用电子芯片，电池电压为1.5V。外包装应采用防潮、防尘的硬纸盒包装，盒面与盒体采用纽扣式</w:t>
            </w:r>
            <w:r>
              <w:rPr>
                <w:rFonts w:hint="eastAsia" w:ascii="宋体" w:hAnsi="宋体" w:cs="宋体"/>
                <w:i w:val="0"/>
                <w:iCs w:val="0"/>
                <w:color w:val="auto"/>
                <w:sz w:val="21"/>
                <w:szCs w:val="21"/>
                <w:highlight w:val="none"/>
                <w:u w:val="none"/>
                <w:lang w:val="en-US" w:eastAsia="zh-CN" w:bidi="ar"/>
              </w:rPr>
              <w:t xml:space="preserve">连接</w:t>
            </w:r>
            <w:r>
              <w:rPr>
                <w:rFonts w:hint="eastAsia" w:ascii="宋体" w:hAnsi="宋体" w:eastAsia="宋体" w:cs="宋体"/>
                <w:i w:val="0"/>
                <w:iCs w:val="0"/>
                <w:color w:val="auto"/>
                <w:sz w:val="21"/>
                <w:szCs w:val="21"/>
                <w:highlight w:val="none"/>
                <w:u w:val="none"/>
                <w:lang w:val="en-US" w:eastAsia="zh-CN" w:bidi="ar"/>
              </w:rPr>
              <w:t xml:space="preserve">。数据可精确到0.01s。秒表计时应带有简易计时、分段计时、两段时间显示，且必须带暂停按钮。秒表具有每小时报时，每日定时响闹及自动重响功能，应可显示时间，12及24小时制式，日历、星期、防水，防震结构等功能。</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电子停钟</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#1、0.1s</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节拍器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#1、电子式、带拾音器、具有节拍、校音、定音等功能。节拍速度：20-200拍/分 ，拍子型：0、1、2、3、4、5、6、7、8、9，音量调节：</w:t>
            </w:r>
            <w:r>
              <w:rPr>
                <w:rFonts w:hint="eastAsia" w:ascii="宋体" w:hAnsi="宋体" w:cs="宋体"/>
                <w:i w:val="0"/>
                <w:iCs w:val="0"/>
                <w:color w:val="auto"/>
                <w:sz w:val="21"/>
                <w:szCs w:val="21"/>
                <w:highlight w:val="none"/>
                <w:u w:val="none"/>
                <w:lang w:val="en-US" w:eastAsia="zh-CN" w:bidi="ar"/>
              </w:rPr>
              <w:t xml:space="preserve">旋钮</w:t>
            </w:r>
            <w:r>
              <w:rPr>
                <w:rFonts w:hint="eastAsia" w:ascii="宋体" w:hAnsi="宋体" w:eastAsia="宋体" w:cs="宋体"/>
                <w:i w:val="0"/>
                <w:iCs w:val="0"/>
                <w:color w:val="auto"/>
                <w:sz w:val="21"/>
                <w:szCs w:val="21"/>
                <w:highlight w:val="none"/>
                <w:u w:val="none"/>
                <w:lang w:val="en-US" w:eastAsia="zh-CN" w:bidi="ar"/>
              </w:rPr>
              <w:t xml:space="preserve">调节，节拍误差：小于0.5%。</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沙漏</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#1、计时仪器，塑料底座，透明玻璃体，内装细砂：尺寸：不小于（14.5*8cm）计时:30分钟</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日晷</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由晷针、晷面及支撑底座组成。 结构可分为地平式、赤道式。</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双向测力计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#1、双向，测量范围0-5N。</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握力计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#1、手握式</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拉力计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#1、由多根弹簧组成。</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紫外线作用演示器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#1、电源：AC 220V+22V 50</w:t>
            </w:r>
            <w:r>
              <w:rPr>
                <w:rFonts w:hint="eastAsia" w:ascii="宋体" w:hAnsi="宋体" w:cs="宋体"/>
                <w:i w:val="0"/>
                <w:iCs w:val="0"/>
                <w:color w:val="auto"/>
                <w:sz w:val="21"/>
                <w:szCs w:val="21"/>
                <w:highlight w:val="none"/>
                <w:u w:val="none"/>
                <w:lang w:val="en-US" w:eastAsia="zh-CN" w:bidi="ar"/>
              </w:rPr>
              <w:t xml:space="preserve">Hz</w:t>
            </w:r>
            <w:r>
              <w:rPr>
                <w:rFonts w:hint="eastAsia" w:ascii="宋体" w:hAnsi="宋体" w:eastAsia="宋体" w:cs="宋体"/>
                <w:i w:val="0"/>
                <w:iCs w:val="0"/>
                <w:color w:val="auto"/>
                <w:sz w:val="21"/>
                <w:szCs w:val="21"/>
                <w:highlight w:val="none"/>
                <w:u w:val="none"/>
                <w:lang w:val="en-US" w:eastAsia="zh-CN" w:bidi="ar"/>
              </w:rPr>
              <w:t xml:space="preserve"> ；6W日光灯；254nm紫外线灯  ；365nm紫外线灯 ；滤色片：52nm*70nm红、黄、蓝、绿各一片6、荧光片。通过与日光灯的比较，证实紫外线的存在，通过两种波长不同的紫外线灯发出的强烈紫外线，来说明紫外线的荧光、感光、产生臭氧的等性</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红外线作用演示器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#1、分红外线发现实验器、红外线性质说明器和红外线控制器三只仪器。</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手持直视分光镜</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#1、用于观察由炽热的固体或液体发出的光所生成的连续光谱或太阳光谱等</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克罗克斯辐射计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#1、底座直径8cm ,球直径9cm.整体高度不小于20cm。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07"/>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#1.主要配置及特征参数：由轨道型材底座、面板、导轨支架、塑料轨道、钢球等组成；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#2.轨道型材底座：尺寸规格：≥1200*80*25.4mm（±5mm）；材质工艺：铝，挤压拉模成型；表面处理工艺：黑色阳极氧化处理；功能描述：为塑料轨道提供安装固定的底座；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板面：尺寸规格：≥1200*230*5mm（±5mm）；材质工艺：黑色亚克力，雕刻机一体成型；表面处理工艺：双色精密丝印；功能描述：使得塑料轨道一端可调节不同的高度；能够完成的教学演示：伽利略理想斜面实验。</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气体浮力演示器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#1.主要配置及特征参数：抽气式，由透明筒、密封盖、泡沫柱、杠杆、游码、气阀等组成；能够完成的教学演示：气体对进入其中的物体会产生浮力。</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3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数字温度计</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#1.基础参数：1）产品材质：ABS工程塑料（坚固耐用，抗摔抗腐蚀）；2）主机：</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长290mm×宽100mm×高318mm；3）探针长度：120mm×φ5mm（可深入测量不同深度的物体温度）；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#2.温度测量参数：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1）测温范围：-50℃-300℃（满足实验及工业级多种温度测量需求）；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2）精度：±1℃（高精度测量，确保数据准确性）；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3）分辨率：0.1℃（能精确显示细微温度变化）；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4）响应时间：≤2秒（快速获取温度数据，提高工作效率）；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#3.显示屏参数：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1）类型：数码管双显示屏；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2）主屏尺寸：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240mm×64mm（清晰显示温度数值）；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3）小屏尺寸：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62mm×20mm（清晰监视温度数值）；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4）实时温度值（大字体显示，醒目易读）；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5）测温单位（℃）；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#4.电源参数：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1）供电方式：电源适配器DC-12v；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2）负温度超出量程显示：E50.0；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3)高温度超出量程显示：E300。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33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体重秤</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#1.量程0kg〜150kg，分度值1kg；</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橡胶塞</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#1、0～4号，应选用白色胶塞，质地均匀。</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AG2-1</w:t>
            </w:r>
            <w:r>
              <w:rPr>
                <w:rFonts w:hint="eastAsia" w:ascii="宋体" w:hAnsi="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电吹风</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#1、高转速马达，68米/秒高风速；快速干发智能恒温芯片59db低分贝。</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bl>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ectPr>
          <w:footnotePr/>
          <w:endnotePr/>
          <w:type w:val="nextPage"/>
          <w:pgSz w:w="11906" w:h="16838" w:orient="portrait"/>
          <w:pgMar w:top="1440" w:right="1080" w:bottom="1440" w:left="1080" w:header="851" w:footer="992" w:gutter="0"/>
          <w:cols w:num="1" w:sep="0" w:space="720" w:equalWidth="1"/>
          <w:docGrid w:linePitch="360"/>
        </w:sect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bl>
      <w:tblPr>
        <w:tblStyle w:val="701"/>
        <w:tblW w:w="1033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66"/>
        <w:gridCol w:w="1351"/>
        <w:gridCol w:w="6615"/>
        <w:gridCol w:w="735"/>
        <w:gridCol w:w="666"/>
      </w:tblGrid>
      <w:tr>
        <w:trPr>
          <w:trHeight w:val="567" w:hRule="exact"/>
        </w:trPr>
        <w:tc>
          <w:tcPr>
            <w:gridSpan w:val="5"/>
            <w:tcBorders>
              <w:top w:val="single" w:color="000000" w:sz="4" w:space="0"/>
              <w:left w:val="single" w:color="000000" w:sz="4" w:space="0"/>
              <w:bottom w:val="single" w:color="000000" w:sz="4" w:space="0"/>
              <w:right w:val="single" w:color="000000" w:sz="4" w:space="0"/>
            </w:tcBorders>
            <w:tcW w:w="10333" w:type="dxa"/>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AH-劳技教室1</w:t>
            </w:r>
            <w:r/>
          </w:p>
        </w:tc>
      </w:tr>
      <w:tr>
        <w:trPr>
          <w:trHeight w:val="540"/>
        </w:trPr>
        <w:tc>
          <w:tcPr>
            <w:tcBorders>
              <w:top w:val="single" w:color="000000" w:sz="4" w:space="0"/>
              <w:left w:val="single" w:color="000000" w:sz="4" w:space="0"/>
              <w:bottom w:val="single" w:color="auto" w:sz="4" w:space="0"/>
              <w:right w:val="single" w:color="000000" w:sz="4" w:space="0"/>
            </w:tcBorders>
            <w:tcW w:w="9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auto" w:sz="4" w:space="0"/>
              <w:right w:val="single" w:color="000000" w:sz="4" w:space="0"/>
            </w:tcBorders>
            <w:tcW w:w="135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auto" w:sz="4" w:space="0"/>
              <w:right w:val="single" w:color="000000" w:sz="4" w:space="0"/>
            </w:tcBorders>
            <w:tcW w:w="661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auto" w:sz="4" w:space="0"/>
              <w:right w:val="single" w:color="000000"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3335"/>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AH1-01</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教师操作台</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：2400（长）*700（宽）*850mm（高）；结构：整体结构设计合理，预留电脑主机、键盘托、实物展台、教师电源位置；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.台面：≥38mm厚实木板，台面需刷三层环保透明油漆；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.桌体：采用≥0.8mm厚镀锌钢板，CO2保护焊焊接，打磨处理，表面经耐酸碱烤漆处理，表面硬度附着力、耐腐蚀性；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.滑轨：三节重型滚珠滑轨；铰链：采用自动型大伸展角度，锌合金铰链；拉手：采用桥型金属拉手；脚垫：采用柜体内置可调ABS脚垫，。</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90"/>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AH1-02</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操作台</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2400（长）*1200（宽）*780mm（高）；结构：柜身为悬柜，采用≥16mm厚E1级环保三聚氰胺双饰面板制作。两侧各有4个方格子柜，内侧各有两个对开门储存柜；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.台面：≥38mm厚实木板，台面需刷三层环保透明油漆；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.钢架：钢架立柱采用横截面的尺寸≥60mm*40mm优质方钢，壁厚≥1.0mm；框架横梁横截面尺寸≥40mm*40mm，壁厚≥1.0mm。表面经酸洗磷化、纯环氧树脂塑粉高温固化处理，平整光滑；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.铰链：采用自动型大伸展角度，锌合金铰链；脚垫：采用ABS注塑脚垫。</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840"/>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AH1-03</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凳子（学生用)</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33*24*45（cm）；支架规格：主支撑脚采用40*20方钢管，拉挡为20*20方钢管，管材表面流水线静电喷塑处理，凳架常规为白色或者黑色。</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1080"/>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AH1-04</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多彩边台</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800*400*760mm；基材：优质环保刨花板，经过防潮、防虫、防腐化学处理，桌板厚度为25㎜, 2.0㎜厚的同色PVC封边；履面：双面贴环保浸渍纸饰面, 色泽匀称，耐磨度高。</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20"/>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AH1-05</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金工材料</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x150x3mm铁板1块，30x200x5mm扁铁1根，D12x200mm铁棒1支，D12x200mm黄铜棒1支，D20x200mm尼龙棒1支，D20x200mm铝棒1支，8支盒装（3-10mm）高速钢麻花钻头1套，24牙12寸钢锯条1盒（50根），3、4、5mm混装铆钉1袋，砂纸2张，38mm油漆刷1把，150ml防锈油1瓶,劳保手套1</w:t>
            </w:r>
            <w:r>
              <w:rPr>
                <w:rFonts w:hint="eastAsia" w:ascii="宋体" w:hAnsi="宋体" w:cs="宋体"/>
                <w:i w:val="0"/>
                <w:iCs w:val="0"/>
                <w:color w:val="auto"/>
                <w:sz w:val="21"/>
                <w:szCs w:val="21"/>
                <w:highlight w:val="none"/>
                <w:u w:val="none"/>
                <w:lang w:val="en-US" w:eastAsia="zh-CN" w:bidi="ar"/>
              </w:rPr>
              <w:t xml:space="preserve">副</w:t>
            </w:r>
            <w:r>
              <w:rPr>
                <w:rFonts w:hint="eastAsia" w:ascii="宋体" w:hAnsi="宋体" w:eastAsia="宋体" w:cs="宋体"/>
                <w:i w:val="0"/>
                <w:iCs w:val="0"/>
                <w:color w:val="auto"/>
                <w:sz w:val="21"/>
                <w:szCs w:val="21"/>
                <w:highlight w:val="none"/>
                <w:u w:val="none"/>
                <w:lang w:val="en-US" w:eastAsia="zh-CN" w:bidi="ar"/>
              </w:rPr>
              <w:t xml:space="preserve">，30x40cm擦机布2块。</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AH1-06</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铁板、铁皮</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#1.150*100*2mm；150*100*0.5mm钻床、台钻配套耗材。</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270"/>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AH1-07</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铝板</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#1.150*100*2mm；钻床、台钻配套耗材。</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270"/>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AH1-08</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铜板</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#1.150*100*1mm；钻床、台钻配套耗材。</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270"/>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AH1-09</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不锈钢板</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#1.150*100*1mm；钻床、台钻配套耗材。</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810"/>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AH1-10</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金属锤设计制作实验套件</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#1.铝条30×30×60mm，铝棒φ10×150mm。用于制作小铁锤；可进行划线、锯削、锉削，钻孔、攻丝、套丝、抛光等练习；2个课时完成；难度评定：中。结合配套教材，教学制作实践使用。</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810"/>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AH1-11</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螺母设计制作实验套件</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#1.Φ35×12圆钢*1；材料：Q235；用于制作六角螺母，可进行划线、锯削、锉削，钻孔、攻丝、抛光等练习；2个课时完成；锻炼学生动手动脑，手眼协调能力，难度程度：中。结合配套教材，教学制作实践使用。</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200"/>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AH1-12</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风铃制作材料包</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#1.风铃制作配件包含10*100mm、10*150mm、10*200mm铝合金管各10根，圆木片60*6mm6片，72号玉线风铃挂绳0.8mm长约900mm一卷；专用纸盒包装。</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AH1-13</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文宣装修</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技术参数要求同“AB1-44</w:t>
            </w:r>
            <w:r>
              <w:rPr>
                <w:rFonts w:hint="eastAsia" w:ascii="宋体" w:hAnsi="宋体" w:cs="宋体"/>
                <w:i w:val="0"/>
                <w:iCs w:val="0"/>
                <w:color w:val="auto"/>
                <w:sz w:val="21"/>
                <w:szCs w:val="21"/>
                <w:highlight w:val="none"/>
                <w:u w:val="none"/>
                <w:lang w:val="en-US" w:eastAsia="zh-CN" w:bidi="ar"/>
              </w:rPr>
              <w:t xml:space="preserve">文宣装修</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8"/>
        <w:gridCol w:w="1359"/>
        <w:gridCol w:w="6615"/>
        <w:gridCol w:w="750"/>
        <w:gridCol w:w="666"/>
      </w:tblGrid>
      <w:tr>
        <w:trPr>
          <w:trHeight w:val="567" w:hRule="exact"/>
        </w:trPr>
        <w:tc>
          <w:tcPr>
            <w:gridSpan w:val="5"/>
            <w:tcBorders>
              <w:top w:val="single" w:color="auto" w:sz="4" w:space="0"/>
              <w:left w:val="single" w:color="auto" w:sz="4" w:space="0"/>
              <w:bottom w:val="single" w:color="auto" w:sz="4" w:space="0"/>
              <w:right w:val="single" w:color="auto" w:sz="4" w:space="0"/>
            </w:tcBorders>
            <w:tcW w:w="1034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AI-劳技教室2</w:t>
            </w:r>
            <w:r/>
          </w:p>
        </w:tc>
      </w:tr>
      <w:tr>
        <w:trPr>
          <w:trHeight w:val="27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15"/>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AI1-01</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教师操作台</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2400（长）*700（宽）*850mm（高）；结构：整体结构设计合理，预留电脑主机、键盘托、实物展台、教师电源位置；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.台面：≥38mm厚实木板，台面需刷三层环保透明油漆；桌体：采用≥0.8/1.0mm厚镀锌钢板；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.滑轨：三节重型滚珠滑轨；铰链：采用自动型大伸展角度，锌合金铰链；拉手：采用桥型金属拉手；脚垫：采用柜体内置可调ABS脚垫。</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14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AI1-02</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学生桌</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长1500*宽750*高800mm；桌面材料:25mm高密复合材料；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.桌架材料：桌架均采用≥1.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mm冷轧钢焊接而成，加宽桌腿80*40mm,表面喷塑具有防锈、防水等；抽屉材料：抽屉面板双层1.0mm，其余均为正1.0mm裸板，喷塑后1.2mm，表面经过打磨、磷化、喷塑、高温烘烤而成。</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1385"/>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AI1-03</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凳子（学生用)</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33*24*45（cm）；支架规格：主支撑脚采用≥40*20方钢管，拉挡为≥20*20方钢管，管材表面流水线静电喷塑处理，凳架常规为白色或者黑色。</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37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AI1-04</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边柜（重型工作台）</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1200（长）*600（宽）*780mm（高）；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#2.台面：≥40mm厚实木板，台面需刷三层环保透明油漆；台身：采用≥1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mm环保三聚氰胺板，其截面由硬质PVC利用封边机械高温热压封边；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框架：（1）采用一次成型的铝型材制作，框架立柱为方管，框架的横梁为方管，通过ABS专用连接件组装而成，应保证组装接缝严密，连接牢固，无松动现象。（2）立柱横截面的尺寸≥52mm*52mm。框架的横梁横截面的规格：≥35mm*35mm，铝型材壁厚≥1.2mm。</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.铰链：采用自动型大伸展角度，锌合金铰链；拉手：采用C型不锈钢拉手；脚垫：规格φ42mm*H65mm，采用ABS工程塑料，模具注塑成形，可调节高低。</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3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AI1-05</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激光切割雕刻一体机（落地）</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#1.激光类型：CO2；激光功率：≥60W；工作区：400mm*600mm；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.雕刻速度：1-1200mm/s；雕刻厚度：1- 5mm；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.切割速度：1- 1200mm/s；切割厚度：1-10mm；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.重复定位精度：0.01mm；最小字符：字母1mm,汉字2mm；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.导轨：高精度直线方轨；驱动方式：数字细分步进驱动器；定位模式：红光定位；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.兼容软件：Artcut/Photoshop/Coreldraw/Auto CAD/Lasercut；</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647"/>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AI1-06</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激光切割机配套课程（中级）</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#1.课程简介：本课程为激光切割中级课程。在中级课程中，学生将基于课程提供的激光切割设计图，进行个性化的调整，并运用学习到的图纸绘图技巧进行重新设计，完成一系列较为复杂的平面作品。</w:t>
            </w:r>
            <w:r/>
          </w:p>
          <w:p>
            <w:pPr>
              <w:jc w:val="left"/>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#2.不少于16课时的课件PPT、教案、学案等教学资源课程</w:t>
            </w:r>
            <w:r>
              <w:rPr>
                <w:rFonts w:hint="eastAsia" w:ascii="宋体" w:hAnsi="宋体" w:cs="宋体"/>
                <w:i w:val="0"/>
                <w:iCs w:val="0"/>
                <w:color w:val="auto"/>
                <w:sz w:val="21"/>
                <w:szCs w:val="21"/>
                <w:highlight w:val="none"/>
                <w:u w:val="none"/>
                <w:lang w:val="en-US" w:eastAsia="zh-CN" w:bidi="ar"/>
              </w:rPr>
              <w:t xml:space="preserve">目录，如：</w:t>
            </w:r>
            <w:r>
              <w:rPr>
                <w:rFonts w:hint="eastAsia" w:ascii="宋体" w:hAnsi="宋体" w:eastAsia="宋体" w:cs="宋体"/>
                <w:i w:val="0"/>
                <w:iCs w:val="0"/>
                <w:color w:val="auto"/>
                <w:sz w:val="21"/>
                <w:szCs w:val="21"/>
                <w:highlight w:val="none"/>
                <w:u w:val="none"/>
                <w:lang w:val="en-US" w:eastAsia="zh-CN" w:bidi="ar"/>
              </w:rPr>
              <w:t xml:space="preserve">学习新技能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激光切割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绘图设计</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图纸的优化</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绘图小能手</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创意生活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创意书签</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创意杯垫</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精美钥匙扣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个性名片</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游戏王国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游戏花园</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游戏勋章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巧手拼图</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中国象棋</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动物世界</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小狗的一天</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兔子的冒险</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老虎之王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大象的奥秘</w:t>
            </w:r>
            <w:r>
              <w:rPr>
                <w:rFonts w:hint="eastAsia" w:ascii="宋体" w:hAnsi="宋体" w:cs="宋体"/>
                <w:i w:val="0"/>
                <w:iCs w:val="0"/>
                <w:color w:val="auto"/>
                <w:sz w:val="21"/>
                <w:szCs w:val="21"/>
                <w:highlight w:val="none"/>
                <w:u w:val="none"/>
                <w:lang w:val="en-US" w:eastAsia="zh-CN" w:bidi="ar"/>
              </w:rPr>
              <w:t xml:space="preserve">等；</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AI1-07</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激光切割机耗材包</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#1.椴木板尺寸：≥3mm*210*300  共25件；椴木板尺寸：≥5mm*210*300 共10件；奥松板尺寸：≥3mm*210*300 共25件；奥松板尺寸：≥5mm*210*300 共10件；牛皮纸尺寸：≥0.5mm*210*297 共20件；瓦楞纸尺寸：≥3mm*200*300 共30件；瓦楞纸尺寸：≥6mm*200*300 共10件；榉木板尺寸：≥3mm*100*200 共4件；透明亚克力尺寸：≥3mm*200*275 共4件；合计耗材数量超过120件。</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45"/>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AI1-08</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桌面激光切割机</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长*宽*高（mm）725*550*260；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#2.加工幅面：长*宽（mm）≥500*300；加工高度可达42mm；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#3.整机功率：110-240V，50~60Hz；平均功率150W；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#4.运行速度及精度：雕刻速度可达1000mm/s；加工精度可达0.01mm；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#5.运动系统及工作平台：基于嵌入式的高性能多轴运动控制系统；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#6.加工模块类型与功率：标配10W蓝光激光模组，支持高性能的其他加工头快拆更换；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.加工属性与能力：支持纸张、木材、塑料、皮革等多种耗材的雕刻与切割，支持金属打标，切割厚度不小于15mm（桐木板）；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.交互方式：智能触摸按键支持多元交互与控制；摇杆手柄支持离线端高分辨率灵敏微动；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操作方式：支持USB连接电脑在线加工；支持电脑端保存加工文件到SD卡进行离线加工；支持移动端通过Wifi连接设备远程加工；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.智能摄像系统：内置1600W像素智能高清广角摄像头，支持摄像头图像定位，支持摄像头拍照提取图像进行可视化加工；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.自动吹气系统：自动吹气管路，可接吹气单元加工；支持高压气路外接；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.对焦方式：支持激光自动对焦、支持手动对焦，能实现激光焦距自动校准；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.多种安全传感器辅助：内置安全状态门智能检测系统、火焰传感器智能检测燃烧状态、三轴加速度传感器智能检测倾斜角、十字红点激光定位加工范围，支持急停操作；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.照明系统与显示状态灯：支持工作区全局照明，辅助拍照加工；屏幕指示加工状态与工作进程；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.可扩展配套：可扩展配套其他加工头单元、可扩展增高台、可扩展外接气源、可扩展旋转轴单元、可扩展配套烟雾净化系统；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.配套软件：搭配轻量级激光软件，软件支持多系统平台；软件内包含布尔运算、形状偏移、阵列等便于设计的基础设计功能；支持激光刀具补偿；支持图片矢量化；支持图片可视化显示；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.配套移动端APP：配套自研移动端激光软件，支持移动端加工和操作；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18</w:t>
            </w:r>
            <w:r>
              <w:rPr>
                <w:rFonts w:hint="eastAsia" w:ascii="宋体" w:hAnsi="宋体" w:eastAsia="宋体" w:cs="宋体"/>
                <w:i w:val="0"/>
                <w:iCs w:val="0"/>
                <w:color w:val="auto"/>
                <w:sz w:val="21"/>
                <w:szCs w:val="21"/>
                <w:highlight w:val="none"/>
                <w:u w:val="none"/>
                <w:lang w:val="en-US" w:eastAsia="zh-CN" w:bidi="ar"/>
              </w:rPr>
              <w:t xml:space="preserve">.配套课程与教学资源：网上教学资源库。配备操作入门教学课程，初阶、中阶、高阶等教学课程。</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2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AI1-09</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烟雾净化器</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#1.烟雾净化器单元可使用风管连接携式智能激光雕切机，在连接风管后，在加工过程中产生的烟尘将通过净化器处理后再进行外排。实现了加工过程中无异味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净化器功率不小于200W，工作风压不少于3000PA，风量不小于350m3/h；整机密封静音，风噪小于60db；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#2.滤芯采用三重滤网结构，通过初效滤芯、中效滤芯、高效滤芯三层结构实现加工后气体气味吸附，实现加工无异味；滤芯支持独立更换，更换方便，易处理。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AI1-10</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桌面激光切割机耗材包</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#1.椴木板尺寸：≥3mm*210*300  共25件；椴木板尺寸：≥5mm*210*300 共10件；奥松板尺寸：≥3mm*210*300 共25件；奥松板尺寸：≥5mm*210*300 共10件；牛皮纸尺寸：≥0.5mm*210*297 共20件；瓦楞纸尺寸：≥3mm*200*300 共30件；瓦楞纸尺寸：≥6mm*200*300 共10件；榉木板尺寸：≥3mm*100*200 共4件；透明亚克力尺寸：≥3mm*200*275 共4件；合计耗材数量超过120件。</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4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AI1-11</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全金属弓形臂微型安全锯床</w:t>
            </w:r>
            <w:r/>
          </w:p>
        </w:tc>
        <w:tc>
          <w:tcPr>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#1.电机内置散热风扇达到延长寿命和增加马力 ；电机主轴皮带轮和被动轮全部为金属结构；主轴箱和电机箱为一体设计，电机可以前后移动调整皮带松紧；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.经过特殊设计,安全不伤手,就算锯齿碰到皮肤,也只会引起轻微的振动,不会割伤；可以直线,曲线任意切割；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.所有机械部分全部采用金属结构，如主轴箱，中间块，线锯箱底座，线锯箱，线锯台,连接块等都采用全金属结构,结构件和结构件之间利用2个梯形槽对接，用金属梯形连接块。</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80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AI1-12</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全金属微型安全金工车床</w:t>
            </w:r>
            <w:r/>
          </w:p>
        </w:tc>
        <w:tc>
          <w:tcPr>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#2.电机内置散热风扇达到延长寿命和增加马力 ；电机主轴皮带轮和被动轮全部为金属结构；主轴箱和电机箱为一体设计，电机可以前后移动调整皮带松紧。</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76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AI1-13</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全金属微型安全木工锣床</w:t>
            </w:r>
            <w:r/>
          </w:p>
        </w:tc>
        <w:tc>
          <w:tcPr>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#2.电机内置散热风扇达到延长寿命和增加马力 ；电机主轴皮带轮和被动轮全部为金属结构；主轴箱和电机箱为一体设计，电机可以前后移动调整皮带松紧。</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58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AI1-14</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全金属万能摇臂微型安全钻床</w:t>
            </w:r>
            <w:r/>
          </w:p>
        </w:tc>
        <w:tc>
          <w:tcPr>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#2.电机内置散热风扇达到延长寿命和增加马力 ；电机主轴皮带轮和被动轮全部为金属结构；主轴箱和电机箱为一体设计，电机可以前后移动调整皮带松紧；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.配合分度盘使用，可以对圆形工件进行等分钻孔加工；分度盘上有三组圆周等份分布的小孔，分别是36、40、48个小孔.可以根据实际需要选择分度孔的组别。</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36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AI1-15</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全金属万能摇臂微型安全铣床</w:t>
            </w:r>
            <w:r/>
          </w:p>
        </w:tc>
        <w:tc>
          <w:tcPr>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#2.电机内置散热风扇达到延长寿命和增加马力 ；电机主轴皮带轮和被动轮全部为金属结构；主轴箱和电机箱为一体设计，电机可以前后移动调整皮带松紧；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.铣床用的刀具是铣刀，铣刀的侧面和前面都是刀刃，有一定的危险性，所以一定要在专业人士的指导下使用。</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AI1-16</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全金属万能摇臂微型安全分度机床</w:t>
            </w:r>
            <w:r/>
          </w:p>
        </w:tc>
        <w:tc>
          <w:tcPr>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#2.电机内置散热风扇达到延长寿命和增加马力 ；电机主轴皮带轮和被动轮全部为金属结构；主轴箱和电机箱为一体设计，电机可以前后移动调整皮带松紧；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.配合分度盘使用，可以对圆形工件进行等分钻孔加工；分度盘上有三组圆周等份分布的小孔，分别是36、40、48个小孔.可以根据实际需要选择分度孔的组别。</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22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AI1-17</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全金属微型安全磨床（带砂轮功能）</w:t>
            </w:r>
            <w:r/>
          </w:p>
        </w:tc>
        <w:tc>
          <w:tcPr>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#2.电机内置散热风扇达到延长寿命和增加马力 ；电机主轴皮带轮和被动轮全部为金属结构；主轴箱和电机箱为一体设计，电机可以前后移动调整皮带松紧；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.可以用来抛光、打磨,也可以手持进行各种角度研磨；中心高25mm，砂纸粒度一般为100＃，可根据不同的工件及加工表面要求选择砂纸。</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04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AI1-18</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全金属微型手持机床</w:t>
            </w:r>
            <w:r/>
          </w:p>
        </w:tc>
        <w:tc>
          <w:tcPr>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#1.变压器有过热保护。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技术参数：1）马达转速：20000转/分钟，2）输入电压/电流/功率/：12VDC/3A/36W；</w:t>
            </w:r>
            <w:r>
              <w:rPr>
                <w:rStyle w:val="938"/>
                <w:rFonts w:hint="eastAsia" w:ascii="宋体" w:hAnsi="宋体" w:eastAsia="宋体" w:cs="宋体"/>
                <w:color w:val="auto"/>
                <w:sz w:val="21"/>
                <w:szCs w:val="21"/>
                <w:highlight w:val="none"/>
                <w:lang w:val="en-US" w:eastAsia="zh-CN" w:bidi="ar"/>
              </w:rPr>
              <w:t xml:space="preserve">3）轮盘直径49、</w:t>
            </w:r>
            <w:r>
              <w:rPr>
                <w:rStyle w:val="952"/>
                <w:rFonts w:hint="eastAsia" w:ascii="宋体" w:hAnsi="宋体" w:eastAsia="宋体" w:cs="宋体"/>
                <w:color w:val="auto"/>
                <w:sz w:val="21"/>
                <w:szCs w:val="21"/>
                <w:highlight w:val="none"/>
                <w:lang w:val="en-US" w:eastAsia="zh-CN" w:bidi="ar"/>
              </w:rPr>
              <w:t xml:space="preserve">加工能力：能打磨各种铜和铝等软金属及各类木材，手持工具配备七种打磨工具,打磨范围非常广泛,打磨空间自由度大,若配上钻头则变成手钻,配上砂轮则变成手磨,配上铣刀则变成手铣,变化多样,操作灵活,使用简单。4）采用4节连接块连接，令机件连接更牢固稳定。</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435"/>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AI1-19</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大木工车床</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#1.大木工车床规格及技术参数：主轴驱动采用无级变速装置，使用直流电机和同步带传动，具有主轴转速显示器、触摸开关，可无级调节主轴转速200-2500rpm；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#2.床身工件最大回转直径180mm；最大工件长度200mm；随机附件：活顶尖（MT2）、卡盘反爪（3只）、钻头、扳手、卡盘钥匙等。</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25"/>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AI1-20</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机床基础耗材套装</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#1.12生肖各一张；12张空白木板；木棒15*100/50根；木棒25*100/50根；铝棒10条。</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40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AI1-21</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木工工具箱</w:t>
            </w:r>
            <w:r/>
          </w:p>
        </w:tc>
        <w:tc>
          <w:tcPr>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#1.专用配套工具箱20件套，含18种必备常用工具，方便</w:t>
            </w:r>
            <w:r>
              <w:rPr>
                <w:rFonts w:hint="eastAsia" w:ascii="宋体" w:hAnsi="宋体" w:eastAsia="宋体" w:cs="宋体"/>
                <w:i w:val="0"/>
                <w:iCs w:val="0"/>
                <w:color w:val="auto"/>
                <w:sz w:val="21"/>
                <w:szCs w:val="21"/>
                <w:highlight w:val="none"/>
                <w:u w:val="none"/>
                <w:lang w:val="en-US" w:eastAsia="zh-CN" w:bidi="ar"/>
              </w:rPr>
              <w:t xml:space="preserve">使用和管理。工具包括：木工凿子，1把，3/4”；美工刀，1把，包胶；木工锉，1把，8"半圆；剪刀，1把，多用；羊角锤，1把，0.5KG木柄；鸟刨，1把；手推刨，1把；钢角尺，1把，300mm；螺丝刀，1把，6*115+-铬钒钢，芝麻柄；老虎钳，1把，8"黄黑双色柄；卷尺，1把，3m*11.5mm；G形夹，1把，3"；有机玻璃钩刀，1把，钩刀带两把刀片；木工鸡尾锯，1把，锰钢三面齿，磨齿锯；木工铅笔，1支；小水平尺，1把，S93型，塑料，三水泡，45°、90°、180°；墨斗，1个，新型迷你墨斗；磨刀石一块。</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60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AI1-22</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移动工具墙（带挂钩）</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#1.移动式，单面固定；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长宽高96*4</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*19</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cm；方孔板厚度：≥1.4mm；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.材料：矩形管+冷轧钢+喷塑烤漆+调节脚轮+胶套；含单直挂钩20个，双直挂钩20个，零件盒24个，零件盒挂钩24个。</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46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AI1-23</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小手锯</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#1.全长</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26cm，铝合金锯架，烤漆表面</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注塑手柄，锯条可拆卸。</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AI1-24</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小手锯锯条</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#1.长</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15cm，迷你手锯适用锯条，铬钒钢材质。</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r>
      <w:tr>
        <w:trPr>
          <w:trHeight w:val="27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AI1-25</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板锯</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#1.全长</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40cm，黑色漆面锯身，锯片自带25cm辅助测量刻度。</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27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AI1-26</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木工刨</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#1.规格：18*6*4cm，青冈木材质，可组装拆卸。</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27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AI1-27</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边刨</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#1.规格：15*2.5*5cm，青冈木材质，可组装拆卸。</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AI1-28</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凿子</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#1.材质：45</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钢+原木；8支装木凿刀，优良材质经久耐用，内嵌外固设计，保证凿头不松动不脱落，使用过程更安全更省心；用途：各种木产品加工。</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AI1-29</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白乳胶</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#1.材质：PVAC；净含量：≤40ml；旋转开启瓶盖，操作简单便捷，可控出胶量，满足不同用胶需求，水溶性白胶可水洗，粘性强，适用多种材质。用途：作品黏贴固定</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AI1-30</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墨斗</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#1.材质：竹木；尺寸：长20cm，高5.5cm，线长10m左右，末端系有固定针，</w:t>
            </w:r>
            <w:r>
              <w:rPr>
                <w:rFonts w:hint="eastAsia" w:ascii="宋体" w:hAnsi="宋体" w:cs="宋体"/>
                <w:i w:val="0"/>
                <w:iCs w:val="0"/>
                <w:color w:val="auto"/>
                <w:sz w:val="21"/>
                <w:szCs w:val="21"/>
                <w:highlight w:val="none"/>
                <w:u w:val="none"/>
                <w:lang w:val="en-US" w:eastAsia="zh-CN" w:bidi="ar"/>
              </w:rPr>
              <w:t xml:space="preserve">流线型</w:t>
            </w:r>
            <w:r>
              <w:rPr>
                <w:rFonts w:hint="eastAsia" w:ascii="宋体" w:hAnsi="宋体" w:eastAsia="宋体" w:cs="宋体"/>
                <w:i w:val="0"/>
                <w:iCs w:val="0"/>
                <w:color w:val="auto"/>
                <w:sz w:val="21"/>
                <w:szCs w:val="21"/>
                <w:highlight w:val="none"/>
                <w:u w:val="none"/>
                <w:lang w:val="en-US" w:eastAsia="zh-CN" w:bidi="ar"/>
              </w:rPr>
              <w:t xml:space="preserve">手柄；用途：传统木工加工过程标记线条。</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AI1-31</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雕刻刀</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#1.木工雕刻刀套装；材质：榉木、合金钢；用途：手工雕刻；10只装：平刀、斜刀、半圆刀、细半圆刀、斜角刀、小斜刀、尖刀、开槽刀、小平刀、大圆刀。</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AI1-32</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砂纸2</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#1.干膜砂纸 320</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；尺寸：200*290mm；用途：对木艺创作制造过程中的工件进行打磨去毛刺，提高作品表面光滑度和质感。</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AI1-33</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防护眼镜</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#1.PVC材料，透明。</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AI1-34</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围裙</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#1.挂肩膀式，浅灰色，加厚涤棉帆布，带杂物兜2个，大小排列插袋7个，可调节肩带，带束腰系带，穿戴简单方便，易清洗，防静电，不沾毛毛、灰尘。</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 </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trHeight w:val="27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AI1-35</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防尘口罩</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#1.一次性口罩,≥100个。</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包</w:t>
            </w:r>
            <w:r/>
          </w:p>
        </w:tc>
      </w:tr>
      <w:tr>
        <w:trPr>
          <w:trHeight w:val="27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AI1-36</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防滑手套</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#1.棉线手套。</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r>
      <w:tr>
        <w:trPr>
          <w:trHeight w:val="27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AI1-37</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套袖</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#1.蓝色布质。</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r>
      <w:tr>
        <w:trPr>
          <w:trHeight w:val="135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AI1-38</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急救箱</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药品：碘酒（15mL）1瓶（有药品生产许可编号）、红药水（15mL）1瓶（有药品生产许可编号）、双氧水（100mL）1瓶（有药品生产许可编号）、医用酒精（100mL）1瓶（有药品生产许可编号），医用棉签1包（有药品生产许可编号，原包装）、医用棉球1包（有药品生产许可编号，原包装）、无菌纱布（50mm×50mm）1包（有药品生产许可编号，原包装）、胶布（布）1卷、创可贴50张、烫伤药膏1支（有药品生产许可编号），均为保质期内。</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个</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AI1-39</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大吸力吸尘器</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#1.功率：1200W，坚固钢制壳体，经久耐磨，超大可洗布袋，适用于大房间，配有多种吸头，用途广泛。</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AI1-40</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文宣装修</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技术参数要求同“AB1-44</w:t>
            </w:r>
            <w:r>
              <w:rPr>
                <w:rFonts w:hint="eastAsia" w:ascii="宋体" w:hAnsi="宋体" w:cs="宋体"/>
                <w:i w:val="0"/>
                <w:iCs w:val="0"/>
                <w:color w:val="auto"/>
                <w:sz w:val="21"/>
                <w:szCs w:val="21"/>
                <w:highlight w:val="none"/>
                <w:u w:val="none"/>
                <w:lang w:val="en-US" w:eastAsia="zh-CN" w:bidi="ar"/>
              </w:rPr>
              <w:t xml:space="preserve">文宣装修</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1036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3"/>
        <w:gridCol w:w="1374"/>
        <w:gridCol w:w="6615"/>
        <w:gridCol w:w="750"/>
        <w:gridCol w:w="681"/>
      </w:tblGrid>
      <w:tr>
        <w:trPr>
          <w:trHeight w:val="567" w:hRule="exact"/>
        </w:trPr>
        <w:tc>
          <w:tcPr>
            <w:gridSpan w:val="5"/>
            <w:tcBorders>
              <w:top w:val="single" w:color="000000" w:sz="4" w:space="0"/>
              <w:left w:val="single" w:color="000000" w:sz="4" w:space="0"/>
              <w:bottom w:val="single" w:color="auto" w:sz="4" w:space="0"/>
              <w:right w:val="single" w:color="000000" w:sz="4" w:space="0"/>
            </w:tcBorders>
            <w:tcW w:w="1036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AJ-劳技教室3 </w:t>
            </w:r>
            <w:r/>
          </w:p>
        </w:tc>
      </w:tr>
      <w:tr>
        <w:trPr>
          <w:trHeight w:val="270"/>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1620"/>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AJ1-01</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学生桌</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长1500*宽750*高800mm；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#2.桌面材料:25mm高密复合材料，具有、防油、防水、防腐蚀性能；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#3.桌架材料：桌架均采用≥1.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mm冷轧钢焊接而成，加宽桌腿80*40mm,表面喷塑具有防锈、防水等；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#4.抽屉材料：抽屉面板双层1.0mm，其余均为正1.0mm裸板，喷塑后1.2mm，表面经过打磨、磷化、喷塑、高温烘烤而成。</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540"/>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AJ1-02</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凳子（学生用)</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33*24*45（cm）；支架规格：主支撑脚采用≥40*20方钢管，拉挡为≥20*20方钢管，管材表面流水线静电喷塑处理，凳架常规为白色或者黑色。</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1585"/>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AJ1-03</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边柜（重型工作台）</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1200（长）*600（宽）*780mm（高）。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#2、台面：≥40mm厚实木板，台面需刷三层环保透明油漆。台身：采用≥1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mm环保三聚氰胺板，其截面由硬质PVC利用封边机械高温热压封边。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框架：（1）采用一次成型的铝型材制作，框架立柱为方管，框架的横梁为方管，通过ABS专用连接件组装而成，应保证组装接缝严密，连接牢固，无松动现象。（2）立柱横截面的尺寸不小于52mm×52mm，棱角为椭圆形。框架的横梁</w:t>
            </w:r>
            <w:r>
              <w:rPr>
                <w:rFonts w:hint="eastAsia" w:ascii="宋体" w:hAnsi="宋体" w:cs="宋体"/>
                <w:i w:val="0"/>
                <w:iCs w:val="0"/>
                <w:color w:val="auto"/>
                <w:sz w:val="21"/>
                <w:szCs w:val="21"/>
                <w:highlight w:val="none"/>
                <w:u w:val="none"/>
                <w:lang w:val="en-US" w:eastAsia="zh-CN" w:bidi="ar"/>
              </w:rPr>
              <w:t xml:space="preserve">横截面</w:t>
            </w:r>
            <w:r>
              <w:rPr>
                <w:rFonts w:hint="eastAsia" w:ascii="宋体" w:hAnsi="宋体" w:eastAsia="宋体" w:cs="宋体"/>
                <w:i w:val="0"/>
                <w:iCs w:val="0"/>
                <w:color w:val="auto"/>
                <w:sz w:val="21"/>
                <w:szCs w:val="21"/>
                <w:highlight w:val="none"/>
                <w:u w:val="none"/>
                <w:lang w:val="en-US" w:eastAsia="zh-CN" w:bidi="ar"/>
              </w:rPr>
              <w:t xml:space="preserve">不小于35mm×35mm，铝型材壁厚≥1.2mm。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、铰链：采用自动型大伸展角度，锌合金铰链。拉手：采用C型不锈钢拉手。脚垫：规格φ42mm*H65mm，采用ABS工程塑料，模具注塑成形，可调节高低。</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810"/>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AJ1-04</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3D打印机</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#1.成型尺寸≥200*200*200mm;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#2.打印技术 熔融沉积型（FDM）;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#3.层分辨率 0.05-0.3mm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定位精度 ≤0.0125mm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.是否有空气过滤系统: 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断电续打: 支持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料用完暂停报警: 支持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喷头数量:  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.打印头: 单色打印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打印速度: 30-150mm/s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结构: 非全封闭整机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储料箱: 悬挂式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照明功能: 内置照明LED照明</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.挤出头直径 可选: 0.3 , 0.4，0.5mm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挤出头工作温度 Max 260℃;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.显示屏幕特性 ≥3.5寸全彩触摸屏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中央处理器（CPU） 32位ARM CPU单片机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外储存器 支持SD卡拔插及USB连接</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电源要求 AC100v-AC240v 50Hz/60Hz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.操作系统支持 Windows,Linux,MAC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文件格式支持 STL、OBJ</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机器外观表面处理 钣金高温烤漆形成独特的外观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机箱尺寸 ≥390*370*435mm;</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700"/>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AJ1-05</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三维设计软件</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#1.曲线建模，支持导入平面图片建模、文字建模、自定义绘制图形建模等多种建模方式。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#2.3D浮雕建模，支持导入平面图片、文字以及自定义绘制图形，并能一键式生成可制造的立体透光浮雕模型。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#3.参数建模，支持全参数交互式驱动建模方式；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#4.一键平置，在移动模型的过程中，可以一键将模型移动到水平面上，方便切片；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#5.自动放平，在旋转模型的过程中，可以一键将模型放平，软件自动为模型找到合适的旋转角度进行旋转，方便切片；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#6.文字建模，支持输入文字，即可生成立体文字模型，支持主流字体；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#7.曲面建模，支持挤出、移动长方体盒子的面生成多面体，通过细分曲面的方式生成3D模型。</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#8.拉伸建模，支持从二维封闭曲线垂直拉伸得到3D模型，导入图片作为二维草图的绘制向导，并内置网格线作为绘制参考；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#9.旋转建模，支持从二维曲线沿轴旋转得到3D模型，导入图片作为二维草图的绘制向导，并内置网格线作为参考线，可人工设置曲线是否封闭。软件可自动对曲线进行补全，从而生成旋转体模型；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#10.切片软件集成，支持切片功能，设置层厚、壁厚、填充密度、打印速度等参数，从3D模型计算得到打印机的执行文件，并支持单层/多层/全部等模式可视化查看打印路径。支持输出切片gcode文件。</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850"/>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AJ1-06</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三维设计课程</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#1.课程内容包含教案、学案、课件、3D模型文件等资料；课程简介：通过本课程，学生将学习如何运用三维设计软件进行简单而实用的立体设计，并将这些设计通过3D打印机实现真实物体的制作。</w:t>
            </w:r>
            <w:r>
              <w:rPr>
                <w:rFonts w:hint="eastAsia" w:ascii="宋体" w:hAnsi="宋体" w:cs="宋体"/>
                <w:i w:val="0"/>
                <w:iCs w:val="0"/>
                <w:color w:val="auto"/>
                <w:sz w:val="21"/>
                <w:szCs w:val="21"/>
                <w:highlight w:val="none"/>
                <w:u w:val="none"/>
                <w:lang w:val="en-US" w:eastAsia="zh-CN" w:bidi="ar"/>
              </w:rPr>
              <w:t xml:space="preserve">内容包括：</w:t>
            </w:r>
            <w:r>
              <w:rPr>
                <w:rFonts w:hint="eastAsia" w:ascii="宋体" w:hAnsi="宋体" w:eastAsia="宋体" w:cs="宋体"/>
                <w:i w:val="0"/>
                <w:iCs w:val="0"/>
                <w:color w:val="auto"/>
                <w:sz w:val="21"/>
                <w:szCs w:val="21"/>
                <w:highlight w:val="none"/>
                <w:u w:val="none"/>
                <w:lang w:val="en-US" w:eastAsia="zh-CN" w:bidi="ar"/>
              </w:rPr>
              <w:t xml:space="preserve">入门课程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进阶课程</w:t>
            </w:r>
            <w:r>
              <w:rPr>
                <w:rFonts w:hint="eastAsia" w:ascii="宋体" w:hAnsi="宋体" w:cs="宋体"/>
                <w:i w:val="0"/>
                <w:iCs w:val="0"/>
                <w:color w:val="auto"/>
                <w:sz w:val="21"/>
                <w:szCs w:val="21"/>
                <w:highlight w:val="none"/>
                <w:u w:val="none"/>
                <w:lang w:val="en-US" w:eastAsia="zh-CN" w:bidi="ar"/>
              </w:rPr>
              <w:t xml:space="preserve">等。</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AJ1-07</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3D打印耗材</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#1.耗材直径 1.75mm；规格 1卷1KG；包装重量 1.4kg；可选颜色 11色，红色、天蓝色、象牙白、苹果绿、橙色、金色、肤色、黑色、银色、鲜粉红、黄色。</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卷</w:t>
            </w:r>
            <w:r/>
          </w:p>
        </w:tc>
      </w:tr>
      <w:tr>
        <w:trPr>
          <w:trHeight w:val="1080"/>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AJ1-08</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光固化3D打印耗材</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硬度：79-88；拉伸强度：64-72Mpa；断裂伸长率：8-13%；规格：1kg；热变形温度：44-47℃；吸水率：0.9-2.5%；打印层厚：0.05mm/层；底部层数：3-5层；底层曝光时间：30S/层；曝光时间：7s/层；颜色：灰、白、黑、透明、透明蓝、透明绿、透明红。</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270"/>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AJ1-09</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3D模型资源库</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#1.包含教学、创意类模型不少于500种。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AJ1-10</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3D打印工具包</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#1.小铲刀、斜口钳、3D调平工具、料架固定支架，3D打印机常用易损件、U盘、读卡器、PLA导线管、常用内六角套装。</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AJ1-11</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3D教学模型</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#1.包含了20种教学相关的3D打印成品，便于帮助老师在教学中让学生更好的了解3D打印技术，激发学生的创造思维。</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AJ1-12</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文宣装修</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技术参数要求同“AB1-44</w:t>
            </w:r>
            <w:r>
              <w:rPr>
                <w:rFonts w:hint="eastAsia" w:ascii="宋体" w:hAnsi="宋体" w:cs="宋体"/>
                <w:i w:val="0"/>
                <w:iCs w:val="0"/>
                <w:color w:val="auto"/>
                <w:sz w:val="21"/>
                <w:szCs w:val="21"/>
                <w:highlight w:val="none"/>
                <w:u w:val="none"/>
                <w:lang w:val="en-US" w:eastAsia="zh-CN" w:bidi="ar"/>
              </w:rPr>
              <w:t xml:space="preserve">文宣装修</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1036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8"/>
        <w:gridCol w:w="1359"/>
        <w:gridCol w:w="6630"/>
        <w:gridCol w:w="735"/>
        <w:gridCol w:w="681"/>
      </w:tblGrid>
      <w:tr>
        <w:trPr>
          <w:trHeight w:val="567" w:hRule="exact"/>
        </w:trPr>
        <w:tc>
          <w:tcPr>
            <w:gridSpan w:val="5"/>
            <w:tcBorders>
              <w:top w:val="single" w:color="auto" w:sz="4" w:space="0"/>
              <w:left w:val="single" w:color="auto" w:sz="4" w:space="0"/>
              <w:bottom w:val="single" w:color="auto" w:sz="4" w:space="0"/>
              <w:right w:val="single" w:color="auto" w:sz="4" w:space="0"/>
            </w:tcBorders>
            <w:tcW w:w="10363" w:type="dxa"/>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AK-劳技教室4（创客教室）</w:t>
            </w:r>
            <w:r/>
          </w:p>
        </w:tc>
      </w:tr>
      <w:tr>
        <w:trPr>
          <w:trHeight w:val="27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gridSpan w:val="3"/>
            <w:tcBorders>
              <w:top w:val="single" w:color="auto" w:sz="4" w:space="0"/>
              <w:left w:val="single" w:color="auto" w:sz="4" w:space="0"/>
              <w:bottom w:val="single" w:color="auto" w:sz="4" w:space="0"/>
              <w:right w:val="single" w:color="auto" w:sz="4" w:space="0"/>
            </w:tcBorders>
            <w:tcW w:w="894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1、基础设备</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64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AK1-01</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采用承重部位≥1.2mm其他≥1.0mm的冷轧钢板，讲桌上下层采用分体式设计；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#2.讲桌附安全锁,闭合尺寸约: (长) 1150 (宽)650 (高)920 MM。台面采用≥15mm厚度防滑痕黄色木纹防火板，防静电；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17-21寸显示器翻转方式打开，根据不同身高的老师任意调节显示器角度，键盘翻转式打开装配两个铰链提高使用寿命。键盘、中控、鼠标设计成隐藏式操作时在同一界面。关闭后所有设备都隐藏在讲台内。便于操作使用，提供橡木扶手长度*宽度*厚度约(尺寸600mm*50mm*25mm) ，方便使用者握扶；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#4.讲桌正前方梯子型且带L形实木板作为装饰，展台右侧抽拉。便于操作使用。桌底部配置接地线连接头以防漏电与静电，讲台背面留音响孔，讲台内置布线系统；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#5.讲桌下体前后设计，内可放置主机，并配独立的储物空间，一把钥匙控制所有锁。</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AK1-02</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创客活动桌</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#1.木板打底、水曲柳饰面. 尺寸约为：2000mm*1000mm*750mm 。</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AK1-03</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教师转椅</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#1.依照人体工程学设计，面料为优质网布，下座采用高密度泡棉，阻燃、舒适、回弹性好；钢制五星脚电镀，气动升降、有扶手。</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222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AK1-04</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学生椅</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#1.规格：Φ300*450-500mm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#2.凳面材质：采用环保型ABS改性塑料一次性注塑成型；尺寸：30cm×3cm ；表面细纹咬花，防滑不发光；                         </w:t>
            </w:r>
            <w:r>
              <w:rPr>
                <w:rFonts w:hint="eastAsia" w:ascii="宋体" w:hAnsi="宋体" w:eastAsia="宋体" w:cs="宋体"/>
                <w:i w:val="0"/>
                <w:iCs w:val="0"/>
                <w:color w:val="auto"/>
                <w:sz w:val="21"/>
                <w:szCs w:val="21"/>
                <w:highlight w:val="none"/>
                <w:u w:val="none"/>
                <w:lang w:val="en-US" w:eastAsia="zh-CN" w:bidi="ar"/>
              </w:rPr>
              <w:t xml:space="preserve">                                                                                                                                                                                                                                          #3.脚钢架材质及形状：椭圆形无缝钢管；尺寸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:17×3</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 ；全圆满焊接完成，结构牢固，经高温粉体烤漆处理，长时间使用也不会产生表面烤漆剥落现象；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#4.脚垫材质：采用PP加耐磨纤维质塑料，实心</w:t>
            </w:r>
            <w:r>
              <w:rPr>
                <w:rFonts w:hint="eastAsia" w:ascii="宋体" w:hAnsi="宋体" w:cs="宋体"/>
                <w:i w:val="0"/>
                <w:iCs w:val="0"/>
                <w:color w:val="auto"/>
                <w:sz w:val="21"/>
                <w:szCs w:val="21"/>
                <w:highlight w:val="none"/>
                <w:u w:val="none"/>
                <w:lang w:val="en-US" w:eastAsia="zh-CN" w:bidi="ar"/>
              </w:rPr>
              <w:t xml:space="preserve">倒钩</w:t>
            </w:r>
            <w:r>
              <w:rPr>
                <w:rFonts w:hint="eastAsia" w:ascii="宋体" w:hAnsi="宋体" w:eastAsia="宋体" w:cs="宋体"/>
                <w:i w:val="0"/>
                <w:iCs w:val="0"/>
                <w:color w:val="auto"/>
                <w:sz w:val="21"/>
                <w:szCs w:val="21"/>
                <w:highlight w:val="none"/>
                <w:u w:val="none"/>
                <w:lang w:val="en-US" w:eastAsia="zh-CN" w:bidi="ar"/>
              </w:rPr>
              <w:t xml:space="preserve">式一体射出成型；凳面可通过旋转螺杆来升降凳子高度,可调高度5cm。                                                          </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407"/>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AK1-05</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收纳柜</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1320*400*900mm±10mm；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#2.材质：环保三聚氰胺饰面刨花板+教具盒；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#3.工艺：采用E1级≥1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mm厚三聚氰胺饰面刨花板，断面采用优质PVC封边带高温热熔制作。五金件采用液压铰链；教具盒材质：PP材质,教具盒尺寸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420×290×100mm（±10mm），12只。钢制导轨，导轨边缘外露面光滑圆润；功能：配置PP收纳盒及储物柜，可收纳各种教学用具。</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gridSpan w:val="3"/>
            <w:tcBorders>
              <w:top w:val="single" w:color="auto" w:sz="4" w:space="0"/>
              <w:left w:val="single" w:color="auto" w:sz="4" w:space="0"/>
              <w:bottom w:val="single" w:color="auto" w:sz="4" w:space="0"/>
              <w:right w:val="single" w:color="auto" w:sz="4" w:space="0"/>
            </w:tcBorders>
            <w:tcW w:w="894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2、人工智能学习及应用</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199"/>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AK2-01</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学习套装</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#1.双核处理器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主频≥240MHz,SRAM≥</w:t>
            </w:r>
            <w:r>
              <w:rPr>
                <w:rFonts w:hint="eastAsia" w:ascii="宋体" w:hAnsi="宋体" w:cs="宋体"/>
                <w:i w:val="0"/>
                <w:iCs w:val="0"/>
                <w:strike w:val="0"/>
                <w:color w:val="auto"/>
                <w:sz w:val="21"/>
                <w:szCs w:val="21"/>
                <w:highlight w:val="none"/>
                <w:u w:val="none"/>
                <w:lang w:val="en-US" w:eastAsia="zh-CN" w:bidi="ar"/>
              </w:rPr>
              <w:t xml:space="preserve">512</w:t>
            </w:r>
            <w:r>
              <w:rPr>
                <w:rFonts w:hint="eastAsia" w:ascii="宋体" w:hAnsi="宋体" w:eastAsia="宋体" w:cs="宋体"/>
                <w:i w:val="0"/>
                <w:iCs w:val="0"/>
                <w:strike w:val="0"/>
                <w:color w:val="auto"/>
                <w:sz w:val="21"/>
                <w:szCs w:val="21"/>
                <w:highlight w:val="none"/>
                <w:u w:val="none"/>
                <w:lang w:val="en-US" w:eastAsia="zh-CN" w:bidi="ar"/>
              </w:rPr>
              <w:t xml:space="preserve">KB,FLASH≥8MB</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.支持</w:t>
            </w:r>
            <w:r>
              <w:rPr>
                <w:rFonts w:hint="eastAsia" w:ascii="宋体" w:hAnsi="宋体" w:cs="宋体"/>
                <w:i w:val="0"/>
                <w:iCs w:val="0"/>
                <w:color w:val="auto"/>
                <w:sz w:val="21"/>
                <w:szCs w:val="21"/>
                <w:highlight w:val="none"/>
                <w:u w:val="none"/>
                <w:lang w:val="en-US" w:eastAsia="zh-CN" w:bidi="ar"/>
              </w:rPr>
              <w:t xml:space="preserve">无线Wi-Fi连接；</w:t>
            </w:r>
            <w:r>
              <w:rPr>
                <w:rFonts w:hint="eastAsia" w:ascii="宋体" w:hAnsi="宋体" w:eastAsia="宋体" w:cs="宋体"/>
                <w:i w:val="0"/>
                <w:iCs w:val="0"/>
                <w:color w:val="auto"/>
                <w:sz w:val="21"/>
                <w:szCs w:val="21"/>
                <w:highlight w:val="none"/>
                <w:u w:val="none"/>
                <w:lang w:val="en-US" w:eastAsia="zh-CN" w:bidi="ar"/>
              </w:rPr>
              <w:t xml:space="preserve">工作电压:3.3V，工作电流:≤100mA。支持软件编程。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.套装包含：</w:t>
            </w:r>
            <w:r>
              <w:rPr>
                <w:rFonts w:hint="eastAsia" w:ascii="宋体" w:hAnsi="宋体" w:cs="宋体"/>
                <w:i w:val="0"/>
                <w:iCs w:val="0"/>
                <w:strike w:val="0"/>
                <w:color w:val="auto"/>
                <w:sz w:val="21"/>
                <w:szCs w:val="21"/>
                <w:highlight w:val="none"/>
                <w:u w:val="none"/>
                <w:lang w:val="en-US" w:eastAsia="zh-CN" w:bidi="ar"/>
              </w:rPr>
              <w:t xml:space="preserve">主控板</w:t>
            </w:r>
            <w:r>
              <w:rPr>
                <w:rFonts w:hint="eastAsia" w:ascii="宋体" w:hAnsi="宋体" w:eastAsia="宋体" w:cs="宋体"/>
                <w:i w:val="0"/>
                <w:iCs w:val="0"/>
                <w:strike w:val="0"/>
                <w:color w:val="auto"/>
                <w:sz w:val="21"/>
                <w:szCs w:val="21"/>
                <w:highlight w:val="none"/>
                <w:u w:val="none"/>
                <w:lang w:val="en-US" w:eastAsia="zh-CN" w:bidi="ar"/>
              </w:rPr>
              <w:t xml:space="preserve">×2个</w:t>
            </w:r>
            <w:r>
              <w:rPr>
                <w:rFonts w:hint="eastAsia" w:ascii="宋体" w:hAnsi="宋体" w:eastAsia="宋体" w:cs="宋体"/>
                <w:i w:val="0"/>
                <w:iCs w:val="0"/>
                <w:color w:val="auto"/>
                <w:sz w:val="21"/>
                <w:szCs w:val="21"/>
                <w:highlight w:val="none"/>
                <w:u w:val="none"/>
                <w:lang w:val="en-US" w:eastAsia="zh-CN" w:bidi="ar"/>
              </w:rPr>
              <w:t xml:space="preserve">，数据线×2根，射频传感器×1个，土壤湿度传感器×2个，温湿度传感器×1个，PH传感器×1个，杜邦线×2组，扩展板×2个，双节电池+充电器+数据线×2</w:t>
            </w:r>
            <w:r>
              <w:rPr>
                <w:rFonts w:hint="eastAsia" w:ascii="宋体" w:hAnsi="宋体" w:cs="宋体"/>
                <w:i w:val="0"/>
                <w:iCs w:val="0"/>
                <w:color w:val="auto"/>
                <w:sz w:val="21"/>
                <w:szCs w:val="21"/>
                <w:highlight w:val="none"/>
                <w:u w:val="none"/>
                <w:lang w:val="en-US" w:eastAsia="zh-CN" w:bidi="ar"/>
              </w:rPr>
              <w:t xml:space="preserve">组</w:t>
            </w:r>
            <w:r>
              <w:rPr>
                <w:rFonts w:hint="eastAsia" w:ascii="宋体" w:hAnsi="宋体" w:eastAsia="宋体" w:cs="宋体"/>
                <w:i w:val="0"/>
                <w:iCs w:val="0"/>
                <w:color w:val="auto"/>
                <w:sz w:val="21"/>
                <w:szCs w:val="21"/>
                <w:highlight w:val="none"/>
                <w:u w:val="none"/>
                <w:lang w:val="en-US" w:eastAsia="zh-CN" w:bidi="ar"/>
              </w:rPr>
              <w:t xml:space="preserve">，摄像头×1个，水泵(含水管）×2个，烟雾传感器×1个，马达(直流电机)×1个，</w:t>
            </w:r>
            <w:r>
              <w:rPr>
                <w:rFonts w:hint="eastAsia" w:ascii="宋体" w:hAnsi="宋体" w:cs="宋体"/>
                <w:i w:val="0"/>
                <w:iCs w:val="0"/>
                <w:strike w:val="0"/>
                <w:color w:val="auto"/>
                <w:sz w:val="21"/>
                <w:szCs w:val="21"/>
                <w:highlight w:val="none"/>
                <w:u w:val="none"/>
                <w:lang w:val="en-US" w:eastAsia="zh-CN" w:bidi="ar"/>
              </w:rPr>
              <w:t xml:space="preserve">定位</w:t>
            </w:r>
            <w:r>
              <w:rPr>
                <w:rFonts w:hint="eastAsia" w:ascii="宋体" w:hAnsi="宋体" w:eastAsia="宋体" w:cs="宋体"/>
                <w:i w:val="0"/>
                <w:iCs w:val="0"/>
                <w:color w:val="auto"/>
                <w:sz w:val="21"/>
                <w:szCs w:val="21"/>
                <w:highlight w:val="none"/>
                <w:u w:val="none"/>
                <w:lang w:val="en-US" w:eastAsia="zh-CN" w:bidi="ar"/>
              </w:rPr>
              <w:t xml:space="preserve">模块×1个，超声波传感器×2个，土壤检测片×2个。</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gridSpan w:val="3"/>
            <w:tcBorders>
              <w:top w:val="single" w:color="auto" w:sz="4" w:space="0"/>
              <w:left w:val="single" w:color="auto" w:sz="4" w:space="0"/>
              <w:bottom w:val="single" w:color="auto" w:sz="4" w:space="0"/>
              <w:right w:val="single" w:color="auto" w:sz="4" w:space="0"/>
            </w:tcBorders>
            <w:tcW w:w="8947" w:type="dxa"/>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3、人工智能竞赛套装</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335"/>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AK3-0</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机器人</w:t>
            </w:r>
            <w:r>
              <w:rPr>
                <w:rFonts w:hint="eastAsia" w:ascii="宋体" w:hAnsi="宋体" w:cs="宋体"/>
                <w:i w:val="0"/>
                <w:iCs w:val="0"/>
                <w:color w:val="auto"/>
                <w:sz w:val="21"/>
                <w:szCs w:val="21"/>
                <w:highlight w:val="none"/>
                <w:u w:val="none"/>
                <w:lang w:val="en-US" w:eastAsia="zh-CN" w:bidi="ar"/>
              </w:rPr>
              <w:t xml:space="preserve">A</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#1.尺寸：腿长</w:t>
            </w:r>
            <w:r>
              <w:rPr>
                <w:rFonts w:hint="eastAsia" w:ascii="宋体" w:hAnsi="宋体" w:cs="宋体"/>
                <w:i w:val="0"/>
                <w:iCs w:val="0"/>
                <w:strike w:val="0"/>
                <w:color w:val="auto"/>
                <w:sz w:val="21"/>
                <w:szCs w:val="21"/>
                <w:highlight w:val="none"/>
                <w:u w:val="none"/>
                <w:lang w:val="en-US" w:eastAsia="zh-CN" w:bidi="ar"/>
              </w:rPr>
              <w:t xml:space="preserve">约</w:t>
            </w:r>
            <w:r>
              <w:rPr>
                <w:rFonts w:hint="eastAsia" w:ascii="宋体" w:hAnsi="宋体" w:eastAsia="宋体" w:cs="宋体"/>
                <w:i w:val="0"/>
                <w:iCs w:val="0"/>
                <w:strike w:val="0"/>
                <w:color w:val="auto"/>
                <w:sz w:val="21"/>
                <w:szCs w:val="21"/>
                <w:highlight w:val="none"/>
                <w:u w:val="none"/>
                <w:lang w:val="en-US" w:eastAsia="zh-CN" w:bidi="ar"/>
              </w:rPr>
              <w:t xml:space="preserve">28</w:t>
            </w:r>
            <w:r>
              <w:rPr>
                <w:rFonts w:hint="eastAsia" w:ascii="宋体" w:hAnsi="宋体" w:cs="宋体"/>
                <w:i w:val="0"/>
                <w:iCs w:val="0"/>
                <w:strike w:val="0"/>
                <w:color w:val="auto"/>
                <w:sz w:val="21"/>
                <w:szCs w:val="21"/>
                <w:highlight w:val="none"/>
                <w:u w:val="none"/>
                <w:lang w:val="en-US" w:eastAsia="zh-CN" w:bidi="ar"/>
              </w:rPr>
              <w:t xml:space="preserve">5</w:t>
            </w:r>
            <w:r>
              <w:rPr>
                <w:rFonts w:hint="eastAsia" w:ascii="宋体" w:hAnsi="宋体" w:eastAsia="宋体" w:cs="宋体"/>
                <w:i w:val="0"/>
                <w:iCs w:val="0"/>
                <w:strike w:val="0"/>
                <w:color w:val="auto"/>
                <w:sz w:val="21"/>
                <w:szCs w:val="21"/>
                <w:highlight w:val="none"/>
                <w:u w:val="none"/>
                <w:lang w:val="en-US" w:eastAsia="zh-CN" w:bidi="ar"/>
              </w:rPr>
              <w:t xml:space="preserve">mm；躯干长</w:t>
            </w:r>
            <w:r>
              <w:rPr>
                <w:rFonts w:hint="eastAsia" w:ascii="宋体" w:hAnsi="宋体" w:cs="宋体"/>
                <w:i w:val="0"/>
                <w:iCs w:val="0"/>
                <w:strike w:val="0"/>
                <w:color w:val="auto"/>
                <w:sz w:val="21"/>
                <w:szCs w:val="21"/>
                <w:highlight w:val="none"/>
                <w:u w:val="none"/>
                <w:lang w:val="en-US" w:eastAsia="zh-CN" w:bidi="ar"/>
              </w:rPr>
              <w:t xml:space="preserve">约</w:t>
            </w:r>
            <w:r>
              <w:rPr>
                <w:rFonts w:hint="eastAsia" w:ascii="宋体" w:hAnsi="宋体" w:eastAsia="宋体" w:cs="宋体"/>
                <w:i w:val="0"/>
                <w:iCs w:val="0"/>
                <w:strike w:val="0"/>
                <w:color w:val="auto"/>
                <w:sz w:val="21"/>
                <w:szCs w:val="21"/>
                <w:highlight w:val="none"/>
                <w:u w:val="none"/>
                <w:lang w:val="en-US" w:eastAsia="zh-CN" w:bidi="ar"/>
              </w:rPr>
              <w:t xml:space="preserve">230mm；机械臂长</w:t>
            </w:r>
            <w:r>
              <w:rPr>
                <w:rFonts w:hint="eastAsia" w:ascii="宋体" w:hAnsi="宋体" w:cs="宋体"/>
                <w:i w:val="0"/>
                <w:iCs w:val="0"/>
                <w:strike w:val="0"/>
                <w:color w:val="auto"/>
                <w:sz w:val="21"/>
                <w:szCs w:val="21"/>
                <w:highlight w:val="none"/>
                <w:u w:val="none"/>
                <w:lang w:val="en-US" w:eastAsia="zh-CN" w:bidi="ar"/>
              </w:rPr>
              <w:t xml:space="preserve">约</w:t>
            </w:r>
            <w:r>
              <w:rPr>
                <w:rFonts w:hint="eastAsia" w:ascii="宋体" w:hAnsi="宋体" w:eastAsia="宋体" w:cs="宋体"/>
                <w:i w:val="0"/>
                <w:iCs w:val="0"/>
                <w:strike w:val="0"/>
                <w:color w:val="auto"/>
                <w:sz w:val="21"/>
                <w:szCs w:val="21"/>
                <w:highlight w:val="none"/>
                <w:u w:val="none"/>
                <w:lang w:val="en-US" w:eastAsia="zh-CN" w:bidi="ar"/>
              </w:rPr>
              <w:t xml:space="preserve">230mm</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机器人重量：≤3</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kg</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电池：12V ≥5600mAh ；续航时间：≥</w:t>
            </w:r>
            <w:r>
              <w:rPr>
                <w:rFonts w:hint="eastAsia" w:ascii="宋体" w:hAnsi="宋体" w:cs="宋体"/>
                <w:i w:val="0"/>
                <w:iCs w:val="0"/>
                <w:color w:val="auto"/>
                <w:sz w:val="21"/>
                <w:szCs w:val="21"/>
                <w:highlight w:val="none"/>
                <w:u w:val="none"/>
                <w:lang w:val="en-US" w:eastAsia="zh-CN" w:bidi="ar"/>
              </w:rPr>
              <w:t xml:space="preserve">110min；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.腿部：每条腿3个自由度；头部：1个自由度；机械臂：2个自由度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舵机：总线舵机，防堵转</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.控制器：宽电压输入9-24V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超声波测距*1。6路高速总线舵机接口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摄像头：前置、后置双摄像头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广角摄像头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.传感器模块：</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超声波测距模块，电压模块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通讯方式：</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WIFI,以太网</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.抓取模块：3个真空泵吸取模块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CN" w:bidi="ar"/>
              </w:rPr>
              <w:t xml:space="preserve">能够参加</w:t>
            </w:r>
            <w:r>
              <w:rPr>
                <w:rFonts w:hint="eastAsia" w:ascii="宋体" w:hAnsi="宋体" w:eastAsia="宋体" w:cs="宋体"/>
                <w:i w:val="0"/>
                <w:iCs w:val="0"/>
                <w:strike w:val="0"/>
                <w:color w:val="auto"/>
                <w:sz w:val="21"/>
                <w:szCs w:val="21"/>
                <w:highlight w:val="none"/>
                <w:u w:val="none"/>
                <w:lang w:val="en-US" w:eastAsia="zh-CN" w:bidi="ar"/>
              </w:rPr>
              <w:t xml:space="preserve">最新赛事</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AK3-0</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机器人</w:t>
            </w:r>
            <w:r>
              <w:rPr>
                <w:rFonts w:hint="eastAsia" w:ascii="宋体" w:hAnsi="宋体" w:cs="宋体"/>
                <w:i w:val="0"/>
                <w:iCs w:val="0"/>
                <w:color w:val="auto"/>
                <w:sz w:val="21"/>
                <w:szCs w:val="21"/>
                <w:highlight w:val="none"/>
                <w:u w:val="none"/>
                <w:lang w:val="en-US" w:eastAsia="zh-CN" w:bidi="ar"/>
              </w:rPr>
              <w:t xml:space="preserve">B</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numPr>
                <w:ilvl w:val="0"/>
                <w:numId w:val="0"/>
              </w:num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功能描述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#1.可实现AI编程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支持人脸识别，语音识别等功能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#2.可实现物体抓取，移动，多种运动步态及运动叠加，内置陀螺仪，可保持身体自平衡;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#3.产品配套编程云平台</w:t>
            </w:r>
            <w:r>
              <w:rPr>
                <w:rFonts w:hint="eastAsia" w:ascii="宋体" w:hAnsi="宋体" w:cs="宋体"/>
                <w:i w:val="0"/>
                <w:iCs w:val="0"/>
                <w:color w:val="auto"/>
                <w:sz w:val="21"/>
                <w:szCs w:val="21"/>
                <w:highlight w:val="none"/>
                <w:u w:val="none"/>
                <w:lang w:val="en-US" w:eastAsia="zh-CN" w:bidi="ar"/>
              </w:rPr>
              <w:t xml:space="preserve">；支持无线wifi编程；支持</w:t>
            </w:r>
            <w:r>
              <w:rPr>
                <w:rFonts w:hint="eastAsia" w:ascii="宋体" w:hAnsi="宋体" w:eastAsia="宋体" w:cs="宋体"/>
                <w:i w:val="0"/>
                <w:iCs w:val="0"/>
                <w:color w:val="auto"/>
                <w:sz w:val="21"/>
                <w:szCs w:val="21"/>
                <w:highlight w:val="none"/>
                <w:u w:val="none"/>
                <w:lang w:val="en-US" w:eastAsia="zh-CN" w:bidi="ar"/>
              </w:rPr>
              <w:t xml:space="preserve">关节角度回读功能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二、配置要求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#1.机器套件包含15个总线舵机；AI模组；机器狗驱动和钣金件；电源适配器 1个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#2.机器零件材质为铝合金材质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定制串口总线伺服舵机</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left"/>
              <w:keepLines w:val="0"/>
              <w:keepNext w:val="0"/>
              <w:pageBreakBefore w:val="0"/>
              <w:spacing w:afterAutospacing="0" w:line="320" w:lineRule="exact"/>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.配套完整的课程体系，包含编程云平台。机器结构开源并配套开源SDK</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三、技术参数</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#1.舵机参数型号：总线串口舵机,工作电压范围：4.8V～7.4V,</w:t>
            </w:r>
            <w:r/>
          </w:p>
          <w:p>
            <w:pPr>
              <w:numPr>
                <w:ilvl w:val="0"/>
                <w:numId w:val="0"/>
              </w:num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CN" w:bidi="ar"/>
              </w:rPr>
              <w:t xml:space="preserve">2</w:t>
            </w:r>
            <w:r>
              <w:rPr>
                <w:rFonts w:hint="eastAsia" w:ascii="宋体" w:hAnsi="宋体" w:eastAsia="宋体" w:cs="宋体"/>
                <w:i w:val="0"/>
                <w:iCs w:val="0"/>
                <w:strike w:val="0"/>
                <w:color w:val="auto"/>
                <w:sz w:val="21"/>
                <w:szCs w:val="21"/>
                <w:highlight w:val="none"/>
                <w:u w:val="none"/>
                <w:lang w:val="en-US" w:eastAsia="zh-CN" w:bidi="ar"/>
              </w:rPr>
              <w:t xml:space="preserve">.电源系统：具有过流保护特性，防止过充爆炸</w:t>
            </w:r>
            <w:r>
              <w:rPr>
                <w:rFonts w:hint="eastAsia" w:ascii="宋体" w:hAnsi="宋体" w:cs="宋体"/>
                <w:i w:val="0"/>
                <w:iCs w:val="0"/>
                <w:strike w:val="0"/>
                <w:color w:val="auto"/>
                <w:sz w:val="21"/>
                <w:szCs w:val="21"/>
                <w:highlight w:val="none"/>
                <w:u w:val="none"/>
                <w:lang w:val="en-US" w:eastAsia="zh-CN" w:bidi="ar"/>
              </w:rPr>
              <w:t xml:space="preserve">；电池：总容量≥3500mAh；</w:t>
            </w:r>
            <w:r>
              <w:rPr>
                <w:rFonts w:hint="eastAsia" w:ascii="宋体" w:hAnsi="宋体" w:eastAsia="宋体" w:cs="宋体"/>
                <w:i w:val="0"/>
                <w:iCs w:val="0"/>
                <w:strike w:val="0"/>
                <w:color w:val="auto"/>
                <w:sz w:val="21"/>
                <w:szCs w:val="21"/>
                <w:highlight w:val="none"/>
                <w:u w:val="none"/>
                <w:lang w:val="en-US" w:eastAsia="zh-CN" w:bidi="ar"/>
              </w:rPr>
              <w:t xml:space="preserve">重量：≥915g；结构：铝合金</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CN" w:bidi="ar"/>
              </w:rPr>
              <w:t xml:space="preserve">3</w:t>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CN" w:bidi="ar"/>
              </w:rPr>
              <w:t xml:space="preserve">能够参加</w:t>
            </w:r>
            <w:r>
              <w:rPr>
                <w:rFonts w:hint="eastAsia" w:ascii="宋体" w:hAnsi="宋体" w:eastAsia="宋体" w:cs="宋体"/>
                <w:i w:val="0"/>
                <w:iCs w:val="0"/>
                <w:strike w:val="0"/>
                <w:color w:val="auto"/>
                <w:sz w:val="21"/>
                <w:szCs w:val="21"/>
                <w:highlight w:val="none"/>
                <w:u w:val="none"/>
                <w:lang w:val="en-US" w:eastAsia="zh-CN" w:bidi="ar"/>
              </w:rPr>
              <w:t xml:space="preserve">最新赛事</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p>
          <w:p>
            <w:pPr>
              <w:numPr>
                <w:ilvl w:val="0"/>
                <w:numId w:val="0"/>
              </w:num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四</w:t>
            </w:r>
            <w:r>
              <w:rPr>
                <w:rFonts w:hint="eastAsia" w:ascii="宋体" w:hAnsi="宋体" w:eastAsia="宋体" w:cs="宋体"/>
                <w:i w:val="0"/>
                <w:iCs w:val="0"/>
                <w:color w:val="auto"/>
                <w:sz w:val="21"/>
                <w:szCs w:val="21"/>
                <w:highlight w:val="none"/>
                <w:u w:val="none"/>
                <w:lang w:val="en-US" w:eastAsia="zh-CN" w:bidi="ar"/>
              </w:rPr>
              <w:t xml:space="preserve">、课程参数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#1.机器人B相关课程包含多个模块，≥30课时</w:t>
            </w:r>
            <w:r>
              <w:rPr>
                <w:rFonts w:hint="eastAsia" w:ascii="宋体" w:hAnsi="宋体" w:cs="宋体"/>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AK3-0</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场地</w:t>
            </w:r>
            <w:r>
              <w:rPr>
                <w:rFonts w:hint="eastAsia" w:ascii="宋体" w:hAnsi="宋体" w:cs="宋体"/>
                <w:i w:val="0"/>
                <w:iCs w:val="0"/>
                <w:color w:val="auto"/>
                <w:sz w:val="21"/>
                <w:szCs w:val="21"/>
                <w:highlight w:val="none"/>
                <w:u w:val="none"/>
                <w:lang w:val="en-US" w:eastAsia="zh-CN" w:bidi="ar"/>
              </w:rPr>
              <w:t xml:space="preserve">A</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标准机器人训练场地。可以参加最新赛事。</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543"/>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AK3-0</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轮式机器人</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numPr>
                <w:ilvl w:val="0"/>
                <w:numId w:val="6"/>
              </w:numPr>
              <w:jc w:val="left"/>
              <w:keepLines w:val="0"/>
              <w:keepNext w:val="0"/>
              <w:pageBreakBefore w:val="0"/>
              <w:spacing w:line="32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功能描述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#1.支持Arduino IDE、Mind+、Mixly等主流编程软件，支持图形化编程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#2.支持物品的颜色识别，便签识别、精准抓取等基础功能</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.采用双滑轨结构能够精准控制臂的前后上下的移动，减少了角度的调试</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采用麦克纳姆轮结构能够前后左右移动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.能够越过≥2cm障碍</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二、配置要求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#1.机器人套件包含加厚底盘、定制滑轨、定制升降臂，配套二哈识图视觉传感器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机器人滑轨采用工业导轨，高强度高精度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.巡线传感器能够检测2cm-10cm距离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定位物体采用高精度激光测距模块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配套完整的使用教程，包含编程平台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三、技术参数</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#1.舵机</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总线舵机</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电机接口：≥4路</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舵机接口：总线串口模式</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按键：</w:t>
            </w:r>
            <w:r>
              <w:rPr>
                <w:rFonts w:hint="eastAsia" w:ascii="宋体" w:hAnsi="宋体" w:cs="宋体"/>
                <w:i w:val="0"/>
                <w:iCs w:val="0"/>
                <w:strike w:val="0"/>
                <w:color w:val="auto"/>
                <w:sz w:val="21"/>
                <w:szCs w:val="21"/>
                <w:highlight w:val="none"/>
                <w:u w:val="none"/>
                <w:lang w:val="en-US" w:eastAsia="zh-CN" w:bidi="ar"/>
              </w:rPr>
              <w:t xml:space="preserve">有复位按键。</w:t>
            </w:r>
            <w:r>
              <w:rPr>
                <w:rFonts w:hint="eastAsia" w:ascii="宋体" w:hAnsi="宋体" w:eastAsia="宋体" w:cs="宋体"/>
                <w:i w:val="0"/>
                <w:iCs w:val="0"/>
                <w:strike w:val="0"/>
                <w:color w:val="auto"/>
                <w:sz w:val="21"/>
                <w:szCs w:val="21"/>
                <w:highlight w:val="none"/>
                <w:u w:val="none"/>
                <w:lang w:val="en-US" w:eastAsia="zh-CN" w:bidi="ar"/>
              </w:rPr>
              <w:t xml:space="preserve">具有过流保护特性，防止过充爆炸</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电池：</w:t>
            </w:r>
            <w:r>
              <w:rPr>
                <w:rFonts w:hint="eastAsia" w:ascii="宋体" w:hAnsi="宋体" w:cs="宋体"/>
                <w:i w:val="0"/>
                <w:iCs w:val="0"/>
                <w:strike w:val="0"/>
                <w:color w:val="auto"/>
                <w:sz w:val="21"/>
                <w:szCs w:val="21"/>
                <w:highlight w:val="none"/>
                <w:u w:val="none"/>
                <w:lang w:val="en-US" w:eastAsia="zh-CN" w:bidi="ar"/>
              </w:rPr>
              <w:t xml:space="preserve">≤3500mAh。</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CN" w:bidi="ar"/>
              </w:rPr>
              <w:t xml:space="preserve">2</w:t>
            </w:r>
            <w:r>
              <w:rPr>
                <w:rFonts w:hint="eastAsia" w:ascii="宋体" w:hAnsi="宋体" w:eastAsia="宋体" w:cs="宋体"/>
                <w:i w:val="0"/>
                <w:iCs w:val="0"/>
                <w:strike w:val="0"/>
                <w:color w:val="auto"/>
                <w:sz w:val="21"/>
                <w:szCs w:val="21"/>
                <w:highlight w:val="none"/>
                <w:u w:val="none"/>
                <w:lang w:val="en-US" w:eastAsia="zh-CN" w:bidi="ar"/>
              </w:rPr>
              <w:t xml:space="preserve">.整机系统尺寸：</w:t>
            </w:r>
            <w:r>
              <w:rPr>
                <w:rFonts w:hint="eastAsia" w:ascii="宋体" w:hAnsi="宋体" w:cs="宋体"/>
                <w:i w:val="0"/>
                <w:iCs w:val="0"/>
                <w:strike w:val="0"/>
                <w:color w:val="auto"/>
                <w:sz w:val="21"/>
                <w:szCs w:val="21"/>
                <w:highlight w:val="none"/>
                <w:u w:val="none"/>
                <w:lang w:val="en-US" w:eastAsia="zh-CN" w:bidi="ar"/>
              </w:rPr>
              <w:t xml:space="preserve">约</w:t>
            </w:r>
            <w:r>
              <w:rPr>
                <w:rFonts w:hint="eastAsia" w:ascii="宋体" w:hAnsi="宋体" w:eastAsia="宋体" w:cs="宋体"/>
                <w:i w:val="0"/>
                <w:iCs w:val="0"/>
                <w:strike w:val="0"/>
                <w:color w:val="auto"/>
                <w:sz w:val="21"/>
                <w:szCs w:val="21"/>
                <w:highlight w:val="none"/>
                <w:u w:val="none"/>
                <w:lang w:val="en-US" w:eastAsia="zh-CN" w:bidi="ar"/>
              </w:rPr>
              <w:t xml:space="preserve">245mm*265mm*295mm；重量：≤3</w:t>
            </w:r>
            <w:r>
              <w:rPr>
                <w:rFonts w:hint="eastAsia" w:ascii="宋体" w:hAnsi="宋体" w:cs="宋体"/>
                <w:i w:val="0"/>
                <w:iCs w:val="0"/>
                <w:strike w:val="0"/>
                <w:color w:val="auto"/>
                <w:sz w:val="21"/>
                <w:szCs w:val="21"/>
                <w:highlight w:val="none"/>
                <w:u w:val="none"/>
                <w:lang w:val="en-US" w:eastAsia="zh-CN" w:bidi="ar"/>
              </w:rPr>
              <w:t xml:space="preserve">3</w:t>
            </w:r>
            <w:r>
              <w:rPr>
                <w:rFonts w:hint="eastAsia" w:ascii="宋体" w:hAnsi="宋体" w:eastAsia="宋体" w:cs="宋体"/>
                <w:i w:val="0"/>
                <w:iCs w:val="0"/>
                <w:strike w:val="0"/>
                <w:color w:val="auto"/>
                <w:sz w:val="21"/>
                <w:szCs w:val="21"/>
                <w:highlight w:val="none"/>
                <w:u w:val="none"/>
                <w:lang w:val="en-US" w:eastAsia="zh-CN" w:bidi="ar"/>
              </w:rPr>
              <w:t xml:space="preserve">00g</w:t>
            </w:r>
            <w:r>
              <w:rPr>
                <w:rFonts w:hint="eastAsia" w:ascii="宋体" w:hAnsi="宋体" w:cs="宋体"/>
                <w:i w:val="0"/>
                <w:iCs w:val="0"/>
                <w:strike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AK3-0</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场地</w:t>
            </w:r>
            <w:r>
              <w:rPr>
                <w:rFonts w:hint="eastAsia" w:ascii="宋体" w:hAnsi="宋体" w:cs="宋体"/>
                <w:i w:val="0"/>
                <w:iCs w:val="0"/>
                <w:color w:val="auto"/>
                <w:sz w:val="21"/>
                <w:szCs w:val="21"/>
                <w:highlight w:val="none"/>
                <w:u w:val="none"/>
                <w:lang w:val="en-US" w:eastAsia="zh-CN" w:bidi="ar"/>
              </w:rPr>
              <w:t xml:space="preserve">B</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strike w:val="0"/>
                <w:color w:val="auto"/>
                <w:sz w:val="21"/>
                <w:szCs w:val="21"/>
                <w:highlight w:val="none"/>
                <w:u w:val="none"/>
                <w:lang w:val="en-US" w:eastAsia="zh-CN" w:bidi="ar"/>
              </w:rPr>
              <w:t xml:space="preserve">标准机器人训练场地。</w:t>
            </w:r>
            <w:r>
              <w:rPr>
                <w:rFonts w:hint="eastAsia" w:ascii="宋体" w:hAnsi="宋体" w:cs="宋体"/>
                <w:i w:val="0"/>
                <w:iCs w:val="0"/>
                <w:color w:val="auto"/>
                <w:sz w:val="21"/>
                <w:szCs w:val="21"/>
                <w:highlight w:val="none"/>
                <w:u w:val="none"/>
                <w:lang w:val="en-US" w:eastAsia="zh-CN" w:bidi="ar"/>
              </w:rPr>
              <w:t xml:space="preserve">可以参加最新赛事。</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4759"/>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AK3-0</w:t>
            </w: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智能无人机</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#1.尺寸：≥230mm轴距；重量：飞机全重≥129g（含保护圈）；</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.最大起飞重量≥150g；电池：容量≥1200mAh；电压3.7V 25C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.飞行时间：悬停环境下约12分钟；</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.飞行控制板：支持多种飞行模式，支持C语言编程，</w:t>
            </w:r>
            <w:r>
              <w:rPr>
                <w:rFonts w:hint="eastAsia" w:ascii="宋体" w:hAnsi="宋体" w:cs="宋体"/>
                <w:i w:val="0"/>
                <w:iCs w:val="0"/>
                <w:strike w:val="0"/>
                <w:color w:val="auto"/>
                <w:sz w:val="21"/>
                <w:szCs w:val="21"/>
                <w:highlight w:val="none"/>
                <w:u w:val="none"/>
                <w:lang w:val="en-US" w:eastAsia="zh-CN" w:bidi="ar"/>
              </w:rPr>
              <w:t xml:space="preserve">具有</w:t>
            </w:r>
            <w:r>
              <w:rPr>
                <w:rFonts w:hint="eastAsia" w:ascii="宋体" w:hAnsi="宋体" w:eastAsia="宋体" w:cs="宋体"/>
                <w:i w:val="0"/>
                <w:iCs w:val="0"/>
                <w:color w:val="auto"/>
                <w:sz w:val="21"/>
                <w:szCs w:val="21"/>
                <w:highlight w:val="none"/>
                <w:u w:val="none"/>
                <w:lang w:val="en-US" w:eastAsia="zh-CN" w:bidi="ar"/>
              </w:rPr>
              <w:t xml:space="preserve">光流模块、视觉识别模</w:t>
            </w:r>
            <w:r>
              <w:rPr>
                <w:rFonts w:hint="eastAsia" w:ascii="宋体" w:hAnsi="宋体" w:eastAsia="宋体" w:cs="宋体"/>
                <w:i w:val="0"/>
                <w:iCs w:val="0"/>
                <w:strike w:val="0"/>
                <w:color w:val="auto"/>
                <w:sz w:val="21"/>
                <w:szCs w:val="21"/>
                <w:highlight w:val="none"/>
                <w:u w:val="none"/>
                <w:lang w:val="en-US" w:eastAsia="zh-CN" w:bidi="ar"/>
              </w:rPr>
              <w:t xml:space="preserve">块、</w:t>
            </w:r>
            <w:r>
              <w:rPr>
                <w:rFonts w:hint="eastAsia" w:ascii="宋体" w:hAnsi="宋体" w:cs="宋体"/>
                <w:i w:val="0"/>
                <w:iCs w:val="0"/>
                <w:strike w:val="0"/>
                <w:color w:val="auto"/>
                <w:sz w:val="21"/>
                <w:szCs w:val="21"/>
                <w:highlight w:val="none"/>
                <w:u w:val="none"/>
                <w:lang w:val="en-US" w:eastAsia="zh-CN" w:bidi="ar"/>
              </w:rPr>
              <w:t xml:space="preserve">语音识别、</w:t>
            </w:r>
            <w:r>
              <w:rPr>
                <w:rFonts w:hint="eastAsia" w:ascii="宋体" w:hAnsi="宋体" w:eastAsia="宋体" w:cs="宋体"/>
                <w:i w:val="0"/>
                <w:iCs w:val="0"/>
                <w:color w:val="auto"/>
                <w:sz w:val="21"/>
                <w:szCs w:val="21"/>
                <w:highlight w:val="none"/>
                <w:u w:val="none"/>
                <w:lang w:val="en-US" w:eastAsia="zh-CN" w:bidi="ar"/>
              </w:rPr>
              <w:t xml:space="preserve">激光定高模块</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.遥控器：自带显示屏，可实时查看各种传感器状态，能够设置各种飞行模式；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.光流模块：支持光流定位；激光模块：采用激光定高；视觉识别模块：可识别系统自带标签，能够完成巡线、跟踪、颜色识别等任务，支持Python编程，可做二次开发；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拓展</w:t>
            </w:r>
            <w:r>
              <w:rPr>
                <w:rFonts w:hint="eastAsia" w:ascii="宋体" w:hAnsi="宋体" w:eastAsia="宋体" w:cs="宋体"/>
                <w:i w:val="0"/>
                <w:iCs w:val="0"/>
                <w:strike w:val="0"/>
                <w:color w:val="auto"/>
                <w:sz w:val="21"/>
                <w:szCs w:val="21"/>
                <w:highlight w:val="none"/>
                <w:u w:val="none"/>
                <w:lang w:val="en-US" w:eastAsia="zh-CN" w:bidi="ar"/>
              </w:rPr>
              <w:t xml:space="preserve">电磁铁、舵机、摄像头等模块</w:t>
            </w:r>
            <w:r>
              <w:rPr>
                <w:rFonts w:hint="eastAsia" w:ascii="宋体" w:hAnsi="宋体" w:eastAsia="宋体" w:cs="宋体"/>
                <w:i w:val="0"/>
                <w:iCs w:val="0"/>
                <w:color w:val="auto"/>
                <w:sz w:val="21"/>
                <w:szCs w:val="21"/>
                <w:highlight w:val="none"/>
                <w:u w:val="none"/>
                <w:lang w:val="en-US" w:eastAsia="zh-CN" w:bidi="ar"/>
              </w:rPr>
              <w:t xml:space="preserve">，用于编程完成指定任务；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.自带图形化编程：在同一编程界面上，可以实现多机联动；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支持编程设置灯光</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.自带编队软件，可以结合编队配套道具，可实现多机编队飞行；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.支持互联通信模块，可与机器人、智能场景道具等产品实现物联数据交换；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CN" w:bidi="ar"/>
              </w:rPr>
              <w:t xml:space="preserve">能够参加</w:t>
            </w:r>
            <w:r>
              <w:rPr>
                <w:rFonts w:hint="eastAsia" w:ascii="宋体" w:hAnsi="宋体" w:eastAsia="宋体" w:cs="宋体"/>
                <w:i w:val="0"/>
                <w:iCs w:val="0"/>
                <w:strike w:val="0"/>
                <w:color w:val="auto"/>
                <w:sz w:val="21"/>
                <w:szCs w:val="21"/>
                <w:highlight w:val="none"/>
                <w:u w:val="none"/>
                <w:lang w:val="en-US" w:eastAsia="zh-CN" w:bidi="ar"/>
              </w:rPr>
              <w:t xml:space="preserve">最新赛事</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架</w:t>
            </w:r>
            <w:r/>
          </w:p>
        </w:tc>
      </w:tr>
      <w:tr>
        <w:trPr>
          <w:trHeight w:val="81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AK3-0</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无人机</w:t>
            </w:r>
            <w:r>
              <w:rPr>
                <w:rFonts w:hint="eastAsia" w:ascii="宋体" w:hAnsi="宋体" w:eastAsia="宋体" w:cs="宋体"/>
                <w:i w:val="0"/>
                <w:iCs w:val="0"/>
                <w:color w:val="auto"/>
                <w:sz w:val="21"/>
                <w:szCs w:val="21"/>
                <w:highlight w:val="none"/>
                <w:u w:val="none"/>
                <w:lang w:val="en-US" w:eastAsia="zh-CN" w:bidi="ar"/>
              </w:rPr>
              <w:t xml:space="preserve">拓展材料包</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#1.套装内包含：工具箱≥1；结构≥1，电机≥4，桨叶≥8（套），保护罩≥8，充电器≥1，电池≥2，备用螺丝若干。</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AK3-</w:t>
            </w:r>
            <w:r>
              <w:rPr>
                <w:rFonts w:hint="eastAsia" w:ascii="宋体" w:hAnsi="宋体" w:cs="宋体"/>
                <w:i w:val="0"/>
                <w:iCs w:val="0"/>
                <w:color w:val="auto"/>
                <w:sz w:val="21"/>
                <w:szCs w:val="21"/>
                <w:highlight w:val="none"/>
                <w:u w:val="none"/>
                <w:lang w:val="en-US" w:eastAsia="zh-CN" w:bidi="ar"/>
              </w:rPr>
              <w:t xml:space="preserve">08</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无人机</w:t>
            </w:r>
            <w:r>
              <w:rPr>
                <w:rFonts w:hint="eastAsia" w:ascii="宋体" w:hAnsi="宋体" w:eastAsia="宋体" w:cs="宋体"/>
                <w:i w:val="0"/>
                <w:iCs w:val="0"/>
                <w:color w:val="auto"/>
                <w:sz w:val="21"/>
                <w:szCs w:val="21"/>
                <w:highlight w:val="none"/>
                <w:u w:val="none"/>
                <w:lang w:val="en-US" w:eastAsia="zh-CN" w:bidi="ar"/>
              </w:rPr>
              <w:t xml:space="preserve">抓取结构</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#1、抓取结构*1，可完成物块抓取任务。</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AK3-</w:t>
            </w:r>
            <w:r>
              <w:rPr>
                <w:rFonts w:hint="eastAsia" w:ascii="宋体" w:hAnsi="宋体" w:cs="宋体"/>
                <w:i w:val="0"/>
                <w:iCs w:val="0"/>
                <w:color w:val="auto"/>
                <w:sz w:val="21"/>
                <w:szCs w:val="21"/>
                <w:highlight w:val="none"/>
                <w:u w:val="none"/>
                <w:lang w:val="en-US" w:eastAsia="zh-CN" w:bidi="ar"/>
              </w:rPr>
              <w:t xml:space="preserve">09</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无人机</w:t>
            </w:r>
            <w:r>
              <w:rPr>
                <w:rFonts w:hint="eastAsia" w:ascii="宋体" w:hAnsi="宋体" w:eastAsia="宋体" w:cs="宋体"/>
                <w:i w:val="0"/>
                <w:iCs w:val="0"/>
                <w:color w:val="auto"/>
                <w:sz w:val="21"/>
                <w:szCs w:val="21"/>
                <w:highlight w:val="none"/>
                <w:u w:val="none"/>
                <w:lang w:val="en-US" w:eastAsia="zh-CN" w:bidi="ar"/>
              </w:rPr>
              <w:t xml:space="preserve">电池</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#1.插头方式:空对空小白头;容量:1200mAh 3.7V 25C ;尺寸:50*24*8MM;重量:≥21G。</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AK3-</w:t>
            </w:r>
            <w:r>
              <w:rPr>
                <w:rFonts w:hint="eastAsia" w:ascii="宋体" w:hAnsi="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竞赛场地</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#1.场地道具包含：EVA物块≥6（4蓝2红），竖杆≥9，卡扣若干，圆环≥2，底座≥6，圆柱≥1；场地地图尺寸：≥2m*4m，喷绘布材质。</w:t>
            </w:r>
            <w:r>
              <w:rPr>
                <w:rFonts w:hint="eastAsia" w:ascii="宋体" w:hAnsi="宋体" w:cs="宋体"/>
                <w:i w:val="0"/>
                <w:iCs w:val="0"/>
                <w:strike w:val="0"/>
                <w:color w:val="auto"/>
                <w:sz w:val="21"/>
                <w:szCs w:val="21"/>
                <w:highlight w:val="none"/>
                <w:u w:val="none"/>
                <w:lang w:val="en-US" w:eastAsia="zh-CN" w:bidi="ar"/>
              </w:rPr>
              <w:t xml:space="preserve">能够参加</w:t>
            </w:r>
            <w:r>
              <w:rPr>
                <w:rFonts w:hint="eastAsia" w:ascii="宋体" w:hAnsi="宋体" w:eastAsia="宋体" w:cs="宋体"/>
                <w:i w:val="0"/>
                <w:iCs w:val="0"/>
                <w:strike w:val="0"/>
                <w:color w:val="auto"/>
                <w:sz w:val="21"/>
                <w:szCs w:val="21"/>
                <w:highlight w:val="none"/>
                <w:u w:val="none"/>
                <w:lang w:val="en-US" w:eastAsia="zh-CN" w:bidi="ar"/>
              </w:rPr>
              <w:t xml:space="preserve">最新赛事</w:t>
            </w:r>
            <w:r>
              <w:rPr>
                <w:rFonts w:hint="eastAsia" w:ascii="宋体" w:hAnsi="宋体" w:cs="宋体"/>
                <w:i w:val="0"/>
                <w:iCs w:val="0"/>
                <w:strike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4279"/>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AK3-1</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机器狗</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#1.机械与电气参数：站立尺寸约70×3</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×40cm，重量（含电池）≤15</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kg，铝合金，供电电压约28V—3</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V，工作最大功率≤3</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#2.标配</w:t>
            </w:r>
            <w:r>
              <w:rPr>
                <w:rFonts w:hint="eastAsia" w:ascii="宋体" w:hAnsi="宋体" w:eastAsia="宋体" w:cs="宋体"/>
                <w:i w:val="0"/>
                <w:iCs w:val="0"/>
                <w:strike w:val="0"/>
                <w:color w:val="auto"/>
                <w:sz w:val="21"/>
                <w:szCs w:val="21"/>
                <w:highlight w:val="none"/>
                <w:u w:val="none"/>
                <w:lang w:val="en-US" w:eastAsia="zh-CN" w:bidi="ar"/>
              </w:rPr>
              <w:t xml:space="preserve">4D超广角激光</w:t>
            </w:r>
            <w:r>
              <w:rPr>
                <w:rFonts w:hint="eastAsia" w:ascii="宋体" w:hAnsi="宋体" w:eastAsia="宋体" w:cs="宋体"/>
                <w:i w:val="0"/>
                <w:iCs w:val="0"/>
                <w:color w:val="auto"/>
                <w:sz w:val="21"/>
                <w:szCs w:val="21"/>
                <w:highlight w:val="none"/>
                <w:u w:val="none"/>
                <w:lang w:val="en-US" w:eastAsia="zh-CN" w:bidi="ar"/>
              </w:rPr>
              <w:t xml:space="preserve">雷</w:t>
            </w:r>
            <w:r>
              <w:rPr>
                <w:rFonts w:hint="eastAsia" w:ascii="宋体" w:hAnsi="宋体" w:eastAsia="宋体" w:cs="宋体"/>
                <w:i w:val="0"/>
                <w:iCs w:val="0"/>
                <w:strike w:val="0"/>
                <w:color w:val="auto"/>
                <w:sz w:val="21"/>
                <w:szCs w:val="21"/>
                <w:highlight w:val="none"/>
                <w:u w:val="none"/>
                <w:lang w:val="en-US" w:eastAsia="zh-CN" w:bidi="ar"/>
              </w:rPr>
              <w:t xml:space="preserve">达,感知系统提升200%,最小探测距离≤0.05m</w:t>
            </w:r>
            <w:r>
              <w:rPr>
                <w:rFonts w:hint="eastAsia" w:ascii="宋体" w:hAnsi="宋体" w:eastAsia="宋体" w:cs="宋体"/>
                <w:i w:val="0"/>
                <w:iCs w:val="0"/>
                <w:color w:val="auto"/>
                <w:sz w:val="21"/>
                <w:szCs w:val="21"/>
                <w:highlight w:val="none"/>
                <w:u w:val="none"/>
                <w:lang w:val="en-US" w:eastAsia="zh-CN" w:bidi="ar"/>
              </w:rPr>
              <w:t xml:space="preserve">，配有高清广角相机。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#3.超大关节运动空间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运动速度：0～</w:t>
            </w:r>
            <w:r>
              <w:rPr>
                <w:rFonts w:hint="eastAsia" w:ascii="宋体" w:hAnsi="宋体" w:cs="宋体"/>
                <w:i w:val="0"/>
                <w:iCs w:val="0"/>
                <w:strike w:val="0"/>
                <w:color w:val="auto"/>
                <w:sz w:val="21"/>
                <w:szCs w:val="21"/>
                <w:highlight w:val="none"/>
                <w:u w:val="none"/>
                <w:lang w:val="en-US" w:eastAsia="zh-CN" w:bidi="ar"/>
              </w:rPr>
              <w:t xml:space="preserve">4.0</w:t>
            </w:r>
            <w:r>
              <w:rPr>
                <w:rFonts w:hint="eastAsia" w:ascii="宋体" w:hAnsi="宋体" w:eastAsia="宋体" w:cs="宋体"/>
                <w:i w:val="0"/>
                <w:iCs w:val="0"/>
                <w:strike w:val="0"/>
                <w:color w:val="auto"/>
                <w:sz w:val="21"/>
                <w:szCs w:val="21"/>
                <w:highlight w:val="none"/>
                <w:u w:val="none"/>
                <w:lang w:val="en-US" w:eastAsia="zh-CN" w:bidi="ar"/>
              </w:rPr>
              <w:t xml:space="preserve">m/</w:t>
            </w:r>
            <w:r>
              <w:rPr>
                <w:rFonts w:hint="eastAsia" w:ascii="宋体" w:hAnsi="宋体" w:cs="宋体"/>
                <w:i w:val="0"/>
                <w:iCs w:val="0"/>
                <w:strike w:val="0"/>
                <w:color w:val="auto"/>
                <w:sz w:val="21"/>
                <w:szCs w:val="21"/>
                <w:highlight w:val="none"/>
                <w:u w:val="none"/>
                <w:lang w:val="en-US" w:eastAsia="zh-CN" w:bidi="ar"/>
              </w:rPr>
              <w:t xml:space="preserve">s</w:t>
            </w:r>
            <w:r>
              <w:rPr>
                <w:rFonts w:hint="eastAsia" w:ascii="宋体" w:hAnsi="宋体" w:eastAsia="宋体" w:cs="宋体"/>
                <w:i w:val="0"/>
                <w:iCs w:val="0"/>
                <w:strike w:val="0"/>
                <w:color w:val="auto"/>
                <w:sz w:val="21"/>
                <w:szCs w:val="21"/>
                <w:highlight w:val="none"/>
                <w:u w:val="none"/>
                <w:lang w:val="en-US" w:eastAsia="zh-CN" w:bidi="ar"/>
              </w:rPr>
              <w:t xml:space="preserve">，最大关节扭矩约45N.m</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.拥有强大计算核心：内置运动控制器、高性能ARM处理器，超级AI算力。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.具备跳跃/空中转体/跳舞/双腿站立等功能，可执行伸懒腰、握手、开心、扑人、坐下等多种动作姿态；腿和机身连接处具备全向柔性缓冲结构，可吸收全</w:t>
            </w:r>
            <w:r>
              <w:rPr>
                <w:rFonts w:hint="eastAsia" w:ascii="宋体" w:hAnsi="宋体" w:cs="宋体"/>
                <w:i w:val="0"/>
                <w:iCs w:val="0"/>
                <w:color w:val="auto"/>
                <w:sz w:val="21"/>
                <w:szCs w:val="21"/>
                <w:highlight w:val="none"/>
                <w:u w:val="none"/>
                <w:lang w:val="en-US" w:eastAsia="zh-CN" w:bidi="ar"/>
              </w:rPr>
              <w:t xml:space="preserve">方位</w:t>
            </w:r>
            <w:r>
              <w:rPr>
                <w:rFonts w:hint="eastAsia" w:ascii="宋体" w:hAnsi="宋体" w:eastAsia="宋体" w:cs="宋体"/>
                <w:i w:val="0"/>
                <w:iCs w:val="0"/>
                <w:color w:val="auto"/>
                <w:sz w:val="21"/>
                <w:szCs w:val="21"/>
                <w:highlight w:val="none"/>
                <w:u w:val="none"/>
                <w:lang w:val="en-US" w:eastAsia="zh-CN" w:bidi="ar"/>
              </w:rPr>
              <w:t xml:space="preserve">冲击,具有良好的缓冲功能；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.支持图形化编程，具备APP视角，APP模拟器功能，内置自主避障系统、定位伴随模组；                                                                                                                          #</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.连接方式：支持</w:t>
            </w:r>
            <w:r>
              <w:rPr>
                <w:rFonts w:hint="eastAsia" w:ascii="宋体" w:hAnsi="宋体" w:eastAsia="宋体" w:cs="宋体"/>
                <w:i w:val="0"/>
                <w:iCs w:val="0"/>
                <w:strike w:val="0"/>
                <w:color w:val="auto"/>
                <w:sz w:val="21"/>
                <w:szCs w:val="21"/>
                <w:highlight w:val="none"/>
                <w:u w:val="none"/>
                <w:lang w:val="en-US" w:eastAsia="zh-CN" w:bidi="ar"/>
              </w:rPr>
              <w:t xml:space="preserve">无线</w:t>
            </w:r>
            <w:r>
              <w:rPr>
                <w:rFonts w:hint="eastAsia" w:ascii="宋体" w:hAnsi="宋体" w:eastAsia="宋体" w:cs="宋体"/>
                <w:i w:val="0"/>
                <w:iCs w:val="0"/>
                <w:color w:val="auto"/>
                <w:sz w:val="21"/>
                <w:szCs w:val="21"/>
                <w:highlight w:val="none"/>
                <w:u w:val="none"/>
                <w:lang w:val="en-US" w:eastAsia="zh-CN" w:bidi="ar"/>
              </w:rPr>
              <w:t xml:space="preserve">、蓝牙、4G</w:t>
            </w:r>
            <w:r>
              <w:rPr>
                <w:rFonts w:hint="eastAsia" w:ascii="宋体" w:hAnsi="宋体" w:cs="宋体"/>
                <w:i w:val="0"/>
                <w:iCs w:val="0"/>
                <w:color w:val="auto"/>
                <w:sz w:val="21"/>
                <w:szCs w:val="21"/>
                <w:highlight w:val="none"/>
                <w:u w:val="none"/>
                <w:lang w:val="en-US" w:eastAsia="zh-CN" w:bidi="ar"/>
              </w:rPr>
              <w:t xml:space="preserve">/5G</w:t>
            </w:r>
            <w:r>
              <w:rPr>
                <w:rFonts w:hint="eastAsia" w:ascii="宋体" w:hAnsi="宋体" w:eastAsia="宋体" w:cs="宋体"/>
                <w:i w:val="0"/>
                <w:iCs w:val="0"/>
                <w:color w:val="auto"/>
                <w:sz w:val="21"/>
                <w:szCs w:val="21"/>
                <w:highlight w:val="none"/>
                <w:u w:val="none"/>
                <w:lang w:val="en-US" w:eastAsia="zh-CN" w:bidi="ar"/>
              </w:rPr>
              <w:t xml:space="preserve">模组连接；支持语音功能、智能伴随、探物避障，配有手持式遥控器、智能电池、充电器。</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264"/>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AK3-1</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AI智能机器人</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numPr>
                <w:ilvl w:val="0"/>
                <w:numId w:val="7"/>
              </w:numPr>
              <w:jc w:val="left"/>
              <w:keepLines w:val="0"/>
              <w:keepNext w:val="0"/>
              <w:pageBreakBefore w:val="0"/>
              <w:spacing w:line="320" w:lineRule="exact"/>
              <w:widowControl/>
              <w:rPr>
                <w:rFonts w:hint="eastAsia" w:ascii="宋体" w:hAnsi="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功能描述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strike w:val="0"/>
                <w:color w:val="auto"/>
                <w:sz w:val="21"/>
                <w:szCs w:val="21"/>
                <w:highlight w:val="none"/>
                <w:u w:val="none"/>
                <w:lang w:val="en-US" w:eastAsia="zh-CN" w:bidi="ar"/>
              </w:rPr>
              <w:t xml:space="preserve">AI机器人，</w:t>
            </w:r>
            <w:r>
              <w:rPr>
                <w:rFonts w:hint="eastAsia" w:ascii="宋体" w:hAnsi="宋体" w:eastAsia="宋体" w:cs="宋体"/>
                <w:i w:val="0"/>
                <w:iCs w:val="0"/>
                <w:color w:val="auto"/>
                <w:sz w:val="21"/>
                <w:szCs w:val="21"/>
                <w:highlight w:val="none"/>
                <w:u w:val="none"/>
                <w:lang w:val="en-US" w:eastAsia="zh-CN" w:bidi="ar"/>
              </w:rPr>
              <w:t xml:space="preserve">产品包含结构件、执行件和主控。配合3D动态图纸和可视化编程，要求满足课程≥1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主题，≥6</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课时学习;</w:t>
            </w:r>
            <w:r/>
          </w:p>
          <w:p>
            <w:pPr>
              <w:numPr>
                <w:ilvl w:val="0"/>
                <w:numId w:val="0"/>
              </w:numPr>
              <w:jc w:val="left"/>
              <w:keepLines w:val="0"/>
              <w:keepNext w:val="0"/>
              <w:pageBreakBefore w:val="0"/>
              <w:spacing w:line="320" w:lineRule="exact"/>
              <w:widowControl/>
              <w:rPr>
                <w:rFonts w:hint="eastAsia" w:ascii="宋体" w:hAnsi="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同时能运行多个算法模型;编程平台开放了python sdk，配合第三方python工具实现更开放的编程;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二、配置要求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个种类，≥5</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个零件，可构建主流机器人形态，可搭建变形工程车、机械臂、麦轮车、机器狗等至少五种形态；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#2.多功能控制器：配置≥3麦阵列麦克风，喇叭模块，触控显示屏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开源接口等，可以实现自然语音交互、机器人运动控制等功能，多个模块接口，实现设计程序运行，让搭建的作品动起来；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#3.智能语音：</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本地VAD、在线ASR和在线TTS语音功能、NLP功能</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#4.机器视觉：</w:t>
            </w:r>
            <w:r>
              <w:rPr>
                <w:rFonts w:hint="eastAsia" w:ascii="宋体" w:hAnsi="宋体" w:cs="宋体"/>
                <w:i w:val="0"/>
                <w:iCs w:val="0"/>
                <w:strike w:val="0"/>
                <w:color w:val="auto"/>
                <w:sz w:val="21"/>
                <w:szCs w:val="21"/>
                <w:highlight w:val="none"/>
                <w:u w:val="none"/>
                <w:lang w:val="en-US" w:eastAsia="zh-CN" w:bidi="ar"/>
              </w:rPr>
              <w:t xml:space="preserve">支持</w:t>
            </w:r>
            <w:r>
              <w:rPr>
                <w:rFonts w:hint="eastAsia" w:ascii="宋体" w:hAnsi="宋体" w:eastAsia="宋体" w:cs="宋体"/>
                <w:i w:val="0"/>
                <w:iCs w:val="0"/>
                <w:strike w:val="0"/>
                <w:color w:val="auto"/>
                <w:sz w:val="21"/>
                <w:szCs w:val="21"/>
                <w:highlight w:val="none"/>
                <w:u w:val="none"/>
                <w:lang w:val="en-US" w:eastAsia="zh-CN" w:bidi="ar"/>
              </w:rPr>
              <w:t xml:space="preserve">车道识别</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定位识别、交通标志识别</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人脸识别</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手势识别、</w:t>
            </w:r>
            <w:r>
              <w:rPr>
                <w:rFonts w:hint="eastAsia" w:ascii="宋体" w:hAnsi="宋体" w:cs="宋体"/>
                <w:i w:val="0"/>
                <w:iCs w:val="0"/>
                <w:strike w:val="0"/>
                <w:color w:val="auto"/>
                <w:sz w:val="21"/>
                <w:szCs w:val="21"/>
                <w:highlight w:val="none"/>
                <w:u w:val="none"/>
                <w:lang w:val="en-US" w:eastAsia="zh-CN" w:bidi="ar"/>
              </w:rPr>
              <w:t xml:space="preserve">具备图传功能。</w:t>
            </w:r>
            <w:r>
              <w:rPr>
                <w:rFonts w:hint="eastAsia" w:ascii="宋体" w:hAnsi="宋体" w:eastAsia="宋体" w:cs="宋体"/>
                <w:i w:val="0"/>
                <w:iCs w:val="0"/>
                <w:strike w:val="0"/>
                <w:color w:val="auto"/>
                <w:sz w:val="21"/>
                <w:szCs w:val="21"/>
                <w:highlight w:val="none"/>
                <w:u w:val="none"/>
                <w:lang w:val="en-US" w:eastAsia="zh-CN" w:bidi="ar"/>
              </w:rPr>
              <w:t xml:space="preserve">运控算法：</w:t>
            </w:r>
            <w:r>
              <w:rPr>
                <w:rFonts w:hint="eastAsia" w:ascii="宋体" w:hAnsi="宋体" w:cs="宋体"/>
                <w:i w:val="0"/>
                <w:iCs w:val="0"/>
                <w:strike w:val="0"/>
                <w:color w:val="auto"/>
                <w:sz w:val="21"/>
                <w:szCs w:val="21"/>
                <w:highlight w:val="none"/>
                <w:u w:val="none"/>
                <w:lang w:val="en-US" w:eastAsia="zh-CN" w:bidi="ar"/>
              </w:rPr>
              <w:t xml:space="preserve">支持</w:t>
            </w:r>
            <w:r>
              <w:rPr>
                <w:rFonts w:hint="eastAsia" w:ascii="宋体" w:hAnsi="宋体" w:eastAsia="宋体" w:cs="宋体"/>
                <w:i w:val="0"/>
                <w:iCs w:val="0"/>
                <w:strike w:val="0"/>
                <w:color w:val="auto"/>
                <w:sz w:val="21"/>
                <w:szCs w:val="21"/>
                <w:highlight w:val="none"/>
                <w:u w:val="none"/>
                <w:lang w:val="en-US" w:eastAsia="zh-CN" w:bidi="ar"/>
              </w:rPr>
              <w:t xml:space="preserve">自适应算法</w:t>
            </w:r>
            <w:r>
              <w:rPr>
                <w:rFonts w:hint="eastAsia" w:ascii="宋体" w:hAnsi="宋体" w:cs="宋体"/>
                <w:i w:val="0"/>
                <w:iCs w:val="0"/>
                <w:strike w:val="0"/>
                <w:color w:val="auto"/>
                <w:sz w:val="21"/>
                <w:szCs w:val="21"/>
                <w:highlight w:val="none"/>
                <w:u w:val="none"/>
                <w:lang w:val="en-US" w:eastAsia="zh-CN" w:bidi="ar"/>
              </w:rPr>
              <w:t xml:space="preserve">等；</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三、技术参数</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#1.主芯片参数如下：内存：≥32GB；摄像头≥100万像素</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测距</w:t>
            </w:r>
            <w:r>
              <w:rPr>
                <w:rFonts w:hint="eastAsia" w:ascii="宋体" w:hAnsi="宋体" w:cs="宋体"/>
                <w:i w:val="0"/>
                <w:iCs w:val="0"/>
                <w:strike w:val="0"/>
                <w:color w:val="auto"/>
                <w:sz w:val="21"/>
                <w:szCs w:val="21"/>
                <w:highlight w:val="none"/>
                <w:u w:val="none"/>
                <w:lang w:val="en-US" w:eastAsia="zh-CN" w:bidi="ar"/>
              </w:rPr>
              <w:t xml:space="preserve">模块：</w:t>
            </w:r>
            <w:r>
              <w:rPr>
                <w:rFonts w:hint="eastAsia" w:ascii="宋体" w:hAnsi="宋体" w:eastAsia="宋体" w:cs="宋体"/>
                <w:i w:val="0"/>
                <w:iCs w:val="0"/>
                <w:strike w:val="0"/>
                <w:color w:val="auto"/>
                <w:sz w:val="21"/>
                <w:szCs w:val="21"/>
                <w:highlight w:val="none"/>
                <w:u w:val="none"/>
                <w:lang w:val="en-US" w:eastAsia="zh-CN" w:bidi="ar"/>
              </w:rPr>
              <w:t xml:space="preserve">检测</w:t>
            </w:r>
            <w:r>
              <w:rPr>
                <w:rFonts w:hint="eastAsia" w:ascii="宋体" w:hAnsi="宋体" w:cs="宋体"/>
                <w:i w:val="0"/>
                <w:iCs w:val="0"/>
                <w:strike w:val="0"/>
                <w:color w:val="auto"/>
                <w:sz w:val="21"/>
                <w:szCs w:val="21"/>
                <w:highlight w:val="none"/>
                <w:u w:val="none"/>
                <w:lang w:val="en-US" w:eastAsia="zh-CN" w:bidi="ar"/>
              </w:rPr>
              <w:t xml:space="preserve">范围</w:t>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CN" w:bidi="ar"/>
              </w:rPr>
              <w:t xml:space="preserve">约</w:t>
            </w:r>
            <w:r>
              <w:rPr>
                <w:rFonts w:hint="eastAsia" w:ascii="宋体" w:hAnsi="宋体" w:eastAsia="宋体" w:cs="宋体"/>
                <w:i w:val="0"/>
                <w:iCs w:val="0"/>
                <w:strike w:val="0"/>
                <w:color w:val="auto"/>
                <w:sz w:val="21"/>
                <w:szCs w:val="21"/>
                <w:highlight w:val="none"/>
                <w:u w:val="none"/>
                <w:lang w:val="en-US" w:eastAsia="zh-CN" w:bidi="ar"/>
              </w:rPr>
              <w:t xml:space="preserve">4-200 cm</w:t>
            </w:r>
            <w:r>
              <w:rPr>
                <w:rFonts w:hint="eastAsia" w:ascii="宋体" w:hAnsi="宋体" w:cs="宋体"/>
                <w:i w:val="0"/>
                <w:iCs w:val="0"/>
                <w:strike w:val="0"/>
                <w:color w:val="auto"/>
                <w:sz w:val="21"/>
                <w:szCs w:val="21"/>
                <w:highlight w:val="none"/>
                <w:u w:val="none"/>
                <w:lang w:val="en-US" w:eastAsia="zh-CN" w:bidi="ar"/>
              </w:rPr>
              <w:t xml:space="preserve">。能够参加</w:t>
            </w:r>
            <w:r>
              <w:rPr>
                <w:rFonts w:hint="eastAsia" w:ascii="宋体" w:hAnsi="宋体" w:eastAsia="宋体" w:cs="宋体"/>
                <w:i w:val="0"/>
                <w:iCs w:val="0"/>
                <w:strike w:val="0"/>
                <w:color w:val="auto"/>
                <w:sz w:val="21"/>
                <w:szCs w:val="21"/>
                <w:highlight w:val="none"/>
                <w:u w:val="none"/>
                <w:lang w:val="en-US" w:eastAsia="zh-CN" w:bidi="ar"/>
              </w:rPr>
              <w:t xml:space="preserve">最新赛事</w:t>
            </w:r>
            <w:r>
              <w:rPr>
                <w:rFonts w:hint="eastAsia" w:ascii="宋体" w:hAnsi="宋体" w:cs="宋体"/>
                <w:i w:val="0"/>
                <w:iCs w:val="0"/>
                <w:strike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022"/>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AK3-1</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比赛</w:t>
            </w:r>
            <w:r>
              <w:rPr>
                <w:rFonts w:hint="eastAsia" w:ascii="宋体" w:hAnsi="宋体" w:eastAsia="宋体" w:cs="宋体"/>
                <w:i w:val="0"/>
                <w:iCs w:val="0"/>
                <w:color w:val="auto"/>
                <w:sz w:val="21"/>
                <w:szCs w:val="21"/>
                <w:highlight w:val="none"/>
                <w:u w:val="none"/>
                <w:lang w:val="en-US" w:eastAsia="zh-CN" w:bidi="ar"/>
              </w:rPr>
              <w:t xml:space="preserve">场地</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个种类，≥70个部件，支持学生完成AI课程；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#2.小球和方块采用新型环保塑料发泡材料</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识别卡片采用了硬卡纸，具有不易破损的特点;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.地图包参数如下：约2000*1600mm (mm) ，地板膜过哑胶,四色印刷，高精度喷绘;</w:t>
            </w:r>
            <w:r>
              <w:rPr>
                <w:rFonts w:hint="eastAsia" w:ascii="宋体" w:hAnsi="宋体" w:cs="宋体"/>
                <w:i w:val="0"/>
                <w:iCs w:val="0"/>
                <w:strike w:val="0"/>
                <w:color w:val="auto"/>
                <w:sz w:val="21"/>
                <w:szCs w:val="21"/>
                <w:highlight w:val="none"/>
                <w:u w:val="none"/>
                <w:lang w:val="en-US" w:eastAsia="zh-CN" w:bidi="ar"/>
              </w:rPr>
              <w:t xml:space="preserve">能够参加</w:t>
            </w:r>
            <w:r>
              <w:rPr>
                <w:rFonts w:hint="eastAsia" w:ascii="宋体" w:hAnsi="宋体" w:eastAsia="宋体" w:cs="宋体"/>
                <w:i w:val="0"/>
                <w:iCs w:val="0"/>
                <w:strike w:val="0"/>
                <w:color w:val="auto"/>
                <w:sz w:val="21"/>
                <w:szCs w:val="21"/>
                <w:highlight w:val="none"/>
                <w:u w:val="none"/>
                <w:lang w:val="en-US" w:eastAsia="zh-CN" w:bidi="ar"/>
              </w:rPr>
              <w:t xml:space="preserve">最新赛事</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AK3-1</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文宣装修</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技术参数要求同“AB1-44</w:t>
            </w:r>
            <w:r>
              <w:rPr>
                <w:rFonts w:hint="eastAsia" w:ascii="宋体" w:hAnsi="宋体" w:cs="宋体"/>
                <w:i w:val="0"/>
                <w:iCs w:val="0"/>
                <w:color w:val="auto"/>
                <w:sz w:val="21"/>
                <w:szCs w:val="21"/>
                <w:highlight w:val="none"/>
                <w:u w:val="none"/>
                <w:lang w:val="en-US" w:eastAsia="zh-CN" w:bidi="ar"/>
              </w:rPr>
              <w:t xml:space="preserve">文宣装修</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73"/>
        <w:gridCol w:w="1359"/>
        <w:gridCol w:w="6615"/>
        <w:gridCol w:w="720"/>
        <w:gridCol w:w="681"/>
      </w:tblGrid>
      <w:tr>
        <w:trPr>
          <w:trHeight w:val="567" w:hRule="exact"/>
        </w:trPr>
        <w:tc>
          <w:tcPr>
            <w:gridSpan w:val="5"/>
            <w:tcBorders>
              <w:top w:val="single" w:color="000000" w:sz="4" w:space="0"/>
              <w:left w:val="single" w:color="000000" w:sz="4" w:space="0"/>
              <w:bottom w:val="single" w:color="auto" w:sz="4" w:space="0"/>
              <w:right w:val="single" w:color="000000" w:sz="4" w:space="0"/>
            </w:tcBorders>
            <w:tcW w:w="1034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AL-舞蹈教室</w:t>
            </w:r>
            <w:r/>
          </w:p>
        </w:tc>
      </w:tr>
      <w:tr>
        <w:trPr>
          <w:trHeight w:val="270"/>
        </w:trPr>
        <w:tc>
          <w:tcPr>
            <w:tcBorders>
              <w:top w:val="single" w:color="auto" w:sz="4" w:space="0"/>
              <w:left w:val="single" w:color="auto" w:sz="4" w:space="0"/>
              <w:bottom w:val="single" w:color="auto" w:sz="4" w:space="0"/>
              <w:right w:val="single" w:color="auto" w:sz="4" w:space="0"/>
            </w:tcBorders>
            <w:tcW w:w="973" w:type="dxa"/>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fldChar w:fldCharType="begin"/>
            </w:r>
            <w:r>
              <w:rPr>
                <w:rFonts w:hint="eastAsia" w:ascii="宋体" w:hAnsi="宋体" w:eastAsia="宋体" w:cs="宋体"/>
                <w:b/>
                <w:bCs/>
                <w:i w:val="0"/>
                <w:iCs w:val="0"/>
                <w:color w:val="auto"/>
                <w:sz w:val="21"/>
                <w:szCs w:val="21"/>
                <w:highlight w:val="none"/>
                <w:u w:val="none"/>
                <w:lang w:val="en-US" w:eastAsia="zh-CN" w:bidi="ar"/>
              </w:rPr>
              <w:instrText xml:space="preserve"> HYPERLINK "" \l "目录!A1" </w:instrText>
            </w:r>
            <w:r>
              <w:rPr>
                <w:rFonts w:hint="eastAsia" w:ascii="宋体" w:hAnsi="宋体" w:eastAsia="宋体" w:cs="宋体"/>
                <w:b/>
                <w:bCs/>
                <w:i w:val="0"/>
                <w:iCs w:val="0"/>
                <w:color w:val="auto"/>
                <w:sz w:val="21"/>
                <w:szCs w:val="21"/>
                <w:highlight w:val="none"/>
                <w:u w:val="none"/>
                <w:lang w:val="en-US" w:eastAsia="zh-CN" w:bidi="ar"/>
              </w:rPr>
              <w:fldChar w:fldCharType="separate"/>
            </w:r>
            <w:r>
              <w:rPr>
                <w:rStyle w:val="728"/>
                <w:rFonts w:hint="eastAsia" w:ascii="宋体" w:hAnsi="宋体" w:eastAsia="宋体" w:cs="宋体"/>
                <w:b/>
                <w:bCs/>
                <w:i w:val="0"/>
                <w:iCs w:val="0"/>
                <w:color w:val="auto"/>
                <w:sz w:val="21"/>
                <w:szCs w:val="21"/>
                <w:highlight w:val="none"/>
                <w:u w:val="none"/>
              </w:rPr>
              <w:t xml:space="preserve">序号</w:t>
            </w:r>
            <w:r>
              <w:rPr>
                <w:rFonts w:hint="eastAsia" w:ascii="宋体" w:hAnsi="宋体" w:eastAsia="宋体" w:cs="宋体"/>
                <w:b/>
                <w:bCs/>
                <w:i w:val="0"/>
                <w:iCs w:val="0"/>
                <w:color w:val="auto"/>
                <w:sz w:val="21"/>
                <w:szCs w:val="21"/>
                <w:highlight w:val="none"/>
                <w:u w:val="none"/>
                <w:lang w:val="en-US" w:eastAsia="zh-CN" w:bidi="ar"/>
              </w:rPr>
              <w:fldChar w:fldCharType="end"/>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1080"/>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AL1-01</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把杆</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#1.水曲柳杆长2m±5mm、3m±5mm、4m±5mm，可根据教室实际尺寸配置，直径55mm，内有22mm直径锰钢，带弹性， ABS移动底座，支架采用优质无缝钢管焊接而成，颜色珍珠白、高亮。活动升降</w:t>
            </w:r>
            <w:r>
              <w:rPr>
                <w:rFonts w:hint="eastAsia" w:ascii="宋体" w:hAnsi="宋体" w:cs="宋体"/>
                <w:i w:val="0"/>
                <w:iCs w:val="0"/>
                <w:color w:val="auto"/>
                <w:sz w:val="21"/>
                <w:szCs w:val="21"/>
                <w:highlight w:val="none"/>
                <w:u w:val="none"/>
                <w:lang w:val="en-US" w:eastAsia="zh-CN" w:bidi="ar"/>
              </w:rPr>
              <w:t xml:space="preserve">内</w:t>
            </w:r>
            <w:r>
              <w:rPr>
                <w:rFonts w:hint="eastAsia" w:ascii="宋体" w:hAnsi="宋体" w:eastAsia="宋体" w:cs="宋体"/>
                <w:i w:val="0"/>
                <w:iCs w:val="0"/>
                <w:color w:val="auto"/>
                <w:sz w:val="21"/>
                <w:szCs w:val="21"/>
                <w:highlight w:val="none"/>
                <w:u w:val="none"/>
                <w:lang w:val="en-US" w:eastAsia="zh-CN" w:bidi="ar"/>
              </w:rPr>
              <w:t xml:space="preserve">芯为优质电镀圆管，螺旋拉销式升降控制装备，升降高度可调节40cm（80-120cm）。</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270"/>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AL1-02</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练功凳</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#1.简约</w:t>
            </w:r>
            <w:r>
              <w:rPr>
                <w:rFonts w:hint="eastAsia" w:ascii="宋体" w:hAnsi="宋体" w:cs="宋体"/>
                <w:i w:val="0"/>
                <w:iCs w:val="0"/>
                <w:color w:val="auto"/>
                <w:sz w:val="21"/>
                <w:szCs w:val="21"/>
                <w:highlight w:val="none"/>
                <w:u w:val="none"/>
                <w:lang w:val="en-US" w:eastAsia="zh-CN" w:bidi="ar"/>
              </w:rPr>
              <w:t xml:space="preserve">现代</w:t>
            </w:r>
            <w:r>
              <w:rPr>
                <w:rFonts w:hint="eastAsia" w:ascii="宋体" w:hAnsi="宋体" w:eastAsia="宋体" w:cs="宋体"/>
                <w:i w:val="0"/>
                <w:iCs w:val="0"/>
                <w:color w:val="auto"/>
                <w:sz w:val="21"/>
                <w:szCs w:val="21"/>
                <w:highlight w:val="none"/>
                <w:u w:val="none"/>
                <w:lang w:val="en-US" w:eastAsia="zh-CN" w:bidi="ar"/>
              </w:rPr>
              <w:t xml:space="preserve">设计、超纤皮方形、材质：超纤皮，35*35*60cm，颜色随机。</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AL1-03</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压腿凳</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#1.练功凳，长2米*宽24厘米*高30厘米±5mm，中间海绵一层，表面采用皮革包裹。</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AL1-04</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压腿砖</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#1.环保材质，无害物质，防水性强，不易沾水，高密度海绵泡沫砖，尺寸：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23*15*7cm±5mm。</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AL1-05</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瑜伽垫</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#1.尺寸：长185cmX宽80cmX厚15mm±5mm，高密度NBR材质。</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w:t>
            </w:r>
            <w:r/>
          </w:p>
        </w:tc>
      </w:tr>
      <w:tr>
        <w:trPr>
          <w:trHeight w:val="270"/>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AL1-06</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橡胶地垫</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#1.绿色环保专业型pvc舞蹈地胶，无毒无味，减震防滑，耐磨，不收缩变形。</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平方</w:t>
            </w: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2160"/>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AL1-07</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全频主音箱</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#1.频率响应：54Hz-20KHz；低音单元≥1×12"；高音单元≥1×1.75"；系统：2way speaker；承受功率≥400W；灵敏度≥98dB1w/1m；最大声压≥124dB；阻抗：8Ω。</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220"/>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AL1-08</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功率放大器</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#1.采用智能控制强制散热设计，具有风机</w:t>
            </w:r>
            <w:r>
              <w:rPr>
                <w:rFonts w:hint="eastAsia" w:ascii="宋体" w:hAnsi="宋体" w:cs="宋体"/>
                <w:i w:val="0"/>
                <w:iCs w:val="0"/>
                <w:color w:val="auto"/>
                <w:sz w:val="21"/>
                <w:szCs w:val="21"/>
                <w:highlight w:val="none"/>
                <w:u w:val="none"/>
                <w:lang w:val="en-US" w:eastAsia="zh-CN" w:bidi="ar"/>
              </w:rPr>
              <w:t xml:space="preserve">噪声</w:t>
            </w:r>
            <w:r>
              <w:rPr>
                <w:rFonts w:hint="eastAsia" w:ascii="宋体" w:hAnsi="宋体" w:eastAsia="宋体" w:cs="宋体"/>
                <w:i w:val="0"/>
                <w:iCs w:val="0"/>
                <w:color w:val="auto"/>
                <w:sz w:val="21"/>
                <w:szCs w:val="21"/>
                <w:highlight w:val="none"/>
                <w:u w:val="none"/>
                <w:lang w:val="en-US" w:eastAsia="zh-CN" w:bidi="ar"/>
              </w:rPr>
              <w:t xml:space="preserve">小，散热效率高等特点；内置智能压限系统，控制功率模块及扬声器系统在安全范围内工作；具有BRI桥接、STE 立体声、PAR 立体声等模式，≥2 种增益开关可选；功率放大电路，具有完善可靠的安全保护措施和工作状态指示，让用户放心使用；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.输入阻抗:10KΩ 非平衡.20KΩ 平衡；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.频率响应(@1W 功率下）:20-20KHz/±0.5dB。                                                                                             </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90"/>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AL1-09</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声纹识别反馈抑制器</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#1.输入阻抗20KΩ，输出阻抗100Ω；输入范围：＋6dB-180dB；最大功耗：≤50 VA；频率响应：200Hz - 16 kHz（±1dB）；失真度：&lt; 0.02%（1 kHz ）；增益调节范围： 0 dB -12dB；信噪比：&gt; 95 dB；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.内置≥5级声纹筛，可以精确筛选出音箱的声音信号，并滤除掉。</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119"/>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AL1-10</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穿戴式无线麦克风</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#1.通讯方式，采用2.4G通讯方式，自动调频；多变穿戴方式，穿着随心，行走随意；无续航焦虑（单咪续航6小时，配置快速充电仓，充电仓可连续充电2次以上）；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.互动更轻松（一个接收器可配置单咪或双咪使用，并支持多套接收系统同时使用）；多室使用，杜绝串频（任意麦克风都可以与任意接收器配对）；                                                                       </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686"/>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AL1-11</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接收盒</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#1.便于安装和更换，适用性强；具备一路USB供电接口，信号输出4P凤凰插座及5V供电接口。                                                                                                                                                          </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242"/>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AL1-12</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调音台</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#1、8路MIC/LINE，1组立体声输入（9/10），1组RCA音轨立体声+1路USB；支持48V幻象供电；10路输出（2路主输出+2路编组+2路辅助输出+1路监听输出+1路耳机输出+1组立体声录音输出）。</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10"/>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AL1-13</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电源时序器</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#1.LED数码管显示屏，可实时显示当前电压，编辑通道状态；8路通道每通道额定2.2KW电源，通道延时1秒；采用新国标电源插座，安全有保障；配置RS232接口，支持外部中控设备控制。</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160"/>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AL1-14</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音频处理器</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#1.128*64显示屏；总谐波失真(1kHz)：≤0.02%；信噪比（A计权）：≥105dB；最大输入电平：≥19dBu；最大输出电平：≥19dBu；动态范围：≥113dB；串音：≥100dB；增益差：≤0.5dB。</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160"/>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AL1-15</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功放</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此系列为AB类功放，既有A类功放的高音质，又有B类功放的高效率，两者完美结合；整机省电且声音干净细腻；高速光电隔离限幅，整机大动态下限幅启控保证失真1%以下；小信号输入采用高频电压，低失真、低噪声电路；采用风道散热结构，配合高效率铲齿散热，智能控制风扇强度，散热效率大大提高；具有软保护、短路、过热、过载、欠压、直流保护等功能；具有立体声、并联、桥接多种模式选择，以及输入灵敏度选择。</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445"/>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AL1-16</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副音箱</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#1.8寸两单元两分频全频专业音箱；由一只34芯高音和8寸低频单元组成；高密度纤维板箱体，表面雨点漆面处理；高音清晰，中音饱满，低频沉稳；支持顶吊/横吊/后支撑/底支撑等多种安装方式；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.高音单元：1×1＂(25mm)/1.4＂voice coil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低音单元：1×8＂(200mm)/1.4＂voice coil</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频响范围：60Hz-20KHz</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灵 敏 度：94dB/M/W</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最大声压：114dB continuous,120dB peak</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额定功率：200W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峰值功率：800W</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指向性：90°×50°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额定阻抗：8 ohm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保护网：钢网</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接线方式：2×Speakon NL4。</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AL1-17</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#1.机柜规格：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550mm*400mm*600mm，箱体：0.5mm立梁：0.8mm；含1支落地式话筒支架，2*1.5㎡专业工程音箱线1卷以及音响系统的设备连接线材。</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579"/>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AL1-18</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ABS更衣柜</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#1.单门规格高455mm*宽385mm*深468mm （不含底座）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板材框架厚度：侧板22mm 顶板30mm  门板 27mm  底座 80mm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柜体、柜门必须采用100%全新ABS塑料，五大合成树脂之一制成。不得有两种或多种塑料混搭，柜体不使用任何五金件（锁具除外）</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每门标配配件：机械锁*1个，眼镜盒*1个，门牌号*1张。</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AL1-19</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更衣凳</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#1.长凳全部为ABS全新工程塑料制成，强度高韧性好、耐冲击、不易腐蚀无毒无味、环保耐用，尺寸：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长1500mm×宽400mm×高450mm;采用钢制模具注塑一次成型;产品不变形、不扭曲达到可重复拆装使用。</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AL1-20</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舞蹈鞋柜</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#1.实木材质，原木色，尺寸根据教室需要定制;尺寸：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100*30*70cm。</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AL1-21</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文宣装修</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技术参数要求同“AB1-44</w:t>
            </w:r>
            <w:r>
              <w:rPr>
                <w:rFonts w:hint="eastAsia" w:ascii="宋体" w:hAnsi="宋体" w:cs="宋体"/>
                <w:i w:val="0"/>
                <w:iCs w:val="0"/>
                <w:color w:val="auto"/>
                <w:sz w:val="21"/>
                <w:szCs w:val="21"/>
                <w:highlight w:val="none"/>
                <w:u w:val="none"/>
                <w:lang w:val="en-US" w:eastAsia="zh-CN" w:bidi="ar"/>
              </w:rPr>
              <w:t xml:space="preserve">文宣装修</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10402"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344"/>
        <w:gridCol w:w="6615"/>
        <w:gridCol w:w="735"/>
        <w:gridCol w:w="720"/>
      </w:tblGrid>
      <w:tr>
        <w:trPr>
          <w:trHeight w:val="567" w:hRule="exact"/>
        </w:trPr>
        <w:tc>
          <w:tcPr>
            <w:gridSpan w:val="5"/>
            <w:tcW w:w="104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8100" cy="76200"/>
                      <wp:effectExtent l="0" t="0" r="0" b="0"/>
                      <wp:wrapNone/>
                      <wp:docPr id="163" name="图片_1"/>
                      <wp:cNvGraphicFramePr/>
                      <a:graphic xmlns:a="http://schemas.openxmlformats.org/drawingml/2006/main">
                        <a:graphicData uri="http://schemas.openxmlformats.org/drawingml/2006/picture">
                          <pic:pic xmlns:pic="http://schemas.openxmlformats.org/drawingml/2006/picture">
                            <pic:nvPicPr>
                              <pic:cNvPr id="163" name="图片_1"/>
                              <pic:cNvPicPr/>
                              <pic:nvPr/>
                            </pic:nvPicPr>
                            <pic:blipFill>
                              <a:blip r:embed="rId15"/>
                              <a:stretch/>
                            </pic:blipFill>
                            <pic:spPr bwMode="auto">
                              <a:xfrm>
                                <a:off x="0" y="0"/>
                                <a:ext cx="38100" cy="7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61312;o:allowoverlap:true;o:allowincell:true;mso-position-horizontal-relative:text;margin-left:0.0pt;mso-position-horizontal:absolute;mso-position-vertical-relative:text;margin-top:0.0pt;mso-position-vertical:absolute;width:3.0pt;height:6.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w:t xml:space="preserve">AM-音乐合唱教室1</w:t>
            </w:r>
            <w:r/>
          </w:p>
        </w:tc>
      </w:tr>
      <w:tr>
        <w:trPr>
          <w:trHeight w:val="270"/>
        </w:trPr>
        <w:tc>
          <w:tcPr>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134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61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720" w:type="dxa"/>
            <w:vAlign w:val="center"/>
            <w:textDirection w:val="lrTb"/>
            <w:noWrap w:val="false"/>
          </w:tcPr>
          <w:p>
            <w:pPr>
              <w:jc w:val="both"/>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单位</w:t>
            </w:r>
            <w:r/>
          </w:p>
        </w:tc>
      </w:tr>
      <w:tr>
        <w:trPr>
          <w:trHeight w:val="1620"/>
        </w:trPr>
        <w:tc>
          <w:tcPr>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AM1-01</w:t>
            </w:r>
            <w:r/>
          </w:p>
        </w:tc>
        <w:tc>
          <w:tcPr>
            <w:tcW w:w="134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钢琴</w:t>
            </w:r>
            <w:r/>
          </w:p>
        </w:tc>
        <w:tc>
          <w:tcPr>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 </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：高 1195mm / 宽 1506mm / 深 618mm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#2.重量：≥23</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kg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#3.88键木质键盘；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#4.击弦机：ABS击弦机 。音板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云杉实木音板 ； 弦码：高强度实木层积式结构设计 ； 键盘：天然云杉实木键盘 ； 键盖安全装置：键盘盖缓降功能。</w:t>
            </w:r>
            <w:r/>
          </w:p>
        </w:tc>
        <w:tc>
          <w:tcPr>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50"/>
        </w:trPr>
        <w:tc>
          <w:tcPr>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AM1-02</w:t>
            </w:r>
            <w:r/>
          </w:p>
        </w:tc>
        <w:tc>
          <w:tcPr>
            <w:tcW w:w="134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合唱台（固定式）</w:t>
            </w:r>
            <w:r/>
          </w:p>
        </w:tc>
        <w:tc>
          <w:tcPr>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木伸缩移动合唱台三层，120-130-75cm(长宽高)层宽40cm，层高25cm，橡胶木齿接板18mm厚，内部使用同等厚度板做龙骨，每层可承重500公斤以上，三层整体承重不小于1500公斤，整体台阶可伸缩，一二层可收纳第三层内部，收纳后尺寸120-50-75cm，台阶</w:t>
            </w:r>
            <w:r>
              <w:rPr>
                <w:rFonts w:hint="eastAsia" w:ascii="宋体" w:hAnsi="宋体" w:cs="宋体"/>
                <w:i w:val="0"/>
                <w:iCs w:val="0"/>
                <w:color w:val="auto"/>
                <w:sz w:val="21"/>
                <w:szCs w:val="21"/>
                <w:highlight w:val="none"/>
                <w:u w:val="none"/>
                <w:lang w:val="en-US" w:eastAsia="zh-CN" w:bidi="ar"/>
              </w:rPr>
              <w:t xml:space="preserve">底部</w:t>
            </w:r>
            <w:r>
              <w:rPr>
                <w:rFonts w:hint="eastAsia" w:ascii="宋体" w:hAnsi="宋体" w:eastAsia="宋体" w:cs="宋体"/>
                <w:i w:val="0"/>
                <w:iCs w:val="0"/>
                <w:color w:val="auto"/>
                <w:sz w:val="21"/>
                <w:szCs w:val="21"/>
                <w:highlight w:val="none"/>
                <w:u w:val="none"/>
                <w:lang w:val="en-US" w:eastAsia="zh-CN" w:bidi="ar"/>
              </w:rPr>
              <w:t xml:space="preserve">每层有4个静音</w:t>
            </w:r>
            <w:r>
              <w:rPr>
                <w:rFonts w:hint="eastAsia" w:ascii="宋体" w:hAnsi="宋体" w:cs="宋体"/>
                <w:i w:val="0"/>
                <w:iCs w:val="0"/>
                <w:color w:val="auto"/>
                <w:sz w:val="21"/>
                <w:szCs w:val="21"/>
                <w:highlight w:val="none"/>
                <w:u w:val="none"/>
                <w:lang w:val="en-US" w:eastAsia="zh-CN" w:bidi="ar"/>
              </w:rPr>
              <w:t xml:space="preserve">万向轮</w:t>
            </w:r>
            <w:r>
              <w:rPr>
                <w:rFonts w:hint="eastAsia" w:ascii="宋体" w:hAnsi="宋体" w:eastAsia="宋体" w:cs="宋体"/>
                <w:i w:val="0"/>
                <w:iCs w:val="0"/>
                <w:color w:val="auto"/>
                <w:sz w:val="21"/>
                <w:szCs w:val="21"/>
                <w:highlight w:val="none"/>
                <w:u w:val="none"/>
                <w:lang w:val="en-US" w:eastAsia="zh-CN" w:bidi="ar"/>
              </w:rPr>
              <w:t xml:space="preserve">。</w:t>
            </w:r>
            <w:r/>
          </w:p>
        </w:tc>
        <w:tc>
          <w:tcPr>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90"/>
        </w:trPr>
        <w:tc>
          <w:tcPr>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AM1-03</w:t>
            </w:r>
            <w:r/>
          </w:p>
        </w:tc>
        <w:tc>
          <w:tcPr>
            <w:tcW w:w="134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合唱台（移动式）</w:t>
            </w:r>
            <w:r/>
          </w:p>
        </w:tc>
        <w:tc>
          <w:tcPr>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#1.尺寸：三层尺寸1230*1150*620±10mm；每层台阶款宽390±10mm，高210±10mm；小舞台尺寸:1540*1230*310±10mm；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#2.材质：高密度PE；工艺：吹塑制作，材质轻，耐磨抗压，抗氧化功能强，长期使用也不会产生开裂现象，硬度和强度高，吸水性小，优良的电绝缘性，耐寒；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.功能：合唱台台阶可翻转设计，可调整为两层合唱台也可以变为一个整体的小舞台，侧面轮子设计方便推移；</w:t>
            </w:r>
            <w:r/>
          </w:p>
        </w:tc>
        <w:tc>
          <w:tcPr>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540"/>
        </w:trPr>
        <w:tc>
          <w:tcPr>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AM1-04</w:t>
            </w:r>
            <w:r/>
          </w:p>
        </w:tc>
        <w:tc>
          <w:tcPr>
            <w:tcW w:w="134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表演地台</w:t>
            </w:r>
            <w:r/>
          </w:p>
        </w:tc>
        <w:tc>
          <w:tcPr>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#1.实木橡胶木材质厚度≥18mm；尺寸≥120*300cm。（可根据现场定制）</w:t>
            </w:r>
            <w:r/>
          </w:p>
        </w:tc>
        <w:tc>
          <w:tcPr>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3980"/>
        </w:trPr>
        <w:tc>
          <w:tcPr>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AM1-05</w:t>
            </w:r>
            <w:r/>
          </w:p>
        </w:tc>
        <w:tc>
          <w:tcPr>
            <w:tcW w:w="134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音乐凳</w:t>
            </w:r>
            <w:r/>
          </w:p>
        </w:tc>
        <w:tc>
          <w:tcPr>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#1.尺寸：≥340*300*300mm。厚度：</w:t>
            </w:r>
            <w:r>
              <w:rPr>
                <w:rFonts w:hint="eastAsia" w:ascii="宋体" w:hAnsi="宋体" w:cs="宋体"/>
                <w:i w:val="0"/>
                <w:iCs w:val="0"/>
                <w:color w:val="auto"/>
                <w:sz w:val="21"/>
                <w:szCs w:val="21"/>
                <w:highlight w:val="none"/>
                <w:u w:val="none"/>
                <w:lang w:val="en-US" w:eastAsia="zh-CN" w:bidi="ar"/>
              </w:rPr>
              <w:t xml:space="preserve">座</w:t>
            </w:r>
            <w:r>
              <w:rPr>
                <w:rFonts w:hint="eastAsia" w:ascii="宋体" w:hAnsi="宋体" w:eastAsia="宋体" w:cs="宋体"/>
                <w:i w:val="0"/>
                <w:iCs w:val="0"/>
                <w:color w:val="auto"/>
                <w:sz w:val="21"/>
                <w:szCs w:val="21"/>
                <w:highlight w:val="none"/>
                <w:u w:val="none"/>
                <w:lang w:val="en-US" w:eastAsia="zh-CN" w:bidi="ar"/>
              </w:rPr>
              <w:t xml:space="preserve">面≥5mm,凳脚≥20mm,抽屉侧板≥3mm,抽屉前后板≥4.5mm；材质：优质ABS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工艺：注塑制作。耐磨抗压，抗氧化功能强，长期使用也不会产生开裂现象。硬度和强度高，吸水性小，优良的电绝缘性，耐寒。凳脚须配防滑橡胶条。侧边必须为双层结构，增加产品的坚固性及承重性，保证产品使用过程中的安全性；配置pp塑料抽屉，抽屉自带限位功能，当储物移动时不会自然滑出，前门根据人体工程学设计凹型提手，后门设计镂空便携式提手。可堆叠，既可做合唱台，也可以作为收纳小柜子使用。</w:t>
            </w:r>
            <w:r/>
          </w:p>
        </w:tc>
        <w:tc>
          <w:tcPr>
            <w:tcW w:w="73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W w:w="7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bl>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8"/>
        <w:gridCol w:w="1314"/>
        <w:gridCol w:w="6630"/>
        <w:gridCol w:w="750"/>
        <w:gridCol w:w="666"/>
      </w:tblGrid>
      <w:tr>
        <w:trPr>
          <w:trHeight w:val="567" w:hRule="exact"/>
        </w:trPr>
        <w:tc>
          <w:tcPr>
            <w:gridSpan w:val="5"/>
            <w:tcBorders>
              <w:top w:val="single" w:color="auto" w:sz="4" w:space="0"/>
              <w:left w:val="single" w:color="auto" w:sz="4" w:space="0"/>
              <w:bottom w:val="single" w:color="auto" w:sz="4" w:space="0"/>
              <w:right w:val="single" w:color="auto" w:sz="4" w:space="0"/>
            </w:tcBorders>
            <w:tcW w:w="1034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AN-音乐教室2</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AN1-01</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钢琴</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技术参数同“AM1-01钢琴”</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1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AN1-02</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电子琴</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黑色机身，61键风琴键盘761种优质音色(包括45个中国民乐音色/民族乐鼓组+10个音音色+466种XGlite音色)270种优质伴毒型(包括35种中国风格伴毒)直触式操作中文印刷面板中文功能显示屏USB音频录音/播放MIDI格式多轨录音8x4注册记忆存储</w:t>
            </w:r>
            <w:r>
              <w:rPr>
                <w:rFonts w:hint="eastAsia" w:ascii="宋体" w:hAnsi="宋体" w:cs="宋体"/>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AN1-03</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非洲鼓</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#1.规格：12寸；材质：鼓身：桃花芯木；鼓面：老山羊皮；工艺：整木掏空、彩漆、点漆；颜色可</w:t>
            </w:r>
            <w:r>
              <w:rPr>
                <w:rFonts w:hint="eastAsia" w:ascii="宋体" w:hAnsi="宋体" w:cs="宋体"/>
                <w:i w:val="0"/>
                <w:iCs w:val="0"/>
                <w:color w:val="auto"/>
                <w:sz w:val="21"/>
                <w:szCs w:val="21"/>
                <w:highlight w:val="none"/>
                <w:u w:val="none"/>
                <w:lang w:val="en-US" w:eastAsia="zh-CN" w:bidi="ar"/>
              </w:rPr>
              <w:t xml:space="preserve">选择</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AN1-04</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箱鼓</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#1.规格：长30，宽30，高50；材质：面板：桃花芯木；背侧板：桦木</w:t>
            </w:r>
            <w:r>
              <w:rPr>
                <w:rStyle w:val="940"/>
                <w:rFonts w:hint="eastAsia" w:ascii="宋体" w:hAnsi="宋体" w:eastAsia="宋体" w:cs="宋体"/>
                <w:color w:val="auto"/>
                <w:sz w:val="21"/>
                <w:szCs w:val="21"/>
                <w:highlight w:val="none"/>
                <w:lang w:val="en-US" w:eastAsia="zh-CN" w:bidi="ar"/>
              </w:rPr>
              <w:t xml:space="preserve">；响弦：两组各四根微螺旋箱鼓响弦；</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70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AN1-05</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音束</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#1.规格：33音；材质：阳极电镀铝合金音管。</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AN1-06</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邦戈鼓</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#1.规格：≥17.15cm；鼓身材质：橡木</w:t>
            </w:r>
            <w:r>
              <w:rPr>
                <w:rStyle w:val="940"/>
                <w:rFonts w:hint="eastAsia" w:ascii="宋体" w:hAnsi="宋体" w:eastAsia="宋体" w:cs="宋体"/>
                <w:color w:val="auto"/>
                <w:sz w:val="21"/>
                <w:szCs w:val="21"/>
                <w:highlight w:val="none"/>
                <w:lang w:val="en-US" w:eastAsia="zh-CN" w:bidi="ar"/>
              </w:rPr>
              <w:t xml:space="preserve">；鼓面材质：手选水牛皮。</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AN1-07</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大堂鼓</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#1.规格：≥16寸；材质：椿木黄牛皮。</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AN1-08</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小堂鼓</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#1.规格：≥6寸；鼓腔材质：椿木；鼓面材质：黄牛皮。</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AN1-09</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音叉</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#1.钢制，440Hz。</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AN1-10</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沙锤</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#1.木质，总长230㎜（含手柄）彩色，两个一组（一对）。</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AN1-11</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沙锤</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#1.沙锤：一副两个，木质柄0.8mm。沙锤：一副两个，木质柄长200mm以上，椰壳最小直径110mm。</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AN1-12</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卡巴撒</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#1.直径11.5CM 木制圈。</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AN1-13</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卡巴撒</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#1.直径6.5CM 木制圈。</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AN1-14</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双响筒</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#1.木质，木材本色，带敲击锤，筒直径10㎜，长度约180㎜ 棍长约15cm。</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r>
      <w:tr>
        <w:trPr>
          <w:trHeight w:val="108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AN1-15</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木鱼</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#1.木鱼 要求：材质为椿木，八个为一组（8音）；每个尺寸分别为（宽±5mm*高±5mm）：95mm*85mm、90mm*80mm、85mm*75mm、80mm*70mm、75mm*65mm、70mm*60mm、65mm*55mm、60mm*50mm。正面方形，侧面三角形。颜色：红色.金色。手工制作，设有发音孔。附敲击槌1个，槌头1个；槌头直径为25mm，圆球形；把为圆柱形，直径为5mm，全长为195mm。敲击发出不同的声音。</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AN1-16</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铃鼓</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#1.木质鼓圈，常规尺寸各一副，鼓梆为高密度科技木质纤维。表面贴强化共振膜。双排钢合金材质铃片。高科技纤维鼓皮。</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AN1-17</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三角铁</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#1.黄铜制，边长分别为4英寸、6英寸、8英寸，三件一套。</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AN1-18</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碰铃</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#1.材质为黄铜，系丝带型，直径约为48mm.高度约为42mm.壁厚约为1mm；两个一对，手持碰撞发声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r>
      <w:tr>
        <w:trPr>
          <w:trHeight w:val="54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AN1-19</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大军鼓</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#1.尺寸：直径26英寸，高度12英寸，鼓腔:内为多层桦木，鼓圈：铝合金压铸。超强压铸合金鼓耳。正品聚酯膜鼓皮。镀锌</w:t>
            </w:r>
            <w:r>
              <w:rPr>
                <w:rFonts w:hint="eastAsia" w:ascii="宋体" w:hAnsi="宋体" w:cs="宋体"/>
                <w:i w:val="0"/>
                <w:iCs w:val="0"/>
                <w:color w:val="auto"/>
                <w:sz w:val="21"/>
                <w:szCs w:val="21"/>
                <w:highlight w:val="none"/>
                <w:u w:val="none"/>
                <w:lang w:val="en-US" w:eastAsia="zh-CN" w:bidi="ar"/>
              </w:rPr>
              <w:t xml:space="preserve">紧固件</w:t>
            </w:r>
            <w:r>
              <w:rPr>
                <w:rFonts w:hint="eastAsia" w:ascii="宋体" w:hAnsi="宋体" w:eastAsia="宋体" w:cs="宋体"/>
                <w:i w:val="0"/>
                <w:iCs w:val="0"/>
                <w:color w:val="auto"/>
                <w:sz w:val="21"/>
                <w:szCs w:val="21"/>
                <w:highlight w:val="none"/>
                <w:u w:val="none"/>
                <w:lang w:val="en-US" w:eastAsia="zh-CN" w:bidi="ar"/>
              </w:rPr>
              <w:t xml:space="preserve">。每个鼓都配有专业木制鼓棒</w:t>
            </w:r>
            <w:r>
              <w:rPr>
                <w:rFonts w:hint="eastAsia" w:ascii="宋体" w:hAnsi="宋体" w:cs="宋体"/>
                <w:i w:val="0"/>
                <w:iCs w:val="0"/>
                <w:color w:val="auto"/>
                <w:sz w:val="21"/>
                <w:szCs w:val="21"/>
                <w:highlight w:val="none"/>
                <w:u w:val="none"/>
                <w:lang w:val="en-US" w:eastAsia="zh-CN" w:bidi="ar"/>
              </w:rPr>
              <w:t xml:space="preserve">及</w:t>
            </w:r>
            <w:r>
              <w:rPr>
                <w:rFonts w:hint="eastAsia" w:ascii="宋体" w:hAnsi="宋体" w:eastAsia="宋体" w:cs="宋体"/>
                <w:i w:val="0"/>
                <w:iCs w:val="0"/>
                <w:color w:val="auto"/>
                <w:sz w:val="21"/>
                <w:szCs w:val="21"/>
                <w:highlight w:val="none"/>
                <w:u w:val="none"/>
                <w:lang w:val="en-US" w:eastAsia="zh-CN" w:bidi="ar"/>
              </w:rPr>
              <w:t xml:space="preserve">背架。</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AN1-20</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小军鼓</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#1.尺寸：14*5.5英寸，鼓腔:内为多层桦木，鼓圈：铝合金压铸。超强压铸合金鼓耳。正品聚酯膜鼓皮。镀锌</w:t>
            </w:r>
            <w:r>
              <w:rPr>
                <w:rFonts w:hint="eastAsia" w:ascii="宋体" w:hAnsi="宋体" w:cs="宋体"/>
                <w:i w:val="0"/>
                <w:iCs w:val="0"/>
                <w:color w:val="auto"/>
                <w:sz w:val="21"/>
                <w:szCs w:val="21"/>
                <w:highlight w:val="none"/>
                <w:u w:val="none"/>
                <w:lang w:val="en-US" w:eastAsia="zh-CN" w:bidi="ar"/>
              </w:rPr>
              <w:t xml:space="preserve">紧固件</w:t>
            </w:r>
            <w:r>
              <w:rPr>
                <w:rFonts w:hint="eastAsia" w:ascii="宋体" w:hAnsi="宋体" w:eastAsia="宋体" w:cs="宋体"/>
                <w:i w:val="0"/>
                <w:iCs w:val="0"/>
                <w:color w:val="auto"/>
                <w:sz w:val="21"/>
                <w:szCs w:val="21"/>
                <w:highlight w:val="none"/>
                <w:u w:val="none"/>
                <w:lang w:val="en-US" w:eastAsia="zh-CN" w:bidi="ar"/>
              </w:rPr>
              <w:t xml:space="preserve">。每个鼓都配有专业木制鼓棒及背带。</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AN1-21</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多音鼓</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#1.尺寸：直径6英寸、8英寸、10英寸、12英寸、13英寸，五种不同尺寸的鼓固定在一个背架上。鼓腔:内为多层桦木，鼓圈：铝合金压铸。超强压铸合金鼓耳。正品聚酯膜鼓皮。镀锌</w:t>
            </w:r>
            <w:r>
              <w:rPr>
                <w:rFonts w:hint="eastAsia" w:ascii="宋体" w:hAnsi="宋体" w:cs="宋体"/>
                <w:i w:val="0"/>
                <w:iCs w:val="0"/>
                <w:color w:val="auto"/>
                <w:sz w:val="21"/>
                <w:szCs w:val="21"/>
                <w:highlight w:val="none"/>
                <w:u w:val="none"/>
                <w:lang w:val="en-US" w:eastAsia="zh-CN" w:bidi="ar"/>
              </w:rPr>
              <w:t xml:space="preserve">紧固件</w:t>
            </w:r>
            <w:r>
              <w:rPr>
                <w:rFonts w:hint="eastAsia" w:ascii="宋体" w:hAnsi="宋体" w:eastAsia="宋体" w:cs="宋体"/>
                <w:i w:val="0"/>
                <w:iCs w:val="0"/>
                <w:color w:val="auto"/>
                <w:sz w:val="21"/>
                <w:szCs w:val="21"/>
                <w:highlight w:val="none"/>
                <w:u w:val="none"/>
                <w:lang w:val="en-US" w:eastAsia="zh-CN" w:bidi="ar"/>
              </w:rPr>
              <w:t xml:space="preserve">。配有专业木制鼓棒。</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AN1-22</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竖笛</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#1.6孔塑料竖笛，尺寸约：长32.5cm，宽3.2cm，附带清洁棒一支。产品采用食品级ABS无毒工程树脂材料制作，对学生使用无危害健康。</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AN1-23</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竖笛</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#1.高音英式6孔木笛，安装轻松，携带方便。</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AN1-24</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陶笛</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#1.单管十二孔中音C调（AC），优质陶瓷烧制，专业演奏级音色，带保护套机相关配饰。</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AN1-25</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葫芦丝</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#1.中音C调，天然葫芦，紫竹刻字白铜 双音可拆。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AN1-26</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葫芦丝</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#1.降B调，天然葫芦，紫竹刻字白铜 双音可拆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135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AN1-27</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堂鼓</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#1.材质：杨木制鼓腔、水牛皮鼓面 ，附带一对优质鼓棒，一套鼓架  ；规格:鼓面直径32CM（10寸），高度33CM；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#2.结构：由木制鼓圈和水牛皮鼓面组成。鼓圈与鼓面连接处用锚钉固定，更为结实。鼓圈</w:t>
            </w:r>
            <w:r>
              <w:rPr>
                <w:rFonts w:hint="eastAsia" w:ascii="宋体" w:hAnsi="宋体" w:cs="宋体"/>
                <w:i w:val="0"/>
                <w:iCs w:val="0"/>
                <w:color w:val="auto"/>
                <w:sz w:val="21"/>
                <w:szCs w:val="21"/>
                <w:highlight w:val="none"/>
                <w:u w:val="none"/>
                <w:lang w:val="en-US" w:eastAsia="zh-CN" w:bidi="ar"/>
              </w:rPr>
              <w:t xml:space="preserve">喷涂</w:t>
            </w:r>
            <w:r>
              <w:rPr>
                <w:rFonts w:hint="eastAsia" w:ascii="宋体" w:hAnsi="宋体" w:eastAsia="宋体" w:cs="宋体"/>
                <w:i w:val="0"/>
                <w:iCs w:val="0"/>
                <w:color w:val="auto"/>
                <w:sz w:val="21"/>
                <w:szCs w:val="21"/>
                <w:highlight w:val="none"/>
                <w:u w:val="none"/>
                <w:lang w:val="en-US" w:eastAsia="zh-CN" w:bidi="ar"/>
              </w:rPr>
              <w:t xml:space="preserve">红色环保油漆，鼓的侧面两端镶有铝制挂钩，可以同时挂在鼓架上使用；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#3.使用方法：左右</w:t>
            </w:r>
            <w:r>
              <w:rPr>
                <w:rFonts w:hint="eastAsia" w:ascii="宋体" w:hAnsi="宋体" w:cs="宋体"/>
                <w:i w:val="0"/>
                <w:iCs w:val="0"/>
                <w:color w:val="auto"/>
                <w:sz w:val="21"/>
                <w:szCs w:val="21"/>
                <w:highlight w:val="none"/>
                <w:u w:val="none"/>
                <w:lang w:val="en-US" w:eastAsia="zh-CN" w:bidi="ar"/>
              </w:rPr>
              <w:t xml:space="preserve">手</w:t>
            </w:r>
            <w:r>
              <w:rPr>
                <w:rFonts w:hint="eastAsia" w:ascii="宋体" w:hAnsi="宋体" w:eastAsia="宋体" w:cs="宋体"/>
                <w:i w:val="0"/>
                <w:iCs w:val="0"/>
                <w:color w:val="auto"/>
                <w:sz w:val="21"/>
                <w:szCs w:val="21"/>
                <w:highlight w:val="none"/>
                <w:u w:val="none"/>
                <w:lang w:val="en-US" w:eastAsia="zh-CN" w:bidi="ar"/>
              </w:rPr>
              <w:t xml:space="preserve">持鼓棒敲击鼓面即可。</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AN1-28</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中虎音锣</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#1.响铜制作，直径330mm，重量1.2kg，优质硬木锣锤，边缘无毛刺，锣面无裂缝，表面抛光氧化处理并涂油；音质无杂音。</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AN1-29</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小锣</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#1.响铜制作，直径220mm，重量0.4kg，优质硬木锣锤，边缘无毛刺，锣面无裂缝，表面抛光氧化处理并涂油；音质无杂音。</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AN1-30</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铙</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#1.响铜制作，直径270mm，边缘无毛刺，铙面无裂缝，表面抛光氧化处理并涂油；音质无杂音；铙面光、弧度适度、圆度准确、边缘厚度一致，中间的帽形大小和两面的音高要相同，两面为一副。</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r>
      <w:tr>
        <w:trPr>
          <w:trHeight w:val="54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AN1-31</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钹</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响铜制作，直径150mm，碗径7cm，碗高2cm，重量0.4kg，边缘无毛刺，钹面无裂缝，表面抛光氧化处理并涂油；音质无杂音；钹面光、弧度适度、圆度准确、边缘厚度一致，中间的帽形大小和两面的音高要相同，两面为一副。</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r>
      <w:tr>
        <w:trPr>
          <w:trHeight w:val="54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AN1-32</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乐谱架</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#1.黑色，金属材质，涂环保漆料，支架高度可调节（支架高度最高约94.5cm不含谱板高度），可折叠。带大网眼专业谱板尺寸长约49cm，宽约35cm。</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AN1-33</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音乐凳</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技术参数同“AM1-05音乐凳”</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AN1-34</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音箱</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寸二分音电路，采用大功率的低频单元，输出强劲、明亮的声音；特殊设计的两只高音结构，声音细腻，清脆悦耳，几何角度的装置方法，有效避免了易啸叫频段，使演唱更为得心应手；侧装的两只高音，加强了声场的反射音，使音色更富有余味。</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AN1-35</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功放</w:t>
            </w:r>
            <w:r/>
          </w:p>
        </w:tc>
        <w:tc>
          <w:tcPr>
            <w:tcBorders>
              <w:top w:val="single" w:color="auto" w:sz="4" w:space="0"/>
              <w:left w:val="single" w:color="auto" w:sz="4" w:space="0"/>
              <w:bottom w:val="single" w:color="auto" w:sz="4" w:space="0"/>
              <w:right w:val="single" w:color="auto" w:sz="4" w:space="0"/>
            </w:tcBorders>
            <w:tcW w:w="6630"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#1.输出功率：2X250W/8Ω，4X130W/8Ω；灵敏度：≤220mV ；信噪比：≥80dB ；频率响应：20Hz-20KHz(±2dB)。</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AN1-36</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无线话筒</w:t>
            </w:r>
            <w:r/>
          </w:p>
        </w:tc>
        <w:tc>
          <w:tcPr>
            <w:tcBorders>
              <w:top w:val="single" w:color="auto" w:sz="4" w:space="0"/>
              <w:left w:val="single" w:color="auto" w:sz="4" w:space="0"/>
              <w:bottom w:val="single" w:color="auto" w:sz="4" w:space="0"/>
              <w:right w:val="single" w:color="auto" w:sz="4" w:space="0"/>
            </w:tcBorders>
            <w:tcW w:w="6630"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#1.接收技术规格：具有音量显示，数字导频；机箱规格：标准1U；通道组数：双通道。</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285"/>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AN1-37</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五线谱电教板</w:t>
            </w:r>
            <w:r/>
          </w:p>
        </w:tc>
        <w:tc>
          <w:tcPr>
            <w:tcBorders>
              <w:top w:val="single" w:color="auto" w:sz="4" w:space="0"/>
              <w:left w:val="single" w:color="auto" w:sz="4" w:space="0"/>
              <w:bottom w:val="single" w:color="auto" w:sz="4" w:space="0"/>
              <w:right w:val="single" w:color="auto" w:sz="4" w:space="0"/>
            </w:tcBorders>
            <w:tcW w:w="6630"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#1.88键盘全乐理五线谱电教板，可进行音乐全乐理演示及讲解;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#2.嵌入式应用程序，搭载于X86架构的所有操作系统内;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#3.可外接电子琴、电钢琴等键盘设备，通过USB传输MIDI数据，实现硬件设备无限拓展;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#4.88键位全乐理音阶展示，音阶跨度＜大字一组、＞小字四组，并具有上行高亮阶梯显示功能。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#5.88键可弹奏虚拟键盘，具有十指多点触发功能，五线谱区域高亮显示正在弹奏的五线谱音阶。外接电子琴、电钢琴弹奏时，五线谱区域高亮显示正在弹奏的五线谱音阶;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.具有全屏幕画笔功能，可将界面变为可书写的电子板书;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.具有键位保留系统，在多次弹奏键盘后，系统界面呈现多组高亮的音阶及虚拟键盘，可进行多组和弦对比教学;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.系统具有≥325种高保真音色，并具有开放的音源库，可进行音色拓展;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.具有音名显示窗口，可显示当前所弹键位的音名及等音;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.具有≥24种国际通用调式的矩阵选择按键，任意选择调式后，主五线谱显示当前选择调式的调号，并</w:t>
            </w:r>
            <w:r>
              <w:rPr>
                <w:rFonts w:hint="eastAsia" w:ascii="宋体" w:hAnsi="宋体" w:cs="宋体"/>
                <w:i w:val="0"/>
                <w:iCs w:val="0"/>
                <w:color w:val="auto"/>
                <w:sz w:val="21"/>
                <w:szCs w:val="21"/>
                <w:highlight w:val="none"/>
                <w:u w:val="none"/>
                <w:lang w:val="en-US" w:eastAsia="zh-CN" w:bidi="ar"/>
              </w:rPr>
              <w:t xml:space="preserve">显示</w:t>
            </w:r>
            <w:r>
              <w:rPr>
                <w:rFonts w:hint="eastAsia" w:ascii="宋体" w:hAnsi="宋体" w:eastAsia="宋体" w:cs="宋体"/>
                <w:i w:val="0"/>
                <w:iCs w:val="0"/>
                <w:color w:val="auto"/>
                <w:sz w:val="21"/>
                <w:szCs w:val="21"/>
                <w:highlight w:val="none"/>
                <w:u w:val="none"/>
                <w:lang w:val="en-US" w:eastAsia="zh-CN" w:bidi="ar"/>
              </w:rPr>
              <w:t xml:space="preserve">一个八度的当前调式自然音阶，虚拟键盘将凸显这个八度音阶的键位，凸显的音阶键位随着调式变化而变化；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.具有简谱显示功能，弹奏凸显的音阶键位时，屏幕显示该键位及所对应的五线谱音阶在当前调式下的简谱;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具有≥12种国际通用调式的关系大小调主和弦展示功能，最多显示24种调式，任意选择一种调号，系统将呈现该调号的大调调名及其关系小调的调名，并呈现两种调式的主音三和弦，点击呈现的和弦窗口，系统自动发出该和弦的钢琴乐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具有≥24种国际通用调式的主和弦快捷显示窗，选择一种调号后，窗口显示当前调式的大调名称和关系小调名称，并在和弦快捷显示窗显示当前调式的主和弦，可以在当前调号的大调主和弦和关系小调主和弦间任意转换，点击和弦快捷显示窗后，系统发出当前和弦的柱式和弦声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.具有音唱名隐藏系统，可以显隐虚拟键盘上的音名、唱名。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.具有课件导入系统，可导入乐谱课件。乐谱课件在主显示区悬浮呈现，可通过鼠标拖拽并缩放;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16</w:t>
            </w:r>
            <w:r>
              <w:rPr>
                <w:rFonts w:hint="eastAsia" w:ascii="宋体" w:hAnsi="宋体" w:eastAsia="宋体" w:cs="宋体"/>
                <w:i w:val="0"/>
                <w:iCs w:val="0"/>
                <w:color w:val="auto"/>
                <w:sz w:val="21"/>
                <w:szCs w:val="21"/>
                <w:highlight w:val="none"/>
                <w:u w:val="none"/>
                <w:lang w:val="en-US" w:eastAsia="zh-CN" w:bidi="ar"/>
              </w:rPr>
              <w:t xml:space="preserve">.支持电子课件音符的临时修改，可临时修改电子课件中音符的音高;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17</w:t>
            </w:r>
            <w:r>
              <w:rPr>
                <w:rFonts w:hint="eastAsia" w:ascii="宋体" w:hAnsi="宋体" w:eastAsia="宋体" w:cs="宋体"/>
                <w:i w:val="0"/>
                <w:iCs w:val="0"/>
                <w:color w:val="auto"/>
                <w:sz w:val="21"/>
                <w:szCs w:val="21"/>
                <w:highlight w:val="none"/>
                <w:u w:val="none"/>
                <w:lang w:val="en-US" w:eastAsia="zh-CN" w:bidi="ar"/>
              </w:rPr>
              <w:t xml:space="preserve">.可设定电子课件的循环播放点。具有独立的节奏节拍控制系统，可以设定节奏类型及拍速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具有全面屏五线谱白板系统，可以进行全屏五线谱板书书写。内置乐理音基教程，不低于5</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课的专业五线谱识谱课件。内置1000+乐谱教学课件，适用于我国普教、职教、高教各阶段音乐教学课程。</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78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AN1-3</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38100" cy="69850"/>
                      <wp:effectExtent l="0" t="0" r="0" b="0"/>
                      <wp:wrapNone/>
                      <wp:docPr id="164" name="图片 4"/>
                      <wp:cNvGraphicFramePr/>
                      <a:graphic xmlns:a="http://schemas.openxmlformats.org/drawingml/2006/main">
                        <a:graphicData uri="http://schemas.openxmlformats.org/drawingml/2006/picture">
                          <pic:pic xmlns:pic="http://schemas.openxmlformats.org/drawingml/2006/picture">
                            <pic:nvPicPr>
                              <pic:cNvPr id="164" name="图片 4"/>
                              <pic:cNvPicPr/>
                              <pic:nvPr/>
                            </pic:nvPicPr>
                            <pic:blipFill>
                              <a:blip r:embed="rId15"/>
                              <a:stretch/>
                            </pic:blipFill>
                            <pic:spPr bwMode="auto">
                              <a:xfrm>
                                <a:off x="0" y="0"/>
                                <a:ext cx="38100" cy="69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62336;o:allowoverlap:true;o:allowincell:true;mso-position-horizontal-relative:text;margin-left:0.0pt;mso-position-horizontal:absolute;mso-position-vertical-relative:text;margin-top:0.0pt;mso-position-vertical:absolute;width:3.0pt;height:5.5pt;mso-wrap-distance-left:9.0pt;mso-wrap-distance-top:0.0pt;mso-wrap-distance-right:9.0pt;mso-wrap-distance-bottom:0.0pt;" stroked="f">
                      <v:path textboxrect="0,0,0,0"/>
                      <v:imagedata r:id="rId15" o:title=""/>
                    </v:shape>
                  </w:pict>
                </mc:Fallback>
              </mc:AlternateConten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储物架</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#1.尺寸：（2000*500*2000mm）±5mm；4层；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#2.采用冷轧钢板，采用环保材质，无有毒有害物质，钢板厚度：立柱1.5mm，搁板0.8mm，挂板1.8mm，经剪.冲.折专门轧制而成，具有良好的机械特性；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#3.涂层：喷涂层采用优质塑粉，金属喷漆涂层冲击强度应无剥落.裂纹.皱纹，附着力应≥2级，重金属可溶性铅未检出.可溶性镉未检出.可溶性铬未检出.可溶性汞未检出；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#4.层板与立柱之间采用插接式结构，可随意调整每一层板的高度，最小调节量为50mm；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广泛应用于各行各业，适用于零.小部件的存放，每层层板的承载在100KG-150KG以内，货架高度2M以上中间加横梁，最高不超过3M，可根据需求增加侧板与背板.层板隔板；采用钢层板与万能角钢组合形式，结构轻巧，装配方便。</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架</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6"/>
        <w:gridCol w:w="1316"/>
        <w:gridCol w:w="6615"/>
        <w:gridCol w:w="765"/>
        <w:gridCol w:w="666"/>
      </w:tblGrid>
      <w:tr>
        <w:trPr>
          <w:trHeight w:val="567" w:hRule="exact"/>
        </w:trPr>
        <w:tc>
          <w:tcPr>
            <w:gridSpan w:val="5"/>
            <w:tcBorders>
              <w:top w:val="single" w:color="000000" w:sz="4" w:space="0"/>
              <w:left w:val="single" w:color="000000" w:sz="4" w:space="0"/>
              <w:bottom w:val="single" w:color="000000" w:sz="4" w:space="0"/>
              <w:right w:val="single" w:color="000000" w:sz="4" w:space="0"/>
            </w:tcBorders>
            <w:tcW w:w="1034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AO-心理咨询室</w:t>
            </w:r>
            <w:r/>
          </w:p>
        </w:tc>
      </w:tr>
      <w:tr>
        <w:trPr>
          <w:trHeight w:val="27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1.心理办公室</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13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AO1-01</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规章制度</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#1.心理咨询师的规章制度，及保密原则；整体尺寸：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60cm*90 CM；边框颜色：欧白花纹；边框宽度：不少于30mm；边框材质：实木；前</w:t>
            </w:r>
            <w:r>
              <w:rPr>
                <w:rFonts w:hint="eastAsia" w:ascii="宋体" w:hAnsi="宋体" w:cs="宋体"/>
                <w:i w:val="0"/>
                <w:iCs w:val="0"/>
                <w:color w:val="auto"/>
                <w:sz w:val="21"/>
                <w:szCs w:val="21"/>
                <w:highlight w:val="none"/>
                <w:u w:val="none"/>
                <w:lang w:val="en-US" w:eastAsia="zh-CN" w:bidi="ar"/>
              </w:rPr>
              <w:t xml:space="preserve">挡板</w:t>
            </w:r>
            <w:r>
              <w:rPr>
                <w:rFonts w:hint="eastAsia" w:ascii="宋体" w:hAnsi="宋体" w:eastAsia="宋体" w:cs="宋体"/>
                <w:i w:val="0"/>
                <w:iCs w:val="0"/>
                <w:color w:val="auto"/>
                <w:sz w:val="21"/>
                <w:szCs w:val="21"/>
                <w:highlight w:val="none"/>
                <w:u w:val="none"/>
                <w:lang w:val="en-US" w:eastAsia="zh-CN" w:bidi="ar"/>
              </w:rPr>
              <w:t xml:space="preserve">：有机玻璃；无痕挂钩： 30*15mm。</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46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AO1-02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心理挂图1</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#1.不同心理场景的可供选择的心理挂图：分为催眠图、错觉图、深思图、激励图等；整体尺寸</w:t>
            </w:r>
            <w:r>
              <w:rPr>
                <w:rFonts w:hint="eastAsia" w:ascii="宋体" w:hAnsi="宋体" w:cs="宋体"/>
                <w:i w:val="0"/>
                <w:iCs w:val="0"/>
                <w:color w:val="auto"/>
                <w:sz w:val="21"/>
                <w:szCs w:val="21"/>
                <w:highlight w:val="none"/>
                <w:u w:val="none"/>
                <w:lang w:val="en-US" w:eastAsia="zh" w:bidi="ar"/>
              </w:rPr>
              <w:t xml:space="preserve">约</w:t>
            </w:r>
            <w:r>
              <w:rPr>
                <w:rFonts w:hint="eastAsia" w:ascii="宋体" w:hAnsi="宋体" w:eastAsia="宋体" w:cs="宋体"/>
                <w:i w:val="0"/>
                <w:iCs w:val="0"/>
                <w:color w:val="auto"/>
                <w:sz w:val="21"/>
                <w:szCs w:val="21"/>
                <w:highlight w:val="none"/>
                <w:u w:val="none"/>
                <w:lang w:val="en-US" w:eastAsia="zh-CN" w:bidi="ar"/>
              </w:rPr>
              <w:t xml:space="preserve">：62*52cm；边框颜色：欧白花纹；边框宽度：不少于3cm；边框材质：实木；前</w:t>
            </w:r>
            <w:r>
              <w:rPr>
                <w:rFonts w:hint="eastAsia" w:ascii="宋体" w:hAnsi="宋体" w:cs="宋体"/>
                <w:i w:val="0"/>
                <w:iCs w:val="0"/>
                <w:color w:val="auto"/>
                <w:sz w:val="21"/>
                <w:szCs w:val="21"/>
                <w:highlight w:val="none"/>
                <w:u w:val="none"/>
                <w:lang w:val="en-US" w:eastAsia="zh-CN" w:bidi="ar"/>
              </w:rPr>
              <w:t xml:space="preserve">挡板</w:t>
            </w:r>
            <w:r>
              <w:rPr>
                <w:rFonts w:hint="eastAsia" w:ascii="宋体" w:hAnsi="宋体" w:eastAsia="宋体" w:cs="宋体"/>
                <w:i w:val="0"/>
                <w:iCs w:val="0"/>
                <w:color w:val="auto"/>
                <w:sz w:val="21"/>
                <w:szCs w:val="21"/>
                <w:highlight w:val="none"/>
                <w:u w:val="none"/>
                <w:lang w:val="en-US" w:eastAsia="zh-CN" w:bidi="ar"/>
              </w:rPr>
              <w:t xml:space="preserve">：有机玻璃；无痕挂钩：</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30*15MM。</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r>
      <w:tr>
        <w:trPr>
          <w:trHeight w:val="27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AO1-03</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无声挂钟</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#1.形状: 圆形尺寸: ≥ 14英寸；机芯类型: 扫秒机芯；动力类型: 电池。</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AO1-04</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#1.两人位沙发*2；尺寸：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115*70*63cm；材质：高级西皮+PU皮；靠背选用3A级公仔棉；站脚：碳素钢。</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AO1-05</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办公桌椅</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#1.桌面主要基材使用E1级中纤板；桌子封边:天然木皮封边条;桌子油漆:采用水性环保油漆;桌子尺寸: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120*60*74cm;办公椅符合人体工学设计</w:t>
            </w:r>
            <w:r>
              <w:rPr>
                <w:rFonts w:hint="eastAsia" w:ascii="宋体" w:hAnsi="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AO1-06</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录音笔</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#1.语音时间≥10小时；信噪比≥90dB；尺寸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*25*1</w:t>
            </w:r>
            <w:r>
              <w:rPr>
                <w:rFonts w:hint="eastAsia" w:ascii="宋体" w:hAnsi="宋体" w:cs="宋体"/>
                <w:i w:val="0"/>
                <w:iCs w:val="0"/>
                <w:color w:val="auto"/>
                <w:sz w:val="21"/>
                <w:szCs w:val="21"/>
                <w:highlight w:val="none"/>
                <w:u w:val="none"/>
                <w:lang w:val="en-US" w:eastAsia="zh" w:bidi="ar"/>
              </w:rPr>
              <w:t xml:space="preserve">0</w:t>
            </w:r>
            <w:r>
              <w:rPr>
                <w:rFonts w:hint="eastAsia" w:ascii="宋体" w:hAnsi="宋体" w:eastAsia="宋体" w:cs="宋体"/>
                <w:i w:val="0"/>
                <w:iCs w:val="0"/>
                <w:color w:val="auto"/>
                <w:sz w:val="21"/>
                <w:szCs w:val="21"/>
                <w:highlight w:val="none"/>
                <w:u w:val="none"/>
                <w:lang w:val="en-US" w:eastAsia="zh-CN" w:bidi="ar"/>
              </w:rPr>
              <w:t xml:space="preserve">mm；净重≤70g；</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2.预约等候区</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34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AO2-01</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AI心理数字卡通人</w:t>
            </w:r>
            <w:r/>
          </w:p>
        </w:tc>
        <w:tc>
          <w:tcPr>
            <w:tcBorders>
              <w:top w:val="single" w:color="000000" w:sz="4" w:space="0"/>
              <w:left w:val="none" w:color="000000" w:sz="4" w:space="0"/>
              <w:bottom w:val="single" w:color="000000" w:sz="4" w:space="0"/>
              <w:right w:val="single" w:color="000000" w:sz="4" w:space="0"/>
            </w:tcBorders>
            <w:tcW w:w="6615" w:type="dxa"/>
            <w:vAlign w:val="top"/>
            <w:textDirection w:val="lrTb"/>
            <w:noWrap w:val="false"/>
          </w:tcPr>
          <w:p>
            <w:pPr>
              <w:numPr>
                <w:ilvl w:val="0"/>
                <w:numId w:val="8"/>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硬件配置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#1.竖屏，尺寸为≥55英寸；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#2.整体尺寸为高不低于170厘米，宽不小于60厘米；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二、软件部分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#1.心理咨询：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心理咨询模块依托强大的后端架构，能为用户提供实时咨询服务。支持多方面心理问题咨询，提供文字、语音多形式</w:t>
            </w:r>
            <w:r>
              <w:rPr>
                <w:rFonts w:hint="eastAsia" w:ascii="宋体" w:hAnsi="宋体" w:cs="宋体"/>
                <w:i w:val="0"/>
                <w:iCs w:val="0"/>
                <w:color w:val="auto"/>
                <w:sz w:val="21"/>
                <w:szCs w:val="21"/>
                <w:highlight w:val="none"/>
                <w:u w:val="none"/>
                <w:lang w:val="en-US" w:eastAsia="zh-CN" w:bidi="ar"/>
              </w:rPr>
              <w:t xml:space="preserve">咨询</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#2.心理测评：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心理测评模块创新融合人工智能与经典心理学评估体系，通过多维度动态适配技术实现精准心理评估。</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#3.冥想放松：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该模块创新性</w:t>
            </w:r>
            <w:r>
              <w:rPr>
                <w:rFonts w:hint="eastAsia" w:ascii="宋体" w:hAnsi="宋体" w:cs="宋体"/>
                <w:i w:val="0"/>
                <w:iCs w:val="0"/>
                <w:color w:val="auto"/>
                <w:sz w:val="21"/>
                <w:szCs w:val="21"/>
                <w:highlight w:val="none"/>
                <w:u w:val="none"/>
                <w:lang w:val="en-US" w:eastAsia="zh-CN" w:bidi="ar"/>
              </w:rPr>
              <w:t xml:space="preserve">地</w:t>
            </w:r>
            <w:r>
              <w:rPr>
                <w:rFonts w:hint="eastAsia" w:ascii="宋体" w:hAnsi="宋体" w:eastAsia="宋体" w:cs="宋体"/>
                <w:i w:val="0"/>
                <w:iCs w:val="0"/>
                <w:color w:val="auto"/>
                <w:sz w:val="21"/>
                <w:szCs w:val="21"/>
                <w:highlight w:val="none"/>
                <w:u w:val="none"/>
                <w:lang w:val="en-US" w:eastAsia="zh-CN" w:bidi="ar"/>
              </w:rPr>
              <w:t xml:space="preserve">融合了自然环境沉浸、情绪管理、身体感知、时间场景、艺术融合以及目标导向</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主题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帮助用户缓解压力；</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Style w:val="951"/>
                <w:rFonts w:hint="eastAsia" w:ascii="宋体" w:hAnsi="宋体" w:eastAsia="宋体" w:cs="宋体"/>
                <w:color w:val="auto"/>
                <w:sz w:val="21"/>
                <w:szCs w:val="21"/>
                <w:highlight w:val="none"/>
                <w:lang w:val="en-US" w:eastAsia="zh-CN" w:bidi="ar"/>
              </w:rPr>
              <w:t xml:space="preserve">#4.心理知识：</w:t>
            </w:r>
            <w:r>
              <w:rPr>
                <w:rStyle w:val="951"/>
                <w:rFonts w:hint="eastAsia" w:ascii="宋体" w:hAnsi="宋体" w:eastAsia="宋体" w:cs="宋体"/>
                <w:color w:val="auto"/>
                <w:sz w:val="21"/>
                <w:szCs w:val="21"/>
                <w:highlight w:val="none"/>
                <w:lang w:val="en-US" w:eastAsia="zh-CN" w:bidi="ar"/>
              </w:rPr>
              <w:br/>
            </w:r>
            <w:r>
              <w:rPr>
                <w:rStyle w:val="951"/>
                <w:rFonts w:hint="eastAsia" w:ascii="宋体" w:hAnsi="宋体" w:eastAsia="宋体" w:cs="宋体"/>
                <w:color w:val="auto"/>
                <w:sz w:val="21"/>
                <w:szCs w:val="21"/>
                <w:highlight w:val="none"/>
                <w:lang w:val="en-US" w:eastAsia="zh-CN" w:bidi="ar"/>
              </w:rPr>
              <w:t xml:space="preserve">心理知识模块结合生活场景输出实用心理策略，帮助用户建立基础认知框架，提升自我觉察与问题解决能力</w:t>
            </w:r>
            <w:r>
              <w:rPr>
                <w:rStyle w:val="951"/>
                <w:rFonts w:hint="eastAsia" w:ascii="宋体" w:hAnsi="宋体" w:cs="宋体"/>
                <w:color w:val="auto"/>
                <w:sz w:val="21"/>
                <w:szCs w:val="21"/>
                <w:highlight w:val="none"/>
                <w:lang w:val="en-US" w:eastAsia="zh-CN" w:bidi="ar"/>
              </w:rPr>
              <w:t xml:space="preserve">；</w:t>
            </w:r>
            <w:r>
              <w:rPr>
                <w:rStyle w:val="951"/>
                <w:rFonts w:hint="eastAsia" w:ascii="宋体" w:hAnsi="宋体" w:eastAsia="宋体" w:cs="宋体"/>
                <w:color w:val="auto"/>
                <w:sz w:val="21"/>
                <w:szCs w:val="21"/>
                <w:highlight w:val="none"/>
                <w:lang w:val="en-US" w:eastAsia="zh-CN" w:bidi="ar"/>
              </w:rPr>
              <w:br/>
            </w:r>
            <w:r>
              <w:rPr>
                <w:rStyle w:val="951"/>
                <w:rFonts w:hint="eastAsia" w:ascii="宋体" w:hAnsi="宋体" w:eastAsia="宋体" w:cs="宋体"/>
                <w:color w:val="auto"/>
                <w:sz w:val="21"/>
                <w:szCs w:val="21"/>
                <w:highlight w:val="none"/>
                <w:lang w:val="en-US" w:eastAsia="zh-CN" w:bidi="ar"/>
              </w:rPr>
              <w:t xml:space="preserve">#5.心理视频：</w:t>
            </w:r>
            <w:r>
              <w:rPr>
                <w:rStyle w:val="951"/>
                <w:rFonts w:hint="eastAsia" w:ascii="宋体" w:hAnsi="宋体" w:eastAsia="宋体" w:cs="宋体"/>
                <w:color w:val="auto"/>
                <w:sz w:val="21"/>
                <w:szCs w:val="21"/>
                <w:highlight w:val="none"/>
                <w:lang w:val="en-US" w:eastAsia="zh-CN" w:bidi="ar"/>
              </w:rPr>
              <w:br/>
            </w:r>
            <w:r>
              <w:rPr>
                <w:rStyle w:val="951"/>
                <w:rFonts w:hint="eastAsia" w:ascii="宋体" w:hAnsi="宋体" w:eastAsia="宋体" w:cs="宋体"/>
                <w:color w:val="auto"/>
                <w:sz w:val="21"/>
                <w:szCs w:val="21"/>
                <w:highlight w:val="none"/>
                <w:lang w:val="en-US" w:eastAsia="zh-CN" w:bidi="ar"/>
              </w:rPr>
              <w:t xml:space="preserve">高效普及心理知识，以直观、生动的形式将抽象的心理知识转化为形象的视觉内容</w:t>
            </w:r>
            <w:r>
              <w:rPr>
                <w:rStyle w:val="951"/>
                <w:rFonts w:hint="eastAsia" w:ascii="宋体" w:hAnsi="宋体" w:cs="宋体"/>
                <w:color w:val="auto"/>
                <w:sz w:val="21"/>
                <w:szCs w:val="21"/>
                <w:highlight w:val="none"/>
                <w:lang w:val="en-US" w:eastAsia="zh-CN" w:bidi="ar"/>
              </w:rPr>
              <w:t xml:space="preserve">，</w:t>
            </w:r>
            <w:r>
              <w:rPr>
                <w:rStyle w:val="951"/>
                <w:rFonts w:hint="eastAsia" w:ascii="宋体" w:hAnsi="宋体" w:eastAsia="宋体" w:cs="宋体"/>
                <w:strike w:val="0"/>
                <w:color w:val="auto"/>
                <w:sz w:val="21"/>
                <w:szCs w:val="21"/>
                <w:highlight w:val="none"/>
                <w:lang w:val="en-US" w:eastAsia="zh-CN" w:bidi="ar"/>
              </w:rPr>
              <w:t xml:space="preserve">提高心理健康知识的传播效率和覆盖面</w:t>
            </w:r>
            <w:r>
              <w:rPr>
                <w:rStyle w:val="951"/>
                <w:rFonts w:hint="eastAsia" w:ascii="宋体" w:hAnsi="宋体" w:cs="宋体"/>
                <w:strike w:val="0"/>
                <w:color w:val="auto"/>
                <w:sz w:val="21"/>
                <w:szCs w:val="21"/>
                <w:highlight w:val="none"/>
                <w:lang w:val="en-US" w:eastAsia="zh-CN" w:bidi="ar"/>
              </w:rPr>
              <w:t xml:space="preserve">；</w:t>
            </w:r>
            <w:r>
              <w:rPr>
                <w:rStyle w:val="951"/>
                <w:rFonts w:hint="eastAsia" w:ascii="宋体" w:hAnsi="宋体" w:eastAsia="宋体" w:cs="宋体"/>
                <w:strike w:val="0"/>
                <w:color w:val="auto"/>
                <w:sz w:val="21"/>
                <w:szCs w:val="21"/>
                <w:highlight w:val="none"/>
                <w:lang w:val="en-US" w:eastAsia="zh-CN" w:bidi="ar"/>
              </w:rPr>
              <w:br/>
            </w:r>
            <w:r>
              <w:rPr>
                <w:rStyle w:val="951"/>
                <w:rFonts w:hint="eastAsia" w:ascii="宋体" w:hAnsi="宋体" w:eastAsia="宋体" w:cs="宋体"/>
                <w:color w:val="auto"/>
                <w:sz w:val="21"/>
                <w:szCs w:val="21"/>
                <w:highlight w:val="none"/>
                <w:lang w:val="en-US" w:eastAsia="zh-CN" w:bidi="ar"/>
              </w:rPr>
              <w:t xml:space="preserve">#6.行为训练：</w:t>
            </w:r>
            <w:r>
              <w:rPr>
                <w:rStyle w:val="951"/>
                <w:rFonts w:hint="eastAsia" w:ascii="宋体" w:hAnsi="宋体" w:eastAsia="宋体" w:cs="宋体"/>
                <w:color w:val="auto"/>
                <w:sz w:val="21"/>
                <w:szCs w:val="21"/>
                <w:highlight w:val="none"/>
                <w:lang w:val="en-US" w:eastAsia="zh-CN" w:bidi="ar"/>
              </w:rPr>
              <w:br/>
            </w:r>
            <w:r>
              <w:rPr>
                <w:rStyle w:val="951"/>
                <w:rFonts w:hint="eastAsia" w:ascii="宋体" w:hAnsi="宋体" w:eastAsia="宋体" w:cs="宋体"/>
                <w:color w:val="auto"/>
                <w:sz w:val="21"/>
                <w:szCs w:val="21"/>
                <w:highlight w:val="none"/>
                <w:lang w:val="en-US" w:eastAsia="zh-CN" w:bidi="ar"/>
              </w:rPr>
              <w:t xml:space="preserve">行为训练能有效提升学生的视觉注意力与集中能力，提高学习效率，提升综合素养。</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868"/>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AO2-02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箱庭设备及管理软件</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numPr>
                <w:ilvl w:val="0"/>
                <w:numId w:val="9"/>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#1.沙具架：沙具陈列架两个，材质为松木原木。尺寸</w:t>
            </w:r>
            <w:r>
              <w:rPr>
                <w:rFonts w:hint="eastAsia" w:ascii="宋体" w:hAnsi="宋体" w:cs="宋体"/>
                <w:i w:val="0"/>
                <w:iCs w:val="0"/>
                <w:color w:val="auto"/>
                <w:sz w:val="21"/>
                <w:szCs w:val="21"/>
                <w:highlight w:val="none"/>
                <w:u w:val="none"/>
                <w:lang w:val="en-US" w:eastAsia="zh" w:bidi="ar"/>
              </w:rPr>
              <w:t xml:space="preserve">约</w:t>
            </w:r>
            <w:r>
              <w:rPr>
                <w:rFonts w:hint="eastAsia" w:ascii="宋体" w:hAnsi="宋体" w:eastAsia="宋体" w:cs="宋体"/>
                <w:i w:val="0"/>
                <w:iCs w:val="0"/>
                <w:color w:val="auto"/>
                <w:sz w:val="21"/>
                <w:szCs w:val="21"/>
                <w:highlight w:val="none"/>
                <w:u w:val="none"/>
                <w:lang w:val="en-US" w:eastAsia="zh-CN" w:bidi="ar"/>
              </w:rPr>
              <w:t xml:space="preserve">：宽120cm×高160 cm×深35cm，6层11阶设计，木本色，清漆涂层；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#2.沙箱：标准个体沙箱一个，材质为松木原木；尺寸</w:t>
            </w:r>
            <w:r>
              <w:rPr>
                <w:rFonts w:hint="eastAsia" w:ascii="宋体" w:hAnsi="宋体" w:cs="宋体"/>
                <w:i w:val="0"/>
                <w:iCs w:val="0"/>
                <w:color w:val="auto"/>
                <w:sz w:val="21"/>
                <w:szCs w:val="21"/>
                <w:highlight w:val="none"/>
                <w:u w:val="none"/>
                <w:lang w:val="en-US" w:eastAsia="zh" w:bidi="ar"/>
              </w:rPr>
              <w:t xml:space="preserve">约</w:t>
            </w:r>
            <w:r>
              <w:rPr>
                <w:rFonts w:hint="eastAsia" w:ascii="宋体" w:hAnsi="宋体" w:eastAsia="宋体" w:cs="宋体"/>
                <w:i w:val="0"/>
                <w:iCs w:val="0"/>
                <w:color w:val="auto"/>
                <w:sz w:val="21"/>
                <w:szCs w:val="21"/>
                <w:highlight w:val="none"/>
                <w:u w:val="none"/>
                <w:lang w:val="en-US" w:eastAsia="zh-CN" w:bidi="ar"/>
              </w:rPr>
              <w:t xml:space="preserve">：57*72*7cm；颜色为外侧原木本色，内侧为天蓝色；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#3.沙箱腿：整体为整条方木原木制作结构，材质为松木原木制作。高度70－100cm正好适合于手放置沙具的位置；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#4.沙具：1200个，沙具为树脂、陶瓷、聚氨酯</w:t>
            </w:r>
            <w:r>
              <w:rPr>
                <w:rFonts w:hint="eastAsia" w:ascii="宋体" w:hAnsi="宋体" w:cs="宋体"/>
                <w:i w:val="0"/>
                <w:iCs w:val="0"/>
                <w:color w:val="auto"/>
                <w:sz w:val="21"/>
                <w:szCs w:val="21"/>
                <w:highlight w:val="none"/>
                <w:u w:val="none"/>
                <w:lang w:val="en-US" w:eastAsia="zh" w:bidi="ar"/>
              </w:rPr>
              <w:t xml:space="preserve">等</w:t>
            </w:r>
            <w:r>
              <w:rPr>
                <w:rFonts w:hint="eastAsia" w:ascii="宋体" w:hAnsi="宋体" w:eastAsia="宋体" w:cs="宋体"/>
                <w:i w:val="0"/>
                <w:iCs w:val="0"/>
                <w:color w:val="auto"/>
                <w:sz w:val="21"/>
                <w:szCs w:val="21"/>
                <w:highlight w:val="none"/>
                <w:u w:val="none"/>
                <w:lang w:val="en-US" w:eastAsia="zh-CN" w:bidi="ar"/>
              </w:rPr>
              <w:t xml:space="preserve">材料制造。包含</w:t>
            </w:r>
            <w:r>
              <w:rPr>
                <w:rFonts w:hint="eastAsia" w:ascii="宋体" w:hAnsi="宋体" w:cs="宋体"/>
                <w:i w:val="0"/>
                <w:iCs w:val="0"/>
                <w:color w:val="auto"/>
                <w:sz w:val="21"/>
                <w:szCs w:val="21"/>
                <w:highlight w:val="none"/>
                <w:u w:val="none"/>
                <w:lang w:val="en-US" w:eastAsia="zh" w:bidi="ar"/>
              </w:rPr>
              <w:t xml:space="preserve">多类别</w:t>
            </w:r>
            <w:r>
              <w:rPr>
                <w:rFonts w:hint="eastAsia" w:ascii="宋体" w:hAnsi="宋体" w:eastAsia="宋体" w:cs="宋体"/>
                <w:i w:val="0"/>
                <w:iCs w:val="0"/>
                <w:color w:val="auto"/>
                <w:sz w:val="21"/>
                <w:szCs w:val="21"/>
                <w:highlight w:val="none"/>
                <w:u w:val="none"/>
                <w:lang w:val="en-US" w:eastAsia="zh-CN" w:bidi="ar"/>
              </w:rPr>
              <w:t xml:space="preserve">常见心理象征物</w:t>
            </w:r>
            <w:r>
              <w:rPr>
                <w:rFonts w:hint="eastAsia" w:ascii="宋体" w:hAnsi="宋体" w:cs="宋体"/>
                <w:i w:val="0"/>
                <w:iCs w:val="0"/>
                <w:color w:val="auto"/>
                <w:sz w:val="21"/>
                <w:szCs w:val="21"/>
                <w:highlight w:val="none"/>
                <w:u w:val="none"/>
                <w:lang w:val="en-US" w:eastAsia="zh" w:bidi="ar"/>
              </w:rPr>
              <w:t xml:space="preserve">。</w:t>
            </w:r>
            <w:r>
              <w:rPr>
                <w:rFonts w:hint="eastAsia" w:ascii="宋体" w:hAnsi="宋体" w:eastAsia="宋体" w:cs="宋体"/>
                <w:i w:val="0"/>
                <w:iCs w:val="0"/>
                <w:color w:val="auto"/>
                <w:sz w:val="21"/>
                <w:szCs w:val="21"/>
                <w:highlight w:val="none"/>
                <w:u w:val="none"/>
                <w:lang w:val="en-US" w:eastAsia="zh-CN" w:bidi="ar"/>
              </w:rPr>
              <w:t xml:space="preserve">海沙：15公斤，天然黄色细沙</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高温消毒；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w:t>
            </w:r>
            <w:r>
              <w:rPr>
                <w:rFonts w:hint="eastAsia" w:ascii="宋体" w:hAnsi="宋体" w:eastAsia="宋体" w:cs="宋体"/>
                <w:i w:val="0"/>
                <w:iCs w:val="0"/>
                <w:color w:val="auto"/>
                <w:sz w:val="21"/>
                <w:szCs w:val="21"/>
                <w:highlight w:val="none"/>
                <w:u w:val="none"/>
                <w:lang w:val="en-US" w:eastAsia="zh-CN" w:bidi="ar"/>
              </w:rPr>
              <w:t xml:space="preserve">、箱庭管理软件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#1.软件涵盖沙具管理、个体箱庭、团体箱庭、技术文库、用户管理</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模块。用户账号管理：管理员可以对注册用户</w:t>
            </w:r>
            <w:r>
              <w:rPr>
                <w:rFonts w:hint="eastAsia" w:ascii="宋体" w:hAnsi="宋体" w:eastAsia="宋体" w:cs="宋体"/>
                <w:i w:val="0"/>
                <w:iCs w:val="0"/>
                <w:strike w:val="0"/>
                <w:color w:val="auto"/>
                <w:sz w:val="21"/>
                <w:szCs w:val="21"/>
                <w:highlight w:val="none"/>
                <w:u w:val="none"/>
                <w:lang w:val="en-US" w:eastAsia="zh-CN" w:bidi="ar"/>
              </w:rPr>
              <w:t xml:space="preserve">的</w:t>
            </w:r>
            <w:r>
              <w:rPr>
                <w:rFonts w:hint="eastAsia" w:ascii="宋体" w:hAnsi="宋体" w:eastAsia="宋体" w:cs="宋体"/>
                <w:i w:val="0"/>
                <w:iCs w:val="0"/>
                <w:color w:val="auto"/>
                <w:sz w:val="21"/>
                <w:szCs w:val="21"/>
                <w:highlight w:val="none"/>
                <w:u w:val="none"/>
                <w:lang w:val="en-US" w:eastAsia="zh-CN" w:bidi="ar"/>
              </w:rPr>
              <w:t xml:space="preserve">信息进行编辑、统一管理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个体箱庭管理模块内包含了查看详细信息和添加箱庭记录的功能。团体箱庭管理模块内包含了查看详细信息和添加箱庭记录的功能。沙具管理咨询师可以按照自定义类别，添加沙具图片、名称、数量等信息。技术文库支持按照标题、发布时间筛选数据，查询信息，可以添加、修改技术文库，添加、修改封面图片、标题、类别、内容等数据，也可对文库角色进行类别管理。</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5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AO2-0</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书柜</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#1.材质：密度板或纯木板，厚度不低于1.5cm，上方柜门为对开柜门，需带钢化玻璃；表面工艺：三聚氰胺贴面；颜色：原木色或橡木色；层数：3层，上下</w:t>
            </w:r>
            <w:r>
              <w:rPr>
                <w:rFonts w:hint="eastAsia" w:ascii="宋体" w:hAnsi="宋体" w:cs="宋体"/>
                <w:i w:val="0"/>
                <w:iCs w:val="0"/>
                <w:color w:val="auto"/>
                <w:sz w:val="21"/>
                <w:szCs w:val="21"/>
                <w:highlight w:val="none"/>
                <w:u w:val="none"/>
                <w:lang w:val="en-US" w:eastAsia="zh-CN" w:bidi="ar"/>
              </w:rPr>
              <w:t xml:space="preserve">两层</w:t>
            </w:r>
            <w:r>
              <w:rPr>
                <w:rFonts w:hint="eastAsia" w:ascii="宋体" w:hAnsi="宋体" w:eastAsia="宋体" w:cs="宋体"/>
                <w:i w:val="0"/>
                <w:iCs w:val="0"/>
                <w:color w:val="auto"/>
                <w:sz w:val="21"/>
                <w:szCs w:val="21"/>
                <w:highlight w:val="none"/>
                <w:u w:val="none"/>
                <w:lang w:val="en-US" w:eastAsia="zh-CN" w:bidi="ar"/>
              </w:rPr>
              <w:t xml:space="preserve">为柜子，中间为抽屉，所有柜子需带把手；尺寸：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180*40*140cm。</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AO2-0</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组合沙发</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#1.两人位沙发*2；尺寸：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20</w:t>
            </w:r>
            <w:r>
              <w:rPr>
                <w:rFonts w:hint="eastAsia" w:ascii="宋体" w:hAnsi="宋体" w:eastAsia="宋体" w:cs="宋体"/>
                <w:i w:val="0"/>
                <w:iCs w:val="0"/>
                <w:color w:val="auto"/>
                <w:sz w:val="21"/>
                <w:szCs w:val="21"/>
                <w:highlight w:val="none"/>
                <w:u w:val="none"/>
                <w:lang w:val="en-US" w:eastAsia="zh-CN" w:bidi="ar"/>
              </w:rPr>
              <w:t xml:space="preserve">*70*6</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cm；材质：高级西皮+PU皮；靠背选用3A级公仔棉；站脚：碳素钢。</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3.心理自助空间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AO3-01</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心理自助系统</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 w:bidi="ar"/>
              </w:rPr>
              <w:t xml:space="preserve">一</w:t>
            </w:r>
            <w:r>
              <w:rPr>
                <w:rFonts w:hint="eastAsia" w:ascii="宋体" w:hAnsi="宋体" w:eastAsia="宋体" w:cs="宋体"/>
                <w:i w:val="0"/>
                <w:iCs w:val="0"/>
                <w:color w:val="auto"/>
                <w:sz w:val="21"/>
                <w:szCs w:val="21"/>
                <w:highlight w:val="none"/>
                <w:u w:val="none"/>
                <w:lang w:val="en-US" w:eastAsia="zh-CN" w:bidi="ar"/>
              </w:rPr>
              <w:t xml:space="preserve">、产品硬件：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#1.≥32英寸防爆触摸屏，具有高透明度，高透光率等特点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2</w:t>
            </w:r>
            <w:r>
              <w:rPr>
                <w:rFonts w:hint="eastAsia" w:ascii="宋体" w:hAnsi="宋体" w:eastAsia="宋体" w:cs="宋体"/>
                <w:i w:val="0"/>
                <w:iCs w:val="0"/>
                <w:color w:val="auto"/>
                <w:sz w:val="21"/>
                <w:szCs w:val="21"/>
                <w:highlight w:val="none"/>
                <w:u w:val="none"/>
                <w:lang w:val="en-US" w:eastAsia="zh-CN" w:bidi="ar"/>
              </w:rPr>
              <w:t xml:space="preserve">.触摸屏表面汽车烤漆，防磁、防静电、内置风扇、功放</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3</w:t>
            </w:r>
            <w:r>
              <w:rPr>
                <w:rFonts w:hint="eastAsia" w:ascii="宋体" w:hAnsi="宋体" w:eastAsia="宋体" w:cs="宋体"/>
                <w:i w:val="0"/>
                <w:iCs w:val="0"/>
                <w:color w:val="auto"/>
                <w:sz w:val="21"/>
                <w:szCs w:val="21"/>
                <w:highlight w:val="none"/>
                <w:u w:val="none"/>
                <w:lang w:val="en-US" w:eastAsia="zh-CN" w:bidi="ar"/>
              </w:rPr>
              <w:t xml:space="preserve">.音响采用双声道，立体声环绕功放系统，功率：2x2W频响：20Hz~20KHz;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4</w:t>
            </w:r>
            <w:r>
              <w:rPr>
                <w:rFonts w:hint="eastAsia" w:ascii="宋体" w:hAnsi="宋体" w:eastAsia="宋体" w:cs="宋体"/>
                <w:i w:val="0"/>
                <w:iCs w:val="0"/>
                <w:color w:val="auto"/>
                <w:sz w:val="21"/>
                <w:szCs w:val="21"/>
                <w:highlight w:val="none"/>
                <w:u w:val="none"/>
                <w:lang w:val="en-US" w:eastAsia="zh-CN" w:bidi="ar"/>
              </w:rPr>
              <w:t xml:space="preserve">.网络接口为RJ45或RJ11;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5</w:t>
            </w:r>
            <w:r>
              <w:rPr>
                <w:rFonts w:hint="eastAsia" w:ascii="宋体" w:hAnsi="宋体" w:eastAsia="宋体" w:cs="宋体"/>
                <w:i w:val="0"/>
                <w:iCs w:val="0"/>
                <w:color w:val="auto"/>
                <w:sz w:val="21"/>
                <w:szCs w:val="21"/>
                <w:highlight w:val="none"/>
                <w:u w:val="none"/>
                <w:lang w:val="en-US" w:eastAsia="zh-CN" w:bidi="ar"/>
              </w:rPr>
              <w:t xml:space="preserve">.工业abs材质外壳，正前方整体外观为长椭圆形的合拢式设计。触摸屏到地面的高度不少于700mm，长度不少于</w:t>
            </w:r>
            <w:r>
              <w:rPr>
                <w:rFonts w:hint="eastAsia" w:ascii="宋体" w:hAnsi="宋体" w:cs="宋体"/>
                <w:i w:val="0"/>
                <w:iCs w:val="0"/>
                <w:color w:val="auto"/>
                <w:sz w:val="21"/>
                <w:szCs w:val="21"/>
                <w:highlight w:val="none"/>
                <w:u w:val="none"/>
                <w:lang w:val="en-US" w:eastAsia="zh" w:bidi="ar"/>
              </w:rPr>
              <w:t xml:space="preserve">720</w:t>
            </w:r>
            <w:r>
              <w:rPr>
                <w:rFonts w:hint="eastAsia" w:ascii="宋体" w:hAnsi="宋体" w:eastAsia="宋体" w:cs="宋体"/>
                <w:i w:val="0"/>
                <w:iCs w:val="0"/>
                <w:color w:val="auto"/>
                <w:sz w:val="21"/>
                <w:szCs w:val="21"/>
                <w:highlight w:val="none"/>
                <w:u w:val="none"/>
                <w:lang w:val="en-US" w:eastAsia="zh-CN" w:bidi="ar"/>
              </w:rPr>
              <w:t xml:space="preserve">mm，宽度不少于</w:t>
            </w:r>
            <w:r>
              <w:rPr>
                <w:rFonts w:hint="eastAsia" w:ascii="宋体" w:hAnsi="宋体" w:cs="宋体"/>
                <w:i w:val="0"/>
                <w:iCs w:val="0"/>
                <w:color w:val="auto"/>
                <w:sz w:val="21"/>
                <w:szCs w:val="21"/>
                <w:highlight w:val="none"/>
                <w:u w:val="none"/>
                <w:lang w:val="en-US" w:eastAsia="zh" w:bidi="ar"/>
              </w:rPr>
              <w:t xml:space="preserve">425</w:t>
            </w:r>
            <w:r>
              <w:rPr>
                <w:rFonts w:hint="eastAsia" w:ascii="宋体" w:hAnsi="宋体" w:eastAsia="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6</w:t>
            </w:r>
            <w:r>
              <w:rPr>
                <w:rFonts w:hint="eastAsia" w:ascii="宋体" w:hAnsi="宋体" w:eastAsia="宋体" w:cs="宋体"/>
                <w:i w:val="0"/>
                <w:iCs w:val="0"/>
                <w:color w:val="auto"/>
                <w:sz w:val="21"/>
                <w:szCs w:val="21"/>
                <w:highlight w:val="none"/>
                <w:u w:val="none"/>
                <w:lang w:val="en-US" w:eastAsia="zh-CN" w:bidi="ar"/>
              </w:rPr>
              <w:t xml:space="preserve">.展示平台遵循人性化设计，触摸屏可以仰角、俯角调节，也可以左右移动，不同身高的人群使用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 w:bidi="ar"/>
              </w:rPr>
              <w:t xml:space="preserve">7</w:t>
            </w:r>
            <w:r>
              <w:rPr>
                <w:rFonts w:hint="eastAsia" w:ascii="宋体" w:hAnsi="宋体" w:eastAsia="宋体" w:cs="宋体"/>
                <w:i w:val="0"/>
                <w:iCs w:val="0"/>
                <w:color w:val="auto"/>
                <w:sz w:val="21"/>
                <w:szCs w:val="21"/>
                <w:highlight w:val="none"/>
                <w:u w:val="none"/>
                <w:lang w:val="en-US" w:eastAsia="zh-CN" w:bidi="ar"/>
              </w:rPr>
              <w:t xml:space="preserve">.两侧装有扶手，并采用环绕式设计，可各种方位移动设备。底部装有塑胶万向轮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 w:bidi="ar"/>
              </w:rPr>
              <w:t xml:space="preserve">二</w:t>
            </w:r>
            <w:r>
              <w:rPr>
                <w:rFonts w:hint="eastAsia" w:ascii="宋体" w:hAnsi="宋体" w:eastAsia="宋体" w:cs="宋体"/>
                <w:i w:val="0"/>
                <w:iCs w:val="0"/>
                <w:color w:val="auto"/>
                <w:sz w:val="21"/>
                <w:szCs w:val="21"/>
                <w:highlight w:val="none"/>
                <w:u w:val="none"/>
                <w:lang w:val="en-US" w:eastAsia="zh-CN" w:bidi="ar"/>
              </w:rPr>
              <w:t xml:space="preserve">、软件部分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#1.系统架构：系统采用B/S架构。采用浏览器+应用服务器+数据库的多架构运行模式，能够兼容在不同的操作系统上运行，支持庞大用户量和数据量。客户端无需安装，以IE 等浏览器为操作界面，并兼容SOGOU、360、Firefox浏览器等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#2.数据库：适合大容量数据的应用，并具备开发的灵活性、可扩展性、可用存储过程、函数等方面强大功能。数据库具有伸缩性，可跨越多平台使用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 w:bidi="ar"/>
              </w:rPr>
              <w:t xml:space="preserve">三</w:t>
            </w:r>
            <w:r>
              <w:rPr>
                <w:rFonts w:hint="eastAsia" w:ascii="宋体" w:hAnsi="宋体" w:eastAsia="宋体" w:cs="宋体"/>
                <w:i w:val="0"/>
                <w:iCs w:val="0"/>
                <w:color w:val="auto"/>
                <w:sz w:val="21"/>
                <w:szCs w:val="21"/>
                <w:highlight w:val="none"/>
                <w:u w:val="none"/>
                <w:lang w:val="en-US" w:eastAsia="zh-CN" w:bidi="ar"/>
              </w:rPr>
              <w:t xml:space="preserve">、系统功能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内容包括：</w:t>
            </w:r>
            <w:r>
              <w:rPr>
                <w:rFonts w:hint="eastAsia" w:ascii="宋体" w:hAnsi="宋体" w:eastAsia="宋体" w:cs="宋体"/>
                <w:i w:val="0"/>
                <w:iCs w:val="0"/>
                <w:color w:val="auto"/>
                <w:sz w:val="21"/>
                <w:szCs w:val="21"/>
                <w:highlight w:val="none"/>
                <w:u w:val="none"/>
                <w:lang w:val="en-US" w:eastAsia="zh-CN" w:bidi="ar"/>
              </w:rPr>
              <w:t xml:space="preserve">中心介绍</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中心活动展示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心理音乐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心理视频</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心理知识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放松训练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心理测量</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系统内包含心理健康、情绪、学习、人格、社交、生活、职业兴趣测评等</w:t>
            </w:r>
            <w:r>
              <w:rPr>
                <w:rFonts w:hint="eastAsia" w:ascii="宋体" w:hAnsi="宋体" w:cs="宋体"/>
                <w:i w:val="0"/>
                <w:iCs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种专业心理量表可以多维度评估心理状态水平。 自助式的行为训练</w:t>
            </w:r>
            <w:r>
              <w:rPr>
                <w:rFonts w:hint="eastAsia" w:ascii="宋体" w:hAnsi="宋体" w:eastAsia="宋体" w:cs="宋体"/>
                <w:i w:val="0"/>
                <w:iCs w:val="0"/>
                <w:strike w:val="0"/>
                <w:color w:val="auto"/>
                <w:sz w:val="21"/>
                <w:szCs w:val="21"/>
                <w:highlight w:val="none"/>
                <w:u w:val="none"/>
                <w:lang w:val="en-US" w:eastAsia="zh-CN" w:bidi="ar"/>
              </w:rPr>
              <w:t xml:space="preserve">旨在通过具有专业性且针对性强的训练，让使用者在注意力、记忆力、思维等能力的水平上得到强化和提高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系统后台分为权限管理、量表信息管理、测试数据管理、系统资源管理</w:t>
            </w:r>
            <w:r>
              <w:rPr>
                <w:rFonts w:hint="eastAsia" w:ascii="宋体" w:hAnsi="宋体" w:cs="宋体"/>
                <w:i w:val="0"/>
                <w:iCs w:val="0"/>
                <w:color w:val="auto"/>
                <w:sz w:val="21"/>
                <w:szCs w:val="21"/>
                <w:highlight w:val="none"/>
                <w:u w:val="none"/>
                <w:lang w:val="en-US" w:eastAsia="zh-CN" w:bidi="ar"/>
              </w:rPr>
              <w:t xml:space="preserve">等多</w:t>
            </w:r>
            <w:r>
              <w:rPr>
                <w:rFonts w:hint="eastAsia" w:ascii="宋体" w:hAnsi="宋体" w:eastAsia="宋体" w:cs="宋体"/>
                <w:i w:val="0"/>
                <w:iCs w:val="0"/>
                <w:color w:val="auto"/>
                <w:sz w:val="21"/>
                <w:szCs w:val="21"/>
                <w:highlight w:val="none"/>
                <w:u w:val="none"/>
                <w:lang w:val="en-US" w:eastAsia="zh-CN" w:bidi="ar"/>
              </w:rPr>
              <w:t xml:space="preserve">个模块。支持对测试数据，批量导出Excel和Word</w:t>
            </w:r>
            <w:r>
              <w:rPr>
                <w:rFonts w:hint="eastAsia" w:ascii="宋体" w:hAnsi="宋体" w:cs="宋体"/>
                <w:i w:val="0"/>
                <w:iCs w:val="0"/>
                <w:color w:val="auto"/>
                <w:sz w:val="21"/>
                <w:szCs w:val="21"/>
                <w:highlight w:val="none"/>
                <w:u w:val="none"/>
                <w:lang w:val="en-US" w:eastAsia="zh-CN" w:bidi="ar"/>
              </w:rPr>
              <w:t xml:space="preserve">等多</w:t>
            </w:r>
            <w:r>
              <w:rPr>
                <w:rFonts w:hint="eastAsia" w:ascii="宋体" w:hAnsi="宋体" w:eastAsia="宋体" w:cs="宋体"/>
                <w:i w:val="0"/>
                <w:iCs w:val="0"/>
                <w:color w:val="auto"/>
                <w:sz w:val="21"/>
                <w:szCs w:val="21"/>
                <w:highlight w:val="none"/>
                <w:u w:val="none"/>
                <w:lang w:val="en-US" w:eastAsia="zh-CN" w:bidi="ar"/>
              </w:rPr>
              <w:t xml:space="preserve">种不同格式。系统资源管理管理员可上传图片，支持对本单位信息，进行编辑。中心活动管理员可根据本单位开展的心理活动，对活动图片和内容，进行添加管理员可上传</w:t>
            </w:r>
            <w:r>
              <w:rPr>
                <w:rFonts w:hint="eastAsia" w:ascii="宋体" w:hAnsi="宋体" w:cs="宋体"/>
                <w:i w:val="0"/>
                <w:iCs w:val="0"/>
                <w:color w:val="auto"/>
                <w:sz w:val="21"/>
                <w:szCs w:val="21"/>
                <w:highlight w:val="none"/>
                <w:u w:val="none"/>
                <w:lang w:val="en-US" w:eastAsia="zh-CN" w:bidi="ar"/>
              </w:rPr>
              <w:t xml:space="preserve">多种</w:t>
            </w:r>
            <w:r>
              <w:rPr>
                <w:rFonts w:hint="eastAsia" w:ascii="宋体" w:hAnsi="宋体" w:eastAsia="宋体" w:cs="宋体"/>
                <w:i w:val="0"/>
                <w:iCs w:val="0"/>
                <w:color w:val="auto"/>
                <w:sz w:val="21"/>
                <w:szCs w:val="21"/>
                <w:highlight w:val="none"/>
                <w:u w:val="none"/>
                <w:lang w:val="en-US" w:eastAsia="zh-CN" w:bidi="ar"/>
              </w:rPr>
              <w:t xml:space="preserve">心理音乐资源。管理员可上传心理视频资源。管理员可上传</w:t>
            </w:r>
            <w:r>
              <w:rPr>
                <w:rFonts w:hint="eastAsia" w:ascii="宋体" w:hAnsi="宋体" w:cs="宋体"/>
                <w:i w:val="0"/>
                <w:iCs w:val="0"/>
                <w:color w:val="auto"/>
                <w:sz w:val="21"/>
                <w:szCs w:val="21"/>
                <w:highlight w:val="none"/>
                <w:u w:val="none"/>
                <w:lang w:val="en-US" w:eastAsia="zh-CN" w:bidi="ar"/>
              </w:rPr>
              <w:t xml:space="preserve">多种</w:t>
            </w:r>
            <w:r>
              <w:rPr>
                <w:rFonts w:hint="eastAsia" w:ascii="宋体" w:hAnsi="宋体" w:eastAsia="宋体" w:cs="宋体"/>
                <w:i w:val="0"/>
                <w:iCs w:val="0"/>
                <w:color w:val="auto"/>
                <w:sz w:val="21"/>
                <w:szCs w:val="21"/>
                <w:highlight w:val="none"/>
                <w:u w:val="none"/>
                <w:lang w:val="en-US" w:eastAsia="zh-CN" w:bidi="ar"/>
              </w:rPr>
              <w:t xml:space="preserve">心理知识文章资源。</w:t>
            </w:r>
            <w:r>
              <w:rPr>
                <w:rFonts w:hint="eastAsia" w:ascii="宋体" w:hAnsi="宋体" w:eastAsia="宋体" w:cs="宋体"/>
                <w:i w:val="0"/>
                <w:iCs w:val="0"/>
                <w:color w:val="auto"/>
                <w:sz w:val="21"/>
                <w:szCs w:val="21"/>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4178"/>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AO3-02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智能3D电子沙盘系统（专业版）</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numPr>
                <w:ilvl w:val="0"/>
                <w:numId w:val="0"/>
              </w:numPr>
              <w:jc w:val="left"/>
              <w:keepLines w:val="0"/>
              <w:keepNext w:val="0"/>
              <w:pageBreakBefore w:val="0"/>
              <w:spacing w:afterAutospacing="0" w:line="32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 w:bidi="ar"/>
              </w:rPr>
              <w:t xml:space="preserve">一</w:t>
            </w:r>
            <w:r>
              <w:rPr>
                <w:rFonts w:hint="eastAsia" w:ascii="宋体" w:hAnsi="宋体" w:eastAsia="宋体" w:cs="宋体"/>
                <w:i w:val="0"/>
                <w:iCs w:val="0"/>
                <w:color w:val="auto"/>
                <w:sz w:val="21"/>
                <w:szCs w:val="21"/>
                <w:highlight w:val="none"/>
                <w:u w:val="none"/>
                <w:lang w:val="en-US" w:eastAsia="zh-CN" w:bidi="ar"/>
              </w:rPr>
              <w:t xml:space="preserve">、产品硬件配置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#1.3D电子沙盘主体采用可升降、可移动的结构设计。机身配置上升、下降、开关机不锈钢按钮，可以自主调节高度。同时也可以使用遥控器，远程控制电子沙盘的上升与下降</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#2.机器内嵌不小于42英寸触摸屏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#3.电子沙盘整体尺寸为，长不小于100cm，宽不小于70cm，升降高度约70cm-100cm，底座安装耐磨胶轮，方便移动；</w:t>
            </w:r>
            <w:r>
              <w:rPr>
                <w:rFonts w:hint="eastAsia" w:ascii="宋体" w:hAnsi="宋体" w:cs="宋体"/>
                <w:i w:val="0"/>
                <w:iCs w:val="0"/>
                <w:color w:val="auto"/>
                <w:sz w:val="21"/>
                <w:szCs w:val="21"/>
                <w:highlight w:val="none"/>
                <w:u w:val="none"/>
                <w:lang w:val="en-US" w:eastAsia="zh-CN" w:bidi="ar"/>
              </w:rPr>
              <w:t xml:space="preserve">冷轧钢制柜体；</w:t>
            </w:r>
            <w:r/>
          </w:p>
          <w:p>
            <w:pPr>
              <w:numPr>
                <w:ilvl w:val="0"/>
                <w:numId w:val="0"/>
              </w:numPr>
              <w:jc w:val="left"/>
              <w:keepLines w:val="0"/>
              <w:keepNext w:val="0"/>
              <w:pageBreakBefore w:val="0"/>
              <w:spacing w:afterAutospacing="0" w:line="32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二</w:t>
            </w:r>
            <w:r>
              <w:rPr>
                <w:rFonts w:hint="eastAsia" w:ascii="宋体" w:hAnsi="宋体" w:eastAsia="宋体" w:cs="宋体"/>
                <w:i w:val="0"/>
                <w:iCs w:val="0"/>
                <w:color w:val="auto"/>
                <w:sz w:val="21"/>
                <w:szCs w:val="21"/>
                <w:highlight w:val="none"/>
                <w:u w:val="none"/>
                <w:lang w:val="en-US" w:eastAsia="zh-CN" w:bidi="ar"/>
              </w:rPr>
              <w:t xml:space="preserve">、3D心理电子沙盘管理系统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#1.用户模块管理员可以对注册用户的用户名、性别、联系电话等信息进行编辑、统一管理。系统内含</w:t>
            </w:r>
            <w:r>
              <w:rPr>
                <w:rFonts w:hint="eastAsia" w:ascii="宋体" w:hAnsi="宋体" w:cs="宋体"/>
                <w:i w:val="0"/>
                <w:iCs w:val="0"/>
                <w:color w:val="auto"/>
                <w:sz w:val="21"/>
                <w:szCs w:val="21"/>
                <w:highlight w:val="none"/>
                <w:u w:val="none"/>
                <w:lang w:val="en-US" w:eastAsia="zh-CN" w:bidi="ar"/>
              </w:rPr>
              <w:t xml:space="preserve">多种</w:t>
            </w:r>
            <w:r>
              <w:rPr>
                <w:rFonts w:hint="eastAsia" w:ascii="宋体" w:hAnsi="宋体" w:eastAsia="宋体" w:cs="宋体"/>
                <w:i w:val="0"/>
                <w:iCs w:val="0"/>
                <w:color w:val="auto"/>
                <w:sz w:val="21"/>
                <w:szCs w:val="21"/>
                <w:highlight w:val="none"/>
                <w:u w:val="none"/>
                <w:lang w:val="en-US" w:eastAsia="zh-CN" w:bidi="ar"/>
              </w:rPr>
              <w:t xml:space="preserve">环境可以供用户选择训练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沙具室具备3D数据库</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知识库包含图片知识、文字知识和视频知识</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部分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数据分析配备沙具移动的文字与视频记录，系统自动出具电子沙盘心理分析报告，提供对异常过程及结果的预警功能</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.提供用户信息的录入、保存、批量导入、排序等功能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系统设置可对设备音量、视频长度等功能进行调节。</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498"/>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AO3-03</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标准版实木心理沙盘</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#1.产品组成：1、个体实木心理沙盘1个：规格长度</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cm*宽度5</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cm*高度</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cm，材质为橡木板材，内侧蓝色；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#2.团体实木心理沙盘1个：规格长度</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cm*宽度7</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cm*高10cm，材质为橡木板材，内侧蓝色；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#3.沙具1500件</w:t>
            </w:r>
            <w:r>
              <w:rPr>
                <w:rFonts w:hint="eastAsia" w:ascii="宋体" w:hAnsi="宋体" w:cs="宋体"/>
                <w:i w:val="0"/>
                <w:iCs w:val="0"/>
                <w:color w:val="auto"/>
                <w:sz w:val="21"/>
                <w:szCs w:val="21"/>
                <w:highlight w:val="none"/>
                <w:u w:val="none"/>
                <w:lang w:val="en-US" w:eastAsia="zh-CN" w:bidi="ar"/>
              </w:rPr>
              <w:t xml:space="preserve">以上，内容涵盖</w:t>
            </w:r>
            <w:r>
              <w:rPr>
                <w:rFonts w:hint="eastAsia" w:ascii="宋体" w:hAnsi="宋体" w:eastAsia="宋体" w:cs="宋体"/>
                <w:i w:val="0"/>
                <w:iCs w:val="0"/>
                <w:color w:val="auto"/>
                <w:sz w:val="21"/>
                <w:szCs w:val="21"/>
                <w:highlight w:val="none"/>
                <w:u w:val="none"/>
                <w:lang w:val="en-US" w:eastAsia="zh-CN" w:bidi="ar"/>
              </w:rPr>
              <w:t xml:space="preserve">15大类组成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#4.沙具摆放架4个：高度约160cm*宽度约80cm*深度约30cm；橡木板材，9层设计；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#5.细沙45KG：天然细沙、颗粒光滑</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水洗砂20公斤（颗粒光滑、大小均匀、高温消毒）</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精选原色水洗砂20公斤（颗粒光滑、大小均匀、高温消毒）、沙具选取框：沙具选取框2个+清理刷2个；沙盘游戏管理系统1套；支持与心育平台进行对接学习心理沙盘游戏教学视频</w:t>
            </w:r>
            <w:r>
              <w:rPr>
                <w:rFonts w:hint="eastAsia" w:ascii="宋体" w:hAnsi="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4.宣泄室</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59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AO4-01</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智能多维呐喊宣泄系统</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numPr>
                <w:ilvl w:val="0"/>
                <w:numId w:val="1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硬件参数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#1.宣泄机柜总高1780mm（±50mm），整体颜色天蓝色，材质为ABS，机柜内嵌≥42寸触摸显示屏，厚度为100mm（±5mm）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操作控制台，为内嵌式21.5英寸触摸屏，主机配置为≥ 4G内存； ≥500G硬盘。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#1.模式选择包含多种宣泄模式，系统智能分析使用者的宣泄行为，判断出其情绪宣泄的程度，进而有针对性</w:t>
            </w:r>
            <w:r>
              <w:rPr>
                <w:rFonts w:hint="eastAsia" w:ascii="宋体" w:hAnsi="宋体" w:cs="宋体"/>
                <w:i w:val="0"/>
                <w:iCs w:val="0"/>
                <w:color w:val="auto"/>
                <w:sz w:val="21"/>
                <w:szCs w:val="21"/>
                <w:highlight w:val="none"/>
                <w:u w:val="none"/>
                <w:lang w:val="en-US" w:eastAsia="zh-CN" w:bidi="ar"/>
              </w:rPr>
              <w:t xml:space="preserve">地</w:t>
            </w:r>
            <w:r>
              <w:rPr>
                <w:rFonts w:hint="eastAsia" w:ascii="宋体" w:hAnsi="宋体" w:eastAsia="宋体" w:cs="宋体"/>
                <w:i w:val="0"/>
                <w:iCs w:val="0"/>
                <w:color w:val="auto"/>
                <w:sz w:val="21"/>
                <w:szCs w:val="21"/>
                <w:highlight w:val="none"/>
                <w:u w:val="none"/>
                <w:lang w:val="en-US" w:eastAsia="zh-CN" w:bidi="ar"/>
              </w:rPr>
              <w:t xml:space="preserve">进行智能化的正向语音引导、激励。</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.系统自动生成宣泄报告，管理员可查看、导出所用用户的测试信息，以便对比分析数据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具有智能评价功能；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.用户</w:t>
            </w:r>
            <w:r>
              <w:rPr>
                <w:rFonts w:hint="eastAsia" w:ascii="宋体" w:hAnsi="宋体" w:cs="宋体"/>
                <w:i w:val="0"/>
                <w:iCs w:val="0"/>
                <w:color w:val="auto"/>
                <w:sz w:val="21"/>
                <w:szCs w:val="21"/>
                <w:highlight w:val="none"/>
                <w:u w:val="none"/>
                <w:lang w:val="en-US" w:eastAsia="zh-CN" w:bidi="ar"/>
              </w:rPr>
              <w:t xml:space="preserve">管理</w:t>
            </w:r>
            <w:r>
              <w:rPr>
                <w:rFonts w:hint="eastAsia" w:ascii="宋体" w:hAnsi="宋体" w:eastAsia="宋体" w:cs="宋体"/>
                <w:i w:val="0"/>
                <w:iCs w:val="0"/>
                <w:color w:val="auto"/>
                <w:sz w:val="21"/>
                <w:szCs w:val="21"/>
                <w:highlight w:val="none"/>
                <w:u w:val="none"/>
                <w:lang w:val="en-US" w:eastAsia="zh-CN" w:bidi="ar"/>
              </w:rPr>
              <w:t xml:space="preserve">员可以对注册用户的信息进行编辑、统一管理。支持按照用户名筛选数据，方便查询用户信息；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.可以让训练者选择单次/多次</w:t>
            </w:r>
            <w:r>
              <w:rPr>
                <w:rFonts w:hint="eastAsia" w:ascii="宋体" w:hAnsi="宋体" w:cs="宋体"/>
                <w:i w:val="0"/>
                <w:iCs w:val="0"/>
                <w:color w:val="auto"/>
                <w:sz w:val="21"/>
                <w:szCs w:val="21"/>
                <w:highlight w:val="none"/>
                <w:u w:val="none"/>
                <w:lang w:val="en-US" w:eastAsia="zh-CN" w:bidi="ar"/>
              </w:rPr>
              <w:t xml:space="preserve">训练</w:t>
            </w:r>
            <w:r>
              <w:rPr>
                <w:rFonts w:hint="eastAsia" w:ascii="宋体" w:hAnsi="宋体" w:eastAsia="宋体" w:cs="宋体"/>
                <w:i w:val="0"/>
                <w:iCs w:val="0"/>
                <w:color w:val="auto"/>
                <w:sz w:val="21"/>
                <w:szCs w:val="21"/>
                <w:highlight w:val="none"/>
                <w:u w:val="none"/>
                <w:lang w:val="en-US" w:eastAsia="zh-CN" w:bidi="ar"/>
              </w:rPr>
              <w:t xml:space="preserve">功能。系统智能分析使用者的宣泄行为，判断出其情绪宣泄的程度，根据不同宣泄的程度进行智能化的正向语音引导、激励。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.系统设置可对系统内的组织架构进行保存、新增、删除操作。</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29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AO4-02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智能体感互动减压平台</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一、产品组件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#1.体感减压平台控制端配备≥48寸液晶显示屏；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#2.体感机柜：冷轧钢制柜体、防磁、防静电</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内嵌不小于48寸显示屏，柜体整体高度不小于180公分，头部横径不小于长118cm，底座不小80cm*3</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cm*15cm；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w:t>
            </w:r>
            <w:r>
              <w:rPr>
                <w:rFonts w:hint="eastAsia" w:ascii="宋体" w:hAnsi="宋体" w:eastAsia="宋体" w:cs="宋体"/>
                <w:i w:val="0"/>
                <w:iCs w:val="0"/>
                <w:color w:val="auto"/>
                <w:sz w:val="21"/>
                <w:szCs w:val="21"/>
                <w:highlight w:val="none"/>
                <w:u w:val="none"/>
                <w:lang w:val="en-US" w:eastAsia="zh-CN" w:bidi="ar"/>
              </w:rPr>
              <w:t xml:space="preserve">、软件管理系统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#1.用户中心管理员可以对注册用户的信息进行编辑、统一管理。支持按照用户名筛选数据，方便查询用户信息。管理员可以自如添加不同角色分类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管理员可以自如添加视频以及视频分类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管理员可以自如添加音乐以及音乐分类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#2.训练中心</w:t>
            </w:r>
            <w:r>
              <w:rPr>
                <w:rFonts w:hint="eastAsia" w:ascii="宋体" w:hAnsi="宋体" w:cs="宋体"/>
                <w:i w:val="0"/>
                <w:iCs w:val="0"/>
                <w:color w:val="auto"/>
                <w:sz w:val="21"/>
                <w:szCs w:val="21"/>
                <w:highlight w:val="none"/>
                <w:u w:val="none"/>
                <w:lang w:val="en-US" w:eastAsia="zh-CN" w:bidi="ar"/>
              </w:rPr>
              <w:t xml:space="preserve">包括</w:t>
            </w:r>
            <w:r>
              <w:rPr>
                <w:rFonts w:hint="eastAsia" w:ascii="宋体" w:hAnsi="宋体" w:eastAsia="宋体" w:cs="宋体"/>
                <w:i w:val="0"/>
                <w:iCs w:val="0"/>
                <w:color w:val="auto"/>
                <w:sz w:val="21"/>
                <w:szCs w:val="21"/>
                <w:highlight w:val="none"/>
                <w:u w:val="none"/>
                <w:lang w:val="en-US" w:eastAsia="zh-CN" w:bidi="ar"/>
              </w:rPr>
              <w:t xml:space="preserve">身心协调训练、身心娱乐训练</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.数据中心系统支持按照用户名、训练日期进行检索结果，方便数据比对分析。系统可自动对记录数据进行统计分析，报告结果包括训练类型、用户基础信息、测试时间等详情。</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405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AO4-03</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宣泄人套装</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#1.宣泄人1个，仿真人形，宣泄主体和固定底座两部分组成。内层为高回弹材料填充，外层高密度环保PU，抗击打，耐变形，底座可以充水或充沙。宣泄人高度不小于170cm，外套为三层复合布设计， 弹性好、耐击打</w:t>
            </w:r>
            <w:r>
              <w:rPr>
                <w:rFonts w:hint="eastAsia" w:ascii="宋体" w:hAnsi="宋体" w:cs="宋体"/>
                <w:i w:val="0"/>
                <w:iCs w:val="0"/>
                <w:color w:val="auto"/>
                <w:sz w:val="21"/>
                <w:szCs w:val="21"/>
                <w:highlight w:val="none"/>
                <w:u w:val="none"/>
                <w:lang w:val="en-US" w:eastAsia="zh-CN" w:bidi="ar"/>
              </w:rPr>
              <w:t xml:space="preserve">；颜色可选</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#2.宣泄人胳膊长度不少于2</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cm；底座高度为不少于70cm，直径为不少于55cm，锥形体设计，更稳固；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.宣泄人头套2个，分别为不同性别、不同表情。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.宣泄棒2根，弹性好，有保护性外套，可以保护使用者双手。环保EVA制作，内置抗击打</w:t>
            </w:r>
            <w:r>
              <w:rPr>
                <w:rFonts w:hint="eastAsia" w:ascii="宋体" w:hAnsi="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200kg的pvc高弹棒。总长不少于65cm ，粗端</w:t>
            </w:r>
            <w:r>
              <w:rPr>
                <w:rFonts w:hint="eastAsia" w:ascii="宋体" w:hAnsi="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7cm，细端</w:t>
            </w:r>
            <w:r>
              <w:rPr>
                <w:rFonts w:hint="eastAsia" w:ascii="宋体" w:hAnsi="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3.5cm，在抓</w:t>
            </w:r>
            <w:r>
              <w:rPr>
                <w:rFonts w:hint="eastAsia" w:ascii="宋体" w:hAnsi="宋体" w:cs="宋体"/>
                <w:i w:val="0"/>
                <w:iCs w:val="0"/>
                <w:color w:val="auto"/>
                <w:sz w:val="21"/>
                <w:szCs w:val="21"/>
                <w:highlight w:val="none"/>
                <w:u w:val="none"/>
                <w:lang w:val="en-US" w:eastAsia="zh-CN" w:bidi="ar"/>
              </w:rPr>
              <w:t xml:space="preserve">握处</w:t>
            </w:r>
            <w:r>
              <w:rPr>
                <w:rFonts w:hint="eastAsia" w:ascii="宋体" w:hAnsi="宋体" w:eastAsia="宋体" w:cs="宋体"/>
                <w:i w:val="0"/>
                <w:iCs w:val="0"/>
                <w:color w:val="auto"/>
                <w:sz w:val="21"/>
                <w:szCs w:val="21"/>
                <w:highlight w:val="none"/>
                <w:u w:val="none"/>
                <w:lang w:val="en-US" w:eastAsia="zh-CN" w:bidi="ar"/>
              </w:rPr>
              <w:t xml:space="preserve">有不少于20cm螺旋防滑纹；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.立式宣泄球1套，立式不倒，外层仿皮材料，高度可调节；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.护手套1副：环保材料制作，能保护发泄者手避免受伤；宣泄挂图2幅（50*50cm，写真板材质）；储物凳1个，</w:t>
            </w:r>
            <w:r>
              <w:rPr>
                <w:rFonts w:hint="eastAsia" w:ascii="宋体" w:hAnsi="宋体" w:cs="宋体"/>
                <w:i w:val="0"/>
                <w:iCs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种颜色可供选择，可存放头套及护手套等配套器材；</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5.身心放松室</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AO5-01</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心理挂图2</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技术参数同“AO1-02心理挂图1”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r>
      <w:tr>
        <w:trPr>
          <w:trHeight w:val="1263"/>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AO5-02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身心反馈训练系统</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numPr>
                <w:ilvl w:val="0"/>
                <w:numId w:val="11"/>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配置要求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#1.放松训练椅：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尺寸约为（展开）：195cm *100cm*115cm±5mm，满足训练者躺、仰、坐姿势，角度</w:t>
            </w:r>
            <w:r>
              <w:rPr>
                <w:rFonts w:hint="eastAsia" w:ascii="宋体" w:hAnsi="宋体" w:cs="宋体"/>
                <w:i w:val="0"/>
                <w:iCs w:val="0"/>
                <w:color w:val="auto"/>
                <w:sz w:val="21"/>
                <w:szCs w:val="21"/>
                <w:highlight w:val="none"/>
                <w:u w:val="none"/>
                <w:lang w:val="en-US" w:eastAsia="zh-CN" w:bidi="ar"/>
              </w:rPr>
              <w:t xml:space="preserve">可</w:t>
            </w:r>
            <w:r>
              <w:rPr>
                <w:rFonts w:hint="eastAsia" w:ascii="宋体" w:hAnsi="宋体" w:eastAsia="宋体" w:cs="宋体"/>
                <w:i w:val="0"/>
                <w:iCs w:val="0"/>
                <w:color w:val="auto"/>
                <w:sz w:val="21"/>
                <w:szCs w:val="21"/>
                <w:highlight w:val="none"/>
                <w:u w:val="none"/>
                <w:lang w:val="en-US" w:eastAsia="zh-CN" w:bidi="ar"/>
              </w:rPr>
              <w:t xml:space="preserve">调节；</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42英寸液晶</w:t>
            </w:r>
            <w:r>
              <w:rPr>
                <w:rFonts w:hint="eastAsia" w:ascii="宋体" w:hAnsi="宋体" w:eastAsia="宋体" w:cs="宋体"/>
                <w:i w:val="0"/>
                <w:iCs w:val="0"/>
                <w:color w:val="auto"/>
                <w:sz w:val="21"/>
                <w:szCs w:val="21"/>
                <w:highlight w:val="none"/>
                <w:u w:val="none"/>
                <w:lang w:val="en-US" w:eastAsia="zh-CN" w:bidi="ar"/>
              </w:rPr>
              <w:t xml:space="preserve">显示屏，</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数据无线投屏传输</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呼吸探头由硅胶材料制作；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#3.可调式呼吸带采用弹性材质制作，整体长度</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为900mm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调节范围为450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1600mm。整体呼吸采集器内置感应电路，采集呼吸等相关指数，双层感应结构，采集精度</w:t>
            </w:r>
            <w:r>
              <w:rPr>
                <w:rFonts w:hint="eastAsia" w:ascii="宋体" w:hAnsi="宋体" w:cs="宋体"/>
                <w:i w:val="0"/>
                <w:iCs w:val="0"/>
                <w:color w:val="auto"/>
                <w:sz w:val="21"/>
                <w:szCs w:val="21"/>
                <w:highlight w:val="none"/>
                <w:u w:val="none"/>
                <w:lang w:val="en-US" w:eastAsia="zh-CN" w:bidi="ar"/>
              </w:rPr>
              <w:t xml:space="preserve">不小于</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2.5</w:t>
            </w:r>
            <w:r>
              <w:rPr>
                <w:rFonts w:hint="eastAsia" w:ascii="宋体" w:hAnsi="宋体" w:eastAsia="宋体" w:cs="宋体"/>
                <w:i w:val="0"/>
                <w:iCs w:val="0"/>
                <w:color w:val="auto"/>
                <w:sz w:val="21"/>
                <w:szCs w:val="21"/>
                <w:highlight w:val="none"/>
                <w:u w:val="none"/>
                <w:lang w:val="en-US" w:eastAsia="zh-CN" w:bidi="ar"/>
              </w:rPr>
              <w:t xml:space="preserve">%，采集范围：0-50次/分，响应延迟：≤0.01秒。</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#4.脑电波采集器：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智能脑波采集器呈扁圆形，支持不同人群不同头围形状佩戴使用。有三色灯显示，可以显示出不同颜色，分别代表</w:t>
            </w:r>
            <w:r>
              <w:rPr>
                <w:rFonts w:hint="eastAsia" w:ascii="宋体" w:hAnsi="宋体" w:cs="宋体"/>
                <w:i w:val="0"/>
                <w:iCs w:val="0"/>
                <w:color w:val="auto"/>
                <w:sz w:val="21"/>
                <w:szCs w:val="21"/>
                <w:highlight w:val="none"/>
                <w:u w:val="none"/>
                <w:lang w:val="en-US" w:eastAsia="zh-CN" w:bidi="ar"/>
              </w:rPr>
              <w:t xml:space="preserve">不同</w:t>
            </w:r>
            <w:r>
              <w:rPr>
                <w:rFonts w:hint="eastAsia" w:ascii="宋体" w:hAnsi="宋体" w:eastAsia="宋体" w:cs="宋体"/>
                <w:i w:val="0"/>
                <w:iCs w:val="0"/>
                <w:color w:val="auto"/>
                <w:sz w:val="21"/>
                <w:szCs w:val="21"/>
                <w:highlight w:val="none"/>
                <w:u w:val="none"/>
                <w:lang w:val="en-US" w:eastAsia="zh-CN" w:bidi="ar"/>
              </w:rPr>
              <w:t xml:space="preserve">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二、软件要求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#1.系统包含场景训练、学习中心、减压放松、数据分析、用户管理，系统设置等模块。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#2.系统内含多场景可以供用户选择训练，每个场景可以根据使用用户的生理指标进行实时画面反馈；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#3.心率通道训练：含有</w:t>
            </w:r>
            <w:r>
              <w:rPr>
                <w:rFonts w:hint="eastAsia" w:ascii="宋体" w:hAnsi="宋体" w:cs="宋体"/>
                <w:i w:val="0"/>
                <w:iCs w:val="0"/>
                <w:color w:val="auto"/>
                <w:sz w:val="21"/>
                <w:szCs w:val="21"/>
                <w:highlight w:val="none"/>
                <w:u w:val="none"/>
                <w:lang w:val="en-US" w:eastAsia="zh-CN" w:bidi="ar"/>
              </w:rPr>
              <w:t xml:space="preserve">多种</w:t>
            </w:r>
            <w:r>
              <w:rPr>
                <w:rFonts w:hint="eastAsia" w:ascii="宋体" w:hAnsi="宋体" w:eastAsia="宋体" w:cs="宋体"/>
                <w:i w:val="0"/>
                <w:iCs w:val="0"/>
                <w:color w:val="auto"/>
                <w:sz w:val="21"/>
                <w:szCs w:val="21"/>
                <w:highlight w:val="none"/>
                <w:u w:val="none"/>
                <w:lang w:val="en-US" w:eastAsia="zh-CN" w:bidi="ar"/>
              </w:rPr>
              <w:t xml:space="preserve">三维场景可供训练者选择，并可以将训练结果进行存储，可以随时调用、阅览；内设有呼吸球功能，训练者可跟随呼吸球的节奏进行调整呼吸，放松训练，使自己能很快</w:t>
            </w:r>
            <w:r>
              <w:rPr>
                <w:rFonts w:hint="eastAsia" w:ascii="宋体" w:hAnsi="宋体" w:cs="宋体"/>
                <w:i w:val="0"/>
                <w:iCs w:val="0"/>
                <w:color w:val="auto"/>
                <w:sz w:val="21"/>
                <w:szCs w:val="21"/>
                <w:highlight w:val="none"/>
                <w:u w:val="none"/>
                <w:lang w:val="en-US" w:eastAsia="zh-CN" w:bidi="ar"/>
              </w:rPr>
              <w:t xml:space="preserve">地</w:t>
            </w:r>
            <w:r>
              <w:rPr>
                <w:rFonts w:hint="eastAsia" w:ascii="宋体" w:hAnsi="宋体" w:eastAsia="宋体" w:cs="宋体"/>
                <w:i w:val="0"/>
                <w:iCs w:val="0"/>
                <w:color w:val="auto"/>
                <w:sz w:val="21"/>
                <w:szCs w:val="21"/>
                <w:highlight w:val="none"/>
                <w:u w:val="none"/>
                <w:lang w:val="en-US" w:eastAsia="zh-CN" w:bidi="ar"/>
              </w:rPr>
              <w:t xml:space="preserve">放松下来。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#4.脑波通道训练：</w:t>
            </w:r>
            <w:r>
              <w:rPr>
                <w:rFonts w:hint="eastAsia" w:ascii="宋体" w:hAnsi="宋体" w:cs="宋体"/>
                <w:i w:val="0"/>
                <w:iCs w:val="0"/>
                <w:color w:val="auto"/>
                <w:sz w:val="21"/>
                <w:szCs w:val="21"/>
                <w:highlight w:val="none"/>
                <w:u w:val="none"/>
                <w:lang w:val="en-US" w:eastAsia="zh-CN" w:bidi="ar"/>
              </w:rPr>
              <w:t xml:space="preserve">多种</w:t>
            </w:r>
            <w:r>
              <w:rPr>
                <w:rFonts w:hint="eastAsia" w:ascii="宋体" w:hAnsi="宋体" w:eastAsia="宋体" w:cs="宋体"/>
                <w:i w:val="0"/>
                <w:iCs w:val="0"/>
                <w:color w:val="auto"/>
                <w:sz w:val="21"/>
                <w:szCs w:val="21"/>
                <w:highlight w:val="none"/>
                <w:u w:val="none"/>
                <w:lang w:val="en-US" w:eastAsia="zh-CN" w:bidi="ar"/>
              </w:rPr>
              <w:t xml:space="preserve">三维场景可供训练者训练，并可以将数据训练结果进行存储，可以随时调用、阅览；</w:t>
            </w:r>
            <w:r>
              <w:rPr>
                <w:rFonts w:hint="eastAsia" w:ascii="宋体" w:hAnsi="宋体" w:eastAsia="宋体" w:cs="宋体"/>
                <w:i w:val="0"/>
                <w:iCs w:val="0"/>
                <w:strike w:val="0"/>
                <w:color w:val="auto"/>
                <w:sz w:val="21"/>
                <w:szCs w:val="21"/>
                <w:highlight w:val="none"/>
                <w:u w:val="none"/>
                <w:lang w:val="en-US" w:eastAsia="zh-CN" w:bidi="ar"/>
              </w:rPr>
              <w:t xml:space="preserve">内设有呼吸球功能，训练者可跟随呼吸球的节奏进行调整呼吸，放松训练，使自己能很快的放松下来。</w:t>
            </w:r>
            <w:r>
              <w:rPr>
                <w:rFonts w:hint="eastAsia" w:ascii="宋体" w:hAnsi="宋体" w:eastAsia="宋体" w:cs="宋体"/>
                <w:i w:val="0"/>
                <w:iCs w:val="0"/>
                <w:color w:val="auto"/>
                <w:sz w:val="21"/>
                <w:szCs w:val="21"/>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6.放松咨询室</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AO6-01</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咨询茶几</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#1.风格</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现代简约；形状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圆形；尺寸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 50*50*50cm；实木材质；颜色可根据要求定制</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AO6-02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咨询沙发</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#1.两人位沙发*2；尺寸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：115*70*6</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cm；材质：高级西皮+PU皮；靠背选用3A级公仔棉；站脚：碳素钢。</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68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AO6-03</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音乐放松训练系统</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.软件安全：采用MD5加密技术，保证数据信息安全；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.系统</w:t>
            </w:r>
            <w:r>
              <w:rPr>
                <w:rFonts w:hint="eastAsia" w:ascii="宋体" w:hAnsi="宋体" w:cs="宋体"/>
                <w:i w:val="0"/>
                <w:iCs w:val="0"/>
                <w:color w:val="auto"/>
                <w:sz w:val="21"/>
                <w:szCs w:val="21"/>
                <w:highlight w:val="none"/>
                <w:u w:val="none"/>
                <w:lang w:val="en-US" w:eastAsia="zh-CN" w:bidi="ar"/>
              </w:rPr>
              <w:t xml:space="preserve">具有</w:t>
            </w:r>
            <w:r>
              <w:rPr>
                <w:rFonts w:hint="eastAsia" w:ascii="宋体" w:hAnsi="宋体" w:eastAsia="宋体" w:cs="宋体"/>
                <w:i w:val="0"/>
                <w:iCs w:val="0"/>
                <w:color w:val="auto"/>
                <w:sz w:val="21"/>
                <w:szCs w:val="21"/>
                <w:highlight w:val="none"/>
                <w:u w:val="none"/>
                <w:lang w:val="en-US" w:eastAsia="zh-CN" w:bidi="ar"/>
              </w:rPr>
              <w:t xml:space="preserve">学习中心、</w:t>
            </w:r>
            <w:r>
              <w:rPr>
                <w:rFonts w:hint="eastAsia" w:ascii="宋体" w:hAnsi="宋体" w:cs="宋体"/>
                <w:i w:val="0"/>
                <w:iCs w:val="0"/>
                <w:color w:val="auto"/>
                <w:sz w:val="21"/>
                <w:szCs w:val="21"/>
                <w:highlight w:val="none"/>
                <w:u w:val="none"/>
                <w:lang w:val="en-US" w:eastAsia="zh-CN" w:bidi="ar"/>
              </w:rPr>
              <w:t xml:space="preserve">放松</w:t>
            </w:r>
            <w:r>
              <w:rPr>
                <w:rFonts w:hint="eastAsia" w:ascii="宋体" w:hAnsi="宋体" w:eastAsia="宋体" w:cs="宋体"/>
                <w:i w:val="0"/>
                <w:iCs w:val="0"/>
                <w:color w:val="auto"/>
                <w:sz w:val="21"/>
                <w:szCs w:val="21"/>
                <w:highlight w:val="none"/>
                <w:u w:val="none"/>
                <w:lang w:val="en-US" w:eastAsia="zh-CN" w:bidi="ar"/>
              </w:rPr>
              <w:t xml:space="preserve">中心、音乐中心、记录中心等</w:t>
            </w:r>
            <w:r>
              <w:rPr>
                <w:rFonts w:hint="eastAsia" w:ascii="宋体" w:hAnsi="宋体" w:cs="宋体"/>
                <w:i w:val="0"/>
                <w:iCs w:val="0"/>
                <w:color w:val="auto"/>
                <w:sz w:val="21"/>
                <w:szCs w:val="21"/>
                <w:highlight w:val="none"/>
                <w:u w:val="none"/>
                <w:lang w:val="en-US" w:eastAsia="zh-CN" w:bidi="ar"/>
              </w:rPr>
              <w:t xml:space="preserve">类似功能</w:t>
            </w:r>
            <w:r>
              <w:rPr>
                <w:rFonts w:hint="eastAsia" w:ascii="宋体" w:hAnsi="宋体" w:eastAsia="宋体" w:cs="宋体"/>
                <w:i w:val="0"/>
                <w:iCs w:val="0"/>
                <w:color w:val="auto"/>
                <w:sz w:val="21"/>
                <w:szCs w:val="21"/>
                <w:highlight w:val="none"/>
                <w:u w:val="none"/>
                <w:lang w:val="en-US" w:eastAsia="zh-CN" w:bidi="ar"/>
              </w:rPr>
              <w:t xml:space="preserve">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#1.学习中心具备自助式放松训练功能，</w:t>
            </w:r>
            <w:r>
              <w:rPr>
                <w:rFonts w:hint="eastAsia" w:ascii="宋体" w:hAnsi="宋体" w:cs="宋体"/>
                <w:i w:val="0"/>
                <w:iCs w:val="0"/>
                <w:color w:val="auto"/>
                <w:sz w:val="21"/>
                <w:szCs w:val="21"/>
                <w:highlight w:val="none"/>
                <w:u w:val="none"/>
                <w:lang w:val="en-US" w:eastAsia="zh-CN" w:bidi="ar"/>
              </w:rPr>
              <w:t xml:space="preserve">可以</w:t>
            </w:r>
            <w:r>
              <w:rPr>
                <w:rFonts w:hint="eastAsia" w:ascii="宋体" w:hAnsi="宋体" w:eastAsia="宋体" w:cs="宋体"/>
                <w:i w:val="0"/>
                <w:iCs w:val="0"/>
                <w:color w:val="auto"/>
                <w:sz w:val="21"/>
                <w:szCs w:val="21"/>
                <w:highlight w:val="none"/>
                <w:u w:val="none"/>
                <w:lang w:val="en-US" w:eastAsia="zh-CN" w:bidi="ar"/>
              </w:rPr>
              <w:t xml:space="preserve">提供专业真人教学视频</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#2.音乐中心包含专业音乐、α波音乐、纯音乐</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版块，支持自定义添加音乐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▲3.放松中心包含放松方案、辅助催眠</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模块。可以实时监测使用者心率、压力指数等数值，更加深入地分析用户的身心状态。</w:t>
            </w:r>
            <w:r>
              <w:rPr>
                <w:rStyle w:val="953"/>
                <w:rFonts w:hint="eastAsia" w:ascii="宋体" w:hAnsi="宋体" w:eastAsia="宋体" w:cs="宋体"/>
                <w:color w:val="auto"/>
                <w:sz w:val="21"/>
                <w:szCs w:val="21"/>
                <w:highlight w:val="none"/>
                <w:lang w:val="en-US" w:eastAsia="zh-CN" w:bidi="ar"/>
              </w:rPr>
              <w:t xml:space="preserve">（提供软件功能截图）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#4.记录中心可以查询使用者本次及历次使用记录，可进行查询用户训练记录</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管理员可以对注册用户的信息进行编辑、统一管理。支持按照用户名筛选数据，查询用户信息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账号信息修改。</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AO6-04</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心理挂图4</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技术参数同“AO1-02心理挂图1”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r>
      <w:tr>
        <w:trPr>
          <w:trHeight w:val="27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AO6-05</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无声挂钟</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技术参数同“AO1-03无声挂钟”</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AO6-06</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绿植</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#1.4m盆栽。</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7.心理测评室</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819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AO7-01</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心理测试管理工作平台</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numPr>
                <w:ilvl w:val="0"/>
                <w:numId w:val="12"/>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.系统</w:t>
            </w:r>
            <w:r>
              <w:rPr>
                <w:rFonts w:hint="eastAsia" w:ascii="宋体" w:hAnsi="宋体" w:cs="宋体"/>
                <w:i w:val="0"/>
                <w:iCs w:val="0"/>
                <w:color w:val="auto"/>
                <w:sz w:val="21"/>
                <w:szCs w:val="21"/>
                <w:highlight w:val="none"/>
                <w:u w:val="none"/>
                <w:lang w:val="en-US" w:eastAsia="zh-CN" w:bidi="ar"/>
              </w:rPr>
              <w:t xml:space="preserve">具有</w:t>
            </w:r>
            <w:r>
              <w:rPr>
                <w:rFonts w:hint="eastAsia" w:ascii="宋体" w:hAnsi="宋体" w:eastAsia="宋体" w:cs="宋体"/>
                <w:i w:val="0"/>
                <w:iCs w:val="0"/>
                <w:color w:val="auto"/>
                <w:sz w:val="21"/>
                <w:szCs w:val="21"/>
                <w:highlight w:val="none"/>
                <w:u w:val="none"/>
                <w:lang w:val="en-US" w:eastAsia="zh-CN" w:bidi="ar"/>
              </w:rPr>
              <w:t xml:space="preserve">用户信息管理、测试方案管理、测试结果管理、危机评估干预、咨询配置管理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系统安全设置</w:t>
            </w:r>
            <w:r>
              <w:rPr>
                <w:rFonts w:hint="eastAsia" w:ascii="宋体" w:hAnsi="宋体" w:eastAsia="宋体" w:cs="宋体"/>
                <w:i w:val="0"/>
                <w:iCs w:val="0"/>
                <w:color w:val="auto"/>
                <w:sz w:val="21"/>
                <w:szCs w:val="21"/>
                <w:highlight w:val="none"/>
                <w:u w:val="none"/>
                <w:lang w:val="en-US" w:eastAsia="zh-CN" w:bidi="ar"/>
              </w:rPr>
              <w:t xml:space="preserve">等</w:t>
            </w:r>
            <w:r>
              <w:rPr>
                <w:rFonts w:hint="eastAsia" w:ascii="宋体" w:hAnsi="宋体" w:cs="宋体"/>
                <w:i w:val="0"/>
                <w:iCs w:val="0"/>
                <w:color w:val="auto"/>
                <w:sz w:val="21"/>
                <w:szCs w:val="21"/>
                <w:highlight w:val="none"/>
                <w:u w:val="none"/>
                <w:lang w:val="en-US" w:eastAsia="zh-CN" w:bidi="ar"/>
              </w:rPr>
              <w:t xml:space="preserve">类似</w:t>
            </w:r>
            <w:r>
              <w:rPr>
                <w:rFonts w:hint="eastAsia" w:ascii="宋体" w:hAnsi="宋体" w:eastAsia="宋体" w:cs="宋体"/>
                <w:i w:val="0"/>
                <w:iCs w:val="0"/>
                <w:color w:val="auto"/>
                <w:sz w:val="21"/>
                <w:szCs w:val="21"/>
                <w:highlight w:val="none"/>
                <w:u w:val="none"/>
                <w:lang w:val="en-US" w:eastAsia="zh-CN" w:bidi="ar"/>
              </w:rPr>
              <w:t xml:space="preserve">模块功能；</w:t>
            </w:r>
            <w:r>
              <w:rPr>
                <w:rStyle w:val="953"/>
                <w:rFonts w:hint="eastAsia" w:ascii="宋体" w:hAnsi="宋体" w:eastAsia="宋体" w:cs="宋体"/>
                <w:color w:val="auto"/>
                <w:sz w:val="21"/>
                <w:szCs w:val="21"/>
                <w:highlight w:val="none"/>
                <w:lang w:val="en-US" w:eastAsia="zh-CN" w:bidi="ar"/>
              </w:rPr>
              <w:t xml:space="preserve">（提供软件功能截图）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用户信息管理用于人口学资料收集，包含用户名、注册日期、ID号、用户组、年龄范围、所属等信息，并支持追加详细信息内容。用户审核：管理员可以对注册用户进行审核、统一管理，支持批量审核、批量删除功能；系统支持下载Excel导入</w:t>
            </w:r>
            <w:r>
              <w:rPr>
                <w:rFonts w:hint="eastAsia" w:ascii="宋体" w:hAnsi="宋体" w:cs="宋体"/>
                <w:i w:val="0"/>
                <w:iCs w:val="0"/>
                <w:color w:val="auto"/>
                <w:sz w:val="21"/>
                <w:szCs w:val="21"/>
                <w:highlight w:val="none"/>
                <w:u w:val="none"/>
                <w:lang w:val="en-US" w:eastAsia="zh-CN" w:bidi="ar"/>
              </w:rPr>
              <w:t xml:space="preserve">模板</w:t>
            </w:r>
            <w:r>
              <w:rPr>
                <w:rFonts w:hint="eastAsia" w:ascii="宋体" w:hAnsi="宋体" w:eastAsia="宋体" w:cs="宋体"/>
                <w:i w:val="0"/>
                <w:iCs w:val="0"/>
                <w:color w:val="auto"/>
                <w:sz w:val="21"/>
                <w:szCs w:val="21"/>
                <w:highlight w:val="none"/>
                <w:u w:val="none"/>
                <w:lang w:val="en-US" w:eastAsia="zh-CN" w:bidi="ar"/>
              </w:rPr>
              <w:t xml:space="preserve">，一次性批量导入全部用户资料，即时生成</w:t>
            </w:r>
            <w:r>
              <w:rPr>
                <w:rFonts w:hint="eastAsia" w:ascii="宋体" w:hAnsi="宋体" w:cs="宋体"/>
                <w:i w:val="0"/>
                <w:iCs w:val="0"/>
                <w:color w:val="auto"/>
                <w:sz w:val="21"/>
                <w:szCs w:val="21"/>
                <w:highlight w:val="none"/>
                <w:u w:val="none"/>
                <w:lang w:val="en-US" w:eastAsia="zh-CN" w:bidi="ar"/>
              </w:rPr>
              <w:t xml:space="preserve">登录账号</w:t>
            </w:r>
            <w:r>
              <w:rPr>
                <w:rFonts w:hint="eastAsia" w:ascii="宋体" w:hAnsi="宋体" w:eastAsia="宋体" w:cs="宋体"/>
                <w:i w:val="0"/>
                <w:iCs w:val="0"/>
                <w:color w:val="auto"/>
                <w:sz w:val="21"/>
                <w:szCs w:val="21"/>
                <w:highlight w:val="none"/>
                <w:u w:val="none"/>
                <w:lang w:val="en-US" w:eastAsia="zh-CN" w:bidi="ar"/>
              </w:rPr>
              <w:t xml:space="preserve">、密码、机构等信息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所属管理：建设统一的组织机构数据库，实现组织机构的集中管理、分级授权及统一认证，管理员可以对部门架构进行管理，支持新增、删除组织架构。配备导入部门架构的Excel模板，管理员可一键下载，按照操作提示快速上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.测试方案</w:t>
            </w:r>
            <w:r>
              <w:rPr>
                <w:rFonts w:hint="eastAsia" w:ascii="宋体" w:hAnsi="宋体" w:cs="宋体"/>
                <w:i w:val="0"/>
                <w:iCs w:val="0"/>
                <w:color w:val="auto"/>
                <w:sz w:val="21"/>
                <w:szCs w:val="21"/>
                <w:highlight w:val="none"/>
                <w:u w:val="none"/>
                <w:lang w:val="en-US" w:eastAsia="zh-CN" w:bidi="ar"/>
              </w:rPr>
              <w:t xml:space="preserve">管理</w:t>
            </w:r>
            <w:r>
              <w:rPr>
                <w:rFonts w:hint="eastAsia" w:ascii="宋体" w:hAnsi="宋体" w:eastAsia="宋体" w:cs="宋体"/>
                <w:i w:val="0"/>
                <w:iCs w:val="0"/>
                <w:color w:val="auto"/>
                <w:sz w:val="21"/>
                <w:szCs w:val="21"/>
                <w:highlight w:val="none"/>
                <w:u w:val="none"/>
                <w:lang w:val="en-US" w:eastAsia="zh-CN" w:bidi="ar"/>
              </w:rPr>
              <w:t xml:space="preserve">员可以根据需要配置不同的心理测试方案。可设置方案名称、方案时间、发布状态、量表清单、测试人员范围等，测评方案支持开放和关闭状态功能切换。开启新的测试方案，可以通过系统内邮件通知相关人员，方便对测试方案进程的跟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测试结果管理用户可以对测试结果进行批量已读标记、批量建档操作，并支持数据按照预警等级、年龄、用户名等信息排序，也可以根据用户名、年龄范围、性别、ID号、量表名、预警等级和所属信息进行查看、导出、删除测试结果，批量导出和整体导出支持Excel和Word</w:t>
            </w:r>
            <w:r>
              <w:rPr>
                <w:rFonts w:hint="eastAsia" w:ascii="宋体" w:hAnsi="宋体" w:cs="宋体"/>
                <w:i w:val="0"/>
                <w:iCs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种不同格式；系统自动统计分析，生成图文并茂的心理测评报告。系统可支持对数据的智能处理，可筛查出测试结果预警数值较高者，方便管理员关注跟进。管理员可以选择按照个人测试、团体测试、方案测试，查看、下载测试数据结果，支持查看团体数据预警人数所占比例、最大值、最小值等信息，并可以查看数据导出记录；系统自动对测试结果进行一级预警、二级预警、三级预警、其他预警、无预警人群的不同颜色的标注。</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.危机评估干预系统智能将心理危机进行一级预警、二级预警、三级预警、其他预警、无预警</w:t>
            </w:r>
            <w:r>
              <w:rPr>
                <w:rFonts w:hint="eastAsia" w:ascii="宋体" w:hAnsi="宋体" w:cs="宋体"/>
                <w:i w:val="0"/>
                <w:iCs w:val="0"/>
                <w:color w:val="auto"/>
                <w:sz w:val="21"/>
                <w:szCs w:val="21"/>
                <w:highlight w:val="none"/>
                <w:u w:val="none"/>
                <w:lang w:val="en-US" w:eastAsia="zh-CN" w:bidi="ar"/>
              </w:rPr>
              <w:t xml:space="preserve">等多</w:t>
            </w:r>
            <w:r>
              <w:rPr>
                <w:rFonts w:hint="eastAsia" w:ascii="宋体" w:hAnsi="宋体" w:eastAsia="宋体" w:cs="宋体"/>
                <w:i w:val="0"/>
                <w:iCs w:val="0"/>
                <w:color w:val="auto"/>
                <w:sz w:val="21"/>
                <w:szCs w:val="21"/>
                <w:highlight w:val="none"/>
                <w:u w:val="none"/>
                <w:lang w:val="en-US" w:eastAsia="zh-CN" w:bidi="ar"/>
              </w:rPr>
              <w:t xml:space="preserve">种分级，并用</w:t>
            </w:r>
            <w:r>
              <w:rPr>
                <w:rFonts w:hint="eastAsia" w:ascii="宋体" w:hAnsi="宋体" w:cs="宋体"/>
                <w:i w:val="0"/>
                <w:iCs w:val="0"/>
                <w:strike w:val="0"/>
                <w:color w:val="auto"/>
                <w:sz w:val="21"/>
                <w:szCs w:val="21"/>
                <w:highlight w:val="none"/>
                <w:u w:val="none"/>
                <w:lang w:val="en-US" w:eastAsia="zh-CN" w:bidi="ar"/>
              </w:rPr>
              <w:t xml:space="preserve">不同</w:t>
            </w:r>
            <w:r>
              <w:rPr>
                <w:rFonts w:hint="eastAsia" w:ascii="宋体" w:hAnsi="宋体" w:eastAsia="宋体" w:cs="宋体"/>
                <w:i w:val="0"/>
                <w:iCs w:val="0"/>
                <w:color w:val="auto"/>
                <w:sz w:val="21"/>
                <w:szCs w:val="21"/>
                <w:highlight w:val="none"/>
                <w:u w:val="none"/>
                <w:lang w:val="en-US" w:eastAsia="zh-CN" w:bidi="ar"/>
              </w:rPr>
              <w:t xml:space="preserve">颜色显示。</w:t>
            </w:r>
            <w:r>
              <w:rPr>
                <w:rFonts w:hint="eastAsia" w:ascii="宋体" w:hAnsi="宋体" w:cs="宋体"/>
                <w:i w:val="0"/>
                <w:iCs w:val="0"/>
                <w:color w:val="auto"/>
                <w:sz w:val="21"/>
                <w:szCs w:val="21"/>
                <w:highlight w:val="none"/>
                <w:u w:val="none"/>
                <w:lang w:val="en-US" w:eastAsia="zh-CN" w:bidi="ar"/>
              </w:rPr>
              <w:t xml:space="preserve">系统</w:t>
            </w:r>
            <w:r>
              <w:rPr>
                <w:rFonts w:hint="eastAsia" w:ascii="宋体" w:hAnsi="宋体" w:eastAsia="宋体" w:cs="宋体"/>
                <w:i w:val="0"/>
                <w:iCs w:val="0"/>
                <w:color w:val="auto"/>
                <w:sz w:val="21"/>
                <w:szCs w:val="21"/>
                <w:highlight w:val="none"/>
                <w:u w:val="none"/>
                <w:lang w:val="en-US" w:eastAsia="zh-CN" w:bidi="ar"/>
              </w:rPr>
              <w:t xml:space="preserve">对预警等级划分有详细的说明解释，方便用户自行查看。危机监测设置：支持手机短信接收预警信息功能，用户可以设置接收用户的手机号码、警戒通知的等级、账户名、密码等；用户可以设置对一二三级预警用户以邮箱方式发送通知，并支持对多个预警用户同时发送，用户可针对心理危机现</w:t>
            </w:r>
            <w:r>
              <w:rPr>
                <w:rFonts w:hint="eastAsia" w:ascii="宋体" w:hAnsi="宋体" w:eastAsia="宋体" w:cs="宋体"/>
                <w:i w:val="0"/>
                <w:iCs w:val="0"/>
                <w:color w:val="auto"/>
                <w:sz w:val="21"/>
                <w:szCs w:val="21"/>
                <w:highlight w:val="none"/>
                <w:u w:val="none"/>
                <w:lang w:val="en-US" w:eastAsia="zh-CN" w:bidi="ar"/>
              </w:rPr>
              <w:t xml:space="preserve">状快速与领导沟通，商讨解决方案。危机评估管理：系统支持预警测试结果的详细信息显示。用户可以根据用户名、年龄范围、ID号、量表名称、预警等级、读取状态、所属信息查看测试结果，可单独或者批量导出报告，以供使用单位进一步研究分析。危机数据统计：用户可以按照不同纬度的指标检索测试数据，并自动生成统计图表，从而进行定期监控，便于应对突发事件。危机上报管理：系统可以自动生成危机心理状况统计表，管理员可以按照预警级别和人员所属快速上报文件。系统内可以用邮箱形式对测试结果进行相关管理人员的对接发送，以方便测试者相关人员及时</w:t>
            </w:r>
            <w:r>
              <w:rPr>
                <w:rFonts w:hint="eastAsia" w:ascii="宋体" w:hAnsi="宋体" w:cs="宋体"/>
                <w:i w:val="0"/>
                <w:iCs w:val="0"/>
                <w:color w:val="auto"/>
                <w:sz w:val="21"/>
                <w:szCs w:val="21"/>
                <w:highlight w:val="none"/>
                <w:u w:val="none"/>
                <w:lang w:val="en-US" w:eastAsia="zh-CN" w:bidi="ar"/>
              </w:rPr>
              <w:t xml:space="preserve">查看</w:t>
            </w:r>
            <w:r>
              <w:rPr>
                <w:rFonts w:hint="eastAsia" w:ascii="宋体" w:hAnsi="宋体" w:eastAsia="宋体" w:cs="宋体"/>
                <w:i w:val="0"/>
                <w:iCs w:val="0"/>
                <w:color w:val="auto"/>
                <w:sz w:val="21"/>
                <w:szCs w:val="21"/>
                <w:highlight w:val="none"/>
                <w:u w:val="none"/>
                <w:lang w:val="en-US" w:eastAsia="zh-CN" w:bidi="ar"/>
              </w:rPr>
              <w:t xml:space="preserve">测试用户的测试记录；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.咨询配置管理预约症状设置：自定义设置支持预设症状种类，以适应用户实际使用需要。咨询师管理：页</w:t>
            </w:r>
            <w:r>
              <w:rPr>
                <w:rFonts w:hint="eastAsia" w:ascii="宋体" w:hAnsi="宋体" w:eastAsia="宋体" w:cs="宋体"/>
                <w:i w:val="0"/>
                <w:iCs w:val="0"/>
                <w:color w:val="auto"/>
                <w:sz w:val="21"/>
                <w:szCs w:val="21"/>
                <w:highlight w:val="none"/>
                <w:u w:val="none"/>
                <w:lang w:val="en-US" w:eastAsia="zh-CN" w:bidi="ar"/>
              </w:rPr>
              <w:t xml:space="preserve">面展示咨询师的姓名、年龄、邮箱、预约状态等详细信息。值班信息表：表格式排班设置，方便快捷，支持按周排班，并支持延续上周设置，排班时也可以查看咨询师年龄、等级、手机号码等详细信息。咨询预约管理：用户可以根据咨询师信息，选择适合自己的咨询师进行线上预约，简单操作，节省了咨询双方的时间。管理人员可以查看所有预约人员的详细信息、会诊结果，并可以在后台撤销预约。心理档案管理：系统可以为咨询用户建立心理档案，管理员可以查看档案详情、背景资料、联系方式等信息。系统配备详尽的档案系统，管理员可以为测试人员快速建档，以便持续</w:t>
            </w:r>
            <w:r>
              <w:rPr>
                <w:rFonts w:hint="eastAsia" w:ascii="宋体" w:hAnsi="宋体" w:cs="宋体"/>
                <w:i w:val="0"/>
                <w:iCs w:val="0"/>
                <w:color w:val="auto"/>
                <w:sz w:val="21"/>
                <w:szCs w:val="21"/>
                <w:highlight w:val="none"/>
                <w:u w:val="none"/>
                <w:lang w:val="en-US" w:eastAsia="zh-CN" w:bidi="ar"/>
              </w:rPr>
              <w:t xml:space="preserve">地</w:t>
            </w:r>
            <w:r>
              <w:rPr>
                <w:rFonts w:hint="eastAsia" w:ascii="宋体" w:hAnsi="宋体" w:eastAsia="宋体" w:cs="宋体"/>
                <w:i w:val="0"/>
                <w:iCs w:val="0"/>
                <w:color w:val="auto"/>
                <w:sz w:val="21"/>
                <w:szCs w:val="21"/>
                <w:highlight w:val="none"/>
                <w:u w:val="none"/>
                <w:lang w:val="en-US" w:eastAsia="zh-CN" w:bidi="ar"/>
              </w:rPr>
              <w:t xml:space="preserve">关注，预防突发事件发生。咨询回访管理：系统可以自如的设置回访日期、回访类型，并可以进行智能提醒。</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系统安全设置采用加密技术，超级管理员权限管理，数据库独立保存，角色权限限制访问等多种安全手段保证测评安全性。数据备份管理：系统具备数据备份管理，设置了备份功能和数据还原功能，防止软件数据丢失。备份的数据可下载到本地服务器，实现异地灾备功能，确保系统数据安全。用户权限管理：支持自定义多个用户类型和用户角色，不同的用户类型关联不同的用户信息。不同角色可以设置不同的网站权限。</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08"/>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AO7-02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生涯规划系统</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、技术描述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#1.系统架构：系统采用B/S架构，NET语言。采用浏览器+应用服务器+数据库的多架构运行模式，能够兼容在不同的操作系统上运行，能够支持庞大用户量和数据量。客户端无需安装，以IE 等浏览器为操作界面，并兼容SOGOU、360、 Firefox浏览器等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数据库：可以适合大容量数据的应用，并具备开发的灵活性、可扩展性、可以用存储过程、函数等方面强大功能。数据库具有很好的伸缩性，可跨越多种平台使用，对Web技术的支持，使用户能够很容易地将数据库中的数据发布到Web页面上</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#3.网络环境：可运行于局域网（单位内网）和互联网。安全性高，稳定性强，既满足在本地电脑、局域网和互联网上同时进行团体测评，也可进行个体测评筛查</w:t>
            </w:r>
            <w:r>
              <w:rPr>
                <w:rFonts w:hint="eastAsia" w:ascii="宋体" w:hAnsi="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64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AO7-03</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心理测试APP端</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、技术描述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#1.产品架构：产品数据与心理测试管理工作平台的应用服务器相连，数据实现同步共享，支持庞大用户量和数据量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w:t>
            </w:r>
            <w:r>
              <w:rPr>
                <w:rFonts w:hint="eastAsia" w:ascii="宋体" w:hAnsi="宋体" w:eastAsia="宋体" w:cs="宋体"/>
                <w:i w:val="0"/>
                <w:iCs w:val="0"/>
                <w:color w:val="auto"/>
                <w:sz w:val="21"/>
                <w:szCs w:val="21"/>
                <w:highlight w:val="none"/>
                <w:u w:val="none"/>
                <w:lang w:val="en-US" w:eastAsia="zh-CN" w:bidi="ar"/>
              </w:rPr>
              <w:t xml:space="preserve">、功能介绍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#1.心理新闻：展示与心理健康相关的最新心理资讯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#2.活动管理：发布实时心理健康宣传活动后宣传报道信息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#3.心理科普：提供专业、系统的心理科普服务，普及心理健康知识，传播心理健康理念</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#4.咨询师介绍：展示心理咨询师的基本信息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#5.值班咨询师：系统自动显示当前日期下的所有值班咨询师，用户不仅可以结合自身需求的咨询时间，也可以根据某一特定咨询师的工作时间，进行在线咨询和预约咨询操作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#6.心理测试：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两种方式进行量表测试。在遵循测试结果保密性原则下，管理员结合实际需求，可设置用户是否可以查看测试结果。个体测试：用户可根据个人需要进行量表测试，已授权开放的测试结果可查看，并记录在我的个人中心，支持进行量表搜索，快捷查找测试量表。方案测试：依照管理员发布的方案进行量表测试。同一方案下可设置多个量表，用户可根据方案显示的开始时间、结束时间，在时间内完成测试。需要注意，超出规定时间，则无法进行测试。</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64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AO7-04</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测评桌椅</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长1500*宽750*高800mm；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#2.桌面材料</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25mm高密复合材料，具有、防油、防水、防腐蚀性能；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#3.桌架材料：桌架均采用≥1.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mm冷轧钢焊接而成，加宽桌腿80*40mm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表面喷塑具有防锈、防水等；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#4.抽屉材料：抽屉面板双层1.0mm，其余均为正1.0mm裸板，喷塑后1.2mm，表面经过打磨、磷化、喷塑、高温烘烤而成。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#5.测评椅2张，尺寸规格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*45（cm）主支撑脚采用≥40*20方钢管，拉挡为≥20*20方钢管，管材表面流水线静电喷塑处理。</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8.心理VR室</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32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AO8-01</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Vr虚拟现实心理训练系统（专业版）</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、软件管理系统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#1.系统由前端和后端两部分组成。涵盖反馈训练、放松训练、数据处理等功能；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#2.系统前端分为反馈型心理训练、沉浸式放松、减压式放松、放松训练学习</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#3.系统后端用于人口学资料收集，包含：用户名、年龄、性别、联系方式等信息，支持对用户名的模糊搜索，便于快速查找用户信息。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支持管理员用户批量导入用户信息，即时生成</w:t>
            </w:r>
            <w:r>
              <w:rPr>
                <w:rFonts w:hint="eastAsia" w:ascii="宋体" w:hAnsi="宋体" w:cs="宋体"/>
                <w:i w:val="0"/>
                <w:iCs w:val="0"/>
                <w:color w:val="auto"/>
                <w:sz w:val="21"/>
                <w:szCs w:val="21"/>
                <w:highlight w:val="none"/>
                <w:u w:val="none"/>
                <w:lang w:val="en-US" w:eastAsia="zh-CN" w:bidi="ar"/>
              </w:rPr>
              <w:t xml:space="preserve">登录账号</w:t>
            </w:r>
            <w:r>
              <w:rPr>
                <w:rFonts w:hint="eastAsia" w:ascii="宋体" w:hAnsi="宋体" w:eastAsia="宋体" w:cs="宋体"/>
                <w:i w:val="0"/>
                <w:iCs w:val="0"/>
                <w:color w:val="auto"/>
                <w:sz w:val="21"/>
                <w:szCs w:val="21"/>
                <w:highlight w:val="none"/>
                <w:u w:val="none"/>
                <w:lang w:val="en-US" w:eastAsia="zh-CN" w:bidi="ar"/>
              </w:rPr>
              <w:t xml:space="preserve">、密码等信息，导入后即可登录系统，模板一键下载，操作简单。建设统一的组织级别，实现下设组织机构的分级管理。管理员可以对部门层级进行管理，支持添加、删除组织下设机构。可实时查看前端用户的训练信息。管理员可通过后端，实时同步训练用户的训练画面，了解用户的训练状态。自动为训练用户，创建训练档案，管理员可导出用户训练档案，进行线下的辅导和记录。</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23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AO8-02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身心调适训练系统（VR版）</w:t>
            </w:r>
            <w:r/>
          </w:p>
        </w:tc>
        <w:tc>
          <w:tcPr>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、系统详情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▲1.系统</w:t>
            </w:r>
            <w:r>
              <w:rPr>
                <w:rFonts w:hint="eastAsia" w:ascii="宋体" w:hAnsi="宋体" w:cs="宋体"/>
                <w:i w:val="0"/>
                <w:iCs w:val="0"/>
                <w:color w:val="auto"/>
                <w:sz w:val="21"/>
                <w:szCs w:val="21"/>
                <w:highlight w:val="none"/>
                <w:u w:val="none"/>
                <w:lang w:val="en-US" w:eastAsia="zh-CN" w:bidi="ar"/>
              </w:rPr>
              <w:t xml:space="preserve">具有</w:t>
            </w:r>
            <w:r>
              <w:rPr>
                <w:rFonts w:hint="eastAsia" w:ascii="宋体" w:hAnsi="宋体" w:eastAsia="宋体" w:cs="宋体"/>
                <w:i w:val="0"/>
                <w:iCs w:val="0"/>
                <w:color w:val="auto"/>
                <w:sz w:val="21"/>
                <w:szCs w:val="21"/>
                <w:highlight w:val="none"/>
                <w:u w:val="none"/>
                <w:lang w:val="en-US" w:eastAsia="zh-CN" w:bidi="ar"/>
              </w:rPr>
              <w:t xml:space="preserve">个人中心、训练中心、数据中心、心理评估、放松体验、系统管理</w:t>
            </w:r>
            <w:r>
              <w:rPr>
                <w:rFonts w:hint="eastAsia" w:ascii="宋体" w:hAnsi="宋体" w:cs="宋体"/>
                <w:i w:val="0"/>
                <w:iCs w:val="0"/>
                <w:color w:val="auto"/>
                <w:sz w:val="21"/>
                <w:szCs w:val="21"/>
                <w:highlight w:val="none"/>
                <w:u w:val="none"/>
                <w:lang w:val="en-US" w:eastAsia="zh-CN" w:bidi="ar"/>
              </w:rPr>
              <w:t xml:space="preserve">等类似功能</w:t>
            </w:r>
            <w:r>
              <w:rPr>
                <w:rFonts w:hint="eastAsia" w:ascii="宋体" w:hAnsi="宋体" w:eastAsia="宋体" w:cs="宋体"/>
                <w:i w:val="0"/>
                <w:iCs w:val="0"/>
                <w:color w:val="auto"/>
                <w:sz w:val="21"/>
                <w:szCs w:val="21"/>
                <w:highlight w:val="none"/>
                <w:u w:val="none"/>
                <w:lang w:val="en-US" w:eastAsia="zh-CN" w:bidi="ar"/>
              </w:rPr>
              <w:t xml:space="preserve">模块。</w:t>
            </w:r>
            <w:r>
              <w:rPr>
                <w:rStyle w:val="953"/>
                <w:rFonts w:hint="eastAsia" w:ascii="宋体" w:hAnsi="宋体" w:eastAsia="宋体" w:cs="宋体"/>
                <w:color w:val="auto"/>
                <w:sz w:val="21"/>
                <w:szCs w:val="21"/>
                <w:highlight w:val="none"/>
                <w:lang w:val="en-US" w:eastAsia="zh-CN" w:bidi="ar"/>
              </w:rPr>
              <w:t xml:space="preserve">（提供软件功能截图）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#2.个人中心：可以查看、修改个人信息、密码等基础信息；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#3.训练中心：训练中心分为体心训练和身心训练</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模块，训练者可以进行自主训练，也可进行针对性的训练；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#4.数据中心：训练者可以查看自己的训练时间、心率、呼吸、速度等详细信息，系统采用可视化图表的方式展现数据；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#5.心理评估：内置不同类型的专业心理量表，训练者可以根据专业评估，把握自身的情况；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#6.放松体验：音乐放松体验：内含多种音乐，可舒缓用户焦虑、紧张、抑郁等情绪。图片放松体验：训练者可以根据自己喜好选择图片进行放松。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#7.系统管理：内置用户信息管理、训练中心管理、训练数据管理、心理评估管理、放松体验管理</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模块，管理员用户可对系统进行专业管理，多方面满足用户需求。</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9.心理团体活动室</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62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AO9-01</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团体活动桌椅</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#1.活动桌规格≥800*450*750mm；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#2.木板：采用国家E1级标准三聚氰胺板面板厚度≥25MM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脚管：前后脚采用25*50MM冷轧钢管</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壁厚≥1.5MM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上托：采用≥3.0MM壁厚冷轧钢板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活动椅规格≥560*580*8</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椅架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钢架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圆管直径≥22mm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壁厚≥1.5mm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表面电镀；</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62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AO9-02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团体辅导活动包</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numPr>
                <w:ilvl w:val="0"/>
                <w:numId w:val="13"/>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产品包配置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#1.手提便携式团体活动箱5个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38*28*15cm;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.具备</w:t>
            </w:r>
            <w:r>
              <w:rPr>
                <w:rFonts w:hint="eastAsia" w:ascii="宋体" w:hAnsi="宋体" w:cs="宋体"/>
                <w:i w:val="0"/>
                <w:iCs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个主题活动。人际关系及环境适应</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自信培养、感恩体验</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价值观及自我意识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创新实践及心灵成长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情绪管理及心理减压。人际关系及环境适应包括热身、环境适应、沟通交往、竞争合作</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活动主题，配备</w:t>
            </w:r>
            <w:r>
              <w:rPr>
                <w:rFonts w:hint="eastAsia" w:ascii="宋体" w:hAnsi="宋体" w:cs="宋体"/>
                <w:i w:val="0"/>
                <w:iCs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个团体活动方案。感恩体验、自信培养包括热身、自信心训练、感恩体验、学习管理</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活动主题，配备了</w:t>
            </w:r>
            <w:r>
              <w:rPr>
                <w:rFonts w:hint="eastAsia" w:ascii="宋体" w:hAnsi="宋体" w:cs="宋体"/>
                <w:i w:val="0"/>
                <w:iCs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个团体活动方案。价值观及自我意识包括热身、自我意识、价值观、意志责任</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活动主题，配备了</w:t>
            </w:r>
            <w:r>
              <w:rPr>
                <w:rFonts w:hint="eastAsia" w:ascii="宋体" w:hAnsi="宋体" w:cs="宋体"/>
                <w:i w:val="0"/>
                <w:iCs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个团体活动方案。创新实践及心灵成长包括热身、心灵成长、创新实践</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活动主题，配备了</w:t>
            </w:r>
            <w:r>
              <w:rPr>
                <w:rFonts w:hint="eastAsia" w:ascii="宋体" w:hAnsi="宋体" w:cs="宋体"/>
                <w:i w:val="0"/>
                <w:iCs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个团体活动方案。情绪管理及心理减压包括热身、情绪管理、减压练习</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活动主题，配备了</w:t>
            </w:r>
            <w:r>
              <w:rPr>
                <w:rFonts w:hint="eastAsia" w:ascii="宋体" w:hAnsi="宋体" w:cs="宋体"/>
                <w:i w:val="0"/>
                <w:iCs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个团体活动方案。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.主题活动所需器材</w:t>
            </w:r>
            <w:r>
              <w:rPr>
                <w:rFonts w:hint="eastAsia" w:ascii="宋体" w:hAnsi="宋体" w:cs="宋体"/>
                <w:i w:val="0"/>
                <w:iCs w:val="0"/>
                <w:strike w:val="0"/>
                <w:color w:val="auto"/>
                <w:sz w:val="21"/>
                <w:szCs w:val="21"/>
                <w:highlight w:val="none"/>
                <w:u w:val="none"/>
                <w:lang w:val="en-US" w:eastAsia="zh-CN" w:bidi="ar"/>
              </w:rPr>
              <w:t xml:space="preserve">包括但不限于</w:t>
            </w:r>
            <w:r>
              <w:rPr>
                <w:rFonts w:hint="eastAsia" w:ascii="宋体" w:hAnsi="宋体" w:eastAsia="宋体" w:cs="宋体"/>
                <w:i w:val="0"/>
                <w:iCs w:val="0"/>
                <w:color w:val="auto"/>
                <w:sz w:val="21"/>
                <w:szCs w:val="21"/>
                <w:highlight w:val="none"/>
                <w:u w:val="none"/>
                <w:lang w:val="en-US" w:eastAsia="zh-CN" w:bidi="ar"/>
              </w:rPr>
              <w:t xml:space="preserve">：纸、笔、空白的胸卡、彩色笔、十二生肖面具、彩色卡纸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正方形）、充气棒、各种信息卡、短绳、口罩、眼罩、彩笔、图画纸、16开彩纸、剪刀、最佳配图、彩色卡片、高帽、自我教导语言提示卡、人际关系问题解决方法提示卡</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1000余件。</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二</w:t>
            </w:r>
            <w:r>
              <w:rPr>
                <w:rFonts w:hint="eastAsia" w:ascii="宋体" w:hAnsi="宋体" w:eastAsia="宋体" w:cs="宋体"/>
                <w:i w:val="0"/>
                <w:iCs w:val="0"/>
                <w:color w:val="auto"/>
                <w:sz w:val="21"/>
                <w:szCs w:val="21"/>
                <w:highlight w:val="none"/>
                <w:u w:val="none"/>
                <w:lang w:val="en-US" w:eastAsia="zh-CN" w:bidi="ar"/>
              </w:rPr>
              <w:t xml:space="preserve">、团体辅导管理软件要求：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具有</w:t>
            </w:r>
            <w:r>
              <w:rPr>
                <w:rFonts w:hint="eastAsia" w:ascii="宋体" w:hAnsi="宋体" w:eastAsia="宋体" w:cs="宋体"/>
                <w:i w:val="0"/>
                <w:iCs w:val="0"/>
                <w:color w:val="auto"/>
                <w:sz w:val="21"/>
                <w:szCs w:val="21"/>
                <w:highlight w:val="none"/>
                <w:u w:val="none"/>
                <w:lang w:val="en-US" w:eastAsia="zh-CN" w:bidi="ar"/>
              </w:rPr>
              <w:t xml:space="preserve">团体管理软件记录、用户管理、多媒体记录、数据录入等</w:t>
            </w:r>
            <w:r>
              <w:rPr>
                <w:rFonts w:hint="eastAsia" w:ascii="宋体" w:hAnsi="宋体" w:cs="宋体"/>
                <w:i w:val="0"/>
                <w:iCs w:val="0"/>
                <w:color w:val="auto"/>
                <w:sz w:val="21"/>
                <w:szCs w:val="21"/>
                <w:highlight w:val="none"/>
                <w:u w:val="none"/>
                <w:lang w:val="en-US" w:eastAsia="zh-CN" w:bidi="ar"/>
              </w:rPr>
              <w:t xml:space="preserve">类似功能</w:t>
            </w:r>
            <w:r>
              <w:rPr>
                <w:rFonts w:hint="eastAsia" w:ascii="宋体" w:hAnsi="宋体" w:eastAsia="宋体" w:cs="宋体"/>
                <w:i w:val="0"/>
                <w:iCs w:val="0"/>
                <w:color w:val="auto"/>
                <w:sz w:val="21"/>
                <w:szCs w:val="21"/>
                <w:highlight w:val="none"/>
                <w:u w:val="none"/>
                <w:lang w:val="en-US" w:eastAsia="zh-CN" w:bidi="ar"/>
              </w:rPr>
              <w:t xml:space="preserve">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户账号管理：管理员可以对注册用户的信息进行编辑、统一管理。支持按照用户名筛选数据，方便查询用户信息。成员信息管理：管理员可以自如添加、删除成员用户个人信息，并支持与数据录入模块进行关联，简化心理咨询师数据录入工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#3.多媒体记录图片记录：系统支持上传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jpg、bmp等文件格式图片，并可记录上传时间、录入人员、图片名称等信息。视频记录：系统支持上传wmv ,avi等文件格式影像，并可记录上传时间、录入人员、影片名称等信息。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#4.数据录入模块</w:t>
            </w:r>
            <w:r>
              <w:rPr>
                <w:rFonts w:hint="eastAsia" w:ascii="宋体" w:hAnsi="宋体" w:cs="宋体"/>
                <w:i w:val="0"/>
                <w:iCs w:val="0"/>
                <w:color w:val="auto"/>
                <w:sz w:val="21"/>
                <w:szCs w:val="21"/>
                <w:highlight w:val="none"/>
                <w:u w:val="none"/>
                <w:lang w:val="en-US" w:eastAsia="zh-CN" w:bidi="ar"/>
              </w:rPr>
              <w:t xml:space="preserve">具有</w:t>
            </w:r>
            <w:r>
              <w:rPr>
                <w:rFonts w:hint="eastAsia" w:ascii="宋体" w:hAnsi="宋体" w:eastAsia="宋体" w:cs="宋体"/>
                <w:i w:val="0"/>
                <w:iCs w:val="0"/>
                <w:color w:val="auto"/>
                <w:sz w:val="21"/>
                <w:szCs w:val="21"/>
                <w:highlight w:val="none"/>
                <w:u w:val="none"/>
                <w:lang w:val="en-US" w:eastAsia="zh-CN" w:bidi="ar"/>
              </w:rPr>
              <w:t xml:space="preserve">团体辅导添加、多媒体文件添加、团体活动反馈添加、团体过程单元添加、团体成员自评添加、成员评估添加、团体辅导过程添加、团体领导者评估添加</w:t>
            </w:r>
            <w:r>
              <w:rPr>
                <w:rFonts w:hint="eastAsia" w:ascii="宋体" w:hAnsi="宋体" w:cs="宋体"/>
                <w:i w:val="0"/>
                <w:iCs w:val="0"/>
                <w:color w:val="auto"/>
                <w:sz w:val="21"/>
                <w:szCs w:val="21"/>
                <w:highlight w:val="none"/>
                <w:u w:val="none"/>
                <w:lang w:val="en-US" w:eastAsia="zh-CN" w:bidi="ar"/>
              </w:rPr>
              <w:t xml:space="preserve">等类似</w:t>
            </w:r>
            <w:r>
              <w:rPr>
                <w:rFonts w:hint="eastAsia" w:ascii="宋体" w:hAnsi="宋体" w:eastAsia="宋体" w:cs="宋体"/>
                <w:i w:val="0"/>
                <w:iCs w:val="0"/>
                <w:color w:val="auto"/>
                <w:sz w:val="21"/>
                <w:szCs w:val="21"/>
                <w:highlight w:val="none"/>
                <w:u w:val="none"/>
                <w:lang w:val="en-US" w:eastAsia="zh-CN" w:bidi="ar"/>
              </w:rPr>
              <w:t xml:space="preserve">团辅管理</w:t>
            </w:r>
            <w:r>
              <w:rPr>
                <w:rFonts w:hint="eastAsia" w:ascii="宋体" w:hAnsi="宋体" w:cs="宋体"/>
                <w:i w:val="0"/>
                <w:iCs w:val="0"/>
                <w:color w:val="auto"/>
                <w:sz w:val="21"/>
                <w:szCs w:val="21"/>
                <w:highlight w:val="none"/>
                <w:u w:val="none"/>
                <w:lang w:val="en-US" w:eastAsia="zh-CN" w:bidi="ar"/>
              </w:rPr>
              <w:t xml:space="preserve">功能</w:t>
            </w:r>
            <w:r>
              <w:rPr>
                <w:rFonts w:hint="eastAsia" w:ascii="宋体" w:hAnsi="宋体" w:eastAsia="宋体" w:cs="宋体"/>
                <w:i w:val="0"/>
                <w:iCs w:val="0"/>
                <w:color w:val="auto"/>
                <w:sz w:val="21"/>
                <w:szCs w:val="21"/>
                <w:highlight w:val="none"/>
                <w:u w:val="none"/>
                <w:lang w:val="en-US" w:eastAsia="zh-CN" w:bidi="ar"/>
              </w:rPr>
              <w:t xml:space="preserve">，帮助心理咨询师对团体辅导过程的环节把控。</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46"/>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AO9-03</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心理剧工具箱</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基础版</w:t>
            </w:r>
            <w:r>
              <w:rPr>
                <w:rFonts w:hint="eastAsia" w:ascii="宋体" w:hAnsi="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、详细配置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#1.利用心理剧工具箱，可以自如运用</w:t>
            </w:r>
            <w:r>
              <w:rPr>
                <w:rFonts w:hint="eastAsia" w:ascii="宋体" w:hAnsi="宋体" w:cs="宋体"/>
                <w:i w:val="0"/>
                <w:iCs w:val="0"/>
                <w:color w:val="auto"/>
                <w:sz w:val="21"/>
                <w:szCs w:val="21"/>
                <w:highlight w:val="none"/>
                <w:u w:val="none"/>
                <w:lang w:val="en-US" w:eastAsia="zh-CN" w:bidi="ar"/>
              </w:rPr>
              <w:t xml:space="preserve">多种案例</w:t>
            </w:r>
            <w:r>
              <w:rPr>
                <w:rFonts w:hint="eastAsia" w:ascii="宋体" w:hAnsi="宋体" w:eastAsia="宋体" w:cs="宋体"/>
                <w:i w:val="0"/>
                <w:iCs w:val="0"/>
                <w:color w:val="auto"/>
                <w:sz w:val="21"/>
                <w:szCs w:val="21"/>
                <w:highlight w:val="none"/>
                <w:u w:val="none"/>
                <w:lang w:val="en-US" w:eastAsia="zh-CN" w:bidi="ar"/>
              </w:rPr>
              <w:t xml:space="preserve">技术，并实施到心理辅导工作中去。该工具包具备螺旋心理剧所需要的各种标志物、道具、器材；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#2.器材</w:t>
            </w:r>
            <w:r>
              <w:rPr>
                <w:rFonts w:hint="eastAsia" w:ascii="宋体" w:hAnsi="宋体" w:cs="宋体"/>
                <w:i w:val="0"/>
                <w:iCs w:val="0"/>
                <w:color w:val="auto"/>
                <w:sz w:val="21"/>
                <w:szCs w:val="21"/>
                <w:highlight w:val="none"/>
                <w:u w:val="none"/>
                <w:lang w:val="en-US" w:eastAsia="zh-CN" w:bidi="ar"/>
              </w:rPr>
              <w:t xml:space="preserve">包括</w:t>
            </w:r>
            <w:r>
              <w:rPr>
                <w:rFonts w:hint="eastAsia" w:ascii="宋体" w:hAnsi="宋体" w:eastAsia="宋体" w:cs="宋体"/>
                <w:i w:val="0"/>
                <w:iCs w:val="0"/>
                <w:color w:val="auto"/>
                <w:sz w:val="21"/>
                <w:szCs w:val="21"/>
                <w:highlight w:val="none"/>
                <w:u w:val="none"/>
                <w:lang w:val="en-US" w:eastAsia="zh-CN" w:bidi="ar"/>
              </w:rPr>
              <w:t xml:space="preserve">：魔法棒，魔鬼服，大丝巾，角色牌，丝带（红黄蓝），不透光的黑布，不透光的银色布，多种音乐CD，彩笔，大白纸，各种情景卡片，志趣相投卡片，各种表情面具，纸球，锤子、社会测量卡，彩布，禅卡，风景卡，动物卡，性别认同卡，水晶卡，出气棒等180多个物品；</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AO9-04</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艺术心理辅导工具包</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both"/>
              <w:keepLines w:val="0"/>
              <w:keepNext w:val="0"/>
              <w:pageBreakBefore w:val="0"/>
              <w:spacing w:line="32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#1.工具箱2个，箱体外观颜色为黄色。 1号箱内部隔板分成4格，内置拉杆及滚轮。2号箱内部隔板分成一大一小2格，内置拉杆及滚轮；</w:t>
            </w:r>
            <w:r>
              <w:rPr>
                <w:rFonts w:hint="eastAsia" w:ascii="宋体" w:hAnsi="宋体" w:cs="宋体"/>
                <w:i w:val="0"/>
                <w:iCs w:val="0"/>
                <w:color w:val="auto"/>
                <w:sz w:val="21"/>
                <w:szCs w:val="21"/>
                <w:highlight w:val="none"/>
                <w:u w:val="none"/>
                <w:lang w:val="en-US" w:eastAsia="zh-CN" w:bidi="ar"/>
              </w:rPr>
              <w:t xml:space="preserve">相关配套资料等。</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AO9-05</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投影仪</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#1.透射比：1.26-2.09；光源类型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激光光源；光学分辨率：不小于1280*800dpi；支持投放范围：30-300英寸；灯泡寿命：大于20000小时；变焦倍数：达到1.6倍。</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AO9-06</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心理挂图5</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技术参数同“AO1-02心理挂图1”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10.阳光驿站走廊文化</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AO10-01</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心理挂图6</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技术参数同“AO1-02心理挂图1”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r>
      <w:tr>
        <w:trPr>
          <w:trHeight w:val="27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AO10-02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#1.文化装饰，墙面彩绘，深化设计经由甲方确认后方可施工（室内和走廊文化布置）。</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81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AO10-03</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饮水机</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#1.类型：温热型饮水机；款式：立式；颜色：白色；内胆材质 </w:t>
            </w:r>
            <w:r>
              <w:rPr>
                <w:rFonts w:hint="eastAsia" w:ascii="宋体" w:hAnsi="宋体" w:eastAsia="宋体" w:cs="宋体"/>
                <w:i w:val="0"/>
                <w:iCs w:val="0"/>
                <w:color w:val="ff0000"/>
                <w:sz w:val="21"/>
                <w:szCs w:val="21"/>
                <w:highlight w:val="none"/>
                <w:u w:val="none"/>
                <w:lang w:val="en-US" w:eastAsia="zh-CN" w:bidi="ar"/>
              </w:rPr>
              <w:t xml:space="preserve">不锈钢</w:t>
            </w:r>
            <w:r>
              <w:rPr>
                <w:rFonts w:hint="eastAsia" w:ascii="宋体" w:hAnsi="宋体" w:eastAsia="宋体" w:cs="宋体"/>
                <w:i w:val="0"/>
                <w:iCs w:val="0"/>
                <w:color w:val="auto"/>
                <w:sz w:val="21"/>
                <w:szCs w:val="21"/>
                <w:highlight w:val="none"/>
                <w:u w:val="none"/>
                <w:lang w:val="en-US" w:eastAsia="zh-CN" w:bidi="ar"/>
              </w:rPr>
              <w:t xml:space="preserve">。制热功率：</w:t>
            </w:r>
            <w:r>
              <w:rPr>
                <w:rFonts w:hint="eastAsia" w:ascii="宋体" w:hAnsi="宋体" w:cs="宋体"/>
                <w:i w:val="0"/>
                <w:iCs w:val="0"/>
                <w:color w:val="ff0000"/>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1350W。制冷功率：</w:t>
            </w:r>
            <w:r>
              <w:rPr>
                <w:rFonts w:hint="eastAsia" w:ascii="宋体" w:hAnsi="宋体" w:cs="宋体"/>
                <w:i w:val="0"/>
                <w:iCs w:val="0"/>
                <w:color w:val="ff0000"/>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75W。保温功率：</w:t>
            </w:r>
            <w:r>
              <w:rPr>
                <w:rFonts w:hint="eastAsia" w:ascii="宋体" w:hAnsi="宋体" w:cs="宋体"/>
                <w:i w:val="0"/>
                <w:iCs w:val="0"/>
                <w:color w:val="ff0000"/>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15W。</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8"/>
        <w:gridCol w:w="1314"/>
        <w:gridCol w:w="6615"/>
        <w:gridCol w:w="765"/>
        <w:gridCol w:w="666"/>
      </w:tblGrid>
      <w:tr>
        <w:trPr>
          <w:trHeight w:val="567" w:hRule="exact"/>
        </w:trPr>
        <w:tc>
          <w:tcPr>
            <w:gridSpan w:val="5"/>
            <w:tcBorders>
              <w:top w:val="single" w:color="000000" w:sz="4" w:space="0"/>
              <w:left w:val="single" w:color="000000" w:sz="4" w:space="0"/>
              <w:bottom w:val="single" w:color="000000" w:sz="4" w:space="0"/>
              <w:right w:val="single" w:color="000000" w:sz="4" w:space="0"/>
            </w:tcBorders>
            <w:tcW w:w="1034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AP-智慧书法教室</w:t>
            </w:r>
            <w:r/>
          </w:p>
        </w:tc>
      </w:tr>
      <w:tr>
        <w:trPr>
          <w:trHeight w:val="27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192"/>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AP1-01</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书法在线云课堂</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提供书法教学云平台接入服务，支持通过浏览器即可访问书法在线云课堂，接入后可使书法教室配置的教学软件具有网络化云平台服务功能；书法在线云课堂登录页面支持通过账号加密码或用户手机号码加验证码</w:t>
            </w:r>
            <w:r>
              <w:rPr>
                <w:rFonts w:hint="eastAsia" w:ascii="宋体" w:hAnsi="宋体" w:cs="宋体"/>
                <w:i w:val="0"/>
                <w:iCs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种方式登录；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#2.支持每间教室的设备上直接打开浏览器登录书法在线云课堂进行书法教学，无需安装</w:t>
            </w:r>
            <w:r>
              <w:rPr>
                <w:rFonts w:hint="eastAsia" w:ascii="宋体" w:hAnsi="宋体" w:cs="宋体"/>
                <w:i w:val="0"/>
                <w:iCs w:val="0"/>
                <w:color w:val="auto"/>
                <w:sz w:val="21"/>
                <w:szCs w:val="21"/>
                <w:highlight w:val="none"/>
                <w:u w:val="none"/>
                <w:lang w:val="en-US" w:eastAsia="zh-CN" w:bidi="ar"/>
              </w:rPr>
              <w:t xml:space="preserve">其他</w:t>
            </w:r>
            <w:r>
              <w:rPr>
                <w:rFonts w:hint="eastAsia" w:ascii="宋体" w:hAnsi="宋体" w:eastAsia="宋体" w:cs="宋体"/>
                <w:i w:val="0"/>
                <w:iCs w:val="0"/>
                <w:color w:val="auto"/>
                <w:sz w:val="21"/>
                <w:szCs w:val="21"/>
                <w:highlight w:val="none"/>
                <w:u w:val="none"/>
                <w:lang w:val="en-US" w:eastAsia="zh-CN" w:bidi="ar"/>
              </w:rPr>
              <w:t xml:space="preserve">软硬件设备；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通过网址登录书法在线云课堂首页显示不少于12个功能模块图标，包括楷书教学、小楷教学、行书教学、隶书教学、篆书教学、草书教学、硬笔教学、粉笔教学、教学视频、碑帖字帖、集字临帖、课程讲义、创作素材、云备课等教学软件访问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#4.楷书教学功能模块内容</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包括欧体、颜体多宝塔、颜体勤礼碑、柳体、赵体等不同书体的楷书教学内容；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#5.提供赵孟頫小楷《道德经》和王羲之《黄庭经》</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不同小楷字帖教学内容；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#6.篆书教学功能模块内容包括《石鼓文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泰山刻石》以及《峄山碑》</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不同大小篆书体教学内容；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#7.行书教学功能模块内容包括《怀仁集王羲之圣教序》和《苕溪诗帖》</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教学内容；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#8.隶书教学功能模块内容包括《乙瑛碑</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曹全碑》和《礼器碑》</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教学内容；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#9.草书教学功能模块内容包括《书谱》</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教学内容；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#10.每个软笔书体教学模块分为笔画教学、偏旁部首、间架结构以及结体规律教学</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教学内容；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#11.每个软笔书体教学例字提供碑帖原图、矢量字帖、双钩形式和单钩形式，满足读帖、摹帖、临写和比对的不同临摹要求；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#12.每个软笔书体教学例字的教学面板支持修改书写格形式，包括方格、九宫格、米字格、田字格和回米格</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形式，支持修改格子线条颜色，支持更换例字颜色和例字背景颜色；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软笔书体教学例字支持在浏览器中查看示范视频的不同书写示范视频画面，包括俯拍单画面、侧拍单画面、俯拍和侧拍左右双画面视频、俯拍嵌入侧拍画中画视频以及侧拍嵌入俯拍画中画视频，视频画面支持播放时不间断切换；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#14.提供硬笔教学功能，包括数字教学、拼音教学、笔顺教学、笔画教学、 偏旁部首和间架结构</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教学内容；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#15.硬笔例字提供书写示范视频，示范类型包括铅笔和中性笔等学生常用笔书写示范，例字的示范视频播放画面可以实时切换成铅笔或其他书写工具示范画面；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#16.硬笔例字支持调取笔画分解序列图，查看例字的书写笔顺，硬笔例字提供笔顺演示动画，提供硬笔书写笔顺的书写评测功能；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#17.提供粉笔楷书教学内容，包括基础知识教学、笔画教学、偏旁部首、间架结构和结字规律</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板块</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#18.提供高清教学视频资源库，包括软笔、硬笔以及粉笔视频资源库；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软笔视频包括颜体、欧体、柳体、赵体、曹全碑、石鼓文、峄山碑、多宝塔、泰山刻石、圣教序、苕溪诗帖、黄庭经、道德经、乙瑛碑、礼器碑、书谱、张黑女、真草千字文、雁塔圣教序和大字阴符经等不同书体的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#20.提供教育部《中小学书法教育指导纲要》推荐临摹和鉴赏的楷书、隶书、行书、篆书和草书字帖等高清字帖资源库；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#21.字帖支持按照年代、作者、字帖名称、字体查询字帖，支持对字帖图片进行反向、调整亮度、对比度、饱和度和旋转色相功能；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 提供临摹字帖集字排版功能，支持临摹模板自主排版，支持自由拖拽临摹练习顺序和位置，支持设置临摹字格大小、字格数量和字格颜色，支持调整集字临摹的字格格式，包括方格、回米格、米字格、田字格和九宫格</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#23.提供欧体楷书、颜体楷书、柳体楷书、赵体楷书、颜体多宝塔和曹全碑</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书体的教学课程讲义，讲义中提供教学示范例字，例字具有俯拍和侧拍双画面示范视频；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#24.提供硬笔规范字课程讲义，内容不少于笔画教学、偏旁部首、间架结构和结字规律讲义</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提供书法创作常用的诗词、对联、美文和佳句内容，支持通过作者和名称对诗词进行搜索，诗词提供古体诗、乐府诗等诗词类型，对联提供四、五、七、中联、长联等字数对联，佳句提供二言、三言、四言等字数的佳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提供网络云备课功能，备课制作界面支持自由排版，拖拽修改页面版式，支持结果预览，提供多种讲义模板主题，支持插入软笔字帖、硬笔字帖和教学视频等在线资源，支持自定义标题、自定义文本和插入本地图片；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#27.书法在线云课堂具有云端教学资源同步更新功能，无需用户下载更新包或者U盘导入的方式进行软件升级，更新情况显示内容包括软件名称、版本号、简称、公司地址、电话号码以及系统资源更新时间。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w:t>
            </w:r>
            <w:r/>
          </w:p>
        </w:tc>
      </w:tr>
      <w:tr>
        <w:trPr>
          <w:trHeight w:val="43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AP1-02</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教师中控台</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#1.尺寸规格：≥1800*800*</w:t>
            </w:r>
            <w:r>
              <w:rPr>
                <w:rFonts w:hint="eastAsia" w:ascii="宋体" w:hAnsi="宋体" w:cs="宋体"/>
                <w:i w:val="0"/>
                <w:iCs w:val="0"/>
                <w:color w:val="auto"/>
                <w:sz w:val="21"/>
                <w:szCs w:val="21"/>
                <w:highlight w:val="none"/>
                <w:u w:val="none"/>
                <w:lang w:val="en-US" w:eastAsia="zh-CN" w:bidi="ar"/>
              </w:rPr>
              <w:t xml:space="preserve">750</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#2.产品材质：实木框架榫卯结构，面板为实木多层板，传统中式家具制作工艺，采用水性漆开放效果；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#3.国标插座1个；石质砚台1个；陶瓷砚台水滴1个；6挂12针红木笔架1个；黑梓木镇尺1对，长度≥250mm；100g徽墨1条；500g墨汁1瓶；6寸陶瓷笔洗1个；山形花梨木笔搁1个；竹质中号扁木笔帘1个，四边有布袋；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#4.书画专用羊毛毡1张，尺寸≥1800mm*800mm，支持；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#5.黑檀木笔筒1个，尺寸≥115mm；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#6.大中小号兼毫毛笔各1支。</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43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AP1-03</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教师中控系统</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#1.提供按照年级、班级进行自动排座，支持自动按行、列随机或者自动排位；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#2.支持排座信息发送到学生临摹屏上，学生按照姓名</w:t>
            </w:r>
            <w:r>
              <w:rPr>
                <w:rFonts w:hint="eastAsia" w:ascii="宋体" w:hAnsi="宋体" w:cs="宋体"/>
                <w:i w:val="0"/>
                <w:iCs w:val="0"/>
                <w:color w:val="auto"/>
                <w:sz w:val="21"/>
                <w:szCs w:val="21"/>
                <w:highlight w:val="none"/>
                <w:u w:val="none"/>
                <w:lang w:val="en-US" w:eastAsia="zh-CN" w:bidi="ar"/>
              </w:rPr>
              <w:t xml:space="preserve">就座</w:t>
            </w:r>
            <w:r>
              <w:rPr>
                <w:rFonts w:hint="eastAsia" w:ascii="宋体" w:hAnsi="宋体" w:eastAsia="宋体" w:cs="宋体"/>
                <w:i w:val="0"/>
                <w:iCs w:val="0"/>
                <w:color w:val="auto"/>
                <w:sz w:val="21"/>
                <w:szCs w:val="21"/>
                <w:highlight w:val="none"/>
                <w:u w:val="none"/>
                <w:lang w:val="en-US" w:eastAsia="zh-CN" w:bidi="ar"/>
              </w:rPr>
              <w:t xml:space="preserve">，点击屏幕完成上课签到；支持自动生成学生到课考勤表；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#3.支持老师统一控制学生屏幕，切换授课模式；支持老师向学生临摹台群发消息和单发消息；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#4.支持管理学生临摹台，查看学生临摹台设备在线状态列表；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#5.支持控制学生临摹台在统一授课和自主学习两种模式进行切换；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#6.处理器主频≥2GHz，内存≥8G，硬盘≥1TB；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#7.屏幕≥21.5寸，支持十点触控，分辨率1920*1080。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27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AP1-04</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多目书画教学示范仪</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#1.具有三摄像头，1个主摄像头2个辅助摄像头，整机≤5kg；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#2.整机一体化设计，机身整体高度≤53</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mm，底座长宽≤265*128mm，主摄像头臂杆长宽≤46</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*55mm，侧拍摄像头臂杆和主摄像头支柱夹角≤30度，侧拍摄像头可折叠臂杆长度≤260mm；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#3.整机待机电流：12V/150mA；整机负载工作电流：12V/450mA；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#4.侧拍辅助摄像头采用活动机身，支持折叠，支持摄像头旋转调节拍摄位置；顶部辅助摄像头采用活动摄像头，支持0-270度任意角度旋转调整；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#5.主摄像头：像素≥800W；对焦方式：定焦；扫描幅面≥A3；光学解像力≥A3幅面170lp/mm；球形畸变 &lt;1.5%；梯形失真 &lt;1.5%；出图响应时间 &lt;3S；自动过曝控制；图像帧率3264×2448@15帧；图像色彩≥24位；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#6.侧拍辅助摄像头：像素≥500W；分辨率≥2592*1944；扫描幅面≥A4；光学解像力≥A4幅面170lp/mm；球形畸变 &lt;1.5%；梯形失真 &lt;1.5%；出图响应时间 &lt;1S；自动过曝控制；图像帧率2592*1944@10帧；图像色彩≥24位；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#7.顶部辅助摄像头：像素≥200W；对焦方式：定焦；球形畸变 &lt;5%；梯形失真 &lt;5%；出图响应时间 &lt;1S；图像色彩≥24位。</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47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AP1-05</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书法教学示范系统</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#1.支持接入多目书画教学示范仪进行书写示范教学；支持示范画面自由组合切换成画中画、双画面、单画面等格式；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#2.支持视频画面接入大屏进行示范教学；支持录制高清示范视频，录制视频可作为书法微课资源；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#3.录制视频时支持同步录制教学音频；支持截取示范视频画面为图片；</w:t>
            </w:r>
            <w:r>
              <w:rPr>
                <w:rFonts w:hint="eastAsia" w:ascii="宋体" w:hAnsi="宋体" w:eastAsia="宋体" w:cs="宋体"/>
                <w:i w:val="0"/>
                <w:iCs w:val="0"/>
                <w:color w:val="auto"/>
                <w:sz w:val="21"/>
                <w:szCs w:val="21"/>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182"/>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AP1-06</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学生书法桌</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#1.尺寸规格：≥1400*700*73</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±5mm；产品材质：实木框架榫卯结构，面板为实木多层板，传统中式家具制作工艺，采用水性漆开放效果。</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54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AP1-07</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书法凳</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#1.尺寸规格：≥450*350*430±5mm；凳子采用实木材质，凳子框架大料抄手榫</w:t>
            </w:r>
            <w:r>
              <w:rPr>
                <w:rFonts w:hint="eastAsia" w:ascii="宋体" w:hAnsi="宋体" w:cs="宋体"/>
                <w:i w:val="0"/>
                <w:iCs w:val="0"/>
                <w:color w:val="auto"/>
                <w:sz w:val="21"/>
                <w:szCs w:val="21"/>
                <w:highlight w:val="none"/>
                <w:u w:val="none"/>
                <w:lang w:val="en-US" w:eastAsia="zh-CN" w:bidi="ar"/>
              </w:rPr>
              <w:t xml:space="preserve">连接</w:t>
            </w:r>
            <w:r>
              <w:rPr>
                <w:rFonts w:hint="eastAsia" w:ascii="宋体" w:hAnsi="宋体" w:eastAsia="宋体" w:cs="宋体"/>
                <w:i w:val="0"/>
                <w:iCs w:val="0"/>
                <w:color w:val="auto"/>
                <w:sz w:val="21"/>
                <w:szCs w:val="21"/>
                <w:highlight w:val="none"/>
                <w:u w:val="none"/>
                <w:lang w:val="en-US" w:eastAsia="zh-CN" w:bidi="ar"/>
              </w:rPr>
              <w:t xml:space="preserve">，装板工艺；产品采用水性漆开放效果。</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AP1-08</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学生镇尺</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#1.黑梓木，长度≥180mm。</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AP1-09</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学生墨汁</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#1.墨汁180g。</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27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AP1-10</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学生笔搁</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#1.花梨木材质。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AP1-11</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学生毛笔</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#1.兼毫毛笔。</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AP1-12</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学生墨盒</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#1.长方形，尺寸规格：≥134mm*76m*20mm。</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AP1-13</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临摹专用纸</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#1.半生熟临摹宣纸，100张/包。</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w:t>
            </w:r>
            <w:r/>
          </w:p>
        </w:tc>
      </w:tr>
      <w:tr>
        <w:trPr>
          <w:trHeight w:val="27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AP1-14</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技术参数要求同“AB1-44</w:t>
            </w:r>
            <w:r>
              <w:rPr>
                <w:rFonts w:hint="eastAsia" w:ascii="宋体" w:hAnsi="宋体" w:cs="宋体"/>
                <w:i w:val="0"/>
                <w:iCs w:val="0"/>
                <w:color w:val="auto"/>
                <w:sz w:val="21"/>
                <w:szCs w:val="21"/>
                <w:highlight w:val="none"/>
                <w:u w:val="none"/>
                <w:lang w:val="en-US" w:eastAsia="zh-CN" w:bidi="ar"/>
              </w:rPr>
              <w:t xml:space="preserve">文宣装修</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1034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2"/>
        <w:gridCol w:w="1305"/>
        <w:gridCol w:w="6615"/>
        <w:gridCol w:w="780"/>
        <w:gridCol w:w="660"/>
      </w:tblGrid>
      <w:tr>
        <w:trPr>
          <w:trHeight w:val="567" w:hRule="exact"/>
        </w:trPr>
        <w:tc>
          <w:tcPr>
            <w:gridSpan w:val="5"/>
            <w:tcBorders>
              <w:top w:val="single" w:color="000000" w:sz="4" w:space="0"/>
              <w:left w:val="single" w:color="000000" w:sz="4" w:space="0"/>
              <w:bottom w:val="single" w:color="000000" w:sz="4" w:space="0"/>
              <w:right w:val="single" w:color="000000" w:sz="4" w:space="0"/>
            </w:tcBorders>
            <w:tcW w:w="103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AQ-传统书法教室</w:t>
            </w:r>
            <w:r/>
          </w:p>
        </w:tc>
      </w:tr>
      <w:tr>
        <w:trPr>
          <w:trHeight w:val="27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108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AQ1-01</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书法桌（教师）</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#1.适用范围：适用于初高中教学使用；技术要求：教师用书发桌，外观尺寸：≥1600*600*750mm，优质实木，采用榫卯结构，结实牢靠。该书画桌简洁大方，纹理通达清晰，外观鲜明光亮，仿古色。</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135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AQ1-02</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书法凳（教师）</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适用范围：适用于初高中教学使用；技术要求：同教师书法桌搭配使用，靠背椅，外观尺寸：≥450*500*450mm，含靠背1000mm实木，采用榫卯结构，结实牢靠。该书画椅简洁大方，纹理通达清晰，外观鲜明光亮，仿古色。</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1642"/>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AQ1-03</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书法桌（学生）</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#1.适用范围：适用于初高中教学使用；技术要求：学生用书法桌，外观尺寸：≥1400*600*750mm，实木，采用榫卯结构，结实牢靠。该书法桌简洁大方，纹理通达清晰，外观鲜明光亮，仿古色。</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108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AQ1-04</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书法凳（学生）</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#1.适用范围：适用于初高中教学使用；技术要求：同学生书法桌搭配使用，规格：≥300*400*420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实木框架，实木，采用榫卯结构，结实牢靠。该书法凳简洁大方，纹理通达清晰，外观鲜明光亮，仿古色。</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05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AQ1-05</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教师书法专用套装</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石质砚台1个；墨盒1个；6挂12针红木笔架1个；黑梓木镇尺1对，长度≥250mm；100g徽墨1条；500g墨汁1瓶；6寸陶瓷笔洗1个；山形花梨木笔搁1个；竹质中号扁木笔帘1个，四边有布袋；书画专用羊毛毡1张，尺寸≥1800mm*800mm，支持水洗多次使用；黑檀木笔筒1个，尺寸≥115mm*150mm；大中小号兼毫毛笔各1支。</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AQ1-06</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学生墨汁</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技术参数同“AP1-09学生墨汁”</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27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AQ1-07</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学生笔挂</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#1.塑钢龙头笔挂，六挂十二针。</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7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AQ1-08</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学生毛笔</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技术参数同“AP1-11学生毛笔”</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trHeight w:val="27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AQ1-09</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学生镇尺</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技术参数同“AP1-08学生镇尺”</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AQ1-10</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学生墨盒</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技术参数同“AP1-12学生墨盒”</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27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AQ1-11</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学生书画毡</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#1.优质书画画毡，尺寸≥600*1400mm。</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AQ1-12</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临摹专用纸</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技术参数同“AP1-13临摹专用纸”</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w:t>
            </w:r>
            <w:r/>
          </w:p>
        </w:tc>
      </w:tr>
      <w:tr>
        <w:trPr>
          <w:trHeight w:val="27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AQ1-13</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裁纸刀</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#1.血檀木裁纸刀，无木刺，23.5*1.5CM。</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27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AQ1-14</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技术参数要求同“AB1-44</w:t>
            </w:r>
            <w:r>
              <w:rPr>
                <w:rFonts w:hint="eastAsia" w:ascii="宋体" w:hAnsi="宋体" w:cs="宋体"/>
                <w:i w:val="0"/>
                <w:iCs w:val="0"/>
                <w:color w:val="auto"/>
                <w:sz w:val="21"/>
                <w:szCs w:val="21"/>
                <w:highlight w:val="none"/>
                <w:u w:val="none"/>
                <w:lang w:val="en-US" w:eastAsia="zh-CN" w:bidi="ar"/>
              </w:rPr>
              <w:t xml:space="preserve">文宣装修</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keepLines w:val="0"/>
        <w:keepNext w:val="0"/>
        <w:pageBreakBefore w:val="0"/>
        <w:spacing w:line="320" w:lineRule="exact"/>
        <w:rPr>
          <w:rFonts w:hint="eastAsia" w:ascii="宋体" w:hAnsi="宋体" w:eastAsia="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705" w:type="pct"/>
        <w:tblInd w:w="-63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6"/>
        <w:gridCol w:w="1622"/>
        <w:gridCol w:w="5426"/>
        <w:gridCol w:w="747"/>
        <w:gridCol w:w="823"/>
      </w:tblGrid>
      <w:tr>
        <w:trPr>
          <w:trHeight w:val="567" w:hRule="exact"/>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AR-美术教室1</w:t>
            </w:r>
            <w:r/>
          </w:p>
        </w:tc>
      </w:tr>
      <w:tr>
        <w:trPr>
          <w:trHeight w:val="270"/>
        </w:trPr>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AR1-01</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剪刀</w:t>
            </w:r>
            <w:r/>
          </w:p>
        </w:tc>
        <w:tc>
          <w:tcPr>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#1.9寸裁缝专用剪刀</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含纱剪。</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AR1-02</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水消笔（划粉）</w:t>
            </w:r>
            <w:r/>
          </w:p>
        </w:tc>
        <w:tc>
          <w:tcPr>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#1.划图案用的。</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50"/>
        </w:trPr>
        <w:tc>
          <w:tcPr>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AR1-03</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大板桌</w:t>
            </w:r>
            <w:r/>
          </w:p>
        </w:tc>
        <w:tc>
          <w:tcPr>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2400*1200mm*750mm；桌面伸缩缝工艺，外沿厚度40mm；桌面材质：橡胶木，表面环保清漆处理，金属支架，3个U型腿、钢管规格15*50mm，中间3根钢管竖称支撑，横梁钢管规格25*50mm，壁厚≥1.0mm，表黑色喷塑处理，桌架与桌面外边齐平。</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AR1-04</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针线盒</w:t>
            </w:r>
            <w:r/>
          </w:p>
        </w:tc>
        <w:tc>
          <w:tcPr>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#1.黑胡桃木针线盒，里面有13件工具包。</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r>
      <w:tr>
        <w:trPr>
          <w:trHeight w:val="810"/>
        </w:trPr>
        <w:tc>
          <w:tcPr>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AR1-05</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学生凳</w:t>
            </w:r>
            <w:r/>
          </w:p>
        </w:tc>
        <w:tc>
          <w:tcPr>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380*380*430mm，材质：凳面伸缩缝工艺，边框橡胶木，中间18mm多层板贴木皮，结构：≥35*35mm直腿马蹄腿脚，四面≥20*30mm横撑连接，特点：榫卯结构，牢固结实，仿古造型，表面光滑细腻，喷涂环保清漆。</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540"/>
        </w:trPr>
        <w:tc>
          <w:tcPr>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AR1-06</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布料</w:t>
            </w:r>
            <w:r/>
          </w:p>
        </w:tc>
        <w:tc>
          <w:tcPr>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#1.蓝印花布、棉麻布白色、藏蓝色、绿色、粉色、蓝色、粉红色；规格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60*60mm。</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810"/>
        </w:trPr>
        <w:tc>
          <w:tcPr>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AR1-07</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法式刺绣绷框台</w:t>
            </w:r>
            <w:r/>
          </w:p>
        </w:tc>
        <w:tc>
          <w:tcPr>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580*160*125mm，材质：榉木，特点：多功能、多部位、多角度、高度可调节，满足不同角度高度的刺绣，配两块绣布，刺绣针1根，不同颜色绣线5把，水消笔1支。</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AR1-08</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刺绣线</w:t>
            </w:r>
            <w:r/>
          </w:p>
        </w:tc>
        <w:tc>
          <w:tcPr>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#1.24色常规。</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AR1-09</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布料</w:t>
            </w:r>
            <w:r/>
          </w:p>
        </w:tc>
        <w:tc>
          <w:tcPr>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#1.白棉布，100米/匹。</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匹</w:t>
            </w:r>
            <w:r/>
          </w:p>
        </w:tc>
      </w:tr>
      <w:tr>
        <w:trPr>
          <w:trHeight w:val="1080"/>
        </w:trPr>
        <w:tc>
          <w:tcPr>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AR1-10</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布艺操作台</w:t>
            </w:r>
            <w:r/>
          </w:p>
        </w:tc>
        <w:tc>
          <w:tcPr>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#1.操作台规格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1830*1040*750mm，材质：复合板材，三档自由升降、带收纳抽屉、带脚轮、方便折叠移动；配缝纫机：电压220V，功率：40W，缝纫机速度：850转/分钟，针迹数：50种，勾线机构：水平旋梭，自动穿线器、布牙装置、可升降、支持双针模式。</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AR1-11</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技术参数要求同“AB1-44</w:t>
            </w:r>
            <w:r>
              <w:rPr>
                <w:rFonts w:hint="eastAsia" w:ascii="宋体" w:hAnsi="宋体" w:cs="宋体"/>
                <w:i w:val="0"/>
                <w:iCs w:val="0"/>
                <w:color w:val="auto"/>
                <w:sz w:val="21"/>
                <w:szCs w:val="21"/>
                <w:highlight w:val="none"/>
                <w:u w:val="none"/>
                <w:lang w:val="en-US" w:eastAsia="zh-CN" w:bidi="ar"/>
              </w:rPr>
              <w:t xml:space="preserve">文宣装修</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688" w:type="pct"/>
        <w:tblInd w:w="-63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1295"/>
        <w:gridCol w:w="5627"/>
        <w:gridCol w:w="842"/>
        <w:gridCol w:w="911"/>
      </w:tblGrid>
      <w:tr>
        <w:trPr>
          <w:trHeight w:val="567" w:hRule="exact"/>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AS-美术教室2</w:t>
            </w:r>
            <w:r/>
          </w:p>
        </w:tc>
      </w:tr>
      <w:tr>
        <w:trPr>
          <w:trHeight w:val="27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70"/>
        </w:trPr>
        <w:tc>
          <w:tcPr>
            <w:gridSpan w:val="3"/>
            <w:tcBorders>
              <w:top w:val="single" w:color="auto" w:sz="4" w:space="0"/>
              <w:left w:val="single" w:color="auto" w:sz="4" w:space="0"/>
              <w:bottom w:val="single" w:color="auto" w:sz="4" w:space="0"/>
              <w:right w:val="single" w:color="auto" w:sz="4" w:space="0"/>
            </w:tcBorders>
            <w:tcW w:w="4096"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一、教师用具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459"/>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AS1-01</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画架</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#1.榉木材质，平立两用落地画架 ，可以升降，平放，倾斜（调节任意角度），还可以折叠，方便携带；产品规格：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*50*135，最高可伸长至215cm ，宽度不限。带万向轮，方便在室内移动，前面两个轮子带刹车，可以锁死。</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81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AS1-02</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画板</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图板，外观尺寸不小于600mm×900mm×18mm；材质：双面榉木三合板，四周实木边框；要求：边框气钉眼需进行表面处理。整体板面平整、表面光滑、洁净、无毛刺。</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542"/>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AS1-03</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写生凳</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#1.规格：凳面直径不低于300mm，升降高度480到650mm；材质：榉木；要求：升降式架构，支撑稳定，牢固可靠，环保清漆处理，漆面均匀光亮。</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AS1-04</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绘画工具车</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#1.材质：榉木，长度≥740mm，宽度≥400mm，高度≥800mm，中下两层间隔高度不小于190mm，经过抛光打蜡，喷漆，防腐、防潮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静音脚轮，可制动。</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150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AS1-05</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写生画箱</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82cm×106cm×140cm；箱体：</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57cm×42cm×17（24）cm，置画高度：≥87cm；材质：红榉木，优质五金配件，电镀抗氧化能力强，不易生锈，橡胶胶带，高度和倾斜度可调整。</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68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AS1-06</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美术教学套装</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#1.水彩画颜料12ml，12色一套、水粉画颜料12ml，12色一套、油画颜料50ml，12色一套、水彩画笔1-12</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各1支、24眼调色板1件、可折叠水桶1个、水彩纸160g 4K*20张、素描纸160g 4K*20张、素描纸160g 4K*20张、铅笔2B、4B、6B各一支、可塑橡皮1块、橡皮1块、辉柏嘉彩色铅笔48色。</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gridSpan w:val="3"/>
            <w:tcBorders>
              <w:top w:val="single" w:color="auto" w:sz="4" w:space="0"/>
              <w:left w:val="single" w:color="auto" w:sz="4" w:space="0"/>
              <w:bottom w:val="single" w:color="auto" w:sz="4" w:space="0"/>
              <w:right w:val="single" w:color="auto" w:sz="4" w:space="0"/>
            </w:tcBorders>
            <w:tcW w:w="409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二、学生用具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08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AS2-01</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画架</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58*60*17</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cm（最大升高到235CM），可调节高度，直尺最大画框高度：126CM；材质：榉木；梯形，可折叠，角度双重可调，画托高度升降可调，表面光滑、无毛刺、无弯曲，接缝无开裂，整体无疤痕无弯曲，表面环保烤漆处理。适用范围：中西两用。</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02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AS2-02</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画板</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600mm*450mm、双面椴木，四周实木边框，椴木木纹明显，表面光滑无毛刺，不易变形。</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AS2-03</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写生凳</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330*250*450mm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结构</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全实木结构，传统工艺，结构牢固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全实木制作，本色，材料经熏蒸处理，虫不蛙，不变形，不开裂。</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32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AS2-04</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绘画工具车</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#1.材质：榉木，长度≥740mm，宽度≥400mm，高度≥800mm，中下两层间隔高度不小于190mm，经过抛光打蜡，喷漆，防腐、防潮。静音脚轮，可制动。</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81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AS2-05</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写生画箱</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82cm×106cm×140cm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箱体：</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50cm×34cm×17（24）cm，置画高度：87cm；材质：红榉木，优质五金配件，电镀抗氧化能力强，不易生锈，橡胶胶带，高度和倾斜度可调整。</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78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AS2-06</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水粉画颜料</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#1.100ml瓶装，24色为一套。</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AS2-07</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水粉笔</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桦木笔身 握笔舒适 。</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8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AS2-08</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折叠式洗笔筒</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#1.规格：口径不小于185mm，底部直径不低于150mm，收缩后高不低于42mm，展开后高不低于180mm，顶部外侧含塑料挂笔装置，可同时放置4支画笔。</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66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AS2-09</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水粉纸</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#1.规格4K，厚度不低于160g，黄色本色纸，20张/包。</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8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AS2-10</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水彩颜料</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#1.24色套装</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单支容量为12ml。</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AS2-11</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水彩画笔</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桦木笔身握笔舒适 。</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48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AS2-12</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水彩纸</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#1.规格4K，厚度不低于160g，黄色本色纸，10张/包。</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0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AS2-13</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调色盘</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#1.规格：直径不小于170mm，高不低于18mm，7格梅花形，材质为透明丙料。</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gridSpan w:val="3"/>
            <w:tcBorders>
              <w:top w:val="single" w:color="auto" w:sz="4" w:space="0"/>
              <w:left w:val="single" w:color="auto" w:sz="4" w:space="0"/>
              <w:bottom w:val="single" w:color="auto" w:sz="4" w:space="0"/>
              <w:right w:val="single" w:color="auto" w:sz="4" w:space="0"/>
            </w:tcBorders>
            <w:tcW w:w="409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三、美术辅助器材</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AS3-01</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写生灯</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#1.规格：立式三节可升降、最大调节高度2400mm、照射角度0°-120°；材质：球形灯罩：金属材料，灯杆：钢管，表面镀铬，铝节、塑料旋钮，内置弹簧；要求：表面光滑、无锈斑、划痕，含LED灯泡（暖白色）。   </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08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AS3-02</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写生台</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600mm*900mm，最大高度120cm，台面逐级升降，可根据需求自由调节高度，可折叠台面，表面光滑无颗粒，采用榉木三合板作为台面，经打磨抛光处理，整体喷涂绿色无污染清漆，配备带锁万向轮，可防止使用过程中移动，底部储藏式抽屉空间最大化，方便放置画笔，颜料等。</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132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AS3-03</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转台</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#1.上盘面≥295mm，下盘面：d=170mm，塑钢材质，表面光滑平稳；用途：裱花首选，雕塑及工业设计，陶艺用转盘，模型</w:t>
            </w:r>
            <w:r>
              <w:rPr>
                <w:rFonts w:hint="eastAsia" w:ascii="宋体" w:hAnsi="宋体" w:cs="宋体"/>
                <w:i w:val="0"/>
                <w:iCs w:val="0"/>
                <w:color w:val="auto"/>
                <w:sz w:val="21"/>
                <w:szCs w:val="21"/>
                <w:highlight w:val="none"/>
                <w:u w:val="none"/>
                <w:lang w:val="en-US" w:eastAsia="zh-CN" w:bidi="ar"/>
              </w:rPr>
              <w:t xml:space="preserve">制作</w:t>
            </w:r>
            <w:r>
              <w:rPr>
                <w:rFonts w:hint="eastAsia" w:ascii="宋体" w:hAnsi="宋体" w:eastAsia="宋体" w:cs="宋体"/>
                <w:i w:val="0"/>
                <w:iCs w:val="0"/>
                <w:color w:val="auto"/>
                <w:sz w:val="21"/>
                <w:szCs w:val="21"/>
                <w:highlight w:val="none"/>
                <w:u w:val="none"/>
                <w:lang w:val="en-US" w:eastAsia="zh-CN" w:bidi="ar"/>
              </w:rPr>
              <w:t xml:space="preserve">和产品喷漆上色时专用工具。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66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AS3-04</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木制关节人</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#1.不小于400mm。</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AS3-05</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衬布</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1000mm*2000mm，涤棉材质，各种花色。</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42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AS3-06</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写生教具1</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#1.适用于中小学美术教学使用。</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42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AS3-07</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写生教具2</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#1.适用于中小学美术教学使用。</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42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AS3-08</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静物</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#1.优质。</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42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AS3-09</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陶瓷样本</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#1.适用于中小学美术教学使用。</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08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AS3-10</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磁性黑板</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1200mm*800mm；书写面一面为白色钢质板面、一面为墨绿色钢质板面，表面</w:t>
            </w:r>
            <w:r>
              <w:rPr>
                <w:rFonts w:hint="eastAsia" w:ascii="宋体" w:hAnsi="宋体" w:cs="宋体"/>
                <w:i w:val="0"/>
                <w:iCs w:val="0"/>
                <w:color w:val="auto"/>
                <w:sz w:val="21"/>
                <w:szCs w:val="21"/>
                <w:highlight w:val="none"/>
                <w:u w:val="none"/>
                <w:lang w:val="en-US" w:eastAsia="zh-CN" w:bidi="ar"/>
              </w:rPr>
              <w:t xml:space="preserve">平整</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涂覆</w:t>
            </w:r>
            <w:r>
              <w:rPr>
                <w:rFonts w:hint="eastAsia" w:ascii="宋体" w:hAnsi="宋体" w:eastAsia="宋体" w:cs="宋体"/>
                <w:i w:val="0"/>
                <w:iCs w:val="0"/>
                <w:color w:val="auto"/>
                <w:sz w:val="21"/>
                <w:szCs w:val="21"/>
                <w:highlight w:val="none"/>
                <w:u w:val="none"/>
                <w:lang w:val="en-US" w:eastAsia="zh-CN" w:bidi="ar"/>
              </w:rPr>
              <w:t xml:space="preserve">层无脱落、起泡、龟裂、针孔、斑痕、凹凸不平等不良现象</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带支架。磁性黑板能方便贴学生书画作业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利于讲评。</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66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AS3-11</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美术欣赏挂图</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#1.对开，铜版纸印刷，幅数不少于58幅</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挂图内容正确、层次分明、图像清晰、重点突出、色泽鲜明。</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54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AS3-12</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作品展示镜框</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#1.底板是中纤板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表层为透明PVC片。</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4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AS3-13</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不锈钢夹子</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#1.材质：不锈钢，长度不小于145mm。</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16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AS3-14</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美术课配套材料</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#1.勾线笔4支、油画棒1个、固体胶1个、彩色水笔1支、彩泥1套、彩色铅笔4支、双面胶1个、陶泥1袋、水粉画颜料1</w:t>
            </w:r>
            <w:r>
              <w:rPr>
                <w:rFonts w:hint="eastAsia" w:ascii="宋体" w:hAnsi="宋体" w:cs="宋体"/>
                <w:i w:val="0"/>
                <w:iCs w:val="0"/>
                <w:color w:val="auto"/>
                <w:sz w:val="21"/>
                <w:szCs w:val="21"/>
                <w:highlight w:val="none"/>
                <w:u w:val="none"/>
                <w:lang w:val="en-US" w:eastAsia="zh-CN" w:bidi="ar"/>
              </w:rPr>
              <w:t xml:space="preserve">盒</w:t>
            </w:r>
            <w:r>
              <w:rPr>
                <w:rFonts w:hint="eastAsia" w:ascii="宋体" w:hAnsi="宋体" w:eastAsia="宋体" w:cs="宋体"/>
                <w:i w:val="0"/>
                <w:iCs w:val="0"/>
                <w:color w:val="auto"/>
                <w:sz w:val="21"/>
                <w:szCs w:val="21"/>
                <w:highlight w:val="none"/>
                <w:u w:val="none"/>
                <w:lang w:val="en-US" w:eastAsia="zh-CN" w:bidi="ar"/>
              </w:rPr>
              <w:t xml:space="preserve">、墨汁1瓶、中国画颜料1</w:t>
            </w:r>
            <w:r>
              <w:rPr>
                <w:rFonts w:hint="eastAsia" w:ascii="宋体" w:hAnsi="宋体" w:cs="宋体"/>
                <w:i w:val="0"/>
                <w:iCs w:val="0"/>
                <w:color w:val="auto"/>
                <w:sz w:val="21"/>
                <w:szCs w:val="21"/>
                <w:highlight w:val="none"/>
                <w:u w:val="none"/>
                <w:lang w:val="en-US" w:eastAsia="zh-CN" w:bidi="ar"/>
              </w:rPr>
              <w:t xml:space="preserve">盒</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cs="宋体"/>
                <w:i w:val="0"/>
                <w:iCs w:val="0"/>
                <w:color w:val="auto"/>
                <w:sz w:val="21"/>
                <w:szCs w:val="21"/>
                <w:highlight w:val="none"/>
                <w:u w:val="none"/>
                <w:lang w:val="en-US" w:eastAsia="zh-CN" w:bidi="ar"/>
              </w:rPr>
              <w:t xml:space="preserve">胶辊</w:t>
            </w:r>
            <w:r>
              <w:rPr>
                <w:rFonts w:hint="eastAsia" w:ascii="宋体" w:hAnsi="宋体" w:eastAsia="宋体" w:cs="宋体"/>
                <w:i w:val="0"/>
                <w:iCs w:val="0"/>
                <w:color w:val="auto"/>
                <w:sz w:val="21"/>
                <w:szCs w:val="21"/>
                <w:highlight w:val="none"/>
                <w:u w:val="none"/>
                <w:lang w:val="en-US" w:eastAsia="zh-CN" w:bidi="ar"/>
              </w:rPr>
              <w:t xml:space="preserve">1个、胶版（水溶性）1个、油墨（黑色）1瓶。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gridSpan w:val="3"/>
            <w:tcBorders>
              <w:top w:val="single" w:color="auto" w:sz="4" w:space="0"/>
              <w:left w:val="single" w:color="auto" w:sz="4" w:space="0"/>
              <w:bottom w:val="single" w:color="auto" w:sz="4" w:space="0"/>
              <w:right w:val="single" w:color="auto" w:sz="4" w:space="0"/>
            </w:tcBorders>
            <w:tcW w:w="409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四、配套用品</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0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AS4-01</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软木展板</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240*120cm；软木板经</w:t>
            </w:r>
            <w:r>
              <w:rPr>
                <w:rFonts w:hint="eastAsia" w:ascii="宋体" w:hAnsi="宋体" w:eastAsia="宋体" w:cs="宋体"/>
                <w:i w:val="0"/>
                <w:iCs w:val="0"/>
                <w:strike w:val="0"/>
                <w:color w:val="auto"/>
                <w:sz w:val="21"/>
                <w:szCs w:val="21"/>
                <w:highlight w:val="none"/>
                <w:u w:val="none"/>
                <w:lang w:val="en-US" w:eastAsia="zh-CN" w:bidi="ar"/>
              </w:rPr>
              <w:t xml:space="preserve">专用</w:t>
            </w:r>
            <w:r>
              <w:rPr>
                <w:rFonts w:hint="eastAsia" w:ascii="宋体" w:hAnsi="宋体" w:eastAsia="宋体" w:cs="宋体"/>
                <w:i w:val="0"/>
                <w:iCs w:val="0"/>
                <w:color w:val="auto"/>
                <w:sz w:val="21"/>
                <w:szCs w:val="21"/>
                <w:highlight w:val="none"/>
                <w:u w:val="none"/>
                <w:lang w:val="en-US" w:eastAsia="zh-CN" w:bidi="ar"/>
              </w:rPr>
              <w:t xml:space="preserve">胶水高压粘合密封而成，结构牢固、弹性好，耐腐蚀、耐冲击，保持板面平整，软木外层可覆彩色布，外加铝合金或木质流线装饰边框；原色为纯软木，覆布后为彩色；铝合金边框（可选喷其他颜色） 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37mm*20mm  壁厚≥1mm；</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100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AS4-02</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置物架</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1000*300*1800mm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钢木结构；立柱采用25*25方管焊接，上面为4层设计，隔板采用≥1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mm三聚氰胺板，颜色为柚木色，下面为小柜设计，双开门设计。</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89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AS4-03</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美术教学用品柜</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1000*500*2000mm，铝木结构，采用结构为内槽式铝合金框架结构，立柱及横档 38*38*1mm、38*28*1mm和ABS连接件组装而成；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#2.表面经酸洗、磷化、环氧树脂高温固化处理具有耐腐蚀、耐高温等特点；柜身材料采用≥1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mm厚E1级双贴三聚氰胺板；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.板材所有截面均经全自动封边机封边处理，封边所用边条均为≥2mm厚PVC封边条</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所用热熔胶为优质热熔胶；一次成型，结合紧密，密封性好。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.选用ABS工程注塑加固角连接，不变形、外形美观、经久耐用。结构</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仪器橱分为上下两部分，上部为5mm厚浮化玻璃板上部分为推拉玻璃透视门，下部为板式对开门。</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AS4-04</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文宣装修</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技术参数要求同“AB1-44</w:t>
            </w:r>
            <w:r>
              <w:rPr>
                <w:rFonts w:hint="eastAsia" w:ascii="宋体" w:hAnsi="宋体" w:cs="宋体"/>
                <w:i w:val="0"/>
                <w:iCs w:val="0"/>
                <w:color w:val="auto"/>
                <w:sz w:val="21"/>
                <w:szCs w:val="21"/>
                <w:highlight w:val="none"/>
                <w:u w:val="none"/>
                <w:lang w:val="en-US" w:eastAsia="zh-CN" w:bidi="ar"/>
              </w:rPr>
              <w:t xml:space="preserve">文宣装修</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01"/>
        <w:tblW w:w="5698" w:type="pct"/>
        <w:tblInd w:w="-64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96"/>
        <w:gridCol w:w="1325"/>
        <w:gridCol w:w="5610"/>
        <w:gridCol w:w="866"/>
        <w:gridCol w:w="915"/>
      </w:tblGrid>
      <w:tr>
        <w:trPr>
          <w:trHeight w:val="567" w:hRule="exact"/>
        </w:trPr>
        <w:tc>
          <w:tcPr>
            <w:gridSpan w:val="5"/>
            <w:tcBorders>
              <w:top w:val="single" w:color="000000" w:sz="4" w:space="0"/>
              <w:left w:val="single" w:color="000000" w:sz="4" w:space="0"/>
              <w:bottom w:val="single" w:color="auto" w:sz="4" w:space="0"/>
              <w:right w:val="single" w:color="000000" w:sz="4" w:space="0"/>
            </w:tcBorders>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AT-美术教室3</w:t>
            </w:r>
            <w:r/>
          </w:p>
        </w:tc>
      </w:tr>
      <w:tr>
        <w:trPr>
          <w:trHeight w:val="270"/>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81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AT1-01</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教师书画桌</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#1.规格：≥1800*800*760mm，材质：实木，桌面伸缩缝工艺，外沿厚40mm，桌面下有2个横撑支撑；结构：≥70*70mm直腿马蹄腿脚，桌斗高度100mm。特点：榫卯结构，牢固结实，牙板雕花，表面光滑细腻，喷涂环保清漆。</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54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AT1-02</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教师书画椅</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#1.规格：≥540*440*820mm，坐高380mm，靠背弧形圈设计，材质：实木；特点：榫卯结构，牢固结实，表面光滑细腻，喷涂环保清漆。</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162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AT1-03</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学生书画桌</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#1.规格：≥1400*600*760mm，材质：桌面伸缩缝工艺，外沿厚35mm，桌面下有1个60*35mm横撑支撑。结构：≥60*60mm直腿马蹄腿脚，特点：榫卯结构，结实牢固，牙板雕花，表面光滑细腻，喷涂环保清漆。</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81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AT1-04</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学生书画凳</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380*380*430mm，材质：凳面伸缩缝工艺，边框橡胶木，中间18mm多层板贴木皮，结构：≥35*35mm直腿马蹄腿脚，四面≥20*30mm横撑连接，特点：榫卯结构，牢固结实，仿古造型，表面光滑细腻，喷涂环保清漆。</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r>
      <w:tr>
        <w:trPr>
          <w:trHeight w:val="108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AT1-05</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展示架</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w:t>
            </w:r>
            <w:r>
              <w:rPr>
                <w:rFonts w:hint="eastAsia" w:ascii="宋体" w:hAnsi="宋体" w:cs="宋体"/>
                <w:i w:val="0"/>
                <w:iCs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种造型可选，单个规格≥1000*300*2000mm。材质：实木，四根立柱规格≥35*35mm，柜门尺寸≥460*460mm，隔板边框18mm，隔板厚度5mm；特点：仿古造型，上部多宝阁，展示作品，下部实木对开门，可以存放物品，榫卯结构，牢固结实，表面光滑细腻，喷涂环保清漆，可以自由组合。</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AT1-06</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画毡</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#1.规格：≥1800*800*5mm，材质：材质：混纺。</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27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AT1-07</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画毡</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#1.规格：≥1400*600*5mm，材质：混纺。</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27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AT1-08</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展示画框</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#1.规格：≥33*33cm边框2.2*2.8cm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原木色，配背板，有机玻璃，挂钩</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AT1-09</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展示画框</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#1.规格：≥68*45cm边框2.2*2.8cm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原木色，配背板，有机玻璃，挂钩。</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4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AT1-10</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国画和书法工具</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#1.毛笔8支、画毡1块、调色盘1块、砚台1个、笔洗1个、笔架1个、镇尺1付、笔帘1个、墨1块、印盒1个、墨汁1瓶≥100ml，中空吹塑定位包装箱。</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AT1-11</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宣纸</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#1.规格：33*33cm、卡宣，100张/刀。</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刀</w:t>
            </w:r>
            <w:r/>
          </w:p>
        </w:tc>
      </w:tr>
      <w:tr>
        <w:trPr>
          <w:trHeight w:val="27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AT1-12</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宣纸</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#1.规格：68*45cm、卡宣，100张/刀。</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刀</w:t>
            </w:r>
            <w:r/>
          </w:p>
        </w:tc>
      </w:tr>
      <w:tr>
        <w:trPr>
          <w:trHeight w:val="27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AT1-13</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国画颜料</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#1.12色，12ml。</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7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AT1-14</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墨汁</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#1.规格：250ml/瓶，颜色：黑、白。</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r>
      <w:tr>
        <w:trPr>
          <w:trHeight w:val="81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AT1-15</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拷贝台</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#1.透图面A3，规格：≥520*320mm、柔性亚克力，LED光源，工作电压：USB-5V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1A，功率：5W，导光方式：LED全反射，3档调光，带刻度，USB插头，可接电脑、充电宝和电源。</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27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AT1-16</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窗帘</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#1.现代款式，带山水图案。油画布材质。</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7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AT1-17</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轨道展示架</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#1.尺寸≥1.5m，滑动轨道，铝合金材质，带金属挂钩。</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81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AT1-18</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磁性毛毡墙</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#1.规格：≥1000*2000mm*25mm，材质：磁性毛毡板、木质底板，四周25*25mm实木边框包边，不会变形、不会鼓，磁性强，配金属磁扣6个，用于书法、美术作品展示。</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270"/>
        </w:trPr>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AT1-19</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文宣装修</w:t>
            </w:r>
            <w:r/>
          </w:p>
        </w:tc>
        <w:tc>
          <w:tcPr>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技术参数要求同“AB1-44</w:t>
            </w:r>
            <w:r>
              <w:rPr>
                <w:rFonts w:hint="eastAsia" w:ascii="宋体" w:hAnsi="宋体" w:cs="宋体"/>
                <w:i w:val="0"/>
                <w:iCs w:val="0"/>
                <w:color w:val="auto"/>
                <w:sz w:val="21"/>
                <w:szCs w:val="21"/>
                <w:highlight w:val="none"/>
                <w:u w:val="none"/>
                <w:lang w:val="en-US" w:eastAsia="zh-CN" w:bidi="ar"/>
              </w:rPr>
              <w:t xml:space="preserve">文宣装修</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keepLines w:val="0"/>
        <w:keepNext w:val="0"/>
        <w:pageBreakBefore w:val="0"/>
        <w:spacing w:line="320" w:lineRule="exact"/>
        <w:rPr>
          <w:color w:val="auto"/>
          <w:highlight w:val="none"/>
        </w:rPr>
      </w:pPr>
      <w:r>
        <w:rPr>
          <w:color w:val="auto"/>
          <w:highlight w:val="none"/>
        </w:rPr>
      </w:r>
      <w:r/>
    </w:p>
    <w:p>
      <w:pPr>
        <w:jc w:val="left"/>
        <w:rPr>
          <w:rFonts w:hint="default"/>
          <w:b/>
          <w:bCs/>
          <w:color w:val="auto"/>
          <w:highlight w:val="none"/>
          <w:lang w:val="en-US" w:eastAsia="zh-CN"/>
        </w:rPr>
      </w:pPr>
      <w:r>
        <w:rPr>
          <w:rFonts w:hint="default"/>
          <w:b/>
          <w:bCs/>
          <w:color w:val="auto"/>
          <w:highlight w:val="none"/>
          <w:lang w:val="en-US" w:eastAsia="zh-CN"/>
        </w:rPr>
      </w:r>
      <w:r/>
    </w:p>
    <w:p>
      <w:pPr>
        <w:jc w:val="left"/>
        <w:rPr>
          <w:rFonts w:hint="default"/>
          <w:b/>
          <w:bCs/>
          <w:color w:val="auto"/>
          <w:highlight w:val="none"/>
          <w:lang w:val="en-US" w:eastAsia="zh-CN"/>
        </w:rPr>
      </w:pPr>
      <w:r>
        <w:rPr>
          <w:rFonts w:hint="default"/>
          <w:b/>
          <w:bCs/>
          <w:color w:val="auto"/>
          <w:highlight w:val="none"/>
          <w:lang w:val="en-US" w:eastAsia="zh-CN"/>
        </w:rPr>
      </w:r>
      <w:r/>
    </w:p>
    <w:p>
      <w:pPr>
        <w:jc w:val="left"/>
        <w:rPr>
          <w:rFonts w:hint="default"/>
          <w:b/>
          <w:bCs/>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b/>
          <w:bCs/>
          <w:color w:val="auto"/>
          <w:highlight w:val="none"/>
          <w:lang w:val="en-US" w:eastAsia="zh-CN"/>
        </w:rPr>
      </w:r>
      <w:r/>
    </w:p>
    <w:p>
      <w:pPr>
        <w:numPr>
          <w:ilvl w:val="0"/>
          <w:numId w:val="0"/>
        </w:numPr>
        <w:ind w:right="0"/>
        <w:spacing w:beforeAutospacing="0" w:afterAutospacing="0" w:line="440" w:lineRule="exact"/>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（二）核心产品</w:t>
      </w:r>
      <w:r/>
    </w:p>
    <w:p>
      <w:pPr>
        <w:pStyle w:val="730"/>
        <w:ind w:firstLine="468"/>
        <w:rPr>
          <w:rFonts w:hint="default" w:cs="宋体"/>
          <w:b w:val="0"/>
          <w:bCs/>
          <w:color w:val="auto"/>
          <w:sz w:val="24"/>
          <w:szCs w:val="24"/>
          <w:highlight w:val="none"/>
          <w:lang w:val="en-US" w:eastAsia="zh-CN"/>
        </w:rPr>
      </w:pPr>
      <w:r>
        <w:rPr>
          <w:rFonts w:hint="eastAsia" w:cs="宋体"/>
          <w:b w:val="0"/>
          <w:bCs/>
          <w:color w:val="auto"/>
          <w:sz w:val="24"/>
          <w:szCs w:val="24"/>
          <w:highlight w:val="none"/>
          <w:lang w:val="en-US" w:eastAsia="zh-CN"/>
        </w:rPr>
        <w:t xml:space="preserve">1.采购包1核心产品为：A1-01教师演讲台；A1-03 实验桌；</w:t>
      </w:r>
      <w:r/>
    </w:p>
    <w:p>
      <w:pPr>
        <w:pStyle w:val="730"/>
        <w:ind w:firstLine="468"/>
        <w:rPr>
          <w:rFonts w:hint="default" w:ascii="宋体" w:hAnsi="宋体" w:eastAsia="宋体" w:cs="宋体"/>
          <w:color w:val="auto"/>
          <w:sz w:val="24"/>
          <w:szCs w:val="24"/>
          <w:highlight w:val="none"/>
          <w:lang w:val="en-US" w:eastAsia="zh-CN" w:bidi="ar-SA"/>
        </w:rPr>
      </w:pPr>
      <w:r>
        <w:rPr>
          <w:rFonts w:hint="eastAsia" w:cs="宋体"/>
          <w:b w:val="0"/>
          <w:bCs/>
          <w:color w:val="auto"/>
          <w:sz w:val="24"/>
          <w:szCs w:val="24"/>
          <w:highlight w:val="none"/>
          <w:lang w:val="en-US" w:eastAsia="zh-CN"/>
        </w:rPr>
        <w:t xml:space="preserve">2.采购包2核心产品为：AP1-06 学生书法桌。</w:t>
      </w:r>
      <w:r/>
    </w:p>
    <w:p>
      <w:pPr>
        <w:numPr>
          <w:ilvl w:val="0"/>
          <w:numId w:val="0"/>
        </w:num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《采购清单及技术参数要求》技术参数说明如下：</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采购清单中设备名称前标有“●”的为核心产品，不同</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核心产品标的品牌相同按同品牌投标人处理</w:t>
      </w:r>
      <w:r>
        <w:rPr>
          <w:rFonts w:hint="eastAsia" w:ascii="宋体" w:hAnsi="宋体" w:eastAsia="宋体" w:cs="宋体"/>
          <w:color w:val="auto"/>
          <w:sz w:val="24"/>
          <w:szCs w:val="24"/>
          <w:highlight w:val="none"/>
          <w:lang w:eastAsia="zh-CN"/>
        </w:rPr>
        <w:t xml:space="preserve">。</w:t>
      </w:r>
      <w:r/>
    </w:p>
    <w:p>
      <w:pPr>
        <w:numPr>
          <w:ilvl w:val="0"/>
          <w:numId w:val="0"/>
        </w:numPr>
        <w:ind w:left="0" w:right="0" w:firstLine="560"/>
        <w:spacing w:beforeAutospacing="0" w:afterAutospacing="0" w:line="440" w:lineRule="exact"/>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标注“▲”号标记的技术参数为重要技术参数，须按招标文件指定要求提供证明材料</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未提供视为</w:t>
      </w:r>
      <w:r>
        <w:rPr>
          <w:rFonts w:hint="eastAsia" w:ascii="宋体" w:hAnsi="宋体" w:cs="宋体"/>
          <w:b w:val="0"/>
          <w:bCs w:val="0"/>
          <w:color w:val="auto"/>
          <w:sz w:val="24"/>
          <w:szCs w:val="24"/>
          <w:highlight w:val="none"/>
          <w:lang w:val="en-US" w:eastAsia="zh-CN"/>
        </w:rPr>
        <w:t xml:space="preserve">负偏离</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 </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.标注“＃”号标记的技术参数为一般技术参数，投标人须详尽真实</w:t>
      </w:r>
      <w:r>
        <w:rPr>
          <w:rFonts w:hint="eastAsia" w:ascii="宋体" w:hAnsi="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lang w:val="en-US" w:eastAsia="zh-CN"/>
        </w:rPr>
        <w:t xml:space="preserve">在《技术要求响应及偏离表》内逐条响应，且在《技术要求响应及偏离表》内详尽</w:t>
      </w:r>
      <w:r>
        <w:rPr>
          <w:rFonts w:hint="eastAsia" w:ascii="宋体" w:hAnsi="宋体" w:cs="宋体"/>
          <w:color w:val="auto"/>
          <w:sz w:val="24"/>
          <w:szCs w:val="24"/>
          <w:highlight w:val="none"/>
          <w:lang w:val="en-US" w:eastAsia="zh-CN"/>
        </w:rPr>
        <w:t xml:space="preserve">真实地</w:t>
      </w:r>
      <w:r>
        <w:rPr>
          <w:rFonts w:hint="eastAsia" w:ascii="宋体" w:hAnsi="宋体" w:eastAsia="宋体" w:cs="宋体"/>
          <w:color w:val="auto"/>
          <w:sz w:val="24"/>
          <w:szCs w:val="24"/>
          <w:highlight w:val="none"/>
          <w:lang w:val="en-US" w:eastAsia="zh-CN"/>
        </w:rPr>
        <w:t xml:space="preserve">列明“超出、符合或偏离”情况，否则将视为</w:t>
      </w:r>
      <w:r>
        <w:rPr>
          <w:rFonts w:hint="eastAsia" w:ascii="宋体" w:hAnsi="宋体" w:cs="宋体"/>
          <w:color w:val="auto"/>
          <w:sz w:val="24"/>
          <w:szCs w:val="24"/>
          <w:highlight w:val="none"/>
          <w:lang w:val="en-US" w:eastAsia="zh-CN"/>
        </w:rPr>
        <w:t xml:space="preserve">负偏离</w:t>
      </w:r>
      <w:r>
        <w:rPr>
          <w:rFonts w:hint="eastAsia" w:ascii="宋体" w:hAnsi="宋体" w:eastAsia="宋体" w:cs="宋体"/>
          <w:color w:val="auto"/>
          <w:sz w:val="24"/>
          <w:szCs w:val="24"/>
          <w:highlight w:val="none"/>
          <w:lang w:val="en-US" w:eastAsia="zh-CN"/>
        </w:rPr>
        <w:t xml:space="preserve">。</w:t>
      </w:r>
      <w:r/>
    </w:p>
    <w:p>
      <w:pPr>
        <w:numPr>
          <w:ilvl w:val="0"/>
          <w:numId w:val="0"/>
        </w:numPr>
        <w:ind w:left="0" w:right="0" w:firstLine="480"/>
        <w:spacing w:beforeAutospacing="0" w:afterAutospacing="0" w:line="440" w:lineRule="exact"/>
        <w:rPr>
          <w:rFonts w:ascii="Times New Roman" w:hAnsi="Times New Roman" w:eastAsia="宋体" w:cs="Times New Roman"/>
          <w:b/>
          <w:bCs/>
          <w:i w:val="0"/>
          <w:iCs w:val="0"/>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ascii="Times New Roman" w:hAnsi="Times New Roman" w:eastAsia="宋体" w:cs="Times New Roman"/>
          <w:b/>
          <w:bCs/>
          <w:i w:val="0"/>
          <w:iCs w:val="0"/>
          <w:color w:val="auto"/>
          <w:sz w:val="24"/>
          <w:szCs w:val="24"/>
          <w:highlight w:val="none"/>
        </w:rPr>
        <w:t xml:space="preserve">除</w:t>
      </w:r>
      <w:r>
        <w:rPr>
          <w:rFonts w:hint="eastAsia"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rPr>
        <w:t xml:space="preserve">辅助材料（含以施工为主的条目</w:t>
      </w:r>
      <w:r>
        <w:rPr>
          <w:rFonts w:hint="eastAsia" w:ascii="Times New Roman" w:hAnsi="Times New Roman" w:eastAsia="宋体" w:cs="Times New Roman"/>
          <w:b/>
          <w:bCs/>
          <w:i w:val="0"/>
          <w:iCs w:val="0"/>
          <w:color w:val="auto"/>
          <w:sz w:val="24"/>
          <w:szCs w:val="24"/>
          <w:highlight w:val="none"/>
          <w:lang w:val="en-US" w:eastAsia="zh-CN"/>
        </w:rPr>
        <w:t xml:space="preserve">中的辅材</w:t>
      </w:r>
      <w:r>
        <w:rPr>
          <w:rFonts w:ascii="Times New Roman" w:hAnsi="Times New Roman"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lang w:val="en-US" w:eastAsia="zh-CN"/>
        </w:rPr>
        <w:t xml:space="preserve">、</w:t>
      </w:r>
      <w:r>
        <w:rPr>
          <w:rFonts w:hint="eastAsia" w:ascii="Times New Roman" w:hAnsi="Times New Roman" w:cs="Times New Roman"/>
          <w:b/>
          <w:bCs/>
          <w:i w:val="0"/>
          <w:iCs w:val="0"/>
          <w:color w:val="auto"/>
          <w:sz w:val="24"/>
          <w:szCs w:val="24"/>
          <w:highlight w:val="none"/>
          <w:lang w:val="en-US" w:eastAsia="zh-CN"/>
        </w:rPr>
        <w:t xml:space="preserve">A5-01文宣装修、A3-17系统安装辅件、C3-17系统安装辅件、C4-10文宣装修、F1-09安装材料、G3-13系统安装辅件、G4-09配置辅材及施工、G4-10文宣装修、H3-17系统安装辅件、H4-01文宣装修、J3-17系统安装辅件、J4-09配置辅材及施工、J4-10文宣装修、K-09综</w:t>
      </w:r>
      <w:r>
        <w:rPr>
          <w:rFonts w:hint="eastAsia" w:ascii="Times New Roman" w:hAnsi="Times New Roman" w:cs="Times New Roman"/>
          <w:b/>
          <w:bCs/>
          <w:i w:val="0"/>
          <w:iCs w:val="0"/>
          <w:color w:val="auto"/>
          <w:sz w:val="24"/>
          <w:szCs w:val="24"/>
          <w:highlight w:val="none"/>
          <w:lang w:val="en-US" w:eastAsia="zh-CN"/>
        </w:rPr>
        <w:t xml:space="preserve">合布线、K-10电源布线、L-17文宣装修、M-12安装辅件、M-13文宣装修、N-13安装辅件、N-14文宣装修、O-03文宣装修、P-09文宣装修、Q-07文宣装修；AB1-44文宣装修、AC1-03室内地上配电安装、AC1-04室内地上给排水安装、AH1-13文宣装修、AI1-40文宣装修、AJ1-12文宣装修、AK3-14文宣装修、AL1-21文宣装修、AO6-06绿植、AO10-02文化墙、AP1-14文宣装修、AQ1-14文宣装修、AR1-11文宣装修、AS4-04文宣装修、AT1-19文宣装修</w:t>
      </w:r>
      <w:r>
        <w:rPr>
          <w:rFonts w:ascii="Times New Roman" w:hAnsi="Times New Roman" w:eastAsia="宋体" w:cs="Times New Roman"/>
          <w:b/>
          <w:bCs/>
          <w:i w:val="0"/>
          <w:iCs w:val="0"/>
          <w:color w:val="auto"/>
          <w:sz w:val="24"/>
          <w:szCs w:val="24"/>
          <w:highlight w:val="none"/>
          <w:lang w:val="en-US" w:eastAsia="zh-CN"/>
        </w:rPr>
        <w:t xml:space="preserve">和技术参数</w:t>
      </w:r>
      <w:r>
        <w:rPr>
          <w:rFonts w:ascii="Times New Roman" w:hAnsi="Times New Roman" w:eastAsia="宋体" w:cs="Times New Roman"/>
          <w:b/>
          <w:bCs/>
          <w:i w:val="0"/>
          <w:iCs w:val="0"/>
          <w:color w:val="auto"/>
          <w:sz w:val="24"/>
          <w:szCs w:val="24"/>
          <w:highlight w:val="none"/>
        </w:rPr>
        <w:t xml:space="preserve">标明为定制的货物</w:t>
      </w:r>
      <w:r>
        <w:rPr>
          <w:rFonts w:ascii="Times New Roman" w:hAnsi="Times New Roman"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lang w:val="en-US" w:eastAsia="zh-CN"/>
        </w:rPr>
        <w:t xml:space="preserve">仪器和器材</w:t>
      </w:r>
      <w:r>
        <w:rPr>
          <w:rFonts w:ascii="Times New Roman" w:hAnsi="Times New Roman" w:eastAsia="宋体" w:cs="Times New Roman"/>
          <w:b/>
          <w:bCs/>
          <w:i w:val="0"/>
          <w:iCs w:val="0"/>
          <w:color w:val="auto"/>
          <w:sz w:val="24"/>
          <w:szCs w:val="24"/>
          <w:highlight w:val="none"/>
        </w:rPr>
        <w:t xml:space="preserve">之外的其它应该标明品牌和型号的</w:t>
      </w:r>
      <w:r>
        <w:rPr>
          <w:rFonts w:ascii="Times New Roman" w:hAnsi="Times New Roman" w:eastAsia="宋体" w:cs="Times New Roman"/>
          <w:b/>
          <w:bCs/>
          <w:i w:val="0"/>
          <w:iCs w:val="0"/>
          <w:color w:val="auto"/>
          <w:sz w:val="24"/>
          <w:szCs w:val="24"/>
          <w:highlight w:val="none"/>
          <w:lang w:val="en-US" w:eastAsia="zh-CN"/>
        </w:rPr>
        <w:t xml:space="preserve">产品</w:t>
      </w:r>
      <w:r>
        <w:rPr>
          <w:rFonts w:ascii="Times New Roman" w:hAnsi="Times New Roman"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lang w:val="en-US" w:eastAsia="zh-CN"/>
        </w:rPr>
        <w:t xml:space="preserve">仪器和器材</w:t>
      </w:r>
      <w:r>
        <w:rPr>
          <w:rFonts w:hint="eastAsia" w:eastAsia="宋体" w:cs="Times New Roman"/>
          <w:b/>
          <w:bCs/>
          <w:i w:val="0"/>
          <w:iCs w:val="0"/>
          <w:color w:val="auto"/>
          <w:sz w:val="24"/>
          <w:szCs w:val="24"/>
          <w:highlight w:val="none"/>
          <w:lang w:val="en-US" w:eastAsia="zh-CN"/>
        </w:rPr>
        <w:t xml:space="preserve">”</w:t>
      </w:r>
      <w:r>
        <w:rPr>
          <w:rFonts w:ascii="Times New Roman" w:hAnsi="Times New Roman" w:eastAsia="宋体" w:cs="Times New Roman"/>
          <w:b/>
          <w:bCs/>
          <w:i w:val="0"/>
          <w:iCs w:val="0"/>
          <w:color w:val="auto"/>
          <w:sz w:val="24"/>
          <w:szCs w:val="24"/>
          <w:highlight w:val="none"/>
        </w:rPr>
        <w:t xml:space="preserve">，</w:t>
      </w:r>
      <w:r>
        <w:rPr>
          <w:rFonts w:hint="eastAsia" w:eastAsia="宋体" w:cs="Times New Roman"/>
          <w:b/>
          <w:bCs/>
          <w:i w:val="0"/>
          <w:iCs w:val="0"/>
          <w:color w:val="auto"/>
          <w:sz w:val="24"/>
          <w:szCs w:val="24"/>
          <w:highlight w:val="none"/>
          <w:lang w:val="en-US" w:eastAsia="zh-CN"/>
        </w:rPr>
        <w:t xml:space="preserve">投标人</w:t>
      </w:r>
      <w:r>
        <w:rPr>
          <w:rFonts w:ascii="Times New Roman" w:hAnsi="Times New Roman" w:eastAsia="宋体" w:cs="Times New Roman"/>
          <w:b/>
          <w:bCs/>
          <w:i w:val="0"/>
          <w:iCs w:val="0"/>
          <w:color w:val="auto"/>
          <w:sz w:val="24"/>
          <w:szCs w:val="24"/>
          <w:highlight w:val="none"/>
        </w:rPr>
        <w:t xml:space="preserve">在投标文件中必须标明</w:t>
      </w:r>
      <w:r>
        <w:rPr>
          <w:rFonts w:ascii="Times New Roman" w:hAnsi="Times New Roman" w:eastAsia="宋体" w:cs="Times New Roman"/>
          <w:b/>
          <w:bCs/>
          <w:i w:val="0"/>
          <w:iCs w:val="0"/>
          <w:color w:val="auto"/>
          <w:sz w:val="24"/>
          <w:szCs w:val="24"/>
          <w:highlight w:val="none"/>
          <w:lang w:val="en-US" w:eastAsia="zh-CN"/>
        </w:rPr>
        <w:t xml:space="preserve">产品</w:t>
      </w:r>
      <w:r>
        <w:rPr>
          <w:rFonts w:ascii="Times New Roman" w:hAnsi="Times New Roman"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lang w:val="en-US" w:eastAsia="zh-CN"/>
        </w:rPr>
        <w:t xml:space="preserve">仪器和器材</w:t>
      </w:r>
      <w:r>
        <w:rPr>
          <w:rFonts w:ascii="Times New Roman" w:hAnsi="Times New Roman" w:eastAsia="宋体" w:cs="Times New Roman"/>
          <w:b/>
          <w:bCs/>
          <w:i w:val="0"/>
          <w:iCs w:val="0"/>
          <w:color w:val="auto"/>
          <w:sz w:val="24"/>
          <w:szCs w:val="24"/>
          <w:highlight w:val="none"/>
        </w:rPr>
        <w:t xml:space="preserve">的品牌、型号，否则作无效</w:t>
      </w:r>
      <w:r>
        <w:rPr>
          <w:rFonts w:hint="eastAsia" w:eastAsia="宋体" w:cs="Times New Roman"/>
          <w:b/>
          <w:bCs/>
          <w:i w:val="0"/>
          <w:iCs w:val="0"/>
          <w:color w:val="auto"/>
          <w:sz w:val="24"/>
          <w:szCs w:val="24"/>
          <w:highlight w:val="none"/>
          <w:lang w:val="en-US" w:eastAsia="zh-CN"/>
        </w:rPr>
        <w:t xml:space="preserve">投标</w:t>
      </w:r>
      <w:r>
        <w:rPr>
          <w:rFonts w:ascii="Times New Roman" w:hAnsi="Times New Roman" w:eastAsia="宋体" w:cs="Times New Roman"/>
          <w:b/>
          <w:bCs/>
          <w:i w:val="0"/>
          <w:iCs w:val="0"/>
          <w:color w:val="auto"/>
          <w:sz w:val="24"/>
          <w:szCs w:val="24"/>
          <w:highlight w:val="none"/>
        </w:rPr>
        <w:t xml:space="preserve">处理。</w:t>
      </w:r>
      <w:r/>
    </w:p>
    <w:p>
      <w:pPr>
        <w:numPr>
          <w:ilvl w:val="0"/>
          <w:numId w:val="0"/>
        </w:numPr>
        <w:ind w:left="0" w:right="0" w:firstLine="480"/>
        <w:spacing w:beforeAutospacing="0" w:afterAutospacing="0" w:line="440" w:lineRule="exact"/>
        <w:rPr>
          <w:rFonts w:hint="default" w:ascii="Times New Roman" w:hAnsi="Times New Roman" w:cs="Times New Roman"/>
          <w:b/>
          <w:bCs/>
          <w:i w:val="0"/>
          <w:iCs w:val="0"/>
          <w:color w:val="auto"/>
          <w:sz w:val="24"/>
          <w:szCs w:val="24"/>
          <w:highlight w:val="none"/>
          <w:lang w:val="en-US" w:eastAsia="zh-CN"/>
        </w:rPr>
      </w:pPr>
      <w:r>
        <w:rPr>
          <w:rFonts w:hint="eastAsia" w:ascii="Times New Roman" w:hAnsi="Times New Roman" w:cs="Times New Roman"/>
          <w:b/>
          <w:bCs/>
          <w:i w:val="0"/>
          <w:iCs w:val="0"/>
          <w:color w:val="auto"/>
          <w:sz w:val="24"/>
          <w:szCs w:val="24"/>
          <w:highlight w:val="none"/>
          <w:lang w:val="en-US" w:eastAsia="zh-CN"/>
        </w:rPr>
        <w:t xml:space="preserve">5.采购包2技术参数中要求“生产厂家品牌需经商标注册，并持有品牌商标注册证书”，中标后由采购方随机抽查，未提供的，采购方有权拒收并要求提供符合采购需求的产品，产品价格不得低于中标价。</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.投标人应当对《中小企业声明函》真实性负责，投标人出具的《中小企业声明函》应当对本次采购标的逐一列明制造商且应当与明细报价表内容相对应。</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.除特别标注尺寸偏差、大于、大于等于、小于及小于等于之外，</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固定尺寸允许偏差±5%。</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供货前</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应提供相关货物、设备的规格、颜色、外形等供采购人确认</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否则造成的损失由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自行承担。产品必须是正规厂家新品，不得使用已经淘汰或拼凑、组装的伪劣、假冒部件及产品经</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人审验合格后方可进场，所有产品需符合国家标准要求</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不得以次充好。</w:t>
      </w:r>
      <w:r/>
    </w:p>
    <w:p>
      <w:pPr>
        <w:numPr>
          <w:ilvl w:val="0"/>
          <w:numId w:val="0"/>
        </w:numPr>
        <w:ind w:left="0" w:right="0" w:firstLine="56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应在合同签订后规定时间按要求将货物运输至业主指定的交货地点。零散及易损件须用木箱包装，确保防盗、防震、防潮、防破损、运输方式确定，并且由于运输造成的设备损坏，丢失均由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负责处理，未按进度供货的，责任</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自负。</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.经</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人确认供货完成后，</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应在规定时间内完成货物的安装、调试的工作，对于安装、调试出现质量问题的，</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应及时更换新的产品，确保货物质量。</w:t>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lang w:val="en-US" w:eastAsia="zh-CN"/>
        </w:rPr>
        <w:t xml:space="preserve">、项目要求</w:t>
      </w:r>
      <w:r/>
    </w:p>
    <w:p>
      <w:pPr>
        <w:ind w:left="0" w:right="0" w:firstLine="482"/>
        <w:keepLines w:val="0"/>
        <w:keepNext w:val="0"/>
        <w:pageBreakBefore w:val="0"/>
        <w:spacing w:beforeAutospacing="0" w:afterAutospacing="0" w:line="44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（一）供货要求</w:t>
      </w:r>
      <w:r/>
    </w:p>
    <w:p>
      <w:pPr>
        <w:numPr>
          <w:ilvl w:val="0"/>
          <w:numId w:val="0"/>
        </w:numPr>
        <w:ind w:left="0" w:right="0" w:firstLine="480"/>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应提供合格货物，保证货物为全新、未使用的原厂原装正品，货物上均有合格证，包括品牌的有关标志。</w:t>
      </w:r>
      <w:r/>
    </w:p>
    <w:p>
      <w:pPr>
        <w:ind w:left="0" w:right="0" w:firstLine="482"/>
        <w:keepLines w:val="0"/>
        <w:keepNext w:val="0"/>
        <w:pageBreakBefore w:val="0"/>
        <w:spacing w:beforeAutospacing="0" w:afterAutospacing="0" w:line="44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（二）质量保证</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应保证提供的货物经过正确安装、正常使用和保养条件下，在其使用寿命内应具有满意的性能。货物最终验收后，在售后服务期内，</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应对由于设计、工艺或材料的缺陷以及其他由于生产厂家或</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的原因而发生的任何不足或故障负责，费用由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负担。</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（2）根据当地法定检验机构的检验结果或者在售后服务期内，如果货物的质量或规格型号与合同不符，或证明货物是有缺陷的，包括潜在的缺陷或使用不符合要求的材料等，采购人有权向</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发出索赔通知。</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在收到通知后，应在合同所附服务承诺约定的时间内维修、更换有缺陷的货物或部件。</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在收到通知后，在合同所附服务承诺约定的时间内没有弥补缺陷，采购人可采取必要的补救措施，但风险和费用将由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承担。</w:t>
      </w:r>
      <w:r/>
    </w:p>
    <w:p>
      <w:pPr>
        <w:ind w:left="0" w:right="0" w:firstLine="480"/>
        <w:keepLines w:val="0"/>
        <w:keepNext w:val="0"/>
        <w:pageBreakBefore w:val="0"/>
        <w:spacing w:beforeAutospacing="0" w:afterAutospacing="0" w:line="440" w:lineRule="exact"/>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如供应商中标，项目组成员不得随意更换。如需更换，必须经采购人同意，且替换人员相关能力不得低于被替换人员。</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（三）货物的包装、发运及运输</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应在货物发运前对其进行满足运输距离、防潮、防震、防锈和防破损装卸等要求包装，以保证货物安全运达采购人指定地点。</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对货物的包装应符合《商品包装政府采购需求标准（试行）</w:t>
      </w:r>
      <w:r>
        <w:rPr>
          <w:rFonts w:hint="eastAsia" w:ascii="宋体"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《快递包装政府采购需求标准（试行）》的规定。</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（2）使用说明书、质量检验证明书、随配附件和工具以及清单一并附于货物内。</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在货物发运手续办理完毕后24小时内或货到采购人48小时前通知采购人，以准备接货。</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（4）货物在交付采购人前发生的风险均由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负责。</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）货物在规定的交付期限内由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送达采购人指定的地点视为交付，</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同时需通知采购人货物已送达。</w:t>
      </w:r>
      <w:r/>
    </w:p>
    <w:p>
      <w:pPr>
        <w:ind w:firstLine="482"/>
        <w:spacing w:line="360" w:lineRule="auto"/>
        <w:rPr>
          <w:rFonts w:ascii="Times New Roman" w:hAnsi="Times New Roman" w:eastAsia="宋体" w:cs="Times New Roman"/>
          <w:b/>
          <w:bCs/>
          <w:iCs/>
          <w:color w:val="auto"/>
          <w:sz w:val="24"/>
          <w:szCs w:val="24"/>
          <w:highlight w:val="none"/>
        </w:rPr>
      </w:pPr>
      <w:r>
        <w:rPr>
          <w:rFonts w:ascii="Times New Roman" w:hAnsi="Times New Roman" w:eastAsia="宋体" w:cs="Times New Roman"/>
          <w:b/>
          <w:bCs/>
          <w:iCs/>
          <w:color w:val="auto"/>
          <w:sz w:val="24"/>
          <w:szCs w:val="24"/>
          <w:highlight w:val="none"/>
        </w:rPr>
        <w:t xml:space="preserve">（</w:t>
      </w:r>
      <w:r>
        <w:rPr>
          <w:rFonts w:hint="eastAsia" w:ascii="Times New Roman" w:hAnsi="Times New Roman" w:cs="Times New Roman"/>
          <w:b/>
          <w:bCs/>
          <w:iCs/>
          <w:color w:val="auto"/>
          <w:sz w:val="24"/>
          <w:szCs w:val="24"/>
          <w:highlight w:val="none"/>
          <w:lang w:val="en-US" w:eastAsia="zh-CN"/>
        </w:rPr>
        <w:t xml:space="preserve">四</w:t>
      </w:r>
      <w:r>
        <w:rPr>
          <w:rFonts w:ascii="Times New Roman" w:hAnsi="Times New Roman" w:eastAsia="宋体" w:cs="Times New Roman"/>
          <w:b/>
          <w:bCs/>
          <w:iCs/>
          <w:color w:val="auto"/>
          <w:sz w:val="24"/>
          <w:szCs w:val="24"/>
          <w:highlight w:val="none"/>
        </w:rPr>
        <w:t xml:space="preserve">）清单相关装修安装要求（装修安装部分）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w:t>
      </w:r>
      <w:r>
        <w:rPr>
          <w:rFonts w:ascii="Times New Roman" w:hAnsi="Times New Roman" w:eastAsia="宋体" w:cs="Times New Roman"/>
          <w:color w:val="auto"/>
          <w:sz w:val="24"/>
          <w:szCs w:val="24"/>
          <w:highlight w:val="none"/>
        </w:rPr>
        <w:t xml:space="preserve">投标人</w:t>
      </w:r>
      <w:r>
        <w:rPr>
          <w:rFonts w:ascii="Times New Roman" w:hAnsi="Times New Roman" w:eastAsia="宋体" w:cs="Times New Roman"/>
          <w:color w:val="auto"/>
          <w:sz w:val="24"/>
          <w:szCs w:val="24"/>
          <w:highlight w:val="none"/>
          <w:lang w:val="en-US" w:eastAsia="zh-CN"/>
        </w:rPr>
        <w:t xml:space="preserve">可提前</w:t>
      </w:r>
      <w:r>
        <w:rPr>
          <w:rFonts w:ascii="Times New Roman" w:hAnsi="Times New Roman" w:eastAsia="宋体" w:cs="Times New Roman"/>
          <w:color w:val="auto"/>
          <w:sz w:val="24"/>
          <w:szCs w:val="24"/>
          <w:highlight w:val="none"/>
        </w:rPr>
        <w:t xml:space="preserve">自行踏勘现场，结合项目现场和采购人要求，充分考虑装修、安装涉及的接电接水管材、电源线、桥架、支架、管道、管线、配件辅材、电路控制电气（</w:t>
      </w:r>
      <w:r>
        <w:rPr>
          <w:rFonts w:hint="eastAsia" w:ascii="Times New Roman" w:hAnsi="Times New Roman" w:cs="Times New Roman"/>
          <w:color w:val="auto"/>
          <w:sz w:val="24"/>
          <w:szCs w:val="24"/>
          <w:highlight w:val="none"/>
          <w:lang w:eastAsia="zh-CN"/>
        </w:rPr>
        <w:t xml:space="preserve">如需</w:t>
      </w:r>
      <w:r>
        <w:rPr>
          <w:rFonts w:ascii="Times New Roman" w:hAnsi="Times New Roman" w:eastAsia="宋体" w:cs="Times New Roman"/>
          <w:color w:val="auto"/>
          <w:sz w:val="24"/>
          <w:szCs w:val="24"/>
          <w:highlight w:val="none"/>
        </w:rPr>
        <w:t xml:space="preserve">有，须含电箱）</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设备安装基础及设备吊装、高空作业（如有，须满足）、管道开洞及封补洞、垃圾清运等全部采购安装事务及费用</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其他相关辅材等。以上相关配件辅材，因考虑不全造成遗漏，均由中标人负责，视同中标人主动让利，不再另计。所有设施设备及</w:t>
      </w:r>
      <w:r>
        <w:rPr>
          <w:rFonts w:hint="eastAsia" w:ascii="Times New Roman" w:hAnsi="Times New Roman" w:cs="Times New Roman"/>
          <w:color w:val="auto"/>
          <w:sz w:val="24"/>
          <w:szCs w:val="24"/>
          <w:highlight w:val="none"/>
          <w:lang w:eastAsia="zh-CN"/>
        </w:rPr>
        <w:t xml:space="preserve">外露</w:t>
      </w:r>
      <w:r>
        <w:rPr>
          <w:rFonts w:ascii="Times New Roman" w:hAnsi="Times New Roman" w:eastAsia="宋体" w:cs="Times New Roman"/>
          <w:color w:val="auto"/>
          <w:sz w:val="24"/>
          <w:szCs w:val="24"/>
          <w:highlight w:val="none"/>
        </w:rPr>
        <w:t xml:space="preserve">管线设置及处理须满足采购人关于布局整体要求和项目需求，确保耐久、安全（如有，须含）。安装及供</w:t>
      </w:r>
      <w:r>
        <w:rPr>
          <w:rFonts w:hint="eastAsia" w:ascii="Times New Roman" w:hAnsi="Times New Roman" w:cs="Times New Roman"/>
          <w:color w:val="auto"/>
          <w:sz w:val="24"/>
          <w:szCs w:val="24"/>
          <w:highlight w:val="none"/>
          <w:lang w:eastAsia="zh-CN"/>
        </w:rPr>
        <w:t xml:space="preserve">货数</w:t>
      </w:r>
      <w:r>
        <w:rPr>
          <w:rFonts w:ascii="Times New Roman" w:hAnsi="Times New Roman" w:eastAsia="宋体" w:cs="Times New Roman"/>
          <w:color w:val="auto"/>
          <w:sz w:val="24"/>
          <w:szCs w:val="24"/>
          <w:highlight w:val="none"/>
        </w:rPr>
        <w:t xml:space="preserve">量等投标事宜并承担所有关联责任，确保本项目供货及安装调试全面满足项目技术要求及安装调试规范标准、采购人要求和项目功能使用和进度需求。</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中标人</w:t>
      </w:r>
      <w:r>
        <w:rPr>
          <w:rFonts w:ascii="Times New Roman" w:hAnsi="Times New Roman" w:eastAsia="宋体" w:cs="Times New Roman"/>
          <w:color w:val="auto"/>
          <w:sz w:val="24"/>
          <w:szCs w:val="24"/>
          <w:highlight w:val="none"/>
        </w:rPr>
        <w:t xml:space="preserve">结合项目</w:t>
      </w:r>
      <w:r>
        <w:rPr>
          <w:rFonts w:ascii="Times New Roman" w:hAnsi="Times New Roman" w:eastAsia="宋体" w:cs="Times New Roman"/>
          <w:color w:val="auto"/>
          <w:sz w:val="24"/>
          <w:szCs w:val="24"/>
          <w:highlight w:val="none"/>
          <w:lang w:val="en-US" w:eastAsia="zh-CN"/>
        </w:rPr>
        <w:t xml:space="preserve">实际需求</w:t>
      </w:r>
      <w:r>
        <w:rPr>
          <w:rFonts w:ascii="Times New Roman" w:hAnsi="Times New Roman" w:eastAsia="宋体" w:cs="Times New Roman"/>
          <w:color w:val="auto"/>
          <w:sz w:val="24"/>
          <w:szCs w:val="24"/>
          <w:highlight w:val="none"/>
        </w:rPr>
        <w:t xml:space="preserve">，深化供货方案，务必满足设施设备安装和使用功能整体需求；中标后合同签订后3日历天内提供</w:t>
      </w:r>
      <w:r>
        <w:rPr>
          <w:rFonts w:hint="eastAsia" w:ascii="Times New Roman" w:hAnsi="Times New Roman" w:cs="Times New Roman"/>
          <w:color w:val="auto"/>
          <w:sz w:val="24"/>
          <w:szCs w:val="24"/>
          <w:highlight w:val="none"/>
          <w:lang w:val="en-US" w:eastAsia="zh-CN"/>
        </w:rPr>
        <w:t xml:space="preserve">文宣装修的</w:t>
      </w:r>
      <w:r>
        <w:rPr>
          <w:rFonts w:ascii="Times New Roman" w:hAnsi="Times New Roman" w:eastAsia="宋体" w:cs="Times New Roman"/>
          <w:color w:val="auto"/>
          <w:sz w:val="24"/>
          <w:szCs w:val="24"/>
          <w:highlight w:val="none"/>
        </w:rPr>
        <w:t xml:space="preserve">深化方案</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方案须明确工作进度（全面服从室内装修和采购人关于本项目的各相关工序施工安排，满足相关项目的配合施工和验收需求），且须满足该项目装修、安装规范要求；书面方案报经本项目采购人同意后，方可实施。因不满足规范要求，造成相关安装责任及损失的，由中标人全部负责。</w:t>
      </w:r>
      <w:r/>
    </w:p>
    <w:p>
      <w:pPr>
        <w:pStyle w:val="911"/>
        <w:ind w:left="0" w:right="0" w:firstLine="560"/>
        <w:spacing w:beforeAutospacing="0" w:afterAutospacing="0" w:line="440" w:lineRule="exact"/>
        <w:tabs>
          <w:tab w:val="left" w:pos="753" w:leader="none"/>
        </w:tabs>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施工注意事项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必须注意装修、安装调试现场安全，做好安全文明施工工作，一切责任由中标人负责，与采购人无关。施工过程中中标人应做好原有建筑及设施防护工作，如因中标人原因造成原有建筑及设施损坏，由中标人负责维修恢复原样。</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）验收</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验收时间：设备安装调试经采购人试用并达到验收标准后，采购人根据合同约定组织验收。</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验收内容：包括设备品牌、型号、规格、数量是否符合合同规定，外观质量、产品包装是否完好、安装调试是否合格，所提供设备装箱清单、操作说明、维修手册等是否齐全。</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成立验收小组，按照采购合同的约定对中标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（2）验收标准</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按照招标文件、投标文件及相关标准实施。有国家标准的应符合国家标准，无国家标准的应符合行业标准、地方标准或者其他标准、规范，并满足招标文件要求，同时服从采购人安排要求。</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）节能、环保产品政策</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）商品包装、快递包装政府采购需求标准</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）采购本国货物、工程和服务</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en-US" w:eastAsia="zh-CN"/>
        </w:rPr>
        <w:t xml:space="preserve">、项目实施要求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投标人针对本项目提供详细的项目实施方案，内容包括但不限于：质量保证</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培训及技术支持</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售后服务方案等。</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（一）质量保障要求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投标人针对本项目提供详细的质量保证</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，内容包括但不限于：</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（1）详细的</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质量保证体系、质量方针和目标、质量管理措施、质量控制措施等方面的内容</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详细的施工进度保障方案，</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一份详尽的项目进度计划，有明确的时间节点和进度安排，展示项目各阶段的起止时间、关键过程等，且要充分考虑</w:t>
      </w:r>
      <w:r>
        <w:rPr>
          <w:rFonts w:hint="eastAsia" w:ascii="宋体" w:hAnsi="宋体" w:cs="宋体"/>
          <w:color w:val="auto"/>
          <w:sz w:val="24"/>
          <w:szCs w:val="24"/>
          <w:highlight w:val="none"/>
          <w:lang w:val="en-US" w:eastAsia="zh-CN"/>
        </w:rPr>
        <w:t xml:space="preserve">环境、天气等因素</w:t>
      </w:r>
      <w:r>
        <w:rPr>
          <w:rFonts w:hint="eastAsia" w:ascii="宋体" w:hAnsi="宋体" w:eastAsia="宋体" w:cs="宋体"/>
          <w:color w:val="auto"/>
          <w:sz w:val="24"/>
          <w:szCs w:val="24"/>
          <w:highlight w:val="none"/>
          <w:lang w:val="en-US" w:eastAsia="zh-CN"/>
        </w:rPr>
        <w:t xml:space="preserve">，避免影响工期。</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详细的现场管理要求</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现场管理策略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安全生产措施、环境保护措施以及日常现场管理流程等。</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）培训及技术支持</w:t>
      </w:r>
      <w:r>
        <w:rPr>
          <w:rFonts w:hint="eastAsia" w:ascii="宋体" w:hAnsi="宋体" w:eastAsia="宋体" w:cs="宋体"/>
          <w:b/>
          <w:bCs/>
          <w:color w:val="auto"/>
          <w:sz w:val="24"/>
          <w:szCs w:val="24"/>
          <w:highlight w:val="none"/>
          <w:lang w:val="en-US" w:eastAsia="zh-CN"/>
        </w:rPr>
        <w:t xml:space="preserve">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投标人结合用户实际情况，在安装过程中或安装结束后，对采购人和操作人员进行操作培训并提供快捷操作指南（塑胶封好，挂在设备上）。</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同时投标人需制定适合用户详细、操作性强的培训方案，内容包含但不限于培训目的、培训时间、培训内容、培训对象、培训地点、培训方式及课时安排、培训教材、培训师资等。</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（1）培训目的：通过对用户的培训，使其对设备的使用、操作、维护进行培训，并提供安装使用维护说明书，以确保使用单位能够对设备有足够的了解，能够独立进行日常操作、管理和维护。</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（2）培训时间：投标人完成供货并交付用户使用之日起两周内对用户完成培训。交付使用1个月后投标人须派遣专业技术人员到工作现场，对用户各种技术问题和使用进行现场指导和培训。</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（3）培训内容：包括但不限于安全知识学习、产品具有的功能学习、产品体系架构学习、安装、调试、操作的培训、产品的日常维护学习、产品的故障紧急处理。</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（4）培训对象：本次采购的产品使用者。</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（5）培训地点：同交货地点。</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（6）培训方式及课时安排：现场培训或线上培训、至少2课时，每课时至少30分钟。</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（7）培训教材：免费提供培训教材纸质版或电子版（含使用手册）等。</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（8）培训师资：投标人须委派专业技术人员对用户进行培训。</w:t>
      </w:r>
      <w:r/>
    </w:p>
    <w:p>
      <w:pPr>
        <w:ind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val="en-US" w:eastAsia="zh-CN"/>
        </w:rPr>
        <w:t xml:space="preserve">售后服务要求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投标人针对本项目提供详细的售后服务方案，内容包含但不限于：</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要求售后服务期：售后服务期内对产品质量实行三包，免费为本项目采购的所有产品提供维修、保养、替换故障部件等服务。此项目要求提供技术支持服务，处理用户出现的各种问题和故障，以保证用户工作的正常运行。应在接到故障通知2小时内作出有效响应，如需现场解决，到达现场时间不超过8小时，特殊情况下不超过24小时内到达现场免费予以排除故障、修复或更换零部件。如3个工作日内不能修复必须提供备用机使用，确保采购人能正常开展工作，设备在设计</w:t>
      </w:r>
      <w:r>
        <w:rPr>
          <w:rFonts w:hint="eastAsia" w:ascii="宋体" w:hAnsi="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周期内，保证更换到原厂配件。</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售后人员配备情况：本项目的保修服务方式均为上门保修，即由投标人派技术人员到采购单位使用现场维修，由此产生的一切费用均由投标人承担。售后人员配备不少于1人，提供售后人员相关信息及提供免费保修电话。</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）售后服务期满后，投标人仍有义务提供优惠的技术服务（包括提供设备维护、备件等）。</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）售后服务期满后主要产品、配件优惠方案：售后服务期结束后，投标人应当提供保修服务，收取费用不得高于其他服务客户的费用。</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）投标人未在上述规定时间内履行售后服务义务的，采购人可选择是否委托第三方代为处理，由此产生的费用及损失均由投标人承担。</w:t>
      </w:r>
      <w:r/>
    </w:p>
    <w:p>
      <w:pPr>
        <w:ind w:left="0" w:right="0" w:firstLine="480"/>
        <w:keepLines w:val="0"/>
        <w:keepNext w:val="0"/>
        <w:pageBreakBefore w:val="0"/>
        <w:spacing w:beforeAutospacing="0" w:afterAutospacing="0" w:line="440" w:lineRule="exact"/>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采购需求清单中涉及软件产品的，采购方享有软件永久使用权。</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lang w:val="en-US" w:eastAsia="zh-CN"/>
        </w:rPr>
        <w:t xml:space="preserve">、报价要求</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报价内容包括：所需设备、材料、安装、调试、维护、培训、运输、施工、垃圾清扫和搬运、成品保护、检测、检验、利润、税金、政策性文件规定及本项目包含的所有风险、责任等各项应有费用。</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供应商报价时应充分考虑所有可能影响到报价的因素，一旦招标结束最终成交，总价将包定，不予调整。如发生漏、缺、少项，都将被认为是成交供应商的报价让利行为，损失自付。</w:t>
      </w:r>
      <w:r/>
    </w:p>
    <w:p>
      <w:pPr>
        <w:pStyle w:val="888"/>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bookmarkStart w:id="120" w:name="_Toc17633"/>
      <w:r/>
      <w:bookmarkEnd w:id="120"/>
      <w:r/>
      <w:bookmarkStart w:id="121" w:name="_Toc143102494"/>
      <w:r/>
      <w:bookmarkEnd w:id="121"/>
      <w:r/>
      <w:bookmarkStart w:id="122" w:name="_Toc176774461"/>
      <w:r/>
      <w:bookmarkStart w:id="123" w:name="_Toc7021"/>
      <w:r/>
      <w:bookmarkStart w:id="124" w:name="_Toc81575206"/>
      <w:r/>
      <w:bookmarkStart w:id="125" w:name="_Toc81575169"/>
      <w:r/>
      <w:r/>
    </w:p>
    <w:p>
      <w:pPr>
        <w:pStyle w:val="888"/>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88"/>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4"/>
          <w:szCs w:val="24"/>
          <w:highlight w:val="none"/>
          <w:shd w:val="clear" w:color="auto" w:fill="ffffff"/>
        </w:rPr>
      </w:r>
      <w:r/>
    </w:p>
    <w:p>
      <w:pPr>
        <w:pStyle w:val="888"/>
        <w:ind w:right="0"/>
        <w:jc w:val="center"/>
        <w:spacing w:before="0" w:beforeAutospacing="0" w:after="0" w:afterAutospacing="0" w:line="440" w:lineRule="exact"/>
        <w:rPr>
          <w:rFonts w:hint="eastAsia" w:ascii="宋体" w:hAnsi="宋体" w:eastAsia="宋体" w:cs="宋体"/>
          <w:b/>
          <w:bCs/>
          <w:color w:val="auto"/>
          <w:sz w:val="36"/>
          <w:szCs w:val="36"/>
          <w:highlight w:val="none"/>
          <w:shd w:val="clear" w:color="auto" w:fill="ffffff"/>
        </w:rPr>
      </w:pPr>
      <w:r>
        <w:rPr>
          <w:rFonts w:hint="eastAsia" w:ascii="宋体" w:hAnsi="宋体" w:eastAsia="宋体" w:cs="宋体"/>
          <w:b/>
          <w:bCs/>
          <w:color w:val="auto"/>
          <w:sz w:val="36"/>
          <w:szCs w:val="36"/>
          <w:highlight w:val="none"/>
          <w:shd w:val="clear" w:color="auto" w:fill="ffffff"/>
        </w:rPr>
        <w:t xml:space="preserve">第五部分  合同格式及条款</w:t>
      </w:r>
      <w:bookmarkEnd w:id="122"/>
      <w:r/>
      <w:bookmarkEnd w:id="123"/>
      <w:r/>
      <w:bookmarkEnd w:id="124"/>
      <w:r/>
      <w:bookmarkEnd w:id="125"/>
      <w:r/>
      <w:r/>
    </w:p>
    <w:p>
      <w:pPr>
        <w:pStyle w:val="705"/>
        <w:ind w:left="0" w:right="0"/>
        <w:jc w:val="center"/>
        <w:spacing w:beforeAutospacing="0" w:afterAutospacing="0" w:line="440" w:lineRule="exact"/>
        <w:rPr>
          <w:rFonts w:hint="eastAsia" w:ascii="宋体" w:hAnsi="宋体" w:eastAsia="宋体" w:cs="宋体"/>
          <w:b/>
          <w:bCs/>
          <w:color w:val="auto"/>
          <w:spacing w:val="-20"/>
          <w:sz w:val="24"/>
          <w:szCs w:val="24"/>
          <w:highlight w:val="none"/>
        </w:rPr>
      </w:pPr>
      <w:r/>
      <w:bookmarkStart w:id="126" w:name="_Toc81575170"/>
      <w:r/>
      <w:bookmarkEnd w:id="126"/>
      <w:r/>
      <w:bookmarkStart w:id="127" w:name="_Toc81575207"/>
      <w:r/>
      <w:bookmarkEnd w:id="127"/>
      <w:r/>
      <w:bookmarkStart w:id="128" w:name="_Toc19649"/>
      <w:r/>
      <w:bookmarkEnd w:id="128"/>
      <w:r>
        <w:rPr>
          <w:rFonts w:hint="eastAsia" w:ascii="宋体" w:hAnsi="宋体" w:eastAsia="宋体" w:cs="宋体"/>
          <w:color w:val="auto"/>
          <w:sz w:val="24"/>
          <w:szCs w:val="24"/>
          <w:highlight w:val="none"/>
        </w:rPr>
        <w:t xml:space="preserve"> </w:t>
      </w:r>
      <w:r/>
    </w:p>
    <w:p>
      <w:pPr>
        <w:pStyle w:val="705"/>
        <w:ind w:left="0" w:right="0"/>
        <w:jc w:val="center"/>
        <w:spacing w:beforeAutospacing="0" w:afterAutospacing="0" w:line="44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t xml:space="preserve">政府采购</w:t>
      </w:r>
      <w:r>
        <w:rPr>
          <w:rFonts w:hint="eastAsia" w:ascii="宋体" w:hAnsi="宋体" w:eastAsia="宋体" w:cs="宋体"/>
          <w:b/>
          <w:bCs/>
          <w:color w:val="auto"/>
          <w:spacing w:val="-20"/>
          <w:sz w:val="24"/>
          <w:szCs w:val="24"/>
          <w:highlight w:val="none"/>
          <w:lang w:eastAsia="zh-CN"/>
        </w:rPr>
        <w:t xml:space="preserve">货物买卖</w:t>
      </w:r>
      <w:r>
        <w:rPr>
          <w:rFonts w:hint="eastAsia" w:ascii="宋体" w:hAnsi="宋体" w:eastAsia="宋体" w:cs="宋体"/>
          <w:b/>
          <w:bCs/>
          <w:color w:val="auto"/>
          <w:spacing w:val="-20"/>
          <w:sz w:val="24"/>
          <w:szCs w:val="24"/>
          <w:highlight w:val="none"/>
        </w:rPr>
        <w:t xml:space="preserve">合同</w:t>
      </w:r>
      <w:r/>
    </w:p>
    <w:p>
      <w:pPr>
        <w:pStyle w:val="705"/>
        <w:ind w:left="0" w:right="0"/>
        <w:jc w:val="center"/>
        <w:spacing w:beforeAutospacing="0" w:afterAutospacing="0" w:line="440" w:lineRule="exact"/>
        <w:rPr>
          <w:rFonts w:hint="eastAsia" w:ascii="宋体" w:hAnsi="宋体" w:eastAsia="宋体" w:cs="宋体"/>
          <w:b/>
          <w:bCs/>
          <w:color w:val="auto"/>
          <w:spacing w:val="-20"/>
          <w:sz w:val="24"/>
          <w:szCs w:val="24"/>
          <w:highlight w:val="none"/>
          <w:lang w:eastAsia="zh-CN"/>
        </w:rPr>
      </w:pPr>
      <w:r>
        <w:rPr>
          <w:rFonts w:hint="eastAsia" w:ascii="宋体" w:hAnsi="宋体" w:eastAsia="宋体" w:cs="宋体"/>
          <w:b/>
          <w:bCs/>
          <w:color w:val="auto"/>
          <w:spacing w:val="-20"/>
          <w:sz w:val="24"/>
          <w:szCs w:val="24"/>
          <w:highlight w:val="none"/>
          <w:lang w:eastAsia="zh-CN"/>
        </w:rPr>
      </w:r>
      <w:r/>
    </w:p>
    <w:p>
      <w:pPr>
        <w:ind w:left="0" w:right="0"/>
        <w:spacing w:beforeAutospacing="0" w:afterAutospacing="0" w:line="44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left="0" w:right="0"/>
        <w:spacing w:beforeAutospacing="0" w:afterAutospacing="0" w:line="44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left="0" w:right="0"/>
        <w:spacing w:beforeAutospacing="0" w:afterAutospacing="0" w:line="44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u w:val="single"/>
          <w:lang w:eastAsia="zh-CN"/>
        </w:rPr>
        <w:t xml:space="preserve">泗洪姜堰实验学校初中部功能室、实验室采购项目</w:t>
      </w:r>
      <w:r/>
    </w:p>
    <w:p>
      <w:pPr>
        <w:ind w:left="0" w:right="0"/>
        <w:spacing w:beforeAutospacing="0" w:afterAutospacing="0"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合同编号：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w:t>
      </w:r>
      <w:r>
        <w:rPr>
          <w:rFonts w:hint="eastAsia" w:ascii="宋体" w:hAnsi="宋体" w:cs="宋体"/>
          <w:color w:val="auto"/>
          <w:sz w:val="24"/>
          <w:szCs w:val="24"/>
          <w:highlight w:val="none"/>
          <w:u w:val="single"/>
          <w:lang w:eastAsia="zh-CN"/>
        </w:rPr>
        <w:t xml:space="preserve">泗洪姜堰实验学校</w:t>
      </w:r>
      <w:r>
        <w:rPr>
          <w:rFonts w:hint="eastAsia" w:ascii="宋体" w:hAnsi="宋体" w:eastAsia="宋体" w:cs="宋体"/>
          <w:color w:val="auto"/>
          <w:sz w:val="24"/>
          <w:szCs w:val="24"/>
          <w:highlight w:val="none"/>
          <w:u w:val="single"/>
          <w:lang w:val="en-US" w:eastAsia="zh-CN"/>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    方：</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签订时间：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val="en-US" w:eastAsia="zh-CN"/>
        </w:rPr>
        <w:t xml:space="preserve">年  月  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129" w:name="_Toc22209"/>
      <w:r/>
      <w:bookmarkEnd w:id="129"/>
      <w:r/>
      <w:r/>
    </w:p>
    <w:p>
      <w:pPr>
        <w:pStyle w:val="692"/>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第一节 政府采购合同协议书</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w:t>
      </w:r>
      <w:r>
        <w:rPr>
          <w:rFonts w:hint="eastAsia" w:ascii="宋体" w:hAnsi="宋体" w:cs="宋体"/>
          <w:color w:val="auto"/>
          <w:sz w:val="24"/>
          <w:szCs w:val="24"/>
          <w:highlight w:val="none"/>
          <w:u w:val="single"/>
          <w:lang w:eastAsia="zh-CN"/>
        </w:rPr>
        <w:t xml:space="preserve">泗洪姜堰实验学校</w:t>
      </w:r>
      <w:r>
        <w:rPr>
          <w:rFonts w:hint="eastAsia" w:ascii="宋体" w:hAnsi="宋体" w:eastAsia="宋体" w:cs="宋体"/>
          <w:color w:val="auto"/>
          <w:sz w:val="24"/>
          <w:szCs w:val="24"/>
          <w:highlight w:val="none"/>
        </w:rPr>
        <w:t xml:space="preserve">（采购人）</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pStyle w:val="706"/>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4"/>
        </w:numPr>
        <w:ind w:left="0" w:right="0" w:firstLine="422"/>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项目信息</w:t>
      </w:r>
      <w:r/>
    </w:p>
    <w:p>
      <w:pPr>
        <w:numPr>
          <w:ilvl w:val="0"/>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u w:val="single"/>
          <w:lang w:eastAsia="zh-CN"/>
        </w:rPr>
        <w:t xml:space="preserve">泗洪姜堰实验学校初中部功能室、实验室采购项目</w:t>
      </w:r>
      <w:r>
        <w:rPr>
          <w:rFonts w:hint="eastAsia" w:ascii="宋体" w:hAnsi="宋体" w:eastAsia="宋体" w:cs="宋体"/>
          <w:color w:val="auto"/>
          <w:sz w:val="24"/>
          <w:szCs w:val="24"/>
          <w:highlight w:val="none"/>
        </w:rPr>
        <w:t xml:space="preserve">         </w:t>
      </w:r>
      <w:r/>
    </w:p>
    <w:p>
      <w:pPr>
        <w:pStyle w:val="706"/>
        <w:numPr>
          <w:ilvl w:val="255"/>
          <w:numId w:val="0"/>
        </w:numPr>
        <w:ind w:left="0" w:right="0" w:firstLine="480"/>
        <w:keepLines w:val="0"/>
        <w:keepNext w:val="0"/>
        <w:pageBreakBefore w:val="0"/>
        <w:spacing w:beforeAutospacing="0" w:afterAutospacing="0" w:line="440" w:lineRule="exact"/>
        <w:tabs>
          <w:tab w:val="left" w:pos="999"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采购项目编号：</w:t>
      </w:r>
      <w:r>
        <w:rPr>
          <w:rFonts w:hint="eastAsia" w:ascii="宋体" w:hAnsi="宋体" w:eastAsia="宋体" w:cs="宋体"/>
          <w:color w:val="auto"/>
          <w:sz w:val="24"/>
          <w:szCs w:val="24"/>
          <w:highlight w:val="none"/>
          <w:u w:val="single"/>
          <w:lang w:val="en-US" w:eastAsia="zh-CN"/>
        </w:rPr>
        <w:t xml:space="preserve">                        </w:t>
      </w:r>
      <w:r/>
    </w:p>
    <w:p>
      <w:pPr>
        <w:pStyle w:val="706"/>
        <w:numPr>
          <w:ilvl w:val="255"/>
          <w:numId w:val="0"/>
        </w:numPr>
        <w:ind w:left="0" w:right="0"/>
        <w:keepLines w:val="0"/>
        <w:keepNext w:val="0"/>
        <w:pageBreakBefore w:val="0"/>
        <w:spacing w:beforeAutospacing="0" w:afterAutospacing="0" w:line="440" w:lineRule="exact"/>
        <w:tabs>
          <w:tab w:val="left" w:pos="99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（2）采购计划编号：</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w:t>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采购标的及数量（台/套</w:t>
      </w:r>
      <w:r>
        <w:rPr>
          <w:rFonts w:hint="eastAsia" w:ascii="宋体" w:hAnsi="宋体" w:eastAsia="宋体" w:cs="宋体"/>
          <w:color w:val="auto"/>
          <w:sz w:val="24"/>
          <w:szCs w:val="24"/>
          <w:highlight w:val="none"/>
          <w:lang w:val="en"/>
        </w:rPr>
        <w:t xml:space="preserve">/个/架/组等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
        </w:rPr>
        <w:t xml:space="preserve">     </w:t>
      </w:r>
      <w:r>
        <w:rPr>
          <w:rFonts w:hint="eastAsia" w:ascii="宋体" w:hAnsi="宋体" w:eastAsia="宋体" w:cs="宋体"/>
          <w:color w:val="auto"/>
          <w:sz w:val="24"/>
          <w:szCs w:val="24"/>
          <w:highlight w:val="none"/>
        </w:rPr>
        <w:t xml:space="preserve">规格型号：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采购标的的技术要求、商务要求具体见附件。</w:t>
      </w:r>
      <w:r/>
    </w:p>
    <w:p>
      <w:pPr>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①涉及信息类产品，请填写该产品关键部件的品牌、型号：</w:t>
      </w:r>
      <w:r/>
    </w:p>
    <w:p>
      <w:pPr>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标的名称：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p>
    <w:p>
      <w:pPr>
        <w:numPr>
          <w:ilvl w:val="255"/>
          <w:numId w:val="0"/>
        </w:num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14"/>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14"/>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p>
    <w:p>
      <w:pPr>
        <w:pStyle w:val="914"/>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14"/>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②涉及车辆采购，请填写是否属于新能源汽车：</w:t>
      </w:r>
      <w:r/>
    </w:p>
    <w:p>
      <w:pPr>
        <w:pStyle w:val="914"/>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□是，《政府采购品目分类目录》底级品目名称：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金额：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14"/>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914"/>
        <w:numPr>
          <w:ilvl w:val="255"/>
          <w:numId w:val="0"/>
        </w:numPr>
        <w:ind w:left="0" w:right="0" w:hanging="33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4</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组织形式：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政府集中采购   □部门集中采购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分散采购</w:t>
      </w:r>
      <w:r/>
    </w:p>
    <w:p>
      <w:pPr>
        <w:pStyle w:val="914"/>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5</w:t>
      </w:r>
      <w:r>
        <w:rPr>
          <w:rFonts w:hint="eastAsia" w:ascii="宋体" w:hAnsi="宋体" w:eastAsia="宋体" w:cs="宋体"/>
          <w:color w:val="auto"/>
          <w:sz w:val="24"/>
          <w:szCs w:val="24"/>
          <w:highlight w:val="none"/>
        </w:rPr>
        <w:t xml:space="preserve">）政府采购方式：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公开招标  □邀请招标  □竞争性谈判</w:t>
      </w:r>
      <w:r/>
    </w:p>
    <w:p>
      <w:pPr>
        <w:pStyle w:val="914"/>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□竞争性磋商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□询价  □单一来源  □框架协议  □其他：</w:t>
      </w:r>
      <w:r>
        <w:rPr>
          <w:rFonts w:hint="eastAsia" w:ascii="宋体" w:hAnsi="宋体" w:eastAsia="宋体" w:cs="宋体"/>
          <w:color w:val="auto"/>
          <w:sz w:val="24"/>
          <w:szCs w:val="24"/>
          <w:highlight w:val="none"/>
          <w:u w:val="single"/>
        </w:rPr>
        <w:t xml:space="preserve">          </w:t>
      </w:r>
      <w:r/>
    </w:p>
    <w:p>
      <w:pPr>
        <w:pStyle w:val="914"/>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（注：在框架协议采购的第二阶段，可选择使用该合同文本）</w:t>
      </w:r>
      <w:r/>
    </w:p>
    <w:p>
      <w:pPr>
        <w:pStyle w:val="914"/>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6</w:t>
      </w:r>
      <w:r>
        <w:rPr>
          <w:rFonts w:hint="eastAsia" w:ascii="宋体" w:hAnsi="宋体" w:eastAsia="宋体" w:cs="宋体"/>
          <w:color w:val="auto"/>
          <w:sz w:val="24"/>
          <w:szCs w:val="24"/>
          <w:highlight w:val="none"/>
        </w:rPr>
        <w:t xml:space="preserve">）中标（成交）采购标的制造商是否为中小企业：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914"/>
        <w:numPr>
          <w:ilvl w:val="255"/>
          <w:numId w:val="0"/>
        </w:numPr>
        <w:ind w:left="0" w:right="0" w:firstLine="56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本合同是否为专门面向中小企业的采购合同（中小企业预留合同）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numPr>
          <w:ilvl w:val="255"/>
          <w:numId w:val="0"/>
        </w:numPr>
        <w:ind w:left="0" w:right="0" w:firstLine="56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若本项目不专门面向中小企业采购，是否给予小微企业评审优惠：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iCs/>
          <w:color w:val="auto"/>
          <w:sz w:val="24"/>
          <w:szCs w:val="24"/>
          <w:highlight w:val="none"/>
        </w:rPr>
        <w:t xml:space="preserve">否</w:t>
      </w:r>
      <w:r/>
    </w:p>
    <w:p>
      <w:pPr>
        <w:numPr>
          <w:ilvl w:val="255"/>
          <w:numId w:val="0"/>
        </w:num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中标（成交）采购标的制造商是否为残疾人福利性单位：</w:t>
      </w:r>
      <w:r/>
    </w:p>
    <w:p>
      <w:pPr>
        <w:numPr>
          <w:ilvl w:val="255"/>
          <w:numId w:val="0"/>
        </w:numPr>
        <w:ind w:left="0" w:right="0" w:firstLine="56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iCs/>
          <w:color w:val="auto"/>
          <w:sz w:val="24"/>
          <w:szCs w:val="24"/>
          <w:highlight w:val="none"/>
        </w:rPr>
        <w:t xml:space="preserve">是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中标（成交）采购标的制造商是否为监狱企业：</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7</w:t>
      </w:r>
      <w:r>
        <w:rPr>
          <w:rFonts w:hint="eastAsia" w:ascii="宋体" w:hAnsi="宋体" w:eastAsia="宋体" w:cs="宋体"/>
          <w:color w:val="auto"/>
          <w:sz w:val="24"/>
          <w:szCs w:val="24"/>
          <w:highlight w:val="none"/>
        </w:rPr>
        <w:t xml:space="preserve">）合同是否分包：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分包主要内容：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分包供应商/制造商名称（如供应商和制造商不同，请分别填写）：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分包供应商/制造商类型（如果供应商和制造商不同，只填写制造商类型）：</w:t>
      </w:r>
      <w:r/>
    </w:p>
    <w:p>
      <w:pPr>
        <w:ind w:left="0" w:right="0" w:firstLine="84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大型企业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中型企业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小微型企业  </w:t>
      </w:r>
      <w:r/>
    </w:p>
    <w:p>
      <w:pPr>
        <w:ind w:left="0" w:right="0" w:firstLine="84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残疾人福利性单位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监狱企业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其他</w:t>
      </w:r>
      <w:r/>
    </w:p>
    <w:p>
      <w:pPr>
        <w:ind w:left="0" w:right="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8</w:t>
      </w:r>
      <w:r>
        <w:rPr>
          <w:rFonts w:hint="eastAsia" w:ascii="宋体" w:hAnsi="宋体" w:eastAsia="宋体" w:cs="宋体"/>
          <w:color w:val="auto"/>
          <w:sz w:val="24"/>
          <w:szCs w:val="24"/>
          <w:highlight w:val="none"/>
        </w:rPr>
        <w:t xml:space="preserve">）中标（成交）供应商是否为外商投资企业：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pStyle w:val="914"/>
        <w:ind w:left="0" w:right="0" w:firstLine="420"/>
        <w:keepLines w:val="0"/>
        <w:keepNext w:val="0"/>
        <w:pageBreakBefore w:val="0"/>
        <w:spacing w:beforeAutospacing="0" w:afterAutospacing="0" w:line="440" w:lineRule="exact"/>
        <w:tabs>
          <w:tab w:val="left" w:pos="134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外商投资企业类型：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全部由外国投资者投资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部分由外国投资者投资</w:t>
      </w:r>
      <w:r/>
    </w:p>
    <w:p>
      <w:pPr>
        <w:numPr>
          <w:ilvl w:val="0"/>
          <w:numId w:val="15"/>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是否涉及进口产品：</w:t>
      </w:r>
      <w:r/>
    </w:p>
    <w:p>
      <w:pPr>
        <w:numPr>
          <w:ilvl w:val="0"/>
          <w:numId w:val="0"/>
        </w:num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是，《政府采购品目分类目录》底级品目名称：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国别：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规格型号：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
        </w:rPr>
        <w:t xml:space="preserve">0</w:t>
      </w:r>
      <w:r>
        <w:rPr>
          <w:rFonts w:hint="eastAsia" w:ascii="宋体" w:hAnsi="宋体" w:eastAsia="宋体" w:cs="宋体"/>
          <w:color w:val="auto"/>
          <w:sz w:val="24"/>
          <w:szCs w:val="24"/>
          <w:highlight w:val="none"/>
        </w:rPr>
        <w:t xml:space="preserve">）是否涉及节能产品：</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是，《节能产品政府采购品目清单》的底级品目名称：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 xml:space="preserve">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强制采购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优先采购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是否涉及环境标志产品：</w:t>
      </w:r>
      <w:r/>
    </w:p>
    <w:p>
      <w:pPr>
        <w:numPr>
          <w:ilvl w:val="255"/>
          <w:numId w:val="0"/>
        </w:numPr>
        <w:ind w:left="0" w:right="0" w:firstLine="56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是，《环境标志产品政府采购品目清单》的底级品目名称：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 xml:space="preserve">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强制采购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优先采购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914"/>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是否涉及绿色产品： </w:t>
      </w:r>
      <w:r/>
    </w:p>
    <w:p>
      <w:pPr>
        <w:pStyle w:val="914"/>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是，绿色产品政府采购相关政策确定的底级品目名称：</w:t>
      </w:r>
      <w:r>
        <w:rPr>
          <w:rFonts w:hint="eastAsia" w:ascii="宋体" w:hAnsi="宋体" w:eastAsia="宋体" w:cs="宋体"/>
          <w:color w:val="auto"/>
          <w:sz w:val="24"/>
          <w:szCs w:val="24"/>
          <w:highlight w:val="none"/>
          <w:u w:val="single"/>
        </w:rPr>
        <w:t xml:space="preserve">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强制采购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优先采购    </w:t>
      </w:r>
      <w:r/>
    </w:p>
    <w:p>
      <w:pPr>
        <w:pStyle w:val="914"/>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914"/>
        <w:ind w:left="0" w:right="0" w:firstLine="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
        </w:rPr>
        <w:t xml:space="preserve">1</w:t>
      </w:r>
      <w:r>
        <w:rPr>
          <w:rFonts w:hint="eastAsia" w:ascii="宋体" w:hAnsi="宋体" w:eastAsia="宋体" w:cs="宋体"/>
          <w:color w:val="auto"/>
          <w:sz w:val="24"/>
          <w:szCs w:val="24"/>
          <w:highlight w:val="none"/>
        </w:rPr>
        <w:t xml:space="preserve">）涉及商品包装和快递包装的，是否参考《商品包装政府采购需求标准（试行）</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《快递包装政府采购需求标准（试行）》明确产品及相关快递服务的具体包装要求：</w:t>
      </w:r>
      <w:r/>
    </w:p>
    <w:p>
      <w:pPr>
        <w:numPr>
          <w:ilvl w:val="255"/>
          <w:numId w:val="0"/>
        </w:numPr>
        <w:ind w:left="0" w:right="0" w:firstLine="105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不涉及</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rPr>
        <w:t xml:space="preserve">合同金额</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（1）合同金额小写：</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大写：</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分包金额（如有）小写：</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大写：</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（注：固定单价合同应填写单价和最高限价）</w:t>
      </w:r>
      <w:r/>
    </w:p>
    <w:p>
      <w:pPr>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（2）合同定价方式（采用组合定价方式的，可以勾选多项）：</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固定总价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固定单价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固定费率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成本补偿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绩效激励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其他</w:t>
      </w:r>
      <w:r>
        <w:rPr>
          <w:rFonts w:hint="eastAsia" w:ascii="宋体" w:hAnsi="宋体" w:eastAsia="宋体" w:cs="宋体"/>
          <w:color w:val="auto"/>
          <w:sz w:val="24"/>
          <w:szCs w:val="24"/>
          <w:highlight w:val="none"/>
          <w:u w:val="single"/>
        </w:rPr>
        <w:t xml:space="preserve">       </w:t>
      </w:r>
      <w:r/>
    </w:p>
    <w:p>
      <w:pPr>
        <w:pStyle w:val="915"/>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（3）付款方式：</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全额付款：</w:t>
      </w:r>
      <w:r>
        <w:rPr>
          <w:rFonts w:hint="eastAsia" w:ascii="宋体" w:hAnsi="宋体" w:eastAsia="宋体" w:cs="宋体"/>
          <w:color w:val="auto"/>
          <w:sz w:val="24"/>
          <w:szCs w:val="24"/>
          <w:highlight w:val="none"/>
          <w:u w:val="single"/>
        </w:rPr>
        <w:t xml:space="preserve">     （应明确一次性支付合同款项的条件）                    </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rPr>
        <w:t xml:space="preserve">设备全部安装调试完毕稳定运行后，</w:t>
      </w:r>
      <w:r>
        <w:rPr>
          <w:rFonts w:hint="eastAsia" w:ascii="宋体" w:hAnsi="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提供项目完整技术文档，采购人组织验收并出具验收报告，在收到</w:t>
      </w:r>
      <w:r>
        <w:rPr>
          <w:rFonts w:hint="eastAsia" w:ascii="宋体" w:hAnsi="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发票后10个工作日内支付至合同总额的100%</w:t>
      </w:r>
      <w:r>
        <w:rPr>
          <w:rFonts w:hint="eastAsia" w:ascii="宋体" w:hAnsi="宋体" w:eastAsia="宋体" w:cs="宋体"/>
          <w:color w:val="auto"/>
          <w:sz w:val="24"/>
          <w:szCs w:val="24"/>
          <w:highlight w:val="none"/>
        </w:rPr>
        <w:t xml:space="preserve">，其中涉及预付款的：</w:t>
      </w:r>
      <w:r>
        <w:rPr>
          <w:rFonts w:hint="eastAsia" w:ascii="宋体" w:hAnsi="宋体" w:eastAsia="宋体" w:cs="宋体"/>
          <w:color w:val="auto"/>
          <w:sz w:val="24"/>
          <w:szCs w:val="24"/>
          <w:highlight w:val="none"/>
          <w:u w:val="single"/>
          <w:lang w:val="zh-CN"/>
        </w:rPr>
        <w:t xml:space="preserve">签订合同后，</w:t>
      </w:r>
      <w:r>
        <w:rPr>
          <w:rFonts w:hint="eastAsia" w:ascii="宋体" w:hAnsi="宋体" w:eastAsia="宋体" w:cs="宋体"/>
          <w:color w:val="auto"/>
          <w:sz w:val="24"/>
          <w:szCs w:val="24"/>
          <w:highlight w:val="none"/>
          <w:u w:val="single"/>
        </w:rPr>
        <w:t xml:space="preserve">自收到</w:t>
      </w:r>
      <w:r>
        <w:rPr>
          <w:rFonts w:hint="eastAsia" w:ascii="宋体" w:hAnsi="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发票后10个工作日内</w:t>
      </w:r>
      <w:r>
        <w:rPr>
          <w:rFonts w:hint="eastAsia" w:ascii="宋体" w:hAnsi="宋体" w:eastAsia="宋体" w:cs="宋体"/>
          <w:color w:val="auto"/>
          <w:sz w:val="24"/>
          <w:szCs w:val="24"/>
          <w:highlight w:val="none"/>
          <w:u w:val="single"/>
          <w:lang w:val="zh-CN"/>
        </w:rPr>
        <w:t xml:space="preserve">支付</w:t>
      </w:r>
      <w:r>
        <w:rPr>
          <w:rFonts w:hint="eastAsia" w:ascii="宋体" w:hAnsi="宋体" w:eastAsia="宋体" w:cs="宋体"/>
          <w:color w:val="auto"/>
          <w:sz w:val="24"/>
          <w:szCs w:val="24"/>
          <w:highlight w:val="none"/>
          <w:u w:val="single"/>
          <w:lang w:val="en-US" w:eastAsia="zh-CN"/>
        </w:rPr>
        <w:t xml:space="preserve">预算金额</w:t>
      </w:r>
      <w:r>
        <w:rPr>
          <w:rFonts w:hint="eastAsia" w:ascii="宋体" w:hAnsi="宋体" w:eastAsia="宋体" w:cs="宋体"/>
          <w:color w:val="auto"/>
          <w:sz w:val="24"/>
          <w:szCs w:val="24"/>
          <w:highlight w:val="none"/>
          <w:u w:val="single"/>
          <w:lang w:val="zh-CN"/>
        </w:rPr>
        <w:t xml:space="preserve">的30%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（1）可以采用数字人民币支付。</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（2）资金支付的时间：收到供应商发票10个工作日内。</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（3）资金支付的条件：满足相应阶段的要求且收到供应商发票。</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（4）甲方根据乙方的实际供货数量按实结算，且不超过每分包总预算金额。</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（5）在签订合同时，供应商明确表示无需预付款或者主动要求降低预付款比例的，采购人可不适用前述规定。</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成本补偿：</w:t>
      </w:r>
      <w:r>
        <w:rPr>
          <w:rFonts w:hint="eastAsia" w:ascii="宋体" w:hAnsi="宋体" w:eastAsia="宋体" w:cs="宋体"/>
          <w:color w:val="auto"/>
          <w:sz w:val="24"/>
          <w:szCs w:val="24"/>
          <w:highlight w:val="none"/>
          <w:u w:val="single"/>
        </w:rPr>
        <w:t xml:space="preserve">（应明确按照成本补偿方式的支付方式和支付条件）</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绩效激励：</w:t>
      </w:r>
      <w:r>
        <w:rPr>
          <w:rFonts w:hint="eastAsia" w:ascii="宋体" w:hAnsi="宋体" w:eastAsia="宋体" w:cs="宋体"/>
          <w:color w:val="auto"/>
          <w:sz w:val="24"/>
          <w:szCs w:val="24"/>
          <w:highlight w:val="none"/>
          <w:u w:val="single"/>
        </w:rPr>
        <w:t xml:space="preserve">（应明确按照绩效激励方式的支付方式和支付条件）</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rPr>
        <w:t xml:space="preserve">合同履行</w:t>
      </w:r>
      <w:r/>
    </w:p>
    <w:p>
      <w:pPr>
        <w:numPr>
          <w:ilvl w:val="0"/>
          <w:numId w:val="0"/>
        </w:numPr>
        <w:ind w:left="0" w:right="0" w:firstLine="420"/>
        <w:keepLines w:val="0"/>
        <w:keepNext w:val="0"/>
        <w:pageBreakBefore w:val="0"/>
        <w:spacing w:beforeAutospacing="0" w:afterAutospacing="0" w:line="440" w:lineRule="exact"/>
        <w:rPr>
          <w:rFonts w:hint="eastAsia"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u w:val="none"/>
          <w:lang w:eastAsia="zh-CN"/>
        </w:rPr>
        <w:t xml:space="preserve">交货时间：</w:t>
      </w:r>
      <w:r>
        <w:rPr>
          <w:rFonts w:hint="eastAsia" w:ascii="宋体" w:hAnsi="宋体" w:eastAsia="宋体" w:cs="宋体"/>
          <w:bCs/>
          <w:color w:val="auto"/>
          <w:sz w:val="24"/>
          <w:szCs w:val="24"/>
          <w:highlight w:val="none"/>
          <w:u w:val="single"/>
          <w:lang w:eastAsia="zh-CN"/>
        </w:rPr>
        <w:t xml:space="preserve">采购合同签订后</w:t>
      </w:r>
      <w:r>
        <w:rPr>
          <w:rFonts w:hint="eastAsia" w:ascii="宋体" w:hAnsi="宋体" w:cs="宋体"/>
          <w:bCs/>
          <w:color w:val="auto"/>
          <w:sz w:val="24"/>
          <w:szCs w:val="24"/>
          <w:highlight w:val="none"/>
          <w:u w:val="single"/>
          <w:lang w:val="en-US" w:eastAsia="zh-CN"/>
        </w:rPr>
        <w:t xml:space="preserve">45</w:t>
      </w:r>
      <w:r>
        <w:rPr>
          <w:rFonts w:hint="eastAsia" w:ascii="宋体" w:hAnsi="宋体" w:eastAsia="宋体" w:cs="宋体"/>
          <w:bCs/>
          <w:color w:val="auto"/>
          <w:sz w:val="24"/>
          <w:szCs w:val="24"/>
          <w:highlight w:val="none"/>
          <w:u w:val="single"/>
          <w:lang w:eastAsia="zh-CN"/>
        </w:rPr>
        <w:t xml:space="preserve">日历天内全部供货安装完毕并交付使用</w:t>
      </w:r>
      <w:r>
        <w:rPr>
          <w:rFonts w:hint="eastAsia" w:ascii="宋体" w:hAnsi="宋体" w:eastAsia="宋体" w:cs="宋体"/>
          <w:bCs/>
          <w:color w:val="auto"/>
          <w:sz w:val="24"/>
          <w:szCs w:val="24"/>
          <w:highlight w:val="none"/>
          <w:u w:val="none"/>
          <w:lang w:eastAsia="zh-CN"/>
        </w:rPr>
        <w:t xml:space="preserve">。</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交货</w:t>
      </w:r>
      <w:r>
        <w:rPr>
          <w:rFonts w:hint="eastAsia" w:ascii="宋体" w:hAnsi="宋体" w:eastAsia="宋体" w:cs="宋体"/>
          <w:color w:val="auto"/>
          <w:sz w:val="24"/>
          <w:szCs w:val="24"/>
          <w:highlight w:val="none"/>
        </w:rPr>
        <w:t xml:space="preserve">地点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采购人指定地点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（3）履约担保：</w:t>
      </w:r>
      <w:r>
        <w:rPr>
          <w:rFonts w:hint="eastAsia" w:ascii="宋体" w:hAnsi="宋体" w:eastAsia="宋体" w:cs="宋体"/>
          <w:color w:val="auto"/>
          <w:sz w:val="24"/>
          <w:szCs w:val="24"/>
          <w:highlight w:val="none"/>
        </w:rPr>
        <w:t xml:space="preserve">是否收取履约保证金：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914"/>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收取履约保证金形式：</w:t>
      </w:r>
      <w:r>
        <w:rPr>
          <w:rFonts w:hint="eastAsia" w:ascii="宋体" w:hAnsi="宋体" w:eastAsia="宋体" w:cs="宋体"/>
          <w:bCs/>
          <w:color w:val="auto"/>
          <w:sz w:val="24"/>
          <w:szCs w:val="24"/>
          <w:highlight w:val="none"/>
          <w:u w:val="single"/>
        </w:rPr>
        <w:t xml:space="preserve">                            </w:t>
      </w:r>
      <w:r/>
    </w:p>
    <w:p>
      <w:pPr>
        <w:pStyle w:val="914"/>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收取履约保证金金额：</w:t>
      </w:r>
      <w:r>
        <w:rPr>
          <w:rFonts w:hint="eastAsia" w:ascii="宋体" w:hAnsi="宋体" w:eastAsia="宋体" w:cs="宋体"/>
          <w:color w:val="auto"/>
          <w:sz w:val="24"/>
          <w:szCs w:val="24"/>
          <w:highlight w:val="none"/>
          <w:u w:val="single"/>
          <w:lang w:val="en-US" w:eastAsia="zh-CN"/>
        </w:rPr>
        <w:t xml:space="preserve">                            </w:t>
      </w:r>
      <w:r/>
    </w:p>
    <w:p>
      <w:p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履约担保期限：</w:t>
      </w:r>
      <w:r>
        <w:rPr>
          <w:rFonts w:hint="eastAsia" w:ascii="宋体" w:hAnsi="宋体" w:eastAsia="宋体" w:cs="宋体"/>
          <w:bCs/>
          <w:color w:val="auto"/>
          <w:sz w:val="24"/>
          <w:szCs w:val="24"/>
          <w:highlight w:val="none"/>
          <w:u w:val="single"/>
        </w:rPr>
        <w:t xml:space="preserve">                                  </w:t>
      </w:r>
      <w:r/>
    </w:p>
    <w:p>
      <w:pPr>
        <w:numPr>
          <w:ilvl w:val="0"/>
          <w:numId w:val="16"/>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合同验收</w:t>
      </w:r>
      <w:r/>
    </w:p>
    <w:p>
      <w:pPr>
        <w:numPr>
          <w:ilvl w:val="0"/>
          <w:numId w:val="17"/>
        </w:num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验收组织方式：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自行组织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委托第三方组织</w:t>
      </w:r>
      <w:r/>
    </w:p>
    <w:p>
      <w:pPr>
        <w:numPr>
          <w:ilvl w:val="0"/>
          <w:numId w:val="0"/>
        </w:num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验收主体：</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 xml:space="preserve">泗洪姜堰实验学校</w:t>
      </w:r>
      <w:r>
        <w:rPr>
          <w:rFonts w:hint="eastAsia" w:ascii="宋体" w:hAnsi="宋体" w:eastAsia="宋体" w:cs="宋体"/>
          <w:bCs/>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是否邀请本项目的其他供应商参加验收：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是否进行抽查检测：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是，抽查比例：</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是否存在破坏性检测：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u w:val="single"/>
        </w:rPr>
        <w:t xml:space="preserve">（应明确对被破坏的检测产品的处理方式）</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验收组织的其他事项：</w:t>
      </w:r>
      <w:r>
        <w:rPr>
          <w:rFonts w:hint="eastAsia" w:ascii="宋体" w:hAnsi="宋体" w:eastAsia="宋体" w:cs="宋体"/>
          <w:bCs/>
          <w:color w:val="auto"/>
          <w:sz w:val="24"/>
          <w:szCs w:val="24"/>
          <w:highlight w:val="none"/>
          <w:u w:val="single"/>
        </w:rPr>
        <w:t xml:space="preserve"> 无 </w:t>
      </w:r>
      <w:r/>
    </w:p>
    <w:p>
      <w:p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（2）履约验收时间：</w:t>
      </w:r>
      <w:r>
        <w:rPr>
          <w:rFonts w:hint="eastAsia" w:ascii="宋体" w:hAnsi="宋体" w:eastAsia="宋体" w:cs="宋体"/>
          <w:bCs/>
          <w:color w:val="auto"/>
          <w:sz w:val="24"/>
          <w:szCs w:val="24"/>
          <w:highlight w:val="none"/>
          <w:u w:val="single"/>
        </w:rPr>
        <w:t xml:space="preserve">（计划于何时验收/供应商提出验收申请之日起 3日内组织验收） </w:t>
      </w:r>
      <w:r/>
    </w:p>
    <w:p>
      <w:p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（3）履约验收方式：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一次性验收         </w:t>
      </w:r>
      <w:r/>
    </w:p>
    <w:p>
      <w:pPr>
        <w:ind w:left="0" w:right="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u w:val="single"/>
        </w:rPr>
        <w:t xml:space="preserve"> （应明确分期</w:t>
      </w:r>
      <w:r>
        <w:rPr>
          <w:rFonts w:hint="eastAsia" w:ascii="宋体" w:hAnsi="宋体" w:eastAsia="宋体" w:cs="宋体"/>
          <w:bCs/>
          <w:color w:val="auto"/>
          <w:sz w:val="24"/>
          <w:szCs w:val="24"/>
          <w:highlight w:val="none"/>
          <w:u w:val="single"/>
          <w:lang w:val="en"/>
        </w:rPr>
        <w:t xml:space="preserve">/分项验收的工作安排</w:t>
      </w:r>
      <w:r>
        <w:rPr>
          <w:rFonts w:hint="eastAsia" w:ascii="宋体" w:hAnsi="宋体" w:eastAsia="宋体" w:cs="宋体"/>
          <w:bCs/>
          <w:color w:val="auto"/>
          <w:sz w:val="24"/>
          <w:szCs w:val="24"/>
          <w:highlight w:val="none"/>
          <w:u w:val="single"/>
        </w:rPr>
        <w:t xml:space="preserve">）  </w:t>
      </w:r>
      <w:r/>
    </w:p>
    <w:p>
      <w:pPr>
        <w:numPr>
          <w:ilvl w:val="0"/>
          <w:numId w:val="18"/>
        </w:num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履约验收程序：</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4.1甲方</w:t>
      </w:r>
      <w:r>
        <w:rPr>
          <w:rFonts w:hint="eastAsia" w:ascii="宋体" w:hAnsi="宋体" w:eastAsia="宋体" w:cs="宋体"/>
          <w:color w:val="auto"/>
          <w:sz w:val="24"/>
          <w:szCs w:val="24"/>
          <w:highlight w:val="none"/>
          <w:u w:val="single"/>
          <w:lang w:eastAsia="zh-CN"/>
        </w:rPr>
        <w:t xml:space="preserve">对乙方提交的货物应及时验收，收货时依据招标文件上的技术规格要求和国家有关质量标准进行现场初步验收，外观、说明书等符合招标文件技术要求的，给予签收，初步验收不合格的不予签收。经初步验收后的签收产品，如</w:t>
      </w:r>
      <w:r>
        <w:rPr>
          <w:rFonts w:hint="eastAsia" w:ascii="宋体" w:hAnsi="宋体" w:eastAsia="宋体" w:cs="宋体"/>
          <w:color w:val="auto"/>
          <w:sz w:val="24"/>
          <w:szCs w:val="24"/>
          <w:highlight w:val="none"/>
          <w:u w:val="single"/>
          <w:lang w:val="en-US" w:eastAsia="zh-CN"/>
        </w:rPr>
        <w:t xml:space="preserve">工作</w:t>
      </w:r>
      <w:r>
        <w:rPr>
          <w:rFonts w:hint="eastAsia" w:ascii="宋体" w:hAnsi="宋体" w:eastAsia="宋体" w:cs="宋体"/>
          <w:color w:val="auto"/>
          <w:sz w:val="24"/>
          <w:szCs w:val="24"/>
          <w:highlight w:val="none"/>
          <w:u w:val="single"/>
          <w:lang w:eastAsia="zh-CN"/>
        </w:rPr>
        <w:t xml:space="preserve">人员在使用过程中提出质量等异议或举报有质量问题时，产品收货单位应实施复核，费用由乙方承担。</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lang w:eastAsia="zh-CN"/>
        </w:rPr>
        <w:t xml:space="preserve">.2 乙方交货前应对产品作出全面检查和对验收文件进行整理，并列出清单，作为收货验收和使用的技术条件依据。</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lang w:eastAsia="zh-CN"/>
        </w:rPr>
        <w:t xml:space="preserve">.3 乙方提供的货物，在</w:t>
      </w:r>
      <w:r>
        <w:rPr>
          <w:rFonts w:hint="eastAsia" w:ascii="宋体" w:hAnsi="宋体" w:eastAsia="宋体" w:cs="宋体"/>
          <w:color w:val="auto"/>
          <w:sz w:val="24"/>
          <w:szCs w:val="24"/>
          <w:highlight w:val="none"/>
          <w:u w:val="single"/>
          <w:lang w:val="en-US" w:eastAsia="zh-CN"/>
        </w:rPr>
        <w:t xml:space="preserve">使用方</w:t>
      </w:r>
      <w:r>
        <w:rPr>
          <w:rFonts w:hint="eastAsia" w:ascii="宋体" w:hAnsi="宋体" w:eastAsia="宋体" w:cs="宋体"/>
          <w:color w:val="auto"/>
          <w:sz w:val="24"/>
          <w:szCs w:val="24"/>
          <w:highlight w:val="none"/>
          <w:u w:val="single"/>
          <w:lang w:eastAsia="zh-CN"/>
        </w:rPr>
        <w:t xml:space="preserve">使用前，需由乙方提供相关技术培训，并在使用的前三个月为</w:t>
      </w:r>
      <w:r>
        <w:rPr>
          <w:rFonts w:hint="eastAsia" w:ascii="宋体" w:hAnsi="宋体" w:eastAsia="宋体" w:cs="宋体"/>
          <w:color w:val="auto"/>
          <w:sz w:val="24"/>
          <w:szCs w:val="24"/>
          <w:highlight w:val="none"/>
          <w:u w:val="single"/>
          <w:lang w:val="en-US" w:eastAsia="zh-CN"/>
        </w:rPr>
        <w:t xml:space="preserve">使用方</w:t>
      </w:r>
      <w:r>
        <w:rPr>
          <w:rFonts w:hint="eastAsia" w:ascii="宋体" w:hAnsi="宋体" w:eastAsia="宋体" w:cs="宋体"/>
          <w:color w:val="auto"/>
          <w:sz w:val="24"/>
          <w:szCs w:val="24"/>
          <w:highlight w:val="none"/>
          <w:u w:val="single"/>
          <w:lang w:eastAsia="zh-CN"/>
        </w:rPr>
        <w:t xml:space="preserve">提供必要的协助，直到符合有关要求，</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eastAsia="zh-CN"/>
        </w:rPr>
        <w:t xml:space="preserve">才做最终验收。</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lang w:eastAsia="zh-CN"/>
        </w:rPr>
        <w:t xml:space="preserve">.4 对技术复杂的货物，</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eastAsia="zh-CN"/>
        </w:rPr>
        <w:t xml:space="preserve">可申请国家认可的专业检测机构参与初步验收及最终验收，并由其出具质量检测报告。</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lang w:eastAsia="zh-CN"/>
        </w:rPr>
        <w:t xml:space="preserve">）履约验收的内容</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按照采购合同的约定对每一项技术、服务、安全标准的履约情况进行确认。</w:t>
      </w:r>
      <w:r/>
    </w:p>
    <w:p>
      <w:pPr>
        <w:pStyle w:val="914"/>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none"/>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lang w:eastAsia="zh-CN"/>
        </w:rPr>
        <w:t xml:space="preserve">）履约验收标准：依据招标文件上的技术规格要求和国家有关质量标准，同时服从甲方安排要求。</w:t>
      </w:r>
      <w:r/>
    </w:p>
    <w:p>
      <w:pPr>
        <w:pStyle w:val="914"/>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（7）是否以采购活动中供应商提供的样品作为参考：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（8）履约验收其他事项：</w:t>
      </w:r>
      <w:r>
        <w:rPr>
          <w:rFonts w:hint="eastAsia" w:ascii="宋体" w:hAnsi="宋体" w:eastAsia="宋体" w:cs="宋体"/>
          <w:bCs/>
          <w:color w:val="auto"/>
          <w:sz w:val="24"/>
          <w:szCs w:val="24"/>
          <w:highlight w:val="none"/>
          <w:u w:val="single"/>
        </w:rPr>
        <w:t xml:space="preserve">/。</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rPr>
        <w:t xml:space="preserve">组成合同的文件</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（1）政府采购合同协议书及其变更、补充协议</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（2）政府采购合同专用条款</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（3）政府采购合同通用条款</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（4）中标（成交）通知书</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（5）投标（响应）文件</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pStyle w:val="914"/>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6.</w:t>
      </w:r>
      <w:r>
        <w:rPr>
          <w:rFonts w:hint="eastAsia" w:ascii="宋体" w:hAnsi="宋体" w:eastAsia="宋体" w:cs="宋体"/>
          <w:b/>
          <w:color w:val="auto"/>
          <w:sz w:val="24"/>
          <w:szCs w:val="24"/>
          <w:highlight w:val="none"/>
        </w:rPr>
        <w:t xml:space="preserve">合同生效</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rPr>
        <w:t xml:space="preserve"> 签订之日起 </w:t>
      </w:r>
      <w:r>
        <w:rPr>
          <w:rFonts w:hint="eastAsia" w:ascii="宋体" w:hAnsi="宋体" w:eastAsia="宋体" w:cs="宋体"/>
          <w:color w:val="auto"/>
          <w:sz w:val="24"/>
          <w:szCs w:val="24"/>
          <w:highlight w:val="none"/>
        </w:rPr>
        <w:t xml:space="preserve">生效。</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7.</w:t>
      </w:r>
      <w:r>
        <w:rPr>
          <w:rFonts w:hint="eastAsia" w:ascii="宋体" w:hAnsi="宋体" w:eastAsia="宋体" w:cs="宋体"/>
          <w:b/>
          <w:color w:val="auto"/>
          <w:sz w:val="24"/>
          <w:szCs w:val="24"/>
          <w:highlight w:val="none"/>
        </w:rPr>
        <w:t xml:space="preserve">合同份数</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肆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份，均具有同等法律效力。</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合同订立地点：</w:t>
      </w:r>
      <w:r>
        <w:rPr>
          <w:rFonts w:hint="eastAsia" w:ascii="宋体" w:hAnsi="宋体" w:eastAsia="宋体" w:cs="宋体"/>
          <w:color w:val="auto"/>
          <w:sz w:val="24"/>
          <w:szCs w:val="24"/>
          <w:highlight w:val="none"/>
          <w:u w:val="single"/>
        </w:rPr>
        <w:t xml:space="preserve">                        </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附件：具体标的及其技术要求和商务要求、分包意向协议等。</w:t>
      </w:r>
      <w:r/>
    </w:p>
    <w:p>
      <w:pPr>
        <w:pStyle w:val="915"/>
        <w:ind w:left="0" w:right="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692"/>
        <w:ind w:left="0" w:right="0"/>
        <w:spacing w:before="0" w:beforeAutospacing="0" w:after="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15"/>
        <w:ind w:left="0" w:right="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bl>
      <w:tblPr>
        <w:tblStyle w:val="70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554"/>
        <w:gridCol w:w="1836"/>
        <w:gridCol w:w="2118"/>
      </w:tblGrid>
      <w:tr>
        <w:trPr>
          <w:trHeight w:val="1105"/>
        </w:trPr>
        <w:tc>
          <w:tcPr>
            <w:gridSpan w:val="2"/>
            <w:tcBorders>
              <w:bottom w:val="single" w:color="auto" w:sz="2" w:space="0"/>
              <w:right w:val="single" w:color="auto" w:sz="2" w:space="0"/>
            </w:tcBorders>
            <w:tcW w:w="264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354"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泗洪姜堰实验学校</w:t>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left="0" w:right="0" w:firstLine="10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520" w:type="pct"/>
            <w:vAlign w:val="center"/>
            <w:vMerge w:val="restart"/>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16"/>
        </w:trPr>
        <w:tc>
          <w:tcPr>
            <w:tcBorders>
              <w:bottom w:val="single" w:color="auto" w:sz="2" w:space="0"/>
              <w:right w:val="single" w:color="auto" w:sz="2" w:space="0"/>
            </w:tcBorders>
            <w:tcW w:w="1125" w:type="pct"/>
            <w:vAlign w:val="center"/>
            <w:vMerge w:val="continue"/>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1520" w:type="pct"/>
            <w:vAlign w:val="center"/>
            <w:vMerge w:val="continue"/>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拥有者性别</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bl>
    <w:p>
      <w:pPr>
        <w:pStyle w:val="692"/>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u w:val="single"/>
        </w:rPr>
        <w:br w:type="page" w:clear="all"/>
      </w:r>
      <w:bookmarkStart w:id="130" w:name="_Toc27624"/>
      <w:r>
        <w:rPr>
          <w:rFonts w:hint="eastAsia" w:ascii="宋体" w:hAnsi="宋体" w:eastAsia="宋体" w:cs="宋体"/>
          <w:b/>
          <w:bCs/>
          <w:color w:val="auto"/>
          <w:sz w:val="24"/>
          <w:szCs w:val="24"/>
          <w:highlight w:val="none"/>
        </w:rPr>
        <w:t xml:space="preserve">第二节 政府采购合同通用条款</w:t>
      </w:r>
      <w:bookmarkEnd w:id="130"/>
      <w:r/>
      <w:r/>
    </w:p>
    <w:p>
      <w:pPr>
        <w:ind w:left="0" w:right="0"/>
        <w:jc w:val="left"/>
        <w:keepLines w:val="0"/>
        <w:keepNext w:val="0"/>
        <w:pageBreakBefore w:val="0"/>
        <w:spacing w:beforeAutospacing="0" w:afterAutospacing="0" w:line="440" w:lineRule="exact"/>
        <w:tabs>
          <w:tab w:val="left" w:pos="8820" w:leader="none"/>
          <w:tab w:val="left" w:pos="9345" w:leader="none"/>
          <w:tab w:val="left" w:pos="976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 </w:t>
      </w:r>
      <w:r>
        <w:rPr>
          <w:rFonts w:hint="eastAsia" w:ascii="宋体" w:hAnsi="宋体" w:eastAsia="宋体" w:cs="宋体"/>
          <w:b/>
          <w:bCs/>
          <w:color w:val="auto"/>
          <w:sz w:val="24"/>
          <w:szCs w:val="24"/>
          <w:highlight w:val="none"/>
        </w:rPr>
        <w:t xml:space="preserve">定义</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（1）采购人（以下称甲方）是指使用财政性资金，通过政府采购方式向供应商购买货物及其相关服务的国家机关、事业单位、团体组织。</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（2）“合同价款”系指根据本合同规定乙方在全面履行合同义务后甲方应支付给乙方的价款。</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技术资料和材料等。</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（4）“相关服务”系指根据合同规定，乙方应提供的与货物有关的技术、管理和</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numPr>
          <w:ilvl w:val="0"/>
          <w:numId w:val="19"/>
        </w:num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合同标的及金额</w:t>
      </w:r>
      <w:r/>
    </w:p>
    <w:p>
      <w:pPr>
        <w:ind w:left="0" w:right="0" w:firstLine="420"/>
        <w:jc w:val="left"/>
        <w:keepLines w:val="0"/>
        <w:keepNext w:val="0"/>
        <w:pageBreakBefore w:val="0"/>
        <w:spacing w:beforeAutospacing="0" w:afterAutospacing="0" w:line="440" w:lineRule="exact"/>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任何费用。</w:t>
      </w:r>
      <w:r/>
    </w:p>
    <w:p>
      <w:p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履行合同的时间、地点和方式</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乙方应当在约定的时间、地点，按照约定方式履行合同。</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 甲方的权利和义务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甲方有权要求乙方对缺陷部分予以修复，并按合同约定享有货物保修及其他合同约定的权利。</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甲方应当按照合同约定及时对交付的货物进行验收，未在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约定的期限内对乙方履约提出任何异议或者向乙方作出任何说明的，视为验收通过。</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甲方应当根据合同约定及时向乙方支付合同价款，不得以内部人员变更、履行内部付款流程等为由，拒绝或迟延支付。</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 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约定应由甲方承担的其他义务和责任。</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 乙方的权利和义务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签署合同后，乙方应确定项目负责人（或项目联系人），负责与本合同有关的事务。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05"/>
        <w:ind w:left="0" w:right="0" w:firstLine="369"/>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pStyle w:val="705"/>
        <w:ind w:left="0" w:right="0" w:firstLine="369"/>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numPr>
          <w:ilvl w:val="0"/>
          <w:numId w:val="20"/>
        </w:num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合同履行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货物包装、运输、保险和交付要求</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w:t>
      </w:r>
      <w:r>
        <w:rPr>
          <w:rFonts w:hint="eastAsia" w:ascii="宋体" w:hAnsi="宋体" w:eastAsia="宋体" w:cs="宋体"/>
          <w:bCs/>
          <w:color w:val="auto"/>
          <w:sz w:val="24"/>
          <w:szCs w:val="24"/>
          <w:highlight w:val="none"/>
        </w:rPr>
        <w:t xml:space="preserve">涉及商品包装、快递包装的，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约定的</w:t>
      </w:r>
      <w:r>
        <w:rPr>
          <w:rFonts w:hint="eastAsia" w:ascii="宋体" w:hAnsi="宋体" w:eastAsia="宋体" w:cs="宋体"/>
          <w:color w:val="auto"/>
          <w:sz w:val="24"/>
          <w:szCs w:val="24"/>
          <w:highlight w:val="none"/>
        </w:rPr>
        <w:t xml:space="preserve">指定现场。</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乙方负责办理将货物运抵本合同规定的交货地点，并装卸、交付至甲方的一切运输事项，相关费用应包含在合同价款中。</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乙方在运输到达之前应提前通知甲方，并提示货物运输装卸的注意事项，甲方配合乙方做好货物的接收工作。</w:t>
      </w:r>
      <w:r/>
    </w:p>
    <w:p>
      <w:pPr>
        <w:pStyle w:val="914"/>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质量标准和保证</w:t>
      </w:r>
      <w:r/>
    </w:p>
    <w:p>
      <w:pPr>
        <w:pStyle w:val="710"/>
        <w:ind w:left="0" w:right="0" w:firstLine="42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8.1 质量标准</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10"/>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（3）乙方所提供的货物应符合国家有关安全、环保、卫生的规定。</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保证</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规定或乙方书面承诺（两者以较长的为准）的质量保证期内，本保证保持有效。</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 权利瑕疵担保</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乙方保证对其出售的货物享有合法的权利。</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乙方保证在交付的货物上不存在抵押权等担保物权。</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如甲方使用上述货物构成对第三人侵权的，则由乙方承担全部责任。</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 知识产权保护</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乙方对其所销售的货物应当享有知识产权或经权利人合法授权，保证没有侵犯任何第三人的知识产权等权利。</w:t>
      </w:r>
      <w:bookmarkStart w:id="131"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31"/>
      <w:r>
        <w:rPr>
          <w:rFonts w:hint="eastAsia" w:ascii="宋体" w:hAnsi="宋体" w:eastAsia="宋体" w:cs="宋体"/>
          <w:color w:val="auto"/>
          <w:sz w:val="24"/>
          <w:szCs w:val="24"/>
          <w:highlight w:val="none"/>
        </w:rPr>
        <w:t xml:space="preserve">。</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 保密义务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合同价款支付</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合同价款支付按照国库集中支付制度及财政管理相关规定执行。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pStyle w:val="705"/>
        <w:ind w:left="0" w:right="0"/>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履约保证金</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乙方</w:t>
      </w:r>
      <w:r>
        <w:rPr>
          <w:rFonts w:hint="eastAsia" w:ascii="宋体" w:hAnsi="宋体" w:eastAsia="宋体" w:cs="宋体"/>
          <w:color w:val="auto"/>
          <w:sz w:val="24"/>
          <w:szCs w:val="24"/>
          <w:highlight w:val="none"/>
          <w:lang w:val="zh-CN"/>
        </w:rPr>
        <w:t xml:space="preserve">除银行电汇、网上银行、数字人民币外，</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zh-CN"/>
        </w:rPr>
        <w:t xml:space="preserve">还可选用银行保函、担保公司的保证担保或保险公司的保证保险、等多种形式向</w:t>
      </w:r>
      <w:r>
        <w:rPr>
          <w:rFonts w:hint="eastAsia" w:ascii="宋体" w:hAnsi="宋体" w:eastAsia="宋体" w:cs="宋体"/>
          <w:color w:val="auto"/>
          <w:sz w:val="24"/>
          <w:szCs w:val="24"/>
          <w:highlight w:val="none"/>
        </w:rPr>
        <w:t xml:space="preserve">甲方提交。</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如果乙方出现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14. </w:t>
      </w:r>
      <w:r>
        <w:rPr>
          <w:rFonts w:hint="eastAsia" w:ascii="宋体" w:hAnsi="宋体" w:eastAsia="宋体" w:cs="宋体"/>
          <w:b/>
          <w:color w:val="auto"/>
          <w:sz w:val="24"/>
          <w:szCs w:val="24"/>
          <w:highlight w:val="none"/>
        </w:rPr>
        <w:t xml:space="preserve">售后服务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除项目不涉及或采购活动中明确约定无须承担外，乙方还应提供下列服务：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约定的期限内对所有的货物实施运行监督、维修，但前提条件是该服务并不能免除乙方在质量保证期内所承担的义务；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（4）在制造商所在地或指定现场就货物的安装、启动、运营、维护、废弃处置等对甲方操作人员进行培训；</w:t>
      </w:r>
      <w:r/>
    </w:p>
    <w:p>
      <w:pPr>
        <w:pStyle w:val="914"/>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乙方提供的售后服务的费用已包含在合同价款中，甲方不再另行支付。</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 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15.1质量瑕疵的违约责任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要求</w:t>
      </w:r>
      <w:r>
        <w:rPr>
          <w:rFonts w:hint="eastAsia" w:ascii="宋体" w:hAnsi="宋体" w:eastAsia="宋体" w:cs="宋体"/>
          <w:color w:val="auto"/>
          <w:sz w:val="24"/>
          <w:szCs w:val="24"/>
          <w:highlight w:val="none"/>
        </w:rPr>
        <w:t xml:space="preserve">及时修理、重作、更换，并承担由此给甲方造成的损失。</w:t>
      </w:r>
      <w:r/>
    </w:p>
    <w:p>
      <w:pPr>
        <w:ind w:left="0" w:right="0" w:firstLine="420"/>
        <w:jc w:val="left"/>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 迟延交货的违约责任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规定执行。如果涉及公共利益，且赔偿金额无法弥补公共利益损失，甲方可要求继续履行或者采取其他补救措施。</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迟延支付的违约责任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21"/>
        </w:num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合同变更、中止与终止</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16.1合同的变更</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16.2合同的中止</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（1）合同履行过程中因供应商就采购文件、采购过程或结果提起投诉的，甲方认为有必要的，可以中止合同的履行。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4"/>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（4）甲方不得以行政区划调整、政府换届、机构或者职能调整以及相关责任人更替为由中止合同。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16.3合同的终止</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（2）乙方未按合同约定履行，构成根本性违约的，甲方有权终止合同，并追究乙方的违约责任。</w:t>
      </w:r>
      <w:r/>
    </w:p>
    <w:p>
      <w:pPr>
        <w:pStyle w:val="914"/>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涉及国家利益、社会公共利益的情形</w:t>
      </w:r>
      <w:r/>
    </w:p>
    <w:p>
      <w:pPr>
        <w:pStyle w:val="914"/>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 合同分包</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乙方不得将合同转包给其他供应商。涉及合同分包的，乙方应根据采购文件和投标（响应）文件规定进行合同分包。</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 不可抗力</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不可抗力是指合同双方不能预见、不能避免且不能克服的客观情况。</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任何一方对由于不可抗力造成的部分或全部不能履行合同不承担违约责任。但迟延履行后发生不可抗力的，不能免除责任。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 解决争议的方法</w:t>
      </w:r>
      <w:r/>
    </w:p>
    <w:p>
      <w:pPr>
        <w:pStyle w:val="914"/>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14"/>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914"/>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 政府采购政策</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GB"/>
        </w:rPr>
        <w:t xml:space="preserve">本合同应当按照规定执行政府采购政策。</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705"/>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法律适用</w:t>
      </w:r>
      <w:r/>
    </w:p>
    <w:p>
      <w:pPr>
        <w:pStyle w:val="914"/>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pStyle w:val="914"/>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numPr>
          <w:ilvl w:val="255"/>
          <w:numId w:val="0"/>
        </w:num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 通知</w:t>
      </w:r>
      <w:r/>
    </w:p>
    <w:p>
      <w:pPr>
        <w:pStyle w:val="914"/>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914"/>
        <w:ind w:left="0" w:right="0" w:firstLine="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22.3本合同一方给另一方的通知均应采用书面形式，传真或快递送到本合同中规定的对方的地址和办理签收手续。</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22.4通知以送达之日或通知书中规定的生效之日起生效，两者中以较迟之日为准。</w:t>
      </w:r>
      <w:r/>
    </w:p>
    <w:p>
      <w:pPr>
        <w:numPr>
          <w:ilvl w:val="0"/>
          <w:numId w:val="22"/>
        </w:num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left="0" w:right="0" w:firstLine="420"/>
        <w:jc w:val="left"/>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23.2 合同附件与合同正文具有同等的法律效力。</w:t>
      </w:r>
      <w:bookmarkStart w:id="132" w:name="_Toc20313"/>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92"/>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第三节 政府采购合同专用条款</w:t>
      </w:r>
      <w:bookmarkEnd w:id="132"/>
      <w:r/>
      <w:r/>
    </w:p>
    <w:tbl>
      <w:tblPr>
        <w:tblStyle w:val="701"/>
        <w:tblW w:w="8937" w:type="dxa"/>
        <w:tblInd w:w="-18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00"/>
        <w:gridCol w:w="1812"/>
        <w:gridCol w:w="5225"/>
      </w:tblGrid>
      <w:tr>
        <w:trPr>
          <w:trHeight w:val="736"/>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第1.2（6）项</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联合体具体要求</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604"/>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第1.2（7）项</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其他术语解释</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第4.4款</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履约验收中甲方提出异议或作出说明的期限</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履约验收中甲方提出异议的期限：3个工作日。</w:t>
            </w:r>
            <w:r/>
          </w:p>
          <w:p>
            <w:pPr>
              <w:pStyle w:val="914"/>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或履约验收中甲方作出说明的期限：3个工作日。</w:t>
            </w:r>
            <w:r/>
          </w:p>
        </w:tc>
      </w:tr>
      <w:tr>
        <w:trPr>
          <w:trHeight w:val="736"/>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第4.6款</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约定甲方承担的其他义务和责任</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736"/>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第5.4款</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约定乙方承担的其他义务和责任</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736"/>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第6.1款</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履行合同义务的顺序</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（1）政府采购合同协议书及其变更、补充协议；</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（2）政府采购合同专用条款；</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（3）政府采购合同通用条款；</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（4）中标（成交）通知书；</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（5）投标（响应）文件；</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tc>
      </w:tr>
      <w:tr>
        <w:trPr>
          <w:trHeight w:val="667"/>
        </w:trPr>
        <w:tc>
          <w:tcPr>
            <w:tcW w:w="1900" w:type="dxa"/>
            <w:vAlign w:val="center"/>
            <w:vMerge w:val="restart"/>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第7.1款</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包装特殊要求</w:t>
            </w:r>
            <w:r/>
          </w:p>
        </w:tc>
        <w:tc>
          <w:tcPr>
            <w:tcW w:w="5225" w:type="dxa"/>
            <w:vAlign w:val="center"/>
            <w:textDirection w:val="lrTb"/>
            <w:noWrap w:val="false"/>
          </w:tcPr>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商品包装、快递包装政府采购需求标准</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商品包装环保要求</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（1）商品包装层数不得超过 3 层，空隙率不大于 40%； </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（2）商品包装尽可能使用单一材质的包装材料，如因功能 需求</w:t>
            </w:r>
            <w:r>
              <w:rPr>
                <w:rFonts w:hint="eastAsia" w:ascii="宋体" w:hAnsi="宋体" w:cs="宋体"/>
                <w:color w:val="auto"/>
                <w:sz w:val="24"/>
                <w:szCs w:val="24"/>
                <w:highlight w:val="none"/>
                <w:u w:val="none"/>
                <w:lang w:eastAsia="zh-CN"/>
              </w:rPr>
              <w:t xml:space="preserve">必须</w:t>
            </w:r>
            <w:r>
              <w:rPr>
                <w:rFonts w:hint="eastAsia" w:ascii="宋体" w:hAnsi="宋体" w:eastAsia="宋体" w:cs="宋体"/>
                <w:color w:val="auto"/>
                <w:sz w:val="24"/>
                <w:szCs w:val="24"/>
                <w:highlight w:val="none"/>
                <w:u w:val="none"/>
              </w:rPr>
              <w:t xml:space="preserve">使用不同材质，不同材质间应便于分离； </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（3）商品包装中铅、汞、镉、六价铬的总含量应不大于 100mg/kg； </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（4）商品包装印刷使用的油墨中挥发性有机化合物</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VOCs</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 含量应不大于 5%（以重量计）； </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（5）塑料材质商品包装上呈现的印刷颜色不得超过 6 色； </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（6）纸质商品包装应使用 75%以上的可再生纤维原料生产； </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（7）木质商品包装的原料应来源于可持续性森林。 </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注：检测方法 1.商品包装中重金属（铅、汞、镉、六价铬）总量的检 测按照 GB/T 10004-2008《包装用塑料复合膜、袋干法复合、 挤出复合》规定的方法进行。 2.商品包装印刷使用的油墨中挥发性有机化合物</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VOCs</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 的检测按照 GB/T 23986-2009《色漆和清漆挥发性有机化合 物</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VOC</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含量的测定 气相色谱法》规定的方法。</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快递包装环保要求</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（1）快递包装中重金属（铅、汞、镉、六价铬）总量应不大于100mg/kg；</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（2）快递包装印刷使用的油墨中不应添加邻苯二甲酸酯，其挥发性有机化合物</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VOCs</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含量应不大于5%（以重量计）；</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（3）快递包装中使用纸基材的包装材料，纸基材中的有机氯的含量应不大于150 mg/kg；</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（4）快递包装中使用塑料基材的包装材料不得使用邻苯二甲酸二异壬酯、邻苯二甲酸二正辛酯、邻苯二甲酸二</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2-乙基</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己酯、邻苯二甲酸二异癸酯、邻苯二甲酸丁基苄基酯、邻苯二甲酸二丁酯等作为增塑剂；</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（5）快递中使用的塑料包装袋不得使用聚氯乙烯作为原料，且原料应为单一材质制成，生物分解率大于60%；</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（6）快递中使用的充气类填充物不得使用聚氯乙烯作为原料，且原料为单一材质制成，生物分解率大于60%；</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（7）快递中使用的集装袋应为单一材质制成，其重复使用次数应不小于80 次；</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（8）快递中应使用幅宽不大于45mm 的生物降解胶带；</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（9）快递包装中不得使用溶剂型胶粘剂；</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（10）快递应使用电子面单；</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（11）直接使用商品包装作为快递包装的商品，其商品包装满足《商品包装政府采购需求标准（试行）》即可；</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（12）快递包装产品质量和封装方式应符合相关国家或行业标准技术指标要求。</w:t>
            </w:r>
            <w:r/>
          </w:p>
        </w:tc>
      </w:tr>
      <w:tr>
        <w:trPr>
          <w:trHeight w:val="667"/>
        </w:trPr>
        <w:tc>
          <w:tcPr>
            <w:tcW w:w="1900" w:type="dxa"/>
            <w:vAlign w:val="center"/>
            <w:vMerge w:val="continue"/>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指定现场</w:t>
            </w:r>
            <w:r/>
          </w:p>
        </w:tc>
        <w:tc>
          <w:tcPr>
            <w:tcW w:w="5225" w:type="dxa"/>
            <w:vAlign w:val="center"/>
            <w:textDirection w:val="lrTb"/>
            <w:noWrap w:val="false"/>
          </w:tcPr>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甲方指定地点。</w:t>
            </w:r>
            <w:r/>
          </w:p>
        </w:tc>
      </w:tr>
      <w:tr>
        <w:trPr>
          <w:trHeight w:val="772"/>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第7.2款</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运输特殊要求</w:t>
            </w:r>
            <w:r/>
          </w:p>
        </w:tc>
        <w:tc>
          <w:tcPr>
            <w:tcW w:w="5225" w:type="dxa"/>
            <w:vAlign w:val="center"/>
            <w:textDirection w:val="lrTb"/>
            <w:noWrap w:val="false"/>
          </w:tcPr>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由乙方视情况自定运输方式，费用自负。</w:t>
            </w:r>
            <w:r/>
          </w:p>
        </w:tc>
      </w:tr>
      <w:tr>
        <w:trPr>
          <w:trHeight w:val="667"/>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第7.3款</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保险要求</w:t>
            </w:r>
            <w:r/>
          </w:p>
        </w:tc>
        <w:tc>
          <w:tcPr>
            <w:tcW w:w="5225" w:type="dxa"/>
            <w:vAlign w:val="center"/>
            <w:textDirection w:val="lrTb"/>
            <w:noWrap w:val="false"/>
          </w:tcPr>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第8.2（1）项</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质量保证期</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设备验收通过之日起，提供</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年的原厂免费全保。</w:t>
            </w:r>
            <w:r/>
          </w:p>
          <w:p>
            <w:pPr>
              <w:numPr>
                <w:ilvl w:val="0"/>
                <w:numId w:val="0"/>
              </w:num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备注：签订合同时根据乙方投标文件响应内容调整。</w:t>
            </w:r>
            <w:r/>
          </w:p>
        </w:tc>
      </w:tr>
      <w:tr>
        <w:trPr>
          <w:trHeight w:val="90"/>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第8.2（3）项</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货物质量缺陷</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全保期内，应在接到故障通知2小时内作出有效响应，如需现场解决，到达现场时间不超过8小时，特殊情况下不超过24小时内到达现场免费予以排除故障、修复或更换零部件。确保甲方能正常开展工作，设备在设计</w:t>
            </w:r>
            <w:r>
              <w:rPr>
                <w:rFonts w:hint="eastAsia" w:ascii="宋体" w:hAnsi="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周期内，保证更换到原厂配件。如3个工作日内不能修复必须提供备用机使用，确保甲方能正常开展工作，设备在设计</w:t>
            </w:r>
            <w:r>
              <w:rPr>
                <w:rFonts w:hint="eastAsia" w:ascii="宋体" w:hAnsi="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周期内，保证更换到原厂配件。</w:t>
            </w:r>
            <w:r/>
          </w:p>
          <w:p>
            <w:pPr>
              <w:pStyle w:val="916"/>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lang w:val="en-US"/>
              </w:rPr>
            </w:pPr>
            <w:r>
              <w:rPr>
                <w:rFonts w:hint="eastAsia" w:ascii="宋体" w:hAnsi="宋体" w:eastAsia="宋体" w:cs="宋体"/>
                <w:b/>
                <w:bCs w:val="0"/>
                <w:color w:val="auto"/>
                <w:sz w:val="24"/>
                <w:szCs w:val="24"/>
                <w:highlight w:val="none"/>
                <w:lang w:val="en-US" w:eastAsia="zh-CN" w:bidi="ar-SA"/>
              </w:rPr>
              <w:t xml:space="preserve">备注：签订合同时根据乙方投标文件响应内容调整。</w:t>
            </w:r>
            <w:r/>
          </w:p>
        </w:tc>
      </w:tr>
      <w:tr>
        <w:trPr>
          <w:trHeight w:val="736"/>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pStyle w:val="914"/>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第11.1款</w:t>
            </w:r>
            <w:r/>
          </w:p>
        </w:tc>
        <w:tc>
          <w:tcPr>
            <w:tcW w:w="1812" w:type="dxa"/>
            <w:vAlign w:val="center"/>
            <w:textDirection w:val="lrTb"/>
            <w:noWrap w:val="false"/>
          </w:tcPr>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其他应当保密的信息</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697"/>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第12.2款</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合同价款支付时间</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自收到乙方发票后10个工作日内。</w:t>
            </w:r>
            <w:r/>
          </w:p>
        </w:tc>
      </w:tr>
      <w:tr>
        <w:trPr>
          <w:trHeight w:val="697"/>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第13.2款</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履约保证金不予退还的情形</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除不可抗力外，乙方不履行与甲方订立的采购合同的，履约保证金不予退还，给甲方造成的损失超过履约保证金数额的，还应当对超过部分予以赔偿。</w:t>
            </w:r>
            <w:r/>
          </w:p>
        </w:tc>
      </w:tr>
      <w:tr>
        <w:trPr>
          <w:trHeight w:val="356"/>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第13.3款</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履约保证金退还时间及逾期退还的违约金</w:t>
            </w:r>
            <w:r/>
          </w:p>
        </w:tc>
        <w:tc>
          <w:tcPr>
            <w:tcW w:w="5225" w:type="dxa"/>
            <w:vAlign w:val="center"/>
            <w:textDirection w:val="lrTb"/>
            <w:noWrap w:val="false"/>
          </w:tcPr>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不涉及</w:t>
            </w:r>
            <w:r/>
          </w:p>
        </w:tc>
      </w:tr>
      <w:tr>
        <w:trPr>
          <w:trHeight w:val="784"/>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第14.1（3）项</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运行监督、维修期限</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设备验收通过之日起，提供3年的原厂免费全保。</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备注：签订合同时根据乙方投标文件响应内容调整。</w:t>
            </w:r>
            <w:r/>
          </w:p>
        </w:tc>
      </w:tr>
      <w:tr>
        <w:trPr>
          <w:trHeight w:val="784"/>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第14.1（5）项</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货物回收的约定</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由甲乙双方合议定价。</w:t>
            </w:r>
            <w:r/>
          </w:p>
        </w:tc>
      </w:tr>
      <w:tr>
        <w:trPr>
          <w:trHeight w:val="736"/>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第14.1（6）项</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乙方提供的其他服务</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详见乙方</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p>
        </w:tc>
      </w:tr>
      <w:tr>
        <w:trPr>
          <w:trHeight w:val="736"/>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第15.1款</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修理、重</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、更换相关具体规定</w:t>
            </w:r>
            <w:r/>
          </w:p>
        </w:tc>
        <w:tc>
          <w:tcPr>
            <w:tcW w:w="5225" w:type="dxa"/>
            <w:vAlign w:val="center"/>
            <w:textDirection w:val="lrTb"/>
            <w:noWrap w:val="false"/>
          </w:tcPr>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1.乙方应按招标文件规定的货物性能、技术要求、质量标准向甲方提供未经使用的全新产品。</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2.乙方提供的货物在售后服务期内因货物本身的质量问题发生故障，乙方应负责免费更换。对达不到技术要求者，根据实际情况，经双方协商，可按以下办法处理：</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⑴修理、重作、更换：由乙方承担所发生的全部费用。</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⑵贬值处理：由甲乙双方合议定价。</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⑶退货处理：乙方应退还甲方支付的合同款，同时应承担该货物的直接费用（运输、保险、检验、货款利息及银行手续费等）。</w:t>
            </w:r>
            <w:r/>
          </w:p>
          <w:p>
            <w:pPr>
              <w:ind w:left="0" w:right="0" w:firstLine="0"/>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售后服务期内，应在接到故障通知2小时内作出有效响应，如需现场解决，到达现场时间不超过8小时，特殊情况下不超过24小时内到达现场免费予以排除故障、修复或更换零部件。确保甲方能正常开展工作，设备在设计有</w:t>
            </w:r>
            <w:r>
              <w:rPr>
                <w:rFonts w:hint="eastAsia" w:ascii="宋体" w:hAnsi="宋体" w:cs="宋体"/>
                <w:color w:val="auto"/>
                <w:sz w:val="24"/>
                <w:szCs w:val="24"/>
                <w:highlight w:val="none"/>
                <w:lang w:val="en-US" w:eastAsia="zh-CN"/>
              </w:rPr>
              <w:t xml:space="preserve">效</w:t>
            </w:r>
            <w:r>
              <w:rPr>
                <w:rFonts w:hint="eastAsia" w:ascii="宋体" w:hAnsi="宋体" w:eastAsia="宋体" w:cs="宋体"/>
                <w:color w:val="auto"/>
                <w:sz w:val="24"/>
                <w:szCs w:val="24"/>
                <w:highlight w:val="none"/>
              </w:rPr>
              <w:t xml:space="preserve">周期内，保证更换到原厂配件。在售后服务期内，乙方应对货物出现的质量及安全问题负责处理解决并承担一切费用。</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备注：签订合同时根据乙方投标文件响应内容调整。</w:t>
            </w:r>
            <w:r/>
          </w:p>
        </w:tc>
      </w:tr>
      <w:tr>
        <w:trPr>
          <w:trHeight w:val="736"/>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第15.2（2）项</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迟延交货赔偿费</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乙方不按期完成合同约定的内容，应向甲方支付违约金，除甲方或不可抗力造成原因外，每延迟交付一天，按合同总价款的</w:t>
            </w:r>
            <w:r>
              <w:rPr>
                <w:rFonts w:hint="eastAsia" w:ascii="宋体" w:hAnsi="宋体" w:eastAsia="宋体" w:cs="宋体"/>
                <w:color w:val="auto"/>
                <w:sz w:val="24"/>
                <w:szCs w:val="24"/>
                <w:highlight w:val="none"/>
                <w:lang w:val="en-US" w:eastAsia="zh-CN"/>
              </w:rPr>
              <w:t xml:space="preserve">千</w:t>
            </w:r>
            <w:r>
              <w:rPr>
                <w:rFonts w:hint="eastAsia" w:ascii="宋体" w:hAnsi="宋体" w:eastAsia="宋体" w:cs="宋体"/>
                <w:color w:val="auto"/>
                <w:sz w:val="24"/>
                <w:szCs w:val="24"/>
                <w:highlight w:val="none"/>
              </w:rPr>
              <w:t xml:space="preserve">分之一支付违约金，违约金可直接从待付货款中扣除；延期超过10 日，甲方有权强制解除合同。</w:t>
            </w:r>
            <w:r/>
          </w:p>
        </w:tc>
      </w:tr>
      <w:tr>
        <w:trPr>
          <w:trHeight w:val="129"/>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第15.3款</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逾期付款利息</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甲方无故逾期验收和办理货款支付手续的，甲方应按逾期付款总额每日</w:t>
            </w:r>
            <w:r>
              <w:rPr>
                <w:rFonts w:hint="eastAsia" w:ascii="宋体" w:hAnsi="宋体" w:eastAsia="宋体" w:cs="宋体"/>
                <w:color w:val="auto"/>
                <w:sz w:val="24"/>
                <w:szCs w:val="24"/>
                <w:highlight w:val="none"/>
                <w:lang w:val="en-US" w:eastAsia="zh-CN"/>
              </w:rPr>
              <w:t xml:space="preserve">千</w:t>
            </w:r>
            <w:r>
              <w:rPr>
                <w:rFonts w:hint="eastAsia" w:ascii="宋体" w:hAnsi="宋体" w:eastAsia="宋体" w:cs="宋体"/>
                <w:color w:val="auto"/>
                <w:sz w:val="24"/>
                <w:szCs w:val="24"/>
                <w:highlight w:val="none"/>
              </w:rPr>
              <w:t xml:space="preserve">分之一向乙方支付违约金。</w:t>
            </w:r>
            <w:r/>
          </w:p>
        </w:tc>
      </w:tr>
      <w:tr>
        <w:trPr>
          <w:trHeight w:val="876"/>
        </w:trPr>
        <w:tc>
          <w:tcPr>
            <w:tcBorders>
              <w:bottom w:val="single" w:color="auto" w:sz="2" w:space="0"/>
              <w:right w:val="single" w:color="auto" w:sz="2" w:space="0"/>
            </w:tcBorders>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第15.4款</w:t>
            </w:r>
            <w:r/>
          </w:p>
        </w:tc>
        <w:tc>
          <w:tcPr>
            <w:tcBorders>
              <w:left w:val="single" w:color="auto" w:sz="2" w:space="0"/>
              <w:bottom w:val="single" w:color="auto" w:sz="2" w:space="0"/>
              <w:right w:val="single" w:color="auto" w:sz="2" w:space="0"/>
            </w:tcBorders>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其他违约责任</w:t>
            </w:r>
            <w:r/>
          </w:p>
        </w:tc>
        <w:tc>
          <w:tcPr>
            <w:tcBorders>
              <w:left w:val="single" w:color="auto" w:sz="2" w:space="0"/>
              <w:bottom w:val="single" w:color="auto" w:sz="2" w:space="0"/>
            </w:tcBorders>
            <w:tcW w:w="5225" w:type="dxa"/>
            <w:vAlign w:val="center"/>
            <w:textDirection w:val="lrTb"/>
            <w:noWrap w:val="false"/>
          </w:tcPr>
          <w:p>
            <w:pPr>
              <w:ind w:left="0" w:right="0" w:firstLine="0"/>
              <w:jc w:val="left"/>
              <w:keepLines w:val="0"/>
              <w:keepNext w:val="0"/>
              <w:pageBreakBefore w:val="0"/>
              <w:spacing w:beforeAutospacing="0" w:afterAutospacing="0"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本项目售后服务期内，乙方不能提供原厂免费全保的，按合同总价款的20%支付违约金。</w:t>
            </w:r>
            <w:r/>
          </w:p>
          <w:p>
            <w:pPr>
              <w:ind w:left="0" w:right="0" w:firstLine="0"/>
              <w:jc w:val="left"/>
              <w:keepLines w:val="0"/>
              <w:keepNext w:val="0"/>
              <w:pageBreakBefore w:val="0"/>
              <w:spacing w:beforeAutospacing="0" w:afterAutospacing="0"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备注：签订合同时根据乙方投标文件响应内容调整。</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第19.2款</w:t>
            </w:r>
            <w:r/>
          </w:p>
        </w:tc>
        <w:tc>
          <w:tcPr>
            <w:tcBorders>
              <w:top w:val="single" w:color="auto" w:sz="2" w:space="0"/>
              <w:left w:val="single" w:color="auto" w:sz="2" w:space="0"/>
              <w:right w:val="single" w:color="auto" w:sz="2" w:space="0"/>
            </w:tcBorders>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解决争议的方法</w:t>
            </w:r>
            <w:r/>
          </w:p>
        </w:tc>
        <w:tc>
          <w:tcPr>
            <w:tcBorders>
              <w:top w:val="single" w:color="auto" w:sz="2" w:space="0"/>
              <w:left w:val="single" w:color="auto" w:sz="2" w:space="0"/>
            </w:tcBorders>
            <w:tcW w:w="5225"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因本合同及合同有关事项发生的争议，按下列第</w:t>
            </w:r>
            <w:r>
              <w:rPr>
                <w:rFonts w:hint="eastAsia" w:ascii="宋体" w:hAnsi="宋体" w:eastAsia="宋体" w:cs="宋体"/>
                <w:iCs/>
                <w:color w:val="auto"/>
                <w:sz w:val="24"/>
                <w:szCs w:val="24"/>
                <w:highlight w:val="none"/>
                <w:u w:val="single"/>
              </w:rPr>
              <w:t xml:space="preserve">（2）</w:t>
            </w:r>
            <w:r>
              <w:rPr>
                <w:rFonts w:hint="eastAsia" w:ascii="宋体" w:hAnsi="宋体" w:eastAsia="宋体" w:cs="宋体"/>
                <w:iCs/>
                <w:color w:val="auto"/>
                <w:sz w:val="24"/>
                <w:szCs w:val="24"/>
                <w:highlight w:val="none"/>
              </w:rPr>
              <w:t xml:space="preserve">种方式解决：</w:t>
            </w:r>
            <w:r/>
          </w:p>
          <w:p>
            <w:pPr>
              <w:ind w:left="0" w:right="0" w:firstLine="0"/>
              <w:jc w:val="left"/>
              <w:keepLines w:val="0"/>
              <w:keepNext w:val="0"/>
              <w:pageBreakBefore w:val="0"/>
              <w:spacing w:beforeAutospacing="0" w:afterAutospacing="0" w:line="36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（1）向</w:t>
            </w:r>
            <w:r>
              <w:rPr>
                <w:rFonts w:hint="eastAsia" w:ascii="宋体" w:hAnsi="宋体" w:eastAsia="宋体" w:cs="宋体"/>
                <w:iCs/>
                <w:color w:val="auto"/>
                <w:sz w:val="24"/>
                <w:szCs w:val="24"/>
                <w:highlight w:val="none"/>
                <w:u w:val="single"/>
              </w:rPr>
              <w:t xml:space="preserve"> / </w:t>
            </w:r>
            <w:r>
              <w:rPr>
                <w:rFonts w:hint="eastAsia" w:ascii="宋体" w:hAnsi="宋体" w:eastAsia="宋体" w:cs="宋体"/>
                <w:iCs/>
                <w:color w:val="auto"/>
                <w:sz w:val="24"/>
                <w:szCs w:val="24"/>
                <w:highlight w:val="none"/>
              </w:rPr>
              <w:t xml:space="preserve">仲裁委员会申请仲裁，仲裁地点为</w:t>
            </w:r>
            <w:r>
              <w:rPr>
                <w:rFonts w:hint="eastAsia" w:ascii="宋体" w:hAnsi="宋体" w:eastAsia="宋体" w:cs="宋体"/>
                <w:iCs/>
                <w:color w:val="auto"/>
                <w:sz w:val="24"/>
                <w:szCs w:val="24"/>
                <w:highlight w:val="none"/>
                <w:u w:val="single"/>
              </w:rPr>
              <w:t xml:space="preserve"> / </w:t>
            </w:r>
            <w:r>
              <w:rPr>
                <w:rFonts w:hint="eastAsia" w:ascii="宋体" w:hAnsi="宋体" w:eastAsia="宋体" w:cs="宋体"/>
                <w:iCs/>
                <w:color w:val="auto"/>
                <w:sz w:val="24"/>
                <w:szCs w:val="24"/>
                <w:highlight w:val="none"/>
              </w:rPr>
              <w:t xml:space="preserve">；</w:t>
            </w:r>
            <w:r/>
          </w:p>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（2）向 </w:t>
            </w:r>
            <w:r>
              <w:rPr>
                <w:rFonts w:hint="eastAsia" w:ascii="宋体" w:hAnsi="宋体" w:eastAsia="宋体" w:cs="宋体"/>
                <w:iCs/>
                <w:color w:val="auto"/>
                <w:sz w:val="24"/>
                <w:szCs w:val="24"/>
                <w:highlight w:val="none"/>
                <w:u w:val="single"/>
              </w:rPr>
              <w:t xml:space="preserve">泗洪县 </w:t>
            </w:r>
            <w:r>
              <w:rPr>
                <w:rFonts w:hint="eastAsia" w:ascii="宋体" w:hAnsi="宋体" w:eastAsia="宋体" w:cs="宋体"/>
                <w:iCs/>
                <w:color w:val="auto"/>
                <w:sz w:val="24"/>
                <w:szCs w:val="24"/>
                <w:highlight w:val="none"/>
              </w:rPr>
              <w:t xml:space="preserve">人民法院起诉。</w:t>
            </w:r>
            <w:r/>
          </w:p>
        </w:tc>
      </w:tr>
      <w:tr>
        <w:trPr>
          <w:trHeight w:val="770"/>
        </w:trPr>
        <w:tc>
          <w:tcPr>
            <w:tcW w:w="1900" w:type="dxa"/>
            <w:vAlign w:val="center"/>
            <w:textDirection w:val="lrTb"/>
            <w:noWrap w:val="false"/>
          </w:tcPr>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firstLine="0"/>
              <w:jc w:val="center"/>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第23.1款</w:t>
            </w:r>
            <w:r/>
          </w:p>
        </w:tc>
        <w:tc>
          <w:tcPr>
            <w:tcW w:w="1812"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其他专用条款</w:t>
            </w:r>
            <w:r/>
          </w:p>
        </w:tc>
        <w:tc>
          <w:tcPr>
            <w:tcW w:w="5225" w:type="dxa"/>
            <w:vAlign w:val="center"/>
            <w:textDirection w:val="lrTb"/>
            <w:noWrap w:val="false"/>
          </w:tcPr>
          <w:p>
            <w:pPr>
              <w:ind w:left="0" w:right="0" w:firstLine="0"/>
              <w:jc w:val="left"/>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tc>
      </w:tr>
    </w:tbl>
    <w:p>
      <w:pPr>
        <w:pStyle w:val="888"/>
        <w:ind w:left="0" w:right="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bookmarkStart w:id="133" w:name="_Toc20257"/>
      <w:r/>
      <w:bookmarkStart w:id="134" w:name="_Toc176774462"/>
      <w:r/>
      <w:r/>
    </w:p>
    <w:p>
      <w:pPr>
        <w:pStyle w:val="888"/>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4"/>
          <w:szCs w:val="24"/>
          <w:highlight w:val="none"/>
          <w:shd w:val="clear" w:color="auto" w:fill="ffffff"/>
        </w:rPr>
      </w:r>
      <w:r/>
    </w:p>
    <w:p>
      <w:pPr>
        <w:pStyle w:val="888"/>
        <w:ind w:right="0"/>
        <w:jc w:val="center"/>
        <w:spacing w:before="0" w:beforeAutospacing="0" w:after="0" w:afterAutospacing="0" w:line="440" w:lineRule="exact"/>
        <w:rPr>
          <w:rFonts w:hint="eastAsia" w:ascii="宋体" w:hAnsi="宋体" w:eastAsia="宋体" w:cs="宋体"/>
          <w:b/>
          <w:bCs/>
          <w:color w:val="auto"/>
          <w:sz w:val="36"/>
          <w:szCs w:val="36"/>
          <w:highlight w:val="none"/>
          <w:shd w:val="clear" w:color="auto" w:fill="ffffff"/>
        </w:rPr>
      </w:pPr>
      <w:r>
        <w:rPr>
          <w:rFonts w:hint="eastAsia" w:ascii="宋体" w:hAnsi="宋体" w:eastAsia="宋体" w:cs="宋体"/>
          <w:b/>
          <w:bCs/>
          <w:color w:val="auto"/>
          <w:sz w:val="36"/>
          <w:szCs w:val="36"/>
          <w:highlight w:val="none"/>
          <w:shd w:val="clear" w:color="auto" w:fill="ffffff"/>
        </w:rPr>
        <w:t xml:space="preserve">第六部分  投标文件格式</w:t>
      </w:r>
      <w:bookmarkEnd w:id="133"/>
      <w:r/>
      <w:bookmarkEnd w:id="134"/>
      <w:r/>
      <w:r/>
    </w:p>
    <w:p>
      <w:pPr>
        <w:pStyle w:val="888"/>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88"/>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88"/>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8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投  标  文  件</w:t>
      </w:r>
      <w:r/>
    </w:p>
    <w:p>
      <w:pPr>
        <w:pStyle w:val="88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8"/>
        <w:ind w:left="0" w:right="0" w:firstLine="1084"/>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 目 名 称：</w:t>
      </w:r>
      <w:r>
        <w:rPr>
          <w:rFonts w:hint="eastAsia" w:ascii="宋体" w:hAnsi="宋体" w:eastAsia="宋体" w:cs="宋体"/>
          <w:b/>
          <w:bCs/>
          <w:color w:val="auto"/>
          <w:sz w:val="24"/>
          <w:szCs w:val="24"/>
          <w:highlight w:val="none"/>
          <w:u w:val="single"/>
        </w:rPr>
        <w:t xml:space="preserve">               </w:t>
      </w:r>
      <w:r/>
    </w:p>
    <w:p>
      <w:pPr>
        <w:pStyle w:val="888"/>
        <w:ind w:left="0" w:right="0" w:firstLine="1084"/>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 目 编 号：</w:t>
      </w:r>
      <w:r>
        <w:rPr>
          <w:rFonts w:hint="eastAsia" w:ascii="宋体" w:hAnsi="宋体" w:eastAsia="宋体" w:cs="宋体"/>
          <w:b/>
          <w:bCs/>
          <w:color w:val="auto"/>
          <w:sz w:val="24"/>
          <w:szCs w:val="24"/>
          <w:highlight w:val="none"/>
          <w:u w:val="single"/>
        </w:rPr>
        <w:t xml:space="preserve">               </w:t>
      </w:r>
      <w:r/>
    </w:p>
    <w:p>
      <w:pPr>
        <w:pStyle w:val="888"/>
        <w:ind w:left="0" w:right="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投标人名称 ：</w:t>
      </w:r>
      <w:r>
        <w:rPr>
          <w:rFonts w:hint="eastAsia" w:ascii="宋体" w:hAnsi="宋体" w:eastAsia="宋体" w:cs="宋体"/>
          <w:b/>
          <w:bCs/>
          <w:color w:val="auto"/>
          <w:sz w:val="24"/>
          <w:szCs w:val="24"/>
          <w:highlight w:val="none"/>
          <w:u w:val="single"/>
        </w:rPr>
        <w:t xml:space="preserve">（盖CA电子公章）</w:t>
      </w:r>
      <w:r/>
    </w:p>
    <w:p>
      <w:pPr>
        <w:pStyle w:val="888"/>
        <w:ind w:left="0" w:right="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日      期 ：</w:t>
      </w:r>
      <w:r>
        <w:rPr>
          <w:rFonts w:hint="eastAsia" w:ascii="宋体" w:hAnsi="宋体" w:eastAsia="宋体" w:cs="宋体"/>
          <w:b/>
          <w:bCs/>
          <w:color w:val="auto"/>
          <w:sz w:val="24"/>
          <w:szCs w:val="24"/>
          <w:highlight w:val="none"/>
          <w:u w:val="single"/>
        </w:rPr>
        <w:t xml:space="preserve">               </w:t>
      </w:r>
      <w:r/>
    </w:p>
    <w:p>
      <w:pPr>
        <w:pStyle w:val="888"/>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8"/>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8"/>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8"/>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8"/>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8"/>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8"/>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8"/>
        <w:ind w:left="0" w:right="0"/>
        <w:jc w:val="center"/>
        <w:spacing w:before="0" w:beforeAutospacing="0" w:after="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88"/>
        <w:ind w:left="0" w:right="0"/>
        <w:jc w:val="center"/>
        <w:spacing w:before="0" w:beforeAutospacing="0" w:after="0" w:afterAutospacing="0" w:line="440" w:lineRule="exact"/>
        <w:widowControl/>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4"/>
          <w:szCs w:val="24"/>
          <w:highlight w:val="none"/>
        </w:rPr>
      </w:r>
      <w:r/>
    </w:p>
    <w:p>
      <w:pPr>
        <w:pStyle w:val="888"/>
        <w:ind w:left="0" w:right="0"/>
        <w:jc w:val="center"/>
        <w:spacing w:before="0" w:beforeAutospacing="0" w:after="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投标文件目录</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一、投标人响应承诺函</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二、投标人基本情况</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三、满足特定资格要求的证明文件（如果设置特定资格要求，则需要提供）</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四、法人授权书</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、开标一览表</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、投标报价明细表</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、中小企业声明函</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残疾人福利性单位声明函</w:t>
      </w:r>
      <w:r/>
    </w:p>
    <w:p>
      <w:pPr>
        <w:ind w:left="0" w:right="0" w:firstLine="56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八、分包意向协议</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、响应及偏离表</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十、项目组成员</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、企业业绩</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、项目实施方案</w:t>
      </w:r>
      <w:r/>
    </w:p>
    <w:p>
      <w:pPr>
        <w:ind w:left="0" w:right="0" w:firstLine="560"/>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十三、售后服务方案</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、关于符合本国产品标准的声明函</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、投标所需其他材料</w:t>
      </w:r>
      <w:r/>
    </w:p>
    <w:p>
      <w:pPr>
        <w:pStyle w:val="917"/>
        <w:ind w:left="0" w:right="0"/>
        <w:spacing w:before="0" w:beforeAutospacing="0" w:after="0" w:afterAutospacing="0" w:line="44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8"/>
        <w:ind w:left="0" w:right="0"/>
        <w:spacing w:beforeAutospacing="0" w:afterAutospacing="0" w:line="440" w:lineRule="exact"/>
        <w:rPr>
          <w:rFonts w:hint="eastAsia" w:ascii="宋体" w:hAnsi="宋体" w:eastAsia="宋体" w:cs="宋体"/>
          <w:color w:val="auto"/>
          <w:sz w:val="24"/>
          <w:szCs w:val="24"/>
          <w:highlight w:val="none"/>
        </w:rPr>
      </w:pPr>
      <w:r/>
      <w:bookmarkStart w:id="135" w:name="_Toc23838"/>
      <w:r/>
      <w:bookmarkEnd w:id="135"/>
      <w:r/>
      <w:r/>
    </w:p>
    <w:p>
      <w:pPr>
        <w:pStyle w:val="918"/>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8"/>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8"/>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8"/>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8"/>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ind w:left="0" w:right="0"/>
        <w:spacing w:beforeAutospacing="0" w:afterAutospacing="0" w:line="440" w:lineRule="exact"/>
        <w:rPr>
          <w:rFonts w:hint="eastAsia" w:ascii="宋体" w:hAnsi="宋体" w:eastAsia="宋体" w:cs="宋体"/>
          <w:b/>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136" w:name="_Toc120614284"/>
      <w:r/>
      <w:r/>
    </w:p>
    <w:p>
      <w:pPr>
        <w:pStyle w:val="919"/>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一、投标声明及承诺函</w:t>
      </w:r>
      <w:r/>
    </w:p>
    <w:p>
      <w:pPr>
        <w:pStyle w:val="919"/>
        <w:ind w:left="0" w:right="0"/>
        <w:jc w:val="left"/>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919"/>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项目的招标文件，我方在参加本项目招投标活动中，特做出如下承诺：</w:t>
      </w:r>
      <w:r/>
    </w:p>
    <w:p>
      <w:pPr>
        <w:pStyle w:val="919"/>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一、我方具备《中华人民共和国政府采购法》第二十二条第一款规定的6项条件；</w:t>
      </w:r>
      <w:r/>
    </w:p>
    <w:p>
      <w:pPr>
        <w:pStyle w:val="919"/>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19"/>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19"/>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19"/>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919"/>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919"/>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19"/>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18"/>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二、投标人基本情况</w:t>
      </w:r>
      <w:r/>
    </w:p>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投标人基本情况表</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46"/>
        </w:trPr>
        <w:tc>
          <w:tcPr>
            <w:tcW w:w="1526"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902"/>
              <w:ind w:left="0" w:right="0" w:firstLine="1432"/>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902"/>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902"/>
              <w:ind w:left="0" w:right="0"/>
              <w:jc w:val="both"/>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b/>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auto"/>
          <w:sz w:val="24"/>
          <w:szCs w:val="24"/>
          <w:highlight w:val="none"/>
        </w:rPr>
      </w:r>
      <w:r/>
    </w:p>
    <w:p>
      <w:pPr>
        <w:ind w:left="0" w:right="0"/>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b/>
          <w:color w:val="auto"/>
          <w:sz w:val="24"/>
          <w:szCs w:val="24"/>
          <w:highlight w:val="none"/>
        </w:rPr>
        <w:t xml:space="preserve">三、特定资格要求的证明文件</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spacing w:beforeAutospacing="0" w:afterAutospacing="0" w:line="440" w:lineRule="exact"/>
        <w:rPr>
          <w:rFonts w:hint="eastAsia" w:ascii="宋体" w:hAnsi="宋体" w:eastAsia="宋体" w:cs="宋体"/>
          <w:b/>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auto"/>
          <w:sz w:val="24"/>
          <w:szCs w:val="24"/>
          <w:highlight w:val="none"/>
        </w:rPr>
      </w:r>
      <w:r/>
    </w:p>
    <w:p>
      <w:pPr>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四、法人授权书</w:t>
      </w:r>
      <w:r/>
    </w:p>
    <w:p>
      <w:pPr>
        <w:pStyle w:val="922"/>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pStyle w:val="922"/>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22"/>
        <w:ind w:left="0" w:right="0" w:firstLine="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22"/>
        <w:ind w:left="0" w:right="0" w:firstLine="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22"/>
        <w:ind w:left="0" w:right="0" w:firstLine="120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22"/>
        <w:ind w:left="0" w:right="0" w:firstLine="48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22"/>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137" w:name="_格式3__银行出具的资信证明"/>
      <w:r/>
      <w:bookmarkEnd w:id="137"/>
      <w:r/>
      <w:bookmarkStart w:id="138" w:name="_Hlt26955070"/>
      <w:r/>
      <w:bookmarkEnd w:id="138"/>
      <w:r/>
      <w:bookmarkStart w:id="139" w:name="_Hlt26671380"/>
      <w:r/>
      <w:bookmarkEnd w:id="139"/>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i/>
          <w:color w:val="auto"/>
          <w:sz w:val="24"/>
          <w:szCs w:val="24"/>
          <w:highlight w:val="none"/>
          <w:u w:val="single"/>
        </w:rPr>
        <w:t xml:space="preserve">五、开标一览表</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                                 </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投标总报价</w:t>
            </w:r>
            <w:r/>
          </w:p>
        </w:tc>
      </w:tr>
      <w:tr>
        <w:trPr>
          <w:cantSplit/>
          <w:jc w:val="center"/>
          <w:trHeight w:val="612"/>
        </w:trPr>
        <w:tc>
          <w:tcPr>
            <w:tcW w:w="8206" w:type="dxa"/>
            <w:vAlign w:val="center"/>
            <w:textDirection w:val="lrTb"/>
            <w:noWrap w:val="false"/>
          </w:tcPr>
          <w:p>
            <w:pPr>
              <w:pStyle w:val="923"/>
              <w:ind w:left="0" w:right="0" w:firstLine="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（人民币：元）</w:t>
            </w:r>
            <w:r/>
          </w:p>
        </w:tc>
      </w:tr>
    </w:tbl>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23"/>
        <w:ind w:left="0" w:right="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both"/>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numPr>
          <w:ilvl w:val="0"/>
          <w:numId w:val="23"/>
        </w:numPr>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投标报价明细表</w:t>
      </w:r>
      <w:r/>
    </w:p>
    <w:p>
      <w:pPr>
        <w:numPr>
          <w:ilvl w:val="0"/>
          <w:numId w:val="0"/>
        </w:numPr>
        <w:ind w:left="0" w:right="0"/>
        <w:jc w:val="center"/>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分项报价表</w:t>
      </w:r>
      <w:r/>
    </w:p>
    <w:p>
      <w:pPr>
        <w:numPr>
          <w:ilvl w:val="0"/>
          <w:numId w:val="0"/>
        </w:numPr>
        <w:ind w:left="0" w:right="0"/>
        <w:jc w:val="center"/>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（货物类）</w:t>
      </w:r>
      <w:r/>
    </w:p>
    <w:p>
      <w:pPr>
        <w:numPr>
          <w:ilvl w:val="0"/>
          <w:numId w:val="0"/>
        </w:numPr>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701"/>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294"/>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序号</w:t>
            </w:r>
            <w:r/>
          </w:p>
        </w:tc>
        <w:tc>
          <w:tcPr>
            <w:tcW w:w="103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96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414"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784"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8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727"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372"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分项单价</w:t>
            </w:r>
            <w:r/>
          </w:p>
        </w:tc>
        <w:tc>
          <w:tcPr>
            <w:tcW w:w="124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分项总价</w:t>
            </w:r>
            <w:r/>
          </w:p>
        </w:tc>
      </w:tr>
      <w:tr>
        <w:trPr>
          <w:cantSplit/>
          <w:trHeight w:val="696"/>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tcW w:w="103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c>
          <w:tcPr>
            <w:tcW w:w="103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103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3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6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0"/>
        </w:trPr>
        <w:tc>
          <w:tcPr>
            <w:gridSpan w:val="8"/>
            <w:tcW w:w="7835"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246" w:type="dxa"/>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24"/>
        <w:ind w:left="0" w:right="0"/>
        <w:jc w:val="left"/>
        <w:keepLines/>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备注：1.投标报价采用总承包方式，“投标总报价”应包括所投货物(包含与货物相关的服务)费用、安装调试费、测试验收费、培训费、运行维护费用、税金、运输保险费、办理全套免税手续费用(如果有)及其他有关的为完成本项目发生的所有费用，招标文件中另有规定的除外。</w:t>
      </w:r>
      <w:r/>
    </w:p>
    <w:p>
      <w:pPr>
        <w:pStyle w:val="924"/>
        <w:ind w:left="0" w:right="0"/>
        <w:jc w:val="left"/>
        <w:keepLines/>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2.“投标分项报价表”中“投标总报价”数额应当与“开标一览表”中“投标总报价”数额一致。</w:t>
      </w:r>
      <w:r/>
    </w:p>
    <w:p>
      <w:pPr>
        <w:pStyle w:val="924"/>
        <w:ind w:left="0" w:right="0"/>
        <w:jc w:val="left"/>
        <w:keepLines/>
        <w:keepNext w:val="0"/>
        <w:pageBreakBefore w:val="0"/>
        <w:spacing w:before="0" w:beforeAutospacing="0" w:after="0" w:afterAutospacing="0" w:line="440" w:lineRule="exact"/>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投标人需认真填写本报价表，尤其注意品牌型号的准确填写。投标人须提供所投标的产品品牌、型号、产地，除辅材、辅助材料(含以施工为主的条目)和技术参数标明为定制的产品之外的其它应该标明品牌和型号的产品，在投标文件中必须标明产品的品牌、型号，否则作无效投标处理。</w:t>
      </w:r>
      <w:r>
        <w:rPr>
          <w:rFonts w:hint="eastAsia" w:ascii="宋体" w:hAnsi="宋体" w:eastAsia="宋体" w:cs="宋体"/>
          <w:b w:val="0"/>
          <w:bCs w:val="0"/>
          <w:strike/>
          <w:color w:val="auto"/>
          <w:sz w:val="24"/>
          <w:szCs w:val="24"/>
          <w:highlight w:val="none"/>
        </w:rPr>
        <w:br w:type="page" w:clear="all"/>
      </w:r>
      <w:r>
        <w:rPr>
          <w:rFonts w:hint="eastAsia" w:ascii="宋体" w:hAnsi="宋体" w:eastAsia="宋体" w:cs="宋体"/>
          <w:b/>
          <w:bCs/>
          <w:color w:val="auto"/>
          <w:sz w:val="24"/>
          <w:szCs w:val="24"/>
          <w:highlight w:val="none"/>
        </w:rPr>
        <w:t xml:space="preserve">七、中小企业或残疾人福利性单位声明函</w:t>
      </w:r>
      <w:r/>
    </w:p>
    <w:p>
      <w:pPr>
        <w:pStyle w:val="925"/>
        <w:ind w:left="0" w:right="0"/>
        <w:jc w:val="center"/>
        <w:spacing w:beforeAutospacing="0" w:afterAutospacing="0" w:line="440" w:lineRule="exact"/>
        <w:rPr>
          <w:rStyle w:val="880"/>
          <w:rFonts w:hint="eastAsia" w:ascii="宋体" w:hAnsi="宋体" w:eastAsia="宋体" w:cs="宋体"/>
          <w:b/>
          <w:color w:val="auto"/>
          <w:sz w:val="24"/>
          <w:szCs w:val="24"/>
          <w:highlight w:val="none"/>
        </w:rPr>
      </w:pPr>
      <w:r>
        <w:rPr>
          <w:rStyle w:val="880"/>
          <w:rFonts w:hint="eastAsia" w:ascii="宋体" w:hAnsi="宋体" w:eastAsia="宋体" w:cs="宋体"/>
          <w:b/>
          <w:color w:val="auto"/>
          <w:sz w:val="24"/>
          <w:szCs w:val="24"/>
          <w:highlight w:val="none"/>
        </w:rPr>
        <w:t xml:space="preserve">中小微企业声明函</w:t>
      </w:r>
      <w:r/>
    </w:p>
    <w:p>
      <w:pPr>
        <w:pStyle w:val="925"/>
        <w:ind w:left="0" w:right="0"/>
        <w:jc w:val="center"/>
        <w:spacing w:beforeAutospacing="0" w:afterAutospacing="0" w:line="440" w:lineRule="exact"/>
        <w:rPr>
          <w:rStyle w:val="880"/>
          <w:rFonts w:hint="eastAsia" w:ascii="宋体" w:hAnsi="宋体" w:eastAsia="宋体" w:cs="宋体"/>
          <w:b/>
          <w:color w:val="auto"/>
          <w:sz w:val="24"/>
          <w:szCs w:val="24"/>
          <w:highlight w:val="none"/>
        </w:rPr>
      </w:pPr>
      <w:r>
        <w:rPr>
          <w:rStyle w:val="880"/>
          <w:rFonts w:hint="eastAsia" w:ascii="宋体" w:hAnsi="宋体" w:eastAsia="宋体" w:cs="宋体"/>
          <w:b/>
          <w:color w:val="auto"/>
          <w:sz w:val="24"/>
          <w:szCs w:val="24"/>
          <w:highlight w:val="none"/>
        </w:rPr>
        <w:t xml:space="preserve">（货物类项目）</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（标的名称）</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行业；制造商为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 □小型企业 □微型企业）；</w:t>
      </w:r>
      <w:r/>
    </w:p>
    <w:p>
      <w:pPr>
        <w:ind w:firstLine="36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（标的名称）</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行业；制造商为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 □小型企业 □微型企业）；</w:t>
      </w:r>
      <w:r/>
    </w:p>
    <w:p>
      <w:pPr>
        <w:ind w:firstLine="36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ind w:firstLine="36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36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本企业对上述声明内容的真实性负责。如有虚假，将依法承担相应责任</w:t>
      </w:r>
      <w:r/>
    </w:p>
    <w:p>
      <w:pPr>
        <w:ind w:right="72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right="180" w:firstLine="360"/>
        <w:jc w:val="right"/>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企业名称（加盖CA电子公章）：</w:t>
      </w:r>
      <w:r/>
    </w:p>
    <w:p>
      <w:pPr>
        <w:ind w:right="480" w:firstLine="540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left"/>
        <w:keepLines w:val="0"/>
        <w:keepNext w:val="0"/>
        <w:pageBreakBefore w:val="0"/>
        <w:spacing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3.供应商自行勾选制造商的企业规模类型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标的名称请逐一列明。</w:t>
      </w:r>
      <w:r>
        <w:rPr>
          <w:rFonts w:hint="eastAsia" w:ascii="宋体" w:hAnsi="宋体" w:eastAsia="宋体" w:cs="宋体"/>
          <w:color w:val="auto"/>
          <w:sz w:val="24"/>
          <w:highlight w:val="none"/>
        </w:rPr>
        <w:t xml:space="preserve">  </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482"/>
        <w:jc w:val="left"/>
        <w:keepLines w:val="0"/>
        <w:keepNext w:val="0"/>
        <w:pageBreakBefore w:val="0"/>
        <w:spacing w:beforeAutospacing="0" w:afterAutospacing="0" w:line="420" w:lineRule="exact"/>
        <w:widowControl w:val="off"/>
        <w:rPr>
          <w:rFonts w:hint="eastAsia" w:ascii="宋体" w:hAnsi="宋体" w:eastAsia="宋体" w:cs="宋体"/>
          <w:iCs/>
          <w:color w:val="auto"/>
          <w:sz w:val="24"/>
          <w:szCs w:val="24"/>
          <w:highlight w:val="none"/>
        </w:rPr>
      </w:pPr>
      <w:r>
        <w:rPr>
          <w:rFonts w:hint="eastAsia" w:ascii="宋体" w:hAnsi="宋体" w:eastAsia="宋体" w:cs="宋体"/>
          <w:b/>
          <w:color w:val="auto"/>
          <w:sz w:val="24"/>
          <w:szCs w:val="24"/>
          <w:highlight w:val="none"/>
        </w:rPr>
        <w:br w:type="page" w:clear="all"/>
      </w:r>
      <w:r/>
    </w:p>
    <w:p>
      <w:pPr>
        <w:pStyle w:val="926"/>
        <w:ind w:left="0" w:right="0"/>
        <w:jc w:val="center"/>
        <w:spacing w:beforeAutospacing="0" w:afterAutospacing="0" w:line="440" w:lineRule="exact"/>
        <w:rPr>
          <w:rStyle w:val="880"/>
          <w:rFonts w:hint="eastAsia" w:ascii="宋体" w:hAnsi="宋体" w:eastAsia="宋体" w:cs="宋体"/>
          <w:b/>
          <w:bCs/>
          <w:color w:val="auto"/>
          <w:sz w:val="24"/>
          <w:szCs w:val="24"/>
          <w:highlight w:val="none"/>
        </w:rPr>
      </w:pPr>
      <w:r>
        <w:rPr>
          <w:rStyle w:val="880"/>
          <w:rFonts w:hint="eastAsia" w:ascii="宋体" w:hAnsi="宋体" w:eastAsia="宋体" w:cs="宋体"/>
          <w:b/>
          <w:bCs/>
          <w:color w:val="auto"/>
          <w:sz w:val="24"/>
          <w:szCs w:val="24"/>
          <w:highlight w:val="none"/>
        </w:rPr>
        <w:t xml:space="preserve">残疾人福利性单位声明函</w:t>
      </w:r>
      <w:r/>
    </w:p>
    <w:p>
      <w:pPr>
        <w:pStyle w:val="927"/>
        <w:ind w:left="0" w:right="0"/>
        <w:spacing w:beforeAutospacing="0" w:afterAutospacing="0" w:line="440" w:lineRule="exact"/>
        <w:rPr>
          <w:rStyle w:val="880"/>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（备注：非残疾人福利性单位不需提供此函。）</w:t>
      </w:r>
      <w:r/>
    </w:p>
    <w:p>
      <w:pPr>
        <w:ind w:left="0" w:right="0" w:firstLine="624"/>
        <w:spacing w:beforeAutospacing="0" w:afterAutospacing="0" w:line="44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928"/>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360"/>
        <w:jc w:val="righ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left="0" w:right="0"/>
        <w:jc w:val="righ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p>
    <w:p>
      <w:pPr>
        <w:jc w:val="left"/>
        <w:spacing w:line="440" w:lineRule="exact"/>
        <w:rPr>
          <w:rFonts w:hint="eastAsia" w:ascii="宋体" w:hAnsi="宋体" w:eastAsia="宋体" w:cs="宋体"/>
          <w:b/>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auto"/>
          <w:sz w:val="24"/>
          <w:szCs w:val="24"/>
          <w:highlight w:val="none"/>
        </w:rPr>
        <w:br w:type="page" w:clear="all"/>
      </w:r>
      <w:r/>
    </w:p>
    <w:p>
      <w:pPr>
        <w:pStyle w:val="934"/>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八、分包意向协议</w:t>
      </w:r>
      <w:r/>
    </w:p>
    <w:p>
      <w:pPr>
        <w:pStyle w:val="934"/>
        <w:jc w:val="center"/>
        <w:rPr>
          <w:rFonts w:hint="eastAsia" w:ascii="宋体" w:hAnsi="宋体" w:eastAsia="宋体" w:cs="宋体"/>
          <w:b/>
          <w:bCs/>
          <w:caps w:val="0"/>
          <w:color w:val="auto"/>
          <w:sz w:val="24"/>
          <w:szCs w:val="24"/>
          <w:highlight w:val="none"/>
          <w:lang w:val="en-US" w:eastAsia="zh-CN" w:bidi="ar-SA"/>
        </w:rPr>
        <w:outlineLvl w:val="1"/>
      </w:pPr>
      <w:r>
        <w:rPr>
          <w:rFonts w:hint="eastAsia" w:ascii="宋体" w:hAnsi="宋体" w:eastAsia="宋体" w:cs="宋体"/>
          <w:b/>
          <w:bCs/>
          <w:caps w:val="0"/>
          <w:color w:val="auto"/>
          <w:sz w:val="24"/>
          <w:szCs w:val="24"/>
          <w:highlight w:val="none"/>
          <w:lang w:val="en-US" w:eastAsia="zh-CN" w:bidi="ar-SA"/>
        </w:rPr>
        <w:t xml:space="preserve">分包意向协议书</w:t>
      </w:r>
      <w:r/>
    </w:p>
    <w:p>
      <w:pPr>
        <w:pStyle w:val="95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立约方：</w:t>
      </w:r>
      <w:r>
        <w:rPr>
          <w:rFonts w:hint="eastAsia" w:ascii="宋体" w:hAnsi="宋体" w:eastAsia="宋体" w:cs="宋体"/>
          <w:color w:val="auto"/>
          <w:sz w:val="24"/>
          <w:szCs w:val="24"/>
          <w:highlight w:val="none"/>
          <w:u w:val="single"/>
          <w:lang w:val="en-US" w:eastAsia="zh-CN"/>
        </w:rPr>
        <w:t xml:space="preserve">（甲公司全称）</w:t>
      </w:r>
      <w:r/>
    </w:p>
    <w:p>
      <w:pPr>
        <w:pStyle w:val="955"/>
        <w:ind w:firstLine="8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（乙公司全称）</w:t>
      </w:r>
      <w:r/>
    </w:p>
    <w:p>
      <w:pPr>
        <w:pStyle w:val="955"/>
        <w:ind w:firstLine="8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（……公司全称）</w:t>
      </w:r>
      <w:r/>
    </w:p>
    <w:p>
      <w:pPr>
        <w:pStyle w:val="955"/>
        <w:ind w:firstLine="400"/>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（甲公司全称）、（乙公司全称）、（……公司全称）</w:t>
      </w:r>
      <w:r>
        <w:rPr>
          <w:rFonts w:hint="eastAsia" w:ascii="宋体" w:hAnsi="宋体" w:eastAsia="宋体" w:cs="宋体"/>
          <w:color w:val="auto"/>
          <w:sz w:val="24"/>
          <w:szCs w:val="24"/>
          <w:highlight w:val="none"/>
          <w:lang w:val="en-US" w:eastAsia="zh-CN"/>
        </w:rPr>
        <w:t xml:space="preserve">自愿达成分包意向，参加</w:t>
      </w:r>
      <w:r>
        <w:rPr>
          <w:rFonts w:hint="eastAsia" w:ascii="宋体" w:hAnsi="宋体" w:eastAsia="宋体" w:cs="宋体"/>
          <w:color w:val="auto"/>
          <w:sz w:val="24"/>
          <w:szCs w:val="24"/>
          <w:highlight w:val="none"/>
          <w:u w:val="single"/>
          <w:lang w:val="en-US" w:eastAsia="zh-CN"/>
        </w:rPr>
        <w:t xml:space="preserve">（采购项目名称）（采购项目编号）</w:t>
      </w:r>
      <w:r>
        <w:rPr>
          <w:rFonts w:hint="eastAsia" w:ascii="宋体" w:hAnsi="宋体" w:eastAsia="宋体" w:cs="宋体"/>
          <w:color w:val="auto"/>
          <w:sz w:val="24"/>
          <w:szCs w:val="24"/>
          <w:highlight w:val="none"/>
          <w:lang w:val="en-US" w:eastAsia="zh-CN"/>
        </w:rPr>
        <w:t xml:space="preserve">的响应活动。经各方充分协商一致，就项目的响应和合同实施阶段的有关事务协商一致订立意向如下：</w:t>
      </w:r>
      <w:r/>
    </w:p>
    <w:p>
      <w:pPr>
        <w:pStyle w:val="955"/>
        <w:ind w:firstLine="400"/>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一、分包意向各方关系</w:t>
      </w:r>
      <w:r/>
    </w:p>
    <w:p>
      <w:pPr>
        <w:pStyle w:val="955"/>
        <w:ind w:firstLine="400"/>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（甲公司全称）为投标方、（乙公司全称）、（……公司全称）</w:t>
      </w:r>
      <w:r>
        <w:rPr>
          <w:rFonts w:hint="eastAsia" w:ascii="宋体" w:hAnsi="宋体" w:eastAsia="宋体" w:cs="宋体"/>
          <w:color w:val="auto"/>
          <w:sz w:val="24"/>
          <w:szCs w:val="24"/>
          <w:highlight w:val="none"/>
          <w:lang w:val="en-US" w:eastAsia="zh-CN"/>
        </w:rPr>
        <w:t xml:space="preserve">为分包意向供应商，</w:t>
      </w:r>
      <w:r>
        <w:rPr>
          <w:rFonts w:hint="eastAsia" w:ascii="宋体" w:hAnsi="宋体" w:eastAsia="宋体" w:cs="宋体"/>
          <w:color w:val="auto"/>
          <w:sz w:val="24"/>
          <w:szCs w:val="24"/>
          <w:highlight w:val="none"/>
          <w:u w:val="single"/>
          <w:lang w:val="en-US" w:eastAsia="zh-CN"/>
        </w:rPr>
        <w:t xml:space="preserve">（甲公司全称）</w:t>
      </w:r>
      <w:r>
        <w:rPr>
          <w:rFonts w:hint="eastAsia" w:ascii="宋体" w:hAnsi="宋体" w:eastAsia="宋体" w:cs="宋体"/>
          <w:color w:val="auto"/>
          <w:sz w:val="24"/>
          <w:szCs w:val="24"/>
          <w:highlight w:val="none"/>
          <w:lang w:val="en-US" w:eastAsia="zh-CN"/>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p>
    <w:p>
      <w:pPr>
        <w:pStyle w:val="955"/>
        <w:ind w:firstLine="400"/>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二、有关事项约定如下：</w:t>
      </w:r>
      <w:r/>
    </w:p>
    <w:p>
      <w:pPr>
        <w:pStyle w:val="955"/>
        <w:ind w:firstLine="400"/>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1.如中标，分包供应商分别与</w:t>
      </w:r>
      <w:r>
        <w:rPr>
          <w:rFonts w:hint="eastAsia" w:ascii="宋体" w:hAnsi="宋体" w:eastAsia="宋体" w:cs="宋体"/>
          <w:color w:val="auto"/>
          <w:sz w:val="24"/>
          <w:szCs w:val="24"/>
          <w:highlight w:val="none"/>
          <w:u w:val="single"/>
          <w:lang w:val="en-US" w:eastAsia="zh-CN"/>
        </w:rPr>
        <w:t xml:space="preserve">（甲公司全称）</w:t>
      </w:r>
      <w:r>
        <w:rPr>
          <w:rFonts w:hint="eastAsia" w:ascii="宋体" w:hAnsi="宋体" w:eastAsia="宋体" w:cs="宋体"/>
          <w:color w:val="auto"/>
          <w:sz w:val="24"/>
          <w:szCs w:val="24"/>
          <w:highlight w:val="none"/>
          <w:lang w:val="en-US" w:eastAsia="zh-CN"/>
        </w:rPr>
        <w:t xml:space="preserve">签订合同书，并就中标项目分包部分向采购人负责有连带的和各自的法律责任；</w:t>
      </w:r>
      <w:r/>
    </w:p>
    <w:p>
      <w:pPr>
        <w:pStyle w:val="955"/>
        <w:ind w:firstLine="400"/>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2.分包意向供应商</w:t>
      </w:r>
      <w:r>
        <w:rPr>
          <w:rFonts w:hint="eastAsia" w:ascii="宋体" w:hAnsi="宋体" w:eastAsia="宋体" w:cs="宋体"/>
          <w:color w:val="auto"/>
          <w:sz w:val="24"/>
          <w:szCs w:val="24"/>
          <w:highlight w:val="none"/>
          <w:u w:val="single"/>
          <w:lang w:val="en-US" w:eastAsia="zh-CN"/>
        </w:rPr>
        <w:t xml:space="preserve">1（公司全称）</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u w:val="single"/>
          <w:lang w:val="en-US" w:eastAsia="zh-CN"/>
        </w:rPr>
        <w:t xml:space="preserve">（请填写：中型、小型、微型）</w:t>
      </w:r>
      <w:r>
        <w:rPr>
          <w:rFonts w:hint="eastAsia" w:ascii="宋体" w:hAnsi="宋体" w:eastAsia="宋体" w:cs="宋体"/>
          <w:color w:val="auto"/>
          <w:sz w:val="24"/>
          <w:szCs w:val="24"/>
          <w:highlight w:val="none"/>
          <w:lang w:val="en-US" w:eastAsia="zh-CN"/>
        </w:rPr>
        <w:t xml:space="preserve">企业，将承担适宜分包部分</w:t>
      </w:r>
      <w:r>
        <w:rPr>
          <w:rFonts w:hint="eastAsia" w:ascii="宋体" w:hAnsi="宋体" w:eastAsia="宋体" w:cs="宋体"/>
          <w:color w:val="auto"/>
          <w:sz w:val="24"/>
          <w:szCs w:val="24"/>
          <w:highlight w:val="none"/>
          <w:u w:val="single"/>
          <w:lang w:val="en-US" w:eastAsia="zh-CN"/>
        </w:rPr>
        <w:t xml:space="preserve"> （具体分包内容）</w:t>
      </w:r>
      <w:r>
        <w:rPr>
          <w:rFonts w:hint="eastAsia" w:ascii="宋体" w:hAnsi="宋体" w:eastAsia="宋体" w:cs="宋体"/>
          <w:color w:val="auto"/>
          <w:sz w:val="24"/>
          <w:szCs w:val="24"/>
          <w:highlight w:val="none"/>
          <w:lang w:val="en-US" w:eastAsia="zh-CN"/>
        </w:rPr>
        <w:t xml:space="preserve">占合同总金额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的工作内容。</w:t>
      </w:r>
      <w:r/>
    </w:p>
    <w:p>
      <w:pPr>
        <w:pStyle w:val="955"/>
        <w:ind w:firstLine="400"/>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3.分包意向供应商</w:t>
      </w:r>
      <w:r>
        <w:rPr>
          <w:rFonts w:hint="eastAsia" w:ascii="宋体" w:hAnsi="宋体" w:eastAsia="宋体" w:cs="宋体"/>
          <w:color w:val="auto"/>
          <w:sz w:val="24"/>
          <w:szCs w:val="24"/>
          <w:highlight w:val="none"/>
          <w:u w:val="single"/>
          <w:lang w:val="en-US" w:eastAsia="zh-CN"/>
        </w:rPr>
        <w:t xml:space="preserve">2（公司全称）</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u w:val="single"/>
          <w:lang w:val="en-US" w:eastAsia="zh-CN"/>
        </w:rPr>
        <w:t xml:space="preserve">（请填写：中型、小型、微型）</w:t>
      </w:r>
      <w:r>
        <w:rPr>
          <w:rFonts w:hint="eastAsia" w:ascii="宋体" w:hAnsi="宋体" w:eastAsia="宋体" w:cs="宋体"/>
          <w:color w:val="auto"/>
          <w:sz w:val="24"/>
          <w:szCs w:val="24"/>
          <w:highlight w:val="none"/>
          <w:lang w:val="en-US" w:eastAsia="zh-CN"/>
        </w:rPr>
        <w:t xml:space="preserve">企业，将承担适宜分包部分</w:t>
      </w:r>
      <w:r>
        <w:rPr>
          <w:rFonts w:hint="eastAsia" w:ascii="宋体" w:hAnsi="宋体" w:eastAsia="宋体" w:cs="宋体"/>
          <w:color w:val="auto"/>
          <w:sz w:val="24"/>
          <w:szCs w:val="24"/>
          <w:highlight w:val="none"/>
          <w:u w:val="single"/>
          <w:lang w:val="en-US" w:eastAsia="zh-CN"/>
        </w:rPr>
        <w:t xml:space="preserve">（具体分包内容）</w:t>
      </w:r>
      <w:r>
        <w:rPr>
          <w:rFonts w:hint="eastAsia" w:ascii="宋体" w:hAnsi="宋体" w:eastAsia="宋体" w:cs="宋体"/>
          <w:color w:val="auto"/>
          <w:sz w:val="24"/>
          <w:szCs w:val="24"/>
          <w:highlight w:val="none"/>
          <w:lang w:val="en-US" w:eastAsia="zh-CN"/>
        </w:rPr>
        <w:t xml:space="preserve">占合同总金额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的工作内容。</w:t>
      </w:r>
      <w:r/>
    </w:p>
    <w:p>
      <w:pPr>
        <w:pStyle w:val="955"/>
        <w:ind w:firstLine="400"/>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三、接受分包的企业与分包企业之间的关系：</w:t>
      </w:r>
      <w:r/>
    </w:p>
    <w:p>
      <w:pPr>
        <w:pStyle w:val="955"/>
        <w:ind w:firstLine="400"/>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1.分包意向供应商</w:t>
      </w:r>
      <w:r>
        <w:rPr>
          <w:rFonts w:hint="eastAsia" w:ascii="宋体" w:hAnsi="宋体" w:eastAsia="宋体" w:cs="宋体"/>
          <w:color w:val="auto"/>
          <w:sz w:val="24"/>
          <w:szCs w:val="24"/>
          <w:highlight w:val="none"/>
          <w:u w:val="single"/>
          <w:lang w:val="en-US" w:eastAsia="zh-CN"/>
        </w:rPr>
        <w:t xml:space="preserve"> 1（公司全称）</w:t>
      </w:r>
      <w:r>
        <w:rPr>
          <w:rFonts w:hint="eastAsia" w:ascii="宋体" w:hAnsi="宋体" w:eastAsia="宋体" w:cs="宋体"/>
          <w:color w:val="auto"/>
          <w:sz w:val="24"/>
          <w:szCs w:val="24"/>
          <w:highlight w:val="none"/>
          <w:lang w:val="en-US" w:eastAsia="zh-CN"/>
        </w:rPr>
        <w:t xml:space="preserve">与分包企业之间</w:t>
      </w:r>
      <w:r>
        <w:rPr>
          <w:rFonts w:hint="eastAsia" w:ascii="宋体" w:hAnsi="宋体" w:eastAsia="宋体" w:cs="宋体"/>
          <w:color w:val="auto"/>
          <w:sz w:val="24"/>
          <w:szCs w:val="24"/>
          <w:highlight w:val="none"/>
          <w:u w:val="single"/>
          <w:lang w:val="en-US" w:eastAsia="zh-CN"/>
        </w:rPr>
        <w:t xml:space="preserve">（请填写：是否存在）</w:t>
      </w:r>
      <w:r>
        <w:rPr>
          <w:rFonts w:hint="eastAsia" w:ascii="宋体" w:hAnsi="宋体" w:eastAsia="宋体" w:cs="宋体"/>
          <w:color w:val="auto"/>
          <w:sz w:val="24"/>
          <w:szCs w:val="24"/>
          <w:highlight w:val="none"/>
          <w:lang w:val="en-US" w:eastAsia="zh-CN"/>
        </w:rPr>
        <w:t xml:space="preserve">直接控股、管理关系的情形。</w:t>
      </w:r>
      <w:r/>
    </w:p>
    <w:p>
      <w:pPr>
        <w:pStyle w:val="955"/>
        <w:ind w:firstLine="400"/>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2.分包意向供应商</w:t>
      </w:r>
      <w:r>
        <w:rPr>
          <w:rFonts w:hint="eastAsia" w:ascii="宋体" w:hAnsi="宋体" w:eastAsia="宋体" w:cs="宋体"/>
          <w:color w:val="auto"/>
          <w:sz w:val="24"/>
          <w:szCs w:val="24"/>
          <w:highlight w:val="none"/>
          <w:u w:val="single"/>
          <w:lang w:val="en-US" w:eastAsia="zh-CN"/>
        </w:rPr>
        <w:t xml:space="preserve"> 2（公司全称）</w:t>
      </w:r>
      <w:r>
        <w:rPr>
          <w:rFonts w:hint="eastAsia" w:ascii="宋体" w:hAnsi="宋体" w:eastAsia="宋体" w:cs="宋体"/>
          <w:color w:val="auto"/>
          <w:sz w:val="24"/>
          <w:szCs w:val="24"/>
          <w:highlight w:val="none"/>
          <w:lang w:val="en-US" w:eastAsia="zh-CN"/>
        </w:rPr>
        <w:t xml:space="preserve">与分包企业之间</w:t>
      </w:r>
      <w:r>
        <w:rPr>
          <w:rFonts w:hint="eastAsia" w:ascii="宋体" w:hAnsi="宋体" w:eastAsia="宋体" w:cs="宋体"/>
          <w:color w:val="auto"/>
          <w:sz w:val="24"/>
          <w:szCs w:val="24"/>
          <w:highlight w:val="none"/>
          <w:u w:val="single"/>
          <w:lang w:val="en-US" w:eastAsia="zh-CN"/>
        </w:rPr>
        <w:t xml:space="preserve">（请填写：是否存在）</w:t>
      </w:r>
      <w:r>
        <w:rPr>
          <w:rFonts w:hint="eastAsia" w:ascii="宋体" w:hAnsi="宋体" w:eastAsia="宋体" w:cs="宋体"/>
          <w:color w:val="auto"/>
          <w:sz w:val="24"/>
          <w:szCs w:val="24"/>
          <w:highlight w:val="none"/>
          <w:lang w:val="en-US" w:eastAsia="zh-CN"/>
        </w:rPr>
        <w:t xml:space="preserve">直接控股、管理关系的情形。</w:t>
      </w:r>
      <w:r/>
    </w:p>
    <w:p>
      <w:pPr>
        <w:pStyle w:val="955"/>
        <w:ind w:firstLine="400"/>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四、如因违约过失责任而导致采购人经济损失或被索赔时，</w:t>
      </w:r>
      <w:r>
        <w:rPr>
          <w:rFonts w:hint="eastAsia" w:ascii="宋体" w:hAnsi="宋体" w:eastAsia="宋体" w:cs="宋体"/>
          <w:color w:val="auto"/>
          <w:sz w:val="24"/>
          <w:szCs w:val="24"/>
          <w:highlight w:val="none"/>
          <w:u w:val="single"/>
          <w:lang w:val="en-US" w:eastAsia="zh-CN"/>
        </w:rPr>
        <w:t xml:space="preserve">（甲公司全称）</w:t>
      </w:r>
      <w:r>
        <w:rPr>
          <w:rFonts w:hint="eastAsia" w:ascii="宋体" w:hAnsi="宋体" w:eastAsia="宋体" w:cs="宋体"/>
          <w:color w:val="auto"/>
          <w:sz w:val="24"/>
          <w:szCs w:val="24"/>
          <w:highlight w:val="none"/>
          <w:lang w:val="en-US" w:eastAsia="zh-CN"/>
        </w:rPr>
        <w:t xml:space="preserve">同意无条件优先清偿采购人的一切债务和经济赔偿。</w:t>
      </w:r>
      <w:r/>
    </w:p>
    <w:p>
      <w:pPr>
        <w:pStyle w:val="955"/>
        <w:ind w:firstLine="400"/>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五、如中标，分包意向供应商不得以任何理由提出终止本意向协议。</w:t>
      </w:r>
      <w:r/>
    </w:p>
    <w:p>
      <w:pPr>
        <w:pStyle w:val="955"/>
        <w:ind w:firstLine="400"/>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六、本意向书在自签署之日起生效，有效期内有效，如获中标资格，有效期延续至合同履行完毕之日。</w:t>
      </w:r>
      <w:r/>
    </w:p>
    <w:p>
      <w:pPr>
        <w:pStyle w:val="955"/>
        <w:ind w:firstLine="400"/>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七、本意向书正本一式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份，随投标文件装订</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份，（甲公司全称）及各分包意向供应商各一份。</w:t>
      </w:r>
      <w:r/>
    </w:p>
    <w:p>
      <w:pPr>
        <w:pStyle w:val="95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甲公司全称：（盖章）</w:t>
      </w:r>
      <w:r/>
    </w:p>
    <w:p>
      <w:pPr>
        <w:pStyle w:val="95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法定代表人（签字或盖章）</w:t>
      </w:r>
      <w:r/>
    </w:p>
    <w:p>
      <w:pPr>
        <w:pStyle w:val="95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年 月 日</w:t>
      </w:r>
      <w:r/>
    </w:p>
    <w:p>
      <w:pPr>
        <w:pStyle w:val="95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55"/>
        <w:ind w:firstLine="400"/>
        <w:keepLines w:val="0"/>
        <w:keepNext w:val="0"/>
        <w:pageBreakBefore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乙公司全称：（盖章）</w:t>
      </w:r>
      <w:r/>
    </w:p>
    <w:p>
      <w:pPr>
        <w:pStyle w:val="955"/>
        <w:ind w:firstLine="400"/>
        <w:keepLines w:val="0"/>
        <w:keepNext w:val="0"/>
        <w:pageBreakBefore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法定代表人（签字或盖章） </w:t>
      </w:r>
      <w:r/>
    </w:p>
    <w:p>
      <w:pPr>
        <w:pStyle w:val="955"/>
        <w:ind w:firstLine="400"/>
        <w:keepLines w:val="0"/>
        <w:keepNext w:val="0"/>
        <w:pageBreakBefore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年 月 日</w:t>
      </w:r>
      <w:r/>
    </w:p>
    <w:p>
      <w:pPr>
        <w:pStyle w:val="955"/>
        <w:ind w:firstLine="400"/>
        <w:keepLines w:val="0"/>
        <w:keepNext w:val="0"/>
        <w:pageBreakBefore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55"/>
        <w:ind w:firstLine="400"/>
        <w:keepLines w:val="0"/>
        <w:keepNext w:val="0"/>
        <w:pageBreakBefore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……公司全称（盖章）</w:t>
      </w:r>
      <w:r/>
    </w:p>
    <w:p>
      <w:pPr>
        <w:pStyle w:val="955"/>
        <w:ind w:firstLine="400"/>
        <w:keepLines w:val="0"/>
        <w:keepNext w:val="0"/>
        <w:pageBreakBefore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法定代表人：（签字或盖章）</w:t>
      </w:r>
      <w:r/>
    </w:p>
    <w:p>
      <w:pPr>
        <w:pStyle w:val="955"/>
        <w:ind w:firstLine="400"/>
        <w:keepLines w:val="0"/>
        <w:keepNext w:val="0"/>
        <w:pageBreakBefore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年 月 日 </w:t>
      </w:r>
      <w:r/>
    </w:p>
    <w:p>
      <w:pPr>
        <w:pStyle w:val="955"/>
        <w:ind w:firstLine="400"/>
        <w:keepLines w:val="0"/>
        <w:keepNext w:val="0"/>
        <w:pageBreakBefore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955"/>
        <w:ind w:firstLine="402"/>
        <w:keepLines w:val="0"/>
        <w:keepNext w:val="0"/>
        <w:pageBreakBefore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p>
    <w:p>
      <w:pPr>
        <w:pStyle w:val="955"/>
        <w:ind w:firstLine="402"/>
        <w:keepLines w:val="0"/>
        <w:keepNext w:val="0"/>
        <w:pageBreakBefore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1．各方成员应在本意向书上共同盖章确认。 </w:t>
      </w:r>
      <w:r/>
    </w:p>
    <w:p>
      <w:pPr>
        <w:ind w:firstLine="482"/>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2.本意向书内容将作为签订合同的附件之一。</w:t>
      </w:r>
      <w:r/>
    </w:p>
    <w:p>
      <w:pPr>
        <w:pStyle w:val="703"/>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05"/>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spacing w:line="440" w:lineRule="exact"/>
        <w:rPr>
          <w:rFonts w:hint="eastAsia" w:ascii="宋体" w:hAnsi="宋体" w:eastAsia="宋体" w:cs="宋体"/>
          <w:b/>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auto"/>
          <w:sz w:val="24"/>
          <w:szCs w:val="24"/>
          <w:highlight w:val="none"/>
        </w:rPr>
      </w:r>
      <w:r/>
    </w:p>
    <w:p>
      <w:pPr>
        <w:jc w:val="left"/>
        <w:spacing w:line="440" w:lineRule="exact"/>
        <w:rPr>
          <w:rFonts w:ascii="宋体" w:hAnsi="宋体" w:cs="宋体"/>
          <w:b/>
          <w:color w:val="auto"/>
          <w:sz w:val="24"/>
          <w:highlight w:val="none"/>
        </w:rPr>
      </w:pP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w:t>
      </w:r>
      <w:r>
        <w:rPr>
          <w:rFonts w:hint="eastAsia" w:ascii="宋体" w:hAnsi="宋体" w:cs="宋体"/>
          <w:b/>
          <w:color w:val="auto"/>
          <w:sz w:val="24"/>
          <w:highlight w:val="none"/>
        </w:rPr>
        <w:t xml:space="preserve">响应及偏离表</w:t>
      </w:r>
      <w:r/>
    </w:p>
    <w:p>
      <w:pPr>
        <w:ind w:firstLine="1446"/>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实质性要求响应及偏离表（分包号：）</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6"/>
        <w:gridCol w:w="3411"/>
        <w:gridCol w:w="3136"/>
        <w:gridCol w:w="144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技术要求和商务要求中的实质性要求</w:t>
            </w:r>
            <w:r>
              <w:rPr>
                <w:rFonts w:ascii="宋体" w:hAnsi="宋体" w:cs="宋体"/>
                <w:i/>
                <w:color w:val="auto"/>
                <w:sz w:val="24"/>
                <w:highlight w:val="none"/>
                <w:u w:val="single"/>
              </w:rPr>
              <w:t xml:space="preserve">（</w:t>
            </w:r>
            <w:r>
              <w:rPr>
                <w:rFonts w:ascii="宋体" w:hAnsi="宋体" w:cs="宋体"/>
                <w:color w:val="auto"/>
                <w:sz w:val="24"/>
                <w:highlight w:val="none"/>
                <w:u w:val="single"/>
              </w:rPr>
              <w:t xml:space="preserve">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附件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1.投标人必须对技术要求和商务要求中的实质性要求</w:t>
      </w:r>
      <w:r>
        <w:rPr>
          <w:rFonts w:ascii="宋体" w:hAnsi="宋体" w:cs="宋体"/>
          <w:i/>
          <w:color w:val="auto"/>
          <w:sz w:val="24"/>
          <w:highlight w:val="none"/>
          <w:u w:val="single"/>
        </w:rPr>
        <w:t xml:space="preserve">（</w:t>
      </w:r>
      <w:r>
        <w:rPr>
          <w:rFonts w:ascii="宋体" w:hAnsi="宋体" w:cs="宋体"/>
          <w:color w:val="auto"/>
          <w:sz w:val="24"/>
          <w:highlight w:val="none"/>
          <w:u w:val="single"/>
        </w:rPr>
        <w:t xml:space="preserve">打“★”内容）</w:t>
      </w:r>
      <w:r>
        <w:rPr>
          <w:rFonts w:ascii="宋体" w:hAnsi="宋体" w:cs="宋体"/>
          <w:color w:val="auto"/>
          <w:sz w:val="24"/>
          <w:highlight w:val="none"/>
        </w:rPr>
        <w:t xml:space="preserve">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3.投标人未对实质性要求逐条作出明确响应的，或未按招标文件要求提供证明材料的，该</w:t>
      </w:r>
      <w:r>
        <w:rPr>
          <w:rFonts w:hint="eastAsia" w:ascii="宋体" w:hAnsi="宋体" w:cs="宋体"/>
          <w:color w:val="auto"/>
          <w:sz w:val="24"/>
          <w:highlight w:val="none"/>
        </w:rPr>
        <w:t xml:space="preserve">采购包</w:t>
      </w:r>
      <w:r>
        <w:rPr>
          <w:rFonts w:ascii="宋体" w:hAnsi="宋体" w:cs="宋体"/>
          <w:color w:val="auto"/>
          <w:sz w:val="24"/>
          <w:highlight w:val="none"/>
        </w:rPr>
        <w:t xml:space="preserve">作无效标处理。</w:t>
      </w:r>
      <w:r/>
    </w:p>
    <w:p>
      <w:pPr>
        <w:jc w:val="center"/>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技术要求响应及偏离表（分包号：）</w:t>
      </w:r>
      <w:r/>
    </w:p>
    <w:tbl>
      <w:tblPr>
        <w:tblStyle w:val="7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技术要求</w:t>
            </w:r>
            <w:r/>
          </w:p>
        </w:tc>
        <w:tc>
          <w:tcPr>
            <w:tcW w:w="3191"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投标响应情况</w:t>
            </w:r>
            <w:r/>
          </w:p>
        </w:tc>
        <w:tc>
          <w:tcPr>
            <w:tcW w:w="2128"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3063"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3191"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12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3063"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3191"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12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bl>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附件  证明材料1，证明材料2，……</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备注：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1.投标人需对技术要求（</w:t>
      </w:r>
      <w:r>
        <w:rPr>
          <w:rFonts w:hint="eastAsia" w:ascii="宋体" w:hAnsi="宋体" w:cs="宋体"/>
          <w:iCs/>
          <w:color w:val="auto"/>
          <w:sz w:val="24"/>
          <w:highlight w:val="none"/>
          <w:u w:val="single"/>
        </w:rPr>
        <w:t xml:space="preserve">未打“★”内容</w:t>
      </w:r>
      <w:r>
        <w:rPr>
          <w:rFonts w:hint="eastAsia" w:ascii="宋体" w:hAnsi="宋体" w:cs="宋体"/>
          <w:color w:val="auto"/>
          <w:sz w:val="24"/>
          <w:highlight w:val="none"/>
        </w:rPr>
        <w:t xml:space="preserve">）逐条做出明确响应。</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2.如果招标文件要求提供证明材料，投标人需将证明材料列于该表之下。</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pStyle w:val="929"/>
        <w:rPr>
          <w:rFonts w:ascii="宋体" w:hAnsi="宋体" w:eastAsia="宋体" w:cs="宋体"/>
          <w:color w:val="auto"/>
          <w:highlight w:val="none"/>
        </w:rPr>
      </w:pPr>
      <w:r>
        <w:rPr>
          <w:rFonts w:ascii="宋体" w:hAnsi="宋体" w:eastAsia="宋体" w:cs="宋体"/>
          <w:color w:val="auto"/>
          <w:highlight w:val="none"/>
        </w:rPr>
      </w:r>
      <w:r/>
    </w:p>
    <w:p>
      <w:pPr>
        <w:jc w:val="left"/>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商务要求响应及偏离表（分包号：    ）</w:t>
      </w:r>
      <w:r/>
    </w:p>
    <w:tbl>
      <w:tblPr>
        <w:tblStyle w:val="701"/>
        <w:tblW w:w="84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商务要求</w:t>
            </w:r>
            <w:r/>
          </w:p>
        </w:tc>
        <w:tc>
          <w:tcPr>
            <w:tcW w:w="2508"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投标响应情况</w:t>
            </w:r>
            <w:r/>
          </w:p>
        </w:tc>
        <w:tc>
          <w:tcPr>
            <w:tcW w:w="2324"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3063"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50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324"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3063"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250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324"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bl>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附件  证明材料1，证明材料2，……</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备注：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1.投标人需对商务要求（</w:t>
      </w:r>
      <w:r>
        <w:rPr>
          <w:rFonts w:hint="eastAsia" w:ascii="宋体" w:hAnsi="宋体" w:cs="宋体"/>
          <w:iCs/>
          <w:color w:val="auto"/>
          <w:sz w:val="24"/>
          <w:highlight w:val="none"/>
          <w:u w:val="single"/>
        </w:rPr>
        <w:t xml:space="preserve">未打“★”内容</w:t>
      </w:r>
      <w:r>
        <w:rPr>
          <w:rFonts w:hint="eastAsia" w:ascii="宋体" w:hAnsi="宋体" w:cs="宋体"/>
          <w:color w:val="auto"/>
          <w:sz w:val="24"/>
          <w:highlight w:val="none"/>
        </w:rPr>
        <w:t xml:space="preserve">）逐条做出明确响应。</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2.如果招标文件要求提供证明材料，投标人需将证明材料列于该表之下。</w:t>
      </w:r>
      <w:r/>
    </w:p>
    <w:p>
      <w:pPr>
        <w:pStyle w:val="914"/>
        <w:rPr>
          <w:rFonts w:ascii="宋体" w:hAnsi="宋体" w:eastAsia="宋体" w:cs="宋体"/>
          <w:color w:val="auto"/>
          <w:highlight w:val="none"/>
        </w:rPr>
      </w:pPr>
      <w:r>
        <w:rPr>
          <w:rFonts w:ascii="宋体" w:hAnsi="宋体" w:eastAsia="宋体" w:cs="宋体"/>
          <w:color w:val="auto"/>
          <w:highlight w:val="none"/>
        </w:rPr>
      </w:r>
      <w:r/>
    </w:p>
    <w:p>
      <w:pPr>
        <w:pStyle w:val="929"/>
        <w:ind w:left="0" w:right="0"/>
        <w:spacing w:beforeAutospacing="0" w:afterAutospacing="0" w:line="440" w:lineRule="exact"/>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color w:val="auto"/>
          <w:sz w:val="24"/>
          <w:szCs w:val="24"/>
          <w:highlight w:val="none"/>
        </w:rPr>
      </w:r>
      <w:r/>
    </w:p>
    <w:p>
      <w:pPr>
        <w:pStyle w:val="929"/>
        <w:ind w:left="0" w:right="0"/>
        <w:spacing w:beforeAutospacing="0" w:afterAutospacing="0" w:line="44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、项目组人员</w:t>
      </w:r>
      <w:r/>
    </w:p>
    <w:p>
      <w:pPr>
        <w:pStyle w:val="888"/>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项目组成员</w:t>
      </w:r>
      <w:r/>
    </w:p>
    <w:tbl>
      <w:tblPr>
        <w:tblStyle w:val="70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30"/>
              <w:ind w:left="0" w:right="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843" w:type="dxa"/>
            <w:vAlign w:val="center"/>
            <w:textDirection w:val="lrTb"/>
            <w:noWrap w:val="false"/>
          </w:tcPr>
          <w:p>
            <w:pPr>
              <w:pStyle w:val="930"/>
              <w:ind w:left="0" w:right="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992" w:type="dxa"/>
            <w:vAlign w:val="center"/>
            <w:textDirection w:val="lrTb"/>
            <w:noWrap w:val="false"/>
          </w:tcPr>
          <w:p>
            <w:pPr>
              <w:pStyle w:val="930"/>
              <w:ind w:left="0" w:right="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984" w:type="dxa"/>
            <w:vAlign w:val="center"/>
            <w:textDirection w:val="lrTb"/>
            <w:noWrap w:val="false"/>
          </w:tcPr>
          <w:p>
            <w:pPr>
              <w:pStyle w:val="930"/>
              <w:ind w:left="0" w:right="0" w:firstLine="2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tc>
        <w:tc>
          <w:tcPr>
            <w:tcW w:w="1702" w:type="dxa"/>
            <w:vAlign w:val="center"/>
            <w:textDirection w:val="lrTb"/>
            <w:noWrap w:val="false"/>
          </w:tcPr>
          <w:p>
            <w:pPr>
              <w:pStyle w:val="930"/>
              <w:ind w:left="0" w:right="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相关证书</w:t>
            </w:r>
            <w:r/>
          </w:p>
        </w:tc>
        <w:tc>
          <w:tcPr>
            <w:tcW w:w="962" w:type="dxa"/>
            <w:vAlign w:val="center"/>
            <w:textDirection w:val="lrTb"/>
            <w:noWrap w:val="false"/>
          </w:tcPr>
          <w:p>
            <w:pPr>
              <w:pStyle w:val="930"/>
              <w:ind w:left="0" w:right="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729"/>
        </w:trPr>
        <w:tc>
          <w:tcPr>
            <w:tcW w:w="959"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88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项目经理</w:t>
            </w:r>
            <w:r/>
          </w:p>
        </w:tc>
        <w:tc>
          <w:tcPr>
            <w:tcW w:w="99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88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99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888"/>
              <w:ind w:left="0" w:right="0" w:firstLine="2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99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888"/>
              <w:ind w:left="0" w:right="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888"/>
              <w:ind w:left="0" w:right="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30"/>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88"/>
        <w:ind w:left="0" w:right="0" w:firstLine="398"/>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注：如供应商中标，项目组成员必须按本表承诺人员操作，不得随意更换。</w:t>
      </w:r>
      <w:r>
        <w:rPr>
          <w:rFonts w:hint="eastAsia" w:ascii="宋体" w:hAnsi="宋体" w:cs="宋体"/>
          <w:b/>
          <w:color w:val="auto"/>
          <w:sz w:val="24"/>
          <w:szCs w:val="24"/>
          <w:highlight w:val="none"/>
          <w:lang w:val="en-US" w:eastAsia="zh-CN" w:bidi="ar"/>
        </w:rPr>
        <w:t xml:space="preserve">投标时</w:t>
      </w:r>
      <w:r>
        <w:rPr>
          <w:rFonts w:hint="eastAsia" w:ascii="宋体" w:hAnsi="宋体" w:eastAsia="宋体" w:cs="宋体"/>
          <w:b/>
          <w:color w:val="auto"/>
          <w:sz w:val="24"/>
          <w:szCs w:val="24"/>
          <w:highlight w:val="none"/>
          <w:lang w:bidi="ar"/>
        </w:rPr>
        <w:t xml:space="preserve">按招标文件要求附相关人员证书。</w:t>
      </w:r>
      <w:r/>
    </w:p>
    <w:p>
      <w:pPr>
        <w:pStyle w:val="888"/>
        <w:ind w:left="0" w:right="0" w:firstLine="2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140" w:name="_Toc11176"/>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w:t>
      </w:r>
      <w:bookmarkEnd w:id="140"/>
      <w:r>
        <w:rPr>
          <w:rFonts w:hint="eastAsia" w:ascii="宋体" w:hAnsi="宋体" w:eastAsia="宋体" w:cs="宋体"/>
          <w:b/>
          <w:color w:val="auto"/>
          <w:sz w:val="24"/>
          <w:szCs w:val="24"/>
          <w:highlight w:val="none"/>
        </w:rPr>
        <w:t xml:space="preserve">企业业绩</w:t>
      </w:r>
      <w:r/>
    </w:p>
    <w:p>
      <w:pPr>
        <w:pStyle w:val="932"/>
        <w:ind w:left="0" w:right="0"/>
        <w:jc w:val="center"/>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投标人承担类似项目业绩一览表</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827" w:type="dxa"/>
            <w:vAlign w:val="center"/>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433" w:type="dxa"/>
            <w:vAlign w:val="center"/>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95" w:type="dxa"/>
            <w:vAlign w:val="center"/>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tc>
      </w:tr>
      <w:tr>
        <w:trPr>
          <w:jc w:val="center"/>
          <w:trHeight w:val="1510"/>
        </w:trPr>
        <w:tc>
          <w:tcPr>
            <w:tcW w:w="1229" w:type="dxa"/>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10"/>
        </w:trPr>
        <w:tc>
          <w:tcPr>
            <w:tcW w:w="1229" w:type="dxa"/>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10"/>
        </w:trPr>
        <w:tc>
          <w:tcPr>
            <w:tcW w:w="1229" w:type="dxa"/>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25"/>
        </w:trPr>
        <w:tc>
          <w:tcPr>
            <w:tcW w:w="1229" w:type="dxa"/>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933"/>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32"/>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注：请填写此表，并按要求上传业绩资料电子件。</w:t>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br w:type="page" w:clear="all"/>
      </w:r>
      <w:bookmarkStart w:id="141" w:name="_Toc28140"/>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、项目实施方案</w:t>
      </w:r>
      <w:r/>
    </w:p>
    <w:p>
      <w:pPr>
        <w:pStyle w:val="934"/>
        <w:ind w:left="0" w:right="0"/>
        <w:spacing w:beforeAutospacing="0" w:afterAutospacing="0" w:line="440" w:lineRule="exact"/>
        <w:rPr>
          <w:rFonts w:hint="eastAsia" w:ascii="宋体" w:hAnsi="宋体" w:eastAsia="宋体" w:cs="宋体"/>
          <w:b w:val="0"/>
          <w:color w:val="auto"/>
          <w:sz w:val="24"/>
          <w:szCs w:val="24"/>
          <w:highlight w:val="none"/>
        </w:rPr>
        <w:outlineLvl w:val="1"/>
      </w:pPr>
      <w:r>
        <w:rPr>
          <w:rFonts w:hint="eastAsia" w:ascii="宋体" w:hAnsi="宋体" w:eastAsia="宋体" w:cs="宋体"/>
          <w:b w:val="0"/>
          <w:color w:val="auto"/>
          <w:sz w:val="24"/>
          <w:szCs w:val="24"/>
          <w:highlight w:val="none"/>
        </w:rPr>
        <w:t xml:space="preserve">根据评分办法自行编制</w:t>
      </w:r>
      <w:r/>
    </w:p>
    <w:p>
      <w:pPr>
        <w:pStyle w:val="934"/>
        <w:ind w:left="0" w:right="0"/>
        <w:spacing w:beforeAutospacing="0" w:afterAutospacing="0" w:line="440" w:lineRule="exact"/>
        <w:rPr>
          <w:rFonts w:hint="eastAsia" w:ascii="宋体" w:hAnsi="宋体" w:eastAsia="宋体" w:cs="宋体"/>
          <w:b w:val="0"/>
          <w:color w:val="auto"/>
          <w:sz w:val="24"/>
          <w:szCs w:val="24"/>
          <w:highlight w:val="none"/>
        </w:rPr>
        <w:outlineLvl w:val="1"/>
      </w:pPr>
      <w:r>
        <w:rPr>
          <w:rFonts w:hint="eastAsia" w:ascii="宋体" w:hAnsi="宋体" w:eastAsia="宋体" w:cs="宋体"/>
          <w:b w:val="0"/>
          <w:color w:val="auto"/>
          <w:sz w:val="24"/>
          <w:szCs w:val="24"/>
          <w:highlight w:val="none"/>
        </w:rPr>
      </w:r>
      <w:r/>
    </w:p>
    <w:p>
      <w:pPr>
        <w:pStyle w:val="934"/>
        <w:ind w:left="0" w:right="0"/>
        <w:spacing w:beforeAutospacing="0" w:afterAutospacing="0" w:line="440" w:lineRule="exact"/>
        <w:rPr>
          <w:rFonts w:hint="eastAsia" w:ascii="宋体" w:hAnsi="宋体" w:eastAsia="宋体" w:cs="宋体"/>
          <w:b w:val="0"/>
          <w:color w:val="auto"/>
          <w:sz w:val="24"/>
          <w:szCs w:val="24"/>
          <w:highlight w:val="none"/>
        </w:rPr>
        <w:outlineLvl w:val="1"/>
      </w:pPr>
      <w:r>
        <w:rPr>
          <w:rFonts w:hint="eastAsia" w:ascii="宋体" w:hAnsi="宋体" w:eastAsia="宋体" w:cs="宋体"/>
          <w:b w:val="0"/>
          <w:color w:val="auto"/>
          <w:sz w:val="24"/>
          <w:szCs w:val="24"/>
          <w:highlight w:val="none"/>
        </w:rPr>
      </w:r>
      <w:r/>
    </w:p>
    <w:p>
      <w:pPr>
        <w:pStyle w:val="934"/>
        <w:ind w:left="0" w:right="0"/>
        <w:spacing w:beforeAutospacing="0" w:afterAutospacing="0" w:line="440" w:lineRule="exact"/>
        <w:rPr>
          <w:rFonts w:hint="eastAsia" w:ascii="宋体" w:hAnsi="宋体" w:eastAsia="宋体" w:cs="宋体"/>
          <w:b w:val="0"/>
          <w:color w:val="auto"/>
          <w:sz w:val="24"/>
          <w:szCs w:val="24"/>
          <w:highlight w:val="none"/>
        </w:rPr>
        <w:outlineLvl w:val="1"/>
      </w:pPr>
      <w:r>
        <w:rPr>
          <w:rFonts w:hint="eastAsia" w:ascii="宋体" w:hAnsi="宋体" w:eastAsia="宋体" w:cs="宋体"/>
          <w:b w:val="0"/>
          <w:color w:val="auto"/>
          <w:sz w:val="24"/>
          <w:szCs w:val="24"/>
          <w:highlight w:val="none"/>
        </w:rPr>
      </w:r>
      <w:r/>
    </w:p>
    <w:p>
      <w:pPr>
        <w:pStyle w:val="934"/>
        <w:ind w:left="0" w:right="0"/>
        <w:spacing w:beforeAutospacing="0" w:afterAutospacing="0" w:line="440" w:lineRule="exact"/>
        <w:rPr>
          <w:rFonts w:hint="default" w:ascii="宋体" w:hAnsi="宋体" w:eastAsia="宋体" w:cs="宋体"/>
          <w:b w:val="0"/>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十三、售后服务方案</w:t>
      </w:r>
      <w:r/>
    </w:p>
    <w:p>
      <w:pPr>
        <w:pStyle w:val="934"/>
        <w:ind w:left="0" w:right="0"/>
        <w:spacing w:beforeAutospacing="0" w:afterAutospacing="0" w:line="440" w:lineRule="exact"/>
        <w:rPr>
          <w:rFonts w:hint="eastAsia" w:ascii="宋体" w:hAnsi="宋体" w:eastAsia="宋体" w:cs="宋体"/>
          <w:b w:val="0"/>
          <w:color w:val="auto"/>
          <w:sz w:val="24"/>
          <w:szCs w:val="24"/>
          <w:highlight w:val="none"/>
        </w:rPr>
        <w:outlineLvl w:val="1"/>
      </w:pPr>
      <w:r>
        <w:rPr>
          <w:rFonts w:hint="eastAsia" w:ascii="宋体" w:hAnsi="宋体" w:eastAsia="宋体" w:cs="宋体"/>
          <w:b w:val="0"/>
          <w:color w:val="auto"/>
          <w:sz w:val="24"/>
          <w:szCs w:val="24"/>
          <w:highlight w:val="none"/>
        </w:rPr>
        <w:t xml:space="preserve">根据评分办法自行编制</w:t>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0"/>
        </w:numPr>
        <w:spacing w:line="480" w:lineRule="exact"/>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十</w:t>
      </w:r>
      <w:r>
        <w:rPr>
          <w:rFonts w:hint="eastAsia" w:ascii="宋体" w:hAnsi="宋体" w:cs="宋体"/>
          <w:b/>
          <w:color w:val="auto"/>
          <w:sz w:val="24"/>
          <w:szCs w:val="24"/>
          <w:highlight w:val="none"/>
          <w:lang w:val="en-US" w:eastAsia="zh-CN" w:bidi="ar-SA"/>
        </w:rPr>
        <w:t xml:space="preserve">四</w:t>
      </w:r>
      <w:r>
        <w:rPr>
          <w:rFonts w:hint="eastAsia" w:ascii="宋体" w:hAnsi="宋体" w:eastAsia="宋体" w:cs="宋体"/>
          <w:b/>
          <w:color w:val="auto"/>
          <w:sz w:val="24"/>
          <w:szCs w:val="24"/>
          <w:highlight w:val="none"/>
          <w:lang w:val="en-US" w:eastAsia="zh-CN" w:bidi="ar-SA"/>
        </w:rPr>
        <w:t xml:space="preserve">、关于符合本国产品标准的声明函（采购包号：**）</w:t>
      </w:r>
      <w:r/>
    </w:p>
    <w:p>
      <w:pPr>
        <w:numPr>
          <w:ilvl w:val="0"/>
          <w:numId w:val="0"/>
        </w:numPr>
        <w:spacing w:line="480" w:lineRule="exact"/>
        <w:rPr>
          <w:rFonts w:hint="eastAsia" w:ascii="宋体" w:hAnsi="黑体" w:eastAsia="黑体" w:cs="黑体"/>
          <w:color w:val="auto"/>
          <w:sz w:val="32"/>
          <w:szCs w:val="32"/>
          <w:highlight w:val="none"/>
          <w:lang w:val="en-US" w:eastAsia="zh-CN"/>
        </w:rPr>
        <w:outlineLvl w:val="1"/>
      </w:pPr>
      <w:r>
        <w:rPr>
          <w:rFonts w:hint="eastAsia" w:ascii="宋体" w:hAnsi="黑体" w:eastAsia="黑体" w:cs="黑体"/>
          <w:color w:val="auto"/>
          <w:sz w:val="32"/>
          <w:szCs w:val="32"/>
          <w:highlight w:val="none"/>
          <w:lang w:val="en-US" w:eastAsia="zh-CN"/>
        </w:rPr>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24"/>
        </w:num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shd w:val="clear" w:color="auto" w:fill="ffffff"/>
          <w:lang w:val="en-US" w:eastAsia="zh-CN" w:bidi="ar-SA"/>
        </w:rPr>
      </w:pPr>
      <w:r>
        <w:rPr>
          <w:rStyle w:val="727"/>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27"/>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27"/>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727"/>
          <w:rFonts w:hint="eastAsia" w:ascii="宋体" w:hAnsi="宋体" w:eastAsia="宋体" w:cs="宋体"/>
          <w:i w:val="0"/>
          <w:strike/>
          <w:color w:val="auto"/>
          <w:sz w:val="24"/>
          <w:szCs w:val="24"/>
          <w:highlight w:val="none"/>
          <w:u w:val="single"/>
          <w:shd w:val="clear" w:color="auto" w:fill="ffffff"/>
          <w:lang w:val="en-US" w:eastAsia="zh-CN" w:bidi="ar-SA"/>
        </w:rPr>
        <w:t xml:space="preserve">（产品名称1）</w:t>
      </w:r>
      <w:r>
        <w:rPr>
          <w:rStyle w:val="727"/>
          <w:rFonts w:hint="eastAsia" w:ascii="宋体" w:hAnsi="宋体" w:eastAsia="宋体" w:cs="宋体"/>
          <w:i w:val="0"/>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27"/>
          <w:rFonts w:hint="eastAsia" w:ascii="宋体" w:hAns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727"/>
          <w:rFonts w:hint="eastAsia" w:ascii="宋体" w:hAns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27"/>
          <w:rFonts w:hint="eastAsia" w:ascii="宋体" w:hAns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27"/>
          <w:rFonts w:hint="eastAsia" w:ascii="宋体" w:hAns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27"/>
          <w:rFonts w:hint="eastAsia" w:ascii="宋体" w:hAns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numPr>
          <w:ilvl w:val="0"/>
          <w:numId w:val="0"/>
        </w:num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Style w:val="727"/>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27"/>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27"/>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727"/>
          <w:rFonts w:hint="eastAsia" w:ascii="宋体" w:hAns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27"/>
          <w:rFonts w:hint="eastAsia" w:ascii="宋体" w:hAns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727"/>
          <w:rFonts w:hint="eastAsia" w:ascii="宋体" w:hAns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727"/>
          <w:rFonts w:hint="eastAsia" w:ascii="宋体" w:hAns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27"/>
          <w:rFonts w:hint="eastAsia" w:ascii="宋体" w:hAns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27"/>
          <w:rFonts w:hint="eastAsia" w:ascii="宋体" w:hAns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6.用线划除的地方无需填写。</w:t>
      </w:r>
      <w:r/>
    </w:p>
    <w:p>
      <w:pPr>
        <w:pStyle w:val="723"/>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numPr>
          <w:ilvl w:val="0"/>
          <w:numId w:val="0"/>
        </w:numPr>
        <w:spacing w:line="480" w:lineRule="exact"/>
        <w:rPr>
          <w:rFonts w:hint="eastAsia" w:ascii="宋体" w:hAnsi="黑体" w:eastAsia="黑体" w:cs="黑体"/>
          <w:color w:val="auto"/>
          <w:sz w:val="32"/>
          <w:szCs w:val="32"/>
          <w:highlight w:val="none"/>
          <w:lang w:val="en-US" w:eastAsia="zh-CN"/>
        </w:rPr>
        <w:outlineLvl w:val="1"/>
      </w:pPr>
      <w:r>
        <w:rPr>
          <w:rFonts w:hint="eastAsia" w:ascii="宋体" w:hAnsi="黑体" w:eastAsia="黑体" w:cs="黑体"/>
          <w:color w:val="auto"/>
          <w:sz w:val="32"/>
          <w:szCs w:val="32"/>
          <w:highlight w:val="none"/>
          <w:lang w:val="en-US" w:eastAsia="zh-CN"/>
        </w:rPr>
      </w:r>
      <w:r/>
    </w:p>
    <w:p>
      <w:pPr>
        <w:pStyle w:val="934"/>
        <w:ind w:left="0" w:right="0"/>
        <w:spacing w:beforeAutospacing="0" w:afterAutospacing="0" w:line="440" w:lineRule="exact"/>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color w:val="auto"/>
          <w:sz w:val="24"/>
          <w:szCs w:val="24"/>
          <w:highlight w:val="none"/>
        </w:rPr>
      </w:r>
      <w:r/>
    </w:p>
    <w:p>
      <w:pPr>
        <w:pStyle w:val="934"/>
        <w:ind w:left="0" w:right="0"/>
        <w:spacing w:beforeAutospacing="0" w:afterAutospacing="0" w:line="44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、投标所需其他材料</w:t>
      </w:r>
      <w:bookmarkEnd w:id="141"/>
      <w:r/>
      <w:r/>
    </w:p>
    <w:p>
      <w:pPr>
        <w:pStyle w:val="935"/>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请在此文档中增加投标所需其他相关内容（包括资格要求、评分办法、采购需求中涉及的证件证明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及其它投标人认为有必要提供的资料），如没有请将此空文档上传。</w:t>
      </w:r>
      <w:r/>
    </w:p>
    <w:p>
      <w:pPr>
        <w:pStyle w:val="935"/>
        <w:ind w:left="0" w:right="0" w:firstLine="560"/>
        <w:spacing w:beforeAutospacing="0" w:afterAutospacing="0"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2.产品如属于政府强制采购节能产品品目清单范围内，投标文件中必须提供国家确定的认证机构出具的、处于有效期之内的该节能产品认证证书图片。</w:t>
      </w:r>
      <w:r/>
    </w:p>
    <w:p>
      <w:pPr>
        <w:pStyle w:val="935"/>
        <w:ind w:left="0" w:right="0" w:firstLine="560"/>
        <w:spacing w:beforeAutospacing="0" w:afterAutospacing="0" w:line="44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End w:id="136"/>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0"/>
        <w:ind w:left="0" w:right="0" w:firstLine="0"/>
        <w:spacing w:beforeAutospacing="0" w:afterAutospacing="0" w:line="440" w:lineRule="exact"/>
        <w:rPr>
          <w:rFonts w:hint="eastAsia" w:ascii="宋体" w:hAnsi="宋体" w:eastAsia="宋体" w:cs="宋体"/>
          <w:color w:val="auto"/>
          <w:sz w:val="24"/>
          <w:szCs w:val="24"/>
          <w:highlight w:val="none"/>
        </w:rPr>
      </w:pPr>
      <w:r/>
      <w:bookmarkStart w:id="142" w:name="_Hlt26955066"/>
      <w:r/>
      <w:bookmarkEnd w:id="142"/>
      <w:r/>
      <w:bookmarkStart w:id="143" w:name="_Hlt26671374"/>
      <w:r/>
      <w:bookmarkEnd w:id="143"/>
      <w:r/>
      <w:bookmarkStart w:id="144" w:name="_Hlt26609389"/>
      <w:r/>
      <w:bookmarkEnd w:id="144"/>
      <w:r/>
      <w:bookmarkStart w:id="145" w:name="_Toc462564146"/>
      <w:r/>
      <w:bookmarkEnd w:id="145"/>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spacing w:beforeAutospacing="0" w:afterAutospacing="0" w:line="440" w:lineRule="exact"/>
        <w:rPr>
          <w:rFonts w:hint="eastAsia" w:ascii="宋体" w:hAnsi="宋体" w:eastAsia="宋体" w:cs="宋体"/>
          <w:b/>
          <w:bCs/>
          <w:color w:val="auto"/>
          <w:sz w:val="24"/>
          <w:szCs w:val="24"/>
          <w:highlight w:val="none"/>
        </w:rPr>
      </w:pPr>
      <w:r/>
      <w:bookmarkStart w:id="146" w:name="_格式2__法定代表人授权书"/>
      <w:r/>
      <w:bookmarkEnd w:id="146"/>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24"/>
          <w:szCs w:val="24"/>
          <w:highlight w:val="none"/>
        </w:rPr>
        <w:t xml:space="preserve">质疑函范本</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910"/>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0"/>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方正魏碑_GBK">
    <w:panose1 w:val="020B0503020202020204"/>
  </w:font>
  <w:font w:name="Cambria Math">
    <w:panose1 w:val="02040503050406030204"/>
  </w:font>
  <w:font w:name="Wingdings">
    <w:panose1 w:val="05000000000000000000"/>
  </w:font>
  <w:font w:name="华文楷体">
    <w:panose1 w:val="02010600040101010101"/>
  </w:font>
  <w:font w:name="Courier New">
    <w:panose1 w:val="02070309020205020404"/>
  </w:font>
  <w:font w:name="幼圆">
    <w:panose1 w:val="02010509060101010101"/>
  </w:font>
  <w:font w:name="黑体">
    <w:panose1 w:val="02010609060101010101"/>
  </w:font>
  <w:font w:name="仿宋_GB2312">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20"/>
  </w:num>
  <w:num w:numId="4">
    <w:abstractNumId w:val="4"/>
  </w:num>
  <w:num w:numId="5">
    <w:abstractNumId w:val="3"/>
  </w:num>
  <w:num w:numId="6">
    <w:abstractNumId w:val="12"/>
  </w:num>
  <w:num w:numId="7">
    <w:abstractNumId w:val="15"/>
  </w:num>
  <w:num w:numId="8">
    <w:abstractNumId w:val="23"/>
  </w:num>
  <w:num w:numId="9">
    <w:abstractNumId w:val="11"/>
  </w:num>
  <w:num w:numId="10">
    <w:abstractNumId w:val="0"/>
  </w:num>
  <w:num w:numId="11">
    <w:abstractNumId w:val="16"/>
  </w:num>
  <w:num w:numId="12">
    <w:abstractNumId w:val="21"/>
  </w:num>
  <w:num w:numId="13">
    <w:abstractNumId w:val="5"/>
  </w:num>
  <w:num w:numId="14">
    <w:abstractNumId w:val="19"/>
  </w:num>
  <w:num w:numId="15">
    <w:abstractNumId w:val="9"/>
  </w:num>
  <w:num w:numId="16">
    <w:abstractNumId w:val="14"/>
  </w:num>
  <w:num w:numId="17">
    <w:abstractNumId w:val="8"/>
  </w:num>
  <w:num w:numId="18">
    <w:abstractNumId w:val="7"/>
  </w:num>
  <w:num w:numId="19">
    <w:abstractNumId w:val="1"/>
  </w:num>
  <w:num w:numId="20">
    <w:abstractNumId w:val="18"/>
  </w:num>
  <w:num w:numId="21">
    <w:abstractNumId w:val="22"/>
  </w:num>
  <w:num w:numId="22">
    <w:abstractNumId w:val="13"/>
  </w:num>
  <w:num w:numId="23">
    <w:abstractNumId w:val="17"/>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890"/>
    <w:uiPriority w:val="0"/>
    <w:qFormat/>
    <w:pPr>
      <w:jc w:val="both"/>
      <w:widowControl w:val="off"/>
    </w:pPr>
    <w:rPr>
      <w:rFonts w:hint="default" w:ascii="Calibri" w:hAnsi="Calibri" w:eastAsia="宋体" w:cs="Times New Roman"/>
      <w:sz w:val="21"/>
      <w:szCs w:val="24"/>
      <w:lang w:val="en-US" w:eastAsia="zh-CN" w:bidi="ar-SA"/>
    </w:rPr>
  </w:style>
  <w:style w:type="paragraph" w:styleId="691">
    <w:name w:val="Heading 1"/>
    <w:basedOn w:val="690"/>
    <w:next w:val="690"/>
    <w:link w:val="731"/>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32"/>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3"/>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4"/>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5"/>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6"/>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8"/>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9"/>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Normal Indent"/>
    <w:basedOn w:val="690"/>
    <w:next w:val="690"/>
    <w:uiPriority w:val="99"/>
    <w:qFormat/>
    <w:pPr>
      <w:ind w:firstLine="420"/>
    </w:p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Body Text"/>
    <w:basedOn w:val="690"/>
    <w:next w:val="703"/>
    <w:uiPriority w:val="0"/>
    <w:qFormat/>
    <w:rPr>
      <w:rFonts w:ascii="楷体_GB2312" w:hAnsi="Arial" w:eastAsia="楷体_GB2312"/>
      <w:sz w:val="28"/>
      <w:szCs w:val="28"/>
    </w:rPr>
  </w:style>
  <w:style w:type="paragraph" w:styleId="706">
    <w:name w:val="Body Text Indent"/>
    <w:basedOn w:val="690"/>
    <w:next w:val="707"/>
    <w:uiPriority w:val="0"/>
    <w:qFormat/>
    <w:pPr>
      <w:ind w:firstLine="225"/>
    </w:pPr>
    <w:rPr>
      <w:rFonts w:ascii="仿宋_GB2312" w:eastAsia="仿宋_GB2312"/>
      <w:sz w:val="32"/>
    </w:rPr>
  </w:style>
  <w:style w:type="paragraph" w:styleId="707">
    <w:name w:val="envelope return"/>
    <w:basedOn w:val="690"/>
    <w:uiPriority w:val="0"/>
    <w:qFormat/>
    <w:rPr>
      <w:rFonts w:ascii="Arial" w:hAnsi="Arial"/>
    </w:rPr>
  </w:style>
  <w:style w:type="paragraph" w:styleId="708">
    <w:name w:val="toc 5"/>
    <w:basedOn w:val="690"/>
    <w:next w:val="690"/>
    <w:uiPriority w:val="39"/>
    <w:unhideWhenUsed/>
    <w:qFormat/>
    <w:pPr>
      <w:ind w:left="1134" w:right="0" w:firstLine="0"/>
      <w:spacing w:after="57"/>
    </w:pPr>
  </w:style>
  <w:style w:type="paragraph" w:styleId="709">
    <w:name w:val="toc 3"/>
    <w:basedOn w:val="690"/>
    <w:next w:val="690"/>
    <w:uiPriority w:val="39"/>
    <w:unhideWhenUsed/>
    <w:qFormat/>
    <w:pPr>
      <w:ind w:left="567" w:right="0" w:firstLine="0"/>
      <w:spacing w:after="57"/>
    </w:pPr>
  </w:style>
  <w:style w:type="paragraph" w:styleId="710">
    <w:name w:val="Plain Text"/>
    <w:basedOn w:val="690"/>
    <w:uiPriority w:val="0"/>
    <w:qFormat/>
    <w:rPr>
      <w:rFonts w:ascii="宋体" w:hAnsi="Courier New" w:cs="Courier New"/>
    </w:rPr>
  </w:style>
  <w:style w:type="paragraph" w:styleId="711">
    <w:name w:val="toc 8"/>
    <w:basedOn w:val="690"/>
    <w:next w:val="690"/>
    <w:uiPriority w:val="39"/>
    <w:unhideWhenUsed/>
    <w:qFormat/>
    <w:pPr>
      <w:ind w:left="1984" w:right="0" w:firstLine="0"/>
      <w:spacing w:after="57"/>
    </w:pPr>
  </w:style>
  <w:style w:type="paragraph" w:styleId="712">
    <w:name w:val="endnote text"/>
    <w:basedOn w:val="690"/>
    <w:link w:val="877"/>
    <w:uiPriority w:val="99"/>
    <w:semiHidden/>
    <w:unhideWhenUsed/>
    <w:qFormat/>
    <w:pPr>
      <w:spacing w:after="0" w:line="240" w:lineRule="auto"/>
    </w:pPr>
    <w:rPr>
      <w:sz w:val="20"/>
    </w:rPr>
  </w:style>
  <w:style w:type="paragraph" w:styleId="713">
    <w:name w:val="Footer"/>
    <w:basedOn w:val="690"/>
    <w:link w:val="750"/>
    <w:uiPriority w:val="99"/>
    <w:unhideWhenUsed/>
    <w:qFormat/>
    <w:pPr>
      <w:spacing w:after="0" w:line="240" w:lineRule="auto"/>
      <w:tabs>
        <w:tab w:val="center" w:pos="7143" w:leader="none"/>
        <w:tab w:val="right" w:pos="14287" w:leader="none"/>
      </w:tabs>
    </w:pPr>
  </w:style>
  <w:style w:type="paragraph" w:styleId="714">
    <w:name w:val="Header"/>
    <w:basedOn w:val="690"/>
    <w:link w:val="748"/>
    <w:uiPriority w:val="99"/>
    <w:unhideWhenUsed/>
    <w:qFormat/>
    <w:pPr>
      <w:spacing w:after="0" w:line="240" w:lineRule="auto"/>
      <w:tabs>
        <w:tab w:val="center" w:pos="7143" w:leader="none"/>
        <w:tab w:val="right" w:pos="14287" w:leader="none"/>
      </w:tabs>
    </w:pPr>
  </w:style>
  <w:style w:type="paragraph" w:styleId="715">
    <w:name w:val="toc 1"/>
    <w:basedOn w:val="690"/>
    <w:next w:val="690"/>
    <w:uiPriority w:val="39"/>
    <w:unhideWhenUsed/>
    <w:qFormat/>
    <w:pPr>
      <w:ind w:left="0" w:right="0" w:firstLine="0"/>
      <w:spacing w:after="57"/>
    </w:pPr>
  </w:style>
  <w:style w:type="paragraph" w:styleId="716">
    <w:name w:val="toc 4"/>
    <w:basedOn w:val="690"/>
    <w:next w:val="690"/>
    <w:uiPriority w:val="39"/>
    <w:unhideWhenUsed/>
    <w:qFormat/>
    <w:pPr>
      <w:ind w:left="850" w:right="0" w:firstLine="0"/>
      <w:spacing w:after="57"/>
    </w:pPr>
  </w:style>
  <w:style w:type="paragraph" w:styleId="717">
    <w:name w:val="Subtitle"/>
    <w:basedOn w:val="690"/>
    <w:next w:val="690"/>
    <w:link w:val="743"/>
    <w:uiPriority w:val="11"/>
    <w:qFormat/>
    <w:pPr>
      <w:spacing w:before="200" w:after="200"/>
    </w:pPr>
    <w:rPr>
      <w:sz w:val="24"/>
      <w:szCs w:val="24"/>
    </w:rPr>
  </w:style>
  <w:style w:type="paragraph" w:styleId="718">
    <w:name w:val="footnote text"/>
    <w:basedOn w:val="690"/>
    <w:link w:val="876"/>
    <w:uiPriority w:val="99"/>
    <w:semiHidden/>
    <w:unhideWhenUsed/>
    <w:qFormat/>
    <w:pPr>
      <w:spacing w:after="40" w:line="240" w:lineRule="auto"/>
    </w:pPr>
    <w:rPr>
      <w:sz w:val="18"/>
    </w:rPr>
  </w:style>
  <w:style w:type="paragraph" w:styleId="719">
    <w:name w:val="toc 6"/>
    <w:basedOn w:val="690"/>
    <w:next w:val="690"/>
    <w:uiPriority w:val="39"/>
    <w:unhideWhenUsed/>
    <w:qFormat/>
    <w:pPr>
      <w:ind w:left="1417" w:right="0" w:firstLine="0"/>
      <w:spacing w:after="57"/>
    </w:pPr>
  </w:style>
  <w:style w:type="paragraph" w:styleId="720">
    <w:name w:val="table of figures"/>
    <w:basedOn w:val="690"/>
    <w:next w:val="690"/>
    <w:uiPriority w:val="99"/>
    <w:unhideWhenUsed/>
    <w:qFormat/>
    <w:pPr>
      <w:spacing w:after="0" w:afterAutospacing="0"/>
    </w:pPr>
  </w:style>
  <w:style w:type="paragraph" w:styleId="721">
    <w:name w:val="toc 2"/>
    <w:basedOn w:val="690"/>
    <w:next w:val="690"/>
    <w:uiPriority w:val="39"/>
    <w:unhideWhenUsed/>
    <w:qFormat/>
    <w:pPr>
      <w:ind w:left="283" w:right="0" w:firstLine="0"/>
      <w:spacing w:after="57"/>
    </w:pPr>
  </w:style>
  <w:style w:type="paragraph" w:styleId="722">
    <w:name w:val="toc 9"/>
    <w:basedOn w:val="690"/>
    <w:next w:val="690"/>
    <w:uiPriority w:val="39"/>
    <w:unhideWhenUsed/>
    <w:qFormat/>
    <w:pPr>
      <w:ind w:left="2268" w:right="0" w:firstLine="0"/>
      <w:spacing w:after="57"/>
    </w:pPr>
  </w:style>
  <w:style w:type="paragraph" w:styleId="723">
    <w:name w:val="Normal (Web)"/>
    <w:basedOn w:val="690"/>
    <w:uiPriority w:val="99"/>
    <w:qFormat/>
    <w:pPr>
      <w:jc w:val="left"/>
      <w:spacing w:before="100" w:beforeAutospacing="1" w:after="100" w:afterAutospacing="1"/>
      <w:widowControl/>
    </w:pPr>
    <w:rPr>
      <w:rFonts w:ascii="宋体" w:hAnsi="宋体" w:cs="宋体"/>
      <w:sz w:val="24"/>
      <w:szCs w:val="24"/>
    </w:rPr>
  </w:style>
  <w:style w:type="paragraph" w:styleId="724">
    <w:name w:val="Title"/>
    <w:basedOn w:val="690"/>
    <w:next w:val="690"/>
    <w:link w:val="742"/>
    <w:uiPriority w:val="10"/>
    <w:qFormat/>
    <w:pPr>
      <w:contextualSpacing/>
      <w:spacing w:before="300" w:after="200"/>
    </w:pPr>
    <w:rPr>
      <w:sz w:val="48"/>
      <w:szCs w:val="48"/>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Emphasis"/>
    <w:uiPriority w:val="0"/>
    <w:qFormat/>
    <w:rPr>
      <w:i/>
    </w:rPr>
  </w:style>
  <w:style w:type="character" w:styleId="728">
    <w:name w:val="Hyperlink"/>
    <w:basedOn w:val="700"/>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paragraph" w:styleId="730" w:customStyle="1">
    <w:name w:val="标题二、"/>
    <w:basedOn w:val="690"/>
    <w:uiPriority w:val="99"/>
    <w:qFormat/>
    <w:pPr>
      <w:ind w:firstLine="200"/>
      <w:spacing w:line="360" w:lineRule="auto"/>
      <w:outlineLvl w:val="2"/>
    </w:pPr>
    <w:rPr>
      <w:rFonts w:ascii="宋体" w:hAnsi="宋体"/>
      <w:b/>
      <w:szCs w:val="21"/>
    </w:rPr>
  </w:style>
  <w:style w:type="character" w:styleId="731" w:customStyle="1">
    <w:name w:val="Heading 1 Char"/>
    <w:link w:val="691"/>
    <w:uiPriority w:val="9"/>
    <w:qFormat/>
    <w:rPr>
      <w:rFonts w:ascii="Arial" w:hAnsi="Arial" w:eastAsia="Arial" w:cs="Arial"/>
      <w:sz w:val="40"/>
      <w:szCs w:val="40"/>
    </w:rPr>
  </w:style>
  <w:style w:type="character" w:styleId="732" w:customStyle="1">
    <w:name w:val="Heading 2 Char"/>
    <w:link w:val="692"/>
    <w:uiPriority w:val="9"/>
    <w:qFormat/>
    <w:rPr>
      <w:rFonts w:ascii="Arial" w:hAnsi="Arial" w:eastAsia="Arial" w:cs="Arial"/>
      <w:sz w:val="34"/>
    </w:rPr>
  </w:style>
  <w:style w:type="character" w:styleId="733" w:customStyle="1">
    <w:name w:val="Heading 3 Char"/>
    <w:link w:val="693"/>
    <w:uiPriority w:val="9"/>
    <w:qFormat/>
    <w:rPr>
      <w:rFonts w:ascii="Arial" w:hAnsi="Arial" w:eastAsia="Arial" w:cs="Arial"/>
      <w:sz w:val="30"/>
      <w:szCs w:val="30"/>
    </w:rPr>
  </w:style>
  <w:style w:type="character" w:styleId="734" w:customStyle="1">
    <w:name w:val="Heading 4 Char"/>
    <w:link w:val="694"/>
    <w:uiPriority w:val="9"/>
    <w:qFormat/>
    <w:rPr>
      <w:rFonts w:ascii="Arial" w:hAnsi="Arial" w:eastAsia="Arial" w:cs="Arial"/>
      <w:b/>
      <w:bCs/>
      <w:sz w:val="26"/>
      <w:szCs w:val="26"/>
    </w:rPr>
  </w:style>
  <w:style w:type="character" w:styleId="735" w:customStyle="1">
    <w:name w:val="Heading 5 Char"/>
    <w:link w:val="695"/>
    <w:uiPriority w:val="9"/>
    <w:qFormat/>
    <w:rPr>
      <w:rFonts w:ascii="Arial" w:hAnsi="Arial" w:eastAsia="Arial" w:cs="Arial"/>
      <w:b/>
      <w:bCs/>
      <w:sz w:val="24"/>
      <w:szCs w:val="24"/>
    </w:rPr>
  </w:style>
  <w:style w:type="character" w:styleId="736" w:customStyle="1">
    <w:name w:val="Heading 6 Char"/>
    <w:link w:val="696"/>
    <w:uiPriority w:val="9"/>
    <w:qFormat/>
    <w:rPr>
      <w:rFonts w:ascii="Arial" w:hAnsi="Arial" w:eastAsia="Arial" w:cs="Arial"/>
      <w:b/>
      <w:bCs/>
      <w:sz w:val="22"/>
      <w:szCs w:val="22"/>
    </w:rPr>
  </w:style>
  <w:style w:type="character" w:styleId="737" w:customStyle="1">
    <w:name w:val="Heading 7 Char"/>
    <w:link w:val="697"/>
    <w:uiPriority w:val="9"/>
    <w:qFormat/>
    <w:rPr>
      <w:rFonts w:ascii="Arial" w:hAnsi="Arial" w:eastAsia="Arial" w:cs="Arial"/>
      <w:b/>
      <w:bCs/>
      <w:i/>
      <w:iCs/>
      <w:sz w:val="22"/>
      <w:szCs w:val="22"/>
    </w:rPr>
  </w:style>
  <w:style w:type="character" w:styleId="738" w:customStyle="1">
    <w:name w:val="Heading 8 Char"/>
    <w:link w:val="698"/>
    <w:uiPriority w:val="9"/>
    <w:qFormat/>
    <w:rPr>
      <w:rFonts w:ascii="Arial" w:hAnsi="Arial" w:eastAsia="Arial" w:cs="Arial"/>
      <w:i/>
      <w:iCs/>
      <w:sz w:val="22"/>
      <w:szCs w:val="22"/>
    </w:rPr>
  </w:style>
  <w:style w:type="character" w:styleId="739" w:customStyle="1">
    <w:name w:val="Heading 9 Char"/>
    <w:link w:val="699"/>
    <w:uiPriority w:val="9"/>
    <w:qFormat/>
    <w:rPr>
      <w:rFonts w:ascii="Arial" w:hAnsi="Arial" w:eastAsia="Arial" w:cs="Arial"/>
      <w:i/>
      <w:iCs/>
      <w:sz w:val="21"/>
      <w:szCs w:val="21"/>
    </w:rPr>
  </w:style>
  <w:style w:type="paragraph" w:styleId="740">
    <w:name w:val="List Paragraph"/>
    <w:basedOn w:val="690"/>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link w:val="724"/>
    <w:uiPriority w:val="10"/>
    <w:qFormat/>
    <w:rPr>
      <w:sz w:val="48"/>
      <w:szCs w:val="48"/>
    </w:rPr>
  </w:style>
  <w:style w:type="character" w:styleId="743" w:customStyle="1">
    <w:name w:val="Subtitle Char"/>
    <w:link w:val="717"/>
    <w:uiPriority w:val="11"/>
    <w:qFormat/>
    <w:rPr>
      <w:sz w:val="24"/>
      <w:szCs w:val="24"/>
    </w:rPr>
  </w:style>
  <w:style w:type="paragraph" w:styleId="744">
    <w:name w:val="Quote"/>
    <w:basedOn w:val="690"/>
    <w:next w:val="690"/>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90"/>
    <w:next w:val="690"/>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link w:val="714"/>
    <w:uiPriority w:val="99"/>
    <w:qFormat/>
  </w:style>
  <w:style w:type="character" w:styleId="749" w:customStyle="1">
    <w:name w:val="Footer Char"/>
    <w:link w:val="713"/>
    <w:uiPriority w:val="99"/>
    <w:qFormat/>
  </w:style>
  <w:style w:type="character" w:styleId="750" w:customStyle="1">
    <w:name w:val="Caption Char"/>
    <w:link w:val="713"/>
    <w:uiPriority w:val="99"/>
    <w:qFormat/>
  </w:style>
  <w:style w:type="table" w:styleId="7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18"/>
    <w:uiPriority w:val="99"/>
    <w:qFormat/>
    <w:rPr>
      <w:sz w:val="18"/>
    </w:rPr>
  </w:style>
  <w:style w:type="character" w:styleId="877" w:customStyle="1">
    <w:name w:val="Endnote Text Char"/>
    <w:link w:val="712"/>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31"/>
    <w:basedOn w:val="690"/>
    <w:next w:val="690"/>
    <w:uiPriority w:val="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880" w:customStyle="1">
    <w:name w:val="默认段落字体1"/>
    <w:link w:val="690"/>
    <w:uiPriority w:val="0"/>
    <w:semiHidden/>
    <w:qFormat/>
  </w:style>
  <w:style w:type="table" w:styleId="881" w:customStyle="1">
    <w:name w:val="普通表格1"/>
    <w:uiPriority w:val="0"/>
    <w:semiHidden/>
    <w:qFormat/>
    <w:tblPr/>
  </w:style>
  <w:style w:type="paragraph" w:styleId="882" w:customStyle="1">
    <w:name w:val="正文文本1"/>
    <w:basedOn w:val="690"/>
    <w:next w:val="690"/>
    <w:uiPriority w:val="99"/>
    <w:unhideWhenUsed/>
    <w:qFormat/>
    <w:pPr>
      <w:spacing w:after="120"/>
    </w:pPr>
  </w:style>
  <w:style w:type="paragraph" w:styleId="883" w:customStyle="1">
    <w:name w:val="批注文字1"/>
    <w:basedOn w:val="690"/>
    <w:uiPriority w:val="0"/>
    <w:qFormat/>
    <w:pPr>
      <w:jc w:val="left"/>
    </w:pPr>
  </w:style>
  <w:style w:type="paragraph" w:styleId="884" w:customStyle="1">
    <w:name w:val="页脚1"/>
    <w:basedOn w:val="690"/>
    <w:link w:val="885"/>
    <w:uiPriority w:val="0"/>
    <w:qFormat/>
    <w:pPr>
      <w:jc w:val="left"/>
      <w:tabs>
        <w:tab w:val="center" w:pos="4153" w:leader="none"/>
        <w:tab w:val="right" w:pos="8306" w:leader="none"/>
      </w:tabs>
    </w:pPr>
    <w:rPr>
      <w:sz w:val="18"/>
      <w:szCs w:val="18"/>
    </w:rPr>
  </w:style>
  <w:style w:type="character" w:styleId="885" w:customStyle="1">
    <w:name w:val="页脚 字符"/>
    <w:link w:val="884"/>
    <w:uiPriority w:val="0"/>
    <w:qFormat/>
    <w:rPr>
      <w:rFonts w:ascii="Calibri" w:hAnsi="Calibri"/>
      <w:sz w:val="18"/>
      <w:szCs w:val="18"/>
    </w:rPr>
  </w:style>
  <w:style w:type="paragraph" w:styleId="886" w:customStyle="1">
    <w:name w:val="页眉1"/>
    <w:basedOn w:val="690"/>
    <w:link w:val="887"/>
    <w:uiPriority w:val="0"/>
    <w:qFormat/>
    <w:pPr>
      <w:jc w:val="center"/>
      <w:tabs>
        <w:tab w:val="center" w:pos="4153" w:leader="none"/>
        <w:tab w:val="right" w:pos="8306" w:leader="none"/>
      </w:tabs>
      <w:pBdr>
        <w:bottom w:val="single" w:color="000000" w:sz="6" w:space="1"/>
      </w:pBdr>
    </w:pPr>
    <w:rPr>
      <w:sz w:val="18"/>
      <w:szCs w:val="18"/>
    </w:rPr>
  </w:style>
  <w:style w:type="character" w:styleId="887" w:customStyle="1">
    <w:name w:val="页眉 字符"/>
    <w:link w:val="886"/>
    <w:uiPriority w:val="0"/>
    <w:qFormat/>
    <w:rPr>
      <w:rFonts w:ascii="Calibri" w:hAnsi="Calibri"/>
      <w:sz w:val="18"/>
      <w:szCs w:val="18"/>
    </w:rPr>
  </w:style>
  <w:style w:type="paragraph" w:styleId="888" w:customStyle="1">
    <w:name w:val="普通(网站)1"/>
    <w:basedOn w:val="690"/>
    <w:uiPriority w:val="0"/>
    <w:qFormat/>
    <w:pPr>
      <w:ind w:left="0" w:right="0"/>
      <w:jc w:val="left"/>
      <w:spacing w:before="100" w:beforeAutospacing="1" w:after="100" w:afterAutospacing="1"/>
    </w:pPr>
    <w:rPr>
      <w:sz w:val="24"/>
      <w:lang w:val="en-US" w:eastAsia="zh-CN" w:bidi="ar"/>
    </w:rPr>
  </w:style>
  <w:style w:type="table" w:styleId="889" w:customStyle="1">
    <w:name w:val="网格型1"/>
    <w:basedOn w:val="881"/>
    <w:uiPriority w:val="0"/>
    <w:qFormat/>
    <w:tblPr/>
  </w:style>
  <w:style w:type="character" w:styleId="890" w:customStyle="1">
    <w:name w:val="超链接1"/>
    <w:link w:val="690"/>
    <w:uiPriority w:val="0"/>
    <w:qFormat/>
    <w:rPr>
      <w:color w:val="0000ff"/>
      <w:u w:val="single"/>
    </w:rPr>
  </w:style>
  <w:style w:type="paragraph" w:styleId="891"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89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893" w:customStyle="1">
    <w:name w:val="标题 3_0"/>
    <w:basedOn w:val="894"/>
    <w:next w:val="894"/>
    <w:uiPriority w:val="0"/>
    <w:qFormat/>
    <w:pPr>
      <w:keepLines/>
      <w:keepNext/>
      <w:spacing w:before="260" w:after="260" w:line="413" w:lineRule="auto"/>
      <w:outlineLvl w:val="2"/>
    </w:pPr>
    <w:rPr>
      <w:rFonts w:ascii="Calibri" w:hAnsi="Calibri" w:eastAsia="Times New Roman"/>
      <w:b/>
      <w:sz w:val="32"/>
    </w:rPr>
  </w:style>
  <w:style w:type="paragraph" w:styleId="894" w:customStyle="1">
    <w:name w:val="正文_3_0_1"/>
    <w:uiPriority w:val="0"/>
    <w:qFormat/>
    <w:pPr>
      <w:jc w:val="both"/>
      <w:widowControl w:val="off"/>
    </w:pPr>
    <w:rPr>
      <w:rFonts w:hint="default" w:ascii="Times New Roman" w:hAnsi="Times New Roman" w:eastAsia="宋体" w:cs="Times New Roman"/>
      <w:lang w:val="en-US" w:eastAsia="zh-CN" w:bidi="ar-SA"/>
    </w:rPr>
  </w:style>
  <w:style w:type="paragraph" w:styleId="895" w:customStyle="1">
    <w:name w:val="标题 4_0"/>
    <w:basedOn w:val="896"/>
    <w:next w:val="896"/>
    <w:uiPriority w:val="9"/>
    <w:unhideWhenUsed/>
    <w:qFormat/>
    <w:pPr>
      <w:keepLines/>
      <w:keepNext/>
      <w:spacing w:before="280" w:after="290" w:line="372" w:lineRule="auto"/>
      <w:outlineLvl w:val="3"/>
    </w:pPr>
    <w:rPr>
      <w:rFonts w:ascii="Arial" w:hAnsi="Arial" w:eastAsia="黑体"/>
      <w:b/>
      <w:sz w:val="28"/>
      <w:szCs w:val="20"/>
    </w:rPr>
  </w:style>
  <w:style w:type="paragraph" w:styleId="896" w:customStyle="1">
    <w:name w:val="Normal1"/>
    <w:uiPriority w:val="0"/>
    <w:qFormat/>
    <w:pPr>
      <w:jc w:val="both"/>
      <w:widowControl w:val="off"/>
    </w:pPr>
    <w:rPr>
      <w:rFonts w:hint="default" w:ascii="Calibri" w:hAnsi="Calibri" w:eastAsia="宋体" w:cs="Times New Roman"/>
      <w:lang w:val="en-US" w:eastAsia="zh-CN" w:bidi="ar-SA"/>
    </w:rPr>
  </w:style>
  <w:style w:type="paragraph" w:styleId="897" w:customStyle="1">
    <w:name w:val="标题 5_0"/>
    <w:basedOn w:val="896"/>
    <w:next w:val="896"/>
    <w:uiPriority w:val="9"/>
    <w:unhideWhenUsed/>
    <w:qFormat/>
    <w:pPr>
      <w:keepLines/>
      <w:keepNext/>
      <w:spacing w:before="280" w:after="290" w:line="374" w:lineRule="auto"/>
      <w:outlineLvl w:val="4"/>
    </w:pPr>
    <w:rPr>
      <w:rFonts w:eastAsia="Times New Roman"/>
      <w:b/>
      <w:bCs/>
      <w:sz w:val="28"/>
      <w:szCs w:val="28"/>
    </w:rPr>
  </w:style>
  <w:style w:type="paragraph" w:styleId="898" w:customStyle="1">
    <w:name w:val="Normal_20_0_0"/>
    <w:next w:val="899"/>
    <w:uiPriority w:val="0"/>
    <w:qFormat/>
    <w:pPr>
      <w:jc w:val="both"/>
      <w:widowControl w:val="off"/>
    </w:pPr>
    <w:rPr>
      <w:rFonts w:hint="default" w:ascii="Calibri" w:hAnsi="Calibri" w:eastAsia="宋体" w:cs="Times New Roman"/>
      <w:sz w:val="21"/>
      <w:szCs w:val="22"/>
      <w:lang w:val="en-US" w:eastAsia="zh-CN" w:bidi="ar-SA"/>
    </w:rPr>
  </w:style>
  <w:style w:type="paragraph" w:styleId="899" w:customStyle="1">
    <w:name w:val="Heading 1_0_0"/>
    <w:basedOn w:val="898"/>
    <w:next w:val="898"/>
    <w:uiPriority w:val="0"/>
    <w:qFormat/>
    <w:pPr>
      <w:keepLines/>
      <w:keepNext/>
      <w:spacing w:before="340" w:after="330" w:line="576" w:lineRule="auto"/>
      <w:outlineLvl w:val="0"/>
    </w:pPr>
    <w:rPr>
      <w:rFonts w:ascii="Times New Roman" w:hAnsi="Times New Roman"/>
      <w:b/>
      <w:sz w:val="44"/>
      <w:szCs w:val="20"/>
    </w:rPr>
  </w:style>
  <w:style w:type="paragraph" w:styleId="900" w:customStyle="1">
    <w:name w:val="正文_2_0"/>
    <w:basedOn w:val="901"/>
    <w:next w:val="901"/>
    <w:uiPriority w:val="0"/>
    <w:qFormat/>
    <w:pPr>
      <w:jc w:val="both"/>
      <w:widowControl w:val="off"/>
    </w:pPr>
    <w:rPr>
      <w:rFonts w:hint="default" w:ascii="Calibri" w:hAnsi="Calibri" w:eastAsia="宋体" w:cs="Times New Roman"/>
      <w:lang w:val="en-US" w:eastAsia="zh-CN" w:bidi="ar-SA"/>
    </w:rPr>
  </w:style>
  <w:style w:type="paragraph" w:styleId="901"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902" w:customStyle="1">
    <w:name w:val="正文_2"/>
    <w:uiPriority w:val="0"/>
    <w:qFormat/>
    <w:pPr>
      <w:jc w:val="both"/>
      <w:widowControl w:val="off"/>
    </w:pPr>
    <w:rPr>
      <w:rFonts w:hint="default" w:ascii="Calibri" w:hAnsi="Calibri" w:eastAsia="宋体" w:cs="Times New Roman"/>
      <w:sz w:val="21"/>
      <w:szCs w:val="22"/>
    </w:rPr>
  </w:style>
  <w:style w:type="paragraph" w:styleId="903" w:customStyle="1">
    <w:name w:val="标题 1_0"/>
    <w:basedOn w:val="904"/>
    <w:next w:val="904"/>
    <w:uiPriority w:val="0"/>
    <w:qFormat/>
    <w:pPr>
      <w:keepLines/>
      <w:keepNext/>
      <w:spacing w:before="340" w:after="330" w:line="576" w:lineRule="auto"/>
      <w:outlineLvl w:val="0"/>
    </w:pPr>
    <w:rPr>
      <w:rFonts w:ascii="Calibri" w:hAnsi="Calibri"/>
      <w:b/>
      <w:sz w:val="44"/>
      <w:szCs w:val="20"/>
    </w:rPr>
  </w:style>
  <w:style w:type="paragraph" w:styleId="904" w:customStyle="1">
    <w:name w:val="正文_0_1"/>
    <w:uiPriority w:val="0"/>
    <w:qFormat/>
    <w:pPr>
      <w:jc w:val="both"/>
      <w:widowControl w:val="off"/>
    </w:pPr>
    <w:rPr>
      <w:rFonts w:hint="default" w:ascii="Times New Roman" w:hAnsi="Times New Roman" w:eastAsia="宋体" w:cs="Times New Roman"/>
      <w:sz w:val="21"/>
      <w:szCs w:val="24"/>
    </w:rPr>
  </w:style>
  <w:style w:type="paragraph" w:styleId="905" w:customStyle="1">
    <w:name w:val="标题 2_0"/>
    <w:basedOn w:val="902"/>
    <w:next w:val="902"/>
    <w:uiPriority w:val="0"/>
    <w:qFormat/>
    <w:pPr>
      <w:keepLines/>
      <w:keepNext/>
      <w:spacing w:before="260" w:after="260" w:line="413" w:lineRule="auto"/>
      <w:outlineLvl w:val="1"/>
    </w:pPr>
    <w:rPr>
      <w:rFonts w:ascii="Arial" w:hAnsi="Arial" w:eastAsia="黑体"/>
      <w:b/>
      <w:sz w:val="32"/>
      <w:szCs w:val="20"/>
    </w:rPr>
  </w:style>
  <w:style w:type="paragraph" w:styleId="906" w:customStyle="1">
    <w:name w:val="正文_16"/>
    <w:next w:val="907"/>
    <w:uiPriority w:val="0"/>
    <w:qFormat/>
    <w:pPr>
      <w:jc w:val="both"/>
      <w:widowControl w:val="off"/>
    </w:pPr>
    <w:rPr>
      <w:rFonts w:hint="default" w:ascii="Calibri" w:hAnsi="Calibri" w:eastAsia="宋体" w:cs="Times New Roman"/>
      <w:sz w:val="21"/>
      <w:szCs w:val="22"/>
    </w:rPr>
  </w:style>
  <w:style w:type="paragraph" w:styleId="907" w:customStyle="1">
    <w:name w:val="正文首行缩进 2_0"/>
    <w:basedOn w:val="908"/>
    <w:uiPriority w:val="0"/>
    <w:qFormat/>
    <w:pPr>
      <w:ind w:left="200" w:firstLine="200"/>
      <w:spacing w:after="120"/>
    </w:pPr>
    <w:rPr>
      <w:rFonts w:ascii="Times New Roman" w:hAnsi="Times New Roman"/>
      <w:sz w:val="24"/>
      <w:szCs w:val="24"/>
    </w:rPr>
  </w:style>
  <w:style w:type="paragraph" w:styleId="908" w:customStyle="1">
    <w:name w:val="正文文本缩进_0"/>
    <w:basedOn w:val="902"/>
    <w:uiPriority w:val="0"/>
    <w:qFormat/>
    <w:pPr>
      <w:ind w:firstLine="225"/>
    </w:pPr>
    <w:rPr>
      <w:rFonts w:ascii="仿宋_GB2312" w:eastAsia="仿宋_GB2312"/>
      <w:sz w:val="32"/>
    </w:rPr>
  </w:style>
  <w:style w:type="paragraph" w:styleId="909" w:customStyle="1">
    <w:name w:val="标题 41"/>
    <w:basedOn w:val="690"/>
    <w:next w:val="910"/>
    <w:uiPriority w:val="0"/>
    <w:qFormat/>
    <w:pPr>
      <w:keepLines/>
      <w:keepNext/>
      <w:spacing w:before="280" w:after="290" w:line="376" w:lineRule="auto"/>
      <w:outlineLvl w:val="3"/>
    </w:pPr>
    <w:rPr>
      <w:rFonts w:ascii="Arial" w:hAnsi="Arial" w:eastAsia="黑体" w:cs="Arial"/>
      <w:b/>
      <w:bCs/>
      <w:sz w:val="28"/>
      <w:szCs w:val="28"/>
    </w:rPr>
  </w:style>
  <w:style w:type="paragraph" w:styleId="910" w:customStyle="1">
    <w:name w:val="正文缩进1"/>
    <w:basedOn w:val="690"/>
    <w:next w:val="690"/>
    <w:uiPriority w:val="0"/>
    <w:qFormat/>
    <w:pPr>
      <w:ind w:firstLine="420"/>
    </w:pPr>
  </w:style>
  <w:style w:type="paragraph" w:styleId="911"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912" w:customStyle="1">
    <w:name w:val="Normal_19"/>
    <w:basedOn w:val="900"/>
    <w:uiPriority w:val="0"/>
    <w:qFormat/>
    <w:rPr>
      <w:rFonts w:eastAsia="宋体"/>
    </w:rPr>
  </w:style>
  <w:style w:type="paragraph" w:styleId="913" w:customStyle="1">
    <w:name w:val="无间隔1_0_0"/>
    <w:basedOn w:val="912"/>
    <w:uiPriority w:val="0"/>
    <w:qFormat/>
    <w:pPr>
      <w:spacing w:line="400" w:lineRule="exact"/>
    </w:pPr>
    <w:rPr>
      <w:rFonts w:ascii="Times New Roman" w:hAnsi="Times New Roman" w:eastAsia="Times New Roman" w:cs="Times New Roman"/>
      <w:color w:val="000000"/>
      <w:sz w:val="24"/>
      <w:szCs w:val="24"/>
    </w:rPr>
  </w:style>
  <w:style w:type="paragraph" w:styleId="91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15" w:customStyle="1">
    <w:name w:val="列出段落1"/>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16" w:customStyle="1">
    <w:name w:val="正文文本11"/>
    <w:basedOn w:val="690"/>
    <w:next w:val="910"/>
    <w:uiPriority w:val="0"/>
    <w:qFormat/>
    <w:rPr>
      <w:rFonts w:ascii="楷体_GB2312" w:hAnsi="Arial" w:eastAsia="楷体_GB2312"/>
      <w:sz w:val="28"/>
      <w:szCs w:val="28"/>
    </w:rPr>
  </w:style>
  <w:style w:type="paragraph" w:styleId="917" w:customStyle="1">
    <w:name w:val="目录 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91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1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20" w:customStyle="1">
    <w:name w:val="正文空2字"/>
    <w:basedOn w:val="921"/>
    <w:uiPriority w:val="99"/>
    <w:qFormat/>
    <w:pPr>
      <w:ind w:firstLine="640"/>
      <w:spacing w:line="560" w:lineRule="exact"/>
      <w:widowControl w:val="off"/>
    </w:pPr>
    <w:rPr>
      <w:rFonts w:ascii="仿宋_GB2312" w:hAnsi="仿宋_GB2312" w:cs="仿宋_GB2312"/>
      <w:lang w:val="zh-TW"/>
    </w:rPr>
  </w:style>
  <w:style w:type="paragraph" w:styleId="921" w:customStyle="1">
    <w:name w:val="左对齐正文"/>
    <w:uiPriority w:val="99"/>
    <w:qFormat/>
    <w:rPr>
      <w:rFonts w:hint="default" w:ascii="Calibri" w:hAnsi="Calibri" w:eastAsia="仿宋_GB2312" w:cs="Calibri"/>
      <w:sz w:val="32"/>
      <w:szCs w:val="32"/>
      <w:lang w:val="en-US" w:eastAsia="zh-CN" w:bidi="ar-SA"/>
    </w:rPr>
  </w:style>
  <w:style w:type="paragraph" w:styleId="922" w:customStyle="1">
    <w:name w:val="Char1"/>
    <w:basedOn w:val="690"/>
    <w:uiPriority w:val="0"/>
    <w:qFormat/>
    <w:pPr>
      <w:ind w:firstLine="200"/>
      <w:tabs>
        <w:tab w:val="left" w:pos="360" w:leader="none"/>
      </w:tabs>
    </w:pPr>
    <w:rPr>
      <w:sz w:val="28"/>
      <w:szCs w:val="30"/>
    </w:rPr>
  </w:style>
  <w:style w:type="paragraph" w:styleId="923"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24" w:customStyle="1">
    <w:name w:val="标题 21"/>
    <w:basedOn w:val="690"/>
    <w:next w:val="69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5"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92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2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28" w:customStyle="1">
    <w:name w:val="正文文本12"/>
    <w:basedOn w:val="690"/>
    <w:uiPriority w:val="1"/>
    <w:qFormat/>
    <w:pPr>
      <w:ind w:left="120"/>
    </w:pPr>
    <w:rPr>
      <w:rFonts w:ascii="宋体" w:hAnsi="宋体" w:cs="宋体"/>
      <w:lang w:val="zh-CN" w:bidi="zh-CN"/>
    </w:rPr>
  </w:style>
  <w:style w:type="paragraph" w:styleId="929" w:customStyle="1">
    <w:name w:val="Normal_18_0"/>
    <w:uiPriority w:val="0"/>
    <w:qFormat/>
    <w:rPr>
      <w:rFonts w:hint="default" w:ascii="黑体" w:hAnsi="黑体" w:eastAsia="黑体" w:cs="黑体"/>
      <w:b/>
      <w:sz w:val="32"/>
      <w:szCs w:val="24"/>
      <w:lang w:val="en-US" w:eastAsia="zh-CN" w:bidi="ar-SA"/>
    </w:rPr>
  </w:style>
  <w:style w:type="paragraph" w:styleId="930" w:customStyle="1">
    <w:name w:val="正文_12_0_0_0_0"/>
    <w:basedOn w:val="690"/>
    <w:uiPriority w:val="0"/>
    <w:qFormat/>
    <w:rPr>
      <w:szCs w:val="24"/>
    </w:rPr>
  </w:style>
  <w:style w:type="paragraph" w:styleId="93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3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4" w:customStyle="1">
    <w:name w:val="Normal_20"/>
    <w:uiPriority w:val="0"/>
    <w:qFormat/>
    <w:rPr>
      <w:rFonts w:hint="default" w:ascii="黑体" w:hAnsi="黑体" w:eastAsia="黑体" w:cs="黑体"/>
      <w:b/>
      <w:sz w:val="32"/>
      <w:szCs w:val="24"/>
      <w:lang w:val="en-US" w:eastAsia="zh-CN" w:bidi="ar-SA"/>
    </w:rPr>
  </w:style>
  <w:style w:type="paragraph" w:styleId="93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936" w:customStyle="1">
    <w:name w:val="页码1"/>
    <w:uiPriority w:val="0"/>
    <w:qFormat/>
  </w:style>
  <w:style w:type="paragraph" w:styleId="937" w:customStyle="1">
    <w:name w:val="WPSOffice手动目录 1"/>
    <w:uiPriority w:val="0"/>
    <w:qFormat/>
    <w:rPr>
      <w:rFonts w:hint="default" w:ascii="Times New Roman" w:hAnsi="Times New Roman" w:eastAsia="宋体" w:cs="Times New Roman"/>
      <w:sz w:val="20"/>
      <w:szCs w:val="20"/>
    </w:rPr>
  </w:style>
  <w:style w:type="character" w:styleId="938" w:customStyle="1">
    <w:name w:val="font11"/>
    <w:basedOn w:val="700"/>
    <w:uiPriority w:val="0"/>
    <w:qFormat/>
    <w:rPr>
      <w:rFonts w:hint="eastAsia" w:ascii="宋体" w:hAnsi="宋体" w:eastAsia="宋体" w:cs="宋体"/>
      <w:color w:val="000000"/>
      <w:sz w:val="24"/>
      <w:szCs w:val="24"/>
      <w:u w:val="none"/>
    </w:rPr>
  </w:style>
  <w:style w:type="character" w:styleId="939" w:customStyle="1">
    <w:name w:val="font101"/>
    <w:basedOn w:val="700"/>
    <w:uiPriority w:val="0"/>
    <w:qFormat/>
    <w:rPr>
      <w:rFonts w:ascii="Cambria Math" w:hAnsi="Cambria Math" w:eastAsia="Cambria Math" w:cs="Cambria Math"/>
      <w:color w:val="000000"/>
      <w:sz w:val="24"/>
      <w:szCs w:val="24"/>
      <w:u w:val="none"/>
    </w:rPr>
  </w:style>
  <w:style w:type="character" w:styleId="940" w:customStyle="1">
    <w:name w:val="font41"/>
    <w:basedOn w:val="700"/>
    <w:uiPriority w:val="0"/>
    <w:qFormat/>
    <w:rPr>
      <w:rFonts w:hint="eastAsia" w:ascii="宋体" w:hAnsi="宋体" w:eastAsia="宋体" w:cs="宋体"/>
      <w:color w:val="000000"/>
      <w:sz w:val="24"/>
      <w:szCs w:val="24"/>
      <w:u w:val="none"/>
    </w:rPr>
  </w:style>
  <w:style w:type="character" w:styleId="941" w:customStyle="1">
    <w:name w:val="font112"/>
    <w:basedOn w:val="700"/>
    <w:uiPriority w:val="0"/>
    <w:qFormat/>
    <w:rPr>
      <w:rFonts w:ascii="Calibri" w:hAnsi="Calibri" w:cs="Calibri"/>
      <w:color w:val="000000"/>
      <w:sz w:val="24"/>
      <w:szCs w:val="24"/>
      <w:u w:val="none"/>
    </w:rPr>
  </w:style>
  <w:style w:type="character" w:styleId="942" w:customStyle="1">
    <w:name w:val="font61"/>
    <w:basedOn w:val="700"/>
    <w:uiPriority w:val="0"/>
    <w:qFormat/>
    <w:rPr>
      <w:rFonts w:hint="default" w:ascii="Calibri" w:hAnsi="Calibri" w:cs="Calibri"/>
      <w:color w:val="000000"/>
      <w:sz w:val="20"/>
      <w:szCs w:val="20"/>
      <w:u w:val="none"/>
    </w:rPr>
  </w:style>
  <w:style w:type="character" w:styleId="943" w:customStyle="1">
    <w:name w:val="font31"/>
    <w:basedOn w:val="700"/>
    <w:uiPriority w:val="0"/>
    <w:qFormat/>
    <w:rPr>
      <w:rFonts w:hint="eastAsia" w:ascii="宋体" w:hAnsi="宋体" w:eastAsia="宋体" w:cs="宋体"/>
      <w:color w:val="000000"/>
      <w:sz w:val="20"/>
      <w:szCs w:val="20"/>
      <w:u w:val="none"/>
    </w:rPr>
  </w:style>
  <w:style w:type="paragraph" w:styleId="944" w:customStyle="1">
    <w:name w:val="标题 211"/>
    <w:basedOn w:val="690"/>
    <w:next w:val="945"/>
    <w:uiPriority w:val="0"/>
    <w:qFormat/>
    <w:pPr>
      <w:keepLines/>
      <w:keepNext/>
      <w:spacing w:before="260" w:after="260" w:line="413" w:lineRule="auto"/>
      <w:outlineLvl w:val="1"/>
    </w:pPr>
    <w:rPr>
      <w:rFonts w:ascii="Arial" w:hAnsi="Arial" w:eastAsia="黑体"/>
      <w:b/>
      <w:sz w:val="32"/>
      <w:szCs w:val="20"/>
    </w:rPr>
  </w:style>
  <w:style w:type="paragraph" w:styleId="945" w:customStyle="1">
    <w:name w:val="正文缩进11"/>
    <w:basedOn w:val="690"/>
    <w:uiPriority w:val="0"/>
    <w:qFormat/>
    <w:pPr>
      <w:ind w:firstLine="420"/>
    </w:pPr>
    <w:rPr>
      <w:rFonts w:ascii="宋体"/>
      <w:color w:val="000000"/>
      <w:sz w:val="24"/>
      <w:szCs w:val="20"/>
    </w:rPr>
  </w:style>
  <w:style w:type="paragraph" w:styleId="946" w:customStyle="1">
    <w:name w:val="纯文本1"/>
    <w:basedOn w:val="906"/>
    <w:uiPriority w:val="0"/>
    <w:qFormat/>
    <w:rPr>
      <w:rFonts w:ascii="宋体" w:hAnsi="Courier New" w:cs="Courier New"/>
    </w:rPr>
  </w:style>
  <w:style w:type="character" w:styleId="947" w:customStyle="1">
    <w:name w:val="font21"/>
    <w:basedOn w:val="700"/>
    <w:uiPriority w:val="0"/>
    <w:qFormat/>
    <w:rPr>
      <w:rFonts w:hint="eastAsia" w:ascii="宋体" w:hAnsi="宋体" w:eastAsia="宋体" w:cs="宋体"/>
      <w:b/>
      <w:bCs/>
      <w:color w:val="000000"/>
      <w:sz w:val="22"/>
      <w:szCs w:val="22"/>
      <w:u w:val="none"/>
    </w:rPr>
  </w:style>
  <w:style w:type="character" w:styleId="948" w:customStyle="1">
    <w:name w:val="font51"/>
    <w:basedOn w:val="700"/>
    <w:uiPriority w:val="0"/>
    <w:qFormat/>
    <w:rPr>
      <w:rFonts w:hint="eastAsia" w:ascii="宋体" w:hAnsi="宋体" w:eastAsia="宋体" w:cs="宋体"/>
      <w:color w:val="ff0000"/>
      <w:sz w:val="22"/>
      <w:szCs w:val="22"/>
      <w:u w:val="none"/>
    </w:rPr>
  </w:style>
  <w:style w:type="character" w:styleId="949" w:customStyle="1">
    <w:name w:val="font111"/>
    <w:basedOn w:val="700"/>
    <w:uiPriority w:val="0"/>
    <w:qFormat/>
    <w:rPr>
      <w:rFonts w:hint="default" w:ascii="Arial" w:hAnsi="Arial" w:cs="Arial"/>
      <w:color w:val="ff0000"/>
      <w:sz w:val="22"/>
      <w:szCs w:val="22"/>
      <w:u w:val="none"/>
    </w:rPr>
  </w:style>
  <w:style w:type="character" w:styleId="950" w:customStyle="1">
    <w:name w:val="font122"/>
    <w:basedOn w:val="700"/>
    <w:uiPriority w:val="0"/>
    <w:qFormat/>
    <w:rPr>
      <w:rFonts w:ascii="宋体" w:hAnsi="宋体" w:eastAsia="宋体" w:cs="宋体"/>
      <w:color w:val="000000"/>
      <w:sz w:val="22"/>
      <w:szCs w:val="22"/>
      <w:u w:val="none"/>
    </w:rPr>
  </w:style>
  <w:style w:type="character" w:styleId="951" w:customStyle="1">
    <w:name w:val="font71"/>
    <w:basedOn w:val="700"/>
    <w:uiPriority w:val="0"/>
    <w:qFormat/>
    <w:rPr>
      <w:rFonts w:ascii="宋体" w:hAnsi="宋体" w:eastAsia="宋体" w:cs="宋体"/>
      <w:color w:val="000000"/>
      <w:sz w:val="22"/>
      <w:szCs w:val="22"/>
      <w:u w:val="none"/>
    </w:rPr>
  </w:style>
  <w:style w:type="character" w:styleId="952" w:customStyle="1">
    <w:name w:val="font81"/>
    <w:basedOn w:val="700"/>
    <w:uiPriority w:val="0"/>
    <w:qFormat/>
    <w:rPr>
      <w:rFonts w:hint="eastAsia" w:ascii="宋体" w:hAnsi="宋体" w:eastAsia="宋体" w:cs="宋体"/>
      <w:color w:val="000000"/>
      <w:sz w:val="22"/>
      <w:szCs w:val="22"/>
      <w:u w:val="none"/>
    </w:rPr>
  </w:style>
  <w:style w:type="character" w:styleId="953" w:customStyle="1">
    <w:name w:val="font91"/>
    <w:basedOn w:val="700"/>
    <w:uiPriority w:val="0"/>
    <w:qFormat/>
    <w:rPr>
      <w:rFonts w:hint="eastAsia" w:ascii="宋体" w:hAnsi="宋体" w:eastAsia="宋体" w:cs="宋体"/>
      <w:b/>
      <w:bCs/>
      <w:color w:val="000000"/>
      <w:sz w:val="22"/>
      <w:szCs w:val="22"/>
      <w:u w:val="none"/>
    </w:rPr>
  </w:style>
  <w:style w:type="character" w:styleId="954" w:customStyle="1">
    <w:name w:val="15"/>
    <w:basedOn w:val="700"/>
    <w:uiPriority w:val="0"/>
    <w:qFormat/>
    <w:rPr>
      <w:rFonts w:hint="default" w:ascii="Times New Roman" w:hAnsi="Times New Roman" w:cs="Times New Roman"/>
    </w:rPr>
  </w:style>
  <w:style w:type="paragraph" w:styleId="955"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numbering" w:styleId="1305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朱楠</cp:lastModifiedBy>
  <cp:revision>3</cp:revision>
  <dcterms:created xsi:type="dcterms:W3CDTF">2022-12-13T16:17:00Z</dcterms:created>
  <dcterms:modified xsi:type="dcterms:W3CDTF">2026-01-21T07:37:46Z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eyJoZGlkIjoiZTFiNDU2YWE5YzRlYzA5YjAyMGMzZmQxNDEzYmRmZjYiLCJ1c2VySWQiOiIxMDE0MTU2NDc0In0=</vt:lpwstr>
  </property>
  <property fmtid="{D5CDD505-2E9C-101B-9397-08002B2CF9AE}" pid="3" name="KSOProductBuildVer">
    <vt:lpwstr>2052-12.1.0.20305</vt:lpwstr>
  </property>
  <property fmtid="{D5CDD505-2E9C-101B-9397-08002B2CF9AE}" pid="4" name="ICV">
    <vt:lpwstr>494AF9B92E63EBB5CCF76669A31A7A71_43</vt:lpwstr>
  </property>
  <property fmtid="{D5CDD505-2E9C-101B-9397-08002B2CF9AE}" pid="5" name="woTemplateTypoMode" linkTarget="0">
    <vt:lpwstr>web</vt:lpwstr>
  </property>
  <property fmtid="{D5CDD505-2E9C-101B-9397-08002B2CF9AE}" pid="6" name="woTemplate" linkTarget="0">
    <vt:i4>1</vt:i4>
  </property>
</Properties>
</file>