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24"/>
          <w:szCs w:val="24"/>
        </w:rPr>
      </w:pPr>
    </w:p>
    <w:p>
      <w:pPr>
        <w:rPr>
          <w:rFonts w:ascii="宋体" w:hAnsi="宋体" w:cs="宋体"/>
          <w:szCs w:val="24"/>
        </w:rPr>
      </w:pPr>
    </w:p>
    <w:p>
      <w:pPr>
        <w:rPr>
          <w:rFonts w:ascii="宋体" w:hAnsi="宋体" w:cs="宋体"/>
          <w:szCs w:val="24"/>
        </w:rPr>
      </w:pPr>
    </w:p>
    <w:p>
      <w:pPr>
        <w:pStyle w:val="30"/>
        <w:ind w:firstLine="0" w:firstLineChars="0"/>
        <w:jc w:val="center"/>
        <w:rPr>
          <w:rFonts w:ascii="宋体" w:hAnsi="宋体" w:cs="宋体"/>
        </w:rPr>
      </w:pPr>
      <w:r>
        <w:rPr>
          <w:rFonts w:hint="eastAsia" w:ascii="宋体" w:hAnsi="宋体" w:cs="宋体"/>
          <w:kern w:val="2"/>
          <w:sz w:val="21"/>
        </w:rPr>
        <w:tab/>
      </w:r>
    </w:p>
    <w:p>
      <w:pPr>
        <w:pStyle w:val="30"/>
        <w:ind w:firstLine="0" w:firstLineChars="0"/>
        <w:jc w:val="center"/>
        <w:rPr>
          <w:rFonts w:ascii="宋体" w:hAnsi="宋体" w:cs="宋体"/>
          <w:sz w:val="28"/>
          <w:szCs w:val="28"/>
        </w:rPr>
      </w:pPr>
    </w:p>
    <w:p>
      <w:pPr>
        <w:pStyle w:val="30"/>
        <w:ind w:firstLine="0" w:firstLineChars="0"/>
        <w:jc w:val="center"/>
        <w:rPr>
          <w:rFonts w:ascii="宋体" w:hAnsi="宋体" w:cs="宋体"/>
          <w:b/>
          <w:bCs/>
          <w:sz w:val="32"/>
        </w:rPr>
      </w:pPr>
      <w:r>
        <w:rPr>
          <w:rFonts w:hint="eastAsia" w:ascii="黑体" w:hAnsi="黑体" w:eastAsia="黑体" w:cs="黑体"/>
          <w:b/>
          <w:bCs/>
          <w:sz w:val="96"/>
          <w:szCs w:val="96"/>
        </w:rPr>
        <w:t>竞争性磋商文件</w:t>
      </w:r>
      <w:r>
        <w:rPr>
          <w:rFonts w:hint="eastAsia" w:ascii="宋体" w:hAnsi="宋体" w:cs="宋体"/>
          <w:b/>
          <w:bCs/>
          <w:sz w:val="32"/>
        </w:rPr>
        <w:t xml:space="preserve"> </w:t>
      </w:r>
    </w:p>
    <w:p>
      <w:pPr>
        <w:pStyle w:val="30"/>
        <w:ind w:firstLine="0" w:firstLineChars="0"/>
        <w:jc w:val="both"/>
        <w:rPr>
          <w:rFonts w:ascii="宋体" w:hAnsi="宋体" w:cs="宋体"/>
          <w:b/>
          <w:bCs/>
          <w:sz w:val="32"/>
        </w:rPr>
      </w:pPr>
    </w:p>
    <w:p>
      <w:pPr>
        <w:pStyle w:val="30"/>
        <w:ind w:firstLine="0" w:firstLineChars="0"/>
        <w:jc w:val="both"/>
        <w:rPr>
          <w:rFonts w:ascii="宋体" w:hAnsi="宋体" w:cs="宋体"/>
          <w:b/>
          <w:bCs/>
          <w:sz w:val="32"/>
        </w:rPr>
      </w:pPr>
    </w:p>
    <w:p>
      <w:pPr>
        <w:pStyle w:val="30"/>
        <w:ind w:firstLine="0" w:firstLineChars="0"/>
        <w:jc w:val="both"/>
        <w:rPr>
          <w:rFonts w:ascii="宋体" w:hAnsi="宋体" w:cs="宋体"/>
          <w:b/>
          <w:bCs/>
          <w:sz w:val="32"/>
        </w:rPr>
      </w:pPr>
    </w:p>
    <w:p>
      <w:pPr>
        <w:pStyle w:val="30"/>
        <w:ind w:firstLine="0" w:firstLineChars="0"/>
        <w:jc w:val="both"/>
        <w:rPr>
          <w:rFonts w:ascii="宋体" w:hAnsi="宋体" w:cs="宋体"/>
          <w:b/>
          <w:bCs/>
          <w:sz w:val="32"/>
        </w:rPr>
      </w:pPr>
    </w:p>
    <w:p>
      <w:pPr>
        <w:pStyle w:val="30"/>
        <w:ind w:left="1050" w:leftChars="500" w:firstLine="0" w:firstLineChars="0"/>
        <w:rPr>
          <w:rFonts w:hint="eastAsia" w:ascii="黑体" w:hAnsi="黑体" w:eastAsia="黑体" w:cs="黑体"/>
          <w:sz w:val="32"/>
          <w:lang w:eastAsia="zh-CN"/>
        </w:rPr>
      </w:pPr>
      <w:r>
        <w:rPr>
          <w:rFonts w:hint="eastAsia" w:ascii="黑体" w:hAnsi="黑体" w:eastAsia="黑体" w:cs="黑体"/>
          <w:sz w:val="32"/>
        </w:rPr>
        <w:t>项目名称：</w:t>
      </w:r>
      <w:r>
        <w:rPr>
          <w:rFonts w:hint="eastAsia" w:ascii="黑体" w:hAnsi="黑体" w:eastAsia="黑体" w:cs="黑体"/>
          <w:sz w:val="32"/>
          <w:lang w:eastAsia="zh-CN"/>
        </w:rPr>
        <w:t>省药监局等级保护</w:t>
      </w:r>
      <w:r>
        <w:rPr>
          <w:rFonts w:hint="eastAsia" w:ascii="方正仿宋_GBK" w:hAnsi="Verdana" w:eastAsia="方正仿宋_GBK" w:cs="Times New Roman"/>
          <w:sz w:val="32"/>
          <w:szCs w:val="32"/>
          <w:lang w:val="zh-CN"/>
        </w:rPr>
        <w:t>整改</w:t>
      </w:r>
      <w:r>
        <w:rPr>
          <w:rFonts w:hint="eastAsia" w:ascii="方正仿宋_GBK" w:hAnsi="Verdana" w:eastAsia="方正仿宋_GBK" w:cs="Times New Roman"/>
          <w:sz w:val="32"/>
          <w:szCs w:val="32"/>
          <w:lang w:val="zh-CN" w:eastAsia="zh-CN"/>
        </w:rPr>
        <w:t>服务</w:t>
      </w:r>
      <w:r>
        <w:rPr>
          <w:rFonts w:hint="eastAsia" w:ascii="黑体" w:hAnsi="黑体" w:eastAsia="黑体" w:cs="黑体"/>
          <w:sz w:val="32"/>
          <w:lang w:eastAsia="zh-CN"/>
        </w:rPr>
        <w:t>项目</w:t>
      </w:r>
    </w:p>
    <w:p>
      <w:pPr>
        <w:pStyle w:val="30"/>
        <w:ind w:left="1050" w:leftChars="500" w:firstLine="0" w:firstLineChars="0"/>
        <w:rPr>
          <w:rFonts w:hint="eastAsia" w:ascii="黑体" w:hAnsi="黑体" w:eastAsia="黑体" w:cs="黑体"/>
          <w:sz w:val="32"/>
          <w:lang w:eastAsia="zh-CN"/>
        </w:rPr>
      </w:pPr>
      <w:r>
        <w:rPr>
          <w:rFonts w:hint="eastAsia" w:ascii="黑体" w:hAnsi="黑体" w:eastAsia="黑体" w:cs="黑体"/>
          <w:sz w:val="32"/>
        </w:rPr>
        <w:t>项目编号：</w:t>
      </w:r>
      <w:r>
        <w:rPr>
          <w:rFonts w:hint="eastAsia" w:ascii="黑体" w:hAnsi="黑体" w:eastAsia="黑体" w:cs="黑体"/>
          <w:sz w:val="32"/>
          <w:lang w:eastAsia="zh-CN"/>
        </w:rPr>
        <w:t>QC-201812031</w:t>
      </w:r>
      <w:r>
        <w:rPr>
          <w:rFonts w:hint="eastAsia" w:ascii="黑体" w:hAnsi="黑体" w:eastAsia="黑体" w:cs="黑体"/>
          <w:sz w:val="32"/>
          <w:lang w:val="en-US" w:eastAsia="zh-CN"/>
        </w:rPr>
        <w:t>3</w:t>
      </w:r>
      <w:r>
        <w:rPr>
          <w:rFonts w:hint="eastAsia" w:ascii="黑体" w:hAnsi="黑体" w:eastAsia="黑体" w:cs="黑体"/>
          <w:sz w:val="32"/>
          <w:lang w:eastAsia="zh-CN"/>
        </w:rPr>
        <w:t>H</w:t>
      </w:r>
    </w:p>
    <w:p>
      <w:pPr>
        <w:pStyle w:val="30"/>
        <w:spacing w:before="0" w:after="0"/>
        <w:rPr>
          <w:rFonts w:ascii="宋体" w:hAnsi="宋体" w:cs="宋体"/>
        </w:rPr>
      </w:pPr>
    </w:p>
    <w:p>
      <w:pPr>
        <w:pStyle w:val="30"/>
        <w:spacing w:before="0" w:after="0"/>
        <w:rPr>
          <w:rFonts w:ascii="宋体" w:hAnsi="宋体" w:cs="宋体"/>
        </w:rPr>
      </w:pPr>
    </w:p>
    <w:p>
      <w:pPr>
        <w:pStyle w:val="30"/>
        <w:spacing w:before="0" w:after="0"/>
        <w:rPr>
          <w:rFonts w:ascii="宋体" w:hAnsi="宋体" w:cs="宋体"/>
        </w:rPr>
      </w:pPr>
    </w:p>
    <w:p>
      <w:pPr>
        <w:pStyle w:val="30"/>
        <w:spacing w:before="0" w:after="0"/>
        <w:rPr>
          <w:rFonts w:ascii="宋体" w:hAnsi="宋体" w:cs="宋体"/>
        </w:rPr>
      </w:pPr>
    </w:p>
    <w:p>
      <w:pPr>
        <w:pStyle w:val="30"/>
        <w:spacing w:before="0" w:after="0"/>
        <w:ind w:firstLine="0" w:firstLineChars="0"/>
        <w:rPr>
          <w:rFonts w:ascii="宋体" w:hAnsi="宋体" w:cs="宋体"/>
        </w:rPr>
      </w:pPr>
    </w:p>
    <w:p>
      <w:pPr>
        <w:pStyle w:val="30"/>
        <w:spacing w:before="0" w:after="0"/>
        <w:rPr>
          <w:rFonts w:ascii="宋体" w:hAnsi="宋体" w:cs="宋体"/>
        </w:rPr>
      </w:pPr>
    </w:p>
    <w:p>
      <w:pPr>
        <w:pStyle w:val="30"/>
        <w:ind w:firstLine="0" w:firstLineChars="0"/>
        <w:jc w:val="center"/>
        <w:rPr>
          <w:rFonts w:ascii="黑体" w:hAnsi="黑体" w:eastAsia="黑体" w:cs="黑体"/>
          <w:sz w:val="32"/>
        </w:rPr>
      </w:pPr>
      <w:r>
        <w:rPr>
          <w:rFonts w:hint="eastAsia" w:ascii="黑体" w:hAnsi="黑体" w:eastAsia="黑体" w:cs="黑体"/>
          <w:sz w:val="32"/>
        </w:rPr>
        <w:t>江苏柒采招标代理有限公司</w:t>
      </w:r>
    </w:p>
    <w:p>
      <w:pPr>
        <w:pStyle w:val="12"/>
        <w:ind w:firstLine="0" w:firstLineChars="0"/>
        <w:jc w:val="center"/>
        <w:rPr>
          <w:rFonts w:ascii="黑体" w:hAnsi="黑体" w:eastAsia="黑体" w:cs="黑体"/>
          <w:kern w:val="0"/>
          <w:sz w:val="32"/>
        </w:rPr>
      </w:pPr>
      <w:r>
        <w:rPr>
          <w:rFonts w:hint="eastAsia" w:ascii="黑体" w:hAnsi="黑体" w:eastAsia="黑体" w:cs="黑体"/>
          <w:kern w:val="0"/>
          <w:sz w:val="32"/>
        </w:rPr>
        <w:t>2018年</w:t>
      </w:r>
      <w:r>
        <w:rPr>
          <w:rFonts w:hint="eastAsia" w:ascii="黑体" w:hAnsi="黑体" w:eastAsia="黑体" w:cs="黑体"/>
          <w:kern w:val="0"/>
          <w:sz w:val="32"/>
          <w:lang w:val="en-US" w:eastAsia="zh-CN"/>
        </w:rPr>
        <w:t>12</w:t>
      </w:r>
      <w:r>
        <w:rPr>
          <w:rFonts w:hint="eastAsia" w:ascii="黑体" w:hAnsi="黑体" w:eastAsia="黑体" w:cs="黑体"/>
          <w:kern w:val="0"/>
          <w:sz w:val="32"/>
        </w:rPr>
        <w:t>月</w:t>
      </w:r>
    </w:p>
    <w:p>
      <w:pPr>
        <w:ind w:firstLine="221" w:firstLineChars="55"/>
        <w:jc w:val="center"/>
        <w:rPr>
          <w:rFonts w:ascii="宋体" w:hAnsi="宋体" w:cs="宋体"/>
          <w:b/>
          <w:sz w:val="40"/>
          <w:szCs w:val="4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720" w:num="1"/>
          <w:titlePg/>
          <w:docGrid w:type="lines" w:linePitch="312" w:charSpace="0"/>
        </w:sectPr>
      </w:pPr>
      <w:bookmarkStart w:id="0" w:name="_Toc120614210"/>
      <w:bookmarkStart w:id="1" w:name="_Toc479757206"/>
      <w:bookmarkStart w:id="2" w:name="_Toc20823272"/>
      <w:bookmarkStart w:id="3" w:name="_Toc523127445"/>
      <w:bookmarkStart w:id="4" w:name="_Toc16938516"/>
      <w:bookmarkStart w:id="5" w:name="_Toc513029200"/>
    </w:p>
    <w:p>
      <w:pPr>
        <w:ind w:firstLine="221" w:firstLineChars="55"/>
        <w:jc w:val="center"/>
        <w:rPr>
          <w:rFonts w:ascii="黑体" w:hAnsi="黑体" w:eastAsia="黑体" w:cs="黑体"/>
          <w:bCs/>
          <w:sz w:val="40"/>
          <w:szCs w:val="40"/>
        </w:rPr>
      </w:pPr>
      <w:r>
        <w:rPr>
          <w:rFonts w:hint="eastAsia" w:ascii="黑体" w:hAnsi="黑体" w:eastAsia="黑体" w:cs="黑体"/>
          <w:b/>
          <w:sz w:val="40"/>
          <w:szCs w:val="40"/>
        </w:rPr>
        <w:t>总   目   录</w:t>
      </w:r>
    </w:p>
    <w:p>
      <w:pPr>
        <w:pStyle w:val="16"/>
        <w:tabs>
          <w:tab w:val="right" w:leader="dot" w:pos="8306"/>
          <w:tab w:val="clear" w:pos="8720"/>
        </w:tabs>
        <w:rPr>
          <w:rFonts w:hint="eastAsia" w:ascii="仿宋" w:hAnsi="仿宋" w:eastAsia="仿宋" w:cs="仿宋"/>
        </w:rPr>
      </w:pP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TOC \o "1-2" \h \u </w:instrText>
      </w:r>
      <w:r>
        <w:rPr>
          <w:rFonts w:hint="eastAsia" w:ascii="仿宋" w:hAnsi="仿宋" w:eastAsia="仿宋" w:cs="仿宋"/>
          <w:bCs/>
          <w:sz w:val="24"/>
          <w:szCs w:val="24"/>
        </w:rPr>
        <w:fldChar w:fldCharType="separate"/>
      </w: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_Toc10527 </w:instrText>
      </w:r>
      <w:r>
        <w:rPr>
          <w:rFonts w:hint="eastAsia" w:ascii="仿宋" w:hAnsi="仿宋" w:eastAsia="仿宋" w:cs="仿宋"/>
          <w:bCs/>
          <w:szCs w:val="24"/>
        </w:rPr>
        <w:fldChar w:fldCharType="separate"/>
      </w:r>
      <w:r>
        <w:rPr>
          <w:rFonts w:hint="eastAsia" w:ascii="仿宋" w:hAnsi="仿宋" w:eastAsia="仿宋" w:cs="仿宋"/>
        </w:rPr>
        <w:t>第一章  磋商公告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_Toc10527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bCs/>
          <w:szCs w:val="24"/>
        </w:rPr>
        <w:fldChar w:fldCharType="end"/>
      </w:r>
    </w:p>
    <w:p>
      <w:pPr>
        <w:pStyle w:val="16"/>
        <w:tabs>
          <w:tab w:val="right" w:leader="dot" w:pos="8306"/>
          <w:tab w:val="clear" w:pos="8720"/>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_Toc5207 </w:instrText>
      </w:r>
      <w:r>
        <w:rPr>
          <w:rFonts w:hint="eastAsia" w:ascii="仿宋" w:hAnsi="仿宋" w:eastAsia="仿宋" w:cs="仿宋"/>
          <w:bCs/>
          <w:szCs w:val="24"/>
        </w:rPr>
        <w:fldChar w:fldCharType="separate"/>
      </w:r>
      <w:r>
        <w:rPr>
          <w:rFonts w:hint="eastAsia" w:ascii="仿宋" w:hAnsi="仿宋" w:eastAsia="仿宋" w:cs="仿宋"/>
          <w:szCs w:val="44"/>
        </w:rPr>
        <w:t>第二章  磋商须知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_Toc5207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_Toc1 </w:instrText>
      </w:r>
      <w:r>
        <w:rPr>
          <w:rFonts w:hint="eastAsia" w:ascii="仿宋" w:hAnsi="仿宋" w:eastAsia="仿宋" w:cs="仿宋"/>
          <w:bCs/>
          <w:szCs w:val="24"/>
        </w:rPr>
        <w:fldChar w:fldCharType="separate"/>
      </w:r>
      <w:r>
        <w:rPr>
          <w:rFonts w:hint="eastAsia" w:ascii="仿宋" w:hAnsi="仿宋" w:eastAsia="仿宋" w:cs="仿宋"/>
          <w:bCs w:val="0"/>
          <w:szCs w:val="24"/>
        </w:rPr>
        <w:t>一、总则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_Toc27327 </w:instrText>
      </w:r>
      <w:r>
        <w:rPr>
          <w:rFonts w:hint="eastAsia" w:ascii="仿宋" w:hAnsi="仿宋" w:eastAsia="仿宋" w:cs="仿宋"/>
          <w:bCs/>
          <w:szCs w:val="24"/>
        </w:rPr>
        <w:fldChar w:fldCharType="separate"/>
      </w:r>
      <w:r>
        <w:rPr>
          <w:rFonts w:hint="eastAsia" w:ascii="仿宋" w:hAnsi="仿宋" w:eastAsia="仿宋" w:cs="仿宋"/>
          <w:bCs w:val="0"/>
          <w:szCs w:val="24"/>
        </w:rPr>
        <w:t>二、磋商响应文件的编制及保证金收取</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_Toc27327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_Toc16453 </w:instrText>
      </w:r>
      <w:r>
        <w:rPr>
          <w:rFonts w:hint="eastAsia" w:ascii="仿宋" w:hAnsi="仿宋" w:eastAsia="仿宋" w:cs="仿宋"/>
          <w:bCs/>
          <w:szCs w:val="24"/>
        </w:rPr>
        <w:fldChar w:fldCharType="separate"/>
      </w:r>
      <w:r>
        <w:rPr>
          <w:rFonts w:hint="eastAsia" w:ascii="仿宋" w:hAnsi="仿宋" w:eastAsia="仿宋" w:cs="仿宋"/>
          <w:bCs w:val="0"/>
          <w:szCs w:val="24"/>
        </w:rPr>
        <w:t>三、响应文件的递交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_Toc16453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_Toc24996 </w:instrText>
      </w:r>
      <w:r>
        <w:rPr>
          <w:rFonts w:hint="eastAsia" w:ascii="仿宋" w:hAnsi="仿宋" w:eastAsia="仿宋" w:cs="仿宋"/>
          <w:bCs/>
          <w:szCs w:val="24"/>
        </w:rPr>
        <w:fldChar w:fldCharType="separate"/>
      </w:r>
      <w:r>
        <w:rPr>
          <w:rFonts w:hint="eastAsia" w:ascii="仿宋" w:hAnsi="仿宋" w:eastAsia="仿宋" w:cs="仿宋"/>
          <w:bCs w:val="0"/>
          <w:szCs w:val="24"/>
        </w:rPr>
        <w:t>四、磋商与评审</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_Toc24996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_Toc11808 </w:instrText>
      </w:r>
      <w:r>
        <w:rPr>
          <w:rFonts w:hint="eastAsia" w:ascii="仿宋" w:hAnsi="仿宋" w:eastAsia="仿宋" w:cs="仿宋"/>
          <w:bCs/>
          <w:szCs w:val="24"/>
        </w:rPr>
        <w:fldChar w:fldCharType="separate"/>
      </w:r>
      <w:r>
        <w:rPr>
          <w:rFonts w:hint="eastAsia" w:ascii="仿宋" w:hAnsi="仿宋" w:eastAsia="仿宋" w:cs="仿宋"/>
          <w:bCs w:val="0"/>
          <w:szCs w:val="24"/>
        </w:rPr>
        <w:t>五、成交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_Toc11808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_Toc13206 </w:instrText>
      </w:r>
      <w:r>
        <w:rPr>
          <w:rFonts w:hint="eastAsia" w:ascii="仿宋" w:hAnsi="仿宋" w:eastAsia="仿宋" w:cs="仿宋"/>
          <w:bCs/>
          <w:szCs w:val="24"/>
        </w:rPr>
        <w:fldChar w:fldCharType="separate"/>
      </w:r>
      <w:r>
        <w:rPr>
          <w:rFonts w:hint="eastAsia" w:ascii="仿宋" w:hAnsi="仿宋" w:eastAsia="仿宋" w:cs="仿宋"/>
          <w:bCs w:val="0"/>
          <w:szCs w:val="24"/>
        </w:rPr>
        <w:t>六、合同签订相关事项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_Toc13206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bCs/>
          <w:szCs w:val="24"/>
        </w:rPr>
        <w:fldChar w:fldCharType="end"/>
      </w:r>
    </w:p>
    <w:p>
      <w:pPr>
        <w:pStyle w:val="16"/>
        <w:tabs>
          <w:tab w:val="right" w:leader="dot" w:pos="8306"/>
          <w:tab w:val="clear" w:pos="8720"/>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_Toc11366 </w:instrText>
      </w:r>
      <w:r>
        <w:rPr>
          <w:rFonts w:hint="eastAsia" w:ascii="仿宋" w:hAnsi="仿宋" w:eastAsia="仿宋" w:cs="仿宋"/>
          <w:bCs/>
          <w:szCs w:val="24"/>
        </w:rPr>
        <w:fldChar w:fldCharType="separate"/>
      </w:r>
      <w:r>
        <w:rPr>
          <w:rFonts w:hint="eastAsia" w:ascii="仿宋" w:hAnsi="仿宋" w:eastAsia="仿宋" w:cs="仿宋"/>
          <w:szCs w:val="44"/>
        </w:rPr>
        <w:t xml:space="preserve">第三章 </w:t>
      </w:r>
      <w:r>
        <w:rPr>
          <w:rFonts w:hint="eastAsia" w:ascii="仿宋" w:hAnsi="仿宋" w:eastAsia="仿宋" w:cs="仿宋"/>
          <w:szCs w:val="44"/>
          <w:lang w:val="en-US" w:eastAsia="zh-CN"/>
        </w:rPr>
        <w:t xml:space="preserve"> </w:t>
      </w:r>
      <w:r>
        <w:rPr>
          <w:rFonts w:hint="eastAsia" w:ascii="仿宋" w:hAnsi="仿宋" w:eastAsia="仿宋" w:cs="仿宋"/>
          <w:szCs w:val="44"/>
        </w:rPr>
        <w:t>合同模版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_Toc11366 </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bCs/>
          <w:szCs w:val="24"/>
        </w:rPr>
        <w:fldChar w:fldCharType="end"/>
      </w:r>
    </w:p>
    <w:p>
      <w:pPr>
        <w:pStyle w:val="16"/>
        <w:tabs>
          <w:tab w:val="right" w:leader="dot" w:pos="8306"/>
          <w:tab w:val="clear" w:pos="8720"/>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_Toc2189 </w:instrText>
      </w:r>
      <w:r>
        <w:rPr>
          <w:rFonts w:hint="eastAsia" w:ascii="仿宋" w:hAnsi="仿宋" w:eastAsia="仿宋" w:cs="仿宋"/>
          <w:bCs/>
          <w:szCs w:val="24"/>
        </w:rPr>
        <w:fldChar w:fldCharType="separate"/>
      </w:r>
      <w:r>
        <w:rPr>
          <w:rFonts w:hint="eastAsia" w:ascii="仿宋" w:hAnsi="仿宋" w:eastAsia="仿宋" w:cs="仿宋"/>
          <w:bCs/>
          <w:szCs w:val="44"/>
        </w:rPr>
        <w:t>第四章  项目需求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_Toc2189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_Toc14785 </w:instrText>
      </w:r>
      <w:r>
        <w:rPr>
          <w:rFonts w:hint="eastAsia" w:ascii="仿宋" w:hAnsi="仿宋" w:eastAsia="仿宋" w:cs="仿宋"/>
          <w:bCs/>
          <w:szCs w:val="24"/>
        </w:rPr>
        <w:fldChar w:fldCharType="separate"/>
      </w:r>
      <w:r>
        <w:rPr>
          <w:rFonts w:hint="eastAsia" w:ascii="仿宋" w:hAnsi="仿宋" w:eastAsia="仿宋" w:cs="仿宋"/>
          <w:szCs w:val="28"/>
          <w:lang w:eastAsia="zh-CN"/>
        </w:rPr>
        <w:t>一、项目概况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_Toc14785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_Toc18650 </w:instrText>
      </w:r>
      <w:r>
        <w:rPr>
          <w:rFonts w:hint="eastAsia" w:ascii="仿宋" w:hAnsi="仿宋" w:eastAsia="仿宋" w:cs="仿宋"/>
          <w:bCs/>
          <w:szCs w:val="24"/>
        </w:rPr>
        <w:fldChar w:fldCharType="separate"/>
      </w:r>
      <w:r>
        <w:rPr>
          <w:rFonts w:hint="eastAsia" w:ascii="仿宋" w:hAnsi="仿宋" w:eastAsia="仿宋" w:cs="仿宋"/>
          <w:szCs w:val="28"/>
        </w:rPr>
        <w:t>二、项目建设清单及技术指标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_Toc18650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_Toc6241 </w:instrText>
      </w:r>
      <w:r>
        <w:rPr>
          <w:rFonts w:hint="eastAsia" w:ascii="仿宋" w:hAnsi="仿宋" w:eastAsia="仿宋" w:cs="仿宋"/>
          <w:bCs/>
          <w:szCs w:val="24"/>
        </w:rPr>
        <w:fldChar w:fldCharType="separate"/>
      </w:r>
      <w:r>
        <w:rPr>
          <w:rFonts w:hint="eastAsia" w:ascii="仿宋" w:hAnsi="仿宋" w:eastAsia="仿宋" w:cs="仿宋"/>
          <w:szCs w:val="28"/>
        </w:rPr>
        <w:t>三、项目实施要求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_Toc6241 </w:instrText>
      </w:r>
      <w:r>
        <w:rPr>
          <w:rFonts w:hint="eastAsia" w:ascii="仿宋" w:hAnsi="仿宋" w:eastAsia="仿宋" w:cs="仿宋"/>
        </w:rPr>
        <w:fldChar w:fldCharType="separate"/>
      </w:r>
      <w:r>
        <w:rPr>
          <w:rFonts w:hint="eastAsia" w:ascii="仿宋" w:hAnsi="仿宋" w:eastAsia="仿宋" w:cs="仿宋"/>
        </w:rPr>
        <w:t>32</w:t>
      </w:r>
      <w:r>
        <w:rPr>
          <w:rFonts w:hint="eastAsia" w:ascii="仿宋" w:hAnsi="仿宋" w:eastAsia="仿宋" w:cs="仿宋"/>
        </w:rPr>
        <w:fldChar w:fldCharType="end"/>
      </w:r>
      <w:r>
        <w:rPr>
          <w:rFonts w:hint="eastAsia" w:ascii="仿宋" w:hAnsi="仿宋" w:eastAsia="仿宋" w:cs="仿宋"/>
          <w:bCs/>
          <w:szCs w:val="24"/>
        </w:rPr>
        <w:fldChar w:fldCharType="end"/>
      </w:r>
    </w:p>
    <w:p>
      <w:pPr>
        <w:pStyle w:val="16"/>
        <w:tabs>
          <w:tab w:val="right" w:leader="dot" w:pos="8306"/>
          <w:tab w:val="clear" w:pos="8720"/>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_Toc17540 </w:instrText>
      </w:r>
      <w:r>
        <w:rPr>
          <w:rFonts w:hint="eastAsia" w:ascii="仿宋" w:hAnsi="仿宋" w:eastAsia="仿宋" w:cs="仿宋"/>
          <w:bCs/>
          <w:szCs w:val="24"/>
        </w:rPr>
        <w:fldChar w:fldCharType="separate"/>
      </w:r>
      <w:r>
        <w:rPr>
          <w:rFonts w:hint="eastAsia" w:ascii="仿宋" w:hAnsi="仿宋" w:eastAsia="仿宋" w:cs="仿宋"/>
          <w:bCs/>
          <w:szCs w:val="44"/>
        </w:rPr>
        <w:t>第五章 评标方法与评标标准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_Toc17540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bCs/>
          <w:szCs w:val="24"/>
        </w:rPr>
        <w:fldChar w:fldCharType="end"/>
      </w:r>
    </w:p>
    <w:p>
      <w:pPr>
        <w:pStyle w:val="16"/>
        <w:tabs>
          <w:tab w:val="right" w:leader="dot" w:pos="8306"/>
          <w:tab w:val="clear" w:pos="8720"/>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_Toc31843 </w:instrText>
      </w:r>
      <w:r>
        <w:rPr>
          <w:rFonts w:hint="eastAsia" w:ascii="仿宋" w:hAnsi="仿宋" w:eastAsia="仿宋" w:cs="仿宋"/>
          <w:bCs/>
          <w:szCs w:val="24"/>
        </w:rPr>
        <w:fldChar w:fldCharType="separate"/>
      </w:r>
      <w:r>
        <w:rPr>
          <w:rFonts w:hint="eastAsia" w:ascii="仿宋" w:hAnsi="仿宋" w:eastAsia="仿宋" w:cs="仿宋"/>
          <w:bCs/>
          <w:szCs w:val="44"/>
        </w:rPr>
        <w:t>第六章  投标文件格式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_Toc31843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_Toc15009 </w:instrText>
      </w:r>
      <w:r>
        <w:rPr>
          <w:rFonts w:hint="eastAsia" w:ascii="仿宋" w:hAnsi="仿宋" w:eastAsia="仿宋" w:cs="仿宋"/>
          <w:bCs/>
          <w:szCs w:val="24"/>
        </w:rPr>
        <w:fldChar w:fldCharType="separate"/>
      </w:r>
      <w:r>
        <w:rPr>
          <w:rFonts w:hint="eastAsia" w:ascii="仿宋" w:hAnsi="仿宋" w:eastAsia="仿宋" w:cs="仿宋"/>
          <w:snapToGrid w:val="0"/>
          <w:kern w:val="0"/>
          <w:szCs w:val="32"/>
        </w:rPr>
        <w:t>一、投标函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_Toc15009 </w:instrText>
      </w:r>
      <w:r>
        <w:rPr>
          <w:rFonts w:hint="eastAsia" w:ascii="仿宋" w:hAnsi="仿宋" w:eastAsia="仿宋" w:cs="仿宋"/>
        </w:rPr>
        <w:fldChar w:fldCharType="separate"/>
      </w:r>
      <w:r>
        <w:rPr>
          <w:rFonts w:hint="eastAsia" w:ascii="仿宋" w:hAnsi="仿宋" w:eastAsia="仿宋" w:cs="仿宋"/>
        </w:rPr>
        <w:t>40</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_Toc15940 </w:instrText>
      </w:r>
      <w:r>
        <w:rPr>
          <w:rFonts w:hint="eastAsia" w:ascii="仿宋" w:hAnsi="仿宋" w:eastAsia="仿宋" w:cs="仿宋"/>
          <w:bCs/>
          <w:szCs w:val="24"/>
        </w:rPr>
        <w:fldChar w:fldCharType="separate"/>
      </w:r>
      <w:r>
        <w:rPr>
          <w:rFonts w:hint="eastAsia" w:ascii="仿宋" w:hAnsi="仿宋" w:eastAsia="仿宋" w:cs="仿宋"/>
          <w:snapToGrid w:val="0"/>
          <w:kern w:val="0"/>
          <w:szCs w:val="32"/>
        </w:rPr>
        <w:t>二、开标一览表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_Toc15940 </w:instrText>
      </w:r>
      <w:r>
        <w:rPr>
          <w:rFonts w:hint="eastAsia" w:ascii="仿宋" w:hAnsi="仿宋" w:eastAsia="仿宋" w:cs="仿宋"/>
        </w:rPr>
        <w:fldChar w:fldCharType="separate"/>
      </w:r>
      <w:r>
        <w:rPr>
          <w:rFonts w:hint="eastAsia" w:ascii="仿宋" w:hAnsi="仿宋" w:eastAsia="仿宋" w:cs="仿宋"/>
        </w:rPr>
        <w:t>41</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_Toc26737 </w:instrText>
      </w:r>
      <w:r>
        <w:rPr>
          <w:rFonts w:hint="eastAsia" w:ascii="仿宋" w:hAnsi="仿宋" w:eastAsia="仿宋" w:cs="仿宋"/>
          <w:bCs/>
          <w:szCs w:val="24"/>
        </w:rPr>
        <w:fldChar w:fldCharType="separate"/>
      </w:r>
      <w:r>
        <w:rPr>
          <w:rFonts w:hint="eastAsia" w:ascii="仿宋" w:hAnsi="仿宋" w:eastAsia="仿宋" w:cs="仿宋"/>
          <w:snapToGrid w:val="0"/>
          <w:kern w:val="0"/>
          <w:szCs w:val="32"/>
        </w:rPr>
        <w:t>三、配置及技术性能要求响应表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_Toc26737 </w:instrText>
      </w:r>
      <w:r>
        <w:rPr>
          <w:rFonts w:hint="eastAsia" w:ascii="仿宋" w:hAnsi="仿宋" w:eastAsia="仿宋" w:cs="仿宋"/>
        </w:rPr>
        <w:fldChar w:fldCharType="separate"/>
      </w:r>
      <w:r>
        <w:rPr>
          <w:rFonts w:hint="eastAsia" w:ascii="仿宋" w:hAnsi="仿宋" w:eastAsia="仿宋" w:cs="仿宋"/>
        </w:rPr>
        <w:t>42</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_Toc14875 </w:instrText>
      </w:r>
      <w:r>
        <w:rPr>
          <w:rFonts w:hint="eastAsia" w:ascii="仿宋" w:hAnsi="仿宋" w:eastAsia="仿宋" w:cs="仿宋"/>
          <w:bCs/>
          <w:szCs w:val="24"/>
        </w:rPr>
        <w:fldChar w:fldCharType="separate"/>
      </w:r>
      <w:r>
        <w:rPr>
          <w:rFonts w:hint="eastAsia" w:ascii="仿宋" w:hAnsi="仿宋" w:eastAsia="仿宋" w:cs="仿宋"/>
          <w:snapToGrid w:val="0"/>
          <w:kern w:val="0"/>
          <w:szCs w:val="32"/>
        </w:rPr>
        <w:t>四、服务承诺响应表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_Toc14875 </w:instrText>
      </w:r>
      <w:r>
        <w:rPr>
          <w:rFonts w:hint="eastAsia" w:ascii="仿宋" w:hAnsi="仿宋" w:eastAsia="仿宋" w:cs="仿宋"/>
        </w:rPr>
        <w:fldChar w:fldCharType="separate"/>
      </w:r>
      <w:r>
        <w:rPr>
          <w:rFonts w:hint="eastAsia" w:ascii="仿宋" w:hAnsi="仿宋" w:eastAsia="仿宋" w:cs="仿宋"/>
        </w:rPr>
        <w:t>43</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_Toc17981 </w:instrText>
      </w:r>
      <w:r>
        <w:rPr>
          <w:rFonts w:hint="eastAsia" w:ascii="仿宋" w:hAnsi="仿宋" w:eastAsia="仿宋" w:cs="仿宋"/>
          <w:bCs/>
          <w:szCs w:val="24"/>
        </w:rPr>
        <w:fldChar w:fldCharType="separate"/>
      </w:r>
      <w:r>
        <w:rPr>
          <w:rFonts w:hint="eastAsia" w:ascii="仿宋" w:hAnsi="仿宋" w:eastAsia="仿宋" w:cs="仿宋"/>
          <w:snapToGrid w:val="0"/>
          <w:kern w:val="0"/>
          <w:szCs w:val="32"/>
        </w:rPr>
        <w:t>五、投标人类似项目成功经验说明表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_Toc17981 </w:instrText>
      </w:r>
      <w:r>
        <w:rPr>
          <w:rFonts w:hint="eastAsia" w:ascii="仿宋" w:hAnsi="仿宋" w:eastAsia="仿宋" w:cs="仿宋"/>
        </w:rPr>
        <w:fldChar w:fldCharType="separate"/>
      </w:r>
      <w:r>
        <w:rPr>
          <w:rFonts w:hint="eastAsia" w:ascii="仿宋" w:hAnsi="仿宋" w:eastAsia="仿宋" w:cs="仿宋"/>
        </w:rPr>
        <w:t>44</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_Toc2413 </w:instrText>
      </w:r>
      <w:r>
        <w:rPr>
          <w:rFonts w:hint="eastAsia" w:ascii="仿宋" w:hAnsi="仿宋" w:eastAsia="仿宋" w:cs="仿宋"/>
          <w:bCs/>
          <w:szCs w:val="24"/>
        </w:rPr>
        <w:fldChar w:fldCharType="separate"/>
      </w:r>
      <w:r>
        <w:rPr>
          <w:rFonts w:hint="eastAsia" w:ascii="仿宋" w:hAnsi="仿宋" w:eastAsia="仿宋" w:cs="仿宋"/>
          <w:snapToGrid w:val="0"/>
          <w:kern w:val="0"/>
          <w:szCs w:val="32"/>
        </w:rPr>
        <w:t>六、实施方案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_Toc2413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rPr>
          <w:rFonts w:hint="eastAsia" w:ascii="仿宋" w:hAnsi="仿宋" w:eastAsia="仿宋" w:cs="仿宋"/>
        </w:rPr>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_Toc2122 </w:instrText>
      </w:r>
      <w:r>
        <w:rPr>
          <w:rFonts w:hint="eastAsia" w:ascii="仿宋" w:hAnsi="仿宋" w:eastAsia="仿宋" w:cs="仿宋"/>
          <w:bCs/>
          <w:szCs w:val="24"/>
        </w:rPr>
        <w:fldChar w:fldCharType="separate"/>
      </w:r>
      <w:r>
        <w:rPr>
          <w:rFonts w:hint="eastAsia" w:ascii="仿宋" w:hAnsi="仿宋" w:eastAsia="仿宋" w:cs="仿宋"/>
          <w:snapToGrid w:val="0"/>
          <w:kern w:val="0"/>
          <w:szCs w:val="32"/>
        </w:rPr>
        <w:t>七、资格证明文件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_Toc2122 </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pPr>
      <w:r>
        <w:rPr>
          <w:rFonts w:hint="eastAsia" w:ascii="仿宋" w:hAnsi="仿宋" w:eastAsia="仿宋" w:cs="仿宋"/>
          <w:bCs/>
          <w:szCs w:val="24"/>
        </w:rPr>
        <w:fldChar w:fldCharType="begin"/>
      </w:r>
      <w:r>
        <w:rPr>
          <w:rFonts w:hint="eastAsia" w:ascii="仿宋" w:hAnsi="仿宋" w:eastAsia="仿宋" w:cs="仿宋"/>
          <w:bCs/>
          <w:szCs w:val="24"/>
        </w:rPr>
        <w:instrText xml:space="preserve"> HYPERLINK \l _Toc29912 </w:instrText>
      </w:r>
      <w:r>
        <w:rPr>
          <w:rFonts w:hint="eastAsia" w:ascii="仿宋" w:hAnsi="仿宋" w:eastAsia="仿宋" w:cs="仿宋"/>
          <w:bCs/>
          <w:szCs w:val="24"/>
        </w:rPr>
        <w:fldChar w:fldCharType="separate"/>
      </w:r>
      <w:r>
        <w:rPr>
          <w:rFonts w:hint="eastAsia" w:ascii="仿宋" w:hAnsi="仿宋" w:eastAsia="仿宋" w:cs="仿宋"/>
          <w:snapToGrid w:val="0"/>
          <w:kern w:val="0"/>
          <w:szCs w:val="32"/>
        </w:rPr>
        <w:t>八、相关附表格式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_Toc29912 </w:instrText>
      </w:r>
      <w:r>
        <w:rPr>
          <w:rFonts w:hint="eastAsia" w:ascii="仿宋" w:hAnsi="仿宋" w:eastAsia="仿宋" w:cs="仿宋"/>
        </w:rPr>
        <w:fldChar w:fldCharType="separate"/>
      </w:r>
      <w:r>
        <w:rPr>
          <w:rFonts w:hint="eastAsia" w:ascii="仿宋" w:hAnsi="仿宋" w:eastAsia="仿宋" w:cs="仿宋"/>
        </w:rPr>
        <w:t>47</w:t>
      </w:r>
      <w:r>
        <w:rPr>
          <w:rFonts w:hint="eastAsia" w:ascii="仿宋" w:hAnsi="仿宋" w:eastAsia="仿宋" w:cs="仿宋"/>
        </w:rPr>
        <w:fldChar w:fldCharType="end"/>
      </w:r>
      <w:r>
        <w:rPr>
          <w:rFonts w:hint="eastAsia" w:ascii="仿宋" w:hAnsi="仿宋" w:eastAsia="仿宋" w:cs="仿宋"/>
          <w:bCs/>
          <w:szCs w:val="24"/>
        </w:rPr>
        <w:fldChar w:fldCharType="end"/>
      </w:r>
    </w:p>
    <w:p>
      <w:pPr>
        <w:pStyle w:val="17"/>
        <w:tabs>
          <w:tab w:val="right" w:leader="dot" w:pos="8306"/>
        </w:tabs>
        <w:spacing w:line="360" w:lineRule="auto"/>
      </w:pPr>
      <w:r>
        <w:rPr>
          <w:rFonts w:hint="eastAsia" w:ascii="仿宋" w:hAnsi="仿宋" w:eastAsia="仿宋" w:cs="仿宋"/>
          <w:bCs/>
          <w:szCs w:val="24"/>
        </w:rPr>
        <w:fldChar w:fldCharType="end"/>
      </w:r>
      <w:bookmarkStart w:id="6" w:name="_Toc324237145"/>
      <w:r>
        <w:rPr>
          <w:rFonts w:hint="eastAsia"/>
        </w:rPr>
        <w:br w:type="page"/>
      </w:r>
    </w:p>
    <w:p>
      <w:pPr>
        <w:pStyle w:val="35"/>
        <w:spacing w:after="312"/>
        <w:rPr>
          <w:rFonts w:hAnsi="黑体" w:cs="黑体"/>
        </w:rPr>
      </w:pPr>
      <w:bookmarkStart w:id="7" w:name="_Toc10527"/>
      <w:r>
        <w:rPr>
          <w:rFonts w:hint="eastAsia" w:hAnsi="黑体" w:cs="黑体"/>
        </w:rPr>
        <w:t xml:space="preserve">第一章  </w:t>
      </w:r>
      <w:bookmarkEnd w:id="0"/>
      <w:r>
        <w:rPr>
          <w:rFonts w:hint="eastAsia" w:hAnsi="黑体" w:cs="黑体"/>
        </w:rPr>
        <w:t>磋商公告</w:t>
      </w:r>
      <w:bookmarkEnd w:id="6"/>
      <w:bookmarkEnd w:id="7"/>
    </w:p>
    <w:p>
      <w:pPr>
        <w:snapToGrid w:val="0"/>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江苏柒采招标代理有限公司</w:t>
      </w:r>
      <w:r>
        <w:rPr>
          <w:rFonts w:hint="eastAsia" w:ascii="仿宋" w:hAnsi="仿宋" w:eastAsia="仿宋" w:cs="仿宋"/>
          <w:sz w:val="24"/>
          <w:szCs w:val="24"/>
        </w:rPr>
        <w:t>受</w:t>
      </w:r>
      <w:r>
        <w:rPr>
          <w:rFonts w:hint="eastAsia" w:ascii="仿宋" w:hAnsi="仿宋" w:eastAsia="仿宋" w:cs="仿宋"/>
          <w:b/>
          <w:bCs/>
          <w:sz w:val="24"/>
          <w:szCs w:val="24"/>
          <w:lang w:eastAsia="zh-CN"/>
        </w:rPr>
        <w:t>江苏省药品监督管理局</w:t>
      </w:r>
      <w:r>
        <w:rPr>
          <w:rFonts w:hint="eastAsia" w:ascii="仿宋" w:hAnsi="仿宋" w:eastAsia="仿宋" w:cs="仿宋"/>
          <w:sz w:val="24"/>
          <w:szCs w:val="24"/>
        </w:rPr>
        <w:t>的委托，决定就其所需的</w:t>
      </w:r>
      <w:r>
        <w:rPr>
          <w:rFonts w:hint="eastAsia" w:ascii="仿宋" w:hAnsi="仿宋" w:eastAsia="仿宋" w:cs="仿宋"/>
          <w:b/>
          <w:bCs/>
          <w:sz w:val="24"/>
          <w:szCs w:val="24"/>
          <w:lang w:eastAsia="zh-CN"/>
        </w:rPr>
        <w:t>等级保护整改服务项目</w:t>
      </w:r>
      <w:r>
        <w:rPr>
          <w:rFonts w:hint="eastAsia" w:ascii="仿宋" w:hAnsi="仿宋" w:eastAsia="仿宋" w:cs="仿宋"/>
          <w:sz w:val="24"/>
          <w:szCs w:val="24"/>
        </w:rPr>
        <w:t>实施国内</w:t>
      </w:r>
      <w:r>
        <w:rPr>
          <w:rFonts w:hint="eastAsia" w:ascii="仿宋" w:hAnsi="仿宋" w:eastAsia="仿宋" w:cs="仿宋"/>
          <w:b/>
          <w:bCs/>
          <w:sz w:val="24"/>
          <w:szCs w:val="24"/>
        </w:rPr>
        <w:t>竞争性磋商</w:t>
      </w:r>
      <w:r>
        <w:rPr>
          <w:rFonts w:hint="eastAsia" w:ascii="仿宋" w:hAnsi="仿宋" w:eastAsia="仿宋" w:cs="仿宋"/>
          <w:sz w:val="24"/>
          <w:szCs w:val="24"/>
        </w:rPr>
        <w:t>采购，欢迎符合条件的供应商参加磋商。</w:t>
      </w:r>
    </w:p>
    <w:p>
      <w:pPr>
        <w:snapToGrid w:val="0"/>
        <w:spacing w:line="360" w:lineRule="auto"/>
        <w:ind w:firstLine="470" w:firstLineChars="196"/>
        <w:rPr>
          <w:rFonts w:ascii="黑体" w:hAnsi="黑体" w:eastAsia="黑体" w:cs="黑体"/>
          <w:sz w:val="24"/>
          <w:szCs w:val="24"/>
        </w:rPr>
      </w:pPr>
      <w:r>
        <w:rPr>
          <w:rFonts w:hint="eastAsia" w:ascii="黑体" w:hAnsi="黑体" w:eastAsia="黑体" w:cs="黑体"/>
          <w:sz w:val="24"/>
          <w:szCs w:val="24"/>
        </w:rPr>
        <w:t>一、采购项目简要说明及预算金额</w:t>
      </w:r>
    </w:p>
    <w:tbl>
      <w:tblPr>
        <w:tblStyle w:val="25"/>
        <w:tblW w:w="8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665"/>
        <w:gridCol w:w="5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979" w:type="dxa"/>
            <w:vAlign w:val="center"/>
          </w:tcPr>
          <w:p>
            <w:pPr>
              <w:snapToGrid w:val="0"/>
              <w:jc w:val="center"/>
              <w:rPr>
                <w:rFonts w:ascii="黑体" w:hAnsi="黑体" w:eastAsia="黑体" w:cs="黑体"/>
                <w:sz w:val="24"/>
                <w:szCs w:val="24"/>
              </w:rPr>
            </w:pPr>
            <w:r>
              <w:rPr>
                <w:rFonts w:hint="eastAsia" w:ascii="黑体" w:hAnsi="黑体" w:eastAsia="黑体" w:cs="黑体"/>
                <w:sz w:val="24"/>
                <w:szCs w:val="24"/>
              </w:rPr>
              <w:t>序号</w:t>
            </w:r>
          </w:p>
        </w:tc>
        <w:tc>
          <w:tcPr>
            <w:tcW w:w="1665" w:type="dxa"/>
            <w:vAlign w:val="center"/>
          </w:tcPr>
          <w:p>
            <w:pPr>
              <w:snapToGrid w:val="0"/>
              <w:jc w:val="center"/>
              <w:rPr>
                <w:rFonts w:ascii="黑体" w:hAnsi="黑体" w:eastAsia="黑体" w:cs="黑体"/>
                <w:sz w:val="24"/>
                <w:szCs w:val="24"/>
              </w:rPr>
            </w:pPr>
            <w:r>
              <w:rPr>
                <w:rFonts w:hint="eastAsia" w:ascii="黑体" w:hAnsi="黑体" w:eastAsia="黑体" w:cs="黑体"/>
                <w:sz w:val="24"/>
                <w:szCs w:val="24"/>
              </w:rPr>
              <w:t>项目</w:t>
            </w:r>
          </w:p>
        </w:tc>
        <w:tc>
          <w:tcPr>
            <w:tcW w:w="5796" w:type="dxa"/>
            <w:vAlign w:val="center"/>
          </w:tcPr>
          <w:p>
            <w:pPr>
              <w:snapToGrid w:val="0"/>
              <w:jc w:val="center"/>
              <w:rPr>
                <w:rFonts w:ascii="黑体" w:hAnsi="黑体" w:eastAsia="黑体" w:cs="黑体"/>
                <w:sz w:val="24"/>
                <w:szCs w:val="24"/>
              </w:rPr>
            </w:pPr>
            <w:r>
              <w:rPr>
                <w:rFonts w:hint="eastAsia" w:ascii="黑体" w:hAnsi="黑体" w:eastAsia="黑体" w:cs="黑体"/>
                <w:sz w:val="24"/>
                <w:szCs w:val="24"/>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979" w:type="dxa"/>
            <w:vAlign w:val="center"/>
          </w:tcPr>
          <w:p>
            <w:pPr>
              <w:snapToGrid w:val="0"/>
              <w:jc w:val="center"/>
              <w:rPr>
                <w:rFonts w:ascii="黑体" w:hAnsi="黑体" w:eastAsia="黑体" w:cs="黑体"/>
                <w:sz w:val="24"/>
                <w:szCs w:val="24"/>
              </w:rPr>
            </w:pPr>
            <w:r>
              <w:rPr>
                <w:rFonts w:hint="eastAsia" w:ascii="黑体" w:hAnsi="黑体" w:eastAsia="黑体" w:cs="黑体"/>
                <w:sz w:val="24"/>
                <w:szCs w:val="24"/>
              </w:rPr>
              <w:t>1</w:t>
            </w:r>
          </w:p>
        </w:tc>
        <w:tc>
          <w:tcPr>
            <w:tcW w:w="1665" w:type="dxa"/>
            <w:vAlign w:val="center"/>
          </w:tcPr>
          <w:p>
            <w:pPr>
              <w:snapToGrid w:val="0"/>
              <w:jc w:val="center"/>
              <w:rPr>
                <w:rFonts w:ascii="黑体" w:hAnsi="黑体" w:eastAsia="黑体" w:cs="黑体"/>
                <w:sz w:val="24"/>
                <w:szCs w:val="24"/>
              </w:rPr>
            </w:pPr>
            <w:r>
              <w:rPr>
                <w:rFonts w:hint="eastAsia" w:ascii="仿宋" w:hAnsi="仿宋" w:eastAsia="仿宋" w:cs="仿宋"/>
                <w:sz w:val="24"/>
              </w:rPr>
              <w:t>项目名称</w:t>
            </w:r>
          </w:p>
        </w:tc>
        <w:tc>
          <w:tcPr>
            <w:tcW w:w="5796" w:type="dxa"/>
            <w:vAlign w:val="center"/>
          </w:tcPr>
          <w:p>
            <w:pPr>
              <w:snapToGrid w:val="0"/>
              <w:rPr>
                <w:rFonts w:hint="eastAsia" w:ascii="黑体" w:hAnsi="黑体" w:eastAsia="仿宋" w:cs="黑体"/>
                <w:sz w:val="24"/>
                <w:szCs w:val="24"/>
                <w:lang w:eastAsia="zh-CN"/>
              </w:rPr>
            </w:pPr>
            <w:r>
              <w:rPr>
                <w:rFonts w:hint="eastAsia" w:ascii="仿宋" w:hAnsi="仿宋" w:eastAsia="仿宋" w:cs="仿宋"/>
                <w:sz w:val="24"/>
                <w:lang w:eastAsia="zh-CN"/>
              </w:rPr>
              <w:t>省药监局等级保护整改服务项目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979"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2</w:t>
            </w:r>
          </w:p>
        </w:tc>
        <w:tc>
          <w:tcPr>
            <w:tcW w:w="1665"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采购编号</w:t>
            </w:r>
          </w:p>
        </w:tc>
        <w:tc>
          <w:tcPr>
            <w:tcW w:w="5796" w:type="dxa"/>
            <w:vAlign w:val="center"/>
          </w:tcPr>
          <w:p>
            <w:pPr>
              <w:snapToGrid w:val="0"/>
              <w:rPr>
                <w:rFonts w:hint="eastAsia" w:ascii="仿宋" w:hAnsi="仿宋" w:eastAsia="仿宋" w:cs="仿宋"/>
                <w:sz w:val="24"/>
                <w:szCs w:val="24"/>
                <w:lang w:eastAsia="zh-CN"/>
              </w:rPr>
            </w:pPr>
            <w:r>
              <w:rPr>
                <w:rFonts w:hint="eastAsia" w:ascii="仿宋" w:hAnsi="仿宋" w:eastAsia="仿宋" w:cs="仿宋"/>
                <w:sz w:val="24"/>
                <w:szCs w:val="24"/>
                <w:lang w:eastAsia="zh-CN"/>
              </w:rPr>
              <w:t>QC-2018120313H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979"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3</w:t>
            </w:r>
          </w:p>
        </w:tc>
        <w:tc>
          <w:tcPr>
            <w:tcW w:w="1665"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采购方式</w:t>
            </w:r>
          </w:p>
        </w:tc>
        <w:tc>
          <w:tcPr>
            <w:tcW w:w="5796" w:type="dxa"/>
            <w:vAlign w:val="center"/>
          </w:tcPr>
          <w:p>
            <w:pPr>
              <w:snapToGrid w:val="0"/>
              <w:rPr>
                <w:rFonts w:ascii="仿宋" w:hAnsi="仿宋" w:eastAsia="仿宋" w:cs="仿宋"/>
                <w:sz w:val="24"/>
                <w:szCs w:val="24"/>
              </w:rPr>
            </w:pPr>
            <w:r>
              <w:rPr>
                <w:rFonts w:hint="eastAsia" w:ascii="仿宋" w:hAnsi="仿宋" w:eastAsia="仿宋" w:cs="仿宋"/>
                <w:sz w:val="24"/>
                <w:szCs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9" w:type="dxa"/>
            <w:vAlign w:val="center"/>
          </w:tcPr>
          <w:p>
            <w:pPr>
              <w:snapToGrid w:val="0"/>
              <w:ind w:right="102"/>
              <w:jc w:val="center"/>
              <w:rPr>
                <w:rFonts w:ascii="仿宋" w:hAnsi="仿宋" w:eastAsia="仿宋" w:cs="仿宋"/>
                <w:sz w:val="24"/>
                <w:szCs w:val="24"/>
              </w:rPr>
            </w:pPr>
            <w:r>
              <w:rPr>
                <w:rFonts w:hint="eastAsia" w:ascii="仿宋" w:hAnsi="仿宋" w:eastAsia="仿宋" w:cs="仿宋"/>
                <w:sz w:val="24"/>
                <w:szCs w:val="24"/>
              </w:rPr>
              <w:t>4</w:t>
            </w:r>
          </w:p>
        </w:tc>
        <w:tc>
          <w:tcPr>
            <w:tcW w:w="1665" w:type="dxa"/>
            <w:vAlign w:val="center"/>
          </w:tcPr>
          <w:p>
            <w:pPr>
              <w:snapToGrid w:val="0"/>
              <w:ind w:right="102"/>
              <w:jc w:val="center"/>
              <w:rPr>
                <w:rFonts w:ascii="仿宋" w:hAnsi="仿宋" w:eastAsia="仿宋" w:cs="仿宋"/>
                <w:sz w:val="24"/>
                <w:szCs w:val="24"/>
              </w:rPr>
            </w:pPr>
            <w:r>
              <w:rPr>
                <w:rFonts w:hint="eastAsia" w:ascii="仿宋" w:hAnsi="仿宋" w:eastAsia="仿宋" w:cs="仿宋"/>
                <w:sz w:val="24"/>
                <w:szCs w:val="24"/>
              </w:rPr>
              <w:t>分包号</w:t>
            </w:r>
          </w:p>
        </w:tc>
        <w:tc>
          <w:tcPr>
            <w:tcW w:w="5796" w:type="dxa"/>
            <w:vAlign w:val="center"/>
          </w:tcPr>
          <w:p>
            <w:pPr>
              <w:snapToGrid w:val="0"/>
              <w:rPr>
                <w:rFonts w:hint="eastAsia" w:ascii="仿宋" w:hAnsi="仿宋" w:eastAsia="仿宋" w:cs="仿宋"/>
                <w:sz w:val="24"/>
              </w:rPr>
            </w:pPr>
            <w:r>
              <w:rPr>
                <w:rFonts w:hint="eastAsia" w:ascii="仿宋" w:hAnsi="仿宋" w:eastAsia="仿宋" w:cs="仿宋"/>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979" w:type="dxa"/>
            <w:vAlign w:val="center"/>
          </w:tcPr>
          <w:p>
            <w:pPr>
              <w:snapToGrid w:val="0"/>
              <w:ind w:right="102"/>
              <w:jc w:val="center"/>
              <w:rPr>
                <w:rFonts w:ascii="仿宋" w:hAnsi="仿宋" w:eastAsia="仿宋" w:cs="仿宋"/>
                <w:sz w:val="24"/>
                <w:szCs w:val="24"/>
              </w:rPr>
            </w:pPr>
            <w:r>
              <w:rPr>
                <w:rFonts w:hint="eastAsia" w:ascii="仿宋" w:hAnsi="仿宋" w:eastAsia="仿宋" w:cs="仿宋"/>
                <w:sz w:val="24"/>
                <w:szCs w:val="24"/>
              </w:rPr>
              <w:t>5</w:t>
            </w:r>
          </w:p>
        </w:tc>
        <w:tc>
          <w:tcPr>
            <w:tcW w:w="1665" w:type="dxa"/>
            <w:vAlign w:val="center"/>
          </w:tcPr>
          <w:p>
            <w:pPr>
              <w:snapToGrid w:val="0"/>
              <w:ind w:right="102"/>
              <w:jc w:val="center"/>
              <w:rPr>
                <w:rFonts w:ascii="仿宋" w:hAnsi="仿宋" w:eastAsia="仿宋" w:cs="仿宋"/>
                <w:sz w:val="24"/>
                <w:szCs w:val="24"/>
              </w:rPr>
            </w:pPr>
            <w:r>
              <w:rPr>
                <w:rFonts w:hint="eastAsia" w:ascii="仿宋" w:hAnsi="仿宋" w:eastAsia="仿宋" w:cs="仿宋"/>
                <w:sz w:val="24"/>
              </w:rPr>
              <w:t>招标人</w:t>
            </w:r>
          </w:p>
        </w:tc>
        <w:tc>
          <w:tcPr>
            <w:tcW w:w="5796" w:type="dxa"/>
            <w:vAlign w:val="center"/>
          </w:tcPr>
          <w:p>
            <w:pPr>
              <w:snapToGrid w:val="0"/>
              <w:rPr>
                <w:rFonts w:ascii="仿宋" w:hAnsi="仿宋" w:eastAsia="仿宋" w:cs="仿宋"/>
                <w:sz w:val="24"/>
              </w:rPr>
            </w:pPr>
            <w:r>
              <w:rPr>
                <w:rFonts w:hint="eastAsia" w:ascii="仿宋" w:hAnsi="仿宋" w:eastAsia="仿宋" w:cs="仿宋"/>
                <w:sz w:val="24"/>
              </w:rPr>
              <w:t>江苏柒采招标代理有限公司</w:t>
            </w:r>
          </w:p>
          <w:p>
            <w:pPr>
              <w:snapToGrid w:val="0"/>
              <w:rPr>
                <w:rFonts w:ascii="仿宋" w:hAnsi="仿宋" w:eastAsia="仿宋" w:cs="仿宋"/>
                <w:sz w:val="24"/>
              </w:rPr>
            </w:pPr>
            <w:r>
              <w:rPr>
                <w:rFonts w:hint="eastAsia" w:ascii="仿宋" w:hAnsi="仿宋" w:eastAsia="仿宋" w:cs="仿宋"/>
                <w:sz w:val="24"/>
              </w:rPr>
              <w:t>联系人：花培中</w:t>
            </w:r>
          </w:p>
          <w:p>
            <w:pPr>
              <w:snapToGrid w:val="0"/>
              <w:rPr>
                <w:rFonts w:ascii="仿宋" w:hAnsi="仿宋" w:eastAsia="仿宋" w:cs="仿宋"/>
                <w:sz w:val="24"/>
                <w:szCs w:val="24"/>
              </w:rPr>
            </w:pPr>
            <w:r>
              <w:rPr>
                <w:rFonts w:hint="eastAsia" w:ascii="仿宋" w:hAnsi="仿宋" w:eastAsia="仿宋" w:cs="仿宋"/>
                <w:sz w:val="24"/>
              </w:rPr>
              <w:t>电话：025-83370296（1</w:t>
            </w:r>
            <w:r>
              <w:rPr>
                <w:rFonts w:ascii="仿宋" w:hAnsi="仿宋" w:eastAsia="仿宋" w:cs="仿宋"/>
                <w:sz w:val="24"/>
              </w:rPr>
              <w:t>5212220030</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9" w:type="dxa"/>
            <w:vAlign w:val="center"/>
          </w:tcPr>
          <w:p>
            <w:pPr>
              <w:snapToGrid w:val="0"/>
              <w:ind w:right="102"/>
              <w:jc w:val="center"/>
              <w:rPr>
                <w:rFonts w:ascii="仿宋" w:hAnsi="仿宋" w:eastAsia="仿宋" w:cs="仿宋"/>
                <w:sz w:val="24"/>
                <w:szCs w:val="24"/>
              </w:rPr>
            </w:pPr>
            <w:r>
              <w:rPr>
                <w:rFonts w:hint="eastAsia" w:ascii="仿宋" w:hAnsi="仿宋" w:eastAsia="仿宋" w:cs="仿宋"/>
                <w:sz w:val="24"/>
                <w:szCs w:val="24"/>
              </w:rPr>
              <w:t>6</w:t>
            </w:r>
          </w:p>
        </w:tc>
        <w:tc>
          <w:tcPr>
            <w:tcW w:w="1665" w:type="dxa"/>
            <w:vAlign w:val="center"/>
          </w:tcPr>
          <w:p>
            <w:pPr>
              <w:snapToGrid w:val="0"/>
              <w:ind w:right="102"/>
              <w:jc w:val="center"/>
              <w:rPr>
                <w:rFonts w:ascii="仿宋" w:hAnsi="仿宋" w:eastAsia="仿宋" w:cs="仿宋"/>
                <w:sz w:val="24"/>
                <w:szCs w:val="24"/>
              </w:rPr>
            </w:pPr>
            <w:r>
              <w:rPr>
                <w:rFonts w:hint="eastAsia" w:ascii="仿宋" w:hAnsi="仿宋" w:eastAsia="仿宋" w:cs="仿宋"/>
                <w:sz w:val="24"/>
              </w:rPr>
              <w:t>采购人</w:t>
            </w:r>
          </w:p>
        </w:tc>
        <w:tc>
          <w:tcPr>
            <w:tcW w:w="5796" w:type="dxa"/>
            <w:vAlign w:val="center"/>
          </w:tcPr>
          <w:p>
            <w:pPr>
              <w:snapToGrid w:val="0"/>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江苏省药品监督管理局</w:t>
            </w:r>
          </w:p>
          <w:p>
            <w:pPr>
              <w:snapToGrid w:val="0"/>
              <w:rPr>
                <w:rFonts w:hint="eastAsia" w:ascii="仿宋" w:hAnsi="仿宋" w:eastAsia="仿宋" w:cs="仿宋"/>
                <w:sz w:val="24"/>
                <w:szCs w:val="24"/>
              </w:rPr>
            </w:pPr>
            <w:r>
              <w:rPr>
                <w:rFonts w:hint="eastAsia" w:ascii="仿宋" w:hAnsi="仿宋" w:eastAsia="仿宋" w:cs="仿宋"/>
                <w:sz w:val="24"/>
                <w:szCs w:val="24"/>
              </w:rPr>
              <w:t>联系人：曹云</w:t>
            </w:r>
          </w:p>
          <w:p>
            <w:pPr>
              <w:snapToGrid w:val="0"/>
              <w:rPr>
                <w:rFonts w:hint="eastAsia" w:ascii="仿宋" w:hAnsi="仿宋" w:eastAsia="仿宋" w:cs="仿宋"/>
                <w:sz w:val="24"/>
                <w:szCs w:val="24"/>
              </w:rPr>
            </w:pPr>
            <w:r>
              <w:rPr>
                <w:rFonts w:hint="eastAsia" w:ascii="仿宋" w:hAnsi="仿宋" w:eastAsia="仿宋" w:cs="仿宋"/>
                <w:sz w:val="24"/>
                <w:szCs w:val="24"/>
              </w:rPr>
              <w:t>电话：025-83273637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79"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7</w:t>
            </w:r>
          </w:p>
        </w:tc>
        <w:tc>
          <w:tcPr>
            <w:tcW w:w="1665" w:type="dxa"/>
            <w:vAlign w:val="center"/>
          </w:tcPr>
          <w:p>
            <w:pPr>
              <w:snapToGrid w:val="0"/>
              <w:jc w:val="center"/>
              <w:rPr>
                <w:rFonts w:ascii="仿宋" w:hAnsi="仿宋" w:eastAsia="仿宋" w:cs="仿宋"/>
                <w:sz w:val="24"/>
                <w:szCs w:val="24"/>
              </w:rPr>
            </w:pPr>
            <w:r>
              <w:rPr>
                <w:rFonts w:hint="eastAsia" w:ascii="仿宋" w:hAnsi="仿宋" w:eastAsia="仿宋" w:cs="仿宋"/>
                <w:sz w:val="24"/>
              </w:rPr>
              <w:t>采购预算</w:t>
            </w:r>
          </w:p>
        </w:tc>
        <w:tc>
          <w:tcPr>
            <w:tcW w:w="5796" w:type="dxa"/>
            <w:vAlign w:val="center"/>
          </w:tcPr>
          <w:p>
            <w:pPr>
              <w:snapToGrid w:val="0"/>
              <w:rPr>
                <w:rFonts w:ascii="仿宋" w:hAnsi="仿宋" w:eastAsia="仿宋" w:cs="仿宋"/>
                <w:sz w:val="24"/>
                <w:szCs w:val="24"/>
                <w:u w:val="none"/>
              </w:rPr>
            </w:pPr>
            <w:r>
              <w:rPr>
                <w:rFonts w:hint="eastAsia" w:ascii="仿宋" w:hAnsi="仿宋" w:eastAsia="仿宋" w:cs="仿宋"/>
                <w:b w:val="0"/>
                <w:bCs w:val="0"/>
                <w:i w:val="0"/>
                <w:iCs w:val="0"/>
                <w:sz w:val="24"/>
                <w:szCs w:val="24"/>
                <w:u w:val="none"/>
                <w:lang w:val="en-US" w:eastAsia="zh-CN"/>
              </w:rPr>
              <w:t>人民币玖拾柒万元整（¥970,000.00元）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8" w:hRule="atLeast"/>
          <w:jc w:val="center"/>
        </w:trPr>
        <w:tc>
          <w:tcPr>
            <w:tcW w:w="979"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8</w:t>
            </w:r>
          </w:p>
        </w:tc>
        <w:tc>
          <w:tcPr>
            <w:tcW w:w="1665" w:type="dxa"/>
            <w:vAlign w:val="center"/>
          </w:tcPr>
          <w:p>
            <w:pPr>
              <w:snapToGrid w:val="0"/>
              <w:jc w:val="center"/>
              <w:rPr>
                <w:rFonts w:ascii="仿宋" w:hAnsi="仿宋" w:eastAsia="仿宋" w:cs="仿宋"/>
                <w:sz w:val="24"/>
                <w:szCs w:val="24"/>
              </w:rPr>
            </w:pPr>
            <w:r>
              <w:rPr>
                <w:rFonts w:hint="eastAsia" w:ascii="仿宋" w:hAnsi="仿宋" w:eastAsia="仿宋" w:cs="仿宋"/>
                <w:sz w:val="24"/>
              </w:rPr>
              <w:t>投标保证金</w:t>
            </w:r>
          </w:p>
        </w:tc>
        <w:tc>
          <w:tcPr>
            <w:tcW w:w="5796" w:type="dxa"/>
            <w:vAlign w:val="center"/>
          </w:tcPr>
          <w:p>
            <w:pPr>
              <w:snapToGrid w:val="0"/>
              <w:rPr>
                <w:rFonts w:hint="eastAsia" w:ascii="仿宋" w:hAnsi="仿宋" w:eastAsia="仿宋" w:cs="仿宋"/>
                <w:color w:val="000000"/>
                <w:sz w:val="24"/>
                <w:szCs w:val="24"/>
                <w:u w:val="none"/>
              </w:rPr>
            </w:pPr>
            <w:r>
              <w:rPr>
                <w:rFonts w:hint="eastAsia" w:ascii="仿宋" w:hAnsi="仿宋" w:eastAsia="仿宋" w:cs="仿宋"/>
                <w:color w:val="000000"/>
                <w:sz w:val="24"/>
                <w:szCs w:val="24"/>
                <w:u w:val="none"/>
              </w:rPr>
              <w:t>金</w:t>
            </w:r>
            <w:r>
              <w:rPr>
                <w:rFonts w:hint="eastAsia" w:ascii="仿宋" w:hAnsi="仿宋" w:eastAsia="仿宋" w:cs="仿宋"/>
                <w:strike w:val="0"/>
                <w:dstrike w:val="0"/>
                <w:color w:val="000000"/>
                <w:sz w:val="24"/>
                <w:szCs w:val="24"/>
                <w:highlight w:val="none"/>
                <w:u w:val="none"/>
              </w:rPr>
              <w:t>额</w:t>
            </w:r>
            <w:r>
              <w:rPr>
                <w:rFonts w:hint="eastAsia" w:ascii="仿宋" w:hAnsi="仿宋" w:eastAsia="仿宋" w:cs="仿宋"/>
                <w:strike w:val="0"/>
                <w:dstrike w:val="0"/>
                <w:sz w:val="24"/>
                <w:szCs w:val="24"/>
                <w:highlight w:val="none"/>
                <w:u w:val="none"/>
              </w:rPr>
              <w:t>：</w:t>
            </w:r>
            <w:r>
              <w:rPr>
                <w:rFonts w:hint="eastAsia" w:ascii="仿宋" w:hAnsi="仿宋" w:eastAsia="仿宋" w:cs="仿宋"/>
                <w:b w:val="0"/>
                <w:bCs w:val="0"/>
                <w:i w:val="0"/>
                <w:iCs w:val="0"/>
                <w:color w:val="000000"/>
                <w:sz w:val="24"/>
                <w:szCs w:val="24"/>
                <w:u w:val="none"/>
              </w:rPr>
              <w:t>人民币</w:t>
            </w:r>
            <w:r>
              <w:rPr>
                <w:rFonts w:hint="eastAsia" w:ascii="仿宋" w:hAnsi="仿宋" w:eastAsia="仿宋" w:cs="仿宋"/>
                <w:b w:val="0"/>
                <w:bCs w:val="0"/>
                <w:i w:val="0"/>
                <w:iCs w:val="0"/>
                <w:color w:val="000000"/>
                <w:sz w:val="24"/>
                <w:szCs w:val="24"/>
                <w:u w:val="none"/>
                <w:lang w:eastAsia="zh-CN"/>
              </w:rPr>
              <w:t>壹万伍仟元</w:t>
            </w:r>
            <w:r>
              <w:rPr>
                <w:rFonts w:hint="eastAsia" w:ascii="仿宋" w:hAnsi="仿宋" w:eastAsia="仿宋" w:cs="仿宋"/>
                <w:b w:val="0"/>
                <w:bCs w:val="0"/>
                <w:i w:val="0"/>
                <w:iCs w:val="0"/>
                <w:color w:val="000000"/>
                <w:sz w:val="24"/>
                <w:szCs w:val="24"/>
                <w:u w:val="none"/>
              </w:rPr>
              <w:t>整（</w:t>
            </w:r>
            <w:r>
              <w:rPr>
                <w:rFonts w:hint="eastAsia" w:ascii="DotumChe" w:hAnsi="DotumChe" w:eastAsia="DotumChe" w:cs="DotumChe"/>
                <w:b w:val="0"/>
                <w:bCs w:val="0"/>
                <w:i w:val="0"/>
                <w:iCs w:val="0"/>
                <w:color w:val="auto"/>
                <w:sz w:val="24"/>
                <w:szCs w:val="24"/>
                <w:u w:val="none"/>
                <w:lang w:val="en-US" w:eastAsia="zh-CN"/>
              </w:rPr>
              <w:t>¥15</w:t>
            </w:r>
            <w:r>
              <w:rPr>
                <w:rFonts w:hint="eastAsia" w:ascii="仿宋" w:hAnsi="仿宋" w:eastAsia="仿宋" w:cs="仿宋"/>
                <w:b w:val="0"/>
                <w:bCs w:val="0"/>
                <w:i w:val="0"/>
                <w:iCs w:val="0"/>
                <w:color w:val="000000"/>
                <w:sz w:val="24"/>
                <w:szCs w:val="24"/>
                <w:u w:val="none"/>
              </w:rPr>
              <w:t>,000.00元）</w:t>
            </w:r>
          </w:p>
          <w:p>
            <w:pPr>
              <w:snapToGrid w:val="0"/>
              <w:rPr>
                <w:rFonts w:ascii="仿宋" w:hAnsi="仿宋" w:eastAsia="仿宋" w:cs="仿宋"/>
                <w:sz w:val="24"/>
                <w:u w:val="none"/>
              </w:rPr>
            </w:pPr>
            <w:r>
              <w:rPr>
                <w:rFonts w:hint="eastAsia" w:ascii="仿宋" w:hAnsi="仿宋" w:eastAsia="仿宋" w:cs="仿宋"/>
                <w:sz w:val="24"/>
                <w:u w:val="none"/>
              </w:rPr>
              <w:t>保证金形式：网上银行转账或银行电汇（不接受其他形式的保证金）</w:t>
            </w:r>
          </w:p>
          <w:p>
            <w:pPr>
              <w:snapToGrid w:val="0"/>
              <w:rPr>
                <w:rFonts w:ascii="仿宋" w:hAnsi="仿宋" w:eastAsia="仿宋" w:cs="仿宋"/>
                <w:sz w:val="24"/>
                <w:u w:val="none"/>
              </w:rPr>
            </w:pPr>
            <w:r>
              <w:rPr>
                <w:rFonts w:hint="eastAsia" w:ascii="仿宋" w:hAnsi="仿宋" w:eastAsia="仿宋" w:cs="仿宋"/>
                <w:sz w:val="24"/>
                <w:u w:val="none"/>
              </w:rPr>
              <w:t>交纳时间：2018年</w:t>
            </w:r>
            <w:r>
              <w:rPr>
                <w:rFonts w:hint="eastAsia" w:ascii="仿宋" w:hAnsi="仿宋" w:eastAsia="仿宋" w:cs="仿宋"/>
                <w:sz w:val="24"/>
                <w:highlight w:val="none"/>
                <w:u w:val="none" w:color="auto"/>
                <w:shd w:val="clear" w:color="auto" w:fill="FFFFFF"/>
                <w:lang w:val="en-US" w:eastAsia="zh-CN"/>
              </w:rPr>
              <w:t>12</w:t>
            </w:r>
            <w:r>
              <w:rPr>
                <w:rFonts w:hint="eastAsia" w:ascii="仿宋" w:hAnsi="仿宋" w:eastAsia="仿宋" w:cs="仿宋"/>
                <w:sz w:val="24"/>
                <w:highlight w:val="none"/>
                <w:u w:val="none" w:color="auto"/>
                <w:shd w:val="clear" w:color="auto" w:fill="FFFFFF"/>
              </w:rPr>
              <w:t>月</w:t>
            </w:r>
            <w:r>
              <w:rPr>
                <w:rFonts w:hint="eastAsia" w:ascii="仿宋" w:hAnsi="仿宋" w:eastAsia="仿宋" w:cs="仿宋"/>
                <w:sz w:val="24"/>
                <w:highlight w:val="none"/>
                <w:u w:val="none" w:color="auto"/>
                <w:shd w:val="clear" w:color="auto" w:fill="FFFFFF"/>
                <w:lang w:val="en-US" w:eastAsia="zh-CN"/>
              </w:rPr>
              <w:t>20</w:t>
            </w:r>
            <w:r>
              <w:rPr>
                <w:rFonts w:hint="eastAsia" w:ascii="仿宋" w:hAnsi="仿宋" w:eastAsia="仿宋" w:cs="仿宋"/>
                <w:sz w:val="24"/>
                <w:highlight w:val="none"/>
                <w:u w:val="none" w:color="auto"/>
                <w:shd w:val="clear" w:color="auto" w:fill="FFFFFF"/>
              </w:rPr>
              <w:t>日</w:t>
            </w:r>
            <w:r>
              <w:rPr>
                <w:rFonts w:hint="eastAsia" w:ascii="仿宋" w:hAnsi="仿宋" w:eastAsia="仿宋" w:cs="仿宋"/>
                <w:sz w:val="24"/>
                <w:u w:val="none"/>
              </w:rPr>
              <w:t xml:space="preserve"> 17:00（该时间为保证金到达我司指定账户时间,超过该时间未到账，视为未交纳投标保证金）</w:t>
            </w:r>
          </w:p>
          <w:p>
            <w:pPr>
              <w:snapToGrid w:val="0"/>
              <w:rPr>
                <w:rFonts w:ascii="仿宋" w:hAnsi="仿宋" w:eastAsia="仿宋" w:cs="仿宋"/>
                <w:b/>
                <w:bCs/>
                <w:sz w:val="24"/>
                <w:u w:val="none"/>
              </w:rPr>
            </w:pPr>
            <w:r>
              <w:rPr>
                <w:rFonts w:hint="eastAsia" w:ascii="仿宋" w:hAnsi="仿宋" w:eastAsia="仿宋" w:cs="仿宋"/>
                <w:b/>
                <w:bCs/>
                <w:sz w:val="24"/>
                <w:u w:val="none"/>
              </w:rPr>
              <w:t>开户行信息：</w:t>
            </w:r>
          </w:p>
          <w:p>
            <w:pPr>
              <w:snapToGrid w:val="0"/>
              <w:rPr>
                <w:rFonts w:ascii="仿宋" w:hAnsi="仿宋" w:eastAsia="仿宋" w:cs="仿宋"/>
                <w:b/>
                <w:bCs/>
                <w:sz w:val="24"/>
                <w:u w:val="none"/>
              </w:rPr>
            </w:pPr>
            <w:r>
              <w:rPr>
                <w:rFonts w:hint="eastAsia" w:ascii="仿宋" w:hAnsi="仿宋" w:eastAsia="仿宋" w:cs="仿宋"/>
                <w:b/>
                <w:bCs/>
                <w:sz w:val="24"/>
                <w:u w:val="none"/>
              </w:rPr>
              <w:t>单位名称：江苏柒采招标代理有限公司</w:t>
            </w:r>
          </w:p>
          <w:p>
            <w:pPr>
              <w:snapToGrid w:val="0"/>
              <w:rPr>
                <w:rFonts w:ascii="仿宋" w:hAnsi="仿宋" w:eastAsia="仿宋" w:cs="仿宋"/>
                <w:b/>
                <w:bCs/>
                <w:sz w:val="24"/>
                <w:u w:val="none"/>
              </w:rPr>
            </w:pPr>
            <w:r>
              <w:rPr>
                <w:rFonts w:hint="eastAsia" w:ascii="仿宋" w:hAnsi="仿宋" w:eastAsia="仿宋" w:cs="仿宋"/>
                <w:b/>
                <w:bCs/>
                <w:sz w:val="24"/>
                <w:u w:val="none"/>
              </w:rPr>
              <w:t>开 户 行：南京银行黄山路支行</w:t>
            </w:r>
          </w:p>
          <w:p>
            <w:pPr>
              <w:snapToGrid w:val="0"/>
              <w:rPr>
                <w:rFonts w:ascii="仿宋" w:hAnsi="仿宋" w:eastAsia="仿宋" w:cs="仿宋"/>
                <w:b/>
                <w:bCs/>
                <w:sz w:val="24"/>
                <w:u w:val="none"/>
              </w:rPr>
            </w:pPr>
            <w:r>
              <w:rPr>
                <w:rFonts w:hint="eastAsia" w:ascii="仿宋" w:hAnsi="仿宋" w:eastAsia="仿宋" w:cs="仿宋"/>
                <w:b/>
                <w:bCs/>
                <w:sz w:val="24"/>
                <w:u w:val="none"/>
              </w:rPr>
              <w:t>账    号：0165280000000518</w:t>
            </w:r>
          </w:p>
          <w:p>
            <w:pPr>
              <w:snapToGrid w:val="0"/>
              <w:rPr>
                <w:rFonts w:ascii="仿宋" w:hAnsi="仿宋" w:eastAsia="仿宋" w:cs="仿宋"/>
                <w:b/>
                <w:sz w:val="24"/>
                <w:u w:val="none"/>
              </w:rPr>
            </w:pPr>
            <w:r>
              <w:rPr>
                <w:rFonts w:hint="eastAsia" w:ascii="仿宋" w:hAnsi="仿宋" w:eastAsia="仿宋" w:cs="仿宋"/>
                <w:b/>
                <w:sz w:val="24"/>
                <w:u w:val="none"/>
              </w:rPr>
              <w:t>注：请在转账时备注“项目编号+保证金”字样。</w:t>
            </w:r>
          </w:p>
          <w:p>
            <w:pPr>
              <w:snapToGrid w:val="0"/>
              <w:rPr>
                <w:rFonts w:ascii="仿宋" w:hAnsi="仿宋" w:eastAsia="仿宋" w:cs="仿宋"/>
                <w:sz w:val="24"/>
                <w:szCs w:val="24"/>
                <w:u w:val="none"/>
              </w:rPr>
            </w:pPr>
            <w:r>
              <w:rPr>
                <w:rFonts w:hint="eastAsia" w:ascii="仿宋" w:hAnsi="仿宋" w:eastAsia="仿宋" w:cs="仿宋"/>
                <w:b/>
                <w:sz w:val="24"/>
                <w:u w:val="none"/>
              </w:rPr>
              <w:t>并在开标时，携带缴纳保证金的银行回执单。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9"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9</w:t>
            </w:r>
          </w:p>
        </w:tc>
        <w:tc>
          <w:tcPr>
            <w:tcW w:w="1665" w:type="dxa"/>
            <w:vAlign w:val="center"/>
          </w:tcPr>
          <w:p>
            <w:pPr>
              <w:jc w:val="center"/>
              <w:rPr>
                <w:rFonts w:ascii="仿宋" w:hAnsi="仿宋" w:eastAsia="仿宋" w:cs="仿宋"/>
                <w:sz w:val="24"/>
                <w:szCs w:val="24"/>
              </w:rPr>
            </w:pPr>
            <w:r>
              <w:rPr>
                <w:rFonts w:hint="eastAsia" w:ascii="仿宋" w:hAnsi="仿宋" w:eastAsia="仿宋" w:cs="仿宋"/>
                <w:sz w:val="24"/>
                <w:szCs w:val="24"/>
              </w:rPr>
              <w:t>投标人提出问题的截止时间</w:t>
            </w:r>
          </w:p>
        </w:tc>
        <w:tc>
          <w:tcPr>
            <w:tcW w:w="5796" w:type="dxa"/>
            <w:vAlign w:val="center"/>
          </w:tcPr>
          <w:p>
            <w:pPr>
              <w:snapToGrid w:val="0"/>
              <w:rPr>
                <w:rFonts w:hint="eastAsia" w:ascii="仿宋" w:hAnsi="仿宋" w:eastAsia="仿宋" w:cs="仿宋"/>
                <w:sz w:val="24"/>
                <w:szCs w:val="24"/>
              </w:rPr>
            </w:pPr>
            <w:r>
              <w:rPr>
                <w:rFonts w:hint="eastAsia" w:ascii="仿宋" w:hAnsi="仿宋" w:eastAsia="仿宋" w:cs="仿宋"/>
                <w:sz w:val="24"/>
                <w:szCs w:val="24"/>
              </w:rPr>
              <w:t>获取采购文件或者采购文件公告期限届满之日起7个工作日内。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9"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10</w:t>
            </w:r>
          </w:p>
        </w:tc>
        <w:tc>
          <w:tcPr>
            <w:tcW w:w="1665"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招标人书面澄清的时间</w:t>
            </w:r>
          </w:p>
        </w:tc>
        <w:tc>
          <w:tcPr>
            <w:tcW w:w="5796" w:type="dxa"/>
            <w:vAlign w:val="center"/>
          </w:tcPr>
          <w:p>
            <w:pPr>
              <w:spacing w:line="324" w:lineRule="auto"/>
              <w:rPr>
                <w:rFonts w:ascii="仿宋" w:hAnsi="仿宋" w:eastAsia="仿宋" w:cs="仿宋"/>
                <w:sz w:val="24"/>
                <w:szCs w:val="24"/>
              </w:rPr>
            </w:pPr>
            <w:r>
              <w:rPr>
                <w:rFonts w:hint="eastAsia" w:ascii="仿宋" w:hAnsi="仿宋" w:eastAsia="仿宋" w:cs="仿宋"/>
                <w:sz w:val="24"/>
                <w:szCs w:val="24"/>
                <w:u w:val="single"/>
              </w:rPr>
              <w:t>2018</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12</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18</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979"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11</w:t>
            </w:r>
          </w:p>
        </w:tc>
        <w:tc>
          <w:tcPr>
            <w:tcW w:w="1665"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投标响应文件接收</w:t>
            </w:r>
          </w:p>
        </w:tc>
        <w:tc>
          <w:tcPr>
            <w:tcW w:w="5796" w:type="dxa"/>
            <w:vAlign w:val="center"/>
          </w:tcPr>
          <w:p>
            <w:pPr>
              <w:snapToGrid w:val="0"/>
              <w:rPr>
                <w:rFonts w:ascii="仿宋" w:hAnsi="仿宋" w:eastAsia="仿宋" w:cs="仿宋"/>
                <w:sz w:val="24"/>
                <w:szCs w:val="24"/>
                <w:lang w:val="en-US"/>
              </w:rPr>
            </w:pPr>
            <w:r>
              <w:rPr>
                <w:rFonts w:hint="eastAsia" w:ascii="仿宋" w:hAnsi="仿宋" w:eastAsia="仿宋" w:cs="仿宋"/>
                <w:sz w:val="24"/>
                <w:szCs w:val="24"/>
              </w:rPr>
              <w:t>接收投标文件时间：</w:t>
            </w:r>
            <w:r>
              <w:rPr>
                <w:rFonts w:hint="eastAsia" w:ascii="仿宋" w:hAnsi="仿宋" w:eastAsia="仿宋" w:cs="仿宋"/>
                <w:sz w:val="24"/>
                <w:szCs w:val="24"/>
                <w:u w:val="single"/>
              </w:rPr>
              <w:t>2018</w:t>
            </w:r>
            <w:r>
              <w:rPr>
                <w:rFonts w:hint="eastAsia" w:ascii="仿宋" w:hAnsi="仿宋" w:eastAsia="仿宋" w:cs="仿宋"/>
                <w:sz w:val="24"/>
                <w:szCs w:val="24"/>
              </w:rPr>
              <w:t>年</w:t>
            </w:r>
            <w:r>
              <w:rPr>
                <w:rFonts w:hint="eastAsia" w:ascii="仿宋" w:hAnsi="仿宋" w:eastAsia="仿宋" w:cs="仿宋"/>
                <w:sz w:val="24"/>
                <w:szCs w:val="24"/>
                <w:highlight w:val="none"/>
                <w:u w:val="single"/>
                <w:lang w:val="en-US" w:eastAsia="zh-CN"/>
              </w:rPr>
              <w:t>12</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lang w:val="en-US" w:eastAsia="zh-CN"/>
              </w:rPr>
              <w:t>24</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09:00-09:30</w:t>
            </w:r>
          </w:p>
          <w:p>
            <w:pPr>
              <w:snapToGrid w:val="0"/>
              <w:rPr>
                <w:rFonts w:ascii="仿宋" w:hAnsi="仿宋" w:eastAsia="仿宋" w:cs="仿宋"/>
                <w:sz w:val="24"/>
                <w:szCs w:val="24"/>
              </w:rPr>
            </w:pPr>
            <w:r>
              <w:rPr>
                <w:rFonts w:hint="eastAsia" w:ascii="仿宋" w:hAnsi="仿宋" w:eastAsia="仿宋" w:cs="仿宋"/>
                <w:sz w:val="24"/>
                <w:szCs w:val="24"/>
              </w:rPr>
              <w:t>接收地点：江苏柒采招标代理有限公司(南京市建邺区应天大街772号1栋705)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9"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12</w:t>
            </w:r>
          </w:p>
        </w:tc>
        <w:tc>
          <w:tcPr>
            <w:tcW w:w="1665"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投标响应文件数量</w:t>
            </w:r>
          </w:p>
        </w:tc>
        <w:tc>
          <w:tcPr>
            <w:tcW w:w="5796" w:type="dxa"/>
            <w:vAlign w:val="center"/>
          </w:tcPr>
          <w:p>
            <w:pPr>
              <w:snapToGrid w:val="0"/>
              <w:rPr>
                <w:rFonts w:ascii="仿宋" w:hAnsi="仿宋" w:eastAsia="仿宋" w:cs="仿宋"/>
                <w:sz w:val="24"/>
                <w:szCs w:val="24"/>
              </w:rPr>
            </w:pPr>
            <w:r>
              <w:rPr>
                <w:rFonts w:hint="eastAsia" w:ascii="仿宋" w:hAnsi="仿宋" w:eastAsia="仿宋" w:cs="仿宋"/>
                <w:sz w:val="24"/>
                <w:szCs w:val="24"/>
              </w:rPr>
              <w:t>正本份数：1份</w:t>
            </w:r>
          </w:p>
          <w:p>
            <w:pPr>
              <w:snapToGrid w:val="0"/>
              <w:rPr>
                <w:rFonts w:ascii="仿宋" w:hAnsi="仿宋" w:eastAsia="仿宋" w:cs="仿宋"/>
                <w:sz w:val="24"/>
                <w:szCs w:val="24"/>
              </w:rPr>
            </w:pPr>
            <w:r>
              <w:rPr>
                <w:rFonts w:hint="eastAsia" w:ascii="仿宋" w:hAnsi="仿宋" w:eastAsia="仿宋" w:cs="仿宋"/>
                <w:sz w:val="24"/>
                <w:szCs w:val="24"/>
              </w:rPr>
              <w:t>副本份数：2份</w:t>
            </w:r>
          </w:p>
          <w:p>
            <w:pPr>
              <w:spacing w:line="324" w:lineRule="auto"/>
              <w:rPr>
                <w:rFonts w:ascii="仿宋" w:hAnsi="仿宋" w:eastAsia="仿宋" w:cs="仿宋"/>
                <w:sz w:val="24"/>
                <w:szCs w:val="24"/>
              </w:rPr>
            </w:pPr>
            <w:r>
              <w:rPr>
                <w:rFonts w:hint="eastAsia" w:ascii="仿宋" w:hAnsi="仿宋" w:eastAsia="仿宋" w:cs="仿宋"/>
                <w:sz w:val="24"/>
                <w:szCs w:val="24"/>
              </w:rPr>
              <w:t>电子份数（Word&amp;PDF）：1份</w:t>
            </w:r>
            <w:r>
              <w:rPr>
                <w:rFonts w:hint="eastAsia" w:ascii="仿宋" w:hAnsi="仿宋" w:eastAsia="仿宋" w:cs="仿宋"/>
                <w:color w:val="auto"/>
                <w:sz w:val="24"/>
                <w:szCs w:val="24"/>
              </w:rPr>
              <w:t>（</w:t>
            </w:r>
            <w:r>
              <w:rPr>
                <w:rFonts w:ascii="仿宋" w:hAnsi="仿宋" w:eastAsia="仿宋" w:cs="仿宋"/>
                <w:color w:val="auto"/>
                <w:sz w:val="24"/>
                <w:szCs w:val="24"/>
              </w:rPr>
              <w:t>U</w:t>
            </w:r>
            <w:r>
              <w:rPr>
                <w:rFonts w:hint="eastAsia" w:ascii="仿宋" w:hAnsi="仿宋" w:eastAsia="仿宋" w:cs="仿宋"/>
                <w:color w:val="auto"/>
                <w:sz w:val="24"/>
                <w:szCs w:val="24"/>
              </w:rPr>
              <w:t>盘形式单独封装、随响应文件一并提交）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979"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13</w:t>
            </w:r>
          </w:p>
        </w:tc>
        <w:tc>
          <w:tcPr>
            <w:tcW w:w="1665"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投标响应文件启封</w:t>
            </w:r>
          </w:p>
        </w:tc>
        <w:tc>
          <w:tcPr>
            <w:tcW w:w="5796" w:type="dxa"/>
            <w:vAlign w:val="center"/>
          </w:tcPr>
          <w:p>
            <w:pPr>
              <w:snapToGrid w:val="0"/>
              <w:rPr>
                <w:rFonts w:ascii="仿宋" w:hAnsi="仿宋" w:eastAsia="仿宋" w:cs="仿宋"/>
                <w:sz w:val="24"/>
                <w:szCs w:val="24"/>
                <w:lang w:val="en-US"/>
              </w:rPr>
            </w:pPr>
            <w:r>
              <w:rPr>
                <w:rFonts w:hint="eastAsia" w:ascii="仿宋" w:hAnsi="仿宋" w:eastAsia="仿宋" w:cs="仿宋"/>
                <w:sz w:val="24"/>
                <w:szCs w:val="24"/>
              </w:rPr>
              <w:t>时间：2018年</w:t>
            </w:r>
            <w:r>
              <w:rPr>
                <w:rFonts w:hint="eastAsia" w:ascii="仿宋" w:hAnsi="仿宋" w:eastAsia="仿宋" w:cs="仿宋"/>
                <w:sz w:val="24"/>
                <w:szCs w:val="24"/>
                <w:lang w:val="en-US" w:eastAsia="zh-CN"/>
              </w:rPr>
              <w:t>12</w:t>
            </w:r>
            <w:r>
              <w:rPr>
                <w:rFonts w:hint="eastAsia" w:ascii="仿宋" w:hAnsi="仿宋" w:eastAsia="仿宋" w:cs="仿宋"/>
                <w:sz w:val="24"/>
                <w:szCs w:val="24"/>
              </w:rPr>
              <w:t>月</w:t>
            </w:r>
            <w:r>
              <w:rPr>
                <w:rFonts w:hint="eastAsia" w:ascii="仿宋" w:hAnsi="仿宋" w:eastAsia="仿宋" w:cs="仿宋"/>
                <w:sz w:val="24"/>
                <w:szCs w:val="24"/>
                <w:lang w:val="en-US" w:eastAsia="zh-CN"/>
              </w:rPr>
              <w:t>24</w:t>
            </w:r>
            <w:r>
              <w:rPr>
                <w:rFonts w:hint="eastAsia" w:ascii="仿宋" w:hAnsi="仿宋" w:eastAsia="仿宋" w:cs="仿宋"/>
                <w:sz w:val="24"/>
                <w:szCs w:val="24"/>
                <w:highlight w:val="none"/>
              </w:rPr>
              <w:t>日</w:t>
            </w:r>
            <w:r>
              <w:rPr>
                <w:rFonts w:hint="eastAsia" w:ascii="仿宋" w:hAnsi="仿宋" w:eastAsia="仿宋" w:cs="仿宋"/>
                <w:sz w:val="24"/>
                <w:szCs w:val="24"/>
                <w:lang w:val="en-US" w:eastAsia="zh-CN"/>
              </w:rPr>
              <w:t>09:30</w:t>
            </w:r>
          </w:p>
          <w:p>
            <w:pPr>
              <w:snapToGrid w:val="0"/>
              <w:rPr>
                <w:rFonts w:ascii="仿宋" w:hAnsi="仿宋" w:eastAsia="仿宋" w:cs="仿宋"/>
                <w:sz w:val="24"/>
                <w:szCs w:val="24"/>
              </w:rPr>
            </w:pPr>
            <w:r>
              <w:rPr>
                <w:rFonts w:hint="eastAsia" w:ascii="仿宋" w:hAnsi="仿宋" w:eastAsia="仿宋" w:cs="仿宋"/>
                <w:sz w:val="24"/>
                <w:szCs w:val="24"/>
              </w:rPr>
              <w:t>地点：江苏柒采招标代理有限公司(南京市建邺区应天大街772号1栋705)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979"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14</w:t>
            </w:r>
          </w:p>
        </w:tc>
        <w:tc>
          <w:tcPr>
            <w:tcW w:w="1665"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投标响应文件有效期</w:t>
            </w:r>
          </w:p>
        </w:tc>
        <w:tc>
          <w:tcPr>
            <w:tcW w:w="5796" w:type="dxa"/>
            <w:vAlign w:val="center"/>
          </w:tcPr>
          <w:p>
            <w:pPr>
              <w:snapToGrid w:val="0"/>
              <w:rPr>
                <w:rFonts w:hint="eastAsia" w:ascii="仿宋" w:hAnsi="仿宋" w:eastAsia="仿宋" w:cs="仿宋"/>
                <w:sz w:val="24"/>
                <w:szCs w:val="24"/>
              </w:rPr>
            </w:pPr>
            <w:r>
              <w:rPr>
                <w:rFonts w:hint="eastAsia" w:ascii="仿宋" w:hAnsi="仿宋" w:eastAsia="仿宋" w:cs="仿宋"/>
                <w:sz w:val="24"/>
                <w:szCs w:val="24"/>
              </w:rPr>
              <w:t>响应截止时间后六十天</w:t>
            </w:r>
          </w:p>
        </w:tc>
      </w:tr>
    </w:tbl>
    <w:p>
      <w:pPr>
        <w:snapToGrid w:val="0"/>
        <w:spacing w:line="360" w:lineRule="auto"/>
        <w:rPr>
          <w:rFonts w:hint="eastAsia" w:ascii="黑体" w:hAnsi="黑体" w:eastAsia="黑体" w:cs="黑体"/>
          <w:sz w:val="24"/>
          <w:szCs w:val="24"/>
        </w:rPr>
      </w:pPr>
      <w:r>
        <w:rPr>
          <w:rFonts w:hint="eastAsia" w:ascii="黑体" w:hAnsi="黑体" w:eastAsia="黑体" w:cs="黑体"/>
          <w:sz w:val="24"/>
          <w:szCs w:val="24"/>
        </w:rPr>
        <w:t>二、合格投标供应商资格要求</w:t>
      </w:r>
    </w:p>
    <w:p>
      <w:pPr>
        <w:snapToGrid w:val="0"/>
        <w:spacing w:line="360" w:lineRule="auto"/>
        <w:ind w:firstLine="361" w:firstLineChars="150"/>
        <w:rPr>
          <w:rFonts w:ascii="仿宋" w:hAnsi="仿宋" w:eastAsia="仿宋" w:cs="仿宋"/>
          <w:sz w:val="24"/>
          <w:szCs w:val="24"/>
        </w:rPr>
      </w:pPr>
      <w:r>
        <w:rPr>
          <w:rFonts w:hint="eastAsia" w:ascii="仿宋" w:hAnsi="仿宋" w:eastAsia="仿宋" w:cs="仿宋"/>
          <w:b/>
          <w:bCs/>
          <w:sz w:val="24"/>
          <w:szCs w:val="24"/>
        </w:rPr>
        <w:t>（一）符合政府采购法第二十二条第一款规定的条件，并提供下列材料；</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1、法人或者其他组织的</w:t>
      </w:r>
      <w:r>
        <w:rPr>
          <w:rFonts w:hint="eastAsia" w:ascii="仿宋" w:hAnsi="仿宋" w:eastAsia="仿宋" w:cs="仿宋"/>
          <w:b/>
          <w:bCs/>
          <w:i/>
          <w:iCs/>
          <w:sz w:val="24"/>
          <w:szCs w:val="24"/>
          <w:u w:val="single"/>
        </w:rPr>
        <w:t>营业执照</w:t>
      </w:r>
      <w:r>
        <w:rPr>
          <w:rFonts w:hint="eastAsia" w:ascii="仿宋" w:hAnsi="仿宋" w:eastAsia="仿宋" w:cs="仿宋"/>
          <w:sz w:val="24"/>
          <w:szCs w:val="24"/>
        </w:rPr>
        <w:t>等证明文件，自然人的身份证明；</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2、具有良好的商业信誉和健全的财务会计制度，提供</w:t>
      </w:r>
      <w:r>
        <w:rPr>
          <w:rFonts w:hint="eastAsia" w:ascii="仿宋" w:hAnsi="仿宋" w:eastAsia="仿宋" w:cs="仿宋"/>
          <w:b/>
          <w:bCs/>
          <w:i/>
          <w:iCs/>
          <w:sz w:val="24"/>
          <w:szCs w:val="24"/>
          <w:u w:val="single"/>
        </w:rPr>
        <w:t>上一年度的财务状况报告</w:t>
      </w:r>
      <w:r>
        <w:rPr>
          <w:rFonts w:hint="eastAsia" w:ascii="仿宋" w:hAnsi="仿宋" w:eastAsia="仿宋" w:cs="仿宋"/>
          <w:sz w:val="24"/>
          <w:szCs w:val="24"/>
        </w:rPr>
        <w:t>（成立不满一年不需提供）；</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3、有依法缴纳税收和社会保障资金的良好记录，提供参加本次政府采购活动近六个月（至少一个月）</w:t>
      </w:r>
      <w:r>
        <w:rPr>
          <w:rFonts w:hint="eastAsia" w:ascii="仿宋" w:hAnsi="仿宋" w:eastAsia="仿宋" w:cs="仿宋"/>
          <w:b/>
          <w:bCs/>
          <w:i/>
          <w:iCs/>
          <w:sz w:val="24"/>
          <w:szCs w:val="24"/>
          <w:u w:val="single"/>
        </w:rPr>
        <w:t>依法缴纳税收和社会保障资金的相关材料</w:t>
      </w:r>
      <w:r>
        <w:rPr>
          <w:rFonts w:hint="eastAsia" w:ascii="仿宋" w:hAnsi="仿宋" w:eastAsia="仿宋" w:cs="仿宋"/>
          <w:sz w:val="24"/>
          <w:szCs w:val="24"/>
        </w:rPr>
        <w:t>（根据国家相关政策免缴或迟缴的需提供相关证明材料）；</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4、具有履行合同所必需的设备和专业技术能力（根据项目需求提供履行合同所必需的设备和专业技术能力的</w:t>
      </w:r>
      <w:r>
        <w:rPr>
          <w:rFonts w:hint="eastAsia" w:ascii="仿宋" w:hAnsi="仿宋" w:eastAsia="仿宋" w:cs="仿宋"/>
          <w:b/>
          <w:bCs/>
          <w:i/>
          <w:iCs/>
          <w:sz w:val="24"/>
          <w:szCs w:val="24"/>
          <w:u w:val="single"/>
        </w:rPr>
        <w:t>声明或证明材料</w:t>
      </w:r>
      <w:r>
        <w:rPr>
          <w:rFonts w:hint="eastAsia" w:ascii="仿宋" w:hAnsi="仿宋" w:eastAsia="仿宋" w:cs="仿宋"/>
          <w:sz w:val="24"/>
          <w:szCs w:val="24"/>
        </w:rPr>
        <w:t xml:space="preserve">）； </w:t>
      </w:r>
    </w:p>
    <w:p>
      <w:pPr>
        <w:snapToGrid w:val="0"/>
        <w:spacing w:line="360" w:lineRule="auto"/>
        <w:ind w:firstLine="480"/>
        <w:rPr>
          <w:rFonts w:hint="eastAsia" w:ascii="仿宋" w:hAnsi="仿宋" w:eastAsia="仿宋" w:cs="仿宋"/>
          <w:b/>
          <w:bCs/>
          <w:i/>
          <w:iCs/>
          <w:sz w:val="24"/>
          <w:szCs w:val="24"/>
          <w:u w:val="single"/>
        </w:rPr>
      </w:pPr>
      <w:r>
        <w:rPr>
          <w:rFonts w:hint="eastAsia" w:ascii="仿宋" w:hAnsi="仿宋" w:eastAsia="仿宋" w:cs="仿宋"/>
          <w:sz w:val="24"/>
          <w:szCs w:val="24"/>
        </w:rPr>
        <w:t>5、参加政府采购活动前3年内在经营活动中没有重大违法记录的</w:t>
      </w:r>
      <w:r>
        <w:rPr>
          <w:rFonts w:hint="eastAsia" w:ascii="仿宋" w:hAnsi="仿宋" w:eastAsia="仿宋" w:cs="仿宋"/>
          <w:b/>
          <w:bCs/>
          <w:i/>
          <w:iCs/>
          <w:sz w:val="24"/>
          <w:szCs w:val="24"/>
          <w:u w:val="single"/>
        </w:rPr>
        <w:t>书面声明</w:t>
      </w:r>
      <w:r>
        <w:rPr>
          <w:rFonts w:hint="eastAsia" w:ascii="仿宋" w:hAnsi="仿宋" w:eastAsia="仿宋" w:cs="仿宋"/>
          <w:sz w:val="24"/>
          <w:szCs w:val="24"/>
        </w:rPr>
        <w:t>；</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6、具备法律、行政法规规定的其他条件的证明材料。</w:t>
      </w:r>
    </w:p>
    <w:p>
      <w:pPr>
        <w:snapToGrid w:val="0"/>
        <w:spacing w:line="360" w:lineRule="auto"/>
        <w:ind w:firstLine="480"/>
        <w:rPr>
          <w:rFonts w:ascii="仿宋" w:hAnsi="仿宋" w:eastAsia="仿宋" w:cs="仿宋"/>
          <w:b/>
          <w:bCs/>
          <w:sz w:val="24"/>
          <w:szCs w:val="24"/>
        </w:rPr>
      </w:pPr>
      <w:r>
        <w:rPr>
          <w:rFonts w:hint="eastAsia" w:ascii="仿宋" w:hAnsi="仿宋" w:eastAsia="仿宋" w:cs="仿宋"/>
          <w:b/>
          <w:bCs/>
          <w:sz w:val="24"/>
          <w:szCs w:val="24"/>
        </w:rPr>
        <w:t>（二）其他资格条件：无。</w:t>
      </w:r>
    </w:p>
    <w:p>
      <w:pPr>
        <w:snapToGrid w:val="0"/>
        <w:spacing w:line="360" w:lineRule="auto"/>
        <w:ind w:firstLine="480"/>
        <w:rPr>
          <w:rFonts w:ascii="仿宋" w:hAnsi="仿宋" w:eastAsia="仿宋" w:cs="仿宋"/>
          <w:b/>
          <w:bCs/>
          <w:sz w:val="24"/>
        </w:rPr>
      </w:pPr>
      <w:r>
        <w:rPr>
          <w:rFonts w:hint="eastAsia" w:ascii="仿宋" w:hAnsi="仿宋" w:eastAsia="仿宋" w:cs="仿宋"/>
          <w:b/>
          <w:bCs/>
          <w:sz w:val="24"/>
        </w:rPr>
        <w:t>（三）本项目不接受联合体参与投标。</w:t>
      </w:r>
    </w:p>
    <w:p>
      <w:pPr>
        <w:snapToGrid w:val="0"/>
        <w:spacing w:line="360" w:lineRule="auto"/>
        <w:ind w:firstLine="480"/>
        <w:rPr>
          <w:rFonts w:ascii="仿宋" w:hAnsi="仿宋" w:eastAsia="仿宋" w:cs="仿宋"/>
          <w:b/>
          <w:bCs/>
          <w:sz w:val="24"/>
        </w:rPr>
      </w:pPr>
      <w:r>
        <w:rPr>
          <w:rFonts w:hint="eastAsia" w:ascii="仿宋" w:hAnsi="仿宋" w:eastAsia="仿宋" w:cs="仿宋"/>
          <w:b/>
          <w:bCs/>
          <w:sz w:val="24"/>
        </w:rPr>
        <w:t>（四）拒绝下述供应商参加本次采购活动：</w:t>
      </w:r>
    </w:p>
    <w:p>
      <w:pPr>
        <w:snapToGrid w:val="0"/>
        <w:spacing w:line="360" w:lineRule="auto"/>
        <w:ind w:firstLine="480"/>
        <w:rPr>
          <w:rFonts w:ascii="仿宋" w:hAnsi="仿宋" w:eastAsia="仿宋" w:cs="仿宋"/>
          <w:sz w:val="24"/>
        </w:rPr>
      </w:pPr>
      <w:r>
        <w:rPr>
          <w:rFonts w:hint="eastAsia" w:ascii="仿宋" w:hAnsi="仿宋" w:eastAsia="仿宋" w:cs="仿宋"/>
          <w:sz w:val="24"/>
        </w:rPr>
        <w:t>1、供应商单位负责人为同一人或者存在直接控股、管理关系的不同供应商，不得参加同一合同项下的政府采购活动。</w:t>
      </w:r>
    </w:p>
    <w:p>
      <w:pPr>
        <w:snapToGrid w:val="0"/>
        <w:spacing w:line="360" w:lineRule="auto"/>
        <w:ind w:firstLine="480"/>
        <w:rPr>
          <w:rFonts w:ascii="仿宋" w:hAnsi="仿宋" w:eastAsia="仿宋" w:cs="仿宋"/>
          <w:sz w:val="24"/>
          <w:szCs w:val="24"/>
        </w:rPr>
      </w:pPr>
      <w:r>
        <w:rPr>
          <w:rFonts w:hint="eastAsia" w:ascii="仿宋" w:hAnsi="仿宋" w:eastAsia="仿宋" w:cs="仿宋"/>
          <w:sz w:val="24"/>
        </w:rPr>
        <w:t>2、供应商被“信用中国”网站（www.creditchina.gov.cn）、“中国政府采购网"(www.ccgp.gov.cn)列入失信被执行人、重大税收违法案件当事人名单、政府采购严重违法失信行为记录名单。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黑体" w:hAnsi="黑体" w:eastAsia="黑体" w:cs="黑体"/>
          <w:sz w:val="24"/>
          <w:szCs w:val="24"/>
        </w:rPr>
      </w:pPr>
      <w:bookmarkStart w:id="8" w:name="_Toc6126"/>
      <w:r>
        <w:rPr>
          <w:rFonts w:hint="eastAsia" w:ascii="黑体" w:hAnsi="黑体" w:eastAsia="黑体" w:cs="黑体"/>
          <w:sz w:val="24"/>
          <w:szCs w:val="24"/>
        </w:rPr>
        <w:t>三、磋商文件发布信息及报名要求</w:t>
      </w:r>
      <w:bookmarkEnd w:id="8"/>
    </w:p>
    <w:p>
      <w:pPr>
        <w:snapToGrid w:val="0"/>
        <w:spacing w:line="360" w:lineRule="auto"/>
        <w:ind w:firstLine="480"/>
        <w:rPr>
          <w:rFonts w:hint="eastAsia" w:ascii="仿宋" w:hAnsi="仿宋" w:eastAsia="仿宋" w:cs="仿宋"/>
          <w:sz w:val="24"/>
        </w:rPr>
      </w:pPr>
      <w:r>
        <w:rPr>
          <w:rFonts w:hint="eastAsia" w:ascii="仿宋" w:hAnsi="仿宋" w:eastAsia="仿宋" w:cs="仿宋"/>
          <w:sz w:val="24"/>
        </w:rPr>
        <w:t>磋商文件提供及公告期限：自磋商公告在“</w:t>
      </w:r>
      <w:r>
        <w:rPr>
          <w:rFonts w:hint="eastAsia" w:ascii="仿宋" w:hAnsi="仿宋" w:eastAsia="仿宋" w:cs="仿宋"/>
          <w:sz w:val="24"/>
          <w:lang w:eastAsia="zh-CN"/>
        </w:rPr>
        <w:t>江苏政府采购网</w:t>
      </w:r>
      <w:r>
        <w:rPr>
          <w:rFonts w:hint="eastAsia" w:ascii="仿宋" w:hAnsi="仿宋" w:eastAsia="仿宋" w:cs="仿宋"/>
          <w:sz w:val="24"/>
        </w:rPr>
        <w:t>”发布之日起5天。供应商如确定参加投标，须前来我公司购买磋商文件并报名，否则投标无效。</w:t>
      </w:r>
    </w:p>
    <w:p>
      <w:pPr>
        <w:snapToGrid w:val="0"/>
        <w:spacing w:line="360" w:lineRule="auto"/>
        <w:ind w:firstLine="480"/>
        <w:rPr>
          <w:rFonts w:hint="eastAsia" w:ascii="仿宋" w:hAnsi="仿宋" w:eastAsia="仿宋" w:cs="仿宋"/>
          <w:sz w:val="24"/>
        </w:rPr>
      </w:pPr>
      <w:r>
        <w:rPr>
          <w:rFonts w:hint="eastAsia" w:ascii="仿宋" w:hAnsi="仿宋" w:eastAsia="仿宋" w:cs="仿宋"/>
          <w:sz w:val="24"/>
        </w:rPr>
        <w:t>招标文件出售时间：即日起至</w:t>
      </w:r>
      <w:r>
        <w:rPr>
          <w:rFonts w:hint="eastAsia" w:ascii="仿宋" w:hAnsi="仿宋" w:eastAsia="仿宋" w:cs="仿宋"/>
          <w:color w:val="auto"/>
          <w:sz w:val="24"/>
        </w:rPr>
        <w:t>2018年</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rPr>
        <w:t>月</w:t>
      </w:r>
      <w:r>
        <w:rPr>
          <w:rFonts w:hint="eastAsia" w:ascii="仿宋" w:hAnsi="仿宋" w:eastAsia="仿宋" w:cs="仿宋"/>
          <w:color w:val="auto"/>
          <w:sz w:val="24"/>
          <w:u w:val="single"/>
          <w:lang w:val="en-US" w:eastAsia="zh-CN"/>
        </w:rPr>
        <w:t>18</w:t>
      </w:r>
      <w:r>
        <w:rPr>
          <w:rFonts w:hint="eastAsia" w:ascii="仿宋" w:hAnsi="仿宋" w:eastAsia="仿宋" w:cs="仿宋"/>
          <w:color w:val="auto"/>
          <w:sz w:val="24"/>
        </w:rPr>
        <w:t>日</w:t>
      </w:r>
      <w:r>
        <w:rPr>
          <w:rFonts w:hint="eastAsia" w:ascii="仿宋" w:hAnsi="仿宋" w:eastAsia="仿宋" w:cs="仿宋"/>
          <w:sz w:val="24"/>
        </w:rPr>
        <w:t>每天09:30-11:30、1</w:t>
      </w:r>
      <w:r>
        <w:rPr>
          <w:rFonts w:hint="eastAsia" w:ascii="仿宋" w:hAnsi="仿宋" w:eastAsia="仿宋" w:cs="仿宋"/>
          <w:sz w:val="24"/>
          <w:lang w:val="en-US" w:eastAsia="zh-CN"/>
        </w:rPr>
        <w:t>3:30-17:30</w:t>
      </w:r>
      <w:r>
        <w:rPr>
          <w:rFonts w:hint="eastAsia" w:ascii="仿宋" w:hAnsi="仿宋" w:eastAsia="仿宋" w:cs="仿宋"/>
          <w:sz w:val="24"/>
        </w:rPr>
        <w:t>（节假日除外）</w:t>
      </w:r>
    </w:p>
    <w:p>
      <w:pPr>
        <w:snapToGrid w:val="0"/>
        <w:spacing w:line="360" w:lineRule="auto"/>
        <w:ind w:firstLine="480"/>
        <w:rPr>
          <w:rFonts w:hint="eastAsia" w:ascii="仿宋" w:hAnsi="仿宋" w:eastAsia="仿宋" w:cs="仿宋"/>
          <w:sz w:val="24"/>
        </w:rPr>
      </w:pPr>
      <w:r>
        <w:rPr>
          <w:rFonts w:hint="eastAsia" w:ascii="仿宋" w:hAnsi="仿宋" w:eastAsia="仿宋" w:cs="仿宋"/>
          <w:sz w:val="24"/>
        </w:rPr>
        <w:t>招标文件出售地点：江苏柒采招标代理有限公司(南京市建邺区应天大街772号1栋705室)</w:t>
      </w:r>
    </w:p>
    <w:p>
      <w:pPr>
        <w:snapToGrid w:val="0"/>
        <w:spacing w:line="360" w:lineRule="auto"/>
        <w:ind w:firstLine="480"/>
        <w:rPr>
          <w:rFonts w:ascii="仿宋" w:hAnsi="仿宋" w:eastAsia="仿宋" w:cs="仿宋"/>
          <w:sz w:val="24"/>
        </w:rPr>
      </w:pPr>
      <w:r>
        <w:rPr>
          <w:rFonts w:hint="eastAsia" w:ascii="仿宋" w:hAnsi="仿宋" w:eastAsia="仿宋" w:cs="仿宋"/>
          <w:sz w:val="24"/>
        </w:rPr>
        <w:t>报名需携带：营业执照副本复印件、法人授权委托书及受托人身份证复印件、</w:t>
      </w:r>
      <w:r>
        <w:rPr>
          <w:rFonts w:hint="eastAsia" w:ascii="仿宋" w:hAnsi="仿宋" w:eastAsia="仿宋" w:cs="仿宋"/>
          <w:color w:val="000000"/>
          <w:sz w:val="24"/>
          <w:szCs w:val="24"/>
        </w:rPr>
        <w:t>近六个月内任意一个月的纳税证明和缴纳社保证明复印件。</w:t>
      </w:r>
      <w:r>
        <w:rPr>
          <w:rFonts w:hint="eastAsia" w:ascii="仿宋" w:hAnsi="仿宋" w:eastAsia="仿宋" w:cs="仿宋"/>
          <w:sz w:val="24"/>
        </w:rPr>
        <w:t>磋商文件发售每本500元。</w:t>
      </w:r>
    </w:p>
    <w:p>
      <w:pPr>
        <w:adjustRightInd w:val="0"/>
        <w:snapToGrid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对项目需求部分的询问、质疑请与采购人联系；商务部分的询问、质疑由招标代理负责答复。</w:t>
      </w:r>
    </w:p>
    <w:p>
      <w:pPr>
        <w:snapToGrid w:val="0"/>
        <w:spacing w:line="360" w:lineRule="auto"/>
        <w:ind w:firstLine="482" w:firstLineChars="200"/>
        <w:rPr>
          <w:rFonts w:ascii="仿宋" w:hAnsi="仿宋" w:eastAsia="仿宋" w:cs="仿宋"/>
          <w:sz w:val="24"/>
        </w:rPr>
      </w:pPr>
      <w:r>
        <w:rPr>
          <w:rFonts w:hint="eastAsia" w:ascii="仿宋" w:hAnsi="仿宋" w:eastAsia="仿宋" w:cs="仿宋"/>
          <w:b/>
          <w:bCs/>
          <w:sz w:val="24"/>
          <w:szCs w:val="24"/>
        </w:rPr>
        <w:t>有关本次招标的事项若存在变动或修改，敬请及时关注“</w:t>
      </w:r>
      <w:r>
        <w:rPr>
          <w:rFonts w:hint="eastAsia" w:ascii="仿宋" w:hAnsi="仿宋" w:eastAsia="仿宋" w:cs="仿宋"/>
          <w:b/>
          <w:bCs/>
          <w:sz w:val="24"/>
          <w:szCs w:val="24"/>
          <w:lang w:eastAsia="zh-CN"/>
        </w:rPr>
        <w:t>江苏政府采购网</w:t>
      </w:r>
      <w:r>
        <w:rPr>
          <w:rFonts w:hint="eastAsia" w:ascii="仿宋" w:hAnsi="仿宋" w:eastAsia="仿宋" w:cs="仿宋"/>
          <w:b/>
          <w:bCs/>
          <w:sz w:val="24"/>
          <w:szCs w:val="24"/>
        </w:rPr>
        <w:t>”</w:t>
      </w:r>
      <w:r>
        <w:rPr>
          <w:rFonts w:hint="eastAsia" w:ascii="仿宋" w:hAnsi="仿宋" w:eastAsia="仿宋" w:cs="仿宋"/>
          <w:b/>
          <w:bCs/>
          <w:sz w:val="24"/>
        </w:rPr>
        <w:t xml:space="preserve"> </w:t>
      </w:r>
      <w:r>
        <w:rPr>
          <w:rFonts w:hint="eastAsia" w:ascii="仿宋" w:hAnsi="仿宋" w:eastAsia="仿宋" w:cs="仿宋"/>
          <w:b/>
          <w:bCs/>
          <w:sz w:val="24"/>
          <w:szCs w:val="24"/>
        </w:rPr>
        <w:t>发布的信息更正公告。</w:t>
      </w:r>
    </w:p>
    <w:p>
      <w:pPr>
        <w:snapToGrid w:val="0"/>
        <w:spacing w:line="360" w:lineRule="auto"/>
        <w:jc w:val="right"/>
        <w:rPr>
          <w:rFonts w:ascii="仿宋" w:hAnsi="仿宋" w:eastAsia="仿宋" w:cs="仿宋"/>
          <w:sz w:val="24"/>
        </w:rPr>
      </w:pPr>
      <w:r>
        <w:rPr>
          <w:rFonts w:hint="eastAsia" w:ascii="仿宋" w:hAnsi="仿宋" w:eastAsia="仿宋" w:cs="仿宋"/>
          <w:sz w:val="24"/>
        </w:rPr>
        <w:t>江苏柒采招标代理有限公司</w:t>
      </w:r>
    </w:p>
    <w:p>
      <w:pPr>
        <w:snapToGrid w:val="0"/>
        <w:ind w:firstLine="6240" w:firstLineChars="2600"/>
        <w:rPr>
          <w:rFonts w:ascii="宋体" w:hAnsi="宋体" w:cs="宋体"/>
          <w:szCs w:val="24"/>
        </w:rPr>
      </w:pPr>
      <w:r>
        <w:rPr>
          <w:rFonts w:hint="eastAsia" w:ascii="仿宋" w:hAnsi="仿宋" w:eastAsia="仿宋" w:cs="仿宋"/>
          <w:sz w:val="24"/>
        </w:rPr>
        <w:t>2018年</w:t>
      </w:r>
      <w:r>
        <w:rPr>
          <w:rFonts w:hint="eastAsia" w:ascii="仿宋" w:hAnsi="仿宋" w:eastAsia="仿宋" w:cs="仿宋"/>
          <w:sz w:val="24"/>
          <w:lang w:val="en-US" w:eastAsia="zh-CN"/>
        </w:rPr>
        <w:t>12</w:t>
      </w:r>
      <w:r>
        <w:rPr>
          <w:rFonts w:hint="eastAsia" w:ascii="仿宋" w:hAnsi="仿宋" w:eastAsia="仿宋" w:cs="仿宋"/>
          <w:sz w:val="24"/>
        </w:rPr>
        <w:t>月</w:t>
      </w:r>
      <w:r>
        <w:rPr>
          <w:rFonts w:hint="eastAsia" w:ascii="宋体" w:hAnsi="宋体" w:cs="宋体"/>
          <w:sz w:val="24"/>
          <w:szCs w:val="24"/>
        </w:rPr>
        <w:t xml:space="preserve">  </w:t>
      </w:r>
    </w:p>
    <w:p>
      <w:pPr>
        <w:pStyle w:val="4"/>
        <w:numPr>
          <w:ilvl w:val="0"/>
          <w:numId w:val="0"/>
        </w:numPr>
        <w:ind w:left="420" w:leftChars="200"/>
        <w:rPr>
          <w:rFonts w:ascii="宋体" w:hAnsi="宋体" w:eastAsia="宋体" w:cs="宋体"/>
        </w:rPr>
      </w:pPr>
      <w:bookmarkStart w:id="9" w:name="_Toc324237146"/>
      <w:bookmarkStart w:id="10" w:name="_Toc120614211"/>
      <w:r>
        <w:rPr>
          <w:rFonts w:hint="eastAsia" w:ascii="宋体" w:hAnsi="宋体" w:eastAsia="宋体" w:cs="宋体"/>
        </w:rPr>
        <w:br w:type="page"/>
      </w:r>
      <w:bookmarkEnd w:id="1"/>
      <w:bookmarkEnd w:id="2"/>
      <w:bookmarkEnd w:id="3"/>
      <w:bookmarkEnd w:id="4"/>
      <w:bookmarkEnd w:id="5"/>
      <w:bookmarkEnd w:id="9"/>
      <w:bookmarkEnd w:id="10"/>
      <w:bookmarkStart w:id="11" w:name="_Toc10966"/>
      <w:bookmarkStart w:id="12" w:name="_Toc5207"/>
      <w:bookmarkStart w:id="13" w:name="_Toc324237147"/>
      <w:bookmarkStart w:id="14" w:name="_Toc479757207"/>
      <w:bookmarkStart w:id="15" w:name="_Toc513029242"/>
      <w:bookmarkStart w:id="16" w:name="_Toc120614221"/>
      <w:bookmarkStart w:id="17" w:name="_Toc16938558"/>
      <w:bookmarkStart w:id="18" w:name="_Toc20823314"/>
      <w:r>
        <w:rPr>
          <w:rFonts w:hint="eastAsia" w:ascii="黑体" w:hAnsi="黑体" w:eastAsia="黑体" w:cs="黑体"/>
          <w:b/>
          <w:sz w:val="44"/>
          <w:szCs w:val="44"/>
        </w:rPr>
        <w:t>第二章  磋商须知</w:t>
      </w:r>
      <w:bookmarkEnd w:id="11"/>
      <w:bookmarkEnd w:id="12"/>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（参加竞争性磋商的供应商以下简称“磋商供应商”）</w:t>
      </w:r>
    </w:p>
    <w:p>
      <w:pPr>
        <w:pStyle w:val="5"/>
        <w:numPr>
          <w:ilvl w:val="1"/>
          <w:numId w:val="0"/>
        </w:numPr>
        <w:spacing w:before="0" w:after="0" w:line="360" w:lineRule="auto"/>
        <w:jc w:val="both"/>
        <w:rPr>
          <w:rFonts w:ascii="黑体" w:hAnsi="黑体" w:eastAsia="黑体" w:cs="黑体"/>
          <w:b w:val="0"/>
          <w:bCs w:val="0"/>
          <w:sz w:val="24"/>
          <w:szCs w:val="24"/>
        </w:rPr>
      </w:pPr>
      <w:bookmarkStart w:id="19" w:name="_Toc16318"/>
      <w:bookmarkStart w:id="20" w:name="_Toc3954"/>
      <w:bookmarkStart w:id="21" w:name="_Toc26482"/>
      <w:bookmarkStart w:id="22" w:name="_Toc1"/>
      <w:r>
        <w:rPr>
          <w:rFonts w:hint="eastAsia" w:ascii="黑体" w:hAnsi="黑体" w:eastAsia="黑体" w:cs="黑体"/>
          <w:b w:val="0"/>
          <w:bCs w:val="0"/>
          <w:sz w:val="24"/>
          <w:szCs w:val="24"/>
        </w:rPr>
        <w:t>一、总则</w:t>
      </w:r>
      <w:bookmarkEnd w:id="19"/>
      <w:bookmarkEnd w:id="20"/>
      <w:bookmarkEnd w:id="21"/>
      <w:bookmarkEnd w:id="22"/>
    </w:p>
    <w:p>
      <w:pPr>
        <w:pStyle w:val="6"/>
        <w:spacing w:before="0" w:after="0" w:line="360" w:lineRule="auto"/>
        <w:rPr>
          <w:rFonts w:ascii="仿宋" w:hAnsi="仿宋" w:eastAsia="仿宋" w:cs="仿宋"/>
          <w:sz w:val="24"/>
          <w:szCs w:val="24"/>
        </w:rPr>
      </w:pPr>
      <w:r>
        <w:rPr>
          <w:rFonts w:hint="eastAsia" w:ascii="仿宋" w:hAnsi="仿宋" w:eastAsia="仿宋" w:cs="仿宋"/>
          <w:sz w:val="24"/>
          <w:szCs w:val="24"/>
        </w:rPr>
        <w:t>1、适用范围</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1.1 本竞争性磋商文件（以下简称磋商文件）仅适用此项目。</w:t>
      </w:r>
    </w:p>
    <w:p>
      <w:pPr>
        <w:pStyle w:val="6"/>
        <w:spacing w:before="0" w:after="0" w:line="360" w:lineRule="auto"/>
        <w:rPr>
          <w:rFonts w:ascii="仿宋" w:hAnsi="仿宋" w:eastAsia="仿宋" w:cs="仿宋"/>
          <w:sz w:val="24"/>
          <w:szCs w:val="24"/>
        </w:rPr>
      </w:pPr>
      <w:r>
        <w:rPr>
          <w:rFonts w:hint="eastAsia" w:ascii="仿宋" w:hAnsi="仿宋" w:eastAsia="仿宋" w:cs="仿宋"/>
          <w:sz w:val="24"/>
          <w:szCs w:val="24"/>
        </w:rPr>
        <w:t>2、项目采购方式</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本次采购采取竞争性磋商的方式。</w:t>
      </w:r>
    </w:p>
    <w:p>
      <w:pPr>
        <w:pStyle w:val="6"/>
        <w:spacing w:before="0" w:after="0" w:line="360" w:lineRule="auto"/>
        <w:rPr>
          <w:rFonts w:ascii="仿宋" w:hAnsi="仿宋" w:eastAsia="仿宋" w:cs="仿宋"/>
          <w:sz w:val="24"/>
          <w:szCs w:val="24"/>
        </w:rPr>
      </w:pPr>
      <w:r>
        <w:rPr>
          <w:rFonts w:hint="eastAsia" w:ascii="仿宋" w:hAnsi="仿宋" w:eastAsia="仿宋" w:cs="仿宋"/>
          <w:sz w:val="24"/>
          <w:szCs w:val="24"/>
        </w:rPr>
        <w:t>3、合格的磋商供应商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3.1满足本磋商文件“磋商邀请”中合格磋商供应商资格要求的规定。</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3.2 满足本磋商文件实质性要求和条件的规定。</w:t>
      </w:r>
    </w:p>
    <w:p>
      <w:pPr>
        <w:pStyle w:val="6"/>
        <w:spacing w:before="0" w:after="0" w:line="360" w:lineRule="auto"/>
        <w:rPr>
          <w:rFonts w:ascii="仿宋" w:hAnsi="仿宋" w:eastAsia="仿宋" w:cs="仿宋"/>
          <w:sz w:val="24"/>
          <w:szCs w:val="24"/>
        </w:rPr>
      </w:pPr>
      <w:r>
        <w:rPr>
          <w:rFonts w:hint="eastAsia" w:ascii="仿宋" w:hAnsi="仿宋" w:eastAsia="仿宋" w:cs="仿宋"/>
          <w:sz w:val="24"/>
          <w:szCs w:val="24"/>
        </w:rPr>
        <w:t>4、参加磋商费用</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4.1 投标人应自行承担所有与参加投标有关的费用，无论投标过程中的做法和结果如何，江苏柒采招标代理有限公司（以下简称招标代理机构）在任何情况下均无义务和责任承担这些费用。</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4.2本次招标收取标书工本费500元/本。</w:t>
      </w:r>
    </w:p>
    <w:p>
      <w:pPr>
        <w:spacing w:line="360" w:lineRule="auto"/>
        <w:ind w:firstLine="480" w:firstLineChars="200"/>
        <w:jc w:val="left"/>
        <w:rPr>
          <w:rFonts w:hint="eastAsia" w:ascii="仿宋" w:hAnsi="仿宋" w:eastAsia="仿宋" w:cs="仿宋"/>
          <w:b/>
          <w:bCs w:val="0"/>
          <w:i/>
          <w:iCs/>
          <w:sz w:val="24"/>
          <w:szCs w:val="24"/>
          <w:u w:val="single"/>
          <w:lang w:eastAsia="zh-CN"/>
        </w:rPr>
      </w:pPr>
      <w:r>
        <w:rPr>
          <w:rFonts w:hint="eastAsia" w:ascii="仿宋" w:hAnsi="仿宋" w:eastAsia="仿宋" w:cs="仿宋"/>
          <w:bCs/>
          <w:sz w:val="24"/>
          <w:szCs w:val="24"/>
        </w:rPr>
        <w:t>4.3代理服务费：合同签订前，中标人应向招标代理机构交纳招标代理服务费。由中标人领取《中标通知书》时向招标代理机构缴纳，中标人凭《中标通知书》与采购方签订合同。</w:t>
      </w:r>
      <w:r>
        <w:rPr>
          <w:rFonts w:hint="eastAsia" w:ascii="仿宋" w:hAnsi="仿宋" w:eastAsia="仿宋" w:cs="仿宋"/>
          <w:b/>
          <w:bCs w:val="0"/>
          <w:i/>
          <w:iCs/>
          <w:sz w:val="24"/>
          <w:szCs w:val="24"/>
          <w:u w:val="single"/>
          <w:lang w:eastAsia="zh-CN"/>
        </w:rPr>
        <w:t>本项目收取招标代理服务费为人民币壹万肆仟伍佰元整。</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收费标准</w:t>
      </w:r>
      <w:r>
        <w:rPr>
          <w:rFonts w:hint="eastAsia" w:ascii="仿宋" w:hAnsi="仿宋" w:eastAsia="仿宋" w:cs="仿宋"/>
          <w:bCs/>
          <w:sz w:val="24"/>
          <w:szCs w:val="24"/>
          <w:lang w:eastAsia="zh-CN"/>
        </w:rPr>
        <w:t>参照</w:t>
      </w:r>
      <w:r>
        <w:rPr>
          <w:rFonts w:hint="eastAsia" w:ascii="仿宋" w:hAnsi="仿宋" w:eastAsia="仿宋" w:cs="仿宋"/>
          <w:bCs/>
          <w:sz w:val="24"/>
          <w:szCs w:val="24"/>
        </w:rPr>
        <w:t>国家计委颁布的《招标代理服务收费管理暂行办法》（计价格【2002】1980号）以及国家发改委办公厅发布的《国家发展改革委办公厅关于招标代理服务收费有关问题的通知》（发改办价格【2003】857号）规定，此项费用不单独开列而应计入投标价。</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开户行信息：</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单位名称：江苏柒采招标代理有限公司</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开 户 行：中国银行股份有限公司南京万达广场支行</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账    号：515769533053</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付款形式：网上银行转账或银行电汇（不接受其他形式）</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并在转账或电汇时，备注“项目编号+代理费”字样。</w:t>
      </w:r>
    </w:p>
    <w:p>
      <w:pPr>
        <w:pStyle w:val="6"/>
        <w:numPr>
          <w:ilvl w:val="0"/>
          <w:numId w:val="0"/>
        </w:numPr>
        <w:spacing w:before="0" w:after="0" w:line="360" w:lineRule="auto"/>
        <w:rPr>
          <w:rFonts w:ascii="仿宋" w:hAnsi="仿宋" w:eastAsia="仿宋" w:cs="仿宋"/>
          <w:sz w:val="24"/>
          <w:szCs w:val="24"/>
        </w:rPr>
      </w:pPr>
      <w:r>
        <w:rPr>
          <w:rFonts w:hint="eastAsia" w:ascii="仿宋" w:hAnsi="仿宋" w:eastAsia="仿宋" w:cs="仿宋"/>
          <w:sz w:val="24"/>
          <w:szCs w:val="24"/>
        </w:rPr>
        <w:t>5、磋商文件的约束力</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供应商一旦购买了磋商文件并决定参加磋商，即被认为接受了本磋商文件的规定和约束，并且视为自竞争性磋商公告期限届满之日起已经知道或应当知道自身权益是否受到了损害。</w:t>
      </w:r>
    </w:p>
    <w:p>
      <w:pPr>
        <w:pStyle w:val="6"/>
        <w:spacing w:before="0" w:after="0" w:line="360" w:lineRule="auto"/>
        <w:rPr>
          <w:rFonts w:ascii="仿宋" w:hAnsi="仿宋" w:eastAsia="仿宋" w:cs="仿宋"/>
          <w:sz w:val="24"/>
          <w:szCs w:val="24"/>
        </w:rPr>
      </w:pPr>
      <w:r>
        <w:rPr>
          <w:rFonts w:hint="eastAsia" w:ascii="仿宋" w:hAnsi="仿宋" w:eastAsia="仿宋" w:cs="仿宋"/>
          <w:sz w:val="24"/>
          <w:szCs w:val="24"/>
        </w:rPr>
        <w:t>6、</w:t>
      </w:r>
      <w:bookmarkStart w:id="23" w:name="_Toc16938527"/>
      <w:bookmarkStart w:id="24" w:name="_Toc20823283"/>
      <w:bookmarkStart w:id="25" w:name="_Toc513029211"/>
      <w:bookmarkStart w:id="26" w:name="_Toc462564070"/>
      <w:r>
        <w:rPr>
          <w:rFonts w:hint="eastAsia" w:ascii="仿宋" w:hAnsi="仿宋" w:eastAsia="仿宋" w:cs="仿宋"/>
          <w:sz w:val="24"/>
          <w:szCs w:val="24"/>
        </w:rPr>
        <w:t>磋商文件的澄清</w:t>
      </w:r>
      <w:bookmarkEnd w:id="23"/>
      <w:bookmarkEnd w:id="24"/>
      <w:bookmarkEnd w:id="25"/>
      <w:bookmarkEnd w:id="26"/>
      <w:r>
        <w:rPr>
          <w:rFonts w:hint="eastAsia" w:ascii="仿宋" w:hAnsi="仿宋" w:eastAsia="仿宋" w:cs="仿宋"/>
          <w:sz w:val="24"/>
          <w:szCs w:val="24"/>
        </w:rPr>
        <w:t>及修改</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6.1任何要求对磋商文件进行澄清的供应商，均应在提交首次响应文件截止时间5日前按采购邀请中的通讯地址，以书面形式通知招标代理机构。提交首次响应文件截止之日前，招标代理机构可以对已发出的磋商文件进行必要的澄清或者修改，澄清或者修改的内容作为磋商文件的组成部分。澄清或者修改的内容可能影响响应文件编制的，招标代理机构将在提交首次响应文件截止时间至少5日前，在中国政府采购网上发布书面更正公告形式通知所有获取磋商文件的供应商。不足5日的，招标代理机构应当顺延提交首次响应文件截止时间。</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6.2招标代理机构可以视采购项目的具体情况，组织供应商进行现场考察或召开磋商前答疑会，但不单独或分别组织只有一个供应商参加的现场考察和答疑会。</w:t>
      </w:r>
    </w:p>
    <w:p>
      <w:pPr>
        <w:pStyle w:val="5"/>
        <w:numPr>
          <w:ilvl w:val="1"/>
          <w:numId w:val="0"/>
        </w:numPr>
        <w:spacing w:before="0" w:after="0" w:line="360" w:lineRule="auto"/>
        <w:jc w:val="both"/>
        <w:rPr>
          <w:rFonts w:ascii="黑体" w:hAnsi="黑体" w:eastAsia="黑体" w:cs="黑体"/>
          <w:b w:val="0"/>
          <w:bCs w:val="0"/>
          <w:sz w:val="24"/>
          <w:szCs w:val="24"/>
        </w:rPr>
      </w:pPr>
      <w:bookmarkStart w:id="27" w:name="_Toc14577351"/>
      <w:bookmarkStart w:id="28" w:name="_Toc462564072"/>
      <w:bookmarkStart w:id="29" w:name="_Toc513029213"/>
      <w:bookmarkStart w:id="30" w:name="_Toc61149553"/>
      <w:bookmarkStart w:id="31" w:name="_Toc6435"/>
      <w:bookmarkStart w:id="32" w:name="_Toc24278"/>
      <w:bookmarkStart w:id="33" w:name="_Toc13379"/>
      <w:bookmarkStart w:id="34" w:name="_Toc27327"/>
      <w:r>
        <w:rPr>
          <w:rFonts w:hint="eastAsia" w:ascii="黑体" w:hAnsi="黑体" w:eastAsia="黑体" w:cs="黑体"/>
          <w:b w:val="0"/>
          <w:bCs w:val="0"/>
          <w:sz w:val="24"/>
          <w:szCs w:val="24"/>
        </w:rPr>
        <w:t>二、磋商响应文件的编制</w:t>
      </w:r>
      <w:bookmarkEnd w:id="27"/>
      <w:bookmarkEnd w:id="28"/>
      <w:bookmarkEnd w:id="29"/>
      <w:bookmarkEnd w:id="30"/>
      <w:r>
        <w:rPr>
          <w:rFonts w:hint="eastAsia" w:ascii="黑体" w:hAnsi="黑体" w:eastAsia="黑体" w:cs="黑体"/>
          <w:b w:val="0"/>
          <w:bCs w:val="0"/>
          <w:sz w:val="24"/>
          <w:szCs w:val="24"/>
        </w:rPr>
        <w:t>及保证金收取</w:t>
      </w:r>
      <w:bookmarkEnd w:id="31"/>
      <w:bookmarkEnd w:id="32"/>
      <w:bookmarkEnd w:id="33"/>
      <w:bookmarkEnd w:id="34"/>
    </w:p>
    <w:p>
      <w:pPr>
        <w:pStyle w:val="6"/>
        <w:spacing w:before="0" w:after="0" w:line="360" w:lineRule="auto"/>
        <w:rPr>
          <w:rFonts w:ascii="仿宋" w:hAnsi="仿宋" w:eastAsia="仿宋" w:cs="仿宋"/>
          <w:sz w:val="24"/>
          <w:szCs w:val="24"/>
        </w:rPr>
      </w:pPr>
      <w:bookmarkStart w:id="35" w:name="_Toc513029223"/>
      <w:bookmarkStart w:id="36" w:name="_Toc14577361"/>
      <w:bookmarkStart w:id="37" w:name="_Toc61149561"/>
      <w:r>
        <w:rPr>
          <w:rFonts w:hint="eastAsia" w:ascii="仿宋" w:hAnsi="仿宋" w:eastAsia="仿宋" w:cs="仿宋"/>
          <w:sz w:val="24"/>
          <w:szCs w:val="24"/>
        </w:rPr>
        <w:t>1、磋商响应文件份数和签署</w:t>
      </w:r>
      <w:bookmarkEnd w:id="35"/>
      <w:bookmarkEnd w:id="36"/>
      <w:bookmarkEnd w:id="37"/>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1.1磋商供应商应严格按照采购邀请要求准备磋商响应文件（以下简称响应文件），每份响应文件须清楚地标明“正本”或“副本”字样。</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响应文件的正本和所有的副本均需打印或复印。响应文件正本中，除磋商文件规定的可提交复印件外，其他文件均须提交原件，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1.2 除磋商供应商对错处做必要修改外，响应文件不得行间插字、涂改或增删。如有修改错漏处，必须由响应文件签署人签字或盖章。</w:t>
      </w:r>
    </w:p>
    <w:p>
      <w:pPr>
        <w:pStyle w:val="6"/>
        <w:spacing w:before="0" w:after="0" w:line="360" w:lineRule="auto"/>
        <w:rPr>
          <w:rFonts w:ascii="仿宋" w:hAnsi="仿宋" w:eastAsia="仿宋" w:cs="仿宋"/>
          <w:sz w:val="24"/>
          <w:szCs w:val="24"/>
        </w:rPr>
      </w:pPr>
      <w:bookmarkStart w:id="38" w:name="_Toc462564074"/>
      <w:bookmarkStart w:id="39" w:name="_Toc61149555"/>
      <w:bookmarkStart w:id="40" w:name="_Toc513029215"/>
      <w:bookmarkStart w:id="41" w:name="_Toc14577353"/>
      <w:bookmarkStart w:id="42" w:name="_Toc14577352"/>
      <w:bookmarkStart w:id="43" w:name="_Toc462564073"/>
      <w:bookmarkStart w:id="44" w:name="_Toc513029214"/>
      <w:bookmarkStart w:id="45" w:name="_Toc61149554"/>
      <w:r>
        <w:rPr>
          <w:rFonts w:hint="eastAsia" w:ascii="仿宋" w:hAnsi="仿宋" w:eastAsia="仿宋" w:cs="仿宋"/>
          <w:sz w:val="24"/>
          <w:szCs w:val="24"/>
        </w:rPr>
        <w:t>2、响应文件</w:t>
      </w:r>
      <w:bookmarkEnd w:id="38"/>
      <w:bookmarkEnd w:id="39"/>
      <w:bookmarkEnd w:id="40"/>
      <w:bookmarkEnd w:id="41"/>
      <w:r>
        <w:rPr>
          <w:rFonts w:hint="eastAsia" w:ascii="仿宋" w:hAnsi="仿宋" w:eastAsia="仿宋" w:cs="仿宋"/>
          <w:sz w:val="24"/>
          <w:szCs w:val="24"/>
        </w:rPr>
        <w:t>编制要求</w:t>
      </w:r>
    </w:p>
    <w:bookmarkEnd w:id="42"/>
    <w:bookmarkEnd w:id="43"/>
    <w:bookmarkEnd w:id="44"/>
    <w:bookmarkEnd w:id="45"/>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2.1磋商供应商提交的响应文件以及磋商供应商与招标代理机构及采购人就有关磋商的所有来往函电均应使用简体中文。磋商文件中既有中文也有外文的，以中文意义为准。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2.2 除技术性能另有规定外，响应文件所使用的度量衡单位，均须采用国家法定计量单位。</w:t>
      </w:r>
    </w:p>
    <w:p>
      <w:pPr>
        <w:pStyle w:val="6"/>
        <w:spacing w:before="0" w:after="0" w:line="360" w:lineRule="auto"/>
        <w:rPr>
          <w:rFonts w:ascii="仿宋" w:hAnsi="仿宋" w:eastAsia="仿宋" w:cs="仿宋"/>
          <w:sz w:val="24"/>
          <w:szCs w:val="24"/>
        </w:rPr>
      </w:pPr>
      <w:bookmarkStart w:id="46" w:name="_Toc14577357"/>
      <w:bookmarkStart w:id="47" w:name="_Toc513029219"/>
      <w:bookmarkStart w:id="48" w:name="_Toc61149558"/>
      <w:bookmarkStart w:id="49" w:name="_Toc513029217"/>
      <w:bookmarkStart w:id="50" w:name="_Toc14577355"/>
      <w:bookmarkStart w:id="51" w:name="_Toc61149557"/>
      <w:r>
        <w:rPr>
          <w:rFonts w:hint="eastAsia" w:ascii="仿宋" w:hAnsi="仿宋" w:eastAsia="仿宋" w:cs="仿宋"/>
          <w:sz w:val="24"/>
          <w:szCs w:val="24"/>
        </w:rPr>
        <w:t>3、参加磋商供应商资格的文件</w:t>
      </w:r>
      <w:bookmarkEnd w:id="46"/>
      <w:bookmarkEnd w:id="47"/>
      <w:bookmarkEnd w:id="48"/>
      <w:r>
        <w:rPr>
          <w:rFonts w:hint="eastAsia" w:ascii="仿宋" w:hAnsi="仿宋" w:eastAsia="仿宋" w:cs="仿宋"/>
          <w:sz w:val="24"/>
          <w:szCs w:val="24"/>
        </w:rPr>
        <w:t>证明</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3.1磋商供应商应提交证明其有资格参加磋商和成交后有能力独立履行合同的文件，并作为其响应文件的一部分。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3.2磋商供应商除必须具有履行合同所需提供的设备以及服务的能力外，还必须具备相应的财务、技术方面的能力。</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3.3磋商供应商应填写并提交磋商文件所附的“资格证明文件”。</w:t>
      </w:r>
    </w:p>
    <w:p>
      <w:pPr>
        <w:pStyle w:val="6"/>
        <w:spacing w:before="0" w:after="0" w:line="360" w:lineRule="auto"/>
        <w:rPr>
          <w:rFonts w:ascii="仿宋" w:hAnsi="仿宋" w:eastAsia="仿宋" w:cs="仿宋"/>
          <w:sz w:val="24"/>
          <w:szCs w:val="24"/>
        </w:rPr>
      </w:pPr>
      <w:r>
        <w:rPr>
          <w:rFonts w:hint="eastAsia" w:ascii="仿宋" w:hAnsi="仿宋" w:eastAsia="仿宋" w:cs="仿宋"/>
          <w:sz w:val="24"/>
          <w:szCs w:val="24"/>
        </w:rPr>
        <w:t>4、磋商响应报价</w:t>
      </w:r>
      <w:bookmarkEnd w:id="49"/>
      <w:bookmarkEnd w:id="50"/>
      <w:r>
        <w:rPr>
          <w:rFonts w:hint="eastAsia" w:ascii="仿宋" w:hAnsi="仿宋" w:eastAsia="仿宋" w:cs="仿宋"/>
          <w:sz w:val="24"/>
          <w:szCs w:val="24"/>
        </w:rPr>
        <w:t>表</w:t>
      </w:r>
      <w:bookmarkEnd w:id="51"/>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4.1磋商供应商应按照磋商文件规定格式填报磋商响应报价表（含分项报价）。每项产品或服务只允许有一个报价，任何有选择的报价将不予接受，磋商文件中另有规定的按规定执行。</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4.2有关费用处理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本次采购磋商供应商的报价应包括为完成本项目发生的所有费用，本磋商文件中另有规定的除外。</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4.3其它费用处理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磋商文件未列明，而磋商供应商认为必须的费用也须列入报价。</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4.4报价采用的货币</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响应文件中的单价和总价，无特殊规定的采用人民币报价，以元为单位标注。磋商文件中另有规定的按规定执行。</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4.磋商响应报价表上的价格应按磋商文件规定填写。</w:t>
      </w:r>
    </w:p>
    <w:p>
      <w:pPr>
        <w:pStyle w:val="6"/>
        <w:spacing w:before="0" w:after="0" w:line="360" w:lineRule="auto"/>
        <w:rPr>
          <w:rFonts w:ascii="仿宋" w:hAnsi="仿宋" w:eastAsia="仿宋" w:cs="仿宋"/>
          <w:sz w:val="24"/>
          <w:szCs w:val="24"/>
        </w:rPr>
      </w:pPr>
      <w:bookmarkStart w:id="52" w:name="_Toc14577359"/>
      <w:bookmarkStart w:id="53" w:name="_Toc513029221"/>
      <w:bookmarkStart w:id="54" w:name="_Toc61149559"/>
      <w:r>
        <w:rPr>
          <w:rFonts w:hint="eastAsia" w:ascii="仿宋" w:hAnsi="仿宋" w:eastAsia="仿宋" w:cs="仿宋"/>
          <w:sz w:val="24"/>
          <w:szCs w:val="24"/>
        </w:rPr>
        <w:t>5、项目需求响应方案</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5.1提供为完成本项目的总体实施方案。</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5.2对磋商文件中项目需求的技术与商务条款要求逐项作出应答，并提供依据或说明。</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5.3磋商供应商认为需要的其他技术文件或说明。</w:t>
      </w:r>
    </w:p>
    <w:p>
      <w:pPr>
        <w:pStyle w:val="6"/>
        <w:spacing w:before="0" w:after="0" w:line="360" w:lineRule="auto"/>
        <w:rPr>
          <w:rFonts w:ascii="仿宋" w:hAnsi="仿宋" w:eastAsia="仿宋" w:cs="仿宋"/>
          <w:sz w:val="24"/>
          <w:szCs w:val="24"/>
        </w:rPr>
      </w:pPr>
      <w:r>
        <w:rPr>
          <w:rFonts w:hint="eastAsia" w:ascii="仿宋" w:hAnsi="仿宋" w:eastAsia="仿宋" w:cs="仿宋"/>
          <w:sz w:val="24"/>
          <w:szCs w:val="24"/>
        </w:rPr>
        <w:t>6、磋商保证金</w:t>
      </w:r>
      <w:bookmarkEnd w:id="52"/>
      <w:bookmarkEnd w:id="53"/>
      <w:bookmarkEnd w:id="54"/>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6.1磋商保证金是为了保护采购人免遭因磋商供应商的行为而蒙受的损失，采购人因磋商供应商的行为受到损害时，招标代理机构可根据相关规定处理。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6.2参加磋商采购所需交纳的保证金必须是人民币，磋商保证金的交纳形式见采购邀请。</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6.3在磋商时，对在响应文件递交截止时间以前未按磋商文件要求提交磋商保证金的响应文件，招标代理机构将视其为无效响应文件而予以拒绝。</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6.4未成交供应商的磋商保证金，将在按招标代理机构规定的磋商有效期或在经磋商供应商同意延长的磋商有效期期满后五天内自行处理退还手续，不计利息。</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6.5成交候选供应商的磋商保证金，如转为履约保证金的，在履约结束后予以退还，不计利息。</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6.6下列任何情况发生时，磋商保证金不予退还：</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（1）磋商供应商在磋商响应有效期内无正当理由撤回其响应文件或者在磋商过程中无正当理由退出磋商活动（磋商供应商在提交最后报价之前退出磋商的除外）；</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（2）为谋取最终成交，磋商供应商在整个磋商过程中提供的相关文件被确认是虚假的、不真实的；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（3）参加磋商的供应商之间被证实有串通、欺诈行为或者恶意进行竞争，影响采购人合法权益的；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（4）整个采购活动中采取不正当手段诋毁、排挤其他供应商的；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（5）与采购人、招标代理机构相关工作人员恶意串通的；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（6）向采购人、招标代理机构相关工作人员行贿或者提供其他不正当利益的；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（7）成交供应商在规定期限内未能根据规定签订合同；</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（8）成交供应商在规定期限内未能根据规定交纳履约保证金。</w:t>
      </w:r>
    </w:p>
    <w:p>
      <w:pPr>
        <w:pStyle w:val="5"/>
        <w:numPr>
          <w:ilvl w:val="1"/>
          <w:numId w:val="0"/>
        </w:numPr>
        <w:spacing w:before="0" w:after="0" w:line="360" w:lineRule="auto"/>
        <w:jc w:val="both"/>
        <w:rPr>
          <w:rFonts w:ascii="黑体" w:hAnsi="黑体" w:eastAsia="黑体" w:cs="黑体"/>
          <w:b w:val="0"/>
          <w:bCs w:val="0"/>
          <w:sz w:val="24"/>
          <w:szCs w:val="24"/>
        </w:rPr>
      </w:pPr>
      <w:bookmarkStart w:id="55" w:name="_Toc61149562"/>
      <w:bookmarkStart w:id="56" w:name="_Toc13412"/>
      <w:bookmarkStart w:id="57" w:name="_Toc14577362"/>
      <w:bookmarkStart w:id="58" w:name="_Toc513029224"/>
      <w:bookmarkStart w:id="59" w:name="_Toc27444"/>
      <w:bookmarkStart w:id="60" w:name="_Toc28294"/>
      <w:bookmarkStart w:id="61" w:name="_Toc16453"/>
      <w:r>
        <w:rPr>
          <w:rFonts w:hint="eastAsia" w:ascii="黑体" w:hAnsi="黑体" w:eastAsia="黑体" w:cs="黑体"/>
          <w:b w:val="0"/>
          <w:bCs w:val="0"/>
          <w:sz w:val="24"/>
          <w:szCs w:val="24"/>
        </w:rPr>
        <w:t>三、响应文件的递交</w:t>
      </w:r>
      <w:bookmarkEnd w:id="55"/>
      <w:bookmarkEnd w:id="56"/>
      <w:bookmarkEnd w:id="57"/>
      <w:bookmarkEnd w:id="58"/>
      <w:bookmarkEnd w:id="59"/>
      <w:bookmarkEnd w:id="60"/>
      <w:bookmarkEnd w:id="61"/>
    </w:p>
    <w:p>
      <w:pPr>
        <w:pStyle w:val="6"/>
        <w:spacing w:before="0" w:after="0" w:line="360" w:lineRule="auto"/>
        <w:rPr>
          <w:rFonts w:ascii="仿宋" w:hAnsi="仿宋" w:eastAsia="仿宋" w:cs="仿宋"/>
          <w:sz w:val="24"/>
          <w:szCs w:val="24"/>
        </w:rPr>
      </w:pPr>
      <w:bookmarkStart w:id="62" w:name="_Toc14577363"/>
      <w:bookmarkStart w:id="63" w:name="_Toc462564084"/>
      <w:bookmarkStart w:id="64" w:name="_Toc61149563"/>
      <w:bookmarkStart w:id="65" w:name="_Toc513029225"/>
      <w:r>
        <w:rPr>
          <w:rFonts w:hint="eastAsia" w:ascii="仿宋" w:hAnsi="仿宋" w:eastAsia="仿宋" w:cs="仿宋"/>
          <w:sz w:val="24"/>
          <w:szCs w:val="24"/>
        </w:rPr>
        <w:t>1、响应文件的密封和标记</w:t>
      </w:r>
      <w:bookmarkEnd w:id="62"/>
      <w:bookmarkEnd w:id="63"/>
      <w:bookmarkEnd w:id="64"/>
      <w:bookmarkEnd w:id="65"/>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1.1磋商供应商应严格按照采购邀请要求的份数准备响应文件，每份响应文件须清楚地标明“正本”或“副本”字样。一旦正本和副本不符，以正本为准。磋商供应商应将响应文件正本和所有副本密封。</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1.2密封的响应文件应：</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（1）按采购邀请中注明的地址送达规定地点；</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（2）注明参加磋商项目名称、磋商文件编号及参加的分包号；</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（3）密封包装上应写明磋商供应商名称和地址。</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1.3如果密封包装未按要求密封和加写标记，招标代理机构对误投或过早启封概不负责。对由此造成提前开封的响应文件，招标代理机构将予以拒绝，作无效响应处理。</w:t>
      </w:r>
    </w:p>
    <w:p>
      <w:pPr>
        <w:pStyle w:val="6"/>
        <w:spacing w:before="0" w:after="0" w:line="360" w:lineRule="auto"/>
        <w:rPr>
          <w:rFonts w:ascii="仿宋" w:hAnsi="仿宋" w:eastAsia="仿宋" w:cs="仿宋"/>
          <w:sz w:val="24"/>
          <w:szCs w:val="24"/>
        </w:rPr>
      </w:pPr>
      <w:bookmarkStart w:id="66" w:name="_Toc14577364"/>
      <w:bookmarkStart w:id="67" w:name="_Toc61149564"/>
      <w:bookmarkStart w:id="68" w:name="_Toc513029226"/>
      <w:r>
        <w:rPr>
          <w:rFonts w:hint="eastAsia" w:ascii="仿宋" w:hAnsi="仿宋" w:eastAsia="仿宋" w:cs="仿宋"/>
          <w:sz w:val="24"/>
          <w:szCs w:val="24"/>
        </w:rPr>
        <w:t>2、</w:t>
      </w:r>
      <w:bookmarkEnd w:id="66"/>
      <w:bookmarkEnd w:id="67"/>
      <w:bookmarkEnd w:id="68"/>
      <w:r>
        <w:rPr>
          <w:rFonts w:hint="eastAsia" w:ascii="仿宋" w:hAnsi="仿宋" w:eastAsia="仿宋" w:cs="仿宋"/>
          <w:sz w:val="24"/>
          <w:szCs w:val="24"/>
        </w:rPr>
        <w:t>响应文件开启时间</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2.1招标代理机构收到响应文件的时间不得迟于本磋商文件规定的响应文件接收截止时间。</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2.2招标代理机构可通过修改磋商文件自行决定酌情推迟响应文件接收截止时间，在此情况下，磋商供应商的所有权利和义务以及受制的响应文件接收截止时间均应以延长后新的响应文件接收截止时间为准。</w:t>
      </w:r>
    </w:p>
    <w:p>
      <w:pPr>
        <w:pStyle w:val="6"/>
        <w:spacing w:before="0" w:after="0" w:line="360" w:lineRule="auto"/>
        <w:rPr>
          <w:rFonts w:ascii="仿宋" w:hAnsi="仿宋" w:eastAsia="仿宋" w:cs="仿宋"/>
          <w:sz w:val="24"/>
          <w:szCs w:val="24"/>
        </w:rPr>
      </w:pPr>
      <w:bookmarkStart w:id="69" w:name="_Toc61149565"/>
      <w:bookmarkStart w:id="70" w:name="_Toc14577365"/>
      <w:bookmarkStart w:id="71" w:name="_Toc513029227"/>
      <w:r>
        <w:rPr>
          <w:rFonts w:hint="eastAsia" w:ascii="仿宋" w:hAnsi="仿宋" w:eastAsia="仿宋" w:cs="仿宋"/>
          <w:sz w:val="24"/>
          <w:szCs w:val="24"/>
        </w:rPr>
        <w:t>3、迟交的响应文件</w:t>
      </w:r>
      <w:bookmarkEnd w:id="69"/>
      <w:bookmarkEnd w:id="70"/>
      <w:bookmarkEnd w:id="71"/>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3.1招标代理机构将拒绝在规定的响应文件接收截止时间后接收响应文件。</w:t>
      </w:r>
    </w:p>
    <w:p>
      <w:pPr>
        <w:pStyle w:val="6"/>
        <w:spacing w:before="0" w:after="0" w:line="360" w:lineRule="auto"/>
        <w:rPr>
          <w:rFonts w:ascii="仿宋" w:hAnsi="仿宋" w:eastAsia="仿宋" w:cs="仿宋"/>
          <w:sz w:val="24"/>
          <w:szCs w:val="24"/>
        </w:rPr>
      </w:pPr>
      <w:bookmarkStart w:id="72" w:name="_Toc513029228"/>
      <w:bookmarkStart w:id="73" w:name="_Toc14577366"/>
      <w:bookmarkStart w:id="74" w:name="_Toc61149566"/>
      <w:r>
        <w:rPr>
          <w:rFonts w:hint="eastAsia" w:ascii="仿宋" w:hAnsi="仿宋" w:eastAsia="仿宋" w:cs="仿宋"/>
          <w:sz w:val="24"/>
          <w:szCs w:val="24"/>
        </w:rPr>
        <w:t>4、响应文件的修改和撤回</w:t>
      </w:r>
      <w:bookmarkEnd w:id="72"/>
      <w:bookmarkEnd w:id="73"/>
      <w:bookmarkEnd w:id="74"/>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4.1磋商供应商在递交响应文件后，可以修改或撤回其谈判响应文件，但这种修改和撤回，必须在规定的响应文件接收截止时间前，以书面形式送达指定地点。</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4.2磋商供应商的修改或撤回通知书，应按本文件规定进行编制、密封、标记和发送，并应在封套上加注“修改”和“撤回”字样。</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4.3 磋商供应商在提交最后报价之前，可以根据磋商情况退出磋商，招标代理机构退还退出磋商的供应商的磋商保证金。</w:t>
      </w:r>
    </w:p>
    <w:p>
      <w:pPr>
        <w:pStyle w:val="6"/>
        <w:spacing w:before="0" w:after="0" w:line="360" w:lineRule="auto"/>
        <w:rPr>
          <w:rFonts w:ascii="仿宋" w:hAnsi="仿宋" w:eastAsia="仿宋" w:cs="仿宋"/>
          <w:sz w:val="24"/>
          <w:szCs w:val="24"/>
        </w:rPr>
      </w:pPr>
      <w:r>
        <w:rPr>
          <w:rFonts w:hint="eastAsia" w:ascii="仿宋" w:hAnsi="仿宋" w:eastAsia="仿宋" w:cs="仿宋"/>
          <w:sz w:val="24"/>
          <w:szCs w:val="24"/>
        </w:rPr>
        <w:t>5、磋商响应有效期</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5.1 磋商响应有效期为招标代理机构规定的响应文件接收截止时间后六十（60）天。磋商响应有效期比规定短的将被视为非实质性响应性而予以拒绝。</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5.2 在特殊情况下，招标代理机构于原磋商响应有效期满之前，可向磋商供应商提出延长磋商响应有效期的要求。这种要求与答复均应采用书面形式。磋商供应商可以拒绝招标代理机构的这一要求而放弃磋商响应，招标代理机构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pPr>
        <w:pStyle w:val="5"/>
        <w:numPr>
          <w:ilvl w:val="1"/>
          <w:numId w:val="0"/>
        </w:numPr>
        <w:spacing w:before="0" w:after="0" w:line="360" w:lineRule="auto"/>
        <w:jc w:val="both"/>
        <w:rPr>
          <w:rFonts w:ascii="黑体" w:hAnsi="黑体" w:eastAsia="黑体" w:cs="黑体"/>
          <w:b w:val="0"/>
          <w:bCs w:val="0"/>
          <w:sz w:val="24"/>
          <w:szCs w:val="24"/>
        </w:rPr>
      </w:pPr>
      <w:bookmarkStart w:id="75" w:name="_Toc16360"/>
      <w:bookmarkStart w:id="76" w:name="_Toc25263"/>
      <w:bookmarkStart w:id="77" w:name="_Toc9179"/>
      <w:bookmarkStart w:id="78" w:name="_Toc24996"/>
      <w:r>
        <w:rPr>
          <w:rFonts w:hint="eastAsia" w:ascii="黑体" w:hAnsi="黑体" w:eastAsia="黑体" w:cs="黑体"/>
          <w:b w:val="0"/>
          <w:bCs w:val="0"/>
          <w:sz w:val="24"/>
          <w:szCs w:val="24"/>
        </w:rPr>
        <w:t>四、磋商与评审</w:t>
      </w:r>
      <w:bookmarkEnd w:id="75"/>
      <w:bookmarkEnd w:id="76"/>
      <w:bookmarkEnd w:id="77"/>
      <w:bookmarkEnd w:id="78"/>
    </w:p>
    <w:p>
      <w:pPr>
        <w:pStyle w:val="6"/>
        <w:spacing w:before="0" w:after="0" w:line="360" w:lineRule="auto"/>
        <w:rPr>
          <w:rFonts w:ascii="仿宋" w:hAnsi="仿宋" w:eastAsia="仿宋" w:cs="仿宋"/>
          <w:sz w:val="24"/>
          <w:szCs w:val="24"/>
        </w:rPr>
      </w:pPr>
      <w:bookmarkStart w:id="79" w:name="_Toc513029230"/>
      <w:bookmarkStart w:id="80" w:name="_Toc20823302"/>
      <w:bookmarkStart w:id="81" w:name="_Toc16938546"/>
      <w:r>
        <w:rPr>
          <w:rFonts w:hint="eastAsia" w:ascii="仿宋" w:hAnsi="仿宋" w:eastAsia="仿宋" w:cs="仿宋"/>
          <w:sz w:val="24"/>
          <w:szCs w:val="24"/>
        </w:rPr>
        <w:t>1、</w:t>
      </w:r>
      <w:bookmarkEnd w:id="79"/>
      <w:bookmarkEnd w:id="80"/>
      <w:bookmarkEnd w:id="81"/>
      <w:r>
        <w:rPr>
          <w:rFonts w:hint="eastAsia" w:ascii="仿宋" w:hAnsi="仿宋" w:eastAsia="仿宋" w:cs="仿宋"/>
          <w:sz w:val="24"/>
          <w:szCs w:val="24"/>
        </w:rPr>
        <w:t>磋商仪式</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1.1招标代理机构将在采购邀请中规定的时间和地点组织磋商开始仪式，仪式由招标代理机构主持，磋商供应商应委派携带有效证件的代表准时参加，参加仪式的代表需签名以证明其出席。</w:t>
      </w:r>
    </w:p>
    <w:p>
      <w:pPr>
        <w:pStyle w:val="6"/>
        <w:spacing w:before="0" w:after="0" w:line="360" w:lineRule="auto"/>
        <w:rPr>
          <w:rFonts w:ascii="仿宋" w:hAnsi="仿宋" w:eastAsia="仿宋" w:cs="仿宋"/>
          <w:sz w:val="24"/>
          <w:szCs w:val="24"/>
        </w:rPr>
      </w:pPr>
      <w:bookmarkStart w:id="82" w:name="_Toc20823303"/>
      <w:bookmarkStart w:id="83" w:name="_Toc16938547"/>
      <w:bookmarkStart w:id="84" w:name="_Toc513029231"/>
      <w:r>
        <w:rPr>
          <w:rFonts w:hint="eastAsia" w:ascii="仿宋" w:hAnsi="仿宋" w:eastAsia="仿宋" w:cs="仿宋"/>
          <w:sz w:val="24"/>
          <w:szCs w:val="24"/>
        </w:rPr>
        <w:t>2、磋商小组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2.1 磋商开始仪式结束后，招标代理机构将立即组织磋商小组进行评审。</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2.2 磋商小组由政府采购评审专家、采购人代表组成，且人员构成符合政府采购有关规定。</w:t>
      </w:r>
    </w:p>
    <w:p>
      <w:pPr>
        <w:pStyle w:val="6"/>
        <w:spacing w:before="0" w:after="0" w:line="360" w:lineRule="auto"/>
        <w:rPr>
          <w:rFonts w:ascii="仿宋" w:hAnsi="仿宋" w:eastAsia="仿宋" w:cs="仿宋"/>
          <w:sz w:val="24"/>
          <w:szCs w:val="24"/>
        </w:rPr>
      </w:pPr>
      <w:r>
        <w:rPr>
          <w:rFonts w:hint="eastAsia" w:ascii="仿宋" w:hAnsi="仿宋" w:eastAsia="仿宋" w:cs="仿宋"/>
          <w:sz w:val="24"/>
          <w:szCs w:val="24"/>
        </w:rPr>
        <w:t>3、磋商评审过程的保密</w:t>
      </w:r>
      <w:bookmarkEnd w:id="82"/>
      <w:bookmarkEnd w:id="83"/>
      <w:bookmarkEnd w:id="84"/>
      <w:r>
        <w:rPr>
          <w:rFonts w:hint="eastAsia" w:ascii="仿宋" w:hAnsi="仿宋" w:eastAsia="仿宋" w:cs="仿宋"/>
          <w:sz w:val="24"/>
          <w:szCs w:val="24"/>
        </w:rPr>
        <w:t>与公正</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3.1磋商小组、采购人和招标代理机构工作人员、相关监督人员等与评审工作有关的人员，对评审情况以及在评审过程中获悉的国家秘密、商业秘密负有保密责任。</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3.2在磋商评审过程中，磋商供应商不得以任何行为影响磋商评审过程，否则其响应文件将被作为无效响应文件。</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6"/>
        <w:spacing w:before="0" w:after="0" w:line="360" w:lineRule="auto"/>
        <w:rPr>
          <w:rFonts w:ascii="仿宋" w:hAnsi="仿宋" w:eastAsia="仿宋" w:cs="仿宋"/>
          <w:sz w:val="24"/>
          <w:szCs w:val="24"/>
        </w:rPr>
      </w:pPr>
      <w:bookmarkStart w:id="85" w:name="_Toc513029232"/>
      <w:bookmarkStart w:id="86" w:name="_Toc16938548"/>
      <w:bookmarkStart w:id="87" w:name="_Toc20823304"/>
      <w:r>
        <w:rPr>
          <w:rFonts w:hint="eastAsia" w:ascii="仿宋" w:hAnsi="仿宋" w:eastAsia="仿宋" w:cs="仿宋"/>
          <w:sz w:val="24"/>
          <w:szCs w:val="24"/>
        </w:rPr>
        <w:t>4、评审过程的澄清</w:t>
      </w:r>
      <w:bookmarkEnd w:id="85"/>
      <w:bookmarkEnd w:id="86"/>
      <w:bookmarkEnd w:id="87"/>
      <w:r>
        <w:rPr>
          <w:rFonts w:hint="eastAsia" w:ascii="仿宋" w:hAnsi="仿宋" w:eastAsia="仿宋" w:cs="仿宋"/>
          <w:sz w:val="24"/>
          <w:szCs w:val="24"/>
        </w:rPr>
        <w:t>、说明和更正</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4.3 接到磋商小组澄清要求的供应商如未按规定做出澄清，其风险由供应商自行承担。</w:t>
      </w:r>
    </w:p>
    <w:p>
      <w:pPr>
        <w:pStyle w:val="6"/>
        <w:spacing w:before="0" w:after="0" w:line="360" w:lineRule="auto"/>
        <w:rPr>
          <w:rFonts w:ascii="仿宋" w:hAnsi="仿宋" w:eastAsia="仿宋" w:cs="仿宋"/>
          <w:sz w:val="24"/>
          <w:szCs w:val="24"/>
        </w:rPr>
      </w:pPr>
      <w:bookmarkStart w:id="88" w:name="_Toc513029233"/>
      <w:bookmarkStart w:id="89" w:name="_Toc16938549"/>
      <w:bookmarkStart w:id="90" w:name="_Toc20823305"/>
      <w:r>
        <w:rPr>
          <w:rFonts w:hint="eastAsia" w:ascii="仿宋" w:hAnsi="仿宋" w:eastAsia="仿宋" w:cs="仿宋"/>
          <w:sz w:val="24"/>
          <w:szCs w:val="24"/>
        </w:rPr>
        <w:t>5、对响应文件的初审</w:t>
      </w:r>
      <w:bookmarkEnd w:id="88"/>
      <w:bookmarkEnd w:id="89"/>
      <w:bookmarkEnd w:id="90"/>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5.1响应文件初审分为资格性检查和符合性检查。</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资格性检查：依据法律法规和磋商文件的规定，对响应文件中的资格证明文件、磋商保证金等进行审查，以确定供应商是否具备参加磋商的资格。</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磋商小组在进行资格性审查的同时，将在“信用中国”网站（www.creditchina.gov.cn）对供应商是否被列入失信被执行人、重大税收违法案件当事人名单、政府采购严重失信行为记录名单情况进行查询，以确定供应商是否具备参加磋商的资格。查询结果将以网页打印的形式留存并归档。</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接受联合体的项目，两个以上的自然人、法人或者其他组织组成一个联合体，以一个供应商的身份共同参加政府采购活动的，联合体成员存在不良信用记录的，视同联合体存在不良应用记录。</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符合性检查：依据磋商文件的规定，从响应文件的有效性、完整性和对磋商文件的响应程度进行审查，以确定是否对磋商文件的实质性要求作出响应。</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5.2在正式磋商之前，磋商小组将首先审查每份响应文件是否实质性响应了磋商文件的要求。实质性响应的响应文件应该是与磋商文件要求的条款、条件和规格相符，没有重大负偏离或保留。</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所谓重大负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重大偏离由磋商小组按照少数服从多数的原则认定。磋商小组决定响应文件的响应性只根据响应文件本身的内容，而不寻求外部的证据。</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5.3 被认定为未实质性响应磋商文件的响应文件的情形</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（1）未按要求交纳磋商保证金的；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（2）未按照磋商文件规定要求密封、签署、盖章的；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（3）供应商在报价时采用选择性报价；</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（4）供应商不符合磋商文件中规定的合格磋商供应商资格要求的；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（5）不符合法律、法规和磋商文件中规定的其他实质性要求和条件的（本磋商文件中斜体且有下划线部分为实质性要求和条件）；</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（6）其他法律、法规及本磋商文件规定的属未实质性响应的响应文件的情形；</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（7）供应商被 “信用中国”网站（www.creditchina.gov.cn）列入失信被执行人或重大税收违法案件当事人名单或政府采购严重失信行为记录名单。</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5.4 未实质性响应磋商文件的响应文件按无效响应处理，磋商小组将予以拒绝，供应商不得通过修改或撤销不合要求的偏离或保留而使其响应文件成为实质性响应的文件。</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5.5 磋商小组将允许修正响应文件中不构成重大负偏离的、微小的、非正规的、不一致的或不规则的地方，但这些修改不能影响任何供应商相应的名次排列。</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5.6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pPr>
        <w:pStyle w:val="6"/>
        <w:spacing w:before="0" w:after="0" w:line="360" w:lineRule="auto"/>
        <w:rPr>
          <w:rFonts w:ascii="仿宋" w:hAnsi="仿宋" w:eastAsia="仿宋" w:cs="仿宋"/>
          <w:sz w:val="24"/>
          <w:szCs w:val="24"/>
        </w:rPr>
      </w:pPr>
      <w:bookmarkStart w:id="91" w:name="_Toc20823306"/>
      <w:bookmarkStart w:id="92" w:name="_Toc16938550"/>
      <w:bookmarkStart w:id="93" w:name="_Toc513029234"/>
      <w:r>
        <w:rPr>
          <w:rFonts w:hint="eastAsia" w:ascii="仿宋" w:hAnsi="仿宋" w:eastAsia="仿宋" w:cs="仿宋"/>
          <w:sz w:val="24"/>
          <w:szCs w:val="24"/>
        </w:rPr>
        <w:t>6、</w:t>
      </w:r>
      <w:bookmarkEnd w:id="91"/>
      <w:bookmarkEnd w:id="92"/>
      <w:bookmarkEnd w:id="93"/>
      <w:r>
        <w:rPr>
          <w:rFonts w:hint="eastAsia" w:ascii="仿宋" w:hAnsi="仿宋" w:eastAsia="仿宋" w:cs="仿宋"/>
          <w:sz w:val="24"/>
          <w:szCs w:val="24"/>
        </w:rPr>
        <w:t>磋商程序及评审方法和标准</w:t>
      </w:r>
    </w:p>
    <w:p>
      <w:pPr>
        <w:spacing w:line="360" w:lineRule="auto"/>
        <w:ind w:firstLine="480" w:firstLineChars="200"/>
        <w:jc w:val="left"/>
        <w:rPr>
          <w:rFonts w:ascii="仿宋" w:hAnsi="仿宋" w:eastAsia="仿宋" w:cs="仿宋"/>
          <w:bCs/>
          <w:sz w:val="24"/>
          <w:szCs w:val="24"/>
        </w:rPr>
      </w:pPr>
      <w:bookmarkStart w:id="94" w:name="_Toc20823307"/>
      <w:bookmarkStart w:id="95" w:name="_Toc16938551"/>
      <w:bookmarkStart w:id="96" w:name="_Toc513029235"/>
      <w:r>
        <w:rPr>
          <w:rFonts w:hint="eastAsia" w:ascii="仿宋" w:hAnsi="仿宋" w:eastAsia="仿宋" w:cs="仿宋"/>
          <w:bCs/>
          <w:sz w:val="24"/>
          <w:szCs w:val="24"/>
        </w:rPr>
        <w:t>6.1磋商程序</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6.1.1 对于通过资格性和符合性审查的供应商，磋商小组所有成员将集中与单一供应商分别进行磋商。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 xml:space="preserve"> 6.1.2 磋商文件能够详细列明采购标的的技术、服务要求的，磋商结束后，磋商小组将要求所有实质性响应的供应商在规定时间内提交最后报价。</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6.1.3 磋商供应商未在磋商小组规定的时间内完成最后报价的视为放弃磋商，其磋商响应按无效响应处理。最后报价须由磋商供应商法定代表人或授权代表签字或者加盖公章。已提交响应文件的供应商，在提交最后报价之前，可以根据磋商情况退出磋商。招标代理机构将退还退出磋商的供应商的磋商保证金。</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6.2 评审方法和标准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6.2.1评审方法。经磋商确定最终采购需求和提交最后报价的供应商后，由磋商小组采用综合评分法对提交最后报价的供应商的响应文件和最后报价进行综合评分。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6.2.2评审标准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见本磋商文件第五章规定。</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6.3采购活动终止的情况</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出现下列情形之一的，本次竞争性磋商采购活动将被终止：</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（1）因情况变化，不再符合规定的竞争性磋商采购方式适用情形的；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（2）出现影响采购公正的违法、违规行为的；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（3）除本磋商文件第6.1.2条第三款规定的情形外，在采购过程中符合要求的供应商或者报价未超过采购预算的供应商不足3家的。</w:t>
      </w:r>
    </w:p>
    <w:bookmarkEnd w:id="94"/>
    <w:bookmarkEnd w:id="95"/>
    <w:bookmarkEnd w:id="96"/>
    <w:p>
      <w:pPr>
        <w:pStyle w:val="5"/>
        <w:numPr>
          <w:ilvl w:val="1"/>
          <w:numId w:val="0"/>
        </w:numPr>
        <w:spacing w:before="0" w:after="0" w:line="360" w:lineRule="auto"/>
        <w:jc w:val="both"/>
        <w:rPr>
          <w:rFonts w:ascii="黑体" w:hAnsi="黑体" w:eastAsia="黑体" w:cs="黑体"/>
          <w:b w:val="0"/>
          <w:bCs w:val="0"/>
          <w:sz w:val="24"/>
          <w:szCs w:val="24"/>
        </w:rPr>
      </w:pPr>
      <w:bookmarkStart w:id="97" w:name="_Toc22549"/>
      <w:bookmarkStart w:id="98" w:name="_Toc25715"/>
      <w:bookmarkStart w:id="99" w:name="_Toc5330"/>
      <w:bookmarkStart w:id="100" w:name="_Toc11808"/>
      <w:r>
        <w:rPr>
          <w:rFonts w:hint="eastAsia" w:ascii="黑体" w:hAnsi="黑体" w:eastAsia="黑体" w:cs="黑体"/>
          <w:b w:val="0"/>
          <w:bCs w:val="0"/>
          <w:sz w:val="24"/>
          <w:szCs w:val="24"/>
        </w:rPr>
        <w:t>五、成交</w:t>
      </w:r>
      <w:bookmarkEnd w:id="97"/>
      <w:bookmarkEnd w:id="98"/>
      <w:bookmarkEnd w:id="99"/>
      <w:bookmarkEnd w:id="100"/>
    </w:p>
    <w:p>
      <w:pPr>
        <w:pStyle w:val="6"/>
        <w:spacing w:before="0" w:after="0" w:line="360" w:lineRule="auto"/>
        <w:rPr>
          <w:rFonts w:ascii="仿宋" w:hAnsi="仿宋" w:eastAsia="仿宋" w:cs="仿宋"/>
          <w:sz w:val="24"/>
          <w:szCs w:val="24"/>
        </w:rPr>
      </w:pPr>
      <w:bookmarkStart w:id="101" w:name="_Toc513029238"/>
      <w:bookmarkStart w:id="102" w:name="_Toc20823310"/>
      <w:bookmarkStart w:id="103" w:name="_Toc16938554"/>
      <w:r>
        <w:rPr>
          <w:rFonts w:hint="eastAsia" w:ascii="仿宋" w:hAnsi="仿宋" w:eastAsia="仿宋" w:cs="仿宋"/>
          <w:sz w:val="24"/>
          <w:szCs w:val="24"/>
        </w:rPr>
        <w:t>1、</w:t>
      </w:r>
      <w:bookmarkEnd w:id="101"/>
      <w:r>
        <w:rPr>
          <w:rFonts w:hint="eastAsia" w:ascii="仿宋" w:hAnsi="仿宋" w:eastAsia="仿宋" w:cs="仿宋"/>
          <w:sz w:val="24"/>
          <w:szCs w:val="24"/>
        </w:rPr>
        <w:t>确定</w:t>
      </w:r>
      <w:bookmarkEnd w:id="102"/>
      <w:bookmarkEnd w:id="103"/>
      <w:r>
        <w:rPr>
          <w:rFonts w:hint="eastAsia" w:ascii="仿宋" w:hAnsi="仿宋" w:eastAsia="仿宋" w:cs="仿宋"/>
          <w:sz w:val="24"/>
          <w:szCs w:val="24"/>
        </w:rPr>
        <w:t>成交单位</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1.1 磋商小组根据综合评分情况，按照评审得分由高到低顺序推荐3名以上成交候选供应商，并编写评审报告。符合本文件第6.1.2条情形的，可以推荐2家成交候选供应商。评审得分相同的，按照最后报价由低到高的顺序推荐。评审得分且最后报价相同的，按照技术指标优劣顺序推荐。如合格磋商响应供应商数量等于拟确定成交的供应商数量，所有合格磋商响应供应商均为成交候选供应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1.2采购人根据磋商小组推荐的成交候选人确定成交供应商。采购人确定成交供应商后，招标代理机构将在“</w:t>
      </w:r>
      <w:r>
        <w:rPr>
          <w:rFonts w:hint="eastAsia" w:ascii="仿宋" w:hAnsi="仿宋" w:eastAsia="仿宋" w:cs="仿宋"/>
          <w:bCs/>
          <w:sz w:val="24"/>
          <w:szCs w:val="24"/>
          <w:lang w:eastAsia="zh-CN"/>
        </w:rPr>
        <w:t>江苏政府采购网</w:t>
      </w:r>
      <w:r>
        <w:rPr>
          <w:rFonts w:hint="eastAsia" w:ascii="仿宋" w:hAnsi="仿宋" w:eastAsia="仿宋" w:cs="仿宋"/>
          <w:bCs/>
          <w:sz w:val="24"/>
          <w:szCs w:val="24"/>
        </w:rPr>
        <w:t>”发布成交结果公告，公告期限为1个工作日。</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1.3若有充分证据证明，成交供应商出现下列情况之一的，一经查实，将被取消成交资格：</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（1）提供虚假材料谋取成交的；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（2）与评审专家、采购人、其他供应商或者招标代理机构工作人员恶意串通的；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（3）向评审专家、采购人或招标代理机构工作人员行贿或者提供其他不正当利益的；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（4）恶意竞争，最终总报价明显低于其自身合理成本且又无法提供证明的；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（5）不满足本磋商文件规定的实质性要求，但在评审过程中又未被磋商小组发现的；</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（6）成交后无正当理由拒不与采购人签订政府采购合同或者未按照磋商文件确定的事项签订政府采购合同；</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（7）将政府采购合同转包；</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（8）法律、法规、规章规定的属于成交无效的其他情形。</w:t>
      </w:r>
    </w:p>
    <w:p>
      <w:pPr>
        <w:pStyle w:val="6"/>
        <w:spacing w:before="0" w:after="0" w:line="360" w:lineRule="auto"/>
        <w:rPr>
          <w:rFonts w:ascii="仿宋" w:hAnsi="仿宋" w:eastAsia="仿宋" w:cs="仿宋"/>
          <w:sz w:val="24"/>
          <w:szCs w:val="24"/>
        </w:rPr>
      </w:pPr>
      <w:r>
        <w:rPr>
          <w:rFonts w:hint="eastAsia" w:ascii="仿宋" w:hAnsi="仿宋" w:eastAsia="仿宋" w:cs="仿宋"/>
          <w:sz w:val="24"/>
          <w:szCs w:val="24"/>
        </w:rPr>
        <w:t>2、质疑处理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2.1磋商供应商认为磋商文件、采购过程和采购结果使自己的权益受到损害的，可以在知道或应知其权益受到损害之日起七个工作日内，以书面形式向招标代理机构或采购人提出质疑。上述应知其权益受到损害之日，是指：</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（1）对可以质疑的磋商文件提出质疑的，为收到磋商文件之日或者磋商文件公告期限届满之日；</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（2）对采购过程提出质疑的，为各采购程序环节结束之日；</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（3）对成交结果提出质疑的，为成交结果公告期限届满之日。</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2.2质疑必须按《政府采购法》、《政府采购法实施条例》及《江苏省政府采购供应商监督管理暂行办法》的相关规定提交，未按上述要求提交的质疑函（含传真、电子邮件等）招标代理机构有权不予受理。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2.3未参加磋商采购活动的供应商或在磋商采购活动中自身权益未受到损害的供应商所提出的质疑不予受理。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2.4质疑函应当包括下列内容：</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（1）质疑供应商的名称、地址、邮编、联系人、联系电话；</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（2）具体的质疑事项及明确的请求；</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（3）认为自己合法权益受到损害或可能受到损害的相关证据材料；</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（4）提起质疑的日期；</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5）质疑函应当署名：质疑人为自然人的，应当由本人签字并附有效身份证明；质疑人为法人或其他组织的，应当由法定代表人签字并加盖单位公章。质疑人委托代理质疑的，应当向招标代理机构提交授权委托书，并载明委托代理的具体权限和事项。</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2.5招标代理机构收到质疑函后，将对质疑的形式和内容进行审查，如质疑函内容、格式不符合规定，招标代理机构将告知质疑人进行补正。</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2.6质疑人应当在法定质疑期限内进行补正并重新提交质疑函，拒不补正或者在法定期限内未重新提交质疑函的，为无效质疑，招标代理机构有权不予受理。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2.7对于内容、格式符合规定的质疑函，招标代理机构将在收到参加谈判供应商的书面质疑后七个工作日内作出答复，并以书面形式通知质疑供应商和其他相关供应商，答复的内容不涉及商业秘密。</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2.8供应商提出书面质疑必须有理、有据，不得恶意质疑或提交虚假质疑。否则，一经查实，招标代理机构有权依据政府采购的有关规定，报请政府采购监管部门对该供应商进行相应的行政处罚。</w:t>
      </w:r>
    </w:p>
    <w:p>
      <w:pPr>
        <w:pStyle w:val="5"/>
        <w:numPr>
          <w:ilvl w:val="1"/>
          <w:numId w:val="0"/>
        </w:numPr>
        <w:spacing w:before="0" w:after="0" w:line="360" w:lineRule="auto"/>
        <w:jc w:val="both"/>
        <w:rPr>
          <w:rFonts w:ascii="黑体" w:hAnsi="黑体" w:eastAsia="黑体" w:cs="黑体"/>
          <w:b w:val="0"/>
          <w:bCs w:val="0"/>
          <w:sz w:val="24"/>
          <w:szCs w:val="24"/>
        </w:rPr>
      </w:pPr>
      <w:bookmarkStart w:id="104" w:name="_Toc12074"/>
      <w:bookmarkStart w:id="105" w:name="_Toc419"/>
      <w:bookmarkStart w:id="106" w:name="_Toc15033"/>
      <w:bookmarkStart w:id="107" w:name="_Toc13206"/>
      <w:bookmarkStart w:id="108" w:name="_Toc513029237"/>
      <w:bookmarkStart w:id="109" w:name="_Toc16938553"/>
      <w:bookmarkStart w:id="110" w:name="_Toc20823309"/>
      <w:r>
        <w:rPr>
          <w:rFonts w:hint="eastAsia" w:ascii="黑体" w:hAnsi="黑体" w:eastAsia="黑体" w:cs="黑体"/>
          <w:b w:val="0"/>
          <w:bCs w:val="0"/>
          <w:sz w:val="24"/>
          <w:szCs w:val="24"/>
        </w:rPr>
        <w:t>六、合同签订相关事项</w:t>
      </w:r>
      <w:bookmarkEnd w:id="104"/>
      <w:bookmarkEnd w:id="105"/>
      <w:bookmarkEnd w:id="106"/>
      <w:bookmarkEnd w:id="107"/>
    </w:p>
    <w:p>
      <w:pPr>
        <w:pStyle w:val="6"/>
        <w:spacing w:before="0" w:after="0" w:line="360" w:lineRule="auto"/>
        <w:rPr>
          <w:rFonts w:ascii="仿宋" w:hAnsi="仿宋" w:eastAsia="仿宋" w:cs="仿宋"/>
          <w:sz w:val="24"/>
          <w:szCs w:val="24"/>
        </w:rPr>
      </w:pPr>
      <w:r>
        <w:rPr>
          <w:rFonts w:hint="eastAsia" w:ascii="仿宋" w:hAnsi="仿宋" w:eastAsia="仿宋" w:cs="仿宋"/>
          <w:sz w:val="24"/>
          <w:szCs w:val="24"/>
        </w:rPr>
        <w:t>1、签订合同</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l成交供应商确定后，招标代理机构将向成交供应商发出成交通知书。成交供应商应按成交通知书规定的时间、地点,按照磋商文件确定的事项与采购人签订政府采购合同，且不得迟于成交通知书发出之日起三十日内，否则磋商保证金将不予退还，由此给采购人造成损失的，成交供应商还应承担赔偿责任。</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1.2 磋商文件、成交供应商的响应文件及磋商采购过程中有关澄清、承诺文件均应作为合同附件。</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pPr>
        <w:pStyle w:val="6"/>
        <w:spacing w:before="0" w:after="0" w:line="360" w:lineRule="auto"/>
        <w:rPr>
          <w:rFonts w:ascii="仿宋" w:hAnsi="仿宋" w:eastAsia="仿宋" w:cs="仿宋"/>
          <w:sz w:val="24"/>
          <w:szCs w:val="24"/>
        </w:rPr>
      </w:pPr>
      <w:r>
        <w:rPr>
          <w:rFonts w:hint="eastAsia" w:ascii="仿宋" w:hAnsi="仿宋" w:eastAsia="仿宋" w:cs="仿宋"/>
          <w:sz w:val="24"/>
          <w:szCs w:val="24"/>
        </w:rPr>
        <w:t>2、履约保证金</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2.1成交供应商在收到成交通知书后，如无另行规定，成交供应商的磋商保证金将自动转为履约保证金，履约保证金用以约束成交供应商在合同履行中的行为，弥补合同执行中由于自身行为可能给采购人带来的各种损失。如果成交供应商不同意按照规定去做，招标代理机构有权取消本次采购成交决定，并没收其磋商保证金。</w:t>
      </w:r>
    </w:p>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2.2履约保证金的退还：合同履行结束后，成交供应商凭采购人签署的同意退还履约保证金的证明（证明格式自定,加盖采购单位公章）、履约保证金收条原件，前往招标代理机构办理保证金退还手续。招标代理机构联系电话：025-83370296。</w:t>
      </w:r>
      <w:bookmarkEnd w:id="108"/>
      <w:bookmarkEnd w:id="109"/>
      <w:bookmarkEnd w:id="110"/>
    </w:p>
    <w:bookmarkEnd w:id="13"/>
    <w:bookmarkEnd w:id="14"/>
    <w:bookmarkEnd w:id="15"/>
    <w:bookmarkEnd w:id="16"/>
    <w:bookmarkEnd w:id="17"/>
    <w:bookmarkEnd w:id="18"/>
    <w:p>
      <w:pPr>
        <w:pStyle w:val="4"/>
        <w:numPr>
          <w:ilvl w:val="0"/>
          <w:numId w:val="0"/>
        </w:numPr>
        <w:rPr>
          <w:rFonts w:ascii="黑体" w:hAnsi="黑体" w:eastAsia="黑体" w:cs="黑体"/>
          <w:color w:val="000000"/>
          <w:sz w:val="44"/>
          <w:szCs w:val="44"/>
        </w:rPr>
      </w:pPr>
      <w:bookmarkStart w:id="111" w:name="_Toc324237148"/>
      <w:bookmarkStart w:id="112" w:name="_Toc120614281"/>
      <w:bookmarkStart w:id="113" w:name="_Toc49090575"/>
      <w:bookmarkStart w:id="114" w:name="_Toc26554093"/>
      <w:bookmarkStart w:id="115" w:name="_Toc462564139"/>
      <w:bookmarkStart w:id="116" w:name="_Toc479757211"/>
      <w:r>
        <w:rPr>
          <w:rFonts w:hint="eastAsia" w:ascii="宋体" w:hAnsi="宋体" w:eastAsia="宋体" w:cs="宋体"/>
          <w:b/>
        </w:rPr>
        <w:br w:type="page"/>
      </w:r>
      <w:bookmarkStart w:id="117" w:name="_Toc23905"/>
      <w:bookmarkStart w:id="118" w:name="_Toc11366"/>
      <w:r>
        <w:rPr>
          <w:rFonts w:hint="eastAsia" w:ascii="黑体" w:hAnsi="黑体" w:eastAsia="黑体" w:cs="黑体"/>
          <w:color w:val="000000"/>
          <w:sz w:val="44"/>
          <w:szCs w:val="44"/>
        </w:rPr>
        <w:t xml:space="preserve">第三章 </w:t>
      </w:r>
      <w:r>
        <w:rPr>
          <w:rFonts w:hint="eastAsia" w:ascii="黑体" w:hAnsi="黑体" w:eastAsia="黑体" w:cs="黑体"/>
          <w:color w:val="000000"/>
          <w:sz w:val="44"/>
          <w:szCs w:val="44"/>
          <w:lang w:val="en-US" w:eastAsia="zh-CN"/>
        </w:rPr>
        <w:t xml:space="preserve"> </w:t>
      </w:r>
      <w:r>
        <w:rPr>
          <w:rFonts w:hint="eastAsia" w:ascii="黑体" w:hAnsi="黑体" w:eastAsia="黑体" w:cs="黑体"/>
          <w:color w:val="000000"/>
          <w:sz w:val="44"/>
          <w:szCs w:val="44"/>
        </w:rPr>
        <w:t>合同模版</w:t>
      </w:r>
      <w:bookmarkEnd w:id="117"/>
      <w:bookmarkEnd w:id="118"/>
    </w:p>
    <w:p>
      <w:pPr>
        <w:jc w:val="center"/>
        <w:rPr>
          <w:rFonts w:ascii="黑体" w:hAnsi="黑体" w:eastAsia="黑体" w:cs="黑体"/>
          <w:color w:val="000000"/>
          <w:sz w:val="52"/>
          <w:szCs w:val="52"/>
        </w:rPr>
      </w:pPr>
    </w:p>
    <w:p>
      <w:pPr>
        <w:jc w:val="center"/>
        <w:rPr>
          <w:rFonts w:ascii="黑体" w:hAnsi="黑体" w:eastAsia="黑体" w:cs="黑体"/>
          <w:color w:val="000000"/>
          <w:sz w:val="52"/>
          <w:szCs w:val="52"/>
        </w:rPr>
      </w:pPr>
      <w:r>
        <w:rPr>
          <w:rFonts w:hint="eastAsia" w:ascii="黑体" w:hAnsi="黑体" w:eastAsia="黑体" w:cs="黑体"/>
          <w:color w:val="000000"/>
          <w:sz w:val="52"/>
          <w:szCs w:val="52"/>
        </w:rPr>
        <w:t>合</w:t>
      </w:r>
    </w:p>
    <w:p>
      <w:pPr>
        <w:jc w:val="center"/>
        <w:rPr>
          <w:rFonts w:ascii="黑体" w:hAnsi="黑体" w:eastAsia="黑体" w:cs="黑体"/>
          <w:color w:val="000000"/>
          <w:sz w:val="52"/>
          <w:szCs w:val="52"/>
        </w:rPr>
      </w:pPr>
    </w:p>
    <w:p>
      <w:pPr>
        <w:ind w:firstLine="140" w:firstLineChars="27"/>
        <w:jc w:val="center"/>
        <w:rPr>
          <w:rFonts w:ascii="黑体" w:hAnsi="黑体" w:eastAsia="黑体" w:cs="黑体"/>
          <w:color w:val="000000"/>
          <w:sz w:val="52"/>
          <w:szCs w:val="52"/>
        </w:rPr>
      </w:pPr>
      <w:r>
        <w:rPr>
          <w:rFonts w:hint="eastAsia" w:ascii="黑体" w:hAnsi="黑体" w:eastAsia="黑体" w:cs="黑体"/>
          <w:color w:val="000000"/>
          <w:sz w:val="52"/>
          <w:szCs w:val="52"/>
        </w:rPr>
        <w:t>同</w:t>
      </w:r>
    </w:p>
    <w:p>
      <w:pPr>
        <w:ind w:firstLine="140" w:firstLineChars="27"/>
        <w:jc w:val="center"/>
        <w:rPr>
          <w:rFonts w:ascii="黑体" w:hAnsi="黑体" w:eastAsia="黑体" w:cs="黑体"/>
          <w:color w:val="000000"/>
          <w:sz w:val="52"/>
          <w:szCs w:val="52"/>
        </w:rPr>
      </w:pPr>
    </w:p>
    <w:p>
      <w:pPr>
        <w:ind w:firstLine="140" w:firstLineChars="27"/>
        <w:jc w:val="center"/>
        <w:rPr>
          <w:rFonts w:ascii="黑体" w:hAnsi="黑体" w:eastAsia="黑体" w:cs="黑体"/>
          <w:color w:val="000000"/>
          <w:sz w:val="52"/>
          <w:szCs w:val="52"/>
        </w:rPr>
      </w:pPr>
      <w:r>
        <w:rPr>
          <w:rFonts w:hint="eastAsia" w:ascii="黑体" w:hAnsi="黑体" w:eastAsia="黑体" w:cs="黑体"/>
          <w:color w:val="000000"/>
          <w:sz w:val="52"/>
          <w:szCs w:val="52"/>
        </w:rPr>
        <w:t>书</w:t>
      </w:r>
    </w:p>
    <w:p>
      <w:pPr>
        <w:ind w:firstLine="140" w:firstLineChars="27"/>
        <w:jc w:val="center"/>
        <w:rPr>
          <w:rFonts w:ascii="黑体" w:hAnsi="黑体" w:eastAsia="黑体" w:cs="黑体"/>
          <w:color w:val="000000"/>
          <w:sz w:val="52"/>
          <w:szCs w:val="52"/>
        </w:rPr>
      </w:pPr>
    </w:p>
    <w:p>
      <w:pPr>
        <w:ind w:firstLine="129" w:firstLineChars="27"/>
        <w:jc w:val="center"/>
        <w:rPr>
          <w:rFonts w:ascii="黑体" w:hAnsi="黑体" w:eastAsia="黑体" w:cs="黑体"/>
          <w:color w:val="000000"/>
          <w:sz w:val="48"/>
          <w:szCs w:val="48"/>
        </w:rPr>
      </w:pPr>
    </w:p>
    <w:p>
      <w:pPr>
        <w:ind w:firstLine="129" w:firstLineChars="27"/>
        <w:jc w:val="center"/>
        <w:rPr>
          <w:rFonts w:ascii="黑体" w:hAnsi="黑体" w:eastAsia="黑体" w:cs="黑体"/>
          <w:color w:val="000000"/>
          <w:sz w:val="48"/>
          <w:szCs w:val="48"/>
        </w:rPr>
      </w:pPr>
    </w:p>
    <w:p>
      <w:pPr>
        <w:ind w:firstLine="129" w:firstLineChars="27"/>
        <w:jc w:val="center"/>
        <w:rPr>
          <w:rFonts w:ascii="黑体" w:hAnsi="黑体" w:eastAsia="黑体" w:cs="黑体"/>
          <w:color w:val="000000"/>
          <w:sz w:val="48"/>
          <w:szCs w:val="48"/>
        </w:rPr>
      </w:pPr>
    </w:p>
    <w:p>
      <w:pPr>
        <w:spacing w:line="480" w:lineRule="auto"/>
        <w:ind w:left="1050" w:leftChars="500"/>
        <w:jc w:val="left"/>
        <w:rPr>
          <w:rFonts w:ascii="黑体" w:hAnsi="黑体" w:eastAsia="黑体" w:cs="黑体"/>
          <w:color w:val="000000"/>
          <w:sz w:val="32"/>
          <w:szCs w:val="32"/>
        </w:rPr>
      </w:pPr>
      <w:r>
        <w:rPr>
          <w:rFonts w:hint="eastAsia" w:ascii="黑体" w:hAnsi="黑体" w:eastAsia="黑体" w:cs="黑体"/>
          <w:color w:val="000000"/>
          <w:sz w:val="32"/>
          <w:szCs w:val="32"/>
        </w:rPr>
        <w:t>采购人（以下称甲方）：</w:t>
      </w:r>
    </w:p>
    <w:p>
      <w:pPr>
        <w:spacing w:line="480" w:lineRule="auto"/>
        <w:ind w:left="1050" w:leftChars="500"/>
        <w:jc w:val="left"/>
        <w:rPr>
          <w:rFonts w:ascii="黑体" w:hAnsi="黑体" w:eastAsia="黑体" w:cs="黑体"/>
          <w:color w:val="000000"/>
          <w:sz w:val="32"/>
          <w:szCs w:val="32"/>
        </w:rPr>
      </w:pPr>
      <w:r>
        <w:rPr>
          <w:rFonts w:hint="eastAsia" w:ascii="黑体" w:hAnsi="黑体" w:eastAsia="黑体" w:cs="黑体"/>
          <w:color w:val="000000"/>
          <w:sz w:val="32"/>
          <w:szCs w:val="32"/>
        </w:rPr>
        <w:t xml:space="preserve">中标人（以下称乙方）： </w:t>
      </w:r>
    </w:p>
    <w:p>
      <w:pPr>
        <w:widowControl/>
        <w:snapToGrid w:val="0"/>
        <w:spacing w:line="360" w:lineRule="auto"/>
        <w:rPr>
          <w:rFonts w:ascii="仿宋" w:hAnsi="仿宋" w:eastAsia="仿宋" w:cs="仿宋"/>
          <w:color w:val="000000"/>
          <w:sz w:val="24"/>
          <w:szCs w:val="24"/>
          <w:u w:val="single"/>
        </w:rPr>
      </w:pPr>
    </w:p>
    <w:p>
      <w:pPr>
        <w:widowControl/>
        <w:snapToGrid w:val="0"/>
        <w:spacing w:line="360" w:lineRule="auto"/>
        <w:rPr>
          <w:rFonts w:ascii="仿宋" w:hAnsi="仿宋" w:eastAsia="仿宋" w:cs="仿宋"/>
          <w:color w:val="000000"/>
          <w:sz w:val="24"/>
          <w:szCs w:val="24"/>
          <w:u w:val="single"/>
        </w:rPr>
      </w:pPr>
    </w:p>
    <w:p>
      <w:pPr>
        <w:spacing w:line="480" w:lineRule="auto"/>
        <w:rPr>
          <w:rFonts w:ascii="黑体" w:hAnsi="黑体" w:eastAsia="黑体" w:cs="黑体"/>
          <w:color w:val="000000"/>
          <w:sz w:val="32"/>
          <w:szCs w:val="32"/>
        </w:rPr>
      </w:pPr>
    </w:p>
    <w:p>
      <w:pPr>
        <w:spacing w:line="480" w:lineRule="auto"/>
        <w:jc w:val="center"/>
        <w:rPr>
          <w:rFonts w:ascii="黑体" w:hAnsi="黑体" w:eastAsia="黑体" w:cs="黑体"/>
          <w:color w:val="000000"/>
          <w:sz w:val="32"/>
          <w:szCs w:val="32"/>
        </w:rPr>
      </w:pPr>
      <w:r>
        <w:rPr>
          <w:rFonts w:hint="eastAsia" w:ascii="黑体" w:hAnsi="黑体" w:eastAsia="黑体" w:cs="黑体"/>
          <w:color w:val="000000"/>
          <w:sz w:val="32"/>
          <w:szCs w:val="32"/>
        </w:rPr>
        <w:t>二〇一八年十</w:t>
      </w: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月</w:t>
      </w:r>
    </w:p>
    <w:p>
      <w:pPr>
        <w:widowControl/>
        <w:snapToGrid w:val="0"/>
        <w:spacing w:line="360" w:lineRule="auto"/>
        <w:rPr>
          <w:rFonts w:ascii="仿宋" w:hAnsi="仿宋" w:eastAsia="仿宋" w:cs="仿宋"/>
          <w:b/>
          <w:color w:val="000000"/>
          <w:sz w:val="24"/>
          <w:szCs w:val="24"/>
        </w:rPr>
      </w:pPr>
    </w:p>
    <w:p>
      <w:pPr>
        <w:rPr>
          <w:rFonts w:hint="eastAsia"/>
        </w:rPr>
      </w:pPr>
      <w:r>
        <w:rPr>
          <w:rFonts w:hint="eastAsia"/>
        </w:rPr>
        <w:t xml:space="preserve">  </w:t>
      </w:r>
    </w:p>
    <w:p>
      <w:pPr>
        <w:rPr>
          <w:rFonts w:hint="eastAsia"/>
        </w:rPr>
      </w:pPr>
    </w:p>
    <w:p>
      <w:pPr>
        <w:rPr>
          <w:rFonts w:hint="eastAsia"/>
        </w:rPr>
      </w:pPr>
    </w:p>
    <w:p>
      <w:pPr>
        <w:spacing w:line="360" w:lineRule="auto"/>
        <w:ind w:firstLine="480" w:firstLineChars="200"/>
        <w:rPr>
          <w:rFonts w:ascii="仿宋" w:hAnsi="仿宋" w:eastAsia="仿宋"/>
          <w:sz w:val="24"/>
          <w:szCs w:val="24"/>
        </w:rPr>
      </w:pPr>
      <w:bookmarkStart w:id="119" w:name="_Toc16938559"/>
      <w:bookmarkStart w:id="120" w:name="_Toc513029243"/>
      <w:bookmarkStart w:id="121" w:name="_Toc20823315"/>
      <w:r>
        <w:rPr>
          <w:rFonts w:hint="eastAsia" w:ascii="仿宋" w:hAnsi="仿宋" w:eastAsia="仿宋" w:cs="仿宋"/>
          <w:sz w:val="24"/>
          <w:szCs w:val="24"/>
        </w:rPr>
        <w:t>以下为中标后签定本项目合同的通用条款，中标人不得提出实质性的修改，关于专用条款将由采购人与中标人结合本项目具体情况协商后签订。</w:t>
      </w:r>
    </w:p>
    <w:bookmarkEnd w:id="119"/>
    <w:bookmarkEnd w:id="120"/>
    <w:bookmarkEnd w:id="121"/>
    <w:p>
      <w:pPr>
        <w:widowControl/>
        <w:snapToGrid w:val="0"/>
        <w:spacing w:before="19" w:line="520" w:lineRule="exact"/>
        <w:rPr>
          <w:rFonts w:ascii="仿宋" w:hAnsi="仿宋" w:eastAsia="仿宋"/>
          <w:b/>
          <w:bCs/>
          <w:color w:val="000000"/>
          <w:sz w:val="24"/>
          <w:szCs w:val="24"/>
          <w:u w:val="single"/>
        </w:rPr>
      </w:pPr>
      <w:r>
        <w:rPr>
          <w:rFonts w:hint="eastAsia" w:ascii="仿宋" w:hAnsi="仿宋" w:eastAsia="仿宋" w:cs="仿宋"/>
          <w:color w:val="000000"/>
          <w:sz w:val="24"/>
          <w:szCs w:val="24"/>
        </w:rPr>
        <w:t>甲方</w:t>
      </w:r>
      <w:r>
        <w:rPr>
          <w:rFonts w:ascii="仿宋" w:hAnsi="仿宋" w:eastAsia="仿宋" w:cs="仿宋"/>
          <w:color w:val="000000"/>
          <w:sz w:val="24"/>
          <w:szCs w:val="24"/>
        </w:rPr>
        <w:t>:</w:t>
      </w:r>
      <w:bookmarkStart w:id="122" w:name="purchase_name"/>
      <w:bookmarkEnd w:id="122"/>
      <w:bookmarkStart w:id="123" w:name="purchase_start"/>
      <w:bookmarkEnd w:id="123"/>
      <w:r>
        <w:rPr>
          <w:rFonts w:ascii="仿宋" w:hAnsi="仿宋" w:eastAsia="仿宋" w:cs="仿宋"/>
          <w:color w:val="000000"/>
          <w:sz w:val="24"/>
          <w:szCs w:val="24"/>
          <w:u w:val="single"/>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江苏省药品监督管理局</w:t>
      </w:r>
      <w:r>
        <w:rPr>
          <w:rFonts w:hint="eastAsia" w:ascii="仿宋" w:hAnsi="仿宋" w:eastAsia="仿宋" w:cs="仿宋"/>
          <w:color w:val="000000"/>
          <w:sz w:val="24"/>
          <w:szCs w:val="24"/>
          <w:u w:val="single"/>
        </w:rPr>
        <w:t xml:space="preserve"> </w:t>
      </w:r>
    </w:p>
    <w:p>
      <w:pPr>
        <w:widowControl/>
        <w:snapToGrid w:val="0"/>
        <w:spacing w:before="19" w:line="520" w:lineRule="exact"/>
        <w:rPr>
          <w:rFonts w:ascii="仿宋" w:hAnsi="仿宋" w:eastAsia="仿宋" w:cs="仿宋"/>
          <w:color w:val="000000"/>
          <w:sz w:val="24"/>
          <w:szCs w:val="24"/>
        </w:rPr>
      </w:pPr>
      <w:r>
        <w:rPr>
          <w:rFonts w:hint="eastAsia" w:ascii="仿宋" w:hAnsi="仿宋" w:eastAsia="仿宋" w:cs="仿宋"/>
          <w:color w:val="000000"/>
          <w:sz w:val="24"/>
          <w:szCs w:val="24"/>
        </w:rPr>
        <w:t>乙方</w:t>
      </w:r>
      <w:r>
        <w:rPr>
          <w:rFonts w:ascii="仿宋" w:hAnsi="仿宋" w:eastAsia="仿宋" w:cs="仿宋"/>
          <w:color w:val="000000"/>
          <w:sz w:val="24"/>
          <w:szCs w:val="24"/>
        </w:rPr>
        <w:t>:</w:t>
      </w:r>
      <w:bookmarkStart w:id="124" w:name="suppliers_name"/>
      <w:bookmarkEnd w:id="124"/>
      <w:r>
        <w:rPr>
          <w:rFonts w:ascii="仿宋" w:hAnsi="仿宋" w:eastAsia="仿宋" w:cs="仿宋"/>
          <w:color w:val="000000"/>
          <w:sz w:val="24"/>
          <w:szCs w:val="24"/>
          <w:u w:val="single"/>
        </w:rPr>
        <w:t xml:space="preserve"> </w:t>
      </w:r>
      <w:r>
        <w:rPr>
          <w:rFonts w:hint="eastAsia" w:ascii="仿宋" w:hAnsi="仿宋" w:eastAsia="仿宋" w:cs="仿宋"/>
          <w:color w:val="000000"/>
          <w:sz w:val="24"/>
          <w:szCs w:val="24"/>
          <w:u w:val="single"/>
        </w:rPr>
        <w:t xml:space="preserve">                        </w:t>
      </w:r>
      <w:r>
        <w:rPr>
          <w:rFonts w:ascii="仿宋" w:hAnsi="仿宋" w:eastAsia="仿宋" w:cs="仿宋"/>
          <w:color w:val="000000"/>
          <w:sz w:val="24"/>
          <w:szCs w:val="24"/>
          <w:u w:val="single"/>
        </w:rPr>
        <w:t xml:space="preserve">  </w:t>
      </w:r>
      <w:r>
        <w:rPr>
          <w:rFonts w:ascii="仿宋" w:hAnsi="仿宋" w:eastAsia="仿宋" w:cs="仿宋"/>
          <w:color w:val="000000"/>
          <w:sz w:val="24"/>
          <w:szCs w:val="24"/>
        </w:rPr>
        <w:t xml:space="preserve">                </w:t>
      </w:r>
    </w:p>
    <w:p>
      <w:pPr>
        <w:widowControl/>
        <w:snapToGrid w:val="0"/>
        <w:spacing w:before="19" w:line="360" w:lineRule="auto"/>
        <w:ind w:left="479" w:leftChars="228" w:firstLine="204" w:firstLineChars="85"/>
        <w:rPr>
          <w:rFonts w:ascii="仿宋" w:hAnsi="仿宋" w:eastAsia="仿宋" w:cs="仿宋"/>
          <w:color w:val="000000"/>
          <w:sz w:val="24"/>
          <w:szCs w:val="24"/>
        </w:rPr>
      </w:pPr>
      <w:r>
        <w:rPr>
          <w:rFonts w:hint="eastAsia" w:ascii="仿宋" w:hAnsi="仿宋" w:eastAsia="仿宋" w:cs="仿宋"/>
          <w:color w:val="000000"/>
          <w:sz w:val="24"/>
          <w:szCs w:val="24"/>
        </w:rPr>
        <w:t>甲乙双方根据</w:t>
      </w:r>
      <w:r>
        <w:rPr>
          <w:rFonts w:ascii="仿宋" w:hAnsi="仿宋" w:eastAsia="仿宋" w:cs="仿宋"/>
          <w:color w:val="000000"/>
          <w:sz w:val="24"/>
          <w:szCs w:val="24"/>
          <w:u w:val="single"/>
        </w:rPr>
        <w:t xml:space="preserve"> 2018</w:t>
      </w:r>
      <w:r>
        <w:rPr>
          <w:rFonts w:hint="eastAsia" w:ascii="仿宋" w:hAnsi="仿宋" w:eastAsia="仿宋" w:cs="仿宋"/>
          <w:color w:val="000000"/>
          <w:sz w:val="24"/>
          <w:szCs w:val="24"/>
          <w:u w:val="single"/>
        </w:rPr>
        <w:t>年  月  日(</w:t>
      </w:r>
      <w:r>
        <w:rPr>
          <w:rFonts w:hint="eastAsia" w:ascii="仿宋" w:hAnsi="仿宋" w:eastAsia="仿宋" w:cs="仿宋"/>
          <w:color w:val="000000"/>
          <w:sz w:val="24"/>
          <w:szCs w:val="24"/>
        </w:rPr>
        <w:t>政府采购编号</w:t>
      </w:r>
      <w:r>
        <w:rPr>
          <w:rFonts w:hint="eastAsia" w:ascii="仿宋" w:hAnsi="仿宋" w:eastAsia="仿宋" w:cs="仿宋"/>
          <w:color w:val="000000"/>
          <w:sz w:val="24"/>
          <w:szCs w:val="24"/>
          <w:u w:val="single"/>
          <w:lang w:eastAsia="zh-CN"/>
        </w:rPr>
        <w:t>QC-2018120313H</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关于省药监局等级保护整改服务项目</w:t>
      </w:r>
      <w:r>
        <w:rPr>
          <w:rFonts w:hint="eastAsia" w:ascii="仿宋" w:hAnsi="仿宋" w:eastAsia="仿宋" w:cs="仿宋"/>
          <w:color w:val="auto"/>
          <w:sz w:val="24"/>
          <w:szCs w:val="24"/>
          <w:u w:val="single"/>
        </w:rPr>
        <w:t>竞争性磋商</w:t>
      </w:r>
      <w:r>
        <w:rPr>
          <w:rFonts w:hint="eastAsia" w:ascii="仿宋" w:hAnsi="仿宋" w:eastAsia="仿宋" w:cs="仿宋"/>
          <w:color w:val="000000"/>
          <w:sz w:val="24"/>
          <w:szCs w:val="24"/>
        </w:rPr>
        <w:t>采购结果及</w:t>
      </w:r>
      <w:r>
        <w:rPr>
          <w:rFonts w:hint="eastAsia" w:ascii="仿宋" w:hAnsi="仿宋" w:eastAsia="仿宋" w:cs="仿宋"/>
          <w:color w:val="000000"/>
          <w:sz w:val="24"/>
          <w:szCs w:val="24"/>
          <w:lang w:eastAsia="zh-CN"/>
        </w:rPr>
        <w:t>磋商</w:t>
      </w:r>
      <w:r>
        <w:rPr>
          <w:rFonts w:hint="eastAsia" w:ascii="仿宋" w:hAnsi="仿宋" w:eastAsia="仿宋" w:cs="仿宋"/>
          <w:color w:val="000000"/>
          <w:sz w:val="24"/>
          <w:szCs w:val="24"/>
        </w:rPr>
        <w:t>文件的要求</w:t>
      </w:r>
      <w:r>
        <w:rPr>
          <w:rFonts w:ascii="仿宋" w:hAnsi="仿宋" w:eastAsia="仿宋" w:cs="仿宋"/>
          <w:color w:val="000000"/>
          <w:sz w:val="24"/>
          <w:szCs w:val="24"/>
        </w:rPr>
        <w:t>,</w:t>
      </w:r>
      <w:r>
        <w:rPr>
          <w:rFonts w:hint="eastAsia" w:ascii="仿宋" w:hAnsi="仿宋" w:eastAsia="仿宋" w:cs="仿宋"/>
          <w:color w:val="000000"/>
          <w:sz w:val="24"/>
          <w:szCs w:val="24"/>
        </w:rPr>
        <w:t>经协商一致</w:t>
      </w:r>
      <w:r>
        <w:rPr>
          <w:rFonts w:ascii="仿宋" w:hAnsi="仿宋" w:eastAsia="仿宋" w:cs="仿宋"/>
          <w:color w:val="000000"/>
          <w:sz w:val="24"/>
          <w:szCs w:val="24"/>
        </w:rPr>
        <w:t>,</w:t>
      </w:r>
      <w:r>
        <w:rPr>
          <w:rFonts w:hint="eastAsia" w:ascii="仿宋" w:hAnsi="仿宋" w:eastAsia="仿宋" w:cs="仿宋"/>
          <w:color w:val="000000"/>
          <w:sz w:val="24"/>
          <w:szCs w:val="24"/>
        </w:rPr>
        <w:t>达成如下购销合同</w:t>
      </w:r>
      <w:r>
        <w:rPr>
          <w:rFonts w:ascii="仿宋" w:hAnsi="仿宋" w:eastAsia="仿宋" w:cs="仿宋"/>
          <w:color w:val="000000"/>
          <w:sz w:val="24"/>
          <w:szCs w:val="24"/>
        </w:rPr>
        <w:t>:</w:t>
      </w:r>
    </w:p>
    <w:p>
      <w:pPr>
        <w:spacing w:line="360" w:lineRule="auto"/>
        <w:rPr>
          <w:rFonts w:ascii="仿宋" w:hAnsi="仿宋" w:eastAsia="仿宋" w:cs="Times New Roman"/>
          <w:b/>
          <w:bCs/>
          <w:sz w:val="24"/>
        </w:rPr>
      </w:pPr>
      <w:r>
        <w:rPr>
          <w:rFonts w:hint="eastAsia" w:ascii="仿宋" w:hAnsi="仿宋" w:eastAsia="仿宋" w:cs="仿宋"/>
          <w:b/>
          <w:bCs/>
          <w:sz w:val="24"/>
        </w:rPr>
        <w:t>一、采购标的</w:t>
      </w:r>
    </w:p>
    <w:p>
      <w:pPr>
        <w:tabs>
          <w:tab w:val="left" w:pos="375"/>
        </w:tabs>
        <w:autoSpaceDE w:val="0"/>
        <w:autoSpaceDN w:val="0"/>
        <w:adjustRightInd w:val="0"/>
        <w:spacing w:line="360" w:lineRule="auto"/>
        <w:ind w:firstLine="420"/>
        <w:jc w:val="left"/>
        <w:rPr>
          <w:rFonts w:ascii="仿宋" w:hAnsi="仿宋" w:eastAsia="仿宋" w:cs="Times New Roman"/>
          <w:sz w:val="24"/>
          <w:lang w:val="zh-CN"/>
        </w:rPr>
      </w:pPr>
      <w:r>
        <w:rPr>
          <w:rFonts w:hint="eastAsia" w:ascii="仿宋" w:hAnsi="仿宋" w:eastAsia="仿宋" w:cs="仿宋"/>
          <w:sz w:val="24"/>
          <w:lang w:val="zh-CN"/>
        </w:rPr>
        <w:t>服务名称：省药监局等级保护整改服务项目</w:t>
      </w:r>
    </w:p>
    <w:p>
      <w:pPr>
        <w:autoSpaceDE w:val="0"/>
        <w:autoSpaceDN w:val="0"/>
        <w:adjustRightInd w:val="0"/>
        <w:spacing w:line="360" w:lineRule="auto"/>
        <w:ind w:firstLine="420"/>
        <w:jc w:val="left"/>
        <w:rPr>
          <w:rFonts w:ascii="仿宋" w:hAnsi="仿宋" w:eastAsia="仿宋" w:cs="Times New Roman"/>
          <w:sz w:val="24"/>
          <w:lang w:val="zh-CN"/>
        </w:rPr>
      </w:pPr>
      <w:r>
        <w:rPr>
          <w:rFonts w:hint="eastAsia" w:ascii="仿宋" w:hAnsi="仿宋" w:eastAsia="仿宋" w:cs="仿宋"/>
          <w:sz w:val="24"/>
          <w:lang w:val="zh-CN"/>
        </w:rPr>
        <w:t>服务内容：参照招标文件的具体要求。</w:t>
      </w:r>
    </w:p>
    <w:p>
      <w:pPr>
        <w:autoSpaceDE w:val="0"/>
        <w:autoSpaceDN w:val="0"/>
        <w:adjustRightInd w:val="0"/>
        <w:spacing w:line="360" w:lineRule="auto"/>
        <w:ind w:firstLine="420"/>
        <w:jc w:val="left"/>
        <w:rPr>
          <w:rFonts w:hint="eastAsia" w:ascii="仿宋" w:hAnsi="仿宋" w:eastAsia="仿宋" w:cs="仿宋"/>
          <w:sz w:val="24"/>
          <w:lang w:val="zh-CN"/>
        </w:rPr>
      </w:pPr>
      <w:r>
        <w:rPr>
          <w:rFonts w:hint="eastAsia" w:ascii="仿宋" w:hAnsi="仿宋" w:eastAsia="仿宋" w:cs="仿宋"/>
          <w:sz w:val="24"/>
          <w:lang w:val="zh-CN"/>
        </w:rPr>
        <w:t>交货期</w:t>
      </w:r>
      <w:r>
        <w:rPr>
          <w:rFonts w:hint="eastAsia" w:ascii="仿宋" w:hAnsi="仿宋" w:eastAsia="仿宋" w:cs="仿宋"/>
          <w:sz w:val="24"/>
          <w:lang w:val="en-US" w:eastAsia="zh-CN"/>
        </w:rPr>
        <w:t xml:space="preserve"> </w:t>
      </w:r>
      <w:r>
        <w:rPr>
          <w:rFonts w:hint="eastAsia" w:ascii="仿宋" w:hAnsi="仿宋" w:eastAsia="仿宋" w:cs="仿宋"/>
          <w:sz w:val="24"/>
          <w:lang w:val="zh-CN"/>
        </w:rPr>
        <w:t>：合同签订后</w:t>
      </w:r>
      <w:r>
        <w:rPr>
          <w:rFonts w:hint="eastAsia" w:ascii="仿宋" w:hAnsi="仿宋" w:eastAsia="仿宋" w:cs="仿宋"/>
          <w:sz w:val="24"/>
          <w:u w:val="single"/>
          <w:lang w:val="en-US" w:eastAsia="zh-CN"/>
        </w:rPr>
        <w:t xml:space="preserve">      </w:t>
      </w:r>
      <w:r>
        <w:rPr>
          <w:rFonts w:hint="eastAsia" w:ascii="仿宋" w:hAnsi="仿宋" w:eastAsia="仿宋" w:cs="仿宋"/>
          <w:sz w:val="24"/>
          <w:lang w:val="zh-CN" w:eastAsia="zh-CN"/>
        </w:rPr>
        <w:t>天</w:t>
      </w:r>
      <w:r>
        <w:rPr>
          <w:rFonts w:hint="eastAsia" w:ascii="仿宋" w:hAnsi="仿宋" w:eastAsia="仿宋" w:cs="仿宋"/>
          <w:sz w:val="24"/>
          <w:lang w:val="zh-CN"/>
        </w:rPr>
        <w:t>。</w:t>
      </w:r>
    </w:p>
    <w:p>
      <w:pPr>
        <w:autoSpaceDE w:val="0"/>
        <w:autoSpaceDN w:val="0"/>
        <w:adjustRightInd w:val="0"/>
        <w:spacing w:line="360" w:lineRule="auto"/>
        <w:ind w:firstLine="420"/>
        <w:jc w:val="left"/>
        <w:rPr>
          <w:rFonts w:hint="eastAsia" w:ascii="仿宋" w:hAnsi="仿宋" w:eastAsia="仿宋" w:cs="仿宋"/>
          <w:sz w:val="24"/>
          <w:lang w:val="zh-CN"/>
        </w:rPr>
      </w:pPr>
      <w:r>
        <w:rPr>
          <w:rFonts w:hint="eastAsia" w:ascii="仿宋" w:hAnsi="仿宋" w:eastAsia="仿宋" w:cs="仿宋"/>
          <w:sz w:val="24"/>
          <w:lang w:val="zh-CN"/>
        </w:rPr>
        <w:t>质保期</w:t>
      </w:r>
      <w:r>
        <w:rPr>
          <w:rFonts w:hint="eastAsia" w:ascii="仿宋" w:hAnsi="仿宋" w:eastAsia="仿宋" w:cs="仿宋"/>
          <w:sz w:val="24"/>
          <w:lang w:val="en-US" w:eastAsia="zh-CN"/>
        </w:rPr>
        <w:t xml:space="preserve"> </w:t>
      </w:r>
      <w:r>
        <w:rPr>
          <w:rFonts w:hint="eastAsia" w:ascii="仿宋" w:hAnsi="仿宋" w:eastAsia="仿宋" w:cs="仿宋"/>
          <w:sz w:val="24"/>
          <w:lang w:val="zh-CN"/>
        </w:rPr>
        <w:t>：合同签订后</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lang w:val="zh-CN" w:eastAsia="zh-CN"/>
        </w:rPr>
        <w:t>天</w:t>
      </w:r>
      <w:r>
        <w:rPr>
          <w:rFonts w:hint="eastAsia" w:ascii="仿宋" w:hAnsi="仿宋" w:eastAsia="仿宋" w:cs="仿宋"/>
          <w:sz w:val="24"/>
          <w:lang w:val="zh-CN"/>
        </w:rPr>
        <w:t>。</w:t>
      </w:r>
    </w:p>
    <w:p>
      <w:pPr>
        <w:autoSpaceDE w:val="0"/>
        <w:autoSpaceDN w:val="0"/>
        <w:adjustRightInd w:val="0"/>
        <w:spacing w:line="360" w:lineRule="auto"/>
        <w:ind w:firstLine="420"/>
        <w:jc w:val="left"/>
        <w:rPr>
          <w:rFonts w:ascii="仿宋" w:hAnsi="仿宋" w:eastAsia="仿宋" w:cs="Times New Roman"/>
          <w:sz w:val="24"/>
          <w:lang w:val="zh-CN"/>
        </w:rPr>
      </w:pPr>
      <w:r>
        <w:rPr>
          <w:rFonts w:hint="eastAsia" w:ascii="仿宋" w:hAnsi="仿宋" w:eastAsia="仿宋" w:cs="仿宋"/>
          <w:sz w:val="24"/>
          <w:lang w:val="zh-CN"/>
        </w:rPr>
        <w:t>补充条款：</w:t>
      </w:r>
      <w:r>
        <w:rPr>
          <w:rFonts w:ascii="仿宋" w:hAnsi="仿宋" w:eastAsia="仿宋" w:cs="仿宋"/>
          <w:sz w:val="24"/>
          <w:u w:val="single"/>
          <w:lang w:val="zh-CN"/>
        </w:rPr>
        <w:t xml:space="preserve">                  </w:t>
      </w:r>
      <w:r>
        <w:rPr>
          <w:rFonts w:hint="eastAsia" w:ascii="仿宋" w:hAnsi="仿宋" w:eastAsia="仿宋" w:cs="仿宋"/>
          <w:sz w:val="24"/>
          <w:lang w:val="zh-CN"/>
        </w:rPr>
        <w:t>。</w:t>
      </w:r>
    </w:p>
    <w:p>
      <w:pPr>
        <w:widowControl/>
        <w:numPr>
          <w:ilvl w:val="0"/>
          <w:numId w:val="3"/>
        </w:numPr>
        <w:snapToGrid w:val="0"/>
        <w:spacing w:before="19" w:line="360" w:lineRule="auto"/>
        <w:rPr>
          <w:rFonts w:hint="eastAsia" w:ascii="仿宋" w:hAnsi="仿宋" w:eastAsia="仿宋" w:cs="仿宋"/>
          <w:b/>
          <w:bCs/>
          <w:sz w:val="24"/>
        </w:rPr>
      </w:pPr>
      <w:r>
        <w:rPr>
          <w:rFonts w:hint="eastAsia" w:ascii="仿宋" w:hAnsi="仿宋" w:eastAsia="仿宋" w:cs="仿宋"/>
          <w:b/>
          <w:bCs/>
          <w:sz w:val="24"/>
        </w:rPr>
        <w:t>合同履行：</w:t>
      </w:r>
    </w:p>
    <w:p>
      <w:pPr>
        <w:widowControl/>
        <w:numPr>
          <w:ilvl w:val="0"/>
          <w:numId w:val="0"/>
        </w:numPr>
        <w:snapToGrid w:val="0"/>
        <w:spacing w:before="19"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本合同价款</w:t>
      </w:r>
      <w:r>
        <w:rPr>
          <w:rFonts w:hint="eastAsia" w:ascii="仿宋" w:hAnsi="仿宋" w:eastAsia="仿宋" w:cs="仿宋"/>
          <w:color w:val="auto"/>
          <w:sz w:val="24"/>
          <w:szCs w:val="24"/>
          <w:lang w:val="en-US" w:eastAsia="zh-CN"/>
        </w:rPr>
        <w:t>为</w:t>
      </w:r>
      <w:r>
        <w:rPr>
          <w:rFonts w:hint="eastAsia" w:ascii="仿宋" w:hAnsi="仿宋" w:eastAsia="仿宋" w:cs="仿宋"/>
          <w:color w:val="auto"/>
          <w:sz w:val="24"/>
          <w:szCs w:val="24"/>
        </w:rPr>
        <w:t>人民币￥</w:t>
      </w:r>
      <w:bookmarkStart w:id="125" w:name="hetong_money"/>
      <w:bookmarkEnd w:id="125"/>
      <w:r>
        <w:rPr>
          <w:rFonts w:hint="eastAsia" w:ascii="仿宋" w:hAnsi="仿宋" w:eastAsia="仿宋" w:cs="仿宋"/>
          <w:color w:val="auto"/>
          <w:sz w:val="24"/>
          <w:szCs w:val="24"/>
          <w:u w:val="single"/>
        </w:rPr>
        <w:t xml:space="preserve">     元</w:t>
      </w:r>
      <w:r>
        <w:rPr>
          <w:rFonts w:hint="eastAsia" w:ascii="仿宋" w:hAnsi="仿宋" w:eastAsia="仿宋" w:cs="仿宋"/>
          <w:color w:val="auto"/>
          <w:sz w:val="24"/>
          <w:szCs w:val="24"/>
        </w:rPr>
        <w:t>，大写</w:t>
      </w:r>
      <w:bookmarkStart w:id="126" w:name="hetong_bigmoney"/>
      <w:bookmarkEnd w:id="126"/>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eastAsia="zh-CN"/>
        </w:rPr>
        <w:t>元</w:t>
      </w:r>
      <w:r>
        <w:rPr>
          <w:rFonts w:hint="eastAsia" w:ascii="仿宋" w:hAnsi="仿宋" w:eastAsia="仿宋" w:cs="仿宋"/>
          <w:color w:val="auto"/>
          <w:sz w:val="24"/>
          <w:szCs w:val="24"/>
          <w:u w:val="single"/>
        </w:rPr>
        <w:t>整</w:t>
      </w:r>
      <w:r>
        <w:rPr>
          <w:rFonts w:hint="eastAsia" w:ascii="仿宋" w:hAnsi="仿宋" w:eastAsia="仿宋" w:cs="仿宋"/>
          <w:color w:val="auto"/>
          <w:sz w:val="24"/>
          <w:szCs w:val="24"/>
        </w:rPr>
        <w:t>。</w:t>
      </w:r>
    </w:p>
    <w:p>
      <w:pPr>
        <w:widowControl/>
        <w:snapToGrid w:val="0"/>
        <w:spacing w:before="19" w:line="360" w:lineRule="auto"/>
        <w:ind w:firstLine="480" w:firstLineChars="200"/>
        <w:rPr>
          <w:rFonts w:ascii="仿宋" w:hAnsi="仿宋" w:eastAsia="仿宋" w:cs="Times New Roman"/>
          <w:b/>
          <w:bCs/>
          <w:sz w:val="24"/>
        </w:rPr>
      </w:pPr>
      <w:r>
        <w:rPr>
          <w:rFonts w:hint="eastAsia" w:ascii="仿宋" w:hAnsi="仿宋" w:eastAsia="仿宋" w:cs="仿宋"/>
          <w:color w:val="auto"/>
          <w:sz w:val="24"/>
          <w:szCs w:val="24"/>
        </w:rPr>
        <w:t>本合同价款包含所有乙方提供合同约定的服务内容的报酬及乙方提供该项服务所支出的必要费用，甲方在上述合同价款之外不再向乙方支付其他任何费用。</w:t>
      </w:r>
    </w:p>
    <w:p>
      <w:pPr>
        <w:autoSpaceDE w:val="0"/>
        <w:autoSpaceDN w:val="0"/>
        <w:adjustRightInd w:val="0"/>
        <w:spacing w:line="360" w:lineRule="auto"/>
        <w:jc w:val="left"/>
        <w:rPr>
          <w:rFonts w:ascii="仿宋" w:hAnsi="仿宋" w:eastAsia="仿宋" w:cs="Times New Roman"/>
          <w:sz w:val="24"/>
          <w:lang w:val="zh-CN"/>
        </w:rPr>
      </w:pPr>
      <w:r>
        <w:rPr>
          <w:rFonts w:hint="eastAsia" w:ascii="仿宋" w:hAnsi="仿宋" w:eastAsia="仿宋" w:cs="仿宋"/>
          <w:b/>
          <w:bCs/>
          <w:sz w:val="24"/>
        </w:rPr>
        <w:t>三、验收：</w:t>
      </w:r>
      <w:r>
        <w:rPr>
          <w:rFonts w:hint="eastAsia" w:ascii="仿宋" w:hAnsi="仿宋" w:eastAsia="仿宋" w:cs="仿宋"/>
          <w:sz w:val="24"/>
          <w:lang w:val="zh-CN"/>
        </w:rPr>
        <w:t>甲方在合同履行期间，有权依照招标文件相关要求对乙方提供的相关服务或交付的工作成果进行阶段性验收及</w:t>
      </w:r>
      <w:r>
        <w:rPr>
          <w:rFonts w:ascii="仿宋" w:hAnsi="仿宋" w:eastAsia="仿宋" w:cs="仿宋"/>
          <w:sz w:val="24"/>
          <w:lang w:val="zh-CN"/>
        </w:rPr>
        <w:t>/</w:t>
      </w:r>
      <w:r>
        <w:rPr>
          <w:rFonts w:hint="eastAsia" w:ascii="仿宋" w:hAnsi="仿宋" w:eastAsia="仿宋" w:cs="仿宋"/>
          <w:sz w:val="24"/>
          <w:lang w:val="zh-CN"/>
        </w:rPr>
        <w:t>或总体验收。如需委托第三方验收，第三方指：</w:t>
      </w:r>
      <w:r>
        <w:rPr>
          <w:rFonts w:ascii="仿宋" w:hAnsi="仿宋" w:eastAsia="仿宋" w:cs="仿宋"/>
          <w:sz w:val="24"/>
          <w:u w:val="single"/>
          <w:lang w:val="zh-CN"/>
        </w:rPr>
        <w:t xml:space="preserve">        </w:t>
      </w:r>
      <w:r>
        <w:rPr>
          <w:rFonts w:hint="eastAsia" w:ascii="仿宋" w:hAnsi="仿宋" w:eastAsia="仿宋" w:cs="仿宋"/>
          <w:sz w:val="24"/>
          <w:lang w:val="zh-CN"/>
        </w:rPr>
        <w:t>，验收费用由甲方承担。因乙方提供的服务不符合标准导致甲方重复支出的验收费用，由乙方承担。</w:t>
      </w:r>
    </w:p>
    <w:p>
      <w:pPr>
        <w:autoSpaceDE w:val="0"/>
        <w:autoSpaceDN w:val="0"/>
        <w:adjustRightInd w:val="0"/>
        <w:spacing w:line="360" w:lineRule="auto"/>
        <w:ind w:firstLine="420"/>
        <w:jc w:val="left"/>
        <w:rPr>
          <w:rFonts w:ascii="仿宋" w:hAnsi="仿宋" w:eastAsia="仿宋" w:cs="Times New Roman"/>
          <w:sz w:val="24"/>
          <w:lang w:val="zh-CN"/>
        </w:rPr>
      </w:pPr>
      <w:r>
        <w:rPr>
          <w:rFonts w:hint="eastAsia" w:ascii="仿宋" w:hAnsi="仿宋" w:eastAsia="仿宋" w:cs="仿宋"/>
          <w:sz w:val="24"/>
          <w:lang w:val="zh-CN"/>
        </w:rPr>
        <w:t>经验收不合格的，乙方应当按照甲方要求在指定的合理期限内进行整改和完善，直至符合招标文件要求的相关标准。逾期不予整改或经整改仍不能符合相关要求，或者导致合同目的无法实现，甲方有权依照法律程序解除合同，并追究乙方违约责任。</w:t>
      </w:r>
    </w:p>
    <w:p>
      <w:pPr>
        <w:spacing w:line="360" w:lineRule="auto"/>
        <w:rPr>
          <w:rFonts w:ascii="仿宋" w:hAnsi="仿宋" w:eastAsia="仿宋" w:cs="Times New Roman"/>
          <w:sz w:val="24"/>
        </w:rPr>
      </w:pPr>
      <w:r>
        <w:rPr>
          <w:rFonts w:hint="eastAsia" w:ascii="仿宋" w:hAnsi="仿宋" w:eastAsia="仿宋" w:cs="仿宋"/>
          <w:b/>
          <w:bCs/>
          <w:sz w:val="24"/>
        </w:rPr>
        <w:t>四、履约保证金</w:t>
      </w:r>
      <w:r>
        <w:rPr>
          <w:rFonts w:hint="eastAsia" w:ascii="仿宋" w:hAnsi="仿宋" w:eastAsia="仿宋" w:cs="仿宋"/>
          <w:sz w:val="24"/>
        </w:rPr>
        <w:t>：</w:t>
      </w:r>
    </w:p>
    <w:p>
      <w:pPr>
        <w:autoSpaceDE w:val="0"/>
        <w:autoSpaceDN w:val="0"/>
        <w:adjustRightInd w:val="0"/>
        <w:spacing w:line="360" w:lineRule="auto"/>
        <w:ind w:firstLine="420"/>
        <w:jc w:val="left"/>
        <w:rPr>
          <w:rFonts w:ascii="仿宋" w:hAnsi="仿宋" w:eastAsia="仿宋" w:cs="Times New Roman"/>
          <w:sz w:val="24"/>
          <w:lang w:val="zh-CN"/>
        </w:rPr>
      </w:pPr>
      <w:r>
        <w:rPr>
          <w:rFonts w:ascii="仿宋" w:hAnsi="仿宋" w:eastAsia="仿宋" w:cs="仿宋"/>
          <w:sz w:val="24"/>
          <w:lang w:val="zh-CN"/>
        </w:rPr>
        <w:t>1</w:t>
      </w:r>
      <w:r>
        <w:rPr>
          <w:rFonts w:hint="eastAsia" w:ascii="仿宋" w:hAnsi="仿宋" w:eastAsia="仿宋" w:cs="仿宋"/>
          <w:sz w:val="24"/>
          <w:lang w:val="zh-CN"/>
        </w:rPr>
        <w:t>、乙方在签订本合同时其投标保证金自动转为履约保证金。</w:t>
      </w:r>
    </w:p>
    <w:p>
      <w:pPr>
        <w:autoSpaceDE w:val="0"/>
        <w:autoSpaceDN w:val="0"/>
        <w:adjustRightInd w:val="0"/>
        <w:spacing w:line="360" w:lineRule="auto"/>
        <w:ind w:firstLine="420"/>
        <w:jc w:val="left"/>
        <w:rPr>
          <w:rFonts w:ascii="仿宋" w:hAnsi="仿宋" w:eastAsia="仿宋" w:cs="Times New Roman"/>
          <w:sz w:val="24"/>
          <w:lang w:val="zh-CN"/>
        </w:rPr>
      </w:pPr>
      <w:r>
        <w:rPr>
          <w:rFonts w:ascii="仿宋" w:hAnsi="仿宋" w:eastAsia="仿宋" w:cs="仿宋"/>
          <w:sz w:val="24"/>
          <w:lang w:val="zh-CN"/>
        </w:rPr>
        <w:t>2</w:t>
      </w:r>
      <w:r>
        <w:rPr>
          <w:rFonts w:hint="eastAsia" w:ascii="仿宋" w:hAnsi="仿宋" w:eastAsia="仿宋" w:cs="仿宋"/>
          <w:sz w:val="24"/>
          <w:lang w:val="zh-CN"/>
        </w:rPr>
        <w:t>、履约保证金的有效期为该项目服务期满时止。</w:t>
      </w:r>
    </w:p>
    <w:p>
      <w:pPr>
        <w:autoSpaceDE w:val="0"/>
        <w:autoSpaceDN w:val="0"/>
        <w:adjustRightInd w:val="0"/>
        <w:spacing w:line="360" w:lineRule="auto"/>
        <w:ind w:firstLine="420"/>
        <w:jc w:val="left"/>
        <w:rPr>
          <w:rFonts w:ascii="仿宋" w:hAnsi="仿宋" w:eastAsia="仿宋" w:cs="Times New Roman"/>
          <w:sz w:val="24"/>
          <w:lang w:val="zh-CN"/>
        </w:rPr>
      </w:pPr>
      <w:r>
        <w:rPr>
          <w:rFonts w:ascii="仿宋" w:hAnsi="仿宋" w:eastAsia="仿宋" w:cs="仿宋"/>
          <w:sz w:val="24"/>
          <w:lang w:val="zh-CN"/>
        </w:rPr>
        <w:t>3</w:t>
      </w:r>
      <w:r>
        <w:rPr>
          <w:rFonts w:hint="eastAsia" w:ascii="仿宋" w:hAnsi="仿宋" w:eastAsia="仿宋" w:cs="仿宋"/>
          <w:sz w:val="24"/>
          <w:lang w:val="zh-CN"/>
        </w:rPr>
        <w:t>、如乙方未能履行合同规定的义务，甲方有权从履约保证金中取得补偿。</w:t>
      </w:r>
    </w:p>
    <w:p>
      <w:pPr>
        <w:spacing w:line="360" w:lineRule="auto"/>
        <w:ind w:firstLine="480" w:firstLineChars="200"/>
        <w:rPr>
          <w:rFonts w:hint="eastAsia" w:ascii="仿宋" w:hAnsi="仿宋" w:eastAsia="仿宋" w:cs="Times New Roman"/>
          <w:sz w:val="24"/>
          <w:lang w:val="en-US" w:eastAsia="zh-CN"/>
        </w:rPr>
      </w:pPr>
      <w:r>
        <w:rPr>
          <w:rFonts w:ascii="仿宋" w:hAnsi="仿宋" w:eastAsia="仿宋" w:cs="仿宋"/>
          <w:sz w:val="24"/>
          <w:lang w:val="zh-CN"/>
        </w:rPr>
        <w:t>4</w:t>
      </w:r>
      <w:r>
        <w:rPr>
          <w:rFonts w:hint="eastAsia" w:ascii="仿宋" w:hAnsi="仿宋" w:eastAsia="仿宋" w:cs="仿宋"/>
          <w:sz w:val="24"/>
          <w:lang w:val="zh-CN"/>
        </w:rPr>
        <w:t>、履约保证金扣除甲方应得的补偿后的余额在有效期满后七工作日内无息退还给乙方</w:t>
      </w:r>
      <w:r>
        <w:rPr>
          <w:rFonts w:hint="eastAsia" w:ascii="仿宋" w:hAnsi="仿宋" w:eastAsia="仿宋" w:cs="仿宋"/>
          <w:sz w:val="24"/>
          <w:lang w:val="en-US" w:eastAsia="zh-CN"/>
        </w:rPr>
        <w:t>。</w:t>
      </w:r>
    </w:p>
    <w:p>
      <w:pPr>
        <w:spacing w:line="360" w:lineRule="auto"/>
        <w:rPr>
          <w:rFonts w:ascii="仿宋" w:hAnsi="仿宋" w:eastAsia="仿宋" w:cs="Times New Roman"/>
          <w:sz w:val="24"/>
        </w:rPr>
      </w:pPr>
      <w:r>
        <w:rPr>
          <w:rFonts w:hint="eastAsia" w:ascii="仿宋" w:hAnsi="仿宋" w:eastAsia="仿宋" w:cs="仿宋"/>
          <w:b/>
          <w:bCs/>
          <w:sz w:val="24"/>
        </w:rPr>
        <w:t>五、付款</w:t>
      </w:r>
      <w:r>
        <w:rPr>
          <w:rFonts w:hint="eastAsia" w:ascii="仿宋" w:hAnsi="仿宋" w:eastAsia="仿宋" w:cs="仿宋"/>
          <w:sz w:val="24"/>
        </w:rPr>
        <w:t>：</w:t>
      </w:r>
    </w:p>
    <w:p>
      <w:pPr>
        <w:adjustRightInd w:val="0"/>
        <w:snapToGrid w:val="0"/>
        <w:spacing w:line="276"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1、合同签订之日起15个工作日内，采购人向中标供应商支付本合同总金额的50%作为预付款； </w:t>
      </w:r>
    </w:p>
    <w:p>
      <w:pPr>
        <w:adjustRightInd w:val="0"/>
        <w:snapToGrid w:val="0"/>
        <w:spacing w:line="276"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2、完成系统的</w:t>
      </w:r>
      <w:r>
        <w:rPr>
          <w:rFonts w:hint="eastAsia" w:ascii="仿宋" w:hAnsi="仿宋" w:eastAsia="仿宋" w:cs="仿宋"/>
          <w:color w:val="000000"/>
          <w:sz w:val="24"/>
          <w:szCs w:val="24"/>
          <w:lang w:eastAsia="zh-CN"/>
        </w:rPr>
        <w:t>整改</w:t>
      </w:r>
      <w:r>
        <w:rPr>
          <w:rFonts w:hint="eastAsia" w:ascii="仿宋" w:hAnsi="仿宋" w:eastAsia="仿宋" w:cs="仿宋"/>
          <w:color w:val="000000"/>
          <w:sz w:val="24"/>
          <w:szCs w:val="24"/>
        </w:rPr>
        <w:t>工作并提交《等级保护</w:t>
      </w:r>
      <w:r>
        <w:rPr>
          <w:rFonts w:hint="eastAsia" w:ascii="仿宋" w:hAnsi="仿宋" w:eastAsia="仿宋" w:cs="仿宋"/>
          <w:color w:val="000000"/>
          <w:sz w:val="24"/>
          <w:szCs w:val="24"/>
          <w:lang w:eastAsia="zh-CN"/>
        </w:rPr>
        <w:t>整改</w:t>
      </w:r>
      <w:r>
        <w:rPr>
          <w:rFonts w:hint="eastAsia" w:ascii="仿宋" w:hAnsi="仿宋" w:eastAsia="仿宋" w:cs="仿宋"/>
          <w:color w:val="000000"/>
          <w:sz w:val="24"/>
          <w:szCs w:val="24"/>
        </w:rPr>
        <w:t>报告》后15个工作日内，采购人向中标供应商支付本合同总金额的50%的尾款。</w:t>
      </w:r>
    </w:p>
    <w:p>
      <w:pPr>
        <w:numPr>
          <w:ilvl w:val="0"/>
          <w:numId w:val="0"/>
        </w:numPr>
        <w:spacing w:line="360" w:lineRule="auto"/>
        <w:rPr>
          <w:rFonts w:ascii="仿宋" w:hAnsi="仿宋" w:eastAsia="仿宋" w:cs="Times New Roman"/>
          <w:b/>
          <w:bCs/>
          <w:sz w:val="24"/>
        </w:rPr>
      </w:pPr>
      <w:r>
        <w:rPr>
          <w:rFonts w:hint="eastAsia" w:ascii="仿宋" w:hAnsi="仿宋" w:eastAsia="仿宋" w:cs="仿宋"/>
          <w:b/>
          <w:bCs/>
          <w:sz w:val="24"/>
        </w:rPr>
        <w:t>六、违约处理</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1、甲方未按合同规定的期限向乙方支付合同款的，每逾期1天甲方向乙方偿付欠款总额的5‰滞纳金，但累计滞纳金总额不超过欠款总额的5％。</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2、如乙方不能按照规定要求完成服务，甲方有权暂扣合同款直至完成服务；同时乙方应向甲方支付合同总价5％的违约金。</w:t>
      </w:r>
    </w:p>
    <w:p>
      <w:pPr>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3、乙方所提供的服务不符合合同规定的，或甲方满意度低于60%的，甲方有权中止合同或拒付后续合同款。</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4</w:t>
      </w:r>
      <w:r>
        <w:rPr>
          <w:rFonts w:hint="eastAsia" w:ascii="仿宋" w:hAnsi="仿宋" w:eastAsia="仿宋" w:cs="仿宋"/>
          <w:sz w:val="24"/>
          <w:lang w:val="zh-CN"/>
        </w:rPr>
        <w:t>、乙方虚假承诺，或是由于乙方的过错造成合同无法继续履行的，除扣除未完成的服务合同款外，还应向甲方支付不少于合同总价30％赔偿金。</w:t>
      </w:r>
    </w:p>
    <w:p>
      <w:pPr>
        <w:spacing w:line="360" w:lineRule="auto"/>
        <w:rPr>
          <w:rFonts w:ascii="仿宋" w:hAnsi="仿宋" w:eastAsia="仿宋" w:cs="Times New Roman"/>
          <w:sz w:val="24"/>
        </w:rPr>
      </w:pPr>
      <w:r>
        <w:rPr>
          <w:rFonts w:hint="eastAsia" w:ascii="仿宋" w:hAnsi="仿宋" w:eastAsia="仿宋" w:cs="仿宋"/>
          <w:b/>
          <w:bCs/>
          <w:sz w:val="24"/>
        </w:rPr>
        <w:t>七、合同纠纷处理：</w:t>
      </w:r>
      <w:r>
        <w:rPr>
          <w:rFonts w:hint="eastAsia" w:ascii="仿宋" w:hAnsi="仿宋" w:eastAsia="仿宋" w:cs="仿宋"/>
          <w:sz w:val="24"/>
        </w:rPr>
        <w:t>本合同执行过程中发生纠纷，由甲乙双方协商解决，若协商不成，作如下处理：</w:t>
      </w:r>
    </w:p>
    <w:p>
      <w:pPr>
        <w:spacing w:line="360" w:lineRule="auto"/>
        <w:ind w:firstLine="480" w:firstLineChars="200"/>
        <w:rPr>
          <w:rFonts w:ascii="仿宋" w:hAnsi="仿宋" w:eastAsia="仿宋" w:cs="Times New Roman"/>
          <w:sz w:val="24"/>
        </w:rPr>
      </w:pPr>
      <w:r>
        <w:rPr>
          <w:rFonts w:ascii="仿宋" w:hAnsi="仿宋" w:eastAsia="仿宋" w:cs="仿宋"/>
          <w:sz w:val="24"/>
        </w:rPr>
        <w:t>1</w:t>
      </w:r>
      <w:r>
        <w:rPr>
          <w:rFonts w:hint="eastAsia" w:ascii="仿宋" w:hAnsi="仿宋" w:eastAsia="仿宋" w:cs="仿宋"/>
          <w:sz w:val="24"/>
        </w:rPr>
        <w:t>、提起诉讼。约定由采购人所在地南京市法院管辖。</w:t>
      </w:r>
    </w:p>
    <w:p>
      <w:pPr>
        <w:spacing w:line="360" w:lineRule="auto"/>
        <w:rPr>
          <w:rFonts w:ascii="仿宋" w:hAnsi="仿宋" w:eastAsia="仿宋" w:cs="Times New Roman"/>
          <w:sz w:val="24"/>
        </w:rPr>
      </w:pPr>
      <w:r>
        <w:rPr>
          <w:rFonts w:hint="eastAsia" w:ascii="仿宋" w:hAnsi="仿宋" w:eastAsia="仿宋" w:cs="仿宋"/>
          <w:b/>
          <w:bCs/>
          <w:sz w:val="24"/>
        </w:rPr>
        <w:t>八、合同生效：</w:t>
      </w:r>
      <w:r>
        <w:rPr>
          <w:rFonts w:hint="eastAsia" w:ascii="仿宋" w:hAnsi="仿宋" w:eastAsia="仿宋" w:cs="仿宋"/>
          <w:sz w:val="24"/>
        </w:rPr>
        <w:t>本合同由甲乙双方签字盖章后生效。</w:t>
      </w:r>
    </w:p>
    <w:p>
      <w:pPr>
        <w:spacing w:line="360" w:lineRule="auto"/>
        <w:rPr>
          <w:rFonts w:ascii="仿宋" w:hAnsi="仿宋" w:eastAsia="仿宋" w:cs="Times New Roman"/>
          <w:b/>
          <w:bCs/>
          <w:sz w:val="24"/>
        </w:rPr>
      </w:pPr>
      <w:r>
        <w:rPr>
          <w:rFonts w:hint="eastAsia" w:ascii="仿宋" w:hAnsi="仿宋" w:eastAsia="仿宋" w:cs="仿宋"/>
          <w:b/>
          <w:bCs/>
          <w:sz w:val="24"/>
        </w:rPr>
        <w:t>九、合同鉴证：</w:t>
      </w:r>
      <w:r>
        <w:rPr>
          <w:rFonts w:hint="eastAsia" w:ascii="仿宋" w:hAnsi="仿宋" w:eastAsia="仿宋" w:cs="仿宋"/>
          <w:sz w:val="24"/>
        </w:rPr>
        <w:t>招标代理机构应当在本合同上签章，以证明本合同条款与招标文件、投标文件的相关要求相符并且未对采购货进行实质性修改。</w:t>
      </w:r>
    </w:p>
    <w:p>
      <w:pPr>
        <w:spacing w:line="360" w:lineRule="auto"/>
        <w:rPr>
          <w:rFonts w:ascii="仿宋" w:hAnsi="仿宋" w:eastAsia="仿宋" w:cs="Times New Roman"/>
          <w:sz w:val="24"/>
        </w:rPr>
      </w:pPr>
      <w:r>
        <w:rPr>
          <w:rFonts w:hint="eastAsia" w:ascii="仿宋" w:hAnsi="仿宋" w:eastAsia="仿宋" w:cs="仿宋"/>
          <w:b/>
          <w:bCs/>
          <w:sz w:val="24"/>
        </w:rPr>
        <w:t>十、组成本合同的文件包括</w:t>
      </w:r>
      <w:r>
        <w:rPr>
          <w:rFonts w:hint="eastAsia" w:ascii="仿宋" w:hAnsi="仿宋" w:eastAsia="仿宋" w:cs="仿宋"/>
          <w:sz w:val="24"/>
        </w:rPr>
        <w:t>：</w:t>
      </w:r>
    </w:p>
    <w:p>
      <w:pPr>
        <w:spacing w:line="360" w:lineRule="auto"/>
        <w:rPr>
          <w:rFonts w:ascii="仿宋" w:hAnsi="仿宋" w:eastAsia="仿宋" w:cs="Times New Roman"/>
          <w:sz w:val="24"/>
        </w:rPr>
      </w:pPr>
      <w:r>
        <w:rPr>
          <w:rFonts w:hint="eastAsia" w:ascii="仿宋" w:hAnsi="仿宋" w:eastAsia="仿宋" w:cs="仿宋"/>
          <w:sz w:val="24"/>
        </w:rPr>
        <w:t>（一）合同通用条款和专用条款；</w:t>
      </w:r>
    </w:p>
    <w:p>
      <w:pPr>
        <w:spacing w:line="360" w:lineRule="auto"/>
        <w:rPr>
          <w:rFonts w:ascii="仿宋" w:hAnsi="仿宋" w:eastAsia="仿宋" w:cs="Times New Roman"/>
          <w:sz w:val="24"/>
        </w:rPr>
      </w:pPr>
      <w:r>
        <w:rPr>
          <w:rFonts w:hint="eastAsia" w:ascii="仿宋" w:hAnsi="仿宋" w:eastAsia="仿宋" w:cs="仿宋"/>
          <w:sz w:val="24"/>
        </w:rPr>
        <w:t>（二）招标文件和乙方的投标文件；</w:t>
      </w:r>
    </w:p>
    <w:p>
      <w:pPr>
        <w:spacing w:line="360" w:lineRule="auto"/>
        <w:rPr>
          <w:rFonts w:ascii="仿宋" w:hAnsi="仿宋" w:eastAsia="仿宋" w:cs="Times New Roman"/>
          <w:sz w:val="24"/>
        </w:rPr>
      </w:pPr>
      <w:r>
        <w:rPr>
          <w:rFonts w:hint="eastAsia" w:ascii="仿宋" w:hAnsi="仿宋" w:eastAsia="仿宋" w:cs="仿宋"/>
          <w:sz w:val="24"/>
        </w:rPr>
        <w:t>（三）中标通知书；</w:t>
      </w:r>
    </w:p>
    <w:p>
      <w:pPr>
        <w:spacing w:line="360" w:lineRule="auto"/>
        <w:rPr>
          <w:rFonts w:ascii="仿宋" w:hAnsi="仿宋" w:eastAsia="仿宋" w:cs="Times New Roman"/>
          <w:sz w:val="24"/>
        </w:rPr>
      </w:pPr>
      <w:r>
        <w:rPr>
          <w:rFonts w:hint="eastAsia" w:ascii="仿宋" w:hAnsi="仿宋" w:eastAsia="仿宋" w:cs="仿宋"/>
          <w:sz w:val="24"/>
        </w:rPr>
        <w:t>（四）甲乙双方商定的其他必要文件。</w:t>
      </w:r>
    </w:p>
    <w:p>
      <w:pPr>
        <w:spacing w:line="360" w:lineRule="auto"/>
        <w:rPr>
          <w:rFonts w:ascii="仿宋" w:hAnsi="仿宋" w:eastAsia="仿宋" w:cs="Times New Roman"/>
          <w:sz w:val="24"/>
        </w:rPr>
      </w:pPr>
      <w:r>
        <w:rPr>
          <w:rFonts w:hint="eastAsia" w:ascii="仿宋" w:hAnsi="仿宋" w:eastAsia="仿宋" w:cs="仿宋"/>
          <w:sz w:val="24"/>
        </w:rPr>
        <w:t>上述合同文件内容互为补充，如有不明确，由甲方负责解释。</w:t>
      </w:r>
    </w:p>
    <w:p>
      <w:pPr>
        <w:spacing w:line="360" w:lineRule="auto"/>
        <w:rPr>
          <w:rFonts w:ascii="仿宋" w:hAnsi="仿宋" w:eastAsia="仿宋" w:cs="Times New Roman"/>
          <w:b/>
          <w:bCs/>
          <w:sz w:val="24"/>
        </w:rPr>
      </w:pPr>
      <w:r>
        <w:rPr>
          <w:rFonts w:hint="eastAsia" w:ascii="仿宋" w:hAnsi="仿宋" w:eastAsia="仿宋" w:cs="仿宋"/>
          <w:b/>
          <w:bCs/>
          <w:sz w:val="24"/>
        </w:rPr>
        <w:t>十一、合同备案</w:t>
      </w:r>
    </w:p>
    <w:p>
      <w:pPr>
        <w:spacing w:line="360" w:lineRule="auto"/>
        <w:rPr>
          <w:rFonts w:hint="eastAsia" w:ascii="仿宋" w:hAnsi="仿宋" w:eastAsia="仿宋" w:cs="仿宋"/>
          <w:sz w:val="24"/>
          <w:szCs w:val="24"/>
        </w:rPr>
      </w:pPr>
      <w:r>
        <w:rPr>
          <w:rFonts w:hint="eastAsia" w:ascii="仿宋" w:hAnsi="仿宋" w:eastAsia="仿宋" w:cs="仿宋"/>
          <w:sz w:val="24"/>
        </w:rPr>
        <w:t>本合同一式</w:t>
      </w:r>
      <w:r>
        <w:rPr>
          <w:rFonts w:hint="eastAsia" w:ascii="仿宋" w:hAnsi="仿宋" w:eastAsia="仿宋" w:cs="仿宋"/>
          <w:sz w:val="24"/>
          <w:lang w:val="en-US" w:eastAsia="zh-CN"/>
        </w:rPr>
        <w:t>叁</w:t>
      </w:r>
      <w:r>
        <w:rPr>
          <w:rFonts w:hint="eastAsia" w:ascii="仿宋" w:hAnsi="仿宋" w:eastAsia="仿宋" w:cs="仿宋"/>
          <w:sz w:val="24"/>
        </w:rPr>
        <w:t>份，中文书写。甲乙双方、招标代理机构各执一份。</w:t>
      </w:r>
    </w:p>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甲方：</w:t>
      </w:r>
      <w:r>
        <w:rPr>
          <w:rFonts w:hint="eastAsia" w:ascii="仿宋" w:hAnsi="仿宋" w:eastAsia="仿宋" w:cs="仿宋"/>
          <w:color w:val="000000"/>
          <w:sz w:val="24"/>
          <w:szCs w:val="24"/>
          <w:u w:val="single"/>
        </w:rPr>
        <w:t xml:space="preserve">                   </w:t>
      </w:r>
      <w:r>
        <w:rPr>
          <w:rFonts w:hint="eastAsia" w:ascii="仿宋" w:hAnsi="仿宋" w:eastAsia="仿宋" w:cs="仿宋"/>
          <w:sz w:val="24"/>
          <w:szCs w:val="24"/>
        </w:rPr>
        <w:t>（盖章）</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地址：              </w:t>
      </w:r>
    </w:p>
    <w:p>
      <w:pPr>
        <w:spacing w:line="360" w:lineRule="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法定（授权）代表人：</w:t>
      </w:r>
    </w:p>
    <w:p>
      <w:pPr>
        <w:spacing w:line="360" w:lineRule="auto"/>
        <w:rPr>
          <w:rFonts w:hint="eastAsia" w:ascii="仿宋" w:hAnsi="仿宋" w:eastAsia="仿宋" w:cs="仿宋"/>
          <w:b/>
          <w:bCs/>
          <w:color w:val="000000"/>
          <w:sz w:val="24"/>
          <w:szCs w:val="24"/>
        </w:rPr>
      </w:pPr>
      <w:r>
        <w:rPr>
          <w:rFonts w:hint="eastAsia" w:ascii="仿宋" w:hAnsi="仿宋" w:eastAsia="仿宋" w:cs="仿宋"/>
          <w:color w:val="000000"/>
          <w:sz w:val="24"/>
          <w:szCs w:val="24"/>
          <w:lang w:eastAsia="zh-CN"/>
        </w:rPr>
        <w:t>二〇一八年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日 </w:t>
      </w:r>
    </w:p>
    <w:p>
      <w:pPr>
        <w:spacing w:line="360" w:lineRule="auto"/>
        <w:rPr>
          <w:rFonts w:hint="eastAsia" w:ascii="仿宋" w:hAnsi="仿宋" w:eastAsia="仿宋" w:cs="仿宋"/>
          <w:color w:val="000000"/>
          <w:sz w:val="24"/>
          <w:szCs w:val="24"/>
        </w:rPr>
      </w:pPr>
      <w:r>
        <w:rPr>
          <w:rFonts w:hint="eastAsia" w:ascii="仿宋" w:hAnsi="仿宋" w:eastAsia="仿宋" w:cs="仿宋"/>
          <w:b/>
          <w:bCs/>
          <w:color w:val="000000"/>
          <w:sz w:val="24"/>
          <w:szCs w:val="24"/>
        </w:rPr>
        <w:t>乙方：</w:t>
      </w:r>
      <w:bookmarkStart w:id="127" w:name="suppliers_name_one"/>
      <w:bookmarkEnd w:id="127"/>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（盖章）</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地址：</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法定（授权）代表人：</w:t>
      </w:r>
    </w:p>
    <w:p>
      <w:pPr>
        <w:spacing w:line="36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二〇一八年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户    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开户银行：</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账    号：</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spacing w:line="360" w:lineRule="auto"/>
        <w:rPr>
          <w:rFonts w:hint="eastAsia" w:ascii="仿宋" w:hAnsi="仿宋" w:eastAsia="仿宋" w:cs="仿宋"/>
          <w:b/>
          <w:bCs/>
          <w:color w:val="000000"/>
          <w:sz w:val="24"/>
          <w:szCs w:val="24"/>
          <w:highlight w:val="none"/>
          <w:lang w:eastAsia="zh-CN"/>
        </w:rPr>
      </w:pPr>
    </w:p>
    <w:p>
      <w:pPr>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highlight w:val="none"/>
          <w:lang w:eastAsia="zh-CN"/>
        </w:rPr>
        <w:t>采购代理机构</w:t>
      </w:r>
      <w:r>
        <w:rPr>
          <w:rFonts w:hint="eastAsia" w:ascii="仿宋" w:hAnsi="仿宋" w:eastAsia="仿宋" w:cs="仿宋"/>
          <w:b/>
          <w:bCs/>
          <w:color w:val="000000"/>
          <w:sz w:val="24"/>
          <w:szCs w:val="24"/>
        </w:rPr>
        <w:t>声明：本合同标的经招标代理机构依法定程序采购，合同主要条款内容与招投标文件的内容一致。</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招标代理：江苏柒采招标代理有限公司（盖章）</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地    址：南京市建邺区应天大街772号应天产业园1栋705室</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经 办 人：</w:t>
      </w:r>
      <w:r>
        <w:rPr>
          <w:rFonts w:hint="eastAsia" w:ascii="仿宋" w:hAnsi="仿宋" w:eastAsia="仿宋" w:cs="仿宋"/>
          <w:sz w:val="24"/>
          <w:szCs w:val="24"/>
          <w:lang w:val="en-US" w:eastAsia="zh-CN"/>
        </w:rPr>
        <w:t>花培中</w:t>
      </w:r>
      <w:r>
        <w:rPr>
          <w:rFonts w:hint="eastAsia" w:ascii="仿宋" w:hAnsi="仿宋" w:eastAsia="仿宋" w:cs="仿宋"/>
          <w:sz w:val="24"/>
          <w:szCs w:val="24"/>
        </w:rPr>
        <w:t xml:space="preserve"> </w:t>
      </w:r>
      <w:r>
        <w:rPr>
          <w:rFonts w:hint="eastAsia" w:ascii="仿宋" w:hAnsi="仿宋" w:eastAsia="仿宋" w:cs="仿宋"/>
          <w:color w:val="FF0000"/>
          <w:sz w:val="24"/>
          <w:szCs w:val="24"/>
        </w:rPr>
        <w:t xml:space="preserve"> </w:t>
      </w:r>
    </w:p>
    <w:p>
      <w:pPr>
        <w:spacing w:line="360" w:lineRule="auto"/>
        <w:jc w:val="both"/>
        <w:rPr>
          <w:rFonts w:hint="eastAsia" w:ascii="仿宋" w:hAnsi="仿宋" w:eastAsia="仿宋" w:cs="仿宋"/>
          <w:sz w:val="24"/>
          <w:szCs w:val="24"/>
        </w:rPr>
      </w:pPr>
      <w:r>
        <w:rPr>
          <w:rFonts w:hint="eastAsia" w:ascii="仿宋" w:hAnsi="仿宋" w:eastAsia="仿宋" w:cs="仿宋"/>
          <w:color w:val="000000"/>
          <w:sz w:val="24"/>
          <w:szCs w:val="24"/>
          <w:lang w:eastAsia="zh-CN"/>
        </w:rPr>
        <w:t>二〇一八年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日 </w:t>
      </w:r>
      <w:r>
        <w:rPr>
          <w:rFonts w:hint="eastAsia" w:ascii="仿宋" w:hAnsi="仿宋" w:eastAsia="仿宋" w:cs="仿宋"/>
          <w:sz w:val="24"/>
          <w:szCs w:val="24"/>
        </w:rPr>
        <w:t xml:space="preserve"> </w:t>
      </w:r>
    </w:p>
    <w:p>
      <w:pPr>
        <w:ind w:firstLine="482" w:firstLineChars="200"/>
        <w:rPr>
          <w:rFonts w:ascii="仿宋" w:hAnsi="仿宋" w:eastAsia="仿宋" w:cs="仿宋"/>
          <w:b/>
          <w:bCs/>
          <w:sz w:val="24"/>
          <w:szCs w:val="24"/>
        </w:rPr>
      </w:pPr>
    </w:p>
    <w:p/>
    <w:p>
      <w:pPr>
        <w:pStyle w:val="27"/>
        <w:rPr>
          <w:rFonts w:ascii="仿宋" w:hAnsi="仿宋" w:eastAsia="仿宋" w:cs="仿宋"/>
          <w:b/>
          <w:bCs/>
          <w:sz w:val="24"/>
          <w:szCs w:val="24"/>
        </w:rPr>
      </w:pPr>
    </w:p>
    <w:p>
      <w:pPr>
        <w:pStyle w:val="27"/>
        <w:rPr>
          <w:rFonts w:ascii="仿宋" w:hAnsi="仿宋" w:eastAsia="仿宋" w:cs="仿宋"/>
          <w:b/>
          <w:bCs/>
          <w:sz w:val="24"/>
          <w:szCs w:val="24"/>
        </w:rPr>
      </w:pPr>
    </w:p>
    <w:p>
      <w:pPr>
        <w:pStyle w:val="27"/>
        <w:rPr>
          <w:rFonts w:ascii="仿宋" w:hAnsi="仿宋" w:eastAsia="仿宋" w:cs="仿宋"/>
          <w:b/>
          <w:bCs/>
          <w:sz w:val="24"/>
          <w:szCs w:val="24"/>
        </w:rPr>
      </w:pPr>
    </w:p>
    <w:p>
      <w:pPr>
        <w:pStyle w:val="27"/>
        <w:rPr>
          <w:rFonts w:ascii="仿宋" w:hAnsi="仿宋" w:eastAsia="仿宋" w:cs="仿宋"/>
          <w:b/>
          <w:bCs/>
          <w:sz w:val="24"/>
          <w:szCs w:val="24"/>
        </w:rPr>
      </w:pPr>
    </w:p>
    <w:p/>
    <w:p>
      <w:pPr>
        <w:rPr>
          <w:rFonts w:hint="eastAsia"/>
        </w:rPr>
      </w:pPr>
    </w:p>
    <w:p>
      <w:pPr>
        <w:rPr>
          <w:rStyle w:val="46"/>
          <w:rFonts w:hint="eastAsia" w:ascii="黑体" w:hAnsi="黑体" w:eastAsia="黑体" w:cs="黑体"/>
          <w:b/>
          <w:bCs/>
          <w:sz w:val="44"/>
          <w:szCs w:val="44"/>
        </w:rPr>
      </w:pPr>
      <w:r>
        <w:rPr>
          <w:rStyle w:val="46"/>
          <w:rFonts w:hint="eastAsia" w:ascii="黑体" w:hAnsi="黑体" w:eastAsia="黑体" w:cs="黑体"/>
          <w:b/>
          <w:bCs/>
          <w:sz w:val="44"/>
          <w:szCs w:val="44"/>
        </w:rPr>
        <w:br w:type="page"/>
      </w:r>
    </w:p>
    <w:p>
      <w:pPr>
        <w:pStyle w:val="4"/>
        <w:numPr>
          <w:ilvl w:val="0"/>
          <w:numId w:val="0"/>
        </w:numPr>
        <w:ind w:left="420" w:leftChars="200"/>
        <w:rPr>
          <w:rFonts w:ascii="黑体" w:hAnsi="黑体" w:eastAsia="黑体" w:cs="黑体"/>
          <w:b/>
          <w:snapToGrid w:val="0"/>
          <w:kern w:val="0"/>
          <w:szCs w:val="24"/>
        </w:rPr>
      </w:pPr>
      <w:bookmarkStart w:id="128" w:name="_Toc2189"/>
      <w:r>
        <w:rPr>
          <w:rStyle w:val="46"/>
          <w:rFonts w:hint="eastAsia" w:ascii="黑体" w:hAnsi="黑体" w:eastAsia="黑体" w:cs="黑体"/>
          <w:b/>
          <w:bCs/>
          <w:sz w:val="44"/>
          <w:szCs w:val="44"/>
        </w:rPr>
        <w:t>第四章  项目需求</w:t>
      </w:r>
      <w:bookmarkEnd w:id="111"/>
      <w:bookmarkEnd w:id="128"/>
      <w:bookmarkStart w:id="129" w:name="_Toc324237156"/>
    </w:p>
    <w:p>
      <w:pPr>
        <w:pStyle w:val="5"/>
        <w:numPr>
          <w:numId w:val="0"/>
        </w:numPr>
        <w:spacing w:line="240" w:lineRule="auto"/>
        <w:ind w:leftChars="200"/>
        <w:jc w:val="both"/>
        <w:rPr>
          <w:rFonts w:hint="eastAsia" w:ascii="仿宋" w:hAnsi="仿宋" w:eastAsia="仿宋" w:cs="仿宋"/>
          <w:sz w:val="28"/>
          <w:szCs w:val="28"/>
          <w:lang w:val="en-US" w:eastAsia="zh-CN"/>
        </w:rPr>
      </w:pPr>
      <w:bookmarkStart w:id="130" w:name="_Toc14785"/>
      <w:r>
        <w:rPr>
          <w:rFonts w:hint="eastAsia" w:ascii="仿宋" w:hAnsi="仿宋" w:eastAsia="仿宋" w:cs="仿宋"/>
          <w:sz w:val="28"/>
          <w:szCs w:val="28"/>
          <w:lang w:eastAsia="zh-CN"/>
        </w:rPr>
        <w:t>一、项目概况</w:t>
      </w:r>
      <w:bookmarkEnd w:id="130"/>
      <w:bookmarkStart w:id="180" w:name="_GoBack"/>
      <w:bookmarkEnd w:id="180"/>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根据等级保护相关规范要求，江苏省药监局对相关系统进行等保三级测评和整改工作，具体建设目标为：</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通过采取相应安全措施及控制方法使药监局专网与省电子政务外网具备安全数据交换的能力，使信息系统具备对入侵防护、恶意代码防范以及日志集中管理等安全需求。</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通过对网络设备、主机系统、应用系统等提出安全加固和建设要求，确保实施后各个安全层面具备等保三级的安全防护能力。</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通过对物理环境、管理制度、组织机构、人员管理、系统建设管理、系统运维管理等提出针对性的整改要求，确保实施后信息系统的安全管理符合等保三级的安全要求。</w:t>
      </w:r>
    </w:p>
    <w:p>
      <w:pPr>
        <w:pStyle w:val="5"/>
        <w:numPr>
          <w:ilvl w:val="0"/>
          <w:numId w:val="0"/>
        </w:numPr>
        <w:spacing w:before="0" w:after="0" w:line="360" w:lineRule="auto"/>
        <w:jc w:val="left"/>
        <w:rPr>
          <w:rFonts w:hint="eastAsia" w:ascii="仿宋" w:hAnsi="仿宋" w:eastAsia="仿宋" w:cs="仿宋"/>
          <w:sz w:val="28"/>
          <w:szCs w:val="28"/>
        </w:rPr>
      </w:pPr>
      <w:bookmarkStart w:id="131" w:name="_Toc18650"/>
      <w:r>
        <w:rPr>
          <w:rFonts w:hint="eastAsia" w:ascii="仿宋" w:hAnsi="仿宋" w:eastAsia="仿宋" w:cs="仿宋"/>
          <w:sz w:val="28"/>
          <w:szCs w:val="28"/>
        </w:rPr>
        <w:t>二、项目建设清单及技术指标</w:t>
      </w:r>
      <w:bookmarkEnd w:id="131"/>
    </w:p>
    <w:p>
      <w:pPr>
        <w:rPr>
          <w:rFonts w:hint="eastAsia"/>
        </w:rPr>
      </w:pPr>
      <w:r>
        <w:rPr>
          <w:rFonts w:hint="eastAsia"/>
        </w:rPr>
        <w:t xml:space="preserve">   </w:t>
      </w:r>
      <w:r>
        <w:rPr>
          <w:rFonts w:hint="eastAsia" w:ascii="仿宋" w:hAnsi="仿宋" w:eastAsia="仿宋" w:cs="仿宋"/>
          <w:sz w:val="24"/>
          <w:szCs w:val="24"/>
        </w:rPr>
        <w:t xml:space="preserve"> （一）项目建设清单</w:t>
      </w:r>
    </w:p>
    <w:tbl>
      <w:tblPr>
        <w:tblStyle w:val="25"/>
        <w:tblW w:w="8224" w:type="dxa"/>
        <w:tblInd w:w="106" w:type="dxa"/>
        <w:tblLayout w:type="fixed"/>
        <w:tblCellMar>
          <w:top w:w="0" w:type="dxa"/>
          <w:left w:w="108" w:type="dxa"/>
          <w:bottom w:w="0" w:type="dxa"/>
          <w:right w:w="108" w:type="dxa"/>
        </w:tblCellMar>
      </w:tblPr>
      <w:tblGrid>
        <w:gridCol w:w="711"/>
        <w:gridCol w:w="1843"/>
        <w:gridCol w:w="709"/>
        <w:gridCol w:w="708"/>
        <w:gridCol w:w="4253"/>
      </w:tblGrid>
      <w:tr>
        <w:tblPrEx>
          <w:tblLayout w:type="fixed"/>
          <w:tblCellMar>
            <w:top w:w="0" w:type="dxa"/>
            <w:left w:w="108" w:type="dxa"/>
            <w:bottom w:w="0" w:type="dxa"/>
            <w:right w:w="108" w:type="dxa"/>
          </w:tblCellMar>
        </w:tblPrEx>
        <w:trPr>
          <w:trHeight w:val="285"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b/>
                <w:bCs/>
                <w:kern w:val="0"/>
                <w:sz w:val="22"/>
                <w:szCs w:val="22"/>
              </w:rPr>
              <w:t>序号</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b/>
                <w:bCs/>
                <w:kern w:val="0"/>
                <w:sz w:val="22"/>
                <w:szCs w:val="22"/>
              </w:rPr>
              <w:t>产品名称</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b/>
                <w:bCs/>
                <w:kern w:val="0"/>
                <w:sz w:val="22"/>
                <w:szCs w:val="22"/>
              </w:rPr>
              <w:t>数量</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b/>
                <w:bCs/>
                <w:kern w:val="0"/>
                <w:sz w:val="22"/>
                <w:szCs w:val="22"/>
              </w:rPr>
              <w:t>单位</w:t>
            </w:r>
          </w:p>
        </w:tc>
        <w:tc>
          <w:tcPr>
            <w:tcW w:w="425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b/>
                <w:bCs/>
                <w:kern w:val="0"/>
                <w:sz w:val="22"/>
                <w:szCs w:val="22"/>
              </w:rPr>
              <w:t>备注</w:t>
            </w:r>
          </w:p>
        </w:tc>
      </w:tr>
      <w:tr>
        <w:tblPrEx>
          <w:tblLayout w:type="fixed"/>
          <w:tblCellMar>
            <w:top w:w="0" w:type="dxa"/>
            <w:left w:w="108" w:type="dxa"/>
            <w:bottom w:w="0" w:type="dxa"/>
            <w:right w:w="108" w:type="dxa"/>
          </w:tblCellMar>
        </w:tblPrEx>
        <w:trPr>
          <w:trHeight w:val="213"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Cs/>
                <w:color w:val="000000"/>
              </w:rPr>
            </w:pPr>
            <w:r>
              <w:rPr>
                <w:rFonts w:hint="eastAsia" w:ascii="仿宋" w:hAnsi="仿宋" w:eastAsia="仿宋" w:cs="仿宋"/>
                <w:bCs/>
                <w:color w:val="000000"/>
              </w:rPr>
              <w:t>1</w:t>
            </w:r>
          </w:p>
        </w:tc>
        <w:tc>
          <w:tcPr>
            <w:tcW w:w="1843" w:type="dxa"/>
            <w:tcBorders>
              <w:top w:val="single" w:color="auto" w:sz="4" w:space="0"/>
              <w:left w:val="nil"/>
              <w:bottom w:val="single" w:color="auto" w:sz="4" w:space="0"/>
              <w:right w:val="single" w:color="auto" w:sz="4" w:space="0"/>
            </w:tcBorders>
            <w:vAlign w:val="center"/>
          </w:tcPr>
          <w:p>
            <w:pPr>
              <w:pStyle w:val="42"/>
              <w:spacing w:line="240" w:lineRule="exact"/>
              <w:rPr>
                <w:rFonts w:hint="eastAsia" w:ascii="仿宋" w:hAnsi="仿宋" w:eastAsia="仿宋" w:cs="仿宋"/>
                <w:kern w:val="2"/>
              </w:rPr>
            </w:pPr>
            <w:r>
              <w:rPr>
                <w:rFonts w:hint="eastAsia" w:ascii="仿宋" w:hAnsi="仿宋" w:eastAsia="仿宋" w:cs="仿宋"/>
                <w:kern w:val="2"/>
              </w:rPr>
              <w:t>虚拟化防护系统</w:t>
            </w:r>
          </w:p>
        </w:tc>
        <w:tc>
          <w:tcPr>
            <w:tcW w:w="709" w:type="dxa"/>
            <w:tcBorders>
              <w:top w:val="single" w:color="auto" w:sz="4" w:space="0"/>
              <w:left w:val="nil"/>
              <w:bottom w:val="single" w:color="auto" w:sz="4" w:space="0"/>
              <w:right w:val="single" w:color="auto" w:sz="4" w:space="0"/>
            </w:tcBorders>
            <w:vAlign w:val="center"/>
          </w:tcPr>
          <w:p>
            <w:pPr>
              <w:pStyle w:val="42"/>
              <w:spacing w:line="240" w:lineRule="exact"/>
              <w:jc w:val="center"/>
              <w:rPr>
                <w:rFonts w:hint="eastAsia" w:ascii="仿宋" w:hAnsi="仿宋" w:eastAsia="仿宋" w:cs="仿宋"/>
                <w:kern w:val="2"/>
              </w:rPr>
            </w:pPr>
            <w:r>
              <w:rPr>
                <w:rFonts w:hint="eastAsia" w:ascii="仿宋" w:hAnsi="仿宋" w:eastAsia="仿宋" w:cs="仿宋"/>
                <w:kern w:val="2"/>
              </w:rPr>
              <w:t>1</w:t>
            </w:r>
          </w:p>
        </w:tc>
        <w:tc>
          <w:tcPr>
            <w:tcW w:w="708" w:type="dxa"/>
            <w:tcBorders>
              <w:top w:val="single" w:color="auto" w:sz="4" w:space="0"/>
              <w:left w:val="nil"/>
              <w:bottom w:val="single" w:color="auto" w:sz="4" w:space="0"/>
              <w:right w:val="single" w:color="auto" w:sz="4" w:space="0"/>
            </w:tcBorders>
            <w:vAlign w:val="center"/>
          </w:tcPr>
          <w:p>
            <w:pPr>
              <w:pStyle w:val="42"/>
              <w:spacing w:line="240" w:lineRule="exact"/>
              <w:jc w:val="center"/>
              <w:rPr>
                <w:rFonts w:hint="eastAsia" w:ascii="仿宋" w:hAnsi="仿宋" w:eastAsia="仿宋" w:cs="仿宋"/>
                <w:kern w:val="2"/>
              </w:rPr>
            </w:pPr>
            <w:r>
              <w:rPr>
                <w:rFonts w:hint="eastAsia" w:ascii="仿宋" w:hAnsi="仿宋" w:eastAsia="仿宋" w:cs="仿宋"/>
                <w:kern w:val="2"/>
              </w:rPr>
              <w:t>套</w:t>
            </w:r>
          </w:p>
        </w:tc>
        <w:tc>
          <w:tcPr>
            <w:tcW w:w="4253" w:type="dxa"/>
            <w:tcBorders>
              <w:top w:val="single" w:color="auto" w:sz="4" w:space="0"/>
              <w:left w:val="nil"/>
              <w:bottom w:val="single" w:color="auto" w:sz="4" w:space="0"/>
              <w:right w:val="single" w:color="auto" w:sz="4" w:space="0"/>
            </w:tcBorders>
            <w:vAlign w:val="center"/>
          </w:tcPr>
          <w:p>
            <w:pPr>
              <w:pStyle w:val="42"/>
              <w:spacing w:line="240" w:lineRule="exact"/>
              <w:rPr>
                <w:rFonts w:hint="eastAsia" w:ascii="仿宋" w:hAnsi="仿宋" w:eastAsia="仿宋" w:cs="仿宋"/>
                <w:kern w:val="2"/>
              </w:rPr>
            </w:pPr>
            <w:r>
              <w:rPr>
                <w:rFonts w:hint="eastAsia" w:ascii="仿宋" w:hAnsi="仿宋" w:eastAsia="仿宋" w:cs="仿宋"/>
                <w:kern w:val="2"/>
              </w:rPr>
              <w:t>提供虚拟防病毒、虚拟补丁。不少于16个C授权。与原主机端防护系统能集成管理。</w:t>
            </w:r>
          </w:p>
        </w:tc>
      </w:tr>
      <w:tr>
        <w:tblPrEx>
          <w:tblLayout w:type="fixed"/>
          <w:tblCellMar>
            <w:top w:w="0" w:type="dxa"/>
            <w:left w:w="108" w:type="dxa"/>
            <w:bottom w:w="0" w:type="dxa"/>
            <w:right w:w="108" w:type="dxa"/>
          </w:tblCellMar>
        </w:tblPrEx>
        <w:trPr>
          <w:trHeight w:val="183" w:hRule="atLeast"/>
        </w:trPr>
        <w:tc>
          <w:tcPr>
            <w:tcW w:w="711" w:type="dxa"/>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Cs/>
                <w:color w:val="000000"/>
              </w:rPr>
            </w:pPr>
            <w:r>
              <w:rPr>
                <w:rFonts w:hint="eastAsia" w:ascii="仿宋" w:hAnsi="仿宋" w:eastAsia="仿宋" w:cs="仿宋"/>
                <w:bCs/>
                <w:color w:val="000000"/>
              </w:rPr>
              <w:t>2</w:t>
            </w:r>
          </w:p>
        </w:tc>
        <w:tc>
          <w:tcPr>
            <w:tcW w:w="1843" w:type="dxa"/>
            <w:tcBorders>
              <w:top w:val="nil"/>
              <w:left w:val="nil"/>
              <w:bottom w:val="single" w:color="auto" w:sz="4" w:space="0"/>
              <w:right w:val="single" w:color="auto" w:sz="4" w:space="0"/>
            </w:tcBorders>
            <w:vAlign w:val="center"/>
          </w:tcPr>
          <w:p>
            <w:pPr>
              <w:pStyle w:val="42"/>
              <w:spacing w:line="240" w:lineRule="exact"/>
              <w:rPr>
                <w:rFonts w:hint="eastAsia" w:ascii="仿宋" w:hAnsi="仿宋" w:eastAsia="仿宋" w:cs="仿宋"/>
                <w:kern w:val="2"/>
              </w:rPr>
            </w:pPr>
            <w:r>
              <w:rPr>
                <w:rFonts w:hint="eastAsia" w:ascii="仿宋" w:hAnsi="仿宋" w:eastAsia="仿宋" w:cs="仿宋"/>
                <w:kern w:val="2"/>
              </w:rPr>
              <w:t>数据库防护系统</w:t>
            </w:r>
          </w:p>
        </w:tc>
        <w:tc>
          <w:tcPr>
            <w:tcW w:w="709" w:type="dxa"/>
            <w:tcBorders>
              <w:top w:val="nil"/>
              <w:left w:val="nil"/>
              <w:bottom w:val="single" w:color="auto" w:sz="4" w:space="0"/>
              <w:right w:val="single" w:color="auto" w:sz="4" w:space="0"/>
            </w:tcBorders>
            <w:vAlign w:val="center"/>
          </w:tcPr>
          <w:p>
            <w:pPr>
              <w:pStyle w:val="42"/>
              <w:spacing w:line="240" w:lineRule="exact"/>
              <w:jc w:val="center"/>
              <w:rPr>
                <w:rFonts w:hint="eastAsia" w:ascii="仿宋" w:hAnsi="仿宋" w:eastAsia="仿宋" w:cs="仿宋"/>
                <w:kern w:val="2"/>
              </w:rPr>
            </w:pPr>
            <w:r>
              <w:rPr>
                <w:rFonts w:hint="eastAsia" w:ascii="仿宋" w:hAnsi="仿宋" w:eastAsia="仿宋" w:cs="仿宋"/>
                <w:kern w:val="2"/>
              </w:rPr>
              <w:t>1</w:t>
            </w:r>
          </w:p>
        </w:tc>
        <w:tc>
          <w:tcPr>
            <w:tcW w:w="708" w:type="dxa"/>
            <w:tcBorders>
              <w:top w:val="nil"/>
              <w:left w:val="nil"/>
              <w:bottom w:val="single" w:color="auto" w:sz="4" w:space="0"/>
              <w:right w:val="single" w:color="auto" w:sz="4" w:space="0"/>
            </w:tcBorders>
            <w:vAlign w:val="center"/>
          </w:tcPr>
          <w:p>
            <w:pPr>
              <w:pStyle w:val="42"/>
              <w:spacing w:line="240" w:lineRule="exact"/>
              <w:jc w:val="center"/>
              <w:rPr>
                <w:rFonts w:hint="eastAsia" w:ascii="仿宋" w:hAnsi="仿宋" w:eastAsia="仿宋" w:cs="仿宋"/>
                <w:kern w:val="2"/>
              </w:rPr>
            </w:pPr>
            <w:r>
              <w:rPr>
                <w:rFonts w:hint="eastAsia" w:ascii="仿宋" w:hAnsi="仿宋" w:eastAsia="仿宋" w:cs="仿宋"/>
                <w:kern w:val="2"/>
              </w:rPr>
              <w:t>台</w:t>
            </w:r>
          </w:p>
        </w:tc>
        <w:tc>
          <w:tcPr>
            <w:tcW w:w="4253" w:type="dxa"/>
            <w:tcBorders>
              <w:top w:val="nil"/>
              <w:left w:val="nil"/>
              <w:bottom w:val="single" w:color="auto" w:sz="4" w:space="0"/>
              <w:right w:val="single" w:color="auto" w:sz="4" w:space="0"/>
            </w:tcBorders>
            <w:vAlign w:val="center"/>
          </w:tcPr>
          <w:p>
            <w:pPr>
              <w:pStyle w:val="42"/>
              <w:spacing w:line="240" w:lineRule="exact"/>
              <w:rPr>
                <w:rFonts w:hint="eastAsia" w:ascii="仿宋" w:hAnsi="仿宋" w:eastAsia="仿宋" w:cs="仿宋"/>
                <w:kern w:val="2"/>
              </w:rPr>
            </w:pPr>
            <w:r>
              <w:rPr>
                <w:rFonts w:hint="eastAsia" w:ascii="仿宋" w:hAnsi="仿宋" w:eastAsia="仿宋" w:cs="仿宋"/>
                <w:kern w:val="2"/>
              </w:rPr>
              <w:t>数据库层面防护主要是从精细的合规访问控制、攻击漏洞特征识别阻断、虚拟补丁加固防护、数据篡改泄露保护四个方面对数据库提供实时的防护</w:t>
            </w:r>
          </w:p>
        </w:tc>
      </w:tr>
      <w:tr>
        <w:tblPrEx>
          <w:tblLayout w:type="fixed"/>
          <w:tblCellMar>
            <w:top w:w="0" w:type="dxa"/>
            <w:left w:w="108" w:type="dxa"/>
            <w:bottom w:w="0" w:type="dxa"/>
            <w:right w:w="108" w:type="dxa"/>
          </w:tblCellMar>
        </w:tblPrEx>
        <w:trPr>
          <w:trHeight w:val="153" w:hRule="atLeast"/>
        </w:trPr>
        <w:tc>
          <w:tcPr>
            <w:tcW w:w="711" w:type="dxa"/>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Cs/>
                <w:color w:val="000000"/>
              </w:rPr>
            </w:pPr>
            <w:r>
              <w:rPr>
                <w:rFonts w:hint="eastAsia" w:ascii="仿宋" w:hAnsi="仿宋" w:eastAsia="仿宋" w:cs="仿宋"/>
                <w:bCs/>
                <w:color w:val="000000"/>
              </w:rPr>
              <w:t>3</w:t>
            </w:r>
          </w:p>
        </w:tc>
        <w:tc>
          <w:tcPr>
            <w:tcW w:w="1843" w:type="dxa"/>
            <w:tcBorders>
              <w:top w:val="nil"/>
              <w:left w:val="nil"/>
              <w:bottom w:val="single" w:color="auto" w:sz="4" w:space="0"/>
              <w:right w:val="single" w:color="auto" w:sz="4" w:space="0"/>
            </w:tcBorders>
            <w:vAlign w:val="center"/>
          </w:tcPr>
          <w:p>
            <w:pPr>
              <w:pStyle w:val="42"/>
              <w:spacing w:line="240" w:lineRule="exact"/>
              <w:rPr>
                <w:rFonts w:hint="eastAsia" w:ascii="仿宋" w:hAnsi="仿宋" w:eastAsia="仿宋" w:cs="仿宋"/>
                <w:kern w:val="2"/>
              </w:rPr>
            </w:pPr>
            <w:r>
              <w:rPr>
                <w:rFonts w:hint="eastAsia" w:ascii="仿宋" w:hAnsi="仿宋" w:eastAsia="仿宋" w:cs="仿宋"/>
                <w:kern w:val="2"/>
              </w:rPr>
              <w:t>网络防火墙</w:t>
            </w:r>
          </w:p>
        </w:tc>
        <w:tc>
          <w:tcPr>
            <w:tcW w:w="709" w:type="dxa"/>
            <w:tcBorders>
              <w:top w:val="nil"/>
              <w:left w:val="nil"/>
              <w:bottom w:val="single" w:color="auto" w:sz="4" w:space="0"/>
              <w:right w:val="single" w:color="auto" w:sz="4" w:space="0"/>
            </w:tcBorders>
            <w:vAlign w:val="center"/>
          </w:tcPr>
          <w:p>
            <w:pPr>
              <w:pStyle w:val="42"/>
              <w:spacing w:line="240" w:lineRule="exact"/>
              <w:jc w:val="center"/>
              <w:rPr>
                <w:rFonts w:hint="eastAsia" w:ascii="仿宋" w:hAnsi="仿宋" w:eastAsia="仿宋" w:cs="仿宋"/>
                <w:kern w:val="2"/>
              </w:rPr>
            </w:pPr>
            <w:r>
              <w:rPr>
                <w:rFonts w:hint="eastAsia" w:ascii="仿宋" w:hAnsi="仿宋" w:eastAsia="仿宋" w:cs="仿宋"/>
                <w:kern w:val="2"/>
              </w:rPr>
              <w:t>1</w:t>
            </w:r>
          </w:p>
        </w:tc>
        <w:tc>
          <w:tcPr>
            <w:tcW w:w="708" w:type="dxa"/>
            <w:tcBorders>
              <w:top w:val="nil"/>
              <w:left w:val="nil"/>
              <w:bottom w:val="single" w:color="auto" w:sz="4" w:space="0"/>
              <w:right w:val="single" w:color="auto" w:sz="4" w:space="0"/>
            </w:tcBorders>
            <w:vAlign w:val="center"/>
          </w:tcPr>
          <w:p>
            <w:pPr>
              <w:pStyle w:val="42"/>
              <w:spacing w:line="240" w:lineRule="exact"/>
              <w:jc w:val="center"/>
              <w:rPr>
                <w:rFonts w:hint="eastAsia" w:ascii="仿宋" w:hAnsi="仿宋" w:eastAsia="仿宋" w:cs="仿宋"/>
                <w:kern w:val="2"/>
              </w:rPr>
            </w:pPr>
            <w:r>
              <w:rPr>
                <w:rFonts w:hint="eastAsia" w:ascii="仿宋" w:hAnsi="仿宋" w:eastAsia="仿宋" w:cs="仿宋"/>
                <w:kern w:val="2"/>
              </w:rPr>
              <w:t>台</w:t>
            </w:r>
          </w:p>
        </w:tc>
        <w:tc>
          <w:tcPr>
            <w:tcW w:w="4253" w:type="dxa"/>
            <w:tcBorders>
              <w:top w:val="nil"/>
              <w:left w:val="nil"/>
              <w:bottom w:val="single" w:color="auto" w:sz="4" w:space="0"/>
              <w:right w:val="single" w:color="auto" w:sz="4" w:space="0"/>
            </w:tcBorders>
            <w:vAlign w:val="center"/>
          </w:tcPr>
          <w:p>
            <w:pPr>
              <w:pStyle w:val="42"/>
              <w:spacing w:line="240" w:lineRule="exact"/>
              <w:rPr>
                <w:rFonts w:hint="eastAsia" w:ascii="仿宋" w:hAnsi="仿宋" w:eastAsia="仿宋" w:cs="仿宋"/>
                <w:kern w:val="2"/>
              </w:rPr>
            </w:pPr>
            <w:r>
              <w:rPr>
                <w:rFonts w:hint="eastAsia" w:ascii="仿宋" w:hAnsi="仿宋" w:eastAsia="仿宋" w:cs="仿宋"/>
                <w:kern w:val="2"/>
              </w:rPr>
              <w:t>和原防火墙E5560双机，吞吐量最大20Gbps，最大并发连接数1000万，要求至少4个千兆电口、4个 SFP口、 2个 SFP+万兆接口。提供4个万兆SFP模块、8个SFP千兆模块，根据双机端口满配相应成品光纤跳线。提供双机防病毒功能和3年病毒库免费升级。</w:t>
            </w:r>
          </w:p>
        </w:tc>
      </w:tr>
      <w:tr>
        <w:tblPrEx>
          <w:tblLayout w:type="fixed"/>
          <w:tblCellMar>
            <w:top w:w="0" w:type="dxa"/>
            <w:left w:w="108" w:type="dxa"/>
            <w:bottom w:w="0" w:type="dxa"/>
            <w:right w:w="108" w:type="dxa"/>
          </w:tblCellMar>
        </w:tblPrEx>
        <w:trPr>
          <w:trHeight w:val="153" w:hRule="atLeast"/>
        </w:trPr>
        <w:tc>
          <w:tcPr>
            <w:tcW w:w="711" w:type="dxa"/>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Cs/>
                <w:color w:val="000000"/>
              </w:rPr>
            </w:pPr>
            <w:r>
              <w:rPr>
                <w:rFonts w:hint="eastAsia" w:ascii="仿宋" w:hAnsi="仿宋" w:eastAsia="仿宋" w:cs="仿宋"/>
                <w:bCs/>
                <w:color w:val="000000"/>
              </w:rPr>
              <w:t>4</w:t>
            </w:r>
          </w:p>
        </w:tc>
        <w:tc>
          <w:tcPr>
            <w:tcW w:w="1843" w:type="dxa"/>
            <w:tcBorders>
              <w:top w:val="nil"/>
              <w:left w:val="nil"/>
              <w:bottom w:val="single" w:color="auto" w:sz="4" w:space="0"/>
              <w:right w:val="single" w:color="auto" w:sz="4" w:space="0"/>
            </w:tcBorders>
            <w:vAlign w:val="center"/>
          </w:tcPr>
          <w:p>
            <w:pPr>
              <w:pStyle w:val="42"/>
              <w:spacing w:line="240" w:lineRule="exact"/>
              <w:rPr>
                <w:rFonts w:hint="eastAsia" w:ascii="仿宋" w:hAnsi="仿宋" w:eastAsia="仿宋" w:cs="仿宋"/>
                <w:kern w:val="2"/>
              </w:rPr>
            </w:pPr>
            <w:r>
              <w:rPr>
                <w:rFonts w:hint="eastAsia" w:ascii="仿宋" w:hAnsi="仿宋" w:eastAsia="仿宋" w:cs="仿宋"/>
                <w:kern w:val="2"/>
              </w:rPr>
              <w:t>数据库审计系统</w:t>
            </w:r>
          </w:p>
        </w:tc>
        <w:tc>
          <w:tcPr>
            <w:tcW w:w="709" w:type="dxa"/>
            <w:tcBorders>
              <w:top w:val="nil"/>
              <w:left w:val="nil"/>
              <w:bottom w:val="single" w:color="auto" w:sz="4" w:space="0"/>
              <w:right w:val="single" w:color="auto" w:sz="4" w:space="0"/>
            </w:tcBorders>
            <w:vAlign w:val="center"/>
          </w:tcPr>
          <w:p>
            <w:pPr>
              <w:pStyle w:val="42"/>
              <w:spacing w:line="240" w:lineRule="exact"/>
              <w:jc w:val="center"/>
              <w:rPr>
                <w:rFonts w:hint="eastAsia" w:ascii="仿宋" w:hAnsi="仿宋" w:eastAsia="仿宋" w:cs="仿宋"/>
                <w:kern w:val="2"/>
              </w:rPr>
            </w:pPr>
            <w:r>
              <w:rPr>
                <w:rFonts w:hint="eastAsia" w:ascii="仿宋" w:hAnsi="仿宋" w:eastAsia="仿宋" w:cs="仿宋"/>
                <w:kern w:val="2"/>
              </w:rPr>
              <w:t>1</w:t>
            </w:r>
          </w:p>
        </w:tc>
        <w:tc>
          <w:tcPr>
            <w:tcW w:w="708" w:type="dxa"/>
            <w:tcBorders>
              <w:top w:val="nil"/>
              <w:left w:val="nil"/>
              <w:bottom w:val="single" w:color="auto" w:sz="4" w:space="0"/>
              <w:right w:val="single" w:color="auto" w:sz="4" w:space="0"/>
            </w:tcBorders>
            <w:vAlign w:val="center"/>
          </w:tcPr>
          <w:p>
            <w:pPr>
              <w:pStyle w:val="42"/>
              <w:spacing w:line="240" w:lineRule="exact"/>
              <w:jc w:val="center"/>
              <w:rPr>
                <w:rFonts w:hint="eastAsia" w:ascii="仿宋" w:hAnsi="仿宋" w:eastAsia="仿宋" w:cs="仿宋"/>
                <w:kern w:val="2"/>
              </w:rPr>
            </w:pPr>
            <w:r>
              <w:rPr>
                <w:rFonts w:hint="eastAsia" w:ascii="仿宋" w:hAnsi="仿宋" w:eastAsia="仿宋" w:cs="仿宋"/>
                <w:kern w:val="2"/>
              </w:rPr>
              <w:t>台</w:t>
            </w:r>
          </w:p>
        </w:tc>
        <w:tc>
          <w:tcPr>
            <w:tcW w:w="4253" w:type="dxa"/>
            <w:tcBorders>
              <w:top w:val="nil"/>
              <w:left w:val="nil"/>
              <w:bottom w:val="single" w:color="auto" w:sz="4" w:space="0"/>
              <w:right w:val="single" w:color="auto" w:sz="4" w:space="0"/>
            </w:tcBorders>
            <w:vAlign w:val="top"/>
          </w:tcPr>
          <w:p>
            <w:pPr>
              <w:pStyle w:val="42"/>
              <w:spacing w:line="240" w:lineRule="exact"/>
              <w:rPr>
                <w:rFonts w:hint="eastAsia" w:ascii="仿宋" w:hAnsi="仿宋" w:eastAsia="仿宋" w:cs="仿宋"/>
                <w:kern w:val="2"/>
              </w:rPr>
            </w:pPr>
            <w:r>
              <w:rPr>
                <w:rFonts w:hint="eastAsia" w:ascii="仿宋" w:hAnsi="仿宋" w:eastAsia="仿宋" w:cs="仿宋"/>
                <w:kern w:val="2"/>
              </w:rPr>
              <w:t>对业务环境下的网络操作行为特别是数据库的操作行为进行细粒度审计的合规性管理系统。</w:t>
            </w:r>
          </w:p>
        </w:tc>
      </w:tr>
      <w:tr>
        <w:tblPrEx>
          <w:tblLayout w:type="fixed"/>
          <w:tblCellMar>
            <w:top w:w="0" w:type="dxa"/>
            <w:left w:w="108" w:type="dxa"/>
            <w:bottom w:w="0" w:type="dxa"/>
            <w:right w:w="108" w:type="dxa"/>
          </w:tblCellMar>
        </w:tblPrEx>
        <w:trPr>
          <w:trHeight w:val="90" w:hRule="atLeast"/>
        </w:trPr>
        <w:tc>
          <w:tcPr>
            <w:tcW w:w="711" w:type="dxa"/>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Cs/>
                <w:color w:val="000000"/>
              </w:rPr>
            </w:pPr>
            <w:r>
              <w:rPr>
                <w:rFonts w:hint="eastAsia" w:ascii="仿宋" w:hAnsi="仿宋" w:eastAsia="仿宋" w:cs="仿宋"/>
                <w:bCs/>
                <w:color w:val="000000"/>
              </w:rPr>
              <w:t>5</w:t>
            </w:r>
          </w:p>
        </w:tc>
        <w:tc>
          <w:tcPr>
            <w:tcW w:w="1843" w:type="dxa"/>
            <w:tcBorders>
              <w:top w:val="nil"/>
              <w:left w:val="nil"/>
              <w:bottom w:val="single" w:color="auto" w:sz="4" w:space="0"/>
              <w:right w:val="single" w:color="auto" w:sz="4" w:space="0"/>
            </w:tcBorders>
            <w:vAlign w:val="center"/>
          </w:tcPr>
          <w:p>
            <w:pPr>
              <w:pStyle w:val="42"/>
              <w:spacing w:line="240" w:lineRule="exact"/>
              <w:rPr>
                <w:rFonts w:hint="eastAsia" w:ascii="仿宋" w:hAnsi="仿宋" w:eastAsia="仿宋" w:cs="仿宋"/>
                <w:kern w:val="2"/>
              </w:rPr>
            </w:pPr>
            <w:r>
              <w:rPr>
                <w:rFonts w:hint="eastAsia" w:ascii="仿宋" w:hAnsi="仿宋" w:eastAsia="仿宋" w:cs="仿宋"/>
                <w:kern w:val="2"/>
              </w:rPr>
              <w:t>主机防护软件</w:t>
            </w:r>
          </w:p>
        </w:tc>
        <w:tc>
          <w:tcPr>
            <w:tcW w:w="709" w:type="dxa"/>
            <w:tcBorders>
              <w:top w:val="nil"/>
              <w:left w:val="nil"/>
              <w:bottom w:val="single" w:color="auto" w:sz="4" w:space="0"/>
              <w:right w:val="single" w:color="auto" w:sz="4" w:space="0"/>
            </w:tcBorders>
            <w:vAlign w:val="center"/>
          </w:tcPr>
          <w:p>
            <w:pPr>
              <w:pStyle w:val="42"/>
              <w:spacing w:line="240" w:lineRule="exact"/>
              <w:jc w:val="center"/>
              <w:rPr>
                <w:rFonts w:hint="eastAsia" w:ascii="仿宋" w:hAnsi="仿宋" w:eastAsia="仿宋" w:cs="仿宋"/>
                <w:kern w:val="2"/>
              </w:rPr>
            </w:pPr>
            <w:r>
              <w:rPr>
                <w:rFonts w:hint="eastAsia" w:ascii="仿宋" w:hAnsi="仿宋" w:eastAsia="仿宋" w:cs="仿宋"/>
                <w:kern w:val="2"/>
              </w:rPr>
              <w:t>8</w:t>
            </w:r>
          </w:p>
        </w:tc>
        <w:tc>
          <w:tcPr>
            <w:tcW w:w="708" w:type="dxa"/>
            <w:tcBorders>
              <w:top w:val="nil"/>
              <w:left w:val="nil"/>
              <w:bottom w:val="single" w:color="auto" w:sz="4" w:space="0"/>
              <w:right w:val="single" w:color="auto" w:sz="4" w:space="0"/>
            </w:tcBorders>
            <w:vAlign w:val="center"/>
          </w:tcPr>
          <w:p>
            <w:pPr>
              <w:pStyle w:val="42"/>
              <w:spacing w:line="240" w:lineRule="exact"/>
              <w:jc w:val="center"/>
              <w:rPr>
                <w:rFonts w:hint="eastAsia" w:ascii="仿宋" w:hAnsi="仿宋" w:eastAsia="仿宋" w:cs="仿宋"/>
                <w:kern w:val="2"/>
              </w:rPr>
            </w:pPr>
            <w:r>
              <w:rPr>
                <w:rFonts w:hint="eastAsia" w:ascii="仿宋" w:hAnsi="仿宋" w:eastAsia="仿宋" w:cs="仿宋"/>
                <w:kern w:val="2"/>
              </w:rPr>
              <w:t>套</w:t>
            </w:r>
          </w:p>
        </w:tc>
        <w:tc>
          <w:tcPr>
            <w:tcW w:w="4253" w:type="dxa"/>
            <w:tcBorders>
              <w:top w:val="nil"/>
              <w:left w:val="nil"/>
              <w:bottom w:val="single" w:color="auto" w:sz="4" w:space="0"/>
              <w:right w:val="single" w:color="auto" w:sz="4" w:space="0"/>
            </w:tcBorders>
            <w:vAlign w:val="center"/>
          </w:tcPr>
          <w:p>
            <w:pPr>
              <w:pStyle w:val="42"/>
              <w:spacing w:line="240" w:lineRule="exact"/>
              <w:rPr>
                <w:rFonts w:hint="eastAsia" w:ascii="仿宋" w:hAnsi="仿宋" w:eastAsia="仿宋" w:cs="仿宋"/>
                <w:kern w:val="2"/>
              </w:rPr>
            </w:pPr>
            <w:r>
              <w:rPr>
                <w:rFonts w:hint="eastAsia" w:ascii="仿宋" w:hAnsi="仿宋" w:eastAsia="仿宋" w:cs="仿宋"/>
                <w:kern w:val="2"/>
              </w:rPr>
              <w:t>公安部网防G01专业版系统，8台服务器一年服务费</w:t>
            </w:r>
          </w:p>
        </w:tc>
      </w:tr>
      <w:tr>
        <w:tblPrEx>
          <w:tblLayout w:type="fixed"/>
          <w:tblCellMar>
            <w:top w:w="0" w:type="dxa"/>
            <w:left w:w="108" w:type="dxa"/>
            <w:bottom w:w="0" w:type="dxa"/>
            <w:right w:w="108" w:type="dxa"/>
          </w:tblCellMar>
        </w:tblPrEx>
        <w:trPr>
          <w:trHeight w:val="90" w:hRule="atLeast"/>
        </w:trPr>
        <w:tc>
          <w:tcPr>
            <w:tcW w:w="711" w:type="dxa"/>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Cs/>
                <w:color w:val="000000"/>
              </w:rPr>
            </w:pPr>
            <w:r>
              <w:rPr>
                <w:rFonts w:hint="eastAsia" w:ascii="仿宋" w:hAnsi="仿宋" w:eastAsia="仿宋" w:cs="仿宋"/>
                <w:bCs/>
                <w:color w:val="000000"/>
              </w:rPr>
              <w:t>6</w:t>
            </w:r>
          </w:p>
        </w:tc>
        <w:tc>
          <w:tcPr>
            <w:tcW w:w="1843" w:type="dxa"/>
            <w:tcBorders>
              <w:top w:val="nil"/>
              <w:left w:val="nil"/>
              <w:bottom w:val="single" w:color="auto" w:sz="4" w:space="0"/>
              <w:right w:val="single" w:color="auto" w:sz="4" w:space="0"/>
            </w:tcBorders>
            <w:vAlign w:val="center"/>
          </w:tcPr>
          <w:p>
            <w:pPr>
              <w:pStyle w:val="42"/>
              <w:spacing w:line="240" w:lineRule="exact"/>
              <w:rPr>
                <w:rFonts w:hint="eastAsia" w:ascii="仿宋" w:hAnsi="仿宋" w:eastAsia="仿宋" w:cs="仿宋"/>
                <w:kern w:val="2"/>
              </w:rPr>
            </w:pPr>
            <w:r>
              <w:rPr>
                <w:rFonts w:hint="eastAsia" w:ascii="仿宋" w:hAnsi="仿宋" w:eastAsia="仿宋" w:cs="仿宋"/>
                <w:kern w:val="2"/>
              </w:rPr>
              <w:t>安全集成服务</w:t>
            </w:r>
          </w:p>
        </w:tc>
        <w:tc>
          <w:tcPr>
            <w:tcW w:w="709" w:type="dxa"/>
            <w:tcBorders>
              <w:top w:val="nil"/>
              <w:left w:val="nil"/>
              <w:bottom w:val="single" w:color="auto" w:sz="4" w:space="0"/>
              <w:right w:val="single" w:color="auto" w:sz="4" w:space="0"/>
            </w:tcBorders>
            <w:vAlign w:val="center"/>
          </w:tcPr>
          <w:p>
            <w:pPr>
              <w:pStyle w:val="42"/>
              <w:spacing w:line="240" w:lineRule="exact"/>
              <w:jc w:val="center"/>
              <w:rPr>
                <w:rFonts w:hint="eastAsia" w:ascii="仿宋" w:hAnsi="仿宋" w:eastAsia="仿宋" w:cs="仿宋"/>
                <w:kern w:val="2"/>
              </w:rPr>
            </w:pPr>
            <w:r>
              <w:rPr>
                <w:rFonts w:hint="eastAsia" w:ascii="仿宋" w:hAnsi="仿宋" w:eastAsia="仿宋" w:cs="仿宋"/>
                <w:kern w:val="2"/>
              </w:rPr>
              <w:t>1</w:t>
            </w:r>
          </w:p>
        </w:tc>
        <w:tc>
          <w:tcPr>
            <w:tcW w:w="708" w:type="dxa"/>
            <w:tcBorders>
              <w:top w:val="nil"/>
              <w:left w:val="nil"/>
              <w:bottom w:val="single" w:color="auto" w:sz="4" w:space="0"/>
              <w:right w:val="single" w:color="auto" w:sz="4" w:space="0"/>
            </w:tcBorders>
            <w:vAlign w:val="center"/>
          </w:tcPr>
          <w:p>
            <w:pPr>
              <w:pStyle w:val="42"/>
              <w:spacing w:line="240" w:lineRule="exact"/>
              <w:jc w:val="center"/>
              <w:rPr>
                <w:rFonts w:hint="eastAsia" w:ascii="仿宋" w:hAnsi="仿宋" w:eastAsia="仿宋" w:cs="仿宋"/>
                <w:kern w:val="2"/>
              </w:rPr>
            </w:pPr>
            <w:r>
              <w:rPr>
                <w:rFonts w:hint="eastAsia" w:ascii="仿宋" w:hAnsi="仿宋" w:eastAsia="仿宋" w:cs="仿宋"/>
                <w:kern w:val="2"/>
              </w:rPr>
              <w:t>项</w:t>
            </w:r>
          </w:p>
        </w:tc>
        <w:tc>
          <w:tcPr>
            <w:tcW w:w="4253" w:type="dxa"/>
            <w:tcBorders>
              <w:top w:val="nil"/>
              <w:left w:val="nil"/>
              <w:bottom w:val="single" w:color="auto" w:sz="4" w:space="0"/>
              <w:right w:val="single" w:color="auto" w:sz="4" w:space="0"/>
            </w:tcBorders>
            <w:vAlign w:val="center"/>
          </w:tcPr>
          <w:p>
            <w:pPr>
              <w:pStyle w:val="42"/>
              <w:spacing w:line="240" w:lineRule="exact"/>
              <w:rPr>
                <w:rFonts w:hint="eastAsia" w:ascii="仿宋" w:hAnsi="仿宋" w:eastAsia="仿宋" w:cs="仿宋"/>
                <w:kern w:val="2"/>
              </w:rPr>
            </w:pPr>
            <w:r>
              <w:rPr>
                <w:rFonts w:hint="eastAsia" w:ascii="仿宋" w:hAnsi="仿宋" w:eastAsia="仿宋" w:cs="仿宋"/>
                <w:kern w:val="2"/>
              </w:rPr>
              <w:t>按等保要求整改实施。</w:t>
            </w:r>
          </w:p>
        </w:tc>
      </w:tr>
    </w:tbl>
    <w:p>
      <w:pPr>
        <w:rPr>
          <w:rFonts w:hint="eastAsia" w:ascii="仿宋" w:hAnsi="仿宋" w:eastAsia="仿宋" w:cs="仿宋"/>
          <w:b w:val="0"/>
          <w:bCs w:val="0"/>
          <w:sz w:val="21"/>
          <w:szCs w:val="24"/>
        </w:rPr>
      </w:pPr>
      <w:r>
        <w:rPr>
          <w:rFonts w:hint="eastAsia" w:ascii="仿宋" w:hAnsi="仿宋" w:eastAsia="仿宋" w:cs="仿宋"/>
          <w:sz w:val="24"/>
          <w:szCs w:val="24"/>
        </w:rPr>
        <w:t>（二）．技术指标要求</w:t>
      </w:r>
      <w:r>
        <w:rPr>
          <w:rFonts w:hint="eastAsia" w:ascii="仿宋" w:hAnsi="仿宋" w:eastAsia="仿宋" w:cs="仿宋"/>
          <w:b w:val="0"/>
          <w:bCs w:val="0"/>
          <w:sz w:val="21"/>
          <w:szCs w:val="24"/>
        </w:rPr>
        <w:t>（</w:t>
      </w:r>
      <w:r>
        <w:rPr>
          <w:rFonts w:hint="eastAsia" w:ascii="仿宋" w:hAnsi="仿宋" w:eastAsia="仿宋" w:cs="仿宋"/>
          <w:b w:val="0"/>
          <w:bCs w:val="0"/>
          <w:i/>
          <w:sz w:val="21"/>
          <w:szCs w:val="24"/>
          <w:u w:val="single"/>
        </w:rPr>
        <w:t>斜体下划线为实质性要求</w:t>
      </w:r>
      <w:r>
        <w:rPr>
          <w:rFonts w:hint="eastAsia" w:ascii="仿宋" w:hAnsi="仿宋" w:eastAsia="仿宋" w:cs="仿宋"/>
          <w:b w:val="0"/>
          <w:bCs w:val="0"/>
          <w:sz w:val="21"/>
          <w:szCs w:val="24"/>
        </w:rPr>
        <w:t>，</w:t>
      </w:r>
      <w:r>
        <w:rPr>
          <w:rFonts w:hint="eastAsia" w:ascii="仿宋" w:hAnsi="仿宋" w:eastAsia="仿宋" w:cs="仿宋"/>
          <w:b w:val="0"/>
          <w:bCs w:val="0"/>
          <w:color w:val="000000"/>
          <w:kern w:val="0"/>
          <w:sz w:val="21"/>
          <w:szCs w:val="18"/>
        </w:rPr>
        <w:t>★项需提供相关证明</w:t>
      </w:r>
      <w:r>
        <w:rPr>
          <w:rFonts w:hint="eastAsia" w:ascii="仿宋" w:hAnsi="仿宋" w:eastAsia="仿宋" w:cs="仿宋"/>
          <w:b w:val="0"/>
          <w:bCs w:val="0"/>
          <w:color w:val="000000"/>
          <w:kern w:val="0"/>
          <w:sz w:val="21"/>
          <w:szCs w:val="18"/>
          <w:lang w:eastAsia="zh-CN"/>
        </w:rPr>
        <w:t>。</w:t>
      </w:r>
      <w:r>
        <w:rPr>
          <w:rFonts w:hint="eastAsia" w:ascii="仿宋" w:hAnsi="仿宋" w:eastAsia="仿宋" w:cs="仿宋"/>
          <w:b w:val="0"/>
          <w:bCs w:val="0"/>
          <w:color w:val="000000"/>
          <w:kern w:val="0"/>
          <w:sz w:val="21"/>
          <w:szCs w:val="18"/>
        </w:rPr>
        <w:t>）</w:t>
      </w:r>
    </w:p>
    <w:p>
      <w:pPr>
        <w:rPr>
          <w:rFonts w:hint="eastAsia" w:ascii="仿宋" w:hAnsi="仿宋" w:eastAsia="仿宋" w:cs="仿宋"/>
        </w:rPr>
      </w:pPr>
      <w:r>
        <w:rPr>
          <w:rFonts w:hint="eastAsia" w:ascii="仿宋" w:hAnsi="仿宋" w:eastAsia="仿宋" w:cs="仿宋"/>
        </w:rPr>
        <w:t xml:space="preserve">    2.1 虚拟化防护系统</w:t>
      </w:r>
    </w:p>
    <w:tbl>
      <w:tblPr>
        <w:tblStyle w:val="25"/>
        <w:tblW w:w="8200" w:type="dxa"/>
        <w:tblInd w:w="93" w:type="dxa"/>
        <w:tblLayout w:type="fixed"/>
        <w:tblCellMar>
          <w:top w:w="0" w:type="dxa"/>
          <w:left w:w="108" w:type="dxa"/>
          <w:bottom w:w="0" w:type="dxa"/>
          <w:right w:w="108" w:type="dxa"/>
        </w:tblCellMar>
      </w:tblPr>
      <w:tblGrid>
        <w:gridCol w:w="1210"/>
        <w:gridCol w:w="6990"/>
      </w:tblGrid>
      <w:tr>
        <w:tblPrEx>
          <w:tblLayout w:type="fixed"/>
          <w:tblCellMar>
            <w:top w:w="0" w:type="dxa"/>
            <w:left w:w="108" w:type="dxa"/>
            <w:bottom w:w="0" w:type="dxa"/>
            <w:right w:w="108" w:type="dxa"/>
          </w:tblCellMar>
        </w:tblPrEx>
        <w:trPr>
          <w:trHeight w:val="462" w:hRule="atLeast"/>
        </w:trPr>
        <w:tc>
          <w:tcPr>
            <w:tcW w:w="12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技术指标</w:t>
            </w:r>
          </w:p>
        </w:tc>
        <w:tc>
          <w:tcPr>
            <w:tcW w:w="69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详细要求</w:t>
            </w:r>
          </w:p>
        </w:tc>
      </w:tr>
      <w:tr>
        <w:tblPrEx>
          <w:tblLayout w:type="fixed"/>
          <w:tblCellMar>
            <w:top w:w="0" w:type="dxa"/>
            <w:left w:w="108" w:type="dxa"/>
            <w:bottom w:w="0" w:type="dxa"/>
            <w:right w:w="108" w:type="dxa"/>
          </w:tblCellMar>
        </w:tblPrEx>
        <w:trPr>
          <w:trHeight w:val="462" w:hRule="atLeast"/>
        </w:trPr>
        <w:tc>
          <w:tcPr>
            <w:tcW w:w="12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配置</w:t>
            </w:r>
          </w:p>
        </w:tc>
        <w:tc>
          <w:tcPr>
            <w:tcW w:w="69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i/>
                <w:color w:val="000000"/>
                <w:kern w:val="0"/>
                <w:sz w:val="20"/>
                <w:szCs w:val="24"/>
                <w:u w:val="single"/>
              </w:rPr>
            </w:pPr>
            <w:r>
              <w:rPr>
                <w:rFonts w:hint="eastAsia" w:ascii="仿宋" w:hAnsi="仿宋" w:eastAsia="仿宋" w:cs="仿宋"/>
                <w:i/>
                <w:color w:val="000000"/>
                <w:kern w:val="0"/>
                <w:sz w:val="20"/>
                <w:szCs w:val="24"/>
                <w:u w:val="single"/>
              </w:rPr>
              <w:t>提供至少16C授权，三年免费升级服务。</w:t>
            </w:r>
          </w:p>
        </w:tc>
      </w:tr>
      <w:tr>
        <w:tblPrEx>
          <w:tblLayout w:type="fixed"/>
          <w:tblCellMar>
            <w:top w:w="0" w:type="dxa"/>
            <w:left w:w="108" w:type="dxa"/>
            <w:bottom w:w="0" w:type="dxa"/>
            <w:right w:w="108" w:type="dxa"/>
          </w:tblCellMar>
        </w:tblPrEx>
        <w:trPr>
          <w:trHeight w:val="1710"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一体化控制中心</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提供一体化控制中心组件</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w:t>
            </w:r>
            <w:r>
              <w:rPr>
                <w:rFonts w:hint="eastAsia" w:ascii="仿宋" w:hAnsi="仿宋" w:eastAsia="仿宋" w:cs="仿宋"/>
                <w:bCs/>
                <w:color w:val="000000"/>
                <w:kern w:val="0"/>
                <w:sz w:val="18"/>
                <w:szCs w:val="18"/>
              </w:rPr>
              <w:t>★</w:t>
            </w:r>
            <w:r>
              <w:rPr>
                <w:rFonts w:hint="eastAsia" w:ascii="仿宋" w:hAnsi="仿宋" w:eastAsia="仿宋" w:cs="仿宋"/>
                <w:color w:val="000000"/>
                <w:kern w:val="0"/>
                <w:sz w:val="20"/>
                <w:szCs w:val="24"/>
              </w:rPr>
              <w:t xml:space="preserve"> 1.虚拟化安全产品自带高性能数据库，无需外置数据库即可实现日志存储和分析关联（提供证明，并加盖公章）</w:t>
            </w:r>
            <w:r>
              <w:rPr>
                <w:rFonts w:hint="eastAsia" w:ascii="仿宋" w:hAnsi="仿宋" w:eastAsia="仿宋" w:cs="仿宋"/>
                <w:color w:val="FF0000"/>
                <w:kern w:val="0"/>
                <w:sz w:val="20"/>
                <w:szCs w:val="24"/>
              </w:rPr>
              <w:br w:type="textWrapping"/>
            </w:r>
            <w:r>
              <w:rPr>
                <w:rFonts w:hint="eastAsia" w:ascii="仿宋" w:hAnsi="仿宋" w:eastAsia="仿宋" w:cs="仿宋"/>
                <w:color w:val="000000"/>
                <w:kern w:val="0"/>
                <w:sz w:val="20"/>
                <w:szCs w:val="24"/>
              </w:rPr>
              <w:t xml:space="preserve">  2.虚拟化安全产品自带升级、查询、代理功能，无需额外部署升级服务器、代理服务器等节点</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3.产品提供已加固的安全操作系统作为集中控制系统的运行环境，支持集中控制系统打包在安全操作系统中以实现简易交付</w:t>
            </w:r>
          </w:p>
        </w:tc>
      </w:tr>
      <w:tr>
        <w:tblPrEx>
          <w:tblLayout w:type="fixed"/>
          <w:tblCellMar>
            <w:top w:w="0" w:type="dxa"/>
            <w:left w:w="108" w:type="dxa"/>
            <w:bottom w:w="0" w:type="dxa"/>
            <w:right w:w="108" w:type="dxa"/>
          </w:tblCellMar>
        </w:tblPrEx>
        <w:trPr>
          <w:trHeight w:val="2280"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i/>
                <w:color w:val="000000"/>
                <w:kern w:val="0"/>
                <w:sz w:val="20"/>
                <w:szCs w:val="24"/>
                <w:u w:val="single"/>
              </w:rPr>
            </w:pPr>
            <w:r>
              <w:rPr>
                <w:rFonts w:hint="eastAsia" w:ascii="仿宋" w:hAnsi="仿宋" w:eastAsia="仿宋" w:cs="仿宋"/>
                <w:i/>
                <w:color w:val="000000"/>
                <w:kern w:val="0"/>
                <w:sz w:val="20"/>
                <w:szCs w:val="24"/>
                <w:u w:val="single"/>
              </w:rPr>
              <w:t>无代理支持</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i/>
                <w:color w:val="000000"/>
                <w:kern w:val="0"/>
                <w:sz w:val="20"/>
                <w:szCs w:val="24"/>
                <w:u w:val="single"/>
              </w:rPr>
            </w:pPr>
            <w:r>
              <w:rPr>
                <w:rFonts w:hint="eastAsia" w:ascii="仿宋" w:hAnsi="仿宋" w:eastAsia="仿宋" w:cs="仿宋"/>
                <w:i/>
                <w:color w:val="000000"/>
                <w:kern w:val="0"/>
                <w:sz w:val="20"/>
                <w:szCs w:val="24"/>
                <w:u w:val="single"/>
              </w:rPr>
              <w:t>采用虚拟化无代理技术，支持无代理杀毒和无代理网络相关安全功能</w:t>
            </w:r>
            <w:r>
              <w:rPr>
                <w:rFonts w:hint="eastAsia" w:ascii="仿宋" w:hAnsi="仿宋" w:eastAsia="仿宋" w:cs="仿宋"/>
                <w:i/>
                <w:color w:val="000000"/>
                <w:kern w:val="0"/>
                <w:sz w:val="20"/>
                <w:szCs w:val="24"/>
                <w:u w:val="single"/>
              </w:rPr>
              <w:br w:type="textWrapping"/>
            </w:r>
            <w:r>
              <w:rPr>
                <w:rFonts w:hint="eastAsia" w:ascii="仿宋" w:hAnsi="仿宋" w:eastAsia="仿宋" w:cs="仿宋"/>
                <w:i/>
                <w:color w:val="000000"/>
                <w:kern w:val="0"/>
                <w:sz w:val="20"/>
                <w:szCs w:val="24"/>
                <w:u w:val="single"/>
              </w:rPr>
              <w:t xml:space="preserve">  1.受保护的虚拟机无需安装任何安全软件客户端，可以对虚拟机进行实时防护，全盘扫描，进程管控，防火墙，入侵防御等安全防护功能</w:t>
            </w:r>
            <w:r>
              <w:rPr>
                <w:rFonts w:hint="eastAsia" w:ascii="仿宋" w:hAnsi="仿宋" w:eastAsia="仿宋" w:cs="仿宋"/>
                <w:i/>
                <w:color w:val="000000"/>
                <w:kern w:val="0"/>
                <w:sz w:val="20"/>
                <w:szCs w:val="24"/>
                <w:u w:val="single"/>
              </w:rPr>
              <w:br w:type="textWrapping"/>
            </w:r>
            <w:r>
              <w:rPr>
                <w:rFonts w:hint="eastAsia" w:ascii="仿宋" w:hAnsi="仿宋" w:eastAsia="仿宋" w:cs="仿宋"/>
                <w:i/>
                <w:color w:val="000000"/>
                <w:kern w:val="0"/>
                <w:sz w:val="20"/>
                <w:szCs w:val="24"/>
                <w:u w:val="single"/>
              </w:rPr>
              <w:t xml:space="preserve">  2.对虚拟机的安全检测在宿主机或独立安全虚拟机上进行，不会消耗虚拟机资源</w:t>
            </w:r>
            <w:r>
              <w:rPr>
                <w:rFonts w:hint="eastAsia" w:ascii="仿宋" w:hAnsi="仿宋" w:eastAsia="仿宋" w:cs="仿宋"/>
                <w:i/>
                <w:color w:val="000000"/>
                <w:kern w:val="0"/>
                <w:sz w:val="20"/>
                <w:szCs w:val="24"/>
                <w:u w:val="single"/>
              </w:rPr>
              <w:br w:type="textWrapping"/>
            </w:r>
            <w:r>
              <w:rPr>
                <w:rFonts w:hint="eastAsia" w:ascii="仿宋" w:hAnsi="仿宋" w:eastAsia="仿宋" w:cs="仿宋"/>
                <w:i/>
                <w:color w:val="000000"/>
                <w:kern w:val="0"/>
                <w:sz w:val="20"/>
                <w:szCs w:val="24"/>
                <w:u w:val="single"/>
              </w:rPr>
              <w:t xml:space="preserve">  3.虚拟机关闭或休眠时，安全策略、安全特征库仍可保持更新，避免虚拟机状态改变带来的防护间隙</w:t>
            </w:r>
            <w:r>
              <w:rPr>
                <w:rFonts w:hint="eastAsia" w:ascii="仿宋" w:hAnsi="仿宋" w:eastAsia="仿宋" w:cs="仿宋"/>
                <w:i/>
                <w:color w:val="000000"/>
                <w:kern w:val="0"/>
                <w:sz w:val="20"/>
                <w:szCs w:val="24"/>
                <w:u w:val="single"/>
              </w:rPr>
              <w:br w:type="textWrapping"/>
            </w:r>
            <w:r>
              <w:rPr>
                <w:rFonts w:hint="eastAsia" w:ascii="仿宋" w:hAnsi="仿宋" w:eastAsia="仿宋" w:cs="仿宋"/>
                <w:i/>
                <w:color w:val="000000"/>
                <w:kern w:val="0"/>
                <w:sz w:val="20"/>
                <w:szCs w:val="24"/>
                <w:u w:val="single"/>
              </w:rPr>
              <w:t xml:space="preserve">  4.虚拟机迁移后，安全防护能力不受影响</w:t>
            </w:r>
            <w:r>
              <w:rPr>
                <w:rFonts w:hint="eastAsia" w:ascii="仿宋" w:hAnsi="仿宋" w:eastAsia="仿宋" w:cs="仿宋"/>
                <w:i/>
                <w:color w:val="000000"/>
                <w:kern w:val="0"/>
                <w:sz w:val="20"/>
                <w:szCs w:val="24"/>
                <w:u w:val="single"/>
              </w:rPr>
              <w:br w:type="textWrapping"/>
            </w:r>
            <w:r>
              <w:rPr>
                <w:rFonts w:hint="eastAsia" w:ascii="仿宋" w:hAnsi="仿宋" w:eastAsia="仿宋" w:cs="仿宋"/>
                <w:i/>
                <w:color w:val="000000"/>
                <w:kern w:val="0"/>
                <w:sz w:val="20"/>
                <w:szCs w:val="24"/>
                <w:u w:val="single"/>
              </w:rPr>
              <w:t xml:space="preserve">  5.无需通过SDN等引流设备进行引流即可实现安全防护能力</w:t>
            </w:r>
          </w:p>
        </w:tc>
      </w:tr>
      <w:tr>
        <w:tblPrEx>
          <w:tblLayout w:type="fixed"/>
          <w:tblCellMar>
            <w:top w:w="0" w:type="dxa"/>
            <w:left w:w="108" w:type="dxa"/>
            <w:bottom w:w="0" w:type="dxa"/>
            <w:right w:w="108" w:type="dxa"/>
          </w:tblCellMar>
        </w:tblPrEx>
        <w:trPr>
          <w:trHeight w:val="1140"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多租户支持</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支持与多租户架构虚拟化平台深度整合，无需单独额外授权开启</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1.支持直接使用虚拟化平台租户账号登录/管理安全配置</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2.支持不同租户日志、管理、策略相互隔离</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3.支持不同租户可单独管理虚拟机/终端、安全配置</w:t>
            </w:r>
          </w:p>
        </w:tc>
      </w:tr>
      <w:tr>
        <w:tblPrEx>
          <w:tblLayout w:type="fixed"/>
          <w:tblCellMar>
            <w:top w:w="0" w:type="dxa"/>
            <w:left w:w="108" w:type="dxa"/>
            <w:bottom w:w="0" w:type="dxa"/>
            <w:right w:w="108" w:type="dxa"/>
          </w:tblCellMar>
        </w:tblPrEx>
        <w:trPr>
          <w:trHeight w:val="85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高可用</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支持高可用部署，增强产品可用性及连续性</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1.支持管理中心支持双机热备及负载均衡</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2.支持数据支持异地备份恢复</w:t>
            </w:r>
          </w:p>
        </w:tc>
      </w:tr>
      <w:tr>
        <w:tblPrEx>
          <w:tblLayout w:type="fixed"/>
          <w:tblCellMar>
            <w:top w:w="0" w:type="dxa"/>
            <w:left w:w="108" w:type="dxa"/>
            <w:bottom w:w="0" w:type="dxa"/>
            <w:right w:w="108" w:type="dxa"/>
          </w:tblCellMar>
        </w:tblPrEx>
        <w:trPr>
          <w:trHeight w:val="1140"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接口集成</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提供Restful API管理接口，支持与云计算管理平台集成，包括</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1.租户安全管理接口，可以配置租户虚拟机的安全策略、日志查询、自定义报表</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2.安全事件告警接口，提供告警日志转发到安全事件与信息管理系统</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3.系统运维接口，系统管理配置、部署安装、升级维护</w:t>
            </w:r>
          </w:p>
        </w:tc>
      </w:tr>
      <w:tr>
        <w:tblPrEx>
          <w:tblLayout w:type="fixed"/>
          <w:tblCellMar>
            <w:top w:w="0" w:type="dxa"/>
            <w:left w:w="108" w:type="dxa"/>
            <w:bottom w:w="0" w:type="dxa"/>
            <w:right w:w="108" w:type="dxa"/>
          </w:tblCellMar>
        </w:tblPrEx>
        <w:trPr>
          <w:trHeight w:val="1140"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虚拟化平台支持</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支持国内外主流虚拟化平台支持和管理</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1.产品应至少支持VMware 、Ctrix、Huawei 、H3C、中兴、浪潮、青云、品高等国内外主流虚拟化厂商平台</w:t>
            </w:r>
            <w:r>
              <w:rPr>
                <w:rFonts w:hint="eastAsia" w:ascii="仿宋" w:hAnsi="仿宋" w:eastAsia="仿宋" w:cs="仿宋"/>
                <w:color w:val="FF0000"/>
                <w:kern w:val="0"/>
                <w:sz w:val="20"/>
                <w:szCs w:val="24"/>
              </w:rPr>
              <w:br w:type="textWrapping"/>
            </w:r>
            <w:r>
              <w:rPr>
                <w:rFonts w:hint="eastAsia" w:ascii="仿宋" w:hAnsi="仿宋" w:eastAsia="仿宋" w:cs="仿宋"/>
                <w:color w:val="000000"/>
                <w:kern w:val="0"/>
                <w:sz w:val="20"/>
                <w:szCs w:val="24"/>
              </w:rPr>
              <w:t xml:space="preserve">  2.产品应至少支持以上虚拟化平台的同一平台管理</w:t>
            </w:r>
          </w:p>
        </w:tc>
      </w:tr>
      <w:tr>
        <w:tblPrEx>
          <w:tblLayout w:type="fixed"/>
          <w:tblCellMar>
            <w:top w:w="0" w:type="dxa"/>
            <w:left w:w="108" w:type="dxa"/>
            <w:bottom w:w="0" w:type="dxa"/>
            <w:right w:w="108" w:type="dxa"/>
          </w:tblCellMar>
        </w:tblPrEx>
        <w:trPr>
          <w:trHeight w:val="274"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Windows操作系统支持</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产品应至少支持Windows XP、Windows Vista、Windows 7/8/10、Windows Server 2003、Windows Server 2008、Windows Server 2012、Windows Server 2016等WindowsNT系列服务器操作系统</w:t>
            </w:r>
          </w:p>
        </w:tc>
      </w:tr>
      <w:tr>
        <w:tblPrEx>
          <w:tblLayout w:type="fixed"/>
          <w:tblCellMar>
            <w:top w:w="0" w:type="dxa"/>
            <w:left w:w="108" w:type="dxa"/>
            <w:bottom w:w="0" w:type="dxa"/>
            <w:right w:w="108" w:type="dxa"/>
          </w:tblCellMar>
        </w:tblPrEx>
        <w:trPr>
          <w:trHeight w:val="570"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Linux操作系统支持</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产品应至少支持SuSE、Red Hat、Ubuntu、CentOS、NeoKylinLinux(中标麒麟)、Deepin(深度)等基于Linux内核的操作系统</w:t>
            </w:r>
          </w:p>
        </w:tc>
      </w:tr>
      <w:tr>
        <w:tblPrEx>
          <w:tblLayout w:type="fixed"/>
          <w:tblCellMar>
            <w:top w:w="0" w:type="dxa"/>
            <w:left w:w="108" w:type="dxa"/>
            <w:bottom w:w="0" w:type="dxa"/>
            <w:right w:w="108" w:type="dxa"/>
          </w:tblCellMar>
        </w:tblPrEx>
        <w:trPr>
          <w:trHeight w:val="570"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分组匹配</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支持根据虚拟机所在的主机池/项目、主机、分组、安全组以及虚拟机名称和操作系统制定分组匹配规则</w:t>
            </w:r>
          </w:p>
        </w:tc>
      </w:tr>
      <w:tr>
        <w:tblPrEx>
          <w:tblLayout w:type="fixed"/>
          <w:tblCellMar>
            <w:top w:w="0" w:type="dxa"/>
            <w:left w:w="108" w:type="dxa"/>
            <w:bottom w:w="0" w:type="dxa"/>
            <w:right w:w="108" w:type="dxa"/>
          </w:tblCellMar>
        </w:tblPrEx>
        <w:trPr>
          <w:trHeight w:val="1710"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多杀毒防护方式</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产品提供多种杀毒防护方式，保证杀毒能力</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1.支持快速扫描功能，具备对系统关键路径进行快速病毒扫描查杀能力</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2.支持全盘扫描功能，具备对系统全路径、全文件进行彻底病毒扫描查杀能力</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3.支持个性化扫描，能够基于不同路径、不同文件类型、时间等进行自定义病毒扫描查杀</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4.支持实时主动防护，智能监控系统文件操作行为，实时对病毒木马及恶意相关文件进行拦截和防护</w:t>
            </w:r>
          </w:p>
        </w:tc>
      </w:tr>
      <w:tr>
        <w:tblPrEx>
          <w:tblLayout w:type="fixed"/>
          <w:tblCellMar>
            <w:top w:w="0" w:type="dxa"/>
            <w:left w:w="108" w:type="dxa"/>
            <w:bottom w:w="0" w:type="dxa"/>
            <w:right w:w="108" w:type="dxa"/>
          </w:tblCellMar>
        </w:tblPrEx>
        <w:trPr>
          <w:trHeight w:val="570"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防勒索软件</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支持勒索软件防护，可监控终端上的操作系统或已安装软件是否发生异常修改，一旦勒索软件在终端上进行恶意操作，产品能及时有效地阻止这类行为</w:t>
            </w:r>
          </w:p>
        </w:tc>
      </w:tr>
      <w:tr>
        <w:tblPrEx>
          <w:tblLayout w:type="fixed"/>
          <w:tblCellMar>
            <w:top w:w="0" w:type="dxa"/>
            <w:left w:w="108" w:type="dxa"/>
            <w:bottom w:w="0" w:type="dxa"/>
            <w:right w:w="108" w:type="dxa"/>
          </w:tblCellMar>
        </w:tblPrEx>
        <w:trPr>
          <w:trHeight w:val="570"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自主信任</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产品应支持对病毒文件进行手动恢复操作、对目录、文件、扩展名进行信任操作，以提升查杀效率和降低误杀率</w:t>
            </w:r>
          </w:p>
        </w:tc>
      </w:tr>
      <w:tr>
        <w:tblPrEx>
          <w:tblLayout w:type="fixed"/>
          <w:tblCellMar>
            <w:top w:w="0" w:type="dxa"/>
            <w:left w:w="108" w:type="dxa"/>
            <w:bottom w:w="0" w:type="dxa"/>
            <w:right w:w="108" w:type="dxa"/>
          </w:tblCellMar>
        </w:tblPrEx>
        <w:trPr>
          <w:trHeight w:val="28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病毒黑白名单</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产品应支持除文件、文件夹例外，还需支持单独的病毒黑白名单的管理运维</w:t>
            </w:r>
          </w:p>
        </w:tc>
      </w:tr>
      <w:tr>
        <w:tblPrEx>
          <w:tblLayout w:type="fixed"/>
          <w:tblCellMar>
            <w:top w:w="0" w:type="dxa"/>
            <w:left w:w="108" w:type="dxa"/>
            <w:bottom w:w="0" w:type="dxa"/>
            <w:right w:w="108" w:type="dxa"/>
          </w:tblCellMar>
        </w:tblPrEx>
        <w:trPr>
          <w:trHeight w:val="28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病毒回溯</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产品应支持对已识别病毒文件的名称、路径、类型等进行记录溯源</w:t>
            </w:r>
          </w:p>
        </w:tc>
      </w:tr>
      <w:tr>
        <w:tblPrEx>
          <w:tblLayout w:type="fixed"/>
          <w:tblCellMar>
            <w:top w:w="0" w:type="dxa"/>
            <w:left w:w="108" w:type="dxa"/>
            <w:bottom w:w="0" w:type="dxa"/>
            <w:right w:w="108" w:type="dxa"/>
          </w:tblCellMar>
        </w:tblPrEx>
        <w:trPr>
          <w:trHeight w:val="28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查杀调度</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产品应能感知物理机的任务状态，智能调度任务执行，防止引发启动、查杀风暴</w:t>
            </w:r>
          </w:p>
        </w:tc>
      </w:tr>
      <w:tr>
        <w:tblPrEx>
          <w:tblLayout w:type="fixed"/>
          <w:tblCellMar>
            <w:top w:w="0" w:type="dxa"/>
            <w:left w:w="108" w:type="dxa"/>
            <w:bottom w:w="0" w:type="dxa"/>
            <w:right w:w="108" w:type="dxa"/>
          </w:tblCellMar>
        </w:tblPrEx>
        <w:trPr>
          <w:trHeight w:val="85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缓存机制</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产品应支持缓存机制，减少扫描防护带来的系统开销</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1.支持对虚拟机相同文件不会重复检测；</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2.支持对虚拟机文件进行增量检测扫描，只检测扫描有修改的文件</w:t>
            </w:r>
          </w:p>
        </w:tc>
      </w:tr>
      <w:tr>
        <w:tblPrEx>
          <w:tblLayout w:type="fixed"/>
          <w:tblCellMar>
            <w:top w:w="0" w:type="dxa"/>
            <w:left w:w="108" w:type="dxa"/>
            <w:bottom w:w="0" w:type="dxa"/>
            <w:right w:w="108" w:type="dxa"/>
          </w:tblCellMar>
        </w:tblPrEx>
        <w:trPr>
          <w:trHeight w:val="28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分析呈现</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产品应至少支持基于虚拟主机维度、恶意文件类型维度进行多种分析呈现展示</w:t>
            </w:r>
          </w:p>
        </w:tc>
      </w:tr>
      <w:tr>
        <w:tblPrEx>
          <w:tblLayout w:type="fixed"/>
          <w:tblCellMar>
            <w:top w:w="0" w:type="dxa"/>
            <w:left w:w="108" w:type="dxa"/>
            <w:bottom w:w="0" w:type="dxa"/>
            <w:right w:w="108" w:type="dxa"/>
          </w:tblCellMar>
        </w:tblPrEx>
        <w:trPr>
          <w:trHeight w:val="28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流量统计</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提供对出入虚拟机的网络流量、连接、应用、地理位置进行统计和展示</w:t>
            </w:r>
          </w:p>
        </w:tc>
      </w:tr>
      <w:tr>
        <w:tblPrEx>
          <w:tblLayout w:type="fixed"/>
          <w:tblCellMar>
            <w:top w:w="0" w:type="dxa"/>
            <w:left w:w="108" w:type="dxa"/>
            <w:bottom w:w="0" w:type="dxa"/>
            <w:right w:w="108" w:type="dxa"/>
          </w:tblCellMar>
        </w:tblPrEx>
        <w:trPr>
          <w:trHeight w:val="28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日志分析</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支持按照不同分组、虚拟机/终端、主机、威胁分类进行柱状图、曲线图、饼图、原始数据展示</w:t>
            </w:r>
          </w:p>
        </w:tc>
      </w:tr>
      <w:tr>
        <w:tblPrEx>
          <w:tblLayout w:type="fixed"/>
          <w:tblCellMar>
            <w:top w:w="0" w:type="dxa"/>
            <w:left w:w="108" w:type="dxa"/>
            <w:bottom w:w="0" w:type="dxa"/>
            <w:right w:w="108" w:type="dxa"/>
          </w:tblCellMar>
        </w:tblPrEx>
        <w:trPr>
          <w:trHeight w:val="649" w:hRule="atLeast"/>
        </w:trPr>
        <w:tc>
          <w:tcPr>
            <w:tcW w:w="1210" w:type="dxa"/>
            <w:vMerge w:val="restart"/>
            <w:tcBorders>
              <w:top w:val="nil"/>
              <w:left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报表</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支持手动或者定时定期生成报表，可指定任意虚拟机/终端、主机池进行报表生成</w:t>
            </w:r>
          </w:p>
        </w:tc>
      </w:tr>
      <w:tr>
        <w:tblPrEx>
          <w:tblLayout w:type="fixed"/>
          <w:tblCellMar>
            <w:top w:w="0" w:type="dxa"/>
            <w:left w:w="108" w:type="dxa"/>
            <w:bottom w:w="0" w:type="dxa"/>
            <w:right w:w="108" w:type="dxa"/>
          </w:tblCellMar>
        </w:tblPrEx>
        <w:trPr>
          <w:trHeight w:val="609" w:hRule="atLeast"/>
        </w:trPr>
        <w:tc>
          <w:tcPr>
            <w:tcW w:w="1210"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p>
        </w:tc>
        <w:tc>
          <w:tcPr>
            <w:tcW w:w="69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bCs/>
                <w:color w:val="000000"/>
                <w:kern w:val="0"/>
                <w:sz w:val="18"/>
                <w:szCs w:val="18"/>
              </w:rPr>
            </w:pPr>
            <w:r>
              <w:rPr>
                <w:rFonts w:hint="eastAsia" w:ascii="仿宋" w:hAnsi="仿宋" w:eastAsia="仿宋" w:cs="仿宋"/>
                <w:color w:val="000000"/>
                <w:kern w:val="0"/>
                <w:sz w:val="20"/>
                <w:szCs w:val="24"/>
              </w:rPr>
              <w:t>支持自定义安全日志报表呈现形式，比如：数量排名、图形展示、安全日志类型等</w:t>
            </w:r>
          </w:p>
        </w:tc>
      </w:tr>
      <w:tr>
        <w:tblPrEx>
          <w:tblLayout w:type="fixed"/>
          <w:tblCellMar>
            <w:top w:w="0" w:type="dxa"/>
            <w:left w:w="108" w:type="dxa"/>
            <w:bottom w:w="0" w:type="dxa"/>
            <w:right w:w="108" w:type="dxa"/>
          </w:tblCellMar>
        </w:tblPrEx>
        <w:trPr>
          <w:trHeight w:val="1140"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系统事件</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产品应支持对操作员动作进行审计</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1. 支持实时显示操作员动作审计日志</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2. 支持对事件分类、操作者、日志级别进行分析统计，支持柱状图、曲线图、饼图、原始数据等多种方式展示</w:t>
            </w:r>
          </w:p>
        </w:tc>
      </w:tr>
      <w:tr>
        <w:tblPrEx>
          <w:tblLayout w:type="fixed"/>
          <w:tblCellMar>
            <w:top w:w="0" w:type="dxa"/>
            <w:left w:w="108" w:type="dxa"/>
            <w:bottom w:w="0" w:type="dxa"/>
            <w:right w:w="108" w:type="dxa"/>
          </w:tblCellMar>
        </w:tblPrEx>
        <w:trPr>
          <w:trHeight w:val="28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Syslog支持</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产品应支持Syslog，支持将安全日志发送到第三方服务器上，支持设定特定事件转发syslog</w:t>
            </w:r>
          </w:p>
        </w:tc>
      </w:tr>
      <w:tr>
        <w:tblPrEx>
          <w:tblLayout w:type="fixed"/>
          <w:tblCellMar>
            <w:top w:w="0" w:type="dxa"/>
            <w:left w:w="108" w:type="dxa"/>
            <w:bottom w:w="0" w:type="dxa"/>
            <w:right w:w="108" w:type="dxa"/>
          </w:tblCellMar>
        </w:tblPrEx>
        <w:trPr>
          <w:trHeight w:val="28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NTP支持</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产品应支持自定设定NTP和手动设定时间</w:t>
            </w:r>
          </w:p>
        </w:tc>
      </w:tr>
      <w:tr>
        <w:tblPrEx>
          <w:tblLayout w:type="fixed"/>
          <w:tblCellMar>
            <w:top w:w="0" w:type="dxa"/>
            <w:left w:w="108" w:type="dxa"/>
            <w:bottom w:w="0" w:type="dxa"/>
            <w:right w:w="108" w:type="dxa"/>
          </w:tblCellMar>
        </w:tblPrEx>
        <w:trPr>
          <w:trHeight w:val="28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安全告警</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产品应支持邮箱告警</w:t>
            </w:r>
          </w:p>
        </w:tc>
      </w:tr>
      <w:tr>
        <w:tblPrEx>
          <w:tblLayout w:type="fixed"/>
          <w:tblCellMar>
            <w:top w:w="0" w:type="dxa"/>
            <w:left w:w="108" w:type="dxa"/>
            <w:bottom w:w="0" w:type="dxa"/>
            <w:right w:w="108" w:type="dxa"/>
          </w:tblCellMar>
        </w:tblPrEx>
        <w:trPr>
          <w:trHeight w:val="28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多账号管理</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产品应支持多账号，不同账号设定不同功能使用和访问权限</w:t>
            </w:r>
          </w:p>
        </w:tc>
      </w:tr>
      <w:tr>
        <w:tblPrEx>
          <w:tblLayout w:type="fixed"/>
          <w:tblCellMar>
            <w:top w:w="0" w:type="dxa"/>
            <w:left w:w="108" w:type="dxa"/>
            <w:bottom w:w="0" w:type="dxa"/>
            <w:right w:w="108" w:type="dxa"/>
          </w:tblCellMar>
        </w:tblPrEx>
        <w:trPr>
          <w:trHeight w:val="85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访问控制</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产品应支持管控中心访问控制</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1. 支持仅信任的IP/IP段访问管控中心</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2. 支持Web服务API访问控制</w:t>
            </w:r>
          </w:p>
        </w:tc>
      </w:tr>
      <w:tr>
        <w:tblPrEx>
          <w:tblLayout w:type="fixed"/>
          <w:tblCellMar>
            <w:top w:w="0" w:type="dxa"/>
            <w:left w:w="108" w:type="dxa"/>
            <w:bottom w:w="0" w:type="dxa"/>
            <w:right w:w="108" w:type="dxa"/>
          </w:tblCellMar>
        </w:tblPrEx>
        <w:trPr>
          <w:trHeight w:val="1140"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管控中心磁盘设置</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产品应支持管控中心磁盘使用设定</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1. 支持管控中心磁盘最大使用率设定</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2. 支持管控中心最小剩余空间设定</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3. 支持隔离区最大空间设定</w:t>
            </w:r>
          </w:p>
        </w:tc>
      </w:tr>
      <w:tr>
        <w:tblPrEx>
          <w:tblLayout w:type="fixed"/>
          <w:tblCellMar>
            <w:top w:w="0" w:type="dxa"/>
            <w:left w:w="108" w:type="dxa"/>
            <w:bottom w:w="0" w:type="dxa"/>
            <w:right w:w="108" w:type="dxa"/>
          </w:tblCellMar>
        </w:tblPrEx>
        <w:trPr>
          <w:trHeight w:val="28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产品诊断</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产品支持收集详细运行信息，辅助技术人员解决系统遇到的问题</w:t>
            </w:r>
          </w:p>
        </w:tc>
      </w:tr>
      <w:tr>
        <w:tblPrEx>
          <w:tblLayout w:type="fixed"/>
          <w:tblCellMar>
            <w:top w:w="0" w:type="dxa"/>
            <w:left w:w="108" w:type="dxa"/>
            <w:bottom w:w="0" w:type="dxa"/>
            <w:right w:w="108" w:type="dxa"/>
          </w:tblCellMar>
        </w:tblPrEx>
        <w:trPr>
          <w:trHeight w:val="85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异常监控与告警</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产品应支持异常监控和告警</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1. 支持实时显示告警数量，可支持手动解除告警</w:t>
            </w:r>
            <w:r>
              <w:rPr>
                <w:rFonts w:hint="eastAsia" w:ascii="仿宋" w:hAnsi="仿宋" w:eastAsia="仿宋" w:cs="仿宋"/>
                <w:color w:val="000000"/>
                <w:kern w:val="0"/>
                <w:sz w:val="20"/>
                <w:szCs w:val="24"/>
              </w:rPr>
              <w:br w:type="textWrapping"/>
            </w:r>
            <w:r>
              <w:rPr>
                <w:rFonts w:hint="eastAsia" w:ascii="仿宋" w:hAnsi="仿宋" w:eastAsia="仿宋" w:cs="仿宋"/>
                <w:color w:val="000000"/>
                <w:kern w:val="0"/>
                <w:sz w:val="20"/>
                <w:szCs w:val="24"/>
              </w:rPr>
              <w:t xml:space="preserve">  2. 支持不少于12种异常监控与告警规则</w:t>
            </w:r>
          </w:p>
        </w:tc>
      </w:tr>
      <w:tr>
        <w:tblPrEx>
          <w:tblLayout w:type="fixed"/>
          <w:tblCellMar>
            <w:top w:w="0" w:type="dxa"/>
            <w:left w:w="108" w:type="dxa"/>
            <w:bottom w:w="0" w:type="dxa"/>
            <w:right w:w="108" w:type="dxa"/>
          </w:tblCellMar>
        </w:tblPrEx>
        <w:trPr>
          <w:trHeight w:val="28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产品个性化设置</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产品支持自定义Logo、产品名称等OEM定制。</w:t>
            </w:r>
          </w:p>
        </w:tc>
      </w:tr>
      <w:tr>
        <w:tblPrEx>
          <w:tblLayout w:type="fixed"/>
          <w:tblCellMar>
            <w:top w:w="0" w:type="dxa"/>
            <w:left w:w="108" w:type="dxa"/>
            <w:bottom w:w="0" w:type="dxa"/>
            <w:right w:w="108" w:type="dxa"/>
          </w:tblCellMar>
        </w:tblPrEx>
        <w:trPr>
          <w:trHeight w:val="570"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销售许可证</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bCs/>
                <w:color w:val="000000"/>
                <w:kern w:val="0"/>
                <w:sz w:val="18"/>
                <w:szCs w:val="18"/>
              </w:rPr>
              <w:t>★</w:t>
            </w:r>
            <w:r>
              <w:rPr>
                <w:rFonts w:hint="eastAsia" w:ascii="仿宋" w:hAnsi="仿宋" w:eastAsia="仿宋" w:cs="仿宋"/>
                <w:color w:val="000000"/>
                <w:kern w:val="0"/>
                <w:sz w:val="20"/>
                <w:szCs w:val="24"/>
              </w:rPr>
              <w:t>产品应具备公安部颁发“虚拟化安全防护”产品品类增强级销售许可证</w:t>
            </w:r>
            <w:r>
              <w:rPr>
                <w:rFonts w:hint="eastAsia" w:ascii="仿宋" w:hAnsi="仿宋" w:eastAsia="仿宋" w:cs="仿宋"/>
                <w:color w:val="FF0000"/>
                <w:kern w:val="0"/>
                <w:sz w:val="20"/>
                <w:szCs w:val="24"/>
              </w:rPr>
              <w:t>（提供证明，并加盖公章）</w:t>
            </w:r>
          </w:p>
        </w:tc>
      </w:tr>
      <w:tr>
        <w:tblPrEx>
          <w:tblLayout w:type="fixed"/>
          <w:tblCellMar>
            <w:top w:w="0" w:type="dxa"/>
            <w:left w:w="108" w:type="dxa"/>
            <w:bottom w:w="0" w:type="dxa"/>
            <w:right w:w="108" w:type="dxa"/>
          </w:tblCellMar>
        </w:tblPrEx>
        <w:trPr>
          <w:trHeight w:val="285" w:hRule="atLeast"/>
        </w:trPr>
        <w:tc>
          <w:tcPr>
            <w:tcW w:w="12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VMware Ready</w:t>
            </w:r>
          </w:p>
        </w:tc>
        <w:tc>
          <w:tcPr>
            <w:tcW w:w="6990"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仿宋"/>
                <w:color w:val="000000"/>
                <w:kern w:val="0"/>
                <w:sz w:val="20"/>
                <w:szCs w:val="24"/>
              </w:rPr>
            </w:pPr>
            <w:r>
              <w:rPr>
                <w:rFonts w:hint="eastAsia" w:ascii="仿宋" w:hAnsi="仿宋" w:eastAsia="仿宋" w:cs="仿宋"/>
                <w:bCs/>
                <w:color w:val="000000"/>
                <w:kern w:val="0"/>
                <w:sz w:val="18"/>
                <w:szCs w:val="18"/>
              </w:rPr>
              <w:t>★</w:t>
            </w:r>
            <w:r>
              <w:rPr>
                <w:rFonts w:hint="eastAsia" w:ascii="仿宋" w:hAnsi="仿宋" w:eastAsia="仿宋" w:cs="仿宋"/>
                <w:color w:val="000000"/>
                <w:kern w:val="0"/>
                <w:sz w:val="20"/>
                <w:szCs w:val="24"/>
              </w:rPr>
              <w:t>产品应具备由VMware实验室认证颁发的VMware Ready资质</w:t>
            </w:r>
            <w:r>
              <w:rPr>
                <w:rFonts w:hint="eastAsia" w:ascii="仿宋" w:hAnsi="仿宋" w:eastAsia="仿宋" w:cs="仿宋"/>
                <w:color w:val="FF0000"/>
                <w:kern w:val="0"/>
                <w:sz w:val="20"/>
                <w:szCs w:val="24"/>
              </w:rPr>
              <w:t>（提供证明，并加盖公章）</w:t>
            </w:r>
          </w:p>
        </w:tc>
      </w:tr>
      <w:tr>
        <w:tblPrEx>
          <w:tblLayout w:type="fixed"/>
          <w:tblCellMar>
            <w:top w:w="0" w:type="dxa"/>
            <w:left w:w="108" w:type="dxa"/>
            <w:bottom w:w="0" w:type="dxa"/>
            <w:right w:w="108" w:type="dxa"/>
          </w:tblCellMar>
        </w:tblPrEx>
        <w:trPr>
          <w:trHeight w:val="285" w:hRule="atLeast"/>
        </w:trPr>
        <w:tc>
          <w:tcPr>
            <w:tcW w:w="121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厂商能力</w:t>
            </w:r>
          </w:p>
        </w:tc>
        <w:tc>
          <w:tcPr>
            <w:tcW w:w="6990" w:type="dxa"/>
            <w:tcBorders>
              <w:top w:val="nil"/>
              <w:left w:val="nil"/>
              <w:bottom w:val="single" w:color="auto" w:sz="4" w:space="0"/>
              <w:right w:val="single" w:color="auto" w:sz="4" w:space="0"/>
            </w:tcBorders>
            <w:shd w:val="clear" w:color="000000" w:fill="FFFFFF"/>
            <w:vAlign w:val="bottom"/>
          </w:tcPr>
          <w:p>
            <w:pPr>
              <w:widowControl/>
              <w:jc w:val="left"/>
              <w:rPr>
                <w:rFonts w:hint="eastAsia" w:ascii="仿宋" w:hAnsi="仿宋" w:eastAsia="仿宋" w:cs="仿宋"/>
                <w:color w:val="000000"/>
                <w:kern w:val="0"/>
                <w:sz w:val="20"/>
                <w:szCs w:val="24"/>
              </w:rPr>
            </w:pPr>
            <w:r>
              <w:rPr>
                <w:rFonts w:hint="eastAsia" w:ascii="仿宋" w:hAnsi="仿宋" w:eastAsia="仿宋" w:cs="仿宋"/>
                <w:bCs/>
                <w:color w:val="000000"/>
                <w:kern w:val="0"/>
                <w:sz w:val="18"/>
                <w:szCs w:val="18"/>
              </w:rPr>
              <w:t>★</w:t>
            </w:r>
            <w:r>
              <w:rPr>
                <w:rFonts w:hint="eastAsia" w:ascii="仿宋" w:hAnsi="仿宋" w:eastAsia="仿宋" w:cs="仿宋"/>
                <w:color w:val="000000"/>
                <w:kern w:val="0"/>
                <w:sz w:val="20"/>
                <w:szCs w:val="24"/>
              </w:rPr>
              <w:t>具备国家级网络安全应急服务支撑单位</w:t>
            </w:r>
            <w:r>
              <w:rPr>
                <w:rFonts w:hint="eastAsia" w:ascii="仿宋" w:hAnsi="仿宋" w:eastAsia="仿宋" w:cs="仿宋"/>
                <w:color w:val="FF0000"/>
                <w:kern w:val="0"/>
                <w:sz w:val="20"/>
                <w:szCs w:val="24"/>
              </w:rPr>
              <w:t>（提供证明，并加盖公章）</w:t>
            </w:r>
          </w:p>
        </w:tc>
      </w:tr>
      <w:tr>
        <w:tblPrEx>
          <w:tblLayout w:type="fixed"/>
          <w:tblCellMar>
            <w:top w:w="0" w:type="dxa"/>
            <w:left w:w="108" w:type="dxa"/>
            <w:bottom w:w="0" w:type="dxa"/>
            <w:right w:w="108" w:type="dxa"/>
          </w:tblCellMar>
        </w:tblPrEx>
        <w:trPr>
          <w:trHeight w:val="285" w:hRule="atLeast"/>
        </w:trPr>
        <w:tc>
          <w:tcPr>
            <w:tcW w:w="121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0"/>
                <w:szCs w:val="24"/>
              </w:rPr>
            </w:pPr>
          </w:p>
        </w:tc>
        <w:tc>
          <w:tcPr>
            <w:tcW w:w="6990" w:type="dxa"/>
            <w:tcBorders>
              <w:top w:val="nil"/>
              <w:left w:val="nil"/>
              <w:bottom w:val="single" w:color="auto" w:sz="4" w:space="0"/>
              <w:right w:val="single" w:color="auto" w:sz="4" w:space="0"/>
            </w:tcBorders>
            <w:shd w:val="clear" w:color="000000" w:fill="FFFFFF"/>
            <w:vAlign w:val="bottom"/>
          </w:tcPr>
          <w:p>
            <w:pPr>
              <w:widowControl/>
              <w:jc w:val="left"/>
              <w:rPr>
                <w:rFonts w:hint="eastAsia" w:ascii="仿宋" w:hAnsi="仿宋" w:eastAsia="仿宋" w:cs="仿宋"/>
                <w:color w:val="000000"/>
                <w:kern w:val="0"/>
                <w:sz w:val="20"/>
                <w:szCs w:val="24"/>
              </w:rPr>
            </w:pPr>
            <w:r>
              <w:rPr>
                <w:rFonts w:hint="eastAsia" w:ascii="仿宋" w:hAnsi="仿宋" w:eastAsia="仿宋" w:cs="仿宋"/>
                <w:color w:val="000000"/>
                <w:kern w:val="0"/>
                <w:sz w:val="20"/>
                <w:szCs w:val="24"/>
              </w:rPr>
              <w:t>具备国家应用联盟安全会员资质</w:t>
            </w:r>
          </w:p>
        </w:tc>
      </w:tr>
      <w:tr>
        <w:tblPrEx>
          <w:tblLayout w:type="fixed"/>
          <w:tblCellMar>
            <w:top w:w="0" w:type="dxa"/>
            <w:left w:w="108" w:type="dxa"/>
            <w:bottom w:w="0" w:type="dxa"/>
            <w:right w:w="108" w:type="dxa"/>
          </w:tblCellMar>
        </w:tblPrEx>
        <w:trPr>
          <w:trHeight w:val="285" w:hRule="atLeast"/>
        </w:trPr>
        <w:tc>
          <w:tcPr>
            <w:tcW w:w="121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0"/>
                <w:szCs w:val="24"/>
              </w:rPr>
            </w:pPr>
          </w:p>
        </w:tc>
        <w:tc>
          <w:tcPr>
            <w:tcW w:w="6990" w:type="dxa"/>
            <w:tcBorders>
              <w:top w:val="nil"/>
              <w:left w:val="nil"/>
              <w:bottom w:val="single" w:color="auto" w:sz="4" w:space="0"/>
              <w:right w:val="single" w:color="auto" w:sz="4" w:space="0"/>
            </w:tcBorders>
            <w:shd w:val="clear" w:color="000000" w:fill="FFFFFF"/>
            <w:vAlign w:val="bottom"/>
          </w:tcPr>
          <w:p>
            <w:pPr>
              <w:widowControl/>
              <w:jc w:val="left"/>
              <w:rPr>
                <w:rFonts w:hint="eastAsia" w:ascii="仿宋" w:hAnsi="仿宋" w:eastAsia="仿宋" w:cs="仿宋"/>
                <w:color w:val="000000"/>
                <w:kern w:val="0"/>
                <w:sz w:val="20"/>
                <w:szCs w:val="24"/>
              </w:rPr>
            </w:pPr>
            <w:r>
              <w:rPr>
                <w:rFonts w:hint="eastAsia" w:ascii="仿宋" w:hAnsi="仿宋" w:eastAsia="仿宋" w:cs="仿宋"/>
                <w:bCs/>
                <w:color w:val="000000"/>
                <w:kern w:val="0"/>
                <w:sz w:val="18"/>
                <w:szCs w:val="18"/>
              </w:rPr>
              <w:t>★</w:t>
            </w:r>
            <w:r>
              <w:rPr>
                <w:rFonts w:hint="eastAsia" w:ascii="仿宋" w:hAnsi="仿宋" w:eastAsia="仿宋" w:cs="仿宋"/>
                <w:color w:val="000000"/>
                <w:kern w:val="0"/>
                <w:sz w:val="20"/>
                <w:szCs w:val="24"/>
              </w:rPr>
              <w:t>CNCERT/CC网络安全应急服务支撑单位</w:t>
            </w:r>
            <w:r>
              <w:rPr>
                <w:rFonts w:hint="eastAsia" w:ascii="仿宋" w:hAnsi="仿宋" w:eastAsia="仿宋" w:cs="仿宋"/>
                <w:color w:val="FF0000"/>
                <w:kern w:val="0"/>
                <w:sz w:val="20"/>
                <w:szCs w:val="24"/>
              </w:rPr>
              <w:t>（提供证明，并加盖公章）</w:t>
            </w:r>
          </w:p>
        </w:tc>
      </w:tr>
    </w:tbl>
    <w:p>
      <w:pPr>
        <w:pStyle w:val="3"/>
        <w:ind w:firstLine="0" w:firstLineChars="0"/>
        <w:rPr>
          <w:rFonts w:hint="eastAsia" w:ascii="仿宋" w:hAnsi="仿宋" w:eastAsia="仿宋" w:cs="仿宋"/>
        </w:rPr>
      </w:pPr>
    </w:p>
    <w:p>
      <w:pPr>
        <w:rPr>
          <w:rFonts w:hint="eastAsia" w:ascii="仿宋" w:hAnsi="仿宋" w:eastAsia="仿宋" w:cs="仿宋"/>
        </w:rPr>
      </w:pPr>
      <w:r>
        <w:rPr>
          <w:rFonts w:hint="eastAsia" w:ascii="仿宋" w:hAnsi="仿宋" w:eastAsia="仿宋" w:cs="仿宋"/>
        </w:rPr>
        <w:t>2.2 数据库防护系统</w:t>
      </w:r>
    </w:p>
    <w:tbl>
      <w:tblPr>
        <w:tblStyle w:val="25"/>
        <w:tblW w:w="9654" w:type="dxa"/>
        <w:tblInd w:w="0" w:type="dxa"/>
        <w:tblLayout w:type="fixed"/>
        <w:tblCellMar>
          <w:top w:w="15" w:type="dxa"/>
          <w:left w:w="15" w:type="dxa"/>
          <w:bottom w:w="15" w:type="dxa"/>
          <w:right w:w="15" w:type="dxa"/>
        </w:tblCellMar>
      </w:tblPr>
      <w:tblGrid>
        <w:gridCol w:w="1149"/>
        <w:gridCol w:w="8505"/>
      </w:tblGrid>
      <w:tr>
        <w:tblPrEx>
          <w:tblLayout w:type="fixed"/>
          <w:tblCellMar>
            <w:top w:w="15" w:type="dxa"/>
            <w:left w:w="15" w:type="dxa"/>
            <w:bottom w:w="15" w:type="dxa"/>
            <w:right w:w="15" w:type="dxa"/>
          </w:tblCellMar>
        </w:tblPrEx>
        <w:trPr>
          <w:trHeight w:val="307"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0"/>
                <w:szCs w:val="18"/>
              </w:rPr>
            </w:pPr>
            <w:r>
              <w:rPr>
                <w:rFonts w:hint="eastAsia" w:ascii="仿宋" w:hAnsi="仿宋" w:eastAsia="仿宋" w:cs="仿宋"/>
                <w:b/>
                <w:color w:val="000000"/>
                <w:kern w:val="0"/>
                <w:sz w:val="20"/>
                <w:szCs w:val="18"/>
              </w:rPr>
              <w:t>指标项</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0"/>
                <w:szCs w:val="18"/>
              </w:rPr>
            </w:pPr>
            <w:r>
              <w:rPr>
                <w:rFonts w:hint="eastAsia" w:ascii="仿宋" w:hAnsi="仿宋" w:eastAsia="仿宋" w:cs="仿宋"/>
                <w:b/>
                <w:color w:val="000000"/>
                <w:kern w:val="0"/>
                <w:sz w:val="20"/>
                <w:szCs w:val="18"/>
              </w:rPr>
              <w:t>指标要求</w:t>
            </w:r>
          </w:p>
        </w:tc>
      </w:tr>
      <w:tr>
        <w:tblPrEx>
          <w:tblLayout w:type="fixed"/>
          <w:tblCellMar>
            <w:top w:w="15" w:type="dxa"/>
            <w:left w:w="15" w:type="dxa"/>
            <w:bottom w:w="15" w:type="dxa"/>
            <w:right w:w="15" w:type="dxa"/>
          </w:tblCellMar>
        </w:tblPrEx>
        <w:trPr>
          <w:trHeight w:val="274" w:hRule="atLeast"/>
        </w:trPr>
        <w:tc>
          <w:tcPr>
            <w:tcW w:w="114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0"/>
                <w:szCs w:val="18"/>
              </w:rPr>
            </w:pPr>
            <w:r>
              <w:rPr>
                <w:rFonts w:hint="eastAsia" w:ascii="仿宋" w:hAnsi="仿宋" w:eastAsia="仿宋" w:cs="仿宋"/>
                <w:color w:val="000000"/>
                <w:kern w:val="0"/>
                <w:sz w:val="20"/>
                <w:szCs w:val="18"/>
              </w:rPr>
              <w:t>硬件指标</w:t>
            </w:r>
          </w:p>
        </w:tc>
        <w:tc>
          <w:tcPr>
            <w:tcW w:w="850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000000"/>
                <w:kern w:val="0"/>
                <w:sz w:val="20"/>
                <w:szCs w:val="18"/>
              </w:rPr>
            </w:pPr>
            <w:r>
              <w:rPr>
                <w:rFonts w:hint="eastAsia" w:ascii="仿宋" w:hAnsi="仿宋" w:eastAsia="仿宋" w:cs="仿宋"/>
                <w:bCs/>
                <w:color w:val="000000"/>
                <w:kern w:val="0"/>
                <w:sz w:val="20"/>
                <w:szCs w:val="18"/>
              </w:rPr>
              <w:t>系统：</w:t>
            </w:r>
            <w:r>
              <w:rPr>
                <w:rFonts w:hint="eastAsia" w:ascii="仿宋" w:hAnsi="仿宋" w:eastAsia="仿宋" w:cs="仿宋"/>
                <w:color w:val="000000"/>
                <w:kern w:val="0"/>
                <w:sz w:val="20"/>
                <w:szCs w:val="18"/>
              </w:rPr>
              <w:t>产品采用专用工控机硬件架构，非普通PC服务器，</w:t>
            </w:r>
            <w:r>
              <w:rPr>
                <w:rFonts w:hint="eastAsia" w:ascii="仿宋" w:hAnsi="仿宋" w:eastAsia="仿宋" w:cs="仿宋"/>
                <w:bCs/>
                <w:color w:val="000000"/>
                <w:kern w:val="0"/>
                <w:sz w:val="20"/>
                <w:szCs w:val="18"/>
              </w:rPr>
              <w:t>MTBF</w:t>
            </w:r>
            <w:r>
              <w:rPr>
                <w:rFonts w:hint="eastAsia" w:ascii="仿宋" w:hAnsi="仿宋" w:eastAsia="仿宋" w:cs="仿宋"/>
                <w:color w:val="000000"/>
                <w:kern w:val="0"/>
                <w:sz w:val="20"/>
                <w:szCs w:val="18"/>
              </w:rPr>
              <w:t>(平均故障间隔时间)≥65000小时</w:t>
            </w:r>
            <w:r>
              <w:rPr>
                <w:rFonts w:hint="eastAsia" w:ascii="仿宋" w:hAnsi="仿宋" w:eastAsia="仿宋" w:cs="仿宋"/>
                <w:color w:val="000000"/>
                <w:sz w:val="20"/>
                <w:szCs w:val="18"/>
              </w:rPr>
              <w:t>。</w:t>
            </w:r>
          </w:p>
        </w:tc>
      </w:tr>
      <w:tr>
        <w:tblPrEx>
          <w:tblLayout w:type="fixed"/>
          <w:tblCellMar>
            <w:top w:w="15" w:type="dxa"/>
            <w:left w:w="15" w:type="dxa"/>
            <w:bottom w:w="15" w:type="dxa"/>
            <w:right w:w="15" w:type="dxa"/>
          </w:tblCellMar>
        </w:tblPrEx>
        <w:trPr>
          <w:trHeight w:val="2574" w:hRule="atLeast"/>
        </w:trPr>
        <w:tc>
          <w:tcPr>
            <w:tcW w:w="114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0"/>
                <w:szCs w:val="18"/>
              </w:rPr>
            </w:pPr>
          </w:p>
        </w:tc>
        <w:tc>
          <w:tcPr>
            <w:tcW w:w="850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color w:val="000000"/>
                <w:kern w:val="0"/>
                <w:sz w:val="20"/>
                <w:szCs w:val="18"/>
                <w:u w:val="single"/>
              </w:rPr>
            </w:pPr>
            <w:r>
              <w:rPr>
                <w:rFonts w:hint="eastAsia" w:ascii="仿宋" w:hAnsi="仿宋" w:eastAsia="仿宋" w:cs="仿宋"/>
                <w:bCs/>
                <w:i/>
                <w:color w:val="000000"/>
                <w:kern w:val="0"/>
                <w:sz w:val="20"/>
                <w:szCs w:val="18"/>
                <w:u w:val="single"/>
              </w:rPr>
              <w:t>处理器：</w:t>
            </w:r>
            <w:r>
              <w:rPr>
                <w:rFonts w:hint="eastAsia" w:ascii="仿宋" w:hAnsi="仿宋" w:eastAsia="仿宋" w:cs="仿宋"/>
                <w:i/>
                <w:color w:val="000000"/>
                <w:kern w:val="0"/>
                <w:sz w:val="20"/>
                <w:szCs w:val="18"/>
                <w:u w:val="single"/>
              </w:rPr>
              <w:t>采用当前主流Intel I7系列CPU，4核8线程；</w:t>
            </w:r>
          </w:p>
          <w:p>
            <w:pPr>
              <w:widowControl/>
              <w:jc w:val="left"/>
              <w:textAlignment w:val="center"/>
              <w:rPr>
                <w:rFonts w:hint="eastAsia" w:ascii="仿宋" w:hAnsi="仿宋" w:eastAsia="仿宋" w:cs="仿宋"/>
                <w:i/>
                <w:color w:val="000000"/>
                <w:kern w:val="0"/>
                <w:sz w:val="20"/>
                <w:szCs w:val="18"/>
                <w:u w:val="single"/>
              </w:rPr>
            </w:pPr>
            <w:r>
              <w:rPr>
                <w:rFonts w:hint="eastAsia" w:ascii="仿宋" w:hAnsi="仿宋" w:eastAsia="仿宋" w:cs="仿宋"/>
                <w:bCs/>
                <w:i/>
                <w:color w:val="000000"/>
                <w:kern w:val="0"/>
                <w:sz w:val="20"/>
                <w:szCs w:val="18"/>
                <w:u w:val="single"/>
              </w:rPr>
              <w:t>内存：</w:t>
            </w:r>
            <w:r>
              <w:rPr>
                <w:rFonts w:hint="eastAsia" w:ascii="仿宋" w:hAnsi="仿宋" w:eastAsia="仿宋" w:cs="仿宋"/>
                <w:i/>
                <w:color w:val="000000"/>
                <w:kern w:val="0"/>
                <w:sz w:val="20"/>
                <w:szCs w:val="18"/>
                <w:u w:val="single"/>
              </w:rPr>
              <w:t>≥16GB DDR3 1600Mhz；</w:t>
            </w:r>
          </w:p>
          <w:p>
            <w:pPr>
              <w:widowControl/>
              <w:jc w:val="left"/>
              <w:textAlignment w:val="center"/>
              <w:rPr>
                <w:rFonts w:hint="eastAsia" w:ascii="仿宋" w:hAnsi="仿宋" w:eastAsia="仿宋" w:cs="仿宋"/>
                <w:i/>
                <w:color w:val="000000"/>
                <w:kern w:val="0"/>
                <w:sz w:val="20"/>
                <w:szCs w:val="18"/>
                <w:u w:val="single"/>
              </w:rPr>
            </w:pPr>
            <w:r>
              <w:rPr>
                <w:rFonts w:hint="eastAsia" w:ascii="仿宋" w:hAnsi="仿宋" w:eastAsia="仿宋" w:cs="仿宋"/>
                <w:bCs/>
                <w:i/>
                <w:color w:val="000000"/>
                <w:kern w:val="0"/>
                <w:sz w:val="20"/>
                <w:szCs w:val="18"/>
                <w:u w:val="single"/>
              </w:rPr>
              <w:t>电源模块：</w:t>
            </w:r>
            <w:r>
              <w:rPr>
                <w:rFonts w:hint="eastAsia" w:ascii="仿宋" w:hAnsi="仿宋" w:eastAsia="仿宋" w:cs="仿宋"/>
                <w:i/>
                <w:color w:val="000000"/>
                <w:kern w:val="0"/>
                <w:sz w:val="20"/>
                <w:szCs w:val="18"/>
                <w:u w:val="single"/>
              </w:rPr>
              <w:t>具备冗余热插拔双电源；</w:t>
            </w:r>
          </w:p>
          <w:p>
            <w:pPr>
              <w:widowControl/>
              <w:jc w:val="left"/>
              <w:textAlignment w:val="center"/>
              <w:rPr>
                <w:rFonts w:hint="eastAsia" w:ascii="仿宋" w:hAnsi="仿宋" w:eastAsia="仿宋" w:cs="仿宋"/>
                <w:i/>
                <w:color w:val="000000"/>
                <w:kern w:val="0"/>
                <w:sz w:val="20"/>
                <w:szCs w:val="18"/>
                <w:u w:val="single"/>
              </w:rPr>
            </w:pPr>
            <w:r>
              <w:rPr>
                <w:rFonts w:hint="eastAsia" w:ascii="仿宋" w:hAnsi="仿宋" w:eastAsia="仿宋" w:cs="仿宋"/>
                <w:bCs/>
                <w:i/>
                <w:color w:val="000000"/>
                <w:kern w:val="0"/>
                <w:sz w:val="20"/>
                <w:szCs w:val="18"/>
                <w:u w:val="single"/>
              </w:rPr>
              <w:t>硬盘可用容量：</w:t>
            </w:r>
            <w:r>
              <w:rPr>
                <w:rFonts w:hint="eastAsia" w:ascii="仿宋" w:hAnsi="仿宋" w:eastAsia="仿宋" w:cs="仿宋"/>
                <w:i/>
                <w:color w:val="000000"/>
                <w:kern w:val="0"/>
                <w:sz w:val="20"/>
                <w:szCs w:val="18"/>
                <w:u w:val="single"/>
              </w:rPr>
              <w:t>≥1TB，1T*2，支持RAID1，最大支持扩展到16T存储空间。</w:t>
            </w:r>
          </w:p>
          <w:p>
            <w:pPr>
              <w:widowControl/>
              <w:jc w:val="left"/>
              <w:textAlignment w:val="center"/>
              <w:rPr>
                <w:rFonts w:hint="eastAsia" w:ascii="仿宋" w:hAnsi="仿宋" w:eastAsia="仿宋" w:cs="仿宋"/>
                <w:i/>
                <w:color w:val="000000"/>
                <w:kern w:val="0"/>
                <w:sz w:val="20"/>
                <w:szCs w:val="18"/>
                <w:u w:val="single"/>
              </w:rPr>
            </w:pPr>
            <w:r>
              <w:rPr>
                <w:rFonts w:hint="eastAsia" w:ascii="仿宋" w:hAnsi="仿宋" w:eastAsia="仿宋" w:cs="仿宋"/>
                <w:bCs/>
                <w:i/>
                <w:color w:val="000000"/>
                <w:kern w:val="0"/>
                <w:sz w:val="20"/>
                <w:szCs w:val="18"/>
                <w:u w:val="single"/>
              </w:rPr>
              <w:t>网络端口：</w:t>
            </w:r>
            <w:r>
              <w:rPr>
                <w:rFonts w:hint="eastAsia" w:ascii="仿宋" w:hAnsi="仿宋" w:eastAsia="仿宋" w:cs="仿宋"/>
                <w:i/>
                <w:color w:val="000000"/>
                <w:kern w:val="0"/>
                <w:sz w:val="20"/>
                <w:szCs w:val="18"/>
                <w:u w:val="single"/>
              </w:rPr>
              <w:t>支持监听接口扩展；配备至少2个千兆电口管理口</w:t>
            </w:r>
          </w:p>
          <w:p>
            <w:pPr>
              <w:widowControl/>
              <w:jc w:val="left"/>
              <w:textAlignment w:val="center"/>
              <w:rPr>
                <w:rFonts w:hint="eastAsia" w:ascii="仿宋" w:hAnsi="仿宋" w:eastAsia="仿宋" w:cs="仿宋"/>
                <w:i/>
                <w:color w:val="000000"/>
                <w:kern w:val="0"/>
                <w:sz w:val="20"/>
                <w:szCs w:val="18"/>
                <w:u w:val="single"/>
              </w:rPr>
            </w:pPr>
            <w:r>
              <w:rPr>
                <w:rFonts w:hint="eastAsia" w:ascii="仿宋" w:hAnsi="仿宋" w:eastAsia="仿宋" w:cs="仿宋"/>
                <w:i/>
                <w:color w:val="000000"/>
                <w:kern w:val="0"/>
                <w:sz w:val="20"/>
                <w:szCs w:val="18"/>
                <w:u w:val="single"/>
              </w:rPr>
              <w:t>提供千兆网络环境下的监听能力，标配至少4个千兆电口和4个千兆光口</w:t>
            </w:r>
          </w:p>
          <w:p>
            <w:pPr>
              <w:widowControl/>
              <w:jc w:val="left"/>
              <w:textAlignment w:val="center"/>
              <w:rPr>
                <w:rFonts w:hint="eastAsia" w:ascii="仿宋" w:hAnsi="仿宋" w:eastAsia="仿宋" w:cs="仿宋"/>
                <w:i/>
                <w:color w:val="000000"/>
                <w:sz w:val="20"/>
                <w:szCs w:val="18"/>
                <w:u w:val="single"/>
              </w:rPr>
            </w:pPr>
            <w:r>
              <w:rPr>
                <w:rFonts w:hint="eastAsia" w:ascii="仿宋" w:hAnsi="仿宋" w:eastAsia="仿宋" w:cs="仿宋"/>
                <w:i/>
                <w:color w:val="000000"/>
                <w:kern w:val="0"/>
                <w:sz w:val="20"/>
                <w:szCs w:val="18"/>
                <w:u w:val="single"/>
              </w:rPr>
              <w:t>提供两组电口bypass</w:t>
            </w:r>
          </w:p>
          <w:p>
            <w:pPr>
              <w:widowControl/>
              <w:jc w:val="left"/>
              <w:textAlignment w:val="center"/>
              <w:rPr>
                <w:rFonts w:hint="eastAsia" w:ascii="仿宋" w:hAnsi="仿宋" w:eastAsia="仿宋" w:cs="仿宋"/>
                <w:i/>
                <w:color w:val="000000"/>
                <w:sz w:val="20"/>
                <w:szCs w:val="18"/>
                <w:u w:val="single"/>
              </w:rPr>
            </w:pPr>
            <w:r>
              <w:rPr>
                <w:rFonts w:hint="eastAsia" w:ascii="仿宋" w:hAnsi="仿宋" w:eastAsia="仿宋" w:cs="仿宋"/>
                <w:i/>
                <w:color w:val="000000"/>
                <w:sz w:val="20"/>
                <w:szCs w:val="18"/>
                <w:u w:val="single"/>
              </w:rPr>
              <w:t>硬件至少另外支持3个扩展板卡，最高支持扩展22个千兆电口或光口，或4个万兆口，万兆口需要支持bypass</w:t>
            </w:r>
          </w:p>
        </w:tc>
      </w:tr>
      <w:tr>
        <w:tblPrEx>
          <w:tblLayout w:type="fixed"/>
          <w:tblCellMar>
            <w:top w:w="15" w:type="dxa"/>
            <w:left w:w="15" w:type="dxa"/>
            <w:bottom w:w="15" w:type="dxa"/>
            <w:right w:w="15" w:type="dxa"/>
          </w:tblCellMar>
        </w:tblPrEx>
        <w:trPr>
          <w:trHeight w:val="690" w:hRule="atLeast"/>
        </w:trPr>
        <w:tc>
          <w:tcPr>
            <w:tcW w:w="1149" w:type="dxa"/>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0"/>
                <w:szCs w:val="18"/>
              </w:rPr>
            </w:pPr>
            <w:r>
              <w:rPr>
                <w:rFonts w:hint="eastAsia" w:ascii="仿宋" w:hAnsi="仿宋" w:eastAsia="仿宋" w:cs="仿宋"/>
                <w:color w:val="000000"/>
                <w:sz w:val="20"/>
                <w:szCs w:val="18"/>
              </w:rPr>
              <w:t>性能指标</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0"/>
                <w:szCs w:val="18"/>
              </w:rPr>
            </w:pPr>
            <w:r>
              <w:rPr>
                <w:rFonts w:hint="eastAsia" w:ascii="仿宋" w:hAnsi="仿宋" w:eastAsia="仿宋" w:cs="仿宋"/>
                <w:bCs/>
                <w:color w:val="000000"/>
                <w:kern w:val="0"/>
                <w:sz w:val="20"/>
                <w:szCs w:val="18"/>
              </w:rPr>
              <w:t>防护数据库：至少</w:t>
            </w:r>
            <w:r>
              <w:rPr>
                <w:rFonts w:hint="eastAsia" w:ascii="仿宋" w:hAnsi="仿宋" w:eastAsia="仿宋" w:cs="仿宋"/>
                <w:color w:val="000000"/>
                <w:kern w:val="0"/>
                <w:sz w:val="20"/>
                <w:szCs w:val="18"/>
              </w:rPr>
              <w:t>支持8个数据库防护</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并发连接：2000个</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峰值处理能力：20000条/s；纯数据库流量：200Mb/s</w:t>
            </w:r>
          </w:p>
        </w:tc>
      </w:tr>
      <w:tr>
        <w:tblPrEx>
          <w:tblLayout w:type="fixed"/>
          <w:tblCellMar>
            <w:top w:w="15" w:type="dxa"/>
            <w:left w:w="15" w:type="dxa"/>
            <w:bottom w:w="15" w:type="dxa"/>
            <w:right w:w="15" w:type="dxa"/>
          </w:tblCellMar>
        </w:tblPrEx>
        <w:trPr>
          <w:trHeight w:val="690" w:hRule="atLeast"/>
        </w:trPr>
        <w:tc>
          <w:tcPr>
            <w:tcW w:w="1149" w:type="dxa"/>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0"/>
                <w:szCs w:val="18"/>
              </w:rPr>
            </w:pPr>
            <w:r>
              <w:rPr>
                <w:rFonts w:hint="eastAsia" w:ascii="仿宋" w:hAnsi="仿宋" w:eastAsia="仿宋" w:cs="仿宋"/>
                <w:color w:val="000000"/>
                <w:sz w:val="20"/>
                <w:szCs w:val="18"/>
              </w:rPr>
              <w:t>部署模式</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为适应各种复杂的部署环境，产品部署模式上应满足以下的要求：</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支持透明串联部署</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支持旁路部署</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支持反向代理方式部署</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★支持HA部署方式</w:t>
            </w:r>
            <w:r>
              <w:rPr>
                <w:rFonts w:hint="eastAsia" w:ascii="仿宋" w:hAnsi="仿宋" w:eastAsia="仿宋" w:cs="仿宋"/>
                <w:bCs/>
                <w:color w:val="FF0000"/>
                <w:kern w:val="0"/>
                <w:sz w:val="20"/>
                <w:szCs w:val="18"/>
              </w:rPr>
              <w:t>（需提供产品截图）</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支持管理界面自定义网桥，并先呈现网桥的工作状态、MTU、网口信息</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支持管理界面配置聚合端口</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支持攻击阻断和攻击检测两种防护模式，攻击检测模式对业务是完全零影响</w:t>
            </w:r>
          </w:p>
        </w:tc>
      </w:tr>
      <w:tr>
        <w:tblPrEx>
          <w:tblLayout w:type="fixed"/>
          <w:tblCellMar>
            <w:top w:w="15" w:type="dxa"/>
            <w:left w:w="15" w:type="dxa"/>
            <w:bottom w:w="15" w:type="dxa"/>
            <w:right w:w="15" w:type="dxa"/>
          </w:tblCellMar>
        </w:tblPrEx>
        <w:trPr>
          <w:trHeight w:val="690" w:hRule="atLeast"/>
        </w:trPr>
        <w:tc>
          <w:tcPr>
            <w:tcW w:w="1149" w:type="dxa"/>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0"/>
                <w:szCs w:val="18"/>
              </w:rPr>
            </w:pPr>
            <w:r>
              <w:rPr>
                <w:rFonts w:hint="eastAsia" w:ascii="仿宋" w:hAnsi="仿宋" w:eastAsia="仿宋" w:cs="仿宋"/>
                <w:color w:val="000000"/>
                <w:sz w:val="20"/>
                <w:szCs w:val="18"/>
              </w:rPr>
              <w:t>协议支持</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为审计和防护不同类型、不同版本的数据库，产品在协议支持应具备以下的要求：</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支持Oracle、SQL server、Mysql、DB2、Sybase五种主流数据库进行审计和防护，</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支持Informix、Oscar、达梦、Cache、Postgresql、dcom、teradata、kingbase</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、gbase、mariadb、hana、mongodb数据库进行审计及防护。</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支持对SQL server（2005及以上版本）数据库采用加密协议通讯，可以通过导入证书的方式实现审计和防护；</w:t>
            </w:r>
            <w:r>
              <w:rPr>
                <w:rFonts w:hint="eastAsia" w:ascii="仿宋" w:hAnsi="仿宋" w:eastAsia="仿宋" w:cs="仿宋"/>
                <w:bCs/>
                <w:color w:val="FF0000"/>
                <w:kern w:val="0"/>
                <w:sz w:val="20"/>
                <w:szCs w:val="18"/>
              </w:rPr>
              <w:t>（需提供产品截图）</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支持自动检测协议编码和手工配置编码两种方式</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支持跨语句、跨多包的绑定变量名及绑定变量值的解析</w:t>
            </w:r>
          </w:p>
        </w:tc>
      </w:tr>
      <w:tr>
        <w:tblPrEx>
          <w:tblLayout w:type="fixed"/>
          <w:tblCellMar>
            <w:top w:w="15" w:type="dxa"/>
            <w:left w:w="15" w:type="dxa"/>
            <w:bottom w:w="15" w:type="dxa"/>
            <w:right w:w="15" w:type="dxa"/>
          </w:tblCellMar>
        </w:tblPrEx>
        <w:trPr>
          <w:trHeight w:val="690" w:hRule="atLeast"/>
        </w:trPr>
        <w:tc>
          <w:tcPr>
            <w:tcW w:w="1149" w:type="dxa"/>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0"/>
                <w:szCs w:val="18"/>
              </w:rPr>
            </w:pPr>
            <w:r>
              <w:rPr>
                <w:rFonts w:hint="eastAsia" w:ascii="仿宋" w:hAnsi="仿宋" w:eastAsia="仿宋" w:cs="仿宋"/>
                <w:color w:val="000000"/>
                <w:sz w:val="20"/>
                <w:szCs w:val="18"/>
              </w:rPr>
              <w:t>审计功能</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为满足利用数据库防火墙实现对数据库操作行为感知的需求，产品需要满足以下的要求：</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支持数据库操作类、表、视图、索引、存储过程等各种对象的所有SQL操作审计；</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具有数据库防火墙与审计功能，可根据需要来切换。</w:t>
            </w:r>
          </w:p>
        </w:tc>
      </w:tr>
      <w:tr>
        <w:tblPrEx>
          <w:tblLayout w:type="fixed"/>
          <w:tblCellMar>
            <w:top w:w="15" w:type="dxa"/>
            <w:left w:w="15" w:type="dxa"/>
            <w:bottom w:w="15" w:type="dxa"/>
            <w:right w:w="15" w:type="dxa"/>
          </w:tblCellMar>
        </w:tblPrEx>
        <w:trPr>
          <w:trHeight w:val="690" w:hRule="atLeast"/>
        </w:trPr>
        <w:tc>
          <w:tcPr>
            <w:tcW w:w="1149" w:type="dxa"/>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0"/>
                <w:szCs w:val="18"/>
              </w:rPr>
            </w:pPr>
            <w:r>
              <w:rPr>
                <w:rFonts w:hint="eastAsia" w:ascii="仿宋" w:hAnsi="仿宋" w:eastAsia="仿宋" w:cs="仿宋"/>
                <w:color w:val="000000"/>
                <w:sz w:val="20"/>
                <w:szCs w:val="18"/>
              </w:rPr>
              <w:t>可靠性</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为保障业务稳定性，产品必须有各种保障机制应对各种突发情况，故产品需要满足以下的要求：</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★支持硬件bypass 和软件bypass相结合，确保设备高度稳定</w:t>
            </w:r>
            <w:r>
              <w:rPr>
                <w:rFonts w:hint="eastAsia" w:ascii="仿宋" w:hAnsi="仿宋" w:eastAsia="仿宋" w:cs="仿宋"/>
                <w:bCs/>
                <w:color w:val="FF0000"/>
                <w:kern w:val="0"/>
                <w:sz w:val="20"/>
                <w:szCs w:val="18"/>
              </w:rPr>
              <w:t>（需提供产品截图）</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★支持系统性能（CPU、内存、swap）过载、系统异常、文件系统异常、代理引擎异常、服务异常、协议代理异常自动启用硬件bypass，保证数据库绝对稳定运行</w:t>
            </w:r>
            <w:r>
              <w:rPr>
                <w:rFonts w:hint="eastAsia" w:ascii="仿宋" w:hAnsi="仿宋" w:eastAsia="仿宋" w:cs="仿宋"/>
                <w:bCs/>
                <w:color w:val="FF0000"/>
                <w:kern w:val="0"/>
                <w:sz w:val="20"/>
                <w:szCs w:val="18"/>
              </w:rPr>
              <w:t>（需提供产品截图）</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对数据库的延时请求延时小于10ms</w:t>
            </w:r>
          </w:p>
        </w:tc>
      </w:tr>
      <w:tr>
        <w:tblPrEx>
          <w:tblLayout w:type="fixed"/>
          <w:tblCellMar>
            <w:top w:w="15" w:type="dxa"/>
            <w:left w:w="15" w:type="dxa"/>
            <w:bottom w:w="15" w:type="dxa"/>
            <w:right w:w="15" w:type="dxa"/>
          </w:tblCellMar>
        </w:tblPrEx>
        <w:trPr>
          <w:trHeight w:val="690" w:hRule="atLeast"/>
        </w:trPr>
        <w:tc>
          <w:tcPr>
            <w:tcW w:w="1149" w:type="dxa"/>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0"/>
                <w:szCs w:val="18"/>
              </w:rPr>
            </w:pPr>
            <w:r>
              <w:rPr>
                <w:rFonts w:hint="eastAsia" w:ascii="仿宋" w:hAnsi="仿宋" w:eastAsia="仿宋" w:cs="仿宋"/>
                <w:color w:val="000000"/>
                <w:sz w:val="20"/>
                <w:szCs w:val="18"/>
              </w:rPr>
              <w:t>防护策略</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为满足数据库防护需求，产品需要满足以下的要求：</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支持系统防护、网络防护、数据库防护三大功能</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支持数据库防护虚拟补丁技术</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支持敏感数据泄露防护</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内置的特征策略包含缓冲区溢出、SQL注入、提权、数据库内核入侵探测等常见攻击特征</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策略动作支持阻断会话、阻断语句和放行</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★支持自学习模式，通过自学习自动建立数据访问的访问白名单</w:t>
            </w:r>
            <w:r>
              <w:rPr>
                <w:rFonts w:hint="eastAsia" w:ascii="仿宋" w:hAnsi="仿宋" w:eastAsia="仿宋" w:cs="仿宋"/>
                <w:bCs/>
                <w:color w:val="FF0000"/>
                <w:kern w:val="0"/>
                <w:sz w:val="20"/>
                <w:szCs w:val="18"/>
              </w:rPr>
              <w:t>（需提供产品截图）</w:t>
            </w:r>
          </w:p>
        </w:tc>
      </w:tr>
      <w:tr>
        <w:tblPrEx>
          <w:tblLayout w:type="fixed"/>
          <w:tblCellMar>
            <w:top w:w="15" w:type="dxa"/>
            <w:left w:w="15" w:type="dxa"/>
            <w:bottom w:w="15" w:type="dxa"/>
            <w:right w:w="15" w:type="dxa"/>
          </w:tblCellMar>
        </w:tblPrEx>
        <w:trPr>
          <w:trHeight w:val="690" w:hRule="atLeast"/>
        </w:trPr>
        <w:tc>
          <w:tcPr>
            <w:tcW w:w="1149" w:type="dxa"/>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0"/>
                <w:szCs w:val="18"/>
              </w:rPr>
            </w:pPr>
            <w:r>
              <w:rPr>
                <w:rFonts w:hint="eastAsia" w:ascii="仿宋" w:hAnsi="仿宋" w:eastAsia="仿宋" w:cs="仿宋"/>
                <w:color w:val="000000"/>
                <w:sz w:val="20"/>
                <w:szCs w:val="18"/>
              </w:rPr>
              <w:t>风险告警</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为让用户可以直观、清晰的了解到数据库面临的风险，产品需要满足以下的要求：</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产品需要支持直观、可视、简单的数据库安全评分，直观展示数据库安全级别</w:t>
            </w:r>
            <w:r>
              <w:rPr>
                <w:rFonts w:hint="eastAsia" w:ascii="仿宋" w:hAnsi="仿宋" w:eastAsia="仿宋" w:cs="仿宋"/>
                <w:bCs/>
                <w:color w:val="FF0000"/>
                <w:kern w:val="0"/>
                <w:sz w:val="20"/>
                <w:szCs w:val="18"/>
              </w:rPr>
              <w:t>（需提供产品截图）</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产品支持风险告警查询，且查询条件支持常见的账号、数据库名、客户端工具、操作系统用户名、客户端IP、操作类型、SQL关键字、执行结果、影响行数、执行时长等字段。</w:t>
            </w:r>
          </w:p>
        </w:tc>
      </w:tr>
      <w:tr>
        <w:tblPrEx>
          <w:tblLayout w:type="fixed"/>
          <w:tblCellMar>
            <w:top w:w="15" w:type="dxa"/>
            <w:left w:w="15" w:type="dxa"/>
            <w:bottom w:w="15" w:type="dxa"/>
            <w:right w:w="15" w:type="dxa"/>
          </w:tblCellMar>
        </w:tblPrEx>
        <w:trPr>
          <w:trHeight w:val="690" w:hRule="atLeast"/>
        </w:trPr>
        <w:tc>
          <w:tcPr>
            <w:tcW w:w="1149" w:type="dxa"/>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0"/>
                <w:szCs w:val="18"/>
              </w:rPr>
            </w:pPr>
            <w:r>
              <w:rPr>
                <w:rFonts w:hint="eastAsia" w:ascii="仿宋" w:hAnsi="仿宋" w:eastAsia="仿宋" w:cs="仿宋"/>
                <w:color w:val="000000"/>
                <w:sz w:val="20"/>
                <w:szCs w:val="18"/>
              </w:rPr>
              <w:t>系统管理</w:t>
            </w: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为增加系统管理的安全性、适应性、可维护性，产品需要具备以下的功能</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支持双因子认证，支持短信认证、动态口令卡认证</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支持系统安全配置如会话锁定、超时退出、IP访问控制、密码复杂性管理等安全措施</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支持SNMP V1、V2、V3网络监控管理协议</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支持数据自动清理功能，支持根据保留天数和占用百分比自动清理最早的数据。</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20"/>
                <w:szCs w:val="18"/>
              </w:rPr>
              <w:t>支持网络诊断ping、路由追踪、端口探测、抓包等</w:t>
            </w:r>
          </w:p>
        </w:tc>
      </w:tr>
      <w:tr>
        <w:tblPrEx>
          <w:tblLayout w:type="fixed"/>
          <w:tblCellMar>
            <w:top w:w="15" w:type="dxa"/>
            <w:left w:w="15" w:type="dxa"/>
            <w:bottom w:w="15" w:type="dxa"/>
            <w:right w:w="15" w:type="dxa"/>
          </w:tblCellMar>
        </w:tblPrEx>
        <w:trPr>
          <w:trHeight w:val="450" w:hRule="atLeast"/>
        </w:trPr>
        <w:tc>
          <w:tcPr>
            <w:tcW w:w="1149" w:type="dxa"/>
            <w:tcBorders>
              <w:left w:val="single" w:color="000000" w:sz="4" w:space="0"/>
              <w:bottom w:val="single" w:color="auto" w:sz="4" w:space="0"/>
              <w:right w:val="single" w:color="000000" w:sz="4" w:space="0"/>
            </w:tcBorders>
            <w:vAlign w:val="center"/>
          </w:tcPr>
          <w:p>
            <w:pPr>
              <w:jc w:val="center"/>
              <w:rPr>
                <w:rFonts w:hint="eastAsia" w:ascii="仿宋" w:hAnsi="仿宋" w:eastAsia="仿宋" w:cs="仿宋"/>
                <w:color w:val="000000"/>
                <w:sz w:val="20"/>
                <w:szCs w:val="18"/>
              </w:rPr>
            </w:pPr>
            <w:r>
              <w:rPr>
                <w:rFonts w:hint="eastAsia" w:ascii="仿宋" w:hAnsi="仿宋" w:eastAsia="仿宋" w:cs="仿宋"/>
                <w:color w:val="000000"/>
                <w:sz w:val="20"/>
                <w:szCs w:val="18"/>
              </w:rPr>
              <w:t>资质</w:t>
            </w:r>
          </w:p>
          <w:p>
            <w:pPr>
              <w:jc w:val="center"/>
              <w:rPr>
                <w:rFonts w:hint="eastAsia" w:ascii="仿宋" w:hAnsi="仿宋" w:eastAsia="仿宋" w:cs="仿宋"/>
                <w:color w:val="000000"/>
                <w:sz w:val="20"/>
                <w:szCs w:val="18"/>
              </w:rPr>
            </w:pPr>
          </w:p>
        </w:tc>
        <w:tc>
          <w:tcPr>
            <w:tcW w:w="8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18"/>
                <w:szCs w:val="18"/>
              </w:rPr>
              <w:t>★</w:t>
            </w:r>
            <w:r>
              <w:rPr>
                <w:rFonts w:hint="eastAsia" w:ascii="仿宋" w:hAnsi="仿宋" w:eastAsia="仿宋" w:cs="仿宋"/>
                <w:bCs/>
                <w:color w:val="000000"/>
                <w:kern w:val="0"/>
                <w:sz w:val="20"/>
                <w:szCs w:val="18"/>
              </w:rPr>
              <w:t>具有自主知识产权和著作权，需提供著作权证书</w:t>
            </w:r>
            <w:r>
              <w:rPr>
                <w:rFonts w:hint="eastAsia" w:ascii="仿宋" w:hAnsi="仿宋" w:eastAsia="仿宋" w:cs="仿宋"/>
                <w:color w:val="FF0000"/>
                <w:kern w:val="0"/>
                <w:sz w:val="20"/>
                <w:szCs w:val="24"/>
              </w:rPr>
              <w:t>（提供证明，并加盖公章）</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18"/>
                <w:szCs w:val="18"/>
              </w:rPr>
              <w:t>★</w:t>
            </w:r>
            <w:r>
              <w:rPr>
                <w:rFonts w:hint="eastAsia" w:ascii="仿宋" w:hAnsi="仿宋" w:eastAsia="仿宋" w:cs="仿宋"/>
                <w:bCs/>
                <w:color w:val="000000"/>
                <w:kern w:val="0"/>
                <w:sz w:val="20"/>
                <w:szCs w:val="18"/>
              </w:rPr>
              <w:t>具备公安部颁发的《计算机信息系统安全专用产品销售许可证》，数据库安全审计国标基本级及以上</w:t>
            </w:r>
            <w:r>
              <w:rPr>
                <w:rFonts w:hint="eastAsia" w:ascii="仿宋" w:hAnsi="仿宋" w:eastAsia="仿宋" w:cs="仿宋"/>
                <w:color w:val="FF0000"/>
                <w:kern w:val="0"/>
                <w:sz w:val="20"/>
                <w:szCs w:val="24"/>
              </w:rPr>
              <w:t>（提供证明，并加盖公章）</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18"/>
                <w:szCs w:val="18"/>
              </w:rPr>
              <w:t>★</w:t>
            </w:r>
            <w:r>
              <w:rPr>
                <w:rFonts w:hint="eastAsia" w:ascii="仿宋" w:hAnsi="仿宋" w:eastAsia="仿宋" w:cs="仿宋"/>
                <w:bCs/>
                <w:color w:val="000000"/>
                <w:kern w:val="0"/>
                <w:sz w:val="20"/>
                <w:szCs w:val="18"/>
              </w:rPr>
              <w:t>原厂商具有国家安全应急服务支撑单位证书（国家级）</w:t>
            </w:r>
            <w:r>
              <w:rPr>
                <w:rFonts w:hint="eastAsia" w:ascii="仿宋" w:hAnsi="仿宋" w:eastAsia="仿宋" w:cs="仿宋"/>
                <w:color w:val="FF0000"/>
                <w:kern w:val="0"/>
                <w:sz w:val="20"/>
                <w:szCs w:val="24"/>
              </w:rPr>
              <w:t>（提供证明，并加盖公章）</w:t>
            </w:r>
          </w:p>
          <w:p>
            <w:pPr>
              <w:widowControl/>
              <w:jc w:val="left"/>
              <w:textAlignment w:val="center"/>
              <w:rPr>
                <w:rFonts w:hint="eastAsia" w:ascii="仿宋" w:hAnsi="仿宋" w:eastAsia="仿宋" w:cs="仿宋"/>
                <w:bCs/>
                <w:color w:val="000000"/>
                <w:kern w:val="0"/>
                <w:sz w:val="20"/>
                <w:szCs w:val="18"/>
              </w:rPr>
            </w:pPr>
            <w:r>
              <w:rPr>
                <w:rFonts w:hint="eastAsia" w:ascii="仿宋" w:hAnsi="仿宋" w:eastAsia="仿宋" w:cs="仿宋"/>
                <w:bCs/>
                <w:color w:val="000000"/>
                <w:kern w:val="0"/>
                <w:sz w:val="18"/>
                <w:szCs w:val="18"/>
              </w:rPr>
              <w:t>★</w:t>
            </w:r>
            <w:r>
              <w:rPr>
                <w:rFonts w:hint="eastAsia" w:ascii="仿宋" w:hAnsi="仿宋" w:eastAsia="仿宋" w:cs="仿宋"/>
                <w:bCs/>
                <w:color w:val="000000"/>
                <w:kern w:val="0"/>
                <w:sz w:val="20"/>
                <w:szCs w:val="18"/>
              </w:rPr>
              <w:t>原厂商应具备国家信息安全测评信息安全服务资质证书（安全工程类三级）</w:t>
            </w:r>
            <w:r>
              <w:rPr>
                <w:rFonts w:hint="eastAsia" w:ascii="仿宋" w:hAnsi="仿宋" w:eastAsia="仿宋" w:cs="仿宋"/>
                <w:color w:val="FF0000"/>
                <w:kern w:val="0"/>
                <w:sz w:val="20"/>
                <w:szCs w:val="24"/>
              </w:rPr>
              <w:t>（提供证明，并加盖公章）</w:t>
            </w:r>
          </w:p>
        </w:tc>
      </w:tr>
    </w:tbl>
    <w:p>
      <w:pPr>
        <w:rPr>
          <w:rFonts w:hint="eastAsia" w:ascii="仿宋" w:hAnsi="仿宋" w:eastAsia="仿宋" w:cs="仿宋"/>
        </w:rPr>
      </w:pPr>
      <w:r>
        <w:rPr>
          <w:rFonts w:hint="eastAsia" w:ascii="仿宋" w:hAnsi="仿宋" w:eastAsia="仿宋" w:cs="仿宋"/>
        </w:rPr>
        <w:t>2.3 网络防火墙</w:t>
      </w:r>
    </w:p>
    <w:tbl>
      <w:tblPr>
        <w:tblStyle w:val="25"/>
        <w:tblW w:w="8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276"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rPr>
              <w:t>技术指标</w:t>
            </w:r>
          </w:p>
        </w:tc>
        <w:tc>
          <w:tcPr>
            <w:tcW w:w="7044"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76" w:type="dxa"/>
            <w:vMerge w:val="restart"/>
            <w:vAlign w:val="center"/>
          </w:tcPr>
          <w:p>
            <w:pPr>
              <w:widowControl/>
              <w:jc w:val="center"/>
              <w:rPr>
                <w:rFonts w:hint="eastAsia" w:ascii="仿宋" w:hAnsi="仿宋" w:eastAsia="仿宋" w:cs="仿宋"/>
                <w:b/>
                <w:bCs/>
                <w:kern w:val="0"/>
              </w:rPr>
            </w:pPr>
            <w:r>
              <w:rPr>
                <w:rFonts w:hint="eastAsia" w:ascii="仿宋" w:hAnsi="仿宋" w:eastAsia="仿宋" w:cs="仿宋"/>
                <w:b/>
                <w:bCs/>
                <w:kern w:val="0"/>
              </w:rPr>
              <w:t>硬件规格</w:t>
            </w:r>
          </w:p>
        </w:tc>
        <w:tc>
          <w:tcPr>
            <w:tcW w:w="7044" w:type="dxa"/>
            <w:vAlign w:val="center"/>
          </w:tcPr>
          <w:p>
            <w:pPr>
              <w:widowControl/>
              <w:jc w:val="left"/>
              <w:rPr>
                <w:rFonts w:hint="eastAsia" w:ascii="仿宋" w:hAnsi="仿宋" w:eastAsia="仿宋" w:cs="仿宋"/>
                <w:kern w:val="0"/>
              </w:rPr>
            </w:pPr>
            <w:r>
              <w:rPr>
                <w:rFonts w:hint="eastAsia" w:ascii="仿宋" w:hAnsi="仿宋" w:eastAsia="仿宋" w:cs="仿宋"/>
                <w:kern w:val="0"/>
              </w:rPr>
              <w:t>硬件平台采用先进的多核网络专用架构。硬件平台采用多核处理器，使用64位MIPS多核处理器；配置冗余双电源。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276" w:type="dxa"/>
            <w:vMerge w:val="continue"/>
            <w:vAlign w:val="center"/>
          </w:tcPr>
          <w:p>
            <w:pPr>
              <w:widowControl/>
              <w:jc w:val="center"/>
              <w:rPr>
                <w:rFonts w:hint="eastAsia" w:ascii="仿宋" w:hAnsi="仿宋" w:eastAsia="仿宋" w:cs="仿宋"/>
                <w:b/>
                <w:bCs/>
                <w:kern w:val="0"/>
              </w:rPr>
            </w:pPr>
          </w:p>
        </w:tc>
        <w:tc>
          <w:tcPr>
            <w:tcW w:w="7044" w:type="dxa"/>
            <w:vAlign w:val="center"/>
          </w:tcPr>
          <w:p>
            <w:pPr>
              <w:widowControl/>
              <w:jc w:val="left"/>
              <w:rPr>
                <w:rFonts w:hint="eastAsia" w:ascii="仿宋" w:hAnsi="仿宋" w:eastAsia="仿宋" w:cs="仿宋"/>
                <w:i/>
                <w:kern w:val="0"/>
                <w:u w:val="single"/>
              </w:rPr>
            </w:pPr>
            <w:r>
              <w:rPr>
                <w:rFonts w:hint="eastAsia" w:ascii="仿宋" w:hAnsi="仿宋" w:eastAsia="仿宋" w:cs="仿宋"/>
                <w:kern w:val="0"/>
              </w:rPr>
              <w:t>★</w:t>
            </w:r>
            <w:r>
              <w:rPr>
                <w:rFonts w:hint="eastAsia" w:ascii="仿宋" w:hAnsi="仿宋" w:eastAsia="仿宋" w:cs="仿宋"/>
                <w:i/>
                <w:kern w:val="0"/>
                <w:u w:val="single"/>
              </w:rPr>
              <w:t>和原防火墙E5560实现双机热备</w:t>
            </w:r>
            <w:r>
              <w:rPr>
                <w:rFonts w:hint="eastAsia" w:ascii="仿宋" w:hAnsi="仿宋" w:eastAsia="仿宋" w:cs="仿宋"/>
                <w:i/>
                <w:color w:val="FF0000"/>
                <w:kern w:val="0"/>
                <w:sz w:val="20"/>
                <w:szCs w:val="24"/>
                <w:u w:val="single"/>
              </w:rPr>
              <w:t>（中标后提供原厂家证明文件。）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76" w:type="dxa"/>
            <w:vMerge w:val="continue"/>
            <w:vAlign w:val="center"/>
          </w:tcPr>
          <w:p>
            <w:pPr>
              <w:widowControl/>
              <w:jc w:val="center"/>
              <w:rPr>
                <w:rFonts w:hint="eastAsia" w:ascii="仿宋" w:hAnsi="仿宋" w:eastAsia="仿宋" w:cs="仿宋"/>
                <w:b/>
                <w:bCs/>
                <w:kern w:val="0"/>
              </w:rPr>
            </w:pPr>
          </w:p>
        </w:tc>
        <w:tc>
          <w:tcPr>
            <w:tcW w:w="704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i/>
                <w:kern w:val="0"/>
                <w:u w:val="single"/>
              </w:rPr>
            </w:pPr>
            <w:r>
              <w:rPr>
                <w:rFonts w:hint="eastAsia" w:ascii="仿宋" w:hAnsi="仿宋" w:eastAsia="仿宋" w:cs="仿宋"/>
                <w:i/>
                <w:kern w:val="0"/>
                <w:u w:val="single"/>
              </w:rPr>
              <w:t>标配4个通用扩展槽位，配置4个10/100/1000MBase-T电口（含一对Bypass接口），4个千兆SFP光纤插槽，2个万兆SFP光纤插槽，至少可扩展至40个千兆接口或者10个万兆接口，提供4个万兆SFP模块、8个SFP千兆模块，满配相应成品光纤跳线。</w:t>
            </w:r>
          </w:p>
          <w:p>
            <w:pPr>
              <w:widowControl/>
              <w:jc w:val="left"/>
              <w:rPr>
                <w:rFonts w:hint="eastAsia" w:ascii="仿宋" w:hAnsi="仿宋" w:eastAsia="仿宋" w:cs="仿宋"/>
                <w:kern w:val="0"/>
              </w:rPr>
            </w:pPr>
            <w:r>
              <w:rPr>
                <w:rFonts w:hint="eastAsia" w:ascii="仿宋" w:hAnsi="仿宋" w:eastAsia="仿宋" w:cs="仿宋"/>
                <w:kern w:val="0"/>
              </w:rPr>
              <w:t>每个接口可划分到不同安全域实现各接口间的安全隔离，提供独立的带外管理接口和HA接口。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76" w:type="dxa"/>
            <w:vMerge w:val="continue"/>
            <w:vAlign w:val="center"/>
          </w:tcPr>
          <w:p>
            <w:pPr>
              <w:widowControl/>
              <w:jc w:val="center"/>
              <w:rPr>
                <w:rFonts w:hint="eastAsia" w:ascii="仿宋" w:hAnsi="仿宋" w:eastAsia="仿宋" w:cs="仿宋"/>
                <w:b/>
                <w:bCs/>
                <w:kern w:val="0"/>
              </w:rPr>
            </w:pPr>
          </w:p>
        </w:tc>
        <w:tc>
          <w:tcPr>
            <w:tcW w:w="7044" w:type="dxa"/>
            <w:vAlign w:val="center"/>
          </w:tcPr>
          <w:p>
            <w:pPr>
              <w:widowControl/>
              <w:jc w:val="left"/>
              <w:rPr>
                <w:rFonts w:hint="eastAsia" w:ascii="仿宋" w:hAnsi="仿宋" w:eastAsia="仿宋" w:cs="仿宋"/>
                <w:kern w:val="0"/>
              </w:rPr>
            </w:pPr>
            <w:r>
              <w:rPr>
                <w:rFonts w:hint="eastAsia" w:ascii="仿宋" w:hAnsi="仿宋" w:eastAsia="仿宋" w:cs="仿宋"/>
                <w:kern w:val="0"/>
              </w:rPr>
              <w:t>防雷击，必须通过国家无线电监测中心检测中心浪涌（冲击）抗扰度（4KV）测试项目。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276"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rPr>
              <w:t>性能</w:t>
            </w:r>
          </w:p>
        </w:tc>
        <w:tc>
          <w:tcPr>
            <w:tcW w:w="704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rPr>
            </w:pPr>
            <w:r>
              <w:rPr>
                <w:rFonts w:hint="eastAsia" w:ascii="仿宋" w:hAnsi="仿宋" w:eastAsia="仿宋" w:cs="仿宋"/>
                <w:kern w:val="0"/>
              </w:rPr>
              <w:t>★吞吐率(bps)≥20G，最大并发连接数≥1000万，VPN吞吐量(bps) ≥12G，每秒新建连接数≥30万，AV病毒过滤吞吐量≥5Gbps，提供IPSec VPN隧道数≥20000条，并发SSL VPN用户许可≥6个；</w:t>
            </w:r>
            <w:r>
              <w:rPr>
                <w:rFonts w:hint="eastAsia" w:ascii="仿宋" w:hAnsi="仿宋" w:eastAsia="仿宋" w:cs="仿宋"/>
                <w:color w:val="FF0000"/>
                <w:kern w:val="0"/>
              </w:rPr>
              <w:t>提供官网可下载的白皮书或者彩页，并提供官网站点地址。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276" w:type="dxa"/>
            <w:vMerge w:val="restart"/>
            <w:vAlign w:val="center"/>
          </w:tcPr>
          <w:p>
            <w:pPr>
              <w:jc w:val="left"/>
              <w:rPr>
                <w:rFonts w:hint="eastAsia" w:ascii="仿宋" w:hAnsi="仿宋" w:eastAsia="仿宋" w:cs="仿宋"/>
                <w:b/>
                <w:bCs/>
                <w:kern w:val="0"/>
              </w:rPr>
            </w:pPr>
            <w:r>
              <w:rPr>
                <w:rFonts w:hint="eastAsia" w:ascii="仿宋" w:hAnsi="仿宋" w:eastAsia="仿宋" w:cs="仿宋"/>
                <w:b/>
                <w:bCs/>
                <w:kern w:val="0"/>
              </w:rPr>
              <w:t>网络适应性</w:t>
            </w:r>
          </w:p>
        </w:tc>
        <w:tc>
          <w:tcPr>
            <w:tcW w:w="7044" w:type="dxa"/>
            <w:vAlign w:val="center"/>
          </w:tcPr>
          <w:p>
            <w:pPr>
              <w:jc w:val="left"/>
              <w:rPr>
                <w:rFonts w:hint="eastAsia" w:ascii="仿宋" w:hAnsi="仿宋" w:eastAsia="仿宋" w:cs="仿宋"/>
                <w:kern w:val="0"/>
              </w:rPr>
            </w:pPr>
            <w:r>
              <w:rPr>
                <w:rFonts w:hint="eastAsia" w:ascii="仿宋" w:hAnsi="仿宋" w:eastAsia="仿宋" w:cs="仿宋"/>
                <w:kern w:val="0"/>
              </w:rPr>
              <w:t>支持对3000+ 种应用的识别和控制，包括200+移动应用。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276" w:type="dxa"/>
            <w:vMerge w:val="continue"/>
            <w:vAlign w:val="center"/>
          </w:tcPr>
          <w:p>
            <w:pPr>
              <w:widowControl/>
              <w:jc w:val="left"/>
              <w:rPr>
                <w:rFonts w:hint="eastAsia" w:ascii="仿宋" w:hAnsi="仿宋" w:eastAsia="仿宋" w:cs="仿宋"/>
                <w:b/>
                <w:bCs/>
                <w:kern w:val="0"/>
              </w:rPr>
            </w:pPr>
          </w:p>
        </w:tc>
        <w:tc>
          <w:tcPr>
            <w:tcW w:w="7044" w:type="dxa"/>
            <w:vAlign w:val="center"/>
          </w:tcPr>
          <w:p>
            <w:pPr>
              <w:widowControl/>
              <w:jc w:val="left"/>
              <w:rPr>
                <w:rFonts w:hint="eastAsia" w:ascii="仿宋" w:hAnsi="仿宋" w:eastAsia="仿宋" w:cs="仿宋"/>
                <w:kern w:val="0"/>
              </w:rPr>
            </w:pPr>
            <w:r>
              <w:rPr>
                <w:rFonts w:hint="eastAsia" w:ascii="仿宋" w:hAnsi="仿宋" w:eastAsia="仿宋" w:cs="仿宋"/>
                <w:kern w:val="0"/>
              </w:rPr>
              <w:t>支持BFD 功能，支持BFD与静态路由/OSPF/BGP进行联动。快速检测到与相邻设备间的通信故障，减小设备故障对业务的影响。通过与动态路由协议联动，缩短收敛时间，提升可靠性。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1276" w:type="dxa"/>
            <w:vMerge w:val="continue"/>
            <w:vAlign w:val="center"/>
          </w:tcPr>
          <w:p>
            <w:pPr>
              <w:widowControl/>
              <w:jc w:val="left"/>
              <w:rPr>
                <w:rFonts w:hint="eastAsia" w:ascii="仿宋" w:hAnsi="仿宋" w:eastAsia="仿宋" w:cs="仿宋"/>
                <w:b/>
                <w:bCs/>
                <w:kern w:val="0"/>
              </w:rPr>
            </w:pPr>
          </w:p>
        </w:tc>
        <w:tc>
          <w:tcPr>
            <w:tcW w:w="7044" w:type="dxa"/>
            <w:vAlign w:val="top"/>
          </w:tcPr>
          <w:p>
            <w:pPr>
              <w:jc w:val="left"/>
              <w:rPr>
                <w:rFonts w:hint="eastAsia" w:ascii="仿宋" w:hAnsi="仿宋" w:eastAsia="仿宋" w:cs="仿宋"/>
                <w:kern w:val="0"/>
              </w:rPr>
            </w:pPr>
            <w:r>
              <w:rPr>
                <w:rFonts w:hint="eastAsia" w:ascii="仿宋" w:hAnsi="仿宋" w:eastAsia="仿宋" w:cs="仿宋"/>
                <w:kern w:val="0"/>
              </w:rPr>
              <w:t>支持线路过载保护功能，当某条外网线路拥塞时，自动将其流量切换到其他链路；系统对各出口的流量带宽进行实时监测，当自身接口的流量带宽超过配置的阈值时，新建会话的流量将不再从这个接口转发。当此接口的流量带宽回落到正常值以下时，新建会话的流量再恢复从这个接口转发</w:t>
            </w:r>
            <w:r>
              <w:rPr>
                <w:rFonts w:hint="eastAsia" w:ascii="仿宋" w:hAnsi="仿宋" w:eastAsia="仿宋" w:cs="仿宋"/>
                <w:color w:val="FF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1276" w:type="dxa"/>
            <w:vMerge w:val="continue"/>
            <w:vAlign w:val="center"/>
          </w:tcPr>
          <w:p>
            <w:pPr>
              <w:widowControl/>
              <w:jc w:val="left"/>
              <w:rPr>
                <w:rFonts w:hint="eastAsia" w:ascii="仿宋" w:hAnsi="仿宋" w:eastAsia="仿宋" w:cs="仿宋"/>
                <w:b/>
                <w:bCs/>
                <w:kern w:val="0"/>
              </w:rPr>
            </w:pPr>
          </w:p>
        </w:tc>
        <w:tc>
          <w:tcPr>
            <w:tcW w:w="7044" w:type="dxa"/>
            <w:vAlign w:val="top"/>
          </w:tcPr>
          <w:p>
            <w:pPr>
              <w:jc w:val="left"/>
              <w:rPr>
                <w:rFonts w:hint="eastAsia" w:ascii="仿宋" w:hAnsi="仿宋" w:eastAsia="仿宋" w:cs="仿宋"/>
                <w:kern w:val="0"/>
              </w:rPr>
            </w:pPr>
            <w:r>
              <w:rPr>
                <w:rFonts w:hint="eastAsia" w:ascii="仿宋" w:hAnsi="仿宋" w:eastAsia="仿宋" w:cs="仿宋"/>
                <w:kern w:val="0"/>
              </w:rPr>
              <w:t>支持基于接口时延的动态切换能力：系统从多出接口向外部某一个或多个目的地址探测时延。当自身接口的时延超过配置的阈值时，新建会话的流量就不再从这个接口转发，而是走其它接口。当此接口的时延回落到正常值以下后，新建会话的流量再允许从这个接口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276" w:type="dxa"/>
            <w:vAlign w:val="center"/>
          </w:tcPr>
          <w:p>
            <w:pPr>
              <w:jc w:val="left"/>
              <w:rPr>
                <w:rFonts w:hint="eastAsia" w:ascii="仿宋" w:hAnsi="仿宋" w:eastAsia="仿宋" w:cs="仿宋"/>
                <w:b/>
                <w:bCs/>
                <w:kern w:val="0"/>
              </w:rPr>
            </w:pPr>
            <w:r>
              <w:rPr>
                <w:rFonts w:hint="eastAsia" w:ascii="仿宋" w:hAnsi="仿宋" w:eastAsia="仿宋" w:cs="仿宋"/>
                <w:b/>
                <w:bCs/>
                <w:kern w:val="0"/>
              </w:rPr>
              <w:t>NAT功能</w:t>
            </w:r>
          </w:p>
        </w:tc>
        <w:tc>
          <w:tcPr>
            <w:tcW w:w="7044" w:type="dxa"/>
            <w:vAlign w:val="center"/>
          </w:tcPr>
          <w:p>
            <w:pPr>
              <w:jc w:val="left"/>
              <w:rPr>
                <w:rFonts w:hint="eastAsia" w:ascii="仿宋" w:hAnsi="仿宋" w:eastAsia="仿宋" w:cs="仿宋"/>
              </w:rPr>
            </w:pPr>
            <w:r>
              <w:rPr>
                <w:rFonts w:hint="eastAsia" w:ascii="仿宋" w:hAnsi="仿宋" w:eastAsia="仿宋" w:cs="仿宋"/>
              </w:rPr>
              <w:t>支持NAT公网地址池中IP有效性检测，避免因NAT地址无法使用导致业务中断。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6" w:type="dxa"/>
            <w:vMerge w:val="restart"/>
            <w:vAlign w:val="center"/>
          </w:tcPr>
          <w:p>
            <w:pPr>
              <w:widowControl/>
              <w:jc w:val="left"/>
              <w:rPr>
                <w:rFonts w:hint="eastAsia" w:ascii="仿宋" w:hAnsi="仿宋" w:eastAsia="仿宋" w:cs="仿宋"/>
                <w:b/>
                <w:bCs/>
                <w:kern w:val="0"/>
              </w:rPr>
            </w:pPr>
            <w:r>
              <w:rPr>
                <w:rFonts w:hint="eastAsia" w:ascii="仿宋" w:hAnsi="仿宋" w:eastAsia="仿宋" w:cs="仿宋"/>
                <w:b/>
                <w:bCs/>
                <w:kern w:val="0"/>
              </w:rPr>
              <w:t>IPV6功能</w:t>
            </w:r>
          </w:p>
        </w:tc>
        <w:tc>
          <w:tcPr>
            <w:tcW w:w="7044" w:type="dxa"/>
            <w:vAlign w:val="center"/>
          </w:tcPr>
          <w:p>
            <w:pPr>
              <w:jc w:val="left"/>
              <w:rPr>
                <w:rFonts w:hint="eastAsia" w:ascii="仿宋" w:hAnsi="仿宋" w:eastAsia="仿宋" w:cs="仿宋"/>
                <w:kern w:val="0"/>
              </w:rPr>
            </w:pPr>
            <w:r>
              <w:rPr>
                <w:rFonts w:hint="eastAsia" w:ascii="仿宋" w:hAnsi="仿宋" w:eastAsia="仿宋" w:cs="仿宋"/>
                <w:kern w:val="0"/>
              </w:rPr>
              <w:t>支持对IPV6用户的会话日志监控、流量监控、应用监控功能，并且能够对IPV6用户进行自定义监控统计功能。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1276" w:type="dxa"/>
            <w:vMerge w:val="continue"/>
            <w:vAlign w:val="center"/>
          </w:tcPr>
          <w:p>
            <w:pPr>
              <w:widowControl/>
              <w:jc w:val="left"/>
              <w:rPr>
                <w:rFonts w:hint="eastAsia" w:ascii="仿宋" w:hAnsi="仿宋" w:eastAsia="仿宋" w:cs="仿宋"/>
                <w:b/>
                <w:bCs/>
                <w:kern w:val="0"/>
              </w:rPr>
            </w:pPr>
          </w:p>
        </w:tc>
        <w:tc>
          <w:tcPr>
            <w:tcW w:w="7044" w:type="dxa"/>
            <w:vAlign w:val="center"/>
          </w:tcPr>
          <w:p>
            <w:pPr>
              <w:jc w:val="left"/>
              <w:rPr>
                <w:rFonts w:hint="eastAsia" w:ascii="仿宋" w:hAnsi="仿宋" w:eastAsia="仿宋" w:cs="仿宋"/>
                <w:kern w:val="0"/>
              </w:rPr>
            </w:pPr>
            <w:r>
              <w:rPr>
                <w:rFonts w:hint="eastAsia" w:ascii="仿宋" w:hAnsi="仿宋" w:eastAsia="仿宋" w:cs="仿宋"/>
                <w:kern w:val="0"/>
              </w:rPr>
              <w:t>支持对IPV6协议的网络层攻击防护功能、支持扩展IPV6协议的IPS入侵防御、AV病毒过滤功能。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1276"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rPr>
              <w:t>VPN功能</w:t>
            </w:r>
          </w:p>
        </w:tc>
        <w:tc>
          <w:tcPr>
            <w:tcW w:w="7044" w:type="dxa"/>
            <w:vAlign w:val="center"/>
          </w:tcPr>
          <w:p>
            <w:pPr>
              <w:widowControl/>
              <w:jc w:val="left"/>
              <w:rPr>
                <w:rFonts w:hint="eastAsia" w:ascii="仿宋" w:hAnsi="仿宋" w:eastAsia="仿宋" w:cs="仿宋"/>
                <w:kern w:val="0"/>
              </w:rPr>
            </w:pPr>
            <w:r>
              <w:rPr>
                <w:rFonts w:hint="eastAsia" w:ascii="仿宋" w:hAnsi="仿宋" w:eastAsia="仿宋" w:cs="仿宋"/>
                <w:kern w:val="0"/>
              </w:rPr>
              <w:t>提供SSL VPN功能；必须支持对登录SSL VPN的用户端系统进行端点安全检查，至少包括指定文件、指定进程、系统补丁、浏览器版本、杀毒软件等方面。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276" w:type="dxa"/>
            <w:vMerge w:val="restart"/>
            <w:vAlign w:val="center"/>
          </w:tcPr>
          <w:p>
            <w:pPr>
              <w:widowControl/>
              <w:jc w:val="left"/>
              <w:rPr>
                <w:rFonts w:hint="eastAsia" w:ascii="仿宋" w:hAnsi="仿宋" w:eastAsia="仿宋" w:cs="仿宋"/>
                <w:b/>
                <w:bCs/>
                <w:kern w:val="0"/>
              </w:rPr>
            </w:pPr>
            <w:r>
              <w:rPr>
                <w:rFonts w:hint="eastAsia" w:ascii="仿宋" w:hAnsi="仿宋" w:eastAsia="仿宋" w:cs="仿宋"/>
                <w:b/>
                <w:bCs/>
                <w:kern w:val="0"/>
              </w:rPr>
              <w:t>云安全运维</w:t>
            </w:r>
          </w:p>
        </w:tc>
        <w:tc>
          <w:tcPr>
            <w:tcW w:w="7044" w:type="dxa"/>
            <w:vAlign w:val="center"/>
          </w:tcPr>
          <w:p>
            <w:pPr>
              <w:widowControl/>
              <w:jc w:val="left"/>
              <w:rPr>
                <w:rFonts w:hint="eastAsia" w:ascii="仿宋" w:hAnsi="仿宋" w:eastAsia="仿宋" w:cs="仿宋"/>
                <w:kern w:val="0"/>
              </w:rPr>
            </w:pPr>
            <w:r>
              <w:rPr>
                <w:rFonts w:hint="eastAsia" w:ascii="仿宋" w:hAnsi="仿宋" w:eastAsia="仿宋" w:cs="仿宋"/>
              </w:rPr>
              <w:t>★</w:t>
            </w:r>
            <w:r>
              <w:rPr>
                <w:rFonts w:hint="eastAsia" w:ascii="仿宋" w:hAnsi="仿宋" w:eastAsia="仿宋" w:cs="仿宋"/>
                <w:kern w:val="0"/>
              </w:rPr>
              <w:t>提供手机APP，实施监控展现设备CPU利用率、内存利用率、并发连接数、流量等状态，</w:t>
            </w:r>
            <w:r>
              <w:rPr>
                <w:rFonts w:hint="eastAsia" w:ascii="仿宋" w:hAnsi="仿宋" w:eastAsia="仿宋" w:cs="仿宋"/>
                <w:color w:val="FF0000"/>
                <w:kern w:val="0"/>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276" w:type="dxa"/>
            <w:vMerge w:val="continue"/>
            <w:vAlign w:val="center"/>
          </w:tcPr>
          <w:p>
            <w:pPr>
              <w:widowControl/>
              <w:jc w:val="left"/>
              <w:rPr>
                <w:rFonts w:hint="eastAsia" w:ascii="仿宋" w:hAnsi="仿宋" w:eastAsia="仿宋" w:cs="仿宋"/>
                <w:b/>
                <w:bCs/>
                <w:kern w:val="0"/>
              </w:rPr>
            </w:pPr>
          </w:p>
        </w:tc>
        <w:tc>
          <w:tcPr>
            <w:tcW w:w="7044" w:type="dxa"/>
            <w:vAlign w:val="center"/>
          </w:tcPr>
          <w:p>
            <w:pPr>
              <w:widowControl/>
              <w:jc w:val="left"/>
              <w:rPr>
                <w:rFonts w:hint="eastAsia" w:ascii="仿宋" w:hAnsi="仿宋" w:eastAsia="仿宋" w:cs="仿宋"/>
                <w:kern w:val="0"/>
              </w:rPr>
            </w:pPr>
            <w:r>
              <w:rPr>
                <w:rFonts w:hint="eastAsia" w:ascii="仿宋" w:hAnsi="仿宋" w:eastAsia="仿宋" w:cs="仿宋"/>
              </w:rPr>
              <w:t>★</w:t>
            </w:r>
            <w:r>
              <w:rPr>
                <w:rFonts w:hint="eastAsia" w:ascii="仿宋" w:hAnsi="仿宋" w:eastAsia="仿宋" w:cs="仿宋"/>
                <w:kern w:val="0"/>
              </w:rPr>
              <w:t>提供防火墙威胁分析服务，包括攻击级别展示、攻击类型分析、攻击者和受害者信息统计分析，</w:t>
            </w:r>
            <w:r>
              <w:rPr>
                <w:rFonts w:hint="eastAsia" w:ascii="仿宋" w:hAnsi="仿宋" w:eastAsia="仿宋" w:cs="仿宋"/>
                <w:color w:val="FF0000"/>
                <w:kern w:val="0"/>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kern w:val="0"/>
              </w:rPr>
            </w:pPr>
            <w:r>
              <w:rPr>
                <w:rFonts w:hint="eastAsia" w:ascii="仿宋" w:hAnsi="仿宋" w:eastAsia="仿宋" w:cs="仿宋"/>
                <w:b/>
                <w:kern w:val="0"/>
              </w:rPr>
              <w:t>提供防病毒功能</w:t>
            </w:r>
          </w:p>
        </w:tc>
        <w:tc>
          <w:tcPr>
            <w:tcW w:w="7044"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kern w:val="0"/>
              </w:rPr>
            </w:pPr>
            <w:r>
              <w:rPr>
                <w:rFonts w:hint="eastAsia" w:ascii="仿宋" w:hAnsi="仿宋" w:eastAsia="仿宋" w:cs="仿宋"/>
                <w:color w:val="000000"/>
                <w:kern w:val="0"/>
              </w:rPr>
              <w:t>对于HTTP协议和邮件协议，病毒特征库数量大于200万。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kern w:val="0"/>
              </w:rPr>
            </w:pPr>
          </w:p>
        </w:tc>
        <w:tc>
          <w:tcPr>
            <w:tcW w:w="7044"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kern w:val="0"/>
              </w:rPr>
            </w:pPr>
            <w:r>
              <w:rPr>
                <w:rFonts w:hint="eastAsia" w:ascii="仿宋" w:hAnsi="仿宋" w:eastAsia="仿宋" w:cs="仿宋"/>
                <w:bCs/>
                <w:color w:val="000000"/>
                <w:kern w:val="0"/>
                <w:sz w:val="18"/>
                <w:szCs w:val="18"/>
              </w:rPr>
              <w:t>★</w:t>
            </w:r>
            <w:r>
              <w:rPr>
                <w:rFonts w:hint="eastAsia" w:ascii="仿宋" w:hAnsi="仿宋" w:eastAsia="仿宋" w:cs="仿宋"/>
                <w:color w:val="000000"/>
                <w:kern w:val="0"/>
              </w:rPr>
              <w:t>能在策略或者安全域启用防病毒功能。</w:t>
            </w:r>
            <w:r>
              <w:rPr>
                <w:rFonts w:hint="eastAsia" w:ascii="仿宋" w:hAnsi="仿宋" w:eastAsia="仿宋" w:cs="仿宋"/>
                <w:color w:val="FF0000"/>
                <w:kern w:val="0"/>
              </w:rPr>
              <w:t>提供产品真实界面截图证明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276" w:type="dxa"/>
            <w:vAlign w:val="center"/>
          </w:tcPr>
          <w:p>
            <w:pPr>
              <w:widowControl/>
              <w:jc w:val="center"/>
              <w:rPr>
                <w:rFonts w:hint="eastAsia" w:ascii="仿宋" w:hAnsi="仿宋" w:eastAsia="仿宋" w:cs="仿宋"/>
                <w:b/>
                <w:bCs/>
                <w:kern w:val="0"/>
              </w:rPr>
            </w:pPr>
            <w:r>
              <w:rPr>
                <w:rFonts w:hint="eastAsia" w:ascii="仿宋" w:hAnsi="仿宋" w:eastAsia="仿宋" w:cs="仿宋"/>
                <w:b/>
                <w:bCs/>
                <w:kern w:val="0"/>
              </w:rPr>
              <w:t>管理功能</w:t>
            </w:r>
          </w:p>
        </w:tc>
        <w:tc>
          <w:tcPr>
            <w:tcW w:w="7044" w:type="dxa"/>
            <w:vAlign w:val="center"/>
          </w:tcPr>
          <w:p>
            <w:pPr>
              <w:widowControl/>
              <w:jc w:val="left"/>
              <w:rPr>
                <w:rFonts w:hint="eastAsia" w:ascii="仿宋" w:hAnsi="仿宋" w:eastAsia="仿宋" w:cs="仿宋"/>
                <w:kern w:val="0"/>
              </w:rPr>
            </w:pPr>
            <w:r>
              <w:rPr>
                <w:rFonts w:hint="eastAsia" w:ascii="仿宋" w:hAnsi="仿宋" w:eastAsia="仿宋" w:cs="仿宋"/>
                <w:kern w:val="0"/>
              </w:rPr>
              <w:t>支持不少于8个配置文件并存，并支持配置文件备注以便配置回退。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276" w:type="dxa"/>
            <w:vMerge w:val="restart"/>
            <w:vAlign w:val="center"/>
          </w:tcPr>
          <w:p>
            <w:pPr>
              <w:widowControl/>
              <w:jc w:val="center"/>
              <w:rPr>
                <w:rFonts w:hint="eastAsia" w:ascii="仿宋" w:hAnsi="仿宋" w:eastAsia="仿宋" w:cs="仿宋"/>
                <w:b/>
                <w:bCs/>
                <w:kern w:val="0"/>
              </w:rPr>
            </w:pPr>
            <w:r>
              <w:rPr>
                <w:rFonts w:hint="eastAsia" w:ascii="仿宋" w:hAnsi="仿宋" w:eastAsia="仿宋" w:cs="仿宋"/>
                <w:b/>
                <w:bCs/>
                <w:kern w:val="0"/>
              </w:rPr>
              <w:t>产品资质</w:t>
            </w:r>
          </w:p>
        </w:tc>
        <w:tc>
          <w:tcPr>
            <w:tcW w:w="7044" w:type="dxa"/>
            <w:vAlign w:val="top"/>
          </w:tcPr>
          <w:p>
            <w:pPr>
              <w:widowControl/>
              <w:jc w:val="left"/>
              <w:rPr>
                <w:rFonts w:hint="eastAsia" w:ascii="仿宋" w:hAnsi="仿宋" w:eastAsia="仿宋" w:cs="仿宋"/>
                <w:kern w:val="0"/>
              </w:rPr>
            </w:pPr>
            <w:r>
              <w:rPr>
                <w:rFonts w:hint="eastAsia" w:ascii="仿宋" w:hAnsi="仿宋" w:eastAsia="仿宋" w:cs="仿宋"/>
              </w:rPr>
              <w:t>★</w:t>
            </w:r>
            <w:r>
              <w:rPr>
                <w:rFonts w:hint="eastAsia" w:ascii="仿宋" w:hAnsi="仿宋" w:eastAsia="仿宋" w:cs="仿宋"/>
                <w:kern w:val="0"/>
              </w:rPr>
              <w:t>公安部颁发的《计算机信息系统安全专用产品销售许可证》（第二代防火墙万兆增强级）</w:t>
            </w:r>
            <w:r>
              <w:rPr>
                <w:rFonts w:hint="eastAsia" w:ascii="仿宋" w:hAnsi="仿宋" w:eastAsia="仿宋" w:cs="仿宋"/>
                <w:color w:val="FF0000"/>
                <w:kern w:val="0"/>
                <w:sz w:val="20"/>
                <w:szCs w:val="24"/>
              </w:rPr>
              <w:t>（提供证明，并加盖公章）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276" w:type="dxa"/>
            <w:vMerge w:val="continue"/>
            <w:vAlign w:val="center"/>
          </w:tcPr>
          <w:p>
            <w:pPr>
              <w:widowControl/>
              <w:jc w:val="center"/>
              <w:rPr>
                <w:rFonts w:hint="eastAsia" w:ascii="仿宋" w:hAnsi="仿宋" w:eastAsia="仿宋" w:cs="仿宋"/>
                <w:b/>
                <w:bCs/>
                <w:kern w:val="0"/>
              </w:rPr>
            </w:pPr>
          </w:p>
        </w:tc>
        <w:tc>
          <w:tcPr>
            <w:tcW w:w="7044" w:type="dxa"/>
            <w:vAlign w:val="top"/>
          </w:tcPr>
          <w:p>
            <w:pPr>
              <w:widowControl/>
              <w:jc w:val="left"/>
              <w:rPr>
                <w:rFonts w:hint="eastAsia" w:ascii="仿宋" w:hAnsi="仿宋" w:eastAsia="仿宋" w:cs="仿宋"/>
                <w:kern w:val="0"/>
              </w:rPr>
            </w:pPr>
            <w:r>
              <w:rPr>
                <w:rFonts w:hint="eastAsia" w:ascii="仿宋" w:hAnsi="仿宋" w:eastAsia="仿宋" w:cs="仿宋"/>
                <w:bCs/>
                <w:color w:val="000000"/>
                <w:kern w:val="0"/>
                <w:sz w:val="18"/>
                <w:szCs w:val="18"/>
              </w:rPr>
              <w:t>★</w:t>
            </w:r>
            <w:r>
              <w:rPr>
                <w:rFonts w:hint="eastAsia" w:ascii="仿宋" w:hAnsi="仿宋" w:eastAsia="仿宋" w:cs="仿宋"/>
                <w:kern w:val="0"/>
              </w:rPr>
              <w:t>具备中国信息安全产品认证中心颁发的《中国国家信息安全产品认证证书》（ISCCC 万兆三级）</w:t>
            </w:r>
            <w:r>
              <w:rPr>
                <w:rFonts w:hint="eastAsia" w:ascii="仿宋" w:hAnsi="仿宋" w:eastAsia="仿宋" w:cs="仿宋"/>
                <w:color w:val="FF0000"/>
                <w:kern w:val="0"/>
                <w:sz w:val="20"/>
                <w:szCs w:val="24"/>
              </w:rPr>
              <w:t>（提供证明，并加盖公章）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276" w:type="dxa"/>
            <w:vMerge w:val="continue"/>
            <w:vAlign w:val="center"/>
          </w:tcPr>
          <w:p>
            <w:pPr>
              <w:widowControl/>
              <w:jc w:val="center"/>
              <w:rPr>
                <w:rFonts w:hint="eastAsia" w:ascii="仿宋" w:hAnsi="仿宋" w:eastAsia="仿宋" w:cs="仿宋"/>
                <w:b/>
                <w:bCs/>
                <w:kern w:val="0"/>
              </w:rPr>
            </w:pPr>
          </w:p>
        </w:tc>
        <w:tc>
          <w:tcPr>
            <w:tcW w:w="7044" w:type="dxa"/>
            <w:vAlign w:val="top"/>
          </w:tcPr>
          <w:p>
            <w:pPr>
              <w:widowControl/>
              <w:jc w:val="left"/>
              <w:rPr>
                <w:rFonts w:hint="eastAsia" w:ascii="仿宋" w:hAnsi="仿宋" w:eastAsia="仿宋" w:cs="仿宋"/>
                <w:kern w:val="0"/>
              </w:rPr>
            </w:pPr>
            <w:r>
              <w:rPr>
                <w:rFonts w:hint="eastAsia" w:ascii="仿宋" w:hAnsi="仿宋" w:eastAsia="仿宋" w:cs="仿宋"/>
                <w:kern w:val="0"/>
              </w:rPr>
              <w:t>具备信息产业部颁发的电信设备进网许可证。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276" w:type="dxa"/>
            <w:vMerge w:val="continue"/>
            <w:vAlign w:val="center"/>
          </w:tcPr>
          <w:p>
            <w:pPr>
              <w:widowControl/>
              <w:jc w:val="center"/>
              <w:rPr>
                <w:rFonts w:hint="eastAsia" w:ascii="仿宋" w:hAnsi="仿宋" w:eastAsia="仿宋" w:cs="仿宋"/>
                <w:b/>
                <w:bCs/>
                <w:kern w:val="0"/>
              </w:rPr>
            </w:pPr>
          </w:p>
        </w:tc>
        <w:tc>
          <w:tcPr>
            <w:tcW w:w="7044" w:type="dxa"/>
            <w:tcBorders>
              <w:top w:val="nil"/>
              <w:left w:val="nil"/>
              <w:bottom w:val="single" w:color="auto" w:sz="4" w:space="0"/>
              <w:right w:val="single" w:color="auto" w:sz="4" w:space="0"/>
            </w:tcBorders>
            <w:vAlign w:val="top"/>
          </w:tcPr>
          <w:p>
            <w:pPr>
              <w:widowControl/>
              <w:jc w:val="left"/>
              <w:rPr>
                <w:rFonts w:hint="eastAsia" w:ascii="仿宋" w:hAnsi="仿宋" w:eastAsia="仿宋" w:cs="仿宋"/>
                <w:kern w:val="0"/>
              </w:rPr>
            </w:pPr>
            <w:r>
              <w:rPr>
                <w:rFonts w:hint="eastAsia" w:ascii="仿宋" w:hAnsi="仿宋" w:eastAsia="仿宋" w:cs="仿宋"/>
              </w:rPr>
              <w:t>★</w:t>
            </w:r>
            <w:r>
              <w:rPr>
                <w:rFonts w:hint="eastAsia" w:ascii="仿宋" w:hAnsi="仿宋" w:eastAsia="仿宋" w:cs="仿宋"/>
                <w:kern w:val="0"/>
              </w:rPr>
              <w:t>提供近四年入围Gartner企业级防火墙魔力象限证明文件。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276" w:type="dxa"/>
            <w:vMerge w:val="continue"/>
            <w:vAlign w:val="center"/>
          </w:tcPr>
          <w:p>
            <w:pPr>
              <w:widowControl/>
              <w:jc w:val="center"/>
              <w:rPr>
                <w:rFonts w:hint="eastAsia" w:ascii="仿宋" w:hAnsi="仿宋" w:eastAsia="仿宋" w:cs="仿宋"/>
                <w:b/>
                <w:bCs/>
                <w:kern w:val="0"/>
              </w:rPr>
            </w:pPr>
          </w:p>
        </w:tc>
        <w:tc>
          <w:tcPr>
            <w:tcW w:w="7044" w:type="dxa"/>
            <w:tcBorders>
              <w:top w:val="nil"/>
              <w:left w:val="nil"/>
              <w:bottom w:val="single" w:color="auto" w:sz="4" w:space="0"/>
              <w:right w:val="single" w:color="auto" w:sz="4" w:space="0"/>
            </w:tcBorders>
            <w:vAlign w:val="top"/>
          </w:tcPr>
          <w:p>
            <w:pPr>
              <w:widowControl/>
              <w:jc w:val="left"/>
              <w:rPr>
                <w:rFonts w:hint="eastAsia" w:ascii="仿宋" w:hAnsi="仿宋" w:eastAsia="仿宋" w:cs="仿宋"/>
                <w:kern w:val="0"/>
              </w:rPr>
            </w:pPr>
            <w:r>
              <w:rPr>
                <w:rFonts w:hint="eastAsia" w:ascii="仿宋" w:hAnsi="仿宋" w:eastAsia="仿宋" w:cs="仿宋"/>
              </w:rPr>
              <w:t>★</w:t>
            </w:r>
            <w:r>
              <w:rPr>
                <w:rFonts w:hint="eastAsia" w:ascii="仿宋" w:hAnsi="仿宋" w:eastAsia="仿宋" w:cs="仿宋"/>
                <w:kern w:val="0"/>
              </w:rPr>
              <w:t>加入微软安全响应中心（Microsoft Security Response Center）发起的MAPP（Microsoft Active Protection Program）计划，作为该计划成员，可在微软发布每月安全公告之前获得微软产品的详细漏洞信息，为用户提供更及时的安全防护。</w:t>
            </w:r>
            <w:r>
              <w:rPr>
                <w:rFonts w:hint="eastAsia" w:ascii="仿宋" w:hAnsi="仿宋" w:eastAsia="仿宋" w:cs="仿宋"/>
                <w:color w:val="FF0000"/>
                <w:kern w:val="0"/>
              </w:rPr>
              <w:t>提供微软第三方证明或微软网站截图。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276" w:type="dxa"/>
            <w:vMerge w:val="restart"/>
            <w:vAlign w:val="center"/>
          </w:tcPr>
          <w:p>
            <w:pPr>
              <w:widowControl/>
              <w:jc w:val="left"/>
              <w:rPr>
                <w:rFonts w:hint="eastAsia" w:ascii="仿宋" w:hAnsi="仿宋" w:eastAsia="仿宋" w:cs="仿宋"/>
                <w:b/>
                <w:bCs/>
                <w:kern w:val="0"/>
              </w:rPr>
            </w:pPr>
            <w:r>
              <w:rPr>
                <w:rFonts w:hint="eastAsia" w:ascii="仿宋" w:hAnsi="仿宋" w:eastAsia="仿宋" w:cs="仿宋"/>
                <w:b/>
                <w:bCs/>
                <w:kern w:val="0"/>
              </w:rPr>
              <w:t>质保授权</w:t>
            </w:r>
          </w:p>
        </w:tc>
        <w:tc>
          <w:tcPr>
            <w:tcW w:w="7044" w:type="dxa"/>
            <w:vAlign w:val="center"/>
          </w:tcPr>
          <w:p>
            <w:pPr>
              <w:jc w:val="left"/>
              <w:rPr>
                <w:rFonts w:hint="eastAsia" w:ascii="仿宋" w:hAnsi="仿宋" w:eastAsia="仿宋" w:cs="仿宋"/>
                <w:color w:val="FF0000"/>
                <w:kern w:val="0"/>
              </w:rPr>
            </w:pPr>
            <w:r>
              <w:rPr>
                <w:rFonts w:hint="eastAsia" w:ascii="仿宋" w:hAnsi="仿宋" w:eastAsia="仿宋" w:cs="仿宋"/>
                <w:i/>
                <w:color w:val="FF0000"/>
                <w:kern w:val="0"/>
                <w:u w:val="single"/>
              </w:rPr>
              <w:t>提供三年硬件及软件升级服务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276" w:type="dxa"/>
            <w:vMerge w:val="continue"/>
            <w:vAlign w:val="center"/>
          </w:tcPr>
          <w:p>
            <w:pPr>
              <w:widowControl/>
              <w:jc w:val="left"/>
              <w:rPr>
                <w:rFonts w:hint="eastAsia" w:ascii="仿宋" w:hAnsi="仿宋" w:eastAsia="仿宋" w:cs="仿宋"/>
                <w:b/>
                <w:bCs/>
                <w:kern w:val="0"/>
              </w:rPr>
            </w:pPr>
          </w:p>
        </w:tc>
        <w:tc>
          <w:tcPr>
            <w:tcW w:w="7044" w:type="dxa"/>
            <w:vAlign w:val="center"/>
          </w:tcPr>
          <w:p>
            <w:pPr>
              <w:widowControl/>
              <w:jc w:val="left"/>
              <w:rPr>
                <w:rFonts w:hint="eastAsia" w:ascii="仿宋" w:hAnsi="仿宋" w:eastAsia="仿宋" w:cs="仿宋"/>
                <w:i/>
                <w:color w:val="FF0000"/>
                <w:kern w:val="0"/>
                <w:u w:val="single"/>
              </w:rPr>
            </w:pPr>
            <w:r>
              <w:rPr>
                <w:rFonts w:hint="eastAsia" w:ascii="仿宋" w:hAnsi="仿宋" w:eastAsia="仿宋" w:cs="仿宋"/>
                <w:i/>
                <w:color w:val="FF0000"/>
                <w:kern w:val="0"/>
                <w:u w:val="single"/>
              </w:rPr>
              <w:t>提供防火墙至少三年防病毒授权和病毒库升级服务</w:t>
            </w:r>
          </w:p>
        </w:tc>
      </w:tr>
    </w:tbl>
    <w:p>
      <w:pPr>
        <w:pStyle w:val="3"/>
        <w:ind w:firstLine="480"/>
        <w:rPr>
          <w:rFonts w:hint="eastAsia" w:ascii="仿宋" w:hAnsi="仿宋" w:eastAsia="仿宋" w:cs="仿宋"/>
        </w:rPr>
      </w:pPr>
    </w:p>
    <w:p>
      <w:pPr>
        <w:rPr>
          <w:rFonts w:hint="eastAsia" w:ascii="仿宋" w:hAnsi="仿宋" w:eastAsia="仿宋" w:cs="仿宋"/>
        </w:rPr>
      </w:pPr>
      <w:r>
        <w:rPr>
          <w:rFonts w:hint="eastAsia" w:ascii="仿宋" w:hAnsi="仿宋" w:eastAsia="仿宋" w:cs="仿宋"/>
        </w:rPr>
        <w:t>2.4 数据库审计系统</w:t>
      </w:r>
    </w:p>
    <w:tbl>
      <w:tblPr>
        <w:tblStyle w:val="25"/>
        <w:tblW w:w="822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34" w:type="dxa"/>
            <w:vAlign w:val="top"/>
          </w:tcPr>
          <w:p>
            <w:pPr>
              <w:jc w:val="center"/>
              <w:rPr>
                <w:rFonts w:hint="eastAsia" w:ascii="仿宋" w:hAnsi="仿宋" w:eastAsia="仿宋" w:cs="仿宋"/>
                <w:b/>
                <w:sz w:val="24"/>
              </w:rPr>
            </w:pPr>
            <w:r>
              <w:rPr>
                <w:rFonts w:hint="eastAsia" w:ascii="仿宋" w:hAnsi="仿宋" w:eastAsia="仿宋" w:cs="仿宋"/>
                <w:b/>
                <w:sz w:val="24"/>
              </w:rPr>
              <w:t>指标项</w:t>
            </w:r>
          </w:p>
        </w:tc>
        <w:tc>
          <w:tcPr>
            <w:tcW w:w="7088" w:type="dxa"/>
            <w:vAlign w:val="top"/>
          </w:tcPr>
          <w:p>
            <w:pPr>
              <w:jc w:val="center"/>
              <w:rPr>
                <w:rFonts w:hint="eastAsia" w:ascii="仿宋" w:hAnsi="仿宋" w:eastAsia="仿宋" w:cs="仿宋"/>
                <w:b/>
                <w:sz w:val="24"/>
              </w:rPr>
            </w:pPr>
            <w:r>
              <w:rPr>
                <w:rFonts w:hint="eastAsia" w:ascii="仿宋" w:hAnsi="仿宋" w:eastAsia="仿宋" w:cs="仿宋"/>
                <w:b/>
                <w:sz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134" w:type="dxa"/>
            <w:vAlign w:val="center"/>
          </w:tcPr>
          <w:p>
            <w:pPr>
              <w:rPr>
                <w:rFonts w:hint="eastAsia" w:ascii="仿宋" w:hAnsi="仿宋" w:eastAsia="仿宋" w:cs="仿宋"/>
              </w:rPr>
            </w:pPr>
            <w:r>
              <w:rPr>
                <w:rFonts w:hint="eastAsia" w:ascii="仿宋" w:hAnsi="仿宋" w:eastAsia="仿宋" w:cs="仿宋"/>
              </w:rPr>
              <w:t>硬件指标</w:t>
            </w:r>
          </w:p>
        </w:tc>
        <w:tc>
          <w:tcPr>
            <w:tcW w:w="7088" w:type="dxa"/>
            <w:vAlign w:val="top"/>
          </w:tcPr>
          <w:p>
            <w:pPr>
              <w:rPr>
                <w:rFonts w:hint="eastAsia" w:ascii="仿宋" w:hAnsi="仿宋" w:eastAsia="仿宋" w:cs="仿宋"/>
                <w:i/>
                <w:u w:val="single"/>
              </w:rPr>
            </w:pPr>
            <w:r>
              <w:rPr>
                <w:rFonts w:hint="eastAsia" w:ascii="仿宋" w:hAnsi="仿宋" w:eastAsia="仿宋" w:cs="仿宋"/>
                <w:i/>
                <w:u w:val="single"/>
              </w:rPr>
              <w:t>网络端口：支持千兆网络环境下的监听能力，标配至少4个千兆电口和4个千兆光口支持接口扩展，最高支持扩展26个千兆电口或光口，或4个万兆口。硬盘可用容量：≥2TB，2T*2，支持RAID1、RAID5，最大支持扩展到16T存储空间。</w:t>
            </w:r>
          </w:p>
          <w:p>
            <w:pPr>
              <w:rPr>
                <w:rFonts w:hint="eastAsia" w:ascii="仿宋" w:hAnsi="仿宋" w:eastAsia="仿宋" w:cs="仿宋"/>
              </w:rPr>
            </w:pPr>
            <w:r>
              <w:rPr>
                <w:rFonts w:hint="eastAsia" w:ascii="仿宋" w:hAnsi="仿宋" w:eastAsia="仿宋" w:cs="仿宋"/>
              </w:rPr>
              <w:t>★系统启动采用CF卡加硬盘方式，保证稳定可靠不可篡改。</w:t>
            </w:r>
            <w:r>
              <w:rPr>
                <w:rFonts w:hint="eastAsia" w:ascii="仿宋" w:hAnsi="仿宋" w:eastAsia="仿宋" w:cs="仿宋"/>
                <w:color w:val="FF0000"/>
              </w:rPr>
              <w:t>（提供产品图片并加盖公章）</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134" w:type="dxa"/>
            <w:vAlign w:val="top"/>
          </w:tcPr>
          <w:p>
            <w:pPr>
              <w:rPr>
                <w:rFonts w:hint="eastAsia" w:ascii="仿宋" w:hAnsi="仿宋" w:eastAsia="仿宋" w:cs="仿宋"/>
              </w:rPr>
            </w:pPr>
            <w:r>
              <w:rPr>
                <w:rFonts w:hint="eastAsia" w:ascii="仿宋" w:hAnsi="仿宋" w:eastAsia="仿宋" w:cs="仿宋"/>
              </w:rPr>
              <w:t>处理能力</w:t>
            </w:r>
          </w:p>
        </w:tc>
        <w:tc>
          <w:tcPr>
            <w:tcW w:w="7088" w:type="dxa"/>
            <w:vAlign w:val="top"/>
          </w:tcPr>
          <w:p>
            <w:pPr>
              <w:rPr>
                <w:rFonts w:hint="eastAsia" w:ascii="仿宋" w:hAnsi="仿宋" w:eastAsia="仿宋" w:cs="仿宋"/>
              </w:rPr>
            </w:pPr>
            <w:r>
              <w:rPr>
                <w:rFonts w:hint="eastAsia" w:ascii="仿宋" w:hAnsi="仿宋" w:eastAsia="仿宋" w:cs="仿宋"/>
              </w:rPr>
              <w:t>审计性能：支持25个数据库数审计能力，不会产生漏审；</w:t>
            </w:r>
          </w:p>
          <w:p>
            <w:pPr>
              <w:rPr>
                <w:rFonts w:hint="eastAsia" w:ascii="仿宋" w:hAnsi="仿宋" w:eastAsia="仿宋" w:cs="仿宋"/>
              </w:rPr>
            </w:pPr>
            <w:r>
              <w:rPr>
                <w:rFonts w:hint="eastAsia" w:ascii="仿宋" w:hAnsi="仿宋" w:eastAsia="仿宋" w:cs="仿宋"/>
              </w:rPr>
              <w:t>峰值处理能力：≥40000条/秒；审计日志检索能力：≥1500万条/秒；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34" w:type="dxa"/>
            <w:vAlign w:val="top"/>
          </w:tcPr>
          <w:p>
            <w:pPr>
              <w:rPr>
                <w:rFonts w:hint="eastAsia" w:ascii="仿宋" w:hAnsi="仿宋" w:eastAsia="仿宋" w:cs="仿宋"/>
              </w:rPr>
            </w:pPr>
            <w:r>
              <w:rPr>
                <w:rFonts w:hint="eastAsia" w:ascii="仿宋" w:hAnsi="仿宋" w:eastAsia="仿宋" w:cs="仿宋"/>
              </w:rPr>
              <w:t>部署方式</w:t>
            </w:r>
          </w:p>
        </w:tc>
        <w:tc>
          <w:tcPr>
            <w:tcW w:w="7088" w:type="dxa"/>
            <w:vAlign w:val="top"/>
          </w:tcPr>
          <w:p>
            <w:pPr>
              <w:rPr>
                <w:rFonts w:hint="eastAsia" w:ascii="仿宋" w:hAnsi="仿宋" w:eastAsia="仿宋" w:cs="仿宋"/>
              </w:rPr>
            </w:pPr>
            <w:r>
              <w:rPr>
                <w:rFonts w:hint="eastAsia" w:ascii="仿宋" w:hAnsi="仿宋" w:eastAsia="仿宋" w:cs="仿宋"/>
              </w:rPr>
              <w:t>为适应各种复杂的部署环境，产品部署模式上应满足以下的要求：</w:t>
            </w:r>
          </w:p>
          <w:p>
            <w:pPr>
              <w:rPr>
                <w:rFonts w:hint="eastAsia" w:ascii="仿宋" w:hAnsi="仿宋" w:eastAsia="仿宋" w:cs="仿宋"/>
              </w:rPr>
            </w:pPr>
            <w:r>
              <w:rPr>
                <w:rFonts w:hint="eastAsia" w:ascii="仿宋" w:hAnsi="仿宋" w:eastAsia="仿宋" w:cs="仿宋"/>
              </w:rPr>
              <w:t>旁路部署模式下无须在被审计数据库系统上安装任何代理即可实现审计；</w:t>
            </w:r>
          </w:p>
          <w:p>
            <w:pPr>
              <w:rPr>
                <w:rFonts w:hint="eastAsia" w:ascii="仿宋" w:hAnsi="仿宋" w:eastAsia="仿宋" w:cs="仿宋"/>
              </w:rPr>
            </w:pPr>
            <w:r>
              <w:rPr>
                <w:rFonts w:hint="eastAsia" w:ascii="仿宋" w:hAnsi="仿宋" w:eastAsia="仿宋" w:cs="仿宋"/>
              </w:rPr>
              <w:t>★支持在目标数据库安装agent解决云环境、虚拟化环境内部流量无法镜像场景下数据库的审计；</w:t>
            </w:r>
            <w:r>
              <w:rPr>
                <w:rFonts w:hint="eastAsia" w:ascii="仿宋" w:hAnsi="仿宋" w:eastAsia="仿宋" w:cs="仿宋"/>
                <w:color w:val="FF0000"/>
              </w:rPr>
              <w:t>提供国家权威检测机构检测报告。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34" w:type="dxa"/>
            <w:vAlign w:val="top"/>
          </w:tcPr>
          <w:p>
            <w:pPr>
              <w:rPr>
                <w:rFonts w:hint="eastAsia" w:ascii="仿宋" w:hAnsi="仿宋" w:eastAsia="仿宋" w:cs="仿宋"/>
              </w:rPr>
            </w:pPr>
            <w:r>
              <w:rPr>
                <w:rFonts w:hint="eastAsia" w:ascii="仿宋" w:hAnsi="仿宋" w:eastAsia="仿宋" w:cs="仿宋"/>
              </w:rPr>
              <w:t>协议支持</w:t>
            </w:r>
          </w:p>
        </w:tc>
        <w:tc>
          <w:tcPr>
            <w:tcW w:w="7088" w:type="dxa"/>
            <w:vAlign w:val="top"/>
          </w:tcPr>
          <w:p>
            <w:pPr>
              <w:rPr>
                <w:rFonts w:hint="eastAsia" w:ascii="仿宋" w:hAnsi="仿宋" w:eastAsia="仿宋" w:cs="仿宋"/>
              </w:rPr>
            </w:pPr>
            <w:r>
              <w:rPr>
                <w:rFonts w:hint="eastAsia" w:ascii="仿宋" w:hAnsi="仿宋" w:eastAsia="仿宋" w:cs="仿宋"/>
              </w:rPr>
              <w:t xml:space="preserve">为审计和防护不同类型、不同版本的数据库，产品在协议支持应具备以下的要求：支持Oracle、SQL-Server、DB2、Informix、Sybase、MySQL六种主流数据库审计；支持PostgreSQL、HANA、Teradata、Cache、人大金仓、达梦、南大通用数据库审计； </w:t>
            </w:r>
          </w:p>
          <w:p>
            <w:pPr>
              <w:rPr>
                <w:rFonts w:hint="eastAsia" w:ascii="仿宋" w:hAnsi="仿宋" w:eastAsia="仿宋" w:cs="仿宋"/>
              </w:rPr>
            </w:pPr>
            <w:r>
              <w:rPr>
                <w:rFonts w:hint="eastAsia" w:ascii="仿宋" w:hAnsi="仿宋" w:eastAsia="仿宋" w:cs="仿宋"/>
              </w:rPr>
              <w:t>支持MongoDB、Hbase非关系型数据库审计；</w:t>
            </w:r>
          </w:p>
          <w:p>
            <w:pPr>
              <w:rPr>
                <w:rFonts w:hint="eastAsia" w:ascii="仿宋" w:hAnsi="仿宋" w:eastAsia="仿宋" w:cs="仿宋"/>
              </w:rPr>
            </w:pPr>
            <w:r>
              <w:rPr>
                <w:rFonts w:hint="eastAsia" w:ascii="仿宋" w:hAnsi="仿宋" w:eastAsia="仿宋" w:cs="仿宋"/>
              </w:rPr>
              <w:t xml:space="preserve">支持对SQL server（2005及以上版本）数据库采用加密协议通讯，可以通过导入证书的方式实现审计和防护；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34" w:type="dxa"/>
            <w:vAlign w:val="top"/>
          </w:tcPr>
          <w:p>
            <w:pPr>
              <w:rPr>
                <w:rFonts w:hint="eastAsia" w:ascii="仿宋" w:hAnsi="仿宋" w:eastAsia="仿宋" w:cs="仿宋"/>
              </w:rPr>
            </w:pPr>
            <w:r>
              <w:rPr>
                <w:rFonts w:hint="eastAsia" w:ascii="仿宋" w:hAnsi="仿宋" w:eastAsia="仿宋" w:cs="仿宋"/>
              </w:rPr>
              <w:t>审计功能</w:t>
            </w:r>
          </w:p>
        </w:tc>
        <w:tc>
          <w:tcPr>
            <w:tcW w:w="7088" w:type="dxa"/>
            <w:vAlign w:val="top"/>
          </w:tcPr>
          <w:p>
            <w:pPr>
              <w:rPr>
                <w:rFonts w:hint="eastAsia" w:ascii="仿宋" w:hAnsi="仿宋" w:eastAsia="仿宋" w:cs="仿宋"/>
              </w:rPr>
            </w:pPr>
            <w:r>
              <w:rPr>
                <w:rFonts w:hint="eastAsia" w:ascii="仿宋" w:hAnsi="仿宋" w:eastAsia="仿宋" w:cs="仿宋"/>
              </w:rPr>
              <w:t>为满足对数据库操作行为审计，满足业务、安全等方面的需求，产品需要满足以下的要求：支持数据库操作类、表、视图、索引、存储过程等各种对象的所有SQL操作审计</w:t>
            </w:r>
          </w:p>
          <w:p>
            <w:pPr>
              <w:rPr>
                <w:rFonts w:hint="eastAsia" w:ascii="仿宋" w:hAnsi="仿宋" w:eastAsia="仿宋" w:cs="仿宋"/>
              </w:rPr>
            </w:pPr>
            <w:r>
              <w:rPr>
                <w:rFonts w:hint="eastAsia" w:ascii="仿宋" w:hAnsi="仿宋" w:eastAsia="仿宋" w:cs="仿宋"/>
              </w:rPr>
              <w:t xml:space="preserve">支持数据库请求和返回的双向审计，特别是返回字段和结果集、执行状态、返回行数、执行时长等内容，支持通过返回行数和内容大小控制返回结果集大小； </w:t>
            </w:r>
          </w:p>
          <w:p>
            <w:pPr>
              <w:rPr>
                <w:rFonts w:hint="eastAsia" w:ascii="仿宋" w:hAnsi="仿宋" w:eastAsia="仿宋" w:cs="仿宋"/>
              </w:rPr>
            </w:pPr>
            <w:r>
              <w:rPr>
                <w:rFonts w:hint="eastAsia" w:ascii="仿宋" w:hAnsi="仿宋" w:eastAsia="仿宋" w:cs="仿宋"/>
              </w:rPr>
              <w:t>支持跨语句、跨多包的绑定变量名及绑定变量值的审计</w:t>
            </w:r>
          </w:p>
          <w:p>
            <w:pPr>
              <w:rPr>
                <w:rFonts w:hint="eastAsia" w:ascii="仿宋" w:hAnsi="仿宋" w:eastAsia="仿宋" w:cs="仿宋"/>
              </w:rPr>
            </w:pPr>
            <w:r>
              <w:rPr>
                <w:rFonts w:hint="eastAsia" w:ascii="仿宋" w:hAnsi="仿宋" w:eastAsia="仿宋" w:cs="仿宋"/>
              </w:rPr>
              <w:t>★支持与堡垒主机自动关联审计通过ssh、rdp等加密协议操作数据库行为</w:t>
            </w:r>
            <w:r>
              <w:rPr>
                <w:rFonts w:hint="eastAsia" w:ascii="仿宋" w:hAnsi="仿宋" w:eastAsia="仿宋" w:cs="仿宋"/>
                <w:color w:val="FF0000"/>
              </w:rPr>
              <w:t>（需提供功能截图，并提供国家权威检测机构检测报告）</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34" w:type="dxa"/>
            <w:vAlign w:val="top"/>
          </w:tcPr>
          <w:p>
            <w:pPr>
              <w:rPr>
                <w:rFonts w:hint="eastAsia" w:ascii="仿宋" w:hAnsi="仿宋" w:eastAsia="仿宋" w:cs="仿宋"/>
              </w:rPr>
            </w:pPr>
            <w:r>
              <w:rPr>
                <w:rFonts w:hint="eastAsia" w:ascii="仿宋" w:hAnsi="仿宋" w:eastAsia="仿宋" w:cs="仿宋"/>
              </w:rPr>
              <w:t>智能发现</w:t>
            </w:r>
          </w:p>
        </w:tc>
        <w:tc>
          <w:tcPr>
            <w:tcW w:w="7088" w:type="dxa"/>
            <w:vAlign w:val="top"/>
          </w:tcPr>
          <w:p>
            <w:pPr>
              <w:rPr>
                <w:rFonts w:hint="eastAsia" w:ascii="仿宋" w:hAnsi="仿宋" w:eastAsia="仿宋" w:cs="仿宋"/>
              </w:rPr>
            </w:pPr>
            <w:r>
              <w:rPr>
                <w:rFonts w:hint="eastAsia" w:ascii="仿宋" w:hAnsi="仿宋" w:eastAsia="仿宋" w:cs="仿宋"/>
              </w:rPr>
              <w:t>为更加便捷使用数据库审计，数据库审计需具备以下功能：自动识别流量中存在的数据库</w:t>
            </w:r>
          </w:p>
          <w:p>
            <w:pPr>
              <w:rPr>
                <w:rFonts w:hint="eastAsia" w:ascii="仿宋" w:hAnsi="仿宋" w:eastAsia="仿宋" w:cs="仿宋"/>
              </w:rPr>
            </w:pPr>
            <w:r>
              <w:rPr>
                <w:rFonts w:hint="eastAsia" w:ascii="仿宋" w:hAnsi="仿宋" w:eastAsia="仿宋" w:cs="仿宋"/>
              </w:rPr>
              <w:t>支持定期</w:t>
            </w:r>
            <w:r>
              <w:rPr>
                <w:rFonts w:hint="eastAsia" w:ascii="仿宋" w:hAnsi="仿宋" w:eastAsia="仿宋" w:cs="仿宋"/>
              </w:rPr>
              <w:fldChar w:fldCharType="begin"/>
            </w:r>
            <w:r>
              <w:rPr>
                <w:rFonts w:hint="eastAsia" w:ascii="仿宋" w:hAnsi="仿宋" w:eastAsia="仿宋" w:cs="仿宋"/>
              </w:rPr>
              <w:instrText xml:space="preserve">HYPERLINK  \l "_支持定期扫描数据库漏洞" </w:instrText>
            </w:r>
            <w:r>
              <w:rPr>
                <w:rFonts w:hint="eastAsia" w:ascii="仿宋" w:hAnsi="仿宋" w:eastAsia="仿宋" w:cs="仿宋"/>
              </w:rPr>
              <w:fldChar w:fldCharType="separate"/>
            </w:r>
            <w:r>
              <w:rPr>
                <w:rFonts w:hint="eastAsia" w:ascii="仿宋" w:hAnsi="仿宋" w:eastAsia="仿宋" w:cs="仿宋"/>
              </w:rPr>
              <w:t>自动扫描数据库漏洞</w:t>
            </w:r>
            <w:r>
              <w:rPr>
                <w:rFonts w:hint="eastAsia" w:ascii="仿宋" w:hAnsi="仿宋" w:eastAsia="仿宋" w:cs="仿宋"/>
              </w:rPr>
              <w:fldChar w:fldCharType="end"/>
            </w:r>
            <w:r>
              <w:rPr>
                <w:rFonts w:hint="eastAsia" w:ascii="仿宋" w:hAnsi="仿宋" w:eastAsia="仿宋" w:cs="仿宋"/>
              </w:rPr>
              <w:t>和不安全配置，提供漏洞扫描报告；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34" w:type="dxa"/>
            <w:vAlign w:val="top"/>
          </w:tcPr>
          <w:p>
            <w:pPr>
              <w:rPr>
                <w:rFonts w:hint="eastAsia" w:ascii="仿宋" w:hAnsi="仿宋" w:eastAsia="仿宋" w:cs="仿宋"/>
              </w:rPr>
            </w:pPr>
            <w:r>
              <w:rPr>
                <w:rFonts w:hint="eastAsia" w:ascii="仿宋" w:hAnsi="仿宋" w:eastAsia="仿宋" w:cs="仿宋"/>
              </w:rPr>
              <w:t>应用关联</w:t>
            </w:r>
          </w:p>
        </w:tc>
        <w:tc>
          <w:tcPr>
            <w:tcW w:w="7088" w:type="dxa"/>
            <w:vAlign w:val="top"/>
          </w:tcPr>
          <w:p>
            <w:pPr>
              <w:rPr>
                <w:rFonts w:hint="eastAsia" w:ascii="仿宋" w:hAnsi="仿宋" w:eastAsia="仿宋" w:cs="仿宋"/>
              </w:rPr>
            </w:pPr>
            <w:r>
              <w:rPr>
                <w:rFonts w:hint="eastAsia" w:ascii="仿宋" w:hAnsi="仿宋" w:eastAsia="仿宋" w:cs="仿宋"/>
              </w:rPr>
              <w:t>为了更好的完成追踪溯源，数据库审计产品需要具体三层关联功能，要求如下：</w:t>
            </w:r>
          </w:p>
          <w:p>
            <w:pPr>
              <w:rPr>
                <w:rFonts w:hint="eastAsia" w:ascii="仿宋" w:hAnsi="仿宋" w:eastAsia="仿宋" w:cs="仿宋"/>
              </w:rPr>
            </w:pPr>
            <w:r>
              <w:rPr>
                <w:rFonts w:hint="eastAsia" w:ascii="仿宋" w:hAnsi="仿宋" w:eastAsia="仿宋" w:cs="仿宋"/>
              </w:rPr>
              <w:t>支持B/S业务系统三层关联审计；</w:t>
            </w:r>
          </w:p>
          <w:p>
            <w:pPr>
              <w:rPr>
                <w:rFonts w:hint="eastAsia" w:ascii="仿宋" w:hAnsi="仿宋" w:eastAsia="仿宋" w:cs="仿宋"/>
              </w:rPr>
            </w:pPr>
            <w:r>
              <w:rPr>
                <w:rFonts w:hint="eastAsia" w:ascii="仿宋" w:hAnsi="仿宋" w:eastAsia="仿宋" w:cs="仿宋"/>
              </w:rPr>
              <w:t>支持通过</w:t>
            </w:r>
            <w:r>
              <w:rPr>
                <w:rFonts w:hint="eastAsia" w:ascii="仿宋" w:hAnsi="仿宋" w:eastAsia="仿宋" w:cs="仿宋"/>
              </w:rPr>
              <w:fldChar w:fldCharType="begin"/>
            </w:r>
            <w:r>
              <w:rPr>
                <w:rFonts w:hint="eastAsia" w:ascii="仿宋" w:hAnsi="仿宋" w:eastAsia="仿宋" w:cs="仿宋"/>
              </w:rPr>
              <w:instrText xml:space="preserve"> HYPERLINK \l "_Agent三层关联" </w:instrText>
            </w:r>
            <w:r>
              <w:rPr>
                <w:rFonts w:hint="eastAsia" w:ascii="仿宋" w:hAnsi="仿宋" w:eastAsia="仿宋" w:cs="仿宋"/>
              </w:rPr>
              <w:fldChar w:fldCharType="separate"/>
            </w:r>
            <w:r>
              <w:rPr>
                <w:rFonts w:hint="eastAsia" w:ascii="仿宋" w:hAnsi="仿宋" w:eastAsia="仿宋" w:cs="仿宋"/>
              </w:rPr>
              <w:t>部署agent</w:t>
            </w:r>
            <w:r>
              <w:rPr>
                <w:rFonts w:hint="eastAsia" w:ascii="仿宋" w:hAnsi="仿宋" w:eastAsia="仿宋" w:cs="仿宋"/>
              </w:rPr>
              <w:fldChar w:fldCharType="end"/>
            </w:r>
            <w:r>
              <w:rPr>
                <w:rFonts w:hint="eastAsia" w:ascii="仿宋" w:hAnsi="仿宋" w:eastAsia="仿宋" w:cs="仿宋"/>
              </w:rPr>
              <w:t>实现java web环境100%准确关联；支持</w:t>
            </w:r>
            <w:r>
              <w:rPr>
                <w:rFonts w:hint="eastAsia" w:ascii="仿宋" w:hAnsi="仿宋" w:eastAsia="仿宋" w:cs="仿宋"/>
              </w:rPr>
              <w:fldChar w:fldCharType="begin"/>
            </w:r>
            <w:r>
              <w:rPr>
                <w:rFonts w:hint="eastAsia" w:ascii="仿宋" w:hAnsi="仿宋" w:eastAsia="仿宋" w:cs="仿宋"/>
              </w:rPr>
              <w:instrText xml:space="preserve">HYPERLINK  \l "_旁路自学习三层关联" </w:instrText>
            </w:r>
            <w:r>
              <w:rPr>
                <w:rFonts w:hint="eastAsia" w:ascii="仿宋" w:hAnsi="仿宋" w:eastAsia="仿宋" w:cs="仿宋"/>
              </w:rPr>
              <w:fldChar w:fldCharType="separate"/>
            </w:r>
            <w:r>
              <w:rPr>
                <w:rFonts w:hint="eastAsia" w:ascii="仿宋" w:hAnsi="仿宋" w:eastAsia="仿宋" w:cs="仿宋"/>
              </w:rPr>
              <w:t>旁路自动学习三层审计</w:t>
            </w:r>
            <w:r>
              <w:rPr>
                <w:rFonts w:hint="eastAsia" w:ascii="仿宋" w:hAnsi="仿宋" w:eastAsia="仿宋" w:cs="仿宋"/>
              </w:rPr>
              <w:fldChar w:fldCharType="end"/>
            </w:r>
            <w:r>
              <w:rPr>
                <w:rFonts w:hint="eastAsia" w:ascii="仿宋" w:hAnsi="仿宋" w:eastAsia="仿宋" w:cs="仿宋"/>
              </w:rPr>
              <w:t>关联功能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34" w:type="dxa"/>
            <w:vAlign w:val="top"/>
          </w:tcPr>
          <w:p>
            <w:pPr>
              <w:rPr>
                <w:rFonts w:hint="eastAsia" w:ascii="仿宋" w:hAnsi="仿宋" w:eastAsia="仿宋" w:cs="仿宋"/>
              </w:rPr>
            </w:pPr>
            <w:r>
              <w:rPr>
                <w:rFonts w:hint="eastAsia" w:ascii="仿宋" w:hAnsi="仿宋" w:eastAsia="仿宋" w:cs="仿宋"/>
              </w:rPr>
              <w:t>安全审计</w:t>
            </w:r>
          </w:p>
        </w:tc>
        <w:tc>
          <w:tcPr>
            <w:tcW w:w="7088" w:type="dxa"/>
            <w:vAlign w:val="top"/>
          </w:tcPr>
          <w:p>
            <w:pPr>
              <w:rPr>
                <w:rFonts w:hint="eastAsia" w:ascii="仿宋" w:hAnsi="仿宋" w:eastAsia="仿宋" w:cs="仿宋"/>
              </w:rPr>
            </w:pPr>
            <w:r>
              <w:rPr>
                <w:rFonts w:hint="eastAsia" w:ascii="仿宋" w:hAnsi="仿宋" w:eastAsia="仿宋" w:cs="仿宋"/>
              </w:rPr>
              <w:t>为发现数据库中不安全访问行为及审计数据二次泄露等问题，数据库审计需满足以下功能：</w:t>
            </w:r>
          </w:p>
          <w:p>
            <w:pPr>
              <w:rPr>
                <w:rFonts w:hint="eastAsia" w:ascii="仿宋" w:hAnsi="仿宋" w:eastAsia="仿宋" w:cs="仿宋"/>
              </w:rPr>
            </w:pPr>
            <w:r>
              <w:rPr>
                <w:rFonts w:hint="eastAsia" w:ascii="仿宋" w:hAnsi="仿宋" w:eastAsia="仿宋" w:cs="仿宋"/>
              </w:rPr>
              <w:t>支持审计记录中敏感数据的模糊化处理，内置常见敏感数据掩码规则，支持自定义</w:t>
            </w:r>
          </w:p>
          <w:p>
            <w:pPr>
              <w:rPr>
                <w:rFonts w:hint="eastAsia" w:ascii="仿宋" w:hAnsi="仿宋" w:eastAsia="仿宋" w:cs="仿宋"/>
              </w:rPr>
            </w:pPr>
            <w:r>
              <w:rPr>
                <w:rFonts w:hint="eastAsia" w:ascii="仿宋" w:hAnsi="仿宋" w:eastAsia="仿宋" w:cs="仿宋"/>
              </w:rPr>
              <w:t>内置安全特征库不少于300条，如SQL注入、缓冲区溢出、弱口令等；</w:t>
            </w:r>
          </w:p>
          <w:p>
            <w:pPr>
              <w:rPr>
                <w:rFonts w:hint="eastAsia" w:ascii="仿宋" w:hAnsi="仿宋" w:eastAsia="仿宋" w:cs="仿宋"/>
              </w:rPr>
            </w:pPr>
            <w:r>
              <w:rPr>
                <w:rFonts w:hint="eastAsia" w:ascii="仿宋" w:hAnsi="仿宋" w:eastAsia="仿宋" w:cs="仿宋"/>
              </w:rPr>
              <w:t>告警查询应支持根据登陆用户、客户端工具名、客户端IP、规则进行归并分析，能详细展示每类告警占总告警数量百分比，便于告警分析处理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34" w:type="dxa"/>
            <w:vAlign w:val="top"/>
          </w:tcPr>
          <w:p>
            <w:pPr>
              <w:rPr>
                <w:rFonts w:hint="eastAsia" w:ascii="仿宋" w:hAnsi="仿宋" w:eastAsia="仿宋" w:cs="仿宋"/>
              </w:rPr>
            </w:pPr>
            <w:r>
              <w:rPr>
                <w:rFonts w:hint="eastAsia" w:ascii="仿宋" w:hAnsi="仿宋" w:eastAsia="仿宋" w:cs="仿宋"/>
              </w:rPr>
              <w:t>审计查询</w:t>
            </w:r>
          </w:p>
        </w:tc>
        <w:tc>
          <w:tcPr>
            <w:tcW w:w="7088" w:type="dxa"/>
            <w:vAlign w:val="top"/>
          </w:tcPr>
          <w:p>
            <w:pPr>
              <w:rPr>
                <w:rFonts w:hint="eastAsia" w:ascii="仿宋" w:hAnsi="仿宋" w:eastAsia="仿宋" w:cs="仿宋"/>
              </w:rPr>
            </w:pPr>
            <w:r>
              <w:rPr>
                <w:rFonts w:hint="eastAsia" w:ascii="仿宋" w:hAnsi="仿宋" w:eastAsia="仿宋" w:cs="仿宋"/>
              </w:rPr>
              <w:t>为满足审计追踪溯源、分析安全问题等需求，数据库审计应满足以下的查询需求：</w:t>
            </w:r>
          </w:p>
          <w:p>
            <w:pPr>
              <w:rPr>
                <w:rFonts w:hint="eastAsia" w:ascii="仿宋" w:hAnsi="仿宋" w:eastAsia="仿宋" w:cs="仿宋"/>
              </w:rPr>
            </w:pPr>
            <w:r>
              <w:rPr>
                <w:rFonts w:hint="eastAsia" w:ascii="仿宋" w:hAnsi="仿宋" w:eastAsia="仿宋" w:cs="仿宋"/>
              </w:rPr>
              <w:t>支持采用部分</w:t>
            </w:r>
            <w:r>
              <w:rPr>
                <w:rFonts w:hint="eastAsia" w:ascii="仿宋" w:hAnsi="仿宋" w:eastAsia="仿宋" w:cs="仿宋"/>
              </w:rPr>
              <w:fldChar w:fldCharType="begin"/>
            </w:r>
            <w:r>
              <w:rPr>
                <w:rFonts w:hint="eastAsia" w:ascii="仿宋" w:hAnsi="仿宋" w:eastAsia="仿宋" w:cs="仿宋"/>
              </w:rPr>
              <w:instrText xml:space="preserve"> HYPERLINK \l "_支持模糊查询" </w:instrText>
            </w:r>
            <w:r>
              <w:rPr>
                <w:rFonts w:hint="eastAsia" w:ascii="仿宋" w:hAnsi="仿宋" w:eastAsia="仿宋" w:cs="仿宋"/>
              </w:rPr>
              <w:fldChar w:fldCharType="separate"/>
            </w:r>
            <w:r>
              <w:rPr>
                <w:rFonts w:hint="eastAsia" w:ascii="仿宋" w:hAnsi="仿宋" w:eastAsia="仿宋" w:cs="仿宋"/>
              </w:rPr>
              <w:t>匹配模糊</w:t>
            </w:r>
            <w:r>
              <w:rPr>
                <w:rFonts w:hint="eastAsia" w:ascii="仿宋" w:hAnsi="仿宋" w:eastAsia="仿宋" w:cs="仿宋"/>
              </w:rPr>
              <w:fldChar w:fldCharType="end"/>
            </w:r>
            <w:r>
              <w:rPr>
                <w:rFonts w:hint="eastAsia" w:ascii="仿宋" w:hAnsi="仿宋" w:eastAsia="仿宋" w:cs="仿宋"/>
              </w:rPr>
              <w:t>查询方式检索审计日志</w:t>
            </w:r>
          </w:p>
          <w:p>
            <w:pPr>
              <w:rPr>
                <w:rFonts w:hint="eastAsia" w:ascii="仿宋" w:hAnsi="仿宋" w:eastAsia="仿宋" w:cs="仿宋"/>
              </w:rPr>
            </w:pPr>
            <w:r>
              <w:rPr>
                <w:rFonts w:hint="eastAsia" w:ascii="仿宋" w:hAnsi="仿宋" w:eastAsia="仿宋" w:cs="仿宋"/>
              </w:rPr>
              <w:t>支持基于数据库</w:t>
            </w:r>
            <w:r>
              <w:rPr>
                <w:rFonts w:hint="eastAsia" w:ascii="仿宋" w:hAnsi="仿宋" w:eastAsia="仿宋" w:cs="仿宋"/>
              </w:rPr>
              <w:fldChar w:fldCharType="begin"/>
            </w:r>
            <w:r>
              <w:rPr>
                <w:rFonts w:hint="eastAsia" w:ascii="仿宋" w:hAnsi="仿宋" w:eastAsia="仿宋" w:cs="仿宋"/>
              </w:rPr>
              <w:instrText xml:space="preserve"> HYPERLINK \l "_多维度查询" </w:instrText>
            </w:r>
            <w:r>
              <w:rPr>
                <w:rFonts w:hint="eastAsia" w:ascii="仿宋" w:hAnsi="仿宋" w:eastAsia="仿宋" w:cs="仿宋"/>
              </w:rPr>
              <w:fldChar w:fldCharType="separate"/>
            </w:r>
            <w:r>
              <w:rPr>
                <w:rFonts w:hint="eastAsia" w:ascii="仿宋" w:hAnsi="仿宋" w:eastAsia="仿宋" w:cs="仿宋"/>
              </w:rPr>
              <w:t>访问日期、时间、源/目的IP、来源</w:t>
            </w:r>
            <w:r>
              <w:rPr>
                <w:rFonts w:hint="eastAsia" w:ascii="仿宋" w:hAnsi="仿宋" w:eastAsia="仿宋" w:cs="仿宋"/>
              </w:rPr>
              <w:fldChar w:fldCharType="end"/>
            </w:r>
            <w:r>
              <w:rPr>
                <w:rFonts w:hint="eastAsia" w:ascii="仿宋" w:hAnsi="仿宋" w:eastAsia="仿宋" w:cs="仿宋"/>
              </w:rPr>
              <w:t>、数据库名、数据库表名、字段值、数据库登陆账号、SQL关键词、数据库返回码、SQL响应时间、数据库操作类型、影响行数等条件的审计查询；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34" w:type="dxa"/>
            <w:vAlign w:val="top"/>
          </w:tcPr>
          <w:p>
            <w:pPr>
              <w:rPr>
                <w:rFonts w:hint="eastAsia" w:ascii="仿宋" w:hAnsi="仿宋" w:eastAsia="仿宋" w:cs="仿宋"/>
              </w:rPr>
            </w:pPr>
            <w:r>
              <w:rPr>
                <w:rFonts w:hint="eastAsia" w:ascii="仿宋" w:hAnsi="仿宋" w:eastAsia="仿宋" w:cs="仿宋"/>
              </w:rPr>
              <w:t>统计报表</w:t>
            </w:r>
          </w:p>
        </w:tc>
        <w:tc>
          <w:tcPr>
            <w:tcW w:w="7088" w:type="dxa"/>
            <w:vAlign w:val="top"/>
          </w:tcPr>
          <w:p>
            <w:pPr>
              <w:rPr>
                <w:rFonts w:hint="eastAsia" w:ascii="仿宋" w:hAnsi="仿宋" w:eastAsia="仿宋" w:cs="仿宋"/>
              </w:rPr>
            </w:pPr>
            <w:r>
              <w:rPr>
                <w:rFonts w:hint="eastAsia" w:ascii="仿宋" w:hAnsi="仿宋" w:eastAsia="仿宋" w:cs="仿宋"/>
              </w:rPr>
              <w:t>为满足事后分析需求，数据库审计应满足以下的需求：</w:t>
            </w:r>
          </w:p>
          <w:p>
            <w:pPr>
              <w:rPr>
                <w:rFonts w:hint="eastAsia" w:ascii="仿宋" w:hAnsi="仿宋" w:eastAsia="仿宋" w:cs="仿宋"/>
              </w:rPr>
            </w:pPr>
            <w:r>
              <w:rPr>
                <w:rFonts w:hint="eastAsia" w:ascii="仿宋" w:hAnsi="仿宋" w:eastAsia="仿宋" w:cs="仿宋"/>
              </w:rPr>
              <w:t>系统提供内置多种报表模板库，内置的报表不少于35种；</w:t>
            </w:r>
          </w:p>
          <w:p>
            <w:pPr>
              <w:rPr>
                <w:rFonts w:hint="eastAsia" w:ascii="仿宋" w:hAnsi="仿宋" w:eastAsia="仿宋" w:cs="仿宋"/>
              </w:rPr>
            </w:pPr>
            <w:r>
              <w:rPr>
                <w:rFonts w:hint="eastAsia" w:ascii="仿宋" w:hAnsi="仿宋" w:eastAsia="仿宋" w:cs="仿宋"/>
              </w:rPr>
              <w:t>报表支持严格按照塞班斯（SOX）法案、等级保护标准要求生成多维度综合报告；</w:t>
            </w:r>
          </w:p>
          <w:p>
            <w:pPr>
              <w:rPr>
                <w:rFonts w:hint="eastAsia" w:ascii="仿宋" w:hAnsi="仿宋" w:eastAsia="仿宋" w:cs="仿宋"/>
              </w:rPr>
            </w:pPr>
            <w:r>
              <w:rPr>
                <w:rFonts w:hint="eastAsia" w:ascii="仿宋" w:hAnsi="仿宋" w:eastAsia="仿宋" w:cs="仿宋"/>
              </w:rPr>
              <w:t>支持按照数据库访问行为生成报表，智能识别帐号的增删、权限变更、密码修改、特权操作等行为；</w:t>
            </w:r>
          </w:p>
          <w:p>
            <w:pPr>
              <w:rPr>
                <w:rFonts w:hint="eastAsia" w:ascii="仿宋" w:hAnsi="仿宋" w:eastAsia="仿宋" w:cs="仿宋"/>
              </w:rPr>
            </w:pPr>
            <w:r>
              <w:rPr>
                <w:rFonts w:hint="eastAsia" w:ascii="仿宋" w:hAnsi="仿宋" w:eastAsia="仿宋" w:cs="仿宋"/>
              </w:rPr>
              <w:t xml:space="preserve">支持报表自定义，自定义的条件不少于20个；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34" w:type="dxa"/>
            <w:vAlign w:val="top"/>
          </w:tcPr>
          <w:p>
            <w:pPr>
              <w:rPr>
                <w:rFonts w:hint="eastAsia" w:ascii="仿宋" w:hAnsi="仿宋" w:eastAsia="仿宋" w:cs="仿宋"/>
              </w:rPr>
            </w:pPr>
            <w:r>
              <w:rPr>
                <w:rFonts w:hint="eastAsia" w:ascii="仿宋" w:hAnsi="仿宋" w:eastAsia="仿宋" w:cs="仿宋"/>
              </w:rPr>
              <w:t>模型分析</w:t>
            </w:r>
          </w:p>
        </w:tc>
        <w:tc>
          <w:tcPr>
            <w:tcW w:w="7088" w:type="dxa"/>
            <w:vAlign w:val="top"/>
          </w:tcPr>
          <w:p>
            <w:pPr>
              <w:rPr>
                <w:rFonts w:hint="eastAsia" w:ascii="仿宋" w:hAnsi="仿宋" w:eastAsia="仿宋" w:cs="仿宋"/>
              </w:rPr>
            </w:pPr>
            <w:r>
              <w:rPr>
                <w:rFonts w:hint="eastAsia" w:ascii="仿宋" w:hAnsi="仿宋" w:eastAsia="仿宋" w:cs="仿宋"/>
              </w:rPr>
              <w:t>为了更加智能发现数据库安全问题，产品需要具备以下功能：</w:t>
            </w:r>
          </w:p>
          <w:p>
            <w:pPr>
              <w:rPr>
                <w:rFonts w:hint="eastAsia" w:ascii="仿宋" w:hAnsi="仿宋" w:eastAsia="仿宋" w:cs="仿宋"/>
                <w:color w:val="FF0000"/>
              </w:rPr>
            </w:pPr>
            <w:r>
              <w:rPr>
                <w:rFonts w:hint="eastAsia" w:ascii="仿宋" w:hAnsi="仿宋" w:eastAsia="仿宋" w:cs="仿宋"/>
              </w:rPr>
              <w:t>★支持对数据库自动建模及智能对异常行为告警功能；</w:t>
            </w:r>
            <w:r>
              <w:rPr>
                <w:rFonts w:hint="eastAsia" w:ascii="仿宋" w:hAnsi="仿宋" w:eastAsia="仿宋" w:cs="仿宋"/>
                <w:color w:val="FF0000"/>
              </w:rPr>
              <w:t>（提供产品功能截图，并提供国家权威检测机构检测报告证明）；</w:t>
            </w:r>
          </w:p>
          <w:p>
            <w:pPr>
              <w:rPr>
                <w:rFonts w:hint="eastAsia" w:ascii="仿宋" w:hAnsi="仿宋" w:eastAsia="仿宋" w:cs="仿宋"/>
              </w:rPr>
            </w:pPr>
            <w:r>
              <w:rPr>
                <w:rFonts w:hint="eastAsia" w:ascii="仿宋" w:hAnsi="仿宋" w:eastAsia="仿宋" w:cs="仿宋"/>
              </w:rPr>
              <w:t>可通过行为</w:t>
            </w:r>
            <w:r>
              <w:rPr>
                <w:rFonts w:hint="eastAsia" w:ascii="仿宋" w:hAnsi="仿宋" w:eastAsia="仿宋" w:cs="仿宋"/>
              </w:rPr>
              <w:fldChar w:fldCharType="begin"/>
            </w:r>
            <w:r>
              <w:rPr>
                <w:rFonts w:hint="eastAsia" w:ascii="仿宋" w:hAnsi="仿宋" w:eastAsia="仿宋" w:cs="仿宋"/>
              </w:rPr>
              <w:instrText xml:space="preserve">HYPERLINK  \l "_轨迹图方式展示" </w:instrText>
            </w:r>
            <w:r>
              <w:rPr>
                <w:rFonts w:hint="eastAsia" w:ascii="仿宋" w:hAnsi="仿宋" w:eastAsia="仿宋" w:cs="仿宋"/>
              </w:rPr>
              <w:fldChar w:fldCharType="separate"/>
            </w:r>
            <w:r>
              <w:rPr>
                <w:rFonts w:hint="eastAsia" w:ascii="仿宋" w:hAnsi="仿宋" w:eastAsia="仿宋" w:cs="仿宋"/>
              </w:rPr>
              <w:t>轨迹图方式</w:t>
            </w:r>
            <w:r>
              <w:rPr>
                <w:rFonts w:hint="eastAsia" w:ascii="仿宋" w:hAnsi="仿宋" w:eastAsia="仿宋" w:cs="仿宋"/>
              </w:rPr>
              <w:fldChar w:fldCharType="end"/>
            </w:r>
            <w:r>
              <w:rPr>
                <w:rFonts w:hint="eastAsia" w:ascii="仿宋" w:hAnsi="仿宋" w:eastAsia="仿宋" w:cs="仿宋"/>
              </w:rPr>
              <w:t xml:space="preserve">展示数据库访问行为； </w:t>
            </w:r>
          </w:p>
          <w:p>
            <w:pPr>
              <w:rPr>
                <w:rFonts w:hint="eastAsia" w:ascii="仿宋" w:hAnsi="仿宋" w:eastAsia="仿宋" w:cs="仿宋"/>
              </w:rPr>
            </w:pPr>
            <w:r>
              <w:rPr>
                <w:rFonts w:hint="eastAsia" w:ascii="仿宋" w:hAnsi="仿宋" w:eastAsia="仿宋" w:cs="仿宋"/>
              </w:rPr>
              <w:t>可基于账号、IP地址、访问权限、客户端工具等维度对行为模型做钻取分析、变更分析，对学习的安全基线以外的行为自动智能的进行告警；可以自动对比不同时期的行为模型，以区分其审计日志数趋势、用户、IP地址、工具、访问权限的差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134" w:type="dxa"/>
            <w:vMerge w:val="restart"/>
            <w:vAlign w:val="top"/>
          </w:tcPr>
          <w:p>
            <w:pPr>
              <w:rPr>
                <w:rFonts w:hint="eastAsia" w:ascii="仿宋" w:hAnsi="仿宋" w:eastAsia="仿宋" w:cs="仿宋"/>
              </w:rPr>
            </w:pPr>
            <w:r>
              <w:rPr>
                <w:rFonts w:hint="eastAsia" w:ascii="仿宋" w:hAnsi="仿宋" w:eastAsia="仿宋" w:cs="仿宋"/>
              </w:rPr>
              <w:t>产品资质</w:t>
            </w:r>
          </w:p>
        </w:tc>
        <w:tc>
          <w:tcPr>
            <w:tcW w:w="7088" w:type="dxa"/>
            <w:vAlign w:val="top"/>
          </w:tcPr>
          <w:p>
            <w:pPr>
              <w:rPr>
                <w:rFonts w:hint="eastAsia" w:ascii="仿宋" w:hAnsi="仿宋" w:eastAsia="仿宋" w:cs="仿宋"/>
              </w:rPr>
            </w:pPr>
            <w:r>
              <w:rPr>
                <w:rFonts w:hint="eastAsia" w:ascii="仿宋" w:hAnsi="仿宋" w:eastAsia="仿宋" w:cs="仿宋"/>
              </w:rPr>
              <w:t>★所有资质必须为数据库审计产品专有的资质，不能是网络审计产品或者综合审计的产品资质。</w:t>
            </w:r>
            <w:r>
              <w:rPr>
                <w:rFonts w:hint="eastAsia" w:ascii="仿宋" w:hAnsi="仿宋" w:eastAsia="仿宋" w:cs="仿宋"/>
                <w:color w:val="FF0000"/>
                <w:kern w:val="0"/>
                <w:sz w:val="20"/>
                <w:szCs w:val="24"/>
              </w:rPr>
              <w:t>（提供证明，并加盖公章）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134" w:type="dxa"/>
            <w:vMerge w:val="continue"/>
            <w:vAlign w:val="top"/>
          </w:tcPr>
          <w:p>
            <w:pPr>
              <w:rPr>
                <w:rFonts w:hint="eastAsia" w:ascii="仿宋" w:hAnsi="仿宋" w:eastAsia="仿宋" w:cs="仿宋"/>
              </w:rPr>
            </w:pPr>
          </w:p>
        </w:tc>
        <w:tc>
          <w:tcPr>
            <w:tcW w:w="7088" w:type="dxa"/>
            <w:vAlign w:val="top"/>
          </w:tcPr>
          <w:p>
            <w:pPr>
              <w:rPr>
                <w:rFonts w:hint="eastAsia" w:ascii="仿宋" w:hAnsi="仿宋" w:eastAsia="仿宋" w:cs="仿宋"/>
              </w:rPr>
            </w:pPr>
            <w:r>
              <w:rPr>
                <w:rFonts w:hint="eastAsia" w:ascii="仿宋" w:hAnsi="仿宋" w:eastAsia="仿宋" w:cs="仿宋"/>
              </w:rPr>
              <w:t>★具备公安部颁发的《计算机信息系统安全专用产品销售许可证》，数据库安全审计国标-增强级，</w:t>
            </w:r>
            <w:r>
              <w:rPr>
                <w:rFonts w:hint="eastAsia" w:ascii="仿宋" w:hAnsi="仿宋" w:eastAsia="仿宋" w:cs="仿宋"/>
                <w:color w:val="FF0000"/>
                <w:kern w:val="0"/>
                <w:sz w:val="20"/>
                <w:szCs w:val="24"/>
              </w:rPr>
              <w:t>（提供证明，并加盖公章）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134" w:type="dxa"/>
            <w:vMerge w:val="continue"/>
            <w:vAlign w:val="top"/>
          </w:tcPr>
          <w:p>
            <w:pPr>
              <w:rPr>
                <w:rFonts w:hint="eastAsia" w:ascii="仿宋" w:hAnsi="仿宋" w:eastAsia="仿宋" w:cs="仿宋"/>
              </w:rPr>
            </w:pPr>
          </w:p>
        </w:tc>
        <w:tc>
          <w:tcPr>
            <w:tcW w:w="7088" w:type="dxa"/>
            <w:vAlign w:val="top"/>
          </w:tcPr>
          <w:p>
            <w:pPr>
              <w:rPr>
                <w:rFonts w:hint="eastAsia" w:ascii="仿宋" w:hAnsi="仿宋" w:eastAsia="仿宋" w:cs="仿宋"/>
              </w:rPr>
            </w:pPr>
            <w:r>
              <w:rPr>
                <w:rFonts w:hint="eastAsia" w:ascii="仿宋" w:hAnsi="仿宋" w:eastAsia="仿宋" w:cs="仿宋"/>
              </w:rPr>
              <w:t>★具备国家信息安全测评中心颁发的《信息技术产品安全测评证书》，级别EAL3+，</w:t>
            </w:r>
            <w:r>
              <w:rPr>
                <w:rFonts w:hint="eastAsia" w:ascii="仿宋" w:hAnsi="仿宋" w:eastAsia="仿宋" w:cs="仿宋"/>
                <w:color w:val="FF0000"/>
                <w:kern w:val="0"/>
                <w:sz w:val="20"/>
                <w:szCs w:val="24"/>
              </w:rPr>
              <w:t>（提供证明，并加盖公章）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134" w:type="dxa"/>
            <w:vMerge w:val="continue"/>
            <w:vAlign w:val="top"/>
          </w:tcPr>
          <w:p>
            <w:pPr>
              <w:rPr>
                <w:rFonts w:hint="eastAsia" w:ascii="仿宋" w:hAnsi="仿宋" w:eastAsia="仿宋" w:cs="仿宋"/>
              </w:rPr>
            </w:pPr>
          </w:p>
        </w:tc>
        <w:tc>
          <w:tcPr>
            <w:tcW w:w="7088" w:type="dxa"/>
            <w:vAlign w:val="top"/>
          </w:tcPr>
          <w:p>
            <w:pPr>
              <w:rPr>
                <w:rFonts w:hint="eastAsia" w:ascii="仿宋" w:hAnsi="仿宋" w:eastAsia="仿宋" w:cs="仿宋"/>
              </w:rPr>
            </w:pPr>
            <w:r>
              <w:rPr>
                <w:rFonts w:hint="eastAsia" w:ascii="仿宋" w:hAnsi="仿宋" w:eastAsia="仿宋" w:cs="仿宋"/>
              </w:rPr>
              <w:t>★产品通过国家信息安全认证中心3C认证检测，级别增强级以上</w:t>
            </w:r>
            <w:r>
              <w:rPr>
                <w:rFonts w:hint="eastAsia" w:ascii="仿宋" w:hAnsi="仿宋" w:eastAsia="仿宋" w:cs="仿宋"/>
                <w:color w:val="FF0000"/>
                <w:kern w:val="0"/>
                <w:sz w:val="20"/>
                <w:szCs w:val="24"/>
              </w:rPr>
              <w:t>（提供证明，并加盖公章）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134" w:type="dxa"/>
            <w:vMerge w:val="continue"/>
            <w:vAlign w:val="top"/>
          </w:tcPr>
          <w:p>
            <w:pPr>
              <w:rPr>
                <w:rFonts w:hint="eastAsia" w:ascii="仿宋" w:hAnsi="仿宋" w:eastAsia="仿宋" w:cs="仿宋"/>
              </w:rPr>
            </w:pPr>
          </w:p>
        </w:tc>
        <w:tc>
          <w:tcPr>
            <w:tcW w:w="7088" w:type="dxa"/>
            <w:vAlign w:val="top"/>
          </w:tcPr>
          <w:p>
            <w:pPr>
              <w:rPr>
                <w:rFonts w:hint="eastAsia" w:ascii="仿宋" w:hAnsi="仿宋" w:eastAsia="仿宋" w:cs="仿宋"/>
              </w:rPr>
            </w:pPr>
            <w:r>
              <w:rPr>
                <w:rFonts w:hint="eastAsia" w:ascii="仿宋" w:hAnsi="仿宋" w:eastAsia="仿宋" w:cs="仿宋"/>
              </w:rPr>
              <w:t>要求内置的数据库扫描系统也通过国家相关部门的认证和检测，并获得独立的销售许可、涉密资质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134" w:type="dxa"/>
            <w:vMerge w:val="continue"/>
            <w:vAlign w:val="top"/>
          </w:tcPr>
          <w:p>
            <w:pPr>
              <w:rPr>
                <w:rFonts w:hint="eastAsia" w:ascii="仿宋" w:hAnsi="仿宋" w:eastAsia="仿宋" w:cs="仿宋"/>
              </w:rPr>
            </w:pPr>
          </w:p>
        </w:tc>
        <w:tc>
          <w:tcPr>
            <w:tcW w:w="7088" w:type="dxa"/>
            <w:vAlign w:val="top"/>
          </w:tcPr>
          <w:p>
            <w:pPr>
              <w:rPr>
                <w:rFonts w:hint="eastAsia" w:ascii="仿宋" w:hAnsi="仿宋" w:eastAsia="仿宋" w:cs="仿宋"/>
              </w:rPr>
            </w:pPr>
            <w:r>
              <w:rPr>
                <w:rFonts w:hint="eastAsia" w:ascii="仿宋" w:hAnsi="仿宋" w:eastAsia="仿宋" w:cs="仿宋"/>
              </w:rPr>
              <w:t>★原厂商具有国家安全应急服务支撑单位证书（国家级），</w:t>
            </w:r>
            <w:r>
              <w:rPr>
                <w:rFonts w:hint="eastAsia" w:ascii="仿宋" w:hAnsi="仿宋" w:eastAsia="仿宋" w:cs="仿宋"/>
                <w:color w:val="FF0000"/>
                <w:kern w:val="0"/>
                <w:sz w:val="20"/>
                <w:szCs w:val="24"/>
              </w:rPr>
              <w:t>（提供证明，并加盖公章）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1134" w:type="dxa"/>
            <w:vMerge w:val="continue"/>
            <w:vAlign w:val="top"/>
          </w:tcPr>
          <w:p>
            <w:pPr>
              <w:rPr>
                <w:rFonts w:hint="eastAsia" w:ascii="仿宋" w:hAnsi="仿宋" w:eastAsia="仿宋" w:cs="仿宋"/>
              </w:rPr>
            </w:pPr>
          </w:p>
        </w:tc>
        <w:tc>
          <w:tcPr>
            <w:tcW w:w="7088" w:type="dxa"/>
            <w:vAlign w:val="top"/>
          </w:tcPr>
          <w:p>
            <w:pPr>
              <w:rPr>
                <w:rFonts w:hint="eastAsia" w:ascii="仿宋" w:hAnsi="仿宋" w:eastAsia="仿宋" w:cs="仿宋"/>
              </w:rPr>
            </w:pPr>
            <w:r>
              <w:rPr>
                <w:rFonts w:hint="eastAsia" w:ascii="仿宋" w:hAnsi="仿宋" w:eastAsia="仿宋" w:cs="仿宋"/>
              </w:rPr>
              <w:t>★原厂商应具备国家信息安全测评信息安全服务资质证书（安全工程类三级），</w:t>
            </w:r>
            <w:r>
              <w:rPr>
                <w:rFonts w:hint="eastAsia" w:ascii="仿宋" w:hAnsi="仿宋" w:eastAsia="仿宋" w:cs="仿宋"/>
                <w:color w:val="FF0000"/>
                <w:kern w:val="0"/>
                <w:sz w:val="20"/>
                <w:szCs w:val="24"/>
              </w:rPr>
              <w:t>（提供证明，并加盖公章）</w:t>
            </w:r>
          </w:p>
        </w:tc>
      </w:tr>
    </w:tbl>
    <w:p>
      <w:pPr>
        <w:pStyle w:val="3"/>
        <w:ind w:firstLine="480"/>
        <w:rPr>
          <w:rFonts w:hint="eastAsia" w:ascii="仿宋" w:hAnsi="仿宋" w:eastAsia="仿宋" w:cs="仿宋"/>
        </w:rPr>
      </w:pPr>
    </w:p>
    <w:p>
      <w:pPr>
        <w:rPr>
          <w:rFonts w:hint="eastAsia" w:ascii="仿宋" w:hAnsi="仿宋" w:eastAsia="仿宋" w:cs="仿宋"/>
        </w:rPr>
      </w:pPr>
      <w:r>
        <w:rPr>
          <w:rFonts w:hint="eastAsia" w:ascii="仿宋" w:hAnsi="仿宋" w:eastAsia="仿宋" w:cs="仿宋"/>
        </w:rPr>
        <w:t>2.5 主机防护软件</w:t>
      </w:r>
    </w:p>
    <w:tbl>
      <w:tblPr>
        <w:tblStyle w:val="2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7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blHeader/>
        </w:trPr>
        <w:tc>
          <w:tcPr>
            <w:tcW w:w="1137" w:type="dxa"/>
            <w:shd w:val="clear" w:color="000000" w:fill="C6D9F1"/>
            <w:vAlign w:val="center"/>
          </w:tcPr>
          <w:p>
            <w:pPr>
              <w:jc w:val="center"/>
              <w:rPr>
                <w:rFonts w:hint="eastAsia" w:ascii="仿宋" w:hAnsi="仿宋" w:eastAsia="仿宋" w:cs="仿宋"/>
                <w:b/>
              </w:rPr>
            </w:pPr>
            <w:r>
              <w:rPr>
                <w:rFonts w:hint="eastAsia" w:ascii="仿宋" w:hAnsi="仿宋" w:eastAsia="仿宋" w:cs="仿宋"/>
                <w:b/>
              </w:rPr>
              <w:t>指标项</w:t>
            </w:r>
          </w:p>
        </w:tc>
        <w:tc>
          <w:tcPr>
            <w:tcW w:w="7335" w:type="dxa"/>
            <w:shd w:val="clear" w:color="000000" w:fill="C6D9F1"/>
            <w:vAlign w:val="center"/>
          </w:tcPr>
          <w:p>
            <w:pPr>
              <w:jc w:val="center"/>
              <w:rPr>
                <w:rFonts w:hint="eastAsia" w:ascii="仿宋" w:hAnsi="仿宋" w:eastAsia="仿宋" w:cs="仿宋"/>
                <w:b/>
              </w:rPr>
            </w:pPr>
            <w:r>
              <w:rPr>
                <w:rFonts w:hint="eastAsia" w:ascii="仿宋" w:hAnsi="仿宋" w:eastAsia="仿宋" w:cs="仿宋"/>
                <w:b/>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restart"/>
            <w:vAlign w:val="center"/>
          </w:tcPr>
          <w:p>
            <w:pPr>
              <w:jc w:val="center"/>
              <w:rPr>
                <w:rFonts w:hint="eastAsia" w:ascii="仿宋" w:hAnsi="仿宋" w:eastAsia="仿宋" w:cs="仿宋"/>
              </w:rPr>
            </w:pPr>
            <w:r>
              <w:rPr>
                <w:rFonts w:hint="eastAsia" w:ascii="仿宋" w:hAnsi="仿宋" w:eastAsia="仿宋" w:cs="仿宋"/>
              </w:rPr>
              <w:t>功能要求</w:t>
            </w:r>
          </w:p>
        </w:tc>
        <w:tc>
          <w:tcPr>
            <w:tcW w:w="7335" w:type="dxa"/>
            <w:vAlign w:val="top"/>
          </w:tcPr>
          <w:p>
            <w:pPr>
              <w:rPr>
                <w:rFonts w:hint="eastAsia" w:ascii="仿宋" w:hAnsi="仿宋" w:eastAsia="仿宋" w:cs="仿宋"/>
              </w:rPr>
            </w:pPr>
            <w:r>
              <w:rPr>
                <w:rFonts w:hint="eastAsia" w:ascii="仿宋" w:hAnsi="仿宋" w:eastAsia="仿宋" w:cs="仿宋"/>
              </w:rPr>
              <w:t>支持“操作系统加固”功能，基于操作系统内核加固技术，针对操作系统核心资源，如注册表、网络连接、系统文件、进程等资源进行有效防护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支持账号监控和端口监控，全面监控系统账号的变化情况；应用监听端口的变化情况。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kern w:val="0"/>
                <w:sz w:val="24"/>
                <w:szCs w:val="24"/>
              </w:rPr>
            </w:pPr>
            <w:r>
              <w:rPr>
                <w:rFonts w:hint="eastAsia" w:ascii="仿宋" w:hAnsi="仿宋" w:eastAsia="仿宋" w:cs="仿宋"/>
              </w:rPr>
              <w:t>支持细粒度的多种资源客体的强制访问控制，允许多种资源主体类型以不同访问权限对多种资源客体设制访问规则。访问控制资源客体包含文件、进程、服务、磁盘、共享文件、通信端口等。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kern w:val="0"/>
                <w:sz w:val="24"/>
                <w:szCs w:val="24"/>
              </w:rPr>
            </w:pPr>
            <w:r>
              <w:rPr>
                <w:rFonts w:hint="eastAsia" w:ascii="仿宋" w:hAnsi="仿宋" w:eastAsia="仿宋" w:cs="仿宋"/>
              </w:rPr>
              <w:t>支持Windows、Linux、红旗、中标麒麟等全系列操作系统，通用WEB容器支持，支持IIS、nginx、Apache、Tomcat、Weblogic、WebSphere、东方通、jboss全部版本插件防护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将非管理员组账户添加到管理员组；禁止在系统目录下对可执行类型文件进行写操作；禁止修改host文件；禁止添加启动项；禁止磁盘低级操作；禁止加载没有数字签名的驱动。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kern w:val="0"/>
                <w:sz w:val="24"/>
                <w:szCs w:val="24"/>
              </w:rPr>
              <w:t>“</w:t>
            </w:r>
            <w:r>
              <w:rPr>
                <w:rFonts w:hint="eastAsia" w:ascii="仿宋" w:hAnsi="仿宋" w:eastAsia="仿宋" w:cs="仿宋"/>
              </w:rPr>
              <w:t>登录防护”功能，针对Windows及Linux操作系统的远程登录进行限制及防护，用户可对“用户名”、“IP地址范围”、“时间范围”进行具体设置，并通过选择“允许登录”、“禁止登录”等相应的处理方式进行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kern w:val="0"/>
                <w:sz w:val="24"/>
                <w:szCs w:val="24"/>
              </w:rPr>
            </w:pPr>
            <w:r>
              <w:rPr>
                <w:rFonts w:hint="eastAsia" w:ascii="仿宋" w:hAnsi="仿宋" w:eastAsia="仿宋" w:cs="仿宋"/>
              </w:rPr>
              <w:t>具有防暴力破解技术，能有效防御针对RDP、SSH、FTP服务的暴力破解，适用于FTP等其他类型的服务器。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安全巡检”功能，针对服务器和网站的目录及文件进行全面巡检扫描，对服务器和网站存在的安全隐患进行检查并修复。“服务器安全”主要针对计划任务、账户（登录账户、克隆账户、隐藏账户）及政府网站综合防护系统各功能开启状态进行检查和修复；“网站安全”主要针对网页木马、网站挂马和暗链进行检查和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可对“安全巡检”进行自定义设置，设置内容包括：web巡检设置、自动巡检设置、文件排除设置及信任域名设置。其中web巡检设置包括：情景模式设置、选择巡检服务器上哪些网站、自定义巡检路径、清理网站扫描缓存等；自动巡检设置可对自动巡检开始时间进行选择；文件排除设置可对增加到文件排除列表中的文件进行巡检时跳过巡检操作；信任域名设置可对链接到信任域名的网页放行，不被视为网页挂马或黑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重启系统和网站功能可对受保护的网站服务器系统进行重启操作，同时，可对网站服务器的IIS或Apache服务进行重启操作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网站漏洞防护”功能包括：SQL注入防护、XSS跨站脚本防护、漏洞利用攻击防护、web服务器溢出攻击防护、web服务器文件名解析漏洞防护、禁止除Get及Post之外的HTTP请求、禁止浏览畸形文件、禁止下载特定类型文件、网站浏览实时防护、HTTP相应内容保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SQL注入防护、XSS跨站脚本防护、漏洞利用攻击防护可根据不同检测对象（URL、Cookie、Post）进行具体防护规则的配置（开启与关闭）；禁止下载特定类型文件，可自定义设置禁止下载的特定文件类型；网站浏览实时防护可自定义设置网页木马的文件类型，将对设置列表中的网页类型进行基于行为的木马实时检测；HTTP相应内容保护则针对自定义列表中的错误页面返回类型进行错误页面的替换与跳转，以防止因HTTP错误页面泄露系统、数据库等重要敏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网站漏洞防护”功能，提供网站例外名单设置、报警设置及拦截信息设置等功能。网站例外名单设置可自定义设置例外网站，加入到该例外名单中的网站、目录及文件，将不再受到“网站漏洞防护”功能的限制；报警设置可选择是否进行报警信息弹窗；拦截信息设置可对返回页面中的拦截信息进行自定义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具有系统自身的保护功能，保护系统自身进程不被异常终止、伪造、信息注入。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支持网站后台防护功能通过将网站真实后台地址重定向至网站自定义后台地址，以防止网站后台地址被暴力猜测，当原网站后台地址（网站真实后台地址）被访问时，系统将禁止该访问并进行报警提示。自定义网站后台地址可根据网站运营或运维人员的偏好进行设置，以便于记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kern w:val="0"/>
                <w:sz w:val="24"/>
                <w:szCs w:val="24"/>
              </w:rPr>
            </w:pPr>
            <w:r>
              <w:rPr>
                <w:rFonts w:hint="eastAsia" w:ascii="仿宋" w:hAnsi="仿宋" w:eastAsia="仿宋" w:cs="仿宋"/>
              </w:rPr>
              <w:t>支持隐藏Webserver版本信息的功能，能够隐藏webserver服务器的真实版本信息。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kern w:val="0"/>
                <w:sz w:val="24"/>
                <w:szCs w:val="24"/>
              </w:rPr>
            </w:pPr>
            <w:r>
              <w:rPr>
                <w:rFonts w:hint="eastAsia" w:ascii="仿宋" w:hAnsi="仿宋" w:eastAsia="仿宋" w:cs="仿宋"/>
              </w:rPr>
              <w:t>支持扫描器指纹识别，能够自动别扫描器行为，拦截非法扫描行为。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支持文件上传防护功能，只允许网站用户将指定类型的文件上传至受保护的网站目录，可通过选择网站中需要受保护的目录，并自定义设置允许上传到该目录的文件类型进行实现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支持网页防篡改功能保护网站目录下的文件不被黑客恶意篡改。当选择被防护的网站目录后，其目录下的所有文件及子目录所有文件将禁止被篡改。可对网站目录下的文件进行防篡改设置，包括禁止被创建、删除、修改等，也可对其中的防篡改目录及文件进行“放行”操作，允许某些目录及文件被创建、删除、修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kern w:val="0"/>
                <w:sz w:val="24"/>
                <w:szCs w:val="24"/>
              </w:rPr>
            </w:pPr>
            <w:r>
              <w:rPr>
                <w:rFonts w:hint="eastAsia" w:ascii="仿宋" w:hAnsi="仿宋" w:eastAsia="仿宋" w:cs="仿宋"/>
              </w:rPr>
              <w:t>支持堡垒锁防护，将整个磁盘除例外目录和例外文件格式外，全部文件设置为只读模式；支持禁止国外IP访问；支持根据业务情况设置防护时间段。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敏感词汇过滤功能将对网站用户浏览和提交的内容进行检查与匹配，对匹配了敏感词汇库中敏感词汇的文件内容进行“星号”替换，以此防止用户提交和浏览反动、暴力、色情类敏感词汇。其中，敏感词汇库由系统自带并存储于系统配置文件中，用户除通过敏感词汇库进行敏感词汇的搜索外，还可通过自定义设置的方式，自定义添加敏感词汇，并添加至敏感词汇库中。同时，用户可对特需敏感词汇进行“放行”操作，“放行”的敏感词汇将不会被“星号”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支持抗CC攻击功能可以有效防御CC攻击，追溯攻击源头；同时减少对服务器资源的损耗和带宽的占用。还可通过禁止web进程向外发送tcp/udp数据包保护服务器不被恶意利用。开启抗CC攻击功能并设置触发条件，默认单个IP每60秒内最大请求数不超过200次，超过则触发CC防护策略，将访问IP冻结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支持防护日志功能提供对防护过程中所产生的各类日志的查询，包括：网站防护日志、系统防护日志、登录防护日志及巡检日志。日志中包含具体时间、日志类别及描述等信息，用户可将日志导出，以便保存、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采用实时应用程序自我保护（RASP）技术，实时监测并拦截漏洞攻击。能够在运行时结合上下文采取相应的保护方案。实现对应用及系统的动态监控与防御，大幅度降低误报率。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支持应用安全边界自动动态识别，能够实时根据用户应用环境根据数据流量、流向描绘用户安全边界变化，及时动态感知应用安全边界轮廓。及时针对边界变化制定安全策略，调整安全边界范围，降低受攻击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能够通过应用探针自动识别用户应用类型、版本、漏洞。根据获得的应用相关信息，评估已存在和可能存在的风险。对系统和应用通过扫描，基于已发布漏洞，和安全选项的开关情况进行综合评估。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支持在网络空间中实现根据不同的应用分别创建出多个虚拟网络应用安全区域，实现应用安全区域与应用安全区域之间的隔离，用户可将需要保护应用主机，添加进被保护应用对应的安全域内。实现虚拟安全边界的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支持基于沙箱的WEBSHELL查杀技术，下一代WEBSHELL检测技术，污点传播理论与沙箱技术，取代传统基于特征码的查杀技术，支持ASP、ASPX、PHP、JSP等常用WEB脚本语言，支持对于加密及变形的WEBSHELL有效查杀。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提供安全事件上报机制，支持25种以上安全事件上报，并给出事件描述和处理意见，支持回溯安全事件发生过程，支持按时间轴关联相关事件日志。支持事件关联对象下载。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支持应用风险智能识别技术，智能识别服务器上的应用服务以及存在的安全风险，应用异常行为检测技术，通过在服务器操作系统内核及应用层插入探针，监测所有应用的异常危险行为，并通过管控平台智能判定攻击行为。安全大数据处理技术，通过运用分布式计算技术及机器学习技术，从海量攻击日志中提取威胁情报信息，构建威胁情报数据库，通过大数据利用威胁情报提升产品识别攻击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实现智能化监控及预警，补充传统安全系统，解决高级持续性安全威胁问题。实现服务器统一安全运维管控，降低业务安全风险面，提升操作系统安全性。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 xml:space="preserve">支持各功能模块的手动关闭和开启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支持向导式安装，引导安装后需要进行的操作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支持卸载输入密码功能，防止非正常卸载程序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支持网络攻击统计和态势展示。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137" w:type="dxa"/>
            <w:vMerge w:val="restart"/>
            <w:vAlign w:val="center"/>
          </w:tcPr>
          <w:p>
            <w:pPr>
              <w:jc w:val="center"/>
              <w:rPr>
                <w:rFonts w:hint="eastAsia" w:ascii="仿宋" w:hAnsi="仿宋" w:eastAsia="仿宋" w:cs="仿宋"/>
              </w:rPr>
            </w:pPr>
            <w:r>
              <w:rPr>
                <w:rFonts w:hint="eastAsia" w:ascii="仿宋" w:hAnsi="仿宋" w:eastAsia="仿宋" w:cs="仿宋"/>
              </w:rPr>
              <w:t>性能要求</w:t>
            </w:r>
          </w:p>
        </w:tc>
        <w:tc>
          <w:tcPr>
            <w:tcW w:w="7335" w:type="dxa"/>
            <w:vAlign w:val="top"/>
          </w:tcPr>
          <w:p>
            <w:pPr>
              <w:rPr>
                <w:rFonts w:hint="eastAsia" w:ascii="仿宋" w:hAnsi="仿宋" w:eastAsia="仿宋" w:cs="仿宋"/>
              </w:rPr>
            </w:pPr>
            <w:r>
              <w:rPr>
                <w:rFonts w:hint="eastAsia" w:ascii="仿宋" w:hAnsi="仿宋" w:eastAsia="仿宋" w:cs="仿宋"/>
              </w:rPr>
              <w:t>支持定时安全巡检Webshell，并能够一键解决巡检出现的问题。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程序对WEB系统造成的延迟低于2%。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7" w:type="dxa"/>
            <w:vMerge w:val="continue"/>
            <w:vAlign w:val="center"/>
          </w:tcPr>
          <w:p>
            <w:pPr>
              <w:jc w:val="center"/>
              <w:rPr>
                <w:rFonts w:hint="eastAsia" w:ascii="仿宋" w:hAnsi="仿宋" w:eastAsia="仿宋" w:cs="仿宋"/>
              </w:rPr>
            </w:pPr>
          </w:p>
        </w:tc>
        <w:tc>
          <w:tcPr>
            <w:tcW w:w="7335" w:type="dxa"/>
            <w:vAlign w:val="top"/>
          </w:tcPr>
          <w:p>
            <w:pPr>
              <w:rPr>
                <w:rFonts w:hint="eastAsia" w:ascii="仿宋" w:hAnsi="仿宋" w:eastAsia="仿宋" w:cs="仿宋"/>
              </w:rPr>
            </w:pPr>
            <w:r>
              <w:rPr>
                <w:rFonts w:hint="eastAsia" w:ascii="仿宋" w:hAnsi="仿宋" w:eastAsia="仿宋" w:cs="仿宋"/>
              </w:rPr>
              <w:t>程序占用的CPU、内存资源低于10%。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7" w:type="dxa"/>
            <w:vAlign w:val="center"/>
          </w:tcPr>
          <w:p>
            <w:pPr>
              <w:jc w:val="center"/>
              <w:rPr>
                <w:rFonts w:hint="eastAsia" w:ascii="仿宋" w:hAnsi="仿宋" w:eastAsia="仿宋" w:cs="仿宋"/>
              </w:rPr>
            </w:pPr>
            <w:r>
              <w:rPr>
                <w:rFonts w:hint="eastAsia" w:ascii="仿宋" w:hAnsi="仿宋" w:eastAsia="仿宋" w:cs="仿宋"/>
              </w:rPr>
              <w:t>配置要求</w:t>
            </w:r>
          </w:p>
        </w:tc>
        <w:tc>
          <w:tcPr>
            <w:tcW w:w="7335" w:type="dxa"/>
            <w:vAlign w:val="center"/>
          </w:tcPr>
          <w:p>
            <w:pPr>
              <w:jc w:val="left"/>
              <w:rPr>
                <w:rFonts w:hint="eastAsia" w:ascii="仿宋" w:hAnsi="仿宋" w:eastAsia="仿宋" w:cs="仿宋"/>
                <w:i/>
                <w:u w:val="single"/>
              </w:rPr>
            </w:pPr>
            <w:r>
              <w:rPr>
                <w:rFonts w:hint="eastAsia" w:ascii="仿宋" w:hAnsi="仿宋" w:eastAsia="仿宋" w:cs="仿宋"/>
                <w:i/>
                <w:u w:val="single"/>
              </w:rPr>
              <w:t>安装部署8台服务器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37" w:type="dxa"/>
            <w:vAlign w:val="center"/>
          </w:tcPr>
          <w:p>
            <w:pPr>
              <w:jc w:val="center"/>
              <w:rPr>
                <w:rFonts w:hint="eastAsia" w:ascii="仿宋" w:hAnsi="仿宋" w:eastAsia="仿宋" w:cs="仿宋"/>
              </w:rPr>
            </w:pPr>
            <w:r>
              <w:rPr>
                <w:rFonts w:hint="eastAsia" w:ascii="仿宋" w:hAnsi="仿宋" w:eastAsia="仿宋" w:cs="仿宋"/>
              </w:rPr>
              <w:t>服务要求</w:t>
            </w:r>
          </w:p>
        </w:tc>
        <w:tc>
          <w:tcPr>
            <w:tcW w:w="7335" w:type="dxa"/>
            <w:vAlign w:val="center"/>
          </w:tcPr>
          <w:p>
            <w:pPr>
              <w:jc w:val="left"/>
              <w:rPr>
                <w:rFonts w:hint="eastAsia" w:ascii="仿宋" w:hAnsi="仿宋" w:eastAsia="仿宋" w:cs="仿宋"/>
                <w:i/>
                <w:u w:val="single"/>
              </w:rPr>
            </w:pPr>
            <w:r>
              <w:rPr>
                <w:rFonts w:hint="eastAsia" w:ascii="仿宋" w:hAnsi="仿宋" w:eastAsia="仿宋" w:cs="仿宋"/>
                <w:i/>
                <w:u w:val="single"/>
              </w:rPr>
              <w:t>提供三年软件免费升级服务</w:t>
            </w:r>
          </w:p>
        </w:tc>
      </w:tr>
    </w:tbl>
    <w:p>
      <w:pPr>
        <w:pStyle w:val="3"/>
        <w:ind w:firstLine="480"/>
        <w:rPr>
          <w:rFonts w:hint="eastAsia" w:ascii="仿宋" w:hAnsi="仿宋" w:eastAsia="仿宋" w:cs="仿宋"/>
        </w:rPr>
      </w:pPr>
    </w:p>
    <w:p>
      <w:pPr>
        <w:rPr>
          <w:rFonts w:hint="eastAsia" w:ascii="仿宋" w:hAnsi="仿宋" w:eastAsia="仿宋" w:cs="仿宋"/>
          <w:b/>
          <w:bCs/>
          <w:lang w:eastAsia="zh-CN"/>
        </w:rPr>
      </w:pPr>
      <w:r>
        <w:rPr>
          <w:rFonts w:hint="eastAsia" w:ascii="仿宋" w:hAnsi="仿宋" w:eastAsia="仿宋" w:cs="仿宋"/>
          <w:b/>
          <w:bCs/>
        </w:rPr>
        <w:t>2.6 安全集成服务</w:t>
      </w:r>
    </w:p>
    <w:p>
      <w:pPr>
        <w:spacing w:line="360" w:lineRule="auto"/>
        <w:ind w:firstLine="480" w:firstLineChars="200"/>
        <w:rPr>
          <w:rFonts w:hint="eastAsia" w:ascii="仿宋" w:hAnsi="仿宋" w:eastAsia="仿宋" w:cs="仿宋"/>
          <w:bCs/>
          <w:i/>
          <w:color w:val="000000"/>
          <w:sz w:val="24"/>
          <w:szCs w:val="24"/>
          <w:u w:val="single"/>
        </w:rPr>
      </w:pPr>
      <w:r>
        <w:rPr>
          <w:rFonts w:hint="eastAsia" w:ascii="仿宋" w:hAnsi="仿宋" w:eastAsia="仿宋" w:cs="仿宋"/>
          <w:bCs/>
          <w:i/>
          <w:color w:val="000000"/>
          <w:sz w:val="24"/>
          <w:szCs w:val="24"/>
          <w:u w:val="single"/>
        </w:rPr>
        <w:t>出具承诺函加盖公章，承诺根据等保整改要求，做好相关设备集成和系统调试工作。</w:t>
      </w:r>
    </w:p>
    <w:p>
      <w:pPr>
        <w:rPr>
          <w:rFonts w:hint="eastAsia" w:ascii="仿宋" w:hAnsi="仿宋" w:eastAsia="仿宋" w:cs="仿宋"/>
          <w:b/>
          <w:bCs/>
        </w:rPr>
      </w:pPr>
      <w:r>
        <w:rPr>
          <w:rFonts w:hint="eastAsia" w:ascii="仿宋" w:hAnsi="仿宋" w:eastAsia="仿宋" w:cs="仿宋"/>
          <w:b/>
          <w:bCs/>
          <w:lang w:eastAsia="zh-CN"/>
        </w:rPr>
        <w:t>2.7其他综合</w:t>
      </w:r>
      <w:r>
        <w:rPr>
          <w:rFonts w:hint="eastAsia" w:ascii="仿宋" w:hAnsi="仿宋" w:eastAsia="仿宋" w:cs="仿宋"/>
          <w:b/>
          <w:bCs/>
        </w:rPr>
        <w:t>要求</w:t>
      </w:r>
    </w:p>
    <w:p>
      <w:pPr>
        <w:spacing w:line="360" w:lineRule="auto"/>
        <w:ind w:firstLine="480" w:firstLineChars="200"/>
        <w:rPr>
          <w:rFonts w:hint="eastAsia" w:ascii="仿宋" w:hAnsi="仿宋" w:eastAsia="仿宋" w:cs="仿宋"/>
          <w:bCs/>
          <w:i/>
          <w:iCs/>
          <w:sz w:val="24"/>
          <w:szCs w:val="24"/>
          <w:u w:val="single"/>
        </w:rPr>
      </w:pPr>
      <w:r>
        <w:rPr>
          <w:rFonts w:hint="eastAsia" w:ascii="仿宋" w:hAnsi="仿宋" w:eastAsia="仿宋" w:cs="仿宋"/>
          <w:bCs/>
          <w:i/>
          <w:iCs/>
          <w:sz w:val="24"/>
          <w:szCs w:val="24"/>
          <w:u w:val="single"/>
        </w:rPr>
        <w:t>1、本项目硬件产品技术支持和售后服务时间至少为3年，自项目验收完毕之日起计算。</w:t>
      </w:r>
    </w:p>
    <w:p>
      <w:pPr>
        <w:spacing w:line="360" w:lineRule="auto"/>
        <w:ind w:firstLine="480" w:firstLineChars="200"/>
        <w:rPr>
          <w:rFonts w:hint="eastAsia" w:ascii="仿宋" w:hAnsi="仿宋" w:eastAsia="仿宋" w:cs="仿宋"/>
          <w:bCs/>
          <w:i/>
          <w:color w:val="000000"/>
          <w:sz w:val="24"/>
          <w:szCs w:val="24"/>
          <w:u w:val="single"/>
        </w:rPr>
      </w:pPr>
      <w:r>
        <w:rPr>
          <w:rFonts w:hint="eastAsia" w:ascii="仿宋" w:hAnsi="仿宋" w:eastAsia="仿宋" w:cs="仿宋"/>
          <w:bCs/>
          <w:i/>
          <w:color w:val="000000"/>
          <w:sz w:val="24"/>
          <w:szCs w:val="24"/>
          <w:u w:val="single"/>
        </w:rPr>
        <w:t>2、以上所有产品，投标商必须提供投标承诺函并加盖公章，内容包含：“我公司承诺如果中标，在公示期满七天内不能提供投标厂商对本项目的质保服务函，将被取消中标资格并承担相关违约责任。”</w:t>
      </w:r>
    </w:p>
    <w:p>
      <w:pPr>
        <w:pStyle w:val="5"/>
        <w:numPr>
          <w:ilvl w:val="0"/>
          <w:numId w:val="0"/>
        </w:numPr>
        <w:spacing w:before="0" w:after="0" w:line="360" w:lineRule="auto"/>
        <w:jc w:val="left"/>
        <w:rPr>
          <w:rFonts w:hint="eastAsia" w:ascii="仿宋" w:hAnsi="仿宋" w:eastAsia="仿宋" w:cs="仿宋"/>
          <w:sz w:val="28"/>
          <w:szCs w:val="28"/>
        </w:rPr>
      </w:pPr>
      <w:bookmarkStart w:id="132" w:name="_Toc529261849"/>
      <w:bookmarkStart w:id="133" w:name="_Toc6241"/>
      <w:r>
        <w:rPr>
          <w:rFonts w:hint="eastAsia" w:ascii="仿宋" w:hAnsi="仿宋" w:eastAsia="仿宋" w:cs="仿宋"/>
          <w:sz w:val="28"/>
          <w:szCs w:val="28"/>
        </w:rPr>
        <w:t>三、项目实施要求</w:t>
      </w:r>
      <w:bookmarkEnd w:id="132"/>
      <w:bookmarkEnd w:id="133"/>
    </w:p>
    <w:p>
      <w:pPr>
        <w:pStyle w:val="6"/>
        <w:spacing w:before="0" w:after="0" w:line="415" w:lineRule="auto"/>
        <w:rPr>
          <w:rFonts w:hint="eastAsia" w:ascii="仿宋" w:hAnsi="仿宋" w:eastAsia="仿宋" w:cs="仿宋"/>
          <w:sz w:val="24"/>
          <w:szCs w:val="24"/>
        </w:rPr>
      </w:pPr>
      <w:r>
        <w:rPr>
          <w:rFonts w:hint="eastAsia" w:ascii="仿宋" w:hAnsi="仿宋" w:eastAsia="仿宋" w:cs="仿宋"/>
          <w:sz w:val="24"/>
          <w:szCs w:val="24"/>
        </w:rPr>
        <w:t>1、项目实施原则</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为保障项目的顺利实施，在项目实施过程应遵循以下原则：</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（1）规范性原则。供应商应采用项目管理方法，按照采购人的要求，在人员、质量和时间进度等方面进行严格管控。</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（2）标准化原则。项目实施应严格遵守等级保护及其他相关标准。</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（3）完整性原则。供应商应按照采购人的要求，保证实施内容、实施流程的完整性，保证实施过程科学完整。</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保密性原则。在进行集成和实施过程中，特别是信息安全等级保护等，供应商及实施工作人员应按照采购人的要求采取严格的管理措施，确保实施中涉及到的任何信息，不会泄露给第三方单位或个人，或利用这些信息损害采购人利益。</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（5）最小影响原则。供应商在实施过程中，应充分考虑项目实施对目标系统的正常运行可能产生的不利影响，并采取必要的措施将风险降到最低。</w:t>
      </w:r>
    </w:p>
    <w:p>
      <w:pPr>
        <w:pStyle w:val="6"/>
        <w:spacing w:before="0" w:after="0" w:line="415" w:lineRule="auto"/>
        <w:rPr>
          <w:rFonts w:hint="eastAsia" w:ascii="仿宋" w:hAnsi="仿宋" w:eastAsia="仿宋" w:cs="仿宋"/>
          <w:sz w:val="24"/>
          <w:szCs w:val="24"/>
        </w:rPr>
      </w:pPr>
      <w:r>
        <w:rPr>
          <w:rFonts w:hint="eastAsia" w:ascii="仿宋" w:hAnsi="仿宋" w:eastAsia="仿宋" w:cs="仿宋"/>
          <w:sz w:val="24"/>
          <w:szCs w:val="24"/>
        </w:rPr>
        <w:t>2、项目实施时间</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双方签订合同起40日内，完成项目实施并验收移交，包括：设备的供货、验收、安装、调试、系统集成、资源调优、培训等。</w:t>
      </w:r>
    </w:p>
    <w:p>
      <w:pPr>
        <w:pStyle w:val="6"/>
        <w:spacing w:before="0" w:after="0" w:line="415" w:lineRule="auto"/>
        <w:rPr>
          <w:rFonts w:hint="eastAsia" w:ascii="仿宋" w:hAnsi="仿宋" w:eastAsia="仿宋" w:cs="仿宋"/>
          <w:sz w:val="24"/>
          <w:szCs w:val="24"/>
        </w:rPr>
      </w:pPr>
      <w:r>
        <w:rPr>
          <w:rFonts w:hint="eastAsia" w:ascii="仿宋" w:hAnsi="仿宋" w:eastAsia="仿宋" w:cs="仿宋"/>
          <w:sz w:val="24"/>
          <w:szCs w:val="24"/>
        </w:rPr>
        <w:t>3、项目实施方案</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实施方案应包括实施进度计划、项目人员组织计划、设备配置参数表、实施规划、测试方案、调优方案、验收计划等。</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实施过程中方案如有变更，应经采购人同意后实施。</w:t>
      </w:r>
    </w:p>
    <w:p>
      <w:pPr>
        <w:pStyle w:val="6"/>
        <w:spacing w:before="0" w:after="0" w:line="415" w:lineRule="auto"/>
        <w:rPr>
          <w:rFonts w:hint="eastAsia" w:ascii="仿宋" w:hAnsi="仿宋" w:eastAsia="仿宋" w:cs="仿宋"/>
          <w:sz w:val="24"/>
          <w:szCs w:val="24"/>
        </w:rPr>
      </w:pPr>
      <w:r>
        <w:rPr>
          <w:rFonts w:hint="eastAsia" w:ascii="仿宋" w:hAnsi="仿宋" w:eastAsia="仿宋" w:cs="仿宋"/>
          <w:sz w:val="24"/>
          <w:szCs w:val="24"/>
        </w:rPr>
        <w:t>4、供货时间与地点</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在采购人发出供货需求后，供应商必须在20日内将货物送到采购人指定地点。</w:t>
      </w:r>
    </w:p>
    <w:p>
      <w:pPr>
        <w:pStyle w:val="6"/>
        <w:spacing w:before="0" w:after="0" w:line="415" w:lineRule="auto"/>
        <w:rPr>
          <w:rFonts w:hint="eastAsia" w:ascii="仿宋" w:hAnsi="仿宋" w:eastAsia="仿宋" w:cs="仿宋"/>
          <w:sz w:val="24"/>
          <w:szCs w:val="24"/>
        </w:rPr>
      </w:pPr>
      <w:r>
        <w:rPr>
          <w:rFonts w:hint="eastAsia" w:ascii="仿宋" w:hAnsi="仿宋" w:eastAsia="仿宋" w:cs="仿宋"/>
          <w:sz w:val="24"/>
          <w:szCs w:val="24"/>
        </w:rPr>
        <w:t>5、项目管理和人员要求</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（1）采购人负责监督和管理整个项目的实施。</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（2）供应商应充分理解本项目的技术及实施复杂度，组建相应的专职技术及项目团队，参与本项目的各类人员应具备相应的技术及工程管理能力。</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（3）供应商在项目实施过程中需进行规范化管理，要有项目管理组织、项目沟通计划、项目进度计划、项目验收计划等方案，确保实施质量。</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（4）供应商须制定本项目管理实施所需的相关文档，负责相关文档的汇总整理，按阶段提交进度报告。</w:t>
      </w:r>
    </w:p>
    <w:p>
      <w:pPr>
        <w:pStyle w:val="6"/>
        <w:spacing w:before="0" w:after="0" w:line="415" w:lineRule="auto"/>
        <w:rPr>
          <w:rFonts w:hint="eastAsia" w:ascii="仿宋" w:hAnsi="仿宋" w:eastAsia="仿宋" w:cs="仿宋"/>
          <w:sz w:val="24"/>
          <w:szCs w:val="24"/>
        </w:rPr>
      </w:pPr>
      <w:r>
        <w:rPr>
          <w:rFonts w:hint="eastAsia" w:ascii="仿宋" w:hAnsi="仿宋" w:eastAsia="仿宋" w:cs="仿宋"/>
          <w:sz w:val="24"/>
          <w:szCs w:val="24"/>
        </w:rPr>
        <w:t>6、费用</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项目实施中的安装集成、优化调整、现场培训、项目验收等费用计入投标总价。</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供应商须对实施过程中与自身和其他项目供应商、原厂商（生产者）有关的涉及到安装、调试、集成、协商、配合等事项完全负责，采购人不再为此支付任何费用。</w:t>
      </w:r>
    </w:p>
    <w:p>
      <w:pPr>
        <w:pStyle w:val="6"/>
        <w:spacing w:before="0" w:after="0" w:line="415" w:lineRule="auto"/>
        <w:rPr>
          <w:rFonts w:hint="eastAsia" w:ascii="仿宋" w:hAnsi="仿宋" w:eastAsia="仿宋" w:cs="仿宋"/>
          <w:sz w:val="24"/>
          <w:szCs w:val="24"/>
        </w:rPr>
      </w:pPr>
      <w:r>
        <w:rPr>
          <w:rFonts w:hint="eastAsia" w:ascii="仿宋" w:hAnsi="仿宋" w:eastAsia="仿宋" w:cs="仿宋"/>
          <w:sz w:val="24"/>
          <w:szCs w:val="24"/>
        </w:rPr>
        <w:t>7、项目验收</w:t>
      </w:r>
    </w:p>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 xml:space="preserve">    项目验收包括设备到货初始验收及项目最终验收两个阶段。</w:t>
      </w:r>
    </w:p>
    <w:p>
      <w:pPr>
        <w:pStyle w:val="6"/>
        <w:spacing w:before="0" w:after="0" w:line="415" w:lineRule="auto"/>
        <w:rPr>
          <w:rFonts w:hint="eastAsia" w:ascii="仿宋" w:hAnsi="仿宋" w:eastAsia="仿宋" w:cs="仿宋"/>
          <w:sz w:val="24"/>
          <w:szCs w:val="24"/>
        </w:rPr>
      </w:pPr>
      <w:r>
        <w:rPr>
          <w:rFonts w:hint="eastAsia" w:ascii="仿宋" w:hAnsi="仿宋" w:eastAsia="仿宋" w:cs="仿宋"/>
          <w:sz w:val="24"/>
          <w:szCs w:val="24"/>
        </w:rPr>
        <w:t>8、技术支持与售后服务</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供应商必须能提供及时、高效的技术支持与售后服务，确保本项目能按设计方案的各项指标要求和实施计划顺利完成，并在项目验收合格后，能长期稳定运行。</w:t>
      </w:r>
    </w:p>
    <w:p>
      <w:pPr>
        <w:pStyle w:val="6"/>
        <w:spacing w:before="0" w:after="0" w:line="415" w:lineRule="auto"/>
        <w:rPr>
          <w:rFonts w:hint="eastAsia" w:ascii="仿宋" w:hAnsi="仿宋" w:eastAsia="仿宋" w:cs="仿宋"/>
          <w:sz w:val="24"/>
          <w:szCs w:val="24"/>
        </w:rPr>
      </w:pPr>
      <w:bookmarkStart w:id="134" w:name="_Toc453782276"/>
      <w:r>
        <w:rPr>
          <w:rFonts w:hint="eastAsia" w:ascii="仿宋" w:hAnsi="仿宋" w:eastAsia="仿宋" w:cs="仿宋"/>
          <w:sz w:val="24"/>
          <w:szCs w:val="24"/>
        </w:rPr>
        <w:t>9、培训</w:t>
      </w:r>
      <w:bookmarkEnd w:id="134"/>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 培训要求</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（1）供应商应在投标文件中提交培训计划，培训内容，详细的课程安排及时间表。</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（2）供应商中标后须提供现场培训。</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（3）供应商培训方式须按基本原理、安装操作、运行管理三个方面组织实施。</w:t>
      </w:r>
    </w:p>
    <w:p>
      <w:pPr>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（4）供应商应确保受训人员对系统基本原理、技术特性、操作规范、运行规程、管理维护等方面获得全面了解和掌握，使其能够胜任系统的全部运行、操作、故障分析处理、设备维修和保养等工作。</w:t>
      </w:r>
    </w:p>
    <w:p>
      <w:pPr>
        <w:spacing w:line="360" w:lineRule="auto"/>
        <w:ind w:firstLine="480" w:firstLineChars="200"/>
        <w:jc w:val="left"/>
        <w:rPr>
          <w:rFonts w:hint="eastAsia" w:ascii="仿宋" w:hAnsi="仿宋" w:eastAsia="仿宋" w:cs="仿宋"/>
          <w:bCs/>
          <w:i/>
          <w:color w:val="000000"/>
          <w:sz w:val="24"/>
          <w:szCs w:val="24"/>
          <w:u w:val="single"/>
        </w:rPr>
      </w:pPr>
    </w:p>
    <w:p>
      <w:pPr>
        <w:rPr>
          <w:rFonts w:hint="eastAsia" w:ascii="仿宋" w:hAnsi="仿宋" w:eastAsia="仿宋" w:cs="仿宋"/>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numPr>
          <w:ilvl w:val="0"/>
          <w:numId w:val="0"/>
        </w:numPr>
        <w:spacing w:line="480" w:lineRule="auto"/>
        <w:rPr>
          <w:rFonts w:hint="eastAsia" w:ascii="仿宋" w:hAnsi="仿宋" w:eastAsia="仿宋" w:cs="仿宋"/>
          <w:sz w:val="24"/>
          <w:szCs w:val="24"/>
        </w:rPr>
      </w:pPr>
      <w:bookmarkStart w:id="135" w:name="_Toc17540"/>
      <w:r>
        <w:rPr>
          <w:rFonts w:hint="eastAsia" w:ascii="黑体" w:hAnsi="黑体" w:eastAsia="黑体" w:cs="黑体"/>
          <w:b/>
          <w:bCs/>
          <w:sz w:val="44"/>
          <w:szCs w:val="44"/>
        </w:rPr>
        <w:t>第五章 评标方法与评标标准</w:t>
      </w:r>
      <w:bookmarkEnd w:id="129"/>
      <w:bookmarkEnd w:id="135"/>
    </w:p>
    <w:p>
      <w:pPr>
        <w:pStyle w:val="6"/>
        <w:spacing w:before="0" w:after="0" w:line="360" w:lineRule="auto"/>
        <w:rPr>
          <w:rFonts w:hint="eastAsia" w:ascii="仿宋" w:hAnsi="仿宋" w:eastAsia="仿宋" w:cs="仿宋"/>
          <w:sz w:val="24"/>
          <w:szCs w:val="24"/>
        </w:rPr>
      </w:pPr>
      <w:bookmarkStart w:id="136" w:name="_Toc3128"/>
      <w:r>
        <w:rPr>
          <w:rFonts w:hint="eastAsia" w:ascii="仿宋" w:hAnsi="仿宋" w:eastAsia="仿宋" w:cs="仿宋"/>
          <w:sz w:val="24"/>
          <w:szCs w:val="24"/>
        </w:rPr>
        <w:t>一、评标方法与定标原则</w:t>
      </w:r>
      <w:bookmarkEnd w:id="136"/>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评委会将对确定为实质性响应磋商文件要求的投标文件进行评价和比较，评标采用综合评分法，总分为100分，按评审后得分由高到低顺序排列，得分相同的，按投标报价由低到高顺序排列，得分且投标报价相同的，按技术指标优劣顺序排列，由评标委员会推荐1个中标候选人。</w:t>
      </w:r>
    </w:p>
    <w:p>
      <w:pPr>
        <w:pStyle w:val="6"/>
        <w:spacing w:before="0" w:after="0" w:line="360" w:lineRule="auto"/>
        <w:rPr>
          <w:rFonts w:hint="eastAsia" w:ascii="仿宋" w:hAnsi="仿宋" w:eastAsia="仿宋" w:cs="仿宋"/>
          <w:sz w:val="24"/>
          <w:szCs w:val="24"/>
        </w:rPr>
      </w:pPr>
      <w:r>
        <w:rPr>
          <w:rFonts w:hint="eastAsia" w:ascii="仿宋" w:hAnsi="仿宋" w:eastAsia="仿宋" w:cs="仿宋"/>
          <w:sz w:val="24"/>
          <w:szCs w:val="24"/>
        </w:rPr>
        <w:t>二、评分标准</w:t>
      </w:r>
      <w:bookmarkStart w:id="137" w:name="_Toc324237157"/>
    </w:p>
    <w:tbl>
      <w:tblPr>
        <w:tblStyle w:val="25"/>
        <w:tblW w:w="9003" w:type="dxa"/>
        <w:tblInd w:w="-106" w:type="dxa"/>
        <w:tblLayout w:type="fixed"/>
        <w:tblCellMar>
          <w:top w:w="0" w:type="dxa"/>
          <w:left w:w="108" w:type="dxa"/>
          <w:bottom w:w="0" w:type="dxa"/>
          <w:right w:w="108" w:type="dxa"/>
        </w:tblCellMar>
      </w:tblPr>
      <w:tblGrid>
        <w:gridCol w:w="781"/>
        <w:gridCol w:w="1418"/>
        <w:gridCol w:w="709"/>
        <w:gridCol w:w="6095"/>
      </w:tblGrid>
      <w:tr>
        <w:tblPrEx>
          <w:tblLayout w:type="fixed"/>
          <w:tblCellMar>
            <w:top w:w="0" w:type="dxa"/>
            <w:left w:w="108" w:type="dxa"/>
            <w:bottom w:w="0" w:type="dxa"/>
            <w:right w:w="108" w:type="dxa"/>
          </w:tblCellMar>
        </w:tblPrEx>
        <w:trPr>
          <w:trHeight w:val="90" w:hRule="atLeast"/>
          <w:tblHeader/>
        </w:trPr>
        <w:tc>
          <w:tcPr>
            <w:tcW w:w="78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bCs/>
                <w:sz w:val="22"/>
                <w:szCs w:val="22"/>
              </w:rPr>
            </w:pPr>
            <w:r>
              <w:rPr>
                <w:rFonts w:hint="eastAsia" w:ascii="仿宋" w:hAnsi="仿宋" w:eastAsia="仿宋" w:cs="仿宋"/>
                <w:b/>
                <w:bCs/>
                <w:sz w:val="22"/>
                <w:szCs w:val="22"/>
              </w:rPr>
              <w:t>序号</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b/>
                <w:bCs/>
                <w:sz w:val="22"/>
                <w:szCs w:val="22"/>
              </w:rPr>
            </w:pPr>
            <w:r>
              <w:rPr>
                <w:rFonts w:hint="eastAsia" w:ascii="仿宋" w:hAnsi="仿宋" w:eastAsia="仿宋" w:cs="仿宋"/>
                <w:b/>
                <w:bCs/>
                <w:sz w:val="22"/>
                <w:szCs w:val="22"/>
              </w:rPr>
              <w:t>评分因素</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pPr>
            <w:r>
              <w:rPr>
                <w:rFonts w:hint="eastAsia" w:ascii="仿宋" w:hAnsi="仿宋" w:eastAsia="仿宋" w:cs="仿宋"/>
                <w:b/>
                <w:bCs/>
                <w:sz w:val="22"/>
                <w:szCs w:val="22"/>
              </w:rPr>
              <w:t>分值</w:t>
            </w:r>
          </w:p>
        </w:tc>
        <w:tc>
          <w:tcPr>
            <w:tcW w:w="609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b/>
                <w:bCs/>
                <w:sz w:val="22"/>
                <w:szCs w:val="22"/>
              </w:rPr>
            </w:pPr>
            <w:r>
              <w:rPr>
                <w:rFonts w:hint="eastAsia" w:ascii="仿宋" w:hAnsi="仿宋" w:eastAsia="仿宋" w:cs="仿宋"/>
                <w:b/>
                <w:bCs/>
                <w:sz w:val="22"/>
                <w:szCs w:val="22"/>
              </w:rPr>
              <w:t>评审细则</w:t>
            </w:r>
          </w:p>
        </w:tc>
      </w:tr>
      <w:tr>
        <w:tblPrEx>
          <w:tblLayout w:type="fixed"/>
          <w:tblCellMar>
            <w:top w:w="0" w:type="dxa"/>
            <w:left w:w="108" w:type="dxa"/>
            <w:bottom w:w="0" w:type="dxa"/>
            <w:right w:w="108" w:type="dxa"/>
          </w:tblCellMar>
        </w:tblPrEx>
        <w:trPr>
          <w:trHeight w:val="825" w:hRule="atLeast"/>
        </w:trPr>
        <w:tc>
          <w:tcPr>
            <w:tcW w:w="781" w:type="dxa"/>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1</w:t>
            </w:r>
          </w:p>
        </w:tc>
        <w:tc>
          <w:tcPr>
            <w:tcW w:w="1418" w:type="dxa"/>
            <w:tcBorders>
              <w:top w:val="nil"/>
              <w:left w:val="nil"/>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价格（30分）</w:t>
            </w:r>
          </w:p>
        </w:tc>
        <w:tc>
          <w:tcPr>
            <w:tcW w:w="709" w:type="dxa"/>
            <w:tcBorders>
              <w:top w:val="nil"/>
              <w:left w:val="nil"/>
              <w:bottom w:val="single" w:color="auto" w:sz="4" w:space="0"/>
              <w:right w:val="single" w:color="auto" w:sz="4" w:space="0"/>
            </w:tcBorders>
            <w:vAlign w:val="center"/>
          </w:tcPr>
          <w:p>
            <w:pPr>
              <w:spacing w:line="360" w:lineRule="auto"/>
              <w:jc w:val="center"/>
            </w:pPr>
            <w:r>
              <w:rPr>
                <w:rFonts w:hint="eastAsia" w:ascii="仿宋" w:hAnsi="仿宋" w:eastAsia="仿宋" w:cs="仿宋"/>
                <w:sz w:val="22"/>
                <w:szCs w:val="22"/>
              </w:rPr>
              <w:t>30</w:t>
            </w:r>
          </w:p>
        </w:tc>
        <w:tc>
          <w:tcPr>
            <w:tcW w:w="6095" w:type="dxa"/>
            <w:tcBorders>
              <w:top w:val="nil"/>
              <w:left w:val="nil"/>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bCs/>
                <w:kern w:val="0"/>
                <w:sz w:val="24"/>
                <w:szCs w:val="24"/>
              </w:rPr>
              <w:t>满足招标文件要求且投标价格最低的投标报价为评标基准价，其价格分为满分。其他投标人的价格分统一按照下列公式计算：投标报价得分=(评标基准价／投标报价)×</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0；</w:t>
            </w:r>
          </w:p>
        </w:tc>
      </w:tr>
      <w:tr>
        <w:tblPrEx>
          <w:tblLayout w:type="fixed"/>
          <w:tblCellMar>
            <w:top w:w="0" w:type="dxa"/>
            <w:left w:w="108" w:type="dxa"/>
            <w:bottom w:w="0" w:type="dxa"/>
            <w:right w:w="108" w:type="dxa"/>
          </w:tblCellMar>
        </w:tblPrEx>
        <w:trPr>
          <w:trHeight w:val="1763" w:hRule="atLeast"/>
        </w:trPr>
        <w:tc>
          <w:tcPr>
            <w:tcW w:w="781" w:type="dxa"/>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2</w:t>
            </w:r>
          </w:p>
        </w:tc>
        <w:tc>
          <w:tcPr>
            <w:tcW w:w="1418" w:type="dxa"/>
            <w:tcBorders>
              <w:top w:val="nil"/>
              <w:left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技术响应</w:t>
            </w:r>
          </w:p>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（20分）</w:t>
            </w:r>
          </w:p>
        </w:tc>
        <w:tc>
          <w:tcPr>
            <w:tcW w:w="709" w:type="dxa"/>
            <w:tcBorders>
              <w:top w:val="nil"/>
              <w:left w:val="nil"/>
              <w:right w:val="single" w:color="auto" w:sz="4" w:space="0"/>
            </w:tcBorders>
            <w:vAlign w:val="center"/>
          </w:tcPr>
          <w:p>
            <w:pPr>
              <w:spacing w:line="360" w:lineRule="auto"/>
              <w:jc w:val="center"/>
            </w:pPr>
            <w:r>
              <w:rPr>
                <w:rFonts w:hint="eastAsia" w:ascii="仿宋" w:hAnsi="仿宋" w:eastAsia="仿宋" w:cs="仿宋"/>
                <w:sz w:val="22"/>
                <w:szCs w:val="22"/>
              </w:rPr>
              <w:t>20</w:t>
            </w:r>
          </w:p>
        </w:tc>
        <w:tc>
          <w:tcPr>
            <w:tcW w:w="6095" w:type="dxa"/>
            <w:tcBorders>
              <w:top w:val="nil"/>
              <w:left w:val="nil"/>
              <w:right w:val="single" w:color="auto" w:sz="4" w:space="0"/>
            </w:tcBorders>
            <w:vAlign w:val="center"/>
          </w:tcPr>
          <w:p>
            <w:pPr>
              <w:rPr>
                <w:rFonts w:hint="eastAsia" w:ascii="仿宋" w:hAnsi="仿宋" w:eastAsia="仿宋" w:cs="仿宋"/>
              </w:rPr>
            </w:pPr>
            <w:r>
              <w:rPr>
                <w:rFonts w:hint="eastAsia" w:ascii="仿宋" w:hAnsi="仿宋" w:eastAsia="仿宋" w:cs="仿宋"/>
              </w:rPr>
              <w:t>投标人需对招标文件第四章“技术指标要求”中所有内容进行逐条应答。斜体且有下划线的技术参数为实质性指标参数，是必须满足项，不符合视为无效投标处理。</w:t>
            </w:r>
          </w:p>
          <w:p>
            <w:pPr>
              <w:rPr>
                <w:rFonts w:hint="eastAsia" w:ascii="仿宋" w:hAnsi="仿宋" w:eastAsia="仿宋" w:cs="仿宋"/>
              </w:rPr>
            </w:pPr>
            <w:r>
              <w:rPr>
                <w:rFonts w:hint="eastAsia" w:ascii="仿宋" w:hAnsi="仿宋" w:eastAsia="仿宋" w:cs="仿宋"/>
              </w:rPr>
              <w:t>全部满足招标文件技术指标、参数要求的得20分；不满足非下划线参数的视为负偏离，每项负偏离扣2分，扣完为止。</w:t>
            </w:r>
          </w:p>
        </w:tc>
      </w:tr>
      <w:tr>
        <w:tblPrEx>
          <w:tblLayout w:type="fixed"/>
          <w:tblCellMar>
            <w:top w:w="0" w:type="dxa"/>
            <w:left w:w="108" w:type="dxa"/>
            <w:bottom w:w="0" w:type="dxa"/>
            <w:right w:w="108" w:type="dxa"/>
          </w:tblCellMar>
        </w:tblPrEx>
        <w:trPr>
          <w:trHeight w:val="933" w:hRule="atLeast"/>
        </w:trPr>
        <w:tc>
          <w:tcPr>
            <w:tcW w:w="781" w:type="dxa"/>
            <w:vMerge w:val="restart"/>
            <w:tcBorders>
              <w:top w:val="nil"/>
              <w:left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3</w:t>
            </w:r>
          </w:p>
        </w:tc>
        <w:tc>
          <w:tcPr>
            <w:tcW w:w="1418"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技术方案、项目实施方案、验收方案、售后服务（18分）</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pPr>
            <w:r>
              <w:rPr>
                <w:rFonts w:hint="eastAsia" w:ascii="仿宋" w:hAnsi="仿宋" w:eastAsia="仿宋" w:cs="仿宋"/>
                <w:sz w:val="22"/>
                <w:szCs w:val="22"/>
              </w:rPr>
              <w:t>6</w:t>
            </w:r>
          </w:p>
        </w:tc>
        <w:tc>
          <w:tcPr>
            <w:tcW w:w="6095"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rPr>
            </w:pPr>
            <w:r>
              <w:rPr>
                <w:rFonts w:hint="eastAsia" w:ascii="仿宋" w:hAnsi="仿宋" w:eastAsia="仿宋" w:cs="仿宋"/>
              </w:rPr>
              <w:t>技术方案：重点评审技术方案的可用性、安全性、合规性等方面。</w:t>
            </w:r>
          </w:p>
          <w:p>
            <w:pPr>
              <w:jc w:val="left"/>
              <w:rPr>
                <w:rFonts w:hint="eastAsia" w:ascii="仿宋" w:hAnsi="仿宋" w:eastAsia="仿宋" w:cs="仿宋"/>
              </w:rPr>
            </w:pPr>
            <w:r>
              <w:rPr>
                <w:rFonts w:hint="eastAsia" w:ascii="仿宋" w:hAnsi="仿宋" w:eastAsia="仿宋" w:cs="仿宋"/>
              </w:rPr>
              <w:t>（优得5-6分，良得4分，一般得1-3分，没有不得分）</w:t>
            </w:r>
          </w:p>
        </w:tc>
      </w:tr>
      <w:tr>
        <w:tblPrEx>
          <w:tblLayout w:type="fixed"/>
          <w:tblCellMar>
            <w:top w:w="0" w:type="dxa"/>
            <w:left w:w="108" w:type="dxa"/>
            <w:bottom w:w="0" w:type="dxa"/>
            <w:right w:w="108" w:type="dxa"/>
          </w:tblCellMar>
        </w:tblPrEx>
        <w:trPr>
          <w:trHeight w:val="933" w:hRule="atLeast"/>
        </w:trPr>
        <w:tc>
          <w:tcPr>
            <w:tcW w:w="781" w:type="dxa"/>
            <w:vMerge w:val="continue"/>
            <w:tcBorders>
              <w:top w:val="nil"/>
              <w:left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p>
        </w:tc>
        <w:tc>
          <w:tcPr>
            <w:tcW w:w="1418" w:type="dxa"/>
            <w:vMerge w:val="continue"/>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pPr>
            <w:r>
              <w:rPr>
                <w:rFonts w:hint="eastAsia" w:ascii="仿宋" w:hAnsi="仿宋" w:eastAsia="仿宋" w:cs="仿宋"/>
                <w:sz w:val="22"/>
                <w:szCs w:val="22"/>
              </w:rPr>
              <w:t>4</w:t>
            </w:r>
          </w:p>
        </w:tc>
        <w:tc>
          <w:tcPr>
            <w:tcW w:w="6095"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rPr>
            </w:pPr>
            <w:r>
              <w:rPr>
                <w:rFonts w:hint="eastAsia" w:ascii="仿宋" w:hAnsi="仿宋" w:eastAsia="仿宋" w:cs="仿宋"/>
              </w:rPr>
              <w:t>项目实施方案：计划安排、施工进度等方面进行综合打分。</w:t>
            </w:r>
          </w:p>
          <w:p>
            <w:pPr>
              <w:jc w:val="left"/>
              <w:rPr>
                <w:rFonts w:hint="eastAsia" w:ascii="仿宋" w:hAnsi="仿宋" w:eastAsia="仿宋" w:cs="仿宋"/>
              </w:rPr>
            </w:pPr>
            <w:r>
              <w:rPr>
                <w:rFonts w:hint="eastAsia" w:ascii="仿宋" w:hAnsi="仿宋" w:eastAsia="仿宋" w:cs="仿宋"/>
              </w:rPr>
              <w:t>（优得4分，良得2-3分，一般得1分，没有不得分）</w:t>
            </w:r>
          </w:p>
        </w:tc>
      </w:tr>
      <w:tr>
        <w:tblPrEx>
          <w:tblLayout w:type="fixed"/>
          <w:tblCellMar>
            <w:top w:w="0" w:type="dxa"/>
            <w:left w:w="108" w:type="dxa"/>
            <w:bottom w:w="0" w:type="dxa"/>
            <w:right w:w="108" w:type="dxa"/>
          </w:tblCellMar>
        </w:tblPrEx>
        <w:trPr>
          <w:trHeight w:val="915" w:hRule="atLeast"/>
        </w:trPr>
        <w:tc>
          <w:tcPr>
            <w:tcW w:w="781"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p>
        </w:tc>
        <w:tc>
          <w:tcPr>
            <w:tcW w:w="1418"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p>
        </w:tc>
        <w:tc>
          <w:tcPr>
            <w:tcW w:w="709" w:type="dxa"/>
            <w:tcBorders>
              <w:top w:val="nil"/>
              <w:left w:val="nil"/>
              <w:bottom w:val="single" w:color="auto" w:sz="4" w:space="0"/>
              <w:right w:val="single" w:color="auto" w:sz="4" w:space="0"/>
            </w:tcBorders>
            <w:vAlign w:val="center"/>
          </w:tcPr>
          <w:p>
            <w:pPr>
              <w:spacing w:line="360" w:lineRule="auto"/>
              <w:jc w:val="center"/>
            </w:pPr>
            <w:r>
              <w:rPr>
                <w:rFonts w:hint="eastAsia" w:ascii="仿宋" w:hAnsi="仿宋" w:eastAsia="仿宋" w:cs="仿宋"/>
                <w:sz w:val="22"/>
                <w:szCs w:val="22"/>
              </w:rPr>
              <w:t>4</w:t>
            </w:r>
          </w:p>
        </w:tc>
        <w:tc>
          <w:tcPr>
            <w:tcW w:w="6095" w:type="dxa"/>
            <w:tcBorders>
              <w:top w:val="nil"/>
              <w:left w:val="nil"/>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rPr>
              <w:t>项目验收方案：流程、方法、材料规范等方面进行打分。</w:t>
            </w:r>
          </w:p>
          <w:p>
            <w:pPr>
              <w:rPr>
                <w:rFonts w:hint="eastAsia" w:ascii="仿宋" w:hAnsi="仿宋" w:eastAsia="仿宋" w:cs="仿宋"/>
              </w:rPr>
            </w:pPr>
            <w:r>
              <w:rPr>
                <w:rFonts w:hint="eastAsia" w:ascii="仿宋" w:hAnsi="仿宋" w:eastAsia="仿宋" w:cs="仿宋"/>
              </w:rPr>
              <w:t>（优得4分，良得2-3分，一般得1分，没有不得分）</w:t>
            </w:r>
          </w:p>
        </w:tc>
      </w:tr>
      <w:tr>
        <w:tblPrEx>
          <w:tblLayout w:type="fixed"/>
          <w:tblCellMar>
            <w:top w:w="0" w:type="dxa"/>
            <w:left w:w="108" w:type="dxa"/>
            <w:bottom w:w="0" w:type="dxa"/>
            <w:right w:w="108" w:type="dxa"/>
          </w:tblCellMar>
        </w:tblPrEx>
        <w:trPr>
          <w:trHeight w:val="316" w:hRule="atLeast"/>
        </w:trPr>
        <w:tc>
          <w:tcPr>
            <w:tcW w:w="781"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p>
        </w:tc>
        <w:tc>
          <w:tcPr>
            <w:tcW w:w="1418"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p>
        </w:tc>
        <w:tc>
          <w:tcPr>
            <w:tcW w:w="709" w:type="dxa"/>
            <w:tcBorders>
              <w:top w:val="nil"/>
              <w:left w:val="nil"/>
              <w:bottom w:val="single" w:color="auto" w:sz="4" w:space="0"/>
              <w:right w:val="single" w:color="auto" w:sz="4" w:space="0"/>
            </w:tcBorders>
            <w:vAlign w:val="center"/>
          </w:tcPr>
          <w:p>
            <w:pPr>
              <w:spacing w:line="360" w:lineRule="auto"/>
              <w:jc w:val="center"/>
            </w:pPr>
            <w:r>
              <w:rPr>
                <w:rFonts w:hint="eastAsia" w:ascii="仿宋" w:hAnsi="仿宋" w:eastAsia="仿宋" w:cs="仿宋"/>
                <w:sz w:val="22"/>
                <w:szCs w:val="22"/>
              </w:rPr>
              <w:t>4</w:t>
            </w:r>
          </w:p>
        </w:tc>
        <w:tc>
          <w:tcPr>
            <w:tcW w:w="6095" w:type="dxa"/>
            <w:tcBorders>
              <w:top w:val="nil"/>
              <w:left w:val="nil"/>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rPr>
              <w:t>售后服务方案：售后服务体系、现场响应时间、技术储备。</w:t>
            </w:r>
          </w:p>
          <w:p>
            <w:pPr>
              <w:rPr>
                <w:rFonts w:hint="eastAsia" w:ascii="仿宋" w:hAnsi="仿宋" w:eastAsia="仿宋" w:cs="仿宋"/>
              </w:rPr>
            </w:pPr>
            <w:r>
              <w:rPr>
                <w:rFonts w:hint="eastAsia" w:ascii="仿宋" w:hAnsi="仿宋" w:eastAsia="仿宋" w:cs="仿宋"/>
              </w:rPr>
              <w:t>（优得4分，良得2-3分，一般得1分，没有不得分）</w:t>
            </w:r>
          </w:p>
        </w:tc>
      </w:tr>
      <w:tr>
        <w:tblPrEx>
          <w:tblLayout w:type="fixed"/>
          <w:tblCellMar>
            <w:top w:w="0" w:type="dxa"/>
            <w:left w:w="108" w:type="dxa"/>
            <w:bottom w:w="0" w:type="dxa"/>
            <w:right w:w="108" w:type="dxa"/>
          </w:tblCellMar>
        </w:tblPrEx>
        <w:trPr>
          <w:trHeight w:val="70" w:hRule="atLeast"/>
        </w:trPr>
        <w:tc>
          <w:tcPr>
            <w:tcW w:w="78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4</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服务和培训（10分）</w:t>
            </w:r>
          </w:p>
        </w:tc>
        <w:tc>
          <w:tcPr>
            <w:tcW w:w="709" w:type="dxa"/>
            <w:tcBorders>
              <w:top w:val="nil"/>
              <w:left w:val="single" w:color="auto" w:sz="4" w:space="0"/>
              <w:bottom w:val="single" w:color="auto" w:sz="4" w:space="0"/>
              <w:right w:val="single" w:color="auto" w:sz="4" w:space="0"/>
            </w:tcBorders>
            <w:vAlign w:val="center"/>
          </w:tcPr>
          <w:p>
            <w:pPr>
              <w:spacing w:line="360" w:lineRule="auto"/>
              <w:jc w:val="center"/>
            </w:pPr>
            <w:r>
              <w:rPr>
                <w:rFonts w:hint="eastAsia" w:ascii="仿宋" w:hAnsi="仿宋" w:eastAsia="仿宋" w:cs="仿宋"/>
                <w:sz w:val="22"/>
                <w:szCs w:val="22"/>
              </w:rPr>
              <w:t>4</w:t>
            </w:r>
          </w:p>
        </w:tc>
        <w:tc>
          <w:tcPr>
            <w:tcW w:w="609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rPr>
              <w:t xml:space="preserve">培训方案必须明确培训目的、培训课表、培训内容及师资情况。 </w:t>
            </w:r>
          </w:p>
          <w:p>
            <w:pPr>
              <w:rPr>
                <w:rFonts w:hint="eastAsia" w:ascii="仿宋" w:hAnsi="仿宋" w:eastAsia="仿宋" w:cs="仿宋"/>
              </w:rPr>
            </w:pPr>
            <w:r>
              <w:rPr>
                <w:rFonts w:hint="eastAsia" w:ascii="仿宋" w:hAnsi="仿宋" w:eastAsia="仿宋" w:cs="仿宋"/>
              </w:rPr>
              <w:t>（优得4分，良得2-3分，一般得1分，没有不得分）</w:t>
            </w:r>
          </w:p>
        </w:tc>
      </w:tr>
      <w:tr>
        <w:tblPrEx>
          <w:tblLayout w:type="fixed"/>
          <w:tblCellMar>
            <w:top w:w="0" w:type="dxa"/>
            <w:left w:w="108" w:type="dxa"/>
            <w:bottom w:w="0" w:type="dxa"/>
            <w:right w:w="108" w:type="dxa"/>
          </w:tblCellMar>
        </w:tblPrEx>
        <w:trPr>
          <w:trHeight w:val="946" w:hRule="atLeast"/>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ascii="仿宋" w:hAnsi="仿宋" w:eastAsia="仿宋" w:cs="仿宋"/>
                <w:sz w:val="22"/>
                <w:szCs w:val="22"/>
              </w:rPr>
              <w:t>6</w:t>
            </w:r>
          </w:p>
        </w:tc>
        <w:tc>
          <w:tcPr>
            <w:tcW w:w="609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rPr>
              <w:t>成立本地化售后服务小组，且网络安全工程师人员名单不少于5人（提供南京市社保证明，提供网络安全从业合同证明或资质证书），没有不得分。</w:t>
            </w:r>
          </w:p>
        </w:tc>
      </w:tr>
      <w:tr>
        <w:tblPrEx>
          <w:tblLayout w:type="fixed"/>
          <w:tblCellMar>
            <w:top w:w="0" w:type="dxa"/>
            <w:left w:w="108" w:type="dxa"/>
            <w:bottom w:w="0" w:type="dxa"/>
            <w:right w:w="108" w:type="dxa"/>
          </w:tblCellMar>
        </w:tblPrEx>
        <w:trPr>
          <w:trHeight w:val="1072" w:hRule="atLeast"/>
        </w:trPr>
        <w:tc>
          <w:tcPr>
            <w:tcW w:w="781"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5</w:t>
            </w:r>
          </w:p>
        </w:tc>
        <w:tc>
          <w:tcPr>
            <w:tcW w:w="1418"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投标人履约能力及资信情况(22分)</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pPr>
            <w:r>
              <w:rPr>
                <w:rFonts w:hint="eastAsia" w:ascii="仿宋" w:hAnsi="仿宋" w:eastAsia="仿宋" w:cs="仿宋"/>
                <w:sz w:val="22"/>
                <w:szCs w:val="22"/>
              </w:rPr>
              <w:t>10</w:t>
            </w:r>
          </w:p>
        </w:tc>
        <w:tc>
          <w:tcPr>
            <w:tcW w:w="6095" w:type="dxa"/>
            <w:tcBorders>
              <w:top w:val="single" w:color="auto" w:sz="4" w:space="0"/>
              <w:left w:val="nil"/>
              <w:right w:val="single" w:color="auto" w:sz="4" w:space="0"/>
            </w:tcBorders>
            <w:vAlign w:val="center"/>
          </w:tcPr>
          <w:p>
            <w:pPr>
              <w:rPr>
                <w:rFonts w:hint="eastAsia" w:ascii="仿宋" w:hAnsi="仿宋" w:eastAsia="仿宋" w:cs="仿宋"/>
              </w:rPr>
            </w:pPr>
            <w:r>
              <w:rPr>
                <w:rFonts w:hint="eastAsia" w:ascii="仿宋" w:hAnsi="仿宋" w:eastAsia="仿宋" w:cs="仿宋"/>
              </w:rPr>
              <w:t>投标人具有《信息安全等级保护安全建设服务机构能力评估合格证书》的得2分；</w:t>
            </w:r>
          </w:p>
          <w:p>
            <w:pPr>
              <w:rPr>
                <w:rFonts w:hint="eastAsia" w:ascii="仿宋" w:hAnsi="仿宋" w:eastAsia="仿宋" w:cs="仿宋"/>
              </w:rPr>
            </w:pPr>
            <w:r>
              <w:rPr>
                <w:rFonts w:hint="eastAsia" w:ascii="仿宋" w:hAnsi="仿宋" w:eastAsia="仿宋" w:cs="仿宋"/>
              </w:rPr>
              <w:t>具有《通信网络安全服务能力评定证书（安全设计与集成）》的得2分；</w:t>
            </w:r>
          </w:p>
          <w:p>
            <w:pPr>
              <w:rPr>
                <w:rFonts w:hint="eastAsia" w:ascii="仿宋" w:hAnsi="仿宋" w:eastAsia="仿宋" w:cs="仿宋"/>
              </w:rPr>
            </w:pPr>
            <w:r>
              <w:rPr>
                <w:rFonts w:hint="eastAsia" w:ascii="仿宋" w:hAnsi="仿宋" w:eastAsia="仿宋" w:cs="仿宋"/>
              </w:rPr>
              <w:t>具有《信息安全服务资质证书（安全工程类）》二级得3分，一级得1分；</w:t>
            </w:r>
          </w:p>
          <w:p>
            <w:pPr>
              <w:rPr>
                <w:rFonts w:hint="eastAsia" w:ascii="仿宋" w:hAnsi="仿宋" w:eastAsia="仿宋" w:cs="仿宋"/>
              </w:rPr>
            </w:pPr>
            <w:r>
              <w:rPr>
                <w:rFonts w:hint="eastAsia" w:ascii="仿宋" w:hAnsi="仿宋" w:eastAsia="仿宋" w:cs="仿宋"/>
              </w:rPr>
              <w:t>具有《信息安全服务资质认证证书（信息系统应急处理）》的得3分。</w:t>
            </w:r>
          </w:p>
          <w:p>
            <w:pPr>
              <w:rPr>
                <w:rFonts w:hint="eastAsia" w:ascii="仿宋" w:hAnsi="仿宋" w:eastAsia="仿宋" w:cs="仿宋"/>
                <w:sz w:val="22"/>
                <w:szCs w:val="22"/>
              </w:rPr>
            </w:pPr>
            <w:r>
              <w:rPr>
                <w:rFonts w:hint="eastAsia" w:ascii="仿宋" w:hAnsi="仿宋" w:eastAsia="仿宋" w:cs="仿宋"/>
              </w:rPr>
              <w:t>（提供相关证书复印件，原件携带至投标现场备查）</w:t>
            </w:r>
          </w:p>
        </w:tc>
      </w:tr>
      <w:tr>
        <w:tblPrEx>
          <w:tblLayout w:type="fixed"/>
          <w:tblCellMar>
            <w:top w:w="0" w:type="dxa"/>
            <w:left w:w="108" w:type="dxa"/>
            <w:bottom w:w="0" w:type="dxa"/>
            <w:right w:w="108" w:type="dxa"/>
          </w:tblCellMar>
        </w:tblPrEx>
        <w:trPr>
          <w:trHeight w:val="946" w:hRule="atLeast"/>
        </w:trPr>
        <w:tc>
          <w:tcPr>
            <w:tcW w:w="781"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p>
        </w:tc>
        <w:tc>
          <w:tcPr>
            <w:tcW w:w="1418"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p>
        </w:tc>
        <w:tc>
          <w:tcPr>
            <w:tcW w:w="709" w:type="dxa"/>
            <w:tcBorders>
              <w:top w:val="single" w:color="auto" w:sz="4" w:space="0"/>
              <w:left w:val="nil"/>
              <w:right w:val="single" w:color="auto" w:sz="4" w:space="0"/>
            </w:tcBorders>
            <w:vAlign w:val="center"/>
          </w:tcPr>
          <w:p>
            <w:pPr>
              <w:spacing w:line="360" w:lineRule="auto"/>
              <w:jc w:val="center"/>
              <w:rPr>
                <w:color w:val="auto"/>
              </w:rPr>
            </w:pPr>
            <w:r>
              <w:rPr>
                <w:rFonts w:hint="eastAsia" w:ascii="仿宋" w:hAnsi="仿宋" w:eastAsia="仿宋" w:cs="仿宋"/>
                <w:color w:val="auto"/>
                <w:sz w:val="22"/>
                <w:szCs w:val="22"/>
              </w:rPr>
              <w:t>6</w:t>
            </w:r>
          </w:p>
        </w:tc>
        <w:tc>
          <w:tcPr>
            <w:tcW w:w="6095" w:type="dxa"/>
            <w:tcBorders>
              <w:top w:val="single" w:color="auto" w:sz="4" w:space="0"/>
              <w:left w:val="nil"/>
              <w:right w:val="single" w:color="auto" w:sz="4" w:space="0"/>
            </w:tcBorders>
            <w:vAlign w:val="center"/>
          </w:tcPr>
          <w:p>
            <w:pPr>
              <w:rPr>
                <w:rFonts w:hint="eastAsia" w:ascii="仿宋" w:hAnsi="仿宋" w:eastAsia="仿宋" w:cs="仿宋"/>
                <w:color w:val="auto"/>
              </w:rPr>
            </w:pPr>
            <w:r>
              <w:rPr>
                <w:rFonts w:hint="eastAsia" w:ascii="仿宋" w:hAnsi="仿宋" w:eastAsia="仿宋" w:cs="仿宋"/>
                <w:color w:val="auto"/>
              </w:rPr>
              <w:t>投标人拟定本项目的项目经理同时具有系统集成高级项目经理、CISP、CISAW、高级工程师职称证书的得2分；</w:t>
            </w:r>
          </w:p>
          <w:p>
            <w:pPr>
              <w:rPr>
                <w:rFonts w:hint="eastAsia" w:ascii="仿宋" w:hAnsi="仿宋" w:eastAsia="仿宋" w:cs="仿宋"/>
                <w:color w:val="auto"/>
              </w:rPr>
            </w:pPr>
            <w:r>
              <w:rPr>
                <w:rFonts w:hint="eastAsia" w:ascii="仿宋" w:hAnsi="仿宋" w:eastAsia="仿宋" w:cs="仿宋"/>
                <w:color w:val="auto"/>
              </w:rPr>
              <w:t>项目组成员（除项目经理外）具有CISP证书的有一个得1分，最多得2分；</w:t>
            </w:r>
          </w:p>
          <w:p>
            <w:pPr>
              <w:rPr>
                <w:rFonts w:hint="eastAsia" w:ascii="仿宋" w:hAnsi="仿宋" w:eastAsia="仿宋" w:cs="仿宋"/>
                <w:color w:val="auto"/>
              </w:rPr>
            </w:pPr>
            <w:r>
              <w:rPr>
                <w:rFonts w:hint="eastAsia" w:ascii="仿宋" w:hAnsi="仿宋" w:eastAsia="仿宋" w:cs="仿宋"/>
                <w:color w:val="auto"/>
              </w:rPr>
              <w:t>具有CISAW证书的有一个得1分，最多得2分。</w:t>
            </w:r>
          </w:p>
          <w:p>
            <w:pPr>
              <w:rPr>
                <w:rFonts w:hint="eastAsia" w:ascii="仿宋" w:hAnsi="仿宋" w:eastAsia="仿宋" w:cs="仿宋"/>
                <w:color w:val="auto"/>
              </w:rPr>
            </w:pPr>
            <w:r>
              <w:rPr>
                <w:rFonts w:hint="eastAsia" w:ascii="仿宋" w:hAnsi="仿宋" w:eastAsia="仿宋" w:cs="仿宋"/>
                <w:color w:val="auto"/>
              </w:rPr>
              <w:t>（提供相关人员的资质证书及近6个月内的社保证明材料，加盖公章）</w:t>
            </w:r>
          </w:p>
        </w:tc>
      </w:tr>
      <w:tr>
        <w:tblPrEx>
          <w:tblLayout w:type="fixed"/>
          <w:tblCellMar>
            <w:top w:w="0" w:type="dxa"/>
            <w:left w:w="108" w:type="dxa"/>
            <w:bottom w:w="0" w:type="dxa"/>
            <w:right w:w="108" w:type="dxa"/>
          </w:tblCellMar>
        </w:tblPrEx>
        <w:trPr>
          <w:trHeight w:val="284" w:hRule="atLeast"/>
        </w:trPr>
        <w:tc>
          <w:tcPr>
            <w:tcW w:w="781"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p>
        </w:tc>
        <w:tc>
          <w:tcPr>
            <w:tcW w:w="1418"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2"/>
                <w:szCs w:val="22"/>
              </w:rPr>
            </w:pP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color w:val="auto"/>
              </w:rPr>
            </w:pPr>
            <w:r>
              <w:rPr>
                <w:rFonts w:hint="eastAsia" w:ascii="仿宋" w:hAnsi="仿宋" w:eastAsia="仿宋" w:cs="仿宋"/>
                <w:color w:val="auto"/>
                <w:sz w:val="22"/>
                <w:szCs w:val="22"/>
              </w:rPr>
              <w:t>6</w:t>
            </w:r>
          </w:p>
        </w:tc>
        <w:tc>
          <w:tcPr>
            <w:tcW w:w="6095"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rPr>
            </w:pPr>
            <w:r>
              <w:rPr>
                <w:rFonts w:hint="eastAsia" w:ascii="仿宋" w:hAnsi="仿宋" w:eastAsia="仿宋" w:cs="仿宋"/>
                <w:color w:val="auto"/>
              </w:rPr>
              <w:t>投标人具有2015年1月1日以来外网安全建设类项目案例，合同金额在100及万以上的有一个得1分，最多得3分；</w:t>
            </w:r>
          </w:p>
          <w:p>
            <w:pPr>
              <w:rPr>
                <w:rFonts w:hint="eastAsia" w:ascii="仿宋" w:hAnsi="仿宋" w:eastAsia="仿宋" w:cs="仿宋"/>
                <w:color w:val="auto"/>
              </w:rPr>
            </w:pPr>
            <w:r>
              <w:rPr>
                <w:rFonts w:hint="eastAsia" w:ascii="仿宋" w:hAnsi="仿宋" w:eastAsia="仿宋" w:cs="仿宋"/>
                <w:color w:val="auto"/>
              </w:rPr>
              <w:t>具有信息安全等级保护系统集成类项目案例，合同金额在100万及以上的有一个得1分，最多得3分。（提供合同复印件，合同原件携带至投标现场备查）</w:t>
            </w:r>
          </w:p>
        </w:tc>
      </w:tr>
    </w:tbl>
    <w:p>
      <w:pPr>
        <w:keepNext w:val="0"/>
        <w:keepLines w:val="0"/>
        <w:widowControl/>
        <w:suppressLineNumbers w:val="0"/>
        <w:jc w:val="left"/>
        <w:rPr>
          <w:rFonts w:hint="eastAsia" w:ascii="仿宋" w:hAnsi="仿宋" w:eastAsia="仿宋" w:cs="仿宋"/>
          <w:kern w:val="0"/>
          <w:sz w:val="24"/>
          <w:szCs w:val="24"/>
          <w:lang w:val="en-US" w:eastAsia="zh-CN" w:bidi="ar"/>
        </w:rPr>
      </w:pP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1、在满足采购基本要求的前提下，对国家认定的节能、环保产品分别给予价格评标总分值4%、4%的加分（特别说明：节能、环保产品必须纳入“中国政府采购网</w:t>
      </w:r>
      <w:r>
        <w:rPr>
          <w:rFonts w:hint="eastAsia" w:ascii="仿宋" w:hAnsi="仿宋" w:eastAsia="仿宋" w:cs="仿宋"/>
          <w:kern w:val="0"/>
          <w:sz w:val="24"/>
          <w:szCs w:val="24"/>
          <w:lang w:val="en-US" w:eastAsia="zh-CN" w:bidi="ar"/>
        </w:rPr>
        <w:drawing>
          <wp:inline distT="0" distB="0" distL="114300" distR="114300">
            <wp:extent cx="190500" cy="142875"/>
            <wp:effectExtent l="0" t="0" r="0" b="9525"/>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12"/>
                    <a:stretch>
                      <a:fillRect/>
                    </a:stretch>
                  </pic:blipFill>
                  <pic:spPr>
                    <a:xfrm>
                      <a:off x="0" y="0"/>
                      <a:ext cx="190500" cy="142875"/>
                    </a:xfrm>
                    <a:prstGeom prst="rect">
                      <a:avLst/>
                    </a:prstGeom>
                    <a:noFill/>
                    <a:ln w="9525">
                      <a:noFill/>
                    </a:ln>
                  </pic:spPr>
                </pic:pic>
              </a:graphicData>
            </a:graphic>
          </wp:inline>
        </w:drawing>
      </w:r>
      <w:r>
        <w:rPr>
          <w:rFonts w:hint="eastAsia" w:ascii="仿宋" w:hAnsi="仿宋" w:eastAsia="仿宋" w:cs="仿宋"/>
          <w:kern w:val="0"/>
          <w:sz w:val="24"/>
          <w:szCs w:val="24"/>
          <w:lang w:val="en-US" w:eastAsia="zh-CN" w:bidi="ar"/>
        </w:rPr>
        <w:t>http://www.ccgp.gov.cn”等官方网站“节能、环保产品查询系统”，且以提供的证书复印件为准）。</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2、对小型和微型企业产品的价格给予6%扣除，用扣除后的价格参与评审。</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小企业（含小型、微型企业）应当同时符合以下条件：</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（1）供应商为小企业，且符合中小企业划分标准；</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（2）提供本企业制造的货物、承担的工程或者服务，或者提供其他小企业制造的货物。如果提供的货物为大中型企业注册商标的货物，视同大中型企业。</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3、所有认证、证明和业绩均以有效的证明文件的复印件为依据。</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4、若投标人提供虚假资料，一经查实作废标处理并没收投标保证金。</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 xml:space="preserve">5、评审小组不保证有效报价最低的供应商中标。 </w:t>
      </w:r>
    </w:p>
    <w:p>
      <w:pPr>
        <w:spacing w:line="360" w:lineRule="auto"/>
        <w:rPr>
          <w:rStyle w:val="53"/>
          <w:rFonts w:ascii="宋体" w:hAnsi="宋体" w:eastAsia="宋体" w:cs="宋体"/>
        </w:rPr>
      </w:pPr>
      <w:r>
        <w:rPr>
          <w:rStyle w:val="53"/>
          <w:rFonts w:hint="eastAsia" w:ascii="宋体" w:hAnsi="宋体" w:eastAsia="宋体" w:cs="宋体"/>
        </w:rPr>
        <w:br w:type="page"/>
      </w:r>
    </w:p>
    <w:p>
      <w:pPr>
        <w:spacing w:line="360" w:lineRule="auto"/>
        <w:rPr>
          <w:rStyle w:val="53"/>
          <w:rFonts w:ascii="仿宋" w:hAnsi="仿宋" w:eastAsia="仿宋" w:cs="仿宋"/>
          <w:bCs/>
          <w:sz w:val="24"/>
          <w:szCs w:val="24"/>
        </w:rPr>
      </w:pPr>
    </w:p>
    <w:p>
      <w:pPr>
        <w:pStyle w:val="4"/>
        <w:numPr>
          <w:ilvl w:val="0"/>
          <w:numId w:val="0"/>
        </w:numPr>
        <w:spacing w:line="480" w:lineRule="auto"/>
        <w:ind w:left="420" w:leftChars="200"/>
        <w:rPr>
          <w:rFonts w:ascii="黑体" w:hAnsi="黑体" w:eastAsia="黑体" w:cs="黑体"/>
          <w:b/>
          <w:bCs/>
          <w:sz w:val="44"/>
          <w:szCs w:val="44"/>
        </w:rPr>
      </w:pPr>
      <w:bookmarkStart w:id="138" w:name="_Toc31843"/>
      <w:r>
        <w:rPr>
          <w:rFonts w:hint="eastAsia" w:ascii="黑体" w:hAnsi="黑体" w:eastAsia="黑体" w:cs="黑体"/>
          <w:b/>
          <w:bCs/>
          <w:sz w:val="44"/>
          <w:szCs w:val="44"/>
        </w:rPr>
        <w:t>第六章  投标</w:t>
      </w:r>
      <w:bookmarkEnd w:id="112"/>
      <w:bookmarkEnd w:id="113"/>
      <w:bookmarkEnd w:id="114"/>
      <w:r>
        <w:rPr>
          <w:rFonts w:hint="eastAsia" w:ascii="黑体" w:hAnsi="黑体" w:eastAsia="黑体" w:cs="黑体"/>
          <w:b/>
          <w:bCs/>
          <w:sz w:val="44"/>
          <w:szCs w:val="44"/>
        </w:rPr>
        <w:t>文件格式</w:t>
      </w:r>
      <w:bookmarkEnd w:id="137"/>
      <w:bookmarkEnd w:id="138"/>
    </w:p>
    <w:p>
      <w:pPr>
        <w:ind w:firstLine="1446"/>
        <w:jc w:val="center"/>
        <w:rPr>
          <w:rFonts w:ascii="宋体" w:hAnsi="宋体" w:cs="宋体"/>
          <w:b/>
          <w:sz w:val="72"/>
        </w:rPr>
      </w:pPr>
      <w:bookmarkStart w:id="139" w:name="_Toc26554094"/>
      <w:bookmarkStart w:id="140" w:name="_Toc49090576"/>
      <w:bookmarkStart w:id="141" w:name="_Toc120614282"/>
    </w:p>
    <w:p>
      <w:pPr>
        <w:rPr>
          <w:rFonts w:ascii="宋体" w:hAnsi="宋体" w:cs="宋体"/>
          <w:b/>
          <w:sz w:val="72"/>
        </w:rPr>
      </w:pPr>
    </w:p>
    <w:p>
      <w:pPr>
        <w:pStyle w:val="30"/>
        <w:ind w:firstLine="0" w:firstLineChars="0"/>
        <w:jc w:val="center"/>
        <w:rPr>
          <w:rFonts w:ascii="黑体" w:hAnsi="黑体" w:eastAsia="黑体" w:cs="黑体"/>
          <w:b/>
          <w:bCs/>
          <w:sz w:val="96"/>
          <w:szCs w:val="96"/>
        </w:rPr>
      </w:pPr>
      <w:r>
        <w:rPr>
          <w:rFonts w:hint="eastAsia" w:ascii="黑体" w:hAnsi="黑体" w:eastAsia="黑体" w:cs="黑体"/>
          <w:b/>
          <w:bCs/>
          <w:sz w:val="96"/>
          <w:szCs w:val="96"/>
        </w:rPr>
        <w:t>投 标 文 件</w:t>
      </w:r>
    </w:p>
    <w:p>
      <w:pPr>
        <w:ind w:firstLine="1446"/>
        <w:rPr>
          <w:rFonts w:ascii="宋体" w:hAnsi="宋体" w:cs="宋体"/>
          <w:b/>
          <w:sz w:val="72"/>
        </w:rPr>
      </w:pPr>
    </w:p>
    <w:p>
      <w:pPr>
        <w:ind w:firstLine="1446"/>
        <w:rPr>
          <w:rFonts w:ascii="宋体" w:hAnsi="宋体" w:cs="宋体"/>
          <w:b/>
          <w:sz w:val="72"/>
        </w:rPr>
      </w:pPr>
    </w:p>
    <w:p>
      <w:pPr>
        <w:ind w:firstLine="723"/>
        <w:jc w:val="center"/>
        <w:rPr>
          <w:rFonts w:ascii="宋体" w:hAnsi="宋体" w:cs="宋体"/>
          <w:b/>
          <w:sz w:val="36"/>
        </w:rPr>
      </w:pPr>
    </w:p>
    <w:p>
      <w:pPr>
        <w:ind w:firstLine="723"/>
        <w:jc w:val="center"/>
        <w:rPr>
          <w:rFonts w:ascii="宋体" w:hAnsi="宋体" w:cs="宋体"/>
          <w:b/>
          <w:sz w:val="36"/>
        </w:rPr>
      </w:pPr>
    </w:p>
    <w:p>
      <w:pPr>
        <w:ind w:firstLine="723"/>
        <w:jc w:val="center"/>
        <w:rPr>
          <w:rFonts w:ascii="宋体" w:hAnsi="宋体" w:cs="宋体"/>
          <w:b/>
          <w:sz w:val="36"/>
        </w:rPr>
      </w:pPr>
    </w:p>
    <w:p>
      <w:pPr>
        <w:jc w:val="center"/>
        <w:rPr>
          <w:rFonts w:hint="eastAsia" w:ascii="黑体" w:hAnsi="黑体" w:eastAsia="黑体" w:cs="黑体"/>
          <w:b/>
          <w:sz w:val="32"/>
          <w:szCs w:val="32"/>
          <w:u w:val="single"/>
          <w:lang w:eastAsia="zh-CN"/>
        </w:rPr>
      </w:pPr>
      <w:r>
        <w:rPr>
          <w:rFonts w:hint="eastAsia" w:ascii="黑体" w:hAnsi="黑体" w:eastAsia="黑体" w:cs="黑体"/>
          <w:b/>
          <w:sz w:val="32"/>
          <w:szCs w:val="32"/>
        </w:rPr>
        <w:t>项目名称：</w:t>
      </w:r>
      <w:r>
        <w:rPr>
          <w:rFonts w:hint="eastAsia" w:ascii="黑体" w:hAnsi="黑体" w:eastAsia="黑体" w:cs="黑体"/>
          <w:b/>
          <w:sz w:val="32"/>
          <w:szCs w:val="32"/>
          <w:lang w:eastAsia="zh-CN"/>
        </w:rPr>
        <w:t>省药监局等级保护整改服务项目</w:t>
      </w:r>
    </w:p>
    <w:p>
      <w:pPr>
        <w:ind w:firstLine="199" w:firstLineChars="62"/>
        <w:jc w:val="center"/>
        <w:rPr>
          <w:rFonts w:hint="eastAsia" w:ascii="黑体" w:hAnsi="黑体" w:eastAsia="黑体" w:cs="黑体"/>
          <w:b/>
          <w:sz w:val="32"/>
          <w:szCs w:val="32"/>
          <w:lang w:eastAsia="zh-CN"/>
        </w:rPr>
      </w:pPr>
      <w:r>
        <w:rPr>
          <w:rFonts w:hint="eastAsia" w:ascii="黑体" w:hAnsi="黑体" w:eastAsia="黑体" w:cs="黑体"/>
          <w:b/>
          <w:sz w:val="32"/>
          <w:szCs w:val="32"/>
        </w:rPr>
        <w:t>项目编号：</w:t>
      </w:r>
      <w:r>
        <w:rPr>
          <w:rFonts w:hint="eastAsia" w:ascii="黑体" w:hAnsi="黑体" w:eastAsia="黑体" w:cs="黑体"/>
          <w:b/>
          <w:sz w:val="32"/>
          <w:szCs w:val="32"/>
          <w:lang w:eastAsia="zh-CN"/>
        </w:rPr>
        <w:t>QC-2018120313H</w:t>
      </w:r>
    </w:p>
    <w:p>
      <w:pPr>
        <w:rPr>
          <w:rFonts w:ascii="黑体" w:hAnsi="黑体" w:eastAsia="黑体" w:cs="黑体"/>
          <w:b/>
          <w:sz w:val="32"/>
          <w:szCs w:val="32"/>
        </w:rPr>
      </w:pPr>
    </w:p>
    <w:p>
      <w:pPr>
        <w:ind w:firstLine="723"/>
        <w:rPr>
          <w:rFonts w:ascii="黑体" w:hAnsi="黑体" w:eastAsia="黑体" w:cs="黑体"/>
          <w:b/>
          <w:sz w:val="32"/>
          <w:szCs w:val="32"/>
        </w:rPr>
      </w:pPr>
    </w:p>
    <w:p>
      <w:pPr>
        <w:ind w:firstLine="723"/>
        <w:rPr>
          <w:rFonts w:ascii="黑体" w:hAnsi="黑体" w:eastAsia="黑体" w:cs="黑体"/>
          <w:b/>
          <w:sz w:val="32"/>
          <w:szCs w:val="32"/>
          <w:u w:val="single"/>
        </w:rPr>
      </w:pPr>
      <w:r>
        <w:rPr>
          <w:rFonts w:hint="eastAsia" w:ascii="黑体" w:hAnsi="黑体" w:eastAsia="黑体" w:cs="黑体"/>
          <w:b/>
          <w:sz w:val="32"/>
          <w:szCs w:val="32"/>
        </w:rPr>
        <w:t xml:space="preserve">       投标人名称 ：</w:t>
      </w:r>
      <w:r>
        <w:rPr>
          <w:rFonts w:hint="eastAsia" w:ascii="黑体" w:hAnsi="黑体" w:eastAsia="黑体" w:cs="黑体"/>
          <w:b/>
          <w:sz w:val="32"/>
          <w:szCs w:val="32"/>
          <w:u w:val="single"/>
        </w:rPr>
        <w:t xml:space="preserve">               </w:t>
      </w:r>
    </w:p>
    <w:p>
      <w:pPr>
        <w:ind w:firstLine="723"/>
        <w:rPr>
          <w:rFonts w:ascii="黑体" w:hAnsi="黑体" w:eastAsia="黑体" w:cs="黑体"/>
          <w:b/>
          <w:sz w:val="32"/>
          <w:szCs w:val="32"/>
          <w:u w:val="single"/>
        </w:rPr>
      </w:pPr>
      <w:r>
        <w:rPr>
          <w:rFonts w:hint="eastAsia" w:ascii="黑体" w:hAnsi="黑体" w:eastAsia="黑体" w:cs="黑体"/>
          <w:b/>
          <w:sz w:val="32"/>
          <w:szCs w:val="32"/>
        </w:rPr>
        <w:t xml:space="preserve">       授权代表   ：</w:t>
      </w:r>
      <w:r>
        <w:rPr>
          <w:rFonts w:hint="eastAsia" w:ascii="黑体" w:hAnsi="黑体" w:eastAsia="黑体" w:cs="黑体"/>
          <w:b/>
          <w:sz w:val="32"/>
          <w:szCs w:val="32"/>
          <w:u w:val="single"/>
        </w:rPr>
        <w:t xml:space="preserve">               </w:t>
      </w:r>
    </w:p>
    <w:p>
      <w:pPr>
        <w:ind w:firstLine="723"/>
        <w:rPr>
          <w:rFonts w:ascii="宋体" w:hAnsi="宋体" w:cs="宋体"/>
          <w:b/>
          <w:sz w:val="36"/>
          <w:u w:val="single"/>
        </w:rPr>
      </w:pPr>
      <w:r>
        <w:rPr>
          <w:rFonts w:hint="eastAsia" w:ascii="黑体" w:hAnsi="黑体" w:eastAsia="黑体" w:cs="黑体"/>
          <w:b/>
          <w:sz w:val="32"/>
          <w:szCs w:val="32"/>
        </w:rPr>
        <w:t xml:space="preserve">       日      期 ：</w:t>
      </w:r>
      <w:r>
        <w:rPr>
          <w:rFonts w:hint="eastAsia" w:ascii="黑体" w:hAnsi="黑体" w:eastAsia="黑体" w:cs="黑体"/>
          <w:b/>
          <w:sz w:val="32"/>
          <w:szCs w:val="32"/>
          <w:u w:val="single"/>
        </w:rPr>
        <w:t xml:space="preserve">               </w:t>
      </w:r>
    </w:p>
    <w:p>
      <w:pPr>
        <w:jc w:val="center"/>
        <w:rPr>
          <w:rFonts w:ascii="宋体" w:hAnsi="宋体" w:cs="宋体"/>
          <w:b/>
          <w:sz w:val="30"/>
          <w:szCs w:val="30"/>
        </w:rPr>
      </w:pPr>
      <w:r>
        <w:rPr>
          <w:rFonts w:hint="eastAsia" w:ascii="宋体" w:hAnsi="宋体" w:cs="宋体"/>
          <w:b/>
          <w:sz w:val="36"/>
          <w:u w:val="single"/>
        </w:rPr>
        <w:br w:type="page"/>
      </w:r>
      <w:r>
        <w:rPr>
          <w:rFonts w:hint="eastAsia" w:ascii="黑体" w:hAnsi="黑体" w:eastAsia="黑体" w:cs="黑体"/>
          <w:b/>
          <w:sz w:val="30"/>
          <w:szCs w:val="30"/>
        </w:rPr>
        <w:t>评分索引表</w:t>
      </w:r>
    </w:p>
    <w:tbl>
      <w:tblPr>
        <w:tblStyle w:val="25"/>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1"/>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r>
              <w:rPr>
                <w:rFonts w:hint="eastAsia" w:ascii="黑体" w:hAnsi="黑体" w:eastAsia="黑体" w:cs="黑体"/>
                <w:bCs/>
                <w:sz w:val="24"/>
                <w:szCs w:val="24"/>
              </w:rPr>
              <w:t>评分项目</w:t>
            </w:r>
          </w:p>
        </w:tc>
        <w:tc>
          <w:tcPr>
            <w:tcW w:w="3269" w:type="dxa"/>
            <w:vAlign w:val="top"/>
          </w:tcPr>
          <w:p>
            <w:pPr>
              <w:jc w:val="center"/>
              <w:rPr>
                <w:rFonts w:ascii="黑体" w:hAnsi="黑体" w:eastAsia="黑体" w:cs="黑体"/>
                <w:bCs/>
                <w:sz w:val="24"/>
                <w:szCs w:val="24"/>
              </w:rPr>
            </w:pPr>
            <w:r>
              <w:rPr>
                <w:rFonts w:hint="eastAsia" w:ascii="黑体" w:hAnsi="黑体" w:eastAsia="黑体" w:cs="黑体"/>
                <w:bCs/>
                <w:kern w:val="0"/>
                <w:sz w:val="24"/>
                <w:szCs w:val="24"/>
                <w:lang w:bidi="en-US"/>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kern w:val="0"/>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8460" w:type="dxa"/>
            <w:gridSpan w:val="2"/>
            <w:vAlign w:val="top"/>
          </w:tcPr>
          <w:p>
            <w:pPr>
              <w:pStyle w:val="34"/>
              <w:shd w:val="clear" w:color="auto" w:fill="FFFFFF"/>
              <w:spacing w:line="265" w:lineRule="atLeast"/>
              <w:ind w:left="420" w:firstLine="480"/>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460" w:type="dxa"/>
            <w:gridSpan w:val="2"/>
            <w:vAlign w:val="top"/>
          </w:tcPr>
          <w:p>
            <w:pPr>
              <w:pStyle w:val="34"/>
              <w:shd w:val="clear" w:color="auto" w:fill="FFFFFF"/>
              <w:spacing w:line="265" w:lineRule="atLeast"/>
              <w:ind w:left="420" w:firstLine="480"/>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460" w:type="dxa"/>
            <w:gridSpan w:val="2"/>
            <w:vAlign w:val="top"/>
          </w:tcPr>
          <w:p>
            <w:pPr>
              <w:pStyle w:val="34"/>
              <w:shd w:val="clear" w:color="auto" w:fill="FFFFFF"/>
              <w:spacing w:line="265" w:lineRule="atLeast"/>
              <w:ind w:left="420" w:firstLine="480"/>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191" w:type="dxa"/>
            <w:vAlign w:val="top"/>
          </w:tcPr>
          <w:p>
            <w:pPr>
              <w:pStyle w:val="34"/>
              <w:shd w:val="clear" w:color="auto" w:fill="FFFFFF"/>
              <w:spacing w:line="265" w:lineRule="atLeast"/>
              <w:ind w:left="420"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8460" w:type="dxa"/>
            <w:gridSpan w:val="2"/>
            <w:vAlign w:val="top"/>
          </w:tcPr>
          <w:p>
            <w:pPr>
              <w:pStyle w:val="34"/>
              <w:shd w:val="clear" w:color="auto" w:fill="FFFFFF"/>
              <w:spacing w:line="265" w:lineRule="atLeast"/>
              <w:ind w:left="420" w:firstLine="480"/>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5191" w:type="dxa"/>
            <w:vAlign w:val="top"/>
          </w:tcPr>
          <w:p>
            <w:pPr>
              <w:pStyle w:val="34"/>
              <w:shd w:val="clear" w:color="auto" w:fill="FFFFFF"/>
              <w:spacing w:line="265" w:lineRule="atLeast"/>
              <w:ind w:firstLine="480"/>
              <w:jc w:val="center"/>
              <w:rPr>
                <w:rFonts w:ascii="黑体" w:hAnsi="黑体" w:eastAsia="黑体" w:cs="黑体"/>
                <w:bCs/>
                <w:sz w:val="24"/>
                <w:szCs w:val="24"/>
              </w:rPr>
            </w:pPr>
          </w:p>
        </w:tc>
        <w:tc>
          <w:tcPr>
            <w:tcW w:w="3269" w:type="dxa"/>
            <w:vAlign w:val="top"/>
          </w:tcPr>
          <w:p>
            <w:pPr>
              <w:jc w:val="center"/>
              <w:rPr>
                <w:rFonts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5191" w:type="dxa"/>
            <w:tcBorders>
              <w:bottom w:val="single" w:color="auto" w:sz="4" w:space="0"/>
            </w:tcBorders>
            <w:vAlign w:val="top"/>
          </w:tcPr>
          <w:p>
            <w:pPr>
              <w:pStyle w:val="34"/>
              <w:shd w:val="clear" w:color="auto" w:fill="FFFFFF"/>
              <w:spacing w:line="265" w:lineRule="atLeast"/>
              <w:ind w:firstLine="480"/>
              <w:jc w:val="center"/>
              <w:rPr>
                <w:rFonts w:ascii="黑体" w:hAnsi="黑体" w:eastAsia="黑体" w:cs="黑体"/>
                <w:bCs/>
                <w:sz w:val="24"/>
                <w:szCs w:val="24"/>
              </w:rPr>
            </w:pPr>
          </w:p>
        </w:tc>
        <w:tc>
          <w:tcPr>
            <w:tcW w:w="3269" w:type="dxa"/>
            <w:tcBorders>
              <w:bottom w:val="single" w:color="auto" w:sz="4" w:space="0"/>
            </w:tcBorders>
            <w:vAlign w:val="top"/>
          </w:tcPr>
          <w:p>
            <w:pPr>
              <w:jc w:val="center"/>
              <w:rPr>
                <w:rFonts w:ascii="黑体" w:hAnsi="黑体" w:eastAsia="黑体" w:cs="黑体"/>
                <w:bCs/>
                <w:sz w:val="24"/>
                <w:szCs w:val="24"/>
              </w:rPr>
            </w:pPr>
          </w:p>
        </w:tc>
      </w:tr>
    </w:tbl>
    <w:p>
      <w:pPr>
        <w:jc w:val="center"/>
        <w:rPr>
          <w:rFonts w:ascii="黑体" w:hAnsi="黑体" w:eastAsia="黑体" w:cs="黑体"/>
          <w:bCs/>
          <w:sz w:val="24"/>
          <w:szCs w:val="24"/>
        </w:rPr>
      </w:pPr>
    </w:p>
    <w:p>
      <w:pPr>
        <w:ind w:firstLine="723"/>
        <w:jc w:val="center"/>
        <w:rPr>
          <w:rFonts w:ascii="宋体" w:hAnsi="宋体" w:cs="宋体"/>
        </w:rPr>
      </w:pPr>
      <w:r>
        <w:rPr>
          <w:rFonts w:hint="eastAsia" w:ascii="宋体" w:hAnsi="宋体" w:cs="宋体"/>
        </w:rPr>
        <w:br w:type="page"/>
      </w:r>
      <w:r>
        <w:rPr>
          <w:rFonts w:hint="eastAsia" w:ascii="黑体" w:hAnsi="黑体" w:eastAsia="黑体" w:cs="黑体"/>
          <w:sz w:val="36"/>
          <w:szCs w:val="40"/>
        </w:rPr>
        <w:t>投标主要文件目录</w:t>
      </w:r>
    </w:p>
    <w:p>
      <w:pPr>
        <w:ind w:firstLine="141" w:firstLineChars="50"/>
        <w:rPr>
          <w:rFonts w:ascii="仿宋" w:hAnsi="仿宋" w:eastAsia="仿宋" w:cs="仿宋"/>
          <w:b/>
          <w:bCs/>
          <w:i/>
          <w:iCs/>
          <w:sz w:val="28"/>
          <w:u w:val="single"/>
        </w:rPr>
      </w:pPr>
      <w:r>
        <w:rPr>
          <w:rFonts w:hint="eastAsia" w:ascii="仿宋" w:hAnsi="仿宋" w:eastAsia="仿宋" w:cs="仿宋"/>
          <w:b/>
          <w:bCs/>
          <w:i/>
          <w:iCs/>
          <w:sz w:val="28"/>
          <w:u w:val="single"/>
        </w:rPr>
        <w:t>请投标单位编制目录及页码，否则可能将影响对投标文件的评价。</w:t>
      </w:r>
    </w:p>
    <w:p>
      <w:pPr>
        <w:ind w:left="480"/>
        <w:rPr>
          <w:rFonts w:ascii="宋体" w:hAnsi="宋体" w:cs="宋体"/>
          <w:sz w:val="24"/>
        </w:rPr>
      </w:pPr>
    </w:p>
    <w:p>
      <w:pPr>
        <w:ind w:firstLine="723"/>
        <w:rPr>
          <w:rFonts w:ascii="宋体" w:hAnsi="宋体" w:cs="宋体"/>
        </w:rPr>
      </w:pPr>
    </w:p>
    <w:p>
      <w:pPr>
        <w:jc w:val="center"/>
        <w:rPr>
          <w:rFonts w:ascii="宋体" w:hAnsi="宋体" w:cs="宋体"/>
        </w:rPr>
      </w:pPr>
      <w:r>
        <w:rPr>
          <w:rFonts w:hint="eastAsia" w:ascii="宋体" w:hAnsi="宋体" w:cs="宋体"/>
        </w:rPr>
        <w:br w:type="page"/>
      </w:r>
      <w:bookmarkStart w:id="142" w:name="_Toc449017027"/>
    </w:p>
    <w:bookmarkEnd w:id="115"/>
    <w:bookmarkEnd w:id="116"/>
    <w:bookmarkEnd w:id="139"/>
    <w:bookmarkEnd w:id="140"/>
    <w:bookmarkEnd w:id="141"/>
    <w:bookmarkEnd w:id="142"/>
    <w:p>
      <w:pPr>
        <w:pStyle w:val="5"/>
        <w:numPr>
          <w:ilvl w:val="1"/>
          <w:numId w:val="0"/>
        </w:numPr>
        <w:spacing w:before="0" w:after="0" w:line="360" w:lineRule="auto"/>
        <w:rPr>
          <w:rFonts w:ascii="黑体" w:hAnsi="黑体" w:eastAsia="黑体" w:cs="黑体"/>
          <w:b w:val="0"/>
          <w:snapToGrid w:val="0"/>
          <w:kern w:val="0"/>
          <w:sz w:val="36"/>
          <w:szCs w:val="32"/>
        </w:rPr>
      </w:pPr>
      <w:bookmarkStart w:id="143" w:name="_Toc13734"/>
      <w:bookmarkStart w:id="144" w:name="_Toc25957"/>
      <w:bookmarkStart w:id="145" w:name="_Toc15009"/>
      <w:r>
        <w:rPr>
          <w:rFonts w:hint="eastAsia" w:ascii="黑体" w:hAnsi="黑体" w:eastAsia="黑体" w:cs="黑体"/>
          <w:b w:val="0"/>
          <w:snapToGrid w:val="0"/>
          <w:kern w:val="0"/>
          <w:sz w:val="36"/>
          <w:szCs w:val="32"/>
        </w:rPr>
        <w:t>一、投标函</w:t>
      </w:r>
      <w:bookmarkEnd w:id="143"/>
      <w:bookmarkEnd w:id="144"/>
      <w:bookmarkEnd w:id="145"/>
    </w:p>
    <w:p>
      <w:pPr>
        <w:widowControl/>
        <w:snapToGrid w:val="0"/>
        <w:spacing w:before="19" w:line="500" w:lineRule="exact"/>
        <w:rPr>
          <w:rFonts w:ascii="仿宋" w:hAnsi="仿宋" w:eastAsia="仿宋" w:cs="仿宋"/>
          <w:sz w:val="24"/>
          <w:szCs w:val="24"/>
        </w:rPr>
      </w:pPr>
      <w:r>
        <w:rPr>
          <w:rFonts w:hint="eastAsia" w:ascii="仿宋" w:hAnsi="仿宋" w:eastAsia="仿宋" w:cs="仿宋"/>
          <w:sz w:val="24"/>
          <w:szCs w:val="24"/>
        </w:rPr>
        <w:t>江苏柒采招标代理有限公司：</w:t>
      </w:r>
    </w:p>
    <w:p>
      <w:pPr>
        <w:widowControl/>
        <w:snapToGrid w:val="0"/>
        <w:spacing w:before="19" w:line="500" w:lineRule="exact"/>
        <w:ind w:firstLine="480" w:firstLineChars="200"/>
        <w:jc w:val="left"/>
        <w:rPr>
          <w:rFonts w:ascii="仿宋" w:hAnsi="仿宋" w:eastAsia="仿宋" w:cs="仿宋"/>
          <w:b/>
          <w:bCs/>
          <w:sz w:val="24"/>
          <w:szCs w:val="24"/>
        </w:rPr>
      </w:pPr>
      <w:r>
        <w:rPr>
          <w:rFonts w:hint="eastAsia" w:ascii="仿宋" w:hAnsi="仿宋" w:eastAsia="仿宋" w:cs="仿宋"/>
          <w:sz w:val="24"/>
          <w:szCs w:val="24"/>
        </w:rPr>
        <w:t>你们</w:t>
      </w:r>
      <w:r>
        <w:rPr>
          <w:rFonts w:hint="eastAsia" w:ascii="仿宋" w:hAnsi="仿宋" w:eastAsia="仿宋" w:cs="仿宋"/>
          <w:b/>
          <w:sz w:val="24"/>
          <w:szCs w:val="24"/>
          <w:lang w:eastAsia="zh-CN"/>
        </w:rPr>
        <w:t>省药监局等级保护整改服务项目</w:t>
      </w:r>
      <w:r>
        <w:rPr>
          <w:rFonts w:hint="eastAsia" w:ascii="仿宋" w:hAnsi="仿宋" w:eastAsia="仿宋" w:cs="仿宋"/>
          <w:sz w:val="24"/>
          <w:szCs w:val="24"/>
        </w:rPr>
        <w:t>（采购编号为：</w:t>
      </w:r>
      <w:r>
        <w:rPr>
          <w:rFonts w:hint="eastAsia" w:ascii="仿宋" w:hAnsi="仿宋" w:eastAsia="仿宋" w:cs="仿宋"/>
          <w:b/>
          <w:bCs/>
          <w:sz w:val="24"/>
          <w:szCs w:val="24"/>
          <w:lang w:eastAsia="zh-CN"/>
        </w:rPr>
        <w:t>QC-2018120313H</w:t>
      </w:r>
      <w:r>
        <w:rPr>
          <w:rFonts w:hint="eastAsia" w:ascii="仿宋" w:hAnsi="仿宋" w:eastAsia="仿宋" w:cs="仿宋"/>
          <w:sz w:val="24"/>
          <w:szCs w:val="24"/>
        </w:rPr>
        <w:t>）磋商文件（包括更正公告，如果有的话）收悉，我们经详细审阅和研究，现决定参加投标。</w:t>
      </w:r>
    </w:p>
    <w:p>
      <w:pPr>
        <w:widowControl/>
        <w:snapToGrid w:val="0"/>
        <w:spacing w:before="19" w:line="500" w:lineRule="exact"/>
        <w:ind w:firstLine="480" w:firstLineChars="200"/>
        <w:rPr>
          <w:rFonts w:ascii="仿宋" w:hAnsi="仿宋" w:eastAsia="仿宋" w:cs="仿宋"/>
          <w:sz w:val="24"/>
          <w:szCs w:val="24"/>
        </w:rPr>
      </w:pPr>
      <w:r>
        <w:rPr>
          <w:rFonts w:hint="eastAsia" w:ascii="仿宋" w:hAnsi="仿宋" w:eastAsia="仿宋" w:cs="仿宋"/>
          <w:sz w:val="24"/>
          <w:szCs w:val="24"/>
        </w:rPr>
        <w:t>1、我们郑重承诺：我们是符合《政府采购法》第22条规定的供应商，并严格遵守《政府采购法》第77条的规定，本投标文件中提供的所有材料均是真实有效的。</w:t>
      </w:r>
    </w:p>
    <w:p>
      <w:pPr>
        <w:widowControl/>
        <w:snapToGrid w:val="0"/>
        <w:spacing w:before="19" w:line="500" w:lineRule="exact"/>
        <w:rPr>
          <w:rFonts w:ascii="仿宋" w:hAnsi="仿宋" w:eastAsia="仿宋" w:cs="仿宋"/>
          <w:sz w:val="24"/>
          <w:szCs w:val="24"/>
        </w:rPr>
      </w:pPr>
      <w:r>
        <w:rPr>
          <w:rFonts w:hint="eastAsia" w:ascii="仿宋" w:hAnsi="仿宋" w:eastAsia="仿宋" w:cs="仿宋"/>
          <w:sz w:val="24"/>
          <w:szCs w:val="24"/>
        </w:rPr>
        <w:t xml:space="preserve">    2、我们接受磋商文件的所有的条款和规定。</w:t>
      </w:r>
    </w:p>
    <w:p>
      <w:pPr>
        <w:widowControl/>
        <w:snapToGrid w:val="0"/>
        <w:spacing w:before="19" w:line="500" w:lineRule="exact"/>
        <w:rPr>
          <w:rFonts w:ascii="仿宋" w:hAnsi="仿宋" w:eastAsia="仿宋" w:cs="仿宋"/>
          <w:sz w:val="24"/>
          <w:szCs w:val="24"/>
        </w:rPr>
      </w:pPr>
      <w:r>
        <w:rPr>
          <w:rFonts w:hint="eastAsia" w:ascii="仿宋" w:hAnsi="仿宋" w:eastAsia="仿宋" w:cs="仿宋"/>
          <w:sz w:val="24"/>
          <w:szCs w:val="24"/>
        </w:rPr>
        <w:t xml:space="preserve">    3、我们同意按照本磋商文件第二章“投标人须知”第17.1条的规定，本投标文件的有效期为从开标之日起计算的六十天，在此期间，本投标文件将始终对我们具有约束力，并可随时被接受。如果我们中标，本投标文件在此期间之后将继续保持有效。</w:t>
      </w:r>
    </w:p>
    <w:p>
      <w:pPr>
        <w:widowControl/>
        <w:snapToGrid w:val="0"/>
        <w:spacing w:before="19" w:line="500" w:lineRule="exact"/>
        <w:rPr>
          <w:rFonts w:ascii="仿宋" w:hAnsi="仿宋" w:eastAsia="仿宋" w:cs="仿宋"/>
          <w:sz w:val="24"/>
          <w:szCs w:val="24"/>
        </w:rPr>
      </w:pPr>
      <w:r>
        <w:rPr>
          <w:rFonts w:hint="eastAsia" w:ascii="仿宋" w:hAnsi="仿宋" w:eastAsia="仿宋" w:cs="仿宋"/>
          <w:sz w:val="24"/>
          <w:szCs w:val="24"/>
        </w:rPr>
        <w:t xml:space="preserve">    4、我们同意提供招标人要求的有关本次采购的所有资料。</w:t>
      </w:r>
    </w:p>
    <w:p>
      <w:pPr>
        <w:widowControl/>
        <w:snapToGrid w:val="0"/>
        <w:spacing w:before="19" w:line="500" w:lineRule="exact"/>
        <w:rPr>
          <w:rFonts w:ascii="仿宋" w:hAnsi="仿宋" w:eastAsia="仿宋" w:cs="仿宋"/>
          <w:sz w:val="24"/>
          <w:szCs w:val="24"/>
        </w:rPr>
      </w:pPr>
      <w:r>
        <w:rPr>
          <w:rFonts w:hint="eastAsia" w:ascii="仿宋" w:hAnsi="仿宋" w:eastAsia="仿宋" w:cs="仿宋"/>
          <w:sz w:val="24"/>
          <w:szCs w:val="24"/>
        </w:rPr>
        <w:t xml:space="preserve">    5、我们理解，你们无义务必须接受投标报价最低的投标，并有权拒绝所有的投标。同时也理解你们不承担我们本次投标的费用。</w:t>
      </w:r>
    </w:p>
    <w:p>
      <w:pPr>
        <w:widowControl/>
        <w:snapToGrid w:val="0"/>
        <w:spacing w:before="19" w:line="500" w:lineRule="exact"/>
        <w:rPr>
          <w:rFonts w:ascii="仿宋" w:hAnsi="仿宋" w:eastAsia="仿宋" w:cs="仿宋"/>
          <w:sz w:val="24"/>
          <w:szCs w:val="24"/>
        </w:rPr>
      </w:pPr>
      <w:r>
        <w:rPr>
          <w:rFonts w:hint="eastAsia" w:ascii="仿宋" w:hAnsi="仿宋" w:eastAsia="仿宋" w:cs="仿宋"/>
          <w:sz w:val="24"/>
          <w:szCs w:val="24"/>
        </w:rPr>
        <w:t xml:space="preserve">    6、如果我们中标，为执行合同，我们将按投标供应商须知有关要求提供必要的履约保证。</w:t>
      </w:r>
    </w:p>
    <w:p>
      <w:pPr>
        <w:widowControl/>
        <w:snapToGrid w:val="0"/>
        <w:spacing w:before="19" w:line="500" w:lineRule="exact"/>
        <w:rPr>
          <w:rFonts w:ascii="仿宋" w:hAnsi="仿宋" w:eastAsia="仿宋" w:cs="仿宋"/>
          <w:sz w:val="24"/>
          <w:szCs w:val="24"/>
        </w:rPr>
      </w:pPr>
      <w:r>
        <w:rPr>
          <w:rFonts w:hint="eastAsia" w:ascii="仿宋" w:hAnsi="仿宋" w:eastAsia="仿宋" w:cs="仿宋"/>
          <w:sz w:val="24"/>
          <w:szCs w:val="24"/>
        </w:rPr>
        <w:t>投标供应商名称：（公章）</w:t>
      </w:r>
    </w:p>
    <w:p>
      <w:pPr>
        <w:widowControl/>
        <w:snapToGrid w:val="0"/>
        <w:spacing w:before="19" w:line="500" w:lineRule="exact"/>
        <w:rPr>
          <w:rFonts w:ascii="仿宋" w:hAnsi="仿宋" w:eastAsia="仿宋" w:cs="仿宋"/>
          <w:sz w:val="24"/>
          <w:szCs w:val="24"/>
        </w:rPr>
      </w:pPr>
      <w:r>
        <w:rPr>
          <w:rFonts w:hint="eastAsia" w:ascii="仿宋" w:hAnsi="仿宋" w:eastAsia="仿宋" w:cs="仿宋"/>
          <w:sz w:val="24"/>
          <w:szCs w:val="24"/>
        </w:rPr>
        <w:t>地址：                          邮编：</w:t>
      </w:r>
    </w:p>
    <w:p>
      <w:pPr>
        <w:widowControl/>
        <w:snapToGrid w:val="0"/>
        <w:spacing w:before="19" w:line="500" w:lineRule="exact"/>
        <w:rPr>
          <w:rFonts w:ascii="仿宋" w:hAnsi="仿宋" w:eastAsia="仿宋" w:cs="仿宋"/>
          <w:sz w:val="24"/>
          <w:szCs w:val="24"/>
        </w:rPr>
      </w:pPr>
      <w:r>
        <w:rPr>
          <w:rFonts w:hint="eastAsia" w:ascii="仿宋" w:hAnsi="仿宋" w:eastAsia="仿宋" w:cs="仿宋"/>
          <w:sz w:val="24"/>
          <w:szCs w:val="24"/>
        </w:rPr>
        <w:t xml:space="preserve">电话：                          传真：          </w:t>
      </w:r>
    </w:p>
    <w:p>
      <w:pPr>
        <w:widowControl/>
        <w:snapToGrid w:val="0"/>
        <w:spacing w:before="19" w:line="500" w:lineRule="exact"/>
        <w:rPr>
          <w:rFonts w:ascii="仿宋" w:hAnsi="仿宋" w:eastAsia="仿宋" w:cs="仿宋"/>
          <w:sz w:val="24"/>
          <w:szCs w:val="24"/>
        </w:rPr>
      </w:pPr>
      <w:r>
        <w:rPr>
          <w:rFonts w:hint="eastAsia" w:ascii="仿宋" w:hAnsi="仿宋" w:eastAsia="仿宋" w:cs="仿宋"/>
          <w:sz w:val="24"/>
          <w:szCs w:val="24"/>
        </w:rPr>
        <w:t xml:space="preserve">法定代表人（授权代表）（签字或盖章）：                   </w:t>
      </w:r>
    </w:p>
    <w:p>
      <w:pPr>
        <w:widowControl/>
        <w:snapToGrid w:val="0"/>
        <w:spacing w:before="19" w:line="500" w:lineRule="exact"/>
        <w:rPr>
          <w:rFonts w:ascii="仿宋" w:hAnsi="仿宋" w:eastAsia="仿宋" w:cs="仿宋"/>
          <w:sz w:val="24"/>
          <w:szCs w:val="24"/>
        </w:rPr>
      </w:pPr>
      <w:r>
        <w:rPr>
          <w:rFonts w:hint="eastAsia" w:ascii="仿宋" w:hAnsi="仿宋" w:eastAsia="仿宋" w:cs="仿宋"/>
          <w:sz w:val="24"/>
          <w:szCs w:val="24"/>
        </w:rPr>
        <w:t xml:space="preserve">职务：                  </w:t>
      </w:r>
    </w:p>
    <w:p>
      <w:pPr>
        <w:widowControl/>
        <w:snapToGrid w:val="0"/>
        <w:spacing w:before="19" w:line="500" w:lineRule="exact"/>
        <w:rPr>
          <w:rFonts w:ascii="宋体" w:hAnsi="宋体" w:cs="宋体"/>
          <w:sz w:val="24"/>
          <w:szCs w:val="24"/>
        </w:rPr>
      </w:pPr>
      <w:r>
        <w:rPr>
          <w:rFonts w:hint="eastAsia" w:ascii="仿宋" w:hAnsi="仿宋" w:eastAsia="仿宋" w:cs="仿宋"/>
          <w:sz w:val="24"/>
          <w:szCs w:val="24"/>
        </w:rPr>
        <w:t>日期：</w:t>
      </w:r>
      <w:r>
        <w:rPr>
          <w:rFonts w:hint="eastAsia" w:ascii="宋体" w:hAnsi="宋体" w:cs="宋体"/>
          <w:sz w:val="24"/>
          <w:szCs w:val="24"/>
        </w:rPr>
        <w:t xml:space="preserve">                  </w:t>
      </w:r>
    </w:p>
    <w:p>
      <w:pPr>
        <w:rPr>
          <w:rFonts w:ascii="宋体" w:hAnsi="宋体" w:cs="宋体"/>
        </w:rPr>
      </w:pPr>
    </w:p>
    <w:p>
      <w:pPr>
        <w:rPr>
          <w:rFonts w:hint="eastAsia"/>
        </w:rPr>
      </w:pPr>
      <w:bookmarkStart w:id="146" w:name="_Toc27417"/>
      <w:bookmarkStart w:id="147" w:name="_Toc2237"/>
    </w:p>
    <w:p>
      <w:pPr>
        <w:rPr>
          <w:rFonts w:hint="eastAsia"/>
        </w:rPr>
      </w:pPr>
    </w:p>
    <w:p>
      <w:pPr>
        <w:rPr>
          <w:rFonts w:hint="eastAsia"/>
        </w:rPr>
      </w:pPr>
    </w:p>
    <w:p>
      <w:pPr>
        <w:pStyle w:val="5"/>
        <w:numPr>
          <w:ilvl w:val="1"/>
          <w:numId w:val="0"/>
        </w:numPr>
        <w:spacing w:before="0" w:after="0" w:line="360" w:lineRule="auto"/>
        <w:rPr>
          <w:rFonts w:ascii="黑体" w:hAnsi="黑体" w:eastAsia="黑体" w:cs="黑体"/>
          <w:b w:val="0"/>
          <w:snapToGrid w:val="0"/>
          <w:kern w:val="0"/>
          <w:sz w:val="36"/>
          <w:szCs w:val="32"/>
        </w:rPr>
      </w:pPr>
      <w:bookmarkStart w:id="148" w:name="_Toc15940"/>
      <w:r>
        <w:rPr>
          <w:rFonts w:hint="eastAsia" w:ascii="黑体" w:hAnsi="黑体" w:eastAsia="黑体" w:cs="黑体"/>
          <w:b w:val="0"/>
          <w:snapToGrid w:val="0"/>
          <w:kern w:val="0"/>
          <w:sz w:val="36"/>
          <w:szCs w:val="32"/>
        </w:rPr>
        <w:t>二、开标一览表</w:t>
      </w:r>
      <w:bookmarkEnd w:id="146"/>
      <w:bookmarkEnd w:id="147"/>
      <w:bookmarkEnd w:id="148"/>
      <w:bookmarkStart w:id="149" w:name="_Toc14915"/>
    </w:p>
    <w:p>
      <w:pPr>
        <w:pStyle w:val="38"/>
        <w:rPr>
          <w:rFonts w:ascii="宋体" w:hAnsi="宋体" w:cs="宋体"/>
        </w:rPr>
      </w:pPr>
      <w:r>
        <w:rPr>
          <w:rFonts w:hint="eastAsia" w:ascii="宋体" w:hAnsi="宋体" w:cs="宋体"/>
        </w:rPr>
        <w:t>窗体顶端</w:t>
      </w:r>
    </w:p>
    <w:tbl>
      <w:tblPr>
        <w:tblStyle w:val="25"/>
        <w:tblpPr w:leftFromText="45" w:rightFromText="45" w:vertAnchor="text"/>
        <w:tblW w:w="866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85"/>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3" w:hRule="atLeast"/>
          <w:tblCellSpacing w:w="0" w:type="dxa"/>
        </w:trPr>
        <w:tc>
          <w:tcPr>
            <w:tcW w:w="3085" w:type="dxa"/>
            <w:vAlign w:val="center"/>
          </w:tcPr>
          <w:p>
            <w:pPr>
              <w:spacing w:line="408" w:lineRule="atLeast"/>
              <w:jc w:val="center"/>
              <w:rPr>
                <w:rFonts w:ascii="黑体" w:hAnsi="黑体" w:eastAsia="黑体" w:cs="黑体"/>
                <w:sz w:val="24"/>
                <w:szCs w:val="24"/>
              </w:rPr>
            </w:pPr>
            <w:r>
              <w:rPr>
                <w:rFonts w:hint="eastAsia" w:ascii="黑体" w:hAnsi="黑体" w:eastAsia="黑体" w:cs="黑体"/>
                <w:sz w:val="24"/>
                <w:szCs w:val="24"/>
              </w:rPr>
              <w:t>项目名称</w:t>
            </w:r>
          </w:p>
        </w:tc>
        <w:tc>
          <w:tcPr>
            <w:tcW w:w="5575" w:type="dxa"/>
            <w:vAlign w:val="center"/>
          </w:tcPr>
          <w:p>
            <w:pPr>
              <w:spacing w:line="408" w:lineRule="atLeast"/>
              <w:jc w:val="center"/>
              <w:rPr>
                <w:rFonts w:hint="eastAsia" w:ascii="仿宋" w:hAnsi="仿宋" w:eastAsia="仿宋" w:cs="仿宋"/>
                <w:sz w:val="24"/>
                <w:szCs w:val="24"/>
                <w:lang w:eastAsia="zh-CN"/>
              </w:rPr>
            </w:pPr>
            <w:r>
              <w:rPr>
                <w:rFonts w:hint="eastAsia" w:ascii="仿宋" w:hAnsi="仿宋" w:eastAsia="仿宋" w:cs="仿宋"/>
                <w:b/>
                <w:sz w:val="24"/>
                <w:szCs w:val="24"/>
                <w:lang w:eastAsia="zh-CN"/>
              </w:rPr>
              <w:t>省药监局等级保护整改服务项目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7" w:hRule="atLeast"/>
          <w:tblCellSpacing w:w="0" w:type="dxa"/>
        </w:trPr>
        <w:tc>
          <w:tcPr>
            <w:tcW w:w="3085" w:type="dxa"/>
            <w:vAlign w:val="center"/>
          </w:tcPr>
          <w:p>
            <w:pPr>
              <w:spacing w:line="408" w:lineRule="atLeast"/>
              <w:jc w:val="center"/>
              <w:rPr>
                <w:rFonts w:ascii="黑体" w:hAnsi="黑体" w:eastAsia="黑体" w:cs="黑体"/>
                <w:sz w:val="24"/>
                <w:szCs w:val="24"/>
              </w:rPr>
            </w:pPr>
            <w:r>
              <w:rPr>
                <w:rFonts w:hint="eastAsia" w:ascii="黑体" w:hAnsi="黑体" w:eastAsia="黑体" w:cs="黑体"/>
                <w:sz w:val="24"/>
                <w:szCs w:val="24"/>
              </w:rPr>
              <w:t>项目编号</w:t>
            </w:r>
          </w:p>
        </w:tc>
        <w:tc>
          <w:tcPr>
            <w:tcW w:w="5575" w:type="dxa"/>
            <w:vAlign w:val="center"/>
          </w:tcPr>
          <w:p>
            <w:pPr>
              <w:spacing w:line="408" w:lineRule="atLeast"/>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QC-2018120313H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0" w:hRule="atLeast"/>
          <w:tblCellSpacing w:w="0" w:type="dxa"/>
        </w:trPr>
        <w:tc>
          <w:tcPr>
            <w:tcW w:w="3085" w:type="dxa"/>
            <w:vAlign w:val="center"/>
          </w:tcPr>
          <w:p>
            <w:pPr>
              <w:spacing w:line="408" w:lineRule="atLeast"/>
              <w:jc w:val="center"/>
              <w:rPr>
                <w:rFonts w:ascii="黑体" w:hAnsi="黑体" w:eastAsia="黑体" w:cs="黑体"/>
                <w:sz w:val="24"/>
                <w:szCs w:val="24"/>
              </w:rPr>
            </w:pPr>
            <w:r>
              <w:rPr>
                <w:rFonts w:hint="eastAsia" w:ascii="黑体" w:hAnsi="黑体" w:eastAsia="黑体" w:cs="黑体"/>
                <w:sz w:val="24"/>
                <w:szCs w:val="24"/>
              </w:rPr>
              <w:t>投标报价总计</w:t>
            </w:r>
          </w:p>
        </w:tc>
        <w:tc>
          <w:tcPr>
            <w:tcW w:w="5575" w:type="dxa"/>
            <w:vAlign w:val="center"/>
          </w:tcPr>
          <w:p>
            <w:pPr>
              <w:spacing w:line="408" w:lineRule="atLeast"/>
              <w:jc w:val="cente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圆整</w:t>
            </w:r>
          </w:p>
          <w:p>
            <w:pPr>
              <w:spacing w:line="408" w:lineRule="atLeast"/>
              <w:jc w:val="center"/>
              <w:rPr>
                <w:rFonts w:ascii="仿宋" w:hAnsi="仿宋" w:eastAsia="仿宋" w:cs="仿宋"/>
                <w:sz w:val="24"/>
                <w:szCs w:val="24"/>
              </w:rPr>
            </w:pPr>
            <w:r>
              <w:rPr>
                <w:rFonts w:hint="eastAsia" w:ascii="仿宋" w:hAnsi="仿宋" w:eastAsia="仿宋" w:cs="仿宋"/>
                <w:sz w:val="24"/>
                <w:szCs w:val="24"/>
              </w:rPr>
              <w:t>人民币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87" w:hRule="atLeast"/>
          <w:tblCellSpacing w:w="0" w:type="dxa"/>
        </w:trPr>
        <w:tc>
          <w:tcPr>
            <w:tcW w:w="3085" w:type="dxa"/>
            <w:vAlign w:val="center"/>
          </w:tcPr>
          <w:p>
            <w:pPr>
              <w:spacing w:line="408" w:lineRule="atLeast"/>
              <w:jc w:val="center"/>
              <w:rPr>
                <w:rFonts w:ascii="黑体" w:hAnsi="黑体" w:eastAsia="黑体" w:cs="黑体"/>
                <w:sz w:val="24"/>
                <w:szCs w:val="24"/>
              </w:rPr>
            </w:pPr>
            <w:r>
              <w:rPr>
                <w:rFonts w:hint="eastAsia" w:ascii="黑体" w:hAnsi="黑体" w:eastAsia="黑体" w:cs="黑体"/>
                <w:sz w:val="24"/>
                <w:szCs w:val="24"/>
              </w:rPr>
              <w:t>交付时间</w:t>
            </w:r>
          </w:p>
        </w:tc>
        <w:tc>
          <w:tcPr>
            <w:tcW w:w="5575" w:type="dxa"/>
            <w:vAlign w:val="center"/>
          </w:tcPr>
          <w:p>
            <w:pPr>
              <w:spacing w:line="408" w:lineRule="atLeast"/>
              <w:rPr>
                <w:rFonts w:ascii="仿宋" w:hAnsi="仿宋" w:eastAsia="仿宋" w:cs="仿宋"/>
                <w:sz w:val="24"/>
                <w:szCs w:val="24"/>
              </w:rPr>
            </w:pPr>
            <w:r>
              <w:rPr>
                <w:rFonts w:hint="eastAsia" w:ascii="仿宋" w:hAnsi="仿宋" w:eastAsia="仿宋" w:cs="仿宋"/>
                <w:sz w:val="24"/>
                <w:szCs w:val="24"/>
              </w:rPr>
              <w:t>签订合同后</w:t>
            </w:r>
            <w:r>
              <w:rPr>
                <w:rFonts w:hint="eastAsia" w:ascii="仿宋" w:hAnsi="仿宋" w:eastAsia="仿宋" w:cs="仿宋"/>
                <w:sz w:val="24"/>
                <w:szCs w:val="24"/>
                <w:u w:val="single"/>
              </w:rPr>
              <w:t xml:space="preserve">  　　　 </w:t>
            </w:r>
            <w:r>
              <w:rPr>
                <w:rFonts w:hint="eastAsia" w:ascii="仿宋" w:hAnsi="仿宋" w:eastAsia="仿宋" w:cs="仿宋"/>
                <w:sz w:val="24"/>
                <w:szCs w:val="24"/>
              </w:rPr>
              <w:t>日历天内</w:t>
            </w:r>
          </w:p>
        </w:tc>
      </w:tr>
    </w:tbl>
    <w:p>
      <w:pPr>
        <w:pStyle w:val="18"/>
        <w:spacing w:before="0" w:beforeAutospacing="0" w:after="0" w:afterAutospacing="0" w:line="480" w:lineRule="auto"/>
        <w:rPr>
          <w:rFonts w:ascii="仿宋" w:hAnsi="仿宋" w:eastAsia="仿宋" w:cs="仿宋"/>
        </w:rPr>
      </w:pPr>
      <w:r>
        <w:rPr>
          <w:rFonts w:hint="eastAsia" w:ascii="仿宋" w:hAnsi="仿宋" w:eastAsia="仿宋" w:cs="仿宋"/>
        </w:rPr>
        <w:t>投标供应商全称（公章）：</w:t>
      </w:r>
      <w:r>
        <w:rPr>
          <w:rFonts w:hint="eastAsia" w:ascii="仿宋" w:hAnsi="仿宋" w:eastAsia="仿宋" w:cs="仿宋"/>
          <w:u w:val="single"/>
        </w:rPr>
        <w:t xml:space="preserve">      </w:t>
      </w:r>
      <w:r>
        <w:rPr>
          <w:rFonts w:hint="eastAsia" w:ascii="仿宋" w:hAnsi="仿宋" w:eastAsia="仿宋" w:cs="仿宋"/>
        </w:rPr>
        <w:t>  </w:t>
      </w:r>
    </w:p>
    <w:p>
      <w:pPr>
        <w:pStyle w:val="18"/>
        <w:spacing w:before="0" w:beforeAutospacing="0" w:after="0" w:afterAutospacing="0" w:line="480" w:lineRule="auto"/>
        <w:rPr>
          <w:rFonts w:ascii="仿宋" w:hAnsi="仿宋" w:eastAsia="仿宋" w:cs="仿宋"/>
          <w:u w:val="single"/>
        </w:rPr>
      </w:pPr>
      <w:r>
        <w:rPr>
          <w:rFonts w:hint="eastAsia" w:ascii="仿宋" w:hAnsi="仿宋" w:eastAsia="仿宋" w:cs="仿宋"/>
        </w:rPr>
        <w:t xml:space="preserve">法定代表人（授权代表）（签字或盖章）： </w:t>
      </w:r>
      <w:r>
        <w:rPr>
          <w:rFonts w:hint="eastAsia" w:ascii="仿宋" w:hAnsi="仿宋" w:eastAsia="仿宋" w:cs="仿宋"/>
          <w:u w:val="single"/>
        </w:rPr>
        <w:t>       </w:t>
      </w:r>
    </w:p>
    <w:p>
      <w:pPr>
        <w:pStyle w:val="18"/>
        <w:spacing w:before="0" w:beforeAutospacing="0" w:after="0" w:afterAutospacing="0" w:line="520" w:lineRule="atLeast"/>
        <w:rPr>
          <w:rFonts w:hint="eastAsia" w:eastAsia="仿宋"/>
        </w:rPr>
        <w:sectPr>
          <w:headerReference r:id="rId9" w:type="default"/>
          <w:footerReference r:id="rId10" w:type="default"/>
          <w:pgSz w:w="11906" w:h="16838"/>
          <w:pgMar w:top="1440" w:right="1800" w:bottom="1440" w:left="1800" w:header="851" w:footer="992" w:gutter="0"/>
          <w:pgNumType w:start="1"/>
          <w:cols w:space="720" w:num="1"/>
          <w:docGrid w:type="lines" w:linePitch="312" w:charSpace="0"/>
        </w:sectPr>
      </w:pPr>
      <w:r>
        <w:rPr>
          <w:rStyle w:val="21"/>
          <w:rFonts w:hint="eastAsia" w:ascii="仿宋" w:hAnsi="仿宋" w:eastAsia="仿宋" w:cs="仿宋"/>
        </w:rPr>
        <w:t>注:</w:t>
      </w:r>
      <w:r>
        <w:rPr>
          <w:rFonts w:hint="eastAsia" w:ascii="仿宋" w:hAnsi="仿宋" w:eastAsia="仿宋" w:cs="仿宋"/>
        </w:rPr>
        <w:br w:type="textWrapping"/>
      </w:r>
      <w:r>
        <w:rPr>
          <w:rFonts w:hint="eastAsia" w:ascii="仿宋" w:hAnsi="仿宋" w:eastAsia="仿宋" w:cs="仿宋"/>
        </w:rPr>
        <w:t>（1）投标报价应包括磋商文件所规定的采购范围的全部内容。</w:t>
      </w:r>
      <w:r>
        <w:rPr>
          <w:rFonts w:hint="eastAsia" w:ascii="仿宋" w:hAnsi="仿宋" w:eastAsia="仿宋" w:cs="仿宋"/>
        </w:rPr>
        <w:br w:type="textWrapping"/>
      </w:r>
      <w:r>
        <w:rPr>
          <w:rFonts w:hint="eastAsia" w:ascii="仿宋" w:hAnsi="仿宋" w:eastAsia="仿宋" w:cs="仿宋"/>
        </w:rPr>
        <w:t>（2）投标供应商不得实质性改动开标一览表格式及内容。</w:t>
      </w:r>
    </w:p>
    <w:bookmarkEnd w:id="149"/>
    <w:p>
      <w:pPr>
        <w:pStyle w:val="5"/>
        <w:numPr>
          <w:ilvl w:val="1"/>
          <w:numId w:val="0"/>
        </w:numPr>
        <w:spacing w:before="0" w:after="0" w:line="360" w:lineRule="auto"/>
        <w:rPr>
          <w:rFonts w:ascii="黑体" w:hAnsi="黑体" w:eastAsia="黑体" w:cs="黑体"/>
          <w:b w:val="0"/>
          <w:snapToGrid w:val="0"/>
          <w:kern w:val="0"/>
          <w:sz w:val="36"/>
          <w:szCs w:val="32"/>
        </w:rPr>
      </w:pPr>
      <w:bookmarkStart w:id="150" w:name="_Toc20682"/>
      <w:bookmarkStart w:id="151" w:name="_Toc26737"/>
      <w:r>
        <w:rPr>
          <w:rFonts w:hint="eastAsia" w:ascii="黑体" w:hAnsi="黑体" w:eastAsia="黑体" w:cs="黑体"/>
          <w:b w:val="0"/>
          <w:snapToGrid w:val="0"/>
          <w:kern w:val="0"/>
          <w:sz w:val="36"/>
          <w:szCs w:val="32"/>
        </w:rPr>
        <w:t>三、配置及技术性能要求响应表</w:t>
      </w:r>
      <w:bookmarkEnd w:id="150"/>
      <w:bookmarkEnd w:id="151"/>
    </w:p>
    <w:tbl>
      <w:tblPr>
        <w:tblStyle w:val="25"/>
        <w:tblW w:w="9260" w:type="dxa"/>
        <w:jc w:val="center"/>
        <w:tblInd w:w="0" w:type="dxa"/>
        <w:tblLayout w:type="fixed"/>
        <w:tblCellMar>
          <w:top w:w="15" w:type="dxa"/>
          <w:left w:w="15" w:type="dxa"/>
          <w:bottom w:w="15" w:type="dxa"/>
          <w:right w:w="15" w:type="dxa"/>
        </w:tblCellMar>
      </w:tblPr>
      <w:tblGrid>
        <w:gridCol w:w="1304"/>
        <w:gridCol w:w="1159"/>
        <w:gridCol w:w="2711"/>
        <w:gridCol w:w="2811"/>
        <w:gridCol w:w="1275"/>
      </w:tblGrid>
      <w:tr>
        <w:tblPrEx>
          <w:tblLayout w:type="fixed"/>
          <w:tblCellMar>
            <w:top w:w="15" w:type="dxa"/>
            <w:left w:w="15" w:type="dxa"/>
            <w:bottom w:w="15" w:type="dxa"/>
            <w:right w:w="15" w:type="dxa"/>
          </w:tblCellMar>
        </w:tblPrEx>
        <w:trPr>
          <w:trHeight w:val="565" w:hRule="atLeast"/>
          <w:jc w:val="center"/>
        </w:trPr>
        <w:tc>
          <w:tcPr>
            <w:tcW w:w="51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Cs/>
                <w:kern w:val="0"/>
                <w:sz w:val="22"/>
                <w:lang w:bidi="ar"/>
              </w:rPr>
            </w:pPr>
            <w:r>
              <w:rPr>
                <w:rFonts w:hint="eastAsia" w:ascii="黑体" w:hAnsi="黑体" w:eastAsia="黑体" w:cs="黑体"/>
                <w:bCs/>
                <w:kern w:val="0"/>
                <w:sz w:val="22"/>
                <w:lang w:bidi="ar"/>
              </w:rPr>
              <w:t>招标要求</w:t>
            </w:r>
          </w:p>
        </w:tc>
        <w:tc>
          <w:tcPr>
            <w:tcW w:w="40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Cs/>
                <w:kern w:val="0"/>
                <w:sz w:val="22"/>
                <w:lang w:bidi="ar"/>
              </w:rPr>
            </w:pPr>
            <w:r>
              <w:rPr>
                <w:rFonts w:hint="eastAsia" w:ascii="黑体" w:hAnsi="黑体" w:eastAsia="黑体" w:cs="黑体"/>
                <w:bCs/>
                <w:kern w:val="0"/>
                <w:sz w:val="22"/>
                <w:lang w:bidi="ar"/>
              </w:rPr>
              <w:t>投标响应情况</w:t>
            </w:r>
          </w:p>
        </w:tc>
      </w:tr>
      <w:tr>
        <w:tblPrEx>
          <w:tblLayout w:type="fixed"/>
          <w:tblCellMar>
            <w:top w:w="15" w:type="dxa"/>
            <w:left w:w="15" w:type="dxa"/>
            <w:bottom w:w="15" w:type="dxa"/>
            <w:right w:w="15" w:type="dxa"/>
          </w:tblCellMar>
        </w:tblPrEx>
        <w:trPr>
          <w:trHeight w:val="951" w:hRule="atLeast"/>
          <w:jc w:val="center"/>
        </w:trPr>
        <w:tc>
          <w:tcPr>
            <w:tcW w:w="130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黑体" w:eastAsia="黑体" w:cs="黑体"/>
                <w:bCs/>
                <w:kern w:val="0"/>
                <w:sz w:val="22"/>
                <w:lang w:bidi="ar"/>
              </w:rPr>
            </w:pPr>
            <w:r>
              <w:rPr>
                <w:rFonts w:hint="eastAsia" w:ascii="黑体" w:hAnsi="黑体" w:eastAsia="黑体" w:cs="黑体"/>
                <w:bCs/>
                <w:kern w:val="0"/>
                <w:sz w:val="22"/>
                <w:lang w:bidi="ar"/>
              </w:rPr>
              <w:t>名   称</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黑体" w:eastAsia="黑体" w:cs="黑体"/>
                <w:bCs/>
                <w:kern w:val="0"/>
                <w:sz w:val="22"/>
                <w:lang w:bidi="ar"/>
              </w:rPr>
            </w:pPr>
            <w:r>
              <w:rPr>
                <w:rFonts w:hint="eastAsia" w:ascii="黑体" w:hAnsi="黑体" w:eastAsia="黑体" w:cs="黑体"/>
                <w:bCs/>
                <w:kern w:val="0"/>
                <w:sz w:val="22"/>
                <w:lang w:bidi="ar"/>
              </w:rPr>
              <w:t>数量</w:t>
            </w:r>
          </w:p>
        </w:tc>
        <w:tc>
          <w:tcPr>
            <w:tcW w:w="271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黑体" w:eastAsia="黑体" w:cs="黑体"/>
                <w:bCs/>
                <w:kern w:val="0"/>
                <w:sz w:val="22"/>
                <w:lang w:bidi="ar"/>
              </w:rPr>
            </w:pPr>
            <w:r>
              <w:rPr>
                <w:rFonts w:hint="eastAsia" w:ascii="宋体" w:hAnsi="宋体" w:cs="楷体"/>
                <w:b/>
                <w:bCs/>
                <w:kern w:val="0"/>
                <w:sz w:val="22"/>
                <w:szCs w:val="22"/>
              </w:rPr>
              <w:t>备注</w:t>
            </w:r>
          </w:p>
        </w:tc>
        <w:tc>
          <w:tcPr>
            <w:tcW w:w="2811" w:type="dxa"/>
            <w:tcBorders>
              <w:top w:val="single" w:color="000000" w:sz="4" w:space="0"/>
              <w:left w:val="single" w:color="000000" w:sz="4" w:space="0"/>
              <w:bottom w:val="single" w:color="000000" w:sz="4" w:space="0"/>
              <w:right w:val="single" w:color="000000" w:sz="4" w:space="0"/>
            </w:tcBorders>
            <w:vAlign w:val="top"/>
          </w:tcPr>
          <w:p>
            <w:pPr>
              <w:widowControl/>
              <w:textAlignment w:val="center"/>
              <w:rPr>
                <w:rFonts w:ascii="黑体" w:hAnsi="黑体" w:eastAsia="黑体" w:cs="黑体"/>
                <w:bCs/>
                <w:kern w:val="0"/>
                <w:sz w:val="22"/>
                <w:lang w:bidi="ar"/>
              </w:rPr>
            </w:pPr>
            <w:r>
              <w:rPr>
                <w:rFonts w:hint="eastAsia" w:ascii="黑体" w:hAnsi="黑体" w:eastAsia="黑体" w:cs="黑体"/>
                <w:bCs/>
                <w:kern w:val="0"/>
                <w:sz w:val="22"/>
                <w:lang w:bidi="ar"/>
              </w:rPr>
              <w:t>投标设备性能指标/配置参数/功能说明</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Cs/>
                <w:kern w:val="0"/>
                <w:sz w:val="22"/>
                <w:lang w:bidi="ar"/>
              </w:rPr>
            </w:pPr>
            <w:r>
              <w:rPr>
                <w:rFonts w:hint="eastAsia" w:ascii="黑体" w:hAnsi="黑体" w:eastAsia="黑体" w:cs="黑体"/>
                <w:bCs/>
                <w:kern w:val="0"/>
                <w:sz w:val="22"/>
                <w:lang w:bidi="ar"/>
              </w:rPr>
              <w:t>响应/负偏离</w:t>
            </w:r>
          </w:p>
        </w:tc>
      </w:tr>
      <w:tr>
        <w:tblPrEx>
          <w:tblLayout w:type="fixed"/>
          <w:tblCellMar>
            <w:top w:w="15" w:type="dxa"/>
            <w:left w:w="15" w:type="dxa"/>
            <w:bottom w:w="15" w:type="dxa"/>
            <w:right w:w="15" w:type="dxa"/>
          </w:tblCellMar>
        </w:tblPrEx>
        <w:trPr>
          <w:trHeight w:val="476" w:hRule="atLeast"/>
          <w:jc w:val="center"/>
        </w:trPr>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2"/>
              </w:rPr>
            </w:pP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sz w:val="22"/>
              </w:rPr>
            </w:pPr>
          </w:p>
        </w:tc>
        <w:tc>
          <w:tcPr>
            <w:tcW w:w="2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rPr>
            </w:pPr>
          </w:p>
        </w:tc>
        <w:tc>
          <w:tcPr>
            <w:tcW w:w="281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kern w:val="0"/>
                <w:sz w:val="22"/>
                <w:lang w:bidi="ar"/>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lang w:bidi="ar"/>
              </w:rPr>
            </w:pPr>
          </w:p>
        </w:tc>
      </w:tr>
      <w:tr>
        <w:tblPrEx>
          <w:tblLayout w:type="fixed"/>
          <w:tblCellMar>
            <w:top w:w="15" w:type="dxa"/>
            <w:left w:w="15" w:type="dxa"/>
            <w:bottom w:w="15" w:type="dxa"/>
            <w:right w:w="15" w:type="dxa"/>
          </w:tblCellMar>
        </w:tblPrEx>
        <w:trPr>
          <w:trHeight w:val="476" w:hRule="atLeast"/>
          <w:jc w:val="center"/>
        </w:trPr>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2"/>
              </w:rPr>
            </w:pP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sz w:val="22"/>
              </w:rPr>
            </w:pPr>
          </w:p>
        </w:tc>
        <w:tc>
          <w:tcPr>
            <w:tcW w:w="2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rPr>
            </w:pPr>
          </w:p>
        </w:tc>
        <w:tc>
          <w:tcPr>
            <w:tcW w:w="281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kern w:val="0"/>
                <w:sz w:val="22"/>
                <w:lang w:bidi="ar"/>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lang w:bidi="ar"/>
              </w:rPr>
            </w:pPr>
          </w:p>
        </w:tc>
      </w:tr>
      <w:tr>
        <w:tblPrEx>
          <w:tblLayout w:type="fixed"/>
          <w:tblCellMar>
            <w:top w:w="15" w:type="dxa"/>
            <w:left w:w="15" w:type="dxa"/>
            <w:bottom w:w="15" w:type="dxa"/>
            <w:right w:w="15" w:type="dxa"/>
          </w:tblCellMar>
        </w:tblPrEx>
        <w:trPr>
          <w:trHeight w:val="473" w:hRule="atLeast"/>
          <w:jc w:val="center"/>
        </w:trPr>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2"/>
              </w:rPr>
            </w:pP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sz w:val="22"/>
              </w:rPr>
            </w:pPr>
          </w:p>
        </w:tc>
        <w:tc>
          <w:tcPr>
            <w:tcW w:w="2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rPr>
            </w:pPr>
          </w:p>
        </w:tc>
        <w:tc>
          <w:tcPr>
            <w:tcW w:w="281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kern w:val="0"/>
                <w:sz w:val="22"/>
                <w:lang w:bidi="ar"/>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lang w:bidi="ar"/>
              </w:rPr>
            </w:pPr>
          </w:p>
        </w:tc>
      </w:tr>
    </w:tbl>
    <w:p/>
    <w:p>
      <w:pPr>
        <w:widowControl/>
        <w:topLinePunct/>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投标供应商全称（公章）：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widowControl/>
        <w:topLinePunct/>
        <w:snapToGrid w:val="0"/>
        <w:spacing w:line="360" w:lineRule="auto"/>
        <w:rPr>
          <w:rFonts w:ascii="仿宋" w:hAnsi="仿宋" w:eastAsia="仿宋" w:cs="仿宋"/>
          <w:sz w:val="24"/>
          <w:szCs w:val="24"/>
        </w:rPr>
      </w:pPr>
      <w:r>
        <w:rPr>
          <w:rFonts w:hint="eastAsia" w:ascii="仿宋" w:hAnsi="仿宋" w:eastAsia="仿宋" w:cs="仿宋"/>
          <w:sz w:val="24"/>
          <w:szCs w:val="24"/>
        </w:rPr>
        <w:t>法定代表人（授权代表）（签字或盖章）：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widowControl/>
        <w:topLinePunct/>
        <w:snapToGrid w:val="0"/>
        <w:spacing w:line="360" w:lineRule="auto"/>
        <w:rPr>
          <w:rFonts w:ascii="仿宋" w:hAnsi="仿宋" w:eastAsia="仿宋" w:cs="仿宋"/>
          <w:sz w:val="24"/>
          <w:szCs w:val="24"/>
        </w:rPr>
      </w:pPr>
      <w:r>
        <w:rPr>
          <w:rFonts w:hint="eastAsia" w:ascii="仿宋" w:hAnsi="仿宋" w:eastAsia="仿宋" w:cs="仿宋"/>
          <w:b/>
          <w:bCs/>
          <w:sz w:val="24"/>
          <w:szCs w:val="24"/>
        </w:rPr>
        <w:t>注：</w:t>
      </w:r>
      <w:r>
        <w:rPr>
          <w:rFonts w:hint="eastAsia" w:ascii="仿宋" w:hAnsi="仿宋" w:eastAsia="仿宋" w:cs="仿宋"/>
          <w:sz w:val="24"/>
          <w:szCs w:val="24"/>
        </w:rPr>
        <w:t>（1）对本表中的“招标要求”栏投标人须按照磋商文件第三章“项目采购需求”中技术性能要求的顺序逐项填写，不得增、删、改，否则按该条目不相应计。</w:t>
      </w:r>
    </w:p>
    <w:p>
      <w:pPr>
        <w:widowControl/>
        <w:numPr>
          <w:ilvl w:val="0"/>
          <w:numId w:val="4"/>
        </w:numPr>
        <w:topLinePunct/>
        <w:snapToGrid w:val="0"/>
        <w:spacing w:line="360" w:lineRule="auto"/>
        <w:rPr>
          <w:rFonts w:ascii="仿宋" w:hAnsi="仿宋" w:eastAsia="仿宋" w:cs="仿宋"/>
          <w:sz w:val="24"/>
          <w:szCs w:val="24"/>
        </w:rPr>
      </w:pPr>
      <w:r>
        <w:rPr>
          <w:rFonts w:hint="eastAsia" w:ascii="仿宋" w:hAnsi="仿宋" w:eastAsia="仿宋" w:cs="仿宋"/>
          <w:sz w:val="24"/>
          <w:szCs w:val="24"/>
        </w:rPr>
        <w:t>投标人需对本表中的“投标相应情况”栏对照 “招标要求”栏逐条对应作答，不得遗漏，否则按照不响应磋商文件处理。</w:t>
      </w:r>
    </w:p>
    <w:p>
      <w:pPr>
        <w:widowControl/>
        <w:numPr>
          <w:ilvl w:val="0"/>
          <w:numId w:val="4"/>
        </w:numPr>
        <w:topLinePunct/>
        <w:snapToGrid w:val="0"/>
        <w:spacing w:line="360" w:lineRule="auto"/>
        <w:rPr>
          <w:rFonts w:ascii="仿宋" w:hAnsi="仿宋" w:eastAsia="仿宋" w:cs="仿宋"/>
          <w:sz w:val="24"/>
          <w:szCs w:val="24"/>
        </w:rPr>
      </w:pPr>
      <w:r>
        <w:rPr>
          <w:rFonts w:hint="eastAsia" w:ascii="仿宋" w:hAnsi="仿宋" w:eastAsia="仿宋" w:cs="仿宋"/>
          <w:sz w:val="24"/>
          <w:szCs w:val="24"/>
        </w:rPr>
        <w:t>第三章“项目采购需求”中明确要求提供检测报告的，在本表中按实填写响应情况，以提供的符合招标要求的检测报告中的内容为准进行评定。</w:t>
      </w:r>
    </w:p>
    <w:p>
      <w:bookmarkStart w:id="152" w:name="_Toc30258"/>
      <w:r>
        <w:rPr>
          <w:rFonts w:hint="eastAsia"/>
        </w:rPr>
        <w:br w:type="page"/>
      </w:r>
    </w:p>
    <w:bookmarkEnd w:id="152"/>
    <w:p>
      <w:pPr>
        <w:pStyle w:val="5"/>
        <w:numPr>
          <w:ilvl w:val="1"/>
          <w:numId w:val="0"/>
        </w:numPr>
        <w:spacing w:before="0" w:after="0" w:line="360" w:lineRule="auto"/>
        <w:rPr>
          <w:rFonts w:ascii="黑体" w:hAnsi="黑体" w:eastAsia="黑体" w:cs="黑体"/>
          <w:b w:val="0"/>
          <w:snapToGrid w:val="0"/>
          <w:kern w:val="0"/>
          <w:sz w:val="36"/>
          <w:szCs w:val="32"/>
        </w:rPr>
      </w:pPr>
      <w:bookmarkStart w:id="153" w:name="_Toc14875"/>
      <w:r>
        <w:rPr>
          <w:rFonts w:hint="eastAsia" w:ascii="黑体" w:hAnsi="黑体" w:eastAsia="黑体" w:cs="黑体"/>
          <w:b w:val="0"/>
          <w:snapToGrid w:val="0"/>
          <w:kern w:val="0"/>
          <w:sz w:val="36"/>
          <w:szCs w:val="32"/>
        </w:rPr>
        <w:t>四、服务承诺响应表</w:t>
      </w:r>
      <w:bookmarkEnd w:id="153"/>
    </w:p>
    <w:tbl>
      <w:tblPr>
        <w:tblStyle w:val="25"/>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435"/>
        <w:gridCol w:w="3760"/>
        <w:gridCol w:w="1433"/>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725" w:type="dxa"/>
            <w:vAlign w:val="center"/>
          </w:tcPr>
          <w:p>
            <w:pPr>
              <w:jc w:val="center"/>
              <w:rPr>
                <w:rFonts w:ascii="黑体" w:hAnsi="黑体" w:eastAsia="黑体" w:cs="黑体"/>
                <w:sz w:val="24"/>
                <w:szCs w:val="24"/>
              </w:rPr>
            </w:pPr>
            <w:r>
              <w:rPr>
                <w:rFonts w:hint="eastAsia" w:ascii="黑体" w:hAnsi="黑体" w:eastAsia="黑体" w:cs="黑体"/>
                <w:sz w:val="24"/>
                <w:szCs w:val="24"/>
              </w:rPr>
              <w:t>序号</w:t>
            </w:r>
          </w:p>
        </w:tc>
        <w:tc>
          <w:tcPr>
            <w:tcW w:w="1435" w:type="dxa"/>
            <w:vAlign w:val="center"/>
          </w:tcPr>
          <w:p>
            <w:pPr>
              <w:ind w:firstLine="240" w:firstLineChars="100"/>
              <w:jc w:val="center"/>
              <w:rPr>
                <w:rFonts w:ascii="黑体" w:hAnsi="黑体" w:eastAsia="黑体" w:cs="黑体"/>
                <w:sz w:val="24"/>
                <w:szCs w:val="24"/>
              </w:rPr>
            </w:pPr>
            <w:r>
              <w:rPr>
                <w:rFonts w:hint="eastAsia" w:ascii="黑体" w:hAnsi="黑体" w:eastAsia="黑体" w:cs="黑体"/>
                <w:sz w:val="24"/>
                <w:szCs w:val="24"/>
              </w:rPr>
              <w:t>项目</w:t>
            </w:r>
          </w:p>
        </w:tc>
        <w:tc>
          <w:tcPr>
            <w:tcW w:w="3760" w:type="dxa"/>
            <w:vAlign w:val="center"/>
          </w:tcPr>
          <w:p>
            <w:pPr>
              <w:ind w:firstLine="240" w:firstLineChars="100"/>
              <w:jc w:val="center"/>
              <w:rPr>
                <w:rFonts w:ascii="黑体" w:hAnsi="黑体" w:eastAsia="黑体" w:cs="黑体"/>
                <w:sz w:val="24"/>
                <w:szCs w:val="24"/>
              </w:rPr>
            </w:pPr>
            <w:r>
              <w:rPr>
                <w:rFonts w:hint="eastAsia" w:ascii="黑体" w:hAnsi="黑体" w:eastAsia="黑体" w:cs="黑体"/>
                <w:sz w:val="24"/>
                <w:szCs w:val="24"/>
              </w:rPr>
              <w:t>招标要求</w:t>
            </w:r>
          </w:p>
        </w:tc>
        <w:tc>
          <w:tcPr>
            <w:tcW w:w="1433" w:type="dxa"/>
            <w:vAlign w:val="center"/>
          </w:tcPr>
          <w:p>
            <w:pPr>
              <w:ind w:firstLine="240" w:firstLineChars="100"/>
              <w:jc w:val="center"/>
              <w:rPr>
                <w:rFonts w:ascii="黑体" w:hAnsi="黑体" w:eastAsia="黑体" w:cs="黑体"/>
                <w:sz w:val="24"/>
                <w:szCs w:val="24"/>
              </w:rPr>
            </w:pPr>
            <w:r>
              <w:rPr>
                <w:rFonts w:hint="eastAsia" w:ascii="黑体" w:hAnsi="黑体" w:eastAsia="黑体" w:cs="黑体"/>
                <w:sz w:val="24"/>
                <w:szCs w:val="24"/>
              </w:rPr>
              <w:t>投标人相应情况</w:t>
            </w:r>
          </w:p>
        </w:tc>
        <w:tc>
          <w:tcPr>
            <w:tcW w:w="1187" w:type="dxa"/>
            <w:vAlign w:val="center"/>
          </w:tcPr>
          <w:p>
            <w:pPr>
              <w:jc w:val="center"/>
              <w:rPr>
                <w:rFonts w:ascii="黑体" w:hAnsi="黑体" w:eastAsia="黑体" w:cs="黑体"/>
                <w:sz w:val="24"/>
                <w:szCs w:val="24"/>
              </w:rPr>
            </w:pPr>
            <w:r>
              <w:rPr>
                <w:rFonts w:hint="eastAsia" w:ascii="黑体" w:hAnsi="黑体" w:eastAsia="黑体" w:cs="黑体"/>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5"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435" w:type="dxa"/>
            <w:vAlign w:val="center"/>
          </w:tcPr>
          <w:p>
            <w:pPr>
              <w:jc w:val="left"/>
              <w:rPr>
                <w:rFonts w:ascii="仿宋" w:hAnsi="仿宋" w:eastAsia="仿宋" w:cs="仿宋"/>
                <w:bCs/>
                <w:sz w:val="24"/>
                <w:szCs w:val="24"/>
              </w:rPr>
            </w:pPr>
            <w:r>
              <w:rPr>
                <w:rFonts w:hint="eastAsia" w:ascii="仿宋" w:hAnsi="仿宋" w:eastAsia="仿宋" w:cs="仿宋"/>
                <w:bCs/>
                <w:sz w:val="24"/>
                <w:szCs w:val="24"/>
              </w:rPr>
              <w:t>完成时间</w:t>
            </w:r>
          </w:p>
        </w:tc>
        <w:tc>
          <w:tcPr>
            <w:tcW w:w="3760" w:type="dxa"/>
            <w:vAlign w:val="center"/>
          </w:tcPr>
          <w:p>
            <w:pPr>
              <w:jc w:val="left"/>
              <w:rPr>
                <w:rFonts w:ascii="仿宋" w:hAnsi="仿宋" w:eastAsia="仿宋" w:cs="仿宋"/>
                <w:bCs/>
                <w:sz w:val="24"/>
                <w:szCs w:val="24"/>
              </w:rPr>
            </w:pPr>
          </w:p>
        </w:tc>
        <w:tc>
          <w:tcPr>
            <w:tcW w:w="1433" w:type="dxa"/>
            <w:vAlign w:val="center"/>
          </w:tcPr>
          <w:p>
            <w:pPr>
              <w:jc w:val="center"/>
              <w:rPr>
                <w:rFonts w:ascii="仿宋" w:hAnsi="仿宋" w:eastAsia="仿宋" w:cs="仿宋"/>
                <w:sz w:val="24"/>
                <w:szCs w:val="24"/>
              </w:rPr>
            </w:pPr>
          </w:p>
        </w:tc>
        <w:tc>
          <w:tcPr>
            <w:tcW w:w="1187"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5"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435" w:type="dxa"/>
            <w:vAlign w:val="center"/>
          </w:tcPr>
          <w:p>
            <w:pPr>
              <w:jc w:val="left"/>
              <w:rPr>
                <w:rFonts w:ascii="仿宋" w:hAnsi="仿宋" w:eastAsia="仿宋" w:cs="仿宋"/>
                <w:bCs/>
                <w:sz w:val="24"/>
                <w:szCs w:val="24"/>
              </w:rPr>
            </w:pPr>
            <w:r>
              <w:rPr>
                <w:rFonts w:hint="eastAsia" w:ascii="仿宋" w:hAnsi="仿宋" w:eastAsia="仿宋" w:cs="仿宋"/>
                <w:bCs/>
                <w:sz w:val="24"/>
                <w:szCs w:val="24"/>
              </w:rPr>
              <w:t>质保及售后</w:t>
            </w:r>
          </w:p>
        </w:tc>
        <w:tc>
          <w:tcPr>
            <w:tcW w:w="3760" w:type="dxa"/>
            <w:vAlign w:val="center"/>
          </w:tcPr>
          <w:p>
            <w:pPr>
              <w:jc w:val="left"/>
              <w:rPr>
                <w:rFonts w:ascii="仿宋" w:hAnsi="仿宋" w:eastAsia="仿宋" w:cs="仿宋"/>
                <w:bCs/>
                <w:sz w:val="24"/>
                <w:szCs w:val="24"/>
              </w:rPr>
            </w:pPr>
          </w:p>
        </w:tc>
        <w:tc>
          <w:tcPr>
            <w:tcW w:w="1433" w:type="dxa"/>
            <w:vAlign w:val="center"/>
          </w:tcPr>
          <w:p>
            <w:pPr>
              <w:jc w:val="center"/>
              <w:rPr>
                <w:rFonts w:ascii="仿宋" w:hAnsi="仿宋" w:eastAsia="仿宋" w:cs="仿宋"/>
                <w:sz w:val="24"/>
                <w:szCs w:val="24"/>
              </w:rPr>
            </w:pPr>
          </w:p>
        </w:tc>
        <w:tc>
          <w:tcPr>
            <w:tcW w:w="1187"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725"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435" w:type="dxa"/>
            <w:vAlign w:val="center"/>
          </w:tcPr>
          <w:p>
            <w:pPr>
              <w:jc w:val="left"/>
              <w:rPr>
                <w:rFonts w:ascii="仿宋" w:hAnsi="仿宋" w:eastAsia="仿宋" w:cs="仿宋"/>
                <w:bCs/>
                <w:sz w:val="24"/>
                <w:szCs w:val="24"/>
              </w:rPr>
            </w:pPr>
            <w:r>
              <w:rPr>
                <w:rFonts w:hint="eastAsia" w:ascii="仿宋" w:hAnsi="仿宋" w:eastAsia="仿宋" w:cs="仿宋"/>
                <w:bCs/>
                <w:sz w:val="24"/>
                <w:szCs w:val="24"/>
              </w:rPr>
              <w:t>备品备件库</w:t>
            </w:r>
          </w:p>
        </w:tc>
        <w:tc>
          <w:tcPr>
            <w:tcW w:w="3760" w:type="dxa"/>
            <w:vAlign w:val="center"/>
          </w:tcPr>
          <w:p>
            <w:pPr>
              <w:jc w:val="left"/>
              <w:rPr>
                <w:rFonts w:ascii="仿宋" w:hAnsi="仿宋" w:eastAsia="仿宋" w:cs="仿宋"/>
                <w:bCs/>
                <w:sz w:val="24"/>
                <w:szCs w:val="24"/>
              </w:rPr>
            </w:pPr>
          </w:p>
        </w:tc>
        <w:tc>
          <w:tcPr>
            <w:tcW w:w="1433" w:type="dxa"/>
            <w:vAlign w:val="center"/>
          </w:tcPr>
          <w:p>
            <w:pPr>
              <w:jc w:val="center"/>
              <w:rPr>
                <w:rFonts w:ascii="仿宋" w:hAnsi="仿宋" w:eastAsia="仿宋" w:cs="仿宋"/>
                <w:sz w:val="24"/>
                <w:szCs w:val="24"/>
              </w:rPr>
            </w:pPr>
          </w:p>
        </w:tc>
        <w:tc>
          <w:tcPr>
            <w:tcW w:w="1187"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725"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435" w:type="dxa"/>
            <w:vAlign w:val="center"/>
          </w:tcPr>
          <w:p>
            <w:pPr>
              <w:jc w:val="center"/>
              <w:rPr>
                <w:rFonts w:ascii="仿宋" w:hAnsi="仿宋" w:eastAsia="仿宋" w:cs="仿宋"/>
                <w:sz w:val="24"/>
                <w:szCs w:val="24"/>
              </w:rPr>
            </w:pPr>
            <w:r>
              <w:rPr>
                <w:rFonts w:hint="eastAsia" w:ascii="仿宋" w:hAnsi="仿宋" w:eastAsia="仿宋" w:cs="仿宋"/>
                <w:sz w:val="24"/>
                <w:szCs w:val="24"/>
              </w:rPr>
              <w:t>培训</w:t>
            </w:r>
          </w:p>
        </w:tc>
        <w:tc>
          <w:tcPr>
            <w:tcW w:w="3760" w:type="dxa"/>
            <w:vAlign w:val="center"/>
          </w:tcPr>
          <w:p>
            <w:pPr>
              <w:jc w:val="left"/>
              <w:rPr>
                <w:rFonts w:ascii="仿宋" w:hAnsi="仿宋" w:eastAsia="仿宋" w:cs="仿宋"/>
                <w:sz w:val="24"/>
                <w:szCs w:val="24"/>
              </w:rPr>
            </w:pPr>
          </w:p>
        </w:tc>
        <w:tc>
          <w:tcPr>
            <w:tcW w:w="1433" w:type="dxa"/>
            <w:vAlign w:val="center"/>
          </w:tcPr>
          <w:p>
            <w:pPr>
              <w:jc w:val="center"/>
              <w:rPr>
                <w:rFonts w:ascii="仿宋" w:hAnsi="仿宋" w:eastAsia="仿宋" w:cs="仿宋"/>
                <w:sz w:val="24"/>
                <w:szCs w:val="24"/>
              </w:rPr>
            </w:pPr>
          </w:p>
        </w:tc>
        <w:tc>
          <w:tcPr>
            <w:tcW w:w="1187"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725"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435" w:type="dxa"/>
            <w:vAlign w:val="center"/>
          </w:tcPr>
          <w:p>
            <w:pPr>
              <w:jc w:val="center"/>
              <w:rPr>
                <w:rFonts w:ascii="仿宋" w:hAnsi="仿宋" w:eastAsia="仿宋" w:cs="仿宋"/>
                <w:sz w:val="24"/>
                <w:szCs w:val="24"/>
              </w:rPr>
            </w:pPr>
            <w:r>
              <w:rPr>
                <w:rFonts w:hint="eastAsia" w:ascii="仿宋" w:hAnsi="仿宋" w:eastAsia="仿宋" w:cs="仿宋"/>
                <w:sz w:val="24"/>
                <w:szCs w:val="24"/>
              </w:rPr>
              <w:t>履约保证金</w:t>
            </w:r>
          </w:p>
        </w:tc>
        <w:tc>
          <w:tcPr>
            <w:tcW w:w="3760" w:type="dxa"/>
            <w:vAlign w:val="center"/>
          </w:tcPr>
          <w:p>
            <w:pPr>
              <w:jc w:val="left"/>
              <w:rPr>
                <w:rFonts w:ascii="仿宋" w:hAnsi="仿宋" w:eastAsia="仿宋" w:cs="仿宋"/>
                <w:bCs/>
                <w:sz w:val="24"/>
                <w:szCs w:val="24"/>
              </w:rPr>
            </w:pPr>
          </w:p>
        </w:tc>
        <w:tc>
          <w:tcPr>
            <w:tcW w:w="1433" w:type="dxa"/>
            <w:vAlign w:val="center"/>
          </w:tcPr>
          <w:p>
            <w:pPr>
              <w:jc w:val="center"/>
              <w:rPr>
                <w:rFonts w:ascii="仿宋" w:hAnsi="仿宋" w:eastAsia="仿宋" w:cs="仿宋"/>
                <w:sz w:val="24"/>
                <w:szCs w:val="24"/>
              </w:rPr>
            </w:pPr>
          </w:p>
        </w:tc>
        <w:tc>
          <w:tcPr>
            <w:tcW w:w="1187" w:type="dxa"/>
            <w:vAlign w:val="center"/>
          </w:tcPr>
          <w:p>
            <w:pPr>
              <w:jc w:val="center"/>
              <w:rPr>
                <w:rFonts w:ascii="仿宋" w:hAnsi="仿宋" w:eastAsia="仿宋" w:cs="仿宋"/>
                <w:sz w:val="24"/>
                <w:szCs w:val="24"/>
              </w:rPr>
            </w:pPr>
          </w:p>
        </w:tc>
      </w:tr>
    </w:tbl>
    <w:p>
      <w:pPr>
        <w:spacing w:line="360" w:lineRule="auto"/>
        <w:rPr>
          <w:rFonts w:ascii="仿宋" w:hAnsi="仿宋" w:eastAsia="仿宋" w:cs="仿宋"/>
          <w:sz w:val="24"/>
          <w:szCs w:val="24"/>
        </w:rPr>
      </w:pPr>
      <w:r>
        <w:rPr>
          <w:rFonts w:hint="eastAsia" w:ascii="仿宋" w:hAnsi="仿宋" w:eastAsia="仿宋" w:cs="仿宋"/>
          <w:sz w:val="24"/>
          <w:szCs w:val="24"/>
        </w:rPr>
        <w:t>注：本表已列项须逐项说明，其余项可由投标人根据投标文件情况自行扩展</w:t>
      </w:r>
    </w:p>
    <w:p>
      <w:pPr>
        <w:widowControl/>
        <w:topLinePunct/>
        <w:snapToGrid w:val="0"/>
        <w:spacing w:line="360" w:lineRule="auto"/>
        <w:rPr>
          <w:rFonts w:ascii="仿宋" w:hAnsi="仿宋" w:eastAsia="仿宋" w:cs="仿宋"/>
          <w:sz w:val="24"/>
          <w:szCs w:val="24"/>
        </w:rPr>
      </w:pPr>
      <w:r>
        <w:rPr>
          <w:rFonts w:hint="eastAsia" w:ascii="仿宋" w:hAnsi="仿宋" w:eastAsia="仿宋" w:cs="仿宋"/>
          <w:sz w:val="24"/>
          <w:szCs w:val="24"/>
        </w:rPr>
        <w:t>投标供应商全称（公章）：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widowControl/>
        <w:topLinePunct/>
        <w:snapToGrid w:val="0"/>
        <w:spacing w:line="360" w:lineRule="auto"/>
        <w:rPr>
          <w:rFonts w:ascii="仿宋" w:hAnsi="仿宋" w:eastAsia="仿宋" w:cs="仿宋"/>
          <w:sz w:val="24"/>
          <w:szCs w:val="24"/>
          <w:u w:val="single"/>
        </w:rPr>
      </w:pPr>
      <w:r>
        <w:rPr>
          <w:rFonts w:hint="eastAsia" w:ascii="仿宋" w:hAnsi="仿宋" w:eastAsia="仿宋" w:cs="仿宋"/>
          <w:sz w:val="24"/>
          <w:szCs w:val="24"/>
        </w:rPr>
        <w:t>法定代表人（授权代表）（签字或盖章）：</w:t>
      </w:r>
      <w:r>
        <w:rPr>
          <w:rFonts w:hint="eastAsia" w:ascii="仿宋" w:hAnsi="仿宋" w:eastAsia="仿宋" w:cs="仿宋"/>
          <w:sz w:val="24"/>
          <w:szCs w:val="24"/>
          <w:u w:val="single"/>
        </w:rPr>
        <w:t xml:space="preserve">            </w:t>
      </w:r>
    </w:p>
    <w:p>
      <w:r>
        <w:rPr>
          <w:rFonts w:hint="eastAsia"/>
        </w:rPr>
        <w:br w:type="page"/>
      </w:r>
    </w:p>
    <w:p>
      <w:pPr>
        <w:pStyle w:val="5"/>
        <w:numPr>
          <w:ilvl w:val="1"/>
          <w:numId w:val="0"/>
        </w:numPr>
        <w:spacing w:before="0" w:after="0" w:line="360" w:lineRule="auto"/>
        <w:rPr>
          <w:rFonts w:ascii="黑体" w:hAnsi="黑体" w:eastAsia="黑体" w:cs="黑体"/>
          <w:b w:val="0"/>
          <w:snapToGrid w:val="0"/>
          <w:kern w:val="0"/>
          <w:sz w:val="36"/>
          <w:szCs w:val="32"/>
        </w:rPr>
      </w:pPr>
      <w:bookmarkStart w:id="154" w:name="_Toc17981"/>
      <w:r>
        <w:rPr>
          <w:rFonts w:hint="eastAsia" w:ascii="黑体" w:hAnsi="黑体" w:eastAsia="黑体" w:cs="黑体"/>
          <w:b w:val="0"/>
          <w:snapToGrid w:val="0"/>
          <w:kern w:val="0"/>
          <w:sz w:val="36"/>
          <w:szCs w:val="32"/>
        </w:rPr>
        <w:t>五、投标人类似项目成功经验说明表</w:t>
      </w:r>
      <w:bookmarkEnd w:id="154"/>
    </w:p>
    <w:p>
      <w:pPr>
        <w:rPr>
          <w:rFonts w:ascii="仿宋" w:hAnsi="仿宋" w:eastAsia="仿宋" w:cs="仿宋"/>
          <w:b/>
          <w:bCs/>
          <w:sz w:val="24"/>
          <w:szCs w:val="24"/>
        </w:rPr>
      </w:pPr>
      <w:r>
        <w:rPr>
          <w:rFonts w:hint="eastAsia" w:ascii="仿宋" w:hAnsi="仿宋" w:eastAsia="仿宋" w:cs="仿宋"/>
          <w:b/>
          <w:bCs/>
          <w:sz w:val="24"/>
          <w:szCs w:val="24"/>
        </w:rPr>
        <w:t>说明表</w:t>
      </w:r>
    </w:p>
    <w:tbl>
      <w:tblPr>
        <w:tblStyle w:val="25"/>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212"/>
        <w:gridCol w:w="1914"/>
        <w:gridCol w:w="1916"/>
        <w:gridCol w:w="1179"/>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01" w:type="dxa"/>
            <w:vAlign w:val="center"/>
          </w:tcPr>
          <w:p>
            <w:pPr>
              <w:jc w:val="center"/>
              <w:rPr>
                <w:rFonts w:ascii="黑体" w:hAnsi="黑体" w:eastAsia="黑体" w:cs="黑体"/>
                <w:sz w:val="22"/>
              </w:rPr>
            </w:pPr>
            <w:r>
              <w:rPr>
                <w:rFonts w:hint="eastAsia" w:ascii="黑体" w:hAnsi="黑体" w:eastAsia="黑体" w:cs="黑体"/>
                <w:sz w:val="22"/>
              </w:rPr>
              <w:t>序号</w:t>
            </w:r>
          </w:p>
        </w:tc>
        <w:tc>
          <w:tcPr>
            <w:tcW w:w="2212" w:type="dxa"/>
            <w:vAlign w:val="center"/>
          </w:tcPr>
          <w:p>
            <w:pPr>
              <w:ind w:firstLine="220" w:firstLineChars="100"/>
              <w:jc w:val="center"/>
              <w:rPr>
                <w:rFonts w:ascii="黑体" w:hAnsi="黑体" w:eastAsia="黑体" w:cs="黑体"/>
                <w:sz w:val="22"/>
              </w:rPr>
            </w:pPr>
            <w:r>
              <w:rPr>
                <w:rFonts w:hint="eastAsia" w:ascii="黑体" w:hAnsi="黑体" w:eastAsia="黑体" w:cs="黑体"/>
                <w:sz w:val="22"/>
              </w:rPr>
              <w:t>名称</w:t>
            </w:r>
          </w:p>
        </w:tc>
        <w:tc>
          <w:tcPr>
            <w:tcW w:w="1914" w:type="dxa"/>
            <w:vAlign w:val="center"/>
          </w:tcPr>
          <w:p>
            <w:pPr>
              <w:ind w:firstLine="220" w:firstLineChars="100"/>
              <w:jc w:val="center"/>
              <w:rPr>
                <w:rFonts w:ascii="黑体" w:hAnsi="黑体" w:eastAsia="黑体" w:cs="黑体"/>
                <w:sz w:val="22"/>
              </w:rPr>
            </w:pPr>
            <w:r>
              <w:rPr>
                <w:rFonts w:hint="eastAsia" w:ascii="黑体" w:hAnsi="黑体" w:eastAsia="黑体" w:cs="黑体"/>
                <w:sz w:val="22"/>
              </w:rPr>
              <w:t>在用项目或系统名称</w:t>
            </w:r>
          </w:p>
        </w:tc>
        <w:tc>
          <w:tcPr>
            <w:tcW w:w="1916" w:type="dxa"/>
            <w:vAlign w:val="center"/>
          </w:tcPr>
          <w:p>
            <w:pPr>
              <w:ind w:firstLine="220" w:firstLineChars="100"/>
              <w:jc w:val="center"/>
              <w:rPr>
                <w:rFonts w:ascii="黑体" w:hAnsi="黑体" w:eastAsia="黑体" w:cs="黑体"/>
                <w:sz w:val="22"/>
              </w:rPr>
            </w:pPr>
            <w:r>
              <w:rPr>
                <w:rFonts w:hint="eastAsia" w:ascii="黑体" w:hAnsi="黑体" w:eastAsia="黑体" w:cs="黑体"/>
                <w:sz w:val="22"/>
              </w:rPr>
              <w:t>用户单位</w:t>
            </w:r>
          </w:p>
        </w:tc>
        <w:tc>
          <w:tcPr>
            <w:tcW w:w="1179" w:type="dxa"/>
            <w:vAlign w:val="center"/>
          </w:tcPr>
          <w:p>
            <w:pPr>
              <w:jc w:val="center"/>
              <w:rPr>
                <w:rFonts w:ascii="黑体" w:hAnsi="黑体" w:eastAsia="黑体" w:cs="黑体"/>
                <w:sz w:val="22"/>
              </w:rPr>
            </w:pPr>
            <w:r>
              <w:rPr>
                <w:rFonts w:hint="eastAsia" w:ascii="黑体" w:hAnsi="黑体" w:eastAsia="黑体" w:cs="黑体"/>
                <w:sz w:val="22"/>
              </w:rPr>
              <w:t>联系人姓名</w:t>
            </w:r>
          </w:p>
        </w:tc>
        <w:tc>
          <w:tcPr>
            <w:tcW w:w="1178" w:type="dxa"/>
            <w:vAlign w:val="top"/>
          </w:tcPr>
          <w:p>
            <w:pPr>
              <w:jc w:val="center"/>
              <w:rPr>
                <w:rFonts w:ascii="黑体" w:hAnsi="黑体" w:eastAsia="黑体" w:cs="黑体"/>
                <w:sz w:val="22"/>
              </w:rPr>
            </w:pPr>
            <w:r>
              <w:rPr>
                <w:rFonts w:hint="eastAsia" w:ascii="黑体" w:hAnsi="黑体" w:eastAsia="黑体" w:cs="黑体"/>
                <w:sz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01" w:type="dxa"/>
            <w:vAlign w:val="center"/>
          </w:tcPr>
          <w:p>
            <w:pPr>
              <w:jc w:val="center"/>
              <w:rPr>
                <w:rFonts w:ascii="宋体" w:hAnsi="宋体" w:cs="宋体"/>
                <w:sz w:val="22"/>
              </w:rPr>
            </w:pPr>
            <w:r>
              <w:rPr>
                <w:rFonts w:hint="eastAsia" w:ascii="宋体" w:hAnsi="宋体" w:cs="宋体"/>
                <w:sz w:val="22"/>
              </w:rPr>
              <w:t>1</w:t>
            </w:r>
          </w:p>
        </w:tc>
        <w:tc>
          <w:tcPr>
            <w:tcW w:w="2212" w:type="dxa"/>
            <w:vAlign w:val="center"/>
          </w:tcPr>
          <w:p>
            <w:pPr>
              <w:jc w:val="center"/>
              <w:rPr>
                <w:rFonts w:ascii="宋体" w:hAnsi="宋体" w:cs="宋体"/>
                <w:sz w:val="22"/>
              </w:rPr>
            </w:pPr>
          </w:p>
        </w:tc>
        <w:tc>
          <w:tcPr>
            <w:tcW w:w="1914" w:type="dxa"/>
            <w:vAlign w:val="center"/>
          </w:tcPr>
          <w:p>
            <w:pPr>
              <w:jc w:val="center"/>
              <w:rPr>
                <w:rFonts w:ascii="宋体" w:hAnsi="宋体" w:cs="宋体"/>
                <w:sz w:val="22"/>
              </w:rPr>
            </w:pPr>
          </w:p>
        </w:tc>
        <w:tc>
          <w:tcPr>
            <w:tcW w:w="1916" w:type="dxa"/>
            <w:vAlign w:val="center"/>
          </w:tcPr>
          <w:p>
            <w:pPr>
              <w:jc w:val="center"/>
              <w:rPr>
                <w:rFonts w:ascii="宋体" w:hAnsi="宋体" w:cs="宋体"/>
                <w:sz w:val="22"/>
              </w:rPr>
            </w:pPr>
          </w:p>
        </w:tc>
        <w:tc>
          <w:tcPr>
            <w:tcW w:w="1179" w:type="dxa"/>
            <w:vAlign w:val="center"/>
          </w:tcPr>
          <w:p>
            <w:pPr>
              <w:jc w:val="center"/>
              <w:rPr>
                <w:rFonts w:ascii="宋体" w:hAnsi="宋体" w:cs="宋体"/>
                <w:sz w:val="22"/>
              </w:rPr>
            </w:pPr>
          </w:p>
        </w:tc>
        <w:tc>
          <w:tcPr>
            <w:tcW w:w="1178" w:type="dxa"/>
            <w:vAlign w:val="top"/>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01" w:type="dxa"/>
            <w:vAlign w:val="center"/>
          </w:tcPr>
          <w:p>
            <w:pPr>
              <w:jc w:val="center"/>
              <w:rPr>
                <w:rFonts w:ascii="宋体" w:hAnsi="宋体" w:cs="宋体"/>
                <w:sz w:val="22"/>
              </w:rPr>
            </w:pPr>
            <w:r>
              <w:rPr>
                <w:rFonts w:hint="eastAsia" w:ascii="宋体" w:hAnsi="宋体" w:cs="宋体"/>
                <w:sz w:val="22"/>
              </w:rPr>
              <w:t>2</w:t>
            </w:r>
          </w:p>
        </w:tc>
        <w:tc>
          <w:tcPr>
            <w:tcW w:w="2212" w:type="dxa"/>
            <w:vAlign w:val="center"/>
          </w:tcPr>
          <w:p>
            <w:pPr>
              <w:jc w:val="center"/>
              <w:rPr>
                <w:rFonts w:ascii="宋体" w:hAnsi="宋体" w:cs="宋体"/>
                <w:sz w:val="22"/>
              </w:rPr>
            </w:pPr>
          </w:p>
        </w:tc>
        <w:tc>
          <w:tcPr>
            <w:tcW w:w="1914" w:type="dxa"/>
            <w:vAlign w:val="center"/>
          </w:tcPr>
          <w:p>
            <w:pPr>
              <w:jc w:val="center"/>
              <w:rPr>
                <w:rFonts w:ascii="宋体" w:hAnsi="宋体" w:cs="宋体"/>
                <w:sz w:val="22"/>
              </w:rPr>
            </w:pPr>
          </w:p>
        </w:tc>
        <w:tc>
          <w:tcPr>
            <w:tcW w:w="1916" w:type="dxa"/>
            <w:vAlign w:val="center"/>
          </w:tcPr>
          <w:p>
            <w:pPr>
              <w:jc w:val="center"/>
              <w:rPr>
                <w:rFonts w:ascii="宋体" w:hAnsi="宋体" w:cs="宋体"/>
                <w:sz w:val="22"/>
              </w:rPr>
            </w:pPr>
          </w:p>
        </w:tc>
        <w:tc>
          <w:tcPr>
            <w:tcW w:w="1179" w:type="dxa"/>
            <w:vAlign w:val="center"/>
          </w:tcPr>
          <w:p>
            <w:pPr>
              <w:jc w:val="center"/>
              <w:rPr>
                <w:rFonts w:ascii="宋体" w:hAnsi="宋体" w:cs="宋体"/>
                <w:sz w:val="22"/>
              </w:rPr>
            </w:pPr>
          </w:p>
        </w:tc>
        <w:tc>
          <w:tcPr>
            <w:tcW w:w="1178" w:type="dxa"/>
            <w:vAlign w:val="top"/>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01" w:type="dxa"/>
            <w:vAlign w:val="center"/>
          </w:tcPr>
          <w:p>
            <w:pPr>
              <w:jc w:val="center"/>
              <w:rPr>
                <w:rFonts w:ascii="宋体" w:hAnsi="宋体" w:cs="宋体"/>
                <w:sz w:val="22"/>
              </w:rPr>
            </w:pPr>
            <w:r>
              <w:rPr>
                <w:rFonts w:hint="eastAsia" w:ascii="宋体" w:hAnsi="宋体" w:cs="宋体"/>
                <w:sz w:val="22"/>
              </w:rPr>
              <w:t>3</w:t>
            </w:r>
          </w:p>
        </w:tc>
        <w:tc>
          <w:tcPr>
            <w:tcW w:w="2212" w:type="dxa"/>
            <w:vAlign w:val="center"/>
          </w:tcPr>
          <w:p>
            <w:pPr>
              <w:jc w:val="center"/>
              <w:rPr>
                <w:rFonts w:ascii="宋体" w:hAnsi="宋体" w:cs="宋体"/>
                <w:sz w:val="22"/>
              </w:rPr>
            </w:pPr>
          </w:p>
        </w:tc>
        <w:tc>
          <w:tcPr>
            <w:tcW w:w="1914" w:type="dxa"/>
            <w:vAlign w:val="center"/>
          </w:tcPr>
          <w:p>
            <w:pPr>
              <w:jc w:val="center"/>
              <w:rPr>
                <w:rFonts w:ascii="宋体" w:hAnsi="宋体" w:cs="宋体"/>
                <w:sz w:val="22"/>
              </w:rPr>
            </w:pPr>
          </w:p>
        </w:tc>
        <w:tc>
          <w:tcPr>
            <w:tcW w:w="1916" w:type="dxa"/>
            <w:vAlign w:val="center"/>
          </w:tcPr>
          <w:p>
            <w:pPr>
              <w:jc w:val="center"/>
              <w:rPr>
                <w:rFonts w:ascii="宋体" w:hAnsi="宋体" w:cs="宋体"/>
                <w:sz w:val="22"/>
              </w:rPr>
            </w:pPr>
          </w:p>
        </w:tc>
        <w:tc>
          <w:tcPr>
            <w:tcW w:w="1179" w:type="dxa"/>
            <w:vAlign w:val="center"/>
          </w:tcPr>
          <w:p>
            <w:pPr>
              <w:jc w:val="center"/>
              <w:rPr>
                <w:rFonts w:ascii="宋体" w:hAnsi="宋体" w:cs="宋体"/>
                <w:sz w:val="22"/>
              </w:rPr>
            </w:pPr>
          </w:p>
        </w:tc>
        <w:tc>
          <w:tcPr>
            <w:tcW w:w="1178" w:type="dxa"/>
            <w:vAlign w:val="top"/>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701" w:type="dxa"/>
            <w:vAlign w:val="center"/>
          </w:tcPr>
          <w:p>
            <w:pPr>
              <w:jc w:val="center"/>
              <w:rPr>
                <w:rFonts w:ascii="宋体" w:hAnsi="宋体" w:cs="宋体"/>
                <w:sz w:val="22"/>
              </w:rPr>
            </w:pPr>
            <w:r>
              <w:rPr>
                <w:rFonts w:hint="eastAsia" w:ascii="宋体" w:hAnsi="宋体" w:cs="宋体"/>
                <w:sz w:val="22"/>
              </w:rPr>
              <w:t>4</w:t>
            </w:r>
          </w:p>
        </w:tc>
        <w:tc>
          <w:tcPr>
            <w:tcW w:w="2212" w:type="dxa"/>
            <w:vAlign w:val="center"/>
          </w:tcPr>
          <w:p>
            <w:pPr>
              <w:jc w:val="center"/>
              <w:rPr>
                <w:rFonts w:ascii="宋体" w:hAnsi="宋体" w:cs="宋体"/>
                <w:sz w:val="22"/>
              </w:rPr>
            </w:pPr>
          </w:p>
        </w:tc>
        <w:tc>
          <w:tcPr>
            <w:tcW w:w="1914" w:type="dxa"/>
            <w:vAlign w:val="center"/>
          </w:tcPr>
          <w:p>
            <w:pPr>
              <w:jc w:val="center"/>
              <w:rPr>
                <w:rFonts w:ascii="宋体" w:hAnsi="宋体" w:cs="宋体"/>
                <w:sz w:val="22"/>
              </w:rPr>
            </w:pPr>
          </w:p>
        </w:tc>
        <w:tc>
          <w:tcPr>
            <w:tcW w:w="1916" w:type="dxa"/>
            <w:vAlign w:val="center"/>
          </w:tcPr>
          <w:p>
            <w:pPr>
              <w:jc w:val="center"/>
              <w:rPr>
                <w:rFonts w:ascii="宋体" w:hAnsi="宋体" w:cs="宋体"/>
                <w:sz w:val="22"/>
              </w:rPr>
            </w:pPr>
          </w:p>
        </w:tc>
        <w:tc>
          <w:tcPr>
            <w:tcW w:w="1179" w:type="dxa"/>
            <w:vAlign w:val="center"/>
          </w:tcPr>
          <w:p>
            <w:pPr>
              <w:jc w:val="center"/>
              <w:rPr>
                <w:rFonts w:ascii="宋体" w:hAnsi="宋体" w:cs="宋体"/>
                <w:sz w:val="22"/>
              </w:rPr>
            </w:pPr>
          </w:p>
        </w:tc>
        <w:tc>
          <w:tcPr>
            <w:tcW w:w="1178" w:type="dxa"/>
            <w:vAlign w:val="top"/>
          </w:tcPr>
          <w:p>
            <w:pPr>
              <w:jc w:val="center"/>
              <w:rPr>
                <w:rFonts w:ascii="宋体" w:hAnsi="宋体" w:cs="宋体"/>
                <w:sz w:val="22"/>
              </w:rPr>
            </w:pPr>
          </w:p>
        </w:tc>
      </w:tr>
    </w:tbl>
    <w:p>
      <w:pPr>
        <w:widowControl/>
        <w:topLinePunct/>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投标供应商全称（公章）：                        </w:t>
      </w:r>
    </w:p>
    <w:p>
      <w:pPr>
        <w:widowControl/>
        <w:topLinePunct/>
        <w:snapToGrid w:val="0"/>
        <w:spacing w:line="360" w:lineRule="auto"/>
        <w:rPr>
          <w:rFonts w:ascii="仿宋" w:hAnsi="仿宋" w:eastAsia="仿宋" w:cs="仿宋"/>
          <w:sz w:val="24"/>
          <w:szCs w:val="24"/>
        </w:rPr>
      </w:pPr>
      <w:r>
        <w:rPr>
          <w:rFonts w:hint="eastAsia" w:ascii="仿宋" w:hAnsi="仿宋" w:eastAsia="仿宋" w:cs="仿宋"/>
          <w:sz w:val="24"/>
          <w:szCs w:val="24"/>
        </w:rPr>
        <w:t>法定代表人（授权代表）（签字或盖章）：</w:t>
      </w:r>
    </w:p>
    <w:p>
      <w:pPr>
        <w:widowControl/>
        <w:topLinePunct/>
        <w:snapToGrid w:val="0"/>
        <w:spacing w:line="360" w:lineRule="auto"/>
        <w:rPr>
          <w:rFonts w:ascii="仿宋" w:hAnsi="仿宋" w:eastAsia="仿宋" w:cs="仿宋"/>
          <w:sz w:val="24"/>
          <w:szCs w:val="24"/>
        </w:rPr>
      </w:pPr>
      <w:r>
        <w:rPr>
          <w:rFonts w:hint="eastAsia" w:ascii="仿宋" w:hAnsi="仿宋" w:eastAsia="仿宋" w:cs="仿宋"/>
          <w:sz w:val="24"/>
          <w:szCs w:val="24"/>
        </w:rPr>
        <w:t>注：</w:t>
      </w:r>
    </w:p>
    <w:p>
      <w:pPr>
        <w:widowControl/>
        <w:topLinePunct/>
        <w:snapToGrid w:val="0"/>
        <w:spacing w:line="360" w:lineRule="auto"/>
        <w:rPr>
          <w:rFonts w:ascii="仿宋" w:hAnsi="仿宋" w:eastAsia="仿宋" w:cs="仿宋"/>
          <w:sz w:val="24"/>
          <w:szCs w:val="24"/>
        </w:rPr>
      </w:pPr>
      <w:r>
        <w:rPr>
          <w:rFonts w:hint="eastAsia" w:ascii="仿宋" w:hAnsi="仿宋" w:eastAsia="仿宋" w:cs="仿宋"/>
          <w:sz w:val="24"/>
          <w:szCs w:val="24"/>
        </w:rPr>
        <w:t>（1）请投标人按此表中“系统名称”栏下各行逐条填写，不得增、删、改；</w:t>
      </w:r>
    </w:p>
    <w:p>
      <w:pPr>
        <w:widowControl/>
        <w:topLinePunct/>
        <w:snapToGrid w:val="0"/>
        <w:spacing w:line="360" w:lineRule="auto"/>
        <w:rPr>
          <w:rFonts w:ascii="仿宋" w:hAnsi="仿宋" w:eastAsia="仿宋" w:cs="仿宋"/>
          <w:sz w:val="24"/>
          <w:szCs w:val="24"/>
        </w:rPr>
      </w:pPr>
      <w:r>
        <w:rPr>
          <w:rFonts w:hint="eastAsia" w:ascii="仿宋" w:hAnsi="仿宋" w:eastAsia="仿宋" w:cs="仿宋"/>
          <w:sz w:val="24"/>
          <w:szCs w:val="24"/>
        </w:rPr>
        <w:t>（2）证明材料参考格式:格式可修改，但必填内容不可修改。</w:t>
      </w:r>
    </w:p>
    <w:p>
      <w:pPr>
        <w:widowControl/>
        <w:topLinePunct/>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w:t>
      </w:r>
    </w:p>
    <w:p>
      <w:r>
        <w:rPr>
          <w:rFonts w:hint="eastAsia"/>
        </w:rPr>
        <w:br w:type="page"/>
      </w:r>
    </w:p>
    <w:p>
      <w:pPr>
        <w:pStyle w:val="5"/>
        <w:numPr>
          <w:ilvl w:val="1"/>
          <w:numId w:val="0"/>
        </w:numPr>
        <w:spacing w:before="0" w:after="0" w:line="360" w:lineRule="auto"/>
        <w:rPr>
          <w:rFonts w:ascii="黑体" w:hAnsi="黑体" w:eastAsia="黑体" w:cs="黑体"/>
          <w:b w:val="0"/>
          <w:snapToGrid w:val="0"/>
          <w:kern w:val="0"/>
          <w:sz w:val="36"/>
          <w:szCs w:val="32"/>
        </w:rPr>
      </w:pPr>
      <w:bookmarkStart w:id="155" w:name="_Toc3658"/>
      <w:bookmarkStart w:id="156" w:name="_Toc2413"/>
      <w:r>
        <w:rPr>
          <w:rFonts w:hint="eastAsia" w:ascii="黑体" w:hAnsi="黑体" w:eastAsia="黑体" w:cs="黑体"/>
          <w:b w:val="0"/>
          <w:snapToGrid w:val="0"/>
          <w:kern w:val="0"/>
          <w:sz w:val="36"/>
          <w:szCs w:val="32"/>
        </w:rPr>
        <w:t>六、实施方案</w:t>
      </w:r>
      <w:bookmarkEnd w:id="155"/>
      <w:bookmarkEnd w:id="156"/>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本项包括供货方案、安装方案、验收方案、培训方案、售后服务方案等，应包含且不限于下列内容：</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项目实施进度、人员安排、运输安装方案、质量保证措施、验收方案、培训计划（包括时间、地点、人员数量等内容）、售后服务方案（包括服务时间、响应时间、服务人员水平和能力、重大活动保障方案）等内容。 </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（如果需要）附表：项目人员安排一览表</w:t>
      </w:r>
    </w:p>
    <w:tbl>
      <w:tblPr>
        <w:tblStyle w:val="25"/>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095"/>
        <w:gridCol w:w="2358"/>
        <w:gridCol w:w="1048"/>
        <w:gridCol w:w="1798"/>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58" w:type="dxa"/>
            <w:vAlign w:val="center"/>
          </w:tcPr>
          <w:p>
            <w:pPr>
              <w:widowControl/>
              <w:topLinePunct/>
              <w:jc w:val="center"/>
              <w:rPr>
                <w:rFonts w:ascii="黑体" w:hAnsi="黑体" w:eastAsia="黑体" w:cs="黑体"/>
                <w:sz w:val="24"/>
                <w:szCs w:val="24"/>
              </w:rPr>
            </w:pPr>
            <w:r>
              <w:rPr>
                <w:rFonts w:hint="eastAsia" w:ascii="黑体" w:hAnsi="黑体" w:eastAsia="黑体" w:cs="黑体"/>
                <w:sz w:val="24"/>
                <w:szCs w:val="24"/>
              </w:rPr>
              <w:t>序号</w:t>
            </w:r>
          </w:p>
        </w:tc>
        <w:tc>
          <w:tcPr>
            <w:tcW w:w="1095" w:type="dxa"/>
            <w:vAlign w:val="center"/>
          </w:tcPr>
          <w:p>
            <w:pPr>
              <w:widowControl/>
              <w:topLinePunct/>
              <w:jc w:val="center"/>
              <w:rPr>
                <w:rFonts w:ascii="黑体" w:hAnsi="黑体" w:eastAsia="黑体" w:cs="黑体"/>
                <w:sz w:val="24"/>
                <w:szCs w:val="24"/>
              </w:rPr>
            </w:pPr>
            <w:r>
              <w:rPr>
                <w:rFonts w:hint="eastAsia" w:ascii="黑体" w:hAnsi="黑体" w:eastAsia="黑体" w:cs="黑体"/>
                <w:sz w:val="24"/>
                <w:szCs w:val="24"/>
              </w:rPr>
              <w:t>姓名</w:t>
            </w:r>
          </w:p>
        </w:tc>
        <w:tc>
          <w:tcPr>
            <w:tcW w:w="2358" w:type="dxa"/>
            <w:vAlign w:val="center"/>
          </w:tcPr>
          <w:p>
            <w:pPr>
              <w:widowControl/>
              <w:topLinePunct/>
              <w:jc w:val="center"/>
              <w:rPr>
                <w:rFonts w:ascii="黑体" w:hAnsi="黑体" w:eastAsia="黑体" w:cs="黑体"/>
                <w:sz w:val="24"/>
                <w:szCs w:val="24"/>
              </w:rPr>
            </w:pPr>
            <w:r>
              <w:rPr>
                <w:rFonts w:hint="eastAsia" w:ascii="黑体" w:hAnsi="黑体" w:eastAsia="黑体" w:cs="黑体"/>
                <w:sz w:val="24"/>
                <w:szCs w:val="24"/>
              </w:rPr>
              <w:t>在本项目中担任的职务</w:t>
            </w:r>
          </w:p>
        </w:tc>
        <w:tc>
          <w:tcPr>
            <w:tcW w:w="1048" w:type="dxa"/>
            <w:vAlign w:val="center"/>
          </w:tcPr>
          <w:p>
            <w:pPr>
              <w:widowControl/>
              <w:topLinePunct/>
              <w:jc w:val="center"/>
              <w:rPr>
                <w:rFonts w:ascii="黑体" w:hAnsi="黑体" w:eastAsia="黑体" w:cs="黑体"/>
                <w:sz w:val="24"/>
                <w:szCs w:val="24"/>
              </w:rPr>
            </w:pPr>
            <w:r>
              <w:rPr>
                <w:rFonts w:hint="eastAsia" w:ascii="黑体" w:hAnsi="黑体" w:eastAsia="黑体" w:cs="黑体"/>
                <w:sz w:val="24"/>
                <w:szCs w:val="24"/>
              </w:rPr>
              <w:t>职称</w:t>
            </w:r>
          </w:p>
        </w:tc>
        <w:tc>
          <w:tcPr>
            <w:tcW w:w="1798" w:type="dxa"/>
            <w:vAlign w:val="center"/>
          </w:tcPr>
          <w:p>
            <w:pPr>
              <w:widowControl/>
              <w:topLinePunct/>
              <w:jc w:val="center"/>
              <w:rPr>
                <w:rFonts w:ascii="黑体" w:hAnsi="黑体" w:eastAsia="黑体" w:cs="黑体"/>
                <w:sz w:val="24"/>
                <w:szCs w:val="24"/>
              </w:rPr>
            </w:pPr>
            <w:r>
              <w:rPr>
                <w:rFonts w:hint="eastAsia" w:ascii="黑体" w:hAnsi="黑体" w:eastAsia="黑体" w:cs="黑体"/>
                <w:sz w:val="24"/>
                <w:szCs w:val="24"/>
              </w:rPr>
              <w:t>身份证号码</w:t>
            </w:r>
          </w:p>
        </w:tc>
        <w:tc>
          <w:tcPr>
            <w:tcW w:w="2343" w:type="dxa"/>
            <w:vAlign w:val="center"/>
          </w:tcPr>
          <w:p>
            <w:pPr>
              <w:widowControl/>
              <w:topLinePunct/>
              <w:jc w:val="center"/>
              <w:rPr>
                <w:rFonts w:ascii="黑体" w:hAnsi="黑体" w:eastAsia="黑体" w:cs="黑体"/>
                <w:sz w:val="24"/>
                <w:szCs w:val="24"/>
              </w:rPr>
            </w:pPr>
            <w:r>
              <w:rPr>
                <w:rFonts w:hint="eastAsia" w:ascii="黑体" w:hAnsi="黑体" w:eastAsia="黑体" w:cs="黑体"/>
                <w:sz w:val="24"/>
                <w:szCs w:val="24"/>
              </w:rPr>
              <w:t>主要资历、经验</w:t>
            </w:r>
          </w:p>
          <w:p>
            <w:pPr>
              <w:widowControl/>
              <w:topLinePunct/>
              <w:jc w:val="center"/>
              <w:rPr>
                <w:rFonts w:ascii="黑体" w:hAnsi="黑体" w:eastAsia="黑体" w:cs="黑体"/>
                <w:sz w:val="24"/>
                <w:szCs w:val="24"/>
              </w:rPr>
            </w:pPr>
            <w:r>
              <w:rPr>
                <w:rFonts w:hint="eastAsia" w:ascii="黑体" w:hAnsi="黑体" w:eastAsia="黑体" w:cs="黑体"/>
                <w:sz w:val="24"/>
                <w:szCs w:val="24"/>
              </w:rPr>
              <w:t>及承担过的</w:t>
            </w:r>
          </w:p>
          <w:p>
            <w:pPr>
              <w:widowControl/>
              <w:topLinePunct/>
              <w:jc w:val="center"/>
              <w:rPr>
                <w:rFonts w:ascii="黑体" w:hAnsi="黑体" w:eastAsia="黑体" w:cs="黑体"/>
                <w:sz w:val="24"/>
                <w:szCs w:val="24"/>
              </w:rPr>
            </w:pPr>
            <w:r>
              <w:rPr>
                <w:rFonts w:hint="eastAsia" w:ascii="黑体" w:hAnsi="黑体" w:eastAsia="黑体" w:cs="黑体"/>
                <w:sz w:val="24"/>
                <w:szCs w:val="24"/>
              </w:rPr>
              <w:t>管理项目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9" w:hRule="atLeast"/>
        </w:trPr>
        <w:tc>
          <w:tcPr>
            <w:tcW w:w="558" w:type="dxa"/>
            <w:vAlign w:val="center"/>
          </w:tcPr>
          <w:p>
            <w:pPr>
              <w:widowControl/>
              <w:topLinePunct/>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095" w:type="dxa"/>
            <w:vAlign w:val="center"/>
          </w:tcPr>
          <w:p>
            <w:pPr>
              <w:widowControl/>
              <w:topLinePunct/>
              <w:spacing w:line="360" w:lineRule="auto"/>
              <w:jc w:val="center"/>
              <w:rPr>
                <w:rFonts w:ascii="仿宋" w:hAnsi="仿宋" w:eastAsia="仿宋" w:cs="仿宋"/>
                <w:sz w:val="24"/>
                <w:szCs w:val="24"/>
              </w:rPr>
            </w:pPr>
            <w:r>
              <w:rPr>
                <w:rFonts w:hint="eastAsia" w:ascii="仿宋" w:hAnsi="仿宋" w:eastAsia="仿宋" w:cs="仿宋"/>
                <w:sz w:val="24"/>
                <w:szCs w:val="24"/>
              </w:rPr>
              <w:t>……</w:t>
            </w:r>
          </w:p>
        </w:tc>
        <w:tc>
          <w:tcPr>
            <w:tcW w:w="2358" w:type="dxa"/>
            <w:vAlign w:val="center"/>
          </w:tcPr>
          <w:p>
            <w:pPr>
              <w:widowControl/>
              <w:topLinePunct/>
              <w:spacing w:line="360" w:lineRule="auto"/>
              <w:jc w:val="center"/>
              <w:rPr>
                <w:rFonts w:ascii="仿宋" w:hAnsi="仿宋" w:eastAsia="仿宋" w:cs="仿宋"/>
                <w:sz w:val="24"/>
                <w:szCs w:val="24"/>
              </w:rPr>
            </w:pPr>
            <w:r>
              <w:rPr>
                <w:rFonts w:hint="eastAsia" w:ascii="仿宋" w:hAnsi="仿宋" w:eastAsia="仿宋" w:cs="仿宋"/>
                <w:sz w:val="24"/>
                <w:szCs w:val="24"/>
              </w:rPr>
              <w:t>项目经理</w:t>
            </w:r>
          </w:p>
          <w:p>
            <w:pPr>
              <w:widowControl/>
              <w:topLinePunct/>
              <w:spacing w:line="360" w:lineRule="auto"/>
              <w:rPr>
                <w:rFonts w:ascii="仿宋" w:hAnsi="仿宋" w:eastAsia="仿宋" w:cs="仿宋"/>
                <w:sz w:val="24"/>
                <w:szCs w:val="24"/>
              </w:rPr>
            </w:pPr>
            <w:r>
              <w:rPr>
                <w:rFonts w:hint="eastAsia" w:ascii="仿宋" w:hAnsi="仿宋" w:eastAsia="仿宋" w:cs="仿宋"/>
                <w:sz w:val="24"/>
                <w:szCs w:val="24"/>
              </w:rPr>
              <w:t>（请列明细）</w:t>
            </w:r>
          </w:p>
        </w:tc>
        <w:tc>
          <w:tcPr>
            <w:tcW w:w="1048" w:type="dxa"/>
            <w:vAlign w:val="center"/>
          </w:tcPr>
          <w:p>
            <w:pPr>
              <w:widowControl/>
              <w:topLinePunct/>
              <w:spacing w:line="360" w:lineRule="auto"/>
              <w:jc w:val="center"/>
              <w:rPr>
                <w:rFonts w:ascii="仿宋" w:hAnsi="仿宋" w:eastAsia="仿宋" w:cs="仿宋"/>
                <w:sz w:val="24"/>
                <w:szCs w:val="24"/>
              </w:rPr>
            </w:pPr>
          </w:p>
        </w:tc>
        <w:tc>
          <w:tcPr>
            <w:tcW w:w="1798" w:type="dxa"/>
            <w:vAlign w:val="center"/>
          </w:tcPr>
          <w:p>
            <w:pPr>
              <w:widowControl/>
              <w:topLinePunct/>
              <w:spacing w:line="360" w:lineRule="auto"/>
              <w:jc w:val="center"/>
              <w:rPr>
                <w:rFonts w:ascii="仿宋" w:hAnsi="仿宋" w:eastAsia="仿宋" w:cs="仿宋"/>
                <w:sz w:val="24"/>
                <w:szCs w:val="24"/>
              </w:rPr>
            </w:pPr>
          </w:p>
        </w:tc>
        <w:tc>
          <w:tcPr>
            <w:tcW w:w="2343" w:type="dxa"/>
            <w:vAlign w:val="center"/>
          </w:tcPr>
          <w:p>
            <w:pPr>
              <w:widowControl/>
              <w:topLinePunct/>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9" w:hRule="atLeast"/>
        </w:trPr>
        <w:tc>
          <w:tcPr>
            <w:tcW w:w="558" w:type="dxa"/>
            <w:vAlign w:val="center"/>
          </w:tcPr>
          <w:p>
            <w:pPr>
              <w:widowControl/>
              <w:topLinePunct/>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1095" w:type="dxa"/>
            <w:vAlign w:val="center"/>
          </w:tcPr>
          <w:p>
            <w:pPr>
              <w:widowControl/>
              <w:topLinePunct/>
              <w:spacing w:line="360" w:lineRule="auto"/>
              <w:jc w:val="center"/>
              <w:rPr>
                <w:rFonts w:ascii="仿宋" w:hAnsi="仿宋" w:eastAsia="仿宋" w:cs="仿宋"/>
                <w:sz w:val="24"/>
                <w:szCs w:val="24"/>
              </w:rPr>
            </w:pPr>
            <w:r>
              <w:rPr>
                <w:rFonts w:hint="eastAsia" w:ascii="仿宋" w:hAnsi="仿宋" w:eastAsia="仿宋" w:cs="仿宋"/>
                <w:sz w:val="24"/>
                <w:szCs w:val="24"/>
              </w:rPr>
              <w:t>……</w:t>
            </w:r>
          </w:p>
        </w:tc>
        <w:tc>
          <w:tcPr>
            <w:tcW w:w="2358" w:type="dxa"/>
            <w:vAlign w:val="center"/>
          </w:tcPr>
          <w:p>
            <w:pPr>
              <w:widowControl/>
              <w:topLinePunct/>
              <w:spacing w:line="360" w:lineRule="auto"/>
              <w:jc w:val="center"/>
              <w:rPr>
                <w:rFonts w:ascii="仿宋" w:hAnsi="仿宋" w:eastAsia="仿宋" w:cs="仿宋"/>
                <w:sz w:val="24"/>
                <w:szCs w:val="24"/>
              </w:rPr>
            </w:pPr>
            <w:r>
              <w:rPr>
                <w:rFonts w:hint="eastAsia" w:ascii="仿宋" w:hAnsi="仿宋" w:eastAsia="仿宋" w:cs="仿宋"/>
                <w:sz w:val="24"/>
                <w:szCs w:val="24"/>
              </w:rPr>
              <w:t>主要管理和</w:t>
            </w:r>
          </w:p>
          <w:p>
            <w:pPr>
              <w:widowControl/>
              <w:topLinePunct/>
              <w:spacing w:line="360" w:lineRule="auto"/>
              <w:jc w:val="center"/>
              <w:rPr>
                <w:rFonts w:ascii="仿宋" w:hAnsi="仿宋" w:eastAsia="仿宋" w:cs="仿宋"/>
                <w:sz w:val="24"/>
                <w:szCs w:val="24"/>
              </w:rPr>
            </w:pPr>
            <w:r>
              <w:rPr>
                <w:rFonts w:hint="eastAsia" w:ascii="仿宋" w:hAnsi="仿宋" w:eastAsia="仿宋" w:cs="仿宋"/>
                <w:sz w:val="24"/>
                <w:szCs w:val="24"/>
              </w:rPr>
              <w:t>技术人员</w:t>
            </w:r>
          </w:p>
          <w:p>
            <w:pPr>
              <w:widowControl/>
              <w:topLinePunct/>
              <w:spacing w:line="360" w:lineRule="auto"/>
              <w:jc w:val="center"/>
              <w:rPr>
                <w:rFonts w:ascii="仿宋" w:hAnsi="仿宋" w:eastAsia="仿宋" w:cs="仿宋"/>
                <w:sz w:val="24"/>
                <w:szCs w:val="24"/>
              </w:rPr>
            </w:pPr>
            <w:r>
              <w:rPr>
                <w:rFonts w:hint="eastAsia" w:ascii="仿宋" w:hAnsi="仿宋" w:eastAsia="仿宋" w:cs="仿宋"/>
                <w:sz w:val="24"/>
                <w:szCs w:val="24"/>
              </w:rPr>
              <w:t>（请列明细）</w:t>
            </w:r>
          </w:p>
        </w:tc>
        <w:tc>
          <w:tcPr>
            <w:tcW w:w="1048" w:type="dxa"/>
            <w:vAlign w:val="center"/>
          </w:tcPr>
          <w:p>
            <w:pPr>
              <w:widowControl/>
              <w:topLinePunct/>
              <w:spacing w:line="360" w:lineRule="auto"/>
              <w:jc w:val="center"/>
              <w:rPr>
                <w:rFonts w:ascii="仿宋" w:hAnsi="仿宋" w:eastAsia="仿宋" w:cs="仿宋"/>
                <w:sz w:val="24"/>
                <w:szCs w:val="24"/>
              </w:rPr>
            </w:pPr>
          </w:p>
        </w:tc>
        <w:tc>
          <w:tcPr>
            <w:tcW w:w="1798" w:type="dxa"/>
            <w:vAlign w:val="center"/>
          </w:tcPr>
          <w:p>
            <w:pPr>
              <w:widowControl/>
              <w:topLinePunct/>
              <w:spacing w:line="360" w:lineRule="auto"/>
              <w:jc w:val="center"/>
              <w:rPr>
                <w:rFonts w:ascii="仿宋" w:hAnsi="仿宋" w:eastAsia="仿宋" w:cs="仿宋"/>
                <w:sz w:val="24"/>
                <w:szCs w:val="24"/>
              </w:rPr>
            </w:pPr>
          </w:p>
        </w:tc>
        <w:tc>
          <w:tcPr>
            <w:tcW w:w="2343" w:type="dxa"/>
            <w:vAlign w:val="center"/>
          </w:tcPr>
          <w:p>
            <w:pPr>
              <w:widowControl/>
              <w:topLinePunct/>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atLeast"/>
        </w:trPr>
        <w:tc>
          <w:tcPr>
            <w:tcW w:w="558" w:type="dxa"/>
            <w:vAlign w:val="top"/>
          </w:tcPr>
          <w:p>
            <w:pPr>
              <w:widowControl/>
              <w:topLinePunct/>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1095" w:type="dxa"/>
            <w:vAlign w:val="center"/>
          </w:tcPr>
          <w:p>
            <w:pPr>
              <w:widowControl/>
              <w:topLinePunct/>
              <w:spacing w:line="360" w:lineRule="auto"/>
              <w:jc w:val="center"/>
              <w:rPr>
                <w:rFonts w:ascii="仿宋" w:hAnsi="仿宋" w:eastAsia="仿宋" w:cs="仿宋"/>
                <w:sz w:val="24"/>
                <w:szCs w:val="24"/>
              </w:rPr>
            </w:pPr>
            <w:r>
              <w:rPr>
                <w:rFonts w:hint="eastAsia" w:ascii="仿宋" w:hAnsi="仿宋" w:eastAsia="仿宋" w:cs="仿宋"/>
                <w:sz w:val="24"/>
                <w:szCs w:val="24"/>
              </w:rPr>
              <w:t>……</w:t>
            </w:r>
          </w:p>
        </w:tc>
        <w:tc>
          <w:tcPr>
            <w:tcW w:w="2358" w:type="dxa"/>
            <w:vAlign w:val="center"/>
          </w:tcPr>
          <w:p>
            <w:pPr>
              <w:widowControl/>
              <w:topLinePunct/>
              <w:spacing w:line="360" w:lineRule="auto"/>
              <w:jc w:val="center"/>
              <w:rPr>
                <w:rFonts w:ascii="仿宋" w:hAnsi="仿宋" w:eastAsia="仿宋" w:cs="仿宋"/>
                <w:sz w:val="24"/>
                <w:szCs w:val="24"/>
              </w:rPr>
            </w:pPr>
            <w:r>
              <w:rPr>
                <w:rFonts w:hint="eastAsia" w:ascii="仿宋" w:hAnsi="仿宋" w:eastAsia="仿宋" w:cs="仿宋"/>
                <w:sz w:val="24"/>
                <w:szCs w:val="24"/>
              </w:rPr>
              <w:t>其他人员</w:t>
            </w:r>
          </w:p>
          <w:p>
            <w:pPr>
              <w:widowControl/>
              <w:topLinePunct/>
              <w:spacing w:line="360" w:lineRule="auto"/>
              <w:rPr>
                <w:rFonts w:ascii="仿宋" w:hAnsi="仿宋" w:eastAsia="仿宋" w:cs="仿宋"/>
                <w:sz w:val="24"/>
                <w:szCs w:val="24"/>
              </w:rPr>
            </w:pPr>
            <w:r>
              <w:rPr>
                <w:rFonts w:hint="eastAsia" w:ascii="仿宋" w:hAnsi="仿宋" w:eastAsia="仿宋" w:cs="仿宋"/>
                <w:sz w:val="24"/>
                <w:szCs w:val="24"/>
              </w:rPr>
              <w:t>（请列明细）</w:t>
            </w:r>
          </w:p>
        </w:tc>
        <w:tc>
          <w:tcPr>
            <w:tcW w:w="1048" w:type="dxa"/>
            <w:vAlign w:val="center"/>
          </w:tcPr>
          <w:p>
            <w:pPr>
              <w:widowControl/>
              <w:topLinePunct/>
              <w:spacing w:line="360" w:lineRule="auto"/>
              <w:jc w:val="center"/>
              <w:rPr>
                <w:rFonts w:ascii="仿宋" w:hAnsi="仿宋" w:eastAsia="仿宋" w:cs="仿宋"/>
                <w:sz w:val="24"/>
                <w:szCs w:val="24"/>
              </w:rPr>
            </w:pPr>
          </w:p>
        </w:tc>
        <w:tc>
          <w:tcPr>
            <w:tcW w:w="1798" w:type="dxa"/>
            <w:vAlign w:val="center"/>
          </w:tcPr>
          <w:p>
            <w:pPr>
              <w:widowControl/>
              <w:topLinePunct/>
              <w:spacing w:line="360" w:lineRule="auto"/>
              <w:jc w:val="center"/>
              <w:rPr>
                <w:rFonts w:ascii="仿宋" w:hAnsi="仿宋" w:eastAsia="仿宋" w:cs="仿宋"/>
                <w:sz w:val="24"/>
                <w:szCs w:val="24"/>
              </w:rPr>
            </w:pPr>
          </w:p>
        </w:tc>
        <w:tc>
          <w:tcPr>
            <w:tcW w:w="2343" w:type="dxa"/>
            <w:vAlign w:val="center"/>
          </w:tcPr>
          <w:p>
            <w:pPr>
              <w:widowControl/>
              <w:topLinePunct/>
              <w:spacing w:line="360" w:lineRule="auto"/>
              <w:jc w:val="center"/>
              <w:rPr>
                <w:rFonts w:ascii="仿宋" w:hAnsi="仿宋" w:eastAsia="仿宋" w:cs="仿宋"/>
                <w:sz w:val="24"/>
                <w:szCs w:val="24"/>
              </w:rPr>
            </w:pPr>
          </w:p>
        </w:tc>
      </w:tr>
    </w:tbl>
    <w:p>
      <w:pPr>
        <w:widowControl/>
        <w:topLinePunct/>
        <w:snapToGrid w:val="0"/>
        <w:spacing w:line="360" w:lineRule="auto"/>
        <w:rPr>
          <w:rFonts w:ascii="仿宋" w:hAnsi="仿宋" w:eastAsia="仿宋" w:cs="仿宋"/>
          <w:sz w:val="24"/>
          <w:szCs w:val="24"/>
        </w:rPr>
      </w:pPr>
      <w:r>
        <w:rPr>
          <w:rFonts w:hint="eastAsia" w:ascii="仿宋" w:hAnsi="仿宋" w:eastAsia="仿宋" w:cs="仿宋"/>
          <w:sz w:val="24"/>
          <w:szCs w:val="24"/>
        </w:rPr>
        <w:t>投标供应商全称（公章）：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widowControl/>
        <w:topLinePunct/>
        <w:snapToGrid w:val="0"/>
        <w:spacing w:line="360" w:lineRule="auto"/>
        <w:rPr>
          <w:rFonts w:ascii="仿宋" w:hAnsi="仿宋" w:eastAsia="仿宋" w:cs="仿宋"/>
          <w:sz w:val="24"/>
          <w:szCs w:val="24"/>
        </w:rPr>
      </w:pPr>
      <w:r>
        <w:rPr>
          <w:rFonts w:hint="eastAsia" w:ascii="仿宋" w:hAnsi="仿宋" w:eastAsia="仿宋" w:cs="仿宋"/>
          <w:sz w:val="24"/>
          <w:szCs w:val="24"/>
        </w:rPr>
        <w:t>法定代表人（授权代表）（签字或盖章）：</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注：（1）此表为表样，行数可自行添加，但表式不变。</w:t>
      </w:r>
    </w:p>
    <w:p>
      <w:pPr>
        <w:spacing w:line="360" w:lineRule="auto"/>
        <w:rPr>
          <w:rFonts w:ascii="仿宋" w:hAnsi="仿宋" w:eastAsia="仿宋" w:cs="仿宋"/>
          <w:sz w:val="24"/>
          <w:szCs w:val="24"/>
        </w:rPr>
      </w:pPr>
      <w:r>
        <w:rPr>
          <w:rFonts w:hint="eastAsia" w:ascii="仿宋" w:hAnsi="仿宋" w:eastAsia="仿宋" w:cs="仿宋"/>
          <w:sz w:val="24"/>
          <w:szCs w:val="24"/>
        </w:rPr>
        <w:t xml:space="preserve">    （2）项目人员资质、管理经验证明文件、本单位员工证明文件等另附。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（3）若本项目有多个分包的且人员安排相同的，则只需填写一份此表，并注明“所有分包”。否则每个分包须分别填写此表，并注明分包号。</w:t>
      </w:r>
    </w:p>
    <w:p>
      <w:pPr>
        <w:spacing w:line="520" w:lineRule="exact"/>
        <w:rPr>
          <w:rFonts w:ascii="宋体" w:hAnsi="宋体" w:cs="宋体"/>
        </w:rPr>
      </w:pPr>
    </w:p>
    <w:p>
      <w:bookmarkStart w:id="157" w:name="_Toc26642"/>
      <w:r>
        <w:rPr>
          <w:rFonts w:hint="eastAsia"/>
        </w:rPr>
        <w:br w:type="page"/>
      </w:r>
      <w:bookmarkEnd w:id="157"/>
      <w:bookmarkStart w:id="158" w:name="_Toc18698"/>
    </w:p>
    <w:p>
      <w:pPr>
        <w:pStyle w:val="5"/>
        <w:numPr>
          <w:ilvl w:val="1"/>
          <w:numId w:val="0"/>
        </w:numPr>
        <w:spacing w:before="0" w:after="0" w:line="360" w:lineRule="auto"/>
        <w:rPr>
          <w:rFonts w:ascii="黑体" w:hAnsi="黑体" w:eastAsia="黑体" w:cs="黑体"/>
          <w:b w:val="0"/>
          <w:snapToGrid w:val="0"/>
          <w:kern w:val="0"/>
          <w:sz w:val="36"/>
          <w:szCs w:val="32"/>
        </w:rPr>
      </w:pPr>
      <w:bookmarkStart w:id="159" w:name="_Toc2122"/>
      <w:r>
        <w:rPr>
          <w:rFonts w:hint="eastAsia" w:ascii="黑体" w:hAnsi="黑体" w:eastAsia="黑体" w:cs="黑体"/>
          <w:b w:val="0"/>
          <w:snapToGrid w:val="0"/>
          <w:kern w:val="0"/>
          <w:sz w:val="36"/>
          <w:szCs w:val="32"/>
        </w:rPr>
        <w:t>七、资格证明文件</w:t>
      </w:r>
      <w:bookmarkEnd w:id="158"/>
      <w:bookmarkEnd w:id="159"/>
    </w:p>
    <w:tbl>
      <w:tblPr>
        <w:tblStyle w:val="25"/>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4848"/>
        <w:gridCol w:w="224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76" w:type="dxa"/>
            <w:vAlign w:val="center"/>
          </w:tcPr>
          <w:p>
            <w:pPr>
              <w:jc w:val="center"/>
              <w:rPr>
                <w:rFonts w:ascii="黑体" w:hAnsi="黑体" w:eastAsia="黑体" w:cs="黑体"/>
                <w:sz w:val="24"/>
                <w:szCs w:val="24"/>
              </w:rPr>
            </w:pPr>
            <w:r>
              <w:rPr>
                <w:rFonts w:hint="eastAsia" w:ascii="黑体" w:hAnsi="黑体" w:eastAsia="黑体" w:cs="黑体"/>
                <w:sz w:val="24"/>
                <w:szCs w:val="24"/>
              </w:rPr>
              <w:t>序号</w:t>
            </w:r>
          </w:p>
        </w:tc>
        <w:tc>
          <w:tcPr>
            <w:tcW w:w="4848" w:type="dxa"/>
            <w:vAlign w:val="center"/>
          </w:tcPr>
          <w:p>
            <w:pPr>
              <w:jc w:val="center"/>
              <w:rPr>
                <w:rFonts w:ascii="黑体" w:hAnsi="黑体" w:eastAsia="黑体" w:cs="黑体"/>
                <w:sz w:val="24"/>
                <w:szCs w:val="24"/>
              </w:rPr>
            </w:pPr>
            <w:r>
              <w:rPr>
                <w:rFonts w:hint="eastAsia" w:ascii="黑体" w:hAnsi="黑体" w:eastAsia="黑体" w:cs="黑体"/>
                <w:sz w:val="24"/>
                <w:szCs w:val="24"/>
              </w:rPr>
              <w:t>磋商文件要求的</w:t>
            </w:r>
          </w:p>
          <w:p>
            <w:pPr>
              <w:jc w:val="center"/>
              <w:rPr>
                <w:rFonts w:ascii="黑体" w:hAnsi="黑体" w:eastAsia="黑体" w:cs="黑体"/>
                <w:sz w:val="24"/>
                <w:szCs w:val="24"/>
              </w:rPr>
            </w:pPr>
            <w:r>
              <w:rPr>
                <w:rFonts w:hint="eastAsia" w:ascii="黑体" w:hAnsi="黑体" w:eastAsia="黑体" w:cs="黑体"/>
                <w:sz w:val="24"/>
                <w:szCs w:val="24"/>
              </w:rPr>
              <w:t>资格证明文件</w:t>
            </w:r>
          </w:p>
        </w:tc>
        <w:tc>
          <w:tcPr>
            <w:tcW w:w="2248" w:type="dxa"/>
            <w:vAlign w:val="center"/>
          </w:tcPr>
          <w:p>
            <w:pPr>
              <w:rPr>
                <w:rFonts w:ascii="黑体" w:hAnsi="黑体" w:eastAsia="黑体" w:cs="黑体"/>
                <w:sz w:val="24"/>
                <w:szCs w:val="24"/>
              </w:rPr>
            </w:pPr>
            <w:r>
              <w:rPr>
                <w:rFonts w:hint="eastAsia" w:ascii="黑体" w:hAnsi="黑体" w:eastAsia="黑体" w:cs="黑体"/>
                <w:sz w:val="24"/>
                <w:szCs w:val="24"/>
              </w:rPr>
              <w:t>供应商提供的资格证明文件（须标明名称及对应页码）</w:t>
            </w:r>
          </w:p>
        </w:tc>
        <w:tc>
          <w:tcPr>
            <w:tcW w:w="1368" w:type="dxa"/>
            <w:vAlign w:val="center"/>
          </w:tcPr>
          <w:p>
            <w:pPr>
              <w:jc w:val="center"/>
              <w:rPr>
                <w:rFonts w:ascii="黑体" w:hAnsi="黑体" w:eastAsia="黑体" w:cs="黑体"/>
                <w:sz w:val="24"/>
                <w:szCs w:val="24"/>
              </w:rPr>
            </w:pPr>
            <w:r>
              <w:rPr>
                <w:rFonts w:hint="eastAsia" w:ascii="黑体" w:hAnsi="黑体" w:eastAsia="黑体" w:cs="黑体"/>
                <w:sz w:val="24"/>
                <w:szCs w:val="24"/>
              </w:rPr>
              <w:t>是否</w:t>
            </w:r>
          </w:p>
          <w:p>
            <w:pPr>
              <w:jc w:val="center"/>
              <w:rPr>
                <w:rFonts w:ascii="黑体" w:hAnsi="黑体" w:eastAsia="黑体" w:cs="黑体"/>
                <w:sz w:val="24"/>
                <w:szCs w:val="24"/>
              </w:rPr>
            </w:pPr>
            <w:r>
              <w:rPr>
                <w:rFonts w:hint="eastAsia" w:ascii="黑体" w:hAnsi="黑体" w:eastAsia="黑体" w:cs="黑体"/>
                <w:sz w:val="24"/>
                <w:szCs w:val="24"/>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876" w:type="dxa"/>
            <w:vAlign w:val="top"/>
          </w:tcPr>
          <w:p>
            <w:pPr>
              <w:jc w:val="center"/>
              <w:rPr>
                <w:rFonts w:ascii="仿宋" w:hAnsi="仿宋" w:eastAsia="仿宋" w:cs="仿宋"/>
                <w:sz w:val="24"/>
                <w:szCs w:val="24"/>
              </w:rPr>
            </w:pPr>
            <w:r>
              <w:rPr>
                <w:rFonts w:hint="eastAsia" w:ascii="仿宋" w:hAnsi="仿宋" w:eastAsia="仿宋" w:cs="仿宋"/>
                <w:sz w:val="24"/>
                <w:szCs w:val="24"/>
              </w:rPr>
              <w:t>1</w:t>
            </w:r>
          </w:p>
        </w:tc>
        <w:tc>
          <w:tcPr>
            <w:tcW w:w="4848" w:type="dxa"/>
            <w:vAlign w:val="top"/>
          </w:tcPr>
          <w:p>
            <w:pPr>
              <w:jc w:val="left"/>
              <w:rPr>
                <w:rFonts w:ascii="仿宋" w:hAnsi="仿宋" w:eastAsia="仿宋" w:cs="仿宋"/>
                <w:sz w:val="24"/>
                <w:szCs w:val="24"/>
              </w:rPr>
            </w:pPr>
            <w:r>
              <w:rPr>
                <w:rFonts w:hint="eastAsia" w:ascii="仿宋" w:hAnsi="仿宋" w:eastAsia="仿宋" w:cs="仿宋"/>
                <w:sz w:val="24"/>
                <w:szCs w:val="24"/>
              </w:rPr>
              <w:t>法人或者其他组织的营业执照等证明文件，自然人的身份证明；</w:t>
            </w:r>
          </w:p>
        </w:tc>
        <w:tc>
          <w:tcPr>
            <w:tcW w:w="2248" w:type="dxa"/>
            <w:vAlign w:val="top"/>
          </w:tcPr>
          <w:p>
            <w:pPr>
              <w:rPr>
                <w:rFonts w:ascii="仿宋" w:hAnsi="仿宋" w:eastAsia="仿宋" w:cs="仿宋"/>
                <w:sz w:val="24"/>
                <w:szCs w:val="24"/>
              </w:rPr>
            </w:pPr>
          </w:p>
        </w:tc>
        <w:tc>
          <w:tcPr>
            <w:tcW w:w="1368" w:type="dxa"/>
            <w:vAlign w:val="top"/>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6" w:type="dxa"/>
            <w:vAlign w:val="top"/>
          </w:tcPr>
          <w:p>
            <w:pPr>
              <w:jc w:val="center"/>
              <w:rPr>
                <w:rFonts w:ascii="仿宋" w:hAnsi="仿宋" w:eastAsia="仿宋" w:cs="仿宋"/>
                <w:sz w:val="24"/>
                <w:szCs w:val="24"/>
              </w:rPr>
            </w:pPr>
            <w:r>
              <w:rPr>
                <w:rFonts w:hint="eastAsia" w:ascii="仿宋" w:hAnsi="仿宋" w:eastAsia="仿宋" w:cs="仿宋"/>
                <w:sz w:val="24"/>
                <w:szCs w:val="24"/>
              </w:rPr>
              <w:t>2</w:t>
            </w:r>
          </w:p>
        </w:tc>
        <w:tc>
          <w:tcPr>
            <w:tcW w:w="4848" w:type="dxa"/>
            <w:vAlign w:val="top"/>
          </w:tcPr>
          <w:p>
            <w:pPr>
              <w:jc w:val="left"/>
              <w:rPr>
                <w:rFonts w:ascii="仿宋" w:hAnsi="仿宋" w:eastAsia="仿宋" w:cs="仿宋"/>
                <w:sz w:val="24"/>
                <w:szCs w:val="24"/>
              </w:rPr>
            </w:pPr>
            <w:r>
              <w:rPr>
                <w:rFonts w:hint="eastAsia" w:ascii="仿宋" w:hAnsi="仿宋" w:eastAsia="仿宋" w:cs="仿宋"/>
                <w:sz w:val="24"/>
                <w:szCs w:val="24"/>
              </w:rPr>
              <w:t>具有良好的商业信誉和健全的财务会计制度，提供上一年度的财务状况报告（成立不满一年不需提供）；</w:t>
            </w:r>
          </w:p>
        </w:tc>
        <w:tc>
          <w:tcPr>
            <w:tcW w:w="2248" w:type="dxa"/>
            <w:vAlign w:val="top"/>
          </w:tcPr>
          <w:p>
            <w:pPr>
              <w:rPr>
                <w:rFonts w:ascii="仿宋" w:hAnsi="仿宋" w:eastAsia="仿宋" w:cs="仿宋"/>
                <w:sz w:val="24"/>
                <w:szCs w:val="24"/>
              </w:rPr>
            </w:pPr>
          </w:p>
        </w:tc>
        <w:tc>
          <w:tcPr>
            <w:tcW w:w="1368" w:type="dxa"/>
            <w:vAlign w:val="top"/>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876" w:type="dxa"/>
            <w:vAlign w:val="top"/>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4848" w:type="dxa"/>
            <w:vAlign w:val="top"/>
          </w:tcPr>
          <w:p>
            <w:pPr>
              <w:jc w:val="left"/>
              <w:rPr>
                <w:rFonts w:ascii="仿宋" w:hAnsi="仿宋" w:eastAsia="仿宋" w:cs="仿宋"/>
                <w:color w:val="auto"/>
                <w:sz w:val="24"/>
                <w:szCs w:val="24"/>
              </w:rPr>
            </w:pPr>
            <w:r>
              <w:rPr>
                <w:rFonts w:hint="eastAsia" w:ascii="仿宋" w:hAnsi="仿宋" w:eastAsia="仿宋" w:cs="仿宋"/>
                <w:color w:val="auto"/>
                <w:sz w:val="24"/>
                <w:szCs w:val="24"/>
              </w:rPr>
              <w:t>有依法</w:t>
            </w:r>
            <w:r>
              <w:rPr>
                <w:rFonts w:hint="eastAsia" w:ascii="仿宋" w:hAnsi="仿宋" w:eastAsia="仿宋" w:cs="仿宋"/>
                <w:b/>
                <w:bCs/>
                <w:color w:val="auto"/>
                <w:sz w:val="24"/>
                <w:szCs w:val="24"/>
              </w:rPr>
              <w:t>缴纳税收</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rPr>
              <w:t>良好记录，提供参加本次政府采购活动近六个月（至少一个月）依法缴纳税收的相关材料（根据国家相关政策免缴或迟缴的需提供相关证明材料）；</w:t>
            </w:r>
          </w:p>
        </w:tc>
        <w:tc>
          <w:tcPr>
            <w:tcW w:w="2248" w:type="dxa"/>
            <w:vAlign w:val="top"/>
          </w:tcPr>
          <w:p>
            <w:pPr>
              <w:rPr>
                <w:rFonts w:ascii="仿宋" w:hAnsi="仿宋" w:eastAsia="仿宋" w:cs="仿宋"/>
                <w:color w:val="FF0000"/>
                <w:sz w:val="24"/>
                <w:szCs w:val="24"/>
              </w:rPr>
            </w:pPr>
          </w:p>
        </w:tc>
        <w:tc>
          <w:tcPr>
            <w:tcW w:w="1368" w:type="dxa"/>
            <w:vAlign w:val="top"/>
          </w:tcPr>
          <w:p>
            <w:pPr>
              <w:rPr>
                <w:rFonts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876" w:type="dxa"/>
            <w:vAlign w:val="top"/>
          </w:tcPr>
          <w:p>
            <w:pPr>
              <w:jc w:val="center"/>
              <w:rPr>
                <w:rFonts w:hint="eastAsia"/>
                <w:color w:val="auto"/>
              </w:rPr>
            </w:pPr>
          </w:p>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w:t>
            </w:r>
          </w:p>
        </w:tc>
        <w:tc>
          <w:tcPr>
            <w:tcW w:w="4848" w:type="dxa"/>
            <w:vAlign w:val="top"/>
          </w:tcPr>
          <w:p>
            <w:pPr>
              <w:jc w:val="left"/>
              <w:rPr>
                <w:rFonts w:hint="eastAsia" w:ascii="仿宋" w:hAnsi="仿宋" w:eastAsia="仿宋" w:cs="仿宋"/>
                <w:b/>
                <w:bCs/>
                <w:color w:val="auto"/>
                <w:sz w:val="24"/>
                <w:szCs w:val="24"/>
              </w:rPr>
            </w:pPr>
            <w:r>
              <w:rPr>
                <w:rFonts w:hint="eastAsia" w:ascii="仿宋" w:hAnsi="仿宋" w:eastAsia="仿宋" w:cs="仿宋"/>
                <w:color w:val="auto"/>
                <w:sz w:val="24"/>
                <w:szCs w:val="24"/>
              </w:rPr>
              <w:t>有依法</w:t>
            </w:r>
            <w:r>
              <w:rPr>
                <w:rFonts w:hint="eastAsia" w:ascii="仿宋" w:hAnsi="仿宋" w:eastAsia="仿宋" w:cs="仿宋"/>
                <w:b/>
                <w:bCs/>
                <w:color w:val="auto"/>
                <w:sz w:val="24"/>
                <w:szCs w:val="24"/>
              </w:rPr>
              <w:t>缴纳社会保障资金</w:t>
            </w:r>
            <w:r>
              <w:rPr>
                <w:rFonts w:hint="eastAsia" w:ascii="仿宋" w:hAnsi="仿宋" w:eastAsia="仿宋" w:cs="仿宋"/>
                <w:color w:val="auto"/>
                <w:sz w:val="24"/>
                <w:szCs w:val="24"/>
              </w:rPr>
              <w:t>的良好记录，提供参加本次政府采购活动近六个月（至少一个月）依法缴纳社会保障资金的相关材料（根据国家相关政策免缴或迟缴的需提供相关证明材料）；</w:t>
            </w:r>
          </w:p>
        </w:tc>
        <w:tc>
          <w:tcPr>
            <w:tcW w:w="2248" w:type="dxa"/>
            <w:vAlign w:val="top"/>
          </w:tcPr>
          <w:p>
            <w:pPr>
              <w:rPr>
                <w:rFonts w:ascii="仿宋" w:hAnsi="仿宋" w:eastAsia="仿宋" w:cs="仿宋"/>
                <w:color w:val="FF0000"/>
                <w:sz w:val="24"/>
                <w:szCs w:val="24"/>
              </w:rPr>
            </w:pPr>
          </w:p>
        </w:tc>
        <w:tc>
          <w:tcPr>
            <w:tcW w:w="1368" w:type="dxa"/>
            <w:vAlign w:val="top"/>
          </w:tcPr>
          <w:p>
            <w:pPr>
              <w:rPr>
                <w:rFonts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876"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4848" w:type="dxa"/>
            <w:vAlign w:val="top"/>
          </w:tcPr>
          <w:p>
            <w:pPr>
              <w:jc w:val="left"/>
              <w:rPr>
                <w:rFonts w:ascii="仿宋" w:hAnsi="仿宋" w:eastAsia="仿宋" w:cs="仿宋"/>
                <w:sz w:val="24"/>
                <w:szCs w:val="24"/>
              </w:rPr>
            </w:pPr>
            <w:r>
              <w:rPr>
                <w:rFonts w:hint="eastAsia" w:ascii="仿宋" w:hAnsi="仿宋" w:eastAsia="仿宋" w:cs="仿宋"/>
                <w:sz w:val="24"/>
                <w:szCs w:val="24"/>
              </w:rPr>
              <w:t xml:space="preserve">具有履行合同所必需的设备和专业技术能力（根据项目需求提供履行合同所必需的设备和专业技术能力的声明或证明材料）；    </w:t>
            </w:r>
          </w:p>
        </w:tc>
        <w:tc>
          <w:tcPr>
            <w:tcW w:w="2248" w:type="dxa"/>
            <w:vAlign w:val="top"/>
          </w:tcPr>
          <w:p>
            <w:pPr>
              <w:rPr>
                <w:rFonts w:ascii="仿宋" w:hAnsi="仿宋" w:eastAsia="仿宋" w:cs="仿宋"/>
                <w:sz w:val="24"/>
                <w:szCs w:val="24"/>
              </w:rPr>
            </w:pPr>
          </w:p>
        </w:tc>
        <w:tc>
          <w:tcPr>
            <w:tcW w:w="1368" w:type="dxa"/>
            <w:vAlign w:val="top"/>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876"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p>
        </w:tc>
        <w:tc>
          <w:tcPr>
            <w:tcW w:w="4848" w:type="dxa"/>
            <w:vAlign w:val="top"/>
          </w:tcPr>
          <w:p>
            <w:pPr>
              <w:jc w:val="left"/>
              <w:rPr>
                <w:rFonts w:ascii="仿宋" w:hAnsi="仿宋" w:eastAsia="仿宋" w:cs="仿宋"/>
                <w:sz w:val="24"/>
                <w:szCs w:val="24"/>
              </w:rPr>
            </w:pPr>
            <w:r>
              <w:rPr>
                <w:rFonts w:hint="eastAsia" w:ascii="仿宋" w:hAnsi="仿宋" w:eastAsia="仿宋" w:cs="仿宋"/>
                <w:sz w:val="24"/>
                <w:szCs w:val="24"/>
              </w:rPr>
              <w:t>参加政府采购活动前3年内在经营活动中没有重大违法记录的书面声明；</w:t>
            </w:r>
          </w:p>
        </w:tc>
        <w:tc>
          <w:tcPr>
            <w:tcW w:w="2248" w:type="dxa"/>
            <w:vAlign w:val="top"/>
          </w:tcPr>
          <w:p>
            <w:pPr>
              <w:rPr>
                <w:rFonts w:ascii="仿宋" w:hAnsi="仿宋" w:eastAsia="仿宋" w:cs="仿宋"/>
                <w:sz w:val="24"/>
                <w:szCs w:val="24"/>
              </w:rPr>
            </w:pPr>
          </w:p>
        </w:tc>
        <w:tc>
          <w:tcPr>
            <w:tcW w:w="1368" w:type="dxa"/>
            <w:vAlign w:val="top"/>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876" w:type="dxa"/>
            <w:vAlign w:val="top"/>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4848" w:type="dxa"/>
            <w:vAlign w:val="top"/>
          </w:tcPr>
          <w:p>
            <w:pPr>
              <w:rPr>
                <w:rFonts w:ascii="仿宋" w:hAnsi="仿宋" w:eastAsia="仿宋" w:cs="仿宋"/>
                <w:sz w:val="24"/>
                <w:szCs w:val="24"/>
              </w:rPr>
            </w:pPr>
            <w:r>
              <w:rPr>
                <w:rFonts w:hint="eastAsia" w:ascii="仿宋" w:hAnsi="仿宋" w:eastAsia="仿宋" w:cs="仿宋"/>
                <w:sz w:val="24"/>
                <w:szCs w:val="24"/>
              </w:rPr>
              <w:t>供应商被“信用中国”网站（www.creditchina.gov.cn）、“中国政府采购网"(www.ccgp.gov.cn)列入失信被执行人、重大税收违法案件当事人名单、政府采购严重违法失信行为记录名单。</w:t>
            </w:r>
          </w:p>
        </w:tc>
        <w:tc>
          <w:tcPr>
            <w:tcW w:w="2248" w:type="dxa"/>
            <w:vAlign w:val="top"/>
          </w:tcPr>
          <w:p>
            <w:pPr>
              <w:rPr>
                <w:rFonts w:ascii="仿宋" w:hAnsi="仿宋" w:eastAsia="仿宋" w:cs="仿宋"/>
                <w:sz w:val="24"/>
                <w:szCs w:val="24"/>
              </w:rPr>
            </w:pPr>
          </w:p>
        </w:tc>
        <w:tc>
          <w:tcPr>
            <w:tcW w:w="1368" w:type="dxa"/>
            <w:vAlign w:val="top"/>
          </w:tcPr>
          <w:p>
            <w:pPr>
              <w:rPr>
                <w:rFonts w:ascii="仿宋" w:hAnsi="仿宋" w:eastAsia="仿宋" w:cs="仿宋"/>
                <w:sz w:val="24"/>
                <w:szCs w:val="24"/>
              </w:rPr>
            </w:pPr>
          </w:p>
        </w:tc>
      </w:tr>
    </w:tbl>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说明：上述所列资格证明文件为必须提供内容，未提供或未提供有效材料的，将不能通过符合性审查。</w:t>
      </w:r>
    </w:p>
    <w:p>
      <w:pPr>
        <w:rPr>
          <w:rFonts w:ascii="宋体" w:hAnsi="宋体" w:cs="宋体"/>
        </w:rPr>
      </w:pPr>
    </w:p>
    <w:p>
      <w:pPr>
        <w:pStyle w:val="5"/>
        <w:numPr>
          <w:ilvl w:val="1"/>
          <w:numId w:val="0"/>
        </w:numPr>
        <w:spacing w:after="20"/>
        <w:ind w:left="420" w:leftChars="200"/>
        <w:rPr>
          <w:rFonts w:ascii="宋体" w:hAnsi="宋体" w:eastAsia="宋体" w:cs="宋体"/>
          <w:sz w:val="30"/>
        </w:rPr>
      </w:pPr>
      <w:r>
        <w:rPr>
          <w:rFonts w:hint="eastAsia" w:ascii="宋体" w:hAnsi="宋体" w:eastAsia="宋体" w:cs="宋体"/>
          <w:sz w:val="30"/>
        </w:rPr>
        <w:br w:type="page"/>
      </w:r>
      <w:bookmarkStart w:id="160" w:name="_Toc10300"/>
      <w:bookmarkStart w:id="161" w:name="_Toc29912"/>
      <w:r>
        <w:rPr>
          <w:rFonts w:hint="eastAsia" w:ascii="黑体" w:hAnsi="黑体" w:eastAsia="黑体" w:cs="黑体"/>
          <w:b w:val="0"/>
          <w:snapToGrid w:val="0"/>
          <w:kern w:val="0"/>
          <w:sz w:val="36"/>
          <w:szCs w:val="32"/>
        </w:rPr>
        <w:t>八、相关附表格式</w:t>
      </w:r>
      <w:bookmarkEnd w:id="160"/>
      <w:bookmarkEnd w:id="161"/>
    </w:p>
    <w:p>
      <w:pPr>
        <w:pStyle w:val="6"/>
        <w:spacing w:before="0" w:after="0" w:line="360" w:lineRule="auto"/>
        <w:jc w:val="center"/>
        <w:rPr>
          <w:rFonts w:ascii="黑体" w:hAnsi="黑体" w:eastAsia="黑体" w:cs="黑体"/>
          <w:b w:val="0"/>
          <w:bCs w:val="0"/>
        </w:rPr>
      </w:pPr>
      <w:bookmarkStart w:id="162" w:name="_Toc3656"/>
      <w:r>
        <w:rPr>
          <w:rFonts w:hint="eastAsia" w:ascii="黑体" w:hAnsi="黑体" w:eastAsia="黑体" w:cs="黑体"/>
          <w:b w:val="0"/>
          <w:bCs w:val="0"/>
        </w:rPr>
        <w:t>1、法人授权委托书</w:t>
      </w:r>
      <w:bookmarkEnd w:id="162"/>
    </w:p>
    <w:p>
      <w:pPr>
        <w:spacing w:line="360" w:lineRule="auto"/>
        <w:rPr>
          <w:rFonts w:ascii="仿宋" w:hAnsi="仿宋" w:eastAsia="仿宋" w:cs="仿宋"/>
          <w:sz w:val="24"/>
          <w:szCs w:val="24"/>
        </w:rPr>
      </w:pPr>
      <w:r>
        <w:rPr>
          <w:rFonts w:hint="eastAsia" w:ascii="仿宋" w:hAnsi="仿宋" w:eastAsia="仿宋" w:cs="仿宋"/>
          <w:sz w:val="24"/>
          <w:szCs w:val="24"/>
        </w:rPr>
        <w:t>江苏柒采招标代理有限公司：</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本授权书宣告：</w:t>
      </w:r>
    </w:p>
    <w:p>
      <w:pPr>
        <w:snapToGrid w:val="0"/>
        <w:spacing w:line="360" w:lineRule="auto"/>
        <w:rPr>
          <w:rFonts w:ascii="仿宋" w:hAnsi="仿宋" w:eastAsia="仿宋" w:cs="仿宋"/>
          <w:sz w:val="24"/>
          <w:szCs w:val="24"/>
          <w:u w:val="single"/>
        </w:rPr>
      </w:pPr>
      <w:r>
        <w:rPr>
          <w:rFonts w:hint="eastAsia" w:ascii="仿宋" w:hAnsi="仿宋" w:eastAsia="仿宋" w:cs="仿宋"/>
          <w:sz w:val="24"/>
          <w:szCs w:val="24"/>
        </w:rPr>
        <w:t>委托人：</w:t>
      </w:r>
      <w:r>
        <w:rPr>
          <w:rFonts w:hint="eastAsia" w:ascii="仿宋" w:hAnsi="仿宋" w:eastAsia="仿宋" w:cs="仿宋"/>
          <w:sz w:val="24"/>
          <w:szCs w:val="24"/>
          <w:u w:val="single"/>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法定代表人：</w:t>
      </w:r>
      <w:r>
        <w:rPr>
          <w:rFonts w:hint="eastAsia" w:ascii="仿宋" w:hAnsi="仿宋" w:eastAsia="仿宋" w:cs="仿宋"/>
          <w:sz w:val="24"/>
          <w:szCs w:val="24"/>
          <w:u w:val="single"/>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受托人：姓名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性别：</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出生日期：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napToGrid w:val="0"/>
        <w:spacing w:line="360" w:lineRule="auto"/>
        <w:rPr>
          <w:rFonts w:ascii="仿宋" w:hAnsi="仿宋" w:eastAsia="仿宋" w:cs="仿宋"/>
          <w:sz w:val="24"/>
          <w:szCs w:val="24"/>
        </w:rPr>
      </w:pPr>
      <w:r>
        <w:rPr>
          <w:rFonts w:hint="eastAsia" w:ascii="仿宋" w:hAnsi="仿宋" w:eastAsia="仿宋" w:cs="仿宋"/>
          <w:sz w:val="24"/>
          <w:szCs w:val="24"/>
        </w:rPr>
        <w:t>所在单位：</w:t>
      </w:r>
      <w:r>
        <w:rPr>
          <w:rFonts w:hint="eastAsia" w:ascii="仿宋" w:hAnsi="仿宋" w:eastAsia="仿宋" w:cs="仿宋"/>
          <w:sz w:val="24"/>
          <w:szCs w:val="24"/>
          <w:u w:val="single"/>
        </w:rPr>
        <w:t xml:space="preserve">                            </w:t>
      </w:r>
      <w:r>
        <w:rPr>
          <w:rFonts w:hint="eastAsia" w:ascii="仿宋" w:hAnsi="仿宋" w:eastAsia="仿宋" w:cs="仿宋"/>
          <w:sz w:val="24"/>
          <w:szCs w:val="24"/>
        </w:rPr>
        <w:t>职务：</w:t>
      </w:r>
      <w:r>
        <w:rPr>
          <w:rFonts w:hint="eastAsia" w:ascii="仿宋" w:hAnsi="仿宋" w:eastAsia="仿宋" w:cs="仿宋"/>
          <w:sz w:val="24"/>
          <w:szCs w:val="24"/>
          <w:u w:val="single"/>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身 份 证：</w:t>
      </w:r>
      <w:r>
        <w:rPr>
          <w:rFonts w:hint="eastAsia" w:ascii="仿宋" w:hAnsi="仿宋" w:eastAsia="仿宋" w:cs="仿宋"/>
          <w:sz w:val="24"/>
          <w:szCs w:val="24"/>
          <w:u w:val="single"/>
        </w:rPr>
        <w:t xml:space="preserve">                </w:t>
      </w:r>
      <w:r>
        <w:rPr>
          <w:rFonts w:hint="eastAsia" w:ascii="仿宋" w:hAnsi="仿宋" w:eastAsia="仿宋" w:cs="仿宋"/>
          <w:sz w:val="24"/>
          <w:szCs w:val="24"/>
        </w:rPr>
        <w:t>联系方式:</w:t>
      </w:r>
      <w:r>
        <w:rPr>
          <w:rFonts w:hint="eastAsia" w:ascii="仿宋" w:hAnsi="仿宋" w:eastAsia="仿宋" w:cs="仿宋"/>
          <w:sz w:val="24"/>
          <w:szCs w:val="24"/>
          <w:u w:val="single"/>
        </w:rPr>
        <w:t xml:space="preserve">                    </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兹委托受托人</w:t>
      </w:r>
      <w:r>
        <w:rPr>
          <w:rFonts w:hint="eastAsia" w:ascii="仿宋" w:hAnsi="仿宋" w:eastAsia="仿宋" w:cs="仿宋"/>
          <w:sz w:val="24"/>
          <w:szCs w:val="24"/>
          <w:u w:val="single"/>
        </w:rPr>
        <w:t xml:space="preserve">               </w:t>
      </w:r>
      <w:r>
        <w:rPr>
          <w:rFonts w:hint="eastAsia" w:ascii="仿宋" w:hAnsi="仿宋" w:eastAsia="仿宋" w:cs="仿宋"/>
          <w:sz w:val="24"/>
          <w:szCs w:val="24"/>
        </w:rPr>
        <w:t>合法地代表我单位参加江苏柒采招标代理有限公司组织的（采购编号为：</w:t>
      </w:r>
      <w:r>
        <w:rPr>
          <w:rFonts w:hint="eastAsia" w:ascii="仿宋" w:hAnsi="仿宋" w:eastAsia="仿宋" w:cs="仿宋"/>
          <w:sz w:val="24"/>
          <w:szCs w:val="24"/>
          <w:u w:val="single"/>
          <w:lang w:eastAsia="zh-CN"/>
        </w:rPr>
        <w:t>QC-2018120313H</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lang w:eastAsia="zh-CN"/>
        </w:rPr>
        <w:t>省药监局等级保护整改服务项目</w:t>
      </w:r>
      <w:r>
        <w:rPr>
          <w:rFonts w:hint="eastAsia" w:ascii="仿宋" w:hAnsi="仿宋" w:eastAsia="仿宋" w:cs="仿宋"/>
          <w:sz w:val="24"/>
          <w:szCs w:val="24"/>
        </w:rPr>
        <w:t>的政府采购活动，受托人有权在该投标活动中，以我单位的名义签署投标书和投标文件，与集中采购机构协商、澄清、解释，质疑，签订合同书并执行一切与此有关的事项。</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受托人在办理上述事宜过程中以其自己的名义所签署的所有文件我均予以承认。受托人无转委托权。</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委托期限：至上述事宜处理完毕止。</w:t>
      </w:r>
    </w:p>
    <w:p>
      <w:pPr>
        <w:snapToGrid w:val="0"/>
        <w:spacing w:line="360" w:lineRule="auto"/>
        <w:ind w:firstLine="2280" w:firstLineChars="950"/>
        <w:rPr>
          <w:rFonts w:ascii="仿宋" w:hAnsi="仿宋" w:eastAsia="仿宋" w:cs="仿宋"/>
          <w:sz w:val="24"/>
          <w:szCs w:val="24"/>
          <w:u w:val="single"/>
        </w:rPr>
      </w:pPr>
      <w:r>
        <w:rPr>
          <w:rFonts w:hint="eastAsia" w:ascii="仿宋" w:hAnsi="仿宋" w:eastAsia="仿宋" w:cs="仿宋"/>
          <w:sz w:val="24"/>
          <w:szCs w:val="24"/>
        </w:rPr>
        <w:t xml:space="preserve">委托单位   </w:t>
      </w:r>
      <w:r>
        <w:rPr>
          <w:rFonts w:hint="eastAsia" w:ascii="仿宋" w:hAnsi="仿宋" w:eastAsia="仿宋" w:cs="仿宋"/>
          <w:sz w:val="24"/>
          <w:szCs w:val="24"/>
          <w:u w:val="single"/>
        </w:rPr>
        <w:t xml:space="preserve"> （公章）          </w:t>
      </w:r>
    </w:p>
    <w:p>
      <w:pPr>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法定代表人 </w:t>
      </w:r>
      <w:r>
        <w:rPr>
          <w:rFonts w:hint="eastAsia" w:ascii="仿宋" w:hAnsi="仿宋" w:eastAsia="仿宋" w:cs="仿宋"/>
          <w:sz w:val="24"/>
          <w:szCs w:val="24"/>
          <w:u w:val="single"/>
        </w:rPr>
        <w:t xml:space="preserve"> （签字或盖章）          </w:t>
      </w:r>
    </w:p>
    <w:p>
      <w:pPr>
        <w:snapToGrid w:val="0"/>
        <w:spacing w:line="360" w:lineRule="auto"/>
        <w:ind w:firstLine="2280" w:firstLineChars="950"/>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360" w:lineRule="auto"/>
        <w:rPr>
          <w:rFonts w:ascii="仿宋" w:hAnsi="仿宋" w:eastAsia="仿宋" w:cs="仿宋"/>
          <w:sz w:val="24"/>
          <w:szCs w:val="24"/>
        </w:rPr>
      </w:pPr>
      <w:r>
        <w:rPr>
          <w:rFonts w:hint="eastAsia" w:ascii="仿宋" w:hAnsi="仿宋" w:eastAsia="仿宋" w:cs="仿宋"/>
          <w:sz w:val="24"/>
          <w:szCs w:val="24"/>
        </w:rPr>
        <w:t>备注：</w:t>
      </w:r>
    </w:p>
    <w:p>
      <w:pPr>
        <w:spacing w:line="360" w:lineRule="auto"/>
        <w:rPr>
          <w:rFonts w:ascii="仿宋" w:hAnsi="仿宋" w:eastAsia="仿宋" w:cs="仿宋"/>
          <w:b/>
          <w:sz w:val="24"/>
          <w:szCs w:val="24"/>
          <w:u w:val="single"/>
        </w:rPr>
      </w:pPr>
      <w:r>
        <w:rPr>
          <w:rFonts w:hint="eastAsia" w:ascii="仿宋" w:hAnsi="仿宋" w:eastAsia="仿宋" w:cs="仿宋"/>
          <w:sz w:val="24"/>
          <w:szCs w:val="24"/>
        </w:rPr>
        <w:t>（1）供应商授权代表须在投标截止时间前持授权书原件、授权代表身份证办理签名报到，</w:t>
      </w:r>
      <w:r>
        <w:rPr>
          <w:rFonts w:hint="eastAsia" w:ascii="仿宋" w:hAnsi="仿宋" w:eastAsia="仿宋" w:cs="仿宋"/>
          <w:b/>
          <w:sz w:val="24"/>
          <w:szCs w:val="24"/>
        </w:rPr>
        <w:t>非授权代表办理上述事宜，我司将拒绝。</w:t>
      </w:r>
    </w:p>
    <w:p>
      <w:pPr>
        <w:spacing w:line="360" w:lineRule="auto"/>
        <w:rPr>
          <w:rFonts w:ascii="仿宋" w:hAnsi="仿宋" w:eastAsia="仿宋" w:cs="仿宋"/>
          <w:sz w:val="24"/>
          <w:szCs w:val="24"/>
        </w:rPr>
      </w:pPr>
      <w:r>
        <w:rPr>
          <w:rFonts w:hint="eastAsia" w:ascii="仿宋" w:hAnsi="仿宋" w:eastAsia="仿宋" w:cs="仿宋"/>
          <w:sz w:val="24"/>
          <w:szCs w:val="24"/>
        </w:rPr>
        <w:t>（2）供应商法定代表人直接参加投标的，无须提供法人授权委托书，但须持本人身份证件及营业执照复印件办理相关手续。</w:t>
      </w:r>
    </w:p>
    <w:p>
      <w:bookmarkStart w:id="163" w:name="_Toc29546"/>
      <w:r>
        <w:rPr>
          <w:rFonts w:hint="eastAsia"/>
        </w:rPr>
        <w:br w:type="page"/>
      </w:r>
    </w:p>
    <w:p>
      <w:pPr>
        <w:pStyle w:val="6"/>
        <w:spacing w:before="0" w:after="0" w:line="360" w:lineRule="auto"/>
        <w:jc w:val="center"/>
        <w:rPr>
          <w:rFonts w:ascii="黑体" w:hAnsi="黑体" w:eastAsia="黑体" w:cs="黑体"/>
          <w:b w:val="0"/>
          <w:bCs w:val="0"/>
        </w:rPr>
      </w:pPr>
      <w:r>
        <w:rPr>
          <w:rFonts w:hint="eastAsia" w:ascii="黑体" w:hAnsi="黑体" w:eastAsia="黑体" w:cs="黑体"/>
          <w:b w:val="0"/>
          <w:bCs w:val="0"/>
        </w:rPr>
        <w:t>2、总公司授权委托书</w:t>
      </w:r>
      <w:bookmarkEnd w:id="163"/>
    </w:p>
    <w:p>
      <w:pPr>
        <w:spacing w:line="520" w:lineRule="exact"/>
        <w:rPr>
          <w:rFonts w:ascii="仿宋" w:hAnsi="仿宋" w:eastAsia="仿宋" w:cs="仿宋"/>
          <w:sz w:val="24"/>
          <w:szCs w:val="24"/>
        </w:rPr>
      </w:pPr>
      <w:r>
        <w:rPr>
          <w:rFonts w:hint="eastAsia" w:ascii="仿宋" w:hAnsi="仿宋" w:eastAsia="仿宋" w:cs="仿宋"/>
          <w:sz w:val="24"/>
          <w:szCs w:val="24"/>
        </w:rPr>
        <w:t>江苏柒采招标代理有限公司：</w:t>
      </w:r>
    </w:p>
    <w:p>
      <w:pPr>
        <w:spacing w:line="520" w:lineRule="exact"/>
        <w:rPr>
          <w:rFonts w:ascii="仿宋" w:hAnsi="仿宋" w:eastAsia="仿宋" w:cs="仿宋"/>
          <w:sz w:val="24"/>
          <w:szCs w:val="24"/>
        </w:rPr>
      </w:pPr>
      <w:r>
        <w:rPr>
          <w:rFonts w:hint="eastAsia" w:ascii="仿宋" w:hAnsi="仿宋" w:eastAsia="仿宋" w:cs="仿宋"/>
          <w:sz w:val="24"/>
          <w:szCs w:val="24"/>
        </w:rPr>
        <w:t>本授权书宣告：</w:t>
      </w:r>
    </w:p>
    <w:p>
      <w:pPr>
        <w:snapToGrid w:val="0"/>
        <w:spacing w:line="520" w:lineRule="exact"/>
        <w:rPr>
          <w:rFonts w:ascii="仿宋" w:hAnsi="仿宋" w:eastAsia="仿宋" w:cs="仿宋"/>
          <w:sz w:val="24"/>
          <w:szCs w:val="24"/>
          <w:u w:val="single"/>
        </w:rPr>
      </w:pPr>
      <w:r>
        <w:rPr>
          <w:rFonts w:hint="eastAsia" w:ascii="仿宋" w:hAnsi="仿宋" w:eastAsia="仿宋" w:cs="仿宋"/>
          <w:sz w:val="24"/>
          <w:szCs w:val="24"/>
        </w:rPr>
        <w:t>委托单位：</w:t>
      </w:r>
      <w:r>
        <w:rPr>
          <w:rFonts w:hint="eastAsia" w:ascii="仿宋" w:hAnsi="仿宋" w:eastAsia="仿宋" w:cs="仿宋"/>
          <w:sz w:val="24"/>
          <w:szCs w:val="24"/>
          <w:u w:val="single"/>
        </w:rPr>
        <w:t xml:space="preserve">                                            </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法定代表人：</w:t>
      </w:r>
      <w:r>
        <w:rPr>
          <w:rFonts w:hint="eastAsia" w:ascii="仿宋" w:hAnsi="仿宋" w:eastAsia="仿宋" w:cs="仿宋"/>
          <w:sz w:val="24"/>
          <w:szCs w:val="24"/>
          <w:u w:val="single"/>
        </w:rPr>
        <w:t xml:space="preserve">          </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受托单位：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负责人：</w:t>
      </w:r>
      <w:r>
        <w:rPr>
          <w:rFonts w:hint="eastAsia" w:ascii="仿宋" w:hAnsi="仿宋" w:eastAsia="仿宋" w:cs="仿宋"/>
          <w:sz w:val="24"/>
          <w:szCs w:val="24"/>
          <w:u w:val="single"/>
        </w:rPr>
        <w:t xml:space="preserve">          </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兹委托我下属公司</w:t>
      </w:r>
      <w:r>
        <w:rPr>
          <w:rFonts w:hint="eastAsia" w:ascii="仿宋" w:hAnsi="仿宋" w:eastAsia="仿宋" w:cs="仿宋"/>
          <w:sz w:val="24"/>
          <w:szCs w:val="24"/>
          <w:u w:val="single"/>
        </w:rPr>
        <w:t xml:space="preserve">          </w:t>
      </w:r>
      <w:r>
        <w:rPr>
          <w:rFonts w:hint="eastAsia" w:ascii="仿宋" w:hAnsi="仿宋" w:eastAsia="仿宋" w:cs="仿宋"/>
          <w:sz w:val="24"/>
          <w:szCs w:val="24"/>
        </w:rPr>
        <w:t>合法地代表我单位参加江苏柒采招标代理有限公司组织的（采购编号为</w:t>
      </w:r>
      <w:r>
        <w:rPr>
          <w:rFonts w:hint="eastAsia" w:ascii="仿宋" w:hAnsi="仿宋" w:eastAsia="仿宋" w:cs="仿宋"/>
          <w:sz w:val="24"/>
          <w:szCs w:val="24"/>
          <w:u w:val="single"/>
          <w:lang w:eastAsia="zh-CN"/>
        </w:rPr>
        <w:t>QC-2018120313H省药监局等级保护整改服务项目</w:t>
      </w:r>
      <w:r>
        <w:rPr>
          <w:rFonts w:hint="eastAsia" w:ascii="仿宋" w:hAnsi="仿宋" w:eastAsia="仿宋" w:cs="仿宋"/>
          <w:sz w:val="24"/>
          <w:szCs w:val="24"/>
        </w:rPr>
        <w:t>的政府采购活动，并授权其以自己的名义独立办理以下事宜：</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（1）参加投标活动；</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（2）出席开标会议；</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（3）签订与中标事宜有关的合同；</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（4）负责合同的履行、服务及在合同履行过程中有关事宜的洽谈和处理；</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（5）由受托单位以自己的名义另行出具授权委托书授权其受托人具体承办上述事宜。</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受托单位在办理上述事宜过程中以其自己的名义所签署的所有文件我均予以承认。 </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委托期限：至上述事宜处理完毕止。</w:t>
      </w:r>
    </w:p>
    <w:p>
      <w:pPr>
        <w:snapToGrid w:val="0"/>
        <w:spacing w:line="520" w:lineRule="exact"/>
        <w:ind w:firstLine="2280" w:firstLineChars="950"/>
        <w:rPr>
          <w:rFonts w:ascii="仿宋" w:hAnsi="仿宋" w:eastAsia="仿宋" w:cs="仿宋"/>
          <w:sz w:val="24"/>
          <w:szCs w:val="24"/>
          <w:u w:val="single"/>
        </w:rPr>
      </w:pPr>
      <w:r>
        <w:rPr>
          <w:rFonts w:hint="eastAsia" w:ascii="仿宋" w:hAnsi="仿宋" w:eastAsia="仿宋" w:cs="仿宋"/>
          <w:sz w:val="24"/>
          <w:szCs w:val="24"/>
        </w:rPr>
        <w:t xml:space="preserve">委托单位   </w:t>
      </w:r>
      <w:r>
        <w:rPr>
          <w:rFonts w:hint="eastAsia" w:ascii="仿宋" w:hAnsi="仿宋" w:eastAsia="仿宋" w:cs="仿宋"/>
          <w:sz w:val="24"/>
          <w:szCs w:val="24"/>
          <w:u w:val="single"/>
        </w:rPr>
        <w:t xml:space="preserve"> （公章）          </w:t>
      </w:r>
    </w:p>
    <w:p>
      <w:pPr>
        <w:snapToGrid w:val="0"/>
        <w:spacing w:line="520" w:lineRule="exact"/>
        <w:rPr>
          <w:rFonts w:ascii="仿宋" w:hAnsi="仿宋" w:eastAsia="仿宋" w:cs="仿宋"/>
          <w:sz w:val="24"/>
          <w:szCs w:val="24"/>
          <w:u w:val="single"/>
        </w:rPr>
      </w:pPr>
      <w:r>
        <w:rPr>
          <w:rFonts w:hint="eastAsia" w:ascii="仿宋" w:hAnsi="仿宋" w:eastAsia="仿宋" w:cs="仿宋"/>
          <w:sz w:val="24"/>
          <w:szCs w:val="24"/>
        </w:rPr>
        <w:t xml:space="preserve">                   法定代表人 </w:t>
      </w:r>
      <w:r>
        <w:rPr>
          <w:rFonts w:hint="eastAsia" w:ascii="仿宋" w:hAnsi="仿宋" w:eastAsia="仿宋" w:cs="仿宋"/>
          <w:sz w:val="24"/>
          <w:szCs w:val="24"/>
          <w:u w:val="single"/>
        </w:rPr>
        <w:t xml:space="preserve"> （签字或盖章）          </w:t>
      </w:r>
    </w:p>
    <w:p>
      <w:pPr>
        <w:snapToGrid w:val="0"/>
        <w:spacing w:line="520" w:lineRule="exact"/>
        <w:ind w:firstLine="2280" w:firstLineChars="950"/>
        <w:rPr>
          <w:rFonts w:ascii="仿宋" w:hAnsi="仿宋" w:eastAsia="仿宋" w:cs="仿宋"/>
          <w:sz w:val="24"/>
          <w:szCs w:val="24"/>
        </w:rPr>
      </w:pPr>
      <w:r>
        <w:rPr>
          <w:rFonts w:hint="eastAsia" w:ascii="仿宋" w:hAnsi="仿宋" w:eastAsia="仿宋" w:cs="仿宋"/>
          <w:sz w:val="24"/>
          <w:szCs w:val="24"/>
          <w:u w:val="single"/>
        </w:rPr>
        <w:t>二○一*</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napToGrid w:val="0"/>
        <w:spacing w:line="520" w:lineRule="exact"/>
        <w:ind w:firstLine="361" w:firstLineChars="150"/>
        <w:rPr>
          <w:rFonts w:ascii="宋体" w:hAnsi="宋体" w:cs="宋体"/>
          <w:b/>
          <w:sz w:val="24"/>
          <w:szCs w:val="24"/>
        </w:rPr>
      </w:pPr>
      <w:r>
        <w:rPr>
          <w:rFonts w:hint="eastAsia" w:ascii="仿宋" w:hAnsi="仿宋" w:eastAsia="仿宋" w:cs="仿宋"/>
          <w:b/>
          <w:sz w:val="24"/>
          <w:szCs w:val="24"/>
        </w:rPr>
        <w:t>备注：本授权书适用于具有法人资格的母公司授权无法人资格的分公司的情况，分公司参加投标必须提供本授权委托书，否则将不能通过符合性筛选。</w:t>
      </w:r>
    </w:p>
    <w:p>
      <w:pPr>
        <w:spacing w:line="520" w:lineRule="exact"/>
        <w:rPr>
          <w:rFonts w:ascii="宋体" w:hAnsi="宋体" w:cs="宋体"/>
        </w:rPr>
      </w:pPr>
    </w:p>
    <w:p>
      <w:bookmarkStart w:id="164" w:name="_Toc31053"/>
      <w:r>
        <w:rPr>
          <w:rFonts w:hint="eastAsia"/>
        </w:rPr>
        <w:br w:type="page"/>
      </w:r>
    </w:p>
    <w:bookmarkEnd w:id="164"/>
    <w:p>
      <w:pPr>
        <w:pStyle w:val="6"/>
        <w:numPr>
          <w:ilvl w:val="0"/>
          <w:numId w:val="0"/>
        </w:numPr>
        <w:spacing w:before="0" w:after="0" w:line="360" w:lineRule="auto"/>
        <w:jc w:val="center"/>
        <w:rPr>
          <w:rFonts w:ascii="黑体" w:hAnsi="黑体" w:eastAsia="黑体" w:cs="黑体"/>
          <w:b w:val="0"/>
          <w:bCs w:val="0"/>
        </w:rPr>
      </w:pPr>
      <w:bookmarkStart w:id="165" w:name="_Toc7045"/>
      <w:r>
        <w:rPr>
          <w:rFonts w:hint="eastAsia" w:ascii="黑体" w:hAnsi="黑体" w:eastAsia="黑体" w:cs="黑体"/>
          <w:b w:val="0"/>
          <w:bCs w:val="0"/>
        </w:rPr>
        <w:t>3、资质要求材料格式</w:t>
      </w:r>
      <w:bookmarkEnd w:id="165"/>
    </w:p>
    <w:p>
      <w:pPr>
        <w:pStyle w:val="6"/>
        <w:numPr>
          <w:ilvl w:val="0"/>
          <w:numId w:val="0"/>
        </w:numPr>
        <w:spacing w:before="0" w:after="0" w:line="360" w:lineRule="auto"/>
        <w:rPr>
          <w:rFonts w:ascii="黑体" w:hAnsi="黑体" w:eastAsia="黑体" w:cs="黑体"/>
          <w:b w:val="0"/>
          <w:bCs w:val="0"/>
        </w:rPr>
      </w:pPr>
      <w:bookmarkStart w:id="166" w:name="_Toc190"/>
      <w:bookmarkStart w:id="167" w:name="_Toc18188"/>
      <w:r>
        <w:rPr>
          <w:rFonts w:hint="eastAsia" w:ascii="黑体" w:hAnsi="黑体" w:eastAsia="黑体" w:cs="黑体"/>
          <w:b w:val="0"/>
          <w:bCs w:val="0"/>
        </w:rPr>
        <w:t>附</w:t>
      </w:r>
      <w:r>
        <w:rPr>
          <w:rFonts w:ascii="黑体" w:hAnsi="黑体" w:eastAsia="黑体" w:cs="黑体"/>
          <w:b w:val="0"/>
          <w:bCs w:val="0"/>
        </w:rPr>
        <w:t xml:space="preserve"> </w:t>
      </w:r>
      <w:r>
        <w:rPr>
          <w:rFonts w:hint="eastAsia" w:ascii="黑体" w:hAnsi="黑体" w:eastAsia="黑体" w:cs="黑体"/>
          <w:b w:val="0"/>
          <w:bCs w:val="0"/>
        </w:rPr>
        <w:t>件</w:t>
      </w:r>
      <w:r>
        <w:rPr>
          <w:rFonts w:ascii="黑体" w:hAnsi="黑体" w:eastAsia="黑体" w:cs="黑体"/>
          <w:b w:val="0"/>
          <w:bCs w:val="0"/>
        </w:rPr>
        <w:t>1</w:t>
      </w:r>
      <w:bookmarkEnd w:id="166"/>
      <w:bookmarkEnd w:id="167"/>
      <w:r>
        <w:rPr>
          <w:rFonts w:hint="eastAsia" w:ascii="黑体" w:hAnsi="黑体" w:eastAsia="黑体" w:cs="黑体"/>
          <w:b w:val="0"/>
          <w:bCs w:val="0"/>
        </w:rPr>
        <w:t>近三年内无重大违法声明</w:t>
      </w:r>
    </w:p>
    <w:p>
      <w:pPr>
        <w:spacing w:line="360" w:lineRule="auto"/>
        <w:jc w:val="center"/>
        <w:rPr>
          <w:rFonts w:ascii="仿宋" w:hAnsi="仿宋" w:eastAsia="仿宋" w:cs="仿宋"/>
          <w:b/>
          <w:bCs/>
          <w:sz w:val="36"/>
          <w:szCs w:val="36"/>
        </w:rPr>
      </w:pPr>
      <w:r>
        <w:rPr>
          <w:rFonts w:hint="eastAsia" w:ascii="仿宋" w:hAnsi="仿宋" w:eastAsia="仿宋" w:cs="仿宋"/>
          <w:b/>
          <w:bCs/>
          <w:sz w:val="36"/>
          <w:szCs w:val="36"/>
        </w:rPr>
        <w:t>声</w:t>
      </w:r>
      <w:r>
        <w:rPr>
          <w:rFonts w:ascii="仿宋" w:hAnsi="仿宋" w:eastAsia="仿宋" w:cs="仿宋"/>
          <w:b/>
          <w:bCs/>
          <w:sz w:val="36"/>
          <w:szCs w:val="36"/>
        </w:rPr>
        <w:t xml:space="preserve">  </w:t>
      </w:r>
      <w:r>
        <w:rPr>
          <w:rFonts w:hint="eastAsia" w:ascii="仿宋" w:hAnsi="仿宋" w:eastAsia="仿宋" w:cs="仿宋"/>
          <w:b/>
          <w:bCs/>
          <w:sz w:val="36"/>
          <w:szCs w:val="36"/>
        </w:rPr>
        <w:t>明</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我公司郑重声明：参加本次政府采购活动前</w:t>
      </w:r>
      <w:r>
        <w:rPr>
          <w:rFonts w:ascii="仿宋" w:hAnsi="仿宋" w:eastAsia="仿宋" w:cs="仿宋"/>
          <w:sz w:val="28"/>
          <w:szCs w:val="28"/>
        </w:rPr>
        <w:t>3</w:t>
      </w:r>
      <w:r>
        <w:rPr>
          <w:rFonts w:hint="eastAsia" w:ascii="仿宋" w:hAnsi="仿宋" w:eastAsia="仿宋" w:cs="仿宋"/>
          <w:sz w:val="28"/>
          <w:szCs w:val="28"/>
        </w:rPr>
        <w:t>年内，我公司在经营活动中没有因违法经营受到刑事处罚或者责令停产停业、吊销许可证或者执照、较大数额罚款等行政处罚。</w:t>
      </w:r>
    </w:p>
    <w:p>
      <w:pPr>
        <w:spacing w:line="360" w:lineRule="auto"/>
        <w:rPr>
          <w:rFonts w:ascii="宋体" w:cs="宋体"/>
          <w:sz w:val="28"/>
          <w:szCs w:val="28"/>
        </w:rPr>
      </w:pPr>
    </w:p>
    <w:p>
      <w:pPr>
        <w:spacing w:line="360" w:lineRule="auto"/>
        <w:rPr>
          <w:rFonts w:ascii="宋体" w:cs="宋体"/>
          <w:sz w:val="28"/>
          <w:szCs w:val="28"/>
        </w:rPr>
      </w:pPr>
    </w:p>
    <w:p>
      <w:pPr>
        <w:spacing w:line="360" w:lineRule="auto"/>
        <w:rPr>
          <w:rFonts w:ascii="宋体" w:cs="宋体"/>
          <w:sz w:val="28"/>
          <w:szCs w:val="28"/>
        </w:rPr>
      </w:pPr>
    </w:p>
    <w:p>
      <w:pPr>
        <w:spacing w:line="360" w:lineRule="auto"/>
        <w:rPr>
          <w:rFonts w:ascii="仿宋" w:hAnsi="仿宋" w:eastAsia="仿宋" w:cs="仿宋"/>
          <w:sz w:val="28"/>
          <w:szCs w:val="28"/>
        </w:rPr>
      </w:pPr>
      <w:r>
        <w:rPr>
          <w:rFonts w:ascii="宋体" w:hAnsi="宋体" w:cs="宋体"/>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投标供应商全称（公章）：</w:t>
      </w:r>
    </w:p>
    <w:p>
      <w:pPr>
        <w:spacing w:line="360" w:lineRule="auto"/>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法定代表人（授权代表）签章：</w:t>
      </w:r>
    </w:p>
    <w:p>
      <w:pPr>
        <w:spacing w:line="360" w:lineRule="auto"/>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日期：</w:t>
      </w:r>
    </w:p>
    <w:p>
      <w:pPr>
        <w:rPr>
          <w:rFonts w:ascii="宋体" w:cs="宋体"/>
        </w:rPr>
      </w:pPr>
    </w:p>
    <w:p>
      <w:pPr>
        <w:rPr>
          <w:rFonts w:ascii="宋体" w:cs="宋体"/>
        </w:rPr>
      </w:pPr>
    </w:p>
    <w:p>
      <w:pPr>
        <w:rPr>
          <w:rFonts w:ascii="宋体" w:cs="宋体"/>
        </w:rPr>
      </w:pPr>
    </w:p>
    <w:p>
      <w:r>
        <w:br w:type="page"/>
      </w:r>
    </w:p>
    <w:p>
      <w:pPr>
        <w:pStyle w:val="6"/>
        <w:numPr>
          <w:ilvl w:val="0"/>
          <w:numId w:val="0"/>
        </w:numPr>
        <w:spacing w:before="0" w:after="0" w:line="360" w:lineRule="auto"/>
        <w:rPr>
          <w:rFonts w:ascii="仿宋" w:hAnsi="仿宋" w:eastAsia="仿宋"/>
          <w:sz w:val="30"/>
          <w:szCs w:val="30"/>
        </w:rPr>
      </w:pPr>
      <w:r>
        <w:rPr>
          <w:rFonts w:hint="eastAsia" w:ascii="黑体" w:hAnsi="黑体" w:eastAsia="黑体" w:cs="黑体"/>
          <w:b w:val="0"/>
          <w:bCs w:val="0"/>
        </w:rPr>
        <w:t>附</w:t>
      </w:r>
      <w:r>
        <w:rPr>
          <w:rFonts w:ascii="黑体" w:hAnsi="黑体" w:eastAsia="黑体" w:cs="黑体"/>
          <w:b w:val="0"/>
          <w:bCs w:val="0"/>
        </w:rPr>
        <w:t xml:space="preserve"> </w:t>
      </w:r>
      <w:r>
        <w:rPr>
          <w:rFonts w:hint="eastAsia" w:ascii="黑体" w:hAnsi="黑体" w:eastAsia="黑体" w:cs="黑体"/>
          <w:b w:val="0"/>
          <w:bCs w:val="0"/>
        </w:rPr>
        <w:t>件</w:t>
      </w:r>
      <w:r>
        <w:rPr>
          <w:rFonts w:ascii="黑体" w:hAnsi="黑体" w:eastAsia="黑体" w:cs="黑体"/>
          <w:b w:val="0"/>
          <w:bCs w:val="0"/>
        </w:rPr>
        <w:t>2</w:t>
      </w:r>
      <w:bookmarkStart w:id="168" w:name="_Toc9284"/>
      <w:bookmarkStart w:id="169" w:name="_Toc9521"/>
      <w:bookmarkStart w:id="170" w:name="_Toc19001"/>
      <w:bookmarkStart w:id="171" w:name="_Toc9701"/>
      <w:r>
        <w:rPr>
          <w:rFonts w:hint="eastAsia" w:ascii="仿宋" w:hAnsi="仿宋" w:eastAsia="仿宋" w:cs="仿宋"/>
          <w:sz w:val="30"/>
          <w:szCs w:val="30"/>
        </w:rPr>
        <w:t>具备履行合同所必需的设备和专业技术能力的书面声明</w:t>
      </w:r>
      <w:bookmarkEnd w:id="168"/>
      <w:bookmarkEnd w:id="169"/>
      <w:bookmarkEnd w:id="170"/>
    </w:p>
    <w:bookmarkEnd w:id="171"/>
    <w:p>
      <w:pPr>
        <w:spacing w:line="460" w:lineRule="exact"/>
        <w:rPr>
          <w:rFonts w:ascii="仿宋" w:hAnsi="仿宋" w:eastAsia="仿宋"/>
          <w:sz w:val="24"/>
          <w:szCs w:val="24"/>
        </w:rPr>
      </w:pPr>
    </w:p>
    <w:p>
      <w:pPr>
        <w:spacing w:line="460" w:lineRule="exact"/>
        <w:ind w:firstLine="492"/>
        <w:rPr>
          <w:rFonts w:ascii="仿宋" w:hAnsi="仿宋" w:eastAsia="仿宋"/>
          <w:sz w:val="24"/>
          <w:szCs w:val="24"/>
        </w:rPr>
      </w:pPr>
      <w:r>
        <w:rPr>
          <w:rFonts w:hint="eastAsia" w:ascii="仿宋" w:hAnsi="仿宋" w:eastAsia="仿宋" w:cs="仿宋"/>
          <w:sz w:val="24"/>
          <w:szCs w:val="24"/>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仿宋" w:hAnsi="仿宋" w:eastAsia="仿宋"/>
          <w:sz w:val="24"/>
          <w:szCs w:val="24"/>
        </w:rPr>
      </w:pPr>
      <w:r>
        <w:rPr>
          <w:rFonts w:hint="eastAsia" w:ascii="仿宋" w:hAnsi="仿宋" w:eastAsia="仿宋" w:cs="仿宋"/>
          <w:sz w:val="24"/>
          <w:szCs w:val="24"/>
        </w:rPr>
        <w:t>主要设备有：</w:t>
      </w:r>
      <w:r>
        <w:rPr>
          <w:rFonts w:ascii="仿宋" w:hAnsi="仿宋" w:eastAsia="仿宋" w:cs="仿宋"/>
          <w:sz w:val="24"/>
          <w:szCs w:val="24"/>
        </w:rPr>
        <w:t xml:space="preserve">  </w:t>
      </w:r>
      <w:r>
        <w:rPr>
          <w:rFonts w:hint="eastAsia" w:ascii="仿宋" w:hAnsi="仿宋" w:eastAsia="仿宋" w:cs="仿宋"/>
          <w:sz w:val="24"/>
          <w:szCs w:val="24"/>
        </w:rPr>
        <w:t>。</w:t>
      </w:r>
    </w:p>
    <w:p>
      <w:pPr>
        <w:spacing w:line="460" w:lineRule="exact"/>
        <w:ind w:firstLine="492"/>
        <w:rPr>
          <w:rFonts w:ascii="仿宋" w:hAnsi="仿宋" w:eastAsia="仿宋"/>
          <w:sz w:val="24"/>
          <w:szCs w:val="24"/>
        </w:rPr>
      </w:pPr>
      <w:r>
        <w:rPr>
          <w:rFonts w:hint="eastAsia" w:ascii="仿宋" w:hAnsi="仿宋" w:eastAsia="仿宋" w:cs="仿宋"/>
          <w:sz w:val="24"/>
          <w:szCs w:val="24"/>
        </w:rPr>
        <w:t>主要专业技术能力有：</w:t>
      </w:r>
      <w:r>
        <w:rPr>
          <w:rFonts w:ascii="仿宋" w:hAnsi="仿宋" w:eastAsia="仿宋" w:cs="仿宋"/>
          <w:sz w:val="24"/>
          <w:szCs w:val="24"/>
        </w:rPr>
        <w:t xml:space="preserve">   </w:t>
      </w:r>
      <w:r>
        <w:rPr>
          <w:rFonts w:hint="eastAsia" w:ascii="仿宋" w:hAnsi="仿宋" w:eastAsia="仿宋" w:cs="仿宋"/>
          <w:sz w:val="24"/>
          <w:szCs w:val="24"/>
        </w:rPr>
        <w:t>。</w:t>
      </w:r>
    </w:p>
    <w:p>
      <w:pPr>
        <w:spacing w:line="460" w:lineRule="exact"/>
        <w:rPr>
          <w:rFonts w:ascii="仿宋" w:hAnsi="仿宋" w:eastAsia="仿宋" w:cs="仿宋"/>
          <w:sz w:val="24"/>
          <w:szCs w:val="24"/>
        </w:rPr>
      </w:pPr>
      <w:r>
        <w:rPr>
          <w:rFonts w:ascii="仿宋" w:hAnsi="仿宋" w:eastAsia="仿宋" w:cs="仿宋"/>
          <w:sz w:val="24"/>
          <w:szCs w:val="24"/>
        </w:rPr>
        <w:t xml:space="preserve">                                     </w:t>
      </w:r>
    </w:p>
    <w:p>
      <w:pPr>
        <w:spacing w:line="460" w:lineRule="exact"/>
        <w:rPr>
          <w:rFonts w:ascii="仿宋" w:hAnsi="仿宋" w:eastAsia="仿宋" w:cs="仿宋"/>
          <w:sz w:val="24"/>
          <w:szCs w:val="24"/>
        </w:rPr>
      </w:pPr>
    </w:p>
    <w:p>
      <w:pPr>
        <w:spacing w:line="460" w:lineRule="exact"/>
        <w:ind w:firstLine="4560" w:firstLineChars="1900"/>
        <w:rPr>
          <w:rFonts w:ascii="仿宋" w:hAnsi="仿宋" w:eastAsia="仿宋" w:cs="仿宋"/>
          <w:sz w:val="24"/>
          <w:szCs w:val="24"/>
        </w:rPr>
      </w:pPr>
      <w:r>
        <w:rPr>
          <w:rFonts w:hint="eastAsia" w:ascii="仿宋" w:hAnsi="仿宋" w:eastAsia="仿宋" w:cs="仿宋"/>
          <w:sz w:val="24"/>
          <w:szCs w:val="24"/>
        </w:rPr>
        <w:t>供应商全称（盖章）：</w:t>
      </w:r>
    </w:p>
    <w:p>
      <w:pPr>
        <w:spacing w:line="460" w:lineRule="exact"/>
        <w:ind w:firstLine="4560" w:firstLineChars="1900"/>
        <w:rPr>
          <w:rFonts w:ascii="仿宋" w:hAnsi="仿宋" w:eastAsia="仿宋"/>
          <w:sz w:val="24"/>
          <w:szCs w:val="24"/>
        </w:rPr>
      </w:pPr>
      <w:r>
        <w:rPr>
          <w:rFonts w:hint="eastAsia" w:ascii="仿宋" w:hAnsi="仿宋" w:eastAsia="仿宋" w:cs="仿宋"/>
          <w:sz w:val="24"/>
          <w:szCs w:val="24"/>
        </w:rPr>
        <w:t>法定代表人或授权代表签字：</w:t>
      </w:r>
    </w:p>
    <w:p>
      <w:pPr>
        <w:spacing w:line="460" w:lineRule="exact"/>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hint="eastAsia" w:ascii="仿宋" w:hAnsi="仿宋" w:eastAsia="仿宋" w:cs="仿宋"/>
          <w:sz w:val="24"/>
          <w:szCs w:val="24"/>
        </w:rPr>
        <w:t>日</w:t>
      </w:r>
    </w:p>
    <w:p>
      <w:pPr>
        <w:pStyle w:val="6"/>
      </w:pPr>
      <w:r>
        <w:rPr>
          <w:rFonts w:hint="eastAsia" w:ascii="仿宋" w:hAnsi="仿宋" w:eastAsia="仿宋" w:cs="仿宋"/>
          <w:sz w:val="24"/>
          <w:szCs w:val="24"/>
        </w:rPr>
        <w:br w:type="page"/>
      </w:r>
      <w:r>
        <w:rPr>
          <w:rFonts w:hint="eastAsia" w:ascii="黑体" w:hAnsi="黑体" w:eastAsia="黑体" w:cs="黑体"/>
          <w:b w:val="0"/>
          <w:bCs w:val="0"/>
        </w:rPr>
        <w:t>附</w:t>
      </w:r>
      <w:r>
        <w:rPr>
          <w:rFonts w:ascii="黑体" w:hAnsi="黑体" w:eastAsia="黑体" w:cs="黑体"/>
          <w:b w:val="0"/>
          <w:bCs w:val="0"/>
        </w:rPr>
        <w:t xml:space="preserve"> </w:t>
      </w:r>
      <w:r>
        <w:rPr>
          <w:rFonts w:hint="eastAsia" w:ascii="黑体" w:hAnsi="黑体" w:eastAsia="黑体" w:cs="黑体"/>
          <w:b w:val="0"/>
          <w:bCs w:val="0"/>
        </w:rPr>
        <w:t>件3</w:t>
      </w:r>
      <w:bookmarkStart w:id="172" w:name="_Toc4338"/>
      <w:bookmarkStart w:id="173" w:name="_Toc26218"/>
      <w:bookmarkStart w:id="174" w:name="_Toc29180"/>
      <w:bookmarkStart w:id="175" w:name="_Toc4301"/>
      <w:r>
        <w:rPr>
          <w:rFonts w:hint="eastAsia" w:ascii="黑体" w:hAnsi="黑体" w:eastAsia="黑体" w:cs="黑体"/>
          <w:b w:val="0"/>
          <w:bCs w:val="0"/>
        </w:rPr>
        <w:t xml:space="preserve"> </w:t>
      </w:r>
      <w:r>
        <w:rPr>
          <w:rFonts w:hint="eastAsia"/>
        </w:rPr>
        <w:t>中小企业声明函格式</w:t>
      </w:r>
      <w:bookmarkEnd w:id="172"/>
      <w:bookmarkEnd w:id="173"/>
      <w:bookmarkEnd w:id="174"/>
    </w:p>
    <w:p>
      <w:pPr>
        <w:spacing w:line="360" w:lineRule="auto"/>
        <w:jc w:val="center"/>
        <w:rPr>
          <w:rFonts w:ascii="仿宋" w:hAnsi="仿宋" w:eastAsia="仿宋"/>
          <w:sz w:val="24"/>
          <w:szCs w:val="24"/>
        </w:rPr>
      </w:pPr>
      <w:r>
        <w:rPr>
          <w:rFonts w:hint="eastAsia" w:ascii="仿宋" w:hAnsi="仿宋" w:eastAsia="仿宋" w:cs="仿宋"/>
          <w:sz w:val="24"/>
          <w:szCs w:val="24"/>
        </w:rPr>
        <w:t>中小企业声明函</w:t>
      </w:r>
    </w:p>
    <w:p>
      <w:pPr>
        <w:spacing w:line="360" w:lineRule="auto"/>
        <w:ind w:firstLine="420"/>
        <w:rPr>
          <w:rFonts w:ascii="仿宋" w:hAnsi="仿宋" w:eastAsia="仿宋"/>
          <w:sz w:val="24"/>
          <w:szCs w:val="24"/>
        </w:rPr>
      </w:pPr>
      <w:r>
        <w:rPr>
          <w:rFonts w:hint="eastAsia" w:ascii="仿宋" w:hAnsi="仿宋" w:eastAsia="仿宋" w:cs="仿宋"/>
          <w:sz w:val="24"/>
          <w:szCs w:val="24"/>
        </w:rPr>
        <w:t>本公司郑重声明，根据《政府采购促进中小企业发展暂行办法》（财库</w:t>
      </w:r>
      <w:r>
        <w:rPr>
          <w:rFonts w:ascii="仿宋" w:hAnsi="仿宋" w:eastAsia="仿宋" w:cs="仿宋"/>
          <w:sz w:val="24"/>
          <w:szCs w:val="24"/>
        </w:rPr>
        <w:t>[2011]181</w:t>
      </w:r>
      <w:r>
        <w:rPr>
          <w:rFonts w:hint="eastAsia" w:ascii="仿宋" w:hAnsi="仿宋" w:eastAsia="仿宋" w:cs="仿宋"/>
          <w:sz w:val="24"/>
          <w:szCs w:val="24"/>
        </w:rPr>
        <w:t>号）的规定，本公司为</w:t>
      </w:r>
      <w:r>
        <w:rPr>
          <w:rFonts w:ascii="仿宋" w:hAnsi="仿宋" w:eastAsia="仿宋" w:cs="仿宋"/>
          <w:sz w:val="24"/>
          <w:szCs w:val="24"/>
        </w:rPr>
        <w:t>______</w:t>
      </w:r>
      <w:r>
        <w:rPr>
          <w:rFonts w:hint="eastAsia" w:ascii="仿宋" w:hAnsi="仿宋" w:eastAsia="仿宋" w:cs="仿宋"/>
          <w:sz w:val="24"/>
          <w:szCs w:val="24"/>
        </w:rPr>
        <w:t>（请填写：中型、小型、微型）企业。即，本公司同时满足以下条件：</w:t>
      </w:r>
    </w:p>
    <w:p>
      <w:pPr>
        <w:spacing w:line="360" w:lineRule="auto"/>
        <w:ind w:firstLine="42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、根据《工业和信息化部、国家统计局、国家发展和改革委员会、财政部关于印发中小企业划型标准规定的通知》（工信部联企业</w:t>
      </w:r>
      <w:r>
        <w:rPr>
          <w:rFonts w:ascii="仿宋" w:hAnsi="仿宋" w:eastAsia="仿宋" w:cs="仿宋"/>
          <w:sz w:val="24"/>
          <w:szCs w:val="24"/>
        </w:rPr>
        <w:t>[2011]300</w:t>
      </w:r>
      <w:r>
        <w:rPr>
          <w:rFonts w:hint="eastAsia" w:ascii="仿宋" w:hAnsi="仿宋" w:eastAsia="仿宋" w:cs="仿宋"/>
          <w:sz w:val="24"/>
          <w:szCs w:val="24"/>
        </w:rPr>
        <w:t>号）规定的划分标准，本公司为</w:t>
      </w:r>
      <w:r>
        <w:rPr>
          <w:rFonts w:ascii="仿宋" w:hAnsi="仿宋" w:eastAsia="仿宋" w:cs="仿宋"/>
          <w:sz w:val="24"/>
          <w:szCs w:val="24"/>
        </w:rPr>
        <w:t>______</w:t>
      </w:r>
      <w:r>
        <w:rPr>
          <w:rFonts w:hint="eastAsia" w:ascii="仿宋" w:hAnsi="仿宋" w:eastAsia="仿宋" w:cs="仿宋"/>
          <w:sz w:val="24"/>
          <w:szCs w:val="24"/>
        </w:rPr>
        <w:t>（请填写：中型、小型、微型）企业。</w:t>
      </w:r>
    </w:p>
    <w:p>
      <w:pPr>
        <w:spacing w:line="360" w:lineRule="auto"/>
        <w:ind w:firstLine="42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、本公司参加</w:t>
      </w:r>
      <w:r>
        <w:rPr>
          <w:rFonts w:ascii="仿宋" w:hAnsi="仿宋" w:eastAsia="仿宋" w:cs="仿宋"/>
          <w:sz w:val="24"/>
          <w:szCs w:val="24"/>
        </w:rPr>
        <w:t>__________________</w:t>
      </w:r>
      <w:r>
        <w:rPr>
          <w:rFonts w:hint="eastAsia" w:ascii="仿宋" w:hAnsi="仿宋" w:eastAsia="仿宋" w:cs="仿宋"/>
          <w:sz w:val="24"/>
          <w:szCs w:val="24"/>
        </w:rPr>
        <w:t>单位的</w:t>
      </w:r>
      <w:r>
        <w:rPr>
          <w:rFonts w:ascii="仿宋" w:hAnsi="仿宋" w:eastAsia="仿宋" w:cs="仿宋"/>
          <w:sz w:val="24"/>
          <w:szCs w:val="24"/>
        </w:rPr>
        <w:t>________________________</w:t>
      </w:r>
      <w:r>
        <w:rPr>
          <w:rFonts w:hint="eastAsia" w:ascii="仿宋" w:hAnsi="仿宋" w:eastAsia="仿宋" w:cs="仿宋"/>
          <w:sz w:val="24"/>
          <w:szCs w:val="24"/>
        </w:rPr>
        <w:t>项目采购活动提供本企业制造的货物，由本企业承担工程、提供服务，或者提供其他</w:t>
      </w:r>
      <w:r>
        <w:rPr>
          <w:rFonts w:ascii="仿宋" w:hAnsi="仿宋" w:eastAsia="仿宋" w:cs="仿宋"/>
          <w:sz w:val="24"/>
          <w:szCs w:val="24"/>
        </w:rPr>
        <w:t>______</w:t>
      </w:r>
      <w:r>
        <w:rPr>
          <w:rFonts w:hint="eastAsia" w:ascii="仿宋" w:hAnsi="仿宋" w:eastAsia="仿宋" w:cs="仿宋"/>
          <w:sz w:val="24"/>
          <w:szCs w:val="24"/>
        </w:rPr>
        <w:t>（请填写：中型、小型、微型）企业制造的货物。本条所称货物不包括使用大型企业注册商标的货物。</w:t>
      </w:r>
    </w:p>
    <w:p>
      <w:pPr>
        <w:spacing w:line="360" w:lineRule="auto"/>
        <w:ind w:firstLine="420"/>
        <w:rPr>
          <w:rFonts w:ascii="仿宋" w:hAnsi="仿宋" w:eastAsia="仿宋"/>
          <w:sz w:val="24"/>
          <w:szCs w:val="24"/>
        </w:rPr>
      </w:pPr>
      <w:r>
        <w:rPr>
          <w:rFonts w:hint="eastAsia" w:ascii="仿宋" w:hAnsi="仿宋" w:eastAsia="仿宋" w:cs="仿宋"/>
          <w:sz w:val="24"/>
          <w:szCs w:val="24"/>
        </w:rPr>
        <w:t>本公司对上述声明的真实性负责。如有虚假，将依法承担相应责任。</w:t>
      </w: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ascii="仿宋" w:hAnsi="仿宋" w:eastAsia="仿宋" w:cs="仿宋"/>
          <w:sz w:val="30"/>
          <w:szCs w:val="30"/>
        </w:rPr>
        <w:t xml:space="preserve">                        </w:t>
      </w:r>
      <w:r>
        <w:rPr>
          <w:rFonts w:ascii="仿宋" w:hAnsi="仿宋" w:eastAsia="仿宋" w:cs="仿宋"/>
          <w:sz w:val="24"/>
          <w:szCs w:val="24"/>
        </w:rPr>
        <w:t xml:space="preserve"> </w:t>
      </w:r>
      <w:r>
        <w:rPr>
          <w:rFonts w:hint="eastAsia" w:ascii="仿宋" w:hAnsi="仿宋" w:eastAsia="仿宋" w:cs="仿宋"/>
          <w:sz w:val="24"/>
          <w:szCs w:val="24"/>
        </w:rPr>
        <w:t>供应商全称（公章）：</w:t>
      </w:r>
    </w:p>
    <w:p>
      <w:pPr>
        <w:spacing w:line="360" w:lineRule="auto"/>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法定代表人（授权代表）签章：</w:t>
      </w:r>
    </w:p>
    <w:p>
      <w:pPr>
        <w:spacing w:line="360" w:lineRule="auto"/>
        <w:rPr>
          <w:rFonts w:ascii="仿宋" w:hAnsi="仿宋" w:eastAsia="仿宋"/>
          <w:sz w:val="30"/>
          <w:szCs w:val="30"/>
        </w:rPr>
      </w:pPr>
      <w:r>
        <w:rPr>
          <w:rFonts w:ascii="仿宋" w:hAnsi="仿宋" w:eastAsia="仿宋" w:cs="仿宋"/>
          <w:sz w:val="24"/>
          <w:szCs w:val="24"/>
        </w:rPr>
        <w:t xml:space="preserve">                               </w:t>
      </w:r>
      <w:r>
        <w:rPr>
          <w:rFonts w:hint="eastAsia" w:ascii="仿宋" w:hAnsi="仿宋" w:eastAsia="仿宋" w:cs="仿宋"/>
          <w:sz w:val="24"/>
          <w:szCs w:val="24"/>
        </w:rPr>
        <w:t>日期：</w:t>
      </w:r>
      <w:bookmarkEnd w:id="175"/>
    </w:p>
    <w:p>
      <w:pPr>
        <w:pStyle w:val="6"/>
        <w:rPr>
          <w:rFonts w:ascii="黑体" w:hAnsi="黑体" w:eastAsia="黑体" w:cs="黑体"/>
          <w:sz w:val="28"/>
          <w:szCs w:val="28"/>
        </w:rPr>
      </w:pPr>
      <w:bookmarkStart w:id="176" w:name="_Toc14985"/>
      <w:bookmarkStart w:id="177" w:name="_Toc3440"/>
      <w:bookmarkStart w:id="178" w:name="_Toc25931"/>
      <w:bookmarkStart w:id="179" w:name="_Toc19520"/>
      <w:r>
        <w:rPr>
          <w:rFonts w:hint="eastAsia" w:ascii="黑体" w:hAnsi="黑体" w:eastAsia="黑体" w:cs="黑体"/>
          <w:sz w:val="28"/>
          <w:szCs w:val="28"/>
        </w:rPr>
        <w:br w:type="page"/>
      </w:r>
      <w:r>
        <w:rPr>
          <w:rFonts w:hint="eastAsia" w:ascii="黑体" w:hAnsi="黑体" w:eastAsia="黑体" w:cs="黑体"/>
          <w:sz w:val="28"/>
          <w:szCs w:val="28"/>
        </w:rPr>
        <w:t>附 件4</w:t>
      </w:r>
      <w:bookmarkEnd w:id="176"/>
      <w:r>
        <w:rPr>
          <w:rFonts w:hint="eastAsia" w:ascii="黑体" w:hAnsi="黑体" w:eastAsia="黑体" w:cs="黑体"/>
          <w:sz w:val="28"/>
          <w:szCs w:val="28"/>
        </w:rPr>
        <w:t xml:space="preserve"> 供应商无严重违法失信行为声明</w:t>
      </w:r>
      <w:bookmarkEnd w:id="177"/>
      <w:bookmarkEnd w:id="178"/>
      <w:bookmarkEnd w:id="179"/>
    </w:p>
    <w:p>
      <w:pPr>
        <w:rPr>
          <w:sz w:val="24"/>
        </w:rPr>
      </w:pPr>
    </w:p>
    <w:p>
      <w:pPr>
        <w:rPr>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供应商</w:t>
      </w:r>
      <w:r>
        <w:rPr>
          <w:rFonts w:hint="eastAsia" w:ascii="仿宋" w:hAnsi="仿宋" w:eastAsia="仿宋" w:cs="仿宋"/>
          <w:b/>
          <w:bCs/>
          <w:sz w:val="24"/>
          <w:u w:val="single"/>
        </w:rPr>
        <w:t xml:space="preserve">              </w:t>
      </w:r>
      <w:r>
        <w:rPr>
          <w:rFonts w:hint="eastAsia" w:ascii="仿宋" w:hAnsi="仿宋" w:eastAsia="仿宋" w:cs="仿宋"/>
          <w:sz w:val="24"/>
        </w:rPr>
        <w:t>应采购人在招标文件中的特殊要求，特作出如下声明：</w:t>
      </w:r>
      <w:r>
        <w:rPr>
          <w:rFonts w:hint="eastAsia" w:ascii="仿宋" w:hAnsi="仿宋" w:eastAsia="仿宋" w:cs="仿宋"/>
          <w:b/>
          <w:bCs/>
          <w:sz w:val="24"/>
          <w:u w:val="single"/>
        </w:rPr>
        <w:t xml:space="preserve">               （响应供应商公司名称） </w:t>
      </w:r>
      <w:r>
        <w:rPr>
          <w:rFonts w:hint="eastAsia" w:ascii="仿宋" w:hAnsi="仿宋" w:eastAsia="仿宋" w:cs="仿宋"/>
          <w:sz w:val="24"/>
        </w:rPr>
        <w:t>未被“信用中国”网站（www.creditchina.gov.cn）、“中国政府采购网"(www.ccgp.gov.cn)列入失信被执行人、重大税收违法案件当事人名单、政府采购严重违法失信行为记录名单.</w:t>
      </w:r>
    </w:p>
    <w:p>
      <w:pPr>
        <w:spacing w:line="360" w:lineRule="auto"/>
        <w:rPr>
          <w:rFonts w:ascii="仿宋" w:hAnsi="仿宋" w:eastAsia="仿宋" w:cs="仿宋"/>
          <w:b/>
          <w:bCs/>
          <w:sz w:val="24"/>
        </w:rPr>
      </w:pPr>
      <w:r>
        <w:rPr>
          <w:rFonts w:hint="eastAsia" w:ascii="仿宋" w:hAnsi="仿宋" w:eastAsia="仿宋" w:cs="仿宋"/>
          <w:b/>
          <w:bCs/>
          <w:sz w:val="24"/>
        </w:rPr>
        <w:t>（附：网页截图）</w:t>
      </w:r>
    </w:p>
    <w:p>
      <w:pPr>
        <w:spacing w:line="360" w:lineRule="auto"/>
        <w:ind w:firstLine="480" w:firstLineChars="200"/>
        <w:rPr>
          <w:rFonts w:ascii="仿宋" w:hAnsi="仿宋" w:eastAsia="仿宋" w:cs="仿宋"/>
          <w:sz w:val="24"/>
        </w:rPr>
      </w:pPr>
    </w:p>
    <w:p>
      <w:pPr>
        <w:widowControl/>
        <w:adjustRightInd w:val="0"/>
        <w:spacing w:line="360" w:lineRule="auto"/>
        <w:jc w:val="right"/>
        <w:rPr>
          <w:rFonts w:ascii="仿宋" w:hAnsi="仿宋" w:eastAsia="仿宋" w:cs="仿宋"/>
          <w:sz w:val="24"/>
        </w:rPr>
      </w:pPr>
    </w:p>
    <w:p>
      <w:pPr>
        <w:widowControl/>
        <w:adjustRightInd w:val="0"/>
        <w:spacing w:line="360" w:lineRule="auto"/>
        <w:jc w:val="center"/>
        <w:rPr>
          <w:rFonts w:ascii="仿宋" w:hAnsi="仿宋" w:eastAsia="仿宋" w:cs="仿宋"/>
          <w:sz w:val="24"/>
        </w:rPr>
      </w:pPr>
    </w:p>
    <w:p>
      <w:pPr>
        <w:widowControl/>
        <w:adjustRightInd w:val="0"/>
        <w:spacing w:line="360" w:lineRule="auto"/>
        <w:jc w:val="center"/>
        <w:rPr>
          <w:rFonts w:ascii="仿宋" w:hAnsi="仿宋" w:eastAsia="仿宋" w:cs="仿宋"/>
          <w:sz w:val="24"/>
        </w:rPr>
      </w:pPr>
    </w:p>
    <w:p>
      <w:pPr>
        <w:widowControl/>
        <w:adjustRightInd w:val="0"/>
        <w:spacing w:line="360" w:lineRule="auto"/>
        <w:jc w:val="center"/>
        <w:rPr>
          <w:rFonts w:ascii="仿宋" w:hAnsi="仿宋" w:eastAsia="仿宋" w:cs="仿宋"/>
          <w:sz w:val="24"/>
        </w:rPr>
      </w:pPr>
    </w:p>
    <w:p>
      <w:pPr>
        <w:widowControl/>
        <w:adjustRightInd w:val="0"/>
        <w:spacing w:line="360" w:lineRule="auto"/>
        <w:jc w:val="right"/>
        <w:rPr>
          <w:rFonts w:ascii="仿宋" w:hAnsi="仿宋" w:eastAsia="仿宋" w:cs="仿宋"/>
          <w:sz w:val="24"/>
        </w:rPr>
      </w:pPr>
    </w:p>
    <w:p>
      <w:pPr>
        <w:widowControl/>
        <w:adjustRightInd w:val="0"/>
        <w:spacing w:line="360" w:lineRule="auto"/>
        <w:jc w:val="right"/>
        <w:rPr>
          <w:rFonts w:ascii="仿宋" w:hAnsi="仿宋" w:eastAsia="仿宋" w:cs="仿宋"/>
          <w:sz w:val="24"/>
        </w:rPr>
      </w:pPr>
    </w:p>
    <w:p>
      <w:pPr>
        <w:spacing w:line="360" w:lineRule="auto"/>
        <w:ind w:left="3360" w:leftChars="1600"/>
        <w:jc w:val="left"/>
        <w:rPr>
          <w:rFonts w:ascii="仿宋" w:hAnsi="仿宋" w:eastAsia="仿宋" w:cs="仿宋"/>
          <w:sz w:val="24"/>
        </w:rPr>
      </w:pPr>
      <w:r>
        <w:rPr>
          <w:rFonts w:hint="eastAsia" w:ascii="仿宋" w:hAnsi="仿宋" w:eastAsia="仿宋" w:cs="仿宋"/>
          <w:sz w:val="24"/>
        </w:rPr>
        <w:t>供应商全称（公章）：</w:t>
      </w:r>
    </w:p>
    <w:p>
      <w:pPr>
        <w:spacing w:line="360" w:lineRule="auto"/>
        <w:ind w:left="3360" w:leftChars="1600"/>
        <w:jc w:val="left"/>
        <w:rPr>
          <w:rFonts w:ascii="仿宋" w:hAnsi="仿宋" w:eastAsia="仿宋" w:cs="仿宋"/>
          <w:sz w:val="24"/>
        </w:rPr>
      </w:pPr>
      <w:r>
        <w:rPr>
          <w:rFonts w:hint="eastAsia" w:ascii="仿宋" w:hAnsi="仿宋" w:eastAsia="仿宋" w:cs="仿宋"/>
          <w:sz w:val="24"/>
        </w:rPr>
        <w:t>法定代表人（授权代表）签章：</w:t>
      </w:r>
    </w:p>
    <w:p>
      <w:pPr>
        <w:spacing w:line="360" w:lineRule="auto"/>
        <w:ind w:left="3360" w:leftChars="1600"/>
        <w:jc w:val="left"/>
        <w:rPr>
          <w:rFonts w:ascii="仿宋" w:hAnsi="仿宋" w:eastAsia="仿宋" w:cs="仿宋"/>
          <w:sz w:val="24"/>
        </w:rPr>
      </w:pPr>
      <w:r>
        <w:rPr>
          <w:rFonts w:hint="eastAsia" w:ascii="仿宋" w:hAnsi="仿宋" w:eastAsia="仿宋" w:cs="仿宋"/>
          <w:sz w:val="24"/>
        </w:rPr>
        <w:t>日期：</w:t>
      </w:r>
    </w:p>
    <w:p>
      <w:pPr>
        <w:rPr>
          <w:rFonts w:ascii="宋体" w:hAnsi="宋体" w:cs="宋体"/>
        </w:rPr>
      </w:pPr>
    </w:p>
    <w:p>
      <w:pPr>
        <w:tabs>
          <w:tab w:val="left" w:pos="2211"/>
        </w:tabs>
        <w:jc w:val="left"/>
        <w:rPr>
          <w:rFonts w:ascii="仿宋" w:hAnsi="仿宋" w:eastAsia="仿宋"/>
        </w:rPr>
      </w:pPr>
    </w:p>
    <w:p>
      <w:pPr>
        <w:jc w:val="center"/>
        <w:rPr>
          <w:rFonts w:ascii="宋体"/>
          <w:sz w:val="24"/>
        </w:rPr>
      </w:pPr>
    </w:p>
    <w:p>
      <w:pPr>
        <w:spacing w:line="360" w:lineRule="auto"/>
        <w:rPr>
          <w:rFonts w:ascii="仿宋" w:hAnsi="仿宋" w:eastAsia="仿宋"/>
          <w:sz w:val="30"/>
          <w:szCs w:val="30"/>
        </w:rPr>
      </w:pPr>
    </w:p>
    <w:p>
      <w:pPr>
        <w:rPr>
          <w:rFonts w:ascii="宋体" w:hAnsi="宋体" w:cs="宋体"/>
        </w:rPr>
      </w:pPr>
    </w:p>
    <w:p>
      <w:pPr>
        <w:tabs>
          <w:tab w:val="left" w:pos="2211"/>
        </w:tabs>
        <w:jc w:val="left"/>
        <w:rPr>
          <w:rFonts w:ascii="宋体" w:hAnsi="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楷体_GB2312">
    <w:altName w:val="楷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DotumChe">
    <w:panose1 w:val="020B0609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w:rPr>
        <w:rFonts w:hint="eastAsia"/>
      </w:rPr>
      <w:t>1</w:t>
    </w:r>
  </w:p>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ind w:firstLine="360"/>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4ptZc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y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4ptZcVAgAAFQQAAA4AAAAAAAAA&#10;AQAgAAAAHwEAAGRycy9lMm9Eb2MueG1sUEsFBgAAAAAGAAYAWQEAAKYFAAAAAA==&#10;">
              <v:fill on="f" focussize="0,0"/>
              <v:stroke on="f" weight="0.5pt"/>
              <v:imagedata o:title=""/>
              <o:lock v:ext="edit" aspectratio="f"/>
              <v:textbox inset="0mm,0mm,0mm,0mm" style="mso-fit-shape-to-text:t;">
                <w:txbxContent>
                  <w:p>
                    <w:pPr>
                      <w:pStyle w:val="14"/>
                      <w:ind w:firstLine="360"/>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240" w:lineRule="aut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spacing w:line="240" w:lineRule="auto"/>
      <w:ind w:firstLine="360"/>
    </w:pPr>
    <w:r>
      <w:rPr>
        <w:rFonts w:hint="eastAsia"/>
      </w:rPr>
      <w:t xml:space="preserve">                                                              </w:t>
    </w:r>
    <w:r>
      <w:rPr>
        <w:rFonts w:hint="eastAsia" w:ascii="仿宋" w:hAnsi="仿宋" w:eastAsia="仿宋" w:cs="仿宋"/>
      </w:rPr>
      <w:t xml:space="preserve">  江苏柒采招标代理有限公司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japaneseCounting"/>
      <w:pStyle w:val="32"/>
      <w:lvlText w:val="%1、"/>
      <w:lvlJc w:val="left"/>
      <w:pPr>
        <w:tabs>
          <w:tab w:val="left" w:pos="720"/>
        </w:tabs>
        <w:ind w:left="720" w:hanging="720"/>
      </w:pPr>
      <w:rPr>
        <w:rFonts w:hint="eastAsia"/>
      </w:rPr>
    </w:lvl>
    <w:lvl w:ilvl="1" w:tentative="0">
      <w:start w:val="1"/>
      <w:numFmt w:val="chineseCountingThousand"/>
      <w:lvlText w:val="（%2）"/>
      <w:lvlJc w:val="left"/>
      <w:pPr>
        <w:tabs>
          <w:tab w:val="left" w:pos="780"/>
        </w:tabs>
        <w:ind w:left="780" w:hanging="78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42062CC4"/>
    <w:multiLevelType w:val="multilevel"/>
    <w:tmpl w:val="42062CC4"/>
    <w:lvl w:ilvl="0" w:tentative="0">
      <w:start w:val="1"/>
      <w:numFmt w:val="decimal"/>
      <w:pStyle w:val="4"/>
      <w:suff w:val="nothing"/>
      <w:lvlText w:val="第 %1 部分 "/>
      <w:lvlJc w:val="left"/>
      <w:pPr>
        <w:ind w:left="0" w:firstLine="0"/>
      </w:pPr>
      <w:rPr>
        <w:rFonts w:hint="eastAsia" w:ascii="黑体" w:hAnsi="宋体" w:eastAsia="黑体" w:cs="Times New Roman"/>
        <w:b/>
        <w:i w:val="0"/>
        <w:iCs w:val="0"/>
        <w:caps w:val="0"/>
        <w:smallCaps w:val="0"/>
        <w:strike w:val="0"/>
        <w:dstrike w:val="0"/>
        <w:vanish w:val="0"/>
        <w:spacing w:val="0"/>
        <w:position w:val="0"/>
        <w:u w:val="none"/>
        <w:vertAlign w:val="baseline"/>
      </w:rPr>
    </w:lvl>
    <w:lvl w:ilvl="1" w:tentative="0">
      <w:start w:val="1"/>
      <w:numFmt w:val="decimal"/>
      <w:pStyle w:val="5"/>
      <w:isLgl/>
      <w:suff w:val="nothing"/>
      <w:lvlText w:val="%1.%2 "/>
      <w:lvlJc w:val="left"/>
      <w:pPr>
        <w:ind w:left="0" w:firstLine="0"/>
      </w:pPr>
      <w:rPr>
        <w:rFonts w:hint="eastAsia" w:cs="Times New Roman"/>
      </w:rPr>
    </w:lvl>
    <w:lvl w:ilvl="2" w:tentative="0">
      <w:start w:val="1"/>
      <w:numFmt w:val="none"/>
      <w:pStyle w:val="6"/>
      <w:isLgl/>
      <w:suff w:val="nothing"/>
      <w:lvlText w:val=""/>
      <w:lvlJc w:val="left"/>
      <w:pPr>
        <w:ind w:left="0" w:firstLine="0"/>
      </w:pPr>
      <w:rPr>
        <w:rFonts w:hint="eastAsia" w:ascii="Arial Unicode MS" w:hAnsi="Arial Unicode MS" w:eastAsia="Arial Unicode MS" w:cs="Arial Unicode MS"/>
        <w:sz w:val="24"/>
        <w:szCs w:val="24"/>
      </w:rPr>
    </w:lvl>
    <w:lvl w:ilvl="3" w:tentative="0">
      <w:start w:val="1"/>
      <w:numFmt w:val="none"/>
      <w:isLgl/>
      <w:suff w:val="nothing"/>
      <w:lvlText w:val=""/>
      <w:lvlJc w:val="left"/>
      <w:pPr>
        <w:ind w:left="0" w:firstLine="0"/>
      </w:pPr>
      <w:rPr>
        <w:rFonts w:hint="eastAsia" w:cs="Times New Roman"/>
      </w:rPr>
    </w:lvl>
    <w:lvl w:ilvl="4" w:tentative="0">
      <w:start w:val="1"/>
      <w:numFmt w:val="decimal"/>
      <w:isLgl/>
      <w:suff w:val="nothing"/>
      <w:lvlText w:val="%1.%2.%3.%4.%5 "/>
      <w:lvlJc w:val="left"/>
      <w:pPr>
        <w:ind w:left="0" w:firstLine="0"/>
      </w:pPr>
      <w:rPr>
        <w:rFonts w:hint="eastAsia" w:cs="Times New Roman"/>
        <w:sz w:val="28"/>
        <w:szCs w:val="28"/>
      </w:rPr>
    </w:lvl>
    <w:lvl w:ilvl="5" w:tentative="0">
      <w:start w:val="1"/>
      <w:numFmt w:val="none"/>
      <w:suff w:val="nothing"/>
      <w:lvlText w:val=""/>
      <w:lvlJc w:val="left"/>
      <w:pPr>
        <w:ind w:left="0" w:firstLine="0"/>
      </w:pPr>
      <w:rPr>
        <w:rFonts w:hint="eastAsia" w:cs="Times New Roman"/>
      </w:rPr>
    </w:lvl>
    <w:lvl w:ilvl="6" w:tentative="0">
      <w:start w:val="1"/>
      <w:numFmt w:val="none"/>
      <w:suff w:val="nothing"/>
      <w:lvlText w:val=""/>
      <w:lvlJc w:val="left"/>
      <w:pPr>
        <w:ind w:left="0" w:firstLine="0"/>
      </w:pPr>
      <w:rPr>
        <w:rFonts w:hint="eastAsia" w:cs="Times New Roman"/>
      </w:rPr>
    </w:lvl>
    <w:lvl w:ilvl="7" w:tentative="0">
      <w:start w:val="1"/>
      <w:numFmt w:val="none"/>
      <w:suff w:val="nothing"/>
      <w:lvlText w:val=""/>
      <w:lvlJc w:val="left"/>
      <w:pPr>
        <w:ind w:left="0" w:firstLine="0"/>
      </w:pPr>
      <w:rPr>
        <w:rFonts w:hint="eastAsia" w:cs="Times New Roman"/>
      </w:rPr>
    </w:lvl>
    <w:lvl w:ilvl="8" w:tentative="0">
      <w:start w:val="1"/>
      <w:numFmt w:val="none"/>
      <w:suff w:val="nothing"/>
      <w:lvlText w:val=""/>
      <w:lvlJc w:val="left"/>
      <w:pPr>
        <w:ind w:left="0" w:firstLine="0"/>
      </w:pPr>
      <w:rPr>
        <w:rFonts w:hint="eastAsia" w:cs="Times New Roman"/>
      </w:rPr>
    </w:lvl>
  </w:abstractNum>
  <w:abstractNum w:abstractNumId="2">
    <w:nsid w:val="5816EA73"/>
    <w:multiLevelType w:val="singleLevel"/>
    <w:tmpl w:val="5816EA73"/>
    <w:lvl w:ilvl="0" w:tentative="0">
      <w:start w:val="2"/>
      <w:numFmt w:val="decimal"/>
      <w:suff w:val="nothing"/>
      <w:lvlText w:val="（%1）"/>
      <w:lvlJc w:val="left"/>
    </w:lvl>
  </w:abstractNum>
  <w:abstractNum w:abstractNumId="3">
    <w:nsid w:val="5A7AD3AF"/>
    <w:multiLevelType w:val="singleLevel"/>
    <w:tmpl w:val="5A7AD3AF"/>
    <w:lvl w:ilvl="0" w:tentative="0">
      <w:start w:val="2"/>
      <w:numFmt w:val="chineseCounting"/>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41"/>
    <w:rsid w:val="00004164"/>
    <w:rsid w:val="00036737"/>
    <w:rsid w:val="00043B0F"/>
    <w:rsid w:val="00046317"/>
    <w:rsid w:val="000642F2"/>
    <w:rsid w:val="00072219"/>
    <w:rsid w:val="0007241A"/>
    <w:rsid w:val="00093018"/>
    <w:rsid w:val="000C2667"/>
    <w:rsid w:val="000C4B62"/>
    <w:rsid w:val="000C5C03"/>
    <w:rsid w:val="001065EF"/>
    <w:rsid w:val="001100FD"/>
    <w:rsid w:val="001151DF"/>
    <w:rsid w:val="0012015A"/>
    <w:rsid w:val="00143DFC"/>
    <w:rsid w:val="0014648A"/>
    <w:rsid w:val="0017028E"/>
    <w:rsid w:val="00172A27"/>
    <w:rsid w:val="00173A15"/>
    <w:rsid w:val="00195DAD"/>
    <w:rsid w:val="001C6B1B"/>
    <w:rsid w:val="001C7A37"/>
    <w:rsid w:val="001E4283"/>
    <w:rsid w:val="001E6DB8"/>
    <w:rsid w:val="0020695F"/>
    <w:rsid w:val="00206B90"/>
    <w:rsid w:val="00235F5B"/>
    <w:rsid w:val="00236A59"/>
    <w:rsid w:val="0025083F"/>
    <w:rsid w:val="00255AC4"/>
    <w:rsid w:val="002739F2"/>
    <w:rsid w:val="00285FE1"/>
    <w:rsid w:val="00296A35"/>
    <w:rsid w:val="002B707C"/>
    <w:rsid w:val="002D63D1"/>
    <w:rsid w:val="002E5501"/>
    <w:rsid w:val="002E6442"/>
    <w:rsid w:val="0030637D"/>
    <w:rsid w:val="003109AC"/>
    <w:rsid w:val="0032268D"/>
    <w:rsid w:val="003266A5"/>
    <w:rsid w:val="0033109C"/>
    <w:rsid w:val="003527CE"/>
    <w:rsid w:val="003529C9"/>
    <w:rsid w:val="003549E3"/>
    <w:rsid w:val="003553CE"/>
    <w:rsid w:val="00387C63"/>
    <w:rsid w:val="003A6386"/>
    <w:rsid w:val="003A7927"/>
    <w:rsid w:val="003B5DF8"/>
    <w:rsid w:val="003D188B"/>
    <w:rsid w:val="003E7BF4"/>
    <w:rsid w:val="004068DD"/>
    <w:rsid w:val="00412286"/>
    <w:rsid w:val="0041420F"/>
    <w:rsid w:val="00422829"/>
    <w:rsid w:val="004246C6"/>
    <w:rsid w:val="00426CB0"/>
    <w:rsid w:val="00446E04"/>
    <w:rsid w:val="00476431"/>
    <w:rsid w:val="00494B1D"/>
    <w:rsid w:val="004A30C5"/>
    <w:rsid w:val="004A6C92"/>
    <w:rsid w:val="004D3252"/>
    <w:rsid w:val="00504090"/>
    <w:rsid w:val="00510FA0"/>
    <w:rsid w:val="0052458F"/>
    <w:rsid w:val="0053662D"/>
    <w:rsid w:val="00550EED"/>
    <w:rsid w:val="00567661"/>
    <w:rsid w:val="00575FE6"/>
    <w:rsid w:val="005935E8"/>
    <w:rsid w:val="005939CF"/>
    <w:rsid w:val="0059793D"/>
    <w:rsid w:val="005A254D"/>
    <w:rsid w:val="005B214A"/>
    <w:rsid w:val="005B2B57"/>
    <w:rsid w:val="005E153C"/>
    <w:rsid w:val="005F79B6"/>
    <w:rsid w:val="00624952"/>
    <w:rsid w:val="00634CC1"/>
    <w:rsid w:val="006404D0"/>
    <w:rsid w:val="006631E7"/>
    <w:rsid w:val="00673523"/>
    <w:rsid w:val="0069074F"/>
    <w:rsid w:val="00697579"/>
    <w:rsid w:val="006D7C1A"/>
    <w:rsid w:val="006E6249"/>
    <w:rsid w:val="006F1115"/>
    <w:rsid w:val="006F7805"/>
    <w:rsid w:val="0071000A"/>
    <w:rsid w:val="00715EEA"/>
    <w:rsid w:val="007723BA"/>
    <w:rsid w:val="007767EA"/>
    <w:rsid w:val="00782FBD"/>
    <w:rsid w:val="00783947"/>
    <w:rsid w:val="007847A3"/>
    <w:rsid w:val="0079645B"/>
    <w:rsid w:val="007B5702"/>
    <w:rsid w:val="007E162A"/>
    <w:rsid w:val="007E2574"/>
    <w:rsid w:val="007E7A16"/>
    <w:rsid w:val="008078CE"/>
    <w:rsid w:val="00815EA4"/>
    <w:rsid w:val="00836712"/>
    <w:rsid w:val="00880295"/>
    <w:rsid w:val="008B1C16"/>
    <w:rsid w:val="008D3A5C"/>
    <w:rsid w:val="008E7C89"/>
    <w:rsid w:val="00900AFF"/>
    <w:rsid w:val="009214E7"/>
    <w:rsid w:val="00930831"/>
    <w:rsid w:val="00941654"/>
    <w:rsid w:val="00957E03"/>
    <w:rsid w:val="0096266F"/>
    <w:rsid w:val="0096467D"/>
    <w:rsid w:val="009809E3"/>
    <w:rsid w:val="009865A9"/>
    <w:rsid w:val="00990AC5"/>
    <w:rsid w:val="009A0AF1"/>
    <w:rsid w:val="009A5762"/>
    <w:rsid w:val="009A7942"/>
    <w:rsid w:val="009A7E61"/>
    <w:rsid w:val="009D4865"/>
    <w:rsid w:val="009D7D91"/>
    <w:rsid w:val="009F54BB"/>
    <w:rsid w:val="00A17B1D"/>
    <w:rsid w:val="00A25437"/>
    <w:rsid w:val="00A934DB"/>
    <w:rsid w:val="00AA3732"/>
    <w:rsid w:val="00AB0B83"/>
    <w:rsid w:val="00AB5022"/>
    <w:rsid w:val="00AC34E5"/>
    <w:rsid w:val="00AE0A22"/>
    <w:rsid w:val="00AF6B28"/>
    <w:rsid w:val="00AF76A4"/>
    <w:rsid w:val="00B24B7E"/>
    <w:rsid w:val="00BB07D7"/>
    <w:rsid w:val="00BC2F15"/>
    <w:rsid w:val="00BD3D3B"/>
    <w:rsid w:val="00BE3C19"/>
    <w:rsid w:val="00BE63F6"/>
    <w:rsid w:val="00C337D1"/>
    <w:rsid w:val="00C37E6B"/>
    <w:rsid w:val="00C41A7C"/>
    <w:rsid w:val="00C63BF2"/>
    <w:rsid w:val="00C73FAF"/>
    <w:rsid w:val="00C740EE"/>
    <w:rsid w:val="00C80478"/>
    <w:rsid w:val="00C82132"/>
    <w:rsid w:val="00C92D08"/>
    <w:rsid w:val="00CB265C"/>
    <w:rsid w:val="00CD56FF"/>
    <w:rsid w:val="00CE0FF3"/>
    <w:rsid w:val="00CF3F78"/>
    <w:rsid w:val="00D12CC2"/>
    <w:rsid w:val="00D26014"/>
    <w:rsid w:val="00D41F97"/>
    <w:rsid w:val="00D64638"/>
    <w:rsid w:val="00D92C19"/>
    <w:rsid w:val="00D94641"/>
    <w:rsid w:val="00D96681"/>
    <w:rsid w:val="00DE135D"/>
    <w:rsid w:val="00DF04A8"/>
    <w:rsid w:val="00DF0EDF"/>
    <w:rsid w:val="00DF5F5C"/>
    <w:rsid w:val="00E1537B"/>
    <w:rsid w:val="00E1622D"/>
    <w:rsid w:val="00E3654C"/>
    <w:rsid w:val="00E42ACF"/>
    <w:rsid w:val="00E45920"/>
    <w:rsid w:val="00E656D3"/>
    <w:rsid w:val="00E86464"/>
    <w:rsid w:val="00E96136"/>
    <w:rsid w:val="00EC1D73"/>
    <w:rsid w:val="00ED02B5"/>
    <w:rsid w:val="00ED0432"/>
    <w:rsid w:val="00ED2B68"/>
    <w:rsid w:val="00ED5F91"/>
    <w:rsid w:val="00ED650A"/>
    <w:rsid w:val="00EE5919"/>
    <w:rsid w:val="00EE664B"/>
    <w:rsid w:val="00EF0663"/>
    <w:rsid w:val="00EF2F2A"/>
    <w:rsid w:val="00EF6F76"/>
    <w:rsid w:val="00F031AA"/>
    <w:rsid w:val="00F205C7"/>
    <w:rsid w:val="00F51D38"/>
    <w:rsid w:val="00F636C1"/>
    <w:rsid w:val="00F654CD"/>
    <w:rsid w:val="00F77601"/>
    <w:rsid w:val="00F81BAE"/>
    <w:rsid w:val="00F96E84"/>
    <w:rsid w:val="00FB0C51"/>
    <w:rsid w:val="00FB2606"/>
    <w:rsid w:val="00FB6D4C"/>
    <w:rsid w:val="00FF7A4C"/>
    <w:rsid w:val="01E14E16"/>
    <w:rsid w:val="01E367FC"/>
    <w:rsid w:val="024C4805"/>
    <w:rsid w:val="024E4972"/>
    <w:rsid w:val="025F1833"/>
    <w:rsid w:val="02722128"/>
    <w:rsid w:val="02796EA6"/>
    <w:rsid w:val="02983B66"/>
    <w:rsid w:val="02A54469"/>
    <w:rsid w:val="02AF13A5"/>
    <w:rsid w:val="03CE44B6"/>
    <w:rsid w:val="03CF6F37"/>
    <w:rsid w:val="03DF518D"/>
    <w:rsid w:val="04426254"/>
    <w:rsid w:val="04481776"/>
    <w:rsid w:val="049C4A8D"/>
    <w:rsid w:val="04A96473"/>
    <w:rsid w:val="05147558"/>
    <w:rsid w:val="057A2A0B"/>
    <w:rsid w:val="05897095"/>
    <w:rsid w:val="058B6BE2"/>
    <w:rsid w:val="05B40E00"/>
    <w:rsid w:val="062E0A8F"/>
    <w:rsid w:val="06865F35"/>
    <w:rsid w:val="06D86E01"/>
    <w:rsid w:val="06F24D25"/>
    <w:rsid w:val="075B5C82"/>
    <w:rsid w:val="07637BC5"/>
    <w:rsid w:val="07A40674"/>
    <w:rsid w:val="07A700AF"/>
    <w:rsid w:val="07BD2185"/>
    <w:rsid w:val="07D11654"/>
    <w:rsid w:val="07E376F6"/>
    <w:rsid w:val="07E5113D"/>
    <w:rsid w:val="07EA5234"/>
    <w:rsid w:val="08CC102D"/>
    <w:rsid w:val="0904678D"/>
    <w:rsid w:val="098302AF"/>
    <w:rsid w:val="09C841FC"/>
    <w:rsid w:val="0A0410D9"/>
    <w:rsid w:val="0A16708B"/>
    <w:rsid w:val="0A19474D"/>
    <w:rsid w:val="0B1A2003"/>
    <w:rsid w:val="0B2D043F"/>
    <w:rsid w:val="0B2F30D9"/>
    <w:rsid w:val="0B53430C"/>
    <w:rsid w:val="0B852832"/>
    <w:rsid w:val="0B9C5D24"/>
    <w:rsid w:val="0BF37FE0"/>
    <w:rsid w:val="0C1E3B0F"/>
    <w:rsid w:val="0C227485"/>
    <w:rsid w:val="0C2A0635"/>
    <w:rsid w:val="0C8A4E80"/>
    <w:rsid w:val="0D6D69AC"/>
    <w:rsid w:val="0D6E4295"/>
    <w:rsid w:val="0DA71D72"/>
    <w:rsid w:val="0DAA7429"/>
    <w:rsid w:val="0DC04389"/>
    <w:rsid w:val="0DCB422A"/>
    <w:rsid w:val="0DCB4E46"/>
    <w:rsid w:val="0E181B27"/>
    <w:rsid w:val="0E742BB5"/>
    <w:rsid w:val="0E7F54D3"/>
    <w:rsid w:val="0EC15EEB"/>
    <w:rsid w:val="0EDA1D4B"/>
    <w:rsid w:val="0F0B12AA"/>
    <w:rsid w:val="0F362B13"/>
    <w:rsid w:val="0F4354E0"/>
    <w:rsid w:val="0F970B45"/>
    <w:rsid w:val="0FC74D05"/>
    <w:rsid w:val="109704F4"/>
    <w:rsid w:val="11037EC2"/>
    <w:rsid w:val="112E0394"/>
    <w:rsid w:val="1138679D"/>
    <w:rsid w:val="113B5C8E"/>
    <w:rsid w:val="11783BB4"/>
    <w:rsid w:val="11846368"/>
    <w:rsid w:val="1188787D"/>
    <w:rsid w:val="118E00C5"/>
    <w:rsid w:val="12377023"/>
    <w:rsid w:val="127C4A59"/>
    <w:rsid w:val="128A7436"/>
    <w:rsid w:val="137C7A9B"/>
    <w:rsid w:val="1381409F"/>
    <w:rsid w:val="13927B96"/>
    <w:rsid w:val="1395525F"/>
    <w:rsid w:val="13B01E3E"/>
    <w:rsid w:val="13BE6B16"/>
    <w:rsid w:val="13BF3C5E"/>
    <w:rsid w:val="13C1491B"/>
    <w:rsid w:val="13F46E8D"/>
    <w:rsid w:val="13FE7AF6"/>
    <w:rsid w:val="141544E9"/>
    <w:rsid w:val="144511B4"/>
    <w:rsid w:val="147D21B3"/>
    <w:rsid w:val="14873D0C"/>
    <w:rsid w:val="15216D6E"/>
    <w:rsid w:val="15267694"/>
    <w:rsid w:val="152C37F4"/>
    <w:rsid w:val="15314139"/>
    <w:rsid w:val="15851D12"/>
    <w:rsid w:val="159344A5"/>
    <w:rsid w:val="15C31433"/>
    <w:rsid w:val="15F04A83"/>
    <w:rsid w:val="16150386"/>
    <w:rsid w:val="16353115"/>
    <w:rsid w:val="16763CC8"/>
    <w:rsid w:val="16807456"/>
    <w:rsid w:val="16AB18B8"/>
    <w:rsid w:val="16CE4C58"/>
    <w:rsid w:val="17081C94"/>
    <w:rsid w:val="17573D04"/>
    <w:rsid w:val="176A7283"/>
    <w:rsid w:val="176B6919"/>
    <w:rsid w:val="18AD3B3F"/>
    <w:rsid w:val="18DA3875"/>
    <w:rsid w:val="19353CBE"/>
    <w:rsid w:val="19535BF2"/>
    <w:rsid w:val="19976CD0"/>
    <w:rsid w:val="1A1C1AFB"/>
    <w:rsid w:val="1A8E36CF"/>
    <w:rsid w:val="1AC762C2"/>
    <w:rsid w:val="1AF965A9"/>
    <w:rsid w:val="1B041CB7"/>
    <w:rsid w:val="1B0938CE"/>
    <w:rsid w:val="1B0C28B6"/>
    <w:rsid w:val="1B1C0E6E"/>
    <w:rsid w:val="1B7C7218"/>
    <w:rsid w:val="1BB52B7B"/>
    <w:rsid w:val="1BC60C66"/>
    <w:rsid w:val="1C440BD0"/>
    <w:rsid w:val="1C5039EF"/>
    <w:rsid w:val="1C5F329A"/>
    <w:rsid w:val="1C851A2A"/>
    <w:rsid w:val="1C8F7625"/>
    <w:rsid w:val="1D5007F4"/>
    <w:rsid w:val="1D7D70ED"/>
    <w:rsid w:val="1D9A0342"/>
    <w:rsid w:val="1DBC38F6"/>
    <w:rsid w:val="1E027F8E"/>
    <w:rsid w:val="1E2C2BC9"/>
    <w:rsid w:val="1E3662D9"/>
    <w:rsid w:val="1E6769AC"/>
    <w:rsid w:val="1E896808"/>
    <w:rsid w:val="1ED55A3E"/>
    <w:rsid w:val="1EDB5F25"/>
    <w:rsid w:val="1F6D7521"/>
    <w:rsid w:val="1FB222F7"/>
    <w:rsid w:val="1FC96929"/>
    <w:rsid w:val="2004654D"/>
    <w:rsid w:val="20257982"/>
    <w:rsid w:val="2028707A"/>
    <w:rsid w:val="207110AD"/>
    <w:rsid w:val="207E602A"/>
    <w:rsid w:val="209433D1"/>
    <w:rsid w:val="20D01BB1"/>
    <w:rsid w:val="20FD4B3D"/>
    <w:rsid w:val="210F7994"/>
    <w:rsid w:val="21462004"/>
    <w:rsid w:val="221C7F4E"/>
    <w:rsid w:val="22224D0F"/>
    <w:rsid w:val="223D4AF3"/>
    <w:rsid w:val="226211DE"/>
    <w:rsid w:val="22825522"/>
    <w:rsid w:val="22884845"/>
    <w:rsid w:val="22DD636B"/>
    <w:rsid w:val="235103E4"/>
    <w:rsid w:val="2366614B"/>
    <w:rsid w:val="23995FBA"/>
    <w:rsid w:val="23BC537C"/>
    <w:rsid w:val="23CD5076"/>
    <w:rsid w:val="23E162C7"/>
    <w:rsid w:val="23F35C29"/>
    <w:rsid w:val="23F93001"/>
    <w:rsid w:val="23FD2C9F"/>
    <w:rsid w:val="24283326"/>
    <w:rsid w:val="243E76EF"/>
    <w:rsid w:val="244D28DD"/>
    <w:rsid w:val="246E0D79"/>
    <w:rsid w:val="24CF0AEE"/>
    <w:rsid w:val="2509706C"/>
    <w:rsid w:val="253B3281"/>
    <w:rsid w:val="25B249FE"/>
    <w:rsid w:val="26050386"/>
    <w:rsid w:val="26513717"/>
    <w:rsid w:val="26FF1743"/>
    <w:rsid w:val="271737F8"/>
    <w:rsid w:val="272E7A3F"/>
    <w:rsid w:val="276A51A2"/>
    <w:rsid w:val="2785687D"/>
    <w:rsid w:val="282C552C"/>
    <w:rsid w:val="284E0B7E"/>
    <w:rsid w:val="28512E2B"/>
    <w:rsid w:val="287E657F"/>
    <w:rsid w:val="28C26E8B"/>
    <w:rsid w:val="28D01D14"/>
    <w:rsid w:val="28D22831"/>
    <w:rsid w:val="28E144E0"/>
    <w:rsid w:val="28FE6894"/>
    <w:rsid w:val="29020CAB"/>
    <w:rsid w:val="29392278"/>
    <w:rsid w:val="29502946"/>
    <w:rsid w:val="296325BB"/>
    <w:rsid w:val="296C194B"/>
    <w:rsid w:val="29A3043C"/>
    <w:rsid w:val="2A0C2CC5"/>
    <w:rsid w:val="2A203ADF"/>
    <w:rsid w:val="2A282541"/>
    <w:rsid w:val="2A2B04CD"/>
    <w:rsid w:val="2A4C3AFE"/>
    <w:rsid w:val="2A9F081C"/>
    <w:rsid w:val="2ACA66FB"/>
    <w:rsid w:val="2B34640A"/>
    <w:rsid w:val="2B996C77"/>
    <w:rsid w:val="2BA17143"/>
    <w:rsid w:val="2BC4048D"/>
    <w:rsid w:val="2CD82183"/>
    <w:rsid w:val="2CFC2ABE"/>
    <w:rsid w:val="2D10407D"/>
    <w:rsid w:val="2D7E074D"/>
    <w:rsid w:val="2DAF7F55"/>
    <w:rsid w:val="2E022AA8"/>
    <w:rsid w:val="2E86352F"/>
    <w:rsid w:val="2EBD226F"/>
    <w:rsid w:val="2F1253F9"/>
    <w:rsid w:val="2F5A17FC"/>
    <w:rsid w:val="2FD54E0E"/>
    <w:rsid w:val="2FD95A17"/>
    <w:rsid w:val="30056F0F"/>
    <w:rsid w:val="303B5BD0"/>
    <w:rsid w:val="308869D6"/>
    <w:rsid w:val="309978C9"/>
    <w:rsid w:val="30D17196"/>
    <w:rsid w:val="30E17A7C"/>
    <w:rsid w:val="310042F2"/>
    <w:rsid w:val="311E6AC3"/>
    <w:rsid w:val="31C86773"/>
    <w:rsid w:val="31DE61EF"/>
    <w:rsid w:val="31FA232F"/>
    <w:rsid w:val="326F4C84"/>
    <w:rsid w:val="32C06684"/>
    <w:rsid w:val="32CC49CB"/>
    <w:rsid w:val="32F34398"/>
    <w:rsid w:val="331D6671"/>
    <w:rsid w:val="3329479C"/>
    <w:rsid w:val="338A7F35"/>
    <w:rsid w:val="339F3E84"/>
    <w:rsid w:val="33AF70E1"/>
    <w:rsid w:val="33B21711"/>
    <w:rsid w:val="33D053AB"/>
    <w:rsid w:val="344664A8"/>
    <w:rsid w:val="34B51CAA"/>
    <w:rsid w:val="34C1058D"/>
    <w:rsid w:val="34CC337F"/>
    <w:rsid w:val="34DB0EEA"/>
    <w:rsid w:val="35721519"/>
    <w:rsid w:val="366A1DB9"/>
    <w:rsid w:val="36923143"/>
    <w:rsid w:val="36991904"/>
    <w:rsid w:val="36B0411B"/>
    <w:rsid w:val="37432BA4"/>
    <w:rsid w:val="37C51B6B"/>
    <w:rsid w:val="37F02F33"/>
    <w:rsid w:val="37F27324"/>
    <w:rsid w:val="37F92851"/>
    <w:rsid w:val="38404BAA"/>
    <w:rsid w:val="38A96676"/>
    <w:rsid w:val="39003E5A"/>
    <w:rsid w:val="39227642"/>
    <w:rsid w:val="394D5644"/>
    <w:rsid w:val="398F745B"/>
    <w:rsid w:val="39D6431C"/>
    <w:rsid w:val="39EC3382"/>
    <w:rsid w:val="3A4E3EB8"/>
    <w:rsid w:val="3ADA1C97"/>
    <w:rsid w:val="3AE01E0C"/>
    <w:rsid w:val="3B443E7D"/>
    <w:rsid w:val="3B4F3F6C"/>
    <w:rsid w:val="3BA9331C"/>
    <w:rsid w:val="3BCC7DD7"/>
    <w:rsid w:val="3C5542B0"/>
    <w:rsid w:val="3C6E758E"/>
    <w:rsid w:val="3C7B1BA2"/>
    <w:rsid w:val="3CD36131"/>
    <w:rsid w:val="3CEB259F"/>
    <w:rsid w:val="3D0230DA"/>
    <w:rsid w:val="3D1A1F97"/>
    <w:rsid w:val="3D310B7D"/>
    <w:rsid w:val="3D36306F"/>
    <w:rsid w:val="3D3D1DE3"/>
    <w:rsid w:val="3D68632D"/>
    <w:rsid w:val="3DAD2659"/>
    <w:rsid w:val="3DC155D9"/>
    <w:rsid w:val="3E126EA0"/>
    <w:rsid w:val="3E1832B8"/>
    <w:rsid w:val="3E1B3D36"/>
    <w:rsid w:val="3EA62FCE"/>
    <w:rsid w:val="3EA65698"/>
    <w:rsid w:val="3EC8442E"/>
    <w:rsid w:val="3EE95EF4"/>
    <w:rsid w:val="3F067250"/>
    <w:rsid w:val="3F5E51A3"/>
    <w:rsid w:val="3F636DD6"/>
    <w:rsid w:val="403B0334"/>
    <w:rsid w:val="40B4363F"/>
    <w:rsid w:val="40BE6406"/>
    <w:rsid w:val="40C17CD4"/>
    <w:rsid w:val="40D3386C"/>
    <w:rsid w:val="42562619"/>
    <w:rsid w:val="42606FBA"/>
    <w:rsid w:val="42C84FDD"/>
    <w:rsid w:val="42F645DF"/>
    <w:rsid w:val="436155C4"/>
    <w:rsid w:val="439954F5"/>
    <w:rsid w:val="43AC4266"/>
    <w:rsid w:val="43D96E6A"/>
    <w:rsid w:val="43E203A4"/>
    <w:rsid w:val="43E33286"/>
    <w:rsid w:val="4485698B"/>
    <w:rsid w:val="44874075"/>
    <w:rsid w:val="44895106"/>
    <w:rsid w:val="44C43149"/>
    <w:rsid w:val="451B478D"/>
    <w:rsid w:val="452A7C4D"/>
    <w:rsid w:val="45300FFD"/>
    <w:rsid w:val="456331EC"/>
    <w:rsid w:val="457F7C0B"/>
    <w:rsid w:val="460E57EB"/>
    <w:rsid w:val="46AC5B03"/>
    <w:rsid w:val="46B52773"/>
    <w:rsid w:val="46EF1552"/>
    <w:rsid w:val="4753007A"/>
    <w:rsid w:val="47B36EB4"/>
    <w:rsid w:val="47BD756B"/>
    <w:rsid w:val="47CC1692"/>
    <w:rsid w:val="47F93449"/>
    <w:rsid w:val="484F04CB"/>
    <w:rsid w:val="48526343"/>
    <w:rsid w:val="48796491"/>
    <w:rsid w:val="48A97D46"/>
    <w:rsid w:val="490B2039"/>
    <w:rsid w:val="49136AF3"/>
    <w:rsid w:val="491F37EA"/>
    <w:rsid w:val="49230CDA"/>
    <w:rsid w:val="49282D12"/>
    <w:rsid w:val="492F0290"/>
    <w:rsid w:val="499F2D30"/>
    <w:rsid w:val="4A192D41"/>
    <w:rsid w:val="4A232FE5"/>
    <w:rsid w:val="4A2F43ED"/>
    <w:rsid w:val="4A490FA3"/>
    <w:rsid w:val="4AC93855"/>
    <w:rsid w:val="4AF67E65"/>
    <w:rsid w:val="4B5A638A"/>
    <w:rsid w:val="4B8239BA"/>
    <w:rsid w:val="4BA40726"/>
    <w:rsid w:val="4BB323ED"/>
    <w:rsid w:val="4BBC2606"/>
    <w:rsid w:val="4BC07AB1"/>
    <w:rsid w:val="4BE715D4"/>
    <w:rsid w:val="4C4E7D82"/>
    <w:rsid w:val="4CB3091F"/>
    <w:rsid w:val="4CB86DD5"/>
    <w:rsid w:val="4CBD208E"/>
    <w:rsid w:val="4CBF44DA"/>
    <w:rsid w:val="4D860BF5"/>
    <w:rsid w:val="4DBB5470"/>
    <w:rsid w:val="4DDD5013"/>
    <w:rsid w:val="4E2623CF"/>
    <w:rsid w:val="4E3D0661"/>
    <w:rsid w:val="4EDA4E1D"/>
    <w:rsid w:val="4EE516C8"/>
    <w:rsid w:val="4EEA55CA"/>
    <w:rsid w:val="4EF065B2"/>
    <w:rsid w:val="4F590816"/>
    <w:rsid w:val="4FA16B38"/>
    <w:rsid w:val="4FC77055"/>
    <w:rsid w:val="4FD4277A"/>
    <w:rsid w:val="4FE24ED6"/>
    <w:rsid w:val="502C3627"/>
    <w:rsid w:val="50883238"/>
    <w:rsid w:val="516C49C7"/>
    <w:rsid w:val="516F79F1"/>
    <w:rsid w:val="51BB419B"/>
    <w:rsid w:val="51DC2F47"/>
    <w:rsid w:val="51E23C5B"/>
    <w:rsid w:val="51F41A74"/>
    <w:rsid w:val="51F82D0E"/>
    <w:rsid w:val="52752F34"/>
    <w:rsid w:val="52894FE5"/>
    <w:rsid w:val="52AB74E8"/>
    <w:rsid w:val="52BF1488"/>
    <w:rsid w:val="53546303"/>
    <w:rsid w:val="53797E63"/>
    <w:rsid w:val="538E0EB9"/>
    <w:rsid w:val="53C10BC2"/>
    <w:rsid w:val="543C122E"/>
    <w:rsid w:val="5447128E"/>
    <w:rsid w:val="54943BEB"/>
    <w:rsid w:val="54A2780F"/>
    <w:rsid w:val="54B00B4B"/>
    <w:rsid w:val="54F84A39"/>
    <w:rsid w:val="551F5146"/>
    <w:rsid w:val="5548697E"/>
    <w:rsid w:val="557A022B"/>
    <w:rsid w:val="557F708F"/>
    <w:rsid w:val="55CD2E3D"/>
    <w:rsid w:val="56036754"/>
    <w:rsid w:val="5666092A"/>
    <w:rsid w:val="56765CB8"/>
    <w:rsid w:val="56F426B6"/>
    <w:rsid w:val="571F1618"/>
    <w:rsid w:val="579D09F1"/>
    <w:rsid w:val="57A82C67"/>
    <w:rsid w:val="57BD7537"/>
    <w:rsid w:val="57CF7FF8"/>
    <w:rsid w:val="580A7CC0"/>
    <w:rsid w:val="58CC27AC"/>
    <w:rsid w:val="58E53D3D"/>
    <w:rsid w:val="59187D92"/>
    <w:rsid w:val="591D4F6A"/>
    <w:rsid w:val="593902A8"/>
    <w:rsid w:val="59463068"/>
    <w:rsid w:val="59B65FD2"/>
    <w:rsid w:val="5A170DDF"/>
    <w:rsid w:val="5A1C6F94"/>
    <w:rsid w:val="5AAF5DD2"/>
    <w:rsid w:val="5AB86BD1"/>
    <w:rsid w:val="5AD735AC"/>
    <w:rsid w:val="5B1F258A"/>
    <w:rsid w:val="5BB36C55"/>
    <w:rsid w:val="5BBE4FB5"/>
    <w:rsid w:val="5BC95079"/>
    <w:rsid w:val="5C053FF2"/>
    <w:rsid w:val="5C344F0B"/>
    <w:rsid w:val="5C6F3893"/>
    <w:rsid w:val="5CB967D1"/>
    <w:rsid w:val="5D112B30"/>
    <w:rsid w:val="5D624E2A"/>
    <w:rsid w:val="5D8C4708"/>
    <w:rsid w:val="5DFA0467"/>
    <w:rsid w:val="5DFD04D6"/>
    <w:rsid w:val="5E0A3763"/>
    <w:rsid w:val="5E213585"/>
    <w:rsid w:val="5E336364"/>
    <w:rsid w:val="5E6B3ABA"/>
    <w:rsid w:val="5EC73FF9"/>
    <w:rsid w:val="5ED453A2"/>
    <w:rsid w:val="5EDA15B7"/>
    <w:rsid w:val="60296379"/>
    <w:rsid w:val="608A1EA9"/>
    <w:rsid w:val="60DA7570"/>
    <w:rsid w:val="60F54A6C"/>
    <w:rsid w:val="615A3FAC"/>
    <w:rsid w:val="61736CAA"/>
    <w:rsid w:val="61B9200D"/>
    <w:rsid w:val="61C110B6"/>
    <w:rsid w:val="62007DDA"/>
    <w:rsid w:val="624C68BC"/>
    <w:rsid w:val="626D0A75"/>
    <w:rsid w:val="62C817A0"/>
    <w:rsid w:val="62C9368A"/>
    <w:rsid w:val="63021F10"/>
    <w:rsid w:val="636F2182"/>
    <w:rsid w:val="64977116"/>
    <w:rsid w:val="649E2D8E"/>
    <w:rsid w:val="64B21C34"/>
    <w:rsid w:val="64E60B1E"/>
    <w:rsid w:val="64F707C6"/>
    <w:rsid w:val="65214A05"/>
    <w:rsid w:val="652A746C"/>
    <w:rsid w:val="65BD44F5"/>
    <w:rsid w:val="65C24737"/>
    <w:rsid w:val="660A384F"/>
    <w:rsid w:val="6618159A"/>
    <w:rsid w:val="6624088C"/>
    <w:rsid w:val="66246E38"/>
    <w:rsid w:val="667F22FD"/>
    <w:rsid w:val="6696685F"/>
    <w:rsid w:val="670A126A"/>
    <w:rsid w:val="67131934"/>
    <w:rsid w:val="67270EC9"/>
    <w:rsid w:val="675A35E5"/>
    <w:rsid w:val="67D46A87"/>
    <w:rsid w:val="682B2F38"/>
    <w:rsid w:val="6844102B"/>
    <w:rsid w:val="68657233"/>
    <w:rsid w:val="68775701"/>
    <w:rsid w:val="68B62BB8"/>
    <w:rsid w:val="691B5357"/>
    <w:rsid w:val="69210724"/>
    <w:rsid w:val="69730E84"/>
    <w:rsid w:val="69B81B99"/>
    <w:rsid w:val="69C615D4"/>
    <w:rsid w:val="69FB423B"/>
    <w:rsid w:val="6A0D240F"/>
    <w:rsid w:val="6A40466C"/>
    <w:rsid w:val="6A767ECB"/>
    <w:rsid w:val="6AFD029B"/>
    <w:rsid w:val="6B100EA3"/>
    <w:rsid w:val="6B1B4BFF"/>
    <w:rsid w:val="6BDF1087"/>
    <w:rsid w:val="6C466BEE"/>
    <w:rsid w:val="6C665141"/>
    <w:rsid w:val="6C694C46"/>
    <w:rsid w:val="6CE9381C"/>
    <w:rsid w:val="6D682FE9"/>
    <w:rsid w:val="6D890A29"/>
    <w:rsid w:val="6D9E6E8F"/>
    <w:rsid w:val="6E215B35"/>
    <w:rsid w:val="6E307AE7"/>
    <w:rsid w:val="6E7051CC"/>
    <w:rsid w:val="6EA64C18"/>
    <w:rsid w:val="6EAE0C8C"/>
    <w:rsid w:val="6ED10348"/>
    <w:rsid w:val="6ED858E4"/>
    <w:rsid w:val="6EE33B7D"/>
    <w:rsid w:val="6F47492F"/>
    <w:rsid w:val="6F684954"/>
    <w:rsid w:val="6F7904A4"/>
    <w:rsid w:val="6F882D2B"/>
    <w:rsid w:val="6FA16056"/>
    <w:rsid w:val="6FDC682C"/>
    <w:rsid w:val="6FFB55FE"/>
    <w:rsid w:val="702F38AB"/>
    <w:rsid w:val="705212AF"/>
    <w:rsid w:val="70605BD7"/>
    <w:rsid w:val="707D0729"/>
    <w:rsid w:val="70897B03"/>
    <w:rsid w:val="709E1C38"/>
    <w:rsid w:val="70B83FBC"/>
    <w:rsid w:val="719F3446"/>
    <w:rsid w:val="71EF0670"/>
    <w:rsid w:val="72000C93"/>
    <w:rsid w:val="72633880"/>
    <w:rsid w:val="729F2CCA"/>
    <w:rsid w:val="72BA7111"/>
    <w:rsid w:val="72CB0F43"/>
    <w:rsid w:val="73115735"/>
    <w:rsid w:val="734525DB"/>
    <w:rsid w:val="73E42AAF"/>
    <w:rsid w:val="7472226C"/>
    <w:rsid w:val="747C73F3"/>
    <w:rsid w:val="7490586E"/>
    <w:rsid w:val="74DA5A52"/>
    <w:rsid w:val="75A7245F"/>
    <w:rsid w:val="75E12EAC"/>
    <w:rsid w:val="766F10FE"/>
    <w:rsid w:val="768F579D"/>
    <w:rsid w:val="76AD1443"/>
    <w:rsid w:val="76B51E51"/>
    <w:rsid w:val="77190C9D"/>
    <w:rsid w:val="77376C73"/>
    <w:rsid w:val="781F6B72"/>
    <w:rsid w:val="78E01836"/>
    <w:rsid w:val="78F91B68"/>
    <w:rsid w:val="78FF347A"/>
    <w:rsid w:val="7935390D"/>
    <w:rsid w:val="796530D6"/>
    <w:rsid w:val="79AF56DE"/>
    <w:rsid w:val="79DE5C8B"/>
    <w:rsid w:val="79E91938"/>
    <w:rsid w:val="79EF1BB7"/>
    <w:rsid w:val="79F23150"/>
    <w:rsid w:val="7A482612"/>
    <w:rsid w:val="7A5800DB"/>
    <w:rsid w:val="7ABC6FA5"/>
    <w:rsid w:val="7ACE29B0"/>
    <w:rsid w:val="7AEB34D6"/>
    <w:rsid w:val="7B7969CC"/>
    <w:rsid w:val="7B961FEE"/>
    <w:rsid w:val="7BE87F6D"/>
    <w:rsid w:val="7C3E2494"/>
    <w:rsid w:val="7C421366"/>
    <w:rsid w:val="7C584128"/>
    <w:rsid w:val="7CDE7731"/>
    <w:rsid w:val="7D010365"/>
    <w:rsid w:val="7D1A2A23"/>
    <w:rsid w:val="7D6B3684"/>
    <w:rsid w:val="7DC56B42"/>
    <w:rsid w:val="7E0F3DCD"/>
    <w:rsid w:val="7E3B35DD"/>
    <w:rsid w:val="7E950865"/>
    <w:rsid w:val="7EBA0862"/>
    <w:rsid w:val="7F7F7C8F"/>
    <w:rsid w:val="7FBC72B0"/>
    <w:rsid w:val="7FFB35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46"/>
    <w:qFormat/>
    <w:uiPriority w:val="0"/>
    <w:pPr>
      <w:keepNext/>
      <w:numPr>
        <w:ilvl w:val="0"/>
        <w:numId w:val="1"/>
      </w:numPr>
      <w:spacing w:line="360" w:lineRule="auto"/>
      <w:ind w:firstLine="200" w:firstLineChars="200"/>
      <w:jc w:val="center"/>
      <w:outlineLvl w:val="0"/>
    </w:pPr>
    <w:rPr>
      <w:rFonts w:ascii="楷体_GB2312" w:eastAsia="楷体_GB2312"/>
      <w:sz w:val="28"/>
      <w:szCs w:val="28"/>
    </w:rPr>
  </w:style>
  <w:style w:type="paragraph" w:styleId="5">
    <w:name w:val="heading 2"/>
    <w:basedOn w:val="1"/>
    <w:next w:val="3"/>
    <w:link w:val="51"/>
    <w:unhideWhenUsed/>
    <w:qFormat/>
    <w:uiPriority w:val="0"/>
    <w:pPr>
      <w:keepNext/>
      <w:keepLines/>
      <w:numPr>
        <w:ilvl w:val="1"/>
        <w:numId w:val="1"/>
      </w:numPr>
      <w:spacing w:before="260" w:after="260" w:line="415" w:lineRule="auto"/>
      <w:ind w:firstLine="200" w:firstLineChars="200"/>
      <w:jc w:val="center"/>
      <w:outlineLvl w:val="1"/>
    </w:pPr>
    <w:rPr>
      <w:rFonts w:ascii="Arial" w:hAnsi="Arial" w:eastAsia="幼圆"/>
      <w:b/>
      <w:bCs/>
      <w:sz w:val="44"/>
      <w:szCs w:val="44"/>
    </w:rPr>
  </w:style>
  <w:style w:type="paragraph" w:styleId="6">
    <w:name w:val="heading 3"/>
    <w:basedOn w:val="1"/>
    <w:next w:val="3"/>
    <w:unhideWhenUsed/>
    <w:qFormat/>
    <w:uiPriority w:val="0"/>
    <w:pPr>
      <w:keepNext/>
      <w:keepLines/>
      <w:numPr>
        <w:ilvl w:val="2"/>
        <w:numId w:val="1"/>
      </w:numPr>
      <w:spacing w:before="260" w:after="260" w:line="415" w:lineRule="auto"/>
      <w:outlineLvl w:val="2"/>
    </w:pPr>
    <w:rPr>
      <w:b/>
      <w:bCs/>
      <w:sz w:val="32"/>
      <w:szCs w:val="32"/>
    </w:rPr>
  </w:style>
  <w:style w:type="paragraph" w:styleId="2">
    <w:name w:val="heading 4"/>
    <w:basedOn w:val="1"/>
    <w:next w:val="3"/>
    <w:unhideWhenUsed/>
    <w:qFormat/>
    <w:uiPriority w:val="0"/>
    <w:pPr>
      <w:keepNext/>
      <w:keepLines/>
      <w:spacing w:before="280" w:after="290" w:line="376" w:lineRule="auto"/>
      <w:outlineLvl w:val="3"/>
    </w:pPr>
    <w:rPr>
      <w:rFonts w:ascii="Calibri Light" w:hAnsi="Calibri Light" w:eastAsia="宋体" w:cs="Times New Roman"/>
      <w:b/>
      <w:bCs/>
      <w:sz w:val="28"/>
      <w:szCs w:val="28"/>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customStyle="1" w:styleId="3">
    <w:name w:val="Normal Indent"/>
    <w:basedOn w:val="1"/>
    <w:qFormat/>
    <w:uiPriority w:val="0"/>
    <w:pPr>
      <w:spacing w:line="360" w:lineRule="auto"/>
      <w:ind w:firstLine="420" w:firstLineChars="200"/>
    </w:pPr>
    <w:rPr>
      <w:rFonts w:ascii="Times New Roman" w:hAnsi="Times New Roman" w:cs="Times New Roman"/>
      <w:sz w:val="24"/>
      <w:szCs w:val="24"/>
    </w:rPr>
  </w:style>
  <w:style w:type="paragraph" w:styleId="7">
    <w:name w:val="annotation subject"/>
    <w:basedOn w:val="8"/>
    <w:next w:val="8"/>
    <w:link w:val="43"/>
    <w:qFormat/>
    <w:uiPriority w:val="0"/>
    <w:rPr>
      <w:b/>
      <w:bCs/>
    </w:rPr>
  </w:style>
  <w:style w:type="paragraph" w:styleId="8">
    <w:name w:val="annotation text"/>
    <w:basedOn w:val="1"/>
    <w:link w:val="44"/>
    <w:qFormat/>
    <w:uiPriority w:val="99"/>
    <w:pPr>
      <w:jc w:val="left"/>
    </w:pPr>
  </w:style>
  <w:style w:type="paragraph" w:styleId="9">
    <w:name w:val="Body Text First Indent"/>
    <w:basedOn w:val="1"/>
    <w:unhideWhenUsed/>
    <w:qFormat/>
    <w:uiPriority w:val="99"/>
    <w:pPr>
      <w:ind w:firstLine="420" w:firstLineChars="100"/>
    </w:pPr>
    <w:rPr>
      <w:rFonts w:ascii="Times New Roman" w:hAnsi="Times New Roman" w:eastAsia="宋体" w:cs="Times New Roman"/>
      <w:sz w:val="24"/>
      <w:szCs w:val="20"/>
    </w:rPr>
  </w:style>
  <w:style w:type="paragraph" w:styleId="10">
    <w:name w:val="Body Text"/>
    <w:basedOn w:val="1"/>
    <w:qFormat/>
    <w:uiPriority w:val="0"/>
    <w:pPr>
      <w:spacing w:line="360" w:lineRule="auto"/>
      <w:ind w:firstLine="200" w:firstLineChars="200"/>
    </w:pPr>
    <w:rPr>
      <w:rFonts w:ascii="楷体_GB2312" w:hAnsi="Arial" w:eastAsia="楷体_GB2312"/>
      <w:sz w:val="28"/>
      <w:szCs w:val="28"/>
    </w:rPr>
  </w:style>
  <w:style w:type="paragraph" w:styleId="11">
    <w:name w:val="Plain Text"/>
    <w:basedOn w:val="1"/>
    <w:qFormat/>
    <w:uiPriority w:val="0"/>
    <w:pPr>
      <w:spacing w:line="360" w:lineRule="auto"/>
      <w:ind w:firstLine="200" w:firstLineChars="200"/>
    </w:pPr>
    <w:rPr>
      <w:rFonts w:ascii="宋体" w:hAnsi="Courier New"/>
      <w:sz w:val="24"/>
      <w:szCs w:val="21"/>
    </w:rPr>
  </w:style>
  <w:style w:type="paragraph" w:styleId="12">
    <w:name w:val="Date"/>
    <w:basedOn w:val="1"/>
    <w:next w:val="1"/>
    <w:qFormat/>
    <w:uiPriority w:val="0"/>
    <w:pPr>
      <w:spacing w:line="360" w:lineRule="auto"/>
      <w:ind w:firstLine="200" w:firstLineChars="200"/>
    </w:pPr>
    <w:rPr>
      <w:rFonts w:ascii="Times New Roman" w:hAnsi="Times New Roman"/>
      <w:sz w:val="24"/>
      <w:szCs w:val="24"/>
    </w:rPr>
  </w:style>
  <w:style w:type="paragraph" w:styleId="13">
    <w:name w:val="Balloon Text"/>
    <w:basedOn w:val="1"/>
    <w:link w:val="52"/>
    <w:qFormat/>
    <w:uiPriority w:val="0"/>
    <w:rPr>
      <w:sz w:val="18"/>
      <w:szCs w:val="18"/>
    </w:rPr>
  </w:style>
  <w:style w:type="paragraph" w:styleId="14">
    <w:name w:val="footer"/>
    <w:basedOn w:val="1"/>
    <w:link w:val="49"/>
    <w:qFormat/>
    <w:uiPriority w:val="99"/>
    <w:pPr>
      <w:tabs>
        <w:tab w:val="center" w:pos="4153"/>
        <w:tab w:val="right" w:pos="8306"/>
      </w:tabs>
      <w:snapToGrid w:val="0"/>
      <w:spacing w:line="360" w:lineRule="auto"/>
      <w:ind w:firstLine="200" w:firstLineChars="200"/>
      <w:jc w:val="left"/>
    </w:pPr>
    <w:rPr>
      <w:rFonts w:ascii="Times New Roman" w:hAnsi="Times New Roman"/>
      <w:sz w:val="18"/>
      <w:szCs w:val="18"/>
    </w:rPr>
  </w:style>
  <w:style w:type="paragraph" w:styleId="15">
    <w:name w:val="header"/>
    <w:basedOn w:val="1"/>
    <w:qFormat/>
    <w:uiPriority w:val="0"/>
    <w:pPr>
      <w:pBdr>
        <w:bottom w:val="single" w:color="auto" w:sz="6" w:space="1"/>
      </w:pBdr>
      <w:tabs>
        <w:tab w:val="center" w:pos="4153"/>
        <w:tab w:val="right" w:pos="8306"/>
      </w:tabs>
      <w:snapToGrid w:val="0"/>
      <w:spacing w:line="360" w:lineRule="auto"/>
      <w:ind w:firstLine="200" w:firstLineChars="200"/>
      <w:jc w:val="center"/>
    </w:pPr>
    <w:rPr>
      <w:rFonts w:ascii="Times New Roman" w:hAnsi="Times New Roman"/>
      <w:sz w:val="18"/>
      <w:szCs w:val="18"/>
    </w:rPr>
  </w:style>
  <w:style w:type="paragraph" w:styleId="16">
    <w:name w:val="toc 1"/>
    <w:basedOn w:val="1"/>
    <w:next w:val="1"/>
    <w:qFormat/>
    <w:uiPriority w:val="39"/>
    <w:pPr>
      <w:tabs>
        <w:tab w:val="right" w:leader="dot" w:pos="8720"/>
      </w:tabs>
      <w:spacing w:before="120" w:after="120" w:line="400" w:lineRule="exact"/>
      <w:ind w:firstLine="200" w:firstLineChars="200"/>
      <w:jc w:val="left"/>
    </w:pPr>
    <w:rPr>
      <w:rFonts w:ascii="宋体" w:hAnsi="宋体"/>
      <w:caps/>
      <w:sz w:val="24"/>
      <w:szCs w:val="24"/>
    </w:rPr>
  </w:style>
  <w:style w:type="paragraph" w:styleId="17">
    <w:name w:val="toc 2"/>
    <w:basedOn w:val="1"/>
    <w:next w:val="1"/>
    <w:qFormat/>
    <w:uiPriority w:val="39"/>
    <w:pPr>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qFormat/>
    <w:uiPriority w:val="0"/>
    <w:pPr>
      <w:spacing w:before="240" w:after="60"/>
      <w:jc w:val="center"/>
      <w:outlineLvl w:val="0"/>
    </w:pPr>
    <w:rPr>
      <w:rFonts w:ascii="Cambria" w:hAnsi="Cambria"/>
      <w:b/>
      <w:bCs/>
      <w:kern w:val="0"/>
      <w:sz w:val="32"/>
      <w:szCs w:val="32"/>
    </w:rPr>
  </w:style>
  <w:style w:type="character" w:styleId="21">
    <w:name w:val="Strong"/>
    <w:qFormat/>
    <w:uiPriority w:val="0"/>
    <w:rPr>
      <w:b/>
      <w:bCs/>
    </w:rPr>
  </w:style>
  <w:style w:type="character" w:styleId="22">
    <w:name w:val="Emphasis"/>
    <w:basedOn w:val="20"/>
    <w:qFormat/>
    <w:uiPriority w:val="0"/>
    <w:rPr>
      <w:i/>
    </w:rPr>
  </w:style>
  <w:style w:type="character" w:styleId="23">
    <w:name w:val="Hyperlink"/>
    <w:basedOn w:val="20"/>
    <w:unhideWhenUsed/>
    <w:qFormat/>
    <w:uiPriority w:val="99"/>
    <w:rPr>
      <w:color w:val="0563C1"/>
      <w:u w:val="single"/>
    </w:rPr>
  </w:style>
  <w:style w:type="character" w:styleId="24">
    <w:name w:val="annotation reference"/>
    <w:basedOn w:val="20"/>
    <w:qFormat/>
    <w:uiPriority w:val="99"/>
    <w:rPr>
      <w:sz w:val="21"/>
      <w:szCs w:val="21"/>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7">
    <w:name w:val="Normal Indent1"/>
    <w:basedOn w:val="1"/>
    <w:qFormat/>
    <w:uiPriority w:val="0"/>
    <w:pPr>
      <w:spacing w:line="360" w:lineRule="auto"/>
      <w:ind w:firstLine="420" w:firstLineChars="200"/>
    </w:pPr>
    <w:rPr>
      <w:rFonts w:ascii="Times New Roman" w:hAnsi="Times New Roman" w:cs="Times New Roman"/>
      <w:sz w:val="24"/>
      <w:szCs w:val="24"/>
    </w:rPr>
  </w:style>
  <w:style w:type="paragraph" w:customStyle="1" w:styleId="28">
    <w:name w:val="列出段落3"/>
    <w:basedOn w:val="1"/>
    <w:link w:val="45"/>
    <w:qFormat/>
    <w:uiPriority w:val="0"/>
    <w:pPr>
      <w:ind w:firstLine="420" w:firstLineChars="200"/>
    </w:pPr>
    <w:rPr>
      <w:rFonts w:ascii="Calibri" w:hAnsi="Calibri" w:eastAsia="宋体" w:cs="Times New Roman"/>
      <w:kern w:val="0"/>
      <w:sz w:val="20"/>
      <w:szCs w:val="20"/>
    </w:rPr>
  </w:style>
  <w:style w:type="paragraph" w:customStyle="1" w:styleId="29">
    <w:name w:val="p0"/>
    <w:basedOn w:val="1"/>
    <w:qFormat/>
    <w:uiPriority w:val="0"/>
    <w:pPr>
      <w:widowControl/>
    </w:pPr>
    <w:rPr>
      <w:rFonts w:ascii="Times New Roman" w:hAnsi="Times New Roman" w:eastAsia="宋体" w:cs="Times New Roman"/>
      <w:kern w:val="0"/>
      <w:szCs w:val="21"/>
    </w:rPr>
  </w:style>
  <w:style w:type="paragraph" w:customStyle="1" w:styleId="30">
    <w:name w:val="普通正文"/>
    <w:basedOn w:val="1"/>
    <w:qFormat/>
    <w:uiPriority w:val="0"/>
    <w:pPr>
      <w:adjustRightInd w:val="0"/>
      <w:spacing w:before="120" w:after="120" w:line="360" w:lineRule="auto"/>
      <w:ind w:firstLine="480" w:firstLineChars="200"/>
      <w:jc w:val="left"/>
    </w:pPr>
    <w:rPr>
      <w:rFonts w:ascii="Arial" w:hAnsi="Arial"/>
      <w:kern w:val="0"/>
      <w:sz w:val="24"/>
      <w:szCs w:val="24"/>
    </w:rPr>
  </w:style>
  <w:style w:type="paragraph" w:customStyle="1" w:styleId="31">
    <w:name w:val="Default"/>
    <w:unhideWhenUsed/>
    <w:qFormat/>
    <w:uiPriority w:val="99"/>
    <w:pPr>
      <w:widowControl w:val="0"/>
      <w:autoSpaceDE w:val="0"/>
      <w:autoSpaceDN w:val="0"/>
      <w:adjustRightInd w:val="0"/>
    </w:pPr>
    <w:rPr>
      <w:rFonts w:ascii="仿宋" w:hAnsi="仿宋" w:eastAsia="仿宋" w:cs="Times New Roman"/>
      <w:color w:val="000000"/>
      <w:sz w:val="24"/>
      <w:lang w:val="en-US" w:eastAsia="zh-CN" w:bidi="ar-SA"/>
    </w:rPr>
  </w:style>
  <w:style w:type="paragraph" w:customStyle="1" w:styleId="32">
    <w:name w:val="二级目录"/>
    <w:next w:val="1"/>
    <w:link w:val="47"/>
    <w:qFormat/>
    <w:uiPriority w:val="0"/>
    <w:pPr>
      <w:numPr>
        <w:ilvl w:val="0"/>
        <w:numId w:val="2"/>
      </w:numPr>
      <w:outlineLvl w:val="1"/>
    </w:pPr>
    <w:rPr>
      <w:rFonts w:ascii="Calibri" w:hAnsi="Calibri" w:eastAsia="宋体" w:cs="Times New Roman"/>
      <w:b/>
      <w:kern w:val="2"/>
      <w:sz w:val="30"/>
      <w:szCs w:val="28"/>
      <w:lang w:val="en-US" w:eastAsia="zh-CN" w:bidi="ar-SA"/>
    </w:rPr>
  </w:style>
  <w:style w:type="paragraph" w:customStyle="1" w:styleId="33">
    <w:name w:val="列出段落2"/>
    <w:basedOn w:val="1"/>
    <w:qFormat/>
    <w:uiPriority w:val="34"/>
    <w:pPr>
      <w:ind w:firstLine="420" w:firstLineChars="200"/>
    </w:pPr>
  </w:style>
  <w:style w:type="paragraph" w:customStyle="1" w:styleId="34">
    <w:name w:val="列出段落1"/>
    <w:basedOn w:val="1"/>
    <w:qFormat/>
    <w:uiPriority w:val="0"/>
    <w:pPr>
      <w:ind w:firstLine="420" w:firstLineChars="200"/>
    </w:pPr>
  </w:style>
  <w:style w:type="paragraph" w:customStyle="1" w:styleId="35">
    <w:name w:val="一级目录"/>
    <w:next w:val="1"/>
    <w:link w:val="53"/>
    <w:qFormat/>
    <w:uiPriority w:val="0"/>
    <w:pPr>
      <w:spacing w:afterLines="100"/>
      <w:jc w:val="center"/>
      <w:outlineLvl w:val="0"/>
    </w:pPr>
    <w:rPr>
      <w:rFonts w:ascii="黑体" w:hAnsi="Times New Roman" w:eastAsia="黑体" w:cs="Times New Roman"/>
      <w:b/>
      <w:kern w:val="2"/>
      <w:sz w:val="44"/>
      <w:szCs w:val="44"/>
      <w:lang w:val="en-US" w:eastAsia="zh-CN" w:bidi="ar-SA"/>
    </w:rPr>
  </w:style>
  <w:style w:type="paragraph" w:customStyle="1" w:styleId="36">
    <w:name w:val="Char"/>
    <w:basedOn w:val="1"/>
    <w:qFormat/>
    <w:uiPriority w:val="0"/>
    <w:pPr>
      <w:tabs>
        <w:tab w:val="left" w:pos="360"/>
      </w:tabs>
      <w:spacing w:line="360" w:lineRule="auto"/>
      <w:ind w:firstLine="200" w:firstLineChars="200"/>
    </w:pPr>
    <w:rPr>
      <w:rFonts w:ascii="Times New Roman" w:hAnsi="Times New Roman"/>
      <w:sz w:val="24"/>
      <w:szCs w:val="24"/>
    </w:rPr>
  </w:style>
  <w:style w:type="paragraph" w:customStyle="1" w:styleId="37">
    <w:name w:val="List Paragraph"/>
    <w:basedOn w:val="1"/>
    <w:qFormat/>
    <w:uiPriority w:val="34"/>
    <w:pPr>
      <w:ind w:firstLine="420" w:firstLineChars="200"/>
    </w:pPr>
    <w:rPr>
      <w:rFonts w:ascii="Times New Roman" w:hAnsi="Times New Roman" w:eastAsia="宋体" w:cs="Times New Roman"/>
      <w:b/>
      <w:sz w:val="24"/>
      <w:szCs w:val="20"/>
    </w:rPr>
  </w:style>
  <w:style w:type="paragraph" w:customStyle="1" w:styleId="38">
    <w:name w:val="_Style 3"/>
    <w:basedOn w:val="1"/>
    <w:next w:val="1"/>
    <w:unhideWhenUsed/>
    <w:qFormat/>
    <w:uiPriority w:val="99"/>
    <w:pPr>
      <w:widowControl/>
      <w:pBdr>
        <w:bottom w:val="single" w:color="auto" w:sz="6" w:space="1"/>
      </w:pBdr>
      <w:jc w:val="center"/>
    </w:pPr>
    <w:rPr>
      <w:rFonts w:ascii="Arial" w:hAnsi="Arial"/>
      <w:vanish/>
      <w:kern w:val="0"/>
      <w:sz w:val="16"/>
      <w:szCs w:val="16"/>
    </w:rPr>
  </w:style>
  <w:style w:type="paragraph" w:customStyle="1" w:styleId="39">
    <w:name w:val="_Style 8"/>
    <w:basedOn w:val="1"/>
    <w:next w:val="1"/>
    <w:unhideWhenUsed/>
    <w:qFormat/>
    <w:uiPriority w:val="99"/>
    <w:pPr>
      <w:widowControl/>
      <w:pBdr>
        <w:top w:val="single" w:color="auto" w:sz="6" w:space="1"/>
      </w:pBdr>
      <w:jc w:val="center"/>
    </w:pPr>
    <w:rPr>
      <w:rFonts w:ascii="Arial" w:hAnsi="Arial"/>
      <w:vanish/>
      <w:kern w:val="0"/>
      <w:sz w:val="16"/>
      <w:szCs w:val="16"/>
    </w:rPr>
  </w:style>
  <w:style w:type="paragraph" w:customStyle="1" w:styleId="40">
    <w:name w:val="_Style 5"/>
    <w:basedOn w:val="1"/>
    <w:next w:val="1"/>
    <w:unhideWhenUsed/>
    <w:qFormat/>
    <w:uiPriority w:val="99"/>
    <w:pPr>
      <w:widowControl/>
      <w:pBdr>
        <w:bottom w:val="single" w:color="auto" w:sz="6" w:space="1"/>
      </w:pBdr>
      <w:jc w:val="center"/>
    </w:pPr>
    <w:rPr>
      <w:rFonts w:ascii="Arial" w:hAnsi="Arial"/>
      <w:vanish/>
      <w:kern w:val="0"/>
      <w:sz w:val="16"/>
      <w:szCs w:val="16"/>
    </w:rPr>
  </w:style>
  <w:style w:type="paragraph" w:customStyle="1" w:styleId="41">
    <w:name w:val="☆ 正文"/>
    <w:basedOn w:val="1"/>
    <w:qFormat/>
    <w:uiPriority w:val="0"/>
    <w:rPr>
      <w:rFonts w:ascii="Calibri" w:hAnsi="Calibri" w:eastAsia="宋体" w:cs="Times New Roman"/>
    </w:rPr>
  </w:style>
  <w:style w:type="paragraph" w:customStyle="1" w:styleId="42">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43">
    <w:name w:val="批注主题 字符"/>
    <w:basedOn w:val="44"/>
    <w:link w:val="7"/>
    <w:qFormat/>
    <w:uiPriority w:val="0"/>
    <w:rPr>
      <w:rFonts w:ascii="Calibri" w:hAnsi="Calibri" w:eastAsia="宋体" w:cs="Times New Roman"/>
      <w:b/>
      <w:bCs/>
      <w:kern w:val="2"/>
      <w:sz w:val="21"/>
      <w:szCs w:val="22"/>
    </w:rPr>
  </w:style>
  <w:style w:type="character" w:customStyle="1" w:styleId="44">
    <w:name w:val="批注文字 字符"/>
    <w:basedOn w:val="20"/>
    <w:link w:val="8"/>
    <w:qFormat/>
    <w:uiPriority w:val="99"/>
    <w:rPr>
      <w:rFonts w:ascii="Calibri" w:hAnsi="Calibri" w:eastAsia="宋体" w:cs="Times New Roman"/>
      <w:kern w:val="2"/>
      <w:sz w:val="21"/>
      <w:szCs w:val="22"/>
    </w:rPr>
  </w:style>
  <w:style w:type="character" w:customStyle="1" w:styleId="45">
    <w:name w:val="列出段落 Char"/>
    <w:link w:val="28"/>
    <w:qFormat/>
    <w:locked/>
    <w:uiPriority w:val="0"/>
    <w:rPr>
      <w:rFonts w:ascii="Calibri" w:hAnsi="Calibri"/>
    </w:rPr>
  </w:style>
  <w:style w:type="character" w:customStyle="1" w:styleId="46">
    <w:name w:val="标题 1 字符"/>
    <w:link w:val="4"/>
    <w:qFormat/>
    <w:uiPriority w:val="0"/>
    <w:rPr>
      <w:rFonts w:ascii="楷体_GB2312" w:eastAsia="楷体_GB2312"/>
      <w:sz w:val="28"/>
      <w:szCs w:val="28"/>
    </w:rPr>
  </w:style>
  <w:style w:type="character" w:customStyle="1" w:styleId="47">
    <w:name w:val="二级目录 Char"/>
    <w:link w:val="32"/>
    <w:qFormat/>
    <w:uiPriority w:val="0"/>
    <w:rPr>
      <w:rFonts w:ascii="Calibri" w:hAnsi="Calibri" w:eastAsia="宋体" w:cs="Times New Roman"/>
      <w:b/>
      <w:kern w:val="2"/>
      <w:sz w:val="30"/>
      <w:szCs w:val="28"/>
      <w:lang w:val="en-US" w:eastAsia="zh-CN" w:bidi="ar-SA"/>
    </w:rPr>
  </w:style>
  <w:style w:type="character" w:customStyle="1" w:styleId="48">
    <w:name w:val="font01"/>
    <w:qFormat/>
    <w:uiPriority w:val="0"/>
    <w:rPr>
      <w:rFonts w:hint="eastAsia" w:ascii="宋体" w:hAnsi="宋体" w:eastAsia="宋体" w:cs="宋体"/>
      <w:color w:val="000000"/>
      <w:sz w:val="24"/>
      <w:szCs w:val="24"/>
      <w:u w:val="none"/>
    </w:rPr>
  </w:style>
  <w:style w:type="character" w:customStyle="1" w:styleId="49">
    <w:name w:val="页脚 字符"/>
    <w:basedOn w:val="20"/>
    <w:link w:val="14"/>
    <w:qFormat/>
    <w:uiPriority w:val="99"/>
    <w:rPr>
      <w:rFonts w:eastAsia="宋体" w:cs="Times New Roman"/>
      <w:kern w:val="2"/>
      <w:sz w:val="18"/>
      <w:szCs w:val="18"/>
    </w:rPr>
  </w:style>
  <w:style w:type="character" w:customStyle="1" w:styleId="50">
    <w:name w:val="样式 仿宋"/>
    <w:qFormat/>
    <w:uiPriority w:val="0"/>
    <w:rPr>
      <w:rFonts w:ascii="仿宋" w:hAnsi="仿宋" w:eastAsia="仿宋"/>
      <w:kern w:val="1"/>
    </w:rPr>
  </w:style>
  <w:style w:type="character" w:customStyle="1" w:styleId="51">
    <w:name w:val="标题 2 字符"/>
    <w:link w:val="5"/>
    <w:qFormat/>
    <w:locked/>
    <w:uiPriority w:val="99"/>
    <w:rPr>
      <w:rFonts w:ascii="Arial" w:hAnsi="Arial" w:eastAsia="幼圆"/>
      <w:b/>
      <w:bCs/>
      <w:sz w:val="44"/>
      <w:szCs w:val="44"/>
    </w:rPr>
  </w:style>
  <w:style w:type="character" w:customStyle="1" w:styleId="52">
    <w:name w:val="批注框文本 字符"/>
    <w:basedOn w:val="20"/>
    <w:link w:val="13"/>
    <w:qFormat/>
    <w:uiPriority w:val="0"/>
    <w:rPr>
      <w:rFonts w:ascii="Calibri" w:hAnsi="Calibri" w:eastAsia="宋体" w:cs="Times New Roman"/>
      <w:kern w:val="2"/>
      <w:sz w:val="18"/>
      <w:szCs w:val="18"/>
    </w:rPr>
  </w:style>
  <w:style w:type="character" w:customStyle="1" w:styleId="53">
    <w:name w:val="一级目录 Char"/>
    <w:link w:val="35"/>
    <w:qFormat/>
    <w:uiPriority w:val="0"/>
    <w:rPr>
      <w:rFonts w:ascii="黑体" w:hAnsi="Times New Roman" w:eastAsia="黑体" w:cs="Times New Roman"/>
      <w:b/>
      <w:kern w:val="2"/>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Pages>
  <Words>20360</Words>
  <Characters>21265</Characters>
  <Lines>176</Lines>
  <Paragraphs>49</Paragraphs>
  <TotalTime>11</TotalTime>
  <ScaleCrop>false</ScaleCrop>
  <LinksUpToDate>false</LinksUpToDate>
  <CharactersWithSpaces>23057</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2017-03-28T02:02:00Z</dcterms:created>
  <dc:creator>Administrator</dc:creator>
  <cp:lastModifiedBy>Administrator</cp:lastModifiedBy>
  <cp:lastPrinted>2017-07-05T04:46:00Z</cp:lastPrinted>
  <dcterms:modified xsi:type="dcterms:W3CDTF">2018-12-11T05:56:23Z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