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5FC281" w14:textId="4EC53A43" w:rsidR="008C01AE" w:rsidRPr="008C01AE" w:rsidRDefault="008C01AE" w:rsidP="008C01AE">
      <w:pPr>
        <w:jc w:val="center"/>
        <w:rPr>
          <w:rFonts w:ascii="宋体" w:eastAsia="宋体" w:hAnsi="宋体" w:hint="eastAsia"/>
          <w:b/>
          <w:sz w:val="32"/>
          <w:szCs w:val="32"/>
        </w:rPr>
      </w:pPr>
      <w:r w:rsidRPr="008C01AE">
        <w:rPr>
          <w:rFonts w:ascii="宋体" w:eastAsia="宋体" w:hAnsi="宋体" w:hint="eastAsia"/>
          <w:b/>
          <w:sz w:val="32"/>
          <w:szCs w:val="32"/>
        </w:rPr>
        <w:t>第五包</w:t>
      </w:r>
      <w:r w:rsidRPr="008C01AE">
        <w:rPr>
          <w:rFonts w:ascii="宋体" w:eastAsia="宋体" w:hAnsi="宋体"/>
          <w:b/>
          <w:sz w:val="32"/>
          <w:szCs w:val="32"/>
        </w:rPr>
        <w:t>；精子质量分析系统</w:t>
      </w:r>
    </w:p>
    <w:p w14:paraId="4AE7E17A" w14:textId="7485655A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 w:hint="eastAsia"/>
          <w:sz w:val="24"/>
          <w:szCs w:val="24"/>
        </w:rPr>
        <w:t>一、</w:t>
      </w:r>
      <w:r w:rsidR="008C01AE" w:rsidRPr="008C01AE">
        <w:rPr>
          <w:rFonts w:ascii="宋体" w:eastAsia="宋体" w:hAnsi="宋体" w:hint="eastAsia"/>
          <w:sz w:val="24"/>
          <w:szCs w:val="24"/>
        </w:rPr>
        <w:t>技术</w:t>
      </w:r>
      <w:r w:rsidRPr="008C01AE">
        <w:rPr>
          <w:rFonts w:ascii="宋体" w:eastAsia="宋体" w:hAnsi="宋体" w:hint="eastAsia"/>
          <w:sz w:val="24"/>
          <w:szCs w:val="24"/>
        </w:rPr>
        <w:t>参数</w:t>
      </w:r>
    </w:p>
    <w:p w14:paraId="3CC1E72D" w14:textId="77777777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t>1.1系统设计遵循《WHO人类精液及精子—宫颈粘液相互作用实验室检验手册》第五版标准</w:t>
      </w:r>
    </w:p>
    <w:p w14:paraId="75CE8BBA" w14:textId="77777777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t>1.2检验项目齐全，涵盖精液分析绝大多数项目，包括了精液理学性状类、精子显微镜动力学分析类、形态学分析类、精子功能实验类、化学分析类及免疫分析类项目</w:t>
      </w:r>
    </w:p>
    <w:p w14:paraId="0FD34B5F" w14:textId="77777777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t>1.3精子动力学分析项目在WHO标准化基础上遵循国际行业内计算机CASA标准，活力级别分为PR、NP、IM三个级别，还可分析多达40项活力相关参数</w:t>
      </w:r>
    </w:p>
    <w:p w14:paraId="37FF2519" w14:textId="77777777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t>1.4精子形态学分析模块在WHO标准化基础上，细分各种畸形类别及畸形率，可检测40多项形态学指标。</w:t>
      </w:r>
    </w:p>
    <w:p w14:paraId="523F02A7" w14:textId="77777777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t>1.5形态学检测精子自动计数，辅助识别畸形率，畸形总数及畸形精子数分别自动统计</w:t>
      </w:r>
    </w:p>
    <w:p w14:paraId="5655A0F3" w14:textId="77777777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t>1.6自动计算畸形精子指数（TZI）和精子畸形指数（SDI），及多重异常指数（MAI）</w:t>
      </w:r>
    </w:p>
    <w:p w14:paraId="2E0C73C7" w14:textId="77777777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t>1.7可跟踪精子运动轨迹并描绘输出彩色轨迹线，精子轨迹图可以反白显示</w:t>
      </w:r>
    </w:p>
    <w:p w14:paraId="2EC2698B" w14:textId="77777777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t>1.8.可对精子图像进行文字及图形标注</w:t>
      </w:r>
    </w:p>
    <w:p w14:paraId="7357C193" w14:textId="77777777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t>1.9.精液分析功能界面及报告输出具有病案首页信息、精子镜下原始分布图及彩色动态轨迹图、标本特性数据和精子质量分析数据及形态分析数据、精子各种运动速度及活力分级及统计直方图</w:t>
      </w:r>
    </w:p>
    <w:p w14:paraId="08AA1A91" w14:textId="2DB21996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t>1.10</w:t>
      </w:r>
      <w:r w:rsidR="008C01AE">
        <w:rPr>
          <w:rFonts w:ascii="宋体" w:eastAsia="宋体" w:hAnsi="宋体"/>
          <w:sz w:val="24"/>
          <w:szCs w:val="24"/>
        </w:rPr>
        <w:t>.</w:t>
      </w:r>
      <w:r w:rsidRPr="008C01AE">
        <w:rPr>
          <w:rFonts w:ascii="宋体" w:eastAsia="宋体" w:hAnsi="宋体"/>
          <w:sz w:val="24"/>
          <w:szCs w:val="24"/>
        </w:rPr>
        <w:t>每个视场图像帧数10~40帧</w:t>
      </w:r>
    </w:p>
    <w:p w14:paraId="00C9F164" w14:textId="77777777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t>1.11.每视场的采集分析时间小于10秒</w:t>
      </w:r>
    </w:p>
    <w:p w14:paraId="5E3E2C18" w14:textId="77777777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t>1.12.每视场图像可测精子数1500个</w:t>
      </w:r>
    </w:p>
    <w:p w14:paraId="122E795A" w14:textId="77777777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t>1.13.精子密度检测范围0-3.0x109/ul无须稀释</w:t>
      </w:r>
    </w:p>
    <w:p w14:paraId="1BF22E77" w14:textId="77777777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t>1.14.运作参数分析适用显微镜物镜倍数10X、20X、40X</w:t>
      </w:r>
    </w:p>
    <w:p w14:paraId="34ED4A9F" w14:textId="77777777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t>1.15.采集的视场图像可进行自由播放</w:t>
      </w:r>
    </w:p>
    <w:p w14:paraId="0E5482DE" w14:textId="77777777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t>1.16.以数据库方式管理病案文档及图像</w:t>
      </w:r>
    </w:p>
    <w:p w14:paraId="5B2D2E9A" w14:textId="77777777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t>1.17.病例统计功能具有10种统计方式及6种统计结果显示方式</w:t>
      </w:r>
    </w:p>
    <w:p w14:paraId="6F61AD5F" w14:textId="77777777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t>1.18.具有数据备份及数据刻录功能</w:t>
      </w:r>
    </w:p>
    <w:p w14:paraId="11451724" w14:textId="77777777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lastRenderedPageBreak/>
        <w:t>1.19.病例报告项目及检验项目可根据医院需求增添修改</w:t>
      </w:r>
    </w:p>
    <w:p w14:paraId="22957CD9" w14:textId="357F79FC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t>1.20.打印报告格式可自定义设计，满足不同要求</w:t>
      </w:r>
    </w:p>
    <w:p w14:paraId="5BE35038" w14:textId="37C5BC42" w:rsidR="00794501" w:rsidRPr="008C01AE" w:rsidRDefault="008C01AE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 w:hint="eastAsia"/>
          <w:sz w:val="24"/>
          <w:szCs w:val="24"/>
        </w:rPr>
        <w:t>▲</w:t>
      </w:r>
      <w:r w:rsidR="00794501" w:rsidRPr="008C01AE">
        <w:rPr>
          <w:rFonts w:ascii="宋体" w:eastAsia="宋体" w:hAnsi="宋体"/>
          <w:sz w:val="24"/>
          <w:szCs w:val="24"/>
        </w:rPr>
        <w:t>1.21.计数板根据WHO的标准采用10um间隙的标准精液计数板</w:t>
      </w:r>
    </w:p>
    <w:p w14:paraId="3A8967CF" w14:textId="77777777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t>1.22.具有LIS导出功能，方便进行LIS联网</w:t>
      </w:r>
    </w:p>
    <w:p w14:paraId="44604684" w14:textId="77777777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t>1.23.软件具有中、英、西班牙语言版本</w:t>
      </w:r>
    </w:p>
    <w:p w14:paraId="3C7E1962" w14:textId="3B253BAA" w:rsidR="00794501" w:rsidRPr="008C01AE" w:rsidRDefault="00794501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/>
          <w:sz w:val="24"/>
          <w:szCs w:val="24"/>
        </w:rPr>
        <w:t>1.24.可实现一机多用，检测分泌物、便常规、病理、细胞形态等显微图像相关应用</w:t>
      </w:r>
    </w:p>
    <w:p w14:paraId="1E6EB39D" w14:textId="78082CE7" w:rsidR="007F2F62" w:rsidRPr="008C01AE" w:rsidRDefault="008C01AE" w:rsidP="008C01AE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 w:hint="eastAsia"/>
          <w:sz w:val="24"/>
          <w:szCs w:val="24"/>
        </w:rPr>
        <w:t>▲</w:t>
      </w:r>
      <w:r w:rsidR="007F2F62" w:rsidRPr="008C01AE">
        <w:rPr>
          <w:rFonts w:ascii="宋体" w:eastAsia="宋体" w:hAnsi="宋体" w:hint="eastAsia"/>
          <w:sz w:val="24"/>
          <w:szCs w:val="24"/>
        </w:rPr>
        <w:t>1.25</w:t>
      </w:r>
      <w:r>
        <w:rPr>
          <w:rFonts w:ascii="宋体" w:eastAsia="宋体" w:hAnsi="宋体"/>
          <w:sz w:val="24"/>
          <w:szCs w:val="24"/>
        </w:rPr>
        <w:t>.</w:t>
      </w:r>
      <w:r w:rsidR="007F2F62" w:rsidRPr="008C01AE">
        <w:rPr>
          <w:rFonts w:ascii="宋体" w:eastAsia="宋体" w:hAnsi="宋体" w:hint="eastAsia"/>
          <w:sz w:val="24"/>
          <w:szCs w:val="24"/>
        </w:rPr>
        <w:t>可优惠升级为同品牌全自动精子质量分析仪</w:t>
      </w:r>
    </w:p>
    <w:p w14:paraId="4CA09FDD" w14:textId="0D6BB4EA" w:rsidR="00794501" w:rsidRPr="008C01AE" w:rsidRDefault="00794501" w:rsidP="008C01AE">
      <w:pPr>
        <w:spacing w:line="360" w:lineRule="auto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 w:hint="eastAsia"/>
          <w:sz w:val="24"/>
          <w:szCs w:val="24"/>
        </w:rPr>
        <w:t>二、资质要求：</w:t>
      </w:r>
    </w:p>
    <w:p w14:paraId="4921C444" w14:textId="7A766DDE" w:rsidR="00794501" w:rsidRPr="008C01AE" w:rsidRDefault="008C01AE" w:rsidP="008C01AE">
      <w:pPr>
        <w:spacing w:line="360" w:lineRule="auto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 w:hint="eastAsia"/>
          <w:sz w:val="24"/>
          <w:szCs w:val="24"/>
        </w:rPr>
        <w:t>▲</w:t>
      </w:r>
      <w:r w:rsidR="00794501" w:rsidRPr="008C01AE">
        <w:rPr>
          <w:rFonts w:ascii="宋体" w:eastAsia="宋体" w:hAnsi="宋体"/>
          <w:sz w:val="24"/>
          <w:szCs w:val="24"/>
        </w:rPr>
        <w:t>2.1</w:t>
      </w:r>
      <w:bookmarkStart w:id="0" w:name="_GoBack"/>
      <w:bookmarkEnd w:id="0"/>
      <w:r w:rsidR="00794501" w:rsidRPr="008C01AE">
        <w:rPr>
          <w:rFonts w:ascii="宋体" w:eastAsia="宋体" w:hAnsi="宋体"/>
          <w:sz w:val="24"/>
          <w:szCs w:val="24"/>
        </w:rPr>
        <w:t>国内有大量用户，需提供超过50家三甲医院用户名单</w:t>
      </w:r>
    </w:p>
    <w:p w14:paraId="2F733C85" w14:textId="40919110" w:rsidR="00794501" w:rsidRPr="008C01AE" w:rsidRDefault="008C01AE" w:rsidP="008C01AE">
      <w:pPr>
        <w:spacing w:line="360" w:lineRule="auto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 w:hint="eastAsia"/>
          <w:sz w:val="24"/>
          <w:szCs w:val="24"/>
        </w:rPr>
        <w:t>▲</w:t>
      </w:r>
      <w:r w:rsidR="00794501" w:rsidRPr="008C01AE">
        <w:rPr>
          <w:rFonts w:ascii="宋体" w:eastAsia="宋体" w:hAnsi="宋体"/>
          <w:sz w:val="24"/>
          <w:szCs w:val="24"/>
        </w:rPr>
        <w:t>2.2软件必需有CFDA颁发的医疗器械注册证；</w:t>
      </w:r>
    </w:p>
    <w:p w14:paraId="72E58FA8" w14:textId="0EBA5950" w:rsidR="00794501" w:rsidRPr="008C01AE" w:rsidRDefault="008C01AE" w:rsidP="008C01AE">
      <w:pPr>
        <w:spacing w:line="360" w:lineRule="auto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 w:hint="eastAsia"/>
          <w:sz w:val="24"/>
          <w:szCs w:val="24"/>
        </w:rPr>
        <w:t>▲</w:t>
      </w:r>
      <w:r w:rsidR="00794501" w:rsidRPr="008C01AE">
        <w:rPr>
          <w:rFonts w:ascii="宋体" w:eastAsia="宋体" w:hAnsi="宋体"/>
          <w:sz w:val="24"/>
          <w:szCs w:val="24"/>
        </w:rPr>
        <w:t>2.3软件需有国家信息化产业部门颁发的软件产品登记证；</w:t>
      </w:r>
    </w:p>
    <w:p w14:paraId="6BC51BF6" w14:textId="2B54CD3E" w:rsidR="00794501" w:rsidRPr="008C01AE" w:rsidRDefault="008C01AE" w:rsidP="008C01AE">
      <w:pPr>
        <w:spacing w:line="360" w:lineRule="auto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 w:hint="eastAsia"/>
          <w:sz w:val="24"/>
          <w:szCs w:val="24"/>
        </w:rPr>
        <w:t>▲</w:t>
      </w:r>
      <w:r w:rsidR="00794501" w:rsidRPr="008C01AE">
        <w:rPr>
          <w:rFonts w:ascii="宋体" w:eastAsia="宋体" w:hAnsi="宋体"/>
          <w:sz w:val="24"/>
          <w:szCs w:val="24"/>
        </w:rPr>
        <w:t>2.4软件需有国家版权机构颁发的软件著作权登记证；</w:t>
      </w:r>
    </w:p>
    <w:p w14:paraId="0E6E3B08" w14:textId="4C3E4F0E" w:rsidR="002856B6" w:rsidRPr="008C01AE" w:rsidRDefault="008C01AE" w:rsidP="008C01AE">
      <w:pPr>
        <w:spacing w:line="360" w:lineRule="auto"/>
        <w:rPr>
          <w:rFonts w:ascii="宋体" w:eastAsia="宋体" w:hAnsi="宋体"/>
          <w:sz w:val="24"/>
          <w:szCs w:val="24"/>
        </w:rPr>
      </w:pPr>
      <w:r w:rsidRPr="008C01AE">
        <w:rPr>
          <w:rFonts w:ascii="宋体" w:eastAsia="宋体" w:hAnsi="宋体" w:hint="eastAsia"/>
          <w:sz w:val="24"/>
          <w:szCs w:val="24"/>
        </w:rPr>
        <w:t>▲</w:t>
      </w:r>
      <w:r w:rsidR="00794501" w:rsidRPr="008C01AE">
        <w:rPr>
          <w:rFonts w:ascii="宋体" w:eastAsia="宋体" w:hAnsi="宋体"/>
          <w:sz w:val="24"/>
          <w:szCs w:val="24"/>
        </w:rPr>
        <w:t>2.5软件需通过ISO9001、ISO13485质量体系认证</w:t>
      </w:r>
    </w:p>
    <w:sectPr w:rsidR="002856B6" w:rsidRPr="008C01A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292D4B4" w14:textId="77777777" w:rsidR="008C01AE" w:rsidRDefault="008C01AE" w:rsidP="008C01AE">
      <w:r>
        <w:separator/>
      </w:r>
    </w:p>
  </w:endnote>
  <w:endnote w:type="continuationSeparator" w:id="0">
    <w:p w14:paraId="0BE16613" w14:textId="77777777" w:rsidR="008C01AE" w:rsidRDefault="008C01AE" w:rsidP="008C01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DC4D97B" w14:textId="77777777" w:rsidR="008C01AE" w:rsidRDefault="008C01AE" w:rsidP="008C01AE">
      <w:r>
        <w:separator/>
      </w:r>
    </w:p>
  </w:footnote>
  <w:footnote w:type="continuationSeparator" w:id="0">
    <w:p w14:paraId="5A63EBCA" w14:textId="77777777" w:rsidR="008C01AE" w:rsidRDefault="008C01AE" w:rsidP="008C01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3BC2"/>
    <w:rsid w:val="00042BB2"/>
    <w:rsid w:val="002856B6"/>
    <w:rsid w:val="00794501"/>
    <w:rsid w:val="007F2F62"/>
    <w:rsid w:val="008C01AE"/>
    <w:rsid w:val="00DA3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5AFBE7C"/>
  <w15:chartTrackingRefBased/>
  <w15:docId w15:val="{1C089A1E-1CFD-4236-805E-46C18BC056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01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01A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01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01A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157</Words>
  <Characters>896</Characters>
  <Application>Microsoft Office Word</Application>
  <DocSecurity>0</DocSecurity>
  <Lines>7</Lines>
  <Paragraphs>2</Paragraphs>
  <ScaleCrop>false</ScaleCrop>
  <Company/>
  <LinksUpToDate>false</LinksUpToDate>
  <CharactersWithSpaces>1051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zhanghuan@beixi.com</dc:creator>
  <cp:keywords/>
  <dc:description/>
  <cp:lastModifiedBy>熊文宇</cp:lastModifiedBy>
  <cp:revision>2</cp:revision>
  <dcterms:created xsi:type="dcterms:W3CDTF">2019-01-07T05:26:00Z</dcterms:created>
  <dcterms:modified xsi:type="dcterms:W3CDTF">2019-01-07T05:26:00Z</dcterms:modified>
</cp:coreProperties>
</file>