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sz w:val="100"/>
          <w:szCs w:val="100"/>
          <w:lang w:val="zh-CN"/>
        </w:rPr>
      </w:pPr>
    </w:p>
    <w:p>
      <w:pPr>
        <w:jc w:val="center"/>
        <w:rPr>
          <w:rFonts w:ascii="黑体" w:hAnsi="宋体" w:eastAsia="黑体"/>
          <w:sz w:val="44"/>
        </w:rPr>
      </w:pPr>
      <w:r>
        <w:rPr>
          <w:rFonts w:hint="eastAsia" w:ascii="黑体" w:eastAsia="黑体"/>
          <w:sz w:val="100"/>
          <w:szCs w:val="100"/>
          <w:lang w:val="zh-CN"/>
        </w:rPr>
        <w:t>公开招标文件</w:t>
      </w:r>
    </w:p>
    <w:p>
      <w:pPr>
        <w:rPr>
          <w:rFonts w:ascii="黑体" w:hAnsi="宋体" w:eastAsia="黑体"/>
          <w:sz w:val="44"/>
        </w:rPr>
      </w:pPr>
    </w:p>
    <w:p>
      <w:pPr>
        <w:rPr>
          <w:rFonts w:ascii="黑体" w:hAnsi="宋体" w:eastAsia="黑体"/>
          <w:sz w:val="44"/>
        </w:rPr>
      </w:pPr>
    </w:p>
    <w:tbl>
      <w:tblPr>
        <w:tblStyle w:val="87"/>
        <w:tblW w:w="7560" w:type="dxa"/>
        <w:tblInd w:w="8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90" w:hRule="atLeast"/>
        </w:trPr>
        <w:tc>
          <w:tcPr>
            <w:tcW w:w="7560" w:type="dxa"/>
            <w:tcBorders>
              <w:top w:val="nil"/>
              <w:left w:val="nil"/>
              <w:bottom w:val="nil"/>
              <w:right w:val="nil"/>
            </w:tcBorders>
          </w:tcPr>
          <w:p>
            <w:pPr>
              <w:rPr>
                <w:rFonts w:ascii="黑体" w:hAnsi="宋体" w:eastAsia="黑体"/>
                <w:sz w:val="44"/>
                <w:szCs w:val="44"/>
              </w:rPr>
            </w:pPr>
            <w:r>
              <w:rPr>
                <w:rFonts w:hint="eastAsia" w:ascii="黑体" w:hAnsi="宋体" w:eastAsia="黑体"/>
                <w:sz w:val="44"/>
                <w:szCs w:val="44"/>
              </w:rPr>
              <w:t>项目编号：SZZC-ZB-2019005</w:t>
            </w:r>
          </w:p>
          <w:p>
            <w:pPr>
              <w:ind w:left="1760" w:hanging="1760" w:hangingChars="400"/>
              <w:rPr>
                <w:rFonts w:ascii="黑体" w:hAnsi="宋体" w:eastAsia="黑体"/>
                <w:sz w:val="32"/>
                <w:szCs w:val="32"/>
              </w:rPr>
            </w:pPr>
            <w:r>
              <w:rPr>
                <w:rFonts w:hint="eastAsia" w:ascii="黑体" w:eastAsia="黑体"/>
                <w:sz w:val="44"/>
                <w:szCs w:val="44"/>
              </w:rPr>
              <w:t>项目名称：</w:t>
            </w:r>
            <w:r>
              <w:rPr>
                <w:rFonts w:hint="eastAsia" w:ascii="黑体" w:hAnsi="宋体" w:eastAsia="黑体"/>
                <w:sz w:val="44"/>
                <w:szCs w:val="44"/>
              </w:rPr>
              <w:t>南京工业大学江浦校区能效领跑者示范建设项目（综合能源管控主平台建设）</w:t>
            </w:r>
          </w:p>
        </w:tc>
      </w:tr>
    </w:tbl>
    <w:p>
      <w:pPr>
        <w:rPr>
          <w:rFonts w:ascii="黑体" w:hAnsi="宋体" w:eastAsia="黑体"/>
          <w:sz w:val="32"/>
          <w:szCs w:val="32"/>
        </w:rPr>
      </w:pPr>
    </w:p>
    <w:p>
      <w:pPr>
        <w:rPr>
          <w:rFonts w:ascii="黑体" w:hAnsi="宋体" w:eastAsia="黑体"/>
          <w:sz w:val="32"/>
          <w:szCs w:val="32"/>
        </w:rPr>
      </w:pPr>
    </w:p>
    <w:p>
      <w:pPr>
        <w:rPr>
          <w:rFonts w:ascii="黑体" w:hAnsi="宋体" w:eastAsia="黑体"/>
          <w:sz w:val="44"/>
        </w:rPr>
      </w:pPr>
    </w:p>
    <w:p>
      <w:pPr>
        <w:rPr>
          <w:rFonts w:ascii="黑体" w:hAnsi="宋体" w:eastAsia="黑体"/>
          <w:sz w:val="44"/>
        </w:rPr>
      </w:pPr>
    </w:p>
    <w:p>
      <w:pPr>
        <w:rPr>
          <w:rFonts w:ascii="黑体" w:hAnsi="宋体" w:eastAsia="黑体"/>
          <w:sz w:val="44"/>
        </w:rPr>
      </w:pPr>
    </w:p>
    <w:p>
      <w:pPr>
        <w:rPr>
          <w:rFonts w:ascii="黑体" w:hAnsi="宋体" w:eastAsia="黑体"/>
          <w:sz w:val="44"/>
        </w:rPr>
      </w:pPr>
    </w:p>
    <w:p>
      <w:pPr>
        <w:rPr>
          <w:rFonts w:ascii="黑体" w:hAnsi="宋体" w:eastAsia="黑体"/>
          <w:sz w:val="44"/>
        </w:rPr>
      </w:pPr>
    </w:p>
    <w:p>
      <w:pPr>
        <w:jc w:val="center"/>
        <w:rPr>
          <w:rFonts w:ascii="黑体" w:hAnsi="宋体" w:eastAsia="黑体"/>
          <w:sz w:val="44"/>
        </w:rPr>
      </w:pPr>
      <w:r>
        <w:rPr>
          <w:rFonts w:hint="eastAsia" w:ascii="黑体" w:hAnsi="宋体" w:eastAsia="黑体"/>
          <w:sz w:val="44"/>
        </w:rPr>
        <w:t>江苏苏咨工程咨询有限责任公司</w:t>
      </w:r>
    </w:p>
    <w:p>
      <w:pPr>
        <w:jc w:val="center"/>
        <w:rPr>
          <w:rFonts w:ascii="黑体" w:hAnsi="宋体" w:eastAsia="黑体"/>
          <w:sz w:val="44"/>
        </w:rPr>
      </w:pPr>
      <w:r>
        <w:rPr>
          <w:rFonts w:hint="eastAsia" w:ascii="黑体" w:hAnsi="宋体" w:eastAsia="黑体"/>
          <w:sz w:val="44"/>
        </w:rPr>
        <w:t>二O一九年一月</w:t>
      </w:r>
    </w:p>
    <w:p>
      <w:pPr>
        <w:autoSpaceDE w:val="0"/>
        <w:autoSpaceDN w:val="0"/>
        <w:adjustRightInd w:val="0"/>
        <w:spacing w:line="360" w:lineRule="auto"/>
        <w:jc w:val="center"/>
        <w:outlineLvl w:val="0"/>
        <w:rPr>
          <w:rFonts w:ascii="黑体" w:eastAsia="黑体"/>
          <w:sz w:val="36"/>
          <w:szCs w:val="36"/>
          <w:lang w:val="zh-CN"/>
        </w:rPr>
      </w:pPr>
      <w:r>
        <w:rPr>
          <w:rFonts w:ascii="黑体" w:hAnsi="宋体" w:eastAsia="黑体"/>
          <w:sz w:val="44"/>
        </w:rPr>
        <w:br w:type="page"/>
      </w:r>
      <w:r>
        <w:rPr>
          <w:rFonts w:hint="eastAsia" w:ascii="黑体" w:eastAsia="黑体"/>
          <w:b/>
          <w:bCs/>
          <w:sz w:val="36"/>
          <w:szCs w:val="36"/>
          <w:lang w:val="zh-CN"/>
        </w:rPr>
        <w:t>第一章  投标邀请（招标公告）</w:t>
      </w:r>
    </w:p>
    <w:p>
      <w:pPr>
        <w:autoSpaceDE w:val="0"/>
        <w:autoSpaceDN w:val="0"/>
        <w:adjustRightInd w:val="0"/>
        <w:snapToGrid w:val="0"/>
        <w:ind w:firstLine="420"/>
        <w:rPr>
          <w:rFonts w:ascii="宋体" w:hAnsi="宋体"/>
          <w:szCs w:val="21"/>
          <w:lang w:val="zh-CN"/>
        </w:rPr>
      </w:pPr>
    </w:p>
    <w:p>
      <w:pPr>
        <w:spacing w:line="360" w:lineRule="auto"/>
        <w:ind w:firstLine="420" w:firstLineChars="200"/>
        <w:jc w:val="left"/>
        <w:rPr>
          <w:rFonts w:ascii="宋体"/>
          <w:szCs w:val="21"/>
          <w:lang w:val="zh-CN"/>
        </w:rPr>
      </w:pPr>
      <w:r>
        <w:rPr>
          <w:rFonts w:hint="eastAsia" w:ascii="宋体"/>
          <w:szCs w:val="21"/>
          <w:lang w:val="zh-CN"/>
        </w:rPr>
        <w:t>江苏苏咨工程咨询有限责任公司</w:t>
      </w:r>
      <w:r>
        <w:rPr>
          <w:rFonts w:hint="eastAsia" w:ascii="宋体" w:hAnsi="宋体"/>
          <w:szCs w:val="21"/>
          <w:lang w:val="zh-CN"/>
        </w:rPr>
        <w:t>受</w:t>
      </w:r>
      <w:r>
        <w:rPr>
          <w:rFonts w:hint="eastAsia" w:ascii="宋体"/>
          <w:szCs w:val="21"/>
          <w:lang w:val="zh-CN"/>
        </w:rPr>
        <w:t>南京工业大学（以下简称“采购人”）委托，就</w:t>
      </w:r>
      <w:r>
        <w:rPr>
          <w:rFonts w:hint="eastAsia" w:ascii="宋体"/>
          <w:b/>
          <w:szCs w:val="21"/>
          <w:lang w:val="zh-CN"/>
        </w:rPr>
        <w:t>南京工业大学江浦校区能效领跑者示范建设项目（综合能源管控主平台建设）</w:t>
      </w:r>
      <w:r>
        <w:rPr>
          <w:rFonts w:hint="eastAsia" w:ascii="宋体"/>
          <w:szCs w:val="21"/>
          <w:lang w:val="zh-CN"/>
        </w:rPr>
        <w:t>（项目名称</w:t>
      </w:r>
      <w:r>
        <w:rPr>
          <w:rFonts w:hint="eastAsia" w:ascii="宋体" w:hAnsi="宋体"/>
          <w:b/>
          <w:szCs w:val="21"/>
        </w:rPr>
        <w:t>）</w:t>
      </w:r>
      <w:r>
        <w:rPr>
          <w:rFonts w:hint="eastAsia" w:ascii="宋体" w:hAnsi="宋体"/>
          <w:szCs w:val="21"/>
          <w:lang w:val="zh-CN"/>
        </w:rPr>
        <w:t>进行国内公开</w:t>
      </w:r>
      <w:r>
        <w:rPr>
          <w:rFonts w:hint="eastAsia" w:ascii="宋体"/>
          <w:szCs w:val="21"/>
          <w:lang w:val="zh-CN"/>
        </w:rPr>
        <w:t>招标，兹邀请符合资格条件投标人投标。</w:t>
      </w:r>
    </w:p>
    <w:p>
      <w:pPr>
        <w:spacing w:line="360" w:lineRule="auto"/>
        <w:ind w:firstLine="422" w:firstLineChars="200"/>
        <w:rPr>
          <w:rFonts w:ascii="宋体"/>
          <w:szCs w:val="21"/>
          <w:lang w:val="zh-CN"/>
        </w:rPr>
      </w:pPr>
      <w:r>
        <w:rPr>
          <w:rFonts w:ascii="宋体"/>
          <w:b/>
          <w:szCs w:val="21"/>
          <w:lang w:val="zh-CN"/>
        </w:rPr>
        <w:t>1</w:t>
      </w:r>
      <w:r>
        <w:rPr>
          <w:rFonts w:hint="eastAsia" w:ascii="宋体"/>
          <w:b/>
          <w:szCs w:val="21"/>
          <w:lang w:val="zh-CN"/>
        </w:rPr>
        <w:t>、项目编号：</w:t>
      </w:r>
      <w:r>
        <w:rPr>
          <w:rFonts w:hint="eastAsia" w:ascii="宋体" w:hAnsi="宋体"/>
          <w:szCs w:val="21"/>
        </w:rPr>
        <w:t>SZZC-ZB-2019005</w:t>
      </w:r>
    </w:p>
    <w:p>
      <w:pPr>
        <w:autoSpaceDE w:val="0"/>
        <w:autoSpaceDN w:val="0"/>
        <w:adjustRightInd w:val="0"/>
        <w:spacing w:line="360" w:lineRule="auto"/>
        <w:ind w:firstLine="420"/>
        <w:rPr>
          <w:rFonts w:ascii="宋体"/>
          <w:b/>
          <w:szCs w:val="21"/>
          <w:lang w:val="zh-CN"/>
        </w:rPr>
      </w:pPr>
      <w:r>
        <w:rPr>
          <w:rFonts w:ascii="宋体"/>
          <w:b/>
          <w:szCs w:val="21"/>
          <w:lang w:val="zh-CN"/>
        </w:rPr>
        <w:t>2</w:t>
      </w:r>
      <w:r>
        <w:rPr>
          <w:rFonts w:hint="eastAsia" w:ascii="宋体"/>
          <w:b/>
          <w:szCs w:val="21"/>
          <w:lang w:val="zh-CN"/>
        </w:rPr>
        <w:t>、项目名称</w:t>
      </w:r>
      <w:r>
        <w:rPr>
          <w:rFonts w:hint="eastAsia" w:ascii="宋体"/>
          <w:szCs w:val="21"/>
          <w:lang w:val="zh-CN"/>
        </w:rPr>
        <w:t>：南京工业大学江浦校区能效领跑者示范建设项目（综合能源管控主平台建设）</w:t>
      </w:r>
    </w:p>
    <w:p>
      <w:pPr>
        <w:autoSpaceDE w:val="0"/>
        <w:autoSpaceDN w:val="0"/>
        <w:adjustRightInd w:val="0"/>
        <w:spacing w:line="360" w:lineRule="auto"/>
        <w:ind w:firstLine="420"/>
        <w:rPr>
          <w:rFonts w:ascii="宋体"/>
          <w:szCs w:val="21"/>
          <w:lang w:val="zh-CN"/>
        </w:rPr>
      </w:pPr>
      <w:r>
        <w:rPr>
          <w:rFonts w:hint="eastAsia" w:ascii="宋体"/>
          <w:b/>
          <w:szCs w:val="21"/>
          <w:lang w:val="zh-CN"/>
        </w:rPr>
        <w:t>3、项目内容：</w:t>
      </w:r>
      <w:r>
        <w:rPr>
          <w:rFonts w:hint="eastAsia" w:ascii="宋体"/>
          <w:szCs w:val="21"/>
          <w:lang w:val="zh-CN"/>
        </w:rPr>
        <w:t>南京工业大学依据《公共机构节能条例》（中华人民共和国国务院令第531号）、《国务院办公厅转发发展改革委等部门&lt;关于加快推进合同能源管理促进节能服务产业发展意见&gt;的通知》（国办发〔2010〕25号）、《国务院办公厅关于加强节能标准化工作的意见》（国办发〔2015〕16号）、《关于印发能效“领跑者”制度实施方案的通知》（发改环资〔2014〕3001号）等拟对江浦校区用水用电等实施节能改造，</w:t>
      </w:r>
      <w:r>
        <w:rPr>
          <w:rFonts w:hint="eastAsia"/>
          <w:color w:val="333333"/>
          <w:sz w:val="19"/>
          <w:szCs w:val="19"/>
        </w:rPr>
        <w:t>采</w:t>
      </w:r>
      <w:r>
        <w:rPr>
          <w:rFonts w:hint="eastAsia" w:ascii="宋体"/>
          <w:szCs w:val="21"/>
          <w:lang w:val="zh-CN"/>
        </w:rPr>
        <w:t>用效果最优的新技术以及各类技术组合，达到技术节能作用，本项目建设主要内容如下：</w:t>
      </w:r>
    </w:p>
    <w:p>
      <w:pPr>
        <w:autoSpaceDE w:val="0"/>
        <w:autoSpaceDN w:val="0"/>
        <w:adjustRightInd w:val="0"/>
        <w:spacing w:line="360" w:lineRule="auto"/>
        <w:ind w:firstLine="420"/>
        <w:rPr>
          <w:rFonts w:ascii="宋体"/>
          <w:szCs w:val="21"/>
          <w:lang w:val="zh-CN"/>
        </w:rPr>
      </w:pPr>
      <w:bookmarkStart w:id="0" w:name="_Toc524964869"/>
      <w:r>
        <w:rPr>
          <w:rFonts w:ascii="宋体"/>
          <w:szCs w:val="21"/>
          <w:lang w:val="zh-CN"/>
        </w:rPr>
        <w:t>（</w:t>
      </w:r>
      <w:r>
        <w:rPr>
          <w:rFonts w:hint="eastAsia" w:ascii="宋体"/>
          <w:szCs w:val="21"/>
          <w:lang w:val="zh-CN"/>
        </w:rPr>
        <w:t>1</w:t>
      </w:r>
      <w:r>
        <w:rPr>
          <w:rFonts w:ascii="宋体"/>
          <w:szCs w:val="21"/>
          <w:lang w:val="zh-CN"/>
        </w:rPr>
        <w:t>）</w:t>
      </w:r>
      <w:r>
        <w:rPr>
          <w:rFonts w:hint="eastAsia" w:ascii="宋体"/>
          <w:szCs w:val="21"/>
          <w:lang w:val="zh-CN"/>
        </w:rPr>
        <w:t>综合能源管控</w:t>
      </w:r>
      <w:r>
        <w:rPr>
          <w:rFonts w:ascii="宋体"/>
          <w:szCs w:val="21"/>
          <w:lang w:val="zh-CN"/>
        </w:rPr>
        <w:t>主站平台</w:t>
      </w:r>
      <w:bookmarkEnd w:id="0"/>
      <w:r>
        <w:rPr>
          <w:rFonts w:hint="eastAsia" w:ascii="宋体"/>
          <w:szCs w:val="21"/>
          <w:lang w:val="zh-CN"/>
        </w:rPr>
        <w:t>建设；</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2</w:t>
      </w:r>
      <w:r>
        <w:rPr>
          <w:rFonts w:ascii="宋体"/>
          <w:szCs w:val="21"/>
          <w:lang w:val="zh-CN"/>
        </w:rPr>
        <w:t>）</w:t>
      </w:r>
      <w:r>
        <w:rPr>
          <w:rFonts w:hint="eastAsia" w:ascii="宋体"/>
          <w:szCs w:val="21"/>
          <w:lang w:val="zh-CN"/>
        </w:rPr>
        <w:t>电力系统智能化改造；</w:t>
      </w:r>
      <w:bookmarkStart w:id="1" w:name="_Toc535337262"/>
      <w:bookmarkStart w:id="2" w:name="_Toc524964873"/>
    </w:p>
    <w:p>
      <w:pPr>
        <w:autoSpaceDE w:val="0"/>
        <w:autoSpaceDN w:val="0"/>
        <w:adjustRightInd w:val="0"/>
        <w:spacing w:line="360" w:lineRule="auto"/>
        <w:ind w:left="420" w:leftChars="200"/>
        <w:rPr>
          <w:rFonts w:ascii="宋体"/>
          <w:szCs w:val="21"/>
          <w:lang w:val="zh-CN"/>
        </w:rPr>
      </w:pPr>
      <w:r>
        <w:rPr>
          <w:rFonts w:ascii="宋体"/>
          <w:szCs w:val="21"/>
          <w:lang w:val="zh-CN"/>
        </w:rPr>
        <w:t>（</w:t>
      </w:r>
      <w:r>
        <w:rPr>
          <w:rFonts w:hint="eastAsia" w:ascii="宋体"/>
          <w:szCs w:val="21"/>
          <w:lang w:val="zh-CN"/>
        </w:rPr>
        <w:t>3</w:t>
      </w:r>
      <w:r>
        <w:rPr>
          <w:rFonts w:ascii="宋体"/>
          <w:szCs w:val="21"/>
          <w:lang w:val="zh-CN"/>
        </w:rPr>
        <w:t>）</w:t>
      </w:r>
      <w:r>
        <w:rPr>
          <w:rFonts w:hint="eastAsia" w:ascii="宋体"/>
          <w:szCs w:val="21"/>
          <w:lang w:val="zh-CN"/>
        </w:rPr>
        <w:t>原有用能计量、监测、控制</w:t>
      </w:r>
      <w:r>
        <w:rPr>
          <w:rFonts w:ascii="宋体"/>
          <w:szCs w:val="21"/>
          <w:lang w:val="zh-CN"/>
        </w:rPr>
        <w:t>系统集成</w:t>
      </w:r>
      <w:bookmarkEnd w:id="1"/>
      <w:bookmarkEnd w:id="2"/>
      <w:r>
        <w:rPr>
          <w:rFonts w:hint="eastAsia" w:ascii="宋体"/>
          <w:szCs w:val="21"/>
          <w:lang w:val="zh-CN"/>
        </w:rPr>
        <w:t>。具体详见招标文件第四章《项目需求》</w:t>
      </w:r>
    </w:p>
    <w:p>
      <w:pPr>
        <w:autoSpaceDE w:val="0"/>
        <w:autoSpaceDN w:val="0"/>
        <w:adjustRightInd w:val="0"/>
        <w:spacing w:line="360" w:lineRule="auto"/>
        <w:ind w:left="420" w:leftChars="200"/>
        <w:rPr>
          <w:rFonts w:ascii="宋体"/>
          <w:szCs w:val="21"/>
          <w:lang w:val="zh-CN"/>
        </w:rPr>
      </w:pPr>
      <w:r>
        <w:rPr>
          <w:rFonts w:hint="eastAsia" w:ascii="宋体"/>
          <w:szCs w:val="21"/>
          <w:lang w:val="zh-CN"/>
        </w:rPr>
        <w:t>（4）本项目实施地点：南京工业大学江浦校区内（</w:t>
      </w:r>
      <w:r>
        <w:rPr>
          <w:rFonts w:ascii="宋体"/>
          <w:szCs w:val="21"/>
          <w:lang w:val="zh-CN"/>
        </w:rPr>
        <w:t>南京市浦口区浦珠南路30号</w:t>
      </w:r>
      <w:r>
        <w:rPr>
          <w:rFonts w:hint="eastAsia" w:ascii="宋体"/>
          <w:szCs w:val="21"/>
          <w:lang w:val="zh-CN"/>
        </w:rPr>
        <w:t>）</w:t>
      </w:r>
    </w:p>
    <w:p>
      <w:pPr>
        <w:autoSpaceDE w:val="0"/>
        <w:autoSpaceDN w:val="0"/>
        <w:adjustRightInd w:val="0"/>
        <w:spacing w:line="360" w:lineRule="auto"/>
        <w:ind w:firstLine="420"/>
        <w:rPr>
          <w:rFonts w:ascii="宋体"/>
          <w:szCs w:val="21"/>
          <w:lang w:val="zh-CN"/>
        </w:rPr>
      </w:pPr>
      <w:r>
        <w:rPr>
          <w:rFonts w:hint="eastAsia" w:ascii="宋体"/>
          <w:szCs w:val="21"/>
          <w:lang w:val="zh-CN"/>
        </w:rPr>
        <w:t>（5）</w:t>
      </w:r>
      <w:r>
        <w:rPr>
          <w:rFonts w:ascii="宋体"/>
          <w:szCs w:val="21"/>
          <w:lang w:val="zh-CN"/>
        </w:rPr>
        <w:t>本项目共分</w:t>
      </w:r>
      <w:r>
        <w:rPr>
          <w:rFonts w:hint="eastAsia" w:ascii="宋体"/>
          <w:szCs w:val="21"/>
          <w:lang w:val="zh-CN"/>
        </w:rPr>
        <w:t>1</w:t>
      </w:r>
      <w:r>
        <w:rPr>
          <w:rFonts w:ascii="宋体"/>
          <w:szCs w:val="21"/>
          <w:lang w:val="zh-CN"/>
        </w:rPr>
        <w:t>个包（标段）</w:t>
      </w:r>
    </w:p>
    <w:p>
      <w:pPr>
        <w:autoSpaceDE w:val="0"/>
        <w:autoSpaceDN w:val="0"/>
        <w:adjustRightInd w:val="0"/>
        <w:spacing w:line="360" w:lineRule="auto"/>
        <w:ind w:firstLine="420" w:firstLineChars="200"/>
        <w:rPr>
          <w:rFonts w:ascii="宋体"/>
          <w:szCs w:val="21"/>
          <w:lang w:val="zh-CN"/>
        </w:rPr>
      </w:pPr>
      <w:r>
        <w:rPr>
          <w:rFonts w:hint="eastAsia" w:ascii="宋体"/>
          <w:szCs w:val="21"/>
          <w:lang w:val="zh-CN"/>
        </w:rPr>
        <w:t>（6）建设期要求:</w:t>
      </w:r>
      <w:r>
        <w:rPr>
          <w:rFonts w:hint="eastAsia" w:ascii="宋体"/>
          <w:color w:val="FF0000"/>
          <w:szCs w:val="21"/>
          <w:lang w:val="zh-CN"/>
        </w:rPr>
        <w:t>90</w:t>
      </w:r>
      <w:r>
        <w:rPr>
          <w:rFonts w:hint="eastAsia" w:ascii="宋体"/>
          <w:szCs w:val="21"/>
          <w:lang w:val="zh-CN"/>
        </w:rPr>
        <w:t>日历天</w:t>
      </w:r>
    </w:p>
    <w:p>
      <w:pPr>
        <w:autoSpaceDE w:val="0"/>
        <w:autoSpaceDN w:val="0"/>
        <w:adjustRightInd w:val="0"/>
        <w:spacing w:line="360" w:lineRule="auto"/>
        <w:ind w:firstLine="420" w:firstLineChars="200"/>
        <w:rPr>
          <w:rFonts w:ascii="宋体"/>
          <w:szCs w:val="21"/>
          <w:lang w:val="zh-CN"/>
        </w:rPr>
      </w:pPr>
      <w:r>
        <w:rPr>
          <w:rFonts w:hint="eastAsia" w:ascii="宋体"/>
          <w:szCs w:val="21"/>
          <w:lang w:val="zh-CN"/>
        </w:rPr>
        <w:t>（7）预算价（人民币）：505万元</w:t>
      </w:r>
    </w:p>
    <w:p>
      <w:pPr>
        <w:autoSpaceDE w:val="0"/>
        <w:autoSpaceDN w:val="0"/>
        <w:adjustRightInd w:val="0"/>
        <w:spacing w:line="360" w:lineRule="auto"/>
        <w:ind w:firstLine="527" w:firstLineChars="250"/>
        <w:rPr>
          <w:rFonts w:ascii="宋体"/>
          <w:szCs w:val="21"/>
          <w:lang w:val="zh-CN"/>
        </w:rPr>
      </w:pPr>
      <w:r>
        <w:rPr>
          <w:rFonts w:hint="eastAsia" w:ascii="宋体"/>
          <w:b/>
          <w:szCs w:val="21"/>
          <w:lang w:val="zh-CN"/>
        </w:rPr>
        <w:t>4、</w:t>
      </w:r>
      <w:r>
        <w:rPr>
          <w:rFonts w:hint="eastAsia" w:ascii="宋体"/>
          <w:szCs w:val="21"/>
          <w:lang w:val="zh-CN"/>
        </w:rPr>
        <w:t>投标保证金（人民币）：伍万元整</w:t>
      </w:r>
    </w:p>
    <w:p>
      <w:pPr>
        <w:autoSpaceDE w:val="0"/>
        <w:autoSpaceDN w:val="0"/>
        <w:adjustRightInd w:val="0"/>
        <w:spacing w:line="360" w:lineRule="auto"/>
        <w:ind w:firstLine="420"/>
        <w:rPr>
          <w:rFonts w:ascii="宋体"/>
          <w:b/>
          <w:szCs w:val="21"/>
          <w:lang w:val="zh-CN"/>
        </w:rPr>
      </w:pPr>
      <w:r>
        <w:rPr>
          <w:rFonts w:hint="eastAsia" w:ascii="宋体"/>
          <w:b/>
          <w:szCs w:val="21"/>
          <w:lang w:val="zh-CN"/>
        </w:rPr>
        <w:t>5、</w:t>
      </w:r>
      <w:r>
        <w:rPr>
          <w:rFonts w:hint="eastAsia" w:ascii="宋体" w:hAnsi="宋体"/>
          <w:b/>
          <w:szCs w:val="21"/>
          <w:lang w:val="zh-CN"/>
        </w:rPr>
        <w:t>投标人应具备下列资格条件,并提供证明材料(包括但不限于):</w:t>
      </w:r>
    </w:p>
    <w:p>
      <w:pPr>
        <w:autoSpaceDE w:val="0"/>
        <w:autoSpaceDN w:val="0"/>
        <w:adjustRightInd w:val="0"/>
        <w:spacing w:line="360" w:lineRule="auto"/>
        <w:ind w:firstLine="422" w:firstLineChars="200"/>
        <w:rPr>
          <w:rFonts w:ascii="宋体"/>
          <w:b/>
          <w:szCs w:val="21"/>
          <w:lang w:val="zh-CN"/>
        </w:rPr>
      </w:pPr>
      <w:r>
        <w:rPr>
          <w:rFonts w:hint="eastAsia" w:ascii="宋体"/>
          <w:b/>
          <w:szCs w:val="21"/>
          <w:lang w:val="zh-CN"/>
        </w:rPr>
        <w:t>5</w:t>
      </w:r>
      <w:r>
        <w:rPr>
          <w:rFonts w:ascii="宋体"/>
          <w:b/>
          <w:szCs w:val="21"/>
          <w:lang w:val="zh-CN"/>
        </w:rPr>
        <w:t>.1</w:t>
      </w:r>
      <w:r>
        <w:rPr>
          <w:rFonts w:hint="eastAsia" w:ascii="宋体"/>
          <w:b/>
          <w:szCs w:val="21"/>
          <w:lang w:val="zh-CN"/>
        </w:rPr>
        <w:t xml:space="preserve"> 应具备《中华人民共和国政府采购法》规定的条件：</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1</w:t>
      </w:r>
      <w:r>
        <w:rPr>
          <w:rFonts w:ascii="宋体"/>
          <w:szCs w:val="21"/>
          <w:lang w:val="zh-CN"/>
        </w:rPr>
        <w:t>）具有独立承担民事责任的能力；</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2</w:t>
      </w:r>
      <w:r>
        <w:rPr>
          <w:rFonts w:ascii="宋体"/>
          <w:szCs w:val="21"/>
          <w:lang w:val="zh-CN"/>
        </w:rPr>
        <w:t>）具有良好的商业信誉和健全的财务会计制度；</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3</w:t>
      </w:r>
      <w:r>
        <w:rPr>
          <w:rFonts w:ascii="宋体"/>
          <w:szCs w:val="21"/>
          <w:lang w:val="zh-CN"/>
        </w:rPr>
        <w:t>）具有履行合同所必需的设备和专业技术能力；</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4</w:t>
      </w:r>
      <w:r>
        <w:rPr>
          <w:rFonts w:ascii="宋体"/>
          <w:szCs w:val="21"/>
          <w:lang w:val="zh-CN"/>
        </w:rPr>
        <w:t>）有依法缴纳税收和社会保障资金的良好记录；</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5</w:t>
      </w:r>
      <w:r>
        <w:rPr>
          <w:rFonts w:ascii="宋体"/>
          <w:szCs w:val="21"/>
          <w:lang w:val="zh-CN"/>
        </w:rPr>
        <w:t>）参加政府采购活动前三年内，在经营活动中没有重大违法记录；</w:t>
      </w:r>
    </w:p>
    <w:p>
      <w:pPr>
        <w:autoSpaceDE w:val="0"/>
        <w:autoSpaceDN w:val="0"/>
        <w:adjustRightInd w:val="0"/>
        <w:spacing w:line="360" w:lineRule="auto"/>
        <w:ind w:firstLine="420"/>
        <w:rPr>
          <w:rFonts w:ascii="宋体"/>
          <w:szCs w:val="21"/>
          <w:lang w:val="zh-CN"/>
        </w:rPr>
      </w:pPr>
      <w:r>
        <w:rPr>
          <w:rFonts w:ascii="宋体"/>
          <w:szCs w:val="21"/>
          <w:lang w:val="zh-CN"/>
        </w:rPr>
        <w:t>（</w:t>
      </w:r>
      <w:r>
        <w:rPr>
          <w:rFonts w:hint="eastAsia" w:ascii="宋体"/>
          <w:szCs w:val="21"/>
          <w:lang w:val="zh-CN"/>
        </w:rPr>
        <w:t>6</w:t>
      </w:r>
      <w:r>
        <w:rPr>
          <w:rFonts w:ascii="宋体"/>
          <w:szCs w:val="21"/>
          <w:lang w:val="zh-CN"/>
        </w:rPr>
        <w:t>）法律、行政法规规定的其他条件。</w:t>
      </w:r>
    </w:p>
    <w:p>
      <w:pPr>
        <w:autoSpaceDE w:val="0"/>
        <w:autoSpaceDN w:val="0"/>
        <w:adjustRightInd w:val="0"/>
        <w:snapToGrid w:val="0"/>
        <w:spacing w:line="360" w:lineRule="auto"/>
        <w:ind w:firstLine="422" w:firstLineChars="200"/>
        <w:rPr>
          <w:rFonts w:ascii="宋体"/>
          <w:b/>
          <w:szCs w:val="21"/>
          <w:lang w:val="zh-CN"/>
        </w:rPr>
      </w:pPr>
      <w:r>
        <w:rPr>
          <w:rFonts w:hint="eastAsia" w:ascii="宋体"/>
          <w:b/>
          <w:szCs w:val="21"/>
          <w:lang w:val="zh-CN"/>
        </w:rPr>
        <w:t xml:space="preserve">5.2 </w:t>
      </w:r>
      <w:r>
        <w:rPr>
          <w:rFonts w:ascii="宋体"/>
          <w:b/>
          <w:szCs w:val="21"/>
          <w:lang w:val="zh-CN"/>
        </w:rPr>
        <w:t>采购人根据采购项目的特殊要求规定的特定条件</w:t>
      </w:r>
      <w:r>
        <w:rPr>
          <w:rFonts w:hint="eastAsia" w:ascii="宋体"/>
          <w:b/>
          <w:szCs w:val="21"/>
          <w:lang w:val="zh-CN"/>
        </w:rPr>
        <w:t>：</w:t>
      </w:r>
    </w:p>
    <w:p>
      <w:pPr>
        <w:autoSpaceDE w:val="0"/>
        <w:autoSpaceDN w:val="0"/>
        <w:adjustRightInd w:val="0"/>
        <w:spacing w:line="360" w:lineRule="auto"/>
        <w:ind w:firstLine="420" w:firstLineChars="200"/>
        <w:rPr>
          <w:rFonts w:hAnsi="宋体"/>
          <w:szCs w:val="21"/>
        </w:rPr>
      </w:pPr>
      <w:r>
        <w:rPr>
          <w:rFonts w:hint="eastAsia" w:hAnsi="宋体"/>
          <w:szCs w:val="21"/>
        </w:rPr>
        <w:t>（</w:t>
      </w:r>
      <w:r>
        <w:rPr>
          <w:rFonts w:hAnsi="宋体"/>
          <w:szCs w:val="21"/>
        </w:rPr>
        <w:t>1</w:t>
      </w:r>
      <w:r>
        <w:rPr>
          <w:rFonts w:hint="eastAsia" w:hAnsi="宋体"/>
          <w:szCs w:val="21"/>
        </w:rPr>
        <w:t>）本项目不接受联合体投标。</w:t>
      </w:r>
    </w:p>
    <w:p>
      <w:pPr>
        <w:widowControl/>
        <w:adjustRightInd w:val="0"/>
        <w:snapToGrid w:val="0"/>
        <w:spacing w:line="360" w:lineRule="auto"/>
        <w:ind w:firstLine="422" w:firstLineChars="200"/>
        <w:jc w:val="left"/>
        <w:rPr>
          <w:rFonts w:ascii="宋体" w:hAnsi="宋体" w:cs="宋体"/>
          <w:b/>
          <w:kern w:val="0"/>
          <w:szCs w:val="21"/>
        </w:rPr>
      </w:pPr>
      <w:r>
        <w:rPr>
          <w:rFonts w:hint="eastAsia" w:ascii="宋体" w:hAnsi="宋体" w:cs="宋体"/>
          <w:b/>
          <w:kern w:val="0"/>
          <w:szCs w:val="21"/>
        </w:rPr>
        <w:t>5</w:t>
      </w:r>
      <w:r>
        <w:rPr>
          <w:rFonts w:ascii="宋体" w:hAnsi="宋体" w:cs="宋体"/>
          <w:b/>
          <w:kern w:val="0"/>
          <w:szCs w:val="21"/>
        </w:rPr>
        <w:t xml:space="preserve">.3 </w:t>
      </w:r>
      <w:r>
        <w:rPr>
          <w:rFonts w:hint="eastAsia" w:ascii="宋体" w:hAnsi="宋体" w:cs="宋体"/>
          <w:b/>
          <w:kern w:val="0"/>
          <w:szCs w:val="21"/>
        </w:rPr>
        <w:t>拒绝下述投标人参加本次采购活动：</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）投标人</w:t>
      </w:r>
      <w:r>
        <w:rPr>
          <w:rFonts w:ascii="宋体" w:hAnsi="宋体"/>
          <w:szCs w:val="21"/>
        </w:rPr>
        <w:t>单位负责人为同一人或者存在直接控股、管理关系的不同投标人，不得参加同一合同项下的政府采购活动。</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（2）凡</w:t>
      </w:r>
      <w:r>
        <w:rPr>
          <w:rFonts w:ascii="宋体" w:hAnsi="宋体"/>
          <w:szCs w:val="21"/>
        </w:rPr>
        <w:t>为采购项目提供整体设计、规范编制或者项目管理、监理、检测等服务的投标人，不得再参加</w:t>
      </w:r>
      <w:r>
        <w:rPr>
          <w:rFonts w:hint="eastAsia" w:ascii="宋体" w:hAnsi="宋体"/>
          <w:szCs w:val="21"/>
        </w:rPr>
        <w:t>本</w:t>
      </w:r>
      <w:r>
        <w:rPr>
          <w:rFonts w:ascii="宋体" w:hAnsi="宋体"/>
          <w:szCs w:val="21"/>
        </w:rPr>
        <w:t>项目的采购活动。</w:t>
      </w:r>
    </w:p>
    <w:p>
      <w:pPr>
        <w:autoSpaceDE w:val="0"/>
        <w:autoSpaceDN w:val="0"/>
        <w:adjustRightInd w:val="0"/>
        <w:snapToGrid w:val="0"/>
        <w:spacing w:line="360" w:lineRule="auto"/>
        <w:ind w:firstLine="422" w:firstLineChars="200"/>
        <w:rPr>
          <w:rFonts w:ascii="宋体" w:hAnsi="宋体"/>
          <w:bCs/>
          <w:szCs w:val="21"/>
          <w:lang w:val="zh-CN"/>
        </w:rPr>
      </w:pPr>
      <w:r>
        <w:rPr>
          <w:rFonts w:hint="eastAsia" w:ascii="宋体" w:hAnsi="宋体"/>
          <w:b/>
          <w:szCs w:val="21"/>
          <w:lang w:val="zh-CN"/>
        </w:rPr>
        <w:t>6、是否接受进口产品：不</w:t>
      </w:r>
      <w:r>
        <w:rPr>
          <w:rFonts w:hint="eastAsia" w:ascii="宋体" w:hAnsi="宋体"/>
          <w:bCs/>
          <w:szCs w:val="21"/>
          <w:lang w:val="zh-CN"/>
        </w:rPr>
        <w:t>接受。</w:t>
      </w:r>
    </w:p>
    <w:p>
      <w:pPr>
        <w:autoSpaceDE w:val="0"/>
        <w:autoSpaceDN w:val="0"/>
        <w:adjustRightInd w:val="0"/>
        <w:spacing w:line="360" w:lineRule="auto"/>
        <w:ind w:firstLine="422" w:firstLineChars="200"/>
        <w:jc w:val="left"/>
        <w:rPr>
          <w:rFonts w:ascii="宋体"/>
          <w:lang w:val="zh-CN"/>
        </w:rPr>
      </w:pPr>
      <w:r>
        <w:rPr>
          <w:rFonts w:hint="eastAsia" w:ascii="宋体"/>
          <w:b/>
          <w:szCs w:val="21"/>
          <w:lang w:val="zh-CN"/>
        </w:rPr>
        <w:t>7、招标文件获取办法：</w:t>
      </w:r>
    </w:p>
    <w:p>
      <w:pPr>
        <w:autoSpaceDE w:val="0"/>
        <w:autoSpaceDN w:val="0"/>
        <w:adjustRightInd w:val="0"/>
        <w:spacing w:line="360" w:lineRule="auto"/>
        <w:ind w:firstLine="420" w:firstLineChars="200"/>
        <w:jc w:val="left"/>
        <w:rPr>
          <w:rFonts w:ascii="宋体" w:hAnsi="宋体"/>
          <w:szCs w:val="21"/>
        </w:rPr>
      </w:pPr>
      <w:r>
        <w:rPr>
          <w:rFonts w:hint="eastAsia" w:ascii="宋体" w:hAnsi="宋体"/>
          <w:szCs w:val="21"/>
        </w:rPr>
        <w:t>（1）招标文件出售时间：2019年1月29日至2019年2月2日每天(节假日除外)上午9时至下午17时(北京时间)</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（2）招标文件出售地点：南京市中山北路285号江苏电子大厦3楼302室</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（3）招标文件出售方式：公开出售</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（4）招标文件售价：300元人民币/套，售后不退</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cs="宋体"/>
          <w:szCs w:val="21"/>
        </w:rPr>
        <w:t>供应商获取招标文件时，需同时携带营业执照原件审查，同时留营业执照复印件</w:t>
      </w:r>
      <w:r>
        <w:rPr>
          <w:rFonts w:ascii="宋体" w:hAnsi="宋体" w:cs="宋体"/>
          <w:szCs w:val="21"/>
        </w:rPr>
        <w:t>1份</w:t>
      </w:r>
      <w:r>
        <w:rPr>
          <w:rFonts w:hint="eastAsia" w:ascii="宋体" w:hAnsi="宋体" w:cs="宋体"/>
          <w:szCs w:val="21"/>
        </w:rPr>
        <w:t>（加盖单位公章）及授权代理人授权委托书原件，否则不予受理。</w:t>
      </w:r>
    </w:p>
    <w:p>
      <w:pPr>
        <w:snapToGrid w:val="0"/>
        <w:spacing w:line="360" w:lineRule="auto"/>
        <w:ind w:firstLine="422" w:firstLineChars="200"/>
        <w:rPr>
          <w:rFonts w:ascii="宋体"/>
          <w:szCs w:val="21"/>
          <w:lang w:val="zh-CN"/>
        </w:rPr>
      </w:pPr>
      <w:r>
        <w:rPr>
          <w:rFonts w:hint="eastAsia" w:ascii="宋体"/>
          <w:b/>
          <w:szCs w:val="21"/>
          <w:lang w:val="zh-CN"/>
        </w:rPr>
        <w:t>8、投标保证金数量及交纳办法：</w:t>
      </w:r>
      <w:r>
        <w:rPr>
          <w:rFonts w:hint="eastAsia" w:ascii="宋体" w:hAnsi="宋体"/>
          <w:szCs w:val="21"/>
          <w:lang w:val="zh-CN"/>
        </w:rPr>
        <w:t>投标</w:t>
      </w:r>
      <w:r>
        <w:rPr>
          <w:rFonts w:hint="eastAsia"/>
          <w:highlight w:val="white"/>
          <w:lang w:val="zh-CN"/>
        </w:rPr>
        <w:t>保证金</w:t>
      </w:r>
      <w:r>
        <w:rPr>
          <w:rFonts w:hint="eastAsia"/>
          <w:lang w:val="zh-CN"/>
        </w:rPr>
        <w:t>（人民币）：伍万元整（50000.00元）。</w:t>
      </w:r>
      <w:r>
        <w:rPr>
          <w:rFonts w:hint="eastAsia" w:ascii="宋体" w:hAnsi="宋体"/>
          <w:szCs w:val="21"/>
          <w:lang w:val="zh-CN"/>
        </w:rPr>
        <w:t>投标</w:t>
      </w:r>
      <w:r>
        <w:rPr>
          <w:rFonts w:hint="eastAsia"/>
          <w:highlight w:val="white"/>
          <w:lang w:val="zh-CN"/>
        </w:rPr>
        <w:t>保证金采用电汇方式，必须在开标截止时间前进账至</w:t>
      </w:r>
      <w:r>
        <w:rPr>
          <w:highlight w:val="white"/>
          <w:lang w:val="zh-CN"/>
        </w:rPr>
        <w:t>负责受理投标保证金的单位</w:t>
      </w:r>
      <w:r>
        <w:rPr>
          <w:rFonts w:hint="eastAsia"/>
          <w:highlight w:val="white"/>
          <w:lang w:val="zh-CN"/>
        </w:rPr>
        <w:t>账户</w:t>
      </w:r>
      <w:r>
        <w:rPr>
          <w:rFonts w:hint="eastAsia"/>
          <w:lang w:val="zh-CN"/>
        </w:rPr>
        <w:t>，</w:t>
      </w:r>
      <w:r>
        <w:rPr>
          <w:rFonts w:hint="eastAsia" w:ascii="宋体" w:cs="宋体"/>
          <w:b/>
          <w:bCs/>
          <w:color w:val="000000"/>
          <w:kern w:val="0"/>
          <w:szCs w:val="21"/>
          <w:u w:val="single"/>
        </w:rPr>
        <w:t>投标保证金汇款凭证（复印件或打印件并加盖投标人公章）一份，随投标文件单独递交，如未递交招标人有权拒绝其投标文件</w:t>
      </w:r>
      <w:r>
        <w:rPr>
          <w:rFonts w:hint="eastAsia" w:ascii="宋体"/>
          <w:szCs w:val="21"/>
          <w:lang w:val="zh-CN"/>
        </w:rPr>
        <w:t>。</w:t>
      </w:r>
    </w:p>
    <w:p>
      <w:pPr>
        <w:snapToGrid w:val="0"/>
        <w:spacing w:line="360" w:lineRule="auto"/>
        <w:ind w:firstLine="422" w:firstLineChars="200"/>
        <w:jc w:val="left"/>
        <w:rPr>
          <w:rFonts w:ascii="宋体"/>
          <w:b/>
          <w:szCs w:val="21"/>
          <w:lang w:val="zh-CN"/>
        </w:rPr>
      </w:pPr>
      <w:r>
        <w:rPr>
          <w:rFonts w:hint="eastAsia" w:ascii="宋体"/>
          <w:b/>
          <w:szCs w:val="21"/>
          <w:lang w:val="zh-CN"/>
        </w:rPr>
        <w:t>9、投标开始时间</w:t>
      </w:r>
      <w:r>
        <w:rPr>
          <w:rFonts w:hint="eastAsia" w:ascii="宋体"/>
          <w:szCs w:val="21"/>
          <w:lang w:val="zh-CN"/>
        </w:rPr>
        <w:t>：</w:t>
      </w:r>
      <w:r>
        <w:rPr>
          <w:rFonts w:ascii="宋体"/>
          <w:b/>
          <w:szCs w:val="21"/>
          <w:lang w:val="zh-CN"/>
        </w:rPr>
        <w:t>201</w:t>
      </w:r>
      <w:r>
        <w:rPr>
          <w:rFonts w:hint="eastAsia" w:ascii="宋体"/>
          <w:b/>
          <w:szCs w:val="21"/>
          <w:lang w:val="zh-CN"/>
        </w:rPr>
        <w:t>9年2月20日下午14:00</w:t>
      </w:r>
      <w:r>
        <w:rPr>
          <w:rFonts w:ascii="宋体" w:hAnsi="宋体"/>
          <w:b/>
          <w:szCs w:val="21"/>
          <w:lang w:val="zh-CN"/>
        </w:rPr>
        <w:t>（北京时间）</w:t>
      </w:r>
    </w:p>
    <w:p>
      <w:pPr>
        <w:snapToGrid w:val="0"/>
        <w:spacing w:line="360" w:lineRule="auto"/>
        <w:ind w:firstLine="422" w:firstLineChars="200"/>
        <w:jc w:val="left"/>
        <w:rPr>
          <w:rFonts w:ascii="宋体"/>
          <w:b/>
          <w:szCs w:val="21"/>
          <w:lang w:val="zh-CN"/>
        </w:rPr>
      </w:pPr>
      <w:r>
        <w:rPr>
          <w:rFonts w:hint="eastAsia" w:ascii="宋体"/>
          <w:b/>
          <w:szCs w:val="21"/>
          <w:lang w:val="zh-CN"/>
        </w:rPr>
        <w:t>投标截止时间及开标时间：</w:t>
      </w:r>
      <w:r>
        <w:rPr>
          <w:rFonts w:ascii="宋体"/>
          <w:b/>
          <w:szCs w:val="21"/>
          <w:lang w:val="zh-CN"/>
        </w:rPr>
        <w:t>201</w:t>
      </w:r>
      <w:r>
        <w:rPr>
          <w:rFonts w:hint="eastAsia" w:ascii="宋体"/>
          <w:b/>
          <w:szCs w:val="21"/>
          <w:lang w:val="zh-CN"/>
        </w:rPr>
        <w:t>9年2月20日下午14：30</w:t>
      </w:r>
      <w:r>
        <w:rPr>
          <w:rFonts w:ascii="宋体" w:hAnsi="宋体"/>
          <w:b/>
          <w:szCs w:val="21"/>
          <w:lang w:val="zh-CN"/>
        </w:rPr>
        <w:t>（北京时间）。</w:t>
      </w:r>
    </w:p>
    <w:p>
      <w:pPr>
        <w:snapToGrid w:val="0"/>
        <w:spacing w:line="360" w:lineRule="auto"/>
        <w:ind w:firstLine="422" w:firstLineChars="200"/>
        <w:rPr>
          <w:rFonts w:ascii="宋体"/>
          <w:szCs w:val="21"/>
          <w:lang w:val="zh-CN"/>
        </w:rPr>
      </w:pPr>
      <w:r>
        <w:rPr>
          <w:rFonts w:hint="eastAsia" w:ascii="宋体"/>
          <w:b/>
          <w:szCs w:val="21"/>
          <w:lang w:val="zh-CN"/>
        </w:rPr>
        <w:t>投标文件接收人：</w:t>
      </w:r>
      <w:r>
        <w:rPr>
          <w:rFonts w:hint="eastAsia" w:ascii="宋体"/>
          <w:szCs w:val="21"/>
          <w:lang w:val="zh-CN"/>
        </w:rPr>
        <w:t>现场工作人员</w:t>
      </w:r>
    </w:p>
    <w:p>
      <w:pPr>
        <w:autoSpaceDE w:val="0"/>
        <w:autoSpaceDN w:val="0"/>
        <w:adjustRightInd w:val="0"/>
        <w:snapToGrid w:val="0"/>
        <w:spacing w:line="360" w:lineRule="auto"/>
        <w:ind w:firstLine="422" w:firstLineChars="200"/>
        <w:rPr>
          <w:rFonts w:ascii="宋体"/>
          <w:szCs w:val="21"/>
          <w:lang w:val="zh-CN"/>
        </w:rPr>
      </w:pPr>
      <w:r>
        <w:rPr>
          <w:rFonts w:hint="eastAsia" w:ascii="宋体"/>
          <w:b/>
          <w:szCs w:val="21"/>
          <w:lang w:val="zh-CN"/>
        </w:rPr>
        <w:t>10、投标地点及开标地点：南京市中山北路285号江苏电子大厦三楼304会议室，</w:t>
      </w:r>
      <w:r>
        <w:rPr>
          <w:rFonts w:hint="eastAsia" w:ascii="宋体"/>
          <w:szCs w:val="21"/>
          <w:lang w:val="zh-CN"/>
        </w:rPr>
        <w:t>届时请投标人法定代表人或其授权代表</w:t>
      </w:r>
      <w:r>
        <w:rPr>
          <w:rFonts w:hint="eastAsia" w:ascii="宋体"/>
          <w:b/>
          <w:szCs w:val="21"/>
          <w:lang w:val="zh-CN"/>
        </w:rPr>
        <w:t>携带有效身份证件</w:t>
      </w:r>
      <w:r>
        <w:rPr>
          <w:rFonts w:hint="eastAsia" w:ascii="宋体"/>
          <w:szCs w:val="21"/>
          <w:lang w:val="zh-CN"/>
        </w:rPr>
        <w:t>出席开标仪式。</w:t>
      </w:r>
    </w:p>
    <w:p>
      <w:pPr>
        <w:adjustRightInd w:val="0"/>
        <w:snapToGrid w:val="0"/>
        <w:spacing w:line="360" w:lineRule="auto"/>
        <w:ind w:firstLine="422" w:firstLineChars="200"/>
        <w:rPr>
          <w:rFonts w:ascii="微软雅黑" w:hAnsi="微软雅黑"/>
        </w:rPr>
      </w:pPr>
      <w:r>
        <w:rPr>
          <w:rFonts w:hint="eastAsia" w:ascii="宋体" w:hAnsi="宋体"/>
          <w:b/>
        </w:rPr>
        <w:t>11、现场勘察及标前答疑会：</w:t>
      </w:r>
      <w:r>
        <w:rPr>
          <w:rFonts w:hint="eastAsia" w:ascii="宋体" w:hAnsi="宋体"/>
          <w:szCs w:val="21"/>
        </w:rPr>
        <w:t>因本项目为节能技术改造项目，现场情况较复杂，招标人将统一组织现场踏勘</w:t>
      </w:r>
      <w:r>
        <w:rPr>
          <w:rFonts w:ascii="微软雅黑" w:hAnsi="微软雅黑"/>
        </w:rPr>
        <w:t>。</w:t>
      </w:r>
      <w:r>
        <w:rPr>
          <w:rFonts w:hint="eastAsia" w:ascii="微软雅黑" w:hAnsi="微软雅黑"/>
        </w:rPr>
        <w:t>安排如下：</w:t>
      </w:r>
    </w:p>
    <w:p>
      <w:pPr>
        <w:spacing w:line="360" w:lineRule="auto"/>
        <w:ind w:firstLine="411" w:firstLineChars="196"/>
        <w:rPr>
          <w:rFonts w:ascii="宋体" w:hAnsi="宋体"/>
          <w:szCs w:val="21"/>
        </w:rPr>
      </w:pPr>
      <w:r>
        <w:rPr>
          <w:rFonts w:hint="eastAsia" w:ascii="宋体" w:hAnsi="宋体"/>
          <w:szCs w:val="21"/>
        </w:rPr>
        <w:t>开始时间：</w:t>
      </w:r>
      <w:r>
        <w:rPr>
          <w:rFonts w:ascii="宋体" w:hAnsi="宋体"/>
          <w:szCs w:val="21"/>
        </w:rPr>
        <w:t>201</w:t>
      </w:r>
      <w:r>
        <w:rPr>
          <w:rFonts w:hint="eastAsia" w:ascii="宋体" w:hAnsi="宋体"/>
          <w:szCs w:val="21"/>
        </w:rPr>
        <w:t>9年2月12日上午9：30，签到截止时间</w:t>
      </w:r>
      <w:r>
        <w:rPr>
          <w:rFonts w:ascii="宋体" w:hAnsi="宋体"/>
          <w:szCs w:val="21"/>
        </w:rPr>
        <w:t>20</w:t>
      </w:r>
      <w:r>
        <w:rPr>
          <w:rFonts w:hint="eastAsia" w:ascii="宋体" w:hAnsi="宋体"/>
          <w:szCs w:val="21"/>
        </w:rPr>
        <w:t>19年2月12日上午10：00，地点：</w:t>
      </w:r>
      <w:r>
        <w:rPr>
          <w:rFonts w:hint="eastAsia" w:ascii="宋体" w:hAnsi="宋体" w:cs="宋体"/>
          <w:szCs w:val="21"/>
        </w:rPr>
        <w:t>南京工业大学江浦校区内（</w:t>
      </w:r>
      <w:r>
        <w:rPr>
          <w:color w:val="000000"/>
        </w:rPr>
        <w:t>南京市浦口区浦珠南路30号</w:t>
      </w:r>
      <w:r>
        <w:rPr>
          <w:rFonts w:hint="eastAsia" w:ascii="宋体" w:hAnsi="宋体" w:cs="宋体"/>
          <w:szCs w:val="21"/>
        </w:rPr>
        <w:t>）</w:t>
      </w:r>
      <w:r>
        <w:rPr>
          <w:rFonts w:hint="eastAsia" w:ascii="宋体" w:hAnsi="宋体"/>
          <w:szCs w:val="21"/>
        </w:rPr>
        <w:t>。供应商应安排技术人员一并勘察现场，对项目现场和周围环境进行仔细认真地查勘，在随后的采购中，对现场资料和数据所作出的推论、解释和结论及由此造成的后果由供应商负责。</w:t>
      </w:r>
    </w:p>
    <w:p>
      <w:pPr>
        <w:spacing w:line="360" w:lineRule="auto"/>
        <w:ind w:firstLine="411" w:firstLineChars="196"/>
        <w:rPr>
          <w:rFonts w:ascii="宋体" w:hAnsi="宋体"/>
          <w:szCs w:val="21"/>
        </w:rPr>
      </w:pPr>
      <w:r>
        <w:rPr>
          <w:rFonts w:hint="eastAsia" w:ascii="宋体" w:hAnsi="宋体"/>
          <w:szCs w:val="21"/>
        </w:rPr>
        <w:t>现场勘查联系人：左强</w:t>
      </w:r>
    </w:p>
    <w:p>
      <w:pPr>
        <w:spacing w:line="360" w:lineRule="auto"/>
        <w:ind w:firstLine="411" w:firstLineChars="196"/>
        <w:rPr>
          <w:rFonts w:ascii="宋体" w:hAnsi="宋体"/>
          <w:szCs w:val="21"/>
        </w:rPr>
      </w:pPr>
      <w:r>
        <w:rPr>
          <w:rFonts w:hint="eastAsia" w:ascii="宋体" w:hAnsi="宋体"/>
          <w:szCs w:val="21"/>
        </w:rPr>
        <w:t>电话：13951703574</w:t>
      </w:r>
    </w:p>
    <w:p>
      <w:pPr>
        <w:adjustRightInd w:val="0"/>
        <w:snapToGrid w:val="0"/>
        <w:spacing w:line="360" w:lineRule="auto"/>
        <w:ind w:firstLine="422" w:firstLineChars="200"/>
        <w:rPr>
          <w:rFonts w:ascii="宋体" w:hAnsi="宋体"/>
          <w:szCs w:val="21"/>
          <w:lang w:val="zh-CN"/>
        </w:rPr>
      </w:pPr>
      <w:r>
        <w:rPr>
          <w:rFonts w:hint="eastAsia" w:ascii="宋体" w:hAnsi="宋体"/>
          <w:b/>
        </w:rPr>
        <w:t>12、</w:t>
      </w:r>
      <w:r>
        <w:rPr>
          <w:rFonts w:hint="eastAsia" w:ascii="宋体" w:hAnsi="宋体"/>
          <w:b/>
          <w:snapToGrid w:val="0"/>
          <w:szCs w:val="21"/>
        </w:rPr>
        <w:t>投标文件份数：</w:t>
      </w:r>
      <w:r>
        <w:rPr>
          <w:rFonts w:hint="eastAsia" w:ascii="宋体" w:hAnsi="宋体"/>
          <w:szCs w:val="21"/>
          <w:lang w:val="zh-CN"/>
        </w:rPr>
        <w:t>一式</w:t>
      </w:r>
      <w:r>
        <w:rPr>
          <w:rFonts w:hint="eastAsia" w:ascii="宋体" w:hAnsi="宋体"/>
          <w:b/>
          <w:szCs w:val="21"/>
          <w:lang w:val="zh-CN"/>
        </w:rPr>
        <w:t>伍份</w:t>
      </w:r>
      <w:r>
        <w:rPr>
          <w:rFonts w:hint="eastAsia" w:ascii="宋体" w:hAnsi="宋体"/>
          <w:szCs w:val="21"/>
          <w:lang w:val="zh-CN"/>
        </w:rPr>
        <w:t>（</w:t>
      </w:r>
      <w:r>
        <w:rPr>
          <w:rFonts w:hint="eastAsia" w:ascii="宋体" w:hAnsi="宋体"/>
          <w:b/>
          <w:szCs w:val="21"/>
          <w:lang w:val="zh-CN"/>
        </w:rPr>
        <w:t>壹份</w:t>
      </w:r>
      <w:r>
        <w:rPr>
          <w:rFonts w:hint="eastAsia" w:ascii="宋体" w:hAnsi="宋体"/>
          <w:szCs w:val="21"/>
          <w:lang w:val="zh-CN"/>
        </w:rPr>
        <w:t>正本、</w:t>
      </w:r>
      <w:r>
        <w:rPr>
          <w:rFonts w:hint="eastAsia" w:ascii="宋体" w:hAnsi="宋体"/>
          <w:b/>
          <w:szCs w:val="21"/>
          <w:lang w:val="zh-CN"/>
        </w:rPr>
        <w:t>肆份</w:t>
      </w:r>
      <w:r>
        <w:rPr>
          <w:rFonts w:hint="eastAsia" w:ascii="宋体" w:hAnsi="宋体"/>
          <w:szCs w:val="21"/>
          <w:lang w:val="zh-CN"/>
        </w:rPr>
        <w:t>副本），每份投标文件须清楚标明“正本”或“副本”字样。一旦正本和副本不符，以正本为准。</w:t>
      </w:r>
    </w:p>
    <w:p>
      <w:pPr>
        <w:widowControl/>
        <w:spacing w:line="350" w:lineRule="exact"/>
        <w:ind w:firstLine="420"/>
        <w:jc w:val="left"/>
        <w:rPr>
          <w:rFonts w:ascii="宋体" w:hAnsi="宋体" w:cs="宋体"/>
          <w:b/>
          <w:szCs w:val="21"/>
        </w:rPr>
      </w:pPr>
      <w:r>
        <w:rPr>
          <w:rFonts w:hint="eastAsia" w:ascii="宋体" w:hAnsi="宋体" w:cs="宋体"/>
          <w:b/>
          <w:szCs w:val="21"/>
        </w:rPr>
        <w:t>13、有下列行为之一的投标人，本项目不接受其参加投标：</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（一）有违反法律、法规行为，依法被取消投标资格且期限未满的；</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（二）因招投标活动中有违法违规和不良行为，被有关招投标行政监督部门公示且公示期未满的；</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（三）拒绝下述供应商参加本次采购活动：</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）供应商</w:t>
      </w:r>
      <w:r>
        <w:rPr>
          <w:rFonts w:ascii="宋体" w:hAnsi="宋体"/>
          <w:szCs w:val="21"/>
        </w:rPr>
        <w:t>单位负责人为同一人或者存在直接控股、管理关系的不同供应商，不得参加同一合同项下的政府采购活动。</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（2）凡</w:t>
      </w:r>
      <w:r>
        <w:rPr>
          <w:rFonts w:ascii="宋体" w:hAnsi="宋体"/>
          <w:szCs w:val="21"/>
        </w:rPr>
        <w:t>为采购项目提供整体设计、规范编制或者项目管理、监理、检测等服务的供应商，不得再参加</w:t>
      </w:r>
      <w:r>
        <w:rPr>
          <w:rFonts w:hint="eastAsia" w:ascii="宋体" w:hAnsi="宋体"/>
          <w:szCs w:val="21"/>
        </w:rPr>
        <w:t>本</w:t>
      </w:r>
      <w:r>
        <w:rPr>
          <w:rFonts w:ascii="宋体" w:hAnsi="宋体"/>
          <w:szCs w:val="21"/>
        </w:rPr>
        <w:t>项目的采购活动。</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（3）供应商被“信用中国”网站（www.creditchina.gov.cn）、“中国政府采购网"(www.ccgp.gov.cn)列入失信被执行人、重大税收违法案件当事人名单、政府采购严重违法失信行为记录名单。</w:t>
      </w:r>
    </w:p>
    <w:p>
      <w:pPr>
        <w:snapToGrid w:val="0"/>
        <w:spacing w:line="360" w:lineRule="auto"/>
        <w:ind w:firstLine="422" w:firstLineChars="200"/>
        <w:rPr>
          <w:rFonts w:hint="eastAsia" w:ascii="宋体" w:hAnsi="宋体"/>
          <w:b/>
        </w:rPr>
      </w:pPr>
      <w:r>
        <w:rPr>
          <w:rFonts w:hint="eastAsia" w:ascii="宋体" w:hAnsi="宋体"/>
          <w:b/>
        </w:rPr>
        <w:t>14、采购单位联系人：</w:t>
      </w:r>
    </w:p>
    <w:p>
      <w:pPr>
        <w:overflowPunct w:val="0"/>
        <w:spacing w:line="360" w:lineRule="auto"/>
        <w:ind w:firstLine="420" w:firstLineChars="200"/>
        <w:rPr>
          <w:rFonts w:ascii="宋体" w:hAnsi="宋体"/>
        </w:rPr>
      </w:pPr>
      <w:r>
        <w:rPr>
          <w:rFonts w:ascii="宋体" w:hAnsi="宋体"/>
        </w:rPr>
        <w:t>地址：</w:t>
      </w:r>
      <w:r>
        <w:rPr>
          <w:rFonts w:ascii="宋体"/>
          <w:szCs w:val="21"/>
          <w:lang w:val="zh-CN"/>
        </w:rPr>
        <w:t>南京市浦口区浦珠南路30号</w:t>
      </w:r>
    </w:p>
    <w:p>
      <w:pPr>
        <w:overflowPunct w:val="0"/>
        <w:spacing w:line="360" w:lineRule="auto"/>
        <w:ind w:firstLine="420" w:firstLineChars="200"/>
        <w:rPr>
          <w:rFonts w:ascii="宋体" w:hAnsi="宋体"/>
        </w:rPr>
      </w:pPr>
      <w:r>
        <w:rPr>
          <w:rFonts w:ascii="宋体" w:hAnsi="宋体"/>
        </w:rPr>
        <w:t>联系人：</w:t>
      </w:r>
      <w:r>
        <w:rPr>
          <w:rFonts w:hint="eastAsia" w:ascii="宋体" w:hAnsi="宋体"/>
          <w:szCs w:val="21"/>
        </w:rPr>
        <w:t>左强</w:t>
      </w:r>
    </w:p>
    <w:p>
      <w:pPr>
        <w:overflowPunct w:val="0"/>
        <w:spacing w:line="360" w:lineRule="auto"/>
        <w:ind w:firstLine="420" w:firstLineChars="200"/>
        <w:rPr>
          <w:rFonts w:ascii="宋体" w:hAnsi="宋体"/>
        </w:rPr>
      </w:pPr>
      <w:r>
        <w:rPr>
          <w:rFonts w:ascii="宋体" w:hAnsi="宋体"/>
        </w:rPr>
        <w:t>电话：</w:t>
      </w:r>
      <w:r>
        <w:rPr>
          <w:rFonts w:hint="eastAsia" w:ascii="宋体" w:hAnsi="宋体"/>
        </w:rPr>
        <w:t xml:space="preserve"> </w:t>
      </w:r>
      <w:r>
        <w:rPr>
          <w:rFonts w:hint="eastAsia" w:ascii="宋体" w:hAnsi="宋体"/>
          <w:szCs w:val="21"/>
        </w:rPr>
        <w:t>13951703574</w:t>
      </w:r>
    </w:p>
    <w:p>
      <w:pPr>
        <w:snapToGrid w:val="0"/>
        <w:spacing w:line="360" w:lineRule="auto"/>
        <w:ind w:firstLine="420" w:firstLineChars="200"/>
        <w:rPr>
          <w:rFonts w:ascii="宋体" w:hAnsi="宋体"/>
          <w:szCs w:val="28"/>
        </w:rPr>
      </w:pPr>
      <w:r>
        <w:rPr>
          <w:rFonts w:ascii="宋体" w:hAnsi="宋体"/>
        </w:rPr>
        <w:t>邮政编码：2</w:t>
      </w:r>
      <w:r>
        <w:rPr>
          <w:rFonts w:hint="eastAsia" w:ascii="宋体" w:hAnsi="宋体"/>
        </w:rPr>
        <w:t xml:space="preserve">10000      </w:t>
      </w:r>
      <w:r>
        <w:rPr>
          <w:rFonts w:hint="eastAsia" w:ascii="宋体" w:hAnsi="宋体"/>
          <w:szCs w:val="28"/>
        </w:rPr>
        <w:t xml:space="preserve">     </w:t>
      </w:r>
    </w:p>
    <w:p>
      <w:pPr>
        <w:autoSpaceDE w:val="0"/>
        <w:autoSpaceDN w:val="0"/>
        <w:adjustRightInd w:val="0"/>
        <w:spacing w:line="360" w:lineRule="auto"/>
        <w:ind w:firstLine="310" w:firstLineChars="147"/>
        <w:rPr>
          <w:rFonts w:ascii="宋体" w:hAnsi="宋体"/>
        </w:rPr>
      </w:pPr>
      <w:r>
        <w:rPr>
          <w:rFonts w:hint="eastAsia" w:ascii="宋体"/>
          <w:b/>
          <w:szCs w:val="21"/>
          <w:lang w:val="zh-CN"/>
        </w:rPr>
        <w:t xml:space="preserve"> 15、</w:t>
      </w:r>
      <w:r>
        <w:rPr>
          <w:rFonts w:hint="eastAsia" w:ascii="宋体" w:hAnsi="宋体"/>
          <w:b/>
        </w:rPr>
        <w:t>本次采购</w:t>
      </w:r>
      <w:r>
        <w:rPr>
          <w:rFonts w:ascii="宋体" w:hAnsi="宋体"/>
          <w:b/>
        </w:rPr>
        <w:t>代理人（机构）：</w:t>
      </w:r>
      <w:r>
        <w:rPr>
          <w:rFonts w:ascii="宋体" w:hAnsi="宋体"/>
        </w:rPr>
        <w:t>江苏苏咨工程咨询有限责任公司</w:t>
      </w:r>
    </w:p>
    <w:p>
      <w:pPr>
        <w:overflowPunct w:val="0"/>
        <w:spacing w:line="360" w:lineRule="auto"/>
        <w:ind w:firstLine="420" w:firstLineChars="200"/>
        <w:rPr>
          <w:rFonts w:ascii="宋体" w:hAnsi="宋体"/>
        </w:rPr>
      </w:pPr>
      <w:r>
        <w:rPr>
          <w:rFonts w:ascii="宋体" w:hAnsi="宋体"/>
        </w:rPr>
        <w:t>地址：</w:t>
      </w:r>
      <w:r>
        <w:rPr>
          <w:rFonts w:hint="eastAsia" w:ascii="宋体" w:hAnsi="宋体"/>
        </w:rPr>
        <w:t>南京市中山北路285号江苏电子大厦3楼</w:t>
      </w:r>
    </w:p>
    <w:p>
      <w:pPr>
        <w:overflowPunct w:val="0"/>
        <w:spacing w:line="360" w:lineRule="auto"/>
        <w:ind w:firstLine="420" w:firstLineChars="200"/>
        <w:rPr>
          <w:rFonts w:ascii="宋体" w:hAnsi="宋体"/>
        </w:rPr>
      </w:pPr>
      <w:r>
        <w:rPr>
          <w:rFonts w:ascii="宋体" w:hAnsi="宋体"/>
        </w:rPr>
        <w:t>联系人：</w:t>
      </w:r>
      <w:r>
        <w:rPr>
          <w:rFonts w:hint="eastAsia" w:ascii="宋体" w:hAnsi="宋体"/>
        </w:rPr>
        <w:t xml:space="preserve">高腾  </w:t>
      </w:r>
    </w:p>
    <w:p>
      <w:pPr>
        <w:overflowPunct w:val="0"/>
        <w:spacing w:line="360" w:lineRule="auto"/>
        <w:ind w:firstLine="420" w:firstLineChars="200"/>
        <w:rPr>
          <w:rFonts w:ascii="宋体" w:hAnsi="宋体"/>
        </w:rPr>
      </w:pPr>
      <w:r>
        <w:rPr>
          <w:rFonts w:ascii="宋体" w:hAnsi="宋体"/>
        </w:rPr>
        <w:t>电话</w:t>
      </w:r>
      <w:r>
        <w:rPr>
          <w:rFonts w:hint="eastAsia" w:ascii="宋体" w:hAnsi="宋体"/>
        </w:rPr>
        <w:t>（传真）</w:t>
      </w:r>
      <w:r>
        <w:rPr>
          <w:rFonts w:ascii="宋体" w:hAnsi="宋体"/>
        </w:rPr>
        <w:t>：（0</w:t>
      </w:r>
      <w:r>
        <w:rPr>
          <w:rFonts w:hint="eastAsia" w:ascii="宋体" w:hAnsi="宋体"/>
        </w:rPr>
        <w:t>25</w:t>
      </w:r>
      <w:r>
        <w:rPr>
          <w:rFonts w:ascii="宋体" w:hAnsi="宋体"/>
        </w:rPr>
        <w:t>）</w:t>
      </w:r>
      <w:r>
        <w:rPr>
          <w:rFonts w:hint="eastAsia" w:ascii="宋体" w:hAnsi="宋体"/>
        </w:rPr>
        <w:t xml:space="preserve">83581353 </w:t>
      </w:r>
    </w:p>
    <w:p>
      <w:pPr>
        <w:overflowPunct w:val="0"/>
        <w:snapToGrid w:val="0"/>
        <w:spacing w:line="360" w:lineRule="auto"/>
        <w:ind w:firstLine="420" w:firstLineChars="200"/>
        <w:rPr>
          <w:rFonts w:ascii="宋体" w:hAnsi="宋体"/>
        </w:rPr>
      </w:pPr>
      <w:r>
        <w:rPr>
          <w:rFonts w:ascii="宋体" w:hAnsi="宋体"/>
        </w:rPr>
        <w:t>邮政编码：2</w:t>
      </w:r>
      <w:r>
        <w:rPr>
          <w:rFonts w:hint="eastAsia" w:ascii="宋体" w:hAnsi="宋体"/>
        </w:rPr>
        <w:t xml:space="preserve">10000       </w:t>
      </w:r>
    </w:p>
    <w:p>
      <w:pPr>
        <w:overflowPunct w:val="0"/>
        <w:spacing w:line="360" w:lineRule="auto"/>
        <w:ind w:firstLine="420" w:firstLineChars="200"/>
        <w:rPr>
          <w:rFonts w:ascii="宋体" w:hAnsi="宋体"/>
        </w:rPr>
      </w:pPr>
      <w:r>
        <w:rPr>
          <w:rFonts w:hint="eastAsia" w:ascii="宋体" w:hAnsi="宋体"/>
        </w:rPr>
        <w:t>银行资料（用于交纳投标保证金）</w:t>
      </w:r>
      <w:r>
        <w:rPr>
          <w:rFonts w:ascii="宋体" w:hAnsi="宋体"/>
        </w:rPr>
        <w:t>：</w:t>
      </w:r>
    </w:p>
    <w:p>
      <w:pPr>
        <w:autoSpaceDE w:val="0"/>
        <w:autoSpaceDN w:val="0"/>
        <w:adjustRightInd w:val="0"/>
        <w:spacing w:line="360" w:lineRule="auto"/>
        <w:ind w:firstLine="525" w:firstLineChars="250"/>
        <w:rPr>
          <w:rFonts w:ascii="宋体" w:hAnsi="宋体"/>
        </w:rPr>
      </w:pPr>
      <w:r>
        <w:rPr>
          <w:rFonts w:ascii="宋体" w:hAnsi="宋体"/>
        </w:rPr>
        <w:t>户名：</w:t>
      </w:r>
      <w:r>
        <w:rPr>
          <w:rFonts w:hint="eastAsia" w:ascii="宋体" w:hAnsi="宋体"/>
        </w:rPr>
        <w:t>江苏苏咨工程咨询有限责任公司</w:t>
      </w:r>
    </w:p>
    <w:p>
      <w:pPr>
        <w:autoSpaceDE w:val="0"/>
        <w:autoSpaceDN w:val="0"/>
        <w:adjustRightInd w:val="0"/>
        <w:spacing w:line="360" w:lineRule="auto"/>
        <w:ind w:firstLine="525" w:firstLineChars="250"/>
        <w:rPr>
          <w:rFonts w:ascii="宋体" w:hAnsi="宋体"/>
        </w:rPr>
      </w:pPr>
      <w:r>
        <w:rPr>
          <w:rFonts w:ascii="宋体" w:hAnsi="宋体"/>
        </w:rPr>
        <w:t>开户银行：</w:t>
      </w:r>
      <w:r>
        <w:rPr>
          <w:rFonts w:hint="eastAsia" w:ascii="宋体" w:hAnsi="宋体"/>
        </w:rPr>
        <w:t>南京银行长江支行</w:t>
      </w:r>
    </w:p>
    <w:p>
      <w:pPr>
        <w:autoSpaceDE w:val="0"/>
        <w:autoSpaceDN w:val="0"/>
        <w:adjustRightInd w:val="0"/>
        <w:spacing w:line="360" w:lineRule="auto"/>
        <w:ind w:firstLine="525" w:firstLineChars="250"/>
        <w:rPr>
          <w:rFonts w:ascii="宋体"/>
          <w:szCs w:val="21"/>
        </w:rPr>
      </w:pPr>
      <w:r>
        <w:rPr>
          <w:rFonts w:ascii="宋体" w:hAnsi="宋体"/>
        </w:rPr>
        <w:t>账号：</w:t>
      </w:r>
      <w:r>
        <w:rPr>
          <w:rFonts w:hint="eastAsia" w:ascii="宋体" w:hAnsi="宋体"/>
        </w:rPr>
        <w:t>088540201021684497</w:t>
      </w:r>
    </w:p>
    <w:p>
      <w:pPr>
        <w:overflowPunct w:val="0"/>
        <w:spacing w:line="360" w:lineRule="auto"/>
        <w:ind w:firstLine="420" w:firstLineChars="200"/>
        <w:rPr>
          <w:rFonts w:ascii="宋体" w:hAnsi="宋体"/>
        </w:rPr>
      </w:pPr>
    </w:p>
    <w:p>
      <w:pPr>
        <w:spacing w:line="360" w:lineRule="auto"/>
        <w:ind w:firstLine="5250" w:firstLineChars="2500"/>
        <w:rPr>
          <w:rFonts w:ascii="宋体" w:hAnsi="宋体"/>
        </w:rPr>
      </w:pPr>
      <w:r>
        <w:rPr>
          <w:rFonts w:hint="eastAsia" w:ascii="宋体" w:hAnsi="宋体"/>
        </w:rPr>
        <w:t>江苏苏咨工程咨询有限责任公司</w:t>
      </w:r>
    </w:p>
    <w:p>
      <w:pPr>
        <w:spacing w:line="360" w:lineRule="auto"/>
        <w:ind w:firstLine="5670" w:firstLineChars="2700"/>
        <w:rPr>
          <w:rFonts w:ascii="宋体" w:hAnsi="宋体"/>
          <w:b/>
          <w:szCs w:val="21"/>
        </w:rPr>
      </w:pPr>
      <w:r>
        <w:rPr>
          <w:rFonts w:hint="eastAsia" w:ascii="宋体" w:hAnsi="宋体"/>
        </w:rPr>
        <w:t>2019年1月28日</w:t>
      </w:r>
      <w:bookmarkStart w:id="35" w:name="_GoBack"/>
      <w:bookmarkEnd w:id="35"/>
    </w:p>
    <w:p>
      <w:pPr>
        <w:autoSpaceDE w:val="0"/>
        <w:autoSpaceDN w:val="0"/>
        <w:adjustRightInd w:val="0"/>
        <w:spacing w:line="360" w:lineRule="auto"/>
        <w:jc w:val="center"/>
        <w:outlineLvl w:val="0"/>
        <w:rPr>
          <w:rFonts w:ascii="黑体" w:eastAsia="黑体"/>
          <w:b/>
          <w:bCs/>
          <w:sz w:val="36"/>
          <w:szCs w:val="36"/>
          <w:lang w:val="zh-CN"/>
        </w:rPr>
      </w:pPr>
      <w:r>
        <w:rPr>
          <w:rFonts w:ascii="黑体" w:eastAsia="黑体"/>
          <w:b/>
          <w:bCs/>
          <w:sz w:val="36"/>
          <w:szCs w:val="36"/>
          <w:lang w:val="zh-CN"/>
        </w:rPr>
        <w:br w:type="page"/>
      </w:r>
      <w:r>
        <w:rPr>
          <w:rFonts w:hint="eastAsia" w:ascii="黑体" w:eastAsia="黑体"/>
          <w:b/>
          <w:bCs/>
          <w:sz w:val="36"/>
          <w:szCs w:val="36"/>
          <w:lang w:val="zh-CN"/>
        </w:rPr>
        <w:t>第二章投标人须知</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一、总则</w:t>
      </w:r>
    </w:p>
    <w:p>
      <w:pPr>
        <w:autoSpaceDE w:val="0"/>
        <w:autoSpaceDN w:val="0"/>
        <w:adjustRightInd w:val="0"/>
        <w:snapToGrid w:val="0"/>
        <w:spacing w:line="360" w:lineRule="auto"/>
        <w:ind w:firstLine="420"/>
        <w:outlineLvl w:val="0"/>
        <w:rPr>
          <w:rFonts w:ascii="宋体" w:hAnsi="宋体"/>
          <w:szCs w:val="21"/>
          <w:lang w:val="zh-CN"/>
        </w:rPr>
      </w:pPr>
      <w:r>
        <w:rPr>
          <w:rFonts w:ascii="宋体" w:hAnsi="宋体"/>
          <w:szCs w:val="21"/>
          <w:lang w:val="zh-CN"/>
        </w:rPr>
        <w:t>1</w:t>
      </w:r>
      <w:r>
        <w:rPr>
          <w:rFonts w:hint="eastAsia" w:ascii="宋体" w:hAnsi="宋体"/>
          <w:szCs w:val="21"/>
          <w:lang w:val="zh-CN"/>
        </w:rPr>
        <w:t>、适用法律</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1.1</w:t>
      </w:r>
      <w:r>
        <w:rPr>
          <w:rFonts w:hint="eastAsia" w:ascii="宋体" w:hAnsi="宋体"/>
          <w:szCs w:val="21"/>
          <w:lang w:val="zh-CN"/>
        </w:rPr>
        <w:t xml:space="preserve"> 《中华人民共和国政府采购法》、《中华人民共和国政府采购法实施条例》等有关法律、规章和规定等。</w:t>
      </w:r>
    </w:p>
    <w:p>
      <w:pPr>
        <w:autoSpaceDE w:val="0"/>
        <w:autoSpaceDN w:val="0"/>
        <w:adjustRightInd w:val="0"/>
        <w:snapToGrid w:val="0"/>
        <w:spacing w:line="360" w:lineRule="auto"/>
        <w:ind w:firstLine="420"/>
        <w:outlineLvl w:val="0"/>
        <w:rPr>
          <w:rFonts w:ascii="宋体" w:hAnsi="宋体"/>
          <w:b/>
          <w:szCs w:val="21"/>
          <w:lang w:val="zh-CN"/>
        </w:rPr>
      </w:pPr>
      <w:r>
        <w:rPr>
          <w:rFonts w:ascii="宋体" w:hAnsi="宋体"/>
          <w:b/>
          <w:szCs w:val="21"/>
          <w:lang w:val="zh-CN"/>
        </w:rPr>
        <w:t>2</w:t>
      </w:r>
      <w:r>
        <w:rPr>
          <w:rFonts w:hint="eastAsia" w:ascii="宋体" w:hAnsi="宋体"/>
          <w:b/>
          <w:szCs w:val="21"/>
          <w:lang w:val="zh-CN"/>
        </w:rPr>
        <w:t>、定义</w:t>
      </w:r>
    </w:p>
    <w:p>
      <w:pPr>
        <w:spacing w:line="360" w:lineRule="auto"/>
        <w:ind w:firstLine="420" w:firstLineChars="200"/>
        <w:rPr>
          <w:rFonts w:ascii="宋体" w:hAnsi="宋体"/>
          <w:color w:val="000000"/>
          <w:szCs w:val="21"/>
        </w:rPr>
      </w:pPr>
      <w:r>
        <w:rPr>
          <w:rFonts w:hint="eastAsia" w:ascii="宋体" w:hAnsi="宋体"/>
          <w:color w:val="000000"/>
          <w:szCs w:val="21"/>
        </w:rPr>
        <w:t>2.1“采购人”指南京工业大学。</w:t>
      </w:r>
    </w:p>
    <w:p>
      <w:pPr>
        <w:spacing w:line="360" w:lineRule="auto"/>
        <w:ind w:firstLine="420" w:firstLineChars="200"/>
        <w:rPr>
          <w:rFonts w:ascii="宋体" w:hAnsi="宋体"/>
          <w:szCs w:val="21"/>
        </w:rPr>
      </w:pPr>
      <w:r>
        <w:rPr>
          <w:rFonts w:hint="eastAsia" w:ascii="宋体" w:hAnsi="宋体"/>
          <w:szCs w:val="21"/>
        </w:rPr>
        <w:t>2.2“货物”指本招标文件中所述须向采购人提供的一切设备、机械、仪表、备件、工具、手册和其他技术资料及其他材料。</w:t>
      </w:r>
    </w:p>
    <w:p>
      <w:pPr>
        <w:spacing w:line="360" w:lineRule="auto"/>
        <w:ind w:firstLine="420" w:firstLineChars="200"/>
        <w:rPr>
          <w:rFonts w:ascii="宋体" w:hAnsi="宋体"/>
          <w:szCs w:val="21"/>
        </w:rPr>
      </w:pPr>
      <w:r>
        <w:rPr>
          <w:rFonts w:hint="eastAsia" w:ascii="宋体" w:hAnsi="宋体"/>
          <w:szCs w:val="21"/>
        </w:rPr>
        <w:t>2.3 “服务”指本招标文件中规定的中标人应承担与供货有关的辅助服务，如运输、保险以及其它的伴随服务，比如调试、提供技术援助、培训和其他类似的应承担的义务。</w:t>
      </w:r>
    </w:p>
    <w:p>
      <w:pPr>
        <w:autoSpaceDE w:val="0"/>
        <w:autoSpaceDN w:val="0"/>
        <w:adjustRightInd w:val="0"/>
        <w:snapToGrid w:val="0"/>
        <w:spacing w:line="360" w:lineRule="auto"/>
        <w:ind w:firstLine="420"/>
        <w:rPr>
          <w:rFonts w:ascii="宋体" w:hAnsi="宋体"/>
          <w:szCs w:val="21"/>
        </w:rPr>
      </w:pPr>
      <w:r>
        <w:rPr>
          <w:rFonts w:hint="eastAsia" w:ascii="宋体" w:hAnsi="宋体"/>
          <w:szCs w:val="21"/>
        </w:rPr>
        <w:t>2.4“投标人”指按照本文件规定获得招标文件并参加投标的供应商。</w:t>
      </w:r>
    </w:p>
    <w:p>
      <w:pPr>
        <w:autoSpaceDE w:val="0"/>
        <w:autoSpaceDN w:val="0"/>
        <w:adjustRightInd w:val="0"/>
        <w:snapToGrid w:val="0"/>
        <w:spacing w:line="360" w:lineRule="auto"/>
        <w:ind w:firstLine="420"/>
        <w:rPr>
          <w:rFonts w:ascii="宋体" w:hAnsi="宋体"/>
          <w:b/>
          <w:szCs w:val="21"/>
          <w:lang w:val="zh-CN"/>
        </w:rPr>
      </w:pPr>
      <w:r>
        <w:rPr>
          <w:rFonts w:hint="eastAsia" w:ascii="宋体" w:hAnsi="宋体"/>
          <w:b/>
          <w:szCs w:val="21"/>
          <w:lang w:val="zh-CN"/>
        </w:rPr>
        <w:t>3、政策功能</w:t>
      </w:r>
    </w:p>
    <w:p>
      <w:pPr>
        <w:spacing w:line="360" w:lineRule="auto"/>
        <w:ind w:firstLine="420" w:firstLineChars="200"/>
        <w:rPr>
          <w:rFonts w:ascii="宋体" w:hAnsi="宋体"/>
          <w:szCs w:val="21"/>
        </w:rPr>
      </w:pPr>
      <w:r>
        <w:rPr>
          <w:rFonts w:ascii="宋体" w:hAnsi="宋体"/>
          <w:szCs w:val="21"/>
        </w:rPr>
        <w:t>3.1</w:t>
      </w:r>
      <w:r>
        <w:rPr>
          <w:rFonts w:ascii="宋体" w:hAnsi="宋体"/>
          <w:szCs w:val="21"/>
        </w:rPr>
        <w:tab/>
      </w:r>
      <w:r>
        <w:rPr>
          <w:rFonts w:ascii="宋体" w:hAnsi="宋体"/>
          <w:szCs w:val="21"/>
        </w:rPr>
        <w:t>中小企业政策</w:t>
      </w:r>
    </w:p>
    <w:p>
      <w:pPr>
        <w:spacing w:line="360" w:lineRule="auto"/>
        <w:ind w:firstLine="420" w:firstLineChars="200"/>
        <w:rPr>
          <w:rFonts w:ascii="宋体" w:hAnsi="宋体"/>
          <w:szCs w:val="21"/>
        </w:rPr>
      </w:pPr>
      <w:r>
        <w:rPr>
          <w:rFonts w:ascii="宋体" w:hAnsi="宋体"/>
          <w:szCs w:val="21"/>
        </w:rPr>
        <w:t>（1）中小企业（含中型、小型、微型企业）应当符合《政府采购促进中小企业发展暂行办法》（财库〔2011〕181 号）第二条、《关于政府采购支持监狱企业发展有关问题的通知》（财库〔2014〕68 号）第一条或《关于促进残疾人就业政府采购政策的通知》（财库〔2017〕141 号）第一条的规定。</w:t>
      </w:r>
    </w:p>
    <w:p>
      <w:pPr>
        <w:spacing w:line="360" w:lineRule="auto"/>
        <w:ind w:firstLine="420" w:firstLineChars="200"/>
        <w:rPr>
          <w:rFonts w:ascii="宋体" w:hAnsi="宋体"/>
          <w:szCs w:val="21"/>
        </w:rPr>
      </w:pPr>
      <w:r>
        <w:rPr>
          <w:rFonts w:ascii="宋体" w:hAnsi="宋体"/>
          <w:szCs w:val="21"/>
        </w:rPr>
        <w:t>（2）对于专门面向中小企业或小型、微型企业的项目，只面向中小企业或小型、微型企业采购。对于非专门面向中小企业的项目，对小型和微型企业产品的价格给予 6%的扣除，用扣除后的价格参与评审。</w:t>
      </w:r>
    </w:p>
    <w:p>
      <w:pPr>
        <w:spacing w:line="360" w:lineRule="auto"/>
        <w:ind w:firstLine="420" w:firstLineChars="200"/>
        <w:rPr>
          <w:rFonts w:ascii="宋体" w:hAnsi="宋体"/>
          <w:szCs w:val="21"/>
        </w:rPr>
      </w:pPr>
      <w:r>
        <w:rPr>
          <w:rFonts w:ascii="宋体" w:hAnsi="宋体"/>
          <w:szCs w:val="21"/>
        </w:rPr>
        <w:t>（3）参加政府采购活动的中小企业应当提供《中小企业声明函》、由省级以上监狱管理局戒毒管理局(含新疆生产建设兵团)出具的属于监狱企业的证明文件或《残疾人福利性单位声明函》。</w:t>
      </w:r>
    </w:p>
    <w:p>
      <w:pPr>
        <w:spacing w:line="360" w:lineRule="auto"/>
        <w:ind w:firstLine="420" w:firstLineChars="200"/>
        <w:rPr>
          <w:rFonts w:ascii="宋体" w:hAnsi="宋体"/>
          <w:szCs w:val="21"/>
        </w:rPr>
      </w:pPr>
      <w:r>
        <w:rPr>
          <w:rFonts w:ascii="宋体" w:hAnsi="宋体"/>
          <w:szCs w:val="21"/>
        </w:rPr>
        <w:t>（4）对于接受供应商以联合体形式参加采购活动的项目，小型、微型企业联合体应当符合《政府采购促进中小企业发展暂行办法》（财库〔2011〕181 号）第六条的规定。联合协议中约定，小型、微型企业的协议合同金额占到联合体协议合同总金额 30%以上的，给予联合体 2%的价格扣除。</w:t>
      </w:r>
    </w:p>
    <w:p>
      <w:pPr>
        <w:spacing w:line="360" w:lineRule="auto"/>
        <w:ind w:firstLine="420" w:firstLineChars="200"/>
        <w:rPr>
          <w:rFonts w:ascii="宋体" w:hAnsi="宋体"/>
          <w:szCs w:val="21"/>
        </w:rPr>
      </w:pPr>
      <w:r>
        <w:rPr>
          <w:rFonts w:ascii="宋体" w:hAnsi="宋体"/>
          <w:szCs w:val="21"/>
        </w:rPr>
        <w:t>（5）中小企业依据《政府采购促进中小企业发展暂行办法》（财库〔2011〕181号）规定的政策获取政府采购合同后，小型、微型企业不得分包或转包给大型、中型企业，中型企业不得分包或转包给大型企业。</w:t>
      </w:r>
    </w:p>
    <w:p>
      <w:pPr>
        <w:spacing w:line="360" w:lineRule="auto"/>
        <w:ind w:firstLine="420" w:firstLineChars="200"/>
        <w:rPr>
          <w:rFonts w:ascii="宋体" w:hAnsi="宋体"/>
          <w:szCs w:val="21"/>
        </w:rPr>
      </w:pPr>
      <w:r>
        <w:rPr>
          <w:rFonts w:ascii="宋体" w:hAnsi="宋体"/>
          <w:szCs w:val="21"/>
        </w:rPr>
        <w:t>3.2</w:t>
      </w:r>
      <w:r>
        <w:rPr>
          <w:rFonts w:ascii="宋体" w:hAnsi="宋体"/>
          <w:szCs w:val="21"/>
        </w:rPr>
        <w:tab/>
      </w:r>
      <w:r>
        <w:rPr>
          <w:rFonts w:ascii="宋体" w:hAnsi="宋体"/>
          <w:szCs w:val="21"/>
        </w:rPr>
        <w:t>节能产品政策</w:t>
      </w:r>
    </w:p>
    <w:p>
      <w:pPr>
        <w:spacing w:line="360" w:lineRule="auto"/>
        <w:ind w:firstLine="420" w:firstLineChars="200"/>
        <w:rPr>
          <w:rFonts w:ascii="宋体" w:hAnsi="宋体"/>
          <w:szCs w:val="21"/>
        </w:rPr>
      </w:pPr>
      <w:r>
        <w:rPr>
          <w:rFonts w:ascii="宋体" w:hAnsi="宋体"/>
          <w:szCs w:val="21"/>
        </w:rPr>
        <w:t>（1）拟采购产品属于节能产品政府采购清单规定必须强制采购的，实行强制采购。</w:t>
      </w:r>
    </w:p>
    <w:p>
      <w:pPr>
        <w:spacing w:line="360" w:lineRule="auto"/>
        <w:ind w:firstLine="420" w:firstLineChars="200"/>
        <w:rPr>
          <w:rFonts w:ascii="宋体" w:hAnsi="宋体"/>
          <w:szCs w:val="21"/>
        </w:rPr>
      </w:pPr>
      <w:r>
        <w:rPr>
          <w:rFonts w:ascii="宋体" w:hAnsi="宋体"/>
          <w:szCs w:val="21"/>
        </w:rPr>
        <w:t>（2）拟采购产品属于节能产品政府采购清单规定优先采购的，在技术、服务等指标同等条件下，实行优先采购，优先采购的评审标准详见本招标文件评标办法。</w:t>
      </w:r>
      <w:bookmarkStart w:id="3" w:name="page12"/>
      <w:bookmarkEnd w:id="3"/>
    </w:p>
    <w:p>
      <w:pPr>
        <w:spacing w:line="360" w:lineRule="auto"/>
        <w:ind w:firstLine="420" w:firstLineChars="200"/>
        <w:rPr>
          <w:rFonts w:ascii="宋体" w:hAnsi="宋体"/>
          <w:szCs w:val="21"/>
        </w:rPr>
      </w:pPr>
      <w:r>
        <w:rPr>
          <w:rFonts w:ascii="宋体" w:hAnsi="宋体"/>
          <w:szCs w:val="21"/>
        </w:rPr>
        <w:t>（3）参加政府采购活动的节能产品供应商应当提供产品在《节能产品政府采购清单》中相应的页面。</w:t>
      </w:r>
    </w:p>
    <w:p>
      <w:pPr>
        <w:spacing w:line="360" w:lineRule="auto"/>
        <w:ind w:firstLine="420" w:firstLineChars="200"/>
        <w:rPr>
          <w:rFonts w:ascii="宋体" w:hAnsi="宋体"/>
          <w:szCs w:val="21"/>
        </w:rPr>
      </w:pPr>
      <w:r>
        <w:rPr>
          <w:rFonts w:ascii="宋体" w:hAnsi="宋体"/>
          <w:szCs w:val="21"/>
        </w:rPr>
        <w:t>3.3</w:t>
      </w:r>
      <w:r>
        <w:rPr>
          <w:rFonts w:ascii="宋体" w:hAnsi="宋体"/>
          <w:szCs w:val="21"/>
        </w:rPr>
        <w:tab/>
      </w:r>
      <w:r>
        <w:rPr>
          <w:rFonts w:ascii="宋体" w:hAnsi="宋体"/>
          <w:szCs w:val="21"/>
        </w:rPr>
        <w:t>环境标志产品政策</w:t>
      </w:r>
    </w:p>
    <w:p>
      <w:pPr>
        <w:spacing w:line="360" w:lineRule="auto"/>
        <w:ind w:firstLine="420" w:firstLineChars="200"/>
        <w:rPr>
          <w:rFonts w:ascii="宋体" w:hAnsi="宋体"/>
          <w:szCs w:val="21"/>
        </w:rPr>
      </w:pPr>
      <w:r>
        <w:rPr>
          <w:rFonts w:ascii="宋体" w:hAnsi="宋体"/>
          <w:szCs w:val="21"/>
        </w:rPr>
        <w:t>（1）拟采购产品属于环境标志产品政府采购清单规定优先采购的，在性能、技术、服务等指标同等条件下，实行优先采购，优先采购的评审标准详见本招标文件评标办法。</w:t>
      </w:r>
    </w:p>
    <w:p>
      <w:pPr>
        <w:spacing w:line="360" w:lineRule="auto"/>
        <w:ind w:firstLine="420" w:firstLineChars="200"/>
        <w:rPr>
          <w:rFonts w:ascii="宋体" w:hAnsi="宋体"/>
          <w:szCs w:val="21"/>
        </w:rPr>
      </w:pPr>
      <w:r>
        <w:rPr>
          <w:rFonts w:ascii="宋体" w:hAnsi="宋体"/>
          <w:szCs w:val="21"/>
        </w:rPr>
        <w:t>（2）参加政府采购活动的环境标志产品应当提供产品在《环境标志产品政府采购清单》中相应的页面。</w:t>
      </w:r>
    </w:p>
    <w:p>
      <w:pPr>
        <w:spacing w:line="360" w:lineRule="auto"/>
        <w:ind w:firstLine="420" w:firstLineChars="200"/>
        <w:rPr>
          <w:rFonts w:ascii="宋体" w:hAnsi="宋体"/>
          <w:szCs w:val="21"/>
        </w:rPr>
      </w:pPr>
      <w:r>
        <w:rPr>
          <w:rFonts w:ascii="宋体" w:hAnsi="宋体"/>
          <w:szCs w:val="21"/>
        </w:rPr>
        <w:t>3.4</w:t>
      </w:r>
      <w:r>
        <w:rPr>
          <w:rFonts w:ascii="宋体" w:hAnsi="宋体"/>
          <w:szCs w:val="21"/>
        </w:rPr>
        <w:tab/>
      </w:r>
      <w:r>
        <w:rPr>
          <w:rFonts w:ascii="宋体" w:hAnsi="宋体"/>
          <w:szCs w:val="21"/>
        </w:rPr>
        <w:t>进口产品政策</w:t>
      </w:r>
    </w:p>
    <w:p>
      <w:pPr>
        <w:spacing w:line="360" w:lineRule="auto"/>
        <w:ind w:firstLine="420" w:firstLineChars="200"/>
        <w:rPr>
          <w:rFonts w:ascii="宋体" w:hAnsi="宋体"/>
          <w:szCs w:val="21"/>
        </w:rPr>
      </w:pPr>
      <w:r>
        <w:rPr>
          <w:rFonts w:ascii="宋体" w:hAnsi="宋体"/>
          <w:szCs w:val="21"/>
        </w:rPr>
        <w:t>（1）除在招标文件另有规定外，不允许进口产品参加。进口产品认定依照《财政部关于政府采购进口产品管理有关问题的通知》（财办库〔2008〕248 号）的规定。</w:t>
      </w:r>
    </w:p>
    <w:p>
      <w:pPr>
        <w:spacing w:line="360" w:lineRule="auto"/>
        <w:ind w:firstLine="420" w:firstLineChars="200"/>
        <w:rPr>
          <w:rFonts w:ascii="宋体" w:hAnsi="宋体"/>
          <w:szCs w:val="21"/>
        </w:rPr>
      </w:pPr>
      <w:r>
        <w:rPr>
          <w:rFonts w:ascii="宋体" w:hAnsi="宋体"/>
          <w:szCs w:val="21"/>
        </w:rPr>
        <w:t>（2）允许进口产品参加的，满足需求的国内产品可以参加。</w:t>
      </w:r>
    </w:p>
    <w:p>
      <w:pPr>
        <w:spacing w:line="360" w:lineRule="auto"/>
        <w:ind w:firstLine="420" w:firstLineChars="200"/>
        <w:rPr>
          <w:rFonts w:ascii="宋体" w:hAnsi="宋体"/>
          <w:szCs w:val="21"/>
        </w:rPr>
      </w:pPr>
      <w:r>
        <w:rPr>
          <w:rFonts w:ascii="宋体" w:hAnsi="宋体"/>
          <w:szCs w:val="21"/>
        </w:rPr>
        <w:t>（3）允许进口产品参加的，优先采购向我国企业转让技术、与我国企业签订消化吸收再创新方案的供应商的进口产品。</w:t>
      </w:r>
    </w:p>
    <w:p>
      <w:pPr>
        <w:spacing w:line="360" w:lineRule="auto"/>
        <w:ind w:firstLine="420" w:firstLineChars="200"/>
        <w:rPr>
          <w:rFonts w:ascii="宋体" w:hAnsi="宋体"/>
          <w:szCs w:val="21"/>
        </w:rPr>
      </w:pPr>
      <w:r>
        <w:rPr>
          <w:rFonts w:ascii="宋体" w:hAnsi="宋体"/>
          <w:szCs w:val="21"/>
        </w:rPr>
        <w:t>3.5</w:t>
      </w:r>
      <w:r>
        <w:rPr>
          <w:rFonts w:ascii="宋体" w:hAnsi="宋体"/>
          <w:szCs w:val="21"/>
        </w:rPr>
        <w:tab/>
      </w:r>
      <w:r>
        <w:rPr>
          <w:rFonts w:ascii="宋体" w:hAnsi="宋体"/>
          <w:szCs w:val="21"/>
        </w:rPr>
        <w:t>未按要求提供相关材料的，不享受相关政策。</w:t>
      </w:r>
    </w:p>
    <w:p>
      <w:pPr>
        <w:spacing w:line="360" w:lineRule="auto"/>
        <w:ind w:firstLine="422" w:firstLineChars="200"/>
        <w:rPr>
          <w:rFonts w:ascii="宋体" w:hAnsi="宋体"/>
          <w:b/>
          <w:szCs w:val="21"/>
        </w:rPr>
      </w:pPr>
      <w:r>
        <w:rPr>
          <w:rFonts w:hint="eastAsia" w:ascii="宋体" w:hAnsi="宋体"/>
          <w:b/>
          <w:szCs w:val="21"/>
        </w:rPr>
        <w:t>二、招标文件</w:t>
      </w:r>
    </w:p>
    <w:p>
      <w:pPr>
        <w:autoSpaceDE w:val="0"/>
        <w:autoSpaceDN w:val="0"/>
        <w:adjustRightInd w:val="0"/>
        <w:snapToGrid w:val="0"/>
        <w:spacing w:line="360" w:lineRule="auto"/>
        <w:ind w:firstLine="420"/>
        <w:rPr>
          <w:rFonts w:ascii="宋体" w:hAnsi="宋体"/>
          <w:b/>
          <w:szCs w:val="21"/>
          <w:lang w:val="zh-CN"/>
        </w:rPr>
      </w:pPr>
      <w:r>
        <w:rPr>
          <w:rFonts w:hint="eastAsia" w:ascii="宋体" w:hAnsi="宋体"/>
          <w:b/>
          <w:szCs w:val="21"/>
          <w:lang w:val="zh-CN"/>
        </w:rPr>
        <w:t>4、招标文件组成</w:t>
      </w:r>
    </w:p>
    <w:p>
      <w:pPr>
        <w:autoSpaceDE w:val="0"/>
        <w:autoSpaceDN w:val="0"/>
        <w:adjustRightInd w:val="0"/>
        <w:snapToGrid w:val="0"/>
        <w:spacing w:line="360" w:lineRule="auto"/>
        <w:ind w:firstLine="420"/>
        <w:rPr>
          <w:rFonts w:ascii="宋体" w:hAnsi="宋体"/>
          <w:szCs w:val="21"/>
        </w:rPr>
      </w:pPr>
      <w:r>
        <w:rPr>
          <w:rFonts w:hint="eastAsia" w:ascii="宋体" w:hAnsi="宋体"/>
          <w:szCs w:val="21"/>
          <w:lang w:val="zh-CN"/>
        </w:rPr>
        <w:t>4</w:t>
      </w:r>
      <w:r>
        <w:rPr>
          <w:rFonts w:ascii="宋体" w:hAnsi="宋体"/>
          <w:szCs w:val="21"/>
          <w:lang w:val="zh-CN"/>
        </w:rPr>
        <w:t>.1</w:t>
      </w:r>
      <w:r>
        <w:rPr>
          <w:rFonts w:hint="eastAsia" w:ascii="宋体" w:hAnsi="宋体"/>
          <w:szCs w:val="21"/>
          <w:lang w:val="zh-CN"/>
        </w:rPr>
        <w:t xml:space="preserve"> 招标文件组成：投标邀请、投标人须知、投标人应当提交的资格和资信证明文件、投标报价要求、投标文件编制要求和投标保证金缴纳方式、招标项目的技术规格、要求和数量、合同主要条款及合同签订方式、评标方法、评标标准、无效投标和废标条款、附件等。</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4</w:t>
      </w:r>
      <w:r>
        <w:rPr>
          <w:rFonts w:ascii="宋体" w:hAnsi="宋体"/>
          <w:szCs w:val="21"/>
          <w:lang w:val="zh-CN"/>
        </w:rPr>
        <w:t>.2</w:t>
      </w:r>
      <w:r>
        <w:rPr>
          <w:rFonts w:hint="eastAsia" w:ascii="宋体" w:hAnsi="宋体"/>
          <w:szCs w:val="21"/>
          <w:lang w:val="zh-CN"/>
        </w:rPr>
        <w:t xml:space="preserve"> 招标的最小单位是包。招标服务数量及技术要求中未分包的，投标人对要求提供的服务不得部分投标；招标服务数量及技术要求中已经分包的，可以以包为单位投标。</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4</w:t>
      </w:r>
      <w:r>
        <w:rPr>
          <w:rFonts w:ascii="宋体" w:hAnsi="宋体"/>
          <w:szCs w:val="21"/>
          <w:lang w:val="zh-CN"/>
        </w:rPr>
        <w:t>.</w:t>
      </w:r>
      <w:r>
        <w:rPr>
          <w:rFonts w:hint="eastAsia" w:ascii="宋体" w:hAnsi="宋体"/>
          <w:szCs w:val="21"/>
          <w:lang w:val="zh-CN"/>
        </w:rPr>
        <w:t>3 采购代理如果要求投标人按照招标文件规定提交备选投标方案的，投标人可以提交备选方案；否则，备选方案将被拒绝。</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5、招标文件的澄清、修改</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5</w:t>
      </w:r>
      <w:r>
        <w:rPr>
          <w:rFonts w:ascii="宋体" w:hAnsi="宋体"/>
          <w:szCs w:val="21"/>
          <w:lang w:val="zh-CN"/>
        </w:rPr>
        <w:t>.1</w:t>
      </w:r>
      <w:r>
        <w:rPr>
          <w:rFonts w:hint="eastAsia" w:ascii="宋体" w:hAnsi="宋体"/>
          <w:szCs w:val="21"/>
          <w:lang w:val="zh-CN"/>
        </w:rPr>
        <w:t>采购代理对已发出的招标文件进行必要澄清或者修改的，将在招标文件要求提交投标文件截止时间</w:t>
      </w:r>
      <w:r>
        <w:rPr>
          <w:rFonts w:hint="eastAsia" w:ascii="宋体" w:hAnsi="宋体"/>
          <w:b/>
          <w:bCs/>
          <w:iCs/>
          <w:szCs w:val="21"/>
          <w:u w:val="single"/>
          <w:lang w:val="zh-CN"/>
        </w:rPr>
        <w:t>十五日</w:t>
      </w:r>
      <w:r>
        <w:rPr>
          <w:rFonts w:hint="eastAsia" w:ascii="宋体" w:hAnsi="宋体"/>
          <w:szCs w:val="21"/>
          <w:lang w:val="zh-CN"/>
        </w:rPr>
        <w:t>前，在原招标公告媒体发布更正公告，该澄清或者修改的内容为招标文件的组成部分。</w:t>
      </w:r>
    </w:p>
    <w:p>
      <w:pPr>
        <w:autoSpaceDE w:val="0"/>
        <w:autoSpaceDN w:val="0"/>
        <w:adjustRightInd w:val="0"/>
        <w:snapToGrid w:val="0"/>
        <w:spacing w:line="360" w:lineRule="auto"/>
        <w:ind w:firstLine="420"/>
        <w:rPr>
          <w:rFonts w:ascii="宋体" w:hAnsi="宋体"/>
          <w:szCs w:val="21"/>
        </w:rPr>
      </w:pPr>
      <w:r>
        <w:rPr>
          <w:rFonts w:hint="eastAsia" w:ascii="宋体" w:hAnsi="宋体"/>
          <w:szCs w:val="21"/>
          <w:lang w:val="zh-CN"/>
        </w:rPr>
        <w:t>5</w:t>
      </w:r>
      <w:r>
        <w:rPr>
          <w:rFonts w:ascii="宋体" w:hAnsi="宋体"/>
          <w:szCs w:val="21"/>
          <w:lang w:val="zh-CN"/>
        </w:rPr>
        <w:t>.</w:t>
      </w:r>
      <w:r>
        <w:rPr>
          <w:rFonts w:hint="eastAsia" w:ascii="宋体" w:hAnsi="宋体"/>
          <w:szCs w:val="21"/>
          <w:lang w:val="zh-CN"/>
        </w:rPr>
        <w:t>2 采购代理在招标文件要求提交投标文件截止时间</w:t>
      </w:r>
      <w:r>
        <w:rPr>
          <w:rFonts w:hint="eastAsia" w:ascii="宋体" w:hAnsi="宋体"/>
          <w:b/>
          <w:bCs/>
          <w:iCs/>
          <w:szCs w:val="21"/>
          <w:u w:val="single"/>
          <w:lang w:val="zh-CN"/>
        </w:rPr>
        <w:t>三日</w:t>
      </w:r>
      <w:r>
        <w:rPr>
          <w:rFonts w:hint="eastAsia" w:ascii="宋体" w:hAnsi="宋体"/>
          <w:szCs w:val="21"/>
          <w:lang w:val="zh-CN"/>
        </w:rPr>
        <w:t>前，有权决定延长投标截止时间和开标时间，并</w:t>
      </w:r>
      <w:r>
        <w:rPr>
          <w:rFonts w:hint="eastAsia" w:ascii="宋体" w:hAnsi="宋体"/>
          <w:szCs w:val="21"/>
        </w:rPr>
        <w:t>在原采购信息发布媒体上发布变更公告。</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5</w:t>
      </w:r>
      <w:r>
        <w:rPr>
          <w:rFonts w:ascii="宋体" w:hAnsi="宋体"/>
          <w:szCs w:val="21"/>
          <w:lang w:val="zh-CN"/>
        </w:rPr>
        <w:t>.</w:t>
      </w:r>
      <w:r>
        <w:rPr>
          <w:rFonts w:hint="eastAsia" w:ascii="宋体" w:hAnsi="宋体"/>
          <w:szCs w:val="21"/>
          <w:lang w:val="zh-CN"/>
        </w:rPr>
        <w:t>3</w:t>
      </w:r>
      <w:r>
        <w:rPr>
          <w:rFonts w:hint="eastAsia" w:ascii="宋体" w:hAnsi="宋体"/>
          <w:b/>
          <w:szCs w:val="21"/>
          <w:lang w:val="zh-CN"/>
        </w:rPr>
        <w:t>投标人应在投标截止时间前关注江苏省政府采购网站有关本招标项目有无变更公告。</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三、投标</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6、投标文件的语言、计量单位、货币和编制</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6</w:t>
      </w:r>
      <w:r>
        <w:rPr>
          <w:rFonts w:ascii="宋体" w:hAnsi="宋体"/>
          <w:szCs w:val="21"/>
          <w:lang w:val="zh-CN"/>
        </w:rPr>
        <w:t>.1</w:t>
      </w:r>
      <w:r>
        <w:rPr>
          <w:rFonts w:hint="eastAsia" w:ascii="宋体" w:hAnsi="宋体"/>
          <w:szCs w:val="21"/>
          <w:lang w:val="zh-CN"/>
        </w:rPr>
        <w:t>投标人提交的投标文件、技术文件和资料，包括图纸中的说明，以及投标人与采购代理就有关投标的所有来往函电均应使用中文。投标文件中若有英文或其他语言文字的资料，应提供相应的中文翻译资料。对不同文本投标文件的解释发生异议的，以中文文本为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6</w:t>
      </w:r>
      <w:r>
        <w:rPr>
          <w:rFonts w:ascii="宋体" w:hAnsi="宋体"/>
          <w:szCs w:val="21"/>
          <w:lang w:val="zh-CN"/>
        </w:rPr>
        <w:t>.2</w:t>
      </w:r>
      <w:r>
        <w:rPr>
          <w:rFonts w:hint="eastAsia" w:ascii="宋体" w:hAnsi="宋体"/>
          <w:szCs w:val="21"/>
          <w:lang w:val="zh-CN"/>
        </w:rPr>
        <w:t>投标人所使用的计量单位应为国家法定计量单位。</w:t>
      </w:r>
    </w:p>
    <w:p>
      <w:pPr>
        <w:autoSpaceDE w:val="0"/>
        <w:autoSpaceDN w:val="0"/>
        <w:adjustRightInd w:val="0"/>
        <w:snapToGrid w:val="0"/>
        <w:spacing w:line="360" w:lineRule="auto"/>
        <w:ind w:firstLine="420"/>
        <w:jc w:val="left"/>
        <w:rPr>
          <w:rFonts w:ascii="宋体" w:hAnsi="宋体"/>
          <w:szCs w:val="21"/>
          <w:lang w:val="zh-CN"/>
        </w:rPr>
      </w:pPr>
      <w:r>
        <w:rPr>
          <w:rFonts w:hint="eastAsia" w:ascii="宋体" w:hAnsi="宋体"/>
          <w:szCs w:val="21"/>
          <w:lang w:val="zh-CN"/>
        </w:rPr>
        <w:t>6</w:t>
      </w:r>
      <w:r>
        <w:rPr>
          <w:rFonts w:ascii="宋体" w:hAnsi="宋体"/>
          <w:szCs w:val="21"/>
          <w:lang w:val="zh-CN"/>
        </w:rPr>
        <w:t>.3</w:t>
      </w:r>
      <w:r>
        <w:rPr>
          <w:rFonts w:hint="eastAsia" w:ascii="宋体" w:hAnsi="宋体"/>
          <w:szCs w:val="21"/>
          <w:lang w:val="zh-CN"/>
        </w:rPr>
        <w:t>投标人应用人民币报价。投标产品如果是进口产品的，应提供人民币与美元之间的汇率；报价单位为“元”。</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6</w:t>
      </w:r>
      <w:r>
        <w:rPr>
          <w:rFonts w:ascii="宋体" w:hAnsi="宋体"/>
          <w:szCs w:val="21"/>
          <w:lang w:val="zh-CN"/>
        </w:rPr>
        <w:t>.4</w:t>
      </w:r>
      <w:r>
        <w:rPr>
          <w:rFonts w:hint="eastAsia" w:ascii="宋体" w:hAnsi="宋体"/>
          <w:szCs w:val="21"/>
          <w:lang w:val="zh-CN"/>
        </w:rPr>
        <w:t xml:space="preserve"> 投标文件应字迹清楚、内容齐全、不得涂改。如有修改，修改处须有投标人公章或投标专用章和法定代表人或其授权的投标人代表签字。</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6</w:t>
      </w:r>
      <w:r>
        <w:rPr>
          <w:rFonts w:ascii="宋体" w:hAnsi="宋体"/>
          <w:szCs w:val="21"/>
          <w:lang w:val="zh-CN"/>
        </w:rPr>
        <w:t>.5</w:t>
      </w:r>
      <w:r>
        <w:rPr>
          <w:rFonts w:hint="eastAsia" w:ascii="宋体" w:hAnsi="宋体"/>
          <w:szCs w:val="21"/>
          <w:lang w:val="zh-CN"/>
        </w:rPr>
        <w:t xml:space="preserve"> 投标文件应按照招标文件规定的顺序，统一用</w:t>
      </w:r>
      <w:r>
        <w:rPr>
          <w:rFonts w:ascii="宋体" w:hAnsi="宋体"/>
          <w:szCs w:val="21"/>
          <w:lang w:val="zh-CN"/>
        </w:rPr>
        <w:t>A4</w:t>
      </w:r>
      <w:r>
        <w:rPr>
          <w:rFonts w:hint="eastAsia" w:ascii="宋体" w:hAnsi="宋体"/>
          <w:szCs w:val="21"/>
          <w:lang w:val="zh-CN"/>
        </w:rPr>
        <w:t>规格幅面打印、装订成册并编制目录，由于编排混乱导致投标文件被误读或查找不到，责任由投标人承担。</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6</w:t>
      </w:r>
      <w:r>
        <w:rPr>
          <w:rFonts w:ascii="宋体" w:hAnsi="宋体"/>
          <w:szCs w:val="21"/>
          <w:lang w:val="zh-CN"/>
        </w:rPr>
        <w:t>.6</w:t>
      </w:r>
      <w:r>
        <w:rPr>
          <w:rFonts w:hint="eastAsia" w:ascii="宋体" w:hAnsi="宋体"/>
          <w:szCs w:val="21"/>
          <w:lang w:val="zh-CN"/>
        </w:rPr>
        <w:t>投标人应在投标文件中写清相应的项目编号、项目名称、投标人全称、地址、电话、传真等。</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szCs w:val="21"/>
          <w:lang w:val="zh-CN"/>
        </w:rPr>
        <w:t>7</w:t>
      </w:r>
      <w:r>
        <w:rPr>
          <w:rFonts w:hint="eastAsia" w:ascii="宋体" w:hAnsi="宋体"/>
          <w:b/>
          <w:bCs/>
          <w:szCs w:val="21"/>
          <w:lang w:val="zh-CN"/>
        </w:rPr>
        <w:t>、联合投标</w:t>
      </w:r>
    </w:p>
    <w:p>
      <w:pPr>
        <w:adjustRightInd w:val="0"/>
        <w:snapToGrid w:val="0"/>
        <w:spacing w:line="360" w:lineRule="auto"/>
        <w:ind w:firstLine="420" w:firstLineChars="200"/>
        <w:rPr>
          <w:rFonts w:ascii="宋体" w:hAnsi="宋体"/>
          <w:szCs w:val="21"/>
        </w:rPr>
      </w:pPr>
      <w:r>
        <w:rPr>
          <w:rFonts w:hint="eastAsia" w:ascii="宋体" w:hAnsi="宋体"/>
          <w:bCs/>
          <w:kern w:val="0"/>
          <w:szCs w:val="21"/>
        </w:rPr>
        <w:t xml:space="preserve">7.1 </w:t>
      </w:r>
      <w:r>
        <w:rPr>
          <w:rFonts w:ascii="宋体" w:hAnsi="宋体"/>
          <w:szCs w:val="21"/>
        </w:rPr>
        <w:t>两个以上的自然人、法人或者其他组织可以组成一个联合体，以一个投标人的身份共同参加政府采购。</w:t>
      </w:r>
    </w:p>
    <w:p>
      <w:pPr>
        <w:adjustRightInd w:val="0"/>
        <w:snapToGrid w:val="0"/>
        <w:spacing w:line="360" w:lineRule="auto"/>
        <w:ind w:firstLine="420" w:firstLineChars="200"/>
        <w:rPr>
          <w:rFonts w:ascii="宋体" w:hAnsi="宋体"/>
          <w:szCs w:val="21"/>
        </w:rPr>
      </w:pPr>
      <w:r>
        <w:rPr>
          <w:rFonts w:hint="eastAsia" w:ascii="宋体" w:hAnsi="宋体"/>
          <w:szCs w:val="21"/>
        </w:rPr>
        <w:t>7.2 以联合体形式参加投标的，联合体各方均应当符合政府采购法第二十二条第一款规定的条件；采购人根据采购项目的特殊要求规定投标人特定条件的，联合体各方中至少应当有一方符合采购人规定的特定条件。由同一专业的投标人组成的联合体，按照资质较低的投标人确定资质等级；由不同专业的投标人组成联合体，首先以投标的全权代表方的应答材料作为认定资质以及商务评审的依据，涉及行业专属的资质，按照所属行业对应的投标人的应答材料确定。</w:t>
      </w:r>
    </w:p>
    <w:p>
      <w:pPr>
        <w:adjustRightInd w:val="0"/>
        <w:snapToGrid w:val="0"/>
        <w:spacing w:line="360" w:lineRule="auto"/>
        <w:ind w:firstLine="420" w:firstLineChars="200"/>
        <w:rPr>
          <w:rFonts w:ascii="宋体" w:hAnsi="宋体"/>
          <w:szCs w:val="21"/>
        </w:rPr>
      </w:pPr>
      <w:r>
        <w:rPr>
          <w:rFonts w:hint="eastAsia" w:ascii="宋体" w:hAnsi="宋体"/>
          <w:szCs w:val="21"/>
        </w:rPr>
        <w:t>7.3 大中型企业和其他自然人、法人或者其他组织可以与小型、微型企业组成联合体共同参加非专门面向中小企业的政府采购活动。联合协议中约定，小型、微型企业的协议合同金额占到联合体协议合同总金额30%以上的，给予联合体2%的价格扣除。联合体各方均为小型、微型企业的，联合体视同为小型、微型企业享受6%价格扣除。组成联合体的大中型企业和其他自然人、法人或者其他组织，与小型、微型企业之间不得存在投资关系。</w:t>
      </w:r>
    </w:p>
    <w:p>
      <w:pPr>
        <w:adjustRightInd w:val="0"/>
        <w:snapToGrid w:val="0"/>
        <w:spacing w:line="360" w:lineRule="auto"/>
        <w:ind w:firstLine="420" w:firstLineChars="200"/>
        <w:rPr>
          <w:rFonts w:ascii="宋体" w:hAnsi="宋体"/>
          <w:szCs w:val="21"/>
        </w:rPr>
      </w:pPr>
      <w:r>
        <w:rPr>
          <w:rFonts w:hint="eastAsia" w:ascii="宋体" w:hAnsi="宋体"/>
          <w:szCs w:val="21"/>
        </w:rPr>
        <w:t>7.4 联合体各方之间应当签订共同投标协议，明确约定联合体各方承担的工作和相应的责任，并将共同投标协议连同投标文件一并提交。联合体各方签订共同投标协议后，不得再以自己名义单独在同一项目中投标，也不得组成新的联合体参加同一项目投标。</w:t>
      </w:r>
    </w:p>
    <w:p>
      <w:pPr>
        <w:adjustRightInd w:val="0"/>
        <w:snapToGrid w:val="0"/>
        <w:spacing w:line="360" w:lineRule="auto"/>
        <w:ind w:firstLine="422" w:firstLineChars="200"/>
        <w:rPr>
          <w:rFonts w:ascii="宋体" w:hAnsi="宋体"/>
          <w:b/>
          <w:bCs/>
          <w:i/>
          <w:kern w:val="0"/>
          <w:szCs w:val="21"/>
        </w:rPr>
      </w:pPr>
      <w:r>
        <w:rPr>
          <w:rFonts w:hint="eastAsia" w:ascii="宋体" w:hAnsi="宋体"/>
          <w:b/>
          <w:szCs w:val="21"/>
        </w:rPr>
        <w:t>7.5  本项目不接受联合体投标。</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8、投标费用</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8</w:t>
      </w:r>
      <w:r>
        <w:rPr>
          <w:rFonts w:ascii="宋体" w:hAnsi="宋体"/>
          <w:szCs w:val="21"/>
          <w:lang w:val="zh-CN"/>
        </w:rPr>
        <w:t>.1</w:t>
      </w:r>
      <w:r>
        <w:rPr>
          <w:rFonts w:hint="eastAsia" w:ascii="宋体" w:hAnsi="宋体"/>
          <w:szCs w:val="21"/>
          <w:lang w:val="zh-CN"/>
        </w:rPr>
        <w:t>投标人应承担所有与准备和参加投标有关的费用，无论采购结果如何，采购代理和采购人在任何情况下均无义务和责任承担这些费用。</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8.2本项目的代理费由中标供应商支付。计费标准：按《招标代理服务收费管理暂行办法》（国家发展计划委员会计价格[2002]1980号）招标收费基准费率下浮30%计算。结算方式及时间为：由中标单位在领取中标通知书时向招标代理单位一次性支付。</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szCs w:val="21"/>
          <w:lang w:val="zh-CN"/>
        </w:rPr>
        <w:t>9</w:t>
      </w:r>
      <w:r>
        <w:rPr>
          <w:rFonts w:hint="eastAsia" w:ascii="宋体" w:hAnsi="宋体"/>
          <w:b/>
          <w:bCs/>
          <w:szCs w:val="21"/>
          <w:lang w:val="zh-CN"/>
        </w:rPr>
        <w:t>、投标文件组成</w:t>
      </w:r>
    </w:p>
    <w:p>
      <w:pPr>
        <w:widowControl/>
        <w:adjustRightInd w:val="0"/>
        <w:snapToGrid w:val="0"/>
        <w:spacing w:line="360" w:lineRule="auto"/>
        <w:ind w:firstLine="420"/>
        <w:rPr>
          <w:rFonts w:ascii="宋体" w:hAnsi="宋体" w:cs="宋体"/>
          <w:b/>
          <w:kern w:val="0"/>
          <w:szCs w:val="21"/>
        </w:rPr>
      </w:pPr>
      <w:r>
        <w:rPr>
          <w:rFonts w:hint="eastAsia" w:ascii="宋体" w:hAnsi="宋体"/>
          <w:szCs w:val="21"/>
          <w:lang w:val="zh-CN"/>
        </w:rPr>
        <w:t>9</w:t>
      </w:r>
      <w:r>
        <w:rPr>
          <w:rFonts w:ascii="宋体" w:hAnsi="宋体"/>
          <w:szCs w:val="21"/>
          <w:lang w:val="zh-CN"/>
        </w:rPr>
        <w:t>.1</w:t>
      </w:r>
      <w:r>
        <w:rPr>
          <w:rFonts w:hint="eastAsia" w:ascii="宋体" w:hAnsi="宋体"/>
          <w:szCs w:val="21"/>
        </w:rPr>
        <w:t>投标人应当根据招标文件要求编制投标文件，投标文件应对招标文件提出的要求和条件作出实质性响应。</w:t>
      </w:r>
    </w:p>
    <w:p>
      <w:pPr>
        <w:adjustRightInd w:val="0"/>
        <w:snapToGrid w:val="0"/>
        <w:spacing w:line="360" w:lineRule="auto"/>
        <w:ind w:firstLine="411" w:firstLineChars="196"/>
        <w:rPr>
          <w:rFonts w:ascii="宋体" w:hAnsi="宋体"/>
          <w:b/>
          <w:szCs w:val="21"/>
        </w:rPr>
      </w:pPr>
      <w:r>
        <w:rPr>
          <w:rFonts w:hint="eastAsia" w:ascii="宋体" w:hAnsi="宋体"/>
          <w:szCs w:val="21"/>
          <w:lang w:val="zh-CN"/>
        </w:rPr>
        <w:t>9.2 本项目不允许转包、分包。</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9.3 投标文件由商务部分、技术部分、价格部分，以及其他部分组成。</w:t>
      </w:r>
    </w:p>
    <w:p>
      <w:pPr>
        <w:adjustRightInd w:val="0"/>
        <w:snapToGrid w:val="0"/>
        <w:spacing w:line="360" w:lineRule="auto"/>
        <w:ind w:firstLine="422" w:firstLineChars="200"/>
        <w:rPr>
          <w:rFonts w:ascii="宋体" w:hAnsi="宋体"/>
          <w:b/>
          <w:szCs w:val="21"/>
        </w:rPr>
      </w:pPr>
      <w:r>
        <w:rPr>
          <w:rFonts w:hint="eastAsia" w:ascii="宋体" w:hAnsi="宋体"/>
          <w:b/>
          <w:szCs w:val="21"/>
        </w:rPr>
        <w:t>10、投标文件的商务部分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10</w:t>
      </w:r>
      <w:r>
        <w:rPr>
          <w:rFonts w:ascii="宋体" w:hAnsi="宋体"/>
          <w:szCs w:val="21"/>
          <w:lang w:val="zh-CN"/>
        </w:rPr>
        <w:t>.1</w:t>
      </w:r>
      <w:r>
        <w:rPr>
          <w:rFonts w:hint="eastAsia" w:ascii="宋体" w:hAnsi="宋体"/>
          <w:szCs w:val="21"/>
          <w:lang w:val="zh-CN"/>
        </w:rPr>
        <w:t xml:space="preserve"> 商务部分是证明投标人有资格参加投标和中标后有能力履行合同的文件，</w:t>
      </w:r>
      <w:r>
        <w:rPr>
          <w:rFonts w:hint="eastAsia" w:ascii="宋体" w:hAnsi="宋体"/>
          <w:szCs w:val="21"/>
        </w:rPr>
        <w:t>这些文件应能满足招标的要求</w:t>
      </w:r>
      <w:r>
        <w:rPr>
          <w:rFonts w:hint="eastAsia" w:ascii="宋体" w:hAnsi="宋体"/>
          <w:szCs w:val="21"/>
          <w:lang w:val="zh-CN"/>
        </w:rPr>
        <w:t>，包括但不限于下列文件，</w:t>
      </w:r>
      <w:r>
        <w:rPr>
          <w:rFonts w:hint="eastAsia" w:ascii="宋体" w:hAnsi="宋体"/>
          <w:b/>
          <w:szCs w:val="21"/>
          <w:lang w:val="zh-CN"/>
        </w:rPr>
        <w:t>其中加</w:t>
      </w:r>
      <w:r>
        <w:rPr>
          <w:rFonts w:hint="eastAsia" w:ascii="宋体" w:hAnsi="宋体" w:cs="宋体"/>
          <w:b/>
          <w:kern w:val="0"/>
          <w:szCs w:val="21"/>
        </w:rPr>
        <w:t>※</w:t>
      </w:r>
      <w:r>
        <w:rPr>
          <w:rFonts w:hint="eastAsia" w:ascii="宋体" w:hAnsi="宋体"/>
          <w:b/>
          <w:szCs w:val="21"/>
          <w:lang w:val="zh-CN"/>
        </w:rPr>
        <w:t>项目不得有缺失或无效：</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（1）</w:t>
      </w:r>
      <w:r>
        <w:rPr>
          <w:rFonts w:hint="eastAsia" w:ascii="宋体" w:hAnsi="宋体" w:cs="宋体"/>
          <w:b/>
          <w:kern w:val="0"/>
          <w:szCs w:val="21"/>
        </w:rPr>
        <w:t>※</w:t>
      </w:r>
      <w:r>
        <w:rPr>
          <w:rFonts w:hint="eastAsia" w:ascii="宋体" w:hAnsi="宋体" w:cs="宋体"/>
          <w:kern w:val="0"/>
          <w:szCs w:val="21"/>
          <w:lang w:val="zh-CN"/>
        </w:rPr>
        <w:t>投标函；</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（2）</w:t>
      </w:r>
      <w:r>
        <w:rPr>
          <w:rFonts w:hint="eastAsia" w:ascii="宋体" w:hAnsi="宋体" w:cs="宋体"/>
          <w:b/>
          <w:kern w:val="0"/>
          <w:szCs w:val="21"/>
        </w:rPr>
        <w:t>※</w:t>
      </w:r>
      <w:r>
        <w:rPr>
          <w:rFonts w:hint="eastAsia" w:ascii="宋体" w:hAnsi="宋体" w:cs="宋体"/>
          <w:kern w:val="0"/>
          <w:szCs w:val="21"/>
          <w:lang w:val="zh-CN"/>
        </w:rPr>
        <w:t>法定代表人授权委托书及委托代理人的身份证明文件的复印件；</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（3）</w:t>
      </w:r>
      <w:r>
        <w:rPr>
          <w:rFonts w:hint="eastAsia" w:ascii="宋体" w:hAnsi="宋体" w:cs="宋体"/>
          <w:b/>
          <w:kern w:val="0"/>
          <w:szCs w:val="21"/>
        </w:rPr>
        <w:t>※</w:t>
      </w:r>
      <w:r>
        <w:rPr>
          <w:rFonts w:hint="eastAsia" w:ascii="宋体" w:cs="宋体"/>
          <w:szCs w:val="21"/>
          <w:lang w:val="zh-CN"/>
        </w:rPr>
        <w:t>《报价汇总》</w:t>
      </w:r>
      <w:r>
        <w:rPr>
          <w:rFonts w:hint="eastAsia" w:hAnsi="宋体"/>
          <w:szCs w:val="21"/>
          <w:lang w:val="zh-CN"/>
        </w:rPr>
        <w:t>、《</w:t>
      </w:r>
      <w:r>
        <w:rPr>
          <w:rFonts w:hint="eastAsia"/>
          <w:kern w:val="0"/>
          <w:szCs w:val="21"/>
          <w:lang w:val="zh-CN"/>
        </w:rPr>
        <w:t>投标产品配置及分项报价表</w:t>
      </w:r>
      <w:r>
        <w:rPr>
          <w:rFonts w:hint="eastAsia" w:hAnsi="宋体"/>
          <w:szCs w:val="21"/>
          <w:lang w:val="zh-CN"/>
        </w:rPr>
        <w:t>》</w:t>
      </w:r>
      <w:r>
        <w:rPr>
          <w:rFonts w:hint="eastAsia" w:ascii="宋体" w:hAnsi="宋体" w:cs="宋体"/>
          <w:kern w:val="0"/>
          <w:szCs w:val="21"/>
          <w:lang w:val="zh-CN"/>
        </w:rPr>
        <w:t>；</w:t>
      </w:r>
    </w:p>
    <w:p>
      <w:pPr>
        <w:autoSpaceDE w:val="0"/>
        <w:autoSpaceDN w:val="0"/>
        <w:adjustRightInd w:val="0"/>
        <w:snapToGrid w:val="0"/>
        <w:spacing w:line="360" w:lineRule="auto"/>
        <w:ind w:left="420" w:leftChars="200"/>
        <w:rPr>
          <w:rFonts w:ascii="宋体" w:hAnsi="宋体" w:cs="宋体"/>
          <w:kern w:val="0"/>
          <w:szCs w:val="21"/>
          <w:lang w:val="zh-CN"/>
        </w:rPr>
      </w:pPr>
      <w:r>
        <w:rPr>
          <w:rFonts w:hint="eastAsia" w:ascii="宋体" w:hAnsi="宋体" w:cs="宋体"/>
          <w:kern w:val="0"/>
          <w:szCs w:val="21"/>
          <w:lang w:val="zh-CN"/>
        </w:rPr>
        <w:t>（4）</w:t>
      </w:r>
      <w:r>
        <w:rPr>
          <w:rFonts w:hint="eastAsia" w:ascii="宋体" w:hAnsi="宋体" w:cs="宋体"/>
          <w:b/>
          <w:kern w:val="0"/>
          <w:szCs w:val="21"/>
        </w:rPr>
        <w:t>※第一章投标邀请中 5.1</w:t>
      </w:r>
      <w:r>
        <w:rPr>
          <w:rFonts w:hint="eastAsia" w:ascii="宋体" w:hAnsi="宋体"/>
          <w:b/>
          <w:szCs w:val="21"/>
          <w:lang w:val="zh-CN"/>
        </w:rPr>
        <w:t>《中华人民共和国政府采购法》规定的资格条件证明文件</w:t>
      </w:r>
      <w:r>
        <w:rPr>
          <w:rFonts w:hint="eastAsia" w:ascii="宋体" w:hAnsi="宋体" w:cs="宋体"/>
          <w:kern w:val="0"/>
          <w:szCs w:val="21"/>
          <w:lang w:val="zh-CN"/>
        </w:rPr>
        <w:t>；</w:t>
      </w:r>
    </w:p>
    <w:p>
      <w:pPr>
        <w:autoSpaceDE w:val="0"/>
        <w:autoSpaceDN w:val="0"/>
        <w:adjustRightInd w:val="0"/>
        <w:snapToGrid w:val="0"/>
        <w:spacing w:line="360" w:lineRule="auto"/>
        <w:ind w:left="420" w:leftChars="200"/>
        <w:rPr>
          <w:rFonts w:ascii="宋体" w:hAnsi="宋体" w:cs="宋体"/>
          <w:kern w:val="0"/>
          <w:szCs w:val="21"/>
          <w:lang w:val="zh-CN"/>
        </w:rPr>
      </w:pPr>
      <w:r>
        <w:rPr>
          <w:rFonts w:hint="eastAsia" w:ascii="宋体" w:hAnsi="宋体" w:cs="宋体"/>
          <w:kern w:val="0"/>
          <w:szCs w:val="21"/>
          <w:lang w:val="zh-CN"/>
        </w:rPr>
        <w:t>（5）</w:t>
      </w:r>
      <w:r>
        <w:rPr>
          <w:rFonts w:hint="eastAsia" w:ascii="宋体" w:hAnsi="宋体" w:cs="宋体"/>
          <w:b/>
          <w:kern w:val="0"/>
          <w:szCs w:val="21"/>
        </w:rPr>
        <w:t xml:space="preserve">※第一章投标邀请中 5.2 </w:t>
      </w:r>
      <w:r>
        <w:rPr>
          <w:rFonts w:hint="eastAsia" w:ascii="宋体" w:hAnsi="宋体"/>
          <w:b/>
          <w:szCs w:val="21"/>
        </w:rPr>
        <w:t>采购人根据采购项目的特殊要求规定的特定条件证明文件；</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（6）</w:t>
      </w:r>
      <w:r>
        <w:rPr>
          <w:rFonts w:hint="eastAsia" w:ascii="宋体" w:hAnsi="宋体" w:cs="宋体"/>
          <w:b/>
          <w:kern w:val="0"/>
          <w:szCs w:val="21"/>
        </w:rPr>
        <w:t>※</w:t>
      </w:r>
      <w:r>
        <w:rPr>
          <w:rFonts w:hint="eastAsia" w:ascii="宋体" w:hAnsi="宋体" w:cs="宋体"/>
          <w:kern w:val="0"/>
          <w:szCs w:val="21"/>
          <w:lang w:val="zh-CN"/>
        </w:rPr>
        <w:t>商务条款响应及偏离表；</w:t>
      </w:r>
    </w:p>
    <w:p>
      <w:pPr>
        <w:widowControl/>
        <w:adjustRightInd w:val="0"/>
        <w:snapToGrid w:val="0"/>
        <w:spacing w:line="360" w:lineRule="auto"/>
        <w:ind w:firstLine="420"/>
        <w:rPr>
          <w:rFonts w:ascii="宋体" w:hAnsi="宋体"/>
          <w:szCs w:val="21"/>
        </w:rPr>
      </w:pPr>
      <w:r>
        <w:rPr>
          <w:rFonts w:hint="eastAsia" w:ascii="宋体" w:hAnsi="宋体" w:cs="宋体"/>
          <w:kern w:val="0"/>
          <w:szCs w:val="21"/>
          <w:lang w:val="zh-CN"/>
        </w:rPr>
        <w:t>（7）</w:t>
      </w:r>
      <w:r>
        <w:rPr>
          <w:rFonts w:hint="eastAsia" w:ascii="宋体" w:hAnsi="宋体"/>
          <w:szCs w:val="21"/>
        </w:rPr>
        <w:t>投标人认为需要</w:t>
      </w:r>
      <w:r>
        <w:rPr>
          <w:rFonts w:hint="eastAsia" w:ascii="宋体" w:hAnsi="宋体"/>
          <w:kern w:val="0"/>
          <w:szCs w:val="21"/>
          <w:lang w:val="zh-CN"/>
        </w:rPr>
        <w:t>提供的其他资格证明文件和商务资料。</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11、投标文件的技术部分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11.1投标人应提交证明其拟提供货物和服务是合格的，且符合招标文件规定的文件，并作为投标文件的一部分。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11.2货物和服务合格性的证明文件应包括投标报价表中对货物原产地的说明，并由装运货物时出具的原产地证明证实。</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11.3证明货物和服务与招标文件的要求相一致的文件，可以是文字资料、图纸和数据，包括：</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(1)货物主要技术指标和性能的详细说明、详细的交货清单、货物安装、验收标准、投标货物技术资料，以及其他需要说明的问题等。</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(2)货物从采购人开始使用至规定的周期内正常、连续地使用所必须的备件和专用工具清单，包括备件和专用工具的货源及现行价格。</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(3)对照招标文件技术规格，逐条说明所提供货物和服务已对招标人的技术规格做出了实质性的响应，或申明与技术规格条文的偏差和例外。特别对于有具体参数要求的指标，投标人必须提供设备的具体参数值。</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11.4根据招标文件的技术要求逐条说明货物对技术要求的适应性，如有不符之处，应说明其差别之所在；招标文件中技术要求所提供的质量标准、制造货物的材料及元器件和货物性能，投标人可以在投标文件中提出不同的标准和材料及元器件以替代，但应提供充分的支撑证明材料使采购人和采购代理相信替代品的质量和性能相同于或优于原技术要求。采购人和采购代理认为投标人提供的支撑证明材料不够充分的则对替代后的标准和材料及元器件不予认可。</w:t>
      </w:r>
    </w:p>
    <w:p>
      <w:pPr>
        <w:autoSpaceDE w:val="0"/>
        <w:autoSpaceDN w:val="0"/>
        <w:adjustRightInd w:val="0"/>
        <w:snapToGrid w:val="0"/>
        <w:spacing w:line="360" w:lineRule="auto"/>
        <w:ind w:firstLine="420"/>
        <w:rPr>
          <w:rFonts w:hAnsi="宋体"/>
          <w:b/>
          <w:szCs w:val="21"/>
          <w:lang w:val="zh-CN"/>
        </w:rPr>
      </w:pPr>
      <w:r>
        <w:rPr>
          <w:szCs w:val="21"/>
          <w:lang w:val="zh-CN"/>
        </w:rPr>
        <w:t>11.4</w:t>
      </w:r>
      <w:r>
        <w:rPr>
          <w:rFonts w:hAnsi="宋体"/>
          <w:szCs w:val="21"/>
          <w:lang w:val="zh-CN"/>
        </w:rPr>
        <w:t>投标人应对招标文件进行研究分析，并在对现场进行考察后的基础上，按照招标文件要求提供技术资料、文件和有关证明，包括但不限于下列文件，</w:t>
      </w:r>
      <w:r>
        <w:rPr>
          <w:rFonts w:hAnsi="宋体"/>
          <w:b/>
          <w:szCs w:val="21"/>
          <w:lang w:val="zh-CN"/>
        </w:rPr>
        <w:t>其中加</w:t>
      </w:r>
      <w:r>
        <w:rPr>
          <w:rFonts w:hAnsi="宋体"/>
          <w:b/>
          <w:kern w:val="0"/>
          <w:szCs w:val="21"/>
        </w:rPr>
        <w:t>※</w:t>
      </w:r>
      <w:r>
        <w:rPr>
          <w:rFonts w:hAnsi="宋体"/>
          <w:b/>
          <w:szCs w:val="21"/>
          <w:lang w:val="zh-CN"/>
        </w:rPr>
        <w:t>项目不得有缺失或无效：</w:t>
      </w:r>
    </w:p>
    <w:p>
      <w:pPr>
        <w:pStyle w:val="494"/>
        <w:numPr>
          <w:ilvl w:val="0"/>
          <w:numId w:val="15"/>
        </w:numPr>
        <w:autoSpaceDE w:val="0"/>
        <w:autoSpaceDN w:val="0"/>
        <w:adjustRightInd w:val="0"/>
        <w:spacing w:line="360" w:lineRule="auto"/>
        <w:ind w:firstLineChars="0"/>
        <w:jc w:val="left"/>
      </w:pPr>
      <w:r>
        <w:rPr>
          <w:rFonts w:hAnsi="宋体"/>
          <w:b/>
          <w:kern w:val="0"/>
          <w:szCs w:val="21"/>
        </w:rPr>
        <w:t>※</w:t>
      </w:r>
      <w:r>
        <w:rPr>
          <w:rFonts w:hint="eastAsia"/>
        </w:rPr>
        <w:t>技术方案包括：</w:t>
      </w:r>
    </w:p>
    <w:p>
      <w:pPr>
        <w:autoSpaceDE w:val="0"/>
        <w:autoSpaceDN w:val="0"/>
        <w:adjustRightInd w:val="0"/>
        <w:spacing w:line="360" w:lineRule="auto"/>
        <w:jc w:val="left"/>
      </w:pPr>
      <w:r>
        <w:rPr>
          <w:rFonts w:hint="eastAsia"/>
        </w:rPr>
        <w:t>1）技术路线概述</w:t>
      </w:r>
    </w:p>
    <w:p>
      <w:pPr>
        <w:autoSpaceDE w:val="0"/>
        <w:autoSpaceDN w:val="0"/>
        <w:adjustRightInd w:val="0"/>
        <w:spacing w:line="360" w:lineRule="auto"/>
        <w:jc w:val="left"/>
      </w:pPr>
      <w:r>
        <w:rPr>
          <w:rFonts w:hint="eastAsia"/>
        </w:rPr>
        <w:t>2）主要软硬件选型</w:t>
      </w:r>
    </w:p>
    <w:p>
      <w:pPr>
        <w:autoSpaceDE w:val="0"/>
        <w:autoSpaceDN w:val="0"/>
        <w:adjustRightInd w:val="0"/>
        <w:spacing w:line="360" w:lineRule="auto"/>
        <w:jc w:val="left"/>
      </w:pPr>
      <w:r>
        <w:rPr>
          <w:rFonts w:hint="eastAsia"/>
        </w:rPr>
        <w:t>3）改造施工方案</w:t>
      </w:r>
    </w:p>
    <w:p>
      <w:pPr>
        <w:autoSpaceDE w:val="0"/>
        <w:autoSpaceDN w:val="0"/>
        <w:adjustRightInd w:val="0"/>
        <w:spacing w:line="360" w:lineRule="auto"/>
        <w:jc w:val="left"/>
      </w:pPr>
      <w:r>
        <w:rPr>
          <w:rFonts w:hint="eastAsia"/>
        </w:rPr>
        <w:t>4）系统的技术方案及深化设计</w:t>
      </w:r>
    </w:p>
    <w:p>
      <w:pPr>
        <w:pStyle w:val="494"/>
        <w:numPr>
          <w:ilvl w:val="0"/>
          <w:numId w:val="15"/>
        </w:numPr>
        <w:autoSpaceDE w:val="0"/>
        <w:autoSpaceDN w:val="0"/>
        <w:adjustRightInd w:val="0"/>
        <w:spacing w:line="360" w:lineRule="auto"/>
        <w:ind w:firstLineChars="0"/>
        <w:jc w:val="left"/>
        <w:rPr>
          <w:szCs w:val="21"/>
        </w:rPr>
      </w:pPr>
      <w:r>
        <w:rPr>
          <w:rFonts w:hAnsi="宋体"/>
          <w:b/>
          <w:kern w:val="0"/>
          <w:szCs w:val="21"/>
        </w:rPr>
        <w:t>※</w:t>
      </w:r>
      <w:r>
        <w:rPr>
          <w:rFonts w:hint="eastAsia"/>
          <w:szCs w:val="21"/>
        </w:rPr>
        <w:t>服务方案包括：</w:t>
      </w:r>
    </w:p>
    <w:p>
      <w:pPr>
        <w:pStyle w:val="494"/>
        <w:numPr>
          <w:ilvl w:val="0"/>
          <w:numId w:val="16"/>
        </w:numPr>
        <w:autoSpaceDE w:val="0"/>
        <w:autoSpaceDN w:val="0"/>
        <w:adjustRightInd w:val="0"/>
        <w:spacing w:line="360" w:lineRule="auto"/>
        <w:ind w:firstLineChars="0"/>
        <w:jc w:val="left"/>
      </w:pPr>
      <w:r>
        <w:t>服务</w:t>
      </w:r>
      <w:r>
        <w:rPr>
          <w:rFonts w:hint="eastAsia"/>
        </w:rPr>
        <w:t>机构</w:t>
      </w:r>
    </w:p>
    <w:p>
      <w:pPr>
        <w:pStyle w:val="494"/>
        <w:numPr>
          <w:ilvl w:val="0"/>
          <w:numId w:val="16"/>
        </w:numPr>
        <w:autoSpaceDE w:val="0"/>
        <w:autoSpaceDN w:val="0"/>
        <w:adjustRightInd w:val="0"/>
        <w:spacing w:line="360" w:lineRule="auto"/>
        <w:ind w:firstLineChars="0"/>
        <w:jc w:val="left"/>
      </w:pPr>
      <w:r>
        <w:rPr>
          <w:rFonts w:hint="eastAsia"/>
        </w:rPr>
        <w:t>服务计划</w:t>
      </w:r>
    </w:p>
    <w:p>
      <w:pPr>
        <w:pStyle w:val="494"/>
        <w:numPr>
          <w:ilvl w:val="0"/>
          <w:numId w:val="16"/>
        </w:numPr>
        <w:autoSpaceDE w:val="0"/>
        <w:autoSpaceDN w:val="0"/>
        <w:adjustRightInd w:val="0"/>
        <w:spacing w:line="360" w:lineRule="auto"/>
        <w:ind w:firstLineChars="0"/>
        <w:jc w:val="left"/>
      </w:pPr>
      <w:r>
        <w:t>服务</w:t>
      </w:r>
      <w:r>
        <w:rPr>
          <w:rFonts w:hint="eastAsia"/>
        </w:rPr>
        <w:t>承诺</w:t>
      </w:r>
    </w:p>
    <w:p>
      <w:pPr>
        <w:autoSpaceDE w:val="0"/>
        <w:autoSpaceDN w:val="0"/>
        <w:adjustRightInd w:val="0"/>
        <w:snapToGrid w:val="0"/>
        <w:spacing w:line="360" w:lineRule="auto"/>
        <w:rPr>
          <w:rFonts w:hAnsi="宋体"/>
          <w:b/>
          <w:snapToGrid w:val="0"/>
          <w:szCs w:val="21"/>
        </w:rPr>
      </w:pPr>
      <w:r>
        <w:rPr>
          <w:rFonts w:hint="eastAsia" w:hAnsi="宋体"/>
          <w:b/>
          <w:snapToGrid w:val="0"/>
          <w:szCs w:val="21"/>
        </w:rPr>
        <w:t>（3）</w:t>
      </w:r>
      <w:r>
        <w:rPr>
          <w:rFonts w:hAnsi="宋体"/>
          <w:b/>
          <w:snapToGrid w:val="0"/>
          <w:szCs w:val="21"/>
        </w:rPr>
        <w:t>※</w:t>
      </w:r>
      <w:r>
        <w:rPr>
          <w:rFonts w:hint="eastAsia" w:hAnsi="宋体"/>
          <w:b/>
          <w:snapToGrid w:val="0"/>
          <w:szCs w:val="21"/>
        </w:rPr>
        <w:t>技术参数响应及偏离表；</w:t>
      </w:r>
    </w:p>
    <w:p>
      <w:pPr>
        <w:autoSpaceDE w:val="0"/>
        <w:autoSpaceDN w:val="0"/>
        <w:adjustRightInd w:val="0"/>
        <w:snapToGrid w:val="0"/>
        <w:spacing w:line="360" w:lineRule="auto"/>
        <w:rPr>
          <w:rFonts w:hAnsi="宋体"/>
          <w:b/>
          <w:snapToGrid w:val="0"/>
          <w:szCs w:val="21"/>
        </w:rPr>
      </w:pPr>
      <w:r>
        <w:rPr>
          <w:rFonts w:hint="eastAsia" w:hAnsi="宋体"/>
          <w:snapToGrid w:val="0"/>
          <w:szCs w:val="21"/>
        </w:rPr>
        <w:t>（4）</w:t>
      </w:r>
      <w:r>
        <w:rPr>
          <w:rFonts w:hint="eastAsia" w:ascii="宋体" w:hAnsi="宋体"/>
          <w:szCs w:val="21"/>
        </w:rPr>
        <w:t>投标人认为需要</w:t>
      </w:r>
      <w:r>
        <w:rPr>
          <w:rFonts w:hint="eastAsia" w:ascii="宋体" w:hAnsi="宋体"/>
          <w:kern w:val="0"/>
          <w:szCs w:val="21"/>
          <w:lang w:val="zh-CN"/>
        </w:rPr>
        <w:t>提供的其他技术文件及资料。</w:t>
      </w:r>
    </w:p>
    <w:p>
      <w:pPr>
        <w:autoSpaceDE w:val="0"/>
        <w:autoSpaceDN w:val="0"/>
        <w:adjustRightInd w:val="0"/>
        <w:snapToGrid w:val="0"/>
        <w:spacing w:line="360" w:lineRule="auto"/>
        <w:ind w:firstLine="420"/>
        <w:rPr>
          <w:rFonts w:ascii="宋体" w:hAnsi="宋体"/>
          <w:b/>
          <w:szCs w:val="21"/>
          <w:lang w:val="zh-CN"/>
        </w:rPr>
      </w:pPr>
      <w:r>
        <w:rPr>
          <w:rFonts w:hint="eastAsia" w:ascii="宋体" w:hAnsi="宋体"/>
          <w:b/>
          <w:szCs w:val="21"/>
          <w:lang w:val="zh-CN"/>
        </w:rPr>
        <w:t>12、投标文件的价格部分</w:t>
      </w:r>
    </w:p>
    <w:p>
      <w:pPr>
        <w:autoSpaceDE w:val="0"/>
        <w:autoSpaceDN w:val="0"/>
        <w:adjustRightInd w:val="0"/>
        <w:snapToGrid w:val="0"/>
        <w:spacing w:line="360" w:lineRule="auto"/>
        <w:ind w:firstLine="420"/>
        <w:rPr>
          <w:rFonts w:hAnsi="宋体"/>
          <w:szCs w:val="21"/>
          <w:lang w:val="zh-CN"/>
        </w:rPr>
      </w:pPr>
      <w:r>
        <w:rPr>
          <w:rFonts w:hint="eastAsia" w:hAnsi="宋体"/>
          <w:szCs w:val="21"/>
          <w:lang w:val="zh-CN"/>
        </w:rPr>
        <w:t>12.1投标人应在《开标一览表》、《投标分项报价表》中标明拟提供货物或服务的单价和总价，以及各分项货物或服务的明细报价。</w:t>
      </w:r>
    </w:p>
    <w:p>
      <w:pPr>
        <w:autoSpaceDE w:val="0"/>
        <w:autoSpaceDN w:val="0"/>
        <w:adjustRightInd w:val="0"/>
        <w:snapToGrid w:val="0"/>
        <w:spacing w:line="360" w:lineRule="auto"/>
        <w:ind w:firstLine="420"/>
        <w:rPr>
          <w:rFonts w:hAnsi="宋体"/>
          <w:szCs w:val="21"/>
          <w:lang w:val="zh-CN"/>
        </w:rPr>
      </w:pPr>
      <w:r>
        <w:rPr>
          <w:rFonts w:hint="eastAsia" w:hAnsi="宋体"/>
          <w:szCs w:val="21"/>
          <w:lang w:val="zh-CN"/>
        </w:rPr>
        <w:t>12.2投标报价应包括拟提供货物及其运输、装卸（卸货至招标人指定地点）、清点、堆放、验收前保管、调试、验收合格及之前所有含税费用，投标报价还包含投标人应当提供的伴随服务，售后服务费用。</w:t>
      </w:r>
    </w:p>
    <w:p>
      <w:pPr>
        <w:autoSpaceDE w:val="0"/>
        <w:autoSpaceDN w:val="0"/>
        <w:adjustRightInd w:val="0"/>
        <w:snapToGrid w:val="0"/>
        <w:spacing w:line="360" w:lineRule="auto"/>
        <w:ind w:firstLine="420"/>
        <w:rPr>
          <w:rFonts w:hAnsi="宋体"/>
          <w:szCs w:val="21"/>
          <w:lang w:val="zh-CN"/>
        </w:rPr>
      </w:pPr>
      <w:r>
        <w:rPr>
          <w:rFonts w:hint="eastAsia" w:hAnsi="宋体"/>
          <w:szCs w:val="21"/>
          <w:lang w:val="zh-CN"/>
        </w:rPr>
        <w:t>12.3招标文件中如没有特别说明，对每一项货物和服务仅接受一个价格。投标人必须对所有招标货物或服务进行报价，如在投标报价中存在漏项行为的，视为废标。</w:t>
      </w:r>
    </w:p>
    <w:p>
      <w:pPr>
        <w:ind w:firstLine="420" w:firstLineChars="200"/>
        <w:rPr>
          <w:rFonts w:ascii="宋体" w:hAnsi="宋体"/>
          <w:szCs w:val="21"/>
          <w:lang w:val="zh-CN"/>
        </w:rPr>
      </w:pPr>
      <w:r>
        <w:rPr>
          <w:rFonts w:hint="eastAsia" w:ascii="宋体" w:hAnsi="宋体"/>
          <w:szCs w:val="21"/>
          <w:lang w:val="zh-CN"/>
        </w:rPr>
        <w:t>12.4 投标人应在《开标一览表》</w:t>
      </w:r>
      <w:r>
        <w:rPr>
          <w:rFonts w:hint="eastAsia" w:hAnsi="宋体"/>
          <w:szCs w:val="21"/>
          <w:lang w:val="zh-CN"/>
        </w:rPr>
        <w:t>、《投标分项报价表》</w:t>
      </w:r>
      <w:r>
        <w:rPr>
          <w:rFonts w:hint="eastAsia" w:ascii="宋体" w:hAnsi="宋体"/>
          <w:szCs w:val="21"/>
          <w:lang w:val="zh-CN"/>
        </w:rPr>
        <w:t>等标明货物或服务的</w:t>
      </w:r>
      <w:r>
        <w:rPr>
          <w:rFonts w:hint="eastAsia" w:ascii="宋体" w:hAnsi="宋体"/>
          <w:b/>
          <w:szCs w:val="21"/>
          <w:lang w:val="zh-CN"/>
        </w:rPr>
        <w:t>单价、总价</w:t>
      </w:r>
      <w:r>
        <w:rPr>
          <w:rFonts w:hint="eastAsia" w:ascii="宋体" w:hAnsi="宋体"/>
          <w:szCs w:val="21"/>
          <w:lang w:val="zh-CN"/>
        </w:rPr>
        <w:t>报价。</w:t>
      </w:r>
    </w:p>
    <w:p>
      <w:pPr>
        <w:autoSpaceDE w:val="0"/>
        <w:autoSpaceDN w:val="0"/>
        <w:adjustRightInd w:val="0"/>
        <w:ind w:firstLine="420"/>
        <w:rPr>
          <w:rFonts w:ascii="宋体" w:hAnsi="宋体"/>
          <w:b/>
          <w:szCs w:val="21"/>
          <w:lang w:val="zh-CN"/>
        </w:rPr>
      </w:pPr>
      <w:r>
        <w:rPr>
          <w:rFonts w:hint="eastAsia" w:ascii="宋体" w:hAnsi="宋体"/>
          <w:b/>
          <w:szCs w:val="21"/>
          <w:lang w:val="zh-CN"/>
        </w:rPr>
        <w:t>12.5 《开标一览表》一份，单独封装并标明“开标一览表”字样(如未单独封装或未加盖单位公章的,将按无效投标处理)，随投标文件一并递交，以便唱标时使用。</w:t>
      </w:r>
    </w:p>
    <w:p>
      <w:pPr>
        <w:autoSpaceDE w:val="0"/>
        <w:autoSpaceDN w:val="0"/>
        <w:adjustRightInd w:val="0"/>
        <w:snapToGrid w:val="0"/>
        <w:spacing w:line="360" w:lineRule="auto"/>
        <w:ind w:firstLine="420"/>
        <w:rPr>
          <w:rFonts w:ascii="宋体" w:hAnsi="宋体"/>
          <w:b/>
          <w:szCs w:val="21"/>
          <w:lang w:val="zh-CN"/>
        </w:rPr>
      </w:pPr>
      <w:r>
        <w:rPr>
          <w:rFonts w:hint="eastAsia" w:ascii="宋体" w:hAnsi="宋体"/>
          <w:b/>
          <w:szCs w:val="21"/>
          <w:lang w:val="zh-CN"/>
        </w:rPr>
        <w:t>13、投标文件的其他部分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13.1 其他部分由投标人根据编制投标文件需要提供的其他相关文件。</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1</w:t>
      </w:r>
      <w:r>
        <w:rPr>
          <w:rFonts w:hint="eastAsia" w:ascii="宋体" w:hAnsi="宋体"/>
          <w:b/>
          <w:bCs/>
          <w:szCs w:val="21"/>
          <w:lang w:val="zh-CN"/>
        </w:rPr>
        <w:t>4、投标保证金</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4</w:t>
      </w:r>
      <w:r>
        <w:rPr>
          <w:rFonts w:ascii="宋体" w:hAnsi="宋体"/>
          <w:szCs w:val="21"/>
          <w:lang w:val="zh-CN"/>
        </w:rPr>
        <w:t xml:space="preserve">.1 </w:t>
      </w:r>
      <w:r>
        <w:rPr>
          <w:rFonts w:hint="eastAsia" w:ascii="宋体" w:hAnsi="宋体"/>
          <w:szCs w:val="21"/>
          <w:lang w:val="zh-CN"/>
        </w:rPr>
        <w:t>投标人应按照投标邀请提交投标保证金，并作为其投标的一部分。</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4</w:t>
      </w:r>
      <w:r>
        <w:rPr>
          <w:rFonts w:ascii="宋体" w:hAnsi="宋体"/>
          <w:szCs w:val="21"/>
          <w:lang w:val="zh-CN"/>
        </w:rPr>
        <w:t>.2</w:t>
      </w:r>
      <w:r>
        <w:rPr>
          <w:rFonts w:hint="eastAsia" w:ascii="宋体" w:hAnsi="宋体"/>
          <w:szCs w:val="21"/>
          <w:lang w:val="zh-CN"/>
        </w:rPr>
        <w:t xml:space="preserve"> 投标保证金应按照招标邀请规定的数额和办法缴纳。</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4</w:t>
      </w:r>
      <w:r>
        <w:rPr>
          <w:rFonts w:ascii="宋体" w:hAnsi="宋体"/>
          <w:szCs w:val="21"/>
          <w:lang w:val="zh-CN"/>
        </w:rPr>
        <w:t>.3</w:t>
      </w:r>
      <w:r>
        <w:rPr>
          <w:rFonts w:hint="eastAsia" w:ascii="宋体" w:hAnsi="宋体"/>
          <w:szCs w:val="21"/>
          <w:lang w:val="zh-CN"/>
        </w:rPr>
        <w:t xml:space="preserve"> 未中标投标人的投标保证金，将在中标通知发出后</w:t>
      </w:r>
      <w:r>
        <w:rPr>
          <w:rFonts w:hint="eastAsia" w:ascii="宋体" w:hAnsi="宋体"/>
          <w:b/>
          <w:bCs/>
          <w:i/>
          <w:iCs/>
          <w:szCs w:val="21"/>
          <w:u w:val="single"/>
          <w:lang w:val="zh-CN"/>
        </w:rPr>
        <w:t>五个工作日</w:t>
      </w:r>
      <w:r>
        <w:rPr>
          <w:rFonts w:hint="eastAsia" w:ascii="宋体" w:hAnsi="宋体"/>
          <w:szCs w:val="21"/>
          <w:lang w:val="zh-CN"/>
        </w:rPr>
        <w:t>内无息退还。未中标投标人应主动与采购代理联系办理投标保证金退还事宜，以及办理退还手续，由于投标人的自身原因未及时办理投标保证金退还的，其责任和由此造成的后果由投标人自行承担。</w:t>
      </w:r>
    </w:p>
    <w:p>
      <w:pPr>
        <w:spacing w:line="360" w:lineRule="auto"/>
        <w:ind w:firstLine="420" w:firstLineChars="200"/>
        <w:rPr>
          <w:rFonts w:hAnsi="宋体"/>
          <w:szCs w:val="21"/>
          <w:lang w:val="zh-CN"/>
        </w:rPr>
      </w:pPr>
      <w:r>
        <w:rPr>
          <w:szCs w:val="21"/>
          <w:lang w:val="zh-CN"/>
        </w:rPr>
        <w:t xml:space="preserve">14.4 </w:t>
      </w:r>
      <w:r>
        <w:rPr>
          <w:rFonts w:hAnsi="宋体"/>
          <w:szCs w:val="21"/>
          <w:lang w:val="zh-CN"/>
        </w:rPr>
        <w:t>中标投标人的投标保证金，</w:t>
      </w:r>
      <w:r>
        <w:rPr>
          <w:rFonts w:hint="eastAsia" w:ascii="宋体" w:hAnsi="宋体"/>
          <w:b/>
          <w:szCs w:val="21"/>
          <w:lang w:val="zh-CN"/>
        </w:rPr>
        <w:t>将在采购合同签订时中标方</w:t>
      </w:r>
      <w:r>
        <w:rPr>
          <w:rFonts w:ascii="宋体" w:hAnsi="宋体"/>
          <w:b/>
          <w:szCs w:val="21"/>
          <w:lang w:val="zh-CN"/>
        </w:rPr>
        <w:t>的投标保证金</w:t>
      </w:r>
      <w:r>
        <w:rPr>
          <w:rFonts w:hint="eastAsia" w:ascii="宋体" w:hAnsi="宋体"/>
          <w:b/>
          <w:szCs w:val="21"/>
          <w:lang w:val="zh-CN"/>
        </w:rPr>
        <w:t>自动转为履约保证金</w:t>
      </w:r>
      <w:r>
        <w:rPr>
          <w:rFonts w:ascii="宋体" w:hAnsi="宋体"/>
          <w:b/>
          <w:szCs w:val="21"/>
          <w:lang w:val="zh-CN"/>
        </w:rPr>
        <w:t>。</w:t>
      </w:r>
      <w:r>
        <w:rPr>
          <w:rFonts w:hAnsi="宋体"/>
          <w:szCs w:val="21"/>
          <w:lang w:val="zh-CN"/>
        </w:rPr>
        <w:t>招标文件另有约定的从其约定。如果招标文件要求中标投标人向采购人交纳履约保证金的，将在签订合同后</w:t>
      </w:r>
      <w:r>
        <w:rPr>
          <w:rFonts w:hAnsi="宋体"/>
          <w:b/>
          <w:bCs/>
          <w:i/>
          <w:iCs/>
          <w:szCs w:val="21"/>
          <w:u w:val="single"/>
          <w:lang w:val="zh-CN"/>
        </w:rPr>
        <w:t>五个工作日</w:t>
      </w:r>
      <w:r>
        <w:rPr>
          <w:rFonts w:hAnsi="宋体"/>
          <w:szCs w:val="21"/>
          <w:lang w:val="zh-CN"/>
        </w:rPr>
        <w:t>内无息退还。</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4</w:t>
      </w:r>
      <w:r>
        <w:rPr>
          <w:rFonts w:ascii="宋体" w:hAnsi="宋体"/>
          <w:szCs w:val="21"/>
          <w:lang w:val="zh-CN"/>
        </w:rPr>
        <w:t>.</w:t>
      </w:r>
      <w:r>
        <w:rPr>
          <w:rFonts w:hint="eastAsia" w:ascii="宋体" w:hAnsi="宋体"/>
          <w:szCs w:val="21"/>
          <w:lang w:val="zh-CN"/>
        </w:rPr>
        <w:t>5 下列任何情况发生时，投标保证金不予退还：</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w:t>
      </w:r>
      <w:r>
        <w:rPr>
          <w:rFonts w:ascii="宋体" w:hAnsi="宋体"/>
          <w:szCs w:val="21"/>
          <w:lang w:val="zh-CN"/>
        </w:rPr>
        <w:t>1</w:t>
      </w:r>
      <w:r>
        <w:rPr>
          <w:rFonts w:hint="eastAsia" w:ascii="宋体" w:hAnsi="宋体"/>
          <w:szCs w:val="21"/>
          <w:lang w:val="zh-CN"/>
        </w:rPr>
        <w:t>）投标有效期内撤回其投标的；</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w:t>
      </w:r>
      <w:r>
        <w:rPr>
          <w:rFonts w:ascii="宋体" w:hAnsi="宋体"/>
          <w:szCs w:val="21"/>
          <w:lang w:val="zh-CN"/>
        </w:rPr>
        <w:t>2</w:t>
      </w:r>
      <w:r>
        <w:rPr>
          <w:rFonts w:hint="eastAsia" w:ascii="宋体" w:hAnsi="宋体"/>
          <w:szCs w:val="21"/>
          <w:lang w:val="zh-CN"/>
        </w:rPr>
        <w:t>）中标通知书发出后三十天内，中标投标人未与采购人签订合同的；</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（3）提供虚假材料谋取中标的；</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（4）经查实属于陪标、串通投标的等。</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1</w:t>
      </w:r>
      <w:r>
        <w:rPr>
          <w:rFonts w:hint="eastAsia" w:ascii="宋体" w:hAnsi="宋体"/>
          <w:b/>
          <w:bCs/>
          <w:szCs w:val="21"/>
          <w:lang w:val="zh-CN"/>
        </w:rPr>
        <w:t>5、投标有效期</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5</w:t>
      </w:r>
      <w:r>
        <w:rPr>
          <w:rFonts w:ascii="宋体" w:hAnsi="宋体"/>
          <w:szCs w:val="21"/>
          <w:lang w:val="zh-CN"/>
        </w:rPr>
        <w:t>.1</w:t>
      </w:r>
      <w:r>
        <w:rPr>
          <w:rFonts w:hint="eastAsia" w:ascii="宋体" w:hAnsi="宋体"/>
          <w:szCs w:val="21"/>
          <w:lang w:val="zh-CN"/>
        </w:rPr>
        <w:t xml:space="preserve"> 自开标之日起</w:t>
      </w:r>
      <w:r>
        <w:rPr>
          <w:rFonts w:ascii="宋体" w:hAnsi="宋体"/>
          <w:szCs w:val="21"/>
          <w:lang w:val="zh-CN"/>
        </w:rPr>
        <w:t>30</w:t>
      </w:r>
      <w:r>
        <w:rPr>
          <w:rFonts w:hint="eastAsia" w:ascii="宋体" w:hAnsi="宋体"/>
          <w:szCs w:val="21"/>
          <w:lang w:val="zh-CN"/>
        </w:rPr>
        <w:t>天内投标有效。</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5</w:t>
      </w:r>
      <w:r>
        <w:rPr>
          <w:rFonts w:ascii="宋体" w:hAnsi="宋体"/>
          <w:szCs w:val="21"/>
          <w:lang w:val="zh-CN"/>
        </w:rPr>
        <w:t>.2</w:t>
      </w:r>
      <w:r>
        <w:rPr>
          <w:rFonts w:hint="eastAsia" w:ascii="宋体" w:hAnsi="宋体"/>
          <w:szCs w:val="21"/>
          <w:lang w:val="zh-CN"/>
        </w:rPr>
        <w:t xml:space="preserve"> 在特殊情况下，在原投标有效期截止之前，采购代理可要求投标人同意延长投标有效期，这种要求与答复均以书面形式提交。投标人可拒绝这种要求，并且不影响保证金退还。接收延长投标有效期的投标人将不会要求和允许修正其投标，而只会被要求相应地延长其投标保证金的有效期。在这种情况下，有关投标保证金的退还规定在延长了的有效期内继续有效。</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1</w:t>
      </w:r>
      <w:r>
        <w:rPr>
          <w:rFonts w:hint="eastAsia" w:ascii="宋体" w:hAnsi="宋体"/>
          <w:b/>
          <w:bCs/>
          <w:szCs w:val="21"/>
          <w:lang w:val="zh-CN"/>
        </w:rPr>
        <w:t>6、投标文件签署</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6</w:t>
      </w:r>
      <w:r>
        <w:rPr>
          <w:rFonts w:ascii="宋体" w:hAnsi="宋体"/>
          <w:szCs w:val="21"/>
          <w:lang w:val="zh-CN"/>
        </w:rPr>
        <w:t>.1</w:t>
      </w:r>
      <w:r>
        <w:rPr>
          <w:rFonts w:hint="eastAsia" w:ascii="宋体" w:hAnsi="宋体"/>
          <w:szCs w:val="21"/>
          <w:lang w:val="zh-CN"/>
        </w:rPr>
        <w:t xml:space="preserve"> 投标文件的正本和副本均由投标人法定代表人或经正式授权并对投标人有约束力的</w:t>
      </w:r>
      <w:r>
        <w:rPr>
          <w:rFonts w:hint="eastAsia" w:ascii="宋体" w:hAnsi="宋体" w:cs="宋体"/>
          <w:kern w:val="0"/>
          <w:szCs w:val="21"/>
          <w:lang w:val="zh-CN"/>
        </w:rPr>
        <w:t>委托代理人</w:t>
      </w:r>
      <w:r>
        <w:rPr>
          <w:rFonts w:hint="eastAsia" w:ascii="宋体" w:hAnsi="宋体"/>
          <w:szCs w:val="21"/>
          <w:lang w:val="zh-CN"/>
        </w:rPr>
        <w:t>签字。</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1</w:t>
      </w:r>
      <w:r>
        <w:rPr>
          <w:rFonts w:hint="eastAsia" w:ascii="宋体" w:hAnsi="宋体"/>
          <w:b/>
          <w:bCs/>
          <w:szCs w:val="21"/>
          <w:lang w:val="zh-CN"/>
        </w:rPr>
        <w:t>7、投标文件的密封和递交</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7</w:t>
      </w:r>
      <w:r>
        <w:rPr>
          <w:rFonts w:ascii="宋体" w:hAnsi="宋体"/>
          <w:szCs w:val="21"/>
          <w:lang w:val="zh-CN"/>
        </w:rPr>
        <w:t xml:space="preserve">.1 </w:t>
      </w:r>
      <w:r>
        <w:rPr>
          <w:rFonts w:hint="eastAsia" w:ascii="宋体" w:hAnsi="宋体"/>
          <w:szCs w:val="21"/>
          <w:lang w:val="zh-CN"/>
        </w:rPr>
        <w:t>投标人应当将投标文件</w:t>
      </w:r>
      <w:r>
        <w:rPr>
          <w:rFonts w:hint="eastAsia" w:ascii="宋体" w:hAnsi="宋体"/>
          <w:b/>
          <w:szCs w:val="21"/>
          <w:lang w:val="zh-CN"/>
        </w:rPr>
        <w:t>密封</w:t>
      </w:r>
      <w:r>
        <w:rPr>
          <w:rFonts w:hint="eastAsia" w:ascii="宋体" w:hAnsi="宋体"/>
          <w:szCs w:val="21"/>
          <w:lang w:val="zh-CN"/>
        </w:rPr>
        <w:t>；</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7</w:t>
      </w:r>
      <w:r>
        <w:rPr>
          <w:rFonts w:ascii="宋体" w:hAnsi="宋体"/>
          <w:szCs w:val="21"/>
          <w:lang w:val="zh-CN"/>
        </w:rPr>
        <w:t>.</w:t>
      </w:r>
      <w:r>
        <w:rPr>
          <w:rFonts w:hint="eastAsia" w:ascii="宋体" w:hAnsi="宋体"/>
          <w:szCs w:val="21"/>
          <w:lang w:val="zh-CN"/>
        </w:rPr>
        <w:t>2 投标人应当在招标文件要求提交投标文件的截止时间前，将密封的投标文件送达投标地点。</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18、有下列情形之一的投标文件将拒收：</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18</w:t>
      </w:r>
      <w:r>
        <w:rPr>
          <w:rFonts w:ascii="宋体" w:hAnsi="宋体"/>
          <w:szCs w:val="21"/>
          <w:lang w:val="zh-CN"/>
        </w:rPr>
        <w:t>.1</w:t>
      </w:r>
      <w:r>
        <w:rPr>
          <w:rFonts w:hint="eastAsia" w:ascii="宋体" w:hAnsi="宋体"/>
          <w:szCs w:val="21"/>
          <w:lang w:val="zh-CN"/>
        </w:rPr>
        <w:t xml:space="preserve"> 未按投标邀请规定的数额和办法交纳投标保证金的；</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1</w:t>
      </w:r>
      <w:r>
        <w:rPr>
          <w:rFonts w:hint="eastAsia" w:ascii="宋体" w:hAnsi="宋体"/>
          <w:szCs w:val="21"/>
          <w:lang w:val="zh-CN"/>
        </w:rPr>
        <w:t>8</w:t>
      </w:r>
      <w:r>
        <w:rPr>
          <w:rFonts w:ascii="宋体" w:hAnsi="宋体"/>
          <w:szCs w:val="21"/>
          <w:lang w:val="zh-CN"/>
        </w:rPr>
        <w:t>.2</w:t>
      </w:r>
      <w:r>
        <w:rPr>
          <w:rFonts w:hint="eastAsia" w:ascii="宋体" w:hAnsi="宋体"/>
          <w:szCs w:val="21"/>
          <w:lang w:val="zh-CN"/>
        </w:rPr>
        <w:t xml:space="preserve"> 在招标文件要求提交投标文件的截止时间之后送达的。</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19、投标文件的修改和撤回</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19</w:t>
      </w:r>
      <w:r>
        <w:rPr>
          <w:rFonts w:ascii="宋体" w:hAnsi="宋体"/>
          <w:szCs w:val="21"/>
          <w:lang w:val="zh-CN"/>
        </w:rPr>
        <w:t xml:space="preserve">.1 </w:t>
      </w:r>
      <w:r>
        <w:rPr>
          <w:rFonts w:hint="eastAsia" w:ascii="宋体" w:hAnsi="宋体"/>
          <w:szCs w:val="21"/>
          <w:lang w:val="zh-CN"/>
        </w:rPr>
        <w:t>投标人在投标截止时间前，可以对所递交的投标文件进行补充、修改或撤回，并书面通知采购代理。补充、修改的内容应当按照招标文件要求签署、盖章，并作为投标文件的组成部分。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19</w:t>
      </w:r>
      <w:r>
        <w:rPr>
          <w:rFonts w:ascii="宋体" w:hAnsi="宋体"/>
          <w:szCs w:val="21"/>
          <w:lang w:val="zh-CN"/>
        </w:rPr>
        <w:t>.</w:t>
      </w:r>
      <w:r>
        <w:rPr>
          <w:rFonts w:hint="eastAsia" w:ascii="宋体" w:hAnsi="宋体"/>
          <w:szCs w:val="21"/>
          <w:lang w:val="zh-CN"/>
        </w:rPr>
        <w:t>2 投标截止时间之后，投标文件不得撤回；如果撤回的，投标保证金不予退还，一年内不得参加江苏苏咨工程咨询有限责任公司组织的政府采购活动。</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四、开标、评标与确定中标投标人</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2</w:t>
      </w:r>
      <w:r>
        <w:rPr>
          <w:rFonts w:hint="eastAsia" w:ascii="宋体" w:hAnsi="宋体"/>
          <w:b/>
          <w:bCs/>
          <w:szCs w:val="21"/>
          <w:lang w:val="zh-CN"/>
        </w:rPr>
        <w:t>0、开标</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0</w:t>
      </w:r>
      <w:r>
        <w:rPr>
          <w:rFonts w:ascii="宋体" w:hAnsi="宋体"/>
          <w:szCs w:val="21"/>
          <w:lang w:val="zh-CN"/>
        </w:rPr>
        <w:t xml:space="preserve">.1 </w:t>
      </w:r>
      <w:r>
        <w:rPr>
          <w:rFonts w:hint="eastAsia" w:ascii="宋体" w:hAnsi="宋体"/>
          <w:szCs w:val="21"/>
          <w:lang w:val="zh-CN"/>
        </w:rPr>
        <w:t>采购代理将在招标文件确定的时间和地点进行公开开标。投标人应委派代表准时参加，参加开标的代表须签名报到以证明其出席。</w:t>
      </w:r>
    </w:p>
    <w:p>
      <w:pPr>
        <w:autoSpaceDE w:val="0"/>
        <w:autoSpaceDN w:val="0"/>
        <w:adjustRightInd w:val="0"/>
        <w:snapToGrid w:val="0"/>
        <w:spacing w:line="360" w:lineRule="auto"/>
        <w:ind w:firstLine="420"/>
        <w:rPr>
          <w:rFonts w:ascii="宋体" w:hAnsi="宋体"/>
          <w:szCs w:val="21"/>
        </w:rPr>
      </w:pPr>
      <w:r>
        <w:rPr>
          <w:rFonts w:ascii="宋体" w:hAnsi="宋体"/>
          <w:szCs w:val="21"/>
          <w:lang w:val="zh-CN"/>
        </w:rPr>
        <w:t>2</w:t>
      </w:r>
      <w:r>
        <w:rPr>
          <w:rFonts w:hint="eastAsia" w:ascii="宋体" w:hAnsi="宋体"/>
          <w:szCs w:val="21"/>
          <w:lang w:val="zh-CN"/>
        </w:rPr>
        <w:t>0</w:t>
      </w:r>
      <w:r>
        <w:rPr>
          <w:rFonts w:ascii="宋体" w:hAnsi="宋体"/>
          <w:szCs w:val="21"/>
          <w:lang w:val="zh-CN"/>
        </w:rPr>
        <w:t xml:space="preserve">.2 </w:t>
      </w:r>
      <w:r>
        <w:rPr>
          <w:rFonts w:hint="eastAsia" w:ascii="宋体" w:hAnsi="宋体"/>
          <w:szCs w:val="21"/>
          <w:lang w:val="zh-CN"/>
        </w:rPr>
        <w:t>开标时，采购代理将邀请</w:t>
      </w:r>
      <w:r>
        <w:rPr>
          <w:rFonts w:hint="eastAsia" w:ascii="宋体" w:hAnsi="宋体"/>
          <w:szCs w:val="21"/>
        </w:rPr>
        <w:t>投标人代</w:t>
      </w:r>
      <w:r>
        <w:rPr>
          <w:rFonts w:hint="eastAsia" w:ascii="宋体" w:hAnsi="宋体"/>
          <w:szCs w:val="21"/>
          <w:lang w:val="zh-CN"/>
        </w:rPr>
        <w:t>表检查投标文件</w:t>
      </w:r>
      <w:r>
        <w:rPr>
          <w:rFonts w:hint="eastAsia" w:ascii="宋体" w:hAnsi="宋体"/>
          <w:szCs w:val="21"/>
        </w:rPr>
        <w:t>的密封情况，经确认无误后，由</w:t>
      </w:r>
      <w:r>
        <w:rPr>
          <w:rFonts w:hint="eastAsia" w:ascii="宋体" w:hAnsi="宋体"/>
          <w:szCs w:val="21"/>
          <w:lang w:val="zh-CN"/>
        </w:rPr>
        <w:t>采购代理</w:t>
      </w:r>
      <w:r>
        <w:rPr>
          <w:rFonts w:hint="eastAsia" w:ascii="宋体" w:hAnsi="宋体"/>
          <w:szCs w:val="21"/>
        </w:rPr>
        <w:t>工作人员当众拆封，宣读投标人名称、投标价格、价格折扣、招标文件允许提供的备选投标方案和投标文件的其他主要内容。</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0</w:t>
      </w:r>
      <w:r>
        <w:rPr>
          <w:rFonts w:ascii="宋体" w:hAnsi="宋体"/>
          <w:szCs w:val="21"/>
          <w:lang w:val="zh-CN"/>
        </w:rPr>
        <w:t>.3</w:t>
      </w:r>
      <w:r>
        <w:rPr>
          <w:rFonts w:hint="eastAsia" w:ascii="宋体" w:hAnsi="宋体"/>
          <w:szCs w:val="21"/>
          <w:lang w:val="zh-CN"/>
        </w:rPr>
        <w:t xml:space="preserve"> 未宣读的投标价格、价格折扣和招标文件允许提供的备选投标方案等实质性内容，评标时不予承认。</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0</w:t>
      </w:r>
      <w:r>
        <w:rPr>
          <w:rFonts w:ascii="宋体" w:hAnsi="宋体"/>
          <w:szCs w:val="21"/>
          <w:lang w:val="zh-CN"/>
        </w:rPr>
        <w:t>.4</w:t>
      </w:r>
      <w:r>
        <w:rPr>
          <w:rFonts w:hint="eastAsia" w:ascii="宋体" w:hAnsi="宋体"/>
          <w:szCs w:val="21"/>
          <w:lang w:val="zh-CN"/>
        </w:rPr>
        <w:t xml:space="preserve"> 开标时，《开标一览表》内容与投标文件中明细表内容不一致的，以《开标一览表》为准。</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0</w:t>
      </w:r>
      <w:r>
        <w:rPr>
          <w:rFonts w:ascii="宋体" w:hAnsi="宋体"/>
          <w:szCs w:val="21"/>
          <w:lang w:val="zh-CN"/>
        </w:rPr>
        <w:t>.5</w:t>
      </w:r>
      <w:r>
        <w:rPr>
          <w:rFonts w:hint="eastAsia" w:ascii="宋体" w:hAnsi="宋体"/>
          <w:szCs w:val="21"/>
          <w:lang w:val="zh-CN"/>
        </w:rPr>
        <w:t xml:space="preserve"> 投标文件的大写金额与小写金额不一致的，以大写金额为准；总价金额与按单价金额不一致的，以单价金额计算为准；单价金额小数点有明显错位的，应以总价为准，并修改单价；对不同文字文本投标文件的解释发生异议的，以中文文本为准。</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20</w:t>
      </w:r>
      <w:r>
        <w:rPr>
          <w:rFonts w:ascii="宋体" w:hAnsi="宋体"/>
          <w:szCs w:val="21"/>
          <w:lang w:val="zh-CN"/>
        </w:rPr>
        <w:t xml:space="preserve">.6 </w:t>
      </w:r>
      <w:r>
        <w:rPr>
          <w:rFonts w:hint="eastAsia" w:ascii="宋体" w:hAnsi="宋体"/>
          <w:szCs w:val="21"/>
          <w:lang w:val="zh-CN"/>
        </w:rPr>
        <w:t>投标截止时间结束后参加投标的投标人不足三家的，除采购任务取消情形外，采购代理报经监管部门批准后，可变更为竞争性谈判或者单一来源方式采购，或者终止采购活动。本次招标文件中对投标人资格条件要求、技术要求和商务等要求，将作为竞争性谈判或者单一来源方式采购的基本要求和谈判依据。原评标委员会改为评标委员会，并根据政府采购法等法律法规进行谈判，按照“符合采购需求，质量服务相等且报价最低”的原则确定成交投标人。参加投标的投标人，根据自愿原则，选择参加竞争性谈判或单一来源方式采购。</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2</w:t>
      </w:r>
      <w:r>
        <w:rPr>
          <w:rFonts w:hint="eastAsia" w:ascii="宋体" w:hAnsi="宋体"/>
          <w:b/>
          <w:bCs/>
          <w:szCs w:val="21"/>
          <w:lang w:val="zh-CN"/>
        </w:rPr>
        <w:t>1、评标</w:t>
      </w:r>
    </w:p>
    <w:p>
      <w:pPr>
        <w:autoSpaceDE w:val="0"/>
        <w:autoSpaceDN w:val="0"/>
        <w:adjustRightInd w:val="0"/>
        <w:snapToGrid w:val="0"/>
        <w:spacing w:line="360" w:lineRule="auto"/>
        <w:ind w:firstLine="420"/>
        <w:rPr>
          <w:rFonts w:ascii="宋体" w:hAnsi="宋体"/>
          <w:b/>
          <w:bCs/>
          <w:szCs w:val="21"/>
          <w:lang w:val="zh-CN"/>
        </w:rPr>
      </w:pPr>
      <w:r>
        <w:rPr>
          <w:rFonts w:ascii="宋体" w:hAnsi="宋体"/>
          <w:bCs/>
          <w:szCs w:val="21"/>
          <w:lang w:val="zh-CN"/>
        </w:rPr>
        <w:t>2</w:t>
      </w:r>
      <w:r>
        <w:rPr>
          <w:rFonts w:hint="eastAsia" w:ascii="宋体" w:hAnsi="宋体"/>
          <w:bCs/>
          <w:szCs w:val="21"/>
          <w:lang w:val="zh-CN"/>
        </w:rPr>
        <w:t>1</w:t>
      </w:r>
      <w:r>
        <w:rPr>
          <w:rFonts w:ascii="宋体" w:hAnsi="宋体"/>
          <w:bCs/>
          <w:szCs w:val="21"/>
          <w:lang w:val="zh-CN"/>
        </w:rPr>
        <w:t>.1</w:t>
      </w:r>
      <w:r>
        <w:rPr>
          <w:rFonts w:hint="eastAsia" w:ascii="宋体" w:hAnsi="宋体"/>
          <w:b/>
          <w:bCs/>
          <w:szCs w:val="21"/>
          <w:lang w:val="zh-CN"/>
        </w:rPr>
        <w:t xml:space="preserve"> 评标组织</w:t>
      </w:r>
    </w:p>
    <w:p>
      <w:pPr>
        <w:adjustRightInd w:val="0"/>
        <w:snapToGrid w:val="0"/>
        <w:spacing w:line="360" w:lineRule="auto"/>
        <w:ind w:firstLine="420" w:firstLineChars="200"/>
        <w:rPr>
          <w:rFonts w:ascii="宋体" w:hAnsi="宋体"/>
          <w:szCs w:val="21"/>
        </w:rPr>
      </w:pPr>
      <w:r>
        <w:rPr>
          <w:rFonts w:ascii="宋体" w:hAnsi="宋体"/>
          <w:bCs/>
          <w:szCs w:val="21"/>
          <w:lang w:val="zh-CN"/>
        </w:rPr>
        <w:t>2</w:t>
      </w:r>
      <w:r>
        <w:rPr>
          <w:rFonts w:hint="eastAsia" w:ascii="宋体" w:hAnsi="宋体"/>
          <w:bCs/>
          <w:szCs w:val="21"/>
          <w:lang w:val="zh-CN"/>
        </w:rPr>
        <w:t>1</w:t>
      </w:r>
      <w:r>
        <w:rPr>
          <w:rFonts w:ascii="宋体" w:hAnsi="宋体"/>
          <w:bCs/>
          <w:szCs w:val="21"/>
          <w:lang w:val="zh-CN"/>
        </w:rPr>
        <w:t>.1</w:t>
      </w:r>
      <w:r>
        <w:rPr>
          <w:rFonts w:hint="eastAsia" w:ascii="宋体" w:hAnsi="宋体"/>
          <w:bCs/>
          <w:szCs w:val="21"/>
          <w:lang w:val="zh-CN"/>
        </w:rPr>
        <w:t>.1</w:t>
      </w:r>
      <w:r>
        <w:rPr>
          <w:rFonts w:hint="eastAsia" w:ascii="宋体" w:hAnsi="宋体"/>
          <w:szCs w:val="21"/>
          <w:lang w:val="zh-CN"/>
        </w:rPr>
        <w:t>评标工作由采购代理负责组织，具体评标事务由依法组建的评标委员会负责，并独立履行</w:t>
      </w:r>
      <w:r>
        <w:rPr>
          <w:rFonts w:hint="eastAsia" w:ascii="宋体" w:hAnsi="宋体"/>
          <w:szCs w:val="21"/>
        </w:rPr>
        <w:t>下列职责：</w:t>
      </w:r>
    </w:p>
    <w:p>
      <w:pPr>
        <w:adjustRightInd w:val="0"/>
        <w:snapToGrid w:val="0"/>
        <w:spacing w:line="360" w:lineRule="auto"/>
        <w:ind w:firstLine="420" w:firstLineChars="200"/>
        <w:rPr>
          <w:rFonts w:ascii="宋体" w:hAnsi="宋体"/>
          <w:szCs w:val="21"/>
        </w:rPr>
      </w:pPr>
      <w:r>
        <w:rPr>
          <w:rFonts w:hint="eastAsia" w:ascii="宋体" w:hAnsi="宋体"/>
          <w:szCs w:val="21"/>
        </w:rPr>
        <w:t>（1）审查投标文件是否符合招标文件要求，并作出评价；</w:t>
      </w:r>
    </w:p>
    <w:p>
      <w:pPr>
        <w:adjustRightInd w:val="0"/>
        <w:snapToGrid w:val="0"/>
        <w:spacing w:line="360" w:lineRule="auto"/>
        <w:ind w:firstLine="420" w:firstLineChars="200"/>
        <w:rPr>
          <w:rFonts w:ascii="宋体" w:hAnsi="宋体"/>
          <w:szCs w:val="21"/>
        </w:rPr>
      </w:pPr>
      <w:r>
        <w:rPr>
          <w:rFonts w:hint="eastAsia" w:ascii="宋体" w:hAnsi="宋体"/>
          <w:szCs w:val="21"/>
        </w:rPr>
        <w:t>（2）要求投标人对投标文件有关事项作出解释或者澄清；</w:t>
      </w:r>
    </w:p>
    <w:p>
      <w:pPr>
        <w:adjustRightInd w:val="0"/>
        <w:snapToGrid w:val="0"/>
        <w:spacing w:line="360" w:lineRule="auto"/>
        <w:ind w:firstLine="420" w:firstLineChars="200"/>
        <w:rPr>
          <w:rFonts w:ascii="宋体" w:hAnsi="宋体"/>
          <w:szCs w:val="21"/>
        </w:rPr>
      </w:pPr>
      <w:r>
        <w:rPr>
          <w:rFonts w:hint="eastAsia" w:ascii="宋体" w:hAnsi="宋体"/>
          <w:szCs w:val="21"/>
        </w:rPr>
        <w:t>（3）推荐中标候选投标人名单，或者按照招标文件规定直接确定投标人；</w:t>
      </w:r>
    </w:p>
    <w:p>
      <w:pPr>
        <w:adjustRightInd w:val="0"/>
        <w:snapToGrid w:val="0"/>
        <w:spacing w:line="360" w:lineRule="auto"/>
        <w:ind w:firstLine="420" w:firstLineChars="200"/>
        <w:rPr>
          <w:rFonts w:ascii="宋体" w:hAnsi="宋体"/>
          <w:szCs w:val="21"/>
        </w:rPr>
      </w:pPr>
      <w:r>
        <w:rPr>
          <w:rFonts w:hint="eastAsia" w:ascii="宋体" w:hAnsi="宋体"/>
          <w:szCs w:val="21"/>
        </w:rPr>
        <w:t>（4）向采购代理或者有关部门报告非法干预评标工作的行为。</w:t>
      </w:r>
    </w:p>
    <w:p>
      <w:pPr>
        <w:autoSpaceDE w:val="0"/>
        <w:autoSpaceDN w:val="0"/>
        <w:adjustRightInd w:val="0"/>
        <w:snapToGrid w:val="0"/>
        <w:spacing w:line="360" w:lineRule="auto"/>
        <w:ind w:firstLine="420"/>
        <w:rPr>
          <w:rFonts w:ascii="宋体" w:hAnsi="宋体"/>
          <w:szCs w:val="21"/>
          <w:lang w:val="zh-CN"/>
        </w:rPr>
      </w:pPr>
      <w:r>
        <w:rPr>
          <w:rFonts w:ascii="宋体" w:hAnsi="宋体"/>
          <w:bCs/>
          <w:szCs w:val="21"/>
          <w:lang w:val="zh-CN"/>
        </w:rPr>
        <w:t>2</w:t>
      </w:r>
      <w:r>
        <w:rPr>
          <w:rFonts w:hint="eastAsia" w:ascii="宋体" w:hAnsi="宋体"/>
          <w:bCs/>
          <w:szCs w:val="21"/>
          <w:lang w:val="zh-CN"/>
        </w:rPr>
        <w:t>1</w:t>
      </w:r>
      <w:r>
        <w:rPr>
          <w:rFonts w:ascii="宋体" w:hAnsi="宋体"/>
          <w:bCs/>
          <w:szCs w:val="21"/>
          <w:lang w:val="zh-CN"/>
        </w:rPr>
        <w:t>.1</w:t>
      </w:r>
      <w:r>
        <w:rPr>
          <w:rFonts w:hint="eastAsia" w:ascii="宋体" w:hAnsi="宋体"/>
          <w:bCs/>
          <w:szCs w:val="21"/>
          <w:lang w:val="zh-CN"/>
        </w:rPr>
        <w:t>.2</w:t>
      </w:r>
      <w:r>
        <w:rPr>
          <w:rFonts w:hint="eastAsia" w:ascii="宋体" w:hAnsi="宋体"/>
          <w:szCs w:val="21"/>
          <w:lang w:val="zh-CN"/>
        </w:rPr>
        <w:t>评标委员会由采购人代表和有关技术、经济等方面的专家组成，独立开展评审工作。</w:t>
      </w:r>
    </w:p>
    <w:p>
      <w:pPr>
        <w:widowControl/>
        <w:adjustRightInd w:val="0"/>
        <w:snapToGrid w:val="0"/>
        <w:spacing w:line="360" w:lineRule="auto"/>
        <w:ind w:firstLine="420"/>
        <w:rPr>
          <w:rFonts w:ascii="宋体" w:hAnsi="宋体" w:cs="宋体"/>
          <w:b/>
          <w:bCs/>
          <w:kern w:val="0"/>
          <w:szCs w:val="21"/>
          <w:lang w:val="zh-CN"/>
        </w:rPr>
      </w:pPr>
      <w:r>
        <w:rPr>
          <w:rFonts w:hint="eastAsia" w:ascii="宋体" w:hAnsi="宋体" w:cs="宋体"/>
          <w:bCs/>
          <w:kern w:val="0"/>
          <w:szCs w:val="21"/>
          <w:lang w:val="zh-CN"/>
        </w:rPr>
        <w:t xml:space="preserve">21.2 </w:t>
      </w:r>
      <w:r>
        <w:rPr>
          <w:rFonts w:hint="eastAsia" w:ascii="宋体" w:hAnsi="宋体" w:cs="宋体"/>
          <w:b/>
          <w:bCs/>
          <w:kern w:val="0"/>
          <w:szCs w:val="21"/>
          <w:lang w:val="zh-CN"/>
        </w:rPr>
        <w:t>评标程序</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21.2.1</w:t>
      </w:r>
      <w:r>
        <w:rPr>
          <w:rFonts w:hint="eastAsia" w:ascii="宋体" w:hAnsi="宋体" w:cs="宋体"/>
          <w:b/>
          <w:kern w:val="0"/>
          <w:szCs w:val="21"/>
          <w:lang w:val="zh-CN"/>
        </w:rPr>
        <w:t>投标文件的资格性检查。</w:t>
      </w:r>
      <w:r>
        <w:rPr>
          <w:rFonts w:hint="eastAsia" w:ascii="宋体" w:hAnsi="宋体" w:cs="宋体"/>
          <w:kern w:val="0"/>
          <w:szCs w:val="21"/>
          <w:lang w:val="zh-CN"/>
        </w:rPr>
        <w:t>依据法律法规和招标文件的规定，对投标文件中资格证明、投标保证金等进行审查，以确定投标人是否具备投标资格。投标文件有下列情况之一的，在资格性、符合性检查时按照无效投标处理：</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（1）未按投标邀请规定的数额和办法交纳投标保证金的；</w:t>
      </w:r>
    </w:p>
    <w:p>
      <w:pPr>
        <w:widowControl/>
        <w:adjustRightInd w:val="0"/>
        <w:snapToGrid w:val="0"/>
        <w:spacing w:line="360" w:lineRule="auto"/>
        <w:ind w:firstLine="420" w:firstLineChars="200"/>
        <w:jc w:val="left"/>
        <w:rPr>
          <w:rFonts w:ascii="宋体" w:hAnsi="宋体" w:cs="宋体"/>
          <w:kern w:val="0"/>
          <w:szCs w:val="21"/>
          <w:lang w:val="zh-CN"/>
        </w:rPr>
      </w:pPr>
      <w:r>
        <w:rPr>
          <w:rFonts w:hint="eastAsia" w:ascii="宋体" w:hAnsi="宋体" w:cs="宋体"/>
          <w:kern w:val="0"/>
          <w:szCs w:val="21"/>
          <w:lang w:val="zh-CN"/>
        </w:rPr>
        <w:t>（2）</w:t>
      </w:r>
      <w:r>
        <w:rPr>
          <w:rFonts w:hint="eastAsia" w:ascii="宋体" w:hAnsi="宋体" w:cs="宋体"/>
          <w:kern w:val="0"/>
          <w:szCs w:val="21"/>
        </w:rPr>
        <w:t>未按照招标文件规定要求密封、签署</w:t>
      </w:r>
      <w:r>
        <w:rPr>
          <w:rFonts w:hint="eastAsia" w:ascii="宋体" w:hAnsi="宋体" w:cs="宋体"/>
          <w:kern w:val="0"/>
          <w:szCs w:val="21"/>
          <w:lang w:val="zh-CN"/>
        </w:rPr>
        <w:t>、盖章的，以及没有《开标一览表》或《开标一览表》没有按照招标文件要求单独封装、盖章的；</w:t>
      </w:r>
    </w:p>
    <w:p>
      <w:pPr>
        <w:widowControl/>
        <w:adjustRightInd w:val="0"/>
        <w:snapToGrid w:val="0"/>
        <w:spacing w:line="360" w:lineRule="auto"/>
        <w:ind w:firstLine="420" w:firstLineChars="200"/>
        <w:jc w:val="left"/>
        <w:rPr>
          <w:rFonts w:ascii="宋体" w:hAnsi="宋体" w:cs="宋体"/>
          <w:kern w:val="0"/>
          <w:szCs w:val="21"/>
          <w:lang w:val="zh-CN"/>
        </w:rPr>
      </w:pPr>
      <w:r>
        <w:rPr>
          <w:rFonts w:hint="eastAsia" w:ascii="宋体" w:hAnsi="宋体" w:cs="宋体"/>
          <w:kern w:val="0"/>
          <w:szCs w:val="21"/>
          <w:lang w:val="zh-CN"/>
        </w:rPr>
        <w:t>（3）投标总价超出最高投标限价（招标控制价）的；</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（4）不具备招标文件中规定资格要求的；</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szCs w:val="21"/>
        </w:rPr>
        <w:t>（5）不同投标人的投标文件由同一单位或者个人编制；</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szCs w:val="21"/>
        </w:rPr>
        <w:t>（6）不同投标人委托同一单位或者个人办理投标事宜；</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szCs w:val="21"/>
        </w:rPr>
        <w:t>（7）不同投标人的投标文件载明的项目管理成员为同一人；</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szCs w:val="21"/>
        </w:rPr>
        <w:t>（8）不同投标人的投标文件异常一致或者投标报价呈规律性差异；</w:t>
      </w:r>
    </w:p>
    <w:p>
      <w:pPr>
        <w:widowControl/>
        <w:adjustRightInd w:val="0"/>
        <w:snapToGrid w:val="0"/>
        <w:spacing w:line="360" w:lineRule="auto"/>
        <w:ind w:firstLine="420"/>
        <w:jc w:val="left"/>
        <w:rPr>
          <w:rFonts w:ascii="宋体" w:hAnsi="宋体" w:cs="宋体"/>
          <w:kern w:val="0"/>
          <w:szCs w:val="21"/>
          <w:lang w:val="zh-CN"/>
        </w:rPr>
      </w:pPr>
      <w:r>
        <w:rPr>
          <w:rFonts w:hint="eastAsia" w:ascii="宋体" w:hAnsi="宋体"/>
          <w:szCs w:val="21"/>
        </w:rPr>
        <w:t>（9）不同投标人的投标文件相互混装；</w:t>
      </w:r>
    </w:p>
    <w:p>
      <w:pPr>
        <w:adjustRightInd w:val="0"/>
        <w:snapToGrid w:val="0"/>
        <w:spacing w:line="360" w:lineRule="auto"/>
        <w:ind w:firstLine="435"/>
        <w:rPr>
          <w:rFonts w:ascii="宋体" w:hAnsi="宋体"/>
          <w:szCs w:val="21"/>
        </w:rPr>
      </w:pPr>
      <w:r>
        <w:rPr>
          <w:rFonts w:hint="eastAsia" w:ascii="宋体" w:hAnsi="宋体"/>
          <w:szCs w:val="21"/>
        </w:rPr>
        <w:t>（10）不同投标人的投标保证金从同一单位或者个人的账户转出；</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（11）不同投标人的法定代表人或委托代理人有夫妻、直系血亲关系的；</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（12）不同投标人的负责人为同一人或者存在控股、管理关系的；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（13</w:t>
      </w:r>
      <w:r>
        <w:rPr>
          <w:rFonts w:hint="eastAsia" w:ascii="宋体" w:hAnsi="宋体"/>
          <w:szCs w:val="21"/>
        </w:rPr>
        <w:t>）投标文件未按招标文件第10.1条、11.4条的要求提供</w:t>
      </w:r>
      <w:r>
        <w:rPr>
          <w:rFonts w:ascii="宋体" w:hAnsi="宋体"/>
          <w:szCs w:val="21"/>
        </w:rPr>
        <w:t>加※项目</w:t>
      </w:r>
      <w:r>
        <w:rPr>
          <w:rFonts w:hint="eastAsia" w:ascii="宋体" w:hAnsi="宋体"/>
          <w:szCs w:val="21"/>
        </w:rPr>
        <w:t>的证明文件、说明、资料、方案等等，</w:t>
      </w:r>
      <w:r>
        <w:rPr>
          <w:rFonts w:ascii="宋体" w:hAnsi="宋体"/>
          <w:szCs w:val="21"/>
        </w:rPr>
        <w:t>有</w:t>
      </w:r>
      <w:r>
        <w:rPr>
          <w:rFonts w:hint="eastAsia" w:ascii="宋体" w:hAnsi="宋体"/>
          <w:szCs w:val="21"/>
        </w:rPr>
        <w:t>提供但</w:t>
      </w:r>
      <w:r>
        <w:rPr>
          <w:rFonts w:ascii="宋体" w:hAnsi="宋体"/>
          <w:szCs w:val="21"/>
        </w:rPr>
        <w:t>缺失或无效</w:t>
      </w:r>
      <w:r>
        <w:rPr>
          <w:rFonts w:hint="eastAsia" w:ascii="宋体" w:hAnsi="宋体"/>
          <w:szCs w:val="21"/>
        </w:rPr>
        <w:t>的；</w:t>
      </w:r>
    </w:p>
    <w:p>
      <w:pPr>
        <w:widowControl/>
        <w:adjustRightInd w:val="0"/>
        <w:snapToGrid w:val="0"/>
        <w:spacing w:line="360" w:lineRule="auto"/>
        <w:ind w:firstLine="420"/>
        <w:jc w:val="left"/>
        <w:rPr>
          <w:rFonts w:ascii="宋体" w:hAnsi="宋体" w:cs="宋体"/>
          <w:kern w:val="0"/>
          <w:szCs w:val="21"/>
        </w:rPr>
      </w:pPr>
      <w:r>
        <w:rPr>
          <w:rFonts w:hint="eastAsia" w:ascii="宋体" w:hAnsi="宋体" w:cs="宋体"/>
          <w:kern w:val="0"/>
          <w:szCs w:val="21"/>
        </w:rPr>
        <w:t>（14）</w:t>
      </w:r>
      <w:r>
        <w:rPr>
          <w:rFonts w:hint="eastAsia" w:ascii="宋体" w:hAnsi="宋体"/>
          <w:szCs w:val="21"/>
        </w:rPr>
        <w:t>不同投标人的委托代理人在采购文件发布日上月至投标截止日当月在同一单位缴纳社会保险的；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（15）服务承诺和付款条件未响应招标要求的；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（16）不符合法律、法规和招标文件规定的其他实质性要求的。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21.2.2</w:t>
      </w:r>
      <w:r>
        <w:rPr>
          <w:rFonts w:hint="eastAsia" w:ascii="宋体" w:hAnsi="宋体"/>
          <w:b/>
          <w:szCs w:val="21"/>
          <w:lang w:val="zh-CN"/>
        </w:rPr>
        <w:t>投标文件的符合性检查</w:t>
      </w:r>
      <w:r>
        <w:rPr>
          <w:rFonts w:hint="eastAsia" w:ascii="宋体" w:hAnsi="宋体"/>
          <w:szCs w:val="21"/>
          <w:lang w:val="zh-CN"/>
        </w:rPr>
        <w:t>。依据招标文件规定，从投标文件的有效性、完整性和对招标文件的响应程度进行审查，以确定是否对招标文件的实质性要求作出响应。</w:t>
      </w:r>
    </w:p>
    <w:p>
      <w:pPr>
        <w:autoSpaceDE w:val="0"/>
        <w:autoSpaceDN w:val="0"/>
        <w:adjustRightInd w:val="0"/>
        <w:snapToGrid w:val="0"/>
        <w:spacing w:line="360" w:lineRule="auto"/>
        <w:ind w:firstLine="420" w:firstLineChars="200"/>
        <w:rPr>
          <w:rFonts w:ascii="宋体" w:hAnsi="宋体"/>
          <w:b/>
          <w:szCs w:val="21"/>
        </w:rPr>
      </w:pPr>
      <w:r>
        <w:rPr>
          <w:rFonts w:hint="eastAsia" w:ascii="宋体" w:hAnsi="宋体"/>
          <w:szCs w:val="21"/>
          <w:lang w:val="zh-CN"/>
        </w:rPr>
        <w:t xml:space="preserve">21.2.2.1 </w:t>
      </w:r>
      <w:r>
        <w:rPr>
          <w:rFonts w:hint="eastAsia" w:ascii="宋体" w:hAnsi="宋体"/>
          <w:b/>
          <w:szCs w:val="21"/>
          <w:lang w:val="zh-CN"/>
        </w:rPr>
        <w:t>实质性要求是指本招标文件中用</w:t>
      </w:r>
      <w:r>
        <w:rPr>
          <w:rFonts w:hint="eastAsia" w:ascii="宋体" w:hAnsi="宋体"/>
          <w:b/>
          <w:szCs w:val="21"/>
        </w:rPr>
        <w:t>带星号（“</w:t>
      </w:r>
      <w:r>
        <w:rPr>
          <w:rFonts w:ascii="宋体" w:hAnsi="宋体" w:cs="宋体"/>
          <w:b/>
          <w:kern w:val="0"/>
          <w:szCs w:val="21"/>
        </w:rPr>
        <w:t>★</w:t>
      </w:r>
      <w:r>
        <w:rPr>
          <w:rFonts w:hint="eastAsia" w:ascii="宋体" w:hAnsi="宋体"/>
          <w:b/>
          <w:szCs w:val="21"/>
        </w:rPr>
        <w:t>”）、“必须”</w:t>
      </w:r>
      <w:r>
        <w:rPr>
          <w:rFonts w:hint="eastAsia" w:ascii="宋体" w:hAnsi="宋体"/>
          <w:szCs w:val="21"/>
        </w:rPr>
        <w:t>或“</w:t>
      </w:r>
      <w:r>
        <w:rPr>
          <w:rFonts w:hint="eastAsia" w:ascii="宋体" w:hAnsi="宋体"/>
          <w:b/>
          <w:szCs w:val="21"/>
        </w:rPr>
        <w:t>应（应当）”等其他文字说明的商务和技术要求。</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21.2.2.2 有下列情形之一的予以废标，同时将废标理由通知所有投标人：</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w:t>
      </w:r>
      <w:r>
        <w:rPr>
          <w:rFonts w:ascii="宋体" w:hAnsi="宋体"/>
          <w:szCs w:val="21"/>
          <w:lang w:val="zh-CN"/>
        </w:rPr>
        <w:t>1</w:t>
      </w:r>
      <w:r>
        <w:rPr>
          <w:rFonts w:hint="eastAsia" w:ascii="宋体" w:hAnsi="宋体"/>
          <w:szCs w:val="21"/>
          <w:lang w:val="zh-CN"/>
        </w:rPr>
        <w:t>）符合专业条件的投标人或者对招标文件作实质性响应的投标人不足三家的；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w:t>
      </w:r>
      <w:r>
        <w:rPr>
          <w:rFonts w:ascii="宋体" w:hAnsi="宋体"/>
          <w:szCs w:val="21"/>
          <w:lang w:val="zh-CN"/>
        </w:rPr>
        <w:t>2</w:t>
      </w:r>
      <w:r>
        <w:rPr>
          <w:rFonts w:hint="eastAsia" w:ascii="宋体" w:hAnsi="宋体"/>
          <w:szCs w:val="21"/>
          <w:lang w:val="zh-CN"/>
        </w:rPr>
        <w:t>）出现影响采购公正的违法、违规行为的；</w:t>
      </w:r>
    </w:p>
    <w:p>
      <w:pPr>
        <w:autoSpaceDE w:val="0"/>
        <w:autoSpaceDN w:val="0"/>
        <w:adjustRightInd w:val="0"/>
        <w:snapToGrid w:val="0"/>
        <w:spacing w:line="360" w:lineRule="auto"/>
        <w:ind w:firstLine="420" w:firstLineChars="200"/>
        <w:rPr>
          <w:rFonts w:ascii="宋体" w:hAnsi="宋体"/>
          <w:szCs w:val="21"/>
          <w:lang w:val="zh-CN"/>
        </w:rPr>
      </w:pPr>
      <w:r>
        <w:rPr>
          <w:rFonts w:hint="eastAsia" w:ascii="宋体" w:hAnsi="宋体"/>
          <w:szCs w:val="21"/>
          <w:lang w:val="zh-CN"/>
        </w:rPr>
        <w:t>（3）投标人的报价均超过了采购预算，采购人不能支付的；</w:t>
      </w:r>
    </w:p>
    <w:p>
      <w:pPr>
        <w:widowControl/>
        <w:adjustRightInd w:val="0"/>
        <w:snapToGrid w:val="0"/>
        <w:spacing w:line="360" w:lineRule="auto"/>
        <w:ind w:firstLine="420"/>
        <w:rPr>
          <w:rFonts w:ascii="宋体" w:hAnsi="宋体"/>
          <w:szCs w:val="21"/>
          <w:lang w:val="zh-CN"/>
        </w:rPr>
      </w:pPr>
      <w:r>
        <w:rPr>
          <w:rFonts w:hint="eastAsia" w:ascii="宋体" w:hAnsi="宋体"/>
          <w:szCs w:val="21"/>
          <w:lang w:val="zh-CN"/>
        </w:rPr>
        <w:t>（</w:t>
      </w:r>
      <w:r>
        <w:rPr>
          <w:rFonts w:ascii="宋体" w:hAnsi="宋体"/>
          <w:szCs w:val="21"/>
          <w:lang w:val="zh-CN"/>
        </w:rPr>
        <w:t>4</w:t>
      </w:r>
      <w:r>
        <w:rPr>
          <w:rFonts w:hint="eastAsia" w:ascii="宋体" w:hAnsi="宋体"/>
          <w:szCs w:val="21"/>
          <w:lang w:val="zh-CN"/>
        </w:rPr>
        <w:t>）因重大变故，采购任务取消的。</w:t>
      </w:r>
    </w:p>
    <w:p>
      <w:pPr>
        <w:widowControl/>
        <w:adjustRightInd w:val="0"/>
        <w:snapToGrid w:val="0"/>
        <w:spacing w:line="360" w:lineRule="auto"/>
        <w:ind w:firstLine="420"/>
        <w:rPr>
          <w:rFonts w:ascii="宋体" w:hAnsi="宋体"/>
          <w:szCs w:val="21"/>
          <w:lang w:val="zh-CN"/>
        </w:rPr>
      </w:pPr>
      <w:r>
        <w:rPr>
          <w:rFonts w:hint="eastAsia" w:ascii="宋体" w:hAnsi="宋体"/>
          <w:szCs w:val="21"/>
          <w:lang w:val="zh-CN"/>
        </w:rPr>
        <w:t>21.2.2.3</w:t>
      </w:r>
      <w:r>
        <w:rPr>
          <w:rFonts w:hint="eastAsia" w:ascii="宋体" w:hAnsi="宋体"/>
          <w:b/>
          <w:szCs w:val="21"/>
          <w:lang w:val="zh-CN"/>
        </w:rPr>
        <w:t>提供相同品牌产品且通过资格审查、符合性审查的不同投标人参加同一合同项下投标的，按一家投标人计算。因本项目为系统集成改造项目，投标人应考虑新的软硬件与原有系统的兼容性，故当不同投标人所投软硬件相同品牌产品不超过总数比例90%时，不视为提供相同品牌产品投标。</w:t>
      </w:r>
    </w:p>
    <w:p>
      <w:pPr>
        <w:widowControl/>
        <w:adjustRightInd w:val="0"/>
        <w:snapToGrid w:val="0"/>
        <w:spacing w:line="360" w:lineRule="auto"/>
        <w:ind w:firstLine="420"/>
        <w:rPr>
          <w:rFonts w:ascii="宋体" w:hAnsi="宋体" w:cs="宋体"/>
          <w:kern w:val="0"/>
          <w:szCs w:val="21"/>
          <w:lang w:val="zh-CN"/>
        </w:rPr>
      </w:pPr>
      <w:r>
        <w:rPr>
          <w:rFonts w:hint="eastAsia" w:ascii="宋体" w:hAnsi="宋体"/>
          <w:szCs w:val="21"/>
          <w:lang w:val="zh-CN"/>
        </w:rPr>
        <w:t>21.2.2.4在评标期间，出现符合专业条件的投标人或者对招标文件作出实质性响应的投标人不足三家情形的，比照20</w:t>
      </w:r>
      <w:r>
        <w:rPr>
          <w:rFonts w:ascii="宋体" w:hAnsi="宋体"/>
          <w:szCs w:val="21"/>
          <w:lang w:val="zh-CN"/>
        </w:rPr>
        <w:t>.6</w:t>
      </w:r>
      <w:r>
        <w:rPr>
          <w:rFonts w:hint="eastAsia" w:ascii="宋体" w:hAnsi="宋体"/>
          <w:szCs w:val="21"/>
          <w:lang w:val="zh-CN"/>
        </w:rPr>
        <w:t>款执行。</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21.2.3</w:t>
      </w:r>
      <w:r>
        <w:rPr>
          <w:rFonts w:hint="eastAsia" w:ascii="宋体" w:hAnsi="宋体" w:cs="宋体"/>
          <w:b/>
          <w:kern w:val="0"/>
          <w:szCs w:val="21"/>
          <w:lang w:val="zh-CN"/>
        </w:rPr>
        <w:t>澄清有关问题</w:t>
      </w:r>
      <w:r>
        <w:rPr>
          <w:rFonts w:hint="eastAsia" w:ascii="宋体" w:hAnsi="宋体" w:cs="宋体"/>
          <w:kern w:val="0"/>
          <w:szCs w:val="21"/>
          <w:lang w:val="zh-CN"/>
        </w:rPr>
        <w:t>。对投标文件中含义不明确、同类问题表述不一致或者明显文字和计算错误的内容，评标委员会可以要求投标人作出必要的澄清、说明或者补正。投标人的澄清、说明、补正应当采用书面形式，由其授权代表签字，但不得超出投标文件的范围或者改变投标文件的实质性内容。</w:t>
      </w:r>
    </w:p>
    <w:p>
      <w:pPr>
        <w:widowControl/>
        <w:adjustRightInd w:val="0"/>
        <w:snapToGrid w:val="0"/>
        <w:spacing w:line="360" w:lineRule="auto"/>
        <w:ind w:firstLine="420"/>
        <w:rPr>
          <w:rFonts w:ascii="宋体" w:hAnsi="宋体" w:cs="宋体"/>
          <w:kern w:val="0"/>
          <w:szCs w:val="21"/>
          <w:lang w:val="zh-CN"/>
        </w:rPr>
      </w:pPr>
      <w:r>
        <w:rPr>
          <w:rFonts w:hint="eastAsia" w:ascii="宋体" w:hAnsi="宋体" w:cs="宋体"/>
          <w:kern w:val="0"/>
          <w:szCs w:val="21"/>
          <w:lang w:val="zh-CN"/>
        </w:rPr>
        <w:t>21.2.4</w:t>
      </w:r>
      <w:r>
        <w:rPr>
          <w:rFonts w:hint="eastAsia" w:ascii="宋体" w:hAnsi="宋体" w:cs="宋体"/>
          <w:b/>
          <w:kern w:val="0"/>
          <w:szCs w:val="21"/>
          <w:lang w:val="zh-CN"/>
        </w:rPr>
        <w:t>比较与评价。</w:t>
      </w:r>
      <w:r>
        <w:rPr>
          <w:rFonts w:hint="eastAsia" w:ascii="宋体" w:hAnsi="宋体" w:cs="宋体"/>
          <w:kern w:val="0"/>
          <w:szCs w:val="21"/>
          <w:lang w:val="zh-CN"/>
        </w:rPr>
        <w:t>按照招标文件中规定的评标方法和标准，对资格性检查和符合性检查合格的投标文件进行商务和技术评估，综合比较与评价。</w:t>
      </w:r>
    </w:p>
    <w:p>
      <w:pPr>
        <w:widowControl/>
        <w:adjustRightInd w:val="0"/>
        <w:snapToGrid w:val="0"/>
        <w:spacing w:line="360" w:lineRule="auto"/>
        <w:ind w:firstLine="420"/>
        <w:rPr>
          <w:rFonts w:ascii="宋体" w:hAnsi="宋体" w:cs="宋体"/>
          <w:b/>
          <w:bCs/>
          <w:kern w:val="0"/>
          <w:szCs w:val="21"/>
          <w:lang w:val="zh-CN"/>
        </w:rPr>
      </w:pPr>
      <w:r>
        <w:rPr>
          <w:rFonts w:hint="eastAsia" w:ascii="宋体" w:hAnsi="宋体" w:cs="宋体"/>
          <w:bCs/>
          <w:kern w:val="0"/>
          <w:szCs w:val="21"/>
          <w:lang w:val="zh-CN"/>
        </w:rPr>
        <w:t xml:space="preserve">21.3 </w:t>
      </w:r>
      <w:r>
        <w:rPr>
          <w:rFonts w:hint="eastAsia" w:ascii="宋体" w:hAnsi="宋体" w:cs="宋体"/>
          <w:b/>
          <w:bCs/>
          <w:kern w:val="0"/>
          <w:szCs w:val="21"/>
          <w:lang w:val="zh-CN"/>
        </w:rPr>
        <w:t>评标方法和标准</w:t>
      </w:r>
    </w:p>
    <w:p>
      <w:pPr>
        <w:widowControl/>
        <w:adjustRightInd w:val="0"/>
        <w:snapToGrid w:val="0"/>
        <w:spacing w:line="360" w:lineRule="auto"/>
        <w:ind w:firstLine="420"/>
        <w:rPr>
          <w:rFonts w:ascii="宋体" w:hAnsi="宋体" w:cs="宋体"/>
          <w:b/>
          <w:bCs/>
          <w:kern w:val="0"/>
          <w:szCs w:val="21"/>
          <w:lang w:val="zh-CN"/>
        </w:rPr>
      </w:pPr>
      <w:r>
        <w:rPr>
          <w:rFonts w:hint="eastAsia" w:ascii="宋体" w:hAnsi="宋体" w:cs="宋体"/>
          <w:bCs/>
          <w:kern w:val="0"/>
          <w:szCs w:val="21"/>
          <w:lang w:val="zh-CN"/>
        </w:rPr>
        <w:t>21.3.1</w:t>
      </w:r>
      <w:r>
        <w:rPr>
          <w:rFonts w:hint="eastAsia" w:ascii="宋体" w:hAnsi="宋体" w:cs="宋体"/>
          <w:kern w:val="0"/>
          <w:szCs w:val="21"/>
          <w:lang w:val="zh-CN"/>
        </w:rPr>
        <w:t>采用综合评分法。即</w:t>
      </w:r>
      <w:r>
        <w:rPr>
          <w:rFonts w:hint="eastAsia" w:ascii="宋体" w:hAnsi="宋体" w:cs="宋体"/>
          <w:kern w:val="0"/>
          <w:szCs w:val="21"/>
        </w:rPr>
        <w:t>在最大限度地满足招标文件实质性要求前提下，按照招标文件中规定的各项因素进行综合评审后，以评标总得分最高的投标人作为中标候选投标人或者中标投标人的评标方法。</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cs="宋体"/>
          <w:bCs/>
          <w:kern w:val="0"/>
          <w:szCs w:val="21"/>
          <w:lang w:val="zh-CN"/>
        </w:rPr>
        <w:t>21.3.2</w:t>
      </w:r>
      <w:r>
        <w:rPr>
          <w:rFonts w:hint="eastAsia" w:ascii="宋体" w:hAnsi="宋体" w:cs="宋体"/>
          <w:kern w:val="0"/>
          <w:szCs w:val="21"/>
        </w:rPr>
        <w:t>综合评分的</w:t>
      </w:r>
      <w:r>
        <w:rPr>
          <w:rFonts w:hint="eastAsia" w:ascii="宋体" w:hAnsi="宋体" w:cs="宋体"/>
          <w:kern w:val="0"/>
          <w:szCs w:val="21"/>
          <w:lang w:val="zh-CN"/>
        </w:rPr>
        <w:t>主要因素是：</w:t>
      </w:r>
      <w:r>
        <w:rPr>
          <w:rFonts w:hint="eastAsia" w:ascii="宋体" w:hAnsi="宋体" w:cs="宋体"/>
          <w:kern w:val="0"/>
          <w:szCs w:val="21"/>
        </w:rPr>
        <w:t>价格、技术</w:t>
      </w:r>
      <w:r>
        <w:rPr>
          <w:rFonts w:hint="eastAsia" w:ascii="宋体" w:hAnsi="宋体"/>
          <w:szCs w:val="21"/>
        </w:rPr>
        <w:t>、服务</w:t>
      </w:r>
      <w:r>
        <w:rPr>
          <w:rFonts w:hint="eastAsia" w:ascii="宋体" w:hAnsi="宋体" w:cs="宋体"/>
          <w:kern w:val="0"/>
          <w:szCs w:val="21"/>
        </w:rPr>
        <w:t>、</w:t>
      </w:r>
      <w:r>
        <w:rPr>
          <w:rFonts w:hint="eastAsia" w:ascii="宋体" w:hAnsi="宋体"/>
          <w:szCs w:val="21"/>
        </w:rPr>
        <w:t>信誉、对招标文件响应程度等。</w:t>
      </w:r>
    </w:p>
    <w:p>
      <w:pPr>
        <w:widowControl/>
        <w:adjustRightInd w:val="0"/>
        <w:snapToGrid w:val="0"/>
        <w:spacing w:line="360" w:lineRule="auto"/>
        <w:ind w:firstLine="420" w:firstLineChars="200"/>
        <w:rPr>
          <w:rFonts w:ascii="宋体" w:hAnsi="宋体"/>
          <w:b/>
          <w:szCs w:val="21"/>
        </w:rPr>
      </w:pPr>
      <w:r>
        <w:rPr>
          <w:rFonts w:hint="eastAsia" w:ascii="宋体" w:hAnsi="宋体" w:cs="宋体"/>
          <w:bCs/>
          <w:kern w:val="0"/>
          <w:szCs w:val="21"/>
          <w:lang w:val="zh-CN"/>
        </w:rPr>
        <w:t>21.3.3</w:t>
      </w:r>
      <w:r>
        <w:rPr>
          <w:rFonts w:hint="eastAsia" w:ascii="宋体" w:hAnsi="宋体"/>
          <w:szCs w:val="21"/>
        </w:rPr>
        <w:t xml:space="preserve"> 评分标准详见第三章。</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22、确定中标投标人</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 xml:space="preserve">2.1 </w:t>
      </w:r>
      <w:r>
        <w:rPr>
          <w:rFonts w:hint="eastAsia" w:ascii="宋体" w:hAnsi="宋体" w:cs="宋体"/>
          <w:kern w:val="0"/>
          <w:szCs w:val="21"/>
        </w:rPr>
        <w:t>综合比较与评价后按照得分高低顺序对投标人进行排列。得分相同的，按投标报价由低到高顺序排列。得分且投标报价相同的，按技术指标优劣顺序排列。（其中：</w:t>
      </w:r>
      <w:r>
        <w:rPr>
          <w:rFonts w:hint="eastAsia" w:ascii="宋体" w:hAnsi="宋体" w:cs="宋体"/>
          <w:b/>
          <w:kern w:val="0"/>
          <w:szCs w:val="21"/>
        </w:rPr>
        <w:t>提供相同品牌产品且通过资格审查、符合性审查的不同投标人参加同一合同项下投标的，按一家投标人计算，评审后得分最高的同品牌投标人获得中标人推荐资格;评审得分相同的，按投标报价低的投标人获得中标人推荐资格，得分且投标报价相同的采取随机抽取方式确定，其他同品牌投标人不作为中标候选人。</w:t>
      </w:r>
      <w:r>
        <w:rPr>
          <w:rFonts w:hint="eastAsia" w:ascii="宋体" w:hAnsi="宋体" w:cs="宋体"/>
          <w:kern w:val="0"/>
          <w:szCs w:val="21"/>
        </w:rPr>
        <w:t>）评标委员会将严格按照采购文件的要求和条件进行比较,根据评标办法推荐出中标候选投标人。</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22</w:t>
      </w:r>
      <w:r>
        <w:rPr>
          <w:rFonts w:ascii="宋体" w:hAnsi="宋体"/>
          <w:szCs w:val="21"/>
          <w:lang w:val="zh-CN"/>
        </w:rPr>
        <w:t>.</w:t>
      </w:r>
      <w:r>
        <w:rPr>
          <w:rFonts w:hint="eastAsia" w:ascii="宋体" w:hAnsi="宋体"/>
          <w:szCs w:val="21"/>
          <w:lang w:val="zh-CN"/>
        </w:rPr>
        <w:t>2 中标投标人确定后，将中标结果在原招标公告发布媒体进行公示，公示期为七个工作日，公示期内无投标人质疑的，向中标投标人发出中标通知书。</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2</w:t>
      </w:r>
      <w:r>
        <w:rPr>
          <w:rFonts w:ascii="宋体" w:hAnsi="宋体"/>
          <w:szCs w:val="21"/>
          <w:lang w:val="zh-CN"/>
        </w:rPr>
        <w:t>.</w:t>
      </w:r>
      <w:r>
        <w:rPr>
          <w:rFonts w:hint="eastAsia" w:ascii="宋体" w:hAnsi="宋体"/>
          <w:szCs w:val="21"/>
          <w:lang w:val="zh-CN"/>
        </w:rPr>
        <w:t>3 中标通知书对采购人和中标投标人具有同等法律效力。</w:t>
      </w:r>
    </w:p>
    <w:p>
      <w:pPr>
        <w:autoSpaceDE w:val="0"/>
        <w:autoSpaceDN w:val="0"/>
        <w:adjustRightInd w:val="0"/>
        <w:snapToGrid w:val="0"/>
        <w:spacing w:line="360" w:lineRule="auto"/>
        <w:ind w:firstLine="420"/>
        <w:rPr>
          <w:rFonts w:ascii="宋体" w:hAnsi="宋体"/>
          <w:szCs w:val="21"/>
        </w:rPr>
      </w:pPr>
      <w:r>
        <w:rPr>
          <w:rFonts w:hint="eastAsia" w:ascii="宋体" w:hAnsi="宋体"/>
          <w:szCs w:val="21"/>
          <w:lang w:val="zh-CN"/>
        </w:rPr>
        <w:t xml:space="preserve">22.4 </w:t>
      </w:r>
      <w:r>
        <w:rPr>
          <w:rFonts w:hint="eastAsia" w:ascii="宋体" w:hAnsi="宋体"/>
          <w:szCs w:val="21"/>
        </w:rPr>
        <w:t>中标通知书发出后，采购人或中标投标人拒绝签订合同的，拒绝签订合同的一方应至少向另一方支付与投标保证金相等的补偿金，以及为招标、投标所发生的有关费用和双方商定的其他补偿。</w:t>
      </w:r>
    </w:p>
    <w:p>
      <w:pPr>
        <w:autoSpaceDE w:val="0"/>
        <w:autoSpaceDN w:val="0"/>
        <w:adjustRightInd w:val="0"/>
        <w:snapToGrid w:val="0"/>
        <w:spacing w:line="360" w:lineRule="auto"/>
        <w:ind w:firstLine="420"/>
        <w:rPr>
          <w:rFonts w:ascii="宋体" w:hAnsi="宋体"/>
          <w:szCs w:val="21"/>
        </w:rPr>
      </w:pPr>
      <w:r>
        <w:rPr>
          <w:rFonts w:hint="eastAsia" w:ascii="宋体" w:hAnsi="宋体"/>
          <w:szCs w:val="21"/>
        </w:rPr>
        <w:t>22.5 中标通知书发出后，中标投标人无正当理由不与采购人签订合同的，投标保证金不予退还；情节严重的，由财政部门将其列入不良行为记录名单，在一至三年内禁止参加江苏省政府采购活动，并予以通报。</w:t>
      </w:r>
    </w:p>
    <w:p>
      <w:pPr>
        <w:tabs>
          <w:tab w:val="left" w:pos="1260"/>
        </w:tabs>
        <w:adjustRightInd w:val="0"/>
        <w:snapToGrid w:val="0"/>
        <w:spacing w:line="360" w:lineRule="auto"/>
        <w:ind w:firstLine="420" w:firstLineChars="200"/>
        <w:rPr>
          <w:rFonts w:ascii="宋体" w:hAnsi="宋体"/>
          <w:szCs w:val="21"/>
        </w:rPr>
      </w:pPr>
      <w:r>
        <w:rPr>
          <w:rFonts w:hint="eastAsia" w:ascii="宋体" w:hAnsi="宋体"/>
          <w:szCs w:val="21"/>
        </w:rPr>
        <w:t>22</w:t>
      </w:r>
      <w:r>
        <w:rPr>
          <w:rFonts w:ascii="宋体" w:hAnsi="宋体"/>
          <w:szCs w:val="21"/>
        </w:rPr>
        <w:t>.</w:t>
      </w:r>
      <w:r>
        <w:rPr>
          <w:rFonts w:hint="eastAsia" w:ascii="宋体" w:hAnsi="宋体"/>
          <w:szCs w:val="21"/>
        </w:rPr>
        <w:t>6</w:t>
      </w:r>
      <w:r>
        <w:rPr>
          <w:rFonts w:ascii="宋体" w:hAnsi="宋体"/>
          <w:szCs w:val="21"/>
        </w:rPr>
        <w:t>采购代理对未中标的投标人不作未中标原因的解释。</w:t>
      </w:r>
    </w:p>
    <w:p>
      <w:pPr>
        <w:autoSpaceDE w:val="0"/>
        <w:autoSpaceDN w:val="0"/>
        <w:adjustRightInd w:val="0"/>
        <w:snapToGrid w:val="0"/>
        <w:spacing w:line="360" w:lineRule="auto"/>
        <w:ind w:firstLine="420"/>
        <w:rPr>
          <w:rFonts w:ascii="宋体" w:hAnsi="宋体"/>
          <w:b/>
          <w:szCs w:val="21"/>
        </w:rPr>
      </w:pPr>
      <w:r>
        <w:rPr>
          <w:rFonts w:hint="eastAsia" w:ascii="宋体" w:hAnsi="宋体"/>
          <w:szCs w:val="21"/>
        </w:rPr>
        <w:t>22</w:t>
      </w:r>
      <w:r>
        <w:rPr>
          <w:rFonts w:ascii="宋体" w:hAnsi="宋体"/>
          <w:szCs w:val="21"/>
        </w:rPr>
        <w:t>.</w:t>
      </w:r>
      <w:r>
        <w:rPr>
          <w:rFonts w:hint="eastAsia" w:ascii="宋体" w:hAnsi="宋体"/>
          <w:szCs w:val="21"/>
        </w:rPr>
        <w:t>7</w:t>
      </w:r>
      <w:r>
        <w:rPr>
          <w:rFonts w:ascii="宋体" w:hAnsi="宋体"/>
          <w:szCs w:val="21"/>
        </w:rPr>
        <w:t xml:space="preserve"> 所有投标文件都将作为档案保存，不论中标与否，采购代理均不退回。</w:t>
      </w:r>
    </w:p>
    <w:p>
      <w:pPr>
        <w:autoSpaceDE w:val="0"/>
        <w:autoSpaceDN w:val="0"/>
        <w:adjustRightInd w:val="0"/>
        <w:snapToGrid w:val="0"/>
        <w:spacing w:line="360" w:lineRule="auto"/>
        <w:ind w:firstLine="413" w:firstLineChars="196"/>
        <w:rPr>
          <w:rFonts w:ascii="宋体" w:hAnsi="宋体"/>
          <w:b/>
          <w:szCs w:val="21"/>
        </w:rPr>
      </w:pPr>
      <w:r>
        <w:rPr>
          <w:rFonts w:hint="eastAsia" w:ascii="宋体" w:hAnsi="宋体"/>
          <w:b/>
          <w:szCs w:val="21"/>
          <w:lang w:val="zh-CN"/>
        </w:rPr>
        <w:t>23</w:t>
      </w:r>
      <w:r>
        <w:rPr>
          <w:rFonts w:hint="eastAsia" w:ascii="宋体" w:hAnsi="宋体"/>
          <w:b/>
          <w:bCs/>
          <w:szCs w:val="21"/>
          <w:lang w:val="zh-CN"/>
        </w:rPr>
        <w:t>、</w:t>
      </w:r>
      <w:r>
        <w:rPr>
          <w:rFonts w:ascii="宋体" w:hAnsi="宋体"/>
          <w:b/>
          <w:szCs w:val="21"/>
        </w:rPr>
        <w:t>编写评标报告</w:t>
      </w:r>
    </w:p>
    <w:p>
      <w:pPr>
        <w:autoSpaceDE w:val="0"/>
        <w:autoSpaceDN w:val="0"/>
        <w:adjustRightInd w:val="0"/>
        <w:snapToGrid w:val="0"/>
        <w:spacing w:line="360" w:lineRule="auto"/>
        <w:ind w:firstLine="420"/>
        <w:rPr>
          <w:rFonts w:ascii="宋体" w:hAnsi="宋体"/>
          <w:szCs w:val="21"/>
        </w:rPr>
      </w:pPr>
      <w:r>
        <w:rPr>
          <w:rFonts w:hint="eastAsia" w:ascii="宋体" w:hAnsi="宋体"/>
          <w:szCs w:val="21"/>
        </w:rPr>
        <w:t xml:space="preserve">23.1 </w:t>
      </w:r>
      <w:r>
        <w:rPr>
          <w:rFonts w:ascii="宋体" w:hAnsi="宋体"/>
          <w:szCs w:val="21"/>
        </w:rPr>
        <w:t>评标委员会根据全体评标成员签字的原始评标记录和评标结果编写</w:t>
      </w:r>
      <w:r>
        <w:rPr>
          <w:rFonts w:hint="eastAsia" w:ascii="宋体" w:hAnsi="宋体"/>
          <w:szCs w:val="21"/>
        </w:rPr>
        <w:t>评标</w:t>
      </w:r>
      <w:r>
        <w:rPr>
          <w:rFonts w:ascii="宋体" w:hAnsi="宋体"/>
          <w:szCs w:val="21"/>
        </w:rPr>
        <w:t>报告</w:t>
      </w:r>
      <w:r>
        <w:rPr>
          <w:rFonts w:hint="eastAsia" w:ascii="宋体" w:hAnsi="宋体"/>
          <w:szCs w:val="21"/>
        </w:rPr>
        <w:t>。</w:t>
      </w:r>
    </w:p>
    <w:p>
      <w:pPr>
        <w:autoSpaceDE w:val="0"/>
        <w:autoSpaceDN w:val="0"/>
        <w:adjustRightInd w:val="0"/>
        <w:snapToGrid w:val="0"/>
        <w:spacing w:line="360" w:lineRule="auto"/>
        <w:ind w:firstLine="420"/>
        <w:rPr>
          <w:rFonts w:ascii="宋体" w:hAnsi="宋体"/>
          <w:b/>
          <w:szCs w:val="21"/>
          <w:lang w:val="zh-CN"/>
        </w:rPr>
      </w:pPr>
      <w:r>
        <w:rPr>
          <w:rFonts w:hint="eastAsia" w:ascii="宋体" w:hAnsi="宋体"/>
          <w:b/>
          <w:szCs w:val="21"/>
          <w:lang w:val="zh-CN"/>
        </w:rPr>
        <w:t>24、评标过程的保密性</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24.1 采购代理将采取必要措施，保证评标在严格保密的情况下进行。</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24.2 任何单位和个人不得非法干预、影响评标办法的确定，以及评标过程和结果。</w:t>
      </w:r>
    </w:p>
    <w:p>
      <w:pPr>
        <w:autoSpaceDE w:val="0"/>
        <w:autoSpaceDN w:val="0"/>
        <w:adjustRightInd w:val="0"/>
        <w:snapToGrid w:val="0"/>
        <w:spacing w:line="360" w:lineRule="auto"/>
        <w:ind w:firstLine="420"/>
        <w:rPr>
          <w:rFonts w:ascii="宋体" w:hAnsi="宋体"/>
          <w:b/>
          <w:szCs w:val="21"/>
        </w:rPr>
      </w:pPr>
      <w:r>
        <w:rPr>
          <w:rFonts w:hint="eastAsia" w:ascii="宋体" w:hAnsi="宋体"/>
          <w:szCs w:val="21"/>
          <w:lang w:val="zh-CN"/>
        </w:rPr>
        <w:t>24.3 凡是与审查、澄清、评价和比较投标的有关资料等，均不向投标人及与评标无关的其他人员透露。</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五、履约担保</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25.1履约担保的形式：</w:t>
      </w:r>
      <w:r>
        <w:fldChar w:fldCharType="begin"/>
      </w:r>
      <w:r>
        <w:instrText xml:space="preserve">AUTOTEXT 75 \* MERGEFORMAT</w:instrText>
      </w:r>
      <w:r>
        <w:fldChar w:fldCharType="separate"/>
      </w:r>
      <w:r>
        <w:rPr>
          <w:rFonts w:hint="eastAsia" w:ascii="宋体" w:hAnsi="宋体"/>
          <w:szCs w:val="21"/>
          <w:lang w:val="zh-CN"/>
        </w:rPr>
        <w:t>银行汇票、转账支票（到户）、电汇、银行保函</w:t>
      </w:r>
      <w:r>
        <w:rPr>
          <w:rFonts w:hint="eastAsia" w:ascii="宋体" w:hAnsi="宋体"/>
          <w:szCs w:val="21"/>
          <w:lang w:val="zh-CN"/>
        </w:rPr>
        <w:fldChar w:fldCharType="end"/>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 xml:space="preserve">履约担保的金额： </w:t>
      </w:r>
      <w:r>
        <w:rPr>
          <w:rFonts w:ascii="宋体" w:hAnsi="宋体"/>
          <w:szCs w:val="21"/>
          <w:lang w:val="zh-CN"/>
        </w:rPr>
        <w:fldChar w:fldCharType="begin"/>
      </w:r>
      <w:r>
        <w:rPr>
          <w:rFonts w:ascii="宋体" w:hAnsi="宋体"/>
          <w:szCs w:val="21"/>
          <w:lang w:val="zh-CN"/>
        </w:rPr>
        <w:instrText xml:space="preserve">AUTOTEXT 76 \* MERGEFORMAT</w:instrText>
      </w:r>
      <w:r>
        <w:rPr>
          <w:rFonts w:ascii="宋体" w:hAnsi="宋体"/>
          <w:szCs w:val="21"/>
          <w:lang w:val="zh-CN"/>
        </w:rPr>
        <w:fldChar w:fldCharType="separate"/>
      </w:r>
      <w:r>
        <w:rPr>
          <w:rFonts w:hint="eastAsia" w:ascii="宋体" w:hAnsi="宋体"/>
          <w:szCs w:val="21"/>
          <w:lang w:val="zh-CN"/>
        </w:rPr>
        <w:t>担保金额为承发包合同总价的</w:t>
      </w:r>
      <w:r>
        <w:rPr>
          <w:rFonts w:ascii="宋体" w:hAnsi="宋体"/>
          <w:szCs w:val="21"/>
          <w:lang w:val="zh-CN"/>
        </w:rPr>
        <w:t>10%。中标人在合同签订前，必须</w:t>
      </w:r>
      <w:r>
        <w:rPr>
          <w:rFonts w:hint="eastAsia" w:ascii="宋体" w:hAnsi="宋体"/>
          <w:szCs w:val="21"/>
          <w:lang w:val="zh-CN"/>
        </w:rPr>
        <w:t>以</w:t>
      </w:r>
      <w:r>
        <w:rPr>
          <w:rFonts w:ascii="宋体" w:hAnsi="宋体"/>
          <w:szCs w:val="21"/>
          <w:lang w:val="zh-CN"/>
        </w:rPr>
        <w:t>银行汇票、转账支票（到户）、电汇、银行保函</w:t>
      </w:r>
      <w:r>
        <w:rPr>
          <w:rFonts w:hint="eastAsia" w:ascii="宋体" w:hAnsi="宋体"/>
          <w:szCs w:val="21"/>
          <w:lang w:val="zh-CN"/>
        </w:rPr>
        <w:t>其中一种方式</w:t>
      </w:r>
      <w:r>
        <w:rPr>
          <w:rFonts w:ascii="宋体" w:hAnsi="宋体"/>
          <w:szCs w:val="21"/>
          <w:lang w:val="zh-CN"/>
        </w:rPr>
        <w:t>向招标人提交履约保证金，出具保函的银行级别必须是国有商业银行或股份制商业银行的分行及以上银行，否则</w:t>
      </w:r>
      <w:r>
        <w:rPr>
          <w:rFonts w:hint="eastAsia" w:ascii="宋体" w:hAnsi="宋体"/>
          <w:szCs w:val="21"/>
          <w:lang w:val="zh-CN"/>
        </w:rPr>
        <w:t>招标人有取消中标人的中标资格，并没收其投标保证金。工程结束经验收合格后</w:t>
      </w:r>
      <w:r>
        <w:rPr>
          <w:rFonts w:ascii="宋体" w:hAnsi="宋体"/>
          <w:szCs w:val="21"/>
          <w:lang w:val="zh-CN"/>
        </w:rPr>
        <w:t>10天内无息退还履约保证金。</w:t>
      </w:r>
    </w:p>
    <w:p>
      <w:pPr>
        <w:autoSpaceDE w:val="0"/>
        <w:autoSpaceDN w:val="0"/>
        <w:adjustRightInd w:val="0"/>
        <w:snapToGrid w:val="0"/>
        <w:spacing w:line="360" w:lineRule="auto"/>
        <w:rPr>
          <w:rFonts w:ascii="宋体" w:hAnsi="宋体"/>
          <w:b/>
          <w:bCs/>
          <w:szCs w:val="21"/>
          <w:lang w:val="zh-CN"/>
        </w:rPr>
      </w:pPr>
      <w:r>
        <w:rPr>
          <w:rFonts w:ascii="宋体" w:hAnsi="宋体"/>
          <w:szCs w:val="21"/>
          <w:lang w:val="zh-CN"/>
        </w:rPr>
        <w:fldChar w:fldCharType="end"/>
      </w:r>
      <w:r>
        <w:rPr>
          <w:rFonts w:hint="eastAsia" w:ascii="宋体" w:hAnsi="宋体"/>
          <w:b/>
          <w:bCs/>
          <w:szCs w:val="21"/>
          <w:lang w:val="zh-CN"/>
        </w:rPr>
        <w:t>六、签订合同</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2</w:t>
      </w:r>
      <w:r>
        <w:rPr>
          <w:rFonts w:hint="eastAsia" w:ascii="宋体" w:hAnsi="宋体"/>
          <w:b/>
          <w:bCs/>
          <w:szCs w:val="21"/>
          <w:lang w:val="zh-CN"/>
        </w:rPr>
        <w:t>6、签订合同</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6</w:t>
      </w:r>
      <w:r>
        <w:rPr>
          <w:rFonts w:ascii="宋体" w:hAnsi="宋体"/>
          <w:szCs w:val="21"/>
          <w:lang w:val="zh-CN"/>
        </w:rPr>
        <w:t>.1</w:t>
      </w:r>
      <w:r>
        <w:rPr>
          <w:rFonts w:hint="eastAsia" w:ascii="宋体" w:hAnsi="宋体"/>
          <w:szCs w:val="21"/>
          <w:lang w:val="zh-CN"/>
        </w:rPr>
        <w:t xml:space="preserve"> 中标投标人应当自中标通知书发出之日起三十日内，按照招标文件和中标投标人投标文件的约定与采购人签订政府采购合同，所签订的合同不得对招标文件和中标投标人投标文件作实质性修改。</w:t>
      </w:r>
    </w:p>
    <w:p>
      <w:pPr>
        <w:adjustRightInd w:val="0"/>
        <w:snapToGrid w:val="0"/>
        <w:spacing w:line="360" w:lineRule="auto"/>
        <w:ind w:firstLine="420" w:firstLineChars="200"/>
        <w:rPr>
          <w:rFonts w:ascii="宋体" w:hAnsi="宋体"/>
          <w:szCs w:val="21"/>
        </w:rPr>
      </w:pPr>
      <w:r>
        <w:rPr>
          <w:rFonts w:ascii="宋体" w:hAnsi="宋体"/>
          <w:szCs w:val="21"/>
          <w:lang w:val="zh-CN"/>
        </w:rPr>
        <w:t>2</w:t>
      </w:r>
      <w:r>
        <w:rPr>
          <w:rFonts w:hint="eastAsia" w:ascii="宋体" w:hAnsi="宋体"/>
          <w:szCs w:val="21"/>
          <w:lang w:val="zh-CN"/>
        </w:rPr>
        <w:t>6</w:t>
      </w:r>
      <w:r>
        <w:rPr>
          <w:rFonts w:ascii="宋体" w:hAnsi="宋体"/>
          <w:szCs w:val="21"/>
          <w:lang w:val="zh-CN"/>
        </w:rPr>
        <w:t>.2</w:t>
      </w:r>
      <w:r>
        <w:rPr>
          <w:rFonts w:hint="eastAsia" w:ascii="宋体" w:hAnsi="宋体"/>
          <w:szCs w:val="21"/>
        </w:rPr>
        <w:t>采购人不得向中标投标人提出任何不合理的要求作为签订合同的条件，不得与中标投标人私下订立背离合同实质性内容的协议。</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rPr>
        <w:t xml:space="preserve">26.3 </w:t>
      </w:r>
      <w:r>
        <w:rPr>
          <w:rFonts w:hint="eastAsia" w:ascii="宋体" w:hAnsi="宋体"/>
          <w:szCs w:val="21"/>
          <w:lang w:val="zh-CN"/>
        </w:rPr>
        <w:t>中标投标人因不可抗力或者自身原因不能履行政府采购合同的，采购人可以视情与排位在中标投标人之后第一位的中标候选投标人签订政府采购合同，以此类推。</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26.4 政府采购合同履行中，采购人需追加与合同标的相同的服务的，在不改变合同其他条款的前提下，可以与投标人协商签订补充合同，但所有补充合同的采购金额不得超过原合同采购金额的百分之十。</w:t>
      </w:r>
    </w:p>
    <w:p>
      <w:pPr>
        <w:autoSpaceDE w:val="0"/>
        <w:autoSpaceDN w:val="0"/>
        <w:adjustRightInd w:val="0"/>
        <w:snapToGrid w:val="0"/>
        <w:spacing w:line="360" w:lineRule="auto"/>
        <w:ind w:firstLine="420"/>
        <w:outlineLvl w:val="0"/>
        <w:rPr>
          <w:rFonts w:ascii="宋体" w:hAnsi="宋体"/>
          <w:b/>
          <w:bCs/>
          <w:szCs w:val="21"/>
          <w:lang w:val="zh-CN"/>
        </w:rPr>
      </w:pPr>
      <w:r>
        <w:rPr>
          <w:rFonts w:hint="eastAsia" w:ascii="宋体" w:hAnsi="宋体"/>
          <w:b/>
          <w:bCs/>
          <w:szCs w:val="21"/>
          <w:lang w:val="zh-CN"/>
        </w:rPr>
        <w:t>七、质疑、投诉和诚实信用</w:t>
      </w:r>
    </w:p>
    <w:p>
      <w:pPr>
        <w:autoSpaceDE w:val="0"/>
        <w:autoSpaceDN w:val="0"/>
        <w:adjustRightInd w:val="0"/>
        <w:snapToGrid w:val="0"/>
        <w:spacing w:line="360" w:lineRule="auto"/>
        <w:ind w:firstLine="420"/>
        <w:rPr>
          <w:rFonts w:ascii="宋体" w:hAnsi="宋体"/>
          <w:b/>
          <w:bCs/>
          <w:szCs w:val="21"/>
          <w:lang w:val="zh-CN"/>
        </w:rPr>
      </w:pPr>
      <w:r>
        <w:rPr>
          <w:rFonts w:ascii="宋体" w:hAnsi="宋体"/>
          <w:b/>
          <w:bCs/>
          <w:szCs w:val="21"/>
          <w:lang w:val="zh-CN"/>
        </w:rPr>
        <w:t>2</w:t>
      </w:r>
      <w:r>
        <w:rPr>
          <w:rFonts w:hint="eastAsia" w:ascii="宋体" w:hAnsi="宋体"/>
          <w:b/>
          <w:bCs/>
          <w:szCs w:val="21"/>
          <w:lang w:val="zh-CN"/>
        </w:rPr>
        <w:t>7、质疑</w:t>
      </w:r>
    </w:p>
    <w:p>
      <w:pPr>
        <w:autoSpaceDE w:val="0"/>
        <w:autoSpaceDN w:val="0"/>
        <w:adjustRightInd w:val="0"/>
        <w:snapToGrid w:val="0"/>
        <w:spacing w:line="360" w:lineRule="auto"/>
        <w:ind w:firstLine="420"/>
        <w:rPr>
          <w:rFonts w:ascii="宋体" w:hAnsi="宋体"/>
          <w:b/>
          <w:szCs w:val="21"/>
          <w:lang w:val="zh-CN"/>
        </w:rPr>
      </w:pPr>
      <w:r>
        <w:rPr>
          <w:rFonts w:ascii="宋体" w:hAnsi="宋体"/>
          <w:szCs w:val="21"/>
          <w:lang w:val="zh-CN"/>
        </w:rPr>
        <w:t>2</w:t>
      </w:r>
      <w:r>
        <w:rPr>
          <w:rFonts w:hint="eastAsia" w:ascii="宋体" w:hAnsi="宋体"/>
          <w:szCs w:val="21"/>
          <w:lang w:val="zh-CN"/>
        </w:rPr>
        <w:t>7</w:t>
      </w:r>
      <w:r>
        <w:rPr>
          <w:rFonts w:ascii="宋体" w:hAnsi="宋体"/>
          <w:szCs w:val="21"/>
          <w:lang w:val="zh-CN"/>
        </w:rPr>
        <w:t>.1</w:t>
      </w:r>
      <w:r>
        <w:rPr>
          <w:rFonts w:hint="eastAsia" w:ascii="宋体" w:hAnsi="宋体"/>
          <w:szCs w:val="21"/>
          <w:lang w:val="zh-CN"/>
        </w:rPr>
        <w:t>投标人对招标活动事项有疑问的，可以向采购代理提出询问，采购代理将依法作出答复，但答复的内容不涉及商业秘密</w:t>
      </w:r>
      <w:r>
        <w:rPr>
          <w:rFonts w:hint="eastAsia" w:ascii="宋体" w:hAnsi="宋体"/>
          <w:b/>
          <w:szCs w:val="21"/>
          <w:lang w:val="zh-CN"/>
        </w:rPr>
        <w:t>。</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7</w:t>
      </w:r>
      <w:r>
        <w:rPr>
          <w:rFonts w:ascii="宋体" w:hAnsi="宋体"/>
          <w:szCs w:val="21"/>
          <w:lang w:val="zh-CN"/>
        </w:rPr>
        <w:t>.2</w:t>
      </w:r>
      <w:r>
        <w:rPr>
          <w:rFonts w:hint="eastAsia" w:ascii="宋体" w:hAnsi="宋体"/>
          <w:szCs w:val="21"/>
          <w:lang w:val="zh-CN"/>
        </w:rPr>
        <w:t>投标人认为采购文件、采购过程和中标结果使自己的合法权益受到损害的，可以在知道或者应当知道其权益受到损害之日起七个工作日内，将质疑文件原件送达采购代理。</w:t>
      </w:r>
    </w:p>
    <w:p>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lang w:val="zh-CN"/>
        </w:rPr>
        <w:t>27.3 质疑文件应包括以下主要内容，并</w:t>
      </w:r>
      <w:r>
        <w:rPr>
          <w:rFonts w:hint="eastAsia" w:ascii="宋体" w:hAnsi="宋体"/>
          <w:szCs w:val="21"/>
        </w:rPr>
        <w:t>按照</w:t>
      </w:r>
      <w:r>
        <w:rPr>
          <w:rFonts w:ascii="宋体" w:hAnsi="宋体"/>
          <w:szCs w:val="21"/>
        </w:rPr>
        <w:t>“</w:t>
      </w:r>
      <w:r>
        <w:rPr>
          <w:rFonts w:hint="eastAsia" w:ascii="宋体" w:hAnsi="宋体"/>
          <w:szCs w:val="21"/>
        </w:rPr>
        <w:t>谁主张、谁举证</w:t>
      </w:r>
      <w:r>
        <w:rPr>
          <w:rFonts w:ascii="宋体" w:hAnsi="宋体"/>
          <w:szCs w:val="21"/>
        </w:rPr>
        <w:t>”</w:t>
      </w:r>
      <w:r>
        <w:rPr>
          <w:rFonts w:hint="eastAsia" w:ascii="宋体" w:hAnsi="宋体"/>
          <w:szCs w:val="21"/>
        </w:rPr>
        <w:t>的原则，附上相关证明材料。否则，采购代理不予受理：</w:t>
      </w:r>
    </w:p>
    <w:p>
      <w:pPr>
        <w:autoSpaceDE w:val="0"/>
        <w:autoSpaceDN w:val="0"/>
        <w:adjustRightInd w:val="0"/>
        <w:snapToGrid w:val="0"/>
        <w:spacing w:line="360" w:lineRule="auto"/>
        <w:ind w:left="420" w:leftChars="200"/>
        <w:rPr>
          <w:rFonts w:ascii="宋体" w:hAnsi="宋体"/>
          <w:szCs w:val="21"/>
          <w:lang w:val="zh-CN"/>
        </w:rPr>
      </w:pPr>
      <w:r>
        <w:rPr>
          <w:rFonts w:hint="eastAsia" w:ascii="宋体" w:hAnsi="宋体"/>
          <w:szCs w:val="21"/>
        </w:rPr>
        <w:t>（1）质疑项目名称、项目编号、包号、招标公告发布时间、开标时间；</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（2）具体的质疑事项及法律依据（具体条款）；</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（3）质疑相关证明文件或证明材料，如果涉及到产品功能或技术指标的，应出具相关制造商的证明文件（友情提示：</w:t>
      </w:r>
      <w:r>
        <w:rPr>
          <w:rFonts w:hint="eastAsia" w:ascii="宋体" w:hAnsi="宋体"/>
          <w:szCs w:val="21"/>
        </w:rPr>
        <w:t>投标人全部产品线中没有满足技术需求要求的产品才可以对招标产品提出质疑，并提出</w:t>
      </w:r>
      <w:r>
        <w:rPr>
          <w:rFonts w:hint="eastAsia" w:ascii="宋体" w:hAnsi="宋体"/>
          <w:b/>
          <w:bCs/>
          <w:szCs w:val="21"/>
        </w:rPr>
        <w:t>修改理由</w:t>
      </w:r>
      <w:r>
        <w:rPr>
          <w:rFonts w:hint="eastAsia" w:ascii="宋体" w:hAnsi="宋体"/>
          <w:szCs w:val="21"/>
        </w:rPr>
        <w:t>和</w:t>
      </w:r>
      <w:r>
        <w:rPr>
          <w:rFonts w:hint="eastAsia" w:ascii="宋体" w:hAnsi="宋体"/>
          <w:b/>
          <w:bCs/>
          <w:szCs w:val="21"/>
        </w:rPr>
        <w:t>修改建议</w:t>
      </w:r>
      <w:r>
        <w:rPr>
          <w:rFonts w:hint="eastAsia" w:ascii="宋体" w:hAnsi="宋体"/>
          <w:szCs w:val="21"/>
          <w:lang w:val="zh-CN"/>
        </w:rPr>
        <w:t>）；</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（4）质疑投标人名称、地址、联系方式</w:t>
      </w:r>
      <w:r>
        <w:rPr>
          <w:rFonts w:hint="eastAsia" w:ascii="宋体" w:hAnsi="宋体"/>
          <w:szCs w:val="21"/>
        </w:rPr>
        <w:t>（包括手机、传真号码）</w:t>
      </w:r>
      <w:r>
        <w:rPr>
          <w:rFonts w:hint="eastAsia" w:ascii="宋体" w:hAnsi="宋体"/>
          <w:szCs w:val="21"/>
          <w:lang w:val="zh-CN"/>
        </w:rPr>
        <w:t>；</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（5）法定代表人</w:t>
      </w:r>
      <w:r>
        <w:rPr>
          <w:rFonts w:hint="eastAsia" w:ascii="宋体" w:hAnsi="宋体"/>
          <w:szCs w:val="21"/>
        </w:rPr>
        <w:t>签署本人姓名或印盖本人姓名章并加盖单位公章，</w:t>
      </w:r>
      <w:r>
        <w:rPr>
          <w:rFonts w:hint="eastAsia" w:ascii="宋体" w:hAnsi="宋体"/>
          <w:szCs w:val="21"/>
          <w:lang w:val="zh-CN"/>
        </w:rPr>
        <w:t>或</w:t>
      </w:r>
      <w:r>
        <w:rPr>
          <w:rFonts w:hint="eastAsia" w:ascii="宋体" w:hAnsi="宋体"/>
          <w:szCs w:val="21"/>
        </w:rPr>
        <w:t>法定代表人授权</w:t>
      </w:r>
      <w:r>
        <w:rPr>
          <w:rFonts w:hint="eastAsia" w:ascii="宋体" w:hAnsi="宋体" w:cs="宋体"/>
          <w:kern w:val="0"/>
          <w:szCs w:val="21"/>
          <w:lang w:val="zh-CN"/>
        </w:rPr>
        <w:t>委托代理人</w:t>
      </w:r>
      <w:r>
        <w:rPr>
          <w:rFonts w:hint="eastAsia" w:ascii="宋体" w:hAnsi="宋体"/>
          <w:szCs w:val="21"/>
        </w:rPr>
        <w:t>加盖单位公章，并由参加采购项目的</w:t>
      </w:r>
      <w:r>
        <w:rPr>
          <w:rFonts w:hint="eastAsia" w:ascii="宋体" w:hAnsi="宋体"/>
          <w:szCs w:val="21"/>
          <w:lang w:val="zh-CN"/>
        </w:rPr>
        <w:t>授权委托代理人</w:t>
      </w:r>
      <w:r>
        <w:rPr>
          <w:rFonts w:hint="eastAsia" w:ascii="宋体" w:hAnsi="宋体"/>
          <w:szCs w:val="21"/>
        </w:rPr>
        <w:t>签署本人姓名或印盖本人姓名章</w:t>
      </w:r>
      <w:r>
        <w:rPr>
          <w:rFonts w:hint="eastAsia" w:ascii="宋体" w:hAnsi="宋体"/>
          <w:szCs w:val="21"/>
          <w:lang w:val="zh-CN"/>
        </w:rPr>
        <w:t>等。</w:t>
      </w:r>
    </w:p>
    <w:p>
      <w:pPr>
        <w:adjustRightInd w:val="0"/>
        <w:snapToGrid w:val="0"/>
        <w:spacing w:line="360" w:lineRule="auto"/>
        <w:ind w:firstLine="420" w:firstLineChars="200"/>
        <w:rPr>
          <w:rFonts w:ascii="宋体" w:hAnsi="宋体"/>
          <w:szCs w:val="21"/>
        </w:rPr>
      </w:pPr>
      <w:r>
        <w:rPr>
          <w:rFonts w:hint="eastAsia" w:ascii="宋体" w:hAnsi="宋体"/>
          <w:szCs w:val="21"/>
          <w:lang w:val="zh-CN"/>
        </w:rPr>
        <w:t>27.4 质疑</w:t>
      </w:r>
      <w:r>
        <w:rPr>
          <w:rFonts w:hint="eastAsia" w:ascii="宋体" w:hAnsi="宋体"/>
          <w:szCs w:val="21"/>
        </w:rPr>
        <w:t>投标人是指直接参加本项目采购活动的投标人；对采购文件提出质疑的，应自投标人获得采购文件之日起计算，且应当在投标截止之日前提出；对采购过程提出质疑的，自采购程序环节结束之日起计算；对中标结果提出质疑的，自中标结果公告之日起计算。</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rPr>
        <w:t>27.5 采购代理在收到投标人的书面质疑后将及时组织调查核实，在</w:t>
      </w:r>
      <w:r>
        <w:rPr>
          <w:rFonts w:hint="eastAsia" w:ascii="宋体" w:hAnsi="宋体"/>
          <w:b/>
          <w:bCs/>
          <w:szCs w:val="21"/>
          <w:lang w:val="zh-CN"/>
        </w:rPr>
        <w:t>七个工作日内</w:t>
      </w:r>
      <w:r>
        <w:rPr>
          <w:rFonts w:hint="eastAsia" w:ascii="宋体" w:hAnsi="宋体"/>
          <w:szCs w:val="21"/>
          <w:lang w:val="zh-CN"/>
        </w:rPr>
        <w:t>作出答复，并以书面或在网站公告形式通知质疑投标人和其他有关投标人，答复的内容不涉及商业秘密。</w:t>
      </w:r>
      <w:r>
        <w:rPr>
          <w:rFonts w:hint="eastAsia" w:ascii="宋体" w:hAnsi="宋体"/>
          <w:szCs w:val="21"/>
        </w:rPr>
        <w:t>采购代理遵循“谁</w:t>
      </w:r>
      <w:r>
        <w:rPr>
          <w:rFonts w:ascii="宋体" w:hAnsi="宋体"/>
          <w:szCs w:val="21"/>
        </w:rPr>
        <w:t>过错</w:t>
      </w:r>
      <w:r>
        <w:rPr>
          <w:rFonts w:hint="eastAsia" w:ascii="宋体" w:hAnsi="宋体"/>
          <w:szCs w:val="21"/>
        </w:rPr>
        <w:t>谁负担”的</w:t>
      </w:r>
      <w:r>
        <w:rPr>
          <w:rFonts w:ascii="宋体" w:hAnsi="宋体"/>
          <w:szCs w:val="21"/>
        </w:rPr>
        <w:t>原则</w:t>
      </w:r>
      <w:r>
        <w:rPr>
          <w:rFonts w:hint="eastAsia" w:ascii="宋体" w:hAnsi="宋体"/>
          <w:szCs w:val="21"/>
        </w:rPr>
        <w:t>，有过错的一方承担调查论证费用。</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b/>
          <w:bCs/>
          <w:szCs w:val="21"/>
          <w:lang w:val="zh-CN"/>
        </w:rPr>
        <w:t>28、投诉</w:t>
      </w:r>
    </w:p>
    <w:p>
      <w:pPr>
        <w:autoSpaceDE w:val="0"/>
        <w:autoSpaceDN w:val="0"/>
        <w:adjustRightInd w:val="0"/>
        <w:snapToGrid w:val="0"/>
        <w:spacing w:line="360" w:lineRule="auto"/>
        <w:ind w:firstLine="420"/>
        <w:rPr>
          <w:rFonts w:ascii="宋体" w:hAnsi="宋体"/>
          <w:szCs w:val="21"/>
          <w:lang w:val="zh-CN"/>
        </w:rPr>
      </w:pPr>
      <w:r>
        <w:rPr>
          <w:rFonts w:ascii="宋体" w:hAnsi="宋体"/>
          <w:szCs w:val="21"/>
          <w:lang w:val="zh-CN"/>
        </w:rPr>
        <w:t>2</w:t>
      </w:r>
      <w:r>
        <w:rPr>
          <w:rFonts w:hint="eastAsia" w:ascii="宋体" w:hAnsi="宋体"/>
          <w:szCs w:val="21"/>
          <w:lang w:val="zh-CN"/>
        </w:rPr>
        <w:t>8.1质疑投标人对采购代理的答复不满意，或采购代理未在规定的时间内作出答复的，可以在答复期满后</w:t>
      </w:r>
      <w:r>
        <w:rPr>
          <w:rFonts w:hint="eastAsia" w:ascii="宋体" w:hAnsi="宋体"/>
          <w:b/>
          <w:bCs/>
          <w:szCs w:val="21"/>
          <w:lang w:val="zh-CN"/>
        </w:rPr>
        <w:t>十五个工作日内</w:t>
      </w:r>
      <w:r>
        <w:rPr>
          <w:rFonts w:hint="eastAsia" w:ascii="宋体" w:hAnsi="宋体"/>
          <w:szCs w:val="21"/>
          <w:lang w:val="zh-CN"/>
        </w:rPr>
        <w:t>向采购项目同级财政部门投诉。</w:t>
      </w:r>
    </w:p>
    <w:p>
      <w:pPr>
        <w:autoSpaceDE w:val="0"/>
        <w:autoSpaceDN w:val="0"/>
        <w:adjustRightInd w:val="0"/>
        <w:snapToGrid w:val="0"/>
        <w:spacing w:line="360" w:lineRule="auto"/>
        <w:ind w:firstLine="420"/>
        <w:rPr>
          <w:rFonts w:ascii="宋体" w:hAnsi="宋体"/>
          <w:b/>
          <w:bCs/>
          <w:szCs w:val="21"/>
          <w:lang w:val="zh-CN"/>
        </w:rPr>
      </w:pPr>
      <w:r>
        <w:rPr>
          <w:rFonts w:hint="eastAsia" w:ascii="宋体" w:hAnsi="宋体"/>
          <w:b/>
          <w:bCs/>
          <w:szCs w:val="21"/>
          <w:lang w:val="zh-CN"/>
        </w:rPr>
        <w:t>29、诚实信用</w:t>
      </w:r>
    </w:p>
    <w:p>
      <w:pPr>
        <w:autoSpaceDE w:val="0"/>
        <w:autoSpaceDN w:val="0"/>
        <w:adjustRightInd w:val="0"/>
        <w:snapToGrid w:val="0"/>
        <w:spacing w:line="360" w:lineRule="auto"/>
        <w:ind w:firstLine="420"/>
        <w:rPr>
          <w:rFonts w:ascii="宋体" w:hAnsi="宋体"/>
          <w:szCs w:val="21"/>
          <w:lang w:val="zh-CN"/>
        </w:rPr>
      </w:pPr>
      <w:r>
        <w:rPr>
          <w:rFonts w:hint="eastAsia" w:ascii="宋体" w:hAnsi="宋体"/>
          <w:szCs w:val="21"/>
          <w:lang w:val="zh-CN"/>
        </w:rPr>
        <w:t>29</w:t>
      </w:r>
      <w:r>
        <w:rPr>
          <w:rFonts w:ascii="宋体" w:hAnsi="宋体"/>
          <w:szCs w:val="21"/>
          <w:lang w:val="zh-CN"/>
        </w:rPr>
        <w:t>.1</w:t>
      </w:r>
      <w:r>
        <w:rPr>
          <w:rFonts w:hint="eastAsia" w:ascii="宋体" w:hAnsi="宋体"/>
          <w:szCs w:val="21"/>
          <w:lang w:val="zh-CN"/>
        </w:rPr>
        <w:t>投标人之间不得相互串通投标报价，不得妨碍其他投标人的公平竞争，不得损害采购人和其他投标人的合法权益。</w:t>
      </w:r>
    </w:p>
    <w:p>
      <w:pPr>
        <w:adjustRightInd w:val="0"/>
        <w:snapToGrid w:val="0"/>
        <w:spacing w:line="360" w:lineRule="auto"/>
        <w:ind w:firstLine="420" w:firstLineChars="200"/>
        <w:rPr>
          <w:rFonts w:ascii="宋体" w:hAnsi="宋体"/>
          <w:szCs w:val="21"/>
        </w:rPr>
      </w:pPr>
      <w:r>
        <w:rPr>
          <w:rFonts w:hint="eastAsia" w:ascii="宋体" w:hAnsi="宋体"/>
          <w:szCs w:val="21"/>
        </w:rPr>
        <w:t>29.2 投标人不得以向采购代理工作人员、评标委员会成员行贿或者采取其他不正当手段谋取中标。</w:t>
      </w:r>
      <w:r>
        <w:rPr>
          <w:rFonts w:ascii="宋体" w:hAnsi="宋体"/>
          <w:szCs w:val="21"/>
        </w:rPr>
        <w:t>政府采购管理部门将供应商列入不良行为记录名单，按照《政府采购法》有关规定处理。</w:t>
      </w:r>
    </w:p>
    <w:p>
      <w:pPr>
        <w:adjustRightInd w:val="0"/>
        <w:snapToGrid w:val="0"/>
        <w:spacing w:line="360" w:lineRule="auto"/>
        <w:ind w:firstLine="420" w:firstLineChars="200"/>
        <w:rPr>
          <w:rFonts w:ascii="宋体" w:hAnsi="宋体"/>
          <w:szCs w:val="21"/>
        </w:rPr>
      </w:pPr>
      <w:r>
        <w:rPr>
          <w:rFonts w:hint="eastAsia" w:ascii="宋体" w:hAnsi="宋体"/>
          <w:szCs w:val="21"/>
        </w:rPr>
        <w:t>29.3 投标人不得虚假质疑和恶意质疑，并对质疑内容的真实性承担责任。投标人或者其他利害关系人通过捏造事实、伪造证明材料等方式提出异议或投诉，阻碍招投标活动正常进行的，属于严重不良行为，采购代理将提请财政部门将其列入不良行为记录名单，并依法予以处罚。</w:t>
      </w:r>
    </w:p>
    <w:p>
      <w:pPr>
        <w:adjustRightInd w:val="0"/>
        <w:snapToGrid w:val="0"/>
        <w:spacing w:line="360" w:lineRule="auto"/>
        <w:ind w:firstLine="420" w:firstLineChars="200"/>
        <w:rPr>
          <w:rFonts w:ascii="宋体" w:hAnsi="宋体"/>
          <w:szCs w:val="21"/>
          <w:lang w:val="zh-CN"/>
        </w:rPr>
      </w:pPr>
      <w:r>
        <w:rPr>
          <w:rFonts w:hint="eastAsia" w:ascii="宋体" w:hAnsi="宋体"/>
          <w:szCs w:val="21"/>
          <w:lang w:val="zh-CN"/>
        </w:rPr>
        <w:t>29.4 投标人不得虚假承诺，否则，按照提供虚假材料谋取中标成交处理。</w:t>
      </w:r>
    </w:p>
    <w:p>
      <w:pPr>
        <w:numPr>
          <w:ilvl w:val="0"/>
          <w:numId w:val="17"/>
        </w:numPr>
        <w:autoSpaceDE w:val="0"/>
        <w:autoSpaceDN w:val="0"/>
        <w:adjustRightInd w:val="0"/>
        <w:spacing w:line="360" w:lineRule="auto"/>
        <w:jc w:val="center"/>
        <w:outlineLvl w:val="0"/>
        <w:rPr>
          <w:rFonts w:ascii="黑体" w:eastAsia="黑体"/>
          <w:b/>
          <w:bCs/>
          <w:sz w:val="36"/>
          <w:szCs w:val="36"/>
          <w:lang w:val="zh-CN"/>
        </w:rPr>
      </w:pPr>
      <w:r>
        <w:rPr>
          <w:rFonts w:ascii="黑体" w:eastAsia="黑体"/>
          <w:b/>
          <w:bCs/>
          <w:sz w:val="36"/>
          <w:szCs w:val="36"/>
          <w:lang w:val="zh-CN"/>
        </w:rPr>
        <w:br w:type="page"/>
      </w:r>
      <w:r>
        <w:rPr>
          <w:rFonts w:hint="eastAsia" w:ascii="黑体" w:eastAsia="黑体"/>
          <w:b/>
          <w:bCs/>
          <w:sz w:val="36"/>
          <w:szCs w:val="36"/>
          <w:lang w:val="zh-CN"/>
        </w:rPr>
        <w:t>评标标准</w:t>
      </w:r>
    </w:p>
    <w:p>
      <w:pPr>
        <w:adjustRightInd w:val="0"/>
        <w:snapToGrid w:val="0"/>
        <w:spacing w:line="360" w:lineRule="auto"/>
        <w:ind w:firstLine="420" w:firstLineChars="200"/>
        <w:rPr>
          <w:rFonts w:ascii="宋体" w:hAnsi="宋体"/>
          <w:szCs w:val="21"/>
        </w:rPr>
      </w:pPr>
      <w:r>
        <w:rPr>
          <w:rFonts w:hint="eastAsia" w:ascii="宋体" w:hAnsi="宋体"/>
          <w:szCs w:val="21"/>
        </w:rPr>
        <w:t>评委会将对确定为实质性响应招标文件要求的投标文件进行评价和比较，评标采用综合评分法。按评审后各评委打分算数和得分由高到低顺序排列。得分相同的，按投标报价由低到高顺序排列。得分且投标报价相同的，按技术指标优劣顺序排列。</w:t>
      </w:r>
    </w:p>
    <w:p>
      <w:pPr>
        <w:adjustRightInd w:val="0"/>
        <w:snapToGrid w:val="0"/>
        <w:spacing w:line="360" w:lineRule="auto"/>
        <w:ind w:firstLine="420" w:firstLineChars="200"/>
        <w:rPr>
          <w:rFonts w:ascii="宋体" w:hAnsi="宋体"/>
          <w:szCs w:val="21"/>
        </w:rPr>
      </w:pPr>
      <w:r>
        <w:rPr>
          <w:rFonts w:hint="eastAsia" w:ascii="宋体" w:hAnsi="宋体"/>
          <w:szCs w:val="21"/>
        </w:rPr>
        <w:t>本次招标，采取综合评估法进行详细评审，并采取打分的方法衡量投标文件是否最大限度地满足招标 文件中规定的各项评价标准，满分为 100 分。评标委员会从以下几方面对投标文件进行详细评审和打分：</w:t>
      </w:r>
    </w:p>
    <w:tbl>
      <w:tblPr>
        <w:tblStyle w:val="87"/>
        <w:tblW w:w="946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221"/>
        <w:gridCol w:w="717"/>
        <w:gridCol w:w="1683"/>
        <w:gridCol w:w="4587"/>
        <w:gridCol w:w="6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4" w:hRule="atLeast"/>
          <w:tblHeader/>
          <w:jc w:val="center"/>
        </w:trPr>
        <w:tc>
          <w:tcPr>
            <w:tcW w:w="645" w:type="dxa"/>
          </w:tcPr>
          <w:p>
            <w:pPr>
              <w:widowControl/>
              <w:jc w:val="center"/>
              <w:rPr>
                <w:rFonts w:ascii="宋体" w:hAnsi="宋体" w:cs="宋体"/>
                <w:kern w:val="0"/>
              </w:rPr>
            </w:pPr>
            <w:r>
              <w:rPr>
                <w:rFonts w:hint="eastAsia" w:ascii="宋体" w:hAnsi="宋体" w:cs="宋体"/>
                <w:kern w:val="0"/>
              </w:rPr>
              <w:t>序号</w:t>
            </w:r>
          </w:p>
        </w:tc>
        <w:tc>
          <w:tcPr>
            <w:tcW w:w="1221" w:type="dxa"/>
          </w:tcPr>
          <w:p>
            <w:pPr>
              <w:widowControl/>
              <w:jc w:val="center"/>
              <w:rPr>
                <w:rFonts w:ascii="宋体" w:hAnsi="宋体" w:cs="宋体"/>
                <w:kern w:val="0"/>
              </w:rPr>
            </w:pPr>
            <w:r>
              <w:rPr>
                <w:rFonts w:hint="eastAsia" w:ascii="宋体" w:hAnsi="宋体" w:cs="宋体"/>
                <w:kern w:val="0"/>
              </w:rPr>
              <w:t>评分因素</w:t>
            </w:r>
          </w:p>
        </w:tc>
        <w:tc>
          <w:tcPr>
            <w:tcW w:w="6987" w:type="dxa"/>
            <w:gridSpan w:val="3"/>
          </w:tcPr>
          <w:p>
            <w:pPr>
              <w:widowControl/>
              <w:jc w:val="center"/>
              <w:rPr>
                <w:rFonts w:ascii="宋体" w:hAnsi="宋体" w:cs="宋体"/>
                <w:kern w:val="0"/>
              </w:rPr>
            </w:pPr>
            <w:r>
              <w:rPr>
                <w:rFonts w:hint="eastAsia" w:ascii="宋体" w:hAnsi="宋体" w:cs="宋体"/>
                <w:kern w:val="0"/>
              </w:rPr>
              <w:t>评审标准</w:t>
            </w:r>
          </w:p>
        </w:tc>
        <w:tc>
          <w:tcPr>
            <w:tcW w:w="612" w:type="dxa"/>
          </w:tcPr>
          <w:p>
            <w:pPr>
              <w:widowControl/>
              <w:jc w:val="center"/>
              <w:rPr>
                <w:rFonts w:ascii="宋体" w:hAnsi="宋体" w:cs="宋体"/>
                <w:kern w:val="0"/>
              </w:rPr>
            </w:pPr>
            <w:r>
              <w:rPr>
                <w:rFonts w:hint="eastAsia" w:ascii="宋体" w:hAnsi="宋体" w:cs="宋体"/>
                <w:kern w:val="0"/>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4" w:hRule="atLeast"/>
          <w:jc w:val="center"/>
        </w:trPr>
        <w:tc>
          <w:tcPr>
            <w:tcW w:w="645" w:type="dxa"/>
            <w:vAlign w:val="center"/>
          </w:tcPr>
          <w:p>
            <w:pPr>
              <w:widowControl/>
              <w:ind w:right="105"/>
              <w:jc w:val="right"/>
              <w:rPr>
                <w:rFonts w:ascii="宋体" w:hAnsi="宋体" w:cs="宋体"/>
                <w:kern w:val="0"/>
              </w:rPr>
            </w:pPr>
            <w:bookmarkStart w:id="4" w:name="_Hlk297273538"/>
            <w:r>
              <w:rPr>
                <w:rFonts w:hint="eastAsia" w:ascii="宋体" w:hAnsi="宋体" w:cs="宋体"/>
                <w:kern w:val="0"/>
              </w:rPr>
              <w:t>1</w:t>
            </w:r>
          </w:p>
        </w:tc>
        <w:tc>
          <w:tcPr>
            <w:tcW w:w="1221" w:type="dxa"/>
            <w:vAlign w:val="center"/>
          </w:tcPr>
          <w:p>
            <w:pPr>
              <w:widowControl/>
              <w:rPr>
                <w:rFonts w:ascii="宋体" w:hAnsi="宋体" w:cs="宋体"/>
                <w:kern w:val="0"/>
              </w:rPr>
            </w:pPr>
            <w:r>
              <w:rPr>
                <w:rFonts w:hint="eastAsia" w:ascii="宋体" w:hAnsi="宋体" w:cs="宋体"/>
                <w:kern w:val="0"/>
              </w:rPr>
              <w:t>价格（30）</w:t>
            </w:r>
          </w:p>
        </w:tc>
        <w:tc>
          <w:tcPr>
            <w:tcW w:w="6987" w:type="dxa"/>
            <w:gridSpan w:val="3"/>
            <w:vAlign w:val="center"/>
          </w:tcPr>
          <w:p>
            <w:pPr>
              <w:widowControl/>
              <w:rPr>
                <w:rFonts w:ascii="宋体" w:hAnsi="宋体" w:cs="宋体"/>
                <w:kern w:val="0"/>
              </w:rPr>
            </w:pPr>
            <w:r>
              <w:rPr>
                <w:rFonts w:hint="eastAsia" w:ascii="宋体" w:hAnsi="宋体" w:cs="宋体"/>
                <w:kern w:val="0"/>
              </w:rPr>
              <w:t>采用低价优先法计算，即满足招标文件要求且投标价格低的投标报价为评标基准价，其价格分为满分。其他投标人的价格分按照下列公式计算（小数点保留一位）：投标报价得分=(评标基准价／投标报价)×30</w:t>
            </w:r>
          </w:p>
        </w:tc>
        <w:tc>
          <w:tcPr>
            <w:tcW w:w="612" w:type="dxa"/>
            <w:vAlign w:val="center"/>
          </w:tcPr>
          <w:p>
            <w:pPr>
              <w:widowControl/>
              <w:rPr>
                <w:rFonts w:ascii="宋体" w:hAnsi="宋体" w:cs="宋体"/>
                <w:kern w:val="0"/>
              </w:rPr>
            </w:pPr>
            <w:r>
              <w:rPr>
                <w:rFonts w:hint="eastAsia" w:ascii="宋体" w:hAnsi="宋体" w:cs="宋体"/>
                <w:kern w:val="0"/>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56" w:hRule="atLeast"/>
          <w:jc w:val="center"/>
        </w:trPr>
        <w:tc>
          <w:tcPr>
            <w:tcW w:w="645" w:type="dxa"/>
            <w:vMerge w:val="restart"/>
            <w:vAlign w:val="center"/>
          </w:tcPr>
          <w:p>
            <w:pPr>
              <w:widowControl/>
              <w:ind w:right="105"/>
              <w:jc w:val="right"/>
              <w:rPr>
                <w:rFonts w:ascii="宋体" w:hAnsi="宋体" w:cs="宋体"/>
                <w:kern w:val="0"/>
              </w:rPr>
            </w:pPr>
            <w:r>
              <w:rPr>
                <w:rFonts w:hint="eastAsia" w:ascii="宋体" w:hAnsi="宋体" w:cs="宋体"/>
                <w:kern w:val="0"/>
              </w:rPr>
              <w:t>2</w:t>
            </w:r>
          </w:p>
        </w:tc>
        <w:tc>
          <w:tcPr>
            <w:tcW w:w="1221" w:type="dxa"/>
            <w:vMerge w:val="restart"/>
            <w:vAlign w:val="center"/>
          </w:tcPr>
          <w:p>
            <w:pPr>
              <w:widowControl/>
              <w:rPr>
                <w:rFonts w:ascii="宋体" w:hAnsi="宋体" w:cs="宋体"/>
                <w:kern w:val="0"/>
              </w:rPr>
            </w:pPr>
            <w:r>
              <w:rPr>
                <w:rFonts w:hint="eastAsia" w:ascii="宋体" w:hAnsi="宋体"/>
              </w:rPr>
              <w:t>技术因数的评价（40）</w:t>
            </w:r>
          </w:p>
        </w:tc>
        <w:tc>
          <w:tcPr>
            <w:tcW w:w="717" w:type="dxa"/>
            <w:vAlign w:val="center"/>
          </w:tcPr>
          <w:p>
            <w:pPr>
              <w:widowControl/>
              <w:rPr>
                <w:rFonts w:ascii="宋体" w:hAnsi="宋体" w:cs="宋体"/>
                <w:kern w:val="0"/>
              </w:rPr>
            </w:pPr>
            <w:r>
              <w:rPr>
                <w:rFonts w:hint="eastAsia" w:ascii="宋体" w:hAnsi="宋体" w:cs="宋体"/>
                <w:kern w:val="0"/>
              </w:rPr>
              <w:t>1、</w:t>
            </w:r>
          </w:p>
        </w:tc>
        <w:tc>
          <w:tcPr>
            <w:tcW w:w="1683" w:type="dxa"/>
            <w:vAlign w:val="center"/>
          </w:tcPr>
          <w:p>
            <w:pPr>
              <w:widowControl/>
              <w:rPr>
                <w:rFonts w:ascii="宋体" w:hAnsi="宋体" w:cs="宋体"/>
                <w:kern w:val="0"/>
              </w:rPr>
            </w:pPr>
            <w:r>
              <w:rPr>
                <w:rFonts w:hint="eastAsia"/>
              </w:rPr>
              <w:t>技术路线概述</w:t>
            </w:r>
          </w:p>
        </w:tc>
        <w:tc>
          <w:tcPr>
            <w:tcW w:w="4587" w:type="dxa"/>
            <w:vAlign w:val="center"/>
          </w:tcPr>
          <w:p>
            <w:pPr>
              <w:widowControl/>
            </w:pPr>
            <w:r>
              <w:rPr>
                <w:rFonts w:hint="eastAsia" w:ascii="宋体" w:hAnsi="宋体" w:cs="宋体"/>
                <w:kern w:val="0"/>
                <w:lang w:val="zh-CN"/>
              </w:rPr>
              <w:t>根据投标文件中书面描述、投标人现场答辩及软件演示，</w:t>
            </w:r>
            <w:r>
              <w:rPr>
                <w:rFonts w:hint="eastAsia" w:ascii="宋体" w:hAnsi="宋体" w:cs="宋体"/>
                <w:kern w:val="0"/>
              </w:rPr>
              <w:t>技术路线满足国家及学校要求，</w:t>
            </w:r>
            <w:r>
              <w:rPr>
                <w:rFonts w:hint="eastAsia" w:ascii="宋体" w:hAnsi="宋体" w:cs="宋体"/>
                <w:kern w:val="0"/>
                <w:lang w:val="zh-CN"/>
              </w:rPr>
              <w:t>新技术以及各类技术组合</w:t>
            </w:r>
            <w:r>
              <w:rPr>
                <w:rFonts w:hint="eastAsia" w:ascii="宋体" w:hAnsi="宋体" w:cs="宋体"/>
                <w:kern w:val="0"/>
              </w:rPr>
              <w:t>合理，能为校园节能降耗提供指导和分析</w:t>
            </w:r>
            <w:r>
              <w:rPr>
                <w:rFonts w:hint="eastAsia" w:ascii="宋体" w:hAnsi="宋体" w:cs="宋体"/>
                <w:kern w:val="0"/>
                <w:lang w:val="zh-CN"/>
              </w:rPr>
              <w:t>，</w:t>
            </w:r>
            <w:r>
              <w:rPr>
                <w:rFonts w:hint="eastAsia" w:ascii="宋体" w:hAnsi="宋体" w:cs="宋体"/>
                <w:kern w:val="0"/>
              </w:rPr>
              <w:t>满分10分：优得10分，良得8分，中得6分，一般得4分，无得0分。</w:t>
            </w:r>
          </w:p>
        </w:tc>
        <w:tc>
          <w:tcPr>
            <w:tcW w:w="612" w:type="dxa"/>
            <w:vAlign w:val="center"/>
          </w:tcPr>
          <w:p>
            <w:pPr>
              <w:widowControl/>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 w:hRule="atLeast"/>
          <w:jc w:val="center"/>
        </w:trPr>
        <w:tc>
          <w:tcPr>
            <w:tcW w:w="645" w:type="dxa"/>
            <w:vMerge w:val="continue"/>
            <w:vAlign w:val="center"/>
          </w:tcPr>
          <w:p>
            <w:pPr>
              <w:widowControl/>
              <w:ind w:right="105"/>
              <w:jc w:val="right"/>
              <w:rPr>
                <w:rFonts w:ascii="宋体" w:hAnsi="宋体" w:cs="宋体"/>
                <w:kern w:val="0"/>
              </w:rPr>
            </w:pPr>
          </w:p>
        </w:tc>
        <w:tc>
          <w:tcPr>
            <w:tcW w:w="1221" w:type="dxa"/>
            <w:vMerge w:val="continue"/>
            <w:vAlign w:val="center"/>
          </w:tcPr>
          <w:p>
            <w:pPr>
              <w:widowControl/>
              <w:rPr>
                <w:rFonts w:ascii="宋体" w:hAnsi="宋体" w:cs="宋体"/>
                <w:kern w:val="0"/>
              </w:rPr>
            </w:pPr>
          </w:p>
        </w:tc>
        <w:tc>
          <w:tcPr>
            <w:tcW w:w="717" w:type="dxa"/>
            <w:vAlign w:val="center"/>
          </w:tcPr>
          <w:p>
            <w:pPr>
              <w:widowControl/>
              <w:rPr>
                <w:rFonts w:ascii="宋体" w:hAnsi="宋体" w:cs="宋体"/>
                <w:kern w:val="0"/>
              </w:rPr>
            </w:pPr>
            <w:r>
              <w:rPr>
                <w:rFonts w:hint="eastAsia" w:ascii="宋体" w:hAnsi="宋体" w:cs="宋体"/>
                <w:kern w:val="0"/>
              </w:rPr>
              <w:t>2、</w:t>
            </w:r>
          </w:p>
        </w:tc>
        <w:tc>
          <w:tcPr>
            <w:tcW w:w="1683" w:type="dxa"/>
            <w:vAlign w:val="center"/>
          </w:tcPr>
          <w:p>
            <w:pPr>
              <w:widowControl/>
              <w:rPr>
                <w:rFonts w:ascii="宋体" w:hAnsi="宋体" w:cs="宋体"/>
                <w:kern w:val="0"/>
              </w:rPr>
            </w:pPr>
            <w:r>
              <w:rPr>
                <w:rFonts w:hint="eastAsia"/>
              </w:rPr>
              <w:t>主要软硬件选型</w:t>
            </w:r>
          </w:p>
        </w:tc>
        <w:tc>
          <w:tcPr>
            <w:tcW w:w="4587" w:type="dxa"/>
            <w:vAlign w:val="center"/>
          </w:tcPr>
          <w:p>
            <w:pPr>
              <w:widowControl/>
              <w:rPr>
                <w:rFonts w:ascii="宋体" w:hAnsi="宋体" w:cs="宋体"/>
                <w:color w:val="FF0000"/>
                <w:kern w:val="0"/>
              </w:rPr>
            </w:pPr>
            <w:r>
              <w:rPr>
                <w:rFonts w:hint="eastAsia" w:ascii="宋体" w:hAnsi="宋体" w:cs="宋体"/>
                <w:kern w:val="0"/>
                <w:lang w:val="zh-CN"/>
              </w:rPr>
              <w:t>主要软硬件选型合理性，产品品牌信誉度高，满足技术要求。满分10分：优得10分，良得8分，中得6分，一般得4分，无得0分。</w:t>
            </w:r>
          </w:p>
        </w:tc>
        <w:tc>
          <w:tcPr>
            <w:tcW w:w="612" w:type="dxa"/>
            <w:vAlign w:val="center"/>
          </w:tcPr>
          <w:p>
            <w:pPr>
              <w:widowControl/>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 w:hRule="atLeast"/>
          <w:jc w:val="center"/>
        </w:trPr>
        <w:tc>
          <w:tcPr>
            <w:tcW w:w="645" w:type="dxa"/>
            <w:vMerge w:val="continue"/>
            <w:vAlign w:val="center"/>
          </w:tcPr>
          <w:p>
            <w:pPr>
              <w:widowControl/>
              <w:ind w:right="105"/>
              <w:jc w:val="right"/>
              <w:rPr>
                <w:rFonts w:ascii="宋体" w:hAnsi="宋体" w:cs="宋体"/>
                <w:kern w:val="0"/>
              </w:rPr>
            </w:pPr>
          </w:p>
        </w:tc>
        <w:tc>
          <w:tcPr>
            <w:tcW w:w="1221" w:type="dxa"/>
            <w:vMerge w:val="continue"/>
            <w:vAlign w:val="center"/>
          </w:tcPr>
          <w:p>
            <w:pPr>
              <w:widowControl/>
              <w:rPr>
                <w:rFonts w:ascii="宋体" w:hAnsi="宋体" w:cs="宋体"/>
                <w:kern w:val="0"/>
              </w:rPr>
            </w:pPr>
          </w:p>
        </w:tc>
        <w:tc>
          <w:tcPr>
            <w:tcW w:w="717" w:type="dxa"/>
            <w:vAlign w:val="center"/>
          </w:tcPr>
          <w:p>
            <w:pPr>
              <w:widowControl/>
              <w:rPr>
                <w:rFonts w:ascii="宋体" w:hAnsi="宋体" w:cs="宋体"/>
                <w:kern w:val="0"/>
              </w:rPr>
            </w:pPr>
            <w:r>
              <w:rPr>
                <w:rFonts w:hint="eastAsia" w:ascii="宋体" w:hAnsi="宋体" w:cs="宋体"/>
                <w:kern w:val="0"/>
              </w:rPr>
              <w:t>3、</w:t>
            </w:r>
          </w:p>
        </w:tc>
        <w:tc>
          <w:tcPr>
            <w:tcW w:w="1683" w:type="dxa"/>
            <w:vAlign w:val="center"/>
          </w:tcPr>
          <w:p>
            <w:pPr>
              <w:widowControl/>
              <w:rPr>
                <w:rFonts w:ascii="宋体" w:hAnsi="宋体" w:cs="宋体"/>
                <w:kern w:val="0"/>
              </w:rPr>
            </w:pPr>
            <w:r>
              <w:rPr>
                <w:rFonts w:hint="eastAsia"/>
              </w:rPr>
              <w:t>改造施工方案</w:t>
            </w:r>
          </w:p>
        </w:tc>
        <w:tc>
          <w:tcPr>
            <w:tcW w:w="4587" w:type="dxa"/>
            <w:vAlign w:val="center"/>
          </w:tcPr>
          <w:p>
            <w:pPr>
              <w:widowControl/>
              <w:rPr>
                <w:rFonts w:ascii="宋体" w:hAnsi="宋体" w:cs="宋体"/>
                <w:kern w:val="0"/>
              </w:rPr>
            </w:pPr>
            <w:r>
              <w:rPr>
                <w:rFonts w:hint="eastAsia"/>
              </w:rPr>
              <w:t>改造施工方案满足要求，配合施工、</w:t>
            </w:r>
            <w:r>
              <w:t>安全操作规程科学</w:t>
            </w:r>
            <w:r>
              <w:rPr>
                <w:rFonts w:hint="eastAsia"/>
              </w:rPr>
              <w:t>、验收方案合理。满分10分：优得10分，良得8分，中得6分，一般得4分，无得</w:t>
            </w:r>
            <w:r>
              <w:t>0</w:t>
            </w:r>
            <w:r>
              <w:rPr>
                <w:rFonts w:hint="eastAsia"/>
              </w:rPr>
              <w:t>分。</w:t>
            </w:r>
          </w:p>
        </w:tc>
        <w:tc>
          <w:tcPr>
            <w:tcW w:w="612" w:type="dxa"/>
            <w:vAlign w:val="center"/>
          </w:tcPr>
          <w:p>
            <w:pPr>
              <w:widowControl/>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 w:hRule="atLeast"/>
          <w:jc w:val="center"/>
        </w:trPr>
        <w:tc>
          <w:tcPr>
            <w:tcW w:w="645" w:type="dxa"/>
            <w:vMerge w:val="continue"/>
            <w:vAlign w:val="center"/>
          </w:tcPr>
          <w:p>
            <w:pPr>
              <w:widowControl/>
              <w:ind w:right="105"/>
              <w:jc w:val="right"/>
              <w:rPr>
                <w:rFonts w:ascii="宋体" w:hAnsi="宋体" w:cs="宋体"/>
                <w:kern w:val="0"/>
              </w:rPr>
            </w:pPr>
          </w:p>
        </w:tc>
        <w:tc>
          <w:tcPr>
            <w:tcW w:w="1221" w:type="dxa"/>
            <w:vMerge w:val="continue"/>
            <w:vAlign w:val="center"/>
          </w:tcPr>
          <w:p>
            <w:pPr>
              <w:widowControl/>
              <w:rPr>
                <w:rFonts w:ascii="宋体" w:hAnsi="宋体" w:cs="宋体"/>
                <w:kern w:val="0"/>
              </w:rPr>
            </w:pPr>
          </w:p>
        </w:tc>
        <w:tc>
          <w:tcPr>
            <w:tcW w:w="717" w:type="dxa"/>
            <w:vAlign w:val="center"/>
          </w:tcPr>
          <w:p>
            <w:pPr>
              <w:widowControl/>
              <w:rPr>
                <w:rFonts w:ascii="宋体" w:hAnsi="宋体" w:cs="宋体"/>
                <w:kern w:val="0"/>
              </w:rPr>
            </w:pPr>
            <w:r>
              <w:rPr>
                <w:rFonts w:hint="eastAsia" w:ascii="宋体" w:hAnsi="宋体" w:cs="宋体"/>
                <w:kern w:val="0"/>
              </w:rPr>
              <w:t>4、</w:t>
            </w:r>
          </w:p>
        </w:tc>
        <w:tc>
          <w:tcPr>
            <w:tcW w:w="1683" w:type="dxa"/>
            <w:vAlign w:val="center"/>
          </w:tcPr>
          <w:p>
            <w:pPr>
              <w:widowControl/>
              <w:rPr>
                <w:rFonts w:ascii="宋体" w:hAnsi="宋体" w:cs="宋体"/>
                <w:kern w:val="0"/>
              </w:rPr>
            </w:pPr>
            <w:r>
              <w:rPr>
                <w:rFonts w:hint="eastAsia"/>
              </w:rPr>
              <w:t>系统的技术方案及深化设计</w:t>
            </w:r>
          </w:p>
        </w:tc>
        <w:tc>
          <w:tcPr>
            <w:tcW w:w="4587" w:type="dxa"/>
            <w:vAlign w:val="center"/>
          </w:tcPr>
          <w:p>
            <w:pPr>
              <w:widowControl/>
              <w:rPr>
                <w:rFonts w:ascii="宋体" w:hAnsi="宋体" w:cs="宋体"/>
                <w:kern w:val="0"/>
              </w:rPr>
            </w:pPr>
            <w:r>
              <w:rPr>
                <w:rFonts w:hint="eastAsia"/>
              </w:rPr>
              <w:t>系统的技术方案及深化设计</w:t>
            </w:r>
            <w:r>
              <w:t>具体、完整、可行</w:t>
            </w:r>
            <w:r>
              <w:rPr>
                <w:rFonts w:hint="eastAsia"/>
              </w:rPr>
              <w:t>。满分10分：优得10分，良得8分，中得6分，一般得4分，无得</w:t>
            </w:r>
            <w:r>
              <w:t>0</w:t>
            </w:r>
            <w:r>
              <w:rPr>
                <w:rFonts w:hint="eastAsia"/>
              </w:rPr>
              <w:t>分。</w:t>
            </w:r>
          </w:p>
        </w:tc>
        <w:tc>
          <w:tcPr>
            <w:tcW w:w="612" w:type="dxa"/>
            <w:vAlign w:val="center"/>
          </w:tcPr>
          <w:p>
            <w:pPr>
              <w:widowControl/>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 w:hRule="atLeast"/>
          <w:jc w:val="center"/>
        </w:trPr>
        <w:tc>
          <w:tcPr>
            <w:tcW w:w="645" w:type="dxa"/>
            <w:vAlign w:val="center"/>
          </w:tcPr>
          <w:p>
            <w:pPr>
              <w:widowControl/>
              <w:ind w:right="105"/>
              <w:jc w:val="right"/>
              <w:rPr>
                <w:rFonts w:ascii="宋体" w:hAnsi="宋体" w:cs="宋体"/>
                <w:kern w:val="0"/>
              </w:rPr>
            </w:pPr>
            <w:r>
              <w:rPr>
                <w:rFonts w:hint="eastAsia" w:ascii="宋体" w:hAnsi="宋体" w:cs="宋体"/>
                <w:kern w:val="0"/>
              </w:rPr>
              <w:t>3</w:t>
            </w:r>
          </w:p>
        </w:tc>
        <w:tc>
          <w:tcPr>
            <w:tcW w:w="1221" w:type="dxa"/>
            <w:vAlign w:val="center"/>
          </w:tcPr>
          <w:p>
            <w:pPr>
              <w:widowControl/>
              <w:rPr>
                <w:rFonts w:ascii="宋体" w:hAnsi="宋体" w:cs="宋体"/>
                <w:kern w:val="0"/>
              </w:rPr>
            </w:pPr>
            <w:r>
              <w:rPr>
                <w:rFonts w:hint="eastAsia" w:ascii="宋体" w:hAnsi="宋体"/>
                <w:sz w:val="23"/>
                <w:szCs w:val="23"/>
              </w:rPr>
              <w:t>商务因素的评价（</w:t>
            </w:r>
            <w:r>
              <w:rPr>
                <w:rFonts w:hint="eastAsia" w:ascii="宋体" w:hAnsi="宋体"/>
              </w:rPr>
              <w:t>5）</w:t>
            </w:r>
          </w:p>
        </w:tc>
        <w:tc>
          <w:tcPr>
            <w:tcW w:w="717" w:type="dxa"/>
            <w:vAlign w:val="center"/>
          </w:tcPr>
          <w:p>
            <w:pPr>
              <w:widowControl/>
              <w:rPr>
                <w:rFonts w:ascii="宋体" w:hAnsi="宋体" w:cs="宋体"/>
                <w:kern w:val="0"/>
              </w:rPr>
            </w:pPr>
            <w:r>
              <w:rPr>
                <w:rFonts w:hint="eastAsia" w:ascii="宋体" w:hAnsi="宋体" w:cs="宋体"/>
                <w:kern w:val="0"/>
              </w:rPr>
              <w:t>1、</w:t>
            </w:r>
          </w:p>
        </w:tc>
        <w:tc>
          <w:tcPr>
            <w:tcW w:w="1683" w:type="dxa"/>
            <w:vAlign w:val="center"/>
          </w:tcPr>
          <w:p>
            <w:pPr>
              <w:widowControl/>
            </w:pPr>
            <w:r>
              <w:t>业绩</w:t>
            </w:r>
          </w:p>
        </w:tc>
        <w:tc>
          <w:tcPr>
            <w:tcW w:w="4587" w:type="dxa"/>
            <w:vAlign w:val="center"/>
          </w:tcPr>
          <w:p>
            <w:pPr>
              <w:widowControl/>
            </w:pPr>
            <w:r>
              <w:rPr>
                <w:rFonts w:hint="eastAsia"/>
              </w:rPr>
              <w:t>2015年1月1日以来投标人承接过类</w:t>
            </w:r>
            <w:r>
              <w:rPr>
                <w:rFonts w:hint="eastAsia"/>
                <w:color w:val="000000" w:themeColor="text1"/>
              </w:rPr>
              <w:t>似综合能源项目业绩。（提供合同及验收证明资料）每提供1份得1分，满分5分</w:t>
            </w:r>
          </w:p>
        </w:tc>
        <w:tc>
          <w:tcPr>
            <w:tcW w:w="612" w:type="dxa"/>
            <w:vAlign w:val="center"/>
          </w:tcPr>
          <w:p>
            <w:pPr>
              <w:widowControl/>
              <w:rPr>
                <w:rFonts w:ascii="宋体" w:hAnsi="宋体" w:cs="宋体"/>
                <w:kern w:val="0"/>
              </w:rPr>
            </w:pPr>
            <w:r>
              <w:rPr>
                <w:rFonts w:hint="eastAsia" w:ascii="宋体" w:hAnsi="宋体" w:cs="宋体"/>
                <w:kern w:val="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6" w:hRule="atLeast"/>
          <w:jc w:val="center"/>
        </w:trPr>
        <w:tc>
          <w:tcPr>
            <w:tcW w:w="645" w:type="dxa"/>
            <w:vMerge w:val="restart"/>
            <w:vAlign w:val="center"/>
          </w:tcPr>
          <w:p>
            <w:pPr>
              <w:widowControl/>
              <w:ind w:right="105"/>
              <w:jc w:val="right"/>
              <w:rPr>
                <w:rFonts w:ascii="宋体" w:hAnsi="宋体" w:cs="宋体"/>
                <w:kern w:val="0"/>
              </w:rPr>
            </w:pPr>
            <w:r>
              <w:rPr>
                <w:rFonts w:hint="eastAsia" w:ascii="宋体" w:hAnsi="宋体" w:cs="宋体"/>
                <w:kern w:val="0"/>
              </w:rPr>
              <w:t>4</w:t>
            </w:r>
          </w:p>
        </w:tc>
        <w:tc>
          <w:tcPr>
            <w:tcW w:w="1221" w:type="dxa"/>
            <w:vMerge w:val="restart"/>
            <w:vAlign w:val="center"/>
          </w:tcPr>
          <w:p>
            <w:pPr>
              <w:widowControl/>
              <w:rPr>
                <w:rFonts w:ascii="宋体" w:hAnsi="宋体" w:cs="宋体"/>
                <w:kern w:val="0"/>
              </w:rPr>
            </w:pPr>
            <w:r>
              <w:rPr>
                <w:rFonts w:hint="eastAsia"/>
                <w:sz w:val="23"/>
                <w:szCs w:val="23"/>
              </w:rPr>
              <w:t>服务因素的评价</w:t>
            </w:r>
            <w:r>
              <w:rPr>
                <w:rFonts w:hint="eastAsia" w:ascii="宋体" w:hAnsi="宋体"/>
                <w:sz w:val="23"/>
                <w:szCs w:val="23"/>
              </w:rPr>
              <w:t>（25）</w:t>
            </w:r>
          </w:p>
        </w:tc>
        <w:tc>
          <w:tcPr>
            <w:tcW w:w="717" w:type="dxa"/>
            <w:vAlign w:val="center"/>
          </w:tcPr>
          <w:p>
            <w:pPr>
              <w:rPr>
                <w:rFonts w:ascii="宋体" w:hAnsi="宋体" w:cs="宋体"/>
                <w:kern w:val="0"/>
              </w:rPr>
            </w:pPr>
            <w:r>
              <w:rPr>
                <w:rFonts w:hint="eastAsia" w:ascii="宋体" w:hAnsi="宋体" w:cs="宋体"/>
                <w:kern w:val="0"/>
              </w:rPr>
              <w:t>1、</w:t>
            </w:r>
          </w:p>
        </w:tc>
        <w:tc>
          <w:tcPr>
            <w:tcW w:w="1683" w:type="dxa"/>
            <w:vAlign w:val="center"/>
          </w:tcPr>
          <w:p>
            <w:pPr>
              <w:autoSpaceDE w:val="0"/>
              <w:autoSpaceDN w:val="0"/>
              <w:adjustRightInd w:val="0"/>
              <w:spacing w:line="360" w:lineRule="auto"/>
              <w:jc w:val="left"/>
            </w:pPr>
            <w:r>
              <w:t>服务</w:t>
            </w:r>
            <w:r>
              <w:rPr>
                <w:rFonts w:hint="eastAsia"/>
              </w:rPr>
              <w:t>机构</w:t>
            </w:r>
          </w:p>
        </w:tc>
        <w:tc>
          <w:tcPr>
            <w:tcW w:w="4587" w:type="dxa"/>
            <w:vAlign w:val="center"/>
          </w:tcPr>
          <w:p>
            <w:r>
              <w:rPr>
                <w:rFonts w:hint="eastAsia"/>
              </w:rPr>
              <w:t>服务机构配置合理，服务人员专业、素质、经验满足要求。满分10分：优得10分，良得8分，中得6分，一般得4分，无得</w:t>
            </w:r>
            <w:r>
              <w:t>0</w:t>
            </w:r>
            <w:r>
              <w:rPr>
                <w:rFonts w:hint="eastAsia"/>
              </w:rPr>
              <w:t>分。（依据投标人提供的服务机构设置、服务人员情况、资质证书、类似业绩证明文件等评审）</w:t>
            </w:r>
          </w:p>
        </w:tc>
        <w:tc>
          <w:tcPr>
            <w:tcW w:w="612" w:type="dxa"/>
            <w:vAlign w:val="center"/>
          </w:tcPr>
          <w:p>
            <w:pPr>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645" w:type="dxa"/>
            <w:vMerge w:val="continue"/>
            <w:vAlign w:val="center"/>
          </w:tcPr>
          <w:p>
            <w:pPr>
              <w:widowControl/>
              <w:ind w:right="105"/>
              <w:jc w:val="right"/>
              <w:rPr>
                <w:rFonts w:ascii="宋体" w:hAnsi="宋体" w:cs="宋体"/>
                <w:kern w:val="0"/>
              </w:rPr>
            </w:pPr>
          </w:p>
        </w:tc>
        <w:tc>
          <w:tcPr>
            <w:tcW w:w="1221" w:type="dxa"/>
            <w:vMerge w:val="continue"/>
            <w:vAlign w:val="center"/>
          </w:tcPr>
          <w:p>
            <w:pPr>
              <w:widowControl/>
              <w:rPr>
                <w:sz w:val="23"/>
                <w:szCs w:val="23"/>
              </w:rPr>
            </w:pPr>
          </w:p>
        </w:tc>
        <w:tc>
          <w:tcPr>
            <w:tcW w:w="717" w:type="dxa"/>
            <w:vAlign w:val="center"/>
          </w:tcPr>
          <w:p>
            <w:pPr>
              <w:rPr>
                <w:rFonts w:ascii="宋体" w:hAnsi="宋体" w:cs="宋体"/>
                <w:kern w:val="0"/>
              </w:rPr>
            </w:pPr>
            <w:r>
              <w:rPr>
                <w:rFonts w:hint="eastAsia" w:ascii="宋体" w:hAnsi="宋体" w:cs="宋体"/>
                <w:kern w:val="0"/>
              </w:rPr>
              <w:t>2、</w:t>
            </w:r>
          </w:p>
        </w:tc>
        <w:tc>
          <w:tcPr>
            <w:tcW w:w="1683" w:type="dxa"/>
            <w:vAlign w:val="center"/>
          </w:tcPr>
          <w:p>
            <w:pPr>
              <w:autoSpaceDE w:val="0"/>
              <w:autoSpaceDN w:val="0"/>
              <w:adjustRightInd w:val="0"/>
              <w:spacing w:line="360" w:lineRule="auto"/>
              <w:jc w:val="left"/>
            </w:pPr>
            <w:r>
              <w:rPr>
                <w:rFonts w:hint="eastAsia"/>
              </w:rPr>
              <w:t>服务计划</w:t>
            </w:r>
          </w:p>
        </w:tc>
        <w:tc>
          <w:tcPr>
            <w:tcW w:w="4587" w:type="dxa"/>
            <w:vAlign w:val="center"/>
          </w:tcPr>
          <w:p>
            <w:pPr>
              <w:pStyle w:val="494"/>
              <w:numPr>
                <w:ilvl w:val="0"/>
                <w:numId w:val="18"/>
              </w:numPr>
              <w:ind w:firstLineChars="0"/>
            </w:pPr>
            <w:r>
              <w:rPr>
                <w:rFonts w:hint="eastAsia"/>
              </w:rPr>
              <w:t>服务计划完整合理，满足学校能效管理要求。满分5分：优得5分，良得4分，中得3分，一般得2分，无得</w:t>
            </w:r>
            <w:r>
              <w:t>0</w:t>
            </w:r>
            <w:r>
              <w:rPr>
                <w:rFonts w:hint="eastAsia"/>
              </w:rPr>
              <w:t>分。</w:t>
            </w:r>
          </w:p>
          <w:p>
            <w:pPr>
              <w:pStyle w:val="494"/>
              <w:numPr>
                <w:ilvl w:val="0"/>
                <w:numId w:val="18"/>
              </w:numPr>
              <w:ind w:firstLineChars="0"/>
            </w:pPr>
            <w:r>
              <w:rPr>
                <w:rFonts w:hint="eastAsia"/>
              </w:rPr>
              <w:t>具备协助学校申领能效领跑者示范项目的得5分，无不得分。（依据投标人提供的协助申领计划、类似协助申领工作业绩证明、是否属于教育部学校规划建设发展中心能效领跑者建设项目企业库成员等评审）</w:t>
            </w:r>
          </w:p>
        </w:tc>
        <w:tc>
          <w:tcPr>
            <w:tcW w:w="612" w:type="dxa"/>
            <w:vAlign w:val="center"/>
          </w:tcPr>
          <w:p>
            <w:pPr>
              <w:rPr>
                <w:rFonts w:ascii="宋体" w:hAnsi="宋体" w:cs="宋体"/>
                <w:kern w:val="0"/>
              </w:rPr>
            </w:pPr>
            <w:r>
              <w:rPr>
                <w:rFonts w:hint="eastAsia" w:ascii="宋体" w:hAnsi="宋体" w:cs="宋体"/>
                <w:kern w:val="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38" w:hRule="atLeast"/>
          <w:jc w:val="center"/>
        </w:trPr>
        <w:tc>
          <w:tcPr>
            <w:tcW w:w="645" w:type="dxa"/>
            <w:vMerge w:val="continue"/>
            <w:vAlign w:val="center"/>
          </w:tcPr>
          <w:p>
            <w:pPr>
              <w:widowControl/>
              <w:ind w:right="105"/>
              <w:jc w:val="right"/>
              <w:rPr>
                <w:rFonts w:ascii="宋体" w:hAnsi="宋体" w:cs="宋体"/>
                <w:kern w:val="0"/>
              </w:rPr>
            </w:pPr>
          </w:p>
        </w:tc>
        <w:tc>
          <w:tcPr>
            <w:tcW w:w="1221" w:type="dxa"/>
            <w:vMerge w:val="continue"/>
            <w:vAlign w:val="center"/>
          </w:tcPr>
          <w:p>
            <w:pPr>
              <w:widowControl/>
              <w:rPr>
                <w:rFonts w:ascii="宋体" w:hAnsi="宋体" w:cs="宋体"/>
                <w:kern w:val="0"/>
              </w:rPr>
            </w:pPr>
          </w:p>
        </w:tc>
        <w:tc>
          <w:tcPr>
            <w:tcW w:w="717" w:type="dxa"/>
            <w:vAlign w:val="center"/>
          </w:tcPr>
          <w:p>
            <w:pPr>
              <w:widowControl/>
              <w:rPr>
                <w:rFonts w:ascii="宋体" w:hAnsi="宋体" w:cs="宋体"/>
                <w:kern w:val="0"/>
              </w:rPr>
            </w:pPr>
            <w:r>
              <w:rPr>
                <w:rFonts w:hint="eastAsia" w:ascii="宋体" w:hAnsi="宋体" w:cs="宋体"/>
                <w:kern w:val="0"/>
              </w:rPr>
              <w:t>3、</w:t>
            </w:r>
          </w:p>
        </w:tc>
        <w:tc>
          <w:tcPr>
            <w:tcW w:w="1683" w:type="dxa"/>
            <w:vAlign w:val="center"/>
          </w:tcPr>
          <w:p>
            <w:pPr>
              <w:widowControl/>
            </w:pPr>
            <w:r>
              <w:t>服务</w:t>
            </w:r>
            <w:r>
              <w:rPr>
                <w:rFonts w:hint="eastAsia"/>
              </w:rPr>
              <w:t>承诺（售后响应、培训、质保）</w:t>
            </w:r>
          </w:p>
        </w:tc>
        <w:tc>
          <w:tcPr>
            <w:tcW w:w="4587" w:type="dxa"/>
            <w:vAlign w:val="center"/>
          </w:tcPr>
          <w:p>
            <w:pPr>
              <w:widowControl/>
              <w:rPr>
                <w:color w:val="FF0000"/>
              </w:rPr>
            </w:pPr>
            <w:r>
              <w:t>根据投标文件提供的售后服务</w:t>
            </w:r>
            <w:r>
              <w:rPr>
                <w:rFonts w:hint="eastAsia"/>
              </w:rPr>
              <w:t>承诺，售后服务响应能力、响应时间及时迅速，在接到建设方维修通知后，迅速作出响应，确保维修人员及时赶到现场，解决问题；提供针对用户较好的培训计划；在三年质保的基础上，延长质保期，增加质保服务质量。满分5分：优得5分，良得4分，中得3分，一般得2分，无得0分。</w:t>
            </w:r>
          </w:p>
        </w:tc>
        <w:tc>
          <w:tcPr>
            <w:tcW w:w="612" w:type="dxa"/>
            <w:vAlign w:val="center"/>
          </w:tcPr>
          <w:p>
            <w:pPr>
              <w:widowControl/>
              <w:rPr>
                <w:rFonts w:ascii="宋体" w:hAnsi="宋体" w:cs="宋体"/>
                <w:kern w:val="0"/>
              </w:rPr>
            </w:pPr>
            <w:r>
              <w:rPr>
                <w:rFonts w:hint="eastAsia" w:ascii="宋体" w:hAnsi="宋体" w:cs="宋体"/>
                <w:kern w:val="0"/>
              </w:rPr>
              <w:t>5</w:t>
            </w:r>
          </w:p>
        </w:tc>
      </w:tr>
      <w:bookmarkEnd w:id="4"/>
    </w:tbl>
    <w:p>
      <w:pPr>
        <w:autoSpaceDE w:val="0"/>
        <w:autoSpaceDN w:val="0"/>
        <w:adjustRightInd w:val="0"/>
        <w:spacing w:line="360" w:lineRule="auto"/>
        <w:ind w:left="1455"/>
        <w:outlineLvl w:val="0"/>
        <w:rPr>
          <w:rFonts w:ascii="黑体" w:eastAsia="黑体"/>
          <w:b/>
          <w:bCs/>
          <w:sz w:val="36"/>
          <w:szCs w:val="36"/>
          <w:lang w:val="zh-CN"/>
        </w:rPr>
      </w:pPr>
    </w:p>
    <w:p>
      <w:pPr>
        <w:adjustRightInd w:val="0"/>
        <w:snapToGrid w:val="0"/>
        <w:spacing w:line="276" w:lineRule="auto"/>
        <w:rPr>
          <w:rFonts w:ascii="宋体" w:hAnsi="宋体"/>
          <w:b/>
          <w:szCs w:val="21"/>
        </w:rPr>
      </w:pPr>
      <w:r>
        <w:rPr>
          <w:rFonts w:hint="eastAsia" w:ascii="宋体" w:hAnsi="宋体"/>
          <w:b/>
          <w:szCs w:val="21"/>
        </w:rPr>
        <w:t>说明：</w:t>
      </w:r>
    </w:p>
    <w:p>
      <w:pPr>
        <w:ind w:firstLine="413" w:firstLineChars="196"/>
        <w:rPr>
          <w:rFonts w:ascii="宋体" w:cs="宋体"/>
          <w:b/>
          <w:kern w:val="0"/>
          <w:szCs w:val="21"/>
        </w:rPr>
      </w:pPr>
      <w:r>
        <w:rPr>
          <w:rFonts w:hint="eastAsia" w:ascii="宋体" w:hAnsi="宋体"/>
          <w:b/>
          <w:szCs w:val="21"/>
        </w:rPr>
        <w:t>1</w:t>
      </w:r>
      <w:r>
        <w:rPr>
          <w:rFonts w:hint="eastAsia" w:ascii="宋体"/>
          <w:b/>
          <w:szCs w:val="21"/>
        </w:rPr>
        <w:t>、</w:t>
      </w:r>
      <w:r>
        <w:rPr>
          <w:rFonts w:hint="eastAsia" w:ascii="宋体" w:cs="宋体"/>
          <w:b/>
          <w:kern w:val="0"/>
          <w:szCs w:val="21"/>
        </w:rPr>
        <w:t>对小型和微型企业产品的价格给予6%扣除，用扣除后的价格参与评审。</w:t>
      </w:r>
    </w:p>
    <w:p>
      <w:pPr>
        <w:ind w:firstLine="420" w:firstLineChars="200"/>
        <w:rPr>
          <w:rFonts w:ascii="宋体" w:hAnsi="宋体" w:cs="宋体"/>
          <w:kern w:val="0"/>
          <w:szCs w:val="21"/>
        </w:rPr>
      </w:pPr>
      <w:r>
        <w:rPr>
          <w:rFonts w:hint="eastAsia" w:ascii="宋体" w:hAnsi="宋体" w:cs="宋体"/>
          <w:kern w:val="0"/>
          <w:szCs w:val="21"/>
        </w:rPr>
        <w:t>小企业（含小型、微型企业）应当同时符合以下条件：</w:t>
      </w:r>
    </w:p>
    <w:p>
      <w:pPr>
        <w:ind w:firstLine="420" w:firstLineChars="200"/>
        <w:rPr>
          <w:rFonts w:ascii="宋体" w:hAnsi="宋体" w:cs="宋体"/>
          <w:kern w:val="0"/>
          <w:szCs w:val="21"/>
        </w:rPr>
      </w:pPr>
      <w:r>
        <w:rPr>
          <w:rFonts w:hint="eastAsia" w:ascii="宋体" w:hAnsi="宋体" w:cs="宋体"/>
          <w:kern w:val="0"/>
          <w:szCs w:val="21"/>
        </w:rPr>
        <w:t>（1）投标人为小企业，且符合中小企业划分标准；</w:t>
      </w:r>
    </w:p>
    <w:p>
      <w:pPr>
        <w:ind w:firstLine="420" w:firstLineChars="200"/>
        <w:rPr>
          <w:rFonts w:ascii="宋体" w:hAnsi="宋体" w:cs="宋体"/>
          <w:kern w:val="0"/>
          <w:szCs w:val="21"/>
        </w:rPr>
      </w:pPr>
      <w:r>
        <w:rPr>
          <w:rFonts w:hint="eastAsia" w:ascii="宋体" w:hAnsi="宋体" w:cs="宋体"/>
          <w:kern w:val="0"/>
          <w:szCs w:val="21"/>
        </w:rPr>
        <w:t>（2）提供本企业制造的货物、承担的工程或者服务，或者提供其他小企业制造的货物。如果提供的货物为大中型企业注册商标的货物，视同大中型企业。</w:t>
      </w:r>
    </w:p>
    <w:p>
      <w:pPr>
        <w:ind w:firstLine="413" w:firstLineChars="196"/>
        <w:rPr>
          <w:rFonts w:ascii="宋体" w:cs="宋体"/>
          <w:b/>
          <w:kern w:val="0"/>
          <w:szCs w:val="21"/>
        </w:rPr>
      </w:pPr>
      <w:r>
        <w:rPr>
          <w:rFonts w:hint="eastAsia" w:ascii="宋体" w:cs="宋体"/>
          <w:b/>
          <w:kern w:val="0"/>
          <w:szCs w:val="21"/>
        </w:rPr>
        <w:t>2、</w:t>
      </w:r>
      <w:r>
        <w:rPr>
          <w:rFonts w:ascii="宋体" w:cs="宋体"/>
          <w:b/>
          <w:kern w:val="0"/>
          <w:szCs w:val="21"/>
        </w:rPr>
        <w:t>对国家认定的节能产品和环保产品分别给予投标价的 5%、5%价格扣除，用扣除后的价格参与评审（特别说明：节能、环保产品必须纳入“中国政府采购网http://www.ccgp.gov.cn”等官方网站“节能、环保产品查询系统”，且以提供的证书复印件为准）</w:t>
      </w:r>
    </w:p>
    <w:p>
      <w:pPr>
        <w:adjustRightInd w:val="0"/>
        <w:snapToGrid w:val="0"/>
        <w:spacing w:line="276" w:lineRule="auto"/>
        <w:rPr>
          <w:rFonts w:ascii="宋体" w:hAnsi="宋体"/>
          <w:b/>
          <w:szCs w:val="21"/>
        </w:rPr>
      </w:pPr>
      <w:r>
        <w:rPr>
          <w:rFonts w:hint="eastAsia" w:ascii="宋体" w:hAnsi="宋体"/>
          <w:b/>
          <w:szCs w:val="21"/>
        </w:rPr>
        <w:t xml:space="preserve">   3</w:t>
      </w:r>
      <w:r>
        <w:rPr>
          <w:rFonts w:ascii="宋体" w:hAnsi="宋体"/>
          <w:b/>
          <w:szCs w:val="21"/>
        </w:rPr>
        <w:t>、</w:t>
      </w:r>
      <w:r>
        <w:rPr>
          <w:rFonts w:hint="eastAsia" w:ascii="宋体" w:hAnsi="宋体"/>
          <w:b/>
          <w:szCs w:val="21"/>
        </w:rPr>
        <w:t>所有业绩均以有效的原件为依据（合同原件），投标时需提交复印件。</w:t>
      </w:r>
      <w:bookmarkStart w:id="5" w:name="_Toc339120735"/>
    </w:p>
    <w:p>
      <w:pPr>
        <w:spacing w:before="20" w:after="20" w:line="360" w:lineRule="auto"/>
        <w:ind w:firstLine="211" w:firstLineChars="100"/>
        <w:rPr>
          <w:rFonts w:ascii="宋体" w:hAnsi="宋体"/>
          <w:b/>
          <w:color w:val="000000" w:themeColor="text1"/>
          <w:sz w:val="24"/>
        </w:rPr>
      </w:pPr>
      <w:r>
        <w:rPr>
          <w:rFonts w:hint="eastAsia" w:ascii="宋体" w:hAnsi="宋体"/>
          <w:b/>
          <w:color w:val="000000" w:themeColor="text1"/>
          <w:szCs w:val="21"/>
        </w:rPr>
        <w:t>4.</w:t>
      </w:r>
      <w:r>
        <w:rPr>
          <w:rFonts w:hint="eastAsia" w:ascii="宋体" w:hAnsi="宋体"/>
          <w:b/>
          <w:color w:val="000000" w:themeColor="text1"/>
          <w:sz w:val="24"/>
        </w:rPr>
        <w:t>招标文件第四章技术规格和要求中关于投标产品的元器件品牌为推荐品牌。若投标人采用其他品牌进行投标，应提供充分的证明材料，使评委相信其所投品牌的质量、品牌信誉度和售后美誉度等不低于推荐品牌，若不能提供充分证明材料的，评委将不予采纳。</w:t>
      </w:r>
    </w:p>
    <w:p>
      <w:pPr>
        <w:spacing w:before="20" w:after="20" w:line="360" w:lineRule="auto"/>
        <w:ind w:firstLine="241" w:firstLineChars="100"/>
        <w:rPr>
          <w:rFonts w:ascii="宋体" w:hAnsi="宋体"/>
          <w:b/>
          <w:color w:val="000000" w:themeColor="text1"/>
          <w:sz w:val="24"/>
        </w:rPr>
      </w:pPr>
      <w:r>
        <w:rPr>
          <w:rFonts w:hint="eastAsia" w:ascii="宋体" w:hAnsi="宋体"/>
          <w:b/>
          <w:color w:val="000000" w:themeColor="text1"/>
          <w:sz w:val="24"/>
        </w:rPr>
        <w:t>5、投标人必须在开评标现场进行本项目的软件演示和现场答辩。</w:t>
      </w:r>
    </w:p>
    <w:p>
      <w:pPr>
        <w:adjustRightInd w:val="0"/>
        <w:snapToGrid w:val="0"/>
        <w:spacing w:line="276" w:lineRule="auto"/>
        <w:rPr>
          <w:rFonts w:ascii="宋体" w:hAnsi="宋体"/>
          <w:b/>
          <w:szCs w:val="21"/>
        </w:rPr>
      </w:pPr>
    </w:p>
    <w:p>
      <w:pPr>
        <w:pStyle w:val="3"/>
        <w:spacing w:before="120" w:after="120" w:line="400" w:lineRule="exact"/>
        <w:jc w:val="center"/>
        <w:rPr>
          <w:rFonts w:ascii="黑体" w:hAnsi="黑体" w:eastAsia="黑体"/>
          <w:b w:val="0"/>
          <w:sz w:val="32"/>
        </w:rPr>
      </w:pPr>
      <w:r>
        <w:rPr>
          <w:rFonts w:ascii="黑体" w:hAnsi="黑体" w:eastAsia="黑体"/>
          <w:b w:val="0"/>
          <w:sz w:val="32"/>
        </w:rPr>
        <w:br w:type="page"/>
      </w:r>
      <w:r>
        <w:rPr>
          <w:rFonts w:hint="eastAsia" w:ascii="黑体" w:hAnsi="黑体" w:eastAsia="黑体"/>
          <w:b w:val="0"/>
          <w:sz w:val="32"/>
        </w:rPr>
        <w:t>第四章</w:t>
      </w:r>
      <w:r>
        <w:rPr>
          <w:rFonts w:hint="eastAsia" w:ascii="黑体" w:hAnsi="黑体" w:eastAsia="黑体"/>
          <w:b w:val="0"/>
          <w:sz w:val="32"/>
          <w:lang w:val="en-US" w:eastAsia="zh-CN"/>
        </w:rPr>
        <w:t xml:space="preserve"> </w:t>
      </w:r>
      <w:r>
        <w:rPr>
          <w:rFonts w:hint="eastAsia" w:ascii="黑体" w:hAnsi="黑体" w:eastAsia="黑体"/>
          <w:b w:val="0"/>
          <w:sz w:val="32"/>
        </w:rPr>
        <w:t>招标项目的采购清单及技术要求</w:t>
      </w:r>
    </w:p>
    <w:bookmarkEnd w:id="5"/>
    <w:p>
      <w:pPr>
        <w:spacing w:line="360" w:lineRule="auto"/>
        <w:outlineLvl w:val="1"/>
        <w:rPr>
          <w:rFonts w:ascii="仿宋" w:hAnsi="仿宋" w:eastAsia="仿宋"/>
          <w:sz w:val="24"/>
        </w:rPr>
      </w:pPr>
      <w:bookmarkStart w:id="6" w:name="_Toc524964868"/>
      <w:r>
        <w:rPr>
          <w:rFonts w:hint="eastAsia" w:ascii="仿宋" w:hAnsi="仿宋" w:eastAsia="仿宋"/>
          <w:b/>
          <w:sz w:val="24"/>
        </w:rPr>
        <w:t>一、项目内容</w:t>
      </w:r>
      <w:bookmarkEnd w:id="6"/>
    </w:p>
    <w:p>
      <w:pPr>
        <w:spacing w:line="360" w:lineRule="auto"/>
        <w:ind w:firstLine="480" w:firstLineChars="200"/>
        <w:rPr>
          <w:rFonts w:ascii="仿宋" w:hAnsi="仿宋" w:eastAsia="仿宋"/>
          <w:sz w:val="24"/>
        </w:rPr>
      </w:pPr>
      <w:r>
        <w:rPr>
          <w:rFonts w:hint="eastAsia" w:ascii="仿宋" w:hAnsi="仿宋" w:eastAsia="仿宋"/>
          <w:sz w:val="24"/>
        </w:rPr>
        <w:t>本次招标项目为南京工业大学江浦校区能效领跑者示范建设项目（综合能源管控主平台建设）包1，项目的基本情况如下：</w:t>
      </w:r>
    </w:p>
    <w:p>
      <w:pPr>
        <w:spacing w:line="360" w:lineRule="auto"/>
        <w:ind w:firstLine="424" w:firstLineChars="176"/>
        <w:outlineLvl w:val="2"/>
        <w:rPr>
          <w:rFonts w:eastAsia="仿宋"/>
          <w:sz w:val="24"/>
        </w:rPr>
      </w:pPr>
      <w:r>
        <w:rPr>
          <w:rFonts w:eastAsia="仿宋"/>
          <w:b/>
          <w:sz w:val="24"/>
        </w:rPr>
        <w:t>（</w:t>
      </w:r>
      <w:r>
        <w:rPr>
          <w:rFonts w:hint="eastAsia" w:eastAsia="仿宋"/>
          <w:b/>
          <w:sz w:val="24"/>
        </w:rPr>
        <w:t>一</w:t>
      </w:r>
      <w:r>
        <w:rPr>
          <w:rFonts w:eastAsia="仿宋"/>
          <w:b/>
          <w:sz w:val="24"/>
        </w:rPr>
        <w:t>）主站平台内容</w:t>
      </w:r>
    </w:p>
    <w:p>
      <w:pPr>
        <w:spacing w:line="360" w:lineRule="auto"/>
        <w:ind w:firstLine="422" w:firstLineChars="176"/>
        <w:rPr>
          <w:rFonts w:eastAsia="仿宋"/>
          <w:b/>
          <w:bCs/>
          <w:sz w:val="24"/>
        </w:rPr>
      </w:pPr>
      <w:r>
        <w:rPr>
          <w:rFonts w:eastAsia="仿宋"/>
          <w:sz w:val="24"/>
        </w:rPr>
        <w:t>1、主站硬件（服务器、工作站、GPS和北斗对时、防火墙、交换机及配套设备）。</w:t>
      </w:r>
    </w:p>
    <w:p>
      <w:pPr>
        <w:spacing w:line="360" w:lineRule="auto"/>
        <w:ind w:firstLine="422" w:firstLineChars="176"/>
        <w:rPr>
          <w:rFonts w:eastAsia="仿宋"/>
          <w:sz w:val="24"/>
        </w:rPr>
      </w:pPr>
      <w:r>
        <w:rPr>
          <w:rFonts w:eastAsia="仿宋"/>
          <w:sz w:val="24"/>
        </w:rPr>
        <w:t>2、主站运行软件（实时监控、运行管理、数据处理、操作系统、告警、报表、WEB浏览及配套软件）。</w:t>
      </w:r>
    </w:p>
    <w:p>
      <w:pPr>
        <w:spacing w:line="360" w:lineRule="auto"/>
        <w:ind w:firstLine="422" w:firstLineChars="176"/>
        <w:rPr>
          <w:rFonts w:eastAsia="仿宋"/>
          <w:sz w:val="24"/>
        </w:rPr>
      </w:pPr>
      <w:bookmarkStart w:id="7" w:name="OLE_LINK3"/>
      <w:r>
        <w:rPr>
          <w:rFonts w:eastAsia="仿宋"/>
          <w:sz w:val="24"/>
        </w:rPr>
        <w:t>3、移动app客户端（ipad、ios、安卓三种版本）</w:t>
      </w:r>
    </w:p>
    <w:bookmarkEnd w:id="7"/>
    <w:p>
      <w:pPr>
        <w:spacing w:line="360" w:lineRule="auto"/>
        <w:ind w:firstLine="422" w:firstLineChars="176"/>
        <w:rPr>
          <w:rFonts w:eastAsia="仿宋"/>
          <w:sz w:val="24"/>
        </w:rPr>
      </w:pPr>
      <w:r>
        <w:rPr>
          <w:rFonts w:eastAsia="仿宋"/>
          <w:sz w:val="24"/>
        </w:rPr>
        <w:t>4、大屏显示系统（55寸液晶18套，及配套的软硬件）</w:t>
      </w:r>
    </w:p>
    <w:p>
      <w:pPr>
        <w:spacing w:line="360" w:lineRule="auto"/>
        <w:ind w:firstLine="424" w:firstLineChars="176"/>
        <w:outlineLvl w:val="2"/>
        <w:rPr>
          <w:rFonts w:eastAsia="仿宋"/>
          <w:b/>
          <w:sz w:val="24"/>
        </w:rPr>
      </w:pPr>
      <w:r>
        <w:rPr>
          <w:rFonts w:eastAsia="仿宋"/>
          <w:b/>
          <w:sz w:val="24"/>
        </w:rPr>
        <w:t>（</w:t>
      </w:r>
      <w:r>
        <w:rPr>
          <w:rFonts w:hint="eastAsia" w:eastAsia="仿宋"/>
          <w:b/>
          <w:sz w:val="24"/>
        </w:rPr>
        <w:t>二</w:t>
      </w:r>
      <w:r>
        <w:rPr>
          <w:rFonts w:eastAsia="仿宋"/>
          <w:b/>
          <w:sz w:val="24"/>
        </w:rPr>
        <w:t>）</w:t>
      </w:r>
      <w:r>
        <w:rPr>
          <w:rFonts w:hint="eastAsia" w:eastAsia="仿宋"/>
          <w:b/>
          <w:sz w:val="24"/>
        </w:rPr>
        <w:t>电力系统智能化改造内容</w:t>
      </w:r>
    </w:p>
    <w:p>
      <w:pPr>
        <w:spacing w:line="360" w:lineRule="auto"/>
        <w:ind w:firstLine="422" w:firstLineChars="176"/>
        <w:outlineLvl w:val="2"/>
        <w:rPr>
          <w:rFonts w:eastAsia="仿宋"/>
          <w:sz w:val="24"/>
        </w:rPr>
      </w:pPr>
      <w:r>
        <w:rPr>
          <w:rFonts w:eastAsia="仿宋"/>
          <w:sz w:val="24"/>
        </w:rPr>
        <w:t>电力监控系统（400V智能仪表1310块，35/10kV电度表50块，以及施工和辅材）。</w:t>
      </w:r>
    </w:p>
    <w:p>
      <w:pPr>
        <w:spacing w:line="360" w:lineRule="auto"/>
        <w:ind w:firstLine="424" w:firstLineChars="176"/>
        <w:outlineLvl w:val="2"/>
        <w:rPr>
          <w:rFonts w:eastAsia="仿宋"/>
          <w:b/>
          <w:color w:val="000000" w:themeColor="text1"/>
          <w:sz w:val="24"/>
        </w:rPr>
      </w:pPr>
      <w:r>
        <w:rPr>
          <w:rFonts w:eastAsia="仿宋"/>
          <w:b/>
          <w:color w:val="000000" w:themeColor="text1"/>
          <w:sz w:val="24"/>
        </w:rPr>
        <w:t>（</w:t>
      </w:r>
      <w:r>
        <w:rPr>
          <w:rFonts w:hint="eastAsia" w:eastAsia="仿宋"/>
          <w:b/>
          <w:color w:val="000000" w:themeColor="text1"/>
          <w:sz w:val="24"/>
        </w:rPr>
        <w:t>三</w:t>
      </w:r>
      <w:r>
        <w:rPr>
          <w:rFonts w:eastAsia="仿宋"/>
          <w:b/>
          <w:color w:val="000000" w:themeColor="text1"/>
          <w:sz w:val="24"/>
        </w:rPr>
        <w:t>）</w:t>
      </w:r>
      <w:r>
        <w:rPr>
          <w:rFonts w:hint="eastAsia" w:eastAsia="仿宋"/>
          <w:b/>
          <w:color w:val="000000" w:themeColor="text1"/>
          <w:sz w:val="24"/>
        </w:rPr>
        <w:t>学校原有</w:t>
      </w:r>
      <w:r>
        <w:rPr>
          <w:rFonts w:eastAsia="仿宋"/>
          <w:b/>
          <w:color w:val="000000" w:themeColor="text1"/>
          <w:sz w:val="24"/>
        </w:rPr>
        <w:t>系统集成内容</w:t>
      </w:r>
    </w:p>
    <w:p>
      <w:pPr>
        <w:spacing w:line="360" w:lineRule="auto"/>
        <w:ind w:firstLine="422" w:firstLineChars="176"/>
        <w:outlineLvl w:val="2"/>
        <w:rPr>
          <w:rFonts w:eastAsia="仿宋"/>
          <w:color w:val="000000" w:themeColor="text1"/>
          <w:sz w:val="24"/>
        </w:rPr>
      </w:pPr>
      <w:r>
        <w:rPr>
          <w:rFonts w:eastAsia="仿宋"/>
          <w:color w:val="000000" w:themeColor="text1"/>
          <w:sz w:val="24"/>
        </w:rPr>
        <w:t>1、</w:t>
      </w:r>
      <w:bookmarkStart w:id="8" w:name="_Hlk535336777"/>
      <w:r>
        <w:rPr>
          <w:rFonts w:hint="eastAsia" w:eastAsia="仿宋"/>
          <w:color w:val="000000" w:themeColor="text1"/>
          <w:sz w:val="24"/>
        </w:rPr>
        <w:t>远程用电</w:t>
      </w:r>
      <w:r>
        <w:rPr>
          <w:rFonts w:eastAsia="仿宋"/>
          <w:color w:val="000000" w:themeColor="text1"/>
          <w:sz w:val="24"/>
        </w:rPr>
        <w:t>计量系统</w:t>
      </w:r>
      <w:bookmarkEnd w:id="8"/>
      <w:r>
        <w:rPr>
          <w:rFonts w:hint="eastAsia" w:eastAsia="仿宋"/>
          <w:color w:val="000000" w:themeColor="text1"/>
          <w:sz w:val="24"/>
        </w:rPr>
        <w:t>及平台</w:t>
      </w:r>
    </w:p>
    <w:p>
      <w:pPr>
        <w:spacing w:line="360" w:lineRule="auto"/>
        <w:ind w:firstLine="422" w:firstLineChars="176"/>
        <w:outlineLvl w:val="2"/>
        <w:rPr>
          <w:rFonts w:eastAsia="仿宋"/>
          <w:color w:val="000000" w:themeColor="text1"/>
          <w:sz w:val="24"/>
        </w:rPr>
      </w:pPr>
      <w:r>
        <w:rPr>
          <w:rFonts w:eastAsia="仿宋"/>
          <w:color w:val="000000" w:themeColor="text1"/>
          <w:sz w:val="24"/>
        </w:rPr>
        <w:t>2、</w:t>
      </w:r>
      <w:bookmarkStart w:id="9" w:name="_Hlk535336788"/>
      <w:r>
        <w:rPr>
          <w:rFonts w:hint="eastAsia" w:eastAsia="仿宋"/>
          <w:color w:val="000000" w:themeColor="text1"/>
          <w:sz w:val="24"/>
        </w:rPr>
        <w:t>远程用水</w:t>
      </w:r>
      <w:r>
        <w:rPr>
          <w:rFonts w:eastAsia="仿宋"/>
          <w:color w:val="000000" w:themeColor="text1"/>
          <w:sz w:val="24"/>
        </w:rPr>
        <w:t>计量系统</w:t>
      </w:r>
      <w:bookmarkEnd w:id="9"/>
      <w:r>
        <w:rPr>
          <w:rFonts w:hint="eastAsia" w:eastAsia="仿宋"/>
          <w:color w:val="000000" w:themeColor="text1"/>
          <w:sz w:val="24"/>
        </w:rPr>
        <w:t>及平台</w:t>
      </w:r>
    </w:p>
    <w:p>
      <w:pPr>
        <w:spacing w:line="360" w:lineRule="auto"/>
        <w:ind w:firstLine="422" w:firstLineChars="176"/>
        <w:outlineLvl w:val="2"/>
        <w:rPr>
          <w:rFonts w:eastAsia="仿宋"/>
          <w:color w:val="000000" w:themeColor="text1"/>
          <w:sz w:val="24"/>
        </w:rPr>
      </w:pPr>
      <w:r>
        <w:rPr>
          <w:rFonts w:eastAsia="仿宋"/>
          <w:color w:val="000000" w:themeColor="text1"/>
          <w:sz w:val="24"/>
        </w:rPr>
        <w:t>3、</w:t>
      </w:r>
      <w:bookmarkStart w:id="10" w:name="_Hlk535336797"/>
      <w:r>
        <w:rPr>
          <w:rFonts w:eastAsia="仿宋"/>
          <w:color w:val="000000" w:themeColor="text1"/>
          <w:sz w:val="24"/>
        </w:rPr>
        <w:t>节能监</w:t>
      </w:r>
      <w:r>
        <w:rPr>
          <w:rFonts w:hint="eastAsia" w:eastAsia="仿宋"/>
          <w:color w:val="000000" w:themeColor="text1"/>
          <w:sz w:val="24"/>
        </w:rPr>
        <w:t>管</w:t>
      </w:r>
      <w:r>
        <w:rPr>
          <w:rFonts w:eastAsia="仿宋"/>
          <w:color w:val="000000" w:themeColor="text1"/>
          <w:sz w:val="24"/>
        </w:rPr>
        <w:t>平台</w:t>
      </w:r>
      <w:bookmarkEnd w:id="10"/>
      <w:r>
        <w:rPr>
          <w:rFonts w:hint="eastAsia" w:eastAsia="仿宋"/>
          <w:color w:val="000000" w:themeColor="text1"/>
          <w:sz w:val="24"/>
        </w:rPr>
        <w:t>及智能用电管理系统</w:t>
      </w:r>
    </w:p>
    <w:p>
      <w:pPr>
        <w:spacing w:line="360" w:lineRule="auto"/>
        <w:ind w:firstLine="422" w:firstLineChars="176"/>
        <w:outlineLvl w:val="2"/>
        <w:rPr>
          <w:rFonts w:eastAsia="仿宋"/>
          <w:color w:val="000000" w:themeColor="text1"/>
          <w:sz w:val="24"/>
        </w:rPr>
      </w:pPr>
      <w:r>
        <w:rPr>
          <w:rFonts w:eastAsia="仿宋"/>
          <w:color w:val="000000" w:themeColor="text1"/>
          <w:sz w:val="24"/>
        </w:rPr>
        <w:t>4、</w:t>
      </w:r>
      <w:bookmarkStart w:id="11" w:name="_Hlk535336807"/>
      <w:r>
        <w:rPr>
          <w:rFonts w:eastAsia="仿宋"/>
          <w:color w:val="000000" w:themeColor="text1"/>
          <w:sz w:val="24"/>
        </w:rPr>
        <w:t>供水泵站</w:t>
      </w:r>
      <w:r>
        <w:rPr>
          <w:rFonts w:hint="eastAsia" w:eastAsia="仿宋"/>
          <w:color w:val="000000" w:themeColor="text1"/>
          <w:sz w:val="24"/>
        </w:rPr>
        <w:t>运行监控</w:t>
      </w:r>
      <w:r>
        <w:rPr>
          <w:rFonts w:eastAsia="仿宋"/>
          <w:color w:val="000000" w:themeColor="text1"/>
          <w:sz w:val="24"/>
        </w:rPr>
        <w:t>系统（南区</w:t>
      </w:r>
      <w:r>
        <w:rPr>
          <w:rFonts w:hint="eastAsia" w:eastAsia="仿宋"/>
          <w:color w:val="000000" w:themeColor="text1"/>
          <w:sz w:val="24"/>
        </w:rPr>
        <w:t>、北区和</w:t>
      </w:r>
      <w:r>
        <w:rPr>
          <w:rFonts w:eastAsia="仿宋"/>
          <w:color w:val="000000" w:themeColor="text1"/>
          <w:sz w:val="24"/>
        </w:rPr>
        <w:t>亚青供水泵站）</w:t>
      </w:r>
      <w:bookmarkEnd w:id="11"/>
    </w:p>
    <w:p>
      <w:pPr>
        <w:spacing w:line="360" w:lineRule="auto"/>
        <w:ind w:firstLine="422" w:firstLineChars="176"/>
        <w:outlineLvl w:val="2"/>
        <w:rPr>
          <w:rFonts w:eastAsia="仿宋"/>
          <w:color w:val="000000" w:themeColor="text1"/>
          <w:sz w:val="24"/>
        </w:rPr>
      </w:pPr>
      <w:r>
        <w:rPr>
          <w:rFonts w:hint="eastAsia" w:eastAsia="仿宋"/>
          <w:color w:val="000000" w:themeColor="text1"/>
          <w:sz w:val="24"/>
        </w:rPr>
        <w:t>5、变电所、泵房视频监控系统</w:t>
      </w:r>
    </w:p>
    <w:p>
      <w:pPr>
        <w:spacing w:line="360" w:lineRule="auto"/>
        <w:ind w:firstLine="422" w:firstLineChars="176"/>
        <w:outlineLvl w:val="2"/>
        <w:rPr>
          <w:rFonts w:eastAsia="仿宋"/>
          <w:color w:val="000000" w:themeColor="text1"/>
          <w:sz w:val="24"/>
        </w:rPr>
      </w:pPr>
      <w:r>
        <w:rPr>
          <w:rFonts w:hint="eastAsia" w:eastAsia="仿宋"/>
          <w:color w:val="000000" w:themeColor="text1"/>
          <w:sz w:val="24"/>
        </w:rPr>
        <w:t>6、电力监控系统</w:t>
      </w:r>
    </w:p>
    <w:p>
      <w:pPr>
        <w:spacing w:line="360" w:lineRule="auto"/>
        <w:ind w:firstLine="422" w:firstLineChars="176"/>
        <w:outlineLvl w:val="2"/>
        <w:rPr>
          <w:rFonts w:eastAsia="仿宋"/>
          <w:color w:val="000000" w:themeColor="text1"/>
          <w:sz w:val="24"/>
        </w:rPr>
      </w:pPr>
      <w:r>
        <w:rPr>
          <w:rFonts w:hint="eastAsia" w:eastAsia="仿宋"/>
          <w:color w:val="000000" w:themeColor="text1"/>
          <w:sz w:val="24"/>
        </w:rPr>
        <w:t>7</w:t>
      </w:r>
      <w:r>
        <w:rPr>
          <w:rFonts w:eastAsia="仿宋"/>
          <w:color w:val="000000" w:themeColor="text1"/>
          <w:sz w:val="24"/>
        </w:rPr>
        <w:t>、</w:t>
      </w:r>
      <w:bookmarkStart w:id="12" w:name="_Hlk535336818"/>
      <w:r>
        <w:rPr>
          <w:rFonts w:eastAsia="仿宋"/>
          <w:color w:val="000000" w:themeColor="text1"/>
          <w:sz w:val="24"/>
        </w:rPr>
        <w:t>集中热</w:t>
      </w:r>
      <w:r>
        <w:rPr>
          <w:rFonts w:hint="eastAsia" w:eastAsia="仿宋"/>
          <w:color w:val="000000" w:themeColor="text1"/>
          <w:sz w:val="24"/>
        </w:rPr>
        <w:t>水供应监控</w:t>
      </w:r>
      <w:r>
        <w:rPr>
          <w:rFonts w:eastAsia="仿宋"/>
          <w:color w:val="000000" w:themeColor="text1"/>
          <w:sz w:val="24"/>
        </w:rPr>
        <w:t>系统（浦江宿舍集中供热系统</w:t>
      </w:r>
      <w:r>
        <w:rPr>
          <w:rFonts w:hint="eastAsia" w:eastAsia="仿宋"/>
          <w:color w:val="000000" w:themeColor="text1"/>
          <w:sz w:val="24"/>
        </w:rPr>
        <w:t>、</w:t>
      </w:r>
      <w:r>
        <w:rPr>
          <w:rFonts w:hint="eastAsia" w:ascii="仿宋" w:hAnsi="仿宋" w:eastAsia="仿宋"/>
          <w:color w:val="000000" w:themeColor="text1"/>
          <w:sz w:val="24"/>
        </w:rPr>
        <w:t>南苑及亚青宿舍</w:t>
      </w:r>
      <w:r>
        <w:rPr>
          <w:rFonts w:hint="eastAsia" w:eastAsia="仿宋"/>
          <w:color w:val="000000" w:themeColor="text1"/>
          <w:sz w:val="24"/>
        </w:rPr>
        <w:t>太阳能集中供热系统、檀香苑</w:t>
      </w:r>
      <w:r>
        <w:rPr>
          <w:rFonts w:eastAsia="仿宋"/>
          <w:color w:val="000000" w:themeColor="text1"/>
          <w:sz w:val="24"/>
        </w:rPr>
        <w:t>集中供热系统）</w:t>
      </w:r>
      <w:bookmarkEnd w:id="12"/>
    </w:p>
    <w:p>
      <w:pPr>
        <w:spacing w:line="360" w:lineRule="auto"/>
        <w:ind w:firstLine="422" w:firstLineChars="176"/>
        <w:outlineLvl w:val="2"/>
        <w:rPr>
          <w:rFonts w:eastAsia="仿宋"/>
          <w:color w:val="000000" w:themeColor="text1"/>
          <w:sz w:val="24"/>
        </w:rPr>
      </w:pPr>
      <w:r>
        <w:rPr>
          <w:rFonts w:hint="eastAsia" w:eastAsia="仿宋"/>
          <w:color w:val="000000" w:themeColor="text1"/>
          <w:sz w:val="24"/>
        </w:rPr>
        <w:t>8</w:t>
      </w:r>
      <w:r>
        <w:rPr>
          <w:rFonts w:eastAsia="仿宋"/>
          <w:color w:val="000000" w:themeColor="text1"/>
          <w:sz w:val="24"/>
        </w:rPr>
        <w:t>、</w:t>
      </w:r>
      <w:bookmarkStart w:id="13" w:name="_Hlk535336827"/>
      <w:r>
        <w:rPr>
          <w:rFonts w:eastAsia="仿宋"/>
          <w:color w:val="000000" w:themeColor="text1"/>
          <w:sz w:val="24"/>
        </w:rPr>
        <w:t>原有厚学楼节能控制系统</w:t>
      </w:r>
      <w:bookmarkEnd w:id="13"/>
    </w:p>
    <w:p>
      <w:pPr>
        <w:spacing w:line="360" w:lineRule="auto"/>
        <w:outlineLvl w:val="1"/>
        <w:rPr>
          <w:rFonts w:ascii="仿宋" w:hAnsi="仿宋" w:eastAsia="仿宋"/>
          <w:b/>
          <w:sz w:val="24"/>
        </w:rPr>
      </w:pPr>
      <w:bookmarkStart w:id="14" w:name="_Toc524964874"/>
      <w:r>
        <w:rPr>
          <w:rFonts w:hint="eastAsia" w:ascii="仿宋" w:hAnsi="仿宋" w:eastAsia="仿宋"/>
          <w:b/>
          <w:sz w:val="24"/>
        </w:rPr>
        <w:t>二、 项目技术要求</w:t>
      </w:r>
      <w:bookmarkEnd w:id="14"/>
    </w:p>
    <w:p>
      <w:pPr>
        <w:spacing w:line="360" w:lineRule="auto"/>
        <w:ind w:firstLine="282" w:firstLineChars="117"/>
        <w:outlineLvl w:val="2"/>
        <w:rPr>
          <w:rFonts w:eastAsia="仿宋"/>
          <w:sz w:val="24"/>
        </w:rPr>
      </w:pPr>
      <w:bookmarkStart w:id="15" w:name="_Toc524964875"/>
      <w:r>
        <w:rPr>
          <w:rFonts w:eastAsia="仿宋"/>
          <w:b/>
          <w:sz w:val="24"/>
        </w:rPr>
        <w:t>（</w:t>
      </w:r>
      <w:r>
        <w:rPr>
          <w:rFonts w:hint="eastAsia" w:eastAsia="仿宋"/>
          <w:b/>
          <w:sz w:val="24"/>
        </w:rPr>
        <w:t>一</w:t>
      </w:r>
      <w:r>
        <w:rPr>
          <w:rFonts w:eastAsia="仿宋"/>
          <w:b/>
          <w:sz w:val="24"/>
        </w:rPr>
        <w:t>）主站平台技术要求</w:t>
      </w:r>
      <w:bookmarkEnd w:id="15"/>
    </w:p>
    <w:p>
      <w:pPr>
        <w:spacing w:line="360" w:lineRule="auto"/>
        <w:ind w:firstLine="487" w:firstLineChars="202"/>
        <w:outlineLvl w:val="3"/>
        <w:rPr>
          <w:rFonts w:eastAsia="仿宋"/>
          <w:b/>
          <w:sz w:val="24"/>
        </w:rPr>
      </w:pPr>
      <w:r>
        <w:rPr>
          <w:rFonts w:eastAsia="仿宋"/>
          <w:b/>
          <w:sz w:val="24"/>
        </w:rPr>
        <w:t>1、主站硬件技术要求</w:t>
      </w:r>
    </w:p>
    <w:p>
      <w:pPr>
        <w:spacing w:line="360" w:lineRule="auto"/>
        <w:ind w:firstLine="484" w:firstLineChars="202"/>
        <w:rPr>
          <w:rFonts w:eastAsia="仿宋"/>
          <w:color w:val="FF0000"/>
          <w:sz w:val="24"/>
        </w:rPr>
      </w:pPr>
      <w:r>
        <w:rPr>
          <w:rFonts w:eastAsia="仿宋"/>
          <w:sz w:val="24"/>
        </w:rPr>
        <w:fldChar w:fldCharType="begin"/>
      </w:r>
      <w:r>
        <w:rPr>
          <w:rFonts w:eastAsia="仿宋"/>
          <w:sz w:val="24"/>
        </w:rPr>
        <w:instrText xml:space="preserve"> = 1 \* GB3 </w:instrText>
      </w:r>
      <w:r>
        <w:rPr>
          <w:rFonts w:eastAsia="仿宋"/>
          <w:sz w:val="24"/>
        </w:rPr>
        <w:fldChar w:fldCharType="separate"/>
      </w:r>
      <w:r>
        <w:rPr>
          <w:rFonts w:hint="eastAsia" w:hAnsi="宋体" w:cs="宋体"/>
          <w:sz w:val="24"/>
        </w:rPr>
        <w:t>①</w:t>
      </w:r>
      <w:r>
        <w:rPr>
          <w:rFonts w:eastAsia="仿宋"/>
          <w:sz w:val="24"/>
        </w:rPr>
        <w:fldChar w:fldCharType="end"/>
      </w:r>
      <w:r>
        <w:rPr>
          <w:rFonts w:eastAsia="仿宋"/>
          <w:sz w:val="24"/>
        </w:rPr>
        <w:t xml:space="preserve"> 服务器、工作站、防火墙均需为知名品牌。</w:t>
      </w:r>
    </w:p>
    <w:p>
      <w:pPr>
        <w:spacing w:line="360" w:lineRule="auto"/>
        <w:ind w:firstLine="484" w:firstLineChars="202"/>
        <w:rPr>
          <w:rFonts w:eastAsia="仿宋"/>
          <w:sz w:val="24"/>
        </w:rPr>
      </w:pPr>
      <w:r>
        <w:rPr>
          <w:rFonts w:eastAsia="仿宋"/>
          <w:sz w:val="24"/>
        </w:rPr>
        <w:fldChar w:fldCharType="begin"/>
      </w:r>
      <w:r>
        <w:rPr>
          <w:rFonts w:eastAsia="仿宋"/>
          <w:sz w:val="24"/>
        </w:rPr>
        <w:instrText xml:space="preserve"> = 2 \* GB3 </w:instrText>
      </w:r>
      <w:r>
        <w:rPr>
          <w:rFonts w:eastAsia="仿宋"/>
          <w:sz w:val="24"/>
        </w:rPr>
        <w:fldChar w:fldCharType="separate"/>
      </w:r>
      <w:r>
        <w:rPr>
          <w:rFonts w:hint="eastAsia" w:hAnsi="宋体" w:cs="宋体"/>
          <w:sz w:val="24"/>
        </w:rPr>
        <w:t>②</w:t>
      </w:r>
      <w:r>
        <w:rPr>
          <w:rFonts w:eastAsia="仿宋"/>
          <w:sz w:val="24"/>
        </w:rPr>
        <w:fldChar w:fldCharType="end"/>
      </w:r>
      <w:r>
        <w:rPr>
          <w:rFonts w:eastAsia="仿宋"/>
          <w:sz w:val="24"/>
        </w:rPr>
        <w:t xml:space="preserve"> 服务器配置要求：</w:t>
      </w:r>
    </w:p>
    <w:p>
      <w:pPr>
        <w:spacing w:line="360" w:lineRule="auto"/>
        <w:ind w:firstLine="484" w:firstLineChars="202"/>
        <w:rPr>
          <w:rFonts w:eastAsia="仿宋"/>
          <w:color w:val="000000" w:themeColor="text1"/>
          <w:sz w:val="24"/>
        </w:rPr>
      </w:pPr>
      <w:r>
        <w:rPr>
          <w:rFonts w:hint="eastAsia" w:eastAsia="仿宋"/>
          <w:color w:val="000000" w:themeColor="text1"/>
          <w:sz w:val="24"/>
        </w:rPr>
        <w:t>2U机架式服务器</w:t>
      </w:r>
    </w:p>
    <w:p>
      <w:pPr>
        <w:spacing w:line="360" w:lineRule="auto"/>
        <w:ind w:firstLine="484" w:firstLineChars="202"/>
        <w:rPr>
          <w:rFonts w:eastAsia="仿宋"/>
          <w:color w:val="000000" w:themeColor="text1"/>
          <w:sz w:val="24"/>
        </w:rPr>
      </w:pPr>
      <w:r>
        <w:rPr>
          <w:rFonts w:hint="eastAsia" w:eastAsia="仿宋"/>
          <w:color w:val="000000" w:themeColor="text1"/>
          <w:sz w:val="24"/>
        </w:rPr>
        <w:t>CPU：2颗英特尔® 至强® 银牌4114（2.2GHz、10核、13.75MB缓存）</w:t>
      </w:r>
    </w:p>
    <w:p>
      <w:pPr>
        <w:spacing w:line="360" w:lineRule="auto"/>
        <w:ind w:firstLine="484" w:firstLineChars="202"/>
        <w:rPr>
          <w:rFonts w:eastAsia="仿宋"/>
          <w:color w:val="000000" w:themeColor="text1"/>
          <w:sz w:val="24"/>
        </w:rPr>
      </w:pPr>
      <w:r>
        <w:rPr>
          <w:rFonts w:hint="eastAsia" w:eastAsia="仿宋"/>
          <w:color w:val="000000" w:themeColor="text1"/>
          <w:sz w:val="24"/>
        </w:rPr>
        <w:t>内存：64GB DDR4 ECC</w:t>
      </w:r>
    </w:p>
    <w:p>
      <w:pPr>
        <w:spacing w:line="360" w:lineRule="auto"/>
        <w:ind w:firstLine="484" w:firstLineChars="202"/>
        <w:rPr>
          <w:rFonts w:eastAsia="仿宋"/>
          <w:color w:val="000000" w:themeColor="text1"/>
          <w:sz w:val="24"/>
        </w:rPr>
      </w:pPr>
      <w:r>
        <w:rPr>
          <w:rFonts w:hint="eastAsia" w:eastAsia="仿宋"/>
          <w:color w:val="000000" w:themeColor="text1"/>
          <w:sz w:val="24"/>
        </w:rPr>
        <w:t>硬盘：300 GB SAS (10000 rpm)*4；</w:t>
      </w:r>
    </w:p>
    <w:p>
      <w:pPr>
        <w:spacing w:line="360" w:lineRule="auto"/>
        <w:ind w:firstLine="484" w:firstLineChars="202"/>
        <w:rPr>
          <w:rFonts w:eastAsia="仿宋"/>
          <w:color w:val="000000" w:themeColor="text1"/>
          <w:sz w:val="24"/>
        </w:rPr>
      </w:pPr>
      <w:r>
        <w:rPr>
          <w:rFonts w:hint="eastAsia" w:eastAsia="仿宋"/>
          <w:color w:val="000000" w:themeColor="text1"/>
          <w:sz w:val="24"/>
        </w:rPr>
        <w:t>RAID：支持RAID0、1、10、5  (最低缓存512MB)</w:t>
      </w:r>
    </w:p>
    <w:p>
      <w:pPr>
        <w:spacing w:line="360" w:lineRule="auto"/>
        <w:ind w:firstLine="484" w:firstLineChars="202"/>
        <w:rPr>
          <w:rFonts w:eastAsia="仿宋"/>
          <w:color w:val="000000" w:themeColor="text1"/>
          <w:sz w:val="24"/>
        </w:rPr>
      </w:pPr>
      <w:r>
        <w:rPr>
          <w:rFonts w:hint="eastAsia" w:eastAsia="仿宋"/>
          <w:color w:val="000000" w:themeColor="text1"/>
          <w:sz w:val="24"/>
        </w:rPr>
        <w:t>网卡：100/1000M自适应端口*2</w:t>
      </w:r>
    </w:p>
    <w:p>
      <w:pPr>
        <w:spacing w:line="360" w:lineRule="auto"/>
        <w:ind w:firstLine="484" w:firstLineChars="202"/>
        <w:rPr>
          <w:rFonts w:eastAsia="仿宋"/>
          <w:color w:val="000000" w:themeColor="text1"/>
          <w:sz w:val="24"/>
        </w:rPr>
      </w:pPr>
      <w:r>
        <w:rPr>
          <w:rFonts w:hint="eastAsia" w:eastAsia="仿宋"/>
          <w:color w:val="000000" w:themeColor="text1"/>
          <w:sz w:val="24"/>
        </w:rPr>
        <w:t>光驱： DVD×1</w:t>
      </w:r>
    </w:p>
    <w:p>
      <w:pPr>
        <w:spacing w:line="360" w:lineRule="auto"/>
        <w:ind w:firstLine="484" w:firstLineChars="202"/>
        <w:rPr>
          <w:rFonts w:eastAsia="仿宋"/>
          <w:color w:val="000000" w:themeColor="text1"/>
          <w:sz w:val="24"/>
        </w:rPr>
      </w:pPr>
      <w:r>
        <w:rPr>
          <w:rFonts w:hint="eastAsia" w:eastAsia="仿宋"/>
          <w:color w:val="000000" w:themeColor="text1"/>
          <w:sz w:val="24"/>
        </w:rPr>
        <w:t>电源：标配2个；（支持冗余热插拔、可选配）</w:t>
      </w:r>
    </w:p>
    <w:p>
      <w:pPr>
        <w:spacing w:line="360" w:lineRule="auto"/>
        <w:ind w:firstLine="484" w:firstLineChars="202"/>
        <w:rPr>
          <w:rFonts w:eastAsia="仿宋"/>
          <w:sz w:val="24"/>
        </w:rPr>
      </w:pPr>
      <w:r>
        <w:rPr>
          <w:rFonts w:eastAsia="仿宋"/>
          <w:sz w:val="24"/>
        </w:rPr>
        <w:t>IO插槽：支持至少4个 PCIe  含键鼠</w:t>
      </w:r>
    </w:p>
    <w:p>
      <w:pPr>
        <w:spacing w:line="360" w:lineRule="auto"/>
        <w:ind w:firstLine="484" w:firstLineChars="202"/>
        <w:rPr>
          <w:rFonts w:eastAsia="仿宋"/>
          <w:sz w:val="24"/>
        </w:rPr>
      </w:pPr>
      <w:r>
        <w:rPr>
          <w:rFonts w:eastAsia="仿宋"/>
          <w:sz w:val="24"/>
        </w:rPr>
        <w:fldChar w:fldCharType="begin"/>
      </w:r>
      <w:r>
        <w:rPr>
          <w:rFonts w:eastAsia="仿宋"/>
          <w:sz w:val="24"/>
        </w:rPr>
        <w:instrText xml:space="preserve"> = 3 \* GB3 </w:instrText>
      </w:r>
      <w:r>
        <w:rPr>
          <w:rFonts w:eastAsia="仿宋"/>
          <w:sz w:val="24"/>
        </w:rPr>
        <w:fldChar w:fldCharType="separate"/>
      </w:r>
      <w:r>
        <w:rPr>
          <w:rFonts w:hint="eastAsia" w:hAnsi="宋体" w:cs="宋体"/>
          <w:sz w:val="24"/>
        </w:rPr>
        <w:t>③</w:t>
      </w:r>
      <w:r>
        <w:rPr>
          <w:rFonts w:eastAsia="仿宋"/>
          <w:sz w:val="24"/>
        </w:rPr>
        <w:fldChar w:fldCharType="end"/>
      </w:r>
      <w:r>
        <w:rPr>
          <w:rFonts w:eastAsia="仿宋"/>
          <w:sz w:val="24"/>
        </w:rPr>
        <w:t xml:space="preserve"> 对时装置技术要求</w:t>
      </w:r>
    </w:p>
    <w:p>
      <w:pPr>
        <w:spacing w:line="360" w:lineRule="auto"/>
        <w:ind w:firstLine="484" w:firstLineChars="202"/>
        <w:rPr>
          <w:rFonts w:eastAsia="仿宋"/>
          <w:sz w:val="24"/>
        </w:rPr>
      </w:pPr>
      <w:r>
        <w:rPr>
          <w:rFonts w:eastAsia="仿宋"/>
          <w:sz w:val="24"/>
        </w:rPr>
        <w:t>支持GPS和北斗两种对时功能</w:t>
      </w:r>
    </w:p>
    <w:p>
      <w:pPr>
        <w:spacing w:line="360" w:lineRule="auto"/>
        <w:ind w:firstLine="484" w:firstLineChars="202"/>
        <w:rPr>
          <w:rFonts w:eastAsia="仿宋"/>
          <w:sz w:val="24"/>
        </w:rPr>
      </w:pPr>
      <w:r>
        <w:rPr>
          <w:rFonts w:eastAsia="仿宋"/>
          <w:sz w:val="24"/>
        </w:rPr>
        <w:fldChar w:fldCharType="begin"/>
      </w:r>
      <w:r>
        <w:rPr>
          <w:rFonts w:eastAsia="仿宋"/>
          <w:sz w:val="24"/>
        </w:rPr>
        <w:instrText xml:space="preserve"> = 4 \* GB3 </w:instrText>
      </w:r>
      <w:r>
        <w:rPr>
          <w:rFonts w:eastAsia="仿宋"/>
          <w:sz w:val="24"/>
        </w:rPr>
        <w:fldChar w:fldCharType="separate"/>
      </w:r>
      <w:r>
        <w:rPr>
          <w:rFonts w:hint="eastAsia" w:hAnsi="宋体" w:cs="宋体"/>
          <w:sz w:val="24"/>
        </w:rPr>
        <w:t>④</w:t>
      </w:r>
      <w:r>
        <w:rPr>
          <w:rFonts w:eastAsia="仿宋"/>
          <w:sz w:val="24"/>
        </w:rPr>
        <w:fldChar w:fldCharType="end"/>
      </w:r>
      <w:r>
        <w:rPr>
          <w:rFonts w:eastAsia="仿宋"/>
          <w:sz w:val="24"/>
        </w:rPr>
        <w:t xml:space="preserve"> 工作站技术要求</w:t>
      </w:r>
    </w:p>
    <w:p>
      <w:pPr>
        <w:spacing w:line="360" w:lineRule="auto"/>
        <w:ind w:firstLine="484" w:firstLineChars="202"/>
        <w:rPr>
          <w:rFonts w:eastAsia="仿宋"/>
          <w:color w:val="000000" w:themeColor="text1"/>
          <w:sz w:val="24"/>
        </w:rPr>
      </w:pPr>
      <w:r>
        <w:rPr>
          <w:rFonts w:hint="eastAsia" w:eastAsia="仿宋"/>
          <w:color w:val="000000" w:themeColor="text1"/>
          <w:sz w:val="24"/>
        </w:rPr>
        <w:t>CPU：英特尔® 至强® E3-1230v6（3.5 GHz、4核、8MB缓存）</w:t>
      </w:r>
    </w:p>
    <w:p>
      <w:pPr>
        <w:spacing w:line="360" w:lineRule="auto"/>
        <w:ind w:firstLine="484" w:firstLineChars="202"/>
        <w:rPr>
          <w:rFonts w:eastAsia="仿宋"/>
          <w:color w:val="000000" w:themeColor="text1"/>
          <w:sz w:val="24"/>
        </w:rPr>
      </w:pPr>
      <w:r>
        <w:rPr>
          <w:rFonts w:hint="eastAsia" w:eastAsia="仿宋"/>
          <w:color w:val="000000" w:themeColor="text1"/>
          <w:sz w:val="24"/>
        </w:rPr>
        <w:t>内存：8GB DDR4</w:t>
      </w:r>
    </w:p>
    <w:p>
      <w:pPr>
        <w:spacing w:line="360" w:lineRule="auto"/>
        <w:ind w:firstLine="484" w:firstLineChars="202"/>
        <w:rPr>
          <w:rFonts w:eastAsia="仿宋"/>
          <w:color w:val="000000" w:themeColor="text1"/>
          <w:sz w:val="24"/>
        </w:rPr>
      </w:pPr>
      <w:r>
        <w:rPr>
          <w:rFonts w:hint="eastAsia" w:eastAsia="仿宋"/>
          <w:color w:val="000000" w:themeColor="text1"/>
          <w:sz w:val="24"/>
        </w:rPr>
        <w:t>硬盘：SATA 500GB (500GB*1)；</w:t>
      </w:r>
    </w:p>
    <w:p>
      <w:pPr>
        <w:spacing w:line="360" w:lineRule="auto"/>
        <w:ind w:firstLine="484" w:firstLineChars="202"/>
        <w:rPr>
          <w:rFonts w:eastAsia="仿宋"/>
          <w:color w:val="000000" w:themeColor="text1"/>
          <w:sz w:val="24"/>
        </w:rPr>
      </w:pPr>
      <w:r>
        <w:rPr>
          <w:rFonts w:hint="eastAsia" w:eastAsia="仿宋"/>
          <w:color w:val="000000" w:themeColor="text1"/>
          <w:sz w:val="24"/>
        </w:rPr>
        <w:t>网卡：100/1000M自适应端口*2</w:t>
      </w:r>
    </w:p>
    <w:p>
      <w:pPr>
        <w:spacing w:line="360" w:lineRule="auto"/>
        <w:ind w:firstLine="484" w:firstLineChars="202"/>
        <w:rPr>
          <w:rFonts w:eastAsia="仿宋"/>
          <w:color w:val="000000" w:themeColor="text1"/>
          <w:sz w:val="24"/>
        </w:rPr>
      </w:pPr>
      <w:r>
        <w:rPr>
          <w:rFonts w:hint="eastAsia" w:eastAsia="仿宋"/>
          <w:color w:val="000000" w:themeColor="text1"/>
          <w:sz w:val="24"/>
        </w:rPr>
        <w:t>显卡：1GB双屏显卡(最终输出接口：VGA或DVI，可选择)；</w:t>
      </w:r>
    </w:p>
    <w:p>
      <w:pPr>
        <w:spacing w:line="360" w:lineRule="auto"/>
        <w:ind w:firstLine="484" w:firstLineChars="202"/>
        <w:rPr>
          <w:rFonts w:eastAsia="仿宋"/>
          <w:color w:val="000000" w:themeColor="text1"/>
          <w:sz w:val="24"/>
        </w:rPr>
      </w:pPr>
      <w:r>
        <w:rPr>
          <w:rFonts w:hint="eastAsia" w:eastAsia="仿宋"/>
          <w:color w:val="000000" w:themeColor="text1"/>
          <w:sz w:val="24"/>
        </w:rPr>
        <w:t>声卡：主板集成或PCIe；</w:t>
      </w:r>
    </w:p>
    <w:p>
      <w:pPr>
        <w:spacing w:line="360" w:lineRule="auto"/>
        <w:ind w:firstLine="484" w:firstLineChars="202"/>
        <w:rPr>
          <w:rFonts w:eastAsia="仿宋"/>
          <w:color w:val="000000" w:themeColor="text1"/>
          <w:sz w:val="24"/>
        </w:rPr>
      </w:pPr>
      <w:r>
        <w:rPr>
          <w:rFonts w:hint="eastAsia" w:eastAsia="仿宋"/>
          <w:color w:val="000000" w:themeColor="text1"/>
          <w:sz w:val="24"/>
        </w:rPr>
        <w:t>光驱： DVD×1</w:t>
      </w:r>
    </w:p>
    <w:p>
      <w:pPr>
        <w:spacing w:line="360" w:lineRule="auto"/>
        <w:ind w:firstLine="484" w:firstLineChars="202"/>
        <w:rPr>
          <w:rFonts w:eastAsia="仿宋"/>
          <w:sz w:val="24"/>
        </w:rPr>
      </w:pPr>
      <w:r>
        <w:rPr>
          <w:rFonts w:eastAsia="仿宋"/>
          <w:sz w:val="24"/>
        </w:rPr>
        <w:t>鼠标、键盘：1套；</w:t>
      </w:r>
    </w:p>
    <w:p>
      <w:pPr>
        <w:spacing w:line="360" w:lineRule="auto"/>
        <w:ind w:firstLine="484" w:firstLineChars="202"/>
        <w:rPr>
          <w:rFonts w:eastAsia="仿宋"/>
          <w:sz w:val="24"/>
        </w:rPr>
      </w:pPr>
      <w:r>
        <w:rPr>
          <w:rFonts w:eastAsia="仿宋"/>
          <w:sz w:val="24"/>
        </w:rPr>
        <w:t>I/0: 除去本配置已占用插槽外，还需支持PCI-E X16的插槽；</w:t>
      </w: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spacing w:line="360" w:lineRule="auto"/>
        <w:ind w:firstLine="484" w:firstLineChars="202"/>
        <w:rPr>
          <w:rFonts w:eastAsia="仿宋"/>
          <w:sz w:val="24"/>
        </w:rPr>
      </w:pPr>
    </w:p>
    <w:p>
      <w:pPr>
        <w:pStyle w:val="494"/>
        <w:numPr>
          <w:ilvl w:val="0"/>
          <w:numId w:val="19"/>
        </w:numPr>
        <w:spacing w:line="360" w:lineRule="auto"/>
        <w:ind w:firstLineChars="0"/>
        <w:rPr>
          <w:rFonts w:eastAsia="仿宋"/>
          <w:b/>
          <w:color w:val="000000" w:themeColor="text1"/>
          <w:sz w:val="24"/>
        </w:rPr>
      </w:pPr>
      <w:r>
        <w:rPr>
          <w:rFonts w:hint="eastAsia" w:eastAsia="仿宋"/>
          <w:b/>
          <w:color w:val="000000" w:themeColor="text1"/>
          <w:sz w:val="24"/>
        </w:rPr>
        <w:t>主站配置清单</w:t>
      </w:r>
    </w:p>
    <w:tbl>
      <w:tblPr>
        <w:tblStyle w:val="87"/>
        <w:tblW w:w="9060" w:type="dxa"/>
        <w:tblInd w:w="93" w:type="dxa"/>
        <w:tblLayout w:type="fixed"/>
        <w:tblCellMar>
          <w:top w:w="0" w:type="dxa"/>
          <w:left w:w="108" w:type="dxa"/>
          <w:bottom w:w="0" w:type="dxa"/>
          <w:right w:w="108" w:type="dxa"/>
        </w:tblCellMar>
      </w:tblPr>
      <w:tblGrid>
        <w:gridCol w:w="460"/>
        <w:gridCol w:w="1160"/>
        <w:gridCol w:w="3640"/>
        <w:gridCol w:w="680"/>
        <w:gridCol w:w="680"/>
        <w:gridCol w:w="880"/>
        <w:gridCol w:w="1560"/>
      </w:tblGrid>
      <w:tr>
        <w:tblPrEx>
          <w:tblLayout w:type="fixed"/>
          <w:tblCellMar>
            <w:top w:w="0" w:type="dxa"/>
            <w:left w:w="108" w:type="dxa"/>
            <w:bottom w:w="0" w:type="dxa"/>
            <w:right w:w="108" w:type="dxa"/>
          </w:tblCellMar>
        </w:tblPrEx>
        <w:trPr>
          <w:trHeight w:val="270" w:hRule="atLeast"/>
        </w:trPr>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116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364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6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6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8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56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45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服务器机柜</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2260*800*1000mm</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面</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300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服务器</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2U机架式服务器</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CPU：2颗英特尔® 至强® 银牌4114（2.2GHz、10核、13.75MB缓存）</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内存：64GB DDR4 ECC</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硬盘：300 GB SAS (10000 rpm)*4；</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RAID：支持RAID0、1、10、5  (最低缓存512MB)</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网卡：100/1000M自适应端口*2</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光驱： DVD×1</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电源：标配2个；（支持冗余热插拔、可选配）</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联想、华为、曙光</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前置采集服务器、数据分析服务器、历史存储服务器、Web及管理平台服务器</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3</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DELL17</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戴尔</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KVM切换器</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RB104V</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海康立方</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5</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网络对时机柜</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2260*800*1000mm</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面</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6</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监控网交换机</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PCS-9882AD（22百兆电、2百兆光、4千兆光）</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南瑞继保、华为、H</w:t>
            </w:r>
            <w:r>
              <w:rPr>
                <w:rFonts w:ascii="宋体" w:hAnsi="宋体" w:cs="宋体"/>
                <w:color w:val="000000" w:themeColor="text1"/>
                <w:kern w:val="0"/>
                <w:sz w:val="16"/>
                <w:szCs w:val="16"/>
              </w:rPr>
              <w:t>3C</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服务器网络双网</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7</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接入交换机</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PCS-9882AD（22百兆电、2百兆光、4千兆光）</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南瑞继保、华为、H</w:t>
            </w:r>
            <w:r>
              <w:rPr>
                <w:rFonts w:ascii="宋体" w:hAnsi="宋体" w:cs="宋体"/>
                <w:color w:val="000000" w:themeColor="text1"/>
                <w:kern w:val="0"/>
                <w:sz w:val="16"/>
                <w:szCs w:val="16"/>
              </w:rPr>
              <w:t>3C</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8</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对时设备</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PCS-9785-H2</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南瑞继保、中元华电、山东科汇</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GPS+北斗对时</w:t>
            </w:r>
          </w:p>
        </w:tc>
      </w:tr>
      <w:tr>
        <w:tblPrEx>
          <w:tblLayout w:type="fixed"/>
          <w:tblCellMar>
            <w:top w:w="0" w:type="dxa"/>
            <w:left w:w="108" w:type="dxa"/>
            <w:bottom w:w="0" w:type="dxa"/>
            <w:right w:w="108" w:type="dxa"/>
          </w:tblCellMar>
        </w:tblPrEx>
        <w:trPr>
          <w:trHeight w:val="735"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9</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防火墙</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4个百兆以太网口</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华为、思科、H</w:t>
            </w:r>
            <w:r>
              <w:rPr>
                <w:rFonts w:ascii="宋体" w:hAnsi="宋体" w:cs="宋体"/>
                <w:color w:val="000000" w:themeColor="text1"/>
                <w:kern w:val="0"/>
                <w:sz w:val="16"/>
                <w:szCs w:val="16"/>
              </w:rPr>
              <w:t>3C</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一台用于移动公网防护，一台用于系统防护</w:t>
            </w:r>
          </w:p>
        </w:tc>
      </w:tr>
      <w:tr>
        <w:tblPrEx>
          <w:tblLayout w:type="fixed"/>
          <w:tblCellMar>
            <w:top w:w="0" w:type="dxa"/>
            <w:left w:w="108" w:type="dxa"/>
            <w:bottom w:w="0" w:type="dxa"/>
            <w:right w:w="108" w:type="dxa"/>
          </w:tblCellMar>
        </w:tblPrEx>
        <w:trPr>
          <w:trHeight w:val="2145"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10</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操作员站</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CPU：英特尔® 至强® E3-1230v6（3.5 GHz、4核、8MB缓存）</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内存：8GB DDR4</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硬盘：SATA 500GB (500GB*1)；</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网卡：100/1000M自适应端口*2</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显卡：1GB双屏显卡(最终输出接口：VGA或DVI，可选择)；</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声卡：主板集成或PCIe；</w:t>
            </w:r>
          </w:p>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光驱： DVD×1</w:t>
            </w:r>
            <w:r>
              <w:rPr>
                <w:rFonts w:hint="eastAsia" w:ascii="宋体" w:hAnsi="宋体" w:cs="宋体"/>
                <w:color w:val="000000" w:themeColor="text1"/>
                <w:kern w:val="0"/>
                <w:sz w:val="16"/>
                <w:szCs w:val="16"/>
              </w:rPr>
              <w:br w:type="textWrapping"/>
            </w:r>
            <w:r>
              <w:rPr>
                <w:rFonts w:hint="eastAsia" w:ascii="宋体" w:hAnsi="宋体" w:cs="宋体"/>
                <w:color w:val="000000" w:themeColor="text1"/>
                <w:kern w:val="0"/>
                <w:sz w:val="16"/>
                <w:szCs w:val="16"/>
              </w:rPr>
              <w:t>鼠标、键盘：1套；</w:t>
            </w:r>
            <w:r>
              <w:rPr>
                <w:rFonts w:hint="eastAsia" w:ascii="宋体" w:hAnsi="宋体" w:cs="宋体"/>
                <w:color w:val="000000" w:themeColor="text1"/>
                <w:kern w:val="0"/>
                <w:sz w:val="16"/>
                <w:szCs w:val="16"/>
              </w:rPr>
              <w:br w:type="textWrapping"/>
            </w:r>
            <w:r>
              <w:rPr>
                <w:rFonts w:hint="eastAsia" w:ascii="宋体" w:hAnsi="宋体" w:cs="宋体"/>
                <w:color w:val="000000" w:themeColor="text1"/>
                <w:kern w:val="0"/>
                <w:sz w:val="16"/>
                <w:szCs w:val="16"/>
              </w:rPr>
              <w:t>I/0:  除去本配置已占用插槽外，还需支持PCI-E X16的插槽；</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6</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戴尔、联想、惠普</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各系统工作站，维护工作站</w:t>
            </w:r>
          </w:p>
        </w:tc>
      </w:tr>
      <w:tr>
        <w:tblPrEx>
          <w:tblLayout w:type="fixed"/>
          <w:tblCellMar>
            <w:top w:w="0" w:type="dxa"/>
            <w:left w:w="108" w:type="dxa"/>
            <w:bottom w:w="0" w:type="dxa"/>
            <w:right w:w="108" w:type="dxa"/>
          </w:tblCellMar>
        </w:tblPrEx>
        <w:trPr>
          <w:trHeight w:val="45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11</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报表输出打印机</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爱普生 WF-7218 A4/A3+</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爱普生、惠普、佳能</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12</w:t>
            </w:r>
          </w:p>
        </w:tc>
        <w:tc>
          <w:tcPr>
            <w:tcW w:w="11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w:t>
            </w:r>
          </w:p>
        </w:tc>
        <w:tc>
          <w:tcPr>
            <w:tcW w:w="3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DELL24</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6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戴尔、联想、惠普</w:t>
            </w:r>
          </w:p>
        </w:tc>
        <w:tc>
          <w:tcPr>
            <w:tcW w:w="15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bl>
    <w:p>
      <w:pPr>
        <w:spacing w:line="360" w:lineRule="auto"/>
        <w:ind w:firstLine="484" w:firstLineChars="202"/>
        <w:rPr>
          <w:rFonts w:eastAsia="仿宋"/>
          <w:color w:val="FF0000"/>
          <w:sz w:val="24"/>
        </w:rPr>
      </w:pPr>
    </w:p>
    <w:p>
      <w:pPr>
        <w:spacing w:line="360" w:lineRule="auto"/>
        <w:ind w:firstLine="487" w:firstLineChars="202"/>
        <w:outlineLvl w:val="3"/>
        <w:rPr>
          <w:rFonts w:eastAsia="仿宋"/>
          <w:b/>
          <w:sz w:val="24"/>
        </w:rPr>
      </w:pPr>
      <w:r>
        <w:rPr>
          <w:rFonts w:eastAsia="仿宋"/>
          <w:b/>
          <w:sz w:val="24"/>
        </w:rPr>
        <w:t>2、主站软件技术要求</w:t>
      </w:r>
    </w:p>
    <w:p>
      <w:pPr>
        <w:spacing w:line="360" w:lineRule="auto"/>
        <w:ind w:firstLine="484" w:firstLineChars="202"/>
        <w:rPr>
          <w:rFonts w:eastAsia="仿宋"/>
          <w:sz w:val="24"/>
        </w:rPr>
      </w:pPr>
      <w:r>
        <w:rPr>
          <w:rFonts w:eastAsia="仿宋"/>
          <w:sz w:val="24"/>
        </w:rPr>
        <w:t>具备统一的数据管理，高性能实时数据访问，协调的人机交互界面、网络消息传递、进程间通信、系统管理、报警与事件、数据转发等服务。建立基于Internet/</w:t>
      </w:r>
      <w:bookmarkStart w:id="16" w:name="OLE_LINK5"/>
      <w:bookmarkStart w:id="17" w:name="OLE_LINK6"/>
      <w:r>
        <w:rPr>
          <w:rFonts w:eastAsia="仿宋"/>
          <w:sz w:val="24"/>
        </w:rPr>
        <w:t>Intranet</w:t>
      </w:r>
      <w:bookmarkEnd w:id="16"/>
      <w:bookmarkEnd w:id="17"/>
      <w:r>
        <w:rPr>
          <w:rFonts w:eastAsia="仿宋"/>
          <w:sz w:val="24"/>
        </w:rPr>
        <w:t>的通信管理子系统，全图形化的、基于WEB的用户界面子系统，系统管理子系统，报警子系统等。</w:t>
      </w:r>
    </w:p>
    <w:p>
      <w:pPr>
        <w:spacing w:line="360" w:lineRule="auto"/>
        <w:ind w:firstLine="480" w:firstLineChars="200"/>
        <w:contextualSpacing/>
        <w:rPr>
          <w:rFonts w:eastAsia="仿宋"/>
          <w:color w:val="000000"/>
          <w:sz w:val="24"/>
          <w:szCs w:val="21"/>
        </w:rPr>
      </w:pPr>
      <w:r>
        <w:rPr>
          <w:rFonts w:eastAsia="仿宋"/>
          <w:color w:val="000000"/>
          <w:sz w:val="24"/>
          <w:szCs w:val="21"/>
        </w:rPr>
        <w:t>系统设计结构清晰、逻辑严密，系统运行后，需要达到如下性能要求：</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监控画面数据刷新周期：实时；</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画面切换时间：≤2s；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一般查询界面：≤5s；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复杂业务查询：≤10s；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一般报表查询：≤10s；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复杂统计报表生成时间：≤30s；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一年数据查询：≤30s；</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可支持数据采集的过程I/O点数为10万点；</w:t>
      </w:r>
    </w:p>
    <w:p>
      <w:pPr>
        <w:pStyle w:val="494"/>
        <w:numPr>
          <w:ilvl w:val="0"/>
          <w:numId w:val="20"/>
        </w:numPr>
        <w:spacing w:line="360" w:lineRule="auto"/>
        <w:ind w:firstLineChars="0"/>
        <w:contextualSpacing/>
        <w:rPr>
          <w:rFonts w:eastAsia="仿宋"/>
          <w:color w:val="000000"/>
          <w:sz w:val="24"/>
          <w:szCs w:val="21"/>
        </w:rPr>
      </w:pPr>
      <w:r>
        <w:rPr>
          <w:rFonts w:hint="eastAsia" w:eastAsia="仿宋"/>
          <w:color w:val="000000"/>
          <w:sz w:val="24"/>
          <w:szCs w:val="21"/>
        </w:rPr>
        <w:t>支持1</w:t>
      </w:r>
      <w:r>
        <w:rPr>
          <w:rFonts w:eastAsia="仿宋"/>
          <w:color w:val="000000"/>
          <w:sz w:val="24"/>
          <w:szCs w:val="21"/>
        </w:rPr>
        <w:t>0</w:t>
      </w:r>
      <w:r>
        <w:rPr>
          <w:rFonts w:hint="eastAsia" w:eastAsia="仿宋"/>
          <w:color w:val="000000"/>
          <w:sz w:val="24"/>
          <w:szCs w:val="21"/>
        </w:rPr>
        <w:t>万点（秒级数据）三个月</w:t>
      </w:r>
      <w:r>
        <w:rPr>
          <w:rFonts w:eastAsia="仿宋"/>
          <w:color w:val="000000"/>
          <w:sz w:val="24"/>
          <w:szCs w:val="21"/>
        </w:rPr>
        <w:t>的历史存储；</w:t>
      </w:r>
    </w:p>
    <w:p>
      <w:pPr>
        <w:pStyle w:val="494"/>
        <w:numPr>
          <w:ilvl w:val="0"/>
          <w:numId w:val="20"/>
        </w:numPr>
        <w:spacing w:line="360" w:lineRule="auto"/>
        <w:ind w:firstLineChars="0"/>
        <w:contextualSpacing/>
        <w:rPr>
          <w:rFonts w:eastAsia="仿宋"/>
          <w:color w:val="000000"/>
          <w:sz w:val="24"/>
          <w:szCs w:val="21"/>
        </w:rPr>
      </w:pPr>
      <w:r>
        <w:rPr>
          <w:rFonts w:hint="eastAsia" w:eastAsia="仿宋"/>
          <w:color w:val="000000"/>
          <w:sz w:val="24"/>
          <w:szCs w:val="21"/>
        </w:rPr>
        <w:t>支持1</w:t>
      </w:r>
      <w:r>
        <w:rPr>
          <w:rFonts w:eastAsia="仿宋"/>
          <w:color w:val="000000"/>
          <w:sz w:val="24"/>
          <w:szCs w:val="21"/>
        </w:rPr>
        <w:t>0</w:t>
      </w:r>
      <w:r>
        <w:rPr>
          <w:rFonts w:hint="eastAsia" w:eastAsia="仿宋"/>
          <w:color w:val="000000"/>
          <w:sz w:val="24"/>
          <w:szCs w:val="21"/>
        </w:rPr>
        <w:t>万点（分钟级数据）五</w:t>
      </w:r>
      <w:r>
        <w:rPr>
          <w:rFonts w:eastAsia="仿宋"/>
          <w:color w:val="000000"/>
          <w:sz w:val="24"/>
          <w:szCs w:val="21"/>
        </w:rPr>
        <w:t>年的历史存储；</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服务器CPU 负载率＜40%(1 分钟平均值)；</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工作站CPU 负载率＜40%(1 分钟平均值)；</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系统平均无故障运行时间（MTBF）：3000小时；</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系统运行寿命大于10 年；</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冗余切换成功率：100%</w:t>
      </w:r>
    </w:p>
    <w:p>
      <w:pPr>
        <w:pStyle w:val="494"/>
        <w:numPr>
          <w:ilvl w:val="0"/>
          <w:numId w:val="20"/>
        </w:numPr>
        <w:spacing w:line="360" w:lineRule="auto"/>
        <w:ind w:firstLineChars="0"/>
        <w:contextualSpacing/>
        <w:rPr>
          <w:rFonts w:eastAsia="仿宋"/>
          <w:color w:val="000000"/>
          <w:sz w:val="24"/>
          <w:szCs w:val="21"/>
        </w:rPr>
      </w:pPr>
      <w:r>
        <w:rPr>
          <w:rFonts w:eastAsia="仿宋"/>
          <w:color w:val="000000"/>
          <w:sz w:val="24"/>
          <w:szCs w:val="21"/>
        </w:rPr>
        <w:t>要求支持C/S系统架构，系统提供WEB发布功能。</w:t>
      </w:r>
    </w:p>
    <w:p>
      <w:pPr>
        <w:spacing w:line="360" w:lineRule="auto"/>
        <w:ind w:firstLine="487" w:firstLineChars="202"/>
        <w:outlineLvl w:val="4"/>
        <w:rPr>
          <w:rFonts w:eastAsia="仿宋"/>
          <w:b/>
          <w:sz w:val="24"/>
        </w:rPr>
      </w:pPr>
      <w:r>
        <w:rPr>
          <w:rFonts w:eastAsia="仿宋"/>
          <w:b/>
          <w:sz w:val="24"/>
        </w:rPr>
        <w:t>2.1 数据采集与处理</w:t>
      </w:r>
    </w:p>
    <w:p>
      <w:pPr>
        <w:spacing w:line="360" w:lineRule="auto"/>
        <w:ind w:firstLine="487" w:firstLineChars="202"/>
        <w:rPr>
          <w:rFonts w:eastAsia="仿宋"/>
          <w:sz w:val="24"/>
        </w:rPr>
      </w:pPr>
      <w:r>
        <w:rPr>
          <w:rFonts w:eastAsia="仿宋"/>
          <w:b/>
          <w:sz w:val="24"/>
        </w:rPr>
        <w:t>支持单节点10万点以上数据采集和存储，并且支持负载均衡技术，通过简单硬件环境的扩展，可以实现百万点以上有效数据采集和归档。</w:t>
      </w:r>
    </w:p>
    <w:p>
      <w:pPr>
        <w:spacing w:line="360" w:lineRule="auto"/>
        <w:ind w:firstLine="484" w:firstLineChars="202"/>
        <w:rPr>
          <w:rFonts w:eastAsia="仿宋"/>
          <w:sz w:val="24"/>
        </w:rPr>
      </w:pPr>
      <w:r>
        <w:rPr>
          <w:rFonts w:eastAsia="仿宋"/>
          <w:sz w:val="24"/>
        </w:rPr>
        <w:t>支持的通讯规约采用规约库方式，可以根据需求进行扩充。</w:t>
      </w:r>
    </w:p>
    <w:p>
      <w:pPr>
        <w:pStyle w:val="494"/>
        <w:numPr>
          <w:ilvl w:val="0"/>
          <w:numId w:val="21"/>
        </w:numPr>
        <w:spacing w:line="360" w:lineRule="auto"/>
        <w:ind w:left="0" w:firstLine="485" w:firstLineChars="0"/>
        <w:rPr>
          <w:rFonts w:eastAsia="仿宋"/>
          <w:sz w:val="24"/>
        </w:rPr>
      </w:pPr>
      <w:r>
        <w:rPr>
          <w:rFonts w:eastAsia="仿宋"/>
          <w:sz w:val="24"/>
        </w:rPr>
        <w:t>支持与OPC Server通讯；</w:t>
      </w:r>
    </w:p>
    <w:p>
      <w:pPr>
        <w:pStyle w:val="494"/>
        <w:numPr>
          <w:ilvl w:val="0"/>
          <w:numId w:val="21"/>
        </w:numPr>
        <w:spacing w:line="360" w:lineRule="auto"/>
        <w:ind w:left="0" w:firstLine="485" w:firstLineChars="0"/>
        <w:rPr>
          <w:rFonts w:eastAsia="仿宋"/>
          <w:sz w:val="24"/>
        </w:rPr>
      </w:pPr>
      <w:r>
        <w:rPr>
          <w:rFonts w:eastAsia="仿宋"/>
          <w:sz w:val="24"/>
        </w:rPr>
        <w:t>支持与Insql数据交换；</w:t>
      </w:r>
    </w:p>
    <w:p>
      <w:pPr>
        <w:pStyle w:val="494"/>
        <w:numPr>
          <w:ilvl w:val="0"/>
          <w:numId w:val="21"/>
        </w:numPr>
        <w:spacing w:line="360" w:lineRule="auto"/>
        <w:ind w:left="0" w:firstLine="485" w:firstLineChars="0"/>
        <w:rPr>
          <w:rFonts w:eastAsia="仿宋"/>
          <w:sz w:val="24"/>
        </w:rPr>
      </w:pPr>
      <w:r>
        <w:rPr>
          <w:rFonts w:eastAsia="仿宋"/>
          <w:sz w:val="24"/>
        </w:rPr>
        <w:t>支持Modbus TCP通讯；</w:t>
      </w:r>
    </w:p>
    <w:p>
      <w:pPr>
        <w:pStyle w:val="494"/>
        <w:numPr>
          <w:ilvl w:val="0"/>
          <w:numId w:val="21"/>
        </w:numPr>
        <w:spacing w:line="360" w:lineRule="auto"/>
        <w:ind w:left="0" w:firstLine="485" w:firstLineChars="0"/>
        <w:rPr>
          <w:rFonts w:eastAsia="仿宋"/>
          <w:sz w:val="24"/>
        </w:rPr>
      </w:pPr>
      <w:r>
        <w:rPr>
          <w:rFonts w:eastAsia="仿宋"/>
          <w:sz w:val="24"/>
        </w:rPr>
        <w:t>支持与DA服务器的数据读写；</w:t>
      </w:r>
    </w:p>
    <w:p>
      <w:pPr>
        <w:pStyle w:val="494"/>
        <w:numPr>
          <w:ilvl w:val="0"/>
          <w:numId w:val="21"/>
        </w:numPr>
        <w:spacing w:line="360" w:lineRule="auto"/>
        <w:ind w:left="0" w:firstLine="485" w:firstLineChars="0"/>
        <w:rPr>
          <w:rFonts w:eastAsia="仿宋"/>
          <w:sz w:val="24"/>
        </w:rPr>
      </w:pPr>
      <w:r>
        <w:rPr>
          <w:rFonts w:eastAsia="仿宋"/>
          <w:sz w:val="24"/>
        </w:rPr>
        <w:t>通过GPS采集电网周波信息；</w:t>
      </w:r>
    </w:p>
    <w:p>
      <w:pPr>
        <w:pStyle w:val="494"/>
        <w:numPr>
          <w:ilvl w:val="0"/>
          <w:numId w:val="21"/>
        </w:numPr>
        <w:spacing w:line="360" w:lineRule="auto"/>
        <w:ind w:left="0" w:firstLine="485" w:firstLineChars="0"/>
        <w:rPr>
          <w:rFonts w:eastAsia="仿宋"/>
          <w:sz w:val="24"/>
        </w:rPr>
      </w:pPr>
      <w:r>
        <w:rPr>
          <w:rFonts w:eastAsia="仿宋"/>
          <w:sz w:val="24"/>
        </w:rPr>
        <w:t>支持各种CDT、DISA、XT9702、POLLING远动通讯规约；</w:t>
      </w:r>
    </w:p>
    <w:p>
      <w:pPr>
        <w:pStyle w:val="494"/>
        <w:numPr>
          <w:ilvl w:val="0"/>
          <w:numId w:val="21"/>
        </w:numPr>
        <w:spacing w:line="360" w:lineRule="auto"/>
        <w:ind w:left="0" w:firstLine="485" w:firstLineChars="0"/>
        <w:rPr>
          <w:rFonts w:eastAsia="仿宋"/>
          <w:sz w:val="24"/>
        </w:rPr>
      </w:pPr>
      <w:r>
        <w:rPr>
          <w:rFonts w:eastAsia="仿宋"/>
          <w:sz w:val="24"/>
        </w:rPr>
        <w:t>支持IEC60870-5-101远动通讯规约；</w:t>
      </w:r>
    </w:p>
    <w:p>
      <w:pPr>
        <w:pStyle w:val="494"/>
        <w:numPr>
          <w:ilvl w:val="0"/>
          <w:numId w:val="21"/>
        </w:numPr>
        <w:spacing w:line="360" w:lineRule="auto"/>
        <w:ind w:left="0" w:firstLine="485" w:firstLineChars="0"/>
        <w:rPr>
          <w:rFonts w:eastAsia="仿宋"/>
          <w:sz w:val="24"/>
        </w:rPr>
      </w:pPr>
      <w:r>
        <w:rPr>
          <w:rFonts w:eastAsia="仿宋"/>
          <w:sz w:val="24"/>
        </w:rPr>
        <w:t>支持IEC60870-5-104网络通讯协议；</w:t>
      </w:r>
    </w:p>
    <w:p>
      <w:pPr>
        <w:pStyle w:val="494"/>
        <w:numPr>
          <w:ilvl w:val="0"/>
          <w:numId w:val="21"/>
        </w:numPr>
        <w:spacing w:line="360" w:lineRule="auto"/>
        <w:ind w:left="0" w:firstLine="485" w:firstLineChars="0"/>
        <w:rPr>
          <w:rFonts w:eastAsia="仿宋"/>
          <w:sz w:val="24"/>
        </w:rPr>
      </w:pPr>
      <w:r>
        <w:rPr>
          <w:rFonts w:eastAsia="仿宋"/>
          <w:sz w:val="24"/>
        </w:rPr>
        <w:t>采用IEC60870-5-103通讯协议支持变电站保护信息采集；</w:t>
      </w:r>
    </w:p>
    <w:p>
      <w:pPr>
        <w:pStyle w:val="494"/>
        <w:numPr>
          <w:ilvl w:val="0"/>
          <w:numId w:val="21"/>
        </w:numPr>
        <w:spacing w:line="360" w:lineRule="auto"/>
        <w:ind w:left="0" w:firstLine="485" w:firstLineChars="0"/>
        <w:rPr>
          <w:rFonts w:eastAsia="仿宋"/>
          <w:sz w:val="24"/>
        </w:rPr>
      </w:pPr>
      <w:r>
        <w:rPr>
          <w:rFonts w:eastAsia="仿宋"/>
          <w:sz w:val="24"/>
        </w:rPr>
        <w:t>支持TASE.2网络通讯协议，支持功能模块BLOCK1，2，4，5,8；</w:t>
      </w:r>
    </w:p>
    <w:p>
      <w:pPr>
        <w:pStyle w:val="494"/>
        <w:numPr>
          <w:ilvl w:val="0"/>
          <w:numId w:val="21"/>
        </w:numPr>
        <w:spacing w:line="360" w:lineRule="auto"/>
        <w:ind w:left="0" w:firstLine="485" w:firstLineChars="0"/>
        <w:rPr>
          <w:rFonts w:eastAsia="仿宋"/>
          <w:sz w:val="24"/>
        </w:rPr>
      </w:pPr>
      <w:r>
        <w:rPr>
          <w:rFonts w:eastAsia="仿宋"/>
          <w:sz w:val="24"/>
        </w:rPr>
        <w:t>支持DNP30协议；</w:t>
      </w:r>
    </w:p>
    <w:p>
      <w:pPr>
        <w:pStyle w:val="494"/>
        <w:numPr>
          <w:ilvl w:val="0"/>
          <w:numId w:val="21"/>
        </w:numPr>
        <w:spacing w:line="360" w:lineRule="auto"/>
        <w:ind w:left="0" w:firstLine="485" w:firstLineChars="0"/>
        <w:rPr>
          <w:rFonts w:eastAsia="仿宋"/>
          <w:sz w:val="24"/>
        </w:rPr>
      </w:pPr>
      <w:r>
        <w:rPr>
          <w:rFonts w:eastAsia="仿宋"/>
          <w:sz w:val="24"/>
        </w:rPr>
        <w:t>支持S5协议；</w:t>
      </w:r>
    </w:p>
    <w:p>
      <w:pPr>
        <w:pStyle w:val="494"/>
        <w:numPr>
          <w:ilvl w:val="0"/>
          <w:numId w:val="21"/>
        </w:numPr>
        <w:spacing w:line="360" w:lineRule="auto"/>
        <w:ind w:left="0" w:firstLine="485" w:firstLineChars="0"/>
        <w:rPr>
          <w:rFonts w:eastAsia="仿宋"/>
          <w:sz w:val="24"/>
        </w:rPr>
      </w:pPr>
      <w:r>
        <w:rPr>
          <w:rFonts w:eastAsia="仿宋"/>
          <w:sz w:val="24"/>
        </w:rPr>
        <w:t>支持DL/T451-91 DL/T476-92 SC1801、µ4F CDC8890等多种规约；</w:t>
      </w:r>
    </w:p>
    <w:p>
      <w:pPr>
        <w:pStyle w:val="494"/>
        <w:numPr>
          <w:ilvl w:val="0"/>
          <w:numId w:val="21"/>
        </w:numPr>
        <w:spacing w:line="360" w:lineRule="auto"/>
        <w:ind w:left="0" w:firstLine="485" w:firstLineChars="0"/>
        <w:rPr>
          <w:rFonts w:eastAsia="仿宋"/>
          <w:sz w:val="24"/>
        </w:rPr>
      </w:pPr>
      <w:r>
        <w:rPr>
          <w:rFonts w:eastAsia="仿宋"/>
          <w:sz w:val="24"/>
        </w:rPr>
        <w:t>支持IEC61850通信标准；</w:t>
      </w:r>
    </w:p>
    <w:p>
      <w:pPr>
        <w:pStyle w:val="494"/>
        <w:numPr>
          <w:ilvl w:val="0"/>
          <w:numId w:val="21"/>
        </w:numPr>
        <w:spacing w:line="360" w:lineRule="auto"/>
        <w:ind w:left="0" w:firstLine="485" w:firstLineChars="0"/>
        <w:rPr>
          <w:rFonts w:eastAsia="仿宋"/>
          <w:sz w:val="24"/>
        </w:rPr>
      </w:pPr>
      <w:r>
        <w:rPr>
          <w:rFonts w:eastAsia="仿宋"/>
          <w:sz w:val="24"/>
        </w:rPr>
        <w:t>支持IEEE1344、IEEE Std C37.118等wams动态数据采集规约；</w:t>
      </w:r>
    </w:p>
    <w:p>
      <w:pPr>
        <w:pStyle w:val="494"/>
        <w:numPr>
          <w:ilvl w:val="0"/>
          <w:numId w:val="21"/>
        </w:numPr>
        <w:spacing w:line="360" w:lineRule="auto"/>
        <w:ind w:left="0" w:firstLine="485" w:firstLineChars="0"/>
        <w:rPr>
          <w:rFonts w:eastAsia="仿宋"/>
          <w:sz w:val="24"/>
        </w:rPr>
      </w:pPr>
      <w:r>
        <w:rPr>
          <w:rFonts w:eastAsia="仿宋"/>
          <w:sz w:val="24"/>
        </w:rPr>
        <w:t>支持其他所有用户自定义规约。</w:t>
      </w:r>
    </w:p>
    <w:p>
      <w:pPr>
        <w:spacing w:line="360" w:lineRule="auto"/>
        <w:ind w:firstLine="484" w:firstLineChars="202"/>
        <w:rPr>
          <w:rFonts w:eastAsia="仿宋"/>
          <w:sz w:val="24"/>
        </w:rPr>
      </w:pPr>
      <w:r>
        <w:rPr>
          <w:rFonts w:eastAsia="仿宋"/>
          <w:sz w:val="24"/>
        </w:rPr>
        <w:t>协议可以根据需求扩展。添加新的规约插件不需要修改原有程序架构，只需开发新的规约插件库即可, 新的规约插件即插即用。</w:t>
      </w:r>
    </w:p>
    <w:p>
      <w:pPr>
        <w:spacing w:line="360" w:lineRule="auto"/>
        <w:ind w:firstLine="487" w:firstLineChars="202"/>
        <w:outlineLvl w:val="4"/>
        <w:rPr>
          <w:rFonts w:eastAsia="仿宋"/>
          <w:b/>
          <w:sz w:val="24"/>
        </w:rPr>
      </w:pPr>
      <w:r>
        <w:rPr>
          <w:rFonts w:eastAsia="仿宋"/>
          <w:b/>
          <w:sz w:val="24"/>
        </w:rPr>
        <w:t>2.2 历史数据管理</w:t>
      </w:r>
    </w:p>
    <w:p>
      <w:pPr>
        <w:spacing w:line="360" w:lineRule="auto"/>
        <w:ind w:firstLine="484" w:firstLineChars="202"/>
        <w:rPr>
          <w:rFonts w:eastAsia="仿宋"/>
          <w:sz w:val="24"/>
        </w:rPr>
      </w:pPr>
      <w:r>
        <w:rPr>
          <w:rFonts w:eastAsia="仿宋"/>
          <w:sz w:val="24"/>
        </w:rPr>
        <w:t>历史数据库中的数据能由用户定义，数据取样间隔也能自由调整。一般数据存储间隔用1分钟，但用户可定义电网频率数据等按最低一秒钟的采样周期存储，典型时和典型日能被用户整定。</w:t>
      </w:r>
      <w:r>
        <w:rPr>
          <w:rFonts w:eastAsia="仿宋"/>
          <w:b/>
          <w:sz w:val="24"/>
        </w:rPr>
        <w:t>对历史数据库的数据在实时数据库中有缓存机制，以保障当所有历史数据库服务器退出运行后，只要七天内恢复，都能自动恢复历史数据。</w:t>
      </w:r>
    </w:p>
    <w:p>
      <w:pPr>
        <w:spacing w:line="360" w:lineRule="auto"/>
        <w:ind w:firstLine="487" w:firstLineChars="202"/>
        <w:outlineLvl w:val="4"/>
        <w:rPr>
          <w:rFonts w:eastAsia="仿宋"/>
          <w:b/>
          <w:sz w:val="24"/>
        </w:rPr>
      </w:pPr>
      <w:r>
        <w:rPr>
          <w:rFonts w:eastAsia="仿宋"/>
          <w:b/>
          <w:sz w:val="24"/>
        </w:rPr>
        <w:t>2.3 图形表现能力</w:t>
      </w:r>
    </w:p>
    <w:p>
      <w:pPr>
        <w:spacing w:line="360" w:lineRule="auto"/>
        <w:ind w:firstLine="484" w:firstLineChars="202"/>
        <w:rPr>
          <w:rFonts w:eastAsia="仿宋"/>
          <w:sz w:val="24"/>
        </w:rPr>
      </w:pPr>
      <w:r>
        <w:rPr>
          <w:rFonts w:eastAsia="仿宋"/>
          <w:sz w:val="24"/>
        </w:rPr>
        <w:t>画面可以集成能源元件、工艺设备、各种背景、图片、列表、棒图、饼图、曲线、仪表图、树型列表等，具有丰富的图形表现方式。</w:t>
      </w:r>
    </w:p>
    <w:p>
      <w:pPr>
        <w:spacing w:line="360" w:lineRule="auto"/>
        <w:ind w:firstLine="484" w:firstLineChars="202"/>
        <w:rPr>
          <w:rFonts w:eastAsia="仿宋"/>
          <w:sz w:val="24"/>
        </w:rPr>
      </w:pPr>
      <w:r>
        <w:rPr>
          <w:rFonts w:eastAsia="仿宋"/>
          <w:sz w:val="24"/>
        </w:rPr>
        <w:t>在线显示工具是人机系统中重要组成部分。它用来显示各类监控图形，包括厂站图、设备工艺图、系统单线图、潮流图、地理图、配置工况图、目录画面、菜单画面、自动化系统中各种应用的控制画面、以及其他计算机设备状态的画面等。</w:t>
      </w:r>
    </w:p>
    <w:p>
      <w:pPr>
        <w:spacing w:line="360" w:lineRule="auto"/>
        <w:ind w:firstLine="484" w:firstLineChars="202"/>
        <w:rPr>
          <w:rFonts w:eastAsia="仿宋"/>
          <w:sz w:val="24"/>
        </w:rPr>
      </w:pPr>
      <w:r>
        <w:rPr>
          <w:rFonts w:eastAsia="仿宋"/>
          <w:sz w:val="24"/>
        </w:rPr>
        <w:t>在线显示工具的主要功能有：</w:t>
      </w:r>
    </w:p>
    <w:p>
      <w:pPr>
        <w:pStyle w:val="494"/>
        <w:numPr>
          <w:ilvl w:val="0"/>
          <w:numId w:val="22"/>
        </w:numPr>
        <w:spacing w:line="360" w:lineRule="auto"/>
        <w:ind w:left="0" w:firstLine="485" w:firstLineChars="0"/>
        <w:rPr>
          <w:rFonts w:eastAsia="仿宋"/>
          <w:sz w:val="24"/>
        </w:rPr>
      </w:pPr>
      <w:r>
        <w:rPr>
          <w:rFonts w:eastAsia="仿宋"/>
          <w:sz w:val="24"/>
        </w:rPr>
        <w:t>用户的权限管理和登录；</w:t>
      </w:r>
    </w:p>
    <w:p>
      <w:pPr>
        <w:pStyle w:val="494"/>
        <w:numPr>
          <w:ilvl w:val="0"/>
          <w:numId w:val="22"/>
        </w:numPr>
        <w:spacing w:line="360" w:lineRule="auto"/>
        <w:ind w:left="0" w:firstLine="485" w:firstLineChars="0"/>
        <w:rPr>
          <w:rFonts w:eastAsia="仿宋"/>
          <w:sz w:val="24"/>
        </w:rPr>
      </w:pPr>
      <w:r>
        <w:rPr>
          <w:rFonts w:eastAsia="仿宋"/>
          <w:sz w:val="24"/>
        </w:rPr>
        <w:t>画面上背景和元件的通过用户定义颜色决策显示，并可和任意数据库状态关联；</w:t>
      </w:r>
    </w:p>
    <w:p>
      <w:pPr>
        <w:pStyle w:val="494"/>
        <w:numPr>
          <w:ilvl w:val="0"/>
          <w:numId w:val="22"/>
        </w:numPr>
        <w:spacing w:line="360" w:lineRule="auto"/>
        <w:ind w:left="0" w:firstLine="485" w:firstLineChars="0"/>
        <w:rPr>
          <w:rFonts w:eastAsia="仿宋"/>
          <w:sz w:val="24"/>
        </w:rPr>
      </w:pPr>
      <w:r>
        <w:rPr>
          <w:rFonts w:eastAsia="仿宋"/>
          <w:sz w:val="24"/>
        </w:rPr>
        <w:t>画面上实时数据的刷新，包括数值、状态、曲线、棒图、饼图、仪表图等的显示，刷新周期可以用户自定义；</w:t>
      </w:r>
    </w:p>
    <w:p>
      <w:pPr>
        <w:pStyle w:val="494"/>
        <w:numPr>
          <w:ilvl w:val="0"/>
          <w:numId w:val="22"/>
        </w:numPr>
        <w:spacing w:line="360" w:lineRule="auto"/>
        <w:ind w:left="0" w:firstLine="485" w:firstLineChars="0"/>
        <w:rPr>
          <w:rFonts w:eastAsia="仿宋"/>
          <w:sz w:val="24"/>
        </w:rPr>
      </w:pPr>
      <w:r>
        <w:rPr>
          <w:rFonts w:eastAsia="仿宋"/>
          <w:sz w:val="24"/>
        </w:rPr>
        <w:t>支持多屏多窗口显示，并可跨屏幕显示；</w:t>
      </w:r>
    </w:p>
    <w:p>
      <w:pPr>
        <w:pStyle w:val="494"/>
        <w:numPr>
          <w:ilvl w:val="0"/>
          <w:numId w:val="22"/>
        </w:numPr>
        <w:spacing w:line="360" w:lineRule="auto"/>
        <w:ind w:left="0" w:firstLine="485" w:firstLineChars="0"/>
        <w:rPr>
          <w:rFonts w:eastAsia="仿宋"/>
          <w:sz w:val="24"/>
        </w:rPr>
      </w:pPr>
      <w:r>
        <w:rPr>
          <w:rFonts w:eastAsia="仿宋"/>
          <w:sz w:val="24"/>
        </w:rPr>
        <w:t>支持各类操作，用户可方便定义操作菜单。包括电网设备的操作，如遥控遥调、设置保护定值、设置区号等操作；</w:t>
      </w:r>
    </w:p>
    <w:p>
      <w:pPr>
        <w:pStyle w:val="494"/>
        <w:numPr>
          <w:ilvl w:val="0"/>
          <w:numId w:val="22"/>
        </w:numPr>
        <w:spacing w:line="360" w:lineRule="auto"/>
        <w:ind w:left="0" w:firstLine="485" w:firstLineChars="0"/>
        <w:rPr>
          <w:rFonts w:eastAsia="仿宋"/>
          <w:sz w:val="24"/>
        </w:rPr>
      </w:pPr>
      <w:r>
        <w:rPr>
          <w:rFonts w:eastAsia="仿宋"/>
          <w:sz w:val="24"/>
        </w:rPr>
        <w:t>可以直接查询各种历史数据、设备参数、实时数据库的状态等；</w:t>
      </w:r>
    </w:p>
    <w:p>
      <w:pPr>
        <w:pStyle w:val="494"/>
        <w:numPr>
          <w:ilvl w:val="0"/>
          <w:numId w:val="22"/>
        </w:numPr>
        <w:spacing w:line="360" w:lineRule="auto"/>
        <w:ind w:left="0" w:firstLine="485" w:firstLineChars="0"/>
        <w:rPr>
          <w:rFonts w:eastAsia="仿宋"/>
          <w:sz w:val="24"/>
        </w:rPr>
      </w:pPr>
      <w:r>
        <w:rPr>
          <w:rFonts w:eastAsia="仿宋"/>
          <w:sz w:val="24"/>
        </w:rPr>
        <w:t>支持用户自定义拓扑着色，显示状态数量、颜色可以任意选择；</w:t>
      </w:r>
    </w:p>
    <w:p>
      <w:pPr>
        <w:pStyle w:val="494"/>
        <w:numPr>
          <w:ilvl w:val="0"/>
          <w:numId w:val="22"/>
        </w:numPr>
        <w:spacing w:line="360" w:lineRule="auto"/>
        <w:ind w:left="0" w:firstLine="485" w:firstLineChars="0"/>
        <w:rPr>
          <w:rFonts w:eastAsia="仿宋"/>
          <w:sz w:val="24"/>
        </w:rPr>
      </w:pPr>
      <w:r>
        <w:rPr>
          <w:rFonts w:eastAsia="仿宋"/>
          <w:sz w:val="24"/>
        </w:rPr>
        <w:t>可将接线图、曲线、棒图、地理图等以真彩的形式打印出来，可自动分页打印；</w:t>
      </w:r>
    </w:p>
    <w:p>
      <w:pPr>
        <w:pStyle w:val="494"/>
        <w:numPr>
          <w:ilvl w:val="0"/>
          <w:numId w:val="22"/>
        </w:numPr>
        <w:spacing w:line="360" w:lineRule="auto"/>
        <w:ind w:left="0" w:firstLine="485" w:firstLineChars="0"/>
        <w:rPr>
          <w:rFonts w:eastAsia="仿宋"/>
          <w:sz w:val="24"/>
        </w:rPr>
      </w:pPr>
      <w:r>
        <w:rPr>
          <w:rFonts w:eastAsia="仿宋"/>
          <w:sz w:val="24"/>
        </w:rPr>
        <w:t>用户的登录和注销可以通过人机系统的控制台触发，也可以直接通过在线工具提供登录和注销的按钮进行操作；可以通过系统管理提供的权限管理工具实现对画面的读权限控制以及画面上设备的操作权限控制；可以通过操作配置表对用户所能进行的操作进行灵活配置；</w:t>
      </w:r>
    </w:p>
    <w:p>
      <w:pPr>
        <w:pStyle w:val="494"/>
        <w:numPr>
          <w:ilvl w:val="0"/>
          <w:numId w:val="22"/>
        </w:numPr>
        <w:spacing w:line="360" w:lineRule="auto"/>
        <w:ind w:left="0" w:firstLine="485" w:firstLineChars="0"/>
        <w:rPr>
          <w:rFonts w:eastAsia="仿宋"/>
          <w:sz w:val="24"/>
        </w:rPr>
      </w:pPr>
      <w:r>
        <w:rPr>
          <w:rFonts w:eastAsia="仿宋"/>
          <w:sz w:val="24"/>
        </w:rPr>
        <w:t>能够不同电压等级、不同的区域分别设置权限进行监控；</w:t>
      </w:r>
    </w:p>
    <w:p>
      <w:pPr>
        <w:pStyle w:val="494"/>
        <w:numPr>
          <w:ilvl w:val="0"/>
          <w:numId w:val="22"/>
        </w:numPr>
        <w:spacing w:line="360" w:lineRule="auto"/>
        <w:ind w:left="0" w:firstLine="485" w:firstLineChars="0"/>
        <w:rPr>
          <w:rFonts w:eastAsia="仿宋"/>
          <w:sz w:val="24"/>
        </w:rPr>
      </w:pPr>
      <w:r>
        <w:rPr>
          <w:rFonts w:eastAsia="仿宋"/>
          <w:sz w:val="24"/>
        </w:rPr>
        <w:t>支持点阵图形、立体图形、多媒体和网页的显示；</w:t>
      </w:r>
    </w:p>
    <w:p>
      <w:pPr>
        <w:pStyle w:val="494"/>
        <w:numPr>
          <w:ilvl w:val="0"/>
          <w:numId w:val="22"/>
        </w:numPr>
        <w:spacing w:line="360" w:lineRule="auto"/>
        <w:ind w:left="0" w:firstLine="485" w:firstLineChars="0"/>
        <w:rPr>
          <w:rFonts w:eastAsia="仿宋"/>
          <w:sz w:val="24"/>
        </w:rPr>
      </w:pPr>
      <w:r>
        <w:rPr>
          <w:rFonts w:eastAsia="仿宋"/>
          <w:sz w:val="24"/>
        </w:rPr>
        <w:t>支持图形的分层显示，根据不同的比例因子选择合适的层次；</w:t>
      </w:r>
    </w:p>
    <w:p>
      <w:pPr>
        <w:pStyle w:val="494"/>
        <w:numPr>
          <w:ilvl w:val="0"/>
          <w:numId w:val="22"/>
        </w:numPr>
        <w:spacing w:line="360" w:lineRule="auto"/>
        <w:ind w:left="0" w:firstLine="485" w:firstLineChars="0"/>
        <w:rPr>
          <w:rFonts w:eastAsia="仿宋"/>
          <w:sz w:val="24"/>
        </w:rPr>
      </w:pPr>
      <w:r>
        <w:rPr>
          <w:rFonts w:eastAsia="仿宋"/>
          <w:sz w:val="24"/>
        </w:rPr>
        <w:t>点阵图形可以提供居中、平铺和拉伸三种显示方式；</w:t>
      </w:r>
    </w:p>
    <w:p>
      <w:pPr>
        <w:pStyle w:val="494"/>
        <w:numPr>
          <w:ilvl w:val="0"/>
          <w:numId w:val="22"/>
        </w:numPr>
        <w:spacing w:line="360" w:lineRule="auto"/>
        <w:ind w:left="0" w:firstLine="485" w:firstLineChars="0"/>
        <w:rPr>
          <w:rFonts w:eastAsia="仿宋"/>
          <w:sz w:val="24"/>
        </w:rPr>
      </w:pPr>
      <w:r>
        <w:rPr>
          <w:rFonts w:eastAsia="仿宋"/>
          <w:sz w:val="24"/>
        </w:rPr>
        <w:t>采用了显示缓存机制，画面显示平滑无闪烁；</w:t>
      </w:r>
    </w:p>
    <w:p>
      <w:pPr>
        <w:pStyle w:val="494"/>
        <w:numPr>
          <w:ilvl w:val="0"/>
          <w:numId w:val="22"/>
        </w:numPr>
        <w:spacing w:line="360" w:lineRule="auto"/>
        <w:ind w:left="0" w:firstLine="485" w:firstLineChars="0"/>
        <w:rPr>
          <w:rFonts w:eastAsia="仿宋"/>
          <w:sz w:val="24"/>
        </w:rPr>
      </w:pPr>
      <w:r>
        <w:rPr>
          <w:rFonts w:eastAsia="仿宋"/>
          <w:sz w:val="24"/>
        </w:rPr>
        <w:t>支持固定倍数的缩放、无级缩放、区域放大、满屏显示、无级漫游、滚动条滚动漫游等显示方式；</w:t>
      </w:r>
    </w:p>
    <w:p>
      <w:pPr>
        <w:pStyle w:val="494"/>
        <w:numPr>
          <w:ilvl w:val="0"/>
          <w:numId w:val="22"/>
        </w:numPr>
        <w:spacing w:line="360" w:lineRule="auto"/>
        <w:ind w:left="0" w:firstLine="485" w:firstLineChars="0"/>
        <w:rPr>
          <w:rFonts w:eastAsia="仿宋"/>
          <w:sz w:val="24"/>
        </w:rPr>
      </w:pPr>
      <w:r>
        <w:rPr>
          <w:rFonts w:eastAsia="仿宋"/>
          <w:sz w:val="24"/>
        </w:rPr>
        <w:t>可以通过画面上的按钮（光敏点）、画面调用的历史记录、画面收藏夹、根据应用请求（通过报文或事件）、键盘（单键或者组合键）等方式调用显示画面；</w:t>
      </w:r>
    </w:p>
    <w:p>
      <w:pPr>
        <w:pStyle w:val="494"/>
        <w:numPr>
          <w:ilvl w:val="0"/>
          <w:numId w:val="22"/>
        </w:numPr>
        <w:spacing w:line="360" w:lineRule="auto"/>
        <w:ind w:left="0" w:firstLine="485" w:firstLineChars="0"/>
        <w:rPr>
          <w:rFonts w:eastAsia="仿宋"/>
          <w:sz w:val="24"/>
        </w:rPr>
      </w:pPr>
      <w:r>
        <w:rPr>
          <w:rFonts w:eastAsia="仿宋"/>
          <w:sz w:val="24"/>
        </w:rPr>
        <w:t>支持用箭头或者流水线表示潮流方向。</w:t>
      </w:r>
    </w:p>
    <w:p>
      <w:pPr>
        <w:spacing w:line="360" w:lineRule="auto"/>
        <w:ind w:firstLine="487" w:firstLineChars="202"/>
        <w:outlineLvl w:val="4"/>
        <w:rPr>
          <w:rFonts w:eastAsia="仿宋"/>
          <w:b/>
          <w:sz w:val="24"/>
        </w:rPr>
      </w:pPr>
      <w:r>
        <w:rPr>
          <w:rFonts w:eastAsia="仿宋"/>
          <w:b/>
          <w:sz w:val="24"/>
        </w:rPr>
        <w:t>2.4 报表功能</w:t>
      </w:r>
    </w:p>
    <w:p>
      <w:pPr>
        <w:spacing w:line="360" w:lineRule="auto"/>
        <w:ind w:firstLine="484" w:firstLineChars="202"/>
        <w:rPr>
          <w:rFonts w:eastAsia="仿宋"/>
          <w:sz w:val="24"/>
        </w:rPr>
      </w:pPr>
      <w:r>
        <w:rPr>
          <w:rFonts w:eastAsia="仿宋"/>
          <w:sz w:val="24"/>
        </w:rPr>
        <w:t>报表工具具有“报表模板制作”和“报表浏览”两大功能，用于实现报表模板的制作、管理、浏览、定时打印等。模板制作用于编辑生成各种不同类型不同样式的报表模板，如运行日志（日报）、月统计报表（月报）、年统计报表（年报）和各种管理报表。报表浏览根据设置的报表时间，从数据库中自动取得的历史数据和实时数据，用户不需要知道数据来源于历史库还是实时库，直接生成最终报表。生成的报表可以保存为Excel、ForumlOne文件或文本文件，用于WEB发布或归档。</w:t>
      </w:r>
    </w:p>
    <w:p>
      <w:pPr>
        <w:spacing w:line="360" w:lineRule="auto"/>
        <w:ind w:firstLine="487" w:firstLineChars="202"/>
        <w:outlineLvl w:val="4"/>
        <w:rPr>
          <w:rFonts w:eastAsia="仿宋"/>
          <w:b/>
          <w:sz w:val="24"/>
        </w:rPr>
      </w:pPr>
      <w:r>
        <w:rPr>
          <w:rFonts w:eastAsia="仿宋"/>
          <w:b/>
          <w:sz w:val="24"/>
        </w:rPr>
        <w:t>2.5 人机界面</w:t>
      </w:r>
    </w:p>
    <w:p>
      <w:pPr>
        <w:spacing w:line="360" w:lineRule="auto"/>
        <w:ind w:firstLine="484" w:firstLineChars="202"/>
        <w:rPr>
          <w:rFonts w:eastAsia="仿宋"/>
          <w:sz w:val="24"/>
        </w:rPr>
      </w:pPr>
      <w:r>
        <w:rPr>
          <w:rFonts w:eastAsia="仿宋"/>
          <w:sz w:val="24"/>
        </w:rPr>
        <w:t>全图形化、智能化、基于WEB的人机子系统。图形用户界面实时刷新画面，即便是在尖峰或突发事件发生的条件下。它允许设置权限，控制用户访问系统画面，以得到更高的安全性。</w:t>
      </w:r>
    </w:p>
    <w:p>
      <w:pPr>
        <w:pStyle w:val="494"/>
        <w:numPr>
          <w:ilvl w:val="0"/>
          <w:numId w:val="23"/>
        </w:numPr>
        <w:spacing w:line="360" w:lineRule="auto"/>
        <w:ind w:left="0" w:firstLine="485" w:firstLineChars="0"/>
        <w:rPr>
          <w:rFonts w:eastAsia="仿宋"/>
          <w:sz w:val="24"/>
        </w:rPr>
      </w:pPr>
      <w:r>
        <w:rPr>
          <w:rFonts w:eastAsia="仿宋"/>
          <w:sz w:val="24"/>
        </w:rPr>
        <w:t>系统跨平台使用，各种平台显示风格一样，一处维护，各点使用；</w:t>
      </w:r>
    </w:p>
    <w:p>
      <w:pPr>
        <w:pStyle w:val="494"/>
        <w:numPr>
          <w:ilvl w:val="0"/>
          <w:numId w:val="23"/>
        </w:numPr>
        <w:spacing w:line="360" w:lineRule="auto"/>
        <w:ind w:left="0" w:firstLine="485" w:firstLineChars="0"/>
        <w:rPr>
          <w:rFonts w:eastAsia="仿宋"/>
          <w:sz w:val="24"/>
        </w:rPr>
      </w:pPr>
      <w:r>
        <w:rPr>
          <w:rFonts w:eastAsia="仿宋"/>
          <w:sz w:val="24"/>
        </w:rPr>
        <w:t>系统采用面向对象的分析方法和编程语言；</w:t>
      </w:r>
    </w:p>
    <w:p>
      <w:pPr>
        <w:pStyle w:val="494"/>
        <w:numPr>
          <w:ilvl w:val="0"/>
          <w:numId w:val="23"/>
        </w:numPr>
        <w:spacing w:line="360" w:lineRule="auto"/>
        <w:ind w:left="0" w:firstLine="485" w:firstLineChars="0"/>
        <w:rPr>
          <w:rFonts w:eastAsia="仿宋"/>
          <w:sz w:val="24"/>
        </w:rPr>
      </w:pPr>
      <w:r>
        <w:rPr>
          <w:rFonts w:eastAsia="仿宋"/>
          <w:sz w:val="24"/>
        </w:rPr>
        <w:t>采用组件技术，具有强大的人机集成功能；</w:t>
      </w:r>
    </w:p>
    <w:p>
      <w:pPr>
        <w:pStyle w:val="494"/>
        <w:numPr>
          <w:ilvl w:val="0"/>
          <w:numId w:val="23"/>
        </w:numPr>
        <w:spacing w:line="360" w:lineRule="auto"/>
        <w:ind w:left="0" w:firstLine="485" w:firstLineChars="0"/>
        <w:rPr>
          <w:rFonts w:eastAsia="仿宋"/>
          <w:sz w:val="24"/>
        </w:rPr>
      </w:pPr>
      <w:r>
        <w:rPr>
          <w:rFonts w:eastAsia="仿宋"/>
          <w:sz w:val="24"/>
        </w:rPr>
        <w:t>可以将厂站图、列表、棒图、仪表图、饼图和曲线集成在一起显示；</w:t>
      </w:r>
    </w:p>
    <w:p>
      <w:pPr>
        <w:pStyle w:val="494"/>
        <w:numPr>
          <w:ilvl w:val="0"/>
          <w:numId w:val="23"/>
        </w:numPr>
        <w:spacing w:line="360" w:lineRule="auto"/>
        <w:ind w:left="0" w:firstLine="485" w:firstLineChars="0"/>
        <w:rPr>
          <w:rFonts w:eastAsia="仿宋"/>
          <w:sz w:val="24"/>
        </w:rPr>
      </w:pPr>
      <w:r>
        <w:rPr>
          <w:rFonts w:eastAsia="仿宋"/>
          <w:sz w:val="24"/>
        </w:rPr>
        <w:t>画面字典对全系统的图形文件的管理；</w:t>
      </w:r>
    </w:p>
    <w:p>
      <w:pPr>
        <w:pStyle w:val="494"/>
        <w:numPr>
          <w:ilvl w:val="0"/>
          <w:numId w:val="23"/>
        </w:numPr>
        <w:spacing w:line="360" w:lineRule="auto"/>
        <w:ind w:left="0" w:firstLine="485" w:firstLineChars="0"/>
        <w:rPr>
          <w:rFonts w:eastAsia="仿宋"/>
          <w:sz w:val="24"/>
        </w:rPr>
      </w:pPr>
      <w:r>
        <w:rPr>
          <w:rFonts w:eastAsia="仿宋"/>
          <w:sz w:val="24"/>
        </w:rPr>
        <w:t>提供画面的分布式、多备份、多版本和节点透明的管理，不同模型的数据库自动取得当时的画面版本显示，完整再现电网历史状态；</w:t>
      </w:r>
    </w:p>
    <w:p>
      <w:pPr>
        <w:pStyle w:val="494"/>
        <w:numPr>
          <w:ilvl w:val="0"/>
          <w:numId w:val="23"/>
        </w:numPr>
        <w:spacing w:line="360" w:lineRule="auto"/>
        <w:ind w:left="0" w:firstLine="485" w:firstLineChars="0"/>
        <w:rPr>
          <w:rFonts w:eastAsia="仿宋"/>
          <w:sz w:val="24"/>
        </w:rPr>
      </w:pPr>
      <w:r>
        <w:rPr>
          <w:rFonts w:eastAsia="仿宋"/>
          <w:sz w:val="24"/>
        </w:rPr>
        <w:t>人机系统有模板和向导功能，方便用户定制各类图形；</w:t>
      </w:r>
    </w:p>
    <w:p>
      <w:pPr>
        <w:pStyle w:val="494"/>
        <w:numPr>
          <w:ilvl w:val="0"/>
          <w:numId w:val="23"/>
        </w:numPr>
        <w:spacing w:line="360" w:lineRule="auto"/>
        <w:ind w:left="0" w:firstLine="485" w:firstLineChars="0"/>
        <w:rPr>
          <w:rFonts w:eastAsia="仿宋"/>
          <w:sz w:val="24"/>
        </w:rPr>
      </w:pPr>
      <w:r>
        <w:rPr>
          <w:rFonts w:eastAsia="仿宋"/>
          <w:sz w:val="24"/>
        </w:rPr>
        <w:t>报表功能强大、设计方便，可以制作与Excel相媲美的表格；</w:t>
      </w:r>
    </w:p>
    <w:p>
      <w:pPr>
        <w:pStyle w:val="494"/>
        <w:numPr>
          <w:ilvl w:val="0"/>
          <w:numId w:val="23"/>
        </w:numPr>
        <w:spacing w:line="360" w:lineRule="auto"/>
        <w:ind w:left="0" w:firstLine="485" w:firstLineChars="0"/>
        <w:rPr>
          <w:rFonts w:eastAsia="仿宋"/>
          <w:sz w:val="24"/>
        </w:rPr>
      </w:pPr>
      <w:r>
        <w:rPr>
          <w:rFonts w:eastAsia="仿宋"/>
          <w:sz w:val="24"/>
        </w:rPr>
        <w:t>通过组件技术实现本地应用程序和WEB浏览功能的统一维护，用户在客户端浏览的图形和操作方式与本地一致；</w:t>
      </w:r>
    </w:p>
    <w:p>
      <w:pPr>
        <w:pStyle w:val="494"/>
        <w:numPr>
          <w:ilvl w:val="0"/>
          <w:numId w:val="23"/>
        </w:numPr>
        <w:spacing w:line="360" w:lineRule="auto"/>
        <w:ind w:left="0" w:firstLine="485" w:firstLineChars="0"/>
        <w:rPr>
          <w:rFonts w:eastAsia="仿宋"/>
          <w:sz w:val="24"/>
        </w:rPr>
      </w:pPr>
      <w:r>
        <w:rPr>
          <w:rFonts w:eastAsia="仿宋"/>
          <w:sz w:val="24"/>
        </w:rPr>
        <w:t>可个性化定制操作环境和界面风格，不用应用状态下通过显示风格明显区别；</w:t>
      </w:r>
    </w:p>
    <w:p>
      <w:pPr>
        <w:pStyle w:val="494"/>
        <w:numPr>
          <w:ilvl w:val="0"/>
          <w:numId w:val="23"/>
        </w:numPr>
        <w:spacing w:line="360" w:lineRule="auto"/>
        <w:ind w:left="0" w:firstLine="485" w:firstLineChars="0"/>
        <w:rPr>
          <w:rFonts w:eastAsia="仿宋"/>
          <w:sz w:val="24"/>
        </w:rPr>
      </w:pPr>
      <w:r>
        <w:rPr>
          <w:rFonts w:eastAsia="仿宋"/>
          <w:sz w:val="24"/>
        </w:rPr>
        <w:t>支持全图形、高分辨率、多窗口、快速响应的图形显示，具有平滑移动、无级缩放和移动画面的功能，以及画面分层显示、画面分平面显示、画面显示覆盖、画面提取、画面显示自动去繁等功能。提供窗口的导航操作；</w:t>
      </w:r>
    </w:p>
    <w:p>
      <w:pPr>
        <w:pStyle w:val="494"/>
        <w:numPr>
          <w:ilvl w:val="0"/>
          <w:numId w:val="23"/>
        </w:numPr>
        <w:spacing w:line="360" w:lineRule="auto"/>
        <w:ind w:left="0" w:firstLine="485" w:firstLineChars="0"/>
        <w:rPr>
          <w:rFonts w:eastAsia="仿宋"/>
          <w:sz w:val="24"/>
        </w:rPr>
      </w:pPr>
      <w:r>
        <w:rPr>
          <w:rFonts w:eastAsia="仿宋"/>
          <w:sz w:val="24"/>
        </w:rPr>
        <w:t>支持多屏幕多窗口管理，每台工作站带1～3台全图形显示器，每台显示器可独立实时处理各种图表和多窗口信息；</w:t>
      </w:r>
    </w:p>
    <w:p>
      <w:pPr>
        <w:pStyle w:val="494"/>
        <w:numPr>
          <w:ilvl w:val="0"/>
          <w:numId w:val="23"/>
        </w:numPr>
        <w:spacing w:line="360" w:lineRule="auto"/>
        <w:ind w:left="0" w:firstLine="485" w:firstLineChars="0"/>
        <w:rPr>
          <w:rFonts w:eastAsia="仿宋"/>
          <w:sz w:val="24"/>
        </w:rPr>
      </w:pPr>
      <w:r>
        <w:rPr>
          <w:rFonts w:eastAsia="仿宋"/>
          <w:sz w:val="24"/>
        </w:rPr>
        <w:t>支持大屏幕投影和图形拼接。</w:t>
      </w:r>
    </w:p>
    <w:p>
      <w:pPr>
        <w:spacing w:line="360" w:lineRule="auto"/>
        <w:ind w:firstLine="487" w:firstLineChars="202"/>
        <w:outlineLvl w:val="4"/>
        <w:rPr>
          <w:rFonts w:eastAsia="仿宋"/>
          <w:b/>
          <w:sz w:val="24"/>
        </w:rPr>
      </w:pPr>
      <w:r>
        <w:rPr>
          <w:rFonts w:eastAsia="仿宋"/>
          <w:b/>
          <w:sz w:val="24"/>
        </w:rPr>
        <w:t>2.6 告警管理</w:t>
      </w:r>
    </w:p>
    <w:p>
      <w:pPr>
        <w:spacing w:line="360" w:lineRule="auto"/>
        <w:ind w:firstLine="484" w:firstLineChars="202"/>
        <w:rPr>
          <w:rFonts w:eastAsia="仿宋"/>
          <w:sz w:val="24"/>
        </w:rPr>
      </w:pPr>
      <w:r>
        <w:rPr>
          <w:rFonts w:eastAsia="仿宋"/>
          <w:sz w:val="24"/>
        </w:rPr>
        <w:t>对于各种能源介质数据，可以设定各种限制。在超过限制时能够以多种方式发出告警，提示管理人员进行维护处理。系统平台利用多个报警模型，负责过程、设备、质量、安全指标、能源限额的超限进行多种方式的报警，包括模拟量报警、时间报警，重大变化连续重复报警，硬件报警等。</w:t>
      </w:r>
    </w:p>
    <w:p>
      <w:pPr>
        <w:spacing w:line="360" w:lineRule="auto"/>
        <w:ind w:firstLine="484" w:firstLineChars="202"/>
        <w:rPr>
          <w:rFonts w:eastAsia="仿宋"/>
          <w:sz w:val="24"/>
        </w:rPr>
      </w:pPr>
      <w:r>
        <w:rPr>
          <w:rFonts w:eastAsia="仿宋"/>
          <w:sz w:val="24"/>
        </w:rPr>
        <w:t>报警以及事件的传送，报警确认处理以及报警记录存档。用户可以自定义各种报警，报警信息可以通过不同方式传送到用户。包括以下功能：</w:t>
      </w:r>
    </w:p>
    <w:p>
      <w:pPr>
        <w:pStyle w:val="494"/>
        <w:numPr>
          <w:ilvl w:val="0"/>
          <w:numId w:val="24"/>
        </w:numPr>
        <w:spacing w:line="360" w:lineRule="auto"/>
        <w:ind w:firstLineChars="0"/>
        <w:rPr>
          <w:rFonts w:eastAsia="仿宋"/>
          <w:sz w:val="24"/>
        </w:rPr>
      </w:pPr>
      <w:r>
        <w:rPr>
          <w:rFonts w:eastAsia="仿宋"/>
          <w:sz w:val="24"/>
        </w:rPr>
        <w:t>设备报警：重要能耗设备的运行状态异常报警；</w:t>
      </w:r>
    </w:p>
    <w:p>
      <w:pPr>
        <w:pStyle w:val="494"/>
        <w:numPr>
          <w:ilvl w:val="0"/>
          <w:numId w:val="24"/>
        </w:numPr>
        <w:spacing w:line="360" w:lineRule="auto"/>
        <w:ind w:firstLineChars="0"/>
        <w:rPr>
          <w:rFonts w:eastAsia="仿宋"/>
          <w:sz w:val="24"/>
        </w:rPr>
      </w:pPr>
      <w:r>
        <w:rPr>
          <w:rFonts w:eastAsia="仿宋"/>
          <w:sz w:val="24"/>
        </w:rPr>
        <w:t>电源故障报警，设备电源故障，UPS断电报警；</w:t>
      </w:r>
    </w:p>
    <w:p>
      <w:pPr>
        <w:pStyle w:val="494"/>
        <w:numPr>
          <w:ilvl w:val="0"/>
          <w:numId w:val="24"/>
        </w:numPr>
        <w:spacing w:line="360" w:lineRule="auto"/>
        <w:ind w:firstLineChars="0"/>
        <w:rPr>
          <w:rFonts w:eastAsia="仿宋"/>
          <w:sz w:val="24"/>
        </w:rPr>
      </w:pPr>
      <w:r>
        <w:rPr>
          <w:rFonts w:eastAsia="仿宋"/>
          <w:sz w:val="24"/>
        </w:rPr>
        <w:t>网络通信报警，设备通讯以及网络故障等异常报警；</w:t>
      </w:r>
    </w:p>
    <w:p>
      <w:pPr>
        <w:pStyle w:val="494"/>
        <w:numPr>
          <w:ilvl w:val="0"/>
          <w:numId w:val="24"/>
        </w:numPr>
        <w:spacing w:line="360" w:lineRule="auto"/>
        <w:ind w:firstLineChars="0"/>
        <w:rPr>
          <w:rFonts w:eastAsia="仿宋"/>
          <w:sz w:val="24"/>
        </w:rPr>
      </w:pPr>
      <w:r>
        <w:rPr>
          <w:rFonts w:eastAsia="仿宋"/>
          <w:sz w:val="24"/>
        </w:rPr>
        <w:t>报警级别设定，基于事件的报警，报警分组管理，报警优先级管理；</w:t>
      </w:r>
    </w:p>
    <w:p>
      <w:pPr>
        <w:pStyle w:val="494"/>
        <w:numPr>
          <w:ilvl w:val="0"/>
          <w:numId w:val="24"/>
        </w:numPr>
        <w:spacing w:line="360" w:lineRule="auto"/>
        <w:ind w:firstLineChars="0"/>
        <w:rPr>
          <w:rFonts w:eastAsia="仿宋"/>
          <w:sz w:val="24"/>
        </w:rPr>
      </w:pPr>
      <w:r>
        <w:rPr>
          <w:rFonts w:eastAsia="仿宋"/>
          <w:sz w:val="24"/>
        </w:rPr>
        <w:t>报警和事件输出方式，报警窗口、声、光、短信、文件、打印等。</w:t>
      </w:r>
    </w:p>
    <w:p>
      <w:pPr>
        <w:pStyle w:val="494"/>
        <w:numPr>
          <w:ilvl w:val="0"/>
          <w:numId w:val="25"/>
        </w:numPr>
        <w:spacing w:line="360" w:lineRule="auto"/>
        <w:ind w:firstLineChars="0"/>
        <w:rPr>
          <w:rFonts w:eastAsia="仿宋"/>
          <w:b/>
          <w:color w:val="000000" w:themeColor="text1"/>
          <w:sz w:val="24"/>
        </w:rPr>
      </w:pPr>
      <w:r>
        <w:rPr>
          <w:rFonts w:hint="eastAsia" w:eastAsia="仿宋"/>
          <w:b/>
          <w:color w:val="000000" w:themeColor="text1"/>
          <w:sz w:val="24"/>
        </w:rPr>
        <w:t>软件配置清单</w:t>
      </w:r>
    </w:p>
    <w:tbl>
      <w:tblPr>
        <w:tblStyle w:val="87"/>
        <w:tblW w:w="9066" w:type="dxa"/>
        <w:tblInd w:w="93" w:type="dxa"/>
        <w:tblLayout w:type="fixed"/>
        <w:tblCellMar>
          <w:top w:w="0" w:type="dxa"/>
          <w:left w:w="108" w:type="dxa"/>
          <w:bottom w:w="0" w:type="dxa"/>
          <w:right w:w="108" w:type="dxa"/>
        </w:tblCellMar>
      </w:tblPr>
      <w:tblGrid>
        <w:gridCol w:w="458"/>
        <w:gridCol w:w="1310"/>
        <w:gridCol w:w="3598"/>
        <w:gridCol w:w="661"/>
        <w:gridCol w:w="661"/>
        <w:gridCol w:w="872"/>
        <w:gridCol w:w="1506"/>
      </w:tblGrid>
      <w:tr>
        <w:tblPrEx>
          <w:tblLayout w:type="fixed"/>
          <w:tblCellMar>
            <w:top w:w="0" w:type="dxa"/>
            <w:left w:w="108" w:type="dxa"/>
            <w:bottom w:w="0" w:type="dxa"/>
            <w:right w:w="108" w:type="dxa"/>
          </w:tblCellMar>
        </w:tblPrEx>
        <w:trPr>
          <w:trHeight w:val="270" w:hRule="atLeast"/>
        </w:trPr>
        <w:tc>
          <w:tcPr>
            <w:tcW w:w="45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131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359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6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6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872"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506"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2.1</w:t>
            </w:r>
          </w:p>
        </w:tc>
        <w:tc>
          <w:tcPr>
            <w:tcW w:w="131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系统软件</w:t>
            </w:r>
          </w:p>
        </w:tc>
        <w:tc>
          <w:tcPr>
            <w:tcW w:w="359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实时历史库</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支持10万点</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关系数据库</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xml:space="preserve">oracle 11g </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3</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服务器操作系统</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linux 6.2 服务器版含1年技术支持</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人机终端操作系统</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linux 6.2 桌面版含1年技术支持</w:t>
            </w:r>
          </w:p>
        </w:tc>
        <w:tc>
          <w:tcPr>
            <w:tcW w:w="66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2.2</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应用软件</w:t>
            </w:r>
          </w:p>
        </w:tc>
        <w:tc>
          <w:tcPr>
            <w:tcW w:w="359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告警管理</w:t>
            </w:r>
          </w:p>
        </w:tc>
        <w:tc>
          <w:tcPr>
            <w:tcW w:w="359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报表服务</w:t>
            </w:r>
          </w:p>
        </w:tc>
        <w:tc>
          <w:tcPr>
            <w:tcW w:w="3598"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3</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实时监控</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运行管理</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5</w:t>
            </w:r>
          </w:p>
        </w:tc>
        <w:tc>
          <w:tcPr>
            <w:tcW w:w="1310"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接口开发</w:t>
            </w:r>
          </w:p>
        </w:tc>
        <w:tc>
          <w:tcPr>
            <w:tcW w:w="359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6</w:t>
            </w:r>
          </w:p>
        </w:tc>
        <w:tc>
          <w:tcPr>
            <w:tcW w:w="131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WEB发布</w:t>
            </w:r>
          </w:p>
        </w:tc>
        <w:tc>
          <w:tcPr>
            <w:tcW w:w="359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BS数据发布</w:t>
            </w:r>
          </w:p>
        </w:tc>
        <w:tc>
          <w:tcPr>
            <w:tcW w:w="66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58"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7</w:t>
            </w:r>
          </w:p>
        </w:tc>
        <w:tc>
          <w:tcPr>
            <w:tcW w:w="131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高级应用</w:t>
            </w:r>
          </w:p>
        </w:tc>
        <w:tc>
          <w:tcPr>
            <w:tcW w:w="3598"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水管网平衡分析、故障诊断等</w:t>
            </w:r>
          </w:p>
        </w:tc>
        <w:tc>
          <w:tcPr>
            <w:tcW w:w="66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61"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7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p>
        </w:tc>
        <w:tc>
          <w:tcPr>
            <w:tcW w:w="1506"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bl>
    <w:p>
      <w:pPr>
        <w:spacing w:line="360" w:lineRule="auto"/>
        <w:ind w:left="485"/>
        <w:rPr>
          <w:rFonts w:eastAsia="仿宋"/>
          <w:sz w:val="24"/>
        </w:rPr>
      </w:pPr>
    </w:p>
    <w:p>
      <w:pPr>
        <w:spacing w:line="360" w:lineRule="auto"/>
        <w:ind w:firstLine="487" w:firstLineChars="202"/>
        <w:outlineLvl w:val="3"/>
        <w:rPr>
          <w:rFonts w:eastAsia="仿宋"/>
          <w:b/>
          <w:color w:val="000000" w:themeColor="text1"/>
          <w:sz w:val="24"/>
        </w:rPr>
      </w:pPr>
      <w:r>
        <w:rPr>
          <w:rFonts w:eastAsia="仿宋"/>
          <w:b/>
          <w:color w:val="000000" w:themeColor="text1"/>
          <w:sz w:val="24"/>
        </w:rPr>
        <w:t>3、移动app客户端技术要求</w:t>
      </w:r>
    </w:p>
    <w:p>
      <w:pPr>
        <w:spacing w:line="360" w:lineRule="auto"/>
        <w:ind w:firstLine="484" w:firstLineChars="202"/>
        <w:rPr>
          <w:rFonts w:eastAsia="仿宋"/>
          <w:color w:val="000000" w:themeColor="text1"/>
          <w:sz w:val="24"/>
        </w:rPr>
      </w:pPr>
      <w:r>
        <w:rPr>
          <w:rFonts w:eastAsia="仿宋"/>
          <w:color w:val="000000" w:themeColor="text1"/>
          <w:sz w:val="24"/>
        </w:rPr>
        <w:fldChar w:fldCharType="begin"/>
      </w:r>
      <w:r>
        <w:rPr>
          <w:rFonts w:eastAsia="仿宋"/>
          <w:color w:val="000000" w:themeColor="text1"/>
          <w:sz w:val="24"/>
        </w:rPr>
        <w:instrText xml:space="preserve"> = 1 \* GB3 </w:instrText>
      </w:r>
      <w:r>
        <w:rPr>
          <w:rFonts w:eastAsia="仿宋"/>
          <w:color w:val="000000" w:themeColor="text1"/>
          <w:sz w:val="24"/>
        </w:rPr>
        <w:fldChar w:fldCharType="separate"/>
      </w:r>
      <w:r>
        <w:rPr>
          <w:rFonts w:hint="eastAsia" w:hAnsi="宋体" w:cs="宋体"/>
          <w:color w:val="000000" w:themeColor="text1"/>
          <w:sz w:val="24"/>
        </w:rPr>
        <w:t>①</w:t>
      </w:r>
      <w:r>
        <w:rPr>
          <w:rFonts w:eastAsia="仿宋"/>
          <w:color w:val="000000" w:themeColor="text1"/>
          <w:sz w:val="24"/>
        </w:rPr>
        <w:fldChar w:fldCharType="end"/>
      </w:r>
      <w:r>
        <w:rPr>
          <w:rFonts w:eastAsia="仿宋"/>
          <w:color w:val="000000" w:themeColor="text1"/>
          <w:sz w:val="24"/>
        </w:rPr>
        <w:t xml:space="preserve"> 支持个性化定制，可根据用户需求进行内容和数据修改调整；</w:t>
      </w:r>
    </w:p>
    <w:p>
      <w:pPr>
        <w:spacing w:line="360" w:lineRule="auto"/>
        <w:ind w:firstLine="484" w:firstLineChars="202"/>
        <w:rPr>
          <w:rFonts w:eastAsia="仿宋"/>
          <w:color w:val="000000" w:themeColor="text1"/>
          <w:sz w:val="24"/>
        </w:rPr>
      </w:pPr>
      <w:r>
        <w:rPr>
          <w:rFonts w:eastAsia="仿宋"/>
          <w:color w:val="000000" w:themeColor="text1"/>
          <w:sz w:val="24"/>
        </w:rPr>
        <w:fldChar w:fldCharType="begin"/>
      </w:r>
      <w:r>
        <w:rPr>
          <w:rFonts w:eastAsia="仿宋"/>
          <w:color w:val="000000" w:themeColor="text1"/>
          <w:sz w:val="24"/>
        </w:rPr>
        <w:instrText xml:space="preserve"> = 2 \* GB3 </w:instrText>
      </w:r>
      <w:r>
        <w:rPr>
          <w:rFonts w:eastAsia="仿宋"/>
          <w:color w:val="000000" w:themeColor="text1"/>
          <w:sz w:val="24"/>
        </w:rPr>
        <w:fldChar w:fldCharType="separate"/>
      </w:r>
      <w:r>
        <w:rPr>
          <w:rFonts w:hint="eastAsia" w:hAnsi="宋体" w:cs="宋体"/>
          <w:color w:val="000000" w:themeColor="text1"/>
          <w:sz w:val="24"/>
        </w:rPr>
        <w:t>②</w:t>
      </w:r>
      <w:r>
        <w:rPr>
          <w:rFonts w:eastAsia="仿宋"/>
          <w:color w:val="000000" w:themeColor="text1"/>
          <w:sz w:val="24"/>
        </w:rPr>
        <w:fldChar w:fldCharType="end"/>
      </w:r>
      <w:r>
        <w:rPr>
          <w:rFonts w:eastAsia="仿宋"/>
          <w:color w:val="000000" w:themeColor="text1"/>
          <w:sz w:val="24"/>
        </w:rPr>
        <w:t xml:space="preserve"> 和主站平台数据同步；</w:t>
      </w:r>
    </w:p>
    <w:p>
      <w:pPr>
        <w:spacing w:line="360" w:lineRule="auto"/>
        <w:ind w:firstLine="484" w:firstLineChars="202"/>
        <w:rPr>
          <w:rFonts w:eastAsia="仿宋"/>
          <w:color w:val="000000" w:themeColor="text1"/>
          <w:sz w:val="24"/>
        </w:rPr>
      </w:pPr>
      <w:r>
        <w:rPr>
          <w:rFonts w:eastAsia="仿宋"/>
          <w:color w:val="000000" w:themeColor="text1"/>
          <w:sz w:val="24"/>
        </w:rPr>
        <w:fldChar w:fldCharType="begin"/>
      </w:r>
      <w:r>
        <w:rPr>
          <w:rFonts w:eastAsia="仿宋"/>
          <w:color w:val="000000" w:themeColor="text1"/>
          <w:sz w:val="24"/>
        </w:rPr>
        <w:instrText xml:space="preserve"> = 3 \* GB3 </w:instrText>
      </w:r>
      <w:r>
        <w:rPr>
          <w:rFonts w:eastAsia="仿宋"/>
          <w:color w:val="000000" w:themeColor="text1"/>
          <w:sz w:val="24"/>
        </w:rPr>
        <w:fldChar w:fldCharType="separate"/>
      </w:r>
      <w:r>
        <w:rPr>
          <w:rFonts w:hint="eastAsia" w:hAnsi="宋体" w:cs="宋体"/>
          <w:color w:val="000000" w:themeColor="text1"/>
          <w:sz w:val="24"/>
        </w:rPr>
        <w:t>③</w:t>
      </w:r>
      <w:r>
        <w:rPr>
          <w:rFonts w:eastAsia="仿宋"/>
          <w:color w:val="000000" w:themeColor="text1"/>
          <w:sz w:val="24"/>
        </w:rPr>
        <w:fldChar w:fldCharType="end"/>
      </w:r>
      <w:r>
        <w:rPr>
          <w:rFonts w:eastAsia="仿宋"/>
          <w:color w:val="000000" w:themeColor="text1"/>
          <w:sz w:val="24"/>
        </w:rPr>
        <w:t>支持ipad</w:t>
      </w:r>
      <w:r>
        <w:rPr>
          <w:rFonts w:hint="eastAsia" w:eastAsia="仿宋"/>
          <w:color w:val="000000" w:themeColor="text1"/>
          <w:sz w:val="24"/>
        </w:rPr>
        <w:t>平板</w:t>
      </w:r>
      <w:r>
        <w:rPr>
          <w:rFonts w:eastAsia="仿宋"/>
          <w:color w:val="000000" w:themeColor="text1"/>
          <w:sz w:val="24"/>
        </w:rPr>
        <w:t>、ios</w:t>
      </w:r>
      <w:r>
        <w:rPr>
          <w:rFonts w:hint="eastAsia" w:eastAsia="仿宋"/>
          <w:color w:val="000000" w:themeColor="text1"/>
          <w:sz w:val="24"/>
        </w:rPr>
        <w:t>手机</w:t>
      </w:r>
      <w:r>
        <w:rPr>
          <w:rFonts w:eastAsia="仿宋"/>
          <w:color w:val="000000" w:themeColor="text1"/>
          <w:sz w:val="24"/>
        </w:rPr>
        <w:t>和安卓</w:t>
      </w:r>
      <w:r>
        <w:rPr>
          <w:rFonts w:hint="eastAsia" w:eastAsia="仿宋"/>
          <w:color w:val="000000" w:themeColor="text1"/>
          <w:sz w:val="24"/>
        </w:rPr>
        <w:t>手机</w:t>
      </w:r>
      <w:r>
        <w:rPr>
          <w:rFonts w:eastAsia="仿宋"/>
          <w:color w:val="000000" w:themeColor="text1"/>
          <w:sz w:val="24"/>
        </w:rPr>
        <w:t>三种</w:t>
      </w:r>
      <w:r>
        <w:rPr>
          <w:rFonts w:hint="eastAsia" w:eastAsia="仿宋"/>
          <w:color w:val="000000" w:themeColor="text1"/>
          <w:sz w:val="24"/>
        </w:rPr>
        <w:t>版本。</w:t>
      </w:r>
    </w:p>
    <w:p>
      <w:pPr>
        <w:pStyle w:val="494"/>
        <w:numPr>
          <w:ilvl w:val="0"/>
          <w:numId w:val="25"/>
        </w:numPr>
        <w:spacing w:line="360" w:lineRule="auto"/>
        <w:ind w:firstLineChars="0"/>
        <w:rPr>
          <w:rFonts w:eastAsia="仿宋"/>
          <w:b/>
          <w:color w:val="000000" w:themeColor="text1"/>
          <w:sz w:val="24"/>
        </w:rPr>
      </w:pPr>
      <w:r>
        <w:rPr>
          <w:rFonts w:hint="eastAsia" w:eastAsia="仿宋"/>
          <w:b/>
          <w:color w:val="000000" w:themeColor="text1"/>
          <w:sz w:val="24"/>
        </w:rPr>
        <w:t>配置清单</w:t>
      </w:r>
    </w:p>
    <w:tbl>
      <w:tblPr>
        <w:tblStyle w:val="87"/>
        <w:tblW w:w="9060" w:type="dxa"/>
        <w:tblInd w:w="93" w:type="dxa"/>
        <w:tblLayout w:type="fixed"/>
        <w:tblCellMar>
          <w:top w:w="0" w:type="dxa"/>
          <w:left w:w="108" w:type="dxa"/>
          <w:bottom w:w="0" w:type="dxa"/>
          <w:right w:w="108" w:type="dxa"/>
        </w:tblCellMar>
      </w:tblPr>
      <w:tblGrid>
        <w:gridCol w:w="460"/>
        <w:gridCol w:w="1160"/>
        <w:gridCol w:w="3640"/>
        <w:gridCol w:w="680"/>
        <w:gridCol w:w="680"/>
        <w:gridCol w:w="880"/>
        <w:gridCol w:w="1560"/>
      </w:tblGrid>
      <w:tr>
        <w:tblPrEx>
          <w:tblLayout w:type="fixed"/>
          <w:tblCellMar>
            <w:top w:w="0" w:type="dxa"/>
            <w:left w:w="108" w:type="dxa"/>
            <w:bottom w:w="0" w:type="dxa"/>
            <w:right w:w="108" w:type="dxa"/>
          </w:tblCellMar>
        </w:tblPrEx>
        <w:trPr>
          <w:trHeight w:val="270" w:hRule="atLeast"/>
        </w:trPr>
        <w:tc>
          <w:tcPr>
            <w:tcW w:w="4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116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364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6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68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88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560"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270" w:hRule="atLeast"/>
        </w:trPr>
        <w:tc>
          <w:tcPr>
            <w:tcW w:w="4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11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手机App客户端</w:t>
            </w:r>
          </w:p>
        </w:tc>
        <w:tc>
          <w:tcPr>
            <w:tcW w:w="364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6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680"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88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p>
        </w:tc>
        <w:tc>
          <w:tcPr>
            <w:tcW w:w="1560"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bl>
    <w:p>
      <w:pPr>
        <w:spacing w:line="360" w:lineRule="auto"/>
        <w:ind w:firstLine="484" w:firstLineChars="202"/>
        <w:rPr>
          <w:rFonts w:eastAsia="仿宋"/>
          <w:sz w:val="24"/>
        </w:rPr>
      </w:pPr>
    </w:p>
    <w:p>
      <w:pPr>
        <w:spacing w:line="360" w:lineRule="auto"/>
        <w:ind w:firstLine="487" w:firstLineChars="202"/>
        <w:outlineLvl w:val="3"/>
        <w:rPr>
          <w:rFonts w:eastAsia="仿宋"/>
          <w:b/>
          <w:sz w:val="24"/>
        </w:rPr>
      </w:pPr>
      <w:r>
        <w:rPr>
          <w:rFonts w:eastAsia="仿宋"/>
          <w:b/>
          <w:sz w:val="24"/>
        </w:rPr>
        <w:t>4、大屏系统技术要求</w:t>
      </w:r>
    </w:p>
    <w:p>
      <w:pPr>
        <w:pStyle w:val="494"/>
        <w:numPr>
          <w:ilvl w:val="0"/>
          <w:numId w:val="26"/>
        </w:numPr>
        <w:spacing w:line="360" w:lineRule="auto"/>
        <w:ind w:left="0" w:firstLine="485" w:firstLineChars="0"/>
        <w:rPr>
          <w:rFonts w:eastAsia="仿宋"/>
          <w:sz w:val="24"/>
        </w:rPr>
      </w:pPr>
      <w:r>
        <w:rPr>
          <w:rFonts w:hint="eastAsia" w:eastAsia="仿宋"/>
          <w:sz w:val="24"/>
        </w:rPr>
        <w:t>需</w:t>
      </w:r>
      <w:r>
        <w:rPr>
          <w:rFonts w:eastAsia="仿宋"/>
          <w:sz w:val="24"/>
        </w:rPr>
        <w:t>采用一线品牌原装A级55寸面板</w:t>
      </w:r>
      <w:r>
        <w:rPr>
          <w:rFonts w:hint="eastAsia" w:eastAsia="仿宋"/>
          <w:sz w:val="24"/>
        </w:rPr>
        <w:t>18块</w:t>
      </w:r>
      <w:r>
        <w:rPr>
          <w:rFonts w:eastAsia="仿宋"/>
          <w:sz w:val="24"/>
        </w:rPr>
        <w:t>，并提供相关证明。</w:t>
      </w:r>
    </w:p>
    <w:p>
      <w:pPr>
        <w:pStyle w:val="494"/>
        <w:numPr>
          <w:ilvl w:val="0"/>
          <w:numId w:val="26"/>
        </w:numPr>
        <w:spacing w:line="360" w:lineRule="auto"/>
        <w:ind w:left="0" w:firstLine="485" w:firstLineChars="0"/>
        <w:rPr>
          <w:rFonts w:eastAsia="仿宋"/>
          <w:sz w:val="24"/>
        </w:rPr>
      </w:pPr>
      <w:r>
        <w:rPr>
          <w:rFonts w:eastAsia="仿宋"/>
          <w:sz w:val="24"/>
        </w:rPr>
        <w:t>液晶屏对比度要求≥4000:1，屏幕亮度≥700cd/㎡，水平分辨力≥1000TVL，液晶屏物理拼接拼缝≤1.7mm，要求提供由第三方权威机构出具的性能检测报告复印件或扫描件并加盖原厂商公章。</w:t>
      </w:r>
    </w:p>
    <w:p>
      <w:pPr>
        <w:pStyle w:val="494"/>
        <w:numPr>
          <w:ilvl w:val="0"/>
          <w:numId w:val="26"/>
        </w:numPr>
        <w:spacing w:line="360" w:lineRule="auto"/>
        <w:ind w:left="0" w:firstLine="485" w:firstLineChars="0"/>
        <w:rPr>
          <w:rFonts w:eastAsia="仿宋"/>
          <w:sz w:val="24"/>
        </w:rPr>
      </w:pPr>
      <w:r>
        <w:rPr>
          <w:rFonts w:eastAsia="仿宋"/>
          <w:sz w:val="24"/>
        </w:rPr>
        <w:t>至少支持12路DVI信号输入，系统可输出DVI-I信号或双绞线数字信号，支持RGB（模拟）/DVI（数字）同时输出，至少支持18路DVI-I信号输出。</w:t>
      </w:r>
    </w:p>
    <w:p>
      <w:pPr>
        <w:pStyle w:val="494"/>
        <w:numPr>
          <w:ilvl w:val="0"/>
          <w:numId w:val="26"/>
        </w:numPr>
        <w:spacing w:line="360" w:lineRule="auto"/>
        <w:ind w:left="0" w:firstLine="485" w:firstLineChars="0"/>
        <w:rPr>
          <w:rFonts w:eastAsia="仿宋"/>
          <w:sz w:val="24"/>
        </w:rPr>
      </w:pPr>
      <w:r>
        <w:rPr>
          <w:rFonts w:eastAsia="仿宋"/>
          <w:sz w:val="24"/>
        </w:rPr>
        <w:t>支持任意信号在单屏和拼接屏的任意位置开多个窗口，单路开窗时间≤2ms，可任意漫游、叠加、缩放、拉伸、画中画显示等，提供灵活的应用。要求提供由第三方权威机构出具的性能检测报告复印件或扫描件并加盖原厂商公章。</w:t>
      </w:r>
    </w:p>
    <w:p>
      <w:pPr>
        <w:pStyle w:val="494"/>
        <w:numPr>
          <w:ilvl w:val="0"/>
          <w:numId w:val="26"/>
        </w:numPr>
        <w:spacing w:line="360" w:lineRule="auto"/>
        <w:ind w:left="0" w:firstLine="485" w:firstLineChars="0"/>
        <w:rPr>
          <w:rFonts w:eastAsia="仿宋"/>
          <w:sz w:val="24"/>
        </w:rPr>
      </w:pPr>
      <w:r>
        <w:rPr>
          <w:rFonts w:eastAsia="仿宋"/>
          <w:sz w:val="24"/>
        </w:rPr>
        <w:t>图形拼接控制器、显示单元、大屏控制软件等必须属于同一厂家的产品，不会出现兼容性和售后维护问题。（投标方需要提供相关产品的认证证书资料）</w:t>
      </w:r>
    </w:p>
    <w:p>
      <w:pPr>
        <w:pStyle w:val="494"/>
        <w:numPr>
          <w:ilvl w:val="0"/>
          <w:numId w:val="26"/>
        </w:numPr>
        <w:spacing w:line="360" w:lineRule="auto"/>
        <w:ind w:left="0" w:firstLine="485" w:firstLineChars="0"/>
        <w:rPr>
          <w:rFonts w:eastAsia="仿宋"/>
          <w:sz w:val="24"/>
        </w:rPr>
      </w:pPr>
      <w:r>
        <w:rPr>
          <w:rFonts w:eastAsia="仿宋"/>
          <w:sz w:val="24"/>
        </w:rPr>
        <w:t>多屏拼接控制器需通过3C认证，提供相关检测报告。大屏幕控制软件需提供相关软件著作权证书。处理器控制软件需要取得软件著作权（在投标文件中提供复印件，加盖制造厂商公章）</w:t>
      </w:r>
    </w:p>
    <w:p>
      <w:pPr>
        <w:pStyle w:val="494"/>
        <w:numPr>
          <w:ilvl w:val="0"/>
          <w:numId w:val="25"/>
        </w:numPr>
        <w:spacing w:line="360" w:lineRule="auto"/>
        <w:ind w:firstLineChars="0"/>
        <w:rPr>
          <w:rFonts w:eastAsia="仿宋"/>
          <w:b/>
          <w:color w:val="000000" w:themeColor="text1"/>
          <w:sz w:val="24"/>
        </w:rPr>
      </w:pPr>
      <w:r>
        <w:rPr>
          <w:rFonts w:hint="eastAsia" w:eastAsia="仿宋"/>
          <w:b/>
          <w:color w:val="000000" w:themeColor="text1"/>
          <w:sz w:val="24"/>
        </w:rPr>
        <w:t>配置清单</w:t>
      </w:r>
    </w:p>
    <w:tbl>
      <w:tblPr>
        <w:tblStyle w:val="87"/>
        <w:tblW w:w="9060" w:type="dxa"/>
        <w:tblInd w:w="93" w:type="dxa"/>
        <w:tblLayout w:type="fixed"/>
        <w:tblCellMar>
          <w:top w:w="0" w:type="dxa"/>
          <w:left w:w="108" w:type="dxa"/>
          <w:bottom w:w="0" w:type="dxa"/>
          <w:right w:w="108" w:type="dxa"/>
        </w:tblCellMar>
      </w:tblPr>
      <w:tblGrid>
        <w:gridCol w:w="460"/>
        <w:gridCol w:w="1160"/>
        <w:gridCol w:w="2931"/>
        <w:gridCol w:w="567"/>
        <w:gridCol w:w="709"/>
        <w:gridCol w:w="2268"/>
        <w:gridCol w:w="965"/>
      </w:tblGrid>
      <w:tr>
        <w:tblPrEx>
          <w:tblLayout w:type="fixed"/>
          <w:tblCellMar>
            <w:top w:w="0" w:type="dxa"/>
            <w:left w:w="108" w:type="dxa"/>
            <w:bottom w:w="0" w:type="dxa"/>
            <w:right w:w="108" w:type="dxa"/>
          </w:tblCellMar>
        </w:tblPrEx>
        <w:trPr>
          <w:trHeight w:val="270" w:hRule="atLeast"/>
        </w:trPr>
        <w:tc>
          <w:tcPr>
            <w:tcW w:w="46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序号</w:t>
            </w:r>
          </w:p>
        </w:tc>
        <w:tc>
          <w:tcPr>
            <w:tcW w:w="1160"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系统类别</w:t>
            </w:r>
          </w:p>
        </w:tc>
        <w:tc>
          <w:tcPr>
            <w:tcW w:w="2931" w:type="dxa"/>
            <w:tcBorders>
              <w:top w:val="single" w:color="auto" w:sz="4" w:space="0"/>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名称</w:t>
            </w:r>
          </w:p>
        </w:tc>
        <w:tc>
          <w:tcPr>
            <w:tcW w:w="567"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2268"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965" w:type="dxa"/>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270" w:hRule="atLeast"/>
        </w:trPr>
        <w:tc>
          <w:tcPr>
            <w:tcW w:w="4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11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显示终端设备</w:t>
            </w: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液晶显示单元DTL5197S</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18</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内置图像处理器软件</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18</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液晶拼接屏专用支架</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18</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液晶拼接屏专用底座</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6</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11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控制系统</w:t>
            </w: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大屏拼接控制处理器TNP-120212R</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2268" w:type="dxa"/>
            <w:tcBorders>
              <w:top w:val="nil"/>
              <w:left w:val="nil"/>
              <w:bottom w:val="single" w:color="auto" w:sz="4" w:space="0"/>
              <w:right w:val="single" w:color="auto" w:sz="4" w:space="0"/>
            </w:tcBorders>
            <w:shd w:val="clear" w:color="auto" w:fill="auto"/>
            <w:noWrap/>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液晶拼接墙控制系统专用软件v1.0</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2268" w:type="dxa"/>
            <w:tcBorders>
              <w:top w:val="nil"/>
              <w:left w:val="nil"/>
              <w:bottom w:val="single" w:color="auto" w:sz="4" w:space="0"/>
              <w:right w:val="single" w:color="auto" w:sz="4" w:space="0"/>
            </w:tcBorders>
            <w:shd w:val="clear" w:color="auto" w:fill="auto"/>
            <w:noWrap/>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大屏幕专用线缆</w:t>
            </w:r>
          </w:p>
        </w:tc>
        <w:tc>
          <w:tcPr>
            <w:tcW w:w="567"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套</w:t>
            </w:r>
          </w:p>
        </w:tc>
        <w:tc>
          <w:tcPr>
            <w:tcW w:w="709" w:type="dxa"/>
            <w:tcBorders>
              <w:top w:val="nil"/>
              <w:left w:val="nil"/>
              <w:bottom w:val="single" w:color="auto" w:sz="4" w:space="0"/>
              <w:right w:val="single" w:color="auto" w:sz="4" w:space="0"/>
            </w:tcBorders>
            <w:shd w:val="clear" w:color="auto" w:fill="auto"/>
            <w:noWrap/>
            <w:vAlign w:val="bottom"/>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18</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清投、威创、彩讯</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3</w:t>
            </w:r>
          </w:p>
        </w:tc>
        <w:tc>
          <w:tcPr>
            <w:tcW w:w="1160" w:type="dxa"/>
            <w:vMerge w:val="restart"/>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工程服务</w:t>
            </w: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培训、技术服务</w:t>
            </w:r>
          </w:p>
        </w:tc>
        <w:tc>
          <w:tcPr>
            <w:tcW w:w="567"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4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11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themeColor="text1"/>
                <w:kern w:val="0"/>
                <w:sz w:val="16"/>
                <w:szCs w:val="16"/>
              </w:rPr>
            </w:pPr>
          </w:p>
        </w:tc>
        <w:tc>
          <w:tcPr>
            <w:tcW w:w="2931"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设计、运输、安装 、调试、检验费</w:t>
            </w:r>
          </w:p>
        </w:tc>
        <w:tc>
          <w:tcPr>
            <w:tcW w:w="567"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09"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2268"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965" w:type="dxa"/>
            <w:tcBorders>
              <w:top w:val="nil"/>
              <w:left w:val="nil"/>
              <w:bottom w:val="single" w:color="auto" w:sz="4" w:space="0"/>
              <w:right w:val="single" w:color="auto" w:sz="4" w:space="0"/>
            </w:tcBorders>
            <w:shd w:val="clear" w:color="auto" w:fill="auto"/>
            <w:noWrap/>
            <w:vAlign w:val="bottom"/>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bl>
    <w:p>
      <w:pPr>
        <w:spacing w:line="360" w:lineRule="auto"/>
        <w:rPr>
          <w:rFonts w:eastAsia="仿宋"/>
          <w:sz w:val="24"/>
        </w:rPr>
      </w:pPr>
    </w:p>
    <w:p>
      <w:pPr>
        <w:spacing w:line="360" w:lineRule="auto"/>
        <w:ind w:firstLine="282" w:firstLineChars="117"/>
        <w:outlineLvl w:val="2"/>
        <w:rPr>
          <w:rFonts w:eastAsia="仿宋"/>
          <w:b/>
          <w:sz w:val="24"/>
        </w:rPr>
      </w:pPr>
      <w:r>
        <w:rPr>
          <w:rFonts w:hint="eastAsia" w:eastAsia="仿宋"/>
          <w:b/>
          <w:sz w:val="24"/>
        </w:rPr>
        <w:t>（二）电力系统智能化改造技术要求</w:t>
      </w:r>
    </w:p>
    <w:p>
      <w:pPr>
        <w:spacing w:line="360" w:lineRule="auto"/>
        <w:ind w:firstLine="487" w:firstLineChars="202"/>
        <w:outlineLvl w:val="3"/>
        <w:rPr>
          <w:rFonts w:ascii="仿宋" w:hAnsi="仿宋" w:eastAsia="仿宋"/>
          <w:b/>
          <w:sz w:val="24"/>
        </w:rPr>
      </w:pPr>
      <w:r>
        <w:rPr>
          <w:rFonts w:ascii="仿宋" w:hAnsi="仿宋" w:eastAsia="仿宋"/>
          <w:b/>
          <w:sz w:val="24"/>
        </w:rPr>
        <w:t>1、总体要求</w:t>
      </w:r>
    </w:p>
    <w:p>
      <w:pPr>
        <w:spacing w:line="360" w:lineRule="auto"/>
        <w:ind w:firstLine="424" w:firstLineChars="177"/>
        <w:rPr>
          <w:rFonts w:ascii="仿宋" w:hAnsi="仿宋" w:eastAsia="仿宋"/>
          <w:sz w:val="24"/>
        </w:rPr>
      </w:pPr>
      <w:r>
        <w:rPr>
          <w:rFonts w:ascii="仿宋" w:hAnsi="仿宋" w:eastAsia="仿宋"/>
          <w:sz w:val="24"/>
        </w:rPr>
        <w:t>运行人员应能通过键盘或鼠标选择画面。画面显示功能应做到组织层次清晰明了，信息主次分明，美观实用；画面图符及显示颜色定义应符合有关规定的要求。屏幕显示画面的编排应至少包括时间显示区、画面静态及动态信息主显示区、报警信息显示区及人机对话显示区。主要有：</w:t>
      </w:r>
    </w:p>
    <w:p>
      <w:pPr>
        <w:pStyle w:val="494"/>
        <w:numPr>
          <w:ilvl w:val="0"/>
          <w:numId w:val="27"/>
        </w:numPr>
        <w:spacing w:line="360" w:lineRule="auto"/>
        <w:ind w:left="0" w:firstLine="425" w:firstLineChars="0"/>
        <w:rPr>
          <w:rFonts w:ascii="仿宋" w:hAnsi="仿宋" w:eastAsia="仿宋"/>
          <w:color w:val="000000" w:themeColor="text1"/>
          <w:sz w:val="24"/>
        </w:rPr>
      </w:pPr>
      <w:r>
        <w:rPr>
          <w:rFonts w:hint="eastAsia" w:ascii="仿宋" w:hAnsi="仿宋" w:eastAsia="仿宋"/>
          <w:color w:val="000000" w:themeColor="text1"/>
          <w:sz w:val="24"/>
        </w:rPr>
        <w:t>全校高低压供配电系统</w:t>
      </w:r>
      <w:r>
        <w:rPr>
          <w:rFonts w:ascii="仿宋" w:hAnsi="仿宋" w:eastAsia="仿宋"/>
          <w:color w:val="000000" w:themeColor="text1"/>
          <w:sz w:val="24"/>
        </w:rPr>
        <w:t>的一次主接线线图，</w:t>
      </w:r>
      <w:r>
        <w:rPr>
          <w:rFonts w:hint="eastAsia" w:ascii="仿宋" w:hAnsi="仿宋" w:eastAsia="仿宋"/>
          <w:color w:val="000000" w:themeColor="text1"/>
          <w:sz w:val="24"/>
        </w:rPr>
        <w:t>且一次图具备用户编辑和扩展功能，</w:t>
      </w:r>
      <w:r>
        <w:rPr>
          <w:rFonts w:ascii="仿宋" w:hAnsi="仿宋" w:eastAsia="仿宋"/>
          <w:color w:val="000000" w:themeColor="text1"/>
          <w:sz w:val="24"/>
        </w:rPr>
        <w:t>显示状态及主要实时数据，例如有功、无功、电流、电压、频率等，并且指明潮流方向；</w:t>
      </w:r>
    </w:p>
    <w:p>
      <w:pPr>
        <w:pStyle w:val="494"/>
        <w:numPr>
          <w:ilvl w:val="0"/>
          <w:numId w:val="27"/>
        </w:numPr>
        <w:spacing w:line="360" w:lineRule="auto"/>
        <w:ind w:left="0" w:firstLine="425" w:firstLineChars="0"/>
        <w:rPr>
          <w:rFonts w:ascii="仿宋" w:hAnsi="仿宋" w:eastAsia="仿宋"/>
          <w:color w:val="000000" w:themeColor="text1"/>
          <w:sz w:val="24"/>
        </w:rPr>
      </w:pPr>
      <w:r>
        <w:rPr>
          <w:rFonts w:hint="eastAsia" w:ascii="仿宋" w:hAnsi="仿宋" w:eastAsia="仿宋"/>
          <w:color w:val="000000" w:themeColor="text1"/>
          <w:sz w:val="24"/>
        </w:rPr>
        <w:t>所有电力仪表应在主站平台中具有以下几种组织和展示方式：反映上下级关系的逻辑结构图、变配电房一次系统图、学校地理平面图等。</w:t>
      </w:r>
    </w:p>
    <w:p>
      <w:pPr>
        <w:pStyle w:val="494"/>
        <w:numPr>
          <w:ilvl w:val="0"/>
          <w:numId w:val="27"/>
        </w:numPr>
        <w:spacing w:line="360" w:lineRule="auto"/>
        <w:ind w:left="0" w:firstLine="425" w:firstLineChars="0"/>
        <w:rPr>
          <w:rFonts w:ascii="仿宋" w:hAnsi="仿宋" w:eastAsia="仿宋"/>
          <w:color w:val="000000" w:themeColor="text1"/>
          <w:sz w:val="24"/>
        </w:rPr>
      </w:pPr>
      <w:r>
        <w:rPr>
          <w:rFonts w:hint="eastAsia" w:ascii="仿宋" w:hAnsi="仿宋" w:eastAsia="仿宋"/>
          <w:color w:val="000000" w:themeColor="text1"/>
          <w:sz w:val="24"/>
        </w:rPr>
        <w:t>对于电力仪表中的电度计量功能，应在主站平台中实现按建筑、组织机构等方式进行用电量统计，并能实现上下级表计的平衡分析和损耗分析统计功能。</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电站的一次主接线分区图，除显示状态外，还可显示实时运行数据；</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能显示二次保护配置图，图中能反映各套保护投切情况，整定值等；</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电站综合自动化系统运行工况图；</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电站计算机监控运行工况图；</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开关正常及事故跳闸次数统计表；</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开关量状态表；</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各种实时测量值表；</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模拟光字牌(软光字牌)；</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电压及无功功率棒图和趋势图；</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有功功率棒图及趋势图</w:t>
      </w:r>
    </w:p>
    <w:p>
      <w:pPr>
        <w:pStyle w:val="494"/>
        <w:numPr>
          <w:ilvl w:val="0"/>
          <w:numId w:val="27"/>
        </w:numPr>
        <w:spacing w:line="360" w:lineRule="auto"/>
        <w:ind w:left="0" w:firstLine="425" w:firstLineChars="0"/>
        <w:rPr>
          <w:rFonts w:ascii="仿宋" w:hAnsi="仿宋" w:eastAsia="仿宋"/>
          <w:sz w:val="24"/>
        </w:rPr>
      </w:pPr>
      <w:r>
        <w:rPr>
          <w:rFonts w:ascii="仿宋" w:hAnsi="仿宋" w:eastAsia="仿宋"/>
          <w:sz w:val="24"/>
        </w:rPr>
        <w:t>实时和历史告警表；</w:t>
      </w:r>
    </w:p>
    <w:p>
      <w:pPr>
        <w:spacing w:line="360" w:lineRule="auto"/>
        <w:ind w:firstLine="487" w:firstLineChars="202"/>
        <w:outlineLvl w:val="3"/>
        <w:rPr>
          <w:rFonts w:ascii="仿宋" w:hAnsi="仿宋" w:eastAsia="仿宋"/>
          <w:b/>
          <w:sz w:val="24"/>
        </w:rPr>
      </w:pPr>
      <w:r>
        <w:rPr>
          <w:rFonts w:ascii="仿宋" w:hAnsi="仿宋" w:eastAsia="仿宋"/>
          <w:b/>
          <w:sz w:val="24"/>
        </w:rPr>
        <w:t>2、电力监控系统技术要求</w:t>
      </w:r>
    </w:p>
    <w:p>
      <w:pPr>
        <w:spacing w:line="360" w:lineRule="auto"/>
        <w:ind w:firstLine="487" w:firstLineChars="202"/>
        <w:outlineLvl w:val="4"/>
        <w:rPr>
          <w:rFonts w:ascii="仿宋" w:hAnsi="仿宋" w:eastAsia="仿宋"/>
          <w:b/>
          <w:sz w:val="24"/>
        </w:rPr>
      </w:pPr>
      <w:r>
        <w:rPr>
          <w:rFonts w:ascii="仿宋" w:hAnsi="仿宋" w:eastAsia="仿宋"/>
          <w:b/>
          <w:sz w:val="24"/>
        </w:rPr>
        <w:t>2.1 功能要求</w:t>
      </w:r>
    </w:p>
    <w:p>
      <w:pPr>
        <w:pStyle w:val="494"/>
        <w:numPr>
          <w:ilvl w:val="0"/>
          <w:numId w:val="28"/>
        </w:numPr>
        <w:spacing w:line="360" w:lineRule="auto"/>
        <w:ind w:left="0" w:firstLine="424" w:firstLineChars="177"/>
        <w:rPr>
          <w:rFonts w:ascii="仿宋" w:hAnsi="仿宋" w:eastAsia="仿宋"/>
          <w:sz w:val="24"/>
        </w:rPr>
      </w:pPr>
      <w:r>
        <w:rPr>
          <w:rFonts w:ascii="仿宋" w:hAnsi="仿宋" w:eastAsia="仿宋"/>
          <w:sz w:val="24"/>
        </w:rPr>
        <w:t>形成35kV、10kV、400V线路的电流、电压、电度量、状态的一体化系统监控。</w:t>
      </w:r>
    </w:p>
    <w:p>
      <w:pPr>
        <w:pStyle w:val="494"/>
        <w:numPr>
          <w:ilvl w:val="0"/>
          <w:numId w:val="28"/>
        </w:numPr>
        <w:spacing w:line="360" w:lineRule="auto"/>
        <w:ind w:left="0" w:firstLine="426" w:firstLineChars="0"/>
        <w:rPr>
          <w:rFonts w:ascii="仿宋" w:hAnsi="仿宋" w:eastAsia="仿宋"/>
          <w:sz w:val="24"/>
        </w:rPr>
      </w:pPr>
      <w:r>
        <w:rPr>
          <w:rFonts w:ascii="仿宋" w:hAnsi="仿宋" w:eastAsia="仿宋"/>
          <w:sz w:val="24"/>
        </w:rPr>
        <w:t>按日、月、年生成电力系统统计报表；</w:t>
      </w:r>
    </w:p>
    <w:p>
      <w:pPr>
        <w:pStyle w:val="494"/>
        <w:numPr>
          <w:ilvl w:val="0"/>
          <w:numId w:val="28"/>
        </w:numPr>
        <w:spacing w:line="360" w:lineRule="auto"/>
        <w:ind w:left="0" w:firstLine="426" w:firstLineChars="0"/>
        <w:rPr>
          <w:rFonts w:ascii="仿宋" w:hAnsi="仿宋" w:eastAsia="仿宋"/>
          <w:kern w:val="0"/>
          <w:sz w:val="24"/>
        </w:rPr>
      </w:pPr>
      <w:r>
        <w:rPr>
          <w:rFonts w:ascii="仿宋" w:hAnsi="仿宋" w:eastAsia="仿宋"/>
          <w:sz w:val="24"/>
        </w:rPr>
        <w:t>实时告警和提醒；</w:t>
      </w:r>
    </w:p>
    <w:p>
      <w:pPr>
        <w:spacing w:line="360" w:lineRule="auto"/>
        <w:ind w:firstLine="487" w:firstLineChars="202"/>
        <w:outlineLvl w:val="4"/>
        <w:rPr>
          <w:rFonts w:ascii="仿宋" w:hAnsi="仿宋" w:eastAsia="仿宋"/>
          <w:b/>
          <w:color w:val="000000" w:themeColor="text1"/>
          <w:sz w:val="24"/>
        </w:rPr>
      </w:pPr>
      <w:r>
        <w:rPr>
          <w:rFonts w:ascii="仿宋" w:hAnsi="仿宋" w:eastAsia="仿宋"/>
          <w:b/>
          <w:color w:val="000000" w:themeColor="text1"/>
          <w:sz w:val="24"/>
        </w:rPr>
        <w:t>2.2</w:t>
      </w:r>
      <w:r>
        <w:rPr>
          <w:rFonts w:hint="eastAsia" w:ascii="仿宋" w:hAnsi="仿宋" w:eastAsia="仿宋"/>
          <w:b/>
          <w:color w:val="000000" w:themeColor="text1"/>
          <w:sz w:val="24"/>
        </w:rPr>
        <w:t>智能终端</w:t>
      </w:r>
      <w:r>
        <w:rPr>
          <w:rFonts w:ascii="仿宋" w:hAnsi="仿宋" w:eastAsia="仿宋"/>
          <w:b/>
          <w:color w:val="000000" w:themeColor="text1"/>
          <w:sz w:val="24"/>
        </w:rPr>
        <w:t>设备</w:t>
      </w:r>
    </w:p>
    <w:p>
      <w:pPr>
        <w:pStyle w:val="494"/>
        <w:numPr>
          <w:ilvl w:val="0"/>
          <w:numId w:val="29"/>
        </w:numPr>
        <w:spacing w:line="360" w:lineRule="auto"/>
        <w:ind w:left="0" w:firstLine="426" w:firstLineChars="0"/>
        <w:rPr>
          <w:rFonts w:ascii="仿宋" w:hAnsi="仿宋" w:eastAsia="仿宋"/>
          <w:color w:val="000000" w:themeColor="text1"/>
          <w:sz w:val="24"/>
        </w:rPr>
      </w:pPr>
      <w:r>
        <w:rPr>
          <w:rFonts w:hint="eastAsia" w:ascii="仿宋" w:hAnsi="仿宋" w:eastAsia="仿宋"/>
          <w:color w:val="000000" w:themeColor="text1"/>
          <w:sz w:val="24"/>
        </w:rPr>
        <w:t>可实现数据接入、设备控制、逻辑运算、指令响应等，运算任务周期：≤5ms，支持IEC61850。</w:t>
      </w:r>
    </w:p>
    <w:p>
      <w:pPr>
        <w:pStyle w:val="494"/>
        <w:numPr>
          <w:ilvl w:val="0"/>
          <w:numId w:val="29"/>
        </w:numPr>
        <w:spacing w:line="360" w:lineRule="auto"/>
        <w:ind w:left="0" w:firstLine="426" w:firstLineChars="0"/>
        <w:rPr>
          <w:rFonts w:ascii="仿宋" w:hAnsi="仿宋" w:eastAsia="仿宋"/>
          <w:sz w:val="24"/>
        </w:rPr>
      </w:pPr>
      <w:r>
        <w:rPr>
          <w:rFonts w:ascii="仿宋" w:hAnsi="仿宋" w:eastAsia="仿宋"/>
          <w:sz w:val="24"/>
        </w:rPr>
        <w:t>可根据工程需要实现规约转换，并通过规约转换，实现站控层和间隔层之间的数据交换。支持且不限于MODBUS、IEC103、IEC104等协议，满足现场工程需要。可以通过串口或网络方式与各种微机保护、智能电能表、智能电子设备通讯，接收它们上送的各种信息，如保护动作、SOE 等。</w:t>
      </w:r>
    </w:p>
    <w:p>
      <w:pPr>
        <w:pStyle w:val="494"/>
        <w:numPr>
          <w:ilvl w:val="0"/>
          <w:numId w:val="29"/>
        </w:numPr>
        <w:spacing w:line="360" w:lineRule="auto"/>
        <w:ind w:left="0" w:firstLine="511" w:firstLineChars="0"/>
        <w:rPr>
          <w:rFonts w:ascii="仿宋" w:hAnsi="仿宋" w:eastAsia="仿宋"/>
          <w:sz w:val="24"/>
        </w:rPr>
      </w:pPr>
      <w:r>
        <w:rPr>
          <w:rFonts w:ascii="仿宋" w:hAnsi="仿宋" w:eastAsia="仿宋"/>
          <w:sz w:val="24"/>
        </w:rPr>
        <w:t>在运行期间会自动对软件/硬件进行监视，一旦软件/硬件出现错误将会自动报警，同时闭锁自身，以免造成误操作。</w:t>
      </w:r>
    </w:p>
    <w:p>
      <w:pPr>
        <w:spacing w:line="360" w:lineRule="auto"/>
        <w:ind w:firstLine="487" w:firstLineChars="202"/>
        <w:outlineLvl w:val="4"/>
        <w:rPr>
          <w:rFonts w:ascii="仿宋" w:hAnsi="仿宋" w:eastAsia="仿宋"/>
          <w:b/>
          <w:sz w:val="24"/>
        </w:rPr>
      </w:pPr>
      <w:r>
        <w:rPr>
          <w:rFonts w:ascii="仿宋" w:hAnsi="仿宋" w:eastAsia="仿宋"/>
          <w:b/>
          <w:sz w:val="24"/>
        </w:rPr>
        <w:t>2.</w:t>
      </w:r>
      <w:r>
        <w:rPr>
          <w:rFonts w:hint="eastAsia" w:ascii="仿宋" w:hAnsi="仿宋" w:eastAsia="仿宋"/>
          <w:b/>
          <w:sz w:val="24"/>
        </w:rPr>
        <w:t>3</w:t>
      </w:r>
      <w:r>
        <w:rPr>
          <w:rFonts w:ascii="仿宋" w:hAnsi="仿宋" w:eastAsia="仿宋"/>
          <w:b/>
          <w:sz w:val="24"/>
        </w:rPr>
        <w:t xml:space="preserve"> 智能仪表</w:t>
      </w:r>
    </w:p>
    <w:p>
      <w:pPr>
        <w:pStyle w:val="494"/>
        <w:numPr>
          <w:ilvl w:val="0"/>
          <w:numId w:val="30"/>
        </w:numPr>
        <w:spacing w:line="360" w:lineRule="auto"/>
        <w:ind w:left="0" w:firstLine="487" w:firstLineChars="0"/>
        <w:outlineLvl w:val="4"/>
        <w:rPr>
          <w:rFonts w:ascii="仿宋" w:hAnsi="仿宋" w:eastAsia="仿宋"/>
          <w:sz w:val="24"/>
        </w:rPr>
      </w:pPr>
      <w:r>
        <w:rPr>
          <w:rFonts w:ascii="仿宋" w:hAnsi="仿宋" w:eastAsia="仿宋"/>
          <w:sz w:val="24"/>
        </w:rPr>
        <w:t>400V智能仪表1310块，35/10kV电度表50块。</w:t>
      </w:r>
    </w:p>
    <w:p>
      <w:pPr>
        <w:pStyle w:val="494"/>
        <w:numPr>
          <w:ilvl w:val="0"/>
          <w:numId w:val="31"/>
        </w:numPr>
        <w:spacing w:line="360" w:lineRule="auto"/>
        <w:ind w:left="0" w:firstLine="487" w:firstLineChars="0"/>
        <w:rPr>
          <w:rFonts w:ascii="仿宋" w:hAnsi="仿宋" w:eastAsia="仿宋"/>
          <w:sz w:val="24"/>
        </w:rPr>
      </w:pPr>
      <w:r>
        <w:rPr>
          <w:rFonts w:ascii="仿宋" w:hAnsi="仿宋" w:eastAsia="仿宋"/>
          <w:sz w:val="24"/>
        </w:rPr>
        <w:t>参数测量功能：三相电压，三相电流，有功功率、无功功率、视在功率。</w:t>
      </w:r>
    </w:p>
    <w:p>
      <w:pPr>
        <w:pStyle w:val="494"/>
        <w:numPr>
          <w:ilvl w:val="0"/>
          <w:numId w:val="31"/>
        </w:numPr>
        <w:spacing w:line="360" w:lineRule="auto"/>
        <w:ind w:left="0" w:firstLine="487" w:firstLineChars="0"/>
        <w:rPr>
          <w:rFonts w:ascii="仿宋" w:hAnsi="仿宋" w:eastAsia="仿宋"/>
          <w:sz w:val="24"/>
        </w:rPr>
      </w:pPr>
      <w:r>
        <w:rPr>
          <w:rFonts w:ascii="仿宋" w:hAnsi="仿宋" w:eastAsia="仿宋"/>
          <w:sz w:val="24"/>
        </w:rPr>
        <w:t>电能计量功能：有功计量和无功计量。有功精度0.5S，无功精度2.0。</w:t>
      </w:r>
    </w:p>
    <w:p>
      <w:pPr>
        <w:pStyle w:val="494"/>
        <w:numPr>
          <w:ilvl w:val="0"/>
          <w:numId w:val="31"/>
        </w:numPr>
        <w:spacing w:line="360" w:lineRule="auto"/>
        <w:ind w:left="0" w:firstLine="487" w:firstLineChars="0"/>
        <w:rPr>
          <w:rFonts w:ascii="仿宋" w:hAnsi="仿宋" w:eastAsia="仿宋"/>
          <w:sz w:val="24"/>
        </w:rPr>
      </w:pPr>
      <w:r>
        <w:rPr>
          <w:rFonts w:ascii="仿宋" w:hAnsi="仿宋" w:eastAsia="仿宋"/>
          <w:sz w:val="24"/>
        </w:rPr>
        <w:t>显示和按键功能：仪表采用大屏幕宽视角多行液晶显示，显示直观、内容丰富；显示屏带白色背光，在光线较暗的环境下也能清晰显示。</w:t>
      </w:r>
    </w:p>
    <w:p>
      <w:pPr>
        <w:pStyle w:val="494"/>
        <w:numPr>
          <w:ilvl w:val="0"/>
          <w:numId w:val="31"/>
        </w:numPr>
        <w:spacing w:line="360" w:lineRule="auto"/>
        <w:ind w:left="0" w:firstLine="487" w:firstLineChars="0"/>
        <w:rPr>
          <w:rFonts w:ascii="仿宋" w:hAnsi="仿宋" w:eastAsia="仿宋"/>
          <w:sz w:val="24"/>
        </w:rPr>
      </w:pPr>
      <w:r>
        <w:rPr>
          <w:rFonts w:ascii="仿宋" w:hAnsi="仿宋" w:eastAsia="仿宋"/>
          <w:sz w:val="24"/>
        </w:rPr>
        <w:t>通信功能：仪表配置有RS485通信接口，可用于参数设定和各类数据抄读。具备2路485通讯口，支持DLT645和MODBUS-RTU规约。</w:t>
      </w:r>
    </w:p>
    <w:p>
      <w:pPr>
        <w:pStyle w:val="494"/>
        <w:numPr>
          <w:ilvl w:val="0"/>
          <w:numId w:val="31"/>
        </w:numPr>
        <w:spacing w:line="360" w:lineRule="auto"/>
        <w:ind w:left="0" w:firstLine="487" w:firstLineChars="0"/>
        <w:rPr>
          <w:rFonts w:ascii="仿宋" w:hAnsi="仿宋" w:eastAsia="仿宋"/>
          <w:sz w:val="24"/>
        </w:rPr>
      </w:pPr>
      <w:r>
        <w:rPr>
          <w:rFonts w:ascii="仿宋" w:hAnsi="仿宋" w:eastAsia="仿宋"/>
          <w:sz w:val="24"/>
        </w:rPr>
        <w:t>遥信采集功能：仪表配置有不少于2路数字开关量输入接口，采用无源干接点方式接入。</w:t>
      </w:r>
    </w:p>
    <w:p>
      <w:pPr>
        <w:widowControl/>
        <w:jc w:val="left"/>
        <w:rPr>
          <w:rFonts w:ascii="仿宋" w:hAnsi="仿宋" w:eastAsia="仿宋"/>
          <w:color w:val="FF0000"/>
          <w:sz w:val="24"/>
        </w:rPr>
      </w:pPr>
      <w:r>
        <w:rPr>
          <w:rFonts w:ascii="仿宋" w:hAnsi="仿宋" w:eastAsia="仿宋"/>
          <w:color w:val="FF0000"/>
          <w:sz w:val="24"/>
        </w:rPr>
        <w:br w:type="page"/>
      </w:r>
    </w:p>
    <w:p>
      <w:pPr>
        <w:spacing w:line="360" w:lineRule="auto"/>
        <w:rPr>
          <w:rFonts w:ascii="仿宋" w:hAnsi="仿宋" w:eastAsia="仿宋"/>
          <w:color w:val="000000" w:themeColor="text1"/>
          <w:sz w:val="24"/>
        </w:rPr>
      </w:pPr>
      <w:r>
        <w:rPr>
          <w:rFonts w:hint="eastAsia" w:ascii="仿宋" w:hAnsi="仿宋" w:eastAsia="仿宋"/>
          <w:color w:val="000000" w:themeColor="text1"/>
          <w:sz w:val="24"/>
        </w:rPr>
        <w:t>3、配置清单</w:t>
      </w:r>
    </w:p>
    <w:tbl>
      <w:tblPr>
        <w:tblStyle w:val="87"/>
        <w:tblW w:w="8700" w:type="dxa"/>
        <w:tblInd w:w="93" w:type="dxa"/>
        <w:tblLayout w:type="fixed"/>
        <w:tblCellMar>
          <w:top w:w="0" w:type="dxa"/>
          <w:left w:w="108" w:type="dxa"/>
          <w:bottom w:w="0" w:type="dxa"/>
          <w:right w:w="108" w:type="dxa"/>
        </w:tblCellMar>
      </w:tblPr>
      <w:tblGrid>
        <w:gridCol w:w="720"/>
        <w:gridCol w:w="2080"/>
        <w:gridCol w:w="2320"/>
        <w:gridCol w:w="720"/>
        <w:gridCol w:w="720"/>
        <w:gridCol w:w="1140"/>
        <w:gridCol w:w="1000"/>
      </w:tblGrid>
      <w:tr>
        <w:tblPrEx>
          <w:tblLayout w:type="fixed"/>
          <w:tblCellMar>
            <w:top w:w="0" w:type="dxa"/>
            <w:left w:w="108" w:type="dxa"/>
            <w:bottom w:w="0" w:type="dxa"/>
            <w:right w:w="108" w:type="dxa"/>
          </w:tblCellMar>
        </w:tblPrEx>
        <w:trPr>
          <w:trHeight w:val="270" w:hRule="atLeast"/>
        </w:trPr>
        <w:tc>
          <w:tcPr>
            <w:tcW w:w="512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一、电力采集柜</w:t>
            </w:r>
          </w:p>
        </w:tc>
        <w:tc>
          <w:tcPr>
            <w:tcW w:w="7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720"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140" w:type="dxa"/>
            <w:tcBorders>
              <w:top w:val="single" w:color="auto" w:sz="4" w:space="0"/>
              <w:left w:val="nil"/>
              <w:bottom w:val="single" w:color="auto" w:sz="4" w:space="0"/>
              <w:right w:val="nil"/>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00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智能控制器</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同时具备数据采集及工业设备控制功能</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color w:val="000000" w:themeColor="text1"/>
                <w:kern w:val="0"/>
                <w:sz w:val="20"/>
                <w:szCs w:val="20"/>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南瑞继保、西门子、施耐德</w:t>
            </w:r>
          </w:p>
        </w:tc>
        <w:tc>
          <w:tcPr>
            <w:tcW w:w="1000" w:type="dxa"/>
            <w:vMerge w:val="restart"/>
            <w:tcBorders>
              <w:top w:val="nil"/>
              <w:left w:val="nil"/>
              <w:right w:val="single" w:color="auto" w:sz="4" w:space="0"/>
            </w:tcBorders>
            <w:shd w:val="clear" w:color="auto" w:fill="auto"/>
            <w:vAlign w:val="center"/>
          </w:tcPr>
          <w:p>
            <w:pPr>
              <w:jc w:val="left"/>
              <w:rPr>
                <w:rFonts w:ascii="宋体" w:hAnsi="宋体" w:cs="宋体"/>
                <w:color w:val="000000" w:themeColor="text1"/>
                <w:kern w:val="0"/>
                <w:sz w:val="16"/>
                <w:szCs w:val="16"/>
              </w:rPr>
            </w:pPr>
            <w:r>
              <w:rPr>
                <w:rFonts w:hint="eastAsia"/>
                <w:color w:val="000000" w:themeColor="text1"/>
                <w:kern w:val="0"/>
                <w:sz w:val="16"/>
                <w:szCs w:val="16"/>
              </w:rPr>
              <w:t>请各厂家根据实际调研情况进行配置。共计</w:t>
            </w:r>
            <w:r>
              <w:rPr>
                <w:color w:val="000000" w:themeColor="text1"/>
                <w:kern w:val="0"/>
                <w:sz w:val="16"/>
                <w:szCs w:val="16"/>
              </w:rPr>
              <w:t>31</w:t>
            </w:r>
            <w:r>
              <w:rPr>
                <w:rFonts w:hint="eastAsia"/>
                <w:color w:val="000000" w:themeColor="text1"/>
                <w:kern w:val="0"/>
                <w:sz w:val="16"/>
                <w:szCs w:val="16"/>
              </w:rPr>
              <w:t>个配电室和箱变，</w:t>
            </w:r>
            <w:r>
              <w:rPr>
                <w:color w:val="000000" w:themeColor="text1"/>
                <w:kern w:val="0"/>
                <w:sz w:val="16"/>
                <w:szCs w:val="16"/>
              </w:rPr>
              <w:t>1310</w:t>
            </w:r>
            <w:r>
              <w:rPr>
                <w:rFonts w:hint="eastAsia"/>
                <w:color w:val="000000" w:themeColor="text1"/>
                <w:kern w:val="0"/>
                <w:sz w:val="16"/>
                <w:szCs w:val="16"/>
              </w:rPr>
              <w:t>块表。</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交换机</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南瑞继保、华为、H3C</w:t>
            </w:r>
          </w:p>
        </w:tc>
        <w:tc>
          <w:tcPr>
            <w:tcW w:w="1000" w:type="dxa"/>
            <w:vMerge w:val="continue"/>
            <w:tcBorders>
              <w:left w:val="nil"/>
              <w:right w:val="single" w:color="auto" w:sz="4" w:space="0"/>
            </w:tcBorders>
            <w:shd w:val="clear" w:color="auto" w:fill="auto"/>
            <w:vAlign w:val="center"/>
          </w:tcPr>
          <w:p>
            <w:pPr>
              <w:jc w:val="left"/>
              <w:rPr>
                <w:rFonts w:ascii="宋体" w:hAnsi="宋体" w:cs="宋体"/>
                <w:color w:val="000000" w:themeColor="text1"/>
                <w:kern w:val="0"/>
                <w:sz w:val="16"/>
                <w:szCs w:val="16"/>
              </w:rPr>
            </w:pP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3</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柜体</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面</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color w:val="000000" w:themeColor="text1"/>
                <w:kern w:val="0"/>
                <w:sz w:val="20"/>
                <w:szCs w:val="20"/>
              </w:rPr>
            </w:pPr>
            <w:r>
              <w:rPr>
                <w:color w:val="000000" w:themeColor="text1"/>
                <w:kern w:val="0"/>
                <w:sz w:val="20"/>
                <w:szCs w:val="20"/>
              </w:rPr>
              <w:t>　</w:t>
            </w:r>
          </w:p>
        </w:tc>
        <w:tc>
          <w:tcPr>
            <w:tcW w:w="1000" w:type="dxa"/>
            <w:vMerge w:val="continue"/>
            <w:tcBorders>
              <w:left w:val="nil"/>
              <w:right w:val="single" w:color="auto" w:sz="4" w:space="0"/>
            </w:tcBorders>
            <w:shd w:val="clear" w:color="auto" w:fill="auto"/>
            <w:vAlign w:val="bottom"/>
          </w:tcPr>
          <w:p>
            <w:pPr>
              <w:jc w:val="left"/>
              <w:rPr>
                <w:rFonts w:ascii="宋体" w:hAnsi="宋体" w:cs="宋体"/>
                <w:color w:val="000000" w:themeColor="text1"/>
                <w:kern w:val="0"/>
                <w:sz w:val="16"/>
                <w:szCs w:val="16"/>
              </w:rPr>
            </w:pP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4</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光电转换器</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Cs w:val="21"/>
              </w:rPr>
            </w:pPr>
            <w:r>
              <w:rPr>
                <w:rFonts w:hint="eastAsia" w:ascii="宋体" w:hAnsi="宋体" w:cs="宋体"/>
                <w:color w:val="000000" w:themeColor="text1"/>
                <w:kern w:val="0"/>
                <w:szCs w:val="21"/>
              </w:rPr>
              <w:t>台</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000" w:type="dxa"/>
            <w:vMerge w:val="continue"/>
            <w:tcBorders>
              <w:left w:val="nil"/>
              <w:right w:val="single" w:color="auto" w:sz="4" w:space="0"/>
            </w:tcBorders>
            <w:shd w:val="clear" w:color="auto" w:fill="auto"/>
            <w:vAlign w:val="center"/>
          </w:tcPr>
          <w:p>
            <w:pPr>
              <w:jc w:val="left"/>
              <w:rPr>
                <w:rFonts w:ascii="宋体" w:hAnsi="宋体" w:cs="宋体"/>
                <w:color w:val="000000" w:themeColor="text1"/>
                <w:kern w:val="0"/>
                <w:sz w:val="16"/>
                <w:szCs w:val="16"/>
              </w:rPr>
            </w:pP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5</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光缆终端盒</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color w:val="000000" w:themeColor="text1"/>
                <w:kern w:val="0"/>
                <w:szCs w:val="21"/>
              </w:rPr>
            </w:pPr>
            <w:r>
              <w:rPr>
                <w:color w:val="000000" w:themeColor="text1"/>
                <w:kern w:val="0"/>
                <w:szCs w:val="21"/>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color w:val="000000" w:themeColor="text1"/>
                <w:kern w:val="0"/>
                <w:szCs w:val="21"/>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Cs w:val="21"/>
              </w:rPr>
            </w:pPr>
            <w:r>
              <w:rPr>
                <w:rFonts w:hint="eastAsia" w:ascii="宋体" w:hAnsi="宋体" w:cs="宋体"/>
                <w:color w:val="000000" w:themeColor="text1"/>
                <w:kern w:val="0"/>
                <w:szCs w:val="21"/>
              </w:rPr>
              <w:t>对</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000" w:type="dxa"/>
            <w:vMerge w:val="continue"/>
            <w:tcBorders>
              <w:left w:val="nil"/>
              <w:right w:val="single" w:color="auto" w:sz="4" w:space="0"/>
            </w:tcBorders>
            <w:shd w:val="clear" w:color="auto" w:fill="auto"/>
            <w:vAlign w:val="center"/>
          </w:tcPr>
          <w:p>
            <w:pPr>
              <w:jc w:val="left"/>
              <w:rPr>
                <w:rFonts w:ascii="宋体" w:hAnsi="宋体" w:cs="宋体"/>
                <w:color w:val="000000" w:themeColor="text1"/>
                <w:kern w:val="0"/>
                <w:sz w:val="16"/>
                <w:szCs w:val="16"/>
              </w:rPr>
            </w:pP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6</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施工及材料费</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000" w:type="dxa"/>
            <w:vMerge w:val="continue"/>
            <w:tcBorders>
              <w:left w:val="nil"/>
              <w:bottom w:val="single" w:color="auto" w:sz="4" w:space="0"/>
              <w:right w:val="single" w:color="auto" w:sz="4" w:space="0"/>
            </w:tcBorders>
            <w:shd w:val="clear" w:color="auto" w:fill="auto"/>
            <w:vAlign w:val="bottom"/>
          </w:tcPr>
          <w:p>
            <w:pPr>
              <w:widowControl/>
              <w:jc w:val="left"/>
              <w:rPr>
                <w:rFonts w:ascii="宋体" w:hAnsi="宋体" w:cs="宋体"/>
                <w:color w:val="000000" w:themeColor="text1"/>
                <w:kern w:val="0"/>
                <w:sz w:val="16"/>
                <w:szCs w:val="16"/>
              </w:rPr>
            </w:pPr>
          </w:p>
        </w:tc>
      </w:tr>
      <w:tr>
        <w:tblPrEx>
          <w:tblLayout w:type="fixed"/>
          <w:tblCellMar>
            <w:top w:w="0" w:type="dxa"/>
            <w:left w:w="108" w:type="dxa"/>
            <w:bottom w:w="0" w:type="dxa"/>
            <w:right w:w="108" w:type="dxa"/>
          </w:tblCellMar>
        </w:tblPrEx>
        <w:trPr>
          <w:trHeight w:val="270" w:hRule="atLeast"/>
        </w:trPr>
        <w:tc>
          <w:tcPr>
            <w:tcW w:w="512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二、400V智能仪表（入侧）</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140" w:type="dxa"/>
            <w:tcBorders>
              <w:top w:val="nil"/>
              <w:left w:val="nil"/>
              <w:bottom w:val="single" w:color="auto" w:sz="4" w:space="0"/>
              <w:right w:val="nil"/>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00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51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智能仪表</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具备485接口，遥测，遥信，开出，计量功能</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1310</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南瑞继保、因泰莱、斯菲尔</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color w:val="000000" w:themeColor="text1"/>
                <w:kern w:val="0"/>
                <w:sz w:val="20"/>
                <w:szCs w:val="20"/>
              </w:rPr>
            </w:pPr>
            <w:r>
              <w:rPr>
                <w:color w:val="000000" w:themeColor="text1"/>
                <w:kern w:val="0"/>
                <w:sz w:val="20"/>
                <w:szCs w:val="20"/>
              </w:rPr>
              <w:t>　</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施工及材料费</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项</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含仪表更换、线材、施工等</w:t>
            </w:r>
          </w:p>
        </w:tc>
      </w:tr>
      <w:tr>
        <w:tblPrEx>
          <w:tblLayout w:type="fixed"/>
          <w:tblCellMar>
            <w:top w:w="0" w:type="dxa"/>
            <w:left w:w="108" w:type="dxa"/>
            <w:bottom w:w="0" w:type="dxa"/>
            <w:right w:w="108" w:type="dxa"/>
          </w:tblCellMar>
        </w:tblPrEx>
        <w:trPr>
          <w:trHeight w:val="270" w:hRule="atLeast"/>
        </w:trPr>
        <w:tc>
          <w:tcPr>
            <w:tcW w:w="512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三、35kV/10kV电度表</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140" w:type="dxa"/>
            <w:tcBorders>
              <w:top w:val="nil"/>
              <w:left w:val="nil"/>
              <w:bottom w:val="single" w:color="auto" w:sz="4" w:space="0"/>
              <w:right w:val="nil"/>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　</w:t>
            </w:r>
          </w:p>
        </w:tc>
        <w:tc>
          <w:tcPr>
            <w:tcW w:w="1000"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序号</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名称</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型号</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数量</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单位</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推荐品牌</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b/>
                <w:bCs/>
                <w:color w:val="000000" w:themeColor="text1"/>
                <w:kern w:val="0"/>
                <w:sz w:val="16"/>
                <w:szCs w:val="16"/>
              </w:rPr>
            </w:pPr>
            <w:r>
              <w:rPr>
                <w:rFonts w:hint="eastAsia" w:ascii="宋体" w:hAnsi="宋体" w:cs="宋体"/>
                <w:b/>
                <w:bCs/>
                <w:color w:val="000000" w:themeColor="text1"/>
                <w:kern w:val="0"/>
                <w:sz w:val="16"/>
                <w:szCs w:val="16"/>
              </w:rPr>
              <w:t>备注</w:t>
            </w:r>
          </w:p>
        </w:tc>
      </w:tr>
      <w:tr>
        <w:tblPrEx>
          <w:tblLayout w:type="fixed"/>
          <w:tblCellMar>
            <w:top w:w="0" w:type="dxa"/>
            <w:left w:w="108" w:type="dxa"/>
            <w:bottom w:w="0" w:type="dxa"/>
            <w:right w:w="108" w:type="dxa"/>
          </w:tblCellMar>
        </w:tblPrEx>
        <w:trPr>
          <w:trHeight w:val="5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1</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电度表</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有功0.2S级，无功2.0(三相四线或三相三线)</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50</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台</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南瑞继保、威胜、华立、威思顿</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r>
      <w:tr>
        <w:tblPrEx>
          <w:tblLayout w:type="fixed"/>
          <w:tblCellMar>
            <w:top w:w="0" w:type="dxa"/>
            <w:left w:w="108" w:type="dxa"/>
            <w:bottom w:w="0" w:type="dxa"/>
            <w:right w:w="108" w:type="dxa"/>
          </w:tblCellMar>
        </w:tblPrEx>
        <w:trPr>
          <w:trHeight w:val="270" w:hRule="atLeast"/>
        </w:trPr>
        <w:tc>
          <w:tcPr>
            <w:tcW w:w="7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2</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施工及材料费</w:t>
            </w:r>
          </w:p>
        </w:tc>
        <w:tc>
          <w:tcPr>
            <w:tcW w:w="2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color w:val="000000" w:themeColor="text1"/>
                <w:kern w:val="0"/>
                <w:sz w:val="16"/>
                <w:szCs w:val="16"/>
              </w:rPr>
            </w:pPr>
            <w:r>
              <w:rPr>
                <w:rFonts w:hint="eastAsia" w:ascii="宋体" w:hAnsi="宋体" w:cs="宋体"/>
                <w:color w:val="000000" w:themeColor="text1"/>
                <w:kern w:val="0"/>
                <w:sz w:val="16"/>
                <w:szCs w:val="16"/>
              </w:rPr>
              <w:t>项</w:t>
            </w:r>
          </w:p>
        </w:tc>
        <w:tc>
          <w:tcPr>
            <w:tcW w:w="1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　</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color w:val="000000" w:themeColor="text1"/>
                <w:kern w:val="0"/>
                <w:sz w:val="16"/>
                <w:szCs w:val="16"/>
              </w:rPr>
            </w:pPr>
            <w:r>
              <w:rPr>
                <w:rFonts w:hint="eastAsia" w:ascii="宋体" w:hAnsi="宋体" w:cs="宋体"/>
                <w:color w:val="000000" w:themeColor="text1"/>
                <w:kern w:val="0"/>
                <w:sz w:val="16"/>
                <w:szCs w:val="16"/>
              </w:rPr>
              <w:t>含仪表更换、线材、施工等</w:t>
            </w:r>
          </w:p>
        </w:tc>
      </w:tr>
    </w:tbl>
    <w:p>
      <w:pPr>
        <w:spacing w:line="360" w:lineRule="auto"/>
        <w:rPr>
          <w:rFonts w:ascii="仿宋" w:hAnsi="仿宋" w:eastAsia="仿宋"/>
          <w:color w:val="000000" w:themeColor="text1"/>
          <w:sz w:val="24"/>
        </w:rPr>
      </w:pPr>
    </w:p>
    <w:p>
      <w:pPr>
        <w:snapToGrid w:val="0"/>
        <w:spacing w:beforeLines="50" w:line="360" w:lineRule="auto"/>
        <w:rPr>
          <w:rFonts w:ascii="仿宋" w:hAnsi="仿宋" w:eastAsia="仿宋"/>
          <w:color w:val="000000" w:themeColor="text1"/>
          <w:sz w:val="24"/>
        </w:rPr>
      </w:pPr>
      <w:bookmarkStart w:id="18" w:name="_Toc524964879"/>
      <w:bookmarkStart w:id="19" w:name="_Toc535337265"/>
      <w:r>
        <w:rPr>
          <w:rFonts w:ascii="仿宋" w:hAnsi="仿宋" w:eastAsia="仿宋"/>
          <w:b/>
          <w:color w:val="000000" w:themeColor="text1"/>
          <w:sz w:val="24"/>
        </w:rPr>
        <w:t>（</w:t>
      </w:r>
      <w:r>
        <w:rPr>
          <w:rFonts w:hint="eastAsia" w:ascii="仿宋" w:hAnsi="仿宋" w:eastAsia="仿宋"/>
          <w:b/>
          <w:color w:val="000000" w:themeColor="text1"/>
          <w:sz w:val="24"/>
        </w:rPr>
        <w:t>三</w:t>
      </w:r>
      <w:r>
        <w:rPr>
          <w:rFonts w:ascii="仿宋" w:hAnsi="仿宋" w:eastAsia="仿宋"/>
          <w:b/>
          <w:color w:val="000000" w:themeColor="text1"/>
          <w:sz w:val="24"/>
        </w:rPr>
        <w:t>）</w:t>
      </w:r>
      <w:r>
        <w:rPr>
          <w:rFonts w:hint="eastAsia" w:ascii="仿宋" w:hAnsi="仿宋" w:eastAsia="仿宋"/>
          <w:b/>
          <w:color w:val="000000" w:themeColor="text1"/>
          <w:sz w:val="24"/>
        </w:rPr>
        <w:t>原有</w:t>
      </w:r>
      <w:r>
        <w:rPr>
          <w:rFonts w:ascii="仿宋" w:hAnsi="仿宋" w:eastAsia="仿宋"/>
          <w:b/>
          <w:color w:val="000000" w:themeColor="text1"/>
          <w:sz w:val="24"/>
        </w:rPr>
        <w:t>系统集成技术要求</w:t>
      </w:r>
      <w:bookmarkEnd w:id="18"/>
      <w:bookmarkEnd w:id="19"/>
    </w:p>
    <w:p>
      <w:pPr>
        <w:spacing w:line="360" w:lineRule="auto"/>
        <w:ind w:firstLine="482" w:firstLineChars="200"/>
        <w:rPr>
          <w:rFonts w:ascii="仿宋" w:hAnsi="仿宋" w:eastAsia="仿宋"/>
          <w:color w:val="000000" w:themeColor="text1"/>
          <w:sz w:val="24"/>
        </w:rPr>
      </w:pPr>
      <w:r>
        <w:rPr>
          <w:rFonts w:ascii="仿宋" w:hAnsi="仿宋" w:eastAsia="仿宋"/>
          <w:b/>
          <w:color w:val="000000" w:themeColor="text1"/>
          <w:sz w:val="24"/>
        </w:rPr>
        <w:t>1、</w:t>
      </w:r>
      <w:r>
        <w:rPr>
          <w:rFonts w:ascii="仿宋" w:hAnsi="仿宋" w:eastAsia="仿宋"/>
          <w:color w:val="000000" w:themeColor="text1"/>
          <w:sz w:val="24"/>
        </w:rPr>
        <w:t>学校原有</w:t>
      </w:r>
      <w:r>
        <w:rPr>
          <w:rFonts w:hint="eastAsia" w:ascii="仿宋" w:hAnsi="仿宋" w:eastAsia="仿宋"/>
          <w:color w:val="000000" w:themeColor="text1"/>
          <w:sz w:val="24"/>
        </w:rPr>
        <w:t>远程用电计量</w:t>
      </w:r>
      <w:r>
        <w:rPr>
          <w:rFonts w:ascii="仿宋" w:hAnsi="仿宋" w:eastAsia="仿宋"/>
          <w:color w:val="000000" w:themeColor="text1"/>
          <w:sz w:val="24"/>
        </w:rPr>
        <w:t>系统集成技术要求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实现原有</w:t>
      </w:r>
      <w:r>
        <w:rPr>
          <w:rFonts w:hint="eastAsia" w:ascii="仿宋" w:hAnsi="仿宋" w:eastAsia="仿宋"/>
          <w:color w:val="000000" w:themeColor="text1"/>
          <w:sz w:val="24"/>
        </w:rPr>
        <w:t>远程用电计量</w:t>
      </w:r>
      <w:r>
        <w:rPr>
          <w:rFonts w:ascii="仿宋" w:hAnsi="仿宋" w:eastAsia="仿宋"/>
          <w:color w:val="000000" w:themeColor="text1"/>
          <w:sz w:val="24"/>
        </w:rPr>
        <w:t>系统实时数据的集成。</w:t>
      </w:r>
    </w:p>
    <w:p>
      <w:pPr>
        <w:spacing w:line="360" w:lineRule="auto"/>
        <w:ind w:firstLine="482" w:firstLineChars="200"/>
        <w:rPr>
          <w:rFonts w:ascii="仿宋" w:hAnsi="仿宋" w:eastAsia="仿宋"/>
          <w:color w:val="000000" w:themeColor="text1"/>
          <w:sz w:val="24"/>
        </w:rPr>
      </w:pPr>
      <w:r>
        <w:rPr>
          <w:rFonts w:ascii="仿宋" w:hAnsi="仿宋" w:eastAsia="仿宋"/>
          <w:b/>
          <w:color w:val="000000" w:themeColor="text1"/>
          <w:sz w:val="24"/>
        </w:rPr>
        <w:t>2、</w:t>
      </w:r>
      <w:r>
        <w:rPr>
          <w:rFonts w:ascii="仿宋" w:hAnsi="仿宋" w:eastAsia="仿宋"/>
          <w:color w:val="000000" w:themeColor="text1"/>
          <w:sz w:val="24"/>
        </w:rPr>
        <w:t>学校原有</w:t>
      </w:r>
      <w:r>
        <w:rPr>
          <w:rFonts w:hint="eastAsia" w:ascii="仿宋" w:hAnsi="仿宋" w:eastAsia="仿宋"/>
          <w:color w:val="000000" w:themeColor="text1"/>
          <w:sz w:val="24"/>
        </w:rPr>
        <w:t>远程用水</w:t>
      </w:r>
      <w:r>
        <w:rPr>
          <w:rFonts w:ascii="仿宋" w:hAnsi="仿宋" w:eastAsia="仿宋"/>
          <w:color w:val="000000" w:themeColor="text1"/>
          <w:sz w:val="24"/>
        </w:rPr>
        <w:t>计量系统集成技术要求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实现原有</w:t>
      </w:r>
      <w:r>
        <w:rPr>
          <w:rFonts w:hint="eastAsia" w:ascii="仿宋" w:hAnsi="仿宋" w:eastAsia="仿宋"/>
          <w:color w:val="000000" w:themeColor="text1"/>
          <w:sz w:val="24"/>
        </w:rPr>
        <w:t>远程用水</w:t>
      </w:r>
      <w:r>
        <w:rPr>
          <w:rFonts w:ascii="仿宋" w:hAnsi="仿宋" w:eastAsia="仿宋"/>
          <w:color w:val="000000" w:themeColor="text1"/>
          <w:sz w:val="24"/>
        </w:rPr>
        <w:t>计量系统实时数据的集成。</w:t>
      </w:r>
    </w:p>
    <w:p>
      <w:pPr>
        <w:spacing w:line="360" w:lineRule="auto"/>
        <w:ind w:firstLine="482" w:firstLineChars="200"/>
        <w:rPr>
          <w:rFonts w:ascii="仿宋" w:hAnsi="仿宋" w:eastAsia="仿宋"/>
          <w:color w:val="000000" w:themeColor="text1"/>
          <w:sz w:val="24"/>
        </w:rPr>
      </w:pPr>
      <w:r>
        <w:rPr>
          <w:rFonts w:ascii="仿宋" w:hAnsi="仿宋" w:eastAsia="仿宋"/>
          <w:b/>
          <w:color w:val="000000" w:themeColor="text1"/>
          <w:sz w:val="24"/>
        </w:rPr>
        <w:t>3、</w:t>
      </w:r>
      <w:r>
        <w:rPr>
          <w:rFonts w:ascii="仿宋" w:hAnsi="仿宋" w:eastAsia="仿宋"/>
          <w:color w:val="000000" w:themeColor="text1"/>
          <w:sz w:val="24"/>
        </w:rPr>
        <w:t>学校原有节能监</w:t>
      </w:r>
      <w:r>
        <w:rPr>
          <w:rFonts w:hint="eastAsia" w:ascii="仿宋" w:hAnsi="仿宋" w:eastAsia="仿宋"/>
          <w:color w:val="000000" w:themeColor="text1"/>
          <w:sz w:val="24"/>
        </w:rPr>
        <w:t>管</w:t>
      </w:r>
      <w:r>
        <w:rPr>
          <w:rFonts w:ascii="仿宋" w:hAnsi="仿宋" w:eastAsia="仿宋"/>
          <w:color w:val="000000" w:themeColor="text1"/>
          <w:sz w:val="24"/>
        </w:rPr>
        <w:t>平台</w:t>
      </w:r>
      <w:r>
        <w:rPr>
          <w:rFonts w:hint="eastAsia" w:ascii="仿宋" w:hAnsi="仿宋" w:eastAsia="仿宋"/>
          <w:color w:val="000000" w:themeColor="text1"/>
          <w:sz w:val="24"/>
        </w:rPr>
        <w:t>及智能用电管理系统</w:t>
      </w:r>
      <w:r>
        <w:rPr>
          <w:rFonts w:ascii="仿宋" w:hAnsi="仿宋" w:eastAsia="仿宋"/>
          <w:color w:val="000000" w:themeColor="text1"/>
          <w:sz w:val="24"/>
        </w:rPr>
        <w:t>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实现原有节能监</w:t>
      </w:r>
      <w:r>
        <w:rPr>
          <w:rFonts w:hint="eastAsia" w:ascii="仿宋" w:hAnsi="仿宋" w:eastAsia="仿宋"/>
          <w:color w:val="000000" w:themeColor="text1"/>
          <w:sz w:val="24"/>
        </w:rPr>
        <w:t>管</w:t>
      </w:r>
      <w:r>
        <w:rPr>
          <w:rFonts w:ascii="仿宋" w:hAnsi="仿宋" w:eastAsia="仿宋"/>
          <w:color w:val="000000" w:themeColor="text1"/>
          <w:sz w:val="24"/>
        </w:rPr>
        <w:t>平台</w:t>
      </w:r>
      <w:r>
        <w:rPr>
          <w:rFonts w:hint="eastAsia" w:ascii="仿宋" w:hAnsi="仿宋" w:eastAsia="仿宋"/>
          <w:color w:val="000000" w:themeColor="text1"/>
          <w:sz w:val="24"/>
        </w:rPr>
        <w:t>及智能用电管理系统</w:t>
      </w:r>
      <w:r>
        <w:rPr>
          <w:rFonts w:ascii="仿宋" w:hAnsi="仿宋" w:eastAsia="仿宋"/>
          <w:color w:val="000000" w:themeColor="text1"/>
          <w:sz w:val="24"/>
        </w:rPr>
        <w:t>实时数据的集成。</w:t>
      </w:r>
    </w:p>
    <w:p>
      <w:pPr>
        <w:spacing w:line="360" w:lineRule="auto"/>
        <w:ind w:firstLine="482" w:firstLineChars="200"/>
        <w:rPr>
          <w:rFonts w:ascii="仿宋" w:hAnsi="仿宋" w:eastAsia="仿宋"/>
          <w:color w:val="000000" w:themeColor="text1"/>
          <w:sz w:val="24"/>
        </w:rPr>
      </w:pPr>
      <w:r>
        <w:rPr>
          <w:rFonts w:ascii="仿宋" w:hAnsi="仿宋" w:eastAsia="仿宋"/>
          <w:b/>
          <w:color w:val="000000" w:themeColor="text1"/>
          <w:sz w:val="24"/>
        </w:rPr>
        <w:t>4、</w:t>
      </w:r>
      <w:r>
        <w:rPr>
          <w:rFonts w:ascii="仿宋" w:hAnsi="仿宋" w:eastAsia="仿宋"/>
          <w:color w:val="000000" w:themeColor="text1"/>
          <w:sz w:val="24"/>
        </w:rPr>
        <w:t>供水泵站</w:t>
      </w:r>
      <w:r>
        <w:rPr>
          <w:rFonts w:hint="eastAsia" w:ascii="仿宋" w:hAnsi="仿宋" w:eastAsia="仿宋"/>
          <w:color w:val="000000" w:themeColor="text1"/>
          <w:sz w:val="24"/>
        </w:rPr>
        <w:t>运行监控</w:t>
      </w:r>
      <w:r>
        <w:rPr>
          <w:rFonts w:ascii="仿宋" w:hAnsi="仿宋" w:eastAsia="仿宋"/>
          <w:color w:val="000000" w:themeColor="text1"/>
          <w:sz w:val="24"/>
        </w:rPr>
        <w:t>系统集成技术要求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实现南区</w:t>
      </w:r>
      <w:r>
        <w:rPr>
          <w:rFonts w:hint="eastAsia" w:ascii="仿宋" w:hAnsi="仿宋" w:eastAsia="仿宋"/>
          <w:color w:val="000000" w:themeColor="text1"/>
          <w:sz w:val="24"/>
        </w:rPr>
        <w:t>、北区、亚青</w:t>
      </w:r>
      <w:r>
        <w:rPr>
          <w:rFonts w:ascii="仿宋" w:hAnsi="仿宋" w:eastAsia="仿宋"/>
          <w:color w:val="000000" w:themeColor="text1"/>
          <w:sz w:val="24"/>
        </w:rPr>
        <w:t>供水泵站</w:t>
      </w:r>
      <w:r>
        <w:rPr>
          <w:rFonts w:hint="eastAsia" w:ascii="仿宋" w:hAnsi="仿宋" w:eastAsia="仿宋"/>
          <w:color w:val="000000" w:themeColor="text1"/>
          <w:sz w:val="24"/>
        </w:rPr>
        <w:t>运行监控</w:t>
      </w:r>
      <w:r>
        <w:rPr>
          <w:rFonts w:ascii="仿宋" w:hAnsi="仿宋" w:eastAsia="仿宋"/>
          <w:color w:val="000000" w:themeColor="text1"/>
          <w:sz w:val="24"/>
        </w:rPr>
        <w:t>系统的集成监控。</w:t>
      </w:r>
    </w:p>
    <w:p>
      <w:pPr>
        <w:spacing w:line="360" w:lineRule="auto"/>
        <w:ind w:firstLine="482" w:firstLineChars="200"/>
        <w:rPr>
          <w:rFonts w:ascii="仿宋" w:hAnsi="仿宋" w:eastAsia="仿宋"/>
          <w:color w:val="000000" w:themeColor="text1"/>
          <w:sz w:val="24"/>
        </w:rPr>
      </w:pPr>
      <w:r>
        <w:rPr>
          <w:rFonts w:hint="eastAsia" w:ascii="仿宋" w:hAnsi="仿宋" w:eastAsia="仿宋"/>
          <w:b/>
          <w:color w:val="000000" w:themeColor="text1"/>
          <w:sz w:val="24"/>
        </w:rPr>
        <w:t>5</w:t>
      </w:r>
      <w:r>
        <w:rPr>
          <w:rFonts w:ascii="仿宋" w:hAnsi="仿宋" w:eastAsia="仿宋"/>
          <w:b/>
          <w:color w:val="000000" w:themeColor="text1"/>
          <w:sz w:val="24"/>
        </w:rPr>
        <w:t>、</w:t>
      </w:r>
      <w:r>
        <w:rPr>
          <w:rFonts w:hint="eastAsia" w:ascii="仿宋" w:hAnsi="仿宋" w:eastAsia="仿宋"/>
          <w:color w:val="000000" w:themeColor="text1"/>
          <w:sz w:val="24"/>
        </w:rPr>
        <w:t>变电所、泵房视频监控</w:t>
      </w:r>
      <w:r>
        <w:rPr>
          <w:rFonts w:ascii="仿宋" w:hAnsi="仿宋" w:eastAsia="仿宋"/>
          <w:color w:val="000000" w:themeColor="text1"/>
          <w:sz w:val="24"/>
        </w:rPr>
        <w:t>系统集成技术要求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w:t>
      </w:r>
      <w:r>
        <w:rPr>
          <w:rFonts w:hint="eastAsia" w:ascii="仿宋" w:hAnsi="仿宋" w:eastAsia="仿宋"/>
          <w:color w:val="000000" w:themeColor="text1"/>
          <w:sz w:val="24"/>
        </w:rPr>
        <w:t>学校现有的变电所、泵房视频监控</w:t>
      </w:r>
      <w:r>
        <w:rPr>
          <w:rFonts w:ascii="仿宋" w:hAnsi="仿宋" w:eastAsia="仿宋"/>
          <w:color w:val="000000" w:themeColor="text1"/>
          <w:sz w:val="24"/>
        </w:rPr>
        <w:t>系统的集成。</w:t>
      </w:r>
    </w:p>
    <w:p>
      <w:pPr>
        <w:spacing w:line="360" w:lineRule="auto"/>
        <w:ind w:firstLine="482" w:firstLineChars="200"/>
        <w:rPr>
          <w:rFonts w:ascii="仿宋" w:hAnsi="仿宋" w:eastAsia="仿宋"/>
          <w:color w:val="000000" w:themeColor="text1"/>
          <w:sz w:val="24"/>
        </w:rPr>
      </w:pPr>
      <w:r>
        <w:rPr>
          <w:rFonts w:hint="eastAsia" w:ascii="仿宋" w:hAnsi="仿宋" w:eastAsia="仿宋"/>
          <w:b/>
          <w:color w:val="000000" w:themeColor="text1"/>
          <w:sz w:val="24"/>
        </w:rPr>
        <w:t>6</w:t>
      </w:r>
      <w:r>
        <w:rPr>
          <w:rFonts w:ascii="仿宋" w:hAnsi="仿宋" w:eastAsia="仿宋"/>
          <w:b/>
          <w:color w:val="000000" w:themeColor="text1"/>
          <w:sz w:val="24"/>
        </w:rPr>
        <w:t>、</w:t>
      </w:r>
      <w:r>
        <w:rPr>
          <w:rFonts w:hint="eastAsia" w:ascii="仿宋" w:hAnsi="仿宋" w:eastAsia="仿宋"/>
          <w:color w:val="000000" w:themeColor="text1"/>
          <w:sz w:val="24"/>
        </w:rPr>
        <w:t>电力监控</w:t>
      </w:r>
      <w:r>
        <w:rPr>
          <w:rFonts w:ascii="仿宋" w:hAnsi="仿宋" w:eastAsia="仿宋"/>
          <w:color w:val="000000" w:themeColor="text1"/>
          <w:sz w:val="24"/>
        </w:rPr>
        <w:t>系统集成技术要求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w:t>
      </w:r>
      <w:r>
        <w:rPr>
          <w:rFonts w:hint="eastAsia" w:ascii="仿宋" w:hAnsi="仿宋" w:eastAsia="仿宋"/>
          <w:color w:val="000000" w:themeColor="text1"/>
          <w:sz w:val="24"/>
        </w:rPr>
        <w:t>学校现已安装的电力监控系统</w:t>
      </w:r>
      <w:r>
        <w:rPr>
          <w:rFonts w:ascii="仿宋" w:hAnsi="仿宋" w:eastAsia="仿宋"/>
          <w:color w:val="000000" w:themeColor="text1"/>
          <w:sz w:val="24"/>
        </w:rPr>
        <w:t>的集成。</w:t>
      </w:r>
    </w:p>
    <w:p>
      <w:pPr>
        <w:spacing w:line="360" w:lineRule="auto"/>
        <w:ind w:firstLine="482" w:firstLineChars="200"/>
        <w:rPr>
          <w:rFonts w:ascii="仿宋" w:hAnsi="仿宋" w:eastAsia="仿宋"/>
          <w:color w:val="000000" w:themeColor="text1"/>
          <w:sz w:val="24"/>
        </w:rPr>
      </w:pPr>
      <w:r>
        <w:rPr>
          <w:rFonts w:hint="eastAsia" w:ascii="仿宋" w:hAnsi="仿宋" w:eastAsia="仿宋"/>
          <w:b/>
          <w:color w:val="000000" w:themeColor="text1"/>
          <w:sz w:val="24"/>
        </w:rPr>
        <w:t>7</w:t>
      </w:r>
      <w:r>
        <w:rPr>
          <w:rFonts w:ascii="仿宋" w:hAnsi="仿宋" w:eastAsia="仿宋"/>
          <w:b/>
          <w:color w:val="000000" w:themeColor="text1"/>
          <w:sz w:val="24"/>
        </w:rPr>
        <w:t>、</w:t>
      </w:r>
      <w:r>
        <w:rPr>
          <w:rFonts w:hint="eastAsia" w:ascii="仿宋" w:hAnsi="仿宋" w:eastAsia="仿宋"/>
          <w:color w:val="000000" w:themeColor="text1"/>
          <w:sz w:val="24"/>
        </w:rPr>
        <w:t>集中热水供应监控系统</w:t>
      </w:r>
      <w:r>
        <w:rPr>
          <w:rFonts w:ascii="仿宋" w:hAnsi="仿宋" w:eastAsia="仿宋"/>
          <w:color w:val="000000" w:themeColor="text1"/>
          <w:sz w:val="24"/>
        </w:rPr>
        <w:t>集成技术要求</w:t>
      </w:r>
    </w:p>
    <w:p>
      <w:pPr>
        <w:spacing w:line="360" w:lineRule="auto"/>
        <w:rPr>
          <w:rFonts w:ascii="仿宋" w:hAnsi="仿宋" w:eastAsia="仿宋"/>
          <w:color w:val="000000" w:themeColor="text1"/>
          <w:sz w:val="24"/>
        </w:rPr>
      </w:pPr>
      <w:r>
        <w:rPr>
          <w:rFonts w:ascii="仿宋" w:hAnsi="仿宋" w:eastAsia="仿宋"/>
          <w:color w:val="000000" w:themeColor="text1"/>
          <w:sz w:val="24"/>
        </w:rPr>
        <w:t>实现浦江宿舍集中</w:t>
      </w:r>
      <w:r>
        <w:rPr>
          <w:rFonts w:hint="eastAsia" w:ascii="仿宋" w:hAnsi="仿宋" w:eastAsia="仿宋"/>
          <w:color w:val="000000" w:themeColor="text1"/>
          <w:sz w:val="24"/>
        </w:rPr>
        <w:t>热水供应</w:t>
      </w:r>
      <w:r>
        <w:rPr>
          <w:rFonts w:ascii="仿宋" w:hAnsi="仿宋" w:eastAsia="仿宋"/>
          <w:color w:val="000000" w:themeColor="text1"/>
          <w:sz w:val="24"/>
        </w:rPr>
        <w:t>系统</w:t>
      </w:r>
      <w:r>
        <w:rPr>
          <w:rFonts w:hint="eastAsia" w:ascii="仿宋" w:hAnsi="仿宋" w:eastAsia="仿宋"/>
          <w:color w:val="000000" w:themeColor="text1"/>
          <w:sz w:val="24"/>
        </w:rPr>
        <w:t>、南苑及亚青宿舍太阳能集中热水供应系统、檀香苑集中热水供应系统</w:t>
      </w:r>
      <w:r>
        <w:rPr>
          <w:rFonts w:ascii="仿宋" w:hAnsi="仿宋" w:eastAsia="仿宋"/>
          <w:color w:val="000000" w:themeColor="text1"/>
          <w:sz w:val="24"/>
        </w:rPr>
        <w:t>的集成监控。</w:t>
      </w:r>
    </w:p>
    <w:p>
      <w:pPr>
        <w:spacing w:line="360" w:lineRule="auto"/>
        <w:ind w:firstLine="482" w:firstLineChars="200"/>
        <w:rPr>
          <w:rFonts w:ascii="仿宋" w:hAnsi="仿宋" w:eastAsia="仿宋"/>
          <w:color w:val="000000" w:themeColor="text1"/>
          <w:sz w:val="24"/>
        </w:rPr>
      </w:pPr>
      <w:r>
        <w:rPr>
          <w:rFonts w:hint="eastAsia" w:ascii="仿宋" w:hAnsi="仿宋" w:eastAsia="仿宋"/>
          <w:b/>
          <w:color w:val="000000" w:themeColor="text1"/>
          <w:sz w:val="24"/>
        </w:rPr>
        <w:t>8</w:t>
      </w:r>
      <w:r>
        <w:rPr>
          <w:rFonts w:ascii="仿宋" w:hAnsi="仿宋" w:eastAsia="仿宋"/>
          <w:b/>
          <w:color w:val="000000" w:themeColor="text1"/>
          <w:sz w:val="24"/>
        </w:rPr>
        <w:t>、</w:t>
      </w:r>
      <w:r>
        <w:rPr>
          <w:rFonts w:ascii="仿宋" w:hAnsi="仿宋" w:eastAsia="仿宋"/>
          <w:color w:val="000000" w:themeColor="text1"/>
          <w:sz w:val="24"/>
        </w:rPr>
        <w:t>学校原有厚学楼节能控制系统集成技术要求</w:t>
      </w:r>
    </w:p>
    <w:p>
      <w:pPr>
        <w:pStyle w:val="45"/>
        <w:rPr>
          <w:rFonts w:ascii="仿宋" w:hAnsi="仿宋" w:eastAsia="仿宋"/>
          <w:color w:val="000000" w:themeColor="text1"/>
          <w:sz w:val="24"/>
          <w:szCs w:val="24"/>
        </w:rPr>
      </w:pPr>
      <w:r>
        <w:rPr>
          <w:rFonts w:ascii="仿宋" w:hAnsi="仿宋" w:eastAsia="仿宋"/>
          <w:color w:val="000000" w:themeColor="text1"/>
          <w:sz w:val="24"/>
          <w:szCs w:val="24"/>
        </w:rPr>
        <w:t>实现厚学楼节能控制系统实时数据的集成。</w:t>
      </w:r>
    </w:p>
    <w:p>
      <w:pPr>
        <w:spacing w:beforeLines="100" w:line="360" w:lineRule="auto"/>
        <w:outlineLvl w:val="1"/>
        <w:rPr>
          <w:rFonts w:ascii="仿宋" w:hAnsi="仿宋" w:eastAsia="仿宋"/>
          <w:b/>
          <w:sz w:val="24"/>
        </w:rPr>
      </w:pPr>
      <w:r>
        <w:rPr>
          <w:rFonts w:hint="eastAsia" w:ascii="仿宋" w:hAnsi="仿宋" w:eastAsia="仿宋"/>
          <w:b/>
          <w:sz w:val="24"/>
        </w:rPr>
        <w:t>三、商务部分</w:t>
      </w:r>
    </w:p>
    <w:p>
      <w:pPr>
        <w:adjustRightInd w:val="0"/>
        <w:snapToGrid w:val="0"/>
        <w:spacing w:line="360" w:lineRule="auto"/>
        <w:ind w:firstLine="600" w:firstLineChars="250"/>
        <w:rPr>
          <w:rFonts w:ascii="宋体" w:hAnsi="宋体"/>
          <w:sz w:val="24"/>
        </w:rPr>
      </w:pPr>
      <w:r>
        <w:rPr>
          <w:rFonts w:hint="eastAsia" w:ascii="宋体" w:hAnsi="宋体"/>
          <w:sz w:val="24"/>
        </w:rPr>
        <w:t>1.到货检验：</w:t>
      </w:r>
    </w:p>
    <w:p>
      <w:pPr>
        <w:adjustRightInd w:val="0"/>
        <w:snapToGrid w:val="0"/>
        <w:spacing w:line="360" w:lineRule="auto"/>
        <w:ind w:firstLine="600" w:firstLineChars="250"/>
        <w:rPr>
          <w:rFonts w:ascii="宋体" w:hAnsi="宋体"/>
          <w:sz w:val="24"/>
        </w:rPr>
      </w:pPr>
      <w:r>
        <w:rPr>
          <w:rFonts w:hint="eastAsia" w:ascii="宋体" w:hAnsi="宋体"/>
          <w:sz w:val="24"/>
        </w:rPr>
        <w:t>（1）到货产品检验依据：中标方应按采购文件规定的和投标书中承诺的货物性能、技术要求、质量标准向采购方提供未经使用的全新产品。</w:t>
      </w:r>
    </w:p>
    <w:p>
      <w:pPr>
        <w:adjustRightInd w:val="0"/>
        <w:snapToGrid w:val="0"/>
        <w:spacing w:line="360" w:lineRule="auto"/>
        <w:ind w:firstLine="600" w:firstLineChars="250"/>
        <w:rPr>
          <w:rFonts w:ascii="宋体" w:hAnsi="宋体"/>
          <w:sz w:val="24"/>
        </w:rPr>
      </w:pPr>
      <w:r>
        <w:rPr>
          <w:rFonts w:hint="eastAsia" w:ascii="宋体" w:hAnsi="宋体"/>
          <w:sz w:val="24"/>
        </w:rPr>
        <w:t>（2）到货检验：货物到达采购方指定存放地点，须提供详细送货清单。由采购方指定专人根据采购文件规定的货物性能、技术要求、质量标准对货物进行验收。只有验收合格的产品方可作为施工作业。因未验收而私自投入施工的产品，必须无条件拆除，拆除的产品不得再投入该项目使用。</w:t>
      </w:r>
    </w:p>
    <w:p>
      <w:pPr>
        <w:adjustRightInd w:val="0"/>
        <w:snapToGrid w:val="0"/>
        <w:spacing w:line="360" w:lineRule="auto"/>
        <w:ind w:firstLine="600" w:firstLineChars="250"/>
        <w:rPr>
          <w:rFonts w:ascii="宋体" w:hAnsi="宋体"/>
          <w:sz w:val="24"/>
        </w:rPr>
      </w:pPr>
      <w:r>
        <w:rPr>
          <w:rFonts w:hint="eastAsia" w:ascii="宋体" w:hAnsi="宋体"/>
          <w:sz w:val="24"/>
        </w:rPr>
        <w:t>2.中标方提供的货物在质量期内因货物本身的质量问题发生故障，中标方应负责免费更换。对达不到技术要求者，根据实际情况，经双方协商，可按以下办法处理：</w:t>
      </w:r>
    </w:p>
    <w:p>
      <w:pPr>
        <w:adjustRightInd w:val="0"/>
        <w:snapToGrid w:val="0"/>
        <w:spacing w:line="360" w:lineRule="auto"/>
        <w:ind w:firstLine="600" w:firstLineChars="250"/>
        <w:rPr>
          <w:rFonts w:ascii="宋体" w:hAnsi="宋体"/>
          <w:sz w:val="24"/>
        </w:rPr>
      </w:pPr>
      <w:r>
        <w:rPr>
          <w:rFonts w:hint="eastAsia" w:ascii="宋体" w:hAnsi="宋体"/>
          <w:sz w:val="24"/>
        </w:rPr>
        <w:t>（1）更换：由中标方承担所发生的全部费用。</w:t>
      </w:r>
    </w:p>
    <w:p>
      <w:pPr>
        <w:adjustRightInd w:val="0"/>
        <w:snapToGrid w:val="0"/>
        <w:spacing w:line="360" w:lineRule="auto"/>
        <w:ind w:firstLine="600" w:firstLineChars="250"/>
        <w:rPr>
          <w:rFonts w:ascii="宋体" w:hAnsi="宋体"/>
          <w:sz w:val="24"/>
        </w:rPr>
      </w:pPr>
      <w:r>
        <w:rPr>
          <w:rFonts w:hint="eastAsia" w:ascii="宋体" w:hAnsi="宋体"/>
          <w:sz w:val="24"/>
        </w:rPr>
        <w:t>（2）贬值处理：由双方合议定价。</w:t>
      </w:r>
    </w:p>
    <w:p>
      <w:pPr>
        <w:adjustRightInd w:val="0"/>
        <w:snapToGrid w:val="0"/>
        <w:spacing w:line="360" w:lineRule="auto"/>
        <w:ind w:firstLine="600" w:firstLineChars="250"/>
        <w:rPr>
          <w:rFonts w:ascii="宋体" w:hAnsi="宋体"/>
          <w:sz w:val="24"/>
        </w:rPr>
      </w:pPr>
      <w:r>
        <w:rPr>
          <w:rFonts w:hint="eastAsia" w:ascii="宋体" w:hAnsi="宋体"/>
          <w:sz w:val="24"/>
        </w:rPr>
        <w:t>（3）退货处理：中标方应退还采购方支付的合同款，同时应承担该货物的直接费用（运输、保险、检验、货款利息及银行手续费等）。</w:t>
      </w:r>
    </w:p>
    <w:p>
      <w:pPr>
        <w:adjustRightInd w:val="0"/>
        <w:snapToGrid w:val="0"/>
        <w:spacing w:line="360" w:lineRule="auto"/>
        <w:ind w:firstLine="600" w:firstLineChars="250"/>
        <w:rPr>
          <w:rFonts w:ascii="宋体" w:hAnsi="宋体"/>
          <w:sz w:val="24"/>
        </w:rPr>
      </w:pPr>
      <w:r>
        <w:rPr>
          <w:rFonts w:hint="eastAsia" w:ascii="宋体" w:hAnsi="宋体"/>
          <w:sz w:val="24"/>
        </w:rPr>
        <w:t>3.如在使用过程中发生质量问题，中标方在接到甲方通知后在2小时内到达采购方现场。</w:t>
      </w:r>
    </w:p>
    <w:p>
      <w:pPr>
        <w:adjustRightInd w:val="0"/>
        <w:snapToGrid w:val="0"/>
        <w:spacing w:line="360" w:lineRule="auto"/>
        <w:ind w:firstLine="600" w:firstLineChars="250"/>
        <w:rPr>
          <w:rFonts w:ascii="宋体" w:hAnsi="宋体"/>
          <w:sz w:val="24"/>
        </w:rPr>
      </w:pPr>
      <w:r>
        <w:rPr>
          <w:rFonts w:hint="eastAsia" w:ascii="宋体" w:hAnsi="宋体"/>
          <w:sz w:val="24"/>
        </w:rPr>
        <w:t>4.质保期：质保期不少于二年。</w:t>
      </w:r>
    </w:p>
    <w:p>
      <w:pPr>
        <w:adjustRightInd w:val="0"/>
        <w:snapToGrid w:val="0"/>
        <w:spacing w:line="360" w:lineRule="auto"/>
        <w:ind w:firstLine="600" w:firstLineChars="250"/>
        <w:rPr>
          <w:rFonts w:ascii="宋体" w:hAnsi="宋体"/>
          <w:sz w:val="24"/>
        </w:rPr>
      </w:pPr>
      <w:r>
        <w:rPr>
          <w:rFonts w:hint="eastAsia" w:ascii="宋体" w:hAnsi="宋体"/>
          <w:sz w:val="24"/>
        </w:rPr>
        <w:t>在质保期内，中标方应对货物出现的质量及安全问题负责处理解决并承担一切费用。</w:t>
      </w:r>
    </w:p>
    <w:p>
      <w:pPr>
        <w:adjustRightInd w:val="0"/>
        <w:snapToGrid w:val="0"/>
        <w:spacing w:line="360" w:lineRule="auto"/>
        <w:ind w:firstLine="600" w:firstLineChars="250"/>
        <w:rPr>
          <w:rFonts w:ascii="宋体" w:hAnsi="宋体"/>
          <w:sz w:val="24"/>
        </w:rPr>
      </w:pPr>
      <w:r>
        <w:rPr>
          <w:rFonts w:hint="eastAsia" w:ascii="宋体" w:hAnsi="宋体"/>
          <w:sz w:val="24"/>
        </w:rPr>
        <w:t>5.交付期：中标方在签订合同后并经采购人通知后，</w:t>
      </w:r>
      <w:r>
        <w:rPr>
          <w:rFonts w:hint="eastAsia" w:ascii="宋体" w:hAnsi="宋体"/>
          <w:color w:val="FF0000"/>
          <w:sz w:val="24"/>
        </w:rPr>
        <w:t xml:space="preserve">  </w:t>
      </w:r>
      <w:r>
        <w:rPr>
          <w:rFonts w:hint="eastAsia" w:ascii="宋体" w:hAnsi="宋体"/>
          <w:color w:val="000000" w:themeColor="text1"/>
          <w:sz w:val="24"/>
        </w:rPr>
        <w:t>天内完</w:t>
      </w:r>
      <w:r>
        <w:rPr>
          <w:rFonts w:hint="eastAsia" w:ascii="宋体" w:hAnsi="宋体"/>
          <w:sz w:val="24"/>
        </w:rPr>
        <w:t>成在整个项目建设。保证项目交付买方验收通过。</w:t>
      </w:r>
    </w:p>
    <w:p>
      <w:pPr>
        <w:adjustRightInd w:val="0"/>
        <w:snapToGrid w:val="0"/>
        <w:spacing w:line="360" w:lineRule="auto"/>
        <w:ind w:firstLine="600" w:firstLineChars="250"/>
        <w:rPr>
          <w:rFonts w:ascii="宋体" w:hAnsi="宋体"/>
          <w:sz w:val="24"/>
        </w:rPr>
      </w:pPr>
      <w:r>
        <w:rPr>
          <w:rFonts w:hint="eastAsia" w:ascii="宋体" w:hAnsi="宋体"/>
          <w:sz w:val="24"/>
        </w:rPr>
        <w:t>6.交付地点：买方指定</w:t>
      </w:r>
    </w:p>
    <w:p>
      <w:pPr>
        <w:adjustRightInd w:val="0"/>
        <w:snapToGrid w:val="0"/>
        <w:spacing w:line="360" w:lineRule="auto"/>
        <w:ind w:firstLine="600" w:firstLineChars="250"/>
        <w:rPr>
          <w:rFonts w:ascii="宋体" w:hAnsi="宋体"/>
          <w:sz w:val="24"/>
        </w:rPr>
      </w:pPr>
      <w:r>
        <w:rPr>
          <w:rFonts w:hint="eastAsia" w:ascii="宋体" w:hAnsi="宋体"/>
          <w:sz w:val="24"/>
        </w:rPr>
        <w:t>7.</w:t>
      </w:r>
      <w:r>
        <w:rPr>
          <w:rFonts w:ascii="宋体" w:hAnsi="宋体"/>
          <w:sz w:val="24"/>
        </w:rPr>
        <w:t>货款支付</w:t>
      </w:r>
    </w:p>
    <w:p>
      <w:pPr>
        <w:adjustRightInd w:val="0"/>
        <w:snapToGrid w:val="0"/>
        <w:spacing w:line="360" w:lineRule="auto"/>
        <w:ind w:firstLine="600" w:firstLineChars="250"/>
        <w:rPr>
          <w:rFonts w:ascii="宋体" w:hAnsi="宋体"/>
          <w:sz w:val="24"/>
        </w:rPr>
      </w:pPr>
      <w:r>
        <w:rPr>
          <w:rFonts w:hint="eastAsia" w:ascii="宋体" w:hAnsi="宋体"/>
          <w:sz w:val="24"/>
        </w:rPr>
        <w:t>付款应按下列条件进行：</w:t>
      </w:r>
    </w:p>
    <w:p>
      <w:pPr>
        <w:adjustRightInd w:val="0"/>
        <w:snapToGrid w:val="0"/>
        <w:spacing w:line="360" w:lineRule="auto"/>
        <w:ind w:firstLine="600" w:firstLineChars="250"/>
        <w:rPr>
          <w:rFonts w:ascii="宋体" w:hAnsi="宋体"/>
          <w:color w:val="000000" w:themeColor="text1"/>
          <w:sz w:val="24"/>
        </w:rPr>
      </w:pPr>
      <w:r>
        <w:rPr>
          <w:rFonts w:hint="eastAsia" w:ascii="宋体" w:hAnsi="宋体"/>
          <w:color w:val="000000" w:themeColor="text1"/>
          <w:sz w:val="24"/>
        </w:rPr>
        <w:t>1、本项目发包采用NPC模式，即设计、采购、安装、调试、验收。合同价款采用总价包干模式，即在能效技术改造规模无重大改变（大于10%）情况下，合同总价不予调整。</w:t>
      </w:r>
    </w:p>
    <w:p>
      <w:pPr>
        <w:adjustRightInd w:val="0"/>
        <w:snapToGrid w:val="0"/>
        <w:spacing w:line="360" w:lineRule="auto"/>
        <w:ind w:firstLine="600" w:firstLineChars="250"/>
        <w:rPr>
          <w:rFonts w:ascii="宋体" w:hAnsi="宋体"/>
          <w:color w:val="000000" w:themeColor="text1"/>
          <w:sz w:val="24"/>
        </w:rPr>
      </w:pPr>
      <w:r>
        <w:rPr>
          <w:rFonts w:hint="eastAsia" w:ascii="宋体" w:hAnsi="宋体"/>
          <w:color w:val="000000" w:themeColor="text1"/>
          <w:sz w:val="24"/>
        </w:rPr>
        <w:t>2、费用支付方法：签订合同后，甲方支付合同总价的35%；施工结束验收合格无质量问题，决算经审计后，甲方付至审定总价的97%。质保期满后甲方付清余款。</w:t>
      </w:r>
    </w:p>
    <w:p>
      <w:pPr>
        <w:adjustRightInd w:val="0"/>
        <w:snapToGrid w:val="0"/>
        <w:spacing w:line="360" w:lineRule="auto"/>
        <w:ind w:firstLine="600" w:firstLineChars="250"/>
        <w:rPr>
          <w:rFonts w:ascii="宋体" w:hAnsi="宋体"/>
          <w:sz w:val="24"/>
        </w:rPr>
      </w:pPr>
      <w:r>
        <w:rPr>
          <w:rFonts w:hint="eastAsia" w:ascii="宋体" w:hAnsi="宋体"/>
          <w:sz w:val="24"/>
        </w:rPr>
        <w:t>8.投标货币：</w:t>
      </w:r>
    </w:p>
    <w:p>
      <w:pPr>
        <w:adjustRightInd w:val="0"/>
        <w:snapToGrid w:val="0"/>
        <w:spacing w:line="360" w:lineRule="auto"/>
        <w:ind w:firstLine="600" w:firstLineChars="250"/>
        <w:rPr>
          <w:rFonts w:ascii="宋体" w:hAnsi="宋体"/>
          <w:sz w:val="24"/>
        </w:rPr>
      </w:pPr>
      <w:r>
        <w:rPr>
          <w:rFonts w:hint="eastAsia" w:ascii="宋体" w:hAnsi="宋体"/>
          <w:sz w:val="24"/>
        </w:rPr>
        <w:t>本次招标的货物单价和总价按人民币报价。</w:t>
      </w:r>
      <w:r>
        <w:rPr>
          <w:rFonts w:ascii="宋体" w:hAnsi="宋体"/>
          <w:sz w:val="24"/>
        </w:rPr>
        <w:br w:type="page"/>
      </w:r>
      <w:r>
        <w:rPr>
          <w:rFonts w:hint="eastAsia" w:ascii="黑体" w:hAnsi="黑体" w:eastAsia="黑体"/>
          <w:sz w:val="32"/>
        </w:rPr>
        <w:t>第五章  合同主要条款</w:t>
      </w:r>
    </w:p>
    <w:p>
      <w:pPr>
        <w:autoSpaceDE w:val="0"/>
        <w:autoSpaceDN w:val="0"/>
        <w:adjustRightInd w:val="0"/>
        <w:spacing w:line="360" w:lineRule="auto"/>
        <w:jc w:val="center"/>
        <w:outlineLvl w:val="0"/>
        <w:rPr>
          <w:rFonts w:ascii="仿宋" w:hAnsi="仿宋" w:eastAsia="仿宋"/>
          <w:sz w:val="28"/>
          <w:szCs w:val="28"/>
        </w:rPr>
      </w:pPr>
    </w:p>
    <w:p>
      <w:pPr>
        <w:spacing w:line="360" w:lineRule="auto"/>
        <w:rPr>
          <w:rFonts w:ascii="宋体" w:hAnsi="宋体"/>
          <w:b/>
          <w:bCs/>
          <w:szCs w:val="21"/>
        </w:rPr>
      </w:pPr>
      <w:r>
        <w:rPr>
          <w:rFonts w:hint="eastAsia" w:ascii="宋体" w:hAnsi="宋体"/>
          <w:b/>
          <w:bCs/>
          <w:szCs w:val="21"/>
        </w:rPr>
        <w:t>1、合同主要条款</w:t>
      </w:r>
    </w:p>
    <w:p>
      <w:pPr>
        <w:spacing w:line="360" w:lineRule="auto"/>
        <w:rPr>
          <w:rFonts w:ascii="宋体" w:hAnsi="宋体"/>
          <w:b/>
          <w:bCs/>
          <w:szCs w:val="21"/>
        </w:rPr>
      </w:pPr>
      <w:r>
        <w:rPr>
          <w:rFonts w:hint="eastAsia" w:ascii="宋体" w:hAnsi="宋体"/>
          <w:b/>
          <w:bCs/>
          <w:szCs w:val="21"/>
        </w:rPr>
        <w:tab/>
      </w:r>
      <w:r>
        <w:rPr>
          <w:rFonts w:hint="eastAsia" w:ascii="宋体" w:hAnsi="宋体"/>
          <w:b/>
          <w:bCs/>
          <w:szCs w:val="21"/>
        </w:rPr>
        <w:t>1.1定义</w:t>
      </w:r>
    </w:p>
    <w:p>
      <w:pPr>
        <w:spacing w:line="360" w:lineRule="auto"/>
        <w:ind w:firstLine="420" w:firstLineChars="200"/>
        <w:rPr>
          <w:rFonts w:ascii="宋体" w:hAnsi="宋体"/>
          <w:szCs w:val="21"/>
        </w:rPr>
      </w:pPr>
      <w:r>
        <w:rPr>
          <w:rFonts w:hint="eastAsia" w:ascii="宋体" w:hAnsi="宋体"/>
          <w:szCs w:val="21"/>
        </w:rPr>
        <w:t>本合同中的下列术语应解释为：</w:t>
      </w:r>
    </w:p>
    <w:p>
      <w:pPr>
        <w:spacing w:line="360" w:lineRule="auto"/>
        <w:ind w:firstLine="420" w:firstLineChars="200"/>
        <w:rPr>
          <w:rFonts w:ascii="宋体" w:hAnsi="宋体"/>
          <w:szCs w:val="21"/>
        </w:rPr>
      </w:pPr>
      <w:r>
        <w:rPr>
          <w:rFonts w:hint="eastAsia" w:ascii="宋体" w:hAnsi="宋体"/>
          <w:szCs w:val="21"/>
        </w:rPr>
        <w:t>(1)“合同”系指买方、卖方、见证方签署的、合同格式中载明的买方、卖方、见证方所达成的协议，包括所有的附件、附录和构成合同的所有文件。</w:t>
      </w:r>
    </w:p>
    <w:p>
      <w:pPr>
        <w:spacing w:line="360" w:lineRule="auto"/>
        <w:ind w:firstLine="420" w:firstLineChars="200"/>
        <w:rPr>
          <w:rFonts w:ascii="宋体" w:hAnsi="宋体"/>
          <w:szCs w:val="21"/>
        </w:rPr>
      </w:pPr>
      <w:r>
        <w:rPr>
          <w:rFonts w:hint="eastAsia" w:ascii="宋体" w:hAnsi="宋体"/>
          <w:szCs w:val="21"/>
        </w:rPr>
        <w:t>(2) “合同价”系指根据合同规定，卖方在正确地完全履行合同义务后买方应支付给卖方的价格。</w:t>
      </w:r>
    </w:p>
    <w:p>
      <w:pPr>
        <w:spacing w:line="360" w:lineRule="auto"/>
        <w:ind w:firstLine="420" w:firstLineChars="200"/>
        <w:rPr>
          <w:rFonts w:ascii="宋体" w:hAnsi="宋体"/>
          <w:szCs w:val="21"/>
        </w:rPr>
      </w:pPr>
      <w:r>
        <w:rPr>
          <w:rFonts w:hint="eastAsia" w:ascii="宋体" w:hAnsi="宋体"/>
          <w:szCs w:val="21"/>
        </w:rPr>
        <w:t>(3)“货物”系指卖方根据合同规定须向买方提供的一切设备、机械、仪表、备件、工具、手册和其他技术资料及其他材料。</w:t>
      </w:r>
    </w:p>
    <w:p>
      <w:pPr>
        <w:spacing w:line="360" w:lineRule="auto"/>
        <w:ind w:firstLine="420" w:firstLineChars="200"/>
        <w:rPr>
          <w:rFonts w:ascii="宋体" w:hAnsi="宋体"/>
          <w:szCs w:val="21"/>
        </w:rPr>
      </w:pPr>
      <w:r>
        <w:rPr>
          <w:rFonts w:hint="eastAsia" w:ascii="宋体" w:hAnsi="宋体"/>
          <w:szCs w:val="21"/>
        </w:rPr>
        <w:t>(4)“服务”系指根据合同规定卖方承担与供货有关的辅助服务，如运输、装卸、清点、堆放、验收前保管、保险以及其它的伴随服务，比如调试、提供技术援助、培训和其他类似的卖方应承担的义务。</w:t>
      </w:r>
    </w:p>
    <w:p>
      <w:pPr>
        <w:spacing w:line="360" w:lineRule="auto"/>
        <w:ind w:firstLine="420" w:firstLineChars="200"/>
        <w:rPr>
          <w:rFonts w:ascii="宋体" w:hAnsi="宋体"/>
          <w:szCs w:val="21"/>
        </w:rPr>
      </w:pPr>
      <w:r>
        <w:rPr>
          <w:rFonts w:hint="eastAsia" w:ascii="宋体" w:hAnsi="宋体"/>
          <w:szCs w:val="21"/>
        </w:rPr>
        <w:t>(5)“买方”系指购买货物和服务的南京工业大学。</w:t>
      </w:r>
    </w:p>
    <w:p>
      <w:pPr>
        <w:spacing w:line="360" w:lineRule="auto"/>
        <w:ind w:firstLine="420" w:firstLineChars="200"/>
        <w:rPr>
          <w:rFonts w:ascii="宋体" w:hAnsi="宋体"/>
          <w:szCs w:val="21"/>
        </w:rPr>
      </w:pPr>
      <w:r>
        <w:rPr>
          <w:rFonts w:hint="eastAsia" w:ascii="宋体" w:hAnsi="宋体"/>
          <w:szCs w:val="21"/>
        </w:rPr>
        <w:t>(6)“卖方”系提供货物和服务的中标人。</w:t>
      </w:r>
    </w:p>
    <w:p>
      <w:pPr>
        <w:spacing w:line="360" w:lineRule="auto"/>
        <w:ind w:firstLine="420" w:firstLineChars="200"/>
        <w:rPr>
          <w:rFonts w:ascii="宋体" w:hAnsi="宋体"/>
          <w:szCs w:val="21"/>
        </w:rPr>
      </w:pPr>
      <w:r>
        <w:rPr>
          <w:rFonts w:hint="eastAsia" w:ascii="宋体" w:hAnsi="宋体"/>
          <w:szCs w:val="21"/>
        </w:rPr>
        <w:t>(7)“见证方” 系指江苏苏咨工程咨询有限责任公司。</w:t>
      </w:r>
    </w:p>
    <w:p>
      <w:pPr>
        <w:spacing w:line="360" w:lineRule="auto"/>
        <w:ind w:firstLine="422" w:firstLineChars="200"/>
        <w:rPr>
          <w:rFonts w:ascii="宋体" w:hAnsi="宋体"/>
          <w:szCs w:val="21"/>
        </w:rPr>
      </w:pPr>
      <w:r>
        <w:rPr>
          <w:rFonts w:hint="eastAsia" w:ascii="宋体" w:hAnsi="宋体"/>
          <w:b/>
          <w:szCs w:val="21"/>
        </w:rPr>
        <w:t>1.2技术规格</w:t>
      </w:r>
    </w:p>
    <w:p>
      <w:pPr>
        <w:spacing w:line="360" w:lineRule="auto"/>
        <w:ind w:firstLine="420" w:firstLineChars="200"/>
        <w:rPr>
          <w:rFonts w:ascii="宋体" w:hAnsi="宋体"/>
          <w:szCs w:val="21"/>
        </w:rPr>
      </w:pPr>
      <w:r>
        <w:rPr>
          <w:rFonts w:hint="eastAsia" w:ascii="宋体" w:hAnsi="宋体"/>
          <w:szCs w:val="21"/>
        </w:rPr>
        <w:t>卖方所提供货物的技术规格应与招标文件规定的技术规格相一致。</w:t>
      </w:r>
    </w:p>
    <w:p>
      <w:pPr>
        <w:spacing w:line="360" w:lineRule="auto"/>
        <w:ind w:firstLine="422" w:firstLineChars="200"/>
        <w:rPr>
          <w:rFonts w:ascii="宋体" w:hAnsi="宋体"/>
          <w:szCs w:val="21"/>
        </w:rPr>
      </w:pPr>
      <w:r>
        <w:rPr>
          <w:rFonts w:hint="eastAsia" w:ascii="宋体" w:hAnsi="宋体"/>
          <w:b/>
          <w:bCs/>
          <w:szCs w:val="21"/>
        </w:rPr>
        <w:t>1.3专利权</w:t>
      </w:r>
    </w:p>
    <w:p>
      <w:pPr>
        <w:spacing w:line="360" w:lineRule="auto"/>
        <w:ind w:firstLine="420" w:firstLineChars="200"/>
        <w:rPr>
          <w:rFonts w:ascii="宋体" w:hAnsi="宋体"/>
          <w:szCs w:val="21"/>
        </w:rPr>
      </w:pPr>
      <w:r>
        <w:rPr>
          <w:rFonts w:hint="eastAsia" w:ascii="宋体" w:hAnsi="宋体"/>
          <w:szCs w:val="21"/>
        </w:rPr>
        <w:t>卖方应保证买方在使用该货物或其任何一部分时不受第三方提出侵犯其专利权、商标权和工业设计权的起诉。一旦出现专利侵权，卖方应负全部责任。</w:t>
      </w:r>
    </w:p>
    <w:p>
      <w:pPr>
        <w:spacing w:line="360" w:lineRule="auto"/>
        <w:ind w:firstLine="422" w:firstLineChars="200"/>
        <w:rPr>
          <w:rFonts w:ascii="宋体" w:hAnsi="宋体"/>
          <w:szCs w:val="21"/>
        </w:rPr>
      </w:pPr>
      <w:r>
        <w:rPr>
          <w:rFonts w:hint="eastAsia" w:ascii="宋体" w:hAnsi="宋体"/>
          <w:b/>
          <w:bCs/>
          <w:szCs w:val="21"/>
        </w:rPr>
        <w:t>1.4包装要求</w:t>
      </w:r>
    </w:p>
    <w:p>
      <w:pPr>
        <w:spacing w:line="360" w:lineRule="auto"/>
        <w:ind w:firstLine="420" w:firstLineChars="200"/>
        <w:rPr>
          <w:rFonts w:ascii="宋体" w:hAnsi="宋体"/>
          <w:szCs w:val="21"/>
        </w:rPr>
      </w:pPr>
      <w:r>
        <w:rPr>
          <w:rFonts w:hint="eastAsia" w:ascii="宋体" w:hAnsi="宋体"/>
          <w:szCs w:val="21"/>
        </w:rPr>
        <w:t>1.4.1除合同另有规定外，卖方提供的全部货物均应按标准保护措施进行包装。该包装应适应于远距离运输、防潮、防震、防锈和防野蛮装卸，以确保货物安全无损运抵制定现场。由于包装不善所引起的货物锈蚀、损坏和损失均由卖方承担。</w:t>
      </w:r>
    </w:p>
    <w:p>
      <w:pPr>
        <w:spacing w:line="360" w:lineRule="auto"/>
        <w:ind w:firstLine="420" w:firstLineChars="200"/>
        <w:rPr>
          <w:rFonts w:ascii="宋体" w:hAnsi="宋体"/>
          <w:szCs w:val="21"/>
        </w:rPr>
      </w:pPr>
      <w:r>
        <w:rPr>
          <w:rFonts w:hint="eastAsia" w:ascii="宋体" w:hAnsi="宋体"/>
          <w:szCs w:val="21"/>
        </w:rPr>
        <w:t>1.4.2每件包装箱内应附一份详细装箱单和质量合格标识。</w:t>
      </w:r>
    </w:p>
    <w:p>
      <w:pPr>
        <w:spacing w:line="360" w:lineRule="auto"/>
        <w:ind w:firstLine="422" w:firstLineChars="200"/>
        <w:rPr>
          <w:rFonts w:ascii="宋体" w:hAnsi="宋体"/>
          <w:szCs w:val="21"/>
        </w:rPr>
      </w:pPr>
      <w:r>
        <w:rPr>
          <w:rFonts w:hint="eastAsia" w:ascii="宋体" w:hAnsi="宋体"/>
          <w:b/>
          <w:bCs/>
          <w:szCs w:val="21"/>
        </w:rPr>
        <w:t>1.5生产和装运条件</w:t>
      </w:r>
    </w:p>
    <w:p>
      <w:pPr>
        <w:spacing w:line="360" w:lineRule="auto"/>
        <w:ind w:firstLine="420" w:firstLineChars="200"/>
        <w:rPr>
          <w:rFonts w:ascii="宋体" w:hAnsi="宋体"/>
          <w:szCs w:val="21"/>
        </w:rPr>
      </w:pPr>
      <w:r>
        <w:rPr>
          <w:rFonts w:hint="eastAsia" w:ascii="宋体" w:hAnsi="宋体"/>
          <w:szCs w:val="21"/>
        </w:rPr>
        <w:t>1.5.1卖方在材料准备、加工、设备运输前均应得到买方书面指示，买方有权在卖方取得中标通知书后和加工前，对设备技术要求、数量、外形进行调整，双方协商解决，卖方不得以任何理由拒绝执行；数量调整时单价不变，总价按数量进行调整；技术要求、外形调整时按投标书中相同或相近标准价格进行调整，没有相同和相近的由买方和卖方商议确定。</w:t>
      </w:r>
    </w:p>
    <w:p>
      <w:pPr>
        <w:spacing w:line="360" w:lineRule="auto"/>
        <w:ind w:firstLine="420" w:firstLineChars="200"/>
        <w:rPr>
          <w:rFonts w:ascii="宋体" w:hAnsi="宋体"/>
          <w:szCs w:val="21"/>
        </w:rPr>
      </w:pPr>
      <w:r>
        <w:rPr>
          <w:rFonts w:hint="eastAsia" w:ascii="宋体" w:hAnsi="宋体"/>
          <w:szCs w:val="21"/>
        </w:rPr>
        <w:t>1.5.2根据买方通知的时间和指定的地点，卖方负责安排运输、装卸、清点、堆放，买方在货到十（10）天内负责验收，设备验收合格前的保管工作由卖方负责，由此而产生的一切费用由卖方承担，卖方不得以任何理由向买方提出费用追加。</w:t>
      </w:r>
    </w:p>
    <w:p>
      <w:pPr>
        <w:spacing w:line="360" w:lineRule="auto"/>
        <w:ind w:firstLine="420" w:firstLineChars="200"/>
        <w:rPr>
          <w:rFonts w:ascii="宋体" w:hAnsi="宋体"/>
          <w:szCs w:val="21"/>
        </w:rPr>
      </w:pPr>
      <w:r>
        <w:rPr>
          <w:rFonts w:hint="eastAsia" w:ascii="宋体" w:hAnsi="宋体"/>
          <w:szCs w:val="21"/>
        </w:rPr>
        <w:t>1.5.3 货物和服务交付使用，并提供所需单据的日期视为交货日期。</w:t>
      </w:r>
    </w:p>
    <w:p>
      <w:pPr>
        <w:spacing w:line="360" w:lineRule="auto"/>
        <w:ind w:firstLine="422" w:firstLineChars="200"/>
        <w:rPr>
          <w:rFonts w:ascii="宋体" w:hAnsi="宋体"/>
          <w:szCs w:val="21"/>
        </w:rPr>
      </w:pPr>
      <w:r>
        <w:rPr>
          <w:rFonts w:hint="eastAsia" w:ascii="宋体" w:hAnsi="宋体"/>
          <w:b/>
          <w:bCs/>
          <w:szCs w:val="21"/>
        </w:rPr>
        <w:t>1.6付款</w:t>
      </w:r>
    </w:p>
    <w:p>
      <w:pPr>
        <w:spacing w:line="360" w:lineRule="auto"/>
        <w:ind w:firstLine="420" w:firstLineChars="200"/>
        <w:rPr>
          <w:rFonts w:ascii="宋体" w:hAnsi="宋体"/>
          <w:szCs w:val="21"/>
        </w:rPr>
      </w:pPr>
      <w:r>
        <w:rPr>
          <w:rFonts w:hint="eastAsia" w:ascii="宋体" w:hAnsi="宋体"/>
          <w:szCs w:val="21"/>
        </w:rPr>
        <w:t>1.6.1本合同以人民币付款。</w:t>
      </w:r>
    </w:p>
    <w:p>
      <w:pPr>
        <w:spacing w:line="360" w:lineRule="auto"/>
        <w:ind w:firstLine="420" w:firstLineChars="200"/>
        <w:rPr>
          <w:rFonts w:ascii="宋体" w:hAnsi="宋体"/>
          <w:szCs w:val="21"/>
        </w:rPr>
      </w:pPr>
      <w:r>
        <w:rPr>
          <w:rFonts w:hint="eastAsia" w:ascii="宋体" w:hAnsi="宋体"/>
          <w:szCs w:val="21"/>
        </w:rPr>
        <w:t>1.6.2卖方应按照与买方签订的合同规定交货。交货后卖方应向买方提供下列单据：</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1 \* GB3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bCs/>
          <w:szCs w:val="21"/>
        </w:rPr>
        <w:t xml:space="preserve"> 发票</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2 \* GB3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bCs/>
          <w:szCs w:val="21"/>
        </w:rPr>
        <w:t xml:space="preserve"> 合同副本</w:t>
      </w:r>
      <w:r>
        <w:rPr>
          <w:rFonts w:hint="eastAsia" w:ascii="宋体" w:hAnsi="宋体"/>
          <w:szCs w:val="21"/>
        </w:rPr>
        <w:t>；</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 xml:space="preserve"> 说明书、装箱单（内附出厂合格证明）；</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 xml:space="preserve"> 验收合格证书。</w:t>
      </w:r>
    </w:p>
    <w:p>
      <w:pPr>
        <w:spacing w:line="360" w:lineRule="auto"/>
        <w:ind w:firstLine="420" w:firstLineChars="200"/>
        <w:rPr>
          <w:rFonts w:ascii="宋体" w:hAnsi="宋体"/>
          <w:szCs w:val="21"/>
        </w:rPr>
      </w:pPr>
      <w:r>
        <w:rPr>
          <w:rFonts w:hint="eastAsia" w:ascii="宋体" w:hAnsi="宋体"/>
          <w:szCs w:val="21"/>
        </w:rPr>
        <w:t>1.6.3付款方式：</w:t>
      </w:r>
    </w:p>
    <w:p>
      <w:pPr>
        <w:adjustRightInd w:val="0"/>
        <w:snapToGrid w:val="0"/>
        <w:spacing w:line="360" w:lineRule="auto"/>
        <w:ind w:firstLine="600" w:firstLineChars="250"/>
        <w:rPr>
          <w:rFonts w:ascii="宋体" w:hAnsi="宋体"/>
          <w:sz w:val="24"/>
        </w:rPr>
      </w:pPr>
      <w:r>
        <w:rPr>
          <w:rFonts w:hint="eastAsia" w:ascii="宋体" w:hAnsi="宋体"/>
          <w:sz w:val="24"/>
        </w:rPr>
        <w:t>付款应按下列条件进行：</w:t>
      </w:r>
    </w:p>
    <w:p>
      <w:pPr>
        <w:adjustRightInd w:val="0"/>
        <w:snapToGrid w:val="0"/>
        <w:spacing w:line="360" w:lineRule="auto"/>
        <w:ind w:firstLine="525" w:firstLineChars="250"/>
        <w:rPr>
          <w:rFonts w:ascii="宋体" w:hAnsi="宋体"/>
          <w:color w:val="000000" w:themeColor="text1"/>
          <w:szCs w:val="21"/>
        </w:rPr>
      </w:pPr>
      <w:r>
        <w:rPr>
          <w:rFonts w:hint="eastAsia" w:ascii="宋体" w:hAnsi="宋体"/>
          <w:color w:val="000000" w:themeColor="text1"/>
          <w:szCs w:val="21"/>
        </w:rPr>
        <w:t>1、本项目发包采用NPC模式，即设计、采购、安装、调试、验收。合同价款采用总价包干模式，即在能效技术改造规模无重大改变（大于10%）情况下，合同总价不予调整。</w:t>
      </w:r>
    </w:p>
    <w:p>
      <w:pPr>
        <w:spacing w:line="360" w:lineRule="auto"/>
        <w:ind w:firstLine="420" w:firstLineChars="200"/>
        <w:rPr>
          <w:rFonts w:ascii="宋体" w:hAnsi="宋体"/>
          <w:color w:val="000000" w:themeColor="text1"/>
          <w:szCs w:val="21"/>
        </w:rPr>
      </w:pPr>
      <w:r>
        <w:rPr>
          <w:rFonts w:hint="eastAsia" w:ascii="宋体" w:hAnsi="宋体"/>
          <w:color w:val="000000" w:themeColor="text1"/>
          <w:szCs w:val="21"/>
        </w:rPr>
        <w:t>2、费用支付方法：签订合同后，甲方支付合同总价的35%；施工结束验收合格无质量问题，决算经审计后，甲方付至审定总价的97%。质保期满后甲方付清余款。</w:t>
      </w:r>
    </w:p>
    <w:p>
      <w:pPr>
        <w:spacing w:line="360" w:lineRule="auto"/>
        <w:ind w:firstLine="422" w:firstLineChars="200"/>
        <w:rPr>
          <w:rFonts w:ascii="宋体" w:hAnsi="宋体"/>
          <w:b/>
          <w:bCs/>
          <w:szCs w:val="21"/>
        </w:rPr>
      </w:pPr>
      <w:r>
        <w:rPr>
          <w:rFonts w:hint="eastAsia" w:ascii="宋体" w:hAnsi="宋体"/>
          <w:b/>
          <w:bCs/>
          <w:szCs w:val="21"/>
        </w:rPr>
        <w:t>1.7伴随服务</w:t>
      </w:r>
    </w:p>
    <w:p>
      <w:pPr>
        <w:spacing w:line="360" w:lineRule="auto"/>
        <w:ind w:firstLine="420" w:firstLineChars="200"/>
        <w:rPr>
          <w:rFonts w:ascii="宋体" w:hAnsi="宋体"/>
          <w:szCs w:val="21"/>
        </w:rPr>
      </w:pPr>
      <w:r>
        <w:rPr>
          <w:rFonts w:hint="eastAsia" w:ascii="宋体" w:hAnsi="宋体"/>
          <w:szCs w:val="21"/>
        </w:rPr>
        <w:t>1.7.1卖方应按照国家有关规定和合同中所附的服务承诺提供服务。</w:t>
      </w:r>
    </w:p>
    <w:p>
      <w:pPr>
        <w:spacing w:line="360" w:lineRule="auto"/>
        <w:ind w:firstLine="420" w:firstLineChars="200"/>
        <w:rPr>
          <w:rFonts w:ascii="宋体" w:hAnsi="宋体"/>
          <w:szCs w:val="21"/>
        </w:rPr>
      </w:pPr>
      <w:r>
        <w:rPr>
          <w:rFonts w:hint="eastAsia" w:ascii="宋体" w:hAnsi="宋体"/>
          <w:szCs w:val="21"/>
        </w:rPr>
        <w:t>1.7.2除第1.7.1条规定外，卖方还应提供下列服务：</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1 \* GB3 </w:instrText>
      </w:r>
      <w:r>
        <w:rPr>
          <w:rFonts w:hint="eastAsia" w:ascii="宋体" w:hAnsi="宋体"/>
          <w:szCs w:val="21"/>
        </w:rPr>
        <w:fldChar w:fldCharType="separate"/>
      </w:r>
      <w:r>
        <w:rPr>
          <w:rFonts w:hint="eastAsia" w:ascii="宋体" w:hAnsi="宋体"/>
          <w:szCs w:val="21"/>
        </w:rPr>
        <w:t>①</w:t>
      </w:r>
      <w:r>
        <w:rPr>
          <w:rFonts w:hint="eastAsia" w:ascii="宋体" w:hAnsi="宋体"/>
          <w:szCs w:val="21"/>
        </w:rPr>
        <w:fldChar w:fldCharType="end"/>
      </w:r>
      <w:r>
        <w:rPr>
          <w:rFonts w:hint="eastAsia" w:ascii="宋体" w:hAnsi="宋体"/>
          <w:szCs w:val="21"/>
        </w:rPr>
        <w:t>货物的现场安装和启动监督；</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2 \* GB3 </w:instrText>
      </w:r>
      <w:r>
        <w:rPr>
          <w:rFonts w:hint="eastAsia" w:ascii="宋体" w:hAnsi="宋体"/>
          <w:szCs w:val="21"/>
        </w:rPr>
        <w:fldChar w:fldCharType="separate"/>
      </w:r>
      <w:r>
        <w:rPr>
          <w:rFonts w:hint="eastAsia" w:ascii="宋体" w:hAnsi="宋体"/>
          <w:szCs w:val="21"/>
        </w:rPr>
        <w:t>②</w:t>
      </w:r>
      <w:r>
        <w:rPr>
          <w:rFonts w:hint="eastAsia" w:ascii="宋体" w:hAnsi="宋体"/>
          <w:szCs w:val="21"/>
        </w:rPr>
        <w:fldChar w:fldCharType="end"/>
      </w:r>
      <w:r>
        <w:rPr>
          <w:rFonts w:hint="eastAsia" w:ascii="宋体" w:hAnsi="宋体"/>
          <w:szCs w:val="21"/>
        </w:rPr>
        <w:t>提供货物组装和维修所需的工具；</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3 \* GB3 </w:instrText>
      </w:r>
      <w:r>
        <w:rPr>
          <w:rFonts w:hint="eastAsia" w:ascii="宋体" w:hAnsi="宋体"/>
          <w:szCs w:val="21"/>
        </w:rPr>
        <w:fldChar w:fldCharType="separate"/>
      </w:r>
      <w:r>
        <w:rPr>
          <w:rFonts w:hint="eastAsia" w:ascii="宋体" w:hAnsi="宋体"/>
          <w:szCs w:val="21"/>
        </w:rPr>
        <w:t>③</w:t>
      </w:r>
      <w:r>
        <w:rPr>
          <w:rFonts w:hint="eastAsia" w:ascii="宋体" w:hAnsi="宋体"/>
          <w:szCs w:val="21"/>
        </w:rPr>
        <w:fldChar w:fldCharType="end"/>
      </w:r>
      <w:r>
        <w:rPr>
          <w:rFonts w:hint="eastAsia" w:ascii="宋体" w:hAnsi="宋体"/>
          <w:szCs w:val="21"/>
        </w:rPr>
        <w:t>在合同中卖方承诺的期限内对所提供货物实施运行监督、维修，但前提条件是该服务并不能免除卖方在质量保证期内应承担的义务；</w:t>
      </w:r>
    </w:p>
    <w:p>
      <w:pPr>
        <w:spacing w:line="360" w:lineRule="auto"/>
        <w:ind w:firstLine="420" w:firstLineChars="200"/>
        <w:rPr>
          <w:rFonts w:ascii="宋体" w:hAnsi="宋体"/>
          <w:szCs w:val="21"/>
        </w:rPr>
      </w:pPr>
      <w:r>
        <w:rPr>
          <w:rFonts w:hint="eastAsia" w:ascii="宋体" w:hAnsi="宋体"/>
          <w:szCs w:val="21"/>
        </w:rPr>
        <w:fldChar w:fldCharType="begin"/>
      </w:r>
      <w:r>
        <w:rPr>
          <w:rFonts w:hint="eastAsia" w:ascii="宋体" w:hAnsi="宋体"/>
          <w:szCs w:val="21"/>
        </w:rPr>
        <w:instrText xml:space="preserve"> = 4 \* GB3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在项目交货现场就货物的安装、启动、运行、维护对买方人员进行培训。</w:t>
      </w:r>
    </w:p>
    <w:p>
      <w:pPr>
        <w:spacing w:line="360" w:lineRule="auto"/>
        <w:ind w:firstLine="420"/>
        <w:rPr>
          <w:rFonts w:ascii="宋体" w:hAnsi="宋体"/>
          <w:szCs w:val="21"/>
        </w:rPr>
      </w:pPr>
      <w:r>
        <w:rPr>
          <w:rFonts w:hint="eastAsia" w:ascii="宋体" w:hAnsi="宋体"/>
          <w:szCs w:val="21"/>
        </w:rPr>
        <w:t>1.7.3伴随服务的费用应含在合同价中，不单独进行支付。</w:t>
      </w:r>
    </w:p>
    <w:p>
      <w:pPr>
        <w:spacing w:line="360" w:lineRule="auto"/>
        <w:ind w:firstLine="420"/>
        <w:rPr>
          <w:rFonts w:ascii="宋体" w:hAnsi="宋体"/>
          <w:b/>
          <w:szCs w:val="21"/>
        </w:rPr>
      </w:pPr>
      <w:r>
        <w:rPr>
          <w:rFonts w:hint="eastAsia" w:ascii="宋体" w:hAnsi="宋体"/>
          <w:b/>
          <w:szCs w:val="21"/>
        </w:rPr>
        <w:t>1.8质量保证</w:t>
      </w:r>
    </w:p>
    <w:p>
      <w:pPr>
        <w:spacing w:line="360" w:lineRule="auto"/>
        <w:ind w:firstLine="420" w:firstLineChars="200"/>
        <w:rPr>
          <w:rFonts w:ascii="宋体" w:hAnsi="宋体"/>
          <w:szCs w:val="21"/>
        </w:rPr>
      </w:pPr>
      <w:r>
        <w:rPr>
          <w:rFonts w:hint="eastAsia" w:ascii="宋体" w:hAnsi="宋体"/>
          <w:szCs w:val="21"/>
        </w:rPr>
        <w:t>1.8.1投标人所提供货物必须符合国家标准。</w:t>
      </w:r>
    </w:p>
    <w:p>
      <w:pPr>
        <w:spacing w:line="360" w:lineRule="auto"/>
        <w:ind w:firstLine="420" w:firstLineChars="200"/>
        <w:rPr>
          <w:rFonts w:ascii="宋体" w:hAnsi="宋体"/>
          <w:szCs w:val="21"/>
        </w:rPr>
      </w:pPr>
      <w:r>
        <w:rPr>
          <w:rFonts w:hint="eastAsia" w:ascii="宋体" w:hAnsi="宋体"/>
          <w:szCs w:val="21"/>
        </w:rPr>
        <w:t>1.8.2卖方应保证货物是全新、未使用过的，是用一流的工艺和最佳材料制造的原装合格正品，并完全符合合同规定的质量、规格和性能的要求。卖方应保证其货物在正确安装、正常使用和保养条件下，在其使用寿命期内应具有满意的性能。货物最终验收后，在质量保证期内，卖方应对由于设计、工艺或材料的缺陷而发生的任何不足或故障负责，费用由卖方负担。</w:t>
      </w:r>
    </w:p>
    <w:p>
      <w:pPr>
        <w:spacing w:line="360" w:lineRule="auto"/>
        <w:ind w:firstLine="420" w:firstLineChars="200"/>
        <w:rPr>
          <w:rFonts w:ascii="宋体" w:hAnsi="宋体"/>
          <w:szCs w:val="21"/>
        </w:rPr>
      </w:pPr>
      <w:r>
        <w:rPr>
          <w:rFonts w:hint="eastAsia" w:ascii="宋体" w:hAnsi="宋体"/>
          <w:szCs w:val="21"/>
        </w:rPr>
        <w:t>1.8.3根据当地质检部门检验结果或者在质量保证期内，如果货物的数量、质量或规格与合同不符，或不是原装合格正品，或证明货物是有缺陷的，包括潜在的缺陷或使用不符合要求的材料等，买方以书面形式向卖方提出本保证下的索赔。</w:t>
      </w:r>
    </w:p>
    <w:p>
      <w:pPr>
        <w:spacing w:line="360" w:lineRule="auto"/>
        <w:ind w:firstLine="420" w:firstLineChars="200"/>
        <w:rPr>
          <w:rFonts w:ascii="宋体" w:hAnsi="宋体"/>
          <w:szCs w:val="21"/>
        </w:rPr>
      </w:pPr>
      <w:r>
        <w:rPr>
          <w:rFonts w:hint="eastAsia" w:ascii="宋体" w:hAnsi="宋体"/>
          <w:szCs w:val="21"/>
        </w:rPr>
        <w:t>1.8.4卖方在收到通知后，应在合同中所附服务承诺约定的时间内免费维修、更换有缺陷的货物或部件。</w:t>
      </w:r>
    </w:p>
    <w:p>
      <w:pPr>
        <w:spacing w:line="360" w:lineRule="auto"/>
        <w:ind w:firstLine="420" w:firstLineChars="200"/>
        <w:rPr>
          <w:rFonts w:ascii="宋体" w:hAnsi="宋体"/>
          <w:b/>
          <w:bCs/>
          <w:szCs w:val="21"/>
        </w:rPr>
      </w:pPr>
      <w:r>
        <w:rPr>
          <w:rFonts w:hint="eastAsia" w:ascii="宋体" w:hAnsi="宋体"/>
          <w:szCs w:val="21"/>
        </w:rPr>
        <w:t>1.8.5如果卖方在收到通知后，在合同中所附服务承诺约定的时间内没有弥补缺陷，买方可采取必要的补救措施，但风险和费用将由卖方承担，或直至解除合同并可以要求卖方赔偿给买方造成的全部损失。</w:t>
      </w:r>
    </w:p>
    <w:p>
      <w:pPr>
        <w:spacing w:line="360" w:lineRule="auto"/>
        <w:ind w:firstLine="422" w:firstLineChars="200"/>
        <w:rPr>
          <w:rFonts w:ascii="宋体" w:hAnsi="宋体"/>
          <w:b/>
          <w:bCs/>
          <w:szCs w:val="21"/>
        </w:rPr>
      </w:pPr>
      <w:r>
        <w:rPr>
          <w:rFonts w:hint="eastAsia" w:ascii="宋体" w:hAnsi="宋体"/>
          <w:b/>
          <w:bCs/>
          <w:szCs w:val="21"/>
        </w:rPr>
        <w:t>1.9检验</w:t>
      </w:r>
    </w:p>
    <w:p>
      <w:pPr>
        <w:spacing w:line="360" w:lineRule="auto"/>
        <w:ind w:firstLine="420" w:firstLineChars="200"/>
        <w:rPr>
          <w:rFonts w:ascii="宋体" w:hAnsi="宋体"/>
          <w:szCs w:val="21"/>
        </w:rPr>
      </w:pPr>
      <w:r>
        <w:rPr>
          <w:rFonts w:ascii="宋体" w:hAnsi="宋体"/>
          <w:szCs w:val="21"/>
        </w:rPr>
        <w:t>1.9.1在发货前，卖方应对货物的质量、规格、性能、数量和重量等进行准确而全面的检验，并出具一份证明货物符合合同规定的</w:t>
      </w:r>
      <w:r>
        <w:rPr>
          <w:rFonts w:hint="eastAsia" w:ascii="宋体" w:hAnsi="宋体"/>
          <w:szCs w:val="21"/>
        </w:rPr>
        <w:t>检测</w:t>
      </w:r>
      <w:r>
        <w:rPr>
          <w:rFonts w:ascii="宋体" w:hAnsi="宋体"/>
          <w:szCs w:val="21"/>
        </w:rPr>
        <w:t>报告</w:t>
      </w:r>
      <w:r>
        <w:rPr>
          <w:rFonts w:hint="eastAsia" w:ascii="宋体" w:hAnsi="宋体"/>
          <w:szCs w:val="21"/>
        </w:rPr>
        <w:t>。该报告将作为提交付款单据的一部分，但有关质量、规格、性能、数量或重量的检验不应视为最终检验。卖方检验的结果和细节应附在检验证书后面。</w:t>
      </w:r>
    </w:p>
    <w:p>
      <w:pPr>
        <w:spacing w:line="360" w:lineRule="auto"/>
        <w:ind w:firstLine="420" w:firstLineChars="200"/>
        <w:rPr>
          <w:rFonts w:ascii="宋体" w:hAnsi="宋体"/>
          <w:szCs w:val="21"/>
        </w:rPr>
      </w:pPr>
      <w:r>
        <w:rPr>
          <w:rFonts w:hint="eastAsia" w:ascii="宋体" w:hAnsi="宋体"/>
          <w:szCs w:val="21"/>
        </w:rPr>
        <w:t>1.9.2买方将在卖方交货后十（10）天内双方共同组织验收，如果货物的质量和规格与合同规定不符，或在质量保证期内发现货物是有缺陷的，包括潜在缺陷或使用不符合要求的材料，买方应报请当地质检部门进行检查，并有权凭其出具的检验报告向卖方提出索赔。</w:t>
      </w:r>
    </w:p>
    <w:p>
      <w:pPr>
        <w:spacing w:line="360" w:lineRule="auto"/>
        <w:ind w:firstLine="422" w:firstLineChars="200"/>
        <w:rPr>
          <w:rFonts w:ascii="宋体" w:hAnsi="宋体"/>
          <w:szCs w:val="21"/>
        </w:rPr>
      </w:pPr>
      <w:r>
        <w:rPr>
          <w:rFonts w:hint="eastAsia" w:ascii="宋体" w:hAnsi="宋体"/>
          <w:b/>
          <w:bCs/>
          <w:szCs w:val="21"/>
        </w:rPr>
        <w:t>1.10索赔</w:t>
      </w:r>
    </w:p>
    <w:p>
      <w:pPr>
        <w:spacing w:line="360" w:lineRule="auto"/>
        <w:ind w:firstLine="420" w:firstLineChars="200"/>
        <w:rPr>
          <w:rFonts w:ascii="宋体" w:hAnsi="宋体"/>
          <w:szCs w:val="21"/>
        </w:rPr>
      </w:pPr>
      <w:r>
        <w:rPr>
          <w:rFonts w:hint="eastAsia" w:ascii="宋体" w:hAnsi="宋体"/>
          <w:szCs w:val="21"/>
        </w:rPr>
        <w:t>1.10.1 买方有权根据当地质检部门出具的检验报告，向卖方提出索赔。</w:t>
      </w:r>
    </w:p>
    <w:p>
      <w:pPr>
        <w:spacing w:line="360" w:lineRule="auto"/>
        <w:ind w:firstLine="420" w:firstLineChars="200"/>
        <w:rPr>
          <w:rFonts w:ascii="宋体" w:hAnsi="宋体"/>
          <w:szCs w:val="21"/>
        </w:rPr>
      </w:pPr>
      <w:r>
        <w:rPr>
          <w:rFonts w:hint="eastAsia" w:ascii="宋体" w:hAnsi="宋体"/>
          <w:szCs w:val="21"/>
        </w:rPr>
        <w:t>1.10.2根据合同规定的检验期和质量保证期内，如果卖方对买方提出的索赔和差异负有责任，卖方应按照买方同意的下列一种或多种方式解决索赔事宜：</w:t>
      </w:r>
    </w:p>
    <w:p>
      <w:pPr>
        <w:spacing w:line="360" w:lineRule="auto"/>
        <w:ind w:firstLine="420" w:firstLineChars="200"/>
        <w:rPr>
          <w:rFonts w:ascii="宋体" w:hAnsi="宋体"/>
          <w:szCs w:val="21"/>
        </w:rPr>
      </w:pPr>
      <w:r>
        <w:rPr>
          <w:rFonts w:hint="eastAsia" w:ascii="宋体" w:hAnsi="宋体"/>
          <w:szCs w:val="21"/>
        </w:rPr>
        <w:t>(1)卖方同意退货，并用合同中规定的货币将货款退还给买方，并承担由此发生的一切损失和费用，包括利息、银行手续费、运费、保险费、检验费、仓储费、装卸费以及为保护退回货物所需的其它必要费用。</w:t>
      </w:r>
    </w:p>
    <w:p>
      <w:pPr>
        <w:spacing w:line="360" w:lineRule="auto"/>
        <w:ind w:firstLine="420" w:firstLineChars="200"/>
        <w:rPr>
          <w:rFonts w:ascii="宋体" w:hAnsi="宋体"/>
          <w:szCs w:val="21"/>
        </w:rPr>
      </w:pPr>
      <w:r>
        <w:rPr>
          <w:rFonts w:hint="eastAsia" w:ascii="宋体" w:hAnsi="宋体"/>
          <w:szCs w:val="21"/>
        </w:rPr>
        <w:t>(2)根据货物的低劣程度、损坏程度以及买方所遭受损失的数额，卖方必须降低货物的价格。</w:t>
      </w:r>
    </w:p>
    <w:p>
      <w:pPr>
        <w:spacing w:line="360" w:lineRule="auto"/>
        <w:ind w:firstLine="420" w:firstLineChars="200"/>
        <w:rPr>
          <w:rFonts w:ascii="宋体" w:hAnsi="宋体"/>
          <w:szCs w:val="21"/>
        </w:rPr>
      </w:pPr>
      <w:r>
        <w:rPr>
          <w:rFonts w:hint="eastAsia" w:ascii="宋体" w:hAnsi="宋体"/>
          <w:szCs w:val="21"/>
        </w:rPr>
        <w:t>(3)用符合合同规定的规格、质量和性能要求的新零件、部件或设备来更换有缺陷的部分，卖方应承担一切费用和风险并负担买方所蒙受的全部直接损失费用。同时，卖方应按合同规定，对更换件相应延长质量保证期。</w:t>
      </w:r>
    </w:p>
    <w:p>
      <w:pPr>
        <w:spacing w:line="360" w:lineRule="auto"/>
        <w:ind w:firstLine="420" w:firstLineChars="200"/>
        <w:rPr>
          <w:rFonts w:ascii="宋体" w:hAnsi="宋体"/>
          <w:szCs w:val="21"/>
        </w:rPr>
      </w:pPr>
      <w:r>
        <w:rPr>
          <w:rFonts w:hint="eastAsia" w:ascii="宋体" w:hAnsi="宋体"/>
          <w:szCs w:val="21"/>
        </w:rPr>
        <w:t>1.10.4如果在买方发出索赔通知后20 天内，卖方未作答复，上述索赔应视为已被卖方接受，如卖方未能在买方提出索赔通知后20天内或买方同意的更长时间内，按照本合同规定的任何一种方法解决索赔事宜，买方将从卖方开具的履约保证金中扣回索赔金额，或采用法律手段解决索赔事宜。</w:t>
      </w:r>
    </w:p>
    <w:p>
      <w:pPr>
        <w:spacing w:line="360" w:lineRule="auto"/>
        <w:ind w:firstLine="422" w:firstLineChars="200"/>
        <w:rPr>
          <w:rFonts w:ascii="宋体" w:hAnsi="宋体"/>
          <w:szCs w:val="21"/>
        </w:rPr>
      </w:pPr>
      <w:r>
        <w:rPr>
          <w:rFonts w:hint="eastAsia" w:ascii="宋体" w:hAnsi="宋体"/>
          <w:b/>
          <w:bCs/>
          <w:szCs w:val="21"/>
        </w:rPr>
        <w:t>1.11卖方迟交货</w:t>
      </w:r>
    </w:p>
    <w:p>
      <w:pPr>
        <w:spacing w:line="360" w:lineRule="auto"/>
        <w:ind w:firstLine="420" w:firstLineChars="200"/>
        <w:rPr>
          <w:rFonts w:ascii="宋体" w:hAnsi="宋体"/>
          <w:szCs w:val="21"/>
        </w:rPr>
      </w:pPr>
      <w:r>
        <w:rPr>
          <w:rFonts w:hint="eastAsia" w:ascii="宋体" w:hAnsi="宋体"/>
          <w:szCs w:val="21"/>
        </w:rPr>
        <w:t>1.11.1卖方应按照承诺的交货期交货，并交付买方验收使用。如果卖方无正当理由拖延交货，将受到以下制裁：没收履约保证金，加收误期赔偿和/或终止合同。</w:t>
      </w:r>
    </w:p>
    <w:p>
      <w:pPr>
        <w:spacing w:line="360" w:lineRule="auto"/>
        <w:ind w:firstLine="420" w:firstLineChars="200"/>
        <w:rPr>
          <w:rFonts w:ascii="宋体" w:hAnsi="宋体"/>
          <w:szCs w:val="21"/>
        </w:rPr>
      </w:pPr>
      <w:r>
        <w:rPr>
          <w:rFonts w:hint="eastAsia" w:ascii="宋体" w:hAnsi="宋体"/>
          <w:szCs w:val="21"/>
        </w:rPr>
        <w:t>1.11.2 在履行合同过程中，如果卖方遇到不能按时交货和提供服务的情况，应及时以书面形式将不能按时交货的理由、可能延误的时间同时通知买方和见证方。买方、见证方在收到卖方通知后，应对情况进行分析，决定是否修改合同、酌情延长交货时间或终止合同；同时保留按第11.1条规定对卖方进行制裁的权力。</w:t>
      </w:r>
    </w:p>
    <w:p>
      <w:pPr>
        <w:spacing w:line="360" w:lineRule="auto"/>
        <w:ind w:firstLine="422" w:firstLineChars="200"/>
        <w:rPr>
          <w:rFonts w:ascii="宋体" w:hAnsi="宋体"/>
          <w:szCs w:val="21"/>
        </w:rPr>
      </w:pPr>
      <w:r>
        <w:rPr>
          <w:rFonts w:hint="eastAsia" w:ascii="宋体" w:hAnsi="宋体"/>
          <w:b/>
          <w:bCs/>
          <w:szCs w:val="21"/>
        </w:rPr>
        <w:t>1.12误期赔偿</w:t>
      </w:r>
    </w:p>
    <w:p>
      <w:pPr>
        <w:spacing w:line="360" w:lineRule="auto"/>
        <w:ind w:firstLine="420" w:firstLineChars="200"/>
        <w:rPr>
          <w:rFonts w:ascii="宋体" w:hAnsi="宋体"/>
          <w:szCs w:val="21"/>
        </w:rPr>
      </w:pPr>
      <w:r>
        <w:rPr>
          <w:rFonts w:hint="eastAsia" w:ascii="宋体" w:hAnsi="宋体"/>
          <w:szCs w:val="21"/>
        </w:rPr>
        <w:t>除合同条款第13条规定外，如果卖方没有按照合同规定的时间交货和提供服务，买方将从货款中扣除误期赔偿费而不影响合同项下的其他补救方法，赔偿费按每天迟交货物交货价或未提供服务费用的0.5%计收，直至交货或提供服务为止。但误期赔偿费的最高限额为误期货物或服务合同价的5%。一旦达到误期赔偿的最高限额，买方可考虑终止合同。</w:t>
      </w:r>
    </w:p>
    <w:p>
      <w:pPr>
        <w:spacing w:line="360" w:lineRule="auto"/>
        <w:ind w:firstLine="422" w:firstLineChars="200"/>
        <w:rPr>
          <w:rFonts w:ascii="宋体" w:hAnsi="宋体"/>
          <w:szCs w:val="21"/>
        </w:rPr>
      </w:pPr>
      <w:r>
        <w:rPr>
          <w:rFonts w:hint="eastAsia" w:ascii="宋体" w:hAnsi="宋体"/>
          <w:b/>
          <w:bCs/>
          <w:szCs w:val="21"/>
        </w:rPr>
        <w:t>1.13不可抗力</w:t>
      </w:r>
    </w:p>
    <w:p>
      <w:pPr>
        <w:spacing w:line="360" w:lineRule="auto"/>
        <w:ind w:firstLine="420" w:firstLineChars="200"/>
        <w:rPr>
          <w:rFonts w:ascii="宋体" w:hAnsi="宋体"/>
          <w:szCs w:val="21"/>
        </w:rPr>
      </w:pPr>
      <w:r>
        <w:rPr>
          <w:rFonts w:hint="eastAsia" w:ascii="宋体" w:hAnsi="宋体"/>
          <w:szCs w:val="21"/>
        </w:rPr>
        <w:t>1.13.1 尽管有合同条款第11条、12条和17条的规定，如果卖方因不可抗力而导致合同实施延误或不能履行合同义务的话，不应该被没收履约保证金，也不应该承担误期赔偿或终止合同的责任。</w:t>
      </w:r>
    </w:p>
    <w:p>
      <w:pPr>
        <w:spacing w:line="360" w:lineRule="auto"/>
        <w:ind w:firstLine="420" w:firstLineChars="200"/>
        <w:rPr>
          <w:rFonts w:ascii="宋体" w:hAnsi="宋体"/>
          <w:szCs w:val="21"/>
        </w:rPr>
      </w:pPr>
      <w:r>
        <w:rPr>
          <w:rFonts w:hint="eastAsia" w:ascii="宋体" w:hAnsi="宋体"/>
          <w:szCs w:val="21"/>
        </w:rPr>
        <w:t>1.13.2本条所述的“不可抗力”系指那些卖方无法控制、不可预见的事件，但不包括卖方的违约或疏忽。这些事件包括：战争、严重火灾、洪水、台风、地震以及其它买方、见证方和卖方商定的事件。</w:t>
      </w:r>
    </w:p>
    <w:p>
      <w:pPr>
        <w:spacing w:line="360" w:lineRule="auto"/>
        <w:ind w:firstLine="420" w:firstLineChars="200"/>
        <w:rPr>
          <w:rFonts w:ascii="宋体" w:hAnsi="宋体"/>
          <w:szCs w:val="21"/>
        </w:rPr>
      </w:pPr>
      <w:r>
        <w:rPr>
          <w:rFonts w:hint="eastAsia" w:ascii="宋体" w:hAnsi="宋体"/>
          <w:szCs w:val="21"/>
        </w:rPr>
        <w:t>1.13.3在不可抗力事件发生后，卖方应尽快以书面形式将不可抗力的情况和原因通知买方和见证方。除买方书面另行要求外，卖方应尽实际可能继续履行合同义务，以及寻求采取合理的方案履行不受不可抗力影响的其他事项。如果不可抗力事件影响时间持续120天以上时，买方卖方应通过友好协商在合理的时间内达成进一步履行合同的协议。</w:t>
      </w:r>
    </w:p>
    <w:p>
      <w:pPr>
        <w:spacing w:line="360" w:lineRule="auto"/>
        <w:ind w:firstLine="422" w:firstLineChars="200"/>
        <w:rPr>
          <w:rFonts w:ascii="宋体" w:hAnsi="宋体"/>
          <w:szCs w:val="21"/>
        </w:rPr>
      </w:pPr>
      <w:r>
        <w:rPr>
          <w:rFonts w:hint="eastAsia" w:ascii="宋体" w:hAnsi="宋体"/>
          <w:b/>
          <w:bCs/>
          <w:szCs w:val="21"/>
        </w:rPr>
        <w:t>1.14税费</w:t>
      </w:r>
    </w:p>
    <w:p>
      <w:pPr>
        <w:spacing w:line="360" w:lineRule="auto"/>
        <w:ind w:firstLine="420" w:firstLineChars="200"/>
        <w:rPr>
          <w:rFonts w:ascii="宋体" w:hAnsi="宋体"/>
          <w:szCs w:val="21"/>
        </w:rPr>
      </w:pPr>
      <w:r>
        <w:rPr>
          <w:rFonts w:hint="eastAsia" w:ascii="宋体" w:hAnsi="宋体"/>
          <w:szCs w:val="21"/>
        </w:rPr>
        <w:t>1.14.1中国政府根据现行税法规定对买方征收的、与本合同有关的一切税费，均由买方负担，招标文件另有规定的除外。</w:t>
      </w:r>
    </w:p>
    <w:p>
      <w:pPr>
        <w:spacing w:line="360" w:lineRule="auto"/>
        <w:ind w:firstLine="420" w:firstLineChars="200"/>
        <w:rPr>
          <w:rFonts w:ascii="宋体" w:hAnsi="宋体"/>
          <w:szCs w:val="21"/>
        </w:rPr>
      </w:pPr>
      <w:r>
        <w:rPr>
          <w:rFonts w:hint="eastAsia" w:ascii="宋体" w:hAnsi="宋体"/>
          <w:szCs w:val="21"/>
        </w:rPr>
        <w:t>1.14.2 中国政府根据现行税法规定对卖方征收的、与本合同有关的一切税费，均由卖方负担，招标文件另有规定的除外。</w:t>
      </w:r>
    </w:p>
    <w:p>
      <w:pPr>
        <w:spacing w:line="360" w:lineRule="auto"/>
        <w:ind w:firstLine="422" w:firstLineChars="200"/>
        <w:rPr>
          <w:rFonts w:ascii="宋体" w:hAnsi="宋体"/>
          <w:szCs w:val="21"/>
        </w:rPr>
      </w:pPr>
      <w:r>
        <w:rPr>
          <w:rFonts w:ascii="宋体" w:hAnsi="宋体"/>
          <w:b/>
          <w:bCs/>
          <w:szCs w:val="21"/>
        </w:rPr>
        <w:t>1.15履约保证金</w:t>
      </w:r>
    </w:p>
    <w:p>
      <w:pPr>
        <w:spacing w:line="360" w:lineRule="auto"/>
        <w:ind w:firstLine="420" w:firstLineChars="200"/>
        <w:rPr>
          <w:rFonts w:ascii="宋体" w:hAnsi="宋体"/>
          <w:szCs w:val="21"/>
        </w:rPr>
      </w:pPr>
      <w:r>
        <w:rPr>
          <w:rFonts w:ascii="宋体" w:hAnsi="宋体"/>
          <w:szCs w:val="21"/>
        </w:rPr>
        <w:t>1.15.1在收到《中标通知书》后</w:t>
      </w:r>
      <w:r>
        <w:rPr>
          <w:rFonts w:hint="eastAsia" w:ascii="宋体" w:hAnsi="宋体"/>
          <w:szCs w:val="21"/>
        </w:rPr>
        <w:t>，合同签订前</w:t>
      </w:r>
      <w:r>
        <w:rPr>
          <w:rFonts w:ascii="宋体" w:hAnsi="宋体"/>
          <w:szCs w:val="21"/>
        </w:rPr>
        <w:t>，卖方</w:t>
      </w:r>
      <w:r>
        <w:rPr>
          <w:rFonts w:hint="eastAsia" w:ascii="宋体" w:hAnsi="宋体"/>
          <w:szCs w:val="21"/>
        </w:rPr>
        <w:t>应提交合同额的</w:t>
      </w:r>
      <w:r>
        <w:rPr>
          <w:rFonts w:ascii="宋体" w:hAnsi="宋体"/>
          <w:szCs w:val="21"/>
        </w:rPr>
        <w:t>10%</w:t>
      </w:r>
      <w:r>
        <w:rPr>
          <w:rFonts w:hint="eastAsia" w:ascii="宋体" w:hAnsi="宋体"/>
          <w:szCs w:val="21"/>
        </w:rPr>
        <w:t>履约保证金。</w:t>
      </w:r>
    </w:p>
    <w:p>
      <w:pPr>
        <w:spacing w:line="360" w:lineRule="auto"/>
        <w:ind w:firstLine="420" w:firstLineChars="200"/>
        <w:rPr>
          <w:rFonts w:ascii="宋体" w:hAnsi="宋体"/>
          <w:szCs w:val="21"/>
        </w:rPr>
      </w:pPr>
      <w:r>
        <w:rPr>
          <w:rFonts w:ascii="宋体" w:hAnsi="宋体"/>
          <w:szCs w:val="21"/>
        </w:rPr>
        <w:t xml:space="preserve">1.15.2 </w:t>
      </w:r>
      <w:r>
        <w:rPr>
          <w:rFonts w:hint="eastAsia" w:ascii="宋体" w:hAnsi="宋体"/>
          <w:szCs w:val="21"/>
        </w:rPr>
        <w:t>如卖方未能履行合同规定的义务，买方有权从履约保证金中取得补偿。</w:t>
      </w:r>
    </w:p>
    <w:p>
      <w:pPr>
        <w:spacing w:line="360" w:lineRule="auto"/>
        <w:ind w:firstLine="422" w:firstLineChars="200"/>
        <w:rPr>
          <w:rFonts w:ascii="宋体" w:hAnsi="宋体"/>
          <w:szCs w:val="21"/>
        </w:rPr>
      </w:pPr>
      <w:r>
        <w:rPr>
          <w:rFonts w:ascii="宋体" w:hAnsi="宋体"/>
          <w:b/>
          <w:bCs/>
          <w:szCs w:val="21"/>
        </w:rPr>
        <w:t>1.16</w:t>
      </w:r>
      <w:r>
        <w:rPr>
          <w:rFonts w:hint="eastAsia" w:ascii="宋体" w:hAnsi="宋体"/>
          <w:b/>
          <w:bCs/>
          <w:szCs w:val="21"/>
        </w:rPr>
        <w:t>仲裁</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6</w:t>
      </w:r>
      <w:r>
        <w:rPr>
          <w:rFonts w:hint="eastAsia" w:ascii="宋体" w:hAnsi="宋体"/>
          <w:szCs w:val="21"/>
        </w:rPr>
        <w:t>.1 在执行本合同中所发生的或与本合同有关的一切争端，买方和卖方应通过友好协商的办法进行解决。如从协商开始30天内仍不能解决，应将争端提交有关省、市政府或行业主管部门寻求可能解决的办法。如果提交有关省、市政府或行业主管部门后30天内仍得不到解决，则应申请仲裁。</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6</w:t>
      </w:r>
      <w:r>
        <w:rPr>
          <w:rFonts w:hint="eastAsia" w:ascii="宋体" w:hAnsi="宋体"/>
          <w:szCs w:val="21"/>
        </w:rPr>
        <w:t>.2 仲裁应根据《中华人民共和国仲裁法》的规定向南京仲裁委员会申请仲裁。</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6</w:t>
      </w:r>
      <w:r>
        <w:rPr>
          <w:rFonts w:hint="eastAsia" w:ascii="宋体" w:hAnsi="宋体"/>
          <w:szCs w:val="21"/>
        </w:rPr>
        <w:t>.3 仲裁裁决为最终裁决，对买方和卖方均有约束力。</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6</w:t>
      </w:r>
      <w:r>
        <w:rPr>
          <w:rFonts w:hint="eastAsia" w:ascii="宋体" w:hAnsi="宋体"/>
          <w:szCs w:val="21"/>
        </w:rPr>
        <w:t>.4 在仲裁期间，本合同应继续执行。</w:t>
      </w:r>
    </w:p>
    <w:p>
      <w:pPr>
        <w:spacing w:line="360" w:lineRule="auto"/>
        <w:ind w:firstLine="422" w:firstLineChars="200"/>
        <w:rPr>
          <w:rFonts w:ascii="宋体" w:hAnsi="宋体"/>
          <w:szCs w:val="21"/>
        </w:rPr>
      </w:pPr>
      <w:r>
        <w:rPr>
          <w:rFonts w:hint="eastAsia" w:ascii="宋体" w:hAnsi="宋体"/>
          <w:b/>
          <w:bCs/>
          <w:szCs w:val="21"/>
        </w:rPr>
        <w:t>1.1</w:t>
      </w:r>
      <w:r>
        <w:rPr>
          <w:rFonts w:ascii="宋体" w:hAnsi="宋体"/>
          <w:b/>
          <w:bCs/>
          <w:szCs w:val="21"/>
        </w:rPr>
        <w:t>7</w:t>
      </w:r>
      <w:r>
        <w:rPr>
          <w:rFonts w:hint="eastAsia" w:ascii="宋体" w:hAnsi="宋体"/>
          <w:b/>
          <w:bCs/>
          <w:szCs w:val="21"/>
        </w:rPr>
        <w:t>违约终止合同</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7</w:t>
      </w:r>
      <w:r>
        <w:rPr>
          <w:rFonts w:hint="eastAsia" w:ascii="宋体" w:hAnsi="宋体"/>
          <w:szCs w:val="21"/>
        </w:rPr>
        <w:t>.1 在买方对卖方违约而采取的任何补救措施不受影响的情况下，买方可向卖方发出终止部分或全部合同的书面通知书。</w:t>
      </w:r>
    </w:p>
    <w:p>
      <w:pPr>
        <w:spacing w:line="360" w:lineRule="auto"/>
        <w:ind w:firstLine="420" w:firstLineChars="200"/>
        <w:rPr>
          <w:rFonts w:ascii="宋体" w:hAnsi="宋体"/>
          <w:szCs w:val="21"/>
        </w:rPr>
      </w:pPr>
      <w:r>
        <w:rPr>
          <w:rFonts w:hint="eastAsia" w:ascii="宋体" w:hAnsi="宋体"/>
          <w:szCs w:val="21"/>
        </w:rPr>
        <w:t>(1)如果卖方未能按合同规定的期限或买方同意延长的限期内提供部分或全部货物或服务；</w:t>
      </w:r>
    </w:p>
    <w:p>
      <w:pPr>
        <w:spacing w:line="360" w:lineRule="auto"/>
        <w:ind w:firstLine="420" w:firstLineChars="200"/>
        <w:rPr>
          <w:rFonts w:ascii="宋体" w:hAnsi="宋体"/>
          <w:szCs w:val="21"/>
        </w:rPr>
      </w:pPr>
      <w:r>
        <w:rPr>
          <w:rFonts w:hint="eastAsia" w:ascii="宋体" w:hAnsi="宋体"/>
          <w:szCs w:val="21"/>
        </w:rPr>
        <w:t>(2) 卖方在收到买方发出的违约通知或索赔通知后20天内，或经买方书面认可延长的时间内未能纠正其过失或赔偿损失;</w:t>
      </w:r>
    </w:p>
    <w:p>
      <w:pPr>
        <w:spacing w:line="360" w:lineRule="auto"/>
        <w:ind w:firstLine="420" w:firstLineChars="200"/>
        <w:rPr>
          <w:rFonts w:ascii="宋体" w:hAnsi="宋体"/>
          <w:szCs w:val="21"/>
        </w:rPr>
      </w:pPr>
      <w:r>
        <w:rPr>
          <w:rFonts w:hint="eastAsia" w:ascii="宋体" w:hAnsi="宋体"/>
          <w:szCs w:val="21"/>
        </w:rPr>
        <w:t>(3)如果卖方未能履行合同规定的其他义务。</w:t>
      </w:r>
    </w:p>
    <w:p>
      <w:pPr>
        <w:spacing w:line="360" w:lineRule="auto"/>
        <w:ind w:firstLine="420" w:firstLineChars="200"/>
        <w:rPr>
          <w:rFonts w:ascii="宋体" w:hAnsi="宋体"/>
          <w:szCs w:val="21"/>
        </w:rPr>
      </w:pPr>
      <w:r>
        <w:rPr>
          <w:rFonts w:hint="eastAsia" w:ascii="宋体" w:hAnsi="宋体"/>
          <w:szCs w:val="21"/>
        </w:rPr>
        <w:t>1.1</w:t>
      </w:r>
      <w:r>
        <w:rPr>
          <w:rFonts w:ascii="宋体" w:hAnsi="宋体"/>
          <w:szCs w:val="21"/>
        </w:rPr>
        <w:t>7</w:t>
      </w:r>
      <w:r>
        <w:rPr>
          <w:rFonts w:hint="eastAsia" w:ascii="宋体" w:hAnsi="宋体"/>
          <w:szCs w:val="21"/>
        </w:rPr>
        <w:t>.2在买方根据上述第17.1条或本合同其他规定，终止了全部或部分合同后，买方可以依其认为适当的条件和方法购买与未交货物类似的货物，卖方应对买方购买类似货物所超出的那部分费用负责，并继续执行合同中未终止的部分，同时赔偿给买方造成的损失。</w:t>
      </w:r>
    </w:p>
    <w:p>
      <w:pPr>
        <w:spacing w:line="360" w:lineRule="auto"/>
        <w:ind w:firstLine="422" w:firstLineChars="200"/>
        <w:rPr>
          <w:rFonts w:ascii="宋体" w:hAnsi="宋体"/>
          <w:szCs w:val="21"/>
        </w:rPr>
      </w:pPr>
      <w:r>
        <w:rPr>
          <w:rFonts w:hint="eastAsia" w:ascii="宋体" w:hAnsi="宋体"/>
          <w:b/>
          <w:bCs/>
          <w:szCs w:val="21"/>
        </w:rPr>
        <w:t>1.1</w:t>
      </w:r>
      <w:r>
        <w:rPr>
          <w:rFonts w:ascii="宋体" w:hAnsi="宋体"/>
          <w:b/>
          <w:bCs/>
          <w:szCs w:val="21"/>
        </w:rPr>
        <w:t>8</w:t>
      </w:r>
      <w:r>
        <w:rPr>
          <w:rFonts w:hint="eastAsia" w:ascii="宋体" w:hAnsi="宋体"/>
          <w:b/>
          <w:bCs/>
          <w:szCs w:val="21"/>
        </w:rPr>
        <w:t>破产中止合同</w:t>
      </w:r>
    </w:p>
    <w:p>
      <w:pPr>
        <w:spacing w:line="360" w:lineRule="auto"/>
        <w:ind w:firstLine="420" w:firstLineChars="200"/>
        <w:rPr>
          <w:rFonts w:ascii="宋体" w:hAnsi="宋体"/>
          <w:szCs w:val="21"/>
        </w:rPr>
      </w:pPr>
      <w:r>
        <w:rPr>
          <w:rFonts w:hint="eastAsia" w:ascii="宋体" w:hAnsi="宋体"/>
          <w:szCs w:val="21"/>
        </w:rPr>
        <w:t>如果卖方破产或无清偿能力，买方可在任何时候以书面形式通知卖方中止合同而不给卖方补偿。该中止合同将不损害或影响买方已经采取或将要采取的任何行动或补救措施的权力。</w:t>
      </w:r>
    </w:p>
    <w:p>
      <w:pPr>
        <w:spacing w:line="360" w:lineRule="auto"/>
        <w:ind w:firstLine="422" w:firstLineChars="200"/>
        <w:rPr>
          <w:rFonts w:ascii="宋体" w:hAnsi="宋体"/>
          <w:szCs w:val="21"/>
        </w:rPr>
      </w:pPr>
      <w:r>
        <w:rPr>
          <w:rFonts w:hint="eastAsia" w:ascii="宋体" w:hAnsi="宋体"/>
          <w:b/>
          <w:bCs/>
          <w:szCs w:val="21"/>
        </w:rPr>
        <w:t>1.1</w:t>
      </w:r>
      <w:r>
        <w:rPr>
          <w:rFonts w:ascii="宋体" w:hAnsi="宋体"/>
          <w:b/>
          <w:bCs/>
          <w:szCs w:val="21"/>
        </w:rPr>
        <w:t>9</w:t>
      </w:r>
      <w:r>
        <w:rPr>
          <w:rFonts w:hint="eastAsia" w:ascii="宋体" w:hAnsi="宋体"/>
          <w:b/>
          <w:bCs/>
          <w:szCs w:val="21"/>
        </w:rPr>
        <w:t>转让</w:t>
      </w:r>
    </w:p>
    <w:p>
      <w:pPr>
        <w:spacing w:line="360" w:lineRule="auto"/>
        <w:ind w:firstLine="420" w:firstLineChars="200"/>
        <w:rPr>
          <w:rFonts w:ascii="宋体" w:hAnsi="宋体"/>
          <w:szCs w:val="21"/>
        </w:rPr>
      </w:pPr>
      <w:r>
        <w:rPr>
          <w:rFonts w:hint="eastAsia" w:ascii="宋体" w:hAnsi="宋体"/>
          <w:szCs w:val="21"/>
        </w:rPr>
        <w:t>除买方和见证方事先书面同意外，卖方不得部分转让或全部转让其应履行的合同义务。</w:t>
      </w:r>
      <w:r>
        <w:rPr>
          <w:rFonts w:hint="eastAsia" w:ascii="宋体" w:hAnsi="宋体"/>
          <w:szCs w:val="21"/>
        </w:rPr>
        <w:tab/>
      </w:r>
      <w:r>
        <w:rPr>
          <w:rFonts w:hint="eastAsia" w:ascii="宋体" w:hAnsi="宋体"/>
          <w:b/>
          <w:bCs/>
          <w:szCs w:val="21"/>
        </w:rPr>
        <w:t>1.</w:t>
      </w:r>
      <w:r>
        <w:rPr>
          <w:rFonts w:ascii="宋体" w:hAnsi="宋体"/>
          <w:b/>
          <w:bCs/>
          <w:szCs w:val="21"/>
        </w:rPr>
        <w:t>20</w:t>
      </w:r>
      <w:r>
        <w:rPr>
          <w:rFonts w:hint="eastAsia" w:ascii="宋体" w:hAnsi="宋体"/>
          <w:b/>
          <w:bCs/>
          <w:szCs w:val="21"/>
        </w:rPr>
        <w:t>合同生效及其它</w:t>
      </w:r>
    </w:p>
    <w:p>
      <w:pPr>
        <w:spacing w:line="360" w:lineRule="auto"/>
        <w:ind w:firstLine="420" w:firstLineChars="200"/>
        <w:rPr>
          <w:rFonts w:ascii="宋体" w:hAnsi="宋体"/>
          <w:szCs w:val="21"/>
        </w:rPr>
      </w:pPr>
      <w:r>
        <w:rPr>
          <w:rFonts w:hint="eastAsia" w:ascii="宋体" w:hAnsi="宋体"/>
          <w:szCs w:val="21"/>
        </w:rPr>
        <w:t>1.</w:t>
      </w:r>
      <w:r>
        <w:rPr>
          <w:rFonts w:ascii="宋体" w:hAnsi="宋体"/>
          <w:szCs w:val="21"/>
        </w:rPr>
        <w:t>20</w:t>
      </w:r>
      <w:r>
        <w:rPr>
          <w:rFonts w:hint="eastAsia" w:ascii="宋体" w:hAnsi="宋体"/>
          <w:szCs w:val="21"/>
        </w:rPr>
        <w:t>.1合同应由买方、卖方、见证方签字。</w:t>
      </w:r>
    </w:p>
    <w:p>
      <w:pPr>
        <w:spacing w:line="360" w:lineRule="auto"/>
        <w:ind w:firstLine="420" w:firstLineChars="200"/>
        <w:rPr>
          <w:rFonts w:ascii="宋体" w:hAnsi="宋体"/>
          <w:szCs w:val="21"/>
        </w:rPr>
      </w:pPr>
      <w:r>
        <w:rPr>
          <w:rFonts w:hint="eastAsia" w:ascii="宋体" w:hAnsi="宋体"/>
          <w:szCs w:val="21"/>
        </w:rPr>
        <w:t>1.</w:t>
      </w:r>
      <w:r>
        <w:rPr>
          <w:rFonts w:ascii="宋体" w:hAnsi="宋体"/>
          <w:szCs w:val="21"/>
        </w:rPr>
        <w:t>20</w:t>
      </w:r>
      <w:r>
        <w:rPr>
          <w:rFonts w:hint="eastAsia" w:ascii="宋体" w:hAnsi="宋体"/>
          <w:szCs w:val="21"/>
        </w:rPr>
        <w:t>.2合同一式四份，以中文书写,</w:t>
      </w:r>
      <w:r>
        <w:rPr>
          <w:rFonts w:hint="eastAsia" w:hAnsi="宋体"/>
          <w:color w:val="000000"/>
          <w:szCs w:val="21"/>
          <w:lang w:val="zh-CN"/>
        </w:rPr>
        <w:t>甲方、乙方各执一份，见证方执两份。</w:t>
      </w:r>
    </w:p>
    <w:p>
      <w:pPr>
        <w:spacing w:line="360" w:lineRule="auto"/>
        <w:ind w:firstLine="420" w:firstLineChars="200"/>
        <w:rPr>
          <w:rFonts w:ascii="宋体" w:hAnsi="宋体"/>
          <w:szCs w:val="21"/>
        </w:rPr>
      </w:pPr>
      <w:r>
        <w:rPr>
          <w:rFonts w:hint="eastAsia" w:ascii="宋体" w:hAnsi="宋体"/>
          <w:szCs w:val="21"/>
        </w:rPr>
        <w:t>1.</w:t>
      </w:r>
      <w:r>
        <w:rPr>
          <w:rFonts w:ascii="宋体" w:hAnsi="宋体"/>
          <w:szCs w:val="21"/>
        </w:rPr>
        <w:t>20</w:t>
      </w:r>
      <w:r>
        <w:rPr>
          <w:rFonts w:hint="eastAsia" w:ascii="宋体" w:hAnsi="宋体"/>
          <w:szCs w:val="21"/>
        </w:rPr>
        <w:t>.3 如需修改或补充合同内容，应经买方、卖方、见证方协商，签署书面修改或补充协议。该协议将作为本合同不可分割的一部分。</w:t>
      </w:r>
    </w:p>
    <w:p>
      <w:pPr>
        <w:spacing w:line="360" w:lineRule="auto"/>
        <w:ind w:firstLine="420" w:firstLineChars="200"/>
        <w:jc w:val="left"/>
        <w:rPr>
          <w:rFonts w:ascii="宋体" w:hAnsi="宋体"/>
          <w:szCs w:val="21"/>
        </w:rPr>
      </w:pPr>
      <w:r>
        <w:rPr>
          <w:rFonts w:hint="eastAsia" w:ascii="宋体" w:hAnsi="宋体"/>
          <w:szCs w:val="21"/>
        </w:rPr>
        <w:t>1.</w:t>
      </w:r>
      <w:r>
        <w:rPr>
          <w:rFonts w:ascii="宋体" w:hAnsi="宋体"/>
          <w:szCs w:val="21"/>
        </w:rPr>
        <w:t>20</w:t>
      </w:r>
      <w:r>
        <w:rPr>
          <w:rFonts w:hint="eastAsia" w:ascii="宋体" w:hAnsi="宋体"/>
          <w:szCs w:val="21"/>
        </w:rPr>
        <w:t>.4本合同应按照中华人民共和国的现行法律进行解释。</w:t>
      </w:r>
    </w:p>
    <w:p>
      <w:pPr>
        <w:spacing w:line="360" w:lineRule="auto"/>
      </w:pPr>
    </w:p>
    <w:p>
      <w:pPr>
        <w:pStyle w:val="502"/>
        <w:rPr>
          <w:rFonts w:ascii="仿宋" w:hAnsi="仿宋" w:eastAsia="仿宋"/>
          <w:szCs w:val="28"/>
        </w:rPr>
      </w:pPr>
    </w:p>
    <w:p>
      <w:pPr>
        <w:tabs>
          <w:tab w:val="left" w:pos="1701"/>
        </w:tabs>
        <w:rPr>
          <w:rFonts w:ascii="仿宋" w:hAnsi="仿宋" w:eastAsia="仿宋"/>
          <w:sz w:val="28"/>
          <w:szCs w:val="28"/>
        </w:rPr>
        <w:sectPr>
          <w:footerReference r:id="rId5" w:type="first"/>
          <w:footerReference r:id="rId3" w:type="default"/>
          <w:footerReference r:id="rId4" w:type="even"/>
          <w:pgSz w:w="11906" w:h="16838"/>
          <w:pgMar w:top="1440" w:right="1800" w:bottom="1440" w:left="1800" w:header="851" w:footer="992" w:gutter="0"/>
          <w:pgNumType w:start="0"/>
          <w:cols w:space="720" w:num="1"/>
          <w:titlePg/>
          <w:docGrid w:type="lines" w:linePitch="312" w:charSpace="0"/>
        </w:sectPr>
      </w:pPr>
    </w:p>
    <w:p>
      <w:pPr>
        <w:autoSpaceDE w:val="0"/>
        <w:autoSpaceDN w:val="0"/>
        <w:adjustRightInd w:val="0"/>
        <w:spacing w:line="360" w:lineRule="auto"/>
        <w:jc w:val="center"/>
        <w:outlineLvl w:val="0"/>
        <w:rPr>
          <w:rFonts w:ascii="宋体" w:hAnsi="宋体"/>
          <w:b/>
          <w:bCs/>
          <w:sz w:val="44"/>
          <w:szCs w:val="44"/>
          <w:lang w:val="zh-CN"/>
        </w:rPr>
      </w:pPr>
      <w:r>
        <w:rPr>
          <w:rFonts w:ascii="宋体" w:hAnsi="宋体"/>
          <w:b/>
          <w:bCs/>
          <w:sz w:val="44"/>
          <w:szCs w:val="44"/>
          <w:lang w:val="zh-CN"/>
        </w:rPr>
        <w:t xml:space="preserve">第六章  </w:t>
      </w:r>
      <w:r>
        <w:rPr>
          <w:rFonts w:hint="eastAsia"/>
          <w:b/>
          <w:bCs/>
          <w:sz w:val="44"/>
          <w:szCs w:val="44"/>
          <w:lang w:val="zh-CN"/>
        </w:rPr>
        <w:t>投标文件格式</w:t>
      </w:r>
    </w:p>
    <w:p>
      <w:pPr>
        <w:jc w:val="center"/>
        <w:rPr>
          <w:rFonts w:ascii="宋体" w:hAnsi="宋体"/>
          <w:b/>
          <w:sz w:val="30"/>
          <w:szCs w:val="30"/>
        </w:rPr>
      </w:pPr>
      <w:r>
        <w:rPr>
          <w:rFonts w:hint="eastAsia" w:ascii="宋体" w:hAnsi="宋体"/>
          <w:b/>
          <w:sz w:val="30"/>
          <w:szCs w:val="30"/>
        </w:rPr>
        <w:t>评分索引表</w:t>
      </w:r>
    </w:p>
    <w:tbl>
      <w:tblPr>
        <w:tblStyle w:val="87"/>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0"/>
        <w:gridCol w:w="3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jc w:val="center"/>
        </w:trPr>
        <w:tc>
          <w:tcPr>
            <w:tcW w:w="5670" w:type="dxa"/>
          </w:tcPr>
          <w:p>
            <w:pPr>
              <w:pStyle w:val="294"/>
              <w:shd w:val="clear" w:color="auto" w:fill="FFFFFF"/>
              <w:spacing w:line="265" w:lineRule="atLeast"/>
              <w:ind w:left="420" w:firstLine="422"/>
              <w:jc w:val="center"/>
              <w:rPr>
                <w:rFonts w:ascii="宋体" w:hAnsi="宋体"/>
                <w:b/>
                <w:bCs/>
              </w:rPr>
            </w:pPr>
            <w:r>
              <w:rPr>
                <w:rFonts w:hint="eastAsia" w:ascii="宋体" w:hAnsi="宋体"/>
                <w:b/>
              </w:rPr>
              <w:t>评分项目</w:t>
            </w:r>
          </w:p>
        </w:tc>
        <w:tc>
          <w:tcPr>
            <w:tcW w:w="3570" w:type="dxa"/>
          </w:tcPr>
          <w:p>
            <w:pPr>
              <w:jc w:val="center"/>
              <w:rPr>
                <w:rFonts w:ascii="宋体" w:hAnsi="宋体"/>
                <w:b/>
              </w:rPr>
            </w:pPr>
            <w:r>
              <w:rPr>
                <w:rFonts w:hint="eastAsia" w:ascii="宋体" w:hAnsi="宋体"/>
                <w:b/>
                <w:kern w:val="0"/>
                <w:sz w:val="24"/>
                <w:lang w:bidi="en-US"/>
              </w:rPr>
              <w:t>在投标文件中的页码位置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6" w:hRule="atLeast"/>
          <w:jc w:val="center"/>
        </w:trPr>
        <w:tc>
          <w:tcPr>
            <w:tcW w:w="5670" w:type="dxa"/>
          </w:tcPr>
          <w:p>
            <w:pPr>
              <w:pStyle w:val="294"/>
              <w:shd w:val="clear" w:color="auto" w:fill="FFFFFF"/>
              <w:spacing w:line="265" w:lineRule="atLeast"/>
              <w:ind w:left="420" w:firstLine="422"/>
              <w:rPr>
                <w:rFonts w:ascii="宋体" w:hAnsi="宋体"/>
                <w:b/>
              </w:rPr>
            </w:pPr>
          </w:p>
        </w:tc>
        <w:tc>
          <w:tcPr>
            <w:tcW w:w="3570" w:type="dxa"/>
          </w:tcPr>
          <w:p>
            <w:pPr>
              <w:rPr>
                <w:rFonts w:ascii="宋体" w:hAnsi="宋体"/>
                <w:b/>
                <w:kern w:val="0"/>
                <w:sz w:val="24"/>
                <w:lang w:bidi="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0" w:hRule="atLeast"/>
          <w:jc w:val="center"/>
        </w:trPr>
        <w:tc>
          <w:tcPr>
            <w:tcW w:w="9240" w:type="dxa"/>
            <w:gridSpan w:val="2"/>
          </w:tcPr>
          <w:p>
            <w:pPr>
              <w:pStyle w:val="294"/>
              <w:shd w:val="clear" w:color="auto" w:fill="FFFFFF"/>
              <w:spacing w:line="265" w:lineRule="atLeast"/>
              <w:ind w:left="42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jc w:val="center"/>
        </w:trPr>
        <w:tc>
          <w:tcPr>
            <w:tcW w:w="9240" w:type="dxa"/>
            <w:gridSpan w:val="2"/>
          </w:tcPr>
          <w:p>
            <w:pPr>
              <w:pStyle w:val="294"/>
              <w:shd w:val="clear" w:color="auto" w:fill="FFFFFF"/>
              <w:spacing w:line="265" w:lineRule="atLeast"/>
              <w:ind w:left="420"/>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9"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8"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9"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jc w:val="center"/>
        </w:trPr>
        <w:tc>
          <w:tcPr>
            <w:tcW w:w="9240" w:type="dxa"/>
            <w:gridSpan w:val="2"/>
          </w:tcPr>
          <w:p>
            <w:pPr>
              <w:pStyle w:val="294"/>
              <w:shd w:val="clear" w:color="auto" w:fill="FFFFFF"/>
              <w:spacing w:line="265" w:lineRule="atLeast"/>
              <w:ind w:left="420" w:firstLine="422"/>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jc w:val="center"/>
        </w:trPr>
        <w:tc>
          <w:tcPr>
            <w:tcW w:w="5670" w:type="dxa"/>
          </w:tcPr>
          <w:p>
            <w:pPr>
              <w:pStyle w:val="294"/>
              <w:shd w:val="clear" w:color="auto" w:fill="FFFFFF"/>
              <w:spacing w:line="265" w:lineRule="atLeast"/>
              <w:ind w:left="420" w:firstLine="422"/>
              <w:rPr>
                <w:rFonts w:ascii="宋体" w:hAnsi="宋体"/>
                <w:b/>
                <w:bCs/>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0" w:hRule="atLeast"/>
          <w:jc w:val="center"/>
        </w:trPr>
        <w:tc>
          <w:tcPr>
            <w:tcW w:w="5670" w:type="dxa"/>
          </w:tcPr>
          <w:p>
            <w:pPr>
              <w:pStyle w:val="294"/>
              <w:shd w:val="clear" w:color="auto" w:fill="FFFFFF"/>
              <w:spacing w:line="265" w:lineRule="atLeast"/>
              <w:ind w:left="420"/>
              <w:rPr>
                <w:rFonts w:ascii="宋体" w:hAnsi="宋体"/>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20" w:hRule="atLeast"/>
          <w:jc w:val="center"/>
        </w:trPr>
        <w:tc>
          <w:tcPr>
            <w:tcW w:w="5670" w:type="dxa"/>
          </w:tcPr>
          <w:p>
            <w:pPr>
              <w:pStyle w:val="294"/>
              <w:shd w:val="clear" w:color="auto" w:fill="FFFFFF"/>
              <w:spacing w:line="265" w:lineRule="atLeast"/>
              <w:ind w:left="420" w:firstLine="422"/>
              <w:rPr>
                <w:rFonts w:ascii="宋体" w:hAnsi="宋体"/>
                <w:b/>
                <w:bCs/>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60" w:hRule="atLeast"/>
          <w:jc w:val="center"/>
        </w:trPr>
        <w:tc>
          <w:tcPr>
            <w:tcW w:w="9240" w:type="dxa"/>
            <w:gridSpan w:val="2"/>
          </w:tcPr>
          <w:p>
            <w:pPr>
              <w:pStyle w:val="294"/>
              <w:shd w:val="clear" w:color="auto" w:fill="FFFFFF"/>
              <w:spacing w:line="265" w:lineRule="atLeast"/>
              <w:ind w:left="420" w:firstLine="422"/>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0" w:hRule="atLeast"/>
          <w:jc w:val="center"/>
        </w:trPr>
        <w:tc>
          <w:tcPr>
            <w:tcW w:w="5670" w:type="dxa"/>
          </w:tcPr>
          <w:p>
            <w:pPr>
              <w:pStyle w:val="294"/>
              <w:shd w:val="clear" w:color="auto" w:fill="FFFFFF"/>
              <w:spacing w:line="265" w:lineRule="atLeast"/>
              <w:rPr>
                <w:rFonts w:ascii="宋体" w:hAnsi="宋体"/>
                <w:szCs w:val="21"/>
              </w:rPr>
            </w:pPr>
          </w:p>
        </w:tc>
        <w:tc>
          <w:tcPr>
            <w:tcW w:w="3570" w:type="dxa"/>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5670" w:type="dxa"/>
            <w:tcBorders>
              <w:bottom w:val="single" w:color="auto" w:sz="4" w:space="0"/>
            </w:tcBorders>
          </w:tcPr>
          <w:p>
            <w:pPr>
              <w:pStyle w:val="294"/>
              <w:shd w:val="clear" w:color="auto" w:fill="FFFFFF"/>
              <w:spacing w:line="265" w:lineRule="atLeast"/>
              <w:rPr>
                <w:rFonts w:ascii="宋体" w:hAnsi="宋体"/>
              </w:rPr>
            </w:pPr>
          </w:p>
        </w:tc>
        <w:tc>
          <w:tcPr>
            <w:tcW w:w="3570" w:type="dxa"/>
            <w:tcBorders>
              <w:bottom w:val="single" w:color="auto" w:sz="4" w:space="0"/>
            </w:tcBorders>
          </w:tcPr>
          <w:p>
            <w:pPr>
              <w:rPr>
                <w:rFonts w:ascii="宋体" w:hAnsi="宋体"/>
              </w:rPr>
            </w:pPr>
          </w:p>
        </w:tc>
      </w:tr>
    </w:tbl>
    <w:p>
      <w:pPr>
        <w:rPr>
          <w:rFonts w:ascii="宋体" w:hAnsi="宋体"/>
        </w:rPr>
      </w:pPr>
    </w:p>
    <w:p>
      <w:pPr>
        <w:widowControl/>
        <w:jc w:val="left"/>
        <w:rPr>
          <w:szCs w:val="21"/>
        </w:rPr>
      </w:pPr>
      <w:r>
        <w:rPr>
          <w:szCs w:val="21"/>
        </w:rPr>
        <w:br w:type="page"/>
      </w:r>
    </w:p>
    <w:p>
      <w:pPr>
        <w:spacing w:line="440" w:lineRule="exact"/>
        <w:jc w:val="center"/>
        <w:rPr>
          <w:rFonts w:ascii="宋体" w:hAnsi="宋体"/>
          <w:b/>
          <w:bCs/>
          <w:sz w:val="32"/>
          <w:szCs w:val="32"/>
        </w:rPr>
      </w:pPr>
      <w:r>
        <w:rPr>
          <w:rFonts w:hint="eastAsia" w:ascii="宋体" w:hAnsi="宋体"/>
          <w:b/>
          <w:bCs/>
          <w:sz w:val="32"/>
          <w:szCs w:val="32"/>
        </w:rPr>
        <w:t>投标主要文件目录</w:t>
      </w:r>
    </w:p>
    <w:p>
      <w:pPr>
        <w:spacing w:line="440" w:lineRule="exact"/>
        <w:jc w:val="center"/>
        <w:rPr>
          <w:rFonts w:ascii="宋体" w:hAnsi="宋体"/>
          <w:b/>
          <w:bCs/>
          <w:sz w:val="32"/>
          <w:szCs w:val="32"/>
        </w:rPr>
      </w:pPr>
    </w:p>
    <w:p>
      <w:pPr>
        <w:ind w:firstLine="480" w:firstLineChars="200"/>
        <w:rPr>
          <w:rFonts w:ascii="宋体" w:hAnsi="宋体"/>
          <w:sz w:val="24"/>
        </w:rPr>
      </w:pPr>
      <w:r>
        <w:rPr>
          <w:rFonts w:hint="eastAsia" w:ascii="宋体" w:hAnsi="宋体"/>
          <w:sz w:val="24"/>
        </w:rPr>
        <w:t>一、资格性和符合性检查响应对照表</w:t>
      </w:r>
    </w:p>
    <w:p>
      <w:pPr>
        <w:ind w:firstLine="482" w:firstLineChars="200"/>
        <w:rPr>
          <w:rFonts w:ascii="宋体" w:hAnsi="宋体"/>
          <w:bCs/>
          <w:sz w:val="24"/>
        </w:rPr>
      </w:pPr>
      <w:r>
        <w:rPr>
          <w:rFonts w:hint="eastAsia" w:ascii="宋体" w:hAnsi="宋体"/>
          <w:b/>
          <w:bCs/>
          <w:sz w:val="24"/>
        </w:rPr>
        <w:t>二</w:t>
      </w:r>
      <w:r>
        <w:rPr>
          <w:rFonts w:hint="eastAsia" w:ascii="宋体" w:hAnsi="宋体"/>
          <w:sz w:val="24"/>
        </w:rPr>
        <w:t>、投标函</w:t>
      </w:r>
    </w:p>
    <w:p>
      <w:pPr>
        <w:ind w:firstLine="480" w:firstLineChars="200"/>
        <w:rPr>
          <w:rFonts w:ascii="宋体" w:hAnsi="宋体"/>
          <w:sz w:val="24"/>
        </w:rPr>
      </w:pPr>
      <w:r>
        <w:rPr>
          <w:rFonts w:hint="eastAsia" w:ascii="宋体" w:hAnsi="宋体"/>
          <w:sz w:val="24"/>
        </w:rPr>
        <w:t>三、</w:t>
      </w:r>
      <w:r>
        <w:rPr>
          <w:rFonts w:ascii="宋体" w:hAnsi="宋体"/>
          <w:sz w:val="24"/>
        </w:rPr>
        <w:t>法定代表人身份证明</w:t>
      </w:r>
    </w:p>
    <w:p>
      <w:pPr>
        <w:ind w:firstLine="480" w:firstLineChars="200"/>
        <w:rPr>
          <w:rFonts w:ascii="宋体" w:hAnsi="宋体"/>
          <w:sz w:val="24"/>
        </w:rPr>
      </w:pPr>
      <w:r>
        <w:rPr>
          <w:rFonts w:hint="eastAsia" w:ascii="宋体" w:hAnsi="宋体"/>
          <w:sz w:val="24"/>
        </w:rPr>
        <w:t>四</w:t>
      </w:r>
      <w:r>
        <w:rPr>
          <w:rFonts w:hint="eastAsia" w:ascii="宋体" w:hAnsi="宋体"/>
          <w:b/>
          <w:bCs/>
          <w:sz w:val="24"/>
        </w:rPr>
        <w:t>、</w:t>
      </w:r>
      <w:r>
        <w:rPr>
          <w:rFonts w:ascii="宋体" w:hAnsi="宋体"/>
          <w:sz w:val="24"/>
        </w:rPr>
        <w:t>法定代表人授权委托书</w:t>
      </w:r>
    </w:p>
    <w:p>
      <w:pPr>
        <w:ind w:firstLine="480" w:firstLineChars="200"/>
        <w:rPr>
          <w:rFonts w:ascii="宋体" w:hAnsi="宋体"/>
          <w:sz w:val="24"/>
        </w:rPr>
      </w:pPr>
      <w:r>
        <w:rPr>
          <w:rFonts w:hint="eastAsia" w:ascii="宋体" w:hAnsi="宋体"/>
          <w:sz w:val="24"/>
        </w:rPr>
        <w:t>五、报  价  汇  总  表</w:t>
      </w:r>
    </w:p>
    <w:p>
      <w:pPr>
        <w:ind w:firstLine="480" w:firstLineChars="200"/>
        <w:rPr>
          <w:rFonts w:ascii="宋体" w:hAnsi="宋体"/>
          <w:sz w:val="24"/>
        </w:rPr>
      </w:pPr>
      <w:r>
        <w:rPr>
          <w:rFonts w:hint="eastAsia" w:ascii="宋体" w:hAnsi="宋体"/>
          <w:sz w:val="24"/>
        </w:rPr>
        <w:t>六</w:t>
      </w:r>
      <w:r>
        <w:rPr>
          <w:rFonts w:hint="eastAsia" w:ascii="宋体" w:hAnsi="宋体" w:cs="Courier New"/>
          <w:sz w:val="24"/>
        </w:rPr>
        <w:t>、</w:t>
      </w:r>
      <w:r>
        <w:rPr>
          <w:rFonts w:hint="eastAsia" w:ascii="宋体" w:hAnsi="宋体"/>
          <w:sz w:val="24"/>
        </w:rPr>
        <w:t>技术参数响应及偏离表</w:t>
      </w:r>
    </w:p>
    <w:p>
      <w:pPr>
        <w:ind w:firstLine="480" w:firstLineChars="200"/>
        <w:rPr>
          <w:rFonts w:ascii="宋体" w:hAnsi="宋体"/>
          <w:sz w:val="24"/>
        </w:rPr>
      </w:pPr>
      <w:r>
        <w:rPr>
          <w:rFonts w:hint="eastAsia" w:ascii="宋体" w:hAnsi="宋体"/>
          <w:sz w:val="24"/>
        </w:rPr>
        <w:t>七、商务条款响应及偏离表</w:t>
      </w:r>
    </w:p>
    <w:p>
      <w:pPr>
        <w:ind w:firstLine="480" w:firstLineChars="200"/>
        <w:rPr>
          <w:rFonts w:ascii="宋体" w:hAnsi="宋体"/>
          <w:sz w:val="24"/>
        </w:rPr>
      </w:pPr>
      <w:r>
        <w:rPr>
          <w:rFonts w:hint="eastAsia" w:ascii="宋体" w:hAnsi="宋体"/>
          <w:sz w:val="24"/>
        </w:rPr>
        <w:t>八、技术方案及售后服务方案</w:t>
      </w:r>
    </w:p>
    <w:p>
      <w:pPr>
        <w:spacing w:line="440" w:lineRule="exact"/>
        <w:ind w:firstLine="480" w:firstLineChars="200"/>
        <w:rPr>
          <w:rFonts w:ascii="宋体" w:hAnsi="宋体"/>
          <w:sz w:val="24"/>
        </w:rPr>
      </w:pPr>
      <w:r>
        <w:rPr>
          <w:rFonts w:hint="eastAsia" w:ascii="宋体" w:hAnsi="宋体"/>
          <w:sz w:val="24"/>
        </w:rPr>
        <w:t>九、业绩资料（如有）</w:t>
      </w:r>
    </w:p>
    <w:p>
      <w:pPr>
        <w:widowControl/>
        <w:jc w:val="left"/>
        <w:rPr>
          <w:szCs w:val="21"/>
        </w:rPr>
      </w:pPr>
      <w:r>
        <w:rPr>
          <w:szCs w:val="21"/>
        </w:rPr>
        <w:br w:type="page"/>
      </w:r>
    </w:p>
    <w:p/>
    <w:p>
      <w:pPr>
        <w:jc w:val="center"/>
        <w:rPr>
          <w:rFonts w:ascii="宋体" w:hAnsi="宋体"/>
          <w:b/>
          <w:sz w:val="32"/>
          <w:szCs w:val="32"/>
        </w:rPr>
      </w:pPr>
      <w:r>
        <w:rPr>
          <w:rFonts w:hint="eastAsia" w:ascii="宋体" w:hAnsi="宋体"/>
          <w:b/>
          <w:sz w:val="32"/>
          <w:szCs w:val="32"/>
        </w:rPr>
        <w:t>一、资格性和符合性检查响应对照表</w:t>
      </w:r>
    </w:p>
    <w:p>
      <w:pPr>
        <w:ind w:firstLine="309"/>
        <w:rPr>
          <w:rFonts w:ascii="宋体" w:hAnsi="宋体"/>
          <w:sz w:val="24"/>
        </w:rPr>
      </w:pPr>
      <w:r>
        <w:rPr>
          <w:rFonts w:hint="eastAsia" w:ascii="宋体" w:hAnsi="宋体"/>
          <w:sz w:val="24"/>
        </w:rPr>
        <w:t>投标人全称（加盖公章）：</w:t>
      </w:r>
    </w:p>
    <w:tbl>
      <w:tblPr>
        <w:tblStyle w:val="87"/>
        <w:tblW w:w="955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5447"/>
        <w:gridCol w:w="168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82" w:hRule="atLeast"/>
          <w:jc w:val="center"/>
        </w:trPr>
        <w:tc>
          <w:tcPr>
            <w:tcW w:w="646" w:type="dxa"/>
            <w:vAlign w:val="center"/>
          </w:tcPr>
          <w:p>
            <w:pPr>
              <w:snapToGrid w:val="0"/>
              <w:spacing w:line="240" w:lineRule="atLeast"/>
              <w:jc w:val="center"/>
              <w:rPr>
                <w:rFonts w:ascii="幼圆" w:eastAsia="幼圆"/>
                <w:b/>
              </w:rPr>
            </w:pPr>
            <w:r>
              <w:rPr>
                <w:rFonts w:hint="eastAsia" w:ascii="幼圆" w:eastAsia="幼圆"/>
                <w:b/>
              </w:rPr>
              <w:t>序号</w:t>
            </w:r>
          </w:p>
        </w:tc>
        <w:tc>
          <w:tcPr>
            <w:tcW w:w="5447" w:type="dxa"/>
            <w:vAlign w:val="center"/>
          </w:tcPr>
          <w:p>
            <w:pPr>
              <w:snapToGrid w:val="0"/>
              <w:spacing w:line="240" w:lineRule="atLeast"/>
              <w:jc w:val="center"/>
              <w:rPr>
                <w:rFonts w:ascii="幼圆" w:eastAsia="幼圆"/>
                <w:b/>
              </w:rPr>
            </w:pPr>
            <w:r>
              <w:rPr>
                <w:rFonts w:hint="eastAsia" w:ascii="幼圆" w:eastAsia="幼圆"/>
                <w:b/>
              </w:rPr>
              <w:t>资格性和符合性检查响应内容</w:t>
            </w:r>
          </w:p>
        </w:tc>
        <w:tc>
          <w:tcPr>
            <w:tcW w:w="1680" w:type="dxa"/>
            <w:vAlign w:val="center"/>
          </w:tcPr>
          <w:p>
            <w:pPr>
              <w:snapToGrid w:val="0"/>
              <w:spacing w:line="240" w:lineRule="atLeast"/>
              <w:jc w:val="center"/>
              <w:rPr>
                <w:rFonts w:ascii="幼圆" w:eastAsia="幼圆"/>
                <w:b/>
              </w:rPr>
            </w:pPr>
            <w:r>
              <w:rPr>
                <w:rFonts w:hint="eastAsia" w:ascii="幼圆" w:eastAsia="幼圆"/>
                <w:b/>
              </w:rPr>
              <w:t>是否响应</w:t>
            </w:r>
          </w:p>
          <w:p>
            <w:pPr>
              <w:snapToGrid w:val="0"/>
              <w:spacing w:line="240" w:lineRule="atLeast"/>
              <w:jc w:val="center"/>
              <w:rPr>
                <w:rFonts w:ascii="幼圆" w:eastAsia="幼圆"/>
                <w:b/>
              </w:rPr>
            </w:pPr>
            <w:r>
              <w:rPr>
                <w:rFonts w:hint="eastAsia" w:ascii="幼圆" w:eastAsia="幼圆"/>
                <w:b/>
              </w:rPr>
              <w:t>（填是或者否）</w:t>
            </w:r>
          </w:p>
        </w:tc>
        <w:tc>
          <w:tcPr>
            <w:tcW w:w="1785" w:type="dxa"/>
            <w:vAlign w:val="center"/>
          </w:tcPr>
          <w:p>
            <w:pPr>
              <w:snapToGrid w:val="0"/>
              <w:spacing w:line="240" w:lineRule="atLeast"/>
              <w:jc w:val="center"/>
              <w:rPr>
                <w:rFonts w:ascii="幼圆" w:eastAsia="幼圆"/>
                <w:b/>
              </w:rPr>
            </w:pPr>
            <w:r>
              <w:rPr>
                <w:rFonts w:hint="eastAsia" w:ascii="幼圆" w:eastAsia="幼圆"/>
                <w:b/>
              </w:rPr>
              <w:t>投标文件中的</w:t>
            </w:r>
          </w:p>
          <w:p>
            <w:pPr>
              <w:snapToGrid w:val="0"/>
              <w:spacing w:line="240" w:lineRule="atLeast"/>
              <w:jc w:val="center"/>
              <w:rPr>
                <w:rFonts w:ascii="幼圆" w:eastAsia="幼圆"/>
                <w:b/>
              </w:rPr>
            </w:pPr>
            <w:r>
              <w:rPr>
                <w:rFonts w:hint="eastAsia" w:ascii="幼圆" w:eastAsia="幼圆"/>
                <w:b/>
              </w:rPr>
              <w:t>页码位置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646" w:type="dxa"/>
            <w:vAlign w:val="center"/>
          </w:tcPr>
          <w:p>
            <w:pPr>
              <w:rPr>
                <w:rFonts w:ascii="宋体" w:hAnsi="宋体"/>
                <w:b/>
                <w:i/>
                <w:u w:val="single"/>
              </w:rPr>
            </w:pPr>
            <w:r>
              <w:rPr>
                <w:rFonts w:hint="eastAsia" w:ascii="宋体" w:hAnsi="宋体"/>
                <w:b/>
                <w:i/>
                <w:u w:val="single"/>
              </w:rPr>
              <w:t>1</w:t>
            </w:r>
          </w:p>
        </w:tc>
        <w:tc>
          <w:tcPr>
            <w:tcW w:w="5447" w:type="dxa"/>
            <w:vAlign w:val="center"/>
          </w:tcPr>
          <w:p>
            <w:pPr>
              <w:spacing w:line="480" w:lineRule="exact"/>
              <w:rPr>
                <w:rFonts w:ascii="宋体" w:hAnsi="宋体"/>
                <w:i/>
                <w:iCs/>
                <w:sz w:val="24"/>
                <w:u w:val="single"/>
              </w:rPr>
            </w:pPr>
          </w:p>
        </w:tc>
        <w:tc>
          <w:tcPr>
            <w:tcW w:w="1680" w:type="dxa"/>
            <w:vAlign w:val="center"/>
          </w:tcPr>
          <w:p>
            <w:pPr>
              <w:rPr>
                <w:rFonts w:ascii="宋体" w:hAnsi="宋体"/>
                <w:b/>
              </w:rPr>
            </w:pPr>
          </w:p>
        </w:tc>
        <w:tc>
          <w:tcPr>
            <w:tcW w:w="1785" w:type="dxa"/>
            <w:vAlign w:val="center"/>
          </w:tcPr>
          <w:p>
            <w:pP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646" w:type="dxa"/>
            <w:vAlign w:val="center"/>
          </w:tcPr>
          <w:p>
            <w:pPr>
              <w:rPr>
                <w:rFonts w:ascii="宋体" w:hAnsi="宋体"/>
                <w:i/>
                <w:u w:val="single"/>
              </w:rPr>
            </w:pPr>
            <w:r>
              <w:rPr>
                <w:rFonts w:hint="eastAsia" w:ascii="宋体" w:hAnsi="宋体"/>
                <w:i/>
                <w:u w:val="single"/>
              </w:rPr>
              <w:t>2</w:t>
            </w:r>
          </w:p>
        </w:tc>
        <w:tc>
          <w:tcPr>
            <w:tcW w:w="5447" w:type="dxa"/>
            <w:vAlign w:val="center"/>
          </w:tcPr>
          <w:p>
            <w:pPr>
              <w:spacing w:line="480" w:lineRule="exact"/>
              <w:rPr>
                <w:rFonts w:ascii="宋体" w:hAnsi="宋体"/>
                <w:i/>
                <w:iCs/>
                <w:sz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5" w:hRule="atLeast"/>
          <w:jc w:val="center"/>
        </w:trPr>
        <w:tc>
          <w:tcPr>
            <w:tcW w:w="646" w:type="dxa"/>
            <w:vAlign w:val="center"/>
          </w:tcPr>
          <w:p>
            <w:pPr>
              <w:rPr>
                <w:rFonts w:ascii="宋体" w:hAnsi="宋体"/>
                <w:i/>
                <w:u w:val="single"/>
              </w:rPr>
            </w:pPr>
            <w:r>
              <w:rPr>
                <w:rFonts w:hint="eastAsia" w:ascii="宋体" w:hAnsi="宋体"/>
                <w:i/>
                <w:u w:val="single"/>
              </w:rPr>
              <w:t>3</w:t>
            </w:r>
          </w:p>
        </w:tc>
        <w:tc>
          <w:tcPr>
            <w:tcW w:w="5447" w:type="dxa"/>
            <w:vAlign w:val="center"/>
          </w:tcPr>
          <w:p>
            <w:pPr>
              <w:spacing w:line="480" w:lineRule="exact"/>
              <w:rPr>
                <w:rFonts w:ascii="宋体" w:hAnsi="宋体"/>
                <w:i/>
                <w:iCs/>
                <w:sz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96" w:hRule="atLeast"/>
          <w:jc w:val="center"/>
        </w:trPr>
        <w:tc>
          <w:tcPr>
            <w:tcW w:w="646" w:type="dxa"/>
            <w:vAlign w:val="center"/>
          </w:tcPr>
          <w:p>
            <w:pPr>
              <w:rPr>
                <w:rFonts w:ascii="宋体" w:hAnsi="宋体"/>
                <w:i/>
                <w:u w:val="single"/>
              </w:rPr>
            </w:pPr>
            <w:r>
              <w:rPr>
                <w:rFonts w:hint="eastAsia" w:ascii="宋体" w:hAnsi="宋体"/>
                <w:i/>
                <w:u w:val="single"/>
              </w:rPr>
              <w:t>4</w:t>
            </w:r>
          </w:p>
        </w:tc>
        <w:tc>
          <w:tcPr>
            <w:tcW w:w="5447" w:type="dxa"/>
            <w:vAlign w:val="center"/>
          </w:tcPr>
          <w:p>
            <w:pPr>
              <w:spacing w:line="360" w:lineRule="auto"/>
              <w:rPr>
                <w:rFonts w:ascii="宋体" w:hAnsi="宋体"/>
                <w:i/>
                <w:iCs/>
                <w:sz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jc w:val="center"/>
        </w:trPr>
        <w:tc>
          <w:tcPr>
            <w:tcW w:w="646" w:type="dxa"/>
            <w:vAlign w:val="center"/>
          </w:tcPr>
          <w:p>
            <w:pPr>
              <w:rPr>
                <w:rFonts w:ascii="宋体" w:hAnsi="宋体"/>
                <w:i/>
                <w:u w:val="single"/>
              </w:rPr>
            </w:pPr>
            <w:r>
              <w:rPr>
                <w:rFonts w:hint="eastAsia" w:ascii="宋体" w:hAnsi="宋体"/>
                <w:i/>
                <w:u w:val="single"/>
              </w:rPr>
              <w:t>5</w:t>
            </w:r>
          </w:p>
        </w:tc>
        <w:tc>
          <w:tcPr>
            <w:tcW w:w="5447" w:type="dxa"/>
            <w:vAlign w:val="center"/>
          </w:tcPr>
          <w:p>
            <w:pPr>
              <w:snapToGrid w:val="0"/>
              <w:spacing w:line="590" w:lineRule="atLeast"/>
              <w:rPr>
                <w:rFonts w:ascii="宋体" w:hAnsi="宋体"/>
                <w:i/>
                <w:iCs/>
                <w:sz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646" w:type="dxa"/>
            <w:vAlign w:val="center"/>
          </w:tcPr>
          <w:p>
            <w:pPr>
              <w:rPr>
                <w:rFonts w:ascii="宋体" w:hAnsi="宋体"/>
                <w:i/>
                <w:u w:val="single"/>
              </w:rPr>
            </w:pPr>
            <w:r>
              <w:rPr>
                <w:rFonts w:hint="eastAsia" w:ascii="宋体" w:hAnsi="宋体"/>
                <w:i/>
                <w:u w:val="single"/>
              </w:rPr>
              <w:t>6</w:t>
            </w:r>
          </w:p>
        </w:tc>
        <w:tc>
          <w:tcPr>
            <w:tcW w:w="5447" w:type="dxa"/>
            <w:vAlign w:val="center"/>
          </w:tcPr>
          <w:p>
            <w:pPr>
              <w:snapToGrid w:val="0"/>
              <w:spacing w:line="590" w:lineRule="atLeast"/>
              <w:rPr>
                <w:rFonts w:ascii="宋体" w:hAnsi="宋体"/>
                <w:i/>
                <w:iCs/>
                <w:sz w:val="24"/>
                <w:u w:val="single"/>
              </w:rPr>
            </w:pPr>
          </w:p>
        </w:tc>
        <w:tc>
          <w:tcPr>
            <w:tcW w:w="1680" w:type="dxa"/>
            <w:vAlign w:val="center"/>
          </w:tcPr>
          <w:p>
            <w:pPr>
              <w:rPr>
                <w:rFonts w:ascii="宋体" w:hAnsi="宋体"/>
              </w:rPr>
            </w:pPr>
          </w:p>
        </w:tc>
        <w:tc>
          <w:tcPr>
            <w:tcW w:w="1785"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0" w:hRule="atLeast"/>
          <w:jc w:val="center"/>
        </w:trPr>
        <w:tc>
          <w:tcPr>
            <w:tcW w:w="646" w:type="dxa"/>
            <w:vAlign w:val="center"/>
          </w:tcPr>
          <w:p>
            <w:pPr>
              <w:rPr>
                <w:rFonts w:ascii="宋体" w:hAnsi="宋体"/>
                <w:i/>
                <w:u w:val="single"/>
              </w:rPr>
            </w:pPr>
            <w:r>
              <w:rPr>
                <w:rFonts w:ascii="宋体" w:hAnsi="宋体"/>
                <w:i/>
                <w:u w:val="single"/>
              </w:rPr>
              <w:t>…</w:t>
            </w:r>
            <w:r>
              <w:rPr>
                <w:rFonts w:hint="eastAsia" w:ascii="宋体" w:hAnsi="宋体"/>
                <w:i/>
                <w:u w:val="single"/>
              </w:rPr>
              <w:t>.</w:t>
            </w:r>
          </w:p>
        </w:tc>
        <w:tc>
          <w:tcPr>
            <w:tcW w:w="5447" w:type="dxa"/>
            <w:vAlign w:val="center"/>
          </w:tcPr>
          <w:p>
            <w:pPr>
              <w:snapToGrid w:val="0"/>
              <w:spacing w:line="590" w:lineRule="atLeast"/>
              <w:rPr>
                <w:rFonts w:ascii="宋体" w:hAnsi="宋体"/>
                <w:i/>
                <w:iCs/>
                <w:sz w:val="24"/>
                <w:u w:val="single"/>
              </w:rPr>
            </w:pPr>
            <w:r>
              <w:rPr>
                <w:rFonts w:hint="eastAsia" w:ascii="宋体" w:hAnsi="宋体"/>
                <w:i/>
                <w:iCs/>
                <w:sz w:val="24"/>
                <w:u w:val="single"/>
              </w:rPr>
              <w:t>招标文件中的其他实质性要求</w:t>
            </w:r>
          </w:p>
        </w:tc>
        <w:tc>
          <w:tcPr>
            <w:tcW w:w="1680" w:type="dxa"/>
            <w:vAlign w:val="center"/>
          </w:tcPr>
          <w:p>
            <w:pPr>
              <w:rPr>
                <w:rFonts w:ascii="宋体" w:hAnsi="宋体"/>
              </w:rPr>
            </w:pPr>
          </w:p>
        </w:tc>
        <w:tc>
          <w:tcPr>
            <w:tcW w:w="1785" w:type="dxa"/>
            <w:vAlign w:val="center"/>
          </w:tcPr>
          <w:p>
            <w:pPr>
              <w:rPr>
                <w:rFonts w:ascii="宋体" w:hAnsi="宋体"/>
              </w:rPr>
            </w:pPr>
          </w:p>
        </w:tc>
      </w:tr>
    </w:tbl>
    <w:p>
      <w:pPr>
        <w:autoSpaceDE w:val="0"/>
        <w:autoSpaceDN w:val="0"/>
        <w:adjustRightInd w:val="0"/>
        <w:spacing w:line="360" w:lineRule="auto"/>
        <w:jc w:val="left"/>
        <w:rPr>
          <w:szCs w:val="21"/>
          <w:lang w:val="zh-CN"/>
        </w:rPr>
      </w:pPr>
      <w:r>
        <w:rPr>
          <w:rFonts w:hint="eastAsia"/>
          <w:szCs w:val="21"/>
          <w:lang w:val="zh-CN"/>
        </w:rPr>
        <w:t>注：本表后附主要内容和证明材料如下：</w:t>
      </w:r>
    </w:p>
    <w:p>
      <w:pPr>
        <w:pStyle w:val="494"/>
        <w:numPr>
          <w:ilvl w:val="0"/>
          <w:numId w:val="32"/>
        </w:numPr>
        <w:autoSpaceDE w:val="0"/>
        <w:autoSpaceDN w:val="0"/>
        <w:adjustRightInd w:val="0"/>
        <w:spacing w:line="360" w:lineRule="auto"/>
        <w:ind w:firstLineChars="0"/>
        <w:jc w:val="left"/>
        <w:rPr>
          <w:szCs w:val="21"/>
          <w:lang w:val="zh-CN"/>
        </w:rPr>
      </w:pPr>
      <w:r>
        <w:rPr>
          <w:rFonts w:hint="eastAsia"/>
          <w:szCs w:val="21"/>
          <w:lang w:val="zh-CN"/>
        </w:rPr>
        <w:t>第一章投标邀请中 5.1《中华人民共和国政府采购法》规定的资格条件证明文件；</w:t>
      </w:r>
    </w:p>
    <w:p>
      <w:pPr>
        <w:pStyle w:val="494"/>
        <w:autoSpaceDE w:val="0"/>
        <w:autoSpaceDN w:val="0"/>
        <w:adjustRightInd w:val="0"/>
        <w:spacing w:line="360" w:lineRule="auto"/>
        <w:ind w:left="525" w:firstLine="0" w:firstLineChars="0"/>
        <w:rPr>
          <w:rFonts w:ascii="宋体"/>
          <w:szCs w:val="21"/>
          <w:lang w:val="zh-CN"/>
        </w:rPr>
      </w:pPr>
      <w:r>
        <w:rPr>
          <w:rFonts w:hint="eastAsia" w:ascii="宋体"/>
          <w:szCs w:val="21"/>
          <w:lang w:val="zh-CN"/>
        </w:rPr>
        <w:t>1</w:t>
      </w:r>
      <w:r>
        <w:rPr>
          <w:rFonts w:ascii="宋体"/>
          <w:szCs w:val="21"/>
          <w:lang w:val="zh-CN"/>
        </w:rPr>
        <w:t>）具有独立承担民事责任的能力；</w:t>
      </w:r>
      <w:r>
        <w:rPr>
          <w:rFonts w:hint="eastAsia" w:ascii="宋体"/>
          <w:szCs w:val="21"/>
          <w:lang w:val="zh-CN"/>
        </w:rPr>
        <w:t>（提供营业执照复印件）</w:t>
      </w:r>
    </w:p>
    <w:p>
      <w:pPr>
        <w:pStyle w:val="494"/>
        <w:autoSpaceDE w:val="0"/>
        <w:autoSpaceDN w:val="0"/>
        <w:adjustRightInd w:val="0"/>
        <w:spacing w:line="360" w:lineRule="auto"/>
        <w:ind w:left="525" w:firstLine="0" w:firstLineChars="0"/>
        <w:rPr>
          <w:rFonts w:ascii="宋体"/>
          <w:szCs w:val="21"/>
          <w:lang w:val="zh-CN"/>
        </w:rPr>
      </w:pPr>
      <w:r>
        <w:rPr>
          <w:rFonts w:hint="eastAsia" w:ascii="宋体"/>
          <w:szCs w:val="21"/>
          <w:lang w:val="zh-CN"/>
        </w:rPr>
        <w:t>2</w:t>
      </w:r>
      <w:r>
        <w:rPr>
          <w:rFonts w:ascii="宋体"/>
          <w:szCs w:val="21"/>
          <w:lang w:val="zh-CN"/>
        </w:rPr>
        <w:t>）具有良好的商业信誉和健全的财务会计制度；</w:t>
      </w:r>
      <w:r>
        <w:rPr>
          <w:rFonts w:hint="eastAsia" w:ascii="宋体"/>
          <w:szCs w:val="21"/>
          <w:lang w:val="zh-CN"/>
        </w:rPr>
        <w:t>（提供上一年度财务状况报告，成立不满一年不需要提供）</w:t>
      </w:r>
    </w:p>
    <w:p>
      <w:pPr>
        <w:pStyle w:val="494"/>
        <w:autoSpaceDE w:val="0"/>
        <w:autoSpaceDN w:val="0"/>
        <w:adjustRightInd w:val="0"/>
        <w:spacing w:line="360" w:lineRule="auto"/>
        <w:ind w:left="525" w:firstLine="0" w:firstLineChars="0"/>
        <w:rPr>
          <w:rFonts w:ascii="宋体"/>
          <w:szCs w:val="21"/>
          <w:lang w:val="zh-CN"/>
        </w:rPr>
      </w:pPr>
      <w:r>
        <w:rPr>
          <w:rFonts w:hint="eastAsia" w:ascii="宋体"/>
          <w:szCs w:val="21"/>
          <w:lang w:val="zh-CN"/>
        </w:rPr>
        <w:t>3</w:t>
      </w:r>
      <w:r>
        <w:rPr>
          <w:rFonts w:ascii="宋体"/>
          <w:szCs w:val="21"/>
          <w:lang w:val="zh-CN"/>
        </w:rPr>
        <w:t>）具有履行合同所必需的设备和专业技术能力；</w:t>
      </w:r>
      <w:r>
        <w:rPr>
          <w:rFonts w:hint="eastAsia" w:ascii="宋体"/>
          <w:szCs w:val="21"/>
          <w:lang w:val="zh-CN"/>
        </w:rPr>
        <w:t>（提供承诺书、格式自拟）</w:t>
      </w:r>
    </w:p>
    <w:p>
      <w:pPr>
        <w:pStyle w:val="494"/>
        <w:autoSpaceDE w:val="0"/>
        <w:autoSpaceDN w:val="0"/>
        <w:adjustRightInd w:val="0"/>
        <w:spacing w:line="360" w:lineRule="auto"/>
        <w:ind w:left="525" w:firstLine="0" w:firstLineChars="0"/>
        <w:rPr>
          <w:rFonts w:ascii="宋体"/>
          <w:szCs w:val="21"/>
          <w:lang w:val="zh-CN"/>
        </w:rPr>
      </w:pPr>
      <w:r>
        <w:rPr>
          <w:rFonts w:hint="eastAsia" w:ascii="宋体"/>
          <w:szCs w:val="21"/>
          <w:lang w:val="zh-CN"/>
        </w:rPr>
        <w:t>4</w:t>
      </w:r>
      <w:r>
        <w:rPr>
          <w:rFonts w:ascii="宋体"/>
          <w:szCs w:val="21"/>
          <w:lang w:val="zh-CN"/>
        </w:rPr>
        <w:t>）有依法缴纳税收和社会保障资金的良好记录；</w:t>
      </w:r>
      <w:r>
        <w:rPr>
          <w:rFonts w:hint="eastAsia" w:ascii="宋体"/>
          <w:szCs w:val="21"/>
          <w:lang w:val="zh-CN"/>
        </w:rPr>
        <w:t>（提供近半年内至少一个月的</w:t>
      </w:r>
      <w:r>
        <w:rPr>
          <w:rFonts w:ascii="宋体"/>
          <w:szCs w:val="21"/>
          <w:lang w:val="zh-CN"/>
        </w:rPr>
        <w:t>纳税</w:t>
      </w:r>
      <w:r>
        <w:rPr>
          <w:rFonts w:hint="eastAsia" w:ascii="宋体"/>
          <w:szCs w:val="21"/>
          <w:lang w:val="zh-CN"/>
        </w:rPr>
        <w:t>和社保资金证明）</w:t>
      </w:r>
    </w:p>
    <w:p>
      <w:pPr>
        <w:spacing w:line="440" w:lineRule="exact"/>
        <w:ind w:firstLine="480" w:firstLineChars="200"/>
        <w:rPr>
          <w:rFonts w:ascii="宋体" w:hAnsi="宋体"/>
          <w:sz w:val="24"/>
        </w:rPr>
      </w:pPr>
    </w:p>
    <w:p>
      <w:pPr>
        <w:widowControl/>
        <w:jc w:val="left"/>
        <w:rPr>
          <w:szCs w:val="21"/>
        </w:rPr>
      </w:pPr>
      <w:r>
        <w:rPr>
          <w:szCs w:val="21"/>
        </w:rPr>
        <w:br w:type="page"/>
      </w:r>
    </w:p>
    <w:p>
      <w:pPr>
        <w:autoSpaceDE w:val="0"/>
        <w:autoSpaceDN w:val="0"/>
        <w:adjustRightInd w:val="0"/>
        <w:outlineLvl w:val="0"/>
        <w:rPr>
          <w:szCs w:val="21"/>
        </w:rPr>
      </w:pPr>
    </w:p>
    <w:p>
      <w:pPr>
        <w:autoSpaceDE w:val="0"/>
        <w:autoSpaceDN w:val="0"/>
        <w:adjustRightInd w:val="0"/>
        <w:jc w:val="center"/>
        <w:rPr>
          <w:rFonts w:eastAsia="黑体"/>
          <w:sz w:val="36"/>
          <w:szCs w:val="36"/>
          <w:lang w:val="zh-CN"/>
        </w:rPr>
      </w:pPr>
      <w:r>
        <w:rPr>
          <w:rFonts w:hint="eastAsia" w:eastAsia="黑体"/>
          <w:sz w:val="36"/>
          <w:szCs w:val="36"/>
          <w:lang w:val="zh-CN"/>
        </w:rPr>
        <w:t>二、</w:t>
      </w:r>
      <w:r>
        <w:rPr>
          <w:rFonts w:eastAsia="黑体"/>
          <w:sz w:val="36"/>
          <w:szCs w:val="36"/>
          <w:lang w:val="zh-CN"/>
        </w:rPr>
        <w:t>投标</w:t>
      </w:r>
      <w:r>
        <w:rPr>
          <w:rFonts w:hint="eastAsia" w:eastAsia="黑体"/>
          <w:sz w:val="36"/>
          <w:szCs w:val="36"/>
          <w:lang w:val="zh-CN"/>
        </w:rPr>
        <w:t>函</w:t>
      </w:r>
    </w:p>
    <w:p>
      <w:pPr>
        <w:autoSpaceDE w:val="0"/>
        <w:autoSpaceDN w:val="0"/>
        <w:adjustRightInd w:val="0"/>
        <w:jc w:val="center"/>
        <w:rPr>
          <w:rFonts w:eastAsia="黑体"/>
          <w:sz w:val="36"/>
          <w:szCs w:val="36"/>
          <w:lang w:val="zh-CN"/>
        </w:rPr>
      </w:pPr>
    </w:p>
    <w:p>
      <w:pPr>
        <w:autoSpaceDE w:val="0"/>
        <w:autoSpaceDN w:val="0"/>
        <w:adjustRightInd w:val="0"/>
        <w:spacing w:line="240" w:lineRule="atLeast"/>
        <w:outlineLvl w:val="0"/>
        <w:rPr>
          <w:b/>
          <w:kern w:val="0"/>
          <w:szCs w:val="21"/>
          <w:lang w:val="zh-CN"/>
        </w:rPr>
      </w:pPr>
      <w:r>
        <w:rPr>
          <w:rFonts w:hint="eastAsia"/>
          <w:b/>
          <w:kern w:val="0"/>
          <w:szCs w:val="21"/>
          <w:lang w:val="zh-CN"/>
        </w:rPr>
        <w:t>致：</w:t>
      </w:r>
      <w:r>
        <w:rPr>
          <w:b/>
          <w:kern w:val="0"/>
          <w:szCs w:val="21"/>
          <w:lang w:val="zh-CN"/>
        </w:rPr>
        <w:t>南京工业大学：</w:t>
      </w:r>
    </w:p>
    <w:p>
      <w:pPr>
        <w:spacing w:line="380" w:lineRule="exact"/>
        <w:ind w:firstLine="420" w:firstLineChars="200"/>
        <w:rPr>
          <w:rFonts w:ascii="宋体" w:hAnsi="宋体"/>
          <w:szCs w:val="21"/>
        </w:rPr>
      </w:pPr>
      <w:r>
        <w:rPr>
          <w:rFonts w:hint="eastAsia" w:ascii="宋体" w:hAnsi="宋体"/>
          <w:color w:val="000000"/>
          <w:szCs w:val="21"/>
        </w:rPr>
        <w:t>根据贵方</w:t>
      </w:r>
      <w:r>
        <w:rPr>
          <w:rFonts w:hint="eastAsia" w:ascii="宋体" w:hAnsi="宋体"/>
          <w:szCs w:val="21"/>
        </w:rPr>
        <w:t>号招标文件，正式授权下述签字人(姓名和职务)代表投标人（投标人名称），提交下述文件正本一式壹份，副本一式 份</w:t>
      </w:r>
    </w:p>
    <w:p>
      <w:pPr>
        <w:spacing w:line="380" w:lineRule="exact"/>
        <w:ind w:firstLine="420" w:firstLineChars="200"/>
        <w:rPr>
          <w:rFonts w:ascii="宋体" w:hAnsi="宋体"/>
          <w:szCs w:val="21"/>
        </w:rPr>
      </w:pPr>
      <w:r>
        <w:rPr>
          <w:rFonts w:hint="eastAsia" w:ascii="宋体" w:hAnsi="宋体"/>
          <w:szCs w:val="21"/>
        </w:rPr>
        <w:t>1、我们完全理解贵方不一定要接受最低报价的投标或收到的任何投标。</w:t>
      </w:r>
    </w:p>
    <w:p>
      <w:pPr>
        <w:spacing w:line="380" w:lineRule="exact"/>
        <w:ind w:firstLine="420" w:firstLineChars="200"/>
        <w:rPr>
          <w:rFonts w:ascii="宋体" w:hAnsi="宋体"/>
          <w:szCs w:val="21"/>
        </w:rPr>
      </w:pPr>
      <w:r>
        <w:rPr>
          <w:rFonts w:hint="eastAsia" w:ascii="宋体" w:hAnsi="宋体"/>
          <w:szCs w:val="21"/>
        </w:rPr>
        <w:t>2、我们已详细审核全部招标文件及其有效补充文件，我们知道必须放弃提出含糊不清或误解的问题的权利。</w:t>
      </w:r>
    </w:p>
    <w:p>
      <w:pPr>
        <w:spacing w:line="380" w:lineRule="exact"/>
        <w:ind w:firstLine="420" w:firstLineChars="200"/>
        <w:rPr>
          <w:rFonts w:ascii="宋体" w:hAnsi="宋体"/>
          <w:szCs w:val="21"/>
        </w:rPr>
      </w:pPr>
      <w:r>
        <w:rPr>
          <w:rFonts w:hint="eastAsia" w:ascii="宋体" w:hAnsi="宋体"/>
          <w:szCs w:val="21"/>
        </w:rPr>
        <w:t>3、我们同意从规定的开标日期起遵循本投标文件，并在规定的投标有效期期满之前均具有约束力。</w:t>
      </w:r>
    </w:p>
    <w:p>
      <w:pPr>
        <w:spacing w:line="380" w:lineRule="exact"/>
        <w:ind w:firstLine="420" w:firstLineChars="200"/>
        <w:rPr>
          <w:rFonts w:ascii="宋体" w:hAnsi="宋体"/>
          <w:szCs w:val="21"/>
        </w:rPr>
      </w:pPr>
      <w:r>
        <w:rPr>
          <w:rFonts w:hint="eastAsia" w:ascii="宋体" w:hAnsi="宋体"/>
          <w:szCs w:val="21"/>
        </w:rPr>
        <w:t>4、如果在开标后规定的投标有效期内撤回投标，我们的投标保证金贵方不予退还。</w:t>
      </w:r>
    </w:p>
    <w:p>
      <w:pPr>
        <w:spacing w:line="380" w:lineRule="exact"/>
        <w:ind w:firstLine="420" w:firstLineChars="200"/>
        <w:rPr>
          <w:rFonts w:ascii="宋体" w:hAnsi="宋体"/>
          <w:szCs w:val="21"/>
        </w:rPr>
      </w:pPr>
      <w:r>
        <w:rPr>
          <w:rFonts w:hint="eastAsia" w:ascii="宋体" w:hAnsi="宋体"/>
          <w:szCs w:val="21"/>
        </w:rPr>
        <w:t>5、同意向贵方提供贵方可能要求的与投标有关的任何证据或资料，并保证我方已提供和将要提供的文件是真实的、准确的。</w:t>
      </w:r>
    </w:p>
    <w:p>
      <w:pPr>
        <w:spacing w:line="380" w:lineRule="exact"/>
        <w:ind w:firstLine="420" w:firstLineChars="200"/>
        <w:rPr>
          <w:rFonts w:ascii="宋体" w:hAnsi="宋体"/>
          <w:szCs w:val="21"/>
        </w:rPr>
      </w:pPr>
      <w:r>
        <w:rPr>
          <w:rFonts w:hint="eastAsia" w:ascii="宋体" w:hAnsi="宋体"/>
          <w:szCs w:val="21"/>
        </w:rPr>
        <w:t>6、一旦我方中标，我方将根据招标文件的规定，严格履行合同，并保证于承诺的时间完成服务工作。</w:t>
      </w:r>
    </w:p>
    <w:p>
      <w:pPr>
        <w:spacing w:line="380" w:lineRule="exact"/>
        <w:ind w:firstLine="420" w:firstLineChars="200"/>
        <w:rPr>
          <w:rFonts w:ascii="宋体" w:hAnsi="宋体"/>
          <w:szCs w:val="21"/>
        </w:rPr>
      </w:pPr>
      <w:r>
        <w:rPr>
          <w:rFonts w:hint="eastAsia" w:ascii="宋体" w:hAnsi="宋体"/>
          <w:szCs w:val="21"/>
        </w:rPr>
        <w:t>7、我方将严格遵守《中华人民共和国政府采购法》第七十七条规定，若有下列情形之一的，将被处以采购金额5‰以上10‰以下的罚款，列入不良行为记录名单，在一至三年内禁止参加政府采购活动；有违法所得的，并处没收违法所得；情节严重的，由工商行政管理机关吊销营业执照；构成犯罪的，依法追究刑事责任：</w:t>
      </w:r>
    </w:p>
    <w:p>
      <w:pPr>
        <w:spacing w:line="380" w:lineRule="exact"/>
        <w:ind w:firstLine="420" w:firstLineChars="200"/>
        <w:rPr>
          <w:rFonts w:ascii="宋体" w:hAnsi="宋体"/>
          <w:szCs w:val="21"/>
        </w:rPr>
      </w:pPr>
      <w:r>
        <w:rPr>
          <w:rFonts w:hint="eastAsia" w:ascii="宋体" w:hAnsi="宋体"/>
          <w:szCs w:val="21"/>
        </w:rPr>
        <w:t>(1)提供虚假材料谋取中标、成交的；</w:t>
      </w:r>
    </w:p>
    <w:p>
      <w:pPr>
        <w:spacing w:line="380" w:lineRule="exact"/>
        <w:ind w:firstLine="420" w:firstLineChars="200"/>
        <w:rPr>
          <w:rFonts w:ascii="宋体" w:hAnsi="宋体"/>
          <w:szCs w:val="21"/>
        </w:rPr>
      </w:pPr>
      <w:r>
        <w:rPr>
          <w:rFonts w:hint="eastAsia" w:ascii="宋体" w:hAnsi="宋体"/>
          <w:szCs w:val="21"/>
        </w:rPr>
        <w:t>(2)采取不正当手段诋毁、排挤其他供应商的；</w:t>
      </w:r>
    </w:p>
    <w:p>
      <w:pPr>
        <w:spacing w:line="380" w:lineRule="exact"/>
        <w:ind w:firstLine="420" w:firstLineChars="200"/>
        <w:rPr>
          <w:rFonts w:ascii="宋体" w:hAnsi="宋体"/>
          <w:szCs w:val="21"/>
        </w:rPr>
      </w:pPr>
      <w:r>
        <w:rPr>
          <w:rFonts w:hint="eastAsia" w:ascii="宋体" w:hAnsi="宋体"/>
          <w:szCs w:val="21"/>
        </w:rPr>
        <w:t>(3)与采购人、其它投标人或者采购代理机构恶意串通的；</w:t>
      </w:r>
    </w:p>
    <w:p>
      <w:pPr>
        <w:spacing w:line="380" w:lineRule="exact"/>
        <w:ind w:firstLine="420" w:firstLineChars="200"/>
        <w:rPr>
          <w:rFonts w:ascii="宋体" w:hAnsi="宋体"/>
          <w:szCs w:val="21"/>
        </w:rPr>
      </w:pPr>
      <w:r>
        <w:rPr>
          <w:rFonts w:hint="eastAsia" w:ascii="宋体" w:hAnsi="宋体"/>
          <w:szCs w:val="21"/>
        </w:rPr>
        <w:t>(4)向采购人、采购代理机构行贿或者提供其他不正当利益的；</w:t>
      </w:r>
    </w:p>
    <w:p>
      <w:pPr>
        <w:spacing w:line="380" w:lineRule="exact"/>
        <w:ind w:firstLine="420" w:firstLineChars="200"/>
        <w:rPr>
          <w:rFonts w:ascii="宋体" w:hAnsi="宋体"/>
          <w:szCs w:val="21"/>
        </w:rPr>
      </w:pPr>
      <w:r>
        <w:rPr>
          <w:rFonts w:hint="eastAsia" w:ascii="宋体" w:hAnsi="宋体"/>
          <w:szCs w:val="21"/>
        </w:rPr>
        <w:t>(5)拒绝有关部门监督检查或提供虚假情况的。</w:t>
      </w:r>
    </w:p>
    <w:p>
      <w:pPr>
        <w:spacing w:line="380" w:lineRule="exact"/>
        <w:ind w:firstLine="420" w:firstLineChars="200"/>
        <w:rPr>
          <w:rFonts w:ascii="宋体" w:hAnsi="宋体"/>
          <w:szCs w:val="21"/>
        </w:rPr>
      </w:pPr>
      <w:r>
        <w:rPr>
          <w:rFonts w:hint="eastAsia" w:ascii="宋体" w:hAnsi="宋体"/>
          <w:szCs w:val="21"/>
        </w:rPr>
        <w:t>8、与本投标有关的正式通讯地址为：</w:t>
      </w:r>
    </w:p>
    <w:p>
      <w:pPr>
        <w:spacing w:line="380" w:lineRule="exact"/>
        <w:ind w:firstLine="420" w:firstLineChars="200"/>
        <w:rPr>
          <w:rFonts w:ascii="宋体" w:hAnsi="宋体"/>
          <w:szCs w:val="21"/>
          <w:u w:val="single"/>
        </w:rPr>
      </w:pPr>
      <w:r>
        <w:rPr>
          <w:rFonts w:hint="eastAsia" w:ascii="宋体" w:hAnsi="宋体"/>
          <w:szCs w:val="21"/>
        </w:rPr>
        <w:t>地   址：</w:t>
      </w:r>
    </w:p>
    <w:p>
      <w:pPr>
        <w:spacing w:line="380" w:lineRule="exact"/>
        <w:ind w:firstLine="420" w:firstLineChars="200"/>
        <w:rPr>
          <w:rFonts w:ascii="宋体" w:hAnsi="宋体"/>
          <w:szCs w:val="21"/>
          <w:u w:val="single"/>
        </w:rPr>
      </w:pPr>
      <w:r>
        <w:rPr>
          <w:rFonts w:hint="eastAsia" w:ascii="宋体" w:hAnsi="宋体"/>
          <w:szCs w:val="21"/>
        </w:rPr>
        <w:t>电   话：</w:t>
      </w:r>
    </w:p>
    <w:p>
      <w:pPr>
        <w:spacing w:line="380" w:lineRule="exact"/>
        <w:ind w:firstLine="420" w:firstLineChars="200"/>
        <w:rPr>
          <w:rFonts w:ascii="宋体" w:hAnsi="宋体"/>
          <w:szCs w:val="21"/>
          <w:u w:val="single"/>
        </w:rPr>
      </w:pPr>
      <w:r>
        <w:rPr>
          <w:rFonts w:hint="eastAsia" w:ascii="宋体" w:hAnsi="宋体"/>
          <w:szCs w:val="21"/>
        </w:rPr>
        <w:t>传   真：</w:t>
      </w:r>
    </w:p>
    <w:p>
      <w:pPr>
        <w:spacing w:line="380" w:lineRule="exact"/>
        <w:ind w:firstLine="420" w:firstLineChars="200"/>
        <w:rPr>
          <w:rFonts w:ascii="宋体" w:hAnsi="宋体"/>
          <w:szCs w:val="21"/>
          <w:u w:val="single"/>
        </w:rPr>
      </w:pPr>
      <w:r>
        <w:rPr>
          <w:rFonts w:hint="eastAsia" w:ascii="宋体" w:hAnsi="宋体"/>
          <w:szCs w:val="21"/>
        </w:rPr>
        <w:t>法定代表人或授权代表（签字）：</w:t>
      </w:r>
    </w:p>
    <w:p>
      <w:pPr>
        <w:spacing w:line="380" w:lineRule="exact"/>
        <w:ind w:firstLine="420" w:firstLineChars="200"/>
        <w:rPr>
          <w:rFonts w:ascii="宋体" w:hAnsi="宋体"/>
          <w:szCs w:val="21"/>
        </w:rPr>
      </w:pPr>
      <w:r>
        <w:rPr>
          <w:rFonts w:hint="eastAsia" w:ascii="宋体" w:hAnsi="宋体"/>
          <w:szCs w:val="21"/>
        </w:rPr>
        <w:t>投标人（章）：</w:t>
      </w:r>
    </w:p>
    <w:p>
      <w:pPr>
        <w:autoSpaceDE w:val="0"/>
        <w:autoSpaceDN w:val="0"/>
        <w:adjustRightInd w:val="0"/>
        <w:spacing w:line="240" w:lineRule="atLeast"/>
        <w:outlineLvl w:val="0"/>
        <w:rPr>
          <w:rFonts w:ascii="宋体"/>
          <w:szCs w:val="21"/>
          <w:lang w:val="zh-CN"/>
        </w:rPr>
      </w:pPr>
      <w:r>
        <w:rPr>
          <w:rFonts w:hint="eastAsia" w:ascii="宋体" w:hAnsi="宋体"/>
          <w:szCs w:val="21"/>
        </w:rPr>
        <w:t>日    期：年月日</w:t>
      </w:r>
    </w:p>
    <w:p>
      <w:pPr>
        <w:autoSpaceDE w:val="0"/>
        <w:autoSpaceDN w:val="0"/>
        <w:adjustRightInd w:val="0"/>
        <w:spacing w:line="240" w:lineRule="atLeast"/>
        <w:ind w:firstLine="420"/>
        <w:rPr>
          <w:rFonts w:ascii="宋体"/>
          <w:szCs w:val="21"/>
          <w:lang w:val="zh-CN"/>
        </w:rPr>
      </w:pPr>
    </w:p>
    <w:p>
      <w:pPr>
        <w:autoSpaceDE w:val="0"/>
        <w:autoSpaceDN w:val="0"/>
        <w:adjustRightInd w:val="0"/>
        <w:spacing w:line="240" w:lineRule="atLeast"/>
        <w:ind w:firstLine="420"/>
        <w:rPr>
          <w:rFonts w:ascii="宋体"/>
          <w:szCs w:val="21"/>
          <w:lang w:val="zh-CN"/>
        </w:rPr>
      </w:pPr>
    </w:p>
    <w:p>
      <w:pPr>
        <w:autoSpaceDE w:val="0"/>
        <w:autoSpaceDN w:val="0"/>
        <w:adjustRightInd w:val="0"/>
        <w:spacing w:line="360" w:lineRule="auto"/>
        <w:ind w:firstLine="420"/>
        <w:rPr>
          <w:szCs w:val="21"/>
        </w:rPr>
      </w:pPr>
    </w:p>
    <w:p>
      <w:pPr>
        <w:pStyle w:val="4"/>
        <w:jc w:val="center"/>
        <w:rPr>
          <w:rFonts w:ascii="Times New Roman" w:hAnsi="Times New Roman" w:eastAsia="黑体"/>
          <w:b w:val="0"/>
          <w:sz w:val="36"/>
          <w:szCs w:val="36"/>
        </w:rPr>
      </w:pPr>
      <w:r>
        <w:rPr>
          <w:rFonts w:hint="eastAsia" w:ascii="Times New Roman" w:hAnsi="黑体" w:eastAsia="黑体"/>
          <w:b w:val="0"/>
          <w:sz w:val="36"/>
          <w:szCs w:val="36"/>
        </w:rPr>
        <w:t>三、</w:t>
      </w:r>
      <w:r>
        <w:rPr>
          <w:rFonts w:ascii="Times New Roman" w:hAnsi="黑体" w:eastAsia="黑体"/>
          <w:b w:val="0"/>
          <w:sz w:val="36"/>
          <w:szCs w:val="36"/>
        </w:rPr>
        <w:t>法定代表人身份证明</w:t>
      </w:r>
    </w:p>
    <w:p>
      <w:pPr>
        <w:spacing w:line="400" w:lineRule="exact"/>
        <w:rPr>
          <w:szCs w:val="21"/>
        </w:rPr>
      </w:pPr>
      <w:r>
        <w:rPr>
          <w:rFonts w:hAnsi="宋体"/>
          <w:szCs w:val="21"/>
        </w:rPr>
        <w:t>投标人：</w:t>
      </w:r>
    </w:p>
    <w:p>
      <w:pPr>
        <w:spacing w:line="400" w:lineRule="exact"/>
        <w:rPr>
          <w:szCs w:val="21"/>
          <w:u w:val="single"/>
        </w:rPr>
      </w:pPr>
      <w:r>
        <w:rPr>
          <w:rFonts w:hAnsi="宋体"/>
          <w:szCs w:val="21"/>
        </w:rPr>
        <w:t>单位性质：</w:t>
      </w:r>
    </w:p>
    <w:p>
      <w:pPr>
        <w:spacing w:line="400" w:lineRule="exact"/>
        <w:rPr>
          <w:szCs w:val="21"/>
        </w:rPr>
      </w:pPr>
      <w:r>
        <w:rPr>
          <w:rFonts w:hAnsi="宋体"/>
          <w:szCs w:val="21"/>
        </w:rPr>
        <w:t>地址：</w:t>
      </w:r>
    </w:p>
    <w:p>
      <w:pPr>
        <w:spacing w:line="400" w:lineRule="exact"/>
        <w:rPr>
          <w:szCs w:val="21"/>
        </w:rPr>
      </w:pPr>
      <w:r>
        <w:rPr>
          <w:rFonts w:hAnsi="宋体"/>
          <w:szCs w:val="21"/>
        </w:rPr>
        <w:t>成立时间：年月日</w:t>
      </w:r>
    </w:p>
    <w:p>
      <w:pPr>
        <w:spacing w:line="400" w:lineRule="exact"/>
        <w:rPr>
          <w:szCs w:val="21"/>
        </w:rPr>
      </w:pPr>
      <w:r>
        <w:rPr>
          <w:rFonts w:hAnsi="宋体"/>
          <w:szCs w:val="21"/>
        </w:rPr>
        <w:t>经营期限：</w:t>
      </w:r>
    </w:p>
    <w:p>
      <w:pPr>
        <w:spacing w:line="400" w:lineRule="exact"/>
        <w:rPr>
          <w:szCs w:val="21"/>
        </w:rPr>
      </w:pPr>
      <w:r>
        <w:rPr>
          <w:rFonts w:hAnsi="宋体"/>
          <w:szCs w:val="21"/>
        </w:rPr>
        <w:t>姓名：性别：</w:t>
      </w:r>
    </w:p>
    <w:p>
      <w:pPr>
        <w:spacing w:line="400" w:lineRule="exact"/>
        <w:rPr>
          <w:szCs w:val="21"/>
        </w:rPr>
      </w:pPr>
      <w:r>
        <w:rPr>
          <w:rFonts w:hAnsi="宋体"/>
          <w:szCs w:val="21"/>
        </w:rPr>
        <w:t>年龄：职务：</w:t>
      </w:r>
    </w:p>
    <w:p>
      <w:pPr>
        <w:spacing w:line="400" w:lineRule="exact"/>
        <w:rPr>
          <w:szCs w:val="21"/>
        </w:rPr>
      </w:pPr>
      <w:r>
        <w:rPr>
          <w:rFonts w:hAnsi="宋体"/>
          <w:szCs w:val="21"/>
        </w:rPr>
        <w:t>系（投标人名称）的法定代表人。</w:t>
      </w:r>
    </w:p>
    <w:p>
      <w:pPr>
        <w:spacing w:line="400" w:lineRule="exact"/>
        <w:rPr>
          <w:szCs w:val="21"/>
        </w:rPr>
      </w:pPr>
    </w:p>
    <w:p>
      <w:pPr>
        <w:spacing w:line="400" w:lineRule="exact"/>
        <w:rPr>
          <w:szCs w:val="21"/>
        </w:rPr>
      </w:pPr>
      <w:r>
        <w:rPr>
          <w:rFonts w:hAnsi="宋体"/>
          <w:szCs w:val="21"/>
        </w:rPr>
        <w:t>特此证明。</w:t>
      </w:r>
    </w:p>
    <w:p>
      <w:pPr>
        <w:spacing w:line="360" w:lineRule="exact"/>
        <w:rPr>
          <w:szCs w:val="21"/>
        </w:rPr>
      </w:pPr>
    </w:p>
    <w:p>
      <w:pPr>
        <w:rPr>
          <w:szCs w:val="21"/>
        </w:rPr>
      </w:pPr>
    </w:p>
    <w:p>
      <w:pPr>
        <w:rPr>
          <w:szCs w:val="21"/>
        </w:rPr>
      </w:pPr>
    </w:p>
    <w:p>
      <w:pPr>
        <w:jc w:val="right"/>
        <w:rPr>
          <w:szCs w:val="21"/>
        </w:rPr>
      </w:pPr>
      <w:r>
        <w:rPr>
          <w:rFonts w:hAnsi="宋体"/>
          <w:szCs w:val="21"/>
        </w:rPr>
        <w:t>投标人：（盖单位章）</w:t>
      </w:r>
    </w:p>
    <w:p>
      <w:pPr>
        <w:jc w:val="right"/>
        <w:rPr>
          <w:szCs w:val="21"/>
        </w:rPr>
      </w:pPr>
    </w:p>
    <w:p>
      <w:pPr>
        <w:wordWrap w:val="0"/>
        <w:jc w:val="right"/>
        <w:rPr>
          <w:szCs w:val="21"/>
        </w:rPr>
      </w:pPr>
      <w:r>
        <w:rPr>
          <w:rFonts w:hAnsi="宋体"/>
          <w:szCs w:val="21"/>
        </w:rPr>
        <w:t>年月日</w:t>
      </w:r>
    </w:p>
    <w:p>
      <w:pPr>
        <w:jc w:val="right"/>
        <w:rPr>
          <w:szCs w:val="21"/>
        </w:rPr>
      </w:pPr>
    </w:p>
    <w:p>
      <w:pPr>
        <w:jc w:val="right"/>
        <w:rPr>
          <w:szCs w:val="21"/>
        </w:rPr>
      </w:pPr>
    </w:p>
    <w:p>
      <w:pPr>
        <w:rPr>
          <w:szCs w:val="21"/>
        </w:rPr>
      </w:pPr>
      <w:r>
        <w:rPr>
          <w:b/>
          <w:szCs w:val="21"/>
        </w:rPr>
        <w:t>注：此处粘贴法定代表人身份证复印件。</w:t>
      </w:r>
    </w:p>
    <w:p>
      <w:pPr>
        <w:autoSpaceDE w:val="0"/>
        <w:autoSpaceDN w:val="0"/>
        <w:adjustRightInd w:val="0"/>
        <w:outlineLvl w:val="0"/>
        <w:rPr>
          <w:szCs w:val="21"/>
          <w:lang w:val="zh-CN"/>
        </w:rPr>
      </w:pPr>
    </w:p>
    <w:p>
      <w:pPr>
        <w:autoSpaceDE w:val="0"/>
        <w:autoSpaceDN w:val="0"/>
        <w:adjustRightInd w:val="0"/>
        <w:outlineLvl w:val="0"/>
        <w:rPr>
          <w:szCs w:val="21"/>
          <w:lang w:val="zh-CN"/>
        </w:rPr>
      </w:pPr>
      <w:r>
        <w:rPr>
          <w:szCs w:val="21"/>
          <w:lang w:val="zh-CN"/>
        </w:rPr>
        <w:br w:type="page"/>
      </w:r>
    </w:p>
    <w:p>
      <w:pPr>
        <w:autoSpaceDE w:val="0"/>
        <w:autoSpaceDN w:val="0"/>
        <w:adjustRightInd w:val="0"/>
        <w:outlineLvl w:val="0"/>
        <w:rPr>
          <w:szCs w:val="21"/>
          <w:lang w:val="zh-CN"/>
        </w:rPr>
      </w:pPr>
    </w:p>
    <w:p>
      <w:pPr>
        <w:widowControl/>
        <w:adjustRightInd w:val="0"/>
        <w:spacing w:line="360" w:lineRule="auto"/>
        <w:ind w:firstLine="720"/>
        <w:jc w:val="center"/>
        <w:rPr>
          <w:rFonts w:eastAsia="黑体"/>
          <w:kern w:val="0"/>
          <w:sz w:val="36"/>
          <w:szCs w:val="36"/>
          <w:lang w:val="zh-CN"/>
        </w:rPr>
      </w:pPr>
    </w:p>
    <w:p>
      <w:pPr>
        <w:widowControl/>
        <w:adjustRightInd w:val="0"/>
        <w:spacing w:line="360" w:lineRule="auto"/>
        <w:ind w:firstLine="720"/>
        <w:jc w:val="center"/>
        <w:rPr>
          <w:rFonts w:eastAsia="黑体"/>
          <w:kern w:val="0"/>
          <w:sz w:val="36"/>
          <w:szCs w:val="36"/>
          <w:lang w:val="zh-CN"/>
        </w:rPr>
      </w:pPr>
      <w:r>
        <w:rPr>
          <w:rFonts w:hint="eastAsia" w:eastAsia="黑体"/>
          <w:kern w:val="0"/>
          <w:sz w:val="36"/>
          <w:szCs w:val="36"/>
          <w:lang w:val="zh-CN"/>
        </w:rPr>
        <w:t>四、</w:t>
      </w:r>
      <w:r>
        <w:rPr>
          <w:rFonts w:eastAsia="黑体"/>
          <w:kern w:val="0"/>
          <w:sz w:val="36"/>
          <w:szCs w:val="36"/>
          <w:lang w:val="zh-CN"/>
        </w:rPr>
        <w:t>法定代表人授权委托书</w:t>
      </w:r>
    </w:p>
    <w:p>
      <w:pPr>
        <w:widowControl/>
        <w:adjustRightInd w:val="0"/>
        <w:spacing w:line="360" w:lineRule="auto"/>
        <w:jc w:val="left"/>
        <w:rPr>
          <w:kern w:val="0"/>
          <w:szCs w:val="21"/>
          <w:lang w:val="zh-CN"/>
        </w:rPr>
      </w:pPr>
    </w:p>
    <w:p>
      <w:pPr>
        <w:widowControl/>
        <w:adjustRightInd w:val="0"/>
        <w:spacing w:line="360" w:lineRule="auto"/>
        <w:jc w:val="left"/>
        <w:rPr>
          <w:b/>
          <w:kern w:val="0"/>
          <w:szCs w:val="21"/>
          <w:lang w:val="zh-CN"/>
        </w:rPr>
      </w:pPr>
      <w:r>
        <w:rPr>
          <w:b/>
          <w:kern w:val="0"/>
          <w:szCs w:val="21"/>
          <w:lang w:val="zh-CN"/>
        </w:rPr>
        <w:t>致：南京工业大学：</w:t>
      </w:r>
    </w:p>
    <w:p>
      <w:pPr>
        <w:widowControl/>
        <w:adjustRightInd w:val="0"/>
        <w:spacing w:line="360" w:lineRule="auto"/>
        <w:ind w:firstLine="420"/>
        <w:jc w:val="left"/>
        <w:rPr>
          <w:kern w:val="0"/>
          <w:szCs w:val="21"/>
          <w:lang w:val="zh-CN"/>
        </w:rPr>
      </w:pPr>
      <w:r>
        <w:rPr>
          <w:kern w:val="0"/>
          <w:szCs w:val="21"/>
          <w:lang w:val="zh-CN"/>
        </w:rPr>
        <w:t>本授权书声明：注册于（投标人住址）的（投标人名称）法定代表人（法定代表人姓名、职务）代表本公司授权在下面签字的（投标人代表姓名、职务）为本公司的合法代理人，就贵方组织的（项目名称），（项目编号）投标，以本公司名义处理一切与之有关的事务。</w:t>
      </w:r>
    </w:p>
    <w:p>
      <w:pPr>
        <w:widowControl/>
        <w:adjustRightInd w:val="0"/>
        <w:spacing w:line="360" w:lineRule="auto"/>
        <w:jc w:val="left"/>
        <w:rPr>
          <w:kern w:val="0"/>
          <w:szCs w:val="21"/>
          <w:lang w:val="zh-CN"/>
        </w:rPr>
      </w:pPr>
      <w:r>
        <w:rPr>
          <w:kern w:val="0"/>
          <w:szCs w:val="21"/>
          <w:lang w:val="zh-CN"/>
        </w:rPr>
        <w:t>本授权书于年月日签字生效，特此声明。</w:t>
      </w:r>
    </w:p>
    <w:p>
      <w:pPr>
        <w:widowControl/>
        <w:adjustRightInd w:val="0"/>
        <w:spacing w:line="360" w:lineRule="auto"/>
        <w:jc w:val="left"/>
        <w:rPr>
          <w:kern w:val="0"/>
          <w:szCs w:val="21"/>
          <w:lang w:val="zh-CN"/>
        </w:rPr>
      </w:pPr>
      <w:r>
        <w:rPr>
          <w:kern w:val="0"/>
          <w:szCs w:val="21"/>
          <w:lang w:val="zh-CN"/>
        </w:rPr>
        <w:t>法定代表人签字：</w:t>
      </w:r>
    </w:p>
    <w:p>
      <w:pPr>
        <w:widowControl/>
        <w:adjustRightInd w:val="0"/>
        <w:spacing w:line="360" w:lineRule="auto"/>
        <w:jc w:val="left"/>
        <w:rPr>
          <w:kern w:val="0"/>
          <w:szCs w:val="21"/>
          <w:lang w:val="zh-CN"/>
        </w:rPr>
      </w:pPr>
      <w:r>
        <w:rPr>
          <w:kern w:val="0"/>
          <w:szCs w:val="21"/>
          <w:lang w:val="zh-CN"/>
        </w:rPr>
        <w:t>授权委托人签字：</w:t>
      </w:r>
    </w:p>
    <w:p>
      <w:pPr>
        <w:widowControl/>
        <w:tabs>
          <w:tab w:val="left" w:pos="1440"/>
        </w:tabs>
        <w:adjustRightInd w:val="0"/>
        <w:spacing w:line="360" w:lineRule="auto"/>
        <w:ind w:firstLine="420"/>
        <w:jc w:val="left"/>
        <w:rPr>
          <w:kern w:val="0"/>
          <w:szCs w:val="21"/>
          <w:lang w:val="zh-CN"/>
        </w:rPr>
      </w:pPr>
      <w:r>
        <w:rPr>
          <w:kern w:val="0"/>
          <w:szCs w:val="21"/>
          <w:lang w:val="zh-CN"/>
        </w:rPr>
        <w:t>日期：年月日</w:t>
      </w:r>
    </w:p>
    <w:p>
      <w:pPr>
        <w:rPr>
          <w:b/>
          <w:szCs w:val="21"/>
        </w:rPr>
      </w:pPr>
    </w:p>
    <w:p>
      <w:pPr>
        <w:rPr>
          <w:b/>
          <w:szCs w:val="21"/>
        </w:rPr>
      </w:pPr>
      <w:r>
        <w:rPr>
          <w:b/>
          <w:szCs w:val="21"/>
        </w:rPr>
        <w:t>此处粘贴</w:t>
      </w:r>
      <w:r>
        <w:rPr>
          <w:b/>
          <w:kern w:val="0"/>
          <w:szCs w:val="21"/>
          <w:lang w:val="zh-CN"/>
        </w:rPr>
        <w:t>授权委托人</w:t>
      </w:r>
      <w:r>
        <w:rPr>
          <w:b/>
          <w:szCs w:val="21"/>
        </w:rPr>
        <w:t>身份证复印件。</w:t>
      </w:r>
    </w:p>
    <w:p>
      <w:pPr>
        <w:rPr>
          <w:szCs w:val="21"/>
        </w:rPr>
      </w:pPr>
    </w:p>
    <w:p>
      <w:pPr>
        <w:spacing w:line="360" w:lineRule="auto"/>
        <w:ind w:right="420"/>
        <w:rPr>
          <w:b/>
          <w:szCs w:val="21"/>
        </w:rPr>
      </w:pPr>
      <w:r>
        <w:rPr>
          <w:b/>
          <w:szCs w:val="21"/>
        </w:rPr>
        <w:t>注：</w:t>
      </w:r>
    </w:p>
    <w:p>
      <w:pPr>
        <w:spacing w:line="360" w:lineRule="auto"/>
        <w:ind w:right="420"/>
        <w:rPr>
          <w:szCs w:val="21"/>
        </w:rPr>
      </w:pPr>
      <w:r>
        <w:rPr>
          <w:szCs w:val="21"/>
        </w:rPr>
        <w:t>1</w:t>
      </w:r>
      <w:r>
        <w:rPr>
          <w:rFonts w:hAnsi="宋体"/>
          <w:szCs w:val="21"/>
        </w:rPr>
        <w:t>、如投标人由法定代表人亲自签署投标文件并参与相关活动，则不需要办理授权。如有被授权的代理人签署上述文件，则必须按本格式规定填报并提交授权书，否则被授权的代理人将不被认可。</w:t>
      </w:r>
    </w:p>
    <w:p>
      <w:pPr>
        <w:spacing w:line="360" w:lineRule="auto"/>
        <w:ind w:right="420"/>
        <w:rPr>
          <w:szCs w:val="21"/>
        </w:rPr>
      </w:pPr>
      <w:r>
        <w:rPr>
          <w:rFonts w:hint="eastAsia"/>
          <w:szCs w:val="21"/>
        </w:rPr>
        <w:t>2</w:t>
      </w:r>
      <w:r>
        <w:rPr>
          <w:rFonts w:hAnsi="宋体"/>
          <w:szCs w:val="21"/>
        </w:rPr>
        <w:t>、本授权委托书配合法定代表人身份证明书使用方可生效。</w:t>
      </w:r>
    </w:p>
    <w:p>
      <w:pPr>
        <w:widowControl/>
        <w:jc w:val="left"/>
        <w:rPr>
          <w:b/>
          <w:szCs w:val="21"/>
        </w:rPr>
      </w:pPr>
      <w:r>
        <w:rPr>
          <w:b/>
          <w:szCs w:val="21"/>
        </w:rPr>
        <w:br w:type="page"/>
      </w:r>
    </w:p>
    <w:p>
      <w:pPr>
        <w:spacing w:line="360" w:lineRule="auto"/>
        <w:ind w:right="420"/>
        <w:rPr>
          <w:b/>
          <w:szCs w:val="21"/>
        </w:rPr>
      </w:pPr>
    </w:p>
    <w:p>
      <w:pPr>
        <w:pStyle w:val="540"/>
        <w:spacing w:before="0" w:after="0" w:line="420" w:lineRule="exact"/>
        <w:ind w:firstLine="0"/>
        <w:jc w:val="center"/>
        <w:rPr>
          <w:rFonts w:cs="宋体"/>
          <w:b/>
          <w:bCs/>
          <w:sz w:val="28"/>
          <w:szCs w:val="28"/>
        </w:rPr>
      </w:pPr>
      <w:r>
        <w:rPr>
          <w:rFonts w:hint="eastAsia" w:cs="宋体"/>
          <w:b/>
          <w:bCs/>
          <w:sz w:val="28"/>
          <w:szCs w:val="28"/>
        </w:rPr>
        <w:t>五、报价汇总表</w:t>
      </w:r>
    </w:p>
    <w:p>
      <w:pPr>
        <w:snapToGrid w:val="0"/>
        <w:spacing w:before="50" w:afterLines="50"/>
        <w:jc w:val="left"/>
        <w:rPr>
          <w:rFonts w:cs="宋体"/>
          <w:kern w:val="0"/>
          <w:sz w:val="24"/>
        </w:rPr>
      </w:pPr>
      <w:r>
        <w:rPr>
          <w:rFonts w:hint="eastAsia" w:cs="宋体"/>
          <w:kern w:val="0"/>
          <w:sz w:val="24"/>
        </w:rPr>
        <w:t>项目（标包）名称：</w:t>
      </w:r>
    </w:p>
    <w:tbl>
      <w:tblPr>
        <w:tblStyle w:val="87"/>
        <w:tblW w:w="931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0"/>
        <w:gridCol w:w="3510"/>
        <w:gridCol w:w="35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5" w:hRule="atLeast"/>
          <w:jc w:val="center"/>
        </w:trPr>
        <w:tc>
          <w:tcPr>
            <w:tcW w:w="2230" w:type="dxa"/>
            <w:vAlign w:val="center"/>
          </w:tcPr>
          <w:p>
            <w:pPr>
              <w:jc w:val="center"/>
              <w:rPr>
                <w:rFonts w:eastAsia="仿宋_GB2312"/>
                <w:b/>
                <w:szCs w:val="21"/>
              </w:rPr>
            </w:pPr>
            <w:r>
              <w:rPr>
                <w:rFonts w:eastAsia="仿宋_GB2312"/>
                <w:b/>
                <w:szCs w:val="21"/>
              </w:rPr>
              <w:t>项  目</w:t>
            </w:r>
          </w:p>
        </w:tc>
        <w:tc>
          <w:tcPr>
            <w:tcW w:w="3510" w:type="dxa"/>
            <w:vAlign w:val="center"/>
          </w:tcPr>
          <w:p>
            <w:pPr>
              <w:jc w:val="center"/>
              <w:rPr>
                <w:rFonts w:eastAsia="仿宋_GB2312"/>
                <w:b/>
                <w:szCs w:val="21"/>
              </w:rPr>
            </w:pPr>
            <w:r>
              <w:rPr>
                <w:rFonts w:eastAsia="仿宋_GB2312"/>
                <w:b/>
                <w:szCs w:val="21"/>
              </w:rPr>
              <w:t>报价类别</w:t>
            </w:r>
          </w:p>
        </w:tc>
        <w:tc>
          <w:tcPr>
            <w:tcW w:w="3577" w:type="dxa"/>
            <w:vAlign w:val="center"/>
          </w:tcPr>
          <w:p>
            <w:pPr>
              <w:jc w:val="center"/>
              <w:rPr>
                <w:rFonts w:eastAsia="仿宋_GB2312"/>
                <w:b/>
                <w:szCs w:val="21"/>
              </w:rPr>
            </w:pPr>
            <w:r>
              <w:rPr>
                <w:rFonts w:eastAsia="仿宋_GB2312"/>
                <w:b/>
                <w:szCs w:val="21"/>
              </w:rPr>
              <w:t>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exact"/>
          <w:jc w:val="center"/>
        </w:trPr>
        <w:tc>
          <w:tcPr>
            <w:tcW w:w="2230" w:type="dxa"/>
            <w:vMerge w:val="restart"/>
            <w:vAlign w:val="center"/>
          </w:tcPr>
          <w:p>
            <w:pPr>
              <w:rPr>
                <w:rFonts w:eastAsia="仿宋_GB2312"/>
                <w:b/>
                <w:szCs w:val="21"/>
              </w:rPr>
            </w:pPr>
            <w:r>
              <w:rPr>
                <w:rFonts w:hint="eastAsia" w:ascii="宋体"/>
                <w:szCs w:val="21"/>
                <w:lang w:val="zh-CN"/>
              </w:rPr>
              <w:t>南京工业大学江浦校区能效领跑者示范建设项目（综合能源管控主平台建设）包1</w:t>
            </w:r>
          </w:p>
        </w:tc>
        <w:tc>
          <w:tcPr>
            <w:tcW w:w="3510" w:type="dxa"/>
          </w:tcPr>
          <w:p>
            <w:pPr>
              <w:jc w:val="center"/>
              <w:rPr>
                <w:rFonts w:eastAsia="仿宋_GB2312"/>
                <w:szCs w:val="21"/>
              </w:rPr>
            </w:pPr>
            <w:r>
              <w:rPr>
                <w:rFonts w:hint="eastAsia" w:eastAsia="仿宋_GB2312"/>
                <w:szCs w:val="21"/>
              </w:rPr>
              <w:t>主站硬件</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exact"/>
          <w:jc w:val="center"/>
        </w:trPr>
        <w:tc>
          <w:tcPr>
            <w:tcW w:w="2230" w:type="dxa"/>
            <w:vMerge w:val="continue"/>
          </w:tcPr>
          <w:p>
            <w:pPr>
              <w:jc w:val="center"/>
              <w:rPr>
                <w:rFonts w:eastAsia="仿宋_GB2312"/>
                <w:b/>
                <w:szCs w:val="21"/>
              </w:rPr>
            </w:pPr>
          </w:p>
        </w:tc>
        <w:tc>
          <w:tcPr>
            <w:tcW w:w="3510" w:type="dxa"/>
          </w:tcPr>
          <w:p>
            <w:pPr>
              <w:jc w:val="center"/>
              <w:rPr>
                <w:rFonts w:eastAsia="仿宋_GB2312"/>
                <w:szCs w:val="21"/>
              </w:rPr>
            </w:pPr>
            <w:r>
              <w:rPr>
                <w:rFonts w:hint="eastAsia" w:eastAsia="仿宋_GB2312"/>
                <w:szCs w:val="21"/>
              </w:rPr>
              <w:t>主站软件</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8" w:hRule="exact"/>
          <w:jc w:val="center"/>
        </w:trPr>
        <w:tc>
          <w:tcPr>
            <w:tcW w:w="2230" w:type="dxa"/>
            <w:vMerge w:val="continue"/>
          </w:tcPr>
          <w:p>
            <w:pPr>
              <w:jc w:val="center"/>
              <w:rPr>
                <w:rFonts w:eastAsia="仿宋_GB2312"/>
                <w:b/>
                <w:szCs w:val="21"/>
              </w:rPr>
            </w:pPr>
          </w:p>
        </w:tc>
        <w:tc>
          <w:tcPr>
            <w:tcW w:w="3510" w:type="dxa"/>
          </w:tcPr>
          <w:p>
            <w:pPr>
              <w:jc w:val="center"/>
              <w:rPr>
                <w:rFonts w:eastAsia="仿宋_GB2312"/>
                <w:szCs w:val="21"/>
              </w:rPr>
            </w:pPr>
            <w:r>
              <w:rPr>
                <w:rFonts w:hint="eastAsia" w:eastAsia="仿宋_GB2312"/>
                <w:szCs w:val="21"/>
              </w:rPr>
              <w:t>手机app</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3" w:hRule="exact"/>
          <w:jc w:val="center"/>
        </w:trPr>
        <w:tc>
          <w:tcPr>
            <w:tcW w:w="2230" w:type="dxa"/>
            <w:vMerge w:val="continue"/>
          </w:tcPr>
          <w:p>
            <w:pPr>
              <w:jc w:val="center"/>
              <w:rPr>
                <w:rFonts w:eastAsia="仿宋_GB2312"/>
                <w:b/>
                <w:szCs w:val="21"/>
              </w:rPr>
            </w:pPr>
          </w:p>
        </w:tc>
        <w:tc>
          <w:tcPr>
            <w:tcW w:w="3510" w:type="dxa"/>
          </w:tcPr>
          <w:p>
            <w:pPr>
              <w:jc w:val="center"/>
              <w:rPr>
                <w:rFonts w:eastAsia="仿宋_GB2312"/>
                <w:szCs w:val="21"/>
              </w:rPr>
            </w:pPr>
            <w:r>
              <w:rPr>
                <w:rFonts w:hint="eastAsia" w:eastAsia="仿宋_GB2312"/>
                <w:szCs w:val="21"/>
              </w:rPr>
              <w:t>大屏系统</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3" w:hRule="exact"/>
          <w:jc w:val="center"/>
        </w:trPr>
        <w:tc>
          <w:tcPr>
            <w:tcW w:w="2230" w:type="dxa"/>
            <w:vMerge w:val="continue"/>
          </w:tcPr>
          <w:p>
            <w:pPr>
              <w:jc w:val="center"/>
              <w:rPr>
                <w:rFonts w:eastAsia="仿宋_GB2312"/>
                <w:b/>
                <w:szCs w:val="21"/>
              </w:rPr>
            </w:pPr>
          </w:p>
        </w:tc>
        <w:tc>
          <w:tcPr>
            <w:tcW w:w="3510" w:type="dxa"/>
          </w:tcPr>
          <w:p>
            <w:pPr>
              <w:jc w:val="center"/>
              <w:rPr>
                <w:rFonts w:eastAsia="仿宋_GB2312"/>
                <w:szCs w:val="21"/>
              </w:rPr>
            </w:pPr>
            <w:r>
              <w:rPr>
                <w:rFonts w:hint="eastAsia" w:eastAsia="仿宋_GB2312"/>
                <w:szCs w:val="21"/>
              </w:rPr>
              <w:t>电力系统智能化</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9" w:hRule="exact"/>
          <w:jc w:val="center"/>
        </w:trPr>
        <w:tc>
          <w:tcPr>
            <w:tcW w:w="2230" w:type="dxa"/>
            <w:vMerge w:val="continue"/>
          </w:tcPr>
          <w:p>
            <w:pPr>
              <w:jc w:val="center"/>
              <w:rPr>
                <w:rFonts w:eastAsia="仿宋_GB2312"/>
                <w:b/>
                <w:szCs w:val="21"/>
              </w:rPr>
            </w:pPr>
          </w:p>
        </w:tc>
        <w:tc>
          <w:tcPr>
            <w:tcW w:w="3510" w:type="dxa"/>
          </w:tcPr>
          <w:p>
            <w:pPr>
              <w:jc w:val="center"/>
              <w:rPr>
                <w:rFonts w:eastAsia="仿宋_GB2312"/>
                <w:color w:val="000000" w:themeColor="text1"/>
                <w:szCs w:val="21"/>
              </w:rPr>
            </w:pPr>
            <w:r>
              <w:rPr>
                <w:rFonts w:hint="eastAsia" w:eastAsia="仿宋_GB2312"/>
                <w:color w:val="000000" w:themeColor="text1"/>
                <w:szCs w:val="21"/>
              </w:rPr>
              <w:t>原有系统集成</w:t>
            </w:r>
          </w:p>
          <w:p>
            <w:pPr>
              <w:jc w:val="center"/>
              <w:rPr>
                <w:rFonts w:eastAsia="仿宋_GB2312"/>
                <w:color w:val="FF0000"/>
                <w:szCs w:val="21"/>
              </w:rPr>
            </w:pPr>
            <w:r>
              <w:rPr>
                <w:rFonts w:hint="eastAsia" w:eastAsia="仿宋_GB2312"/>
                <w:color w:val="000000" w:themeColor="text1"/>
                <w:szCs w:val="21"/>
              </w:rPr>
              <w:t>（需在详细报价表中按原有各套系统分开报价）</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9" w:hRule="exact"/>
          <w:jc w:val="center"/>
        </w:trPr>
        <w:tc>
          <w:tcPr>
            <w:tcW w:w="5740" w:type="dxa"/>
            <w:gridSpan w:val="2"/>
          </w:tcPr>
          <w:p>
            <w:pPr>
              <w:jc w:val="center"/>
              <w:rPr>
                <w:rFonts w:eastAsia="仿宋_GB2312"/>
                <w:b/>
                <w:szCs w:val="21"/>
              </w:rPr>
            </w:pPr>
            <w:r>
              <w:rPr>
                <w:rFonts w:eastAsia="仿宋_GB2312"/>
                <w:b/>
                <w:szCs w:val="21"/>
              </w:rPr>
              <w:t>综合测算报价</w:t>
            </w:r>
          </w:p>
        </w:tc>
        <w:tc>
          <w:tcPr>
            <w:tcW w:w="3577" w:type="dxa"/>
          </w:tcPr>
          <w:p>
            <w:pPr>
              <w:jc w:val="center"/>
              <w:rPr>
                <w:rFonts w:eastAsia="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3" w:hRule="exact"/>
          <w:jc w:val="center"/>
        </w:trPr>
        <w:tc>
          <w:tcPr>
            <w:tcW w:w="5740" w:type="dxa"/>
            <w:gridSpan w:val="2"/>
          </w:tcPr>
          <w:p>
            <w:pPr>
              <w:jc w:val="center"/>
              <w:rPr>
                <w:rFonts w:eastAsia="仿宋_GB2312"/>
                <w:b/>
                <w:szCs w:val="21"/>
              </w:rPr>
            </w:pPr>
            <w:r>
              <w:rPr>
                <w:rFonts w:eastAsia="仿宋_GB2312"/>
                <w:b/>
                <w:szCs w:val="21"/>
              </w:rPr>
              <w:t>最终报价</w:t>
            </w:r>
          </w:p>
        </w:tc>
        <w:tc>
          <w:tcPr>
            <w:tcW w:w="3577" w:type="dxa"/>
          </w:tcPr>
          <w:p>
            <w:pPr>
              <w:jc w:val="center"/>
              <w:rPr>
                <w:rFonts w:eastAsia="仿宋_GB2312"/>
                <w:b/>
                <w:szCs w:val="21"/>
              </w:rPr>
            </w:pPr>
          </w:p>
        </w:tc>
      </w:tr>
    </w:tbl>
    <w:p>
      <w:pPr>
        <w:pStyle w:val="45"/>
        <w:spacing w:beforeLines="50" w:line="240" w:lineRule="exact"/>
        <w:rPr>
          <w:rFonts w:ascii="Times New Roman" w:hAnsi="Times New Roman"/>
        </w:rPr>
      </w:pPr>
      <w:r>
        <w:rPr>
          <w:rFonts w:ascii="Times New Roman" w:hAnsi="Times New Roman"/>
        </w:rPr>
        <w:t>注：1、报价表包含投标单位各项成本核算和投入的成本明细，合计金额应与开标一览表合计金额一致。</w:t>
      </w:r>
    </w:p>
    <w:p>
      <w:pPr>
        <w:pStyle w:val="45"/>
        <w:spacing w:line="240" w:lineRule="exact"/>
        <w:ind w:firstLine="447" w:firstLineChars="213"/>
        <w:rPr>
          <w:rFonts w:ascii="Times New Roman" w:hAnsi="Times New Roman"/>
        </w:rPr>
      </w:pPr>
      <w:r>
        <w:rPr>
          <w:rFonts w:ascii="Times New Roman" w:hAnsi="Times New Roman"/>
        </w:rPr>
        <w:t>2、条目举例如下：劳保、损耗、人工、服装、通讯器材、保洁工具、用品、税金、利润等各项所有费用，等等。不限于此，可自行添加。</w:t>
      </w:r>
    </w:p>
    <w:p>
      <w:pPr>
        <w:spacing w:line="360" w:lineRule="auto"/>
        <w:rPr>
          <w:rFonts w:ascii="仿宋" w:hAnsi="仿宋" w:eastAsia="仿宋"/>
          <w:sz w:val="24"/>
        </w:rPr>
      </w:pPr>
      <w:r>
        <w:rPr>
          <w:rFonts w:hint="eastAsia" w:ascii="仿宋" w:hAnsi="仿宋" w:eastAsia="仿宋"/>
          <w:sz w:val="24"/>
        </w:rPr>
        <w:t>供应商名称：</w:t>
      </w:r>
    </w:p>
    <w:p>
      <w:pPr>
        <w:spacing w:line="360" w:lineRule="auto"/>
        <w:rPr>
          <w:rFonts w:ascii="仿宋" w:hAnsi="仿宋" w:eastAsia="仿宋"/>
          <w:sz w:val="24"/>
        </w:rPr>
      </w:pPr>
      <w:r>
        <w:rPr>
          <w:rFonts w:hint="eastAsia" w:ascii="仿宋" w:hAnsi="仿宋" w:eastAsia="仿宋"/>
          <w:sz w:val="24"/>
        </w:rPr>
        <w:t>供应商公章:</w:t>
      </w:r>
    </w:p>
    <w:p>
      <w:pPr>
        <w:spacing w:line="360" w:lineRule="auto"/>
        <w:rPr>
          <w:rFonts w:ascii="仿宋" w:hAnsi="仿宋" w:eastAsia="仿宋"/>
          <w:sz w:val="24"/>
        </w:rPr>
      </w:pPr>
      <w:r>
        <w:rPr>
          <w:rFonts w:hint="eastAsia" w:ascii="仿宋" w:hAnsi="仿宋" w:eastAsia="仿宋"/>
          <w:sz w:val="24"/>
        </w:rPr>
        <w:t>授权代表(签字)</w:t>
      </w:r>
      <w:r>
        <w:rPr>
          <w:rFonts w:ascii="仿宋" w:hAnsi="仿宋" w:eastAsia="仿宋"/>
          <w:sz w:val="24"/>
        </w:rPr>
        <w:t>:</w:t>
      </w:r>
    </w:p>
    <w:p>
      <w:pPr>
        <w:spacing w:line="360" w:lineRule="auto"/>
        <w:rPr>
          <w:rFonts w:ascii="仿宋" w:hAnsi="仿宋" w:eastAsia="仿宋"/>
          <w:sz w:val="24"/>
        </w:rPr>
      </w:pPr>
      <w:r>
        <w:rPr>
          <w:rFonts w:hint="eastAsia" w:ascii="仿宋" w:hAnsi="仿宋" w:eastAsia="仿宋"/>
          <w:sz w:val="24"/>
        </w:rPr>
        <w:t>日期：</w:t>
      </w:r>
    </w:p>
    <w:p>
      <w:pPr>
        <w:spacing w:line="360" w:lineRule="auto"/>
        <w:rPr>
          <w:rFonts w:ascii="仿宋" w:hAnsi="仿宋" w:eastAsia="仿宋"/>
          <w:sz w:val="24"/>
        </w:rPr>
      </w:pPr>
      <w:r>
        <w:rPr>
          <w:rFonts w:hint="eastAsia" w:ascii="仿宋" w:hAnsi="仿宋" w:eastAsia="仿宋"/>
          <w:sz w:val="24"/>
        </w:rPr>
        <w:t>后附：</w:t>
      </w:r>
    </w:p>
    <w:p>
      <w:pPr>
        <w:pStyle w:val="540"/>
        <w:spacing w:before="0" w:after="0" w:line="420" w:lineRule="exact"/>
        <w:ind w:firstLine="0"/>
        <w:jc w:val="center"/>
        <w:rPr>
          <w:rFonts w:cs="宋体"/>
          <w:b/>
          <w:bCs/>
          <w:color w:val="000000" w:themeColor="text1"/>
          <w:sz w:val="28"/>
          <w:szCs w:val="28"/>
        </w:rPr>
      </w:pPr>
      <w:r>
        <w:rPr>
          <w:rFonts w:hint="eastAsia" w:cs="宋体"/>
          <w:b/>
          <w:bCs/>
          <w:color w:val="000000" w:themeColor="text1"/>
          <w:sz w:val="28"/>
          <w:szCs w:val="28"/>
        </w:rPr>
        <w:t>详细报价表（依据报价类别格式自拟）</w:t>
      </w:r>
    </w:p>
    <w:p>
      <w:pPr>
        <w:spacing w:line="400" w:lineRule="exact"/>
        <w:ind w:firstLine="420" w:firstLineChars="200"/>
        <w:rPr>
          <w:color w:val="000000" w:themeColor="text1"/>
        </w:rPr>
      </w:pPr>
      <w:r>
        <w:rPr>
          <w:rFonts w:hint="eastAsia"/>
          <w:color w:val="000000" w:themeColor="text1"/>
        </w:rPr>
        <w:t>要求：投标单位提供的详细报价表中的清单子项，应包含第四章“招标项目的采购清单及技术要求”中所列的配置清单中内容，除此以外，投标单位可根据需要，自行添加内容子项。</w:t>
      </w:r>
    </w:p>
    <w:p>
      <w:pPr>
        <w:widowControl/>
        <w:jc w:val="left"/>
        <w:rPr>
          <w:rFonts w:ascii="宋体" w:hAnsi="宋体"/>
          <w:b/>
          <w:sz w:val="32"/>
          <w:szCs w:val="32"/>
        </w:rPr>
      </w:pPr>
      <w:r>
        <w:rPr>
          <w:rFonts w:ascii="宋体" w:hAnsi="宋体"/>
          <w:b/>
          <w:sz w:val="32"/>
          <w:szCs w:val="32"/>
        </w:rPr>
        <w:br w:type="page"/>
      </w:r>
    </w:p>
    <w:p>
      <w:pPr>
        <w:jc w:val="center"/>
        <w:rPr>
          <w:rFonts w:ascii="宋体" w:hAnsi="宋体"/>
          <w:b/>
          <w:sz w:val="32"/>
          <w:szCs w:val="32"/>
        </w:rPr>
      </w:pPr>
      <w:r>
        <w:rPr>
          <w:rFonts w:hint="eastAsia" w:ascii="宋体" w:hAnsi="宋体"/>
          <w:b/>
          <w:sz w:val="32"/>
          <w:szCs w:val="32"/>
        </w:rPr>
        <w:t>六、技术参数响应及偏离表</w:t>
      </w:r>
    </w:p>
    <w:p>
      <w:pPr>
        <w:jc w:val="center"/>
        <w:rPr>
          <w:rFonts w:ascii="宋体" w:hAnsi="宋体"/>
          <w:sz w:val="24"/>
        </w:rPr>
      </w:pPr>
    </w:p>
    <w:p>
      <w:pPr>
        <w:rPr>
          <w:rFonts w:ascii="宋体" w:hAnsi="宋体"/>
          <w:sz w:val="24"/>
        </w:rPr>
      </w:pPr>
      <w:r>
        <w:rPr>
          <w:rFonts w:hint="eastAsia" w:ascii="宋体" w:hAnsi="宋体"/>
          <w:sz w:val="24"/>
        </w:rPr>
        <w:t xml:space="preserve">投标人全称（加盖公章）：       </w:t>
      </w:r>
    </w:p>
    <w:tbl>
      <w:tblPr>
        <w:tblStyle w:val="8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3"/>
        <w:gridCol w:w="2619"/>
        <w:gridCol w:w="2619"/>
        <w:gridCol w:w="1248"/>
        <w:gridCol w:w="11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933" w:type="dxa"/>
            <w:vAlign w:val="center"/>
          </w:tcPr>
          <w:p>
            <w:pPr>
              <w:jc w:val="center"/>
              <w:rPr>
                <w:rFonts w:ascii="宋体" w:hAnsi="宋体"/>
                <w:sz w:val="24"/>
              </w:rPr>
            </w:pPr>
            <w:r>
              <w:rPr>
                <w:rFonts w:hint="eastAsia" w:ascii="宋体" w:hAnsi="宋体"/>
                <w:sz w:val="24"/>
              </w:rPr>
              <w:t>序号</w:t>
            </w:r>
          </w:p>
        </w:tc>
        <w:tc>
          <w:tcPr>
            <w:tcW w:w="2619" w:type="dxa"/>
            <w:vAlign w:val="center"/>
          </w:tcPr>
          <w:p>
            <w:pPr>
              <w:rPr>
                <w:rFonts w:ascii="宋体" w:hAnsi="宋体"/>
                <w:sz w:val="24"/>
              </w:rPr>
            </w:pPr>
            <w:r>
              <w:rPr>
                <w:rFonts w:hint="eastAsia" w:ascii="宋体" w:hAnsi="宋体"/>
                <w:sz w:val="24"/>
              </w:rPr>
              <w:t>招标要求</w:t>
            </w:r>
          </w:p>
        </w:tc>
        <w:tc>
          <w:tcPr>
            <w:tcW w:w="2619" w:type="dxa"/>
            <w:vAlign w:val="center"/>
          </w:tcPr>
          <w:p>
            <w:pPr>
              <w:rPr>
                <w:rFonts w:ascii="宋体" w:hAnsi="宋体"/>
                <w:sz w:val="24"/>
              </w:rPr>
            </w:pPr>
            <w:r>
              <w:rPr>
                <w:rFonts w:hint="eastAsia" w:ascii="宋体" w:hAnsi="宋体"/>
                <w:sz w:val="24"/>
              </w:rPr>
              <w:t>投标响应</w:t>
            </w:r>
          </w:p>
        </w:tc>
        <w:tc>
          <w:tcPr>
            <w:tcW w:w="1248" w:type="dxa"/>
            <w:vAlign w:val="center"/>
          </w:tcPr>
          <w:p>
            <w:pPr>
              <w:rPr>
                <w:rFonts w:ascii="宋体" w:hAnsi="宋体"/>
                <w:sz w:val="24"/>
              </w:rPr>
            </w:pPr>
            <w:r>
              <w:rPr>
                <w:rFonts w:hint="eastAsia" w:ascii="宋体" w:hAnsi="宋体"/>
                <w:sz w:val="24"/>
              </w:rPr>
              <w:t>超出、符合或偏离</w:t>
            </w:r>
          </w:p>
        </w:tc>
        <w:tc>
          <w:tcPr>
            <w:tcW w:w="1103" w:type="dxa"/>
            <w:vAlign w:val="center"/>
          </w:tcPr>
          <w:p>
            <w:pPr>
              <w:jc w:val="center"/>
              <w:rPr>
                <w:rFonts w:ascii="宋体" w:hAnsi="宋体"/>
                <w:sz w:val="24"/>
              </w:rPr>
            </w:pPr>
            <w:r>
              <w:rPr>
                <w:rFonts w:hint="eastAsia" w:ascii="宋体" w:hAnsi="宋体"/>
                <w:sz w:val="24"/>
              </w:rPr>
              <w:t>原因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0" w:hRule="atLeast"/>
        </w:trPr>
        <w:tc>
          <w:tcPr>
            <w:tcW w:w="933" w:type="dxa"/>
          </w:tcPr>
          <w:p>
            <w:pPr>
              <w:jc w:val="center"/>
              <w:rPr>
                <w:rFonts w:ascii="宋体" w:hAnsi="宋体"/>
                <w:sz w:val="24"/>
              </w:rPr>
            </w:pPr>
          </w:p>
        </w:tc>
        <w:tc>
          <w:tcPr>
            <w:tcW w:w="2619" w:type="dxa"/>
          </w:tcPr>
          <w:p>
            <w:pPr>
              <w:jc w:val="center"/>
              <w:rPr>
                <w:rFonts w:ascii="宋体" w:hAnsi="宋体"/>
                <w:sz w:val="24"/>
              </w:rPr>
            </w:pPr>
          </w:p>
        </w:tc>
        <w:tc>
          <w:tcPr>
            <w:tcW w:w="2619" w:type="dxa"/>
          </w:tcPr>
          <w:p>
            <w:pPr>
              <w:jc w:val="center"/>
              <w:rPr>
                <w:rFonts w:ascii="宋体" w:hAnsi="宋体"/>
                <w:sz w:val="24"/>
              </w:rPr>
            </w:pPr>
          </w:p>
        </w:tc>
        <w:tc>
          <w:tcPr>
            <w:tcW w:w="1248" w:type="dxa"/>
          </w:tcPr>
          <w:p>
            <w:pPr>
              <w:jc w:val="center"/>
              <w:rPr>
                <w:rFonts w:ascii="宋体" w:hAnsi="宋体"/>
                <w:sz w:val="24"/>
              </w:rPr>
            </w:pPr>
          </w:p>
        </w:tc>
        <w:tc>
          <w:tcPr>
            <w:tcW w:w="1103" w:type="dxa"/>
          </w:tcPr>
          <w:p>
            <w:pPr>
              <w:jc w:val="center"/>
              <w:rPr>
                <w:rFonts w:ascii="宋体" w:hAnsi="宋体"/>
                <w:sz w:val="24"/>
              </w:rPr>
            </w:pPr>
          </w:p>
        </w:tc>
      </w:tr>
    </w:tbl>
    <w:p>
      <w:pPr>
        <w:rPr>
          <w:rFonts w:ascii="宋体" w:hAnsi="宋体"/>
          <w:sz w:val="24"/>
        </w:rPr>
      </w:pPr>
      <w:r>
        <w:rPr>
          <w:rFonts w:hint="eastAsia" w:ascii="宋体" w:hAnsi="宋体"/>
          <w:sz w:val="24"/>
        </w:rPr>
        <w:t>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sz w:val="24"/>
        </w:rPr>
        <w:t>注：1、按照基本技术要求详细填列。</w:t>
      </w:r>
    </w:p>
    <w:p>
      <w:pPr>
        <w:ind w:firstLine="480" w:firstLineChars="200"/>
        <w:rPr>
          <w:rFonts w:ascii="宋体" w:hAnsi="宋体"/>
          <w:sz w:val="24"/>
        </w:rPr>
      </w:pPr>
      <w:r>
        <w:rPr>
          <w:rFonts w:hint="eastAsia" w:ascii="宋体" w:hAnsi="宋体"/>
          <w:sz w:val="24"/>
        </w:rPr>
        <w:t>2、行数不够，可自行添加。</w:t>
      </w:r>
    </w:p>
    <w:p>
      <w:pPr>
        <w:ind w:firstLine="480" w:firstLineChars="200"/>
        <w:rPr>
          <w:rFonts w:ascii="宋体" w:hAnsi="宋体"/>
          <w:sz w:val="24"/>
        </w:rPr>
      </w:pPr>
      <w:r>
        <w:rPr>
          <w:rFonts w:hint="eastAsia" w:ascii="宋体" w:hAnsi="宋体"/>
          <w:sz w:val="24"/>
        </w:rPr>
        <w:t>3、</w:t>
      </w:r>
      <w:r>
        <w:rPr>
          <w:rFonts w:hint="eastAsia"/>
        </w:rPr>
        <w:t>须提供对应的产品检测报告或权威机构出具的产品质量认证证明（复印件）</w:t>
      </w:r>
    </w:p>
    <w:p>
      <w:pPr>
        <w:jc w:val="center"/>
        <w:rPr>
          <w:rFonts w:ascii="黑体" w:hAnsi="Arial" w:eastAsia="黑体"/>
          <w:b/>
          <w:sz w:val="36"/>
        </w:rPr>
      </w:pPr>
    </w:p>
    <w:p>
      <w:pPr>
        <w:jc w:val="center"/>
        <w:rPr>
          <w:rFonts w:ascii="黑体" w:hAnsi="Arial" w:eastAsia="黑体"/>
          <w:b/>
          <w:sz w:val="36"/>
        </w:rPr>
      </w:pPr>
    </w:p>
    <w:p>
      <w:pPr>
        <w:jc w:val="center"/>
        <w:rPr>
          <w:rFonts w:ascii="黑体" w:hAnsi="Arial" w:eastAsia="黑体"/>
          <w:b/>
          <w:sz w:val="36"/>
        </w:rPr>
      </w:pPr>
    </w:p>
    <w:p>
      <w:pPr>
        <w:jc w:val="center"/>
        <w:rPr>
          <w:rFonts w:ascii="黑体" w:hAnsi="Arial" w:eastAsia="黑体"/>
          <w:b/>
          <w:sz w:val="36"/>
        </w:rPr>
      </w:pPr>
    </w:p>
    <w:p>
      <w:pPr>
        <w:rPr>
          <w:rFonts w:ascii="黑体" w:hAnsi="Arial" w:eastAsia="黑体"/>
          <w:sz w:val="32"/>
        </w:rPr>
      </w:pPr>
    </w:p>
    <w:p>
      <w:pPr>
        <w:rPr>
          <w:rFonts w:ascii="黑体" w:hAnsi="Arial" w:eastAsia="黑体"/>
          <w:sz w:val="32"/>
        </w:rPr>
      </w:pPr>
    </w:p>
    <w:p>
      <w:pPr>
        <w:rPr>
          <w:rFonts w:ascii="黑体" w:hAnsi="Arial" w:eastAsia="黑体"/>
          <w:sz w:val="32"/>
        </w:rPr>
      </w:pPr>
    </w:p>
    <w:p>
      <w:pPr>
        <w:rPr>
          <w:rFonts w:ascii="黑体" w:hAnsi="Arial" w:eastAsia="黑体"/>
          <w:sz w:val="32"/>
        </w:rPr>
      </w:pPr>
    </w:p>
    <w:p>
      <w:pPr>
        <w:jc w:val="center"/>
        <w:rPr>
          <w:rFonts w:ascii="宋体" w:hAnsi="宋体"/>
          <w:b/>
          <w:sz w:val="32"/>
          <w:szCs w:val="32"/>
        </w:rPr>
      </w:pPr>
      <w:bookmarkStart w:id="20" w:name="_Hlt26955054"/>
      <w:bookmarkEnd w:id="20"/>
      <w:r>
        <w:rPr>
          <w:rFonts w:hint="eastAsia" w:ascii="宋体" w:hAnsi="宋体"/>
          <w:b/>
          <w:sz w:val="32"/>
          <w:szCs w:val="32"/>
        </w:rPr>
        <w:t>七、商务条款响应及偏离表</w:t>
      </w:r>
    </w:p>
    <w:p>
      <w:pPr>
        <w:jc w:val="center"/>
        <w:rPr>
          <w:rFonts w:ascii="宋体" w:hAnsi="宋体"/>
          <w:sz w:val="24"/>
        </w:rPr>
      </w:pPr>
    </w:p>
    <w:p>
      <w:pPr>
        <w:rPr>
          <w:rFonts w:ascii="宋体" w:hAnsi="宋体"/>
          <w:sz w:val="24"/>
        </w:rPr>
      </w:pPr>
      <w:r>
        <w:rPr>
          <w:rFonts w:hint="eastAsia" w:ascii="宋体" w:hAnsi="宋体"/>
          <w:sz w:val="24"/>
        </w:rPr>
        <w:t xml:space="preserve">投标人全称（加盖公章）：        </w:t>
      </w:r>
    </w:p>
    <w:tbl>
      <w:tblPr>
        <w:tblStyle w:val="87"/>
        <w:tblW w:w="8522"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547"/>
        <w:gridCol w:w="2698"/>
        <w:gridCol w:w="1259"/>
        <w:gridCol w:w="301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642"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项目</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招标文件要求</w:t>
            </w: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是否响应</w:t>
            </w: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投标人的承诺或说明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69"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质保期</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719"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sz w:val="24"/>
              </w:rPr>
              <w:t>售后技术服务要求</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sz w:val="24"/>
              </w:rPr>
              <w:t>交货时间</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宋体" w:hAnsi="宋体"/>
                <w:sz w:val="24"/>
              </w:rPr>
              <w:t>中标方在签订合同后并经采购人通知后， 天内</w:t>
            </w: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40"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sz w:val="24"/>
              </w:rPr>
            </w:pPr>
            <w:r>
              <w:rPr>
                <w:rFonts w:hint="eastAsia" w:ascii="仿宋_GB2312"/>
                <w:sz w:val="24"/>
              </w:rPr>
              <w:t>交货方式</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b/>
                <w:bCs/>
                <w:sz w:val="24"/>
              </w:rPr>
            </w:pPr>
          </w:p>
          <w:p>
            <w:pPr>
              <w:snapToGrid w:val="0"/>
              <w:spacing w:beforeLines="50"/>
              <w:rPr>
                <w:rFonts w:ascii="仿宋_GB2312" w:hAnsi="宋体"/>
                <w:b/>
                <w:bCs/>
                <w:sz w:val="24"/>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sz w:val="24"/>
              </w:rPr>
            </w:pPr>
            <w:r>
              <w:rPr>
                <w:rFonts w:hint="eastAsia" w:ascii="仿宋_GB2312"/>
                <w:sz w:val="24"/>
              </w:rPr>
              <w:t>交货地点</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b/>
                <w:bCs/>
                <w:sz w:val="24"/>
              </w:rPr>
            </w:pPr>
          </w:p>
          <w:p>
            <w:pPr>
              <w:snapToGrid w:val="0"/>
              <w:spacing w:beforeLines="50"/>
              <w:rPr>
                <w:rFonts w:ascii="仿宋_GB2312" w:hAnsi="宋体"/>
                <w:b/>
                <w:bCs/>
                <w:sz w:val="24"/>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820"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付款方式</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rPr>
          <w:trHeight w:val="340" w:hRule="atLeast"/>
        </w:trPr>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宋体" w:hAnsi="宋体"/>
                <w:sz w:val="24"/>
                <w:szCs w:val="20"/>
              </w:rPr>
            </w:pPr>
            <w:r>
              <w:rPr>
                <w:rFonts w:hint="eastAsia" w:ascii="宋体" w:hAnsi="宋体"/>
                <w:sz w:val="24"/>
                <w:szCs w:val="20"/>
              </w:rPr>
              <w:t>投标货币</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p>
            <w:pPr>
              <w:snapToGrid w:val="0"/>
              <w:spacing w:beforeLines="50"/>
              <w:rPr>
                <w:rFonts w:ascii="仿宋_GB2312" w:hAnsi="宋体" w:eastAsia="仿宋_GB2312"/>
                <w:b/>
                <w:bCs/>
                <w:sz w:val="24"/>
                <w:szCs w:val="20"/>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Ex>
        <w:tc>
          <w:tcPr>
            <w:tcW w:w="1547"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sz w:val="24"/>
                <w:szCs w:val="20"/>
              </w:rPr>
            </w:pPr>
            <w:r>
              <w:rPr>
                <w:rFonts w:hint="eastAsia" w:ascii="仿宋_GB2312" w:hAnsi="宋体"/>
                <w:sz w:val="24"/>
              </w:rPr>
              <w:t>其他</w:t>
            </w:r>
          </w:p>
        </w:tc>
        <w:tc>
          <w:tcPr>
            <w:tcW w:w="269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1259"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c>
          <w:tcPr>
            <w:tcW w:w="3018" w:type="dxa"/>
            <w:tcBorders>
              <w:top w:val="single" w:color="auto" w:sz="4" w:space="0"/>
              <w:left w:val="single" w:color="auto" w:sz="4" w:space="0"/>
              <w:bottom w:val="single" w:color="auto" w:sz="4" w:space="0"/>
              <w:right w:val="single" w:color="auto" w:sz="4" w:space="0"/>
            </w:tcBorders>
          </w:tcPr>
          <w:p>
            <w:pPr>
              <w:snapToGrid w:val="0"/>
              <w:spacing w:beforeLines="50"/>
              <w:rPr>
                <w:rFonts w:ascii="仿宋_GB2312" w:hAnsi="宋体" w:eastAsia="仿宋_GB2312"/>
                <w:b/>
                <w:bCs/>
                <w:sz w:val="24"/>
                <w:szCs w:val="20"/>
              </w:rPr>
            </w:pPr>
          </w:p>
        </w:tc>
      </w:tr>
    </w:tbl>
    <w:p>
      <w:pPr>
        <w:rPr>
          <w:rFonts w:ascii="宋体" w:hAnsi="宋体"/>
          <w:sz w:val="24"/>
        </w:rPr>
      </w:pPr>
      <w:r>
        <w:rPr>
          <w:rFonts w:hint="eastAsia" w:ascii="宋体" w:hAnsi="宋体"/>
          <w:sz w:val="24"/>
        </w:rPr>
        <w:t>法定代表人或授权代表签字：</w:t>
      </w:r>
    </w:p>
    <w:p>
      <w:pPr>
        <w:widowControl/>
        <w:jc w:val="left"/>
        <w:rPr>
          <w:szCs w:val="21"/>
          <w:lang w:val="zh-CN"/>
        </w:rPr>
      </w:pPr>
      <w:r>
        <w:rPr>
          <w:szCs w:val="21"/>
          <w:lang w:val="zh-CN"/>
        </w:rPr>
        <w:br w:type="page"/>
      </w:r>
    </w:p>
    <w:p>
      <w:pPr>
        <w:jc w:val="center"/>
        <w:rPr>
          <w:rFonts w:ascii="宋体" w:hAnsi="宋体"/>
          <w:b/>
          <w:sz w:val="32"/>
          <w:szCs w:val="32"/>
        </w:rPr>
      </w:pPr>
      <w:r>
        <w:rPr>
          <w:rFonts w:hint="eastAsia" w:ascii="宋体" w:hAnsi="宋体"/>
          <w:b/>
          <w:sz w:val="32"/>
          <w:szCs w:val="32"/>
        </w:rPr>
        <w:t>八</w:t>
      </w:r>
      <w:r>
        <w:rPr>
          <w:rFonts w:ascii="宋体" w:hAnsi="宋体"/>
          <w:b/>
          <w:sz w:val="32"/>
          <w:szCs w:val="32"/>
        </w:rPr>
        <w:t>、</w:t>
      </w:r>
      <w:r>
        <w:rPr>
          <w:rFonts w:hint="eastAsia" w:ascii="宋体" w:hAnsi="宋体"/>
          <w:b/>
          <w:sz w:val="32"/>
          <w:szCs w:val="32"/>
        </w:rPr>
        <w:t>技术方案及服务方案（格式自拟）</w:t>
      </w:r>
    </w:p>
    <w:p>
      <w:pPr>
        <w:autoSpaceDE w:val="0"/>
        <w:autoSpaceDN w:val="0"/>
        <w:adjustRightInd w:val="0"/>
        <w:spacing w:line="360" w:lineRule="auto"/>
        <w:jc w:val="left"/>
      </w:pPr>
      <w:r>
        <w:rPr>
          <w:rFonts w:hint="eastAsia"/>
        </w:rPr>
        <w:t>技术方案包括：</w:t>
      </w:r>
    </w:p>
    <w:p>
      <w:pPr>
        <w:autoSpaceDE w:val="0"/>
        <w:autoSpaceDN w:val="0"/>
        <w:adjustRightInd w:val="0"/>
        <w:spacing w:line="360" w:lineRule="auto"/>
        <w:jc w:val="left"/>
      </w:pPr>
      <w:r>
        <w:rPr>
          <w:rFonts w:hint="eastAsia"/>
        </w:rPr>
        <w:t>1）技术路线概述</w:t>
      </w:r>
    </w:p>
    <w:p>
      <w:pPr>
        <w:autoSpaceDE w:val="0"/>
        <w:autoSpaceDN w:val="0"/>
        <w:adjustRightInd w:val="0"/>
        <w:spacing w:line="360" w:lineRule="auto"/>
        <w:jc w:val="left"/>
      </w:pPr>
      <w:r>
        <w:rPr>
          <w:rFonts w:hint="eastAsia"/>
        </w:rPr>
        <w:t>2）主要软硬件选型</w:t>
      </w:r>
    </w:p>
    <w:p>
      <w:pPr>
        <w:autoSpaceDE w:val="0"/>
        <w:autoSpaceDN w:val="0"/>
        <w:adjustRightInd w:val="0"/>
        <w:spacing w:line="360" w:lineRule="auto"/>
        <w:jc w:val="left"/>
      </w:pPr>
      <w:r>
        <w:rPr>
          <w:rFonts w:hint="eastAsia"/>
        </w:rPr>
        <w:t>3）改造施工方案</w:t>
      </w:r>
    </w:p>
    <w:p>
      <w:pPr>
        <w:autoSpaceDE w:val="0"/>
        <w:autoSpaceDN w:val="0"/>
        <w:adjustRightInd w:val="0"/>
        <w:spacing w:line="360" w:lineRule="auto"/>
        <w:jc w:val="left"/>
      </w:pPr>
      <w:r>
        <w:rPr>
          <w:rFonts w:hint="eastAsia"/>
        </w:rPr>
        <w:t>4）系统的技术方案及深化设计</w:t>
      </w:r>
    </w:p>
    <w:p>
      <w:pPr>
        <w:autoSpaceDE w:val="0"/>
        <w:autoSpaceDN w:val="0"/>
        <w:adjustRightInd w:val="0"/>
        <w:spacing w:line="360" w:lineRule="auto"/>
        <w:jc w:val="left"/>
        <w:rPr>
          <w:szCs w:val="21"/>
        </w:rPr>
      </w:pPr>
      <w:r>
        <w:rPr>
          <w:rFonts w:hint="eastAsia"/>
          <w:szCs w:val="21"/>
        </w:rPr>
        <w:t>服务方案包括：</w:t>
      </w:r>
    </w:p>
    <w:p>
      <w:pPr>
        <w:pStyle w:val="494"/>
        <w:numPr>
          <w:ilvl w:val="0"/>
          <w:numId w:val="16"/>
        </w:numPr>
        <w:autoSpaceDE w:val="0"/>
        <w:autoSpaceDN w:val="0"/>
        <w:adjustRightInd w:val="0"/>
        <w:spacing w:line="360" w:lineRule="auto"/>
        <w:ind w:firstLineChars="0"/>
        <w:jc w:val="left"/>
      </w:pPr>
      <w:r>
        <w:t>服务</w:t>
      </w:r>
      <w:r>
        <w:rPr>
          <w:rFonts w:hint="eastAsia"/>
        </w:rPr>
        <w:t>机构</w:t>
      </w:r>
    </w:p>
    <w:p>
      <w:pPr>
        <w:pStyle w:val="494"/>
        <w:numPr>
          <w:ilvl w:val="0"/>
          <w:numId w:val="16"/>
        </w:numPr>
        <w:autoSpaceDE w:val="0"/>
        <w:autoSpaceDN w:val="0"/>
        <w:adjustRightInd w:val="0"/>
        <w:spacing w:line="360" w:lineRule="auto"/>
        <w:ind w:firstLineChars="0"/>
        <w:jc w:val="left"/>
      </w:pPr>
      <w:r>
        <w:rPr>
          <w:rFonts w:hint="eastAsia"/>
        </w:rPr>
        <w:t>服务计划</w:t>
      </w:r>
    </w:p>
    <w:p>
      <w:pPr>
        <w:pStyle w:val="494"/>
        <w:numPr>
          <w:ilvl w:val="0"/>
          <w:numId w:val="16"/>
        </w:numPr>
        <w:autoSpaceDE w:val="0"/>
        <w:autoSpaceDN w:val="0"/>
        <w:adjustRightInd w:val="0"/>
        <w:spacing w:line="360" w:lineRule="auto"/>
        <w:ind w:firstLineChars="0"/>
        <w:jc w:val="left"/>
      </w:pPr>
      <w:r>
        <w:t>服务</w:t>
      </w:r>
      <w:r>
        <w:rPr>
          <w:rFonts w:hint="eastAsia"/>
        </w:rPr>
        <w:t>承诺</w:t>
      </w:r>
    </w:p>
    <w:p>
      <w:pPr>
        <w:autoSpaceDE w:val="0"/>
        <w:autoSpaceDN w:val="0"/>
        <w:adjustRightInd w:val="0"/>
        <w:snapToGrid w:val="0"/>
        <w:spacing w:line="360" w:lineRule="auto"/>
        <w:rPr>
          <w:rFonts w:hAnsi="宋体"/>
          <w:b/>
          <w:snapToGrid w:val="0"/>
          <w:szCs w:val="21"/>
        </w:rPr>
      </w:pPr>
      <w:r>
        <w:rPr>
          <w:rFonts w:hint="eastAsia" w:ascii="宋体" w:hAnsi="宋体"/>
          <w:szCs w:val="21"/>
        </w:rPr>
        <w:t>投标人认为需要</w:t>
      </w:r>
      <w:r>
        <w:rPr>
          <w:rFonts w:hint="eastAsia" w:ascii="宋体" w:hAnsi="宋体"/>
          <w:kern w:val="0"/>
          <w:szCs w:val="21"/>
          <w:lang w:val="zh-CN"/>
        </w:rPr>
        <w:t>提供的其他技术文件及资料：</w:t>
      </w:r>
    </w:p>
    <w:p>
      <w:pPr>
        <w:widowControl/>
        <w:tabs>
          <w:tab w:val="left" w:pos="1440"/>
        </w:tabs>
        <w:adjustRightInd w:val="0"/>
        <w:spacing w:line="360" w:lineRule="auto"/>
        <w:jc w:val="left"/>
        <w:rPr>
          <w:kern w:val="0"/>
          <w:szCs w:val="21"/>
        </w:rPr>
      </w:pPr>
    </w:p>
    <w:p>
      <w:pPr>
        <w:widowControl/>
        <w:tabs>
          <w:tab w:val="left" w:pos="1440"/>
        </w:tabs>
        <w:adjustRightInd w:val="0"/>
        <w:spacing w:line="360" w:lineRule="auto"/>
        <w:jc w:val="left"/>
        <w:rPr>
          <w:szCs w:val="21"/>
          <w:lang w:val="zh-CN"/>
        </w:rPr>
      </w:pPr>
      <w:r>
        <w:rPr>
          <w:szCs w:val="21"/>
          <w:lang w:val="zh-CN"/>
        </w:rPr>
        <w:br w:type="page"/>
      </w:r>
      <w:r>
        <w:rPr>
          <w:szCs w:val="21"/>
          <w:lang w:val="zh-CN"/>
        </w:rPr>
        <w:t>附件</w:t>
      </w:r>
      <w:r>
        <w:rPr>
          <w:rFonts w:hint="eastAsia"/>
          <w:szCs w:val="21"/>
          <w:lang w:val="zh-CN"/>
        </w:rPr>
        <w:t>一</w:t>
      </w:r>
      <w:r>
        <w:rPr>
          <w:szCs w:val="21"/>
          <w:lang w:val="zh-CN"/>
        </w:rPr>
        <w:t>、开标一览表格式</w:t>
      </w:r>
    </w:p>
    <w:p>
      <w:pPr>
        <w:widowControl/>
        <w:adjustRightInd w:val="0"/>
        <w:spacing w:line="360" w:lineRule="auto"/>
        <w:ind w:firstLine="3960" w:firstLineChars="1100"/>
        <w:jc w:val="left"/>
        <w:rPr>
          <w:rFonts w:eastAsia="黑体"/>
          <w:kern w:val="0"/>
          <w:sz w:val="36"/>
          <w:szCs w:val="36"/>
          <w:lang w:val="zh-CN"/>
        </w:rPr>
      </w:pPr>
      <w:r>
        <w:rPr>
          <w:rFonts w:eastAsia="黑体"/>
          <w:kern w:val="0"/>
          <w:sz w:val="36"/>
          <w:szCs w:val="36"/>
          <w:lang w:val="zh-CN"/>
        </w:rPr>
        <w:t>开标一览表</w:t>
      </w:r>
    </w:p>
    <w:tbl>
      <w:tblPr>
        <w:tblStyle w:val="87"/>
        <w:tblW w:w="9385" w:type="dxa"/>
        <w:tblInd w:w="83"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05"/>
        <w:gridCol w:w="2160"/>
        <w:gridCol w:w="1438"/>
        <w:gridCol w:w="1335"/>
        <w:gridCol w:w="508"/>
        <w:gridCol w:w="283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6038" w:type="dxa"/>
            <w:gridSpan w:val="4"/>
            <w:tcBorders>
              <w:top w:val="nil"/>
              <w:left w:val="nil"/>
              <w:right w:val="nil"/>
            </w:tcBorders>
            <w:vAlign w:val="center"/>
          </w:tcPr>
          <w:p>
            <w:pPr>
              <w:widowControl/>
              <w:snapToGrid w:val="0"/>
              <w:jc w:val="left"/>
              <w:rPr>
                <w:rFonts w:ascii="宋体" w:hAnsi="宋体" w:cs="宋体"/>
                <w:kern w:val="0"/>
                <w:szCs w:val="21"/>
                <w:lang w:val="zh-CN"/>
              </w:rPr>
            </w:pPr>
            <w:r>
              <w:rPr>
                <w:rFonts w:hint="eastAsia" w:ascii="宋体" w:hAnsi="宋体" w:cs="宋体"/>
                <w:kern w:val="0"/>
                <w:szCs w:val="21"/>
                <w:lang w:val="zh-CN"/>
              </w:rPr>
              <w:t xml:space="preserve">项目名称： </w:t>
            </w:r>
          </w:p>
        </w:tc>
        <w:tc>
          <w:tcPr>
            <w:tcW w:w="3347" w:type="dxa"/>
            <w:gridSpan w:val="2"/>
            <w:tcBorders>
              <w:top w:val="nil"/>
              <w:left w:val="nil"/>
              <w:right w:val="nil"/>
            </w:tcBorders>
            <w:vAlign w:val="center"/>
          </w:tcPr>
          <w:p>
            <w:pPr>
              <w:widowControl/>
              <w:snapToGrid w:val="0"/>
              <w:jc w:val="left"/>
              <w:rPr>
                <w:rFonts w:ascii="宋体" w:hAnsi="宋体" w:cs="宋体"/>
                <w:kern w:val="0"/>
                <w:szCs w:val="21"/>
                <w:lang w:val="zh-CN"/>
              </w:rPr>
            </w:pPr>
            <w:r>
              <w:rPr>
                <w:rFonts w:hint="eastAsia" w:ascii="宋体" w:hAnsi="宋体" w:cs="宋体"/>
                <w:kern w:val="0"/>
                <w:szCs w:val="21"/>
                <w:lang w:val="zh-CN"/>
              </w:rPr>
              <w:t>项目编号：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szCs w:val="21"/>
                <w:lang w:val="zh-CN"/>
              </w:rPr>
            </w:pPr>
            <w:r>
              <w:rPr>
                <w:rFonts w:hint="eastAsia" w:ascii="宋体"/>
                <w:szCs w:val="21"/>
                <w:lang w:val="zh-CN"/>
              </w:rPr>
              <w:t>序号</w:t>
            </w:r>
          </w:p>
        </w:tc>
        <w:tc>
          <w:tcPr>
            <w:tcW w:w="3598" w:type="dxa"/>
            <w:gridSpan w:val="2"/>
            <w:vAlign w:val="center"/>
          </w:tcPr>
          <w:p>
            <w:pPr>
              <w:jc w:val="center"/>
              <w:rPr>
                <w:rFonts w:ascii="宋体"/>
                <w:szCs w:val="21"/>
                <w:lang w:val="zh-CN"/>
              </w:rPr>
            </w:pPr>
            <w:r>
              <w:rPr>
                <w:rFonts w:hint="eastAsia" w:ascii="宋体"/>
                <w:szCs w:val="21"/>
                <w:lang w:val="zh-CN"/>
              </w:rPr>
              <w:t>名               称</w:t>
            </w:r>
          </w:p>
        </w:tc>
        <w:tc>
          <w:tcPr>
            <w:tcW w:w="1843" w:type="dxa"/>
            <w:gridSpan w:val="2"/>
            <w:vAlign w:val="center"/>
          </w:tcPr>
          <w:p>
            <w:pPr>
              <w:jc w:val="center"/>
              <w:rPr>
                <w:rFonts w:ascii="宋体"/>
                <w:szCs w:val="21"/>
                <w:lang w:val="zh-CN"/>
              </w:rPr>
            </w:pPr>
            <w:r>
              <w:rPr>
                <w:rFonts w:hint="eastAsia" w:ascii="宋体"/>
                <w:szCs w:val="21"/>
                <w:lang w:val="zh-CN"/>
              </w:rPr>
              <w:t>报价（元）</w:t>
            </w:r>
          </w:p>
        </w:tc>
        <w:tc>
          <w:tcPr>
            <w:tcW w:w="2839" w:type="dxa"/>
            <w:vAlign w:val="center"/>
          </w:tcPr>
          <w:p>
            <w:pPr>
              <w:jc w:val="center"/>
              <w:rPr>
                <w:rFonts w:ascii="宋体"/>
                <w:szCs w:val="21"/>
                <w:lang w:val="zh-CN"/>
              </w:rPr>
            </w:pPr>
            <w:r>
              <w:rPr>
                <w:rFonts w:hint="eastAsia" w:ascii="宋体"/>
                <w:szCs w:val="21"/>
                <w:lang w:val="zh-CN"/>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r>
              <w:rPr>
                <w:rFonts w:hint="eastAsia" w:ascii="宋体" w:hAnsi="宋体"/>
                <w:spacing w:val="-2"/>
                <w:szCs w:val="21"/>
              </w:rPr>
              <w:t>1</w:t>
            </w:r>
          </w:p>
        </w:tc>
        <w:tc>
          <w:tcPr>
            <w:tcW w:w="3598" w:type="dxa"/>
            <w:gridSpan w:val="2"/>
            <w:vAlign w:val="center"/>
          </w:tcPr>
          <w:p>
            <w:pPr>
              <w:jc w:val="cente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p>
        </w:tc>
        <w:tc>
          <w:tcPr>
            <w:tcW w:w="3598" w:type="dxa"/>
            <w:gridSpan w:val="2"/>
            <w:vAlign w:val="center"/>
          </w:tcPr>
          <w:p>
            <w:pP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p>
        </w:tc>
        <w:tc>
          <w:tcPr>
            <w:tcW w:w="3598" w:type="dxa"/>
            <w:gridSpan w:val="2"/>
            <w:vAlign w:val="center"/>
          </w:tcPr>
          <w:p>
            <w:pP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p>
        </w:tc>
        <w:tc>
          <w:tcPr>
            <w:tcW w:w="3598" w:type="dxa"/>
            <w:gridSpan w:val="2"/>
            <w:vAlign w:val="center"/>
          </w:tcPr>
          <w:p>
            <w:pP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p>
        </w:tc>
        <w:tc>
          <w:tcPr>
            <w:tcW w:w="3598" w:type="dxa"/>
            <w:gridSpan w:val="2"/>
            <w:vAlign w:val="center"/>
          </w:tcPr>
          <w:p>
            <w:pP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1105" w:type="dxa"/>
            <w:vAlign w:val="center"/>
          </w:tcPr>
          <w:p>
            <w:pPr>
              <w:jc w:val="center"/>
              <w:rPr>
                <w:rFonts w:ascii="宋体" w:hAnsi="宋体"/>
                <w:spacing w:val="-2"/>
                <w:szCs w:val="21"/>
              </w:rPr>
            </w:pPr>
          </w:p>
        </w:tc>
        <w:tc>
          <w:tcPr>
            <w:tcW w:w="3598" w:type="dxa"/>
            <w:gridSpan w:val="2"/>
            <w:vAlign w:val="center"/>
          </w:tcPr>
          <w:p>
            <w:pPr>
              <w:rPr>
                <w:rFonts w:ascii="宋体" w:hAnsi="宋体"/>
                <w:spacing w:val="-2"/>
                <w:szCs w:val="21"/>
              </w:rPr>
            </w:pPr>
          </w:p>
        </w:tc>
        <w:tc>
          <w:tcPr>
            <w:tcW w:w="1843" w:type="dxa"/>
            <w:gridSpan w:val="2"/>
            <w:vAlign w:val="center"/>
          </w:tcPr>
          <w:p>
            <w:pPr>
              <w:jc w:val="center"/>
              <w:rPr>
                <w:rFonts w:ascii="宋体"/>
                <w:szCs w:val="21"/>
                <w:lang w:val="zh-CN"/>
              </w:rPr>
            </w:pPr>
          </w:p>
        </w:tc>
        <w:tc>
          <w:tcPr>
            <w:tcW w:w="2839" w:type="dxa"/>
            <w:vAlign w:val="center"/>
          </w:tcPr>
          <w:p>
            <w:pPr>
              <w:jc w:val="center"/>
              <w:rPr>
                <w:rFonts w:ascii="宋体"/>
                <w:szCs w:val="21"/>
                <w:lang w:val="zh-CN"/>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3265" w:type="dxa"/>
            <w:gridSpan w:val="2"/>
            <w:vAlign w:val="center"/>
          </w:tcPr>
          <w:p>
            <w:pPr>
              <w:widowControl/>
              <w:snapToGrid w:val="0"/>
              <w:jc w:val="center"/>
              <w:rPr>
                <w:rFonts w:ascii="宋体" w:hAnsi="宋体" w:cs="宋体"/>
                <w:kern w:val="0"/>
                <w:szCs w:val="21"/>
                <w:lang w:val="zh-CN"/>
              </w:rPr>
            </w:pPr>
            <w:r>
              <w:rPr>
                <w:rFonts w:hint="eastAsia" w:ascii="宋体" w:hAnsi="宋体" w:cs="宋体"/>
                <w:kern w:val="0"/>
                <w:szCs w:val="21"/>
                <w:lang w:val="zh-CN"/>
              </w:rPr>
              <w:t>投标总价（人民币，大写）</w:t>
            </w:r>
          </w:p>
        </w:tc>
        <w:tc>
          <w:tcPr>
            <w:tcW w:w="6120" w:type="dxa"/>
            <w:gridSpan w:val="4"/>
            <w:vAlign w:val="center"/>
          </w:tcPr>
          <w:p>
            <w:pPr>
              <w:widowControl/>
              <w:snapToGrid w:val="0"/>
              <w:ind w:firstLine="3990" w:firstLineChars="1900"/>
              <w:jc w:val="left"/>
              <w:rPr>
                <w:rFonts w:ascii="宋体" w:hAnsi="宋体" w:cs="宋体"/>
                <w:kern w:val="0"/>
                <w:szCs w:val="21"/>
                <w:lang w:val="zh-CN"/>
              </w:rPr>
            </w:pPr>
            <w:r>
              <w:rPr>
                <w:rFonts w:hint="eastAsia" w:ascii="宋体" w:hAnsi="宋体" w:cs="宋体"/>
                <w:kern w:val="0"/>
                <w:szCs w:val="21"/>
                <w:lang w:val="zh-CN"/>
              </w:rPr>
              <w:t>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3265" w:type="dxa"/>
            <w:gridSpan w:val="2"/>
            <w:vAlign w:val="center"/>
          </w:tcPr>
          <w:p>
            <w:pPr>
              <w:widowControl/>
              <w:snapToGrid w:val="0"/>
              <w:jc w:val="center"/>
              <w:rPr>
                <w:rFonts w:ascii="宋体" w:hAnsi="宋体" w:cs="宋体"/>
                <w:kern w:val="0"/>
                <w:szCs w:val="21"/>
                <w:lang w:val="zh-CN"/>
              </w:rPr>
            </w:pPr>
            <w:r>
              <w:rPr>
                <w:rFonts w:hint="eastAsia" w:ascii="宋体" w:hAnsi="宋体" w:cs="宋体"/>
                <w:kern w:val="0"/>
                <w:szCs w:val="21"/>
                <w:lang w:val="zh-CN"/>
              </w:rPr>
              <w:t>投标产品是否属于小微型企业生产产品</w:t>
            </w:r>
          </w:p>
        </w:tc>
        <w:tc>
          <w:tcPr>
            <w:tcW w:w="6120" w:type="dxa"/>
            <w:gridSpan w:val="4"/>
            <w:vAlign w:val="center"/>
          </w:tcPr>
          <w:p>
            <w:pPr>
              <w:widowControl/>
              <w:snapToGrid w:val="0"/>
              <w:jc w:val="left"/>
              <w:rPr>
                <w:rFonts w:ascii="宋体" w:hAnsi="宋体" w:cs="宋体"/>
                <w:kern w:val="0"/>
                <w:szCs w:val="21"/>
                <w:lang w:val="zh-CN"/>
              </w:rPr>
            </w:pPr>
            <w:r>
              <w:rPr>
                <w:rFonts w:hint="eastAsia" w:ascii="宋体" w:hAnsi="宋体" w:cs="宋体"/>
                <w:kern w:val="0"/>
                <w:szCs w:val="21"/>
                <w:lang w:val="zh-CN"/>
              </w:rPr>
              <w:t>是       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3265" w:type="dxa"/>
            <w:gridSpan w:val="2"/>
            <w:vAlign w:val="center"/>
          </w:tcPr>
          <w:p>
            <w:pPr>
              <w:widowControl/>
              <w:snapToGrid w:val="0"/>
              <w:jc w:val="center"/>
              <w:rPr>
                <w:rFonts w:ascii="宋体" w:hAnsi="宋体" w:cs="宋体"/>
                <w:kern w:val="0"/>
                <w:szCs w:val="21"/>
                <w:lang w:val="zh-CN"/>
              </w:rPr>
            </w:pPr>
            <w:r>
              <w:rPr>
                <w:rFonts w:hint="eastAsia" w:ascii="宋体" w:hAnsi="宋体" w:cs="宋体"/>
                <w:kern w:val="0"/>
                <w:szCs w:val="21"/>
                <w:lang w:val="zh-CN"/>
              </w:rPr>
              <w:t>投标产品是否属于节能产品</w:t>
            </w:r>
          </w:p>
        </w:tc>
        <w:tc>
          <w:tcPr>
            <w:tcW w:w="6120" w:type="dxa"/>
            <w:gridSpan w:val="4"/>
            <w:vAlign w:val="center"/>
          </w:tcPr>
          <w:p>
            <w:pPr>
              <w:widowControl/>
              <w:snapToGrid w:val="0"/>
              <w:jc w:val="left"/>
              <w:rPr>
                <w:rFonts w:ascii="宋体" w:hAnsi="宋体" w:cs="宋体"/>
                <w:kern w:val="0"/>
                <w:szCs w:val="21"/>
                <w:lang w:val="zh-CN"/>
              </w:rPr>
            </w:pPr>
            <w:r>
              <w:rPr>
                <w:rFonts w:hint="eastAsia" w:ascii="宋体" w:hAnsi="宋体" w:cs="宋体"/>
                <w:kern w:val="0"/>
                <w:szCs w:val="21"/>
                <w:lang w:val="zh-CN"/>
              </w:rPr>
              <w:t>是       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284" w:hRule="atLeast"/>
        </w:trPr>
        <w:tc>
          <w:tcPr>
            <w:tcW w:w="3265" w:type="dxa"/>
            <w:gridSpan w:val="2"/>
            <w:vAlign w:val="center"/>
          </w:tcPr>
          <w:p>
            <w:pPr>
              <w:widowControl/>
              <w:snapToGrid w:val="0"/>
              <w:jc w:val="center"/>
              <w:rPr>
                <w:rFonts w:ascii="宋体" w:hAnsi="宋体" w:cs="宋体"/>
                <w:kern w:val="0"/>
                <w:szCs w:val="21"/>
                <w:lang w:val="zh-CN"/>
              </w:rPr>
            </w:pPr>
            <w:r>
              <w:rPr>
                <w:rFonts w:hint="eastAsia" w:ascii="宋体" w:hAnsi="宋体" w:cs="宋体"/>
                <w:kern w:val="0"/>
                <w:szCs w:val="21"/>
                <w:lang w:val="zh-CN"/>
              </w:rPr>
              <w:t>投标产品是否属于环保产品</w:t>
            </w:r>
          </w:p>
        </w:tc>
        <w:tc>
          <w:tcPr>
            <w:tcW w:w="6120" w:type="dxa"/>
            <w:gridSpan w:val="4"/>
            <w:vAlign w:val="center"/>
          </w:tcPr>
          <w:p>
            <w:pPr>
              <w:widowControl/>
              <w:snapToGrid w:val="0"/>
              <w:jc w:val="left"/>
              <w:rPr>
                <w:rFonts w:ascii="宋体" w:hAnsi="宋体" w:cs="宋体"/>
                <w:kern w:val="0"/>
                <w:szCs w:val="21"/>
                <w:lang w:val="zh-CN"/>
              </w:rPr>
            </w:pPr>
            <w:r>
              <w:rPr>
                <w:rFonts w:hint="eastAsia" w:ascii="宋体" w:hAnsi="宋体" w:cs="宋体"/>
                <w:kern w:val="0"/>
                <w:szCs w:val="21"/>
                <w:lang w:val="zh-CN"/>
              </w:rPr>
              <w:t>是       否</w:t>
            </w:r>
          </w:p>
        </w:tc>
      </w:tr>
    </w:tbl>
    <w:p>
      <w:pPr>
        <w:widowControl/>
        <w:adjustRightInd w:val="0"/>
        <w:spacing w:line="240" w:lineRule="atLeast"/>
        <w:jc w:val="left"/>
        <w:rPr>
          <w:rFonts w:ascii="宋体" w:hAnsi="宋体" w:cs="宋体"/>
          <w:kern w:val="0"/>
          <w:szCs w:val="21"/>
          <w:lang w:val="zh-CN"/>
        </w:rPr>
      </w:pPr>
      <w:r>
        <w:rPr>
          <w:rFonts w:hint="eastAsia" w:ascii="宋体" w:hAnsi="宋体" w:cs="宋体"/>
          <w:kern w:val="0"/>
          <w:szCs w:val="21"/>
          <w:lang w:val="zh-CN"/>
        </w:rPr>
        <w:t>投标人名称:（盖章）</w:t>
      </w:r>
    </w:p>
    <w:p>
      <w:pPr>
        <w:widowControl/>
        <w:adjustRightInd w:val="0"/>
        <w:spacing w:line="240" w:lineRule="atLeast"/>
        <w:jc w:val="left"/>
        <w:rPr>
          <w:rFonts w:ascii="宋体" w:hAnsi="宋体" w:cs="宋体"/>
          <w:kern w:val="0"/>
          <w:szCs w:val="21"/>
          <w:lang w:val="zh-CN"/>
        </w:rPr>
      </w:pPr>
      <w:r>
        <w:rPr>
          <w:rFonts w:hint="eastAsia" w:ascii="宋体" w:hAnsi="宋体" w:cs="宋体"/>
          <w:kern w:val="0"/>
          <w:szCs w:val="21"/>
          <w:lang w:val="zh-CN"/>
        </w:rPr>
        <w:t>说明：</w:t>
      </w:r>
    </w:p>
    <w:p>
      <w:pPr>
        <w:widowControl/>
        <w:adjustRightInd w:val="0"/>
        <w:ind w:firstLine="420" w:firstLineChars="200"/>
        <w:jc w:val="left"/>
        <w:rPr>
          <w:rFonts w:ascii="宋体" w:hAnsi="宋体" w:cs="宋体"/>
          <w:b/>
          <w:kern w:val="0"/>
          <w:szCs w:val="21"/>
          <w:lang w:val="zh-CN"/>
        </w:rPr>
      </w:pPr>
      <w:r>
        <w:rPr>
          <w:rFonts w:hint="eastAsia" w:ascii="宋体" w:hAnsi="宋体" w:cs="宋体"/>
          <w:kern w:val="0"/>
          <w:szCs w:val="21"/>
          <w:lang w:val="zh-CN"/>
        </w:rPr>
        <w:t>1、</w:t>
      </w:r>
      <w:r>
        <w:rPr>
          <w:rFonts w:hint="eastAsia" w:ascii="宋体" w:hAnsi="宋体" w:cs="宋体"/>
          <w:b/>
          <w:kern w:val="0"/>
          <w:szCs w:val="21"/>
          <w:lang w:val="zh-CN"/>
        </w:rPr>
        <w:t>《开标一览表》一份，要求单独封装并标明“开标一览表”字样(如未单独封装或未加盖单位公章的,将作为无效投标处理)，随投标文件一并递交，以便唱标时使用。</w:t>
      </w:r>
    </w:p>
    <w:p>
      <w:pPr>
        <w:widowControl/>
        <w:adjustRightInd w:val="0"/>
        <w:ind w:firstLine="420"/>
        <w:jc w:val="left"/>
        <w:rPr>
          <w:rFonts w:ascii="宋体" w:hAnsi="宋体" w:cs="宋体"/>
          <w:kern w:val="0"/>
          <w:szCs w:val="21"/>
          <w:lang w:val="zh-CN"/>
        </w:rPr>
      </w:pPr>
      <w:r>
        <w:rPr>
          <w:rFonts w:hint="eastAsia" w:ascii="宋体" w:hAnsi="宋体" w:cs="宋体"/>
          <w:kern w:val="0"/>
          <w:szCs w:val="21"/>
          <w:lang w:val="zh-CN"/>
        </w:rPr>
        <w:t>2、在“投标产品是否属于小微型企业生产产品”栏后“是”或“否”上打“√”。</w:t>
      </w:r>
    </w:p>
    <w:p>
      <w:pPr>
        <w:widowControl/>
        <w:adjustRightInd w:val="0"/>
        <w:ind w:firstLine="420"/>
        <w:jc w:val="left"/>
        <w:rPr>
          <w:rFonts w:ascii="宋体" w:hAnsi="宋体" w:cs="Verdana"/>
          <w:kern w:val="0"/>
          <w:szCs w:val="21"/>
          <w:lang w:val="zh-CN"/>
        </w:rPr>
      </w:pPr>
      <w:r>
        <w:rPr>
          <w:rFonts w:hint="eastAsia" w:ascii="宋体" w:hAnsi="宋体" w:cs="宋体"/>
          <w:kern w:val="0"/>
          <w:szCs w:val="21"/>
          <w:lang w:val="zh-CN"/>
        </w:rPr>
        <w:t>3、在“投标产品是否属于节能产品</w:t>
      </w:r>
      <w:r>
        <w:rPr>
          <w:rFonts w:hint="eastAsia" w:ascii="宋体" w:hAnsi="宋体" w:cs="Verdana"/>
          <w:kern w:val="0"/>
          <w:szCs w:val="21"/>
          <w:lang w:val="zh-CN"/>
        </w:rPr>
        <w:t>”栏后“是”或“否”上打“√”。</w:t>
      </w:r>
    </w:p>
    <w:p>
      <w:pPr>
        <w:widowControl/>
        <w:adjustRightInd w:val="0"/>
        <w:ind w:firstLine="420"/>
        <w:jc w:val="left"/>
        <w:rPr>
          <w:b/>
          <w:szCs w:val="21"/>
          <w:lang w:val="zh-CN"/>
        </w:rPr>
      </w:pPr>
      <w:r>
        <w:rPr>
          <w:rFonts w:hint="eastAsia" w:ascii="宋体" w:hAnsi="宋体" w:cs="Verdana"/>
          <w:kern w:val="0"/>
          <w:szCs w:val="21"/>
          <w:lang w:val="zh-CN"/>
        </w:rPr>
        <w:t>4、在“</w:t>
      </w:r>
      <w:r>
        <w:rPr>
          <w:rFonts w:hint="eastAsia" w:ascii="宋体" w:hAnsi="宋体" w:cs="宋体"/>
          <w:kern w:val="0"/>
          <w:szCs w:val="21"/>
          <w:lang w:val="zh-CN"/>
        </w:rPr>
        <w:t>投标产品是否属于环保产品</w:t>
      </w:r>
      <w:r>
        <w:rPr>
          <w:rFonts w:hint="eastAsia" w:ascii="宋体" w:hAnsi="宋体" w:cs="Verdana"/>
          <w:kern w:val="0"/>
          <w:szCs w:val="21"/>
          <w:lang w:val="zh-CN"/>
        </w:rPr>
        <w:t>”栏后“是”或“否”上打“√”。</w:t>
      </w: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adjustRightInd w:val="0"/>
        <w:ind w:firstLine="420"/>
        <w:jc w:val="left"/>
        <w:rPr>
          <w:b/>
          <w:szCs w:val="21"/>
          <w:lang w:val="zh-CN"/>
        </w:rPr>
      </w:pPr>
    </w:p>
    <w:p>
      <w:pPr>
        <w:widowControl/>
        <w:tabs>
          <w:tab w:val="left" w:pos="1440"/>
        </w:tabs>
        <w:adjustRightInd w:val="0"/>
        <w:spacing w:line="360" w:lineRule="auto"/>
        <w:jc w:val="left"/>
        <w:rPr>
          <w:szCs w:val="21"/>
          <w:lang w:val="zh-CN"/>
        </w:rPr>
      </w:pPr>
      <w:bookmarkStart w:id="21" w:name="_Toc466378484"/>
      <w:bookmarkStart w:id="22" w:name="_Toc444669983"/>
      <w:r>
        <w:rPr>
          <w:szCs w:val="21"/>
          <w:lang w:val="zh-CN"/>
        </w:rPr>
        <w:t>附件</w:t>
      </w:r>
      <w:r>
        <w:rPr>
          <w:rFonts w:hint="eastAsia"/>
          <w:szCs w:val="21"/>
          <w:lang w:val="zh-CN"/>
        </w:rPr>
        <w:t>二</w:t>
      </w:r>
      <w:r>
        <w:rPr>
          <w:szCs w:val="21"/>
          <w:lang w:val="zh-CN"/>
        </w:rPr>
        <w:t>、</w:t>
      </w:r>
      <w:r>
        <w:rPr>
          <w:rFonts w:hint="eastAsia"/>
          <w:szCs w:val="21"/>
          <w:lang w:val="zh-CN"/>
        </w:rPr>
        <w:t>参加政府采购活动前 3 年内在经营活动中没有重大违法记录的书面声明</w:t>
      </w:r>
      <w:bookmarkEnd w:id="21"/>
      <w:bookmarkEnd w:id="22"/>
    </w:p>
    <w:p>
      <w:pPr>
        <w:spacing w:line="460" w:lineRule="exact"/>
        <w:rPr>
          <w:rFonts w:ascii="宋体" w:hAnsi="宋体"/>
          <w:b/>
          <w:bCs/>
          <w:sz w:val="44"/>
          <w:szCs w:val="44"/>
        </w:rPr>
      </w:pPr>
    </w:p>
    <w:p>
      <w:pPr>
        <w:spacing w:line="460" w:lineRule="exact"/>
        <w:rPr>
          <w:rFonts w:ascii="宋体" w:hAnsi="宋体"/>
          <w:b/>
          <w:bCs/>
          <w:sz w:val="44"/>
          <w:szCs w:val="44"/>
        </w:rPr>
      </w:pPr>
      <w:r>
        <w:rPr>
          <w:rFonts w:hint="eastAsia" w:ascii="宋体" w:hAnsi="宋体"/>
          <w:b/>
          <w:bCs/>
          <w:sz w:val="44"/>
          <w:szCs w:val="44"/>
        </w:rPr>
        <w:t xml:space="preserve">                   声  明</w:t>
      </w:r>
    </w:p>
    <w:p>
      <w:pPr>
        <w:spacing w:line="460" w:lineRule="exact"/>
        <w:rPr>
          <w:rFonts w:ascii="宋体" w:hAnsi="宋体"/>
          <w:bCs/>
          <w:sz w:val="24"/>
        </w:rPr>
      </w:pPr>
      <w:r>
        <w:rPr>
          <w:rFonts w:hint="eastAsia" w:ascii="宋体" w:hAnsi="宋体"/>
          <w:bCs/>
          <w:sz w:val="24"/>
        </w:rPr>
        <w:t>我公司郑重声明：参加本次政府采购活动前 3 年内，我公司在经营活动中没有因违法经营受到刑事处罚或者责令停产停业、吊销许可证或者执照、较大数额罚款等行政处罚。</w:t>
      </w:r>
    </w:p>
    <w:p>
      <w:pPr>
        <w:spacing w:line="460" w:lineRule="exact"/>
        <w:rPr>
          <w:rFonts w:ascii="宋体" w:hAnsi="宋体"/>
          <w:bCs/>
          <w:sz w:val="24"/>
        </w:rPr>
      </w:pPr>
      <w:r>
        <w:rPr>
          <w:rFonts w:hint="eastAsia" w:ascii="宋体" w:hAnsi="宋体"/>
          <w:bCs/>
          <w:sz w:val="24"/>
        </w:rPr>
        <w:t xml:space="preserve">                                供应商名称（公章）：</w:t>
      </w:r>
    </w:p>
    <w:p>
      <w:pPr>
        <w:spacing w:line="460" w:lineRule="exact"/>
        <w:rPr>
          <w:rFonts w:ascii="宋体" w:hAnsi="宋体"/>
          <w:bCs/>
          <w:sz w:val="24"/>
        </w:rPr>
      </w:pPr>
      <w:r>
        <w:rPr>
          <w:rFonts w:hint="eastAsia" w:ascii="宋体" w:hAnsi="宋体"/>
          <w:bCs/>
          <w:sz w:val="24"/>
        </w:rPr>
        <w:t xml:space="preserve">                                 授权代表签字：</w:t>
      </w:r>
      <w:r>
        <w:rPr>
          <w:rFonts w:hint="eastAsia" w:ascii="宋体" w:hAnsi="宋体"/>
          <w:bCs/>
          <w:sz w:val="24"/>
          <w:u w:val="single"/>
        </w:rPr>
        <w:t>_______________________</w:t>
      </w:r>
    </w:p>
    <w:p>
      <w:pPr>
        <w:spacing w:line="460" w:lineRule="exact"/>
        <w:rPr>
          <w:rFonts w:ascii="宋体" w:hAnsi="宋体"/>
          <w:bCs/>
          <w:sz w:val="24"/>
        </w:rPr>
      </w:pPr>
      <w:r>
        <w:rPr>
          <w:rFonts w:hint="eastAsia" w:ascii="宋体" w:hAnsi="宋体"/>
          <w:bCs/>
          <w:sz w:val="24"/>
        </w:rPr>
        <w:t xml:space="preserve">                                     日期：</w:t>
      </w:r>
      <w:r>
        <w:rPr>
          <w:rFonts w:hint="eastAsia" w:ascii="宋体" w:hAnsi="宋体"/>
          <w:bCs/>
          <w:sz w:val="24"/>
          <w:u w:val="single"/>
        </w:rPr>
        <w:t>______</w:t>
      </w:r>
      <w:r>
        <w:rPr>
          <w:rFonts w:hint="eastAsia" w:ascii="宋体" w:hAnsi="宋体"/>
          <w:bCs/>
          <w:sz w:val="24"/>
        </w:rPr>
        <w:t>年月日</w:t>
      </w:r>
    </w:p>
    <w:p>
      <w:pPr>
        <w:widowControl/>
        <w:jc w:val="left"/>
        <w:rPr>
          <w:rFonts w:ascii="宋体" w:hAnsi="宋体"/>
          <w:szCs w:val="21"/>
        </w:rPr>
      </w:pPr>
      <w:r>
        <w:rPr>
          <w:rFonts w:ascii="宋体" w:hAnsi="宋体"/>
          <w:szCs w:val="21"/>
        </w:rPr>
        <w:br w:type="page"/>
      </w:r>
    </w:p>
    <w:p>
      <w:pPr>
        <w:widowControl/>
        <w:tabs>
          <w:tab w:val="left" w:pos="1440"/>
        </w:tabs>
        <w:adjustRightInd w:val="0"/>
        <w:spacing w:line="360" w:lineRule="auto"/>
        <w:jc w:val="left"/>
        <w:rPr>
          <w:szCs w:val="21"/>
          <w:lang w:val="zh-CN"/>
        </w:rPr>
      </w:pPr>
      <w:r>
        <w:rPr>
          <w:rFonts w:hint="eastAsia"/>
          <w:szCs w:val="21"/>
          <w:lang w:val="zh-CN"/>
        </w:rPr>
        <w:t>附件三、</w:t>
      </w:r>
      <w:bookmarkStart w:id="23" w:name="_Toc469583073"/>
      <w:bookmarkStart w:id="24" w:name="_Toc524964899"/>
      <w:r>
        <w:rPr>
          <w:rFonts w:hint="eastAsia"/>
          <w:szCs w:val="21"/>
          <w:lang w:val="zh-CN"/>
        </w:rPr>
        <w:t>政府采购政策</w:t>
      </w:r>
      <w:bookmarkEnd w:id="23"/>
      <w:bookmarkEnd w:id="24"/>
    </w:p>
    <w:p>
      <w:pPr>
        <w:keepNext/>
        <w:keepLines/>
        <w:spacing w:line="360" w:lineRule="auto"/>
        <w:outlineLvl w:val="2"/>
        <w:rPr>
          <w:rFonts w:ascii="仿宋" w:hAnsi="仿宋" w:eastAsia="仿宋"/>
          <w:bCs/>
          <w:sz w:val="24"/>
        </w:rPr>
      </w:pPr>
      <w:bookmarkStart w:id="25" w:name="_Toc469583074"/>
      <w:bookmarkStart w:id="26" w:name="_Toc524964900"/>
      <w:bookmarkStart w:id="27" w:name="_Toc447021131"/>
      <w:r>
        <w:rPr>
          <w:rFonts w:hint="eastAsia" w:ascii="仿宋" w:hAnsi="仿宋" w:eastAsia="仿宋"/>
          <w:bCs/>
          <w:sz w:val="24"/>
        </w:rPr>
        <w:t>（一）、政府采购促进中小企业发展政策</w:t>
      </w:r>
      <w:bookmarkEnd w:id="25"/>
      <w:bookmarkEnd w:id="26"/>
      <w:bookmarkEnd w:id="27"/>
    </w:p>
    <w:p>
      <w:pPr>
        <w:spacing w:line="360" w:lineRule="auto"/>
        <w:ind w:firstLine="480" w:firstLineChars="200"/>
        <w:rPr>
          <w:rFonts w:ascii="仿宋" w:hAnsi="仿宋" w:eastAsia="仿宋"/>
          <w:sz w:val="24"/>
        </w:rPr>
      </w:pPr>
      <w:r>
        <w:rPr>
          <w:rFonts w:hint="eastAsia" w:ascii="仿宋" w:hAnsi="仿宋" w:eastAsia="仿宋"/>
          <w:sz w:val="24"/>
        </w:rPr>
        <w:t xml:space="preserve">1、企业声明函 </w:t>
      </w:r>
    </w:p>
    <w:p>
      <w:pPr>
        <w:spacing w:line="360" w:lineRule="auto"/>
        <w:ind w:firstLine="480" w:firstLineChars="200"/>
        <w:rPr>
          <w:rFonts w:ascii="仿宋" w:hAnsi="仿宋" w:eastAsia="仿宋"/>
          <w:sz w:val="24"/>
        </w:rPr>
      </w:pPr>
      <w:r>
        <w:rPr>
          <w:rFonts w:hint="eastAsia" w:ascii="仿宋" w:hAnsi="仿宋" w:eastAsia="仿宋"/>
          <w:sz w:val="24"/>
        </w:rPr>
        <w:t xml:space="preserve">本公司郑重声明，根据《政府采购促进中小企业发展暂行办法》(财库[2011]181 号)的规定，本公司为  ______ (请填写：大型、中型、小型、微型)企业。 </w:t>
      </w:r>
    </w:p>
    <w:p>
      <w:pPr>
        <w:spacing w:line="360" w:lineRule="auto"/>
        <w:ind w:firstLine="480" w:firstLineChars="200"/>
        <w:rPr>
          <w:rFonts w:ascii="仿宋" w:hAnsi="仿宋" w:eastAsia="仿宋"/>
          <w:sz w:val="24"/>
        </w:rPr>
      </w:pPr>
      <w:r>
        <w:rPr>
          <w:rFonts w:hint="eastAsia" w:ascii="仿宋" w:hAnsi="仿宋" w:eastAsia="仿宋"/>
          <w:sz w:val="24"/>
        </w:rPr>
        <w:t xml:space="preserve">一、根据《工业和信息化部、国家统计局、国家发展和改革委员会、财政部关于印发中小企业划型标准规定的通知》(工信部联企业[2011]300 号)规定的划分标准，本公司为______ (请填写：大型、中型、小型、微型)企业。 </w:t>
      </w:r>
    </w:p>
    <w:p>
      <w:pPr>
        <w:spacing w:line="360" w:lineRule="auto"/>
        <w:ind w:firstLine="480" w:firstLineChars="200"/>
        <w:rPr>
          <w:rFonts w:ascii="仿宋" w:hAnsi="仿宋" w:eastAsia="仿宋"/>
          <w:sz w:val="24"/>
        </w:rPr>
      </w:pPr>
      <w:r>
        <w:rPr>
          <w:rFonts w:hint="eastAsia" w:ascii="仿宋" w:hAnsi="仿宋" w:eastAsia="仿宋"/>
          <w:sz w:val="24"/>
        </w:rPr>
        <w:t xml:space="preserve">二、本公司参加项目编号为 ______的______单位的______项目采购活动提供本企业制造的货物，由本企业承担工程、提供服务，或者提供其他______  (请填写：小型、微型)企业制造的货物。本条所称货物不包括使用大型企业注册商标的货物。 </w:t>
      </w:r>
    </w:p>
    <w:p>
      <w:pPr>
        <w:spacing w:line="360" w:lineRule="auto"/>
        <w:ind w:firstLine="720" w:firstLineChars="300"/>
        <w:rPr>
          <w:rFonts w:ascii="仿宋" w:hAnsi="仿宋" w:eastAsia="仿宋"/>
          <w:sz w:val="24"/>
        </w:rPr>
      </w:pPr>
      <w:r>
        <w:rPr>
          <w:rFonts w:hint="eastAsia" w:ascii="仿宋" w:hAnsi="仿宋" w:eastAsia="仿宋"/>
          <w:sz w:val="24"/>
        </w:rPr>
        <w:t xml:space="preserve">本公司对上述声明的真实性负责。如有虚假，将依法承担相应责任。 </w:t>
      </w:r>
    </w:p>
    <w:p>
      <w:pPr>
        <w:spacing w:line="360" w:lineRule="auto"/>
        <w:ind w:firstLine="480" w:firstLineChars="200"/>
        <w:rPr>
          <w:rFonts w:ascii="仿宋" w:hAnsi="仿宋" w:eastAsia="仿宋"/>
          <w:sz w:val="24"/>
        </w:rPr>
      </w:pPr>
      <w:r>
        <w:rPr>
          <w:rFonts w:hint="eastAsia" w:ascii="仿宋" w:hAnsi="仿宋" w:eastAsia="仿宋"/>
          <w:sz w:val="24"/>
        </w:rPr>
        <w:t>　企业名称（盖章）：</w:t>
      </w:r>
    </w:p>
    <w:p>
      <w:pPr>
        <w:spacing w:line="360" w:lineRule="auto"/>
        <w:ind w:firstLine="480" w:firstLineChars="200"/>
        <w:rPr>
          <w:rFonts w:ascii="仿宋" w:hAnsi="仿宋" w:eastAsia="仿宋"/>
          <w:sz w:val="24"/>
        </w:rPr>
      </w:pPr>
      <w:r>
        <w:rPr>
          <w:rFonts w:hint="eastAsia" w:ascii="仿宋" w:hAnsi="仿宋" w:eastAsia="仿宋"/>
          <w:sz w:val="24"/>
        </w:rPr>
        <w:t xml:space="preserve">  日   期：　　</w:t>
      </w:r>
    </w:p>
    <w:p>
      <w:pPr>
        <w:spacing w:line="360" w:lineRule="auto"/>
        <w:rPr>
          <w:rFonts w:ascii="仿宋" w:hAnsi="仿宋" w:eastAsia="仿宋"/>
          <w:sz w:val="24"/>
        </w:rPr>
      </w:pPr>
      <w:r>
        <w:rPr>
          <w:rFonts w:hint="eastAsia" w:ascii="仿宋" w:hAnsi="仿宋" w:eastAsia="仿宋"/>
          <w:sz w:val="24"/>
        </w:rPr>
        <w:t>注：（1）投标供应商为小微型企业或其他类型企业使用小微型企业制造的货物（最小计算单位为品目）参加本次政府采购项目需提供此声明函。 其它情况无需提供此声明函。</w:t>
      </w:r>
    </w:p>
    <w:p>
      <w:pPr>
        <w:spacing w:line="360" w:lineRule="auto"/>
        <w:ind w:firstLine="480" w:firstLineChars="200"/>
        <w:rPr>
          <w:rFonts w:ascii="仿宋" w:hAnsi="仿宋" w:eastAsia="仿宋"/>
          <w:sz w:val="24"/>
        </w:rPr>
      </w:pPr>
      <w:r>
        <w:rPr>
          <w:rFonts w:hint="eastAsia" w:ascii="仿宋" w:hAnsi="仿宋" w:eastAsia="仿宋"/>
          <w:sz w:val="24"/>
        </w:rPr>
        <w:t>（2）投标供应商如不提供此声明函，价格将不做相应扣除。</w:t>
      </w:r>
    </w:p>
    <w:p>
      <w:pPr>
        <w:spacing w:line="360" w:lineRule="auto"/>
        <w:jc w:val="center"/>
        <w:rPr>
          <w:rFonts w:ascii="仿宋" w:hAnsi="仿宋" w:eastAsia="仿宋"/>
          <w:sz w:val="24"/>
        </w:rPr>
      </w:pPr>
      <w:r>
        <w:rPr>
          <w:rFonts w:hint="eastAsia" w:ascii="仿宋" w:hAnsi="仿宋" w:eastAsia="仿宋"/>
          <w:sz w:val="24"/>
        </w:rPr>
        <w:br w:type="page"/>
      </w:r>
    </w:p>
    <w:p>
      <w:pPr>
        <w:spacing w:line="360" w:lineRule="auto"/>
        <w:ind w:firstLine="480" w:firstLineChars="200"/>
        <w:rPr>
          <w:rFonts w:ascii="仿宋" w:hAnsi="仿宋" w:eastAsia="仿宋"/>
          <w:sz w:val="24"/>
        </w:rPr>
      </w:pPr>
      <w:r>
        <w:rPr>
          <w:rFonts w:hint="eastAsia" w:ascii="仿宋" w:hAnsi="仿宋" w:eastAsia="仿宋"/>
          <w:sz w:val="24"/>
        </w:rPr>
        <w:t xml:space="preserve">2、小微企业声明函 </w:t>
      </w:r>
    </w:p>
    <w:p>
      <w:pPr>
        <w:spacing w:line="360" w:lineRule="auto"/>
        <w:ind w:firstLine="480" w:firstLineChars="200"/>
        <w:rPr>
          <w:rFonts w:ascii="仿宋" w:hAnsi="仿宋" w:eastAsia="仿宋"/>
          <w:sz w:val="24"/>
        </w:rPr>
      </w:pPr>
      <w:r>
        <w:rPr>
          <w:rFonts w:hint="eastAsia" w:ascii="仿宋" w:hAnsi="仿宋" w:eastAsia="仿宋"/>
          <w:sz w:val="24"/>
        </w:rPr>
        <w:t xml:space="preserve">本公司郑重声明，根据《政府采购促进中小企业发展暂行办法》(财库[2011]181 号)的规定，本公司为______ (请填写：小型、微型)企业。 </w:t>
      </w:r>
    </w:p>
    <w:p>
      <w:pPr>
        <w:spacing w:line="360" w:lineRule="auto"/>
        <w:ind w:firstLine="480" w:firstLineChars="200"/>
        <w:rPr>
          <w:rFonts w:ascii="仿宋" w:hAnsi="仿宋" w:eastAsia="仿宋"/>
          <w:sz w:val="24"/>
        </w:rPr>
      </w:pPr>
      <w:r>
        <w:rPr>
          <w:rFonts w:hint="eastAsia" w:ascii="仿宋" w:hAnsi="仿宋" w:eastAsia="仿宋"/>
          <w:sz w:val="24"/>
        </w:rPr>
        <w:t xml:space="preserve">一、根据《工业和信息化部、国家统计局、国家发展和改革委员会、财政部关于印发中小企业划型标准规定的通知》(工信部联企业[2011]300号)规定的划分标准，本公司为______ (请填写：小型、微型)企业。 </w:t>
      </w:r>
    </w:p>
    <w:p>
      <w:pPr>
        <w:spacing w:line="360" w:lineRule="auto"/>
        <w:ind w:firstLine="480" w:firstLineChars="200"/>
        <w:rPr>
          <w:rFonts w:ascii="仿宋" w:hAnsi="仿宋" w:eastAsia="仿宋"/>
          <w:sz w:val="24"/>
        </w:rPr>
      </w:pPr>
      <w:r>
        <w:rPr>
          <w:rFonts w:hint="eastAsia" w:ascii="仿宋" w:hAnsi="仿宋" w:eastAsia="仿宋"/>
          <w:sz w:val="24"/>
        </w:rPr>
        <w:t xml:space="preserve">二、______（投标供应商名称）参加项目编号为______ 的______单位的______项目采购活动提供的______（投标货物名称、型号）为本企业制造的货物。 </w:t>
      </w:r>
    </w:p>
    <w:p>
      <w:pPr>
        <w:spacing w:line="360" w:lineRule="auto"/>
        <w:ind w:firstLine="480" w:firstLineChars="200"/>
        <w:rPr>
          <w:rFonts w:ascii="仿宋" w:hAnsi="仿宋" w:eastAsia="仿宋"/>
          <w:sz w:val="24"/>
        </w:rPr>
      </w:pPr>
      <w:r>
        <w:rPr>
          <w:rFonts w:hint="eastAsia" w:ascii="仿宋" w:hAnsi="仿宋" w:eastAsia="仿宋"/>
          <w:sz w:val="24"/>
        </w:rPr>
        <w:t xml:space="preserve">本公司对上述声明的真实性负责。如有虚假，将依法承担相应责任。 </w:t>
      </w:r>
    </w:p>
    <w:p>
      <w:pPr>
        <w:spacing w:line="360" w:lineRule="auto"/>
        <w:ind w:firstLine="480" w:firstLineChars="200"/>
        <w:rPr>
          <w:rFonts w:ascii="仿宋" w:hAnsi="仿宋" w:eastAsia="仿宋"/>
          <w:sz w:val="24"/>
        </w:rPr>
      </w:pPr>
      <w:r>
        <w:rPr>
          <w:rFonts w:hint="eastAsia" w:ascii="仿宋" w:hAnsi="仿宋" w:eastAsia="仿宋"/>
          <w:sz w:val="24"/>
        </w:rPr>
        <w:t xml:space="preserve">                 货物制造企业名称(盖章)： </w:t>
      </w:r>
    </w:p>
    <w:p>
      <w:pPr>
        <w:spacing w:line="360" w:lineRule="auto"/>
        <w:ind w:firstLine="2640" w:firstLineChars="1100"/>
        <w:rPr>
          <w:rFonts w:ascii="仿宋" w:hAnsi="仿宋" w:eastAsia="仿宋"/>
          <w:sz w:val="24"/>
        </w:rPr>
      </w:pPr>
      <w:r>
        <w:rPr>
          <w:rFonts w:hint="eastAsia" w:ascii="仿宋" w:hAnsi="仿宋" w:eastAsia="仿宋"/>
          <w:sz w:val="24"/>
        </w:rPr>
        <w:t xml:space="preserve">日  期： </w:t>
      </w:r>
    </w:p>
    <w:p>
      <w:pPr>
        <w:spacing w:line="360" w:lineRule="auto"/>
        <w:rPr>
          <w:rFonts w:ascii="仿宋" w:hAnsi="仿宋" w:eastAsia="仿宋"/>
          <w:sz w:val="24"/>
        </w:rPr>
      </w:pPr>
      <w:r>
        <w:rPr>
          <w:rFonts w:hint="eastAsia" w:ascii="仿宋" w:hAnsi="仿宋" w:eastAsia="仿宋"/>
          <w:sz w:val="24"/>
        </w:rPr>
        <w:t>注：</w:t>
      </w:r>
    </w:p>
    <w:p>
      <w:pPr>
        <w:spacing w:line="360" w:lineRule="auto"/>
        <w:rPr>
          <w:rFonts w:ascii="仿宋" w:hAnsi="仿宋" w:eastAsia="仿宋"/>
          <w:sz w:val="24"/>
        </w:rPr>
      </w:pPr>
      <w:r>
        <w:rPr>
          <w:rFonts w:hint="eastAsia" w:ascii="仿宋" w:hAnsi="仿宋" w:eastAsia="仿宋"/>
          <w:sz w:val="24"/>
        </w:rPr>
        <w:t>（1）投标供应商使用其他小微型企业制造的货物（最小计算单位为品目</w:t>
      </w:r>
      <w:r>
        <w:rPr>
          <w:rFonts w:ascii="仿宋" w:hAnsi="仿宋" w:eastAsia="仿宋"/>
          <w:sz w:val="24"/>
        </w:rPr>
        <w:t>）</w:t>
      </w:r>
      <w:r>
        <w:rPr>
          <w:rFonts w:hint="eastAsia" w:ascii="仿宋" w:hAnsi="仿宋" w:eastAsia="仿宋"/>
          <w:sz w:val="24"/>
        </w:rPr>
        <w:t xml:space="preserve">参加本次政府采购项目，需由货物制造企业提供此声明函。 </w:t>
      </w:r>
    </w:p>
    <w:p>
      <w:pPr>
        <w:spacing w:line="360" w:lineRule="auto"/>
        <w:rPr>
          <w:rFonts w:ascii="仿宋" w:hAnsi="仿宋" w:eastAsia="仿宋"/>
          <w:sz w:val="24"/>
        </w:rPr>
      </w:pPr>
      <w:r>
        <w:rPr>
          <w:rFonts w:hint="eastAsia" w:ascii="仿宋" w:hAnsi="仿宋" w:eastAsia="仿宋"/>
          <w:sz w:val="24"/>
        </w:rPr>
        <w:t>（2）货物制造企业如不提供此声明函，价格将不做相应扣除。</w:t>
      </w:r>
    </w:p>
    <w:p>
      <w:pPr>
        <w:spacing w:line="360" w:lineRule="auto"/>
        <w:rPr>
          <w:rFonts w:ascii="仿宋" w:hAnsi="仿宋" w:eastAsia="仿宋"/>
          <w:sz w:val="24"/>
        </w:rPr>
      </w:pPr>
      <w:r>
        <w:rPr>
          <w:rFonts w:ascii="仿宋" w:hAnsi="仿宋" w:eastAsia="仿宋"/>
          <w:sz w:val="24"/>
        </w:rPr>
        <w:br w:type="page"/>
      </w:r>
      <w:r>
        <w:rPr>
          <w:rFonts w:hint="eastAsia" w:ascii="仿宋" w:hAnsi="仿宋" w:eastAsia="仿宋"/>
          <w:sz w:val="24"/>
        </w:rPr>
        <w:t>3、小微企业产品报价表</w:t>
      </w:r>
    </w:p>
    <w:p>
      <w:pPr>
        <w:spacing w:before="120" w:after="120" w:line="360" w:lineRule="auto"/>
        <w:ind w:left="-178" w:leftChars="-85"/>
        <w:rPr>
          <w:rFonts w:ascii="仿宋" w:hAnsi="仿宋" w:eastAsia="仿宋" w:cs="仿宋"/>
          <w:sz w:val="24"/>
        </w:rPr>
      </w:pPr>
      <w:r>
        <w:rPr>
          <w:rFonts w:hint="eastAsia" w:ascii="仿宋" w:hAnsi="仿宋" w:eastAsia="仿宋" w:cs="仿宋"/>
          <w:sz w:val="24"/>
        </w:rPr>
        <w:t>供应商名称（盖单位章）：</w:t>
      </w:r>
      <w:r>
        <w:rPr>
          <w:rFonts w:hint="eastAsia" w:ascii="仿宋" w:hAnsi="仿宋" w:eastAsia="仿宋" w:cs="仿宋"/>
          <w:sz w:val="24"/>
          <w:u w:val="single"/>
        </w:rPr>
        <w:t xml:space="preserve">                  </w:t>
      </w:r>
      <w:r>
        <w:rPr>
          <w:rFonts w:hint="eastAsia" w:ascii="仿宋" w:hAnsi="仿宋" w:eastAsia="仿宋" w:cs="仿宋"/>
          <w:sz w:val="24"/>
        </w:rPr>
        <w:t xml:space="preserve"> 项目编号：</w:t>
      </w:r>
      <w:r>
        <w:rPr>
          <w:rFonts w:hint="eastAsia" w:ascii="仿宋" w:hAnsi="仿宋" w:eastAsia="仿宋" w:cs="仿宋"/>
          <w:sz w:val="24"/>
          <w:u w:val="single"/>
        </w:rPr>
        <w:t xml:space="preserve">                  </w:t>
      </w:r>
      <w:r>
        <w:rPr>
          <w:rFonts w:hint="eastAsia" w:ascii="仿宋" w:hAnsi="仿宋" w:eastAsia="仿宋" w:cs="仿宋"/>
          <w:sz w:val="24"/>
        </w:rPr>
        <w:t xml:space="preserve"> </w:t>
      </w:r>
    </w:p>
    <w:p>
      <w:pPr>
        <w:spacing w:before="120" w:after="120" w:line="360" w:lineRule="auto"/>
        <w:ind w:left="-178" w:leftChars="-85"/>
        <w:rPr>
          <w:rFonts w:ascii="仿宋" w:hAnsi="仿宋" w:eastAsia="仿宋" w:cs="仿宋"/>
          <w:sz w:val="24"/>
        </w:rPr>
      </w:pPr>
    </w:p>
    <w:tbl>
      <w:tblPr>
        <w:tblStyle w:val="87"/>
        <w:tblW w:w="102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663"/>
        <w:gridCol w:w="1397"/>
        <w:gridCol w:w="763"/>
        <w:gridCol w:w="1620"/>
        <w:gridCol w:w="2880"/>
        <w:gridCol w:w="1080"/>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品目序号</w:t>
            </w:r>
          </w:p>
        </w:tc>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名称</w:t>
            </w:r>
          </w:p>
        </w:tc>
        <w:tc>
          <w:tcPr>
            <w:tcW w:w="1397"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型号和规格</w:t>
            </w:r>
          </w:p>
        </w:tc>
        <w:tc>
          <w:tcPr>
            <w:tcW w:w="7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数量</w:t>
            </w:r>
          </w:p>
        </w:tc>
        <w:tc>
          <w:tcPr>
            <w:tcW w:w="1620" w:type="dxa"/>
          </w:tcPr>
          <w:p>
            <w:pPr>
              <w:spacing w:before="120" w:line="360" w:lineRule="auto"/>
              <w:jc w:val="center"/>
              <w:rPr>
                <w:rFonts w:ascii="仿宋" w:hAnsi="仿宋" w:eastAsia="仿宋" w:cs="仿宋"/>
                <w:sz w:val="24"/>
              </w:rPr>
            </w:pPr>
            <w:r>
              <w:rPr>
                <w:rFonts w:hint="eastAsia" w:ascii="仿宋" w:hAnsi="仿宋" w:eastAsia="仿宋" w:cs="仿宋"/>
                <w:sz w:val="24"/>
              </w:rPr>
              <w:t>原产地和</w:t>
            </w:r>
          </w:p>
          <w:p>
            <w:pPr>
              <w:spacing w:before="120" w:line="360" w:lineRule="auto"/>
              <w:jc w:val="center"/>
              <w:rPr>
                <w:rFonts w:ascii="仿宋" w:hAnsi="仿宋" w:eastAsia="仿宋" w:cs="仿宋"/>
                <w:sz w:val="24"/>
              </w:rPr>
            </w:pPr>
            <w:r>
              <w:rPr>
                <w:rFonts w:hint="eastAsia" w:ascii="仿宋" w:hAnsi="仿宋" w:eastAsia="仿宋" w:cs="仿宋"/>
                <w:sz w:val="24"/>
              </w:rPr>
              <w:t>制造商名称</w:t>
            </w:r>
          </w:p>
        </w:tc>
        <w:tc>
          <w:tcPr>
            <w:tcW w:w="2880" w:type="dxa"/>
            <w:vAlign w:val="center"/>
          </w:tcPr>
          <w:p>
            <w:pPr>
              <w:spacing w:after="120" w:line="360" w:lineRule="auto"/>
              <w:jc w:val="center"/>
              <w:rPr>
                <w:rFonts w:ascii="仿宋" w:hAnsi="仿宋" w:eastAsia="仿宋" w:cs="仿宋"/>
                <w:sz w:val="24"/>
              </w:rPr>
            </w:pPr>
            <w:r>
              <w:rPr>
                <w:rFonts w:hint="eastAsia" w:ascii="仿宋" w:hAnsi="仿宋" w:eastAsia="仿宋" w:cs="仿宋"/>
                <w:sz w:val="24"/>
              </w:rPr>
              <w:t>制造商企业类型</w:t>
            </w:r>
          </w:p>
          <w:p>
            <w:pPr>
              <w:spacing w:after="120" w:line="360" w:lineRule="auto"/>
              <w:jc w:val="center"/>
              <w:rPr>
                <w:rFonts w:ascii="仿宋" w:hAnsi="仿宋" w:eastAsia="仿宋" w:cs="仿宋"/>
                <w:sz w:val="24"/>
              </w:rPr>
            </w:pPr>
            <w:r>
              <w:rPr>
                <w:rFonts w:hint="eastAsia" w:ascii="仿宋" w:hAnsi="仿宋" w:eastAsia="仿宋" w:cs="仿宋"/>
                <w:sz w:val="24"/>
              </w:rPr>
              <w:t>（小型、微型）</w:t>
            </w:r>
          </w:p>
        </w:tc>
        <w:tc>
          <w:tcPr>
            <w:tcW w:w="1080" w:type="dxa"/>
            <w:vAlign w:val="center"/>
          </w:tcPr>
          <w:p>
            <w:pPr>
              <w:spacing w:line="360" w:lineRule="auto"/>
              <w:jc w:val="center"/>
              <w:rPr>
                <w:rFonts w:ascii="仿宋" w:hAnsi="仿宋" w:eastAsia="仿宋" w:cs="仿宋"/>
                <w:sz w:val="24"/>
              </w:rPr>
            </w:pPr>
            <w:r>
              <w:rPr>
                <w:rFonts w:hint="eastAsia" w:ascii="仿宋" w:hAnsi="仿宋" w:eastAsia="仿宋" w:cs="仿宋"/>
                <w:sz w:val="24"/>
              </w:rPr>
              <w:t>单价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c>
          <w:tcPr>
            <w:tcW w:w="1171" w:type="dxa"/>
            <w:vAlign w:val="center"/>
          </w:tcPr>
          <w:p>
            <w:pPr>
              <w:spacing w:line="360" w:lineRule="auto"/>
              <w:jc w:val="center"/>
              <w:rPr>
                <w:rFonts w:ascii="仿宋" w:hAnsi="仿宋" w:eastAsia="仿宋" w:cs="仿宋"/>
                <w:sz w:val="24"/>
              </w:rPr>
            </w:pPr>
            <w:r>
              <w:rPr>
                <w:rFonts w:hint="eastAsia" w:ascii="仿宋" w:hAnsi="仿宋" w:eastAsia="仿宋" w:cs="仿宋"/>
                <w:sz w:val="24"/>
              </w:rPr>
              <w:t>总价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66" w:type="dxa"/>
            <w:gridSpan w:val="7"/>
            <w:vAlign w:val="center"/>
          </w:tcPr>
          <w:p>
            <w:pPr>
              <w:spacing w:before="60" w:after="60" w:line="360" w:lineRule="auto"/>
              <w:rPr>
                <w:rFonts w:ascii="仿宋" w:hAnsi="仿宋" w:eastAsia="仿宋" w:cs="仿宋"/>
                <w:sz w:val="24"/>
              </w:rPr>
            </w:pPr>
            <w:r>
              <w:rPr>
                <w:rFonts w:hint="eastAsia" w:ascii="仿宋" w:hAnsi="仿宋" w:eastAsia="仿宋" w:cs="仿宋"/>
                <w:sz w:val="24"/>
              </w:rPr>
              <w:t>其中，小微企业产品总计：</w:t>
            </w:r>
          </w:p>
        </w:tc>
        <w:tc>
          <w:tcPr>
            <w:tcW w:w="1171" w:type="dxa"/>
            <w:vAlign w:val="center"/>
          </w:tcPr>
          <w:p>
            <w:pPr>
              <w:spacing w:line="360" w:lineRule="auto"/>
              <w:rPr>
                <w:rFonts w:ascii="仿宋" w:hAnsi="仿宋" w:eastAsia="仿宋" w:cs="仿宋"/>
                <w:sz w:val="24"/>
              </w:rPr>
            </w:pPr>
          </w:p>
        </w:tc>
      </w:tr>
    </w:tbl>
    <w:p>
      <w:pPr>
        <w:spacing w:line="360" w:lineRule="auto"/>
        <w:ind w:firstLine="3360" w:firstLineChars="1400"/>
        <w:rPr>
          <w:rFonts w:ascii="仿宋" w:hAnsi="仿宋" w:eastAsia="仿宋" w:cs="仿宋"/>
          <w:sz w:val="24"/>
        </w:rPr>
      </w:pPr>
      <w:r>
        <w:rPr>
          <w:rFonts w:hint="eastAsia" w:ascii="仿宋" w:hAnsi="仿宋" w:eastAsia="仿宋" w:cs="仿宋"/>
          <w:sz w:val="24"/>
        </w:rPr>
        <w:t>法定代表人或其委托代理人（签字）：</w:t>
      </w:r>
      <w:r>
        <w:rPr>
          <w:rFonts w:hint="eastAsia" w:ascii="仿宋" w:hAnsi="仿宋" w:eastAsia="仿宋" w:cs="仿宋"/>
          <w:sz w:val="24"/>
          <w:u w:val="single"/>
        </w:rPr>
        <w:t xml:space="preserve">                               </w:t>
      </w:r>
    </w:p>
    <w:p>
      <w:pPr>
        <w:topLinePunct/>
        <w:spacing w:line="360" w:lineRule="auto"/>
        <w:rPr>
          <w:rFonts w:ascii="仿宋" w:hAnsi="仿宋" w:eastAsia="仿宋" w:cs="仿宋"/>
          <w:bCs/>
          <w:sz w:val="24"/>
        </w:rPr>
      </w:pPr>
      <w:r>
        <w:rPr>
          <w:rFonts w:hint="eastAsia" w:ascii="仿宋" w:hAnsi="仿宋" w:eastAsia="仿宋" w:cs="仿宋"/>
          <w:bCs/>
          <w:sz w:val="24"/>
        </w:rPr>
        <w:t>注：</w:t>
      </w:r>
    </w:p>
    <w:p>
      <w:pPr>
        <w:numPr>
          <w:ilvl w:val="0"/>
          <w:numId w:val="33"/>
        </w:numPr>
        <w:topLinePunct/>
        <w:autoSpaceDE w:val="0"/>
        <w:autoSpaceDN w:val="0"/>
        <w:adjustRightInd w:val="0"/>
        <w:spacing w:line="360" w:lineRule="auto"/>
        <w:jc w:val="left"/>
        <w:rPr>
          <w:rFonts w:ascii="仿宋" w:hAnsi="仿宋" w:eastAsia="仿宋" w:cs="仿宋"/>
          <w:bCs/>
          <w:sz w:val="24"/>
        </w:rPr>
      </w:pPr>
      <w:r>
        <w:rPr>
          <w:rFonts w:hint="eastAsia" w:ascii="仿宋" w:hAnsi="仿宋" w:eastAsia="仿宋" w:cs="仿宋"/>
          <w:bCs/>
          <w:sz w:val="24"/>
        </w:rPr>
        <w:t>投标供应商使用小、微型企业产品参加投标的（最小计算单位为品目</w:t>
      </w:r>
      <w:r>
        <w:rPr>
          <w:rFonts w:ascii="仿宋" w:hAnsi="仿宋" w:eastAsia="仿宋" w:cs="仿宋"/>
          <w:bCs/>
          <w:sz w:val="24"/>
        </w:rPr>
        <w:t>）</w:t>
      </w:r>
      <w:r>
        <w:rPr>
          <w:rFonts w:hint="eastAsia" w:ascii="仿宋" w:hAnsi="仿宋" w:eastAsia="仿宋" w:cs="仿宋"/>
          <w:bCs/>
          <w:sz w:val="24"/>
        </w:rPr>
        <w:t>，必须填写此表，否则不做价格扣除。</w:t>
      </w:r>
    </w:p>
    <w:p>
      <w:pPr>
        <w:numPr>
          <w:ilvl w:val="0"/>
          <w:numId w:val="33"/>
        </w:numPr>
        <w:topLinePunct/>
        <w:autoSpaceDE w:val="0"/>
        <w:autoSpaceDN w:val="0"/>
        <w:adjustRightInd w:val="0"/>
        <w:spacing w:line="360" w:lineRule="auto"/>
        <w:jc w:val="left"/>
        <w:rPr>
          <w:rFonts w:ascii="仿宋" w:hAnsi="仿宋" w:eastAsia="仿宋" w:cs="仿宋"/>
          <w:bCs/>
          <w:sz w:val="24"/>
        </w:rPr>
      </w:pPr>
      <w:r>
        <w:rPr>
          <w:rFonts w:hint="eastAsia" w:ascii="仿宋" w:hAnsi="仿宋" w:eastAsia="仿宋" w:cs="仿宋"/>
          <w:bCs/>
          <w:sz w:val="24"/>
        </w:rPr>
        <w:t xml:space="preserve">投标供应商必须保证承诺使用小、微型企业产品参加投标的真实性，如出现虚假响应，一经查实，将按照采购文件具体规定进行处理。 </w:t>
      </w:r>
    </w:p>
    <w:p>
      <w:pPr>
        <w:numPr>
          <w:ilvl w:val="0"/>
          <w:numId w:val="33"/>
        </w:numPr>
        <w:topLinePunct/>
        <w:autoSpaceDE w:val="0"/>
        <w:autoSpaceDN w:val="0"/>
        <w:adjustRightInd w:val="0"/>
        <w:spacing w:line="360" w:lineRule="auto"/>
        <w:jc w:val="left"/>
        <w:rPr>
          <w:rFonts w:ascii="仿宋" w:hAnsi="仿宋" w:eastAsia="仿宋" w:cs="仿宋"/>
          <w:bCs/>
          <w:sz w:val="24"/>
        </w:rPr>
      </w:pPr>
      <w:r>
        <w:rPr>
          <w:rFonts w:hint="eastAsia" w:ascii="仿宋" w:hAnsi="仿宋" w:eastAsia="仿宋" w:cs="仿宋"/>
          <w:bCs/>
          <w:sz w:val="24"/>
        </w:rPr>
        <w:t>评审委员会将就此表对照供应商提供的《企业申明函》和/或《小微企业申明函》进行审核，如产品未提供相应的《企业申明函》和/或《小微企业申明函》，将不做价格扣除。</w:t>
      </w:r>
    </w:p>
    <w:p>
      <w:pPr>
        <w:keepNext/>
        <w:keepLines/>
        <w:spacing w:line="360" w:lineRule="auto"/>
        <w:outlineLvl w:val="2"/>
        <w:rPr>
          <w:rFonts w:ascii="仿宋" w:hAnsi="仿宋" w:eastAsia="仿宋"/>
          <w:bCs/>
          <w:sz w:val="24"/>
        </w:rPr>
      </w:pPr>
      <w:r>
        <w:rPr>
          <w:rFonts w:ascii="仿宋" w:hAnsi="仿宋" w:eastAsia="仿宋" w:cs="仿宋"/>
          <w:bCs/>
          <w:sz w:val="24"/>
        </w:rPr>
        <w:br w:type="page"/>
      </w:r>
      <w:bookmarkStart w:id="28" w:name="_Toc447021132"/>
      <w:bookmarkStart w:id="29" w:name="_Toc469583075"/>
      <w:bookmarkStart w:id="30" w:name="_Toc524964901"/>
      <w:r>
        <w:rPr>
          <w:rFonts w:ascii="仿宋" w:hAnsi="仿宋" w:eastAsia="仿宋"/>
          <w:bCs/>
          <w:sz w:val="24"/>
        </w:rPr>
        <w:t>（</w:t>
      </w:r>
      <w:r>
        <w:rPr>
          <w:rFonts w:hint="eastAsia" w:ascii="仿宋" w:hAnsi="仿宋" w:eastAsia="仿宋"/>
          <w:bCs/>
          <w:sz w:val="24"/>
        </w:rPr>
        <w:t>二）</w:t>
      </w:r>
      <w:r>
        <w:rPr>
          <w:rFonts w:ascii="仿宋" w:hAnsi="仿宋" w:eastAsia="仿宋"/>
          <w:bCs/>
          <w:sz w:val="24"/>
        </w:rPr>
        <w:t>、</w:t>
      </w:r>
      <w:r>
        <w:rPr>
          <w:rFonts w:hint="eastAsia" w:ascii="仿宋" w:hAnsi="仿宋" w:eastAsia="仿宋"/>
          <w:bCs/>
          <w:sz w:val="24"/>
        </w:rPr>
        <w:t>政府采购节能产品政策</w:t>
      </w:r>
      <w:bookmarkEnd w:id="28"/>
      <w:bookmarkEnd w:id="29"/>
      <w:bookmarkEnd w:id="30"/>
    </w:p>
    <w:p>
      <w:pPr>
        <w:spacing w:line="360" w:lineRule="auto"/>
        <w:ind w:firstLine="480" w:firstLineChars="200"/>
        <w:rPr>
          <w:rFonts w:ascii="仿宋" w:hAnsi="仿宋" w:eastAsia="仿宋"/>
          <w:sz w:val="24"/>
        </w:rPr>
      </w:pPr>
      <w:r>
        <w:rPr>
          <w:rFonts w:hint="eastAsia" w:ascii="仿宋" w:hAnsi="仿宋" w:eastAsia="仿宋"/>
          <w:sz w:val="24"/>
        </w:rPr>
        <w:t>1、根据财政部、国家发改委《</w:t>
      </w:r>
      <w:r>
        <w:rPr>
          <w:rFonts w:ascii="仿宋" w:hAnsi="仿宋" w:eastAsia="仿宋"/>
          <w:sz w:val="24"/>
        </w:rPr>
        <w:t>节能产品政府采购实施意见</w:t>
      </w:r>
      <w:r>
        <w:rPr>
          <w:rFonts w:hint="eastAsia" w:ascii="仿宋" w:hAnsi="仿宋" w:eastAsia="仿宋"/>
          <w:sz w:val="24"/>
        </w:rPr>
        <w:t>》，投标产品属于《节能产品政府采购清单》（最新一期）内的政府采购的节能产品（最小计算单位为品目），对相应产品的价格给予</w:t>
      </w:r>
      <w:r>
        <w:rPr>
          <w:rFonts w:hint="eastAsia" w:ascii="仿宋" w:hAnsi="仿宋" w:eastAsia="仿宋"/>
          <w:sz w:val="24"/>
          <w:lang w:val="en-US" w:eastAsia="zh-CN"/>
        </w:rPr>
        <w:t>5</w:t>
      </w:r>
      <w:r>
        <w:rPr>
          <w:rFonts w:hint="eastAsia" w:ascii="仿宋" w:hAnsi="仿宋" w:eastAsia="仿宋"/>
          <w:sz w:val="24"/>
        </w:rPr>
        <w:t>%的扣除，用扣除后的价格参与评审。</w:t>
      </w:r>
    </w:p>
    <w:p>
      <w:pPr>
        <w:spacing w:line="360" w:lineRule="auto"/>
        <w:ind w:firstLine="480" w:firstLineChars="200"/>
        <w:rPr>
          <w:rFonts w:ascii="仿宋" w:hAnsi="仿宋" w:eastAsia="仿宋"/>
          <w:sz w:val="24"/>
        </w:rPr>
      </w:pPr>
      <w:r>
        <w:rPr>
          <w:rFonts w:hint="eastAsia" w:ascii="仿宋" w:hAnsi="仿宋" w:eastAsia="仿宋"/>
          <w:sz w:val="24"/>
        </w:rPr>
        <w:t>2、评标委员会根据供应商填制的《</w:t>
      </w:r>
      <w:r>
        <w:rPr>
          <w:rFonts w:ascii="仿宋" w:hAnsi="仿宋" w:eastAsia="仿宋"/>
          <w:sz w:val="24"/>
        </w:rPr>
        <w:t>节能产品</w:t>
      </w:r>
      <w:r>
        <w:rPr>
          <w:rFonts w:hint="eastAsia" w:ascii="仿宋" w:hAnsi="仿宋" w:eastAsia="仿宋"/>
          <w:sz w:val="24"/>
        </w:rPr>
        <w:t>报价表》，计算其所投</w:t>
      </w:r>
      <w:r>
        <w:rPr>
          <w:rFonts w:ascii="仿宋" w:hAnsi="仿宋" w:eastAsia="仿宋"/>
          <w:sz w:val="24"/>
        </w:rPr>
        <w:t>节能产品</w:t>
      </w:r>
      <w:r>
        <w:rPr>
          <w:rFonts w:hint="eastAsia" w:ascii="仿宋" w:hAnsi="仿宋" w:eastAsia="仿宋"/>
          <w:sz w:val="24"/>
        </w:rPr>
        <w:t>（最小计算单位为品目）享受价格折扣部分的多少。</w:t>
      </w:r>
    </w:p>
    <w:p>
      <w:pPr>
        <w:spacing w:line="360" w:lineRule="auto"/>
        <w:ind w:firstLine="480" w:firstLineChars="200"/>
        <w:rPr>
          <w:rFonts w:ascii="仿宋" w:hAnsi="仿宋" w:eastAsia="仿宋"/>
          <w:sz w:val="24"/>
        </w:rPr>
      </w:pPr>
      <w:r>
        <w:rPr>
          <w:rFonts w:hint="eastAsia" w:ascii="仿宋" w:hAnsi="仿宋" w:eastAsia="仿宋"/>
          <w:sz w:val="24"/>
        </w:rPr>
        <w:t>4、投标产品（最小计算单位为品目）如为节能产品的，供应商需提供产品及型号所在清单页的复印件并用标识标明，</w:t>
      </w:r>
      <w:r>
        <w:rPr>
          <w:rFonts w:hint="eastAsia" w:ascii="仿宋" w:hAnsi="仿宋" w:eastAsia="仿宋" w:cs="仿宋"/>
          <w:bCs/>
          <w:sz w:val="24"/>
        </w:rPr>
        <w:t>如未提供，将不做价格扣除。</w:t>
      </w:r>
    </w:p>
    <w:p>
      <w:pPr>
        <w:spacing w:line="360" w:lineRule="auto"/>
        <w:ind w:firstLine="480" w:firstLineChars="200"/>
        <w:rPr>
          <w:rFonts w:ascii="仿宋" w:hAnsi="仿宋" w:eastAsia="仿宋"/>
          <w:sz w:val="24"/>
        </w:rPr>
      </w:pPr>
      <w:r>
        <w:rPr>
          <w:rFonts w:hint="eastAsia" w:ascii="仿宋" w:hAnsi="仿宋" w:eastAsia="仿宋" w:cs="仿宋"/>
          <w:bCs/>
          <w:sz w:val="24"/>
        </w:rPr>
        <w:t>5、投标供应商必须保证使用</w:t>
      </w:r>
      <w:r>
        <w:rPr>
          <w:rFonts w:hint="eastAsia" w:ascii="仿宋" w:hAnsi="仿宋" w:eastAsia="仿宋"/>
          <w:sz w:val="24"/>
        </w:rPr>
        <w:t>节能</w:t>
      </w:r>
      <w:r>
        <w:rPr>
          <w:rFonts w:hint="eastAsia" w:ascii="仿宋" w:hAnsi="仿宋" w:eastAsia="仿宋" w:cs="仿宋"/>
          <w:bCs/>
          <w:sz w:val="24"/>
        </w:rPr>
        <w:t>产品参加投标的真实性，如出现虚假响应，一经查实，将按照采购文件具体规定进行处理。</w:t>
      </w:r>
    </w:p>
    <w:p>
      <w:pPr>
        <w:spacing w:before="120" w:after="120" w:line="360" w:lineRule="auto"/>
        <w:ind w:left="-178" w:leftChars="-85" w:firstLine="720" w:firstLineChars="300"/>
        <w:rPr>
          <w:rFonts w:ascii="仿宋" w:hAnsi="仿宋" w:eastAsia="仿宋" w:cs="仿宋"/>
          <w:sz w:val="24"/>
        </w:rPr>
      </w:pPr>
      <w:r>
        <w:rPr>
          <w:rFonts w:hint="eastAsia" w:ascii="仿宋" w:hAnsi="仿宋" w:eastAsia="仿宋" w:cs="仿宋"/>
          <w:sz w:val="24"/>
        </w:rPr>
        <w:t>6、节能产品报价表</w:t>
      </w:r>
    </w:p>
    <w:p>
      <w:pPr>
        <w:spacing w:before="120" w:after="120" w:line="360" w:lineRule="auto"/>
        <w:ind w:left="-178" w:leftChars="-85"/>
        <w:rPr>
          <w:rFonts w:ascii="仿宋" w:hAnsi="仿宋" w:eastAsia="仿宋" w:cs="仿宋"/>
          <w:sz w:val="24"/>
        </w:rPr>
      </w:pPr>
      <w:r>
        <w:rPr>
          <w:rFonts w:hint="eastAsia" w:ascii="仿宋" w:hAnsi="仿宋" w:eastAsia="仿宋" w:cs="仿宋"/>
          <w:sz w:val="24"/>
        </w:rPr>
        <w:t>供应商名称（盖单位章）：</w:t>
      </w:r>
      <w:r>
        <w:rPr>
          <w:rFonts w:hint="eastAsia" w:ascii="仿宋" w:hAnsi="仿宋" w:eastAsia="仿宋" w:cs="仿宋"/>
          <w:sz w:val="24"/>
          <w:u w:val="single"/>
        </w:rPr>
        <w:t xml:space="preserve">                  </w:t>
      </w:r>
      <w:r>
        <w:rPr>
          <w:rFonts w:hint="eastAsia" w:ascii="仿宋" w:hAnsi="仿宋" w:eastAsia="仿宋" w:cs="仿宋"/>
          <w:sz w:val="24"/>
        </w:rPr>
        <w:t xml:space="preserve"> 项目编号：</w:t>
      </w:r>
      <w:r>
        <w:rPr>
          <w:rFonts w:hint="eastAsia" w:ascii="仿宋" w:hAnsi="仿宋" w:eastAsia="仿宋" w:cs="仿宋"/>
          <w:sz w:val="24"/>
          <w:u w:val="single"/>
        </w:rPr>
        <w:t xml:space="preserve">                  </w:t>
      </w:r>
      <w:r>
        <w:rPr>
          <w:rFonts w:hint="eastAsia" w:ascii="仿宋" w:hAnsi="仿宋" w:eastAsia="仿宋" w:cs="仿宋"/>
          <w:sz w:val="24"/>
        </w:rPr>
        <w:t xml:space="preserve"> </w:t>
      </w:r>
    </w:p>
    <w:tbl>
      <w:tblPr>
        <w:tblStyle w:val="87"/>
        <w:tblW w:w="102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663"/>
        <w:gridCol w:w="1397"/>
        <w:gridCol w:w="763"/>
        <w:gridCol w:w="1620"/>
        <w:gridCol w:w="2880"/>
        <w:gridCol w:w="1080"/>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品目序号</w:t>
            </w:r>
          </w:p>
        </w:tc>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名称</w:t>
            </w:r>
          </w:p>
        </w:tc>
        <w:tc>
          <w:tcPr>
            <w:tcW w:w="1397"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型号和规格</w:t>
            </w:r>
          </w:p>
        </w:tc>
        <w:tc>
          <w:tcPr>
            <w:tcW w:w="7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数量</w:t>
            </w:r>
          </w:p>
        </w:tc>
        <w:tc>
          <w:tcPr>
            <w:tcW w:w="1620" w:type="dxa"/>
          </w:tcPr>
          <w:p>
            <w:pPr>
              <w:spacing w:before="120" w:line="360" w:lineRule="auto"/>
              <w:jc w:val="center"/>
              <w:rPr>
                <w:rFonts w:ascii="仿宋" w:hAnsi="仿宋" w:eastAsia="仿宋" w:cs="仿宋"/>
                <w:sz w:val="24"/>
              </w:rPr>
            </w:pPr>
            <w:r>
              <w:rPr>
                <w:rFonts w:hint="eastAsia" w:ascii="仿宋" w:hAnsi="仿宋" w:eastAsia="仿宋" w:cs="仿宋"/>
                <w:sz w:val="24"/>
              </w:rPr>
              <w:t>原产地和</w:t>
            </w:r>
          </w:p>
          <w:p>
            <w:pPr>
              <w:spacing w:before="120" w:line="360" w:lineRule="auto"/>
              <w:jc w:val="center"/>
              <w:rPr>
                <w:rFonts w:ascii="仿宋" w:hAnsi="仿宋" w:eastAsia="仿宋" w:cs="仿宋"/>
                <w:sz w:val="24"/>
              </w:rPr>
            </w:pPr>
            <w:r>
              <w:rPr>
                <w:rFonts w:hint="eastAsia" w:ascii="仿宋" w:hAnsi="仿宋" w:eastAsia="仿宋" w:cs="仿宋"/>
                <w:sz w:val="24"/>
              </w:rPr>
              <w:t>制造商名称</w:t>
            </w:r>
          </w:p>
        </w:tc>
        <w:tc>
          <w:tcPr>
            <w:tcW w:w="2880" w:type="dxa"/>
            <w:vAlign w:val="center"/>
          </w:tcPr>
          <w:p>
            <w:pPr>
              <w:rPr>
                <w:rFonts w:ascii="仿宋" w:hAnsi="仿宋" w:eastAsia="仿宋" w:cs="仿宋"/>
                <w:sz w:val="24"/>
              </w:rPr>
            </w:pPr>
            <w:r>
              <w:rPr>
                <w:rFonts w:hint="eastAsia" w:ascii="仿宋" w:hAnsi="仿宋" w:eastAsia="仿宋" w:cs="仿宋"/>
                <w:sz w:val="24"/>
              </w:rPr>
              <w:t>节字标志认证证书号</w:t>
            </w:r>
          </w:p>
        </w:tc>
        <w:tc>
          <w:tcPr>
            <w:tcW w:w="1080" w:type="dxa"/>
            <w:vAlign w:val="center"/>
          </w:tcPr>
          <w:p>
            <w:pPr>
              <w:spacing w:line="360" w:lineRule="auto"/>
              <w:jc w:val="center"/>
              <w:rPr>
                <w:rFonts w:ascii="仿宋" w:hAnsi="仿宋" w:eastAsia="仿宋" w:cs="仿宋"/>
                <w:sz w:val="24"/>
              </w:rPr>
            </w:pPr>
            <w:r>
              <w:rPr>
                <w:rFonts w:hint="eastAsia" w:ascii="仿宋" w:hAnsi="仿宋" w:eastAsia="仿宋" w:cs="仿宋"/>
                <w:sz w:val="24"/>
              </w:rPr>
              <w:t>单价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c>
          <w:tcPr>
            <w:tcW w:w="1171" w:type="dxa"/>
            <w:vAlign w:val="center"/>
          </w:tcPr>
          <w:p>
            <w:pPr>
              <w:spacing w:line="360" w:lineRule="auto"/>
              <w:jc w:val="center"/>
              <w:rPr>
                <w:rFonts w:ascii="仿宋" w:hAnsi="仿宋" w:eastAsia="仿宋" w:cs="仿宋"/>
                <w:sz w:val="24"/>
              </w:rPr>
            </w:pPr>
            <w:r>
              <w:rPr>
                <w:rFonts w:hint="eastAsia" w:ascii="仿宋" w:hAnsi="仿宋" w:eastAsia="仿宋" w:cs="仿宋"/>
                <w:sz w:val="24"/>
              </w:rPr>
              <w:t>总价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66" w:type="dxa"/>
            <w:gridSpan w:val="7"/>
            <w:vAlign w:val="center"/>
          </w:tcPr>
          <w:p>
            <w:pPr>
              <w:spacing w:before="60" w:after="60" w:line="360" w:lineRule="auto"/>
              <w:rPr>
                <w:rFonts w:ascii="仿宋" w:hAnsi="仿宋" w:eastAsia="仿宋" w:cs="仿宋"/>
                <w:sz w:val="24"/>
              </w:rPr>
            </w:pPr>
            <w:r>
              <w:rPr>
                <w:rFonts w:hint="eastAsia" w:ascii="仿宋" w:hAnsi="仿宋" w:eastAsia="仿宋" w:cs="仿宋"/>
                <w:sz w:val="24"/>
              </w:rPr>
              <w:t>其中，</w:t>
            </w:r>
            <w:r>
              <w:rPr>
                <w:rFonts w:hint="eastAsia" w:ascii="仿宋" w:hAnsi="仿宋" w:eastAsia="仿宋"/>
                <w:sz w:val="24"/>
              </w:rPr>
              <w:t>节能</w:t>
            </w:r>
            <w:r>
              <w:rPr>
                <w:rFonts w:hint="eastAsia" w:ascii="仿宋" w:hAnsi="仿宋" w:eastAsia="仿宋"/>
                <w:bCs/>
                <w:sz w:val="24"/>
              </w:rPr>
              <w:t>产品</w:t>
            </w:r>
            <w:r>
              <w:rPr>
                <w:rFonts w:hint="eastAsia" w:ascii="仿宋" w:hAnsi="仿宋" w:eastAsia="仿宋" w:cs="仿宋"/>
                <w:sz w:val="24"/>
              </w:rPr>
              <w:t>总计：</w:t>
            </w:r>
          </w:p>
        </w:tc>
        <w:tc>
          <w:tcPr>
            <w:tcW w:w="1171" w:type="dxa"/>
            <w:vAlign w:val="center"/>
          </w:tcPr>
          <w:p>
            <w:pPr>
              <w:spacing w:line="360" w:lineRule="auto"/>
              <w:rPr>
                <w:rFonts w:ascii="仿宋" w:hAnsi="仿宋" w:eastAsia="仿宋" w:cs="仿宋"/>
                <w:sz w:val="24"/>
              </w:rPr>
            </w:pPr>
          </w:p>
        </w:tc>
      </w:tr>
    </w:tbl>
    <w:p>
      <w:pPr>
        <w:spacing w:line="360" w:lineRule="auto"/>
        <w:ind w:firstLine="3360" w:firstLineChars="1400"/>
        <w:rPr>
          <w:rFonts w:ascii="仿宋" w:hAnsi="仿宋" w:eastAsia="仿宋" w:cs="仿宋"/>
          <w:sz w:val="24"/>
        </w:rPr>
      </w:pPr>
      <w:r>
        <w:rPr>
          <w:rFonts w:hint="eastAsia" w:ascii="仿宋" w:hAnsi="仿宋" w:eastAsia="仿宋" w:cs="仿宋"/>
          <w:sz w:val="24"/>
        </w:rPr>
        <w:t>法定代表人或其委托代理人（签字）：</w:t>
      </w:r>
      <w:r>
        <w:rPr>
          <w:rFonts w:hint="eastAsia" w:ascii="仿宋" w:hAnsi="仿宋" w:eastAsia="仿宋" w:cs="仿宋"/>
          <w:sz w:val="24"/>
          <w:u w:val="single"/>
        </w:rPr>
        <w:t xml:space="preserve">                               </w:t>
      </w:r>
    </w:p>
    <w:p>
      <w:pPr>
        <w:keepNext/>
        <w:keepLines/>
        <w:spacing w:line="360" w:lineRule="auto"/>
        <w:outlineLvl w:val="2"/>
        <w:rPr>
          <w:rFonts w:ascii="仿宋" w:hAnsi="仿宋" w:eastAsia="仿宋"/>
          <w:bCs/>
          <w:sz w:val="24"/>
        </w:rPr>
      </w:pPr>
      <w:r>
        <w:rPr>
          <w:rFonts w:ascii="仿宋" w:hAnsi="仿宋" w:eastAsia="仿宋" w:cs="仿宋"/>
          <w:bCs/>
          <w:sz w:val="24"/>
        </w:rPr>
        <w:br w:type="page"/>
      </w:r>
      <w:bookmarkStart w:id="31" w:name="_Toc469583076"/>
      <w:bookmarkStart w:id="32" w:name="_Toc450220986"/>
      <w:bookmarkStart w:id="33" w:name="_Toc524964902"/>
      <w:bookmarkStart w:id="34" w:name="_Toc447021133"/>
      <w:r>
        <w:rPr>
          <w:rFonts w:hint="eastAsia" w:ascii="仿宋" w:hAnsi="仿宋" w:eastAsia="仿宋"/>
          <w:bCs/>
          <w:sz w:val="24"/>
        </w:rPr>
        <w:t>（三）、政府采购环境标志产品政策</w:t>
      </w:r>
      <w:bookmarkEnd w:id="31"/>
      <w:bookmarkEnd w:id="32"/>
      <w:bookmarkEnd w:id="33"/>
      <w:bookmarkEnd w:id="34"/>
    </w:p>
    <w:p>
      <w:pPr>
        <w:spacing w:line="360" w:lineRule="auto"/>
        <w:ind w:firstLine="480" w:firstLineChars="200"/>
        <w:rPr>
          <w:rFonts w:ascii="仿宋" w:hAnsi="仿宋" w:eastAsia="仿宋"/>
          <w:sz w:val="24"/>
        </w:rPr>
      </w:pPr>
      <w:r>
        <w:rPr>
          <w:rFonts w:hint="eastAsia" w:ascii="仿宋" w:hAnsi="仿宋" w:eastAsia="仿宋" w:cs="仿宋"/>
          <w:bCs/>
          <w:sz w:val="24"/>
        </w:rPr>
        <w:t>1</w:t>
      </w:r>
      <w:r>
        <w:rPr>
          <w:rFonts w:hint="eastAsia" w:ascii="仿宋" w:hAnsi="仿宋" w:eastAsia="仿宋"/>
          <w:sz w:val="24"/>
        </w:rPr>
        <w:t xml:space="preserve">、根据财政部、国家环保总局《关于环境标志产品政府采购实施的意见》，投标产品属于《环境标志产品政府采购清单》（最新一期）内的产品（最小计算单位为品目），对相应产品的价格给予 </w:t>
      </w:r>
      <w:r>
        <w:rPr>
          <w:rFonts w:hint="eastAsia" w:ascii="仿宋" w:hAnsi="仿宋" w:eastAsia="仿宋"/>
          <w:sz w:val="24"/>
          <w:lang w:val="en-US" w:eastAsia="zh-CN"/>
        </w:rPr>
        <w:t>5</w:t>
      </w:r>
      <w:r>
        <w:rPr>
          <w:rFonts w:hint="eastAsia" w:ascii="仿宋" w:hAnsi="仿宋" w:eastAsia="仿宋"/>
          <w:sz w:val="24"/>
        </w:rPr>
        <w:t>%的扣除，用扣除后的价格参与评审。</w:t>
      </w:r>
    </w:p>
    <w:p>
      <w:pPr>
        <w:spacing w:line="360" w:lineRule="auto"/>
        <w:ind w:firstLine="480" w:firstLineChars="200"/>
        <w:rPr>
          <w:rFonts w:ascii="仿宋" w:hAnsi="仿宋" w:eastAsia="仿宋"/>
          <w:sz w:val="24"/>
        </w:rPr>
      </w:pPr>
      <w:r>
        <w:rPr>
          <w:rFonts w:hint="eastAsia" w:ascii="仿宋" w:hAnsi="仿宋" w:eastAsia="仿宋"/>
          <w:sz w:val="24"/>
        </w:rPr>
        <w:t>2、评标委员会根据供应商填制的《环境标志产品报价表》，计算其所投环境标志产品（最小计算单位为品目）享受价格折扣部分的多少。</w:t>
      </w:r>
    </w:p>
    <w:p>
      <w:pPr>
        <w:spacing w:line="360" w:lineRule="auto"/>
        <w:ind w:firstLine="480" w:firstLineChars="200"/>
        <w:rPr>
          <w:rFonts w:ascii="仿宋" w:hAnsi="仿宋" w:eastAsia="仿宋"/>
          <w:sz w:val="24"/>
        </w:rPr>
      </w:pPr>
      <w:r>
        <w:rPr>
          <w:rFonts w:hint="eastAsia" w:ascii="仿宋" w:hAnsi="仿宋" w:eastAsia="仿宋"/>
          <w:sz w:val="24"/>
        </w:rPr>
        <w:t>3、投标产品（最小计算单位为品目）如为环境标志产品的，供应商需提供产品及型号所在清单页的复印件并用标识标明，如未提供，将不做价格扣除。</w:t>
      </w:r>
    </w:p>
    <w:p>
      <w:pPr>
        <w:spacing w:line="360" w:lineRule="auto"/>
        <w:ind w:firstLine="480" w:firstLineChars="200"/>
        <w:rPr>
          <w:rFonts w:ascii="仿宋" w:hAnsi="仿宋" w:eastAsia="仿宋"/>
          <w:sz w:val="24"/>
        </w:rPr>
      </w:pPr>
      <w:r>
        <w:rPr>
          <w:rFonts w:hint="eastAsia" w:ascii="仿宋" w:hAnsi="仿宋" w:eastAsia="仿宋"/>
          <w:sz w:val="24"/>
        </w:rPr>
        <w:t>4、投标供应商必须保证使用环境标志产品参加投标的真实性，如出现虚假响应，一经查实，将按照采购文件具体规定进行处理。</w:t>
      </w:r>
    </w:p>
    <w:p>
      <w:pPr>
        <w:spacing w:line="360" w:lineRule="auto"/>
        <w:rPr>
          <w:rFonts w:ascii="仿宋" w:hAnsi="仿宋" w:eastAsia="仿宋" w:cs="仿宋"/>
          <w:bCs/>
          <w:sz w:val="24"/>
        </w:rPr>
      </w:pPr>
      <w:r>
        <w:rPr>
          <w:rFonts w:hint="eastAsia" w:ascii="仿宋" w:hAnsi="仿宋" w:eastAsia="仿宋" w:cs="仿宋"/>
          <w:bCs/>
          <w:sz w:val="24"/>
        </w:rPr>
        <w:t>5、环境标志产品报价表</w:t>
      </w:r>
    </w:p>
    <w:p>
      <w:pPr>
        <w:spacing w:before="120" w:after="120" w:line="360" w:lineRule="auto"/>
        <w:ind w:left="-178" w:leftChars="-85"/>
        <w:rPr>
          <w:rFonts w:ascii="仿宋" w:hAnsi="仿宋" w:eastAsia="仿宋" w:cs="仿宋"/>
          <w:sz w:val="24"/>
        </w:rPr>
      </w:pPr>
      <w:r>
        <w:rPr>
          <w:rFonts w:hint="eastAsia" w:ascii="仿宋" w:hAnsi="仿宋" w:eastAsia="仿宋" w:cs="仿宋"/>
          <w:sz w:val="24"/>
        </w:rPr>
        <w:t>供应商名称（盖单位章）：</w:t>
      </w:r>
      <w:r>
        <w:rPr>
          <w:rFonts w:hint="eastAsia" w:ascii="仿宋" w:hAnsi="仿宋" w:eastAsia="仿宋" w:cs="仿宋"/>
          <w:sz w:val="24"/>
          <w:u w:val="single"/>
        </w:rPr>
        <w:t xml:space="preserve">                  </w:t>
      </w:r>
      <w:r>
        <w:rPr>
          <w:rFonts w:hint="eastAsia" w:ascii="仿宋" w:hAnsi="仿宋" w:eastAsia="仿宋" w:cs="仿宋"/>
          <w:sz w:val="24"/>
        </w:rPr>
        <w:t xml:space="preserve"> 项目编号：</w:t>
      </w:r>
      <w:r>
        <w:rPr>
          <w:rFonts w:hint="eastAsia" w:ascii="仿宋" w:hAnsi="仿宋" w:eastAsia="仿宋" w:cs="仿宋"/>
          <w:sz w:val="24"/>
          <w:u w:val="single"/>
        </w:rPr>
        <w:t xml:space="preserve">                  </w:t>
      </w:r>
      <w:r>
        <w:rPr>
          <w:rFonts w:hint="eastAsia" w:ascii="仿宋" w:hAnsi="仿宋" w:eastAsia="仿宋" w:cs="仿宋"/>
          <w:sz w:val="24"/>
        </w:rPr>
        <w:t xml:space="preserve"> </w:t>
      </w:r>
    </w:p>
    <w:tbl>
      <w:tblPr>
        <w:tblStyle w:val="87"/>
        <w:tblW w:w="1023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663"/>
        <w:gridCol w:w="1397"/>
        <w:gridCol w:w="763"/>
        <w:gridCol w:w="1620"/>
        <w:gridCol w:w="2880"/>
        <w:gridCol w:w="1080"/>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1" w:hRule="atLeast"/>
          <w:jc w:val="center"/>
        </w:trPr>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品目序号</w:t>
            </w:r>
          </w:p>
        </w:tc>
        <w:tc>
          <w:tcPr>
            <w:tcW w:w="6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名称</w:t>
            </w:r>
          </w:p>
        </w:tc>
        <w:tc>
          <w:tcPr>
            <w:tcW w:w="1397"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型号和规格</w:t>
            </w:r>
          </w:p>
        </w:tc>
        <w:tc>
          <w:tcPr>
            <w:tcW w:w="763" w:type="dxa"/>
            <w:vAlign w:val="center"/>
          </w:tcPr>
          <w:p>
            <w:pPr>
              <w:spacing w:before="120" w:after="120" w:line="360" w:lineRule="auto"/>
              <w:jc w:val="center"/>
              <w:rPr>
                <w:rFonts w:ascii="仿宋" w:hAnsi="仿宋" w:eastAsia="仿宋" w:cs="仿宋"/>
                <w:sz w:val="24"/>
              </w:rPr>
            </w:pPr>
            <w:r>
              <w:rPr>
                <w:rFonts w:hint="eastAsia" w:ascii="仿宋" w:hAnsi="仿宋" w:eastAsia="仿宋" w:cs="仿宋"/>
                <w:sz w:val="24"/>
              </w:rPr>
              <w:t>数量</w:t>
            </w:r>
          </w:p>
        </w:tc>
        <w:tc>
          <w:tcPr>
            <w:tcW w:w="1620" w:type="dxa"/>
          </w:tcPr>
          <w:p>
            <w:pPr>
              <w:spacing w:before="120" w:line="360" w:lineRule="auto"/>
              <w:jc w:val="center"/>
              <w:rPr>
                <w:rFonts w:ascii="仿宋" w:hAnsi="仿宋" w:eastAsia="仿宋" w:cs="仿宋"/>
                <w:sz w:val="24"/>
              </w:rPr>
            </w:pPr>
            <w:r>
              <w:rPr>
                <w:rFonts w:hint="eastAsia" w:ascii="仿宋" w:hAnsi="仿宋" w:eastAsia="仿宋" w:cs="仿宋"/>
                <w:sz w:val="24"/>
              </w:rPr>
              <w:t>原产地和</w:t>
            </w:r>
          </w:p>
          <w:p>
            <w:pPr>
              <w:spacing w:before="120" w:line="360" w:lineRule="auto"/>
              <w:jc w:val="center"/>
              <w:rPr>
                <w:rFonts w:ascii="仿宋" w:hAnsi="仿宋" w:eastAsia="仿宋" w:cs="仿宋"/>
                <w:sz w:val="24"/>
              </w:rPr>
            </w:pPr>
            <w:r>
              <w:rPr>
                <w:rFonts w:hint="eastAsia" w:ascii="仿宋" w:hAnsi="仿宋" w:eastAsia="仿宋" w:cs="仿宋"/>
                <w:sz w:val="24"/>
              </w:rPr>
              <w:t>制造商名称</w:t>
            </w:r>
          </w:p>
        </w:tc>
        <w:tc>
          <w:tcPr>
            <w:tcW w:w="2880" w:type="dxa"/>
            <w:vAlign w:val="center"/>
          </w:tcPr>
          <w:p>
            <w:pPr>
              <w:spacing w:before="120" w:line="360" w:lineRule="auto"/>
              <w:jc w:val="center"/>
              <w:rPr>
                <w:rFonts w:ascii="仿宋" w:hAnsi="仿宋" w:eastAsia="仿宋" w:cs="仿宋"/>
                <w:sz w:val="24"/>
              </w:rPr>
            </w:pPr>
            <w:r>
              <w:rPr>
                <w:rFonts w:hint="eastAsia" w:ascii="仿宋" w:hAnsi="仿宋" w:eastAsia="仿宋" w:cs="仿宋"/>
                <w:sz w:val="24"/>
              </w:rPr>
              <w:t>中国环境标志认证证书编号</w:t>
            </w:r>
          </w:p>
        </w:tc>
        <w:tc>
          <w:tcPr>
            <w:tcW w:w="1080" w:type="dxa"/>
            <w:vAlign w:val="center"/>
          </w:tcPr>
          <w:p>
            <w:pPr>
              <w:spacing w:line="360" w:lineRule="auto"/>
              <w:jc w:val="center"/>
              <w:rPr>
                <w:rFonts w:ascii="仿宋" w:hAnsi="仿宋" w:eastAsia="仿宋" w:cs="仿宋"/>
                <w:sz w:val="24"/>
              </w:rPr>
            </w:pPr>
            <w:r>
              <w:rPr>
                <w:rFonts w:hint="eastAsia" w:ascii="仿宋" w:hAnsi="仿宋" w:eastAsia="仿宋" w:cs="仿宋"/>
                <w:sz w:val="24"/>
              </w:rPr>
              <w:t>单价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c>
          <w:tcPr>
            <w:tcW w:w="1171" w:type="dxa"/>
            <w:vAlign w:val="center"/>
          </w:tcPr>
          <w:p>
            <w:pPr>
              <w:spacing w:line="360" w:lineRule="auto"/>
              <w:jc w:val="center"/>
              <w:rPr>
                <w:rFonts w:ascii="仿宋" w:hAnsi="仿宋" w:eastAsia="仿宋" w:cs="仿宋"/>
                <w:sz w:val="24"/>
              </w:rPr>
            </w:pPr>
            <w:r>
              <w:rPr>
                <w:rFonts w:hint="eastAsia" w:ascii="仿宋" w:hAnsi="仿宋" w:eastAsia="仿宋" w:cs="仿宋"/>
                <w:sz w:val="24"/>
              </w:rPr>
              <w:t>总价</w:t>
            </w:r>
          </w:p>
          <w:p>
            <w:pPr>
              <w:spacing w:line="360" w:lineRule="auto"/>
              <w:jc w:val="center"/>
              <w:rPr>
                <w:rFonts w:ascii="仿宋" w:hAnsi="仿宋" w:eastAsia="仿宋" w:cs="仿宋"/>
                <w:sz w:val="24"/>
              </w:rPr>
            </w:pPr>
            <w:r>
              <w:rPr>
                <w:rFonts w:hint="eastAsia" w:ascii="仿宋" w:hAnsi="仿宋" w:eastAsia="仿宋" w:cs="仿宋"/>
                <w:sz w:val="24"/>
              </w:rPr>
              <w:t>（元人民币）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63" w:type="dxa"/>
            <w:vAlign w:val="center"/>
          </w:tcPr>
          <w:p>
            <w:pPr>
              <w:spacing w:before="60" w:after="60" w:line="360" w:lineRule="auto"/>
              <w:jc w:val="center"/>
              <w:rPr>
                <w:rFonts w:ascii="仿宋" w:hAnsi="仿宋" w:eastAsia="仿宋" w:cs="仿宋"/>
                <w:sz w:val="24"/>
              </w:rPr>
            </w:pPr>
          </w:p>
        </w:tc>
        <w:tc>
          <w:tcPr>
            <w:tcW w:w="663" w:type="dxa"/>
            <w:vAlign w:val="center"/>
          </w:tcPr>
          <w:p>
            <w:pPr>
              <w:spacing w:before="60" w:after="60" w:line="360" w:lineRule="auto"/>
              <w:jc w:val="center"/>
              <w:rPr>
                <w:rFonts w:ascii="仿宋" w:hAnsi="仿宋" w:eastAsia="仿宋" w:cs="仿宋"/>
                <w:sz w:val="24"/>
              </w:rPr>
            </w:pPr>
          </w:p>
        </w:tc>
        <w:tc>
          <w:tcPr>
            <w:tcW w:w="1397" w:type="dxa"/>
            <w:vAlign w:val="center"/>
          </w:tcPr>
          <w:p>
            <w:pPr>
              <w:spacing w:before="60" w:after="60" w:line="360" w:lineRule="auto"/>
              <w:rPr>
                <w:rFonts w:ascii="仿宋" w:hAnsi="仿宋" w:eastAsia="仿宋" w:cs="仿宋"/>
                <w:sz w:val="24"/>
              </w:rPr>
            </w:pPr>
          </w:p>
        </w:tc>
        <w:tc>
          <w:tcPr>
            <w:tcW w:w="763" w:type="dxa"/>
            <w:vAlign w:val="center"/>
          </w:tcPr>
          <w:p>
            <w:pPr>
              <w:spacing w:before="60" w:after="60" w:line="360" w:lineRule="auto"/>
              <w:rPr>
                <w:rFonts w:ascii="仿宋" w:hAnsi="仿宋" w:eastAsia="仿宋" w:cs="仿宋"/>
                <w:sz w:val="24"/>
              </w:rPr>
            </w:pPr>
          </w:p>
        </w:tc>
        <w:tc>
          <w:tcPr>
            <w:tcW w:w="1620" w:type="dxa"/>
          </w:tcPr>
          <w:p>
            <w:pPr>
              <w:spacing w:before="60" w:after="60" w:line="360" w:lineRule="auto"/>
              <w:rPr>
                <w:rFonts w:ascii="仿宋" w:hAnsi="仿宋" w:eastAsia="仿宋" w:cs="仿宋"/>
                <w:sz w:val="24"/>
              </w:rPr>
            </w:pPr>
          </w:p>
        </w:tc>
        <w:tc>
          <w:tcPr>
            <w:tcW w:w="2880" w:type="dxa"/>
            <w:vAlign w:val="center"/>
          </w:tcPr>
          <w:p>
            <w:pPr>
              <w:spacing w:before="60" w:after="60" w:line="360" w:lineRule="auto"/>
              <w:rPr>
                <w:rFonts w:ascii="仿宋" w:hAnsi="仿宋" w:eastAsia="仿宋" w:cs="仿宋"/>
                <w:sz w:val="24"/>
              </w:rPr>
            </w:pPr>
          </w:p>
        </w:tc>
        <w:tc>
          <w:tcPr>
            <w:tcW w:w="1080" w:type="dxa"/>
            <w:vAlign w:val="center"/>
          </w:tcPr>
          <w:p>
            <w:pPr>
              <w:spacing w:before="60" w:after="60" w:line="360" w:lineRule="auto"/>
              <w:rPr>
                <w:rFonts w:ascii="仿宋" w:hAnsi="仿宋" w:eastAsia="仿宋" w:cs="仿宋"/>
                <w:sz w:val="24"/>
              </w:rPr>
            </w:pPr>
          </w:p>
        </w:tc>
        <w:tc>
          <w:tcPr>
            <w:tcW w:w="1171" w:type="dxa"/>
            <w:vAlign w:val="center"/>
          </w:tcPr>
          <w:p>
            <w:pPr>
              <w:spacing w:line="360" w:lineRule="auto"/>
              <w:rPr>
                <w:rFonts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66" w:type="dxa"/>
            <w:gridSpan w:val="7"/>
            <w:vAlign w:val="center"/>
          </w:tcPr>
          <w:p>
            <w:pPr>
              <w:spacing w:before="60" w:after="60" w:line="360" w:lineRule="auto"/>
              <w:rPr>
                <w:rFonts w:ascii="仿宋" w:hAnsi="仿宋" w:eastAsia="仿宋" w:cs="仿宋"/>
                <w:sz w:val="24"/>
              </w:rPr>
            </w:pPr>
            <w:r>
              <w:rPr>
                <w:rFonts w:hint="eastAsia" w:ascii="仿宋" w:hAnsi="仿宋" w:eastAsia="仿宋" w:cs="仿宋"/>
                <w:sz w:val="24"/>
              </w:rPr>
              <w:t>其中，</w:t>
            </w:r>
            <w:r>
              <w:rPr>
                <w:rFonts w:hint="eastAsia" w:ascii="仿宋" w:hAnsi="仿宋" w:eastAsia="仿宋" w:cs="仿宋"/>
                <w:bCs/>
                <w:sz w:val="24"/>
              </w:rPr>
              <w:t>环境标志</w:t>
            </w:r>
            <w:r>
              <w:rPr>
                <w:rFonts w:hint="eastAsia" w:ascii="仿宋" w:hAnsi="仿宋" w:eastAsia="仿宋" w:cs="仿宋"/>
                <w:sz w:val="24"/>
              </w:rPr>
              <w:t>产品总计：</w:t>
            </w:r>
          </w:p>
        </w:tc>
        <w:tc>
          <w:tcPr>
            <w:tcW w:w="1171" w:type="dxa"/>
            <w:vAlign w:val="center"/>
          </w:tcPr>
          <w:p>
            <w:pPr>
              <w:spacing w:line="360" w:lineRule="auto"/>
              <w:rPr>
                <w:rFonts w:ascii="仿宋" w:hAnsi="仿宋" w:eastAsia="仿宋" w:cs="仿宋"/>
                <w:sz w:val="24"/>
              </w:rPr>
            </w:pPr>
          </w:p>
        </w:tc>
      </w:tr>
    </w:tbl>
    <w:p>
      <w:pPr>
        <w:spacing w:line="380" w:lineRule="exact"/>
        <w:rPr>
          <w:rFonts w:ascii="黑体" w:hAnsi="宋体" w:eastAsia="黑体" w:cs="宋体"/>
          <w:kern w:val="0"/>
          <w:sz w:val="36"/>
          <w:szCs w:val="36"/>
          <w:lang w:val="zh-CN"/>
        </w:rPr>
      </w:pPr>
      <w:r>
        <w:rPr>
          <w:rFonts w:hint="eastAsia" w:ascii="仿宋" w:hAnsi="仿宋" w:eastAsia="仿宋" w:cs="仿宋"/>
          <w:sz w:val="24"/>
        </w:rPr>
        <w:t>法定代表人或其委托代理人（签字）：</w:t>
      </w:r>
    </w:p>
    <w:sectPr>
      <w:headerReference r:id="rId8" w:type="first"/>
      <w:footerReference r:id="rId11" w:type="first"/>
      <w:headerReference r:id="rId6" w:type="default"/>
      <w:footerReference r:id="rId9" w:type="default"/>
      <w:headerReference r:id="rId7" w:type="even"/>
      <w:footerReference r:id="rId10" w:type="even"/>
      <w:pgSz w:w="11906" w:h="16838"/>
      <w:pgMar w:top="1440" w:right="1440"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Verdana">
    <w:panose1 w:val="020B0604030504040204"/>
    <w:charset w:val="00"/>
    <w:family w:val="swiss"/>
    <w:pitch w:val="default"/>
    <w:sig w:usb0="A1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00000" w:csb1="00000000"/>
  </w:font>
  <w:font w:name="Georgia">
    <w:panose1 w:val="02040502050405020303"/>
    <w:charset w:val="00"/>
    <w:family w:val="roman"/>
    <w:pitch w:val="default"/>
    <w:sig w:usb0="00000287" w:usb1="00000000" w:usb2="00000000" w:usb3="00000000" w:csb0="2000009F"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Helvetica">
    <w:altName w:val="Arial"/>
    <w:panose1 w:val="020B0604020202020204"/>
    <w:charset w:val="00"/>
    <w:family w:val="swiss"/>
    <w:pitch w:val="default"/>
    <w:sig w:usb0="00000000" w:usb1="00000000" w:usb2="00000000" w:usb3="00000000" w:csb0="00000001" w:csb1="00000000"/>
  </w:font>
  <w:font w:name="HYDaHeiJ">
    <w:altName w:val="微软雅黑"/>
    <w:panose1 w:val="00000000000000000000"/>
    <w:charset w:val="86"/>
    <w:family w:val="swiss"/>
    <w:pitch w:val="default"/>
    <w:sig w:usb0="00000000" w:usb1="00000000" w:usb2="00000010" w:usb3="00000000" w:csb0="00040000" w:csb1="00000000"/>
  </w:font>
  <w:font w:name="Trebuchet MS">
    <w:panose1 w:val="020B0603020202020204"/>
    <w:charset w:val="00"/>
    <w:family w:val="swiss"/>
    <w:pitch w:val="default"/>
    <w:sig w:usb0="00000287" w:usb1="00000000" w:usb2="00000000" w:usb3="00000000" w:csb0="2000009F" w:csb1="00000000"/>
  </w:font>
  <w:font w:name="Calibri Light">
    <w:panose1 w:val="020F0302020204030204"/>
    <w:charset w:val="00"/>
    <w:family w:val="swiss"/>
    <w:pitch w:val="default"/>
    <w:sig w:usb0="A00002EF" w:usb1="4000207B"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jc w:val="center"/>
    </w:pPr>
    <w:r>
      <w:rPr>
        <w:lang w:val="zh-CN"/>
      </w:rPr>
      <w:fldChar w:fldCharType="begin"/>
    </w:r>
    <w:r>
      <w:rPr>
        <w:lang w:val="zh-CN"/>
      </w:rPr>
      <w:instrText xml:space="preserve">PAGE   \* MERGEFORMAT</w:instrText>
    </w:r>
    <w:r>
      <w:rPr>
        <w:lang w:val="zh-CN"/>
      </w:rPr>
      <w:fldChar w:fldCharType="separate"/>
    </w:r>
    <w:r>
      <w:rPr>
        <w:lang w:val="zh-CN"/>
      </w:rPr>
      <w:t>3</w:t>
    </w:r>
    <w:r>
      <w:rPr>
        <w:lang w:val="zh-CN"/>
      </w:rPr>
      <w:fldChar w:fldCharType="end"/>
    </w:r>
  </w:p>
  <w:p>
    <w:pPr>
      <w:pStyle w:val="5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framePr w:wrap="around" w:vAnchor="text" w:hAnchor="margin" w:xAlign="right" w:y="1"/>
      <w:rPr>
        <w:rStyle w:val="93"/>
      </w:rPr>
    </w:pPr>
    <w:r>
      <w:fldChar w:fldCharType="begin"/>
    </w:r>
    <w:r>
      <w:rPr>
        <w:rStyle w:val="93"/>
      </w:rPr>
      <w:instrText xml:space="preserve">PAGE  </w:instrText>
    </w:r>
    <w:r>
      <w:fldChar w:fldCharType="separate"/>
    </w:r>
    <w:r>
      <w:rPr>
        <w:rStyle w:val="93"/>
      </w:rPr>
      <w:t>30</w:t>
    </w:r>
    <w:r>
      <w:fldChar w:fldCharType="end"/>
    </w:r>
  </w:p>
  <w:p>
    <w:pPr>
      <w:pStyle w:val="5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ind w:right="360"/>
      <w:jc w:val="center"/>
      <w:rPr>
        <w: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ind w:firstLine="420"/>
      <w:jc w:val="center"/>
    </w:pPr>
    <w:r>
      <w:rPr>
        <w:lang w:val="zh-CN"/>
      </w:rPr>
      <w:fldChar w:fldCharType="begin"/>
    </w:r>
    <w:r>
      <w:rPr>
        <w:lang w:val="zh-CN"/>
      </w:rPr>
      <w:instrText xml:space="preserve"> PAGE   \* MERGEFORMAT </w:instrText>
    </w:r>
    <w:r>
      <w:rPr>
        <w:lang w:val="zh-CN"/>
      </w:rPr>
      <w:fldChar w:fldCharType="separate"/>
    </w:r>
    <w:r>
      <w:rPr>
        <w:lang w:val="zh-CN"/>
      </w:rPr>
      <w:t>55</w:t>
    </w:r>
    <w:r>
      <w:rPr>
        <w:lang w:val="zh-CN"/>
      </w:rPr>
      <w:fldChar w:fldCharType="end"/>
    </w:r>
  </w:p>
  <w:p>
    <w:pPr>
      <w:pStyle w:val="5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jc w:val="right"/>
      <w:rPr>
        <w:b/>
        <w:i/>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lvl w:ilvl="0" w:tentative="0">
      <w:start w:val="1"/>
      <w:numFmt w:val="decimal"/>
      <w:pStyle w:val="47"/>
      <w:lvlText w:val="%1."/>
      <w:lvlJc w:val="left"/>
      <w:pPr>
        <w:tabs>
          <w:tab w:val="left" w:pos="1620"/>
        </w:tabs>
        <w:ind w:left="1620" w:hanging="360"/>
      </w:pPr>
    </w:lvl>
  </w:abstractNum>
  <w:abstractNum w:abstractNumId="1">
    <w:nsid w:val="00000008"/>
    <w:multiLevelType w:val="singleLevel"/>
    <w:tmpl w:val="00000008"/>
    <w:lvl w:ilvl="0" w:tentative="0">
      <w:start w:val="1"/>
      <w:numFmt w:val="bullet"/>
      <w:pStyle w:val="40"/>
      <w:lvlText w:val=""/>
      <w:lvlJc w:val="left"/>
      <w:pPr>
        <w:tabs>
          <w:tab w:val="left" w:pos="780"/>
        </w:tabs>
        <w:ind w:left="780" w:hanging="360"/>
      </w:pPr>
      <w:rPr>
        <w:rFonts w:hint="default" w:ascii="Wingdings" w:hAnsi="Wingdings"/>
      </w:rPr>
    </w:lvl>
  </w:abstractNum>
  <w:abstractNum w:abstractNumId="2">
    <w:nsid w:val="00000009"/>
    <w:multiLevelType w:val="multilevel"/>
    <w:tmpl w:val="00000009"/>
    <w:lvl w:ilvl="0" w:tentative="0">
      <w:start w:val="1"/>
      <w:numFmt w:val="bullet"/>
      <w:pStyle w:val="139"/>
      <w:lvlText w:val=""/>
      <w:lvlJc w:val="left"/>
      <w:pPr>
        <w:tabs>
          <w:tab w:val="left" w:pos="420"/>
        </w:tabs>
        <w:ind w:left="420" w:hanging="420"/>
      </w:pPr>
      <w:rPr>
        <w:rFonts w:hint="default" w:ascii="Symbol" w:hAnsi="Symbol"/>
        <w:color w:val="auto"/>
      </w:rPr>
    </w:lvl>
    <w:lvl w:ilvl="1" w:tentative="0">
      <w:start w:val="1"/>
      <w:numFmt w:val="bullet"/>
      <w:lvlText w:val=""/>
      <w:lvlJc w:val="left"/>
      <w:pPr>
        <w:tabs>
          <w:tab w:val="left" w:pos="840"/>
        </w:tabs>
        <w:ind w:left="840" w:hanging="420"/>
      </w:pPr>
      <w:rPr>
        <w:rFonts w:hint="default" w:ascii="Symbol" w:hAnsi="Symbol"/>
        <w:color w:val="auto"/>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0000000C"/>
    <w:multiLevelType w:val="singleLevel"/>
    <w:tmpl w:val="0000000C"/>
    <w:lvl w:ilvl="0" w:tentative="0">
      <w:start w:val="1"/>
      <w:numFmt w:val="bullet"/>
      <w:pStyle w:val="17"/>
      <w:lvlText w:val=""/>
      <w:lvlJc w:val="left"/>
      <w:pPr>
        <w:tabs>
          <w:tab w:val="left" w:pos="1620"/>
        </w:tabs>
        <w:ind w:left="1620" w:hanging="360"/>
      </w:pPr>
      <w:rPr>
        <w:rFonts w:hint="default" w:ascii="Wingdings" w:hAnsi="Wingdings"/>
      </w:rPr>
    </w:lvl>
  </w:abstractNum>
  <w:abstractNum w:abstractNumId="4">
    <w:nsid w:val="00000012"/>
    <w:multiLevelType w:val="singleLevel"/>
    <w:tmpl w:val="00000012"/>
    <w:lvl w:ilvl="0" w:tentative="0">
      <w:start w:val="1"/>
      <w:numFmt w:val="decimal"/>
      <w:pStyle w:val="36"/>
      <w:lvlText w:val="%1."/>
      <w:lvlJc w:val="left"/>
      <w:pPr>
        <w:tabs>
          <w:tab w:val="left" w:pos="1200"/>
        </w:tabs>
        <w:ind w:left="1200" w:hanging="360"/>
      </w:pPr>
    </w:lvl>
  </w:abstractNum>
  <w:abstractNum w:abstractNumId="5">
    <w:nsid w:val="00000019"/>
    <w:multiLevelType w:val="singleLevel"/>
    <w:tmpl w:val="00000019"/>
    <w:lvl w:ilvl="0" w:tentative="0">
      <w:start w:val="1"/>
      <w:numFmt w:val="bullet"/>
      <w:pStyle w:val="24"/>
      <w:lvlText w:val=""/>
      <w:lvlJc w:val="left"/>
      <w:pPr>
        <w:tabs>
          <w:tab w:val="left" w:pos="360"/>
        </w:tabs>
        <w:ind w:left="360" w:hanging="360"/>
      </w:pPr>
      <w:rPr>
        <w:rFonts w:hint="default" w:ascii="Wingdings" w:hAnsi="Wingdings"/>
      </w:rPr>
    </w:lvl>
  </w:abstractNum>
  <w:abstractNum w:abstractNumId="6">
    <w:nsid w:val="0000001C"/>
    <w:multiLevelType w:val="singleLevel"/>
    <w:tmpl w:val="0000001C"/>
    <w:lvl w:ilvl="0" w:tentative="0">
      <w:start w:val="1"/>
      <w:numFmt w:val="bullet"/>
      <w:pStyle w:val="33"/>
      <w:lvlText w:val=""/>
      <w:lvlJc w:val="left"/>
      <w:pPr>
        <w:tabs>
          <w:tab w:val="left" w:pos="1200"/>
        </w:tabs>
        <w:ind w:left="1200" w:hanging="360"/>
      </w:pPr>
      <w:rPr>
        <w:rFonts w:hint="default" w:ascii="Wingdings" w:hAnsi="Wingdings"/>
      </w:rPr>
    </w:lvl>
  </w:abstractNum>
  <w:abstractNum w:abstractNumId="7">
    <w:nsid w:val="0000001F"/>
    <w:multiLevelType w:val="singleLevel"/>
    <w:tmpl w:val="0000001F"/>
    <w:lvl w:ilvl="0" w:tentative="0">
      <w:start w:val="1"/>
      <w:numFmt w:val="bullet"/>
      <w:pStyle w:val="46"/>
      <w:lvlText w:val=""/>
      <w:lvlJc w:val="left"/>
      <w:pPr>
        <w:tabs>
          <w:tab w:val="left" w:pos="2040"/>
        </w:tabs>
        <w:ind w:left="2040" w:hanging="360"/>
      </w:pPr>
      <w:rPr>
        <w:rFonts w:hint="default" w:ascii="Wingdings" w:hAnsi="Wingdings"/>
      </w:rPr>
    </w:lvl>
  </w:abstractNum>
  <w:abstractNum w:abstractNumId="8">
    <w:nsid w:val="0848518B"/>
    <w:multiLevelType w:val="singleLevel"/>
    <w:tmpl w:val="0848518B"/>
    <w:lvl w:ilvl="0" w:tentative="0">
      <w:start w:val="1"/>
      <w:numFmt w:val="decimal"/>
      <w:pStyle w:val="65"/>
      <w:lvlText w:val="%1."/>
      <w:lvlJc w:val="left"/>
      <w:pPr>
        <w:tabs>
          <w:tab w:val="left" w:pos="2040"/>
        </w:tabs>
        <w:ind w:left="2040" w:hanging="360"/>
      </w:pPr>
    </w:lvl>
  </w:abstractNum>
  <w:abstractNum w:abstractNumId="9">
    <w:nsid w:val="0EA2092E"/>
    <w:multiLevelType w:val="multilevel"/>
    <w:tmpl w:val="0EA2092E"/>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12DA7737"/>
    <w:multiLevelType w:val="multilevel"/>
    <w:tmpl w:val="12DA7737"/>
    <w:lvl w:ilvl="0" w:tentative="0">
      <w:start w:val="1"/>
      <w:numFmt w:val="bullet"/>
      <w:lvlText w:val=""/>
      <w:lvlJc w:val="left"/>
      <w:pPr>
        <w:ind w:left="845" w:hanging="420"/>
      </w:pPr>
      <w:rPr>
        <w:rFonts w:hint="default" w:ascii="Wingdings" w:hAnsi="Wingdings"/>
      </w:rPr>
    </w:lvl>
    <w:lvl w:ilvl="1" w:tentative="0">
      <w:start w:val="1"/>
      <w:numFmt w:val="bullet"/>
      <w:lvlText w:val=""/>
      <w:lvlJc w:val="left"/>
      <w:pPr>
        <w:ind w:left="1265" w:hanging="420"/>
      </w:pPr>
      <w:rPr>
        <w:rFonts w:hint="default" w:ascii="Wingdings" w:hAnsi="Wingdings"/>
      </w:rPr>
    </w:lvl>
    <w:lvl w:ilvl="2" w:tentative="0">
      <w:start w:val="1"/>
      <w:numFmt w:val="bullet"/>
      <w:lvlText w:val=""/>
      <w:lvlJc w:val="left"/>
      <w:pPr>
        <w:ind w:left="1685" w:hanging="420"/>
      </w:pPr>
      <w:rPr>
        <w:rFonts w:hint="default" w:ascii="Wingdings" w:hAnsi="Wingdings"/>
      </w:rPr>
    </w:lvl>
    <w:lvl w:ilvl="3" w:tentative="0">
      <w:start w:val="1"/>
      <w:numFmt w:val="bullet"/>
      <w:lvlText w:val=""/>
      <w:lvlJc w:val="left"/>
      <w:pPr>
        <w:ind w:left="2105" w:hanging="420"/>
      </w:pPr>
      <w:rPr>
        <w:rFonts w:hint="default" w:ascii="Wingdings" w:hAnsi="Wingdings"/>
      </w:rPr>
    </w:lvl>
    <w:lvl w:ilvl="4" w:tentative="0">
      <w:start w:val="1"/>
      <w:numFmt w:val="bullet"/>
      <w:lvlText w:val=""/>
      <w:lvlJc w:val="left"/>
      <w:pPr>
        <w:ind w:left="2525" w:hanging="420"/>
      </w:pPr>
      <w:rPr>
        <w:rFonts w:hint="default" w:ascii="Wingdings" w:hAnsi="Wingdings"/>
      </w:rPr>
    </w:lvl>
    <w:lvl w:ilvl="5" w:tentative="0">
      <w:start w:val="1"/>
      <w:numFmt w:val="bullet"/>
      <w:lvlText w:val=""/>
      <w:lvlJc w:val="left"/>
      <w:pPr>
        <w:ind w:left="2945" w:hanging="420"/>
      </w:pPr>
      <w:rPr>
        <w:rFonts w:hint="default" w:ascii="Wingdings" w:hAnsi="Wingdings"/>
      </w:rPr>
    </w:lvl>
    <w:lvl w:ilvl="6" w:tentative="0">
      <w:start w:val="1"/>
      <w:numFmt w:val="bullet"/>
      <w:lvlText w:val=""/>
      <w:lvlJc w:val="left"/>
      <w:pPr>
        <w:ind w:left="3365" w:hanging="420"/>
      </w:pPr>
      <w:rPr>
        <w:rFonts w:hint="default" w:ascii="Wingdings" w:hAnsi="Wingdings"/>
      </w:rPr>
    </w:lvl>
    <w:lvl w:ilvl="7" w:tentative="0">
      <w:start w:val="1"/>
      <w:numFmt w:val="bullet"/>
      <w:lvlText w:val=""/>
      <w:lvlJc w:val="left"/>
      <w:pPr>
        <w:ind w:left="3785" w:hanging="420"/>
      </w:pPr>
      <w:rPr>
        <w:rFonts w:hint="default" w:ascii="Wingdings" w:hAnsi="Wingdings"/>
      </w:rPr>
    </w:lvl>
    <w:lvl w:ilvl="8" w:tentative="0">
      <w:start w:val="1"/>
      <w:numFmt w:val="bullet"/>
      <w:lvlText w:val=""/>
      <w:lvlJc w:val="left"/>
      <w:pPr>
        <w:ind w:left="4205" w:hanging="420"/>
      </w:pPr>
      <w:rPr>
        <w:rFonts w:hint="default" w:ascii="Wingdings" w:hAnsi="Wingdings"/>
      </w:rPr>
    </w:lvl>
  </w:abstractNum>
  <w:abstractNum w:abstractNumId="11">
    <w:nsid w:val="138E62F2"/>
    <w:multiLevelType w:val="multilevel"/>
    <w:tmpl w:val="138E62F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156D2030"/>
    <w:multiLevelType w:val="multilevel"/>
    <w:tmpl w:val="156D2030"/>
    <w:lvl w:ilvl="0" w:tentative="0">
      <w:start w:val="1"/>
      <w:numFmt w:val="decimal"/>
      <w:lvlText w:val="(%1)"/>
      <w:lvlJc w:val="left"/>
      <w:pPr>
        <w:ind w:left="405" w:hanging="40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1C7B5421"/>
    <w:multiLevelType w:val="multilevel"/>
    <w:tmpl w:val="1C7B5421"/>
    <w:lvl w:ilvl="0" w:tentative="0">
      <w:start w:val="1"/>
      <w:numFmt w:val="bullet"/>
      <w:lvlText w:val=""/>
      <w:lvlJc w:val="left"/>
      <w:pPr>
        <w:ind w:left="845" w:hanging="420"/>
      </w:pPr>
      <w:rPr>
        <w:rFonts w:hint="default" w:ascii="Wingdings" w:hAnsi="Wingdings"/>
      </w:rPr>
    </w:lvl>
    <w:lvl w:ilvl="1" w:tentative="0">
      <w:start w:val="1"/>
      <w:numFmt w:val="bullet"/>
      <w:lvlText w:val=""/>
      <w:lvlJc w:val="left"/>
      <w:pPr>
        <w:ind w:left="1265" w:hanging="420"/>
      </w:pPr>
      <w:rPr>
        <w:rFonts w:hint="default" w:ascii="Wingdings" w:hAnsi="Wingdings"/>
      </w:rPr>
    </w:lvl>
    <w:lvl w:ilvl="2" w:tentative="0">
      <w:start w:val="1"/>
      <w:numFmt w:val="bullet"/>
      <w:lvlText w:val=""/>
      <w:lvlJc w:val="left"/>
      <w:pPr>
        <w:ind w:left="1685" w:hanging="420"/>
      </w:pPr>
      <w:rPr>
        <w:rFonts w:hint="default" w:ascii="Wingdings" w:hAnsi="Wingdings"/>
      </w:rPr>
    </w:lvl>
    <w:lvl w:ilvl="3" w:tentative="0">
      <w:start w:val="1"/>
      <w:numFmt w:val="bullet"/>
      <w:lvlText w:val=""/>
      <w:lvlJc w:val="left"/>
      <w:pPr>
        <w:ind w:left="2105" w:hanging="420"/>
      </w:pPr>
      <w:rPr>
        <w:rFonts w:hint="default" w:ascii="Wingdings" w:hAnsi="Wingdings"/>
      </w:rPr>
    </w:lvl>
    <w:lvl w:ilvl="4" w:tentative="0">
      <w:start w:val="1"/>
      <w:numFmt w:val="bullet"/>
      <w:lvlText w:val=""/>
      <w:lvlJc w:val="left"/>
      <w:pPr>
        <w:ind w:left="2525" w:hanging="420"/>
      </w:pPr>
      <w:rPr>
        <w:rFonts w:hint="default" w:ascii="Wingdings" w:hAnsi="Wingdings"/>
      </w:rPr>
    </w:lvl>
    <w:lvl w:ilvl="5" w:tentative="0">
      <w:start w:val="1"/>
      <w:numFmt w:val="bullet"/>
      <w:lvlText w:val=""/>
      <w:lvlJc w:val="left"/>
      <w:pPr>
        <w:ind w:left="2945" w:hanging="420"/>
      </w:pPr>
      <w:rPr>
        <w:rFonts w:hint="default" w:ascii="Wingdings" w:hAnsi="Wingdings"/>
      </w:rPr>
    </w:lvl>
    <w:lvl w:ilvl="6" w:tentative="0">
      <w:start w:val="1"/>
      <w:numFmt w:val="bullet"/>
      <w:lvlText w:val=""/>
      <w:lvlJc w:val="left"/>
      <w:pPr>
        <w:ind w:left="3365" w:hanging="420"/>
      </w:pPr>
      <w:rPr>
        <w:rFonts w:hint="default" w:ascii="Wingdings" w:hAnsi="Wingdings"/>
      </w:rPr>
    </w:lvl>
    <w:lvl w:ilvl="7" w:tentative="0">
      <w:start w:val="1"/>
      <w:numFmt w:val="bullet"/>
      <w:lvlText w:val=""/>
      <w:lvlJc w:val="left"/>
      <w:pPr>
        <w:ind w:left="3785" w:hanging="420"/>
      </w:pPr>
      <w:rPr>
        <w:rFonts w:hint="default" w:ascii="Wingdings" w:hAnsi="Wingdings"/>
      </w:rPr>
    </w:lvl>
    <w:lvl w:ilvl="8" w:tentative="0">
      <w:start w:val="1"/>
      <w:numFmt w:val="bullet"/>
      <w:lvlText w:val=""/>
      <w:lvlJc w:val="left"/>
      <w:pPr>
        <w:ind w:left="4205" w:hanging="420"/>
      </w:pPr>
      <w:rPr>
        <w:rFonts w:hint="default" w:ascii="Wingdings" w:hAnsi="Wingdings"/>
      </w:rPr>
    </w:lvl>
  </w:abstractNum>
  <w:abstractNum w:abstractNumId="14">
    <w:nsid w:val="29D33710"/>
    <w:multiLevelType w:val="multilevel"/>
    <w:tmpl w:val="29D33710"/>
    <w:lvl w:ilvl="0" w:tentative="0">
      <w:start w:val="1"/>
      <w:numFmt w:val="bullet"/>
      <w:lvlText w:val=""/>
      <w:lvlJc w:val="left"/>
      <w:pPr>
        <w:ind w:left="905" w:hanging="420"/>
      </w:pPr>
      <w:rPr>
        <w:rFonts w:hint="default" w:ascii="Wingdings" w:hAnsi="Wingdings"/>
      </w:rPr>
    </w:lvl>
    <w:lvl w:ilvl="1" w:tentative="0">
      <w:start w:val="1"/>
      <w:numFmt w:val="bullet"/>
      <w:lvlText w:val=""/>
      <w:lvlJc w:val="left"/>
      <w:pPr>
        <w:ind w:left="1325" w:hanging="420"/>
      </w:pPr>
      <w:rPr>
        <w:rFonts w:hint="default" w:ascii="Wingdings" w:hAnsi="Wingdings"/>
      </w:rPr>
    </w:lvl>
    <w:lvl w:ilvl="2" w:tentative="0">
      <w:start w:val="1"/>
      <w:numFmt w:val="bullet"/>
      <w:lvlText w:val=""/>
      <w:lvlJc w:val="left"/>
      <w:pPr>
        <w:ind w:left="1745" w:hanging="420"/>
      </w:pPr>
      <w:rPr>
        <w:rFonts w:hint="default" w:ascii="Wingdings" w:hAnsi="Wingdings"/>
      </w:rPr>
    </w:lvl>
    <w:lvl w:ilvl="3" w:tentative="0">
      <w:start w:val="1"/>
      <w:numFmt w:val="bullet"/>
      <w:lvlText w:val=""/>
      <w:lvlJc w:val="left"/>
      <w:pPr>
        <w:ind w:left="2165" w:hanging="420"/>
      </w:pPr>
      <w:rPr>
        <w:rFonts w:hint="default" w:ascii="Wingdings" w:hAnsi="Wingdings"/>
      </w:rPr>
    </w:lvl>
    <w:lvl w:ilvl="4" w:tentative="0">
      <w:start w:val="1"/>
      <w:numFmt w:val="bullet"/>
      <w:lvlText w:val=""/>
      <w:lvlJc w:val="left"/>
      <w:pPr>
        <w:ind w:left="2585" w:hanging="420"/>
      </w:pPr>
      <w:rPr>
        <w:rFonts w:hint="default" w:ascii="Wingdings" w:hAnsi="Wingdings"/>
      </w:rPr>
    </w:lvl>
    <w:lvl w:ilvl="5" w:tentative="0">
      <w:start w:val="1"/>
      <w:numFmt w:val="bullet"/>
      <w:lvlText w:val=""/>
      <w:lvlJc w:val="left"/>
      <w:pPr>
        <w:ind w:left="3005" w:hanging="420"/>
      </w:pPr>
      <w:rPr>
        <w:rFonts w:hint="default" w:ascii="Wingdings" w:hAnsi="Wingdings"/>
      </w:rPr>
    </w:lvl>
    <w:lvl w:ilvl="6" w:tentative="0">
      <w:start w:val="1"/>
      <w:numFmt w:val="bullet"/>
      <w:lvlText w:val=""/>
      <w:lvlJc w:val="left"/>
      <w:pPr>
        <w:ind w:left="3425" w:hanging="420"/>
      </w:pPr>
      <w:rPr>
        <w:rFonts w:hint="default" w:ascii="Wingdings" w:hAnsi="Wingdings"/>
      </w:rPr>
    </w:lvl>
    <w:lvl w:ilvl="7" w:tentative="0">
      <w:start w:val="1"/>
      <w:numFmt w:val="bullet"/>
      <w:lvlText w:val=""/>
      <w:lvlJc w:val="left"/>
      <w:pPr>
        <w:ind w:left="3845" w:hanging="420"/>
      </w:pPr>
      <w:rPr>
        <w:rFonts w:hint="default" w:ascii="Wingdings" w:hAnsi="Wingdings"/>
      </w:rPr>
    </w:lvl>
    <w:lvl w:ilvl="8" w:tentative="0">
      <w:start w:val="1"/>
      <w:numFmt w:val="bullet"/>
      <w:lvlText w:val=""/>
      <w:lvlJc w:val="left"/>
      <w:pPr>
        <w:ind w:left="4265" w:hanging="420"/>
      </w:pPr>
      <w:rPr>
        <w:rFonts w:hint="default" w:ascii="Wingdings" w:hAnsi="Wingdings"/>
      </w:rPr>
    </w:lvl>
  </w:abstractNum>
  <w:abstractNum w:abstractNumId="15">
    <w:nsid w:val="2A8D1D20"/>
    <w:multiLevelType w:val="multilevel"/>
    <w:tmpl w:val="2A8D1D20"/>
    <w:lvl w:ilvl="0" w:tentative="0">
      <w:start w:val="1"/>
      <w:numFmt w:val="bullet"/>
      <w:lvlText w:val=""/>
      <w:lvlJc w:val="left"/>
      <w:pPr>
        <w:ind w:left="845" w:hanging="420"/>
      </w:pPr>
      <w:rPr>
        <w:rFonts w:hint="default" w:ascii="Wingdings" w:hAnsi="Wingdings"/>
      </w:rPr>
    </w:lvl>
    <w:lvl w:ilvl="1" w:tentative="0">
      <w:start w:val="1"/>
      <w:numFmt w:val="bullet"/>
      <w:lvlText w:val=""/>
      <w:lvlJc w:val="left"/>
      <w:pPr>
        <w:ind w:left="1265" w:hanging="420"/>
      </w:pPr>
      <w:rPr>
        <w:rFonts w:hint="default" w:ascii="Wingdings" w:hAnsi="Wingdings"/>
      </w:rPr>
    </w:lvl>
    <w:lvl w:ilvl="2" w:tentative="0">
      <w:start w:val="1"/>
      <w:numFmt w:val="bullet"/>
      <w:lvlText w:val=""/>
      <w:lvlJc w:val="left"/>
      <w:pPr>
        <w:ind w:left="1685" w:hanging="420"/>
      </w:pPr>
      <w:rPr>
        <w:rFonts w:hint="default" w:ascii="Wingdings" w:hAnsi="Wingdings"/>
      </w:rPr>
    </w:lvl>
    <w:lvl w:ilvl="3" w:tentative="0">
      <w:start w:val="1"/>
      <w:numFmt w:val="bullet"/>
      <w:lvlText w:val=""/>
      <w:lvlJc w:val="left"/>
      <w:pPr>
        <w:ind w:left="2105" w:hanging="420"/>
      </w:pPr>
      <w:rPr>
        <w:rFonts w:hint="default" w:ascii="Wingdings" w:hAnsi="Wingdings"/>
      </w:rPr>
    </w:lvl>
    <w:lvl w:ilvl="4" w:tentative="0">
      <w:start w:val="1"/>
      <w:numFmt w:val="bullet"/>
      <w:lvlText w:val=""/>
      <w:lvlJc w:val="left"/>
      <w:pPr>
        <w:ind w:left="2525" w:hanging="420"/>
      </w:pPr>
      <w:rPr>
        <w:rFonts w:hint="default" w:ascii="Wingdings" w:hAnsi="Wingdings"/>
      </w:rPr>
    </w:lvl>
    <w:lvl w:ilvl="5" w:tentative="0">
      <w:start w:val="1"/>
      <w:numFmt w:val="bullet"/>
      <w:lvlText w:val=""/>
      <w:lvlJc w:val="left"/>
      <w:pPr>
        <w:ind w:left="2945" w:hanging="420"/>
      </w:pPr>
      <w:rPr>
        <w:rFonts w:hint="default" w:ascii="Wingdings" w:hAnsi="Wingdings"/>
      </w:rPr>
    </w:lvl>
    <w:lvl w:ilvl="6" w:tentative="0">
      <w:start w:val="1"/>
      <w:numFmt w:val="bullet"/>
      <w:lvlText w:val=""/>
      <w:lvlJc w:val="left"/>
      <w:pPr>
        <w:ind w:left="3365" w:hanging="420"/>
      </w:pPr>
      <w:rPr>
        <w:rFonts w:hint="default" w:ascii="Wingdings" w:hAnsi="Wingdings"/>
      </w:rPr>
    </w:lvl>
    <w:lvl w:ilvl="7" w:tentative="0">
      <w:start w:val="1"/>
      <w:numFmt w:val="bullet"/>
      <w:lvlText w:val=""/>
      <w:lvlJc w:val="left"/>
      <w:pPr>
        <w:ind w:left="3785" w:hanging="420"/>
      </w:pPr>
      <w:rPr>
        <w:rFonts w:hint="default" w:ascii="Wingdings" w:hAnsi="Wingdings"/>
      </w:rPr>
    </w:lvl>
    <w:lvl w:ilvl="8" w:tentative="0">
      <w:start w:val="1"/>
      <w:numFmt w:val="bullet"/>
      <w:lvlText w:val=""/>
      <w:lvlJc w:val="left"/>
      <w:pPr>
        <w:ind w:left="4205" w:hanging="420"/>
      </w:pPr>
      <w:rPr>
        <w:rFonts w:hint="default" w:ascii="Wingdings" w:hAnsi="Wingdings"/>
      </w:rPr>
    </w:lvl>
  </w:abstractNum>
  <w:abstractNum w:abstractNumId="16">
    <w:nsid w:val="2C6021BB"/>
    <w:multiLevelType w:val="multilevel"/>
    <w:tmpl w:val="2C6021BB"/>
    <w:lvl w:ilvl="0" w:tentative="0">
      <w:start w:val="1"/>
      <w:numFmt w:val="decimal"/>
      <w:pStyle w:val="465"/>
      <w:lvlText w:val="Figure %1."/>
      <w:lvlJc w:val="left"/>
      <w:pPr>
        <w:tabs>
          <w:tab w:val="left" w:pos="1800"/>
        </w:tabs>
        <w:ind w:left="1080" w:hanging="360"/>
      </w:pPr>
      <w:rPr>
        <w:rFonts w:hint="default" w:ascii="Arial" w:hAnsi="Arial"/>
        <w:b/>
        <w:i w:val="0"/>
        <w:sz w:val="22"/>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17">
    <w:nsid w:val="2EDF52A8"/>
    <w:multiLevelType w:val="multilevel"/>
    <w:tmpl w:val="2EDF52A8"/>
    <w:lvl w:ilvl="0" w:tentative="0">
      <w:start w:val="1"/>
      <w:numFmt w:val="bullet"/>
      <w:lvlText w:val=""/>
      <w:lvlJc w:val="left"/>
      <w:pPr>
        <w:ind w:left="905" w:hanging="420"/>
      </w:pPr>
      <w:rPr>
        <w:rFonts w:hint="default" w:ascii="Wingdings" w:hAnsi="Wingdings"/>
      </w:rPr>
    </w:lvl>
    <w:lvl w:ilvl="1" w:tentative="0">
      <w:start w:val="1"/>
      <w:numFmt w:val="bullet"/>
      <w:lvlText w:val=""/>
      <w:lvlJc w:val="left"/>
      <w:pPr>
        <w:ind w:left="1325" w:hanging="420"/>
      </w:pPr>
      <w:rPr>
        <w:rFonts w:hint="default" w:ascii="Wingdings" w:hAnsi="Wingdings"/>
      </w:rPr>
    </w:lvl>
    <w:lvl w:ilvl="2" w:tentative="0">
      <w:start w:val="1"/>
      <w:numFmt w:val="bullet"/>
      <w:lvlText w:val=""/>
      <w:lvlJc w:val="left"/>
      <w:pPr>
        <w:ind w:left="1745" w:hanging="420"/>
      </w:pPr>
      <w:rPr>
        <w:rFonts w:hint="default" w:ascii="Wingdings" w:hAnsi="Wingdings"/>
      </w:rPr>
    </w:lvl>
    <w:lvl w:ilvl="3" w:tentative="0">
      <w:start w:val="1"/>
      <w:numFmt w:val="bullet"/>
      <w:lvlText w:val=""/>
      <w:lvlJc w:val="left"/>
      <w:pPr>
        <w:ind w:left="2165" w:hanging="420"/>
      </w:pPr>
      <w:rPr>
        <w:rFonts w:hint="default" w:ascii="Wingdings" w:hAnsi="Wingdings"/>
      </w:rPr>
    </w:lvl>
    <w:lvl w:ilvl="4" w:tentative="0">
      <w:start w:val="1"/>
      <w:numFmt w:val="bullet"/>
      <w:lvlText w:val=""/>
      <w:lvlJc w:val="left"/>
      <w:pPr>
        <w:ind w:left="2585" w:hanging="420"/>
      </w:pPr>
      <w:rPr>
        <w:rFonts w:hint="default" w:ascii="Wingdings" w:hAnsi="Wingdings"/>
      </w:rPr>
    </w:lvl>
    <w:lvl w:ilvl="5" w:tentative="0">
      <w:start w:val="1"/>
      <w:numFmt w:val="bullet"/>
      <w:lvlText w:val=""/>
      <w:lvlJc w:val="left"/>
      <w:pPr>
        <w:ind w:left="3005" w:hanging="420"/>
      </w:pPr>
      <w:rPr>
        <w:rFonts w:hint="default" w:ascii="Wingdings" w:hAnsi="Wingdings"/>
      </w:rPr>
    </w:lvl>
    <w:lvl w:ilvl="6" w:tentative="0">
      <w:start w:val="1"/>
      <w:numFmt w:val="bullet"/>
      <w:lvlText w:val=""/>
      <w:lvlJc w:val="left"/>
      <w:pPr>
        <w:ind w:left="3425" w:hanging="420"/>
      </w:pPr>
      <w:rPr>
        <w:rFonts w:hint="default" w:ascii="Wingdings" w:hAnsi="Wingdings"/>
      </w:rPr>
    </w:lvl>
    <w:lvl w:ilvl="7" w:tentative="0">
      <w:start w:val="1"/>
      <w:numFmt w:val="bullet"/>
      <w:lvlText w:val=""/>
      <w:lvlJc w:val="left"/>
      <w:pPr>
        <w:ind w:left="3845" w:hanging="420"/>
      </w:pPr>
      <w:rPr>
        <w:rFonts w:hint="default" w:ascii="Wingdings" w:hAnsi="Wingdings"/>
      </w:rPr>
    </w:lvl>
    <w:lvl w:ilvl="8" w:tentative="0">
      <w:start w:val="1"/>
      <w:numFmt w:val="bullet"/>
      <w:lvlText w:val=""/>
      <w:lvlJc w:val="left"/>
      <w:pPr>
        <w:ind w:left="4265" w:hanging="420"/>
      </w:pPr>
      <w:rPr>
        <w:rFonts w:hint="default" w:ascii="Wingdings" w:hAnsi="Wingdings"/>
      </w:rPr>
    </w:lvl>
  </w:abstractNum>
  <w:abstractNum w:abstractNumId="18">
    <w:nsid w:val="3CA83E8C"/>
    <w:multiLevelType w:val="multilevel"/>
    <w:tmpl w:val="3CA83E8C"/>
    <w:lvl w:ilvl="0" w:tentative="0">
      <w:start w:val="2"/>
      <w:numFmt w:val="decimal"/>
      <w:pStyle w:val="284"/>
      <w:lvlText w:val="（%1）"/>
      <w:lvlJc w:val="left"/>
      <w:pPr>
        <w:tabs>
          <w:tab w:val="left" w:pos="1280"/>
        </w:tabs>
        <w:ind w:left="1280" w:hanging="720"/>
      </w:pPr>
      <w:rPr>
        <w:rFonts w:hint="default"/>
      </w:rPr>
    </w:lvl>
    <w:lvl w:ilvl="1" w:tentative="0">
      <w:start w:val="1"/>
      <w:numFmt w:val="lowerLetter"/>
      <w:pStyle w:val="285"/>
      <w:lvlText w:val="%2)"/>
      <w:lvlJc w:val="left"/>
      <w:pPr>
        <w:tabs>
          <w:tab w:val="left" w:pos="1400"/>
        </w:tabs>
        <w:ind w:left="1400" w:hanging="420"/>
      </w:pPr>
    </w:lvl>
    <w:lvl w:ilvl="2" w:tentative="0">
      <w:start w:val="1"/>
      <w:numFmt w:val="lowerRoman"/>
      <w:pStyle w:val="286"/>
      <w:lvlText w:val="%3."/>
      <w:lvlJc w:val="right"/>
      <w:pPr>
        <w:tabs>
          <w:tab w:val="left" w:pos="1820"/>
        </w:tabs>
        <w:ind w:left="1820" w:hanging="420"/>
      </w:pPr>
    </w:lvl>
    <w:lvl w:ilvl="3" w:tentative="0">
      <w:start w:val="1"/>
      <w:numFmt w:val="decimal"/>
      <w:lvlText w:val="%4."/>
      <w:lvlJc w:val="left"/>
      <w:pPr>
        <w:tabs>
          <w:tab w:val="left" w:pos="2240"/>
        </w:tabs>
        <w:ind w:left="2240" w:hanging="420"/>
      </w:pPr>
    </w:lvl>
    <w:lvl w:ilvl="4" w:tentative="0">
      <w:start w:val="1"/>
      <w:numFmt w:val="lowerLetter"/>
      <w:lvlText w:val="%5)"/>
      <w:lvlJc w:val="left"/>
      <w:pPr>
        <w:tabs>
          <w:tab w:val="left" w:pos="2660"/>
        </w:tabs>
        <w:ind w:left="2660" w:hanging="420"/>
      </w:pPr>
    </w:lvl>
    <w:lvl w:ilvl="5" w:tentative="0">
      <w:start w:val="1"/>
      <w:numFmt w:val="lowerRoman"/>
      <w:lvlText w:val="%6."/>
      <w:lvlJc w:val="right"/>
      <w:pPr>
        <w:tabs>
          <w:tab w:val="left" w:pos="3080"/>
        </w:tabs>
        <w:ind w:left="3080" w:hanging="420"/>
      </w:pPr>
    </w:lvl>
    <w:lvl w:ilvl="6" w:tentative="0">
      <w:start w:val="1"/>
      <w:numFmt w:val="decimal"/>
      <w:lvlText w:val="%7."/>
      <w:lvlJc w:val="left"/>
      <w:pPr>
        <w:tabs>
          <w:tab w:val="left" w:pos="3500"/>
        </w:tabs>
        <w:ind w:left="3500" w:hanging="420"/>
      </w:pPr>
    </w:lvl>
    <w:lvl w:ilvl="7" w:tentative="0">
      <w:start w:val="1"/>
      <w:numFmt w:val="lowerLetter"/>
      <w:lvlText w:val="%8)"/>
      <w:lvlJc w:val="left"/>
      <w:pPr>
        <w:tabs>
          <w:tab w:val="left" w:pos="3920"/>
        </w:tabs>
        <w:ind w:left="3920" w:hanging="420"/>
      </w:pPr>
    </w:lvl>
    <w:lvl w:ilvl="8" w:tentative="0">
      <w:start w:val="1"/>
      <w:numFmt w:val="lowerRoman"/>
      <w:lvlText w:val="%9."/>
      <w:lvlJc w:val="right"/>
      <w:pPr>
        <w:tabs>
          <w:tab w:val="left" w:pos="4340"/>
        </w:tabs>
        <w:ind w:left="4340" w:hanging="420"/>
      </w:pPr>
    </w:lvl>
  </w:abstractNum>
  <w:abstractNum w:abstractNumId="19">
    <w:nsid w:val="46987200"/>
    <w:multiLevelType w:val="multilevel"/>
    <w:tmpl w:val="46987200"/>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0">
    <w:nsid w:val="498E0935"/>
    <w:multiLevelType w:val="multilevel"/>
    <w:tmpl w:val="498E0935"/>
    <w:lvl w:ilvl="0" w:tentative="0">
      <w:start w:val="3"/>
      <w:numFmt w:val="japaneseCounting"/>
      <w:lvlText w:val="第%1章"/>
      <w:lvlJc w:val="left"/>
      <w:pPr>
        <w:tabs>
          <w:tab w:val="left" w:pos="1455"/>
        </w:tabs>
        <w:ind w:left="1455" w:hanging="1455"/>
      </w:pPr>
      <w:rPr>
        <w:rFonts w:hint="default"/>
        <w:lang w:val="en-U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3A3920"/>
    <w:multiLevelType w:val="multilevel"/>
    <w:tmpl w:val="523A3920"/>
    <w:lvl w:ilvl="0" w:tentative="0">
      <w:start w:val="1"/>
      <w:numFmt w:val="bullet"/>
      <w:lvlText w:val=""/>
      <w:lvlJc w:val="left"/>
      <w:pPr>
        <w:ind w:left="1270" w:hanging="420"/>
      </w:pPr>
      <w:rPr>
        <w:rFonts w:hint="default" w:ascii="Wingdings" w:hAnsi="Wingdings"/>
      </w:rPr>
    </w:lvl>
    <w:lvl w:ilvl="1" w:tentative="0">
      <w:start w:val="1"/>
      <w:numFmt w:val="bullet"/>
      <w:lvlText w:val=""/>
      <w:lvlJc w:val="left"/>
      <w:pPr>
        <w:ind w:left="1690" w:hanging="420"/>
      </w:pPr>
      <w:rPr>
        <w:rFonts w:hint="default" w:ascii="Wingdings" w:hAnsi="Wingdings"/>
      </w:rPr>
    </w:lvl>
    <w:lvl w:ilvl="2" w:tentative="0">
      <w:start w:val="1"/>
      <w:numFmt w:val="bullet"/>
      <w:lvlText w:val=""/>
      <w:lvlJc w:val="left"/>
      <w:pPr>
        <w:ind w:left="2110" w:hanging="420"/>
      </w:pPr>
      <w:rPr>
        <w:rFonts w:hint="default" w:ascii="Wingdings" w:hAnsi="Wingdings"/>
      </w:rPr>
    </w:lvl>
    <w:lvl w:ilvl="3" w:tentative="0">
      <w:start w:val="1"/>
      <w:numFmt w:val="bullet"/>
      <w:lvlText w:val=""/>
      <w:lvlJc w:val="left"/>
      <w:pPr>
        <w:ind w:left="2530" w:hanging="420"/>
      </w:pPr>
      <w:rPr>
        <w:rFonts w:hint="default" w:ascii="Wingdings" w:hAnsi="Wingdings"/>
      </w:rPr>
    </w:lvl>
    <w:lvl w:ilvl="4" w:tentative="0">
      <w:start w:val="1"/>
      <w:numFmt w:val="bullet"/>
      <w:lvlText w:val=""/>
      <w:lvlJc w:val="left"/>
      <w:pPr>
        <w:ind w:left="2950" w:hanging="420"/>
      </w:pPr>
      <w:rPr>
        <w:rFonts w:hint="default" w:ascii="Wingdings" w:hAnsi="Wingdings"/>
      </w:rPr>
    </w:lvl>
    <w:lvl w:ilvl="5" w:tentative="0">
      <w:start w:val="1"/>
      <w:numFmt w:val="bullet"/>
      <w:lvlText w:val=""/>
      <w:lvlJc w:val="left"/>
      <w:pPr>
        <w:ind w:left="3370" w:hanging="420"/>
      </w:pPr>
      <w:rPr>
        <w:rFonts w:hint="default" w:ascii="Wingdings" w:hAnsi="Wingdings"/>
      </w:rPr>
    </w:lvl>
    <w:lvl w:ilvl="6" w:tentative="0">
      <w:start w:val="1"/>
      <w:numFmt w:val="bullet"/>
      <w:lvlText w:val=""/>
      <w:lvlJc w:val="left"/>
      <w:pPr>
        <w:ind w:left="3790" w:hanging="420"/>
      </w:pPr>
      <w:rPr>
        <w:rFonts w:hint="default" w:ascii="Wingdings" w:hAnsi="Wingdings"/>
      </w:rPr>
    </w:lvl>
    <w:lvl w:ilvl="7" w:tentative="0">
      <w:start w:val="1"/>
      <w:numFmt w:val="bullet"/>
      <w:lvlText w:val=""/>
      <w:lvlJc w:val="left"/>
      <w:pPr>
        <w:ind w:left="4210" w:hanging="420"/>
      </w:pPr>
      <w:rPr>
        <w:rFonts w:hint="default" w:ascii="Wingdings" w:hAnsi="Wingdings"/>
      </w:rPr>
    </w:lvl>
    <w:lvl w:ilvl="8" w:tentative="0">
      <w:start w:val="1"/>
      <w:numFmt w:val="bullet"/>
      <w:lvlText w:val=""/>
      <w:lvlJc w:val="left"/>
      <w:pPr>
        <w:ind w:left="4630" w:hanging="420"/>
      </w:pPr>
      <w:rPr>
        <w:rFonts w:hint="default" w:ascii="Wingdings" w:hAnsi="Wingdings"/>
      </w:rPr>
    </w:lvl>
  </w:abstractNum>
  <w:abstractNum w:abstractNumId="22">
    <w:nsid w:val="541B625F"/>
    <w:multiLevelType w:val="multilevel"/>
    <w:tmpl w:val="541B625F"/>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553A58FA"/>
    <w:multiLevelType w:val="multilevel"/>
    <w:tmpl w:val="553A58FA"/>
    <w:lvl w:ilvl="0" w:tentative="0">
      <w:start w:val="1"/>
      <w:numFmt w:val="decimal"/>
      <w:pStyle w:val="463"/>
      <w:lvlText w:val="Figure %1."/>
      <w:lvlJc w:val="center"/>
      <w:pPr>
        <w:tabs>
          <w:tab w:val="left" w:pos="720"/>
        </w:tabs>
        <w:ind w:left="360" w:hanging="360"/>
      </w:pPr>
      <w:rPr>
        <w:rFonts w:hint="default" w:ascii="Arial" w:hAnsi="Arial"/>
        <w:b/>
        <w:i w:val="0"/>
        <w:sz w:val="22"/>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24">
    <w:nsid w:val="5AA366F8"/>
    <w:multiLevelType w:val="multilevel"/>
    <w:tmpl w:val="5AA366F8"/>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5">
    <w:nsid w:val="5B156C60"/>
    <w:multiLevelType w:val="multilevel"/>
    <w:tmpl w:val="5B156C60"/>
    <w:lvl w:ilvl="0" w:tentative="0">
      <w:start w:val="1"/>
      <w:numFmt w:val="bullet"/>
      <w:lvlText w:val=""/>
      <w:lvlJc w:val="left"/>
      <w:pPr>
        <w:ind w:left="905" w:hanging="420"/>
      </w:pPr>
      <w:rPr>
        <w:rFonts w:hint="default" w:ascii="Wingdings" w:hAnsi="Wingdings"/>
      </w:rPr>
    </w:lvl>
    <w:lvl w:ilvl="1" w:tentative="0">
      <w:start w:val="1"/>
      <w:numFmt w:val="bullet"/>
      <w:lvlText w:val=""/>
      <w:lvlJc w:val="left"/>
      <w:pPr>
        <w:ind w:left="1325" w:hanging="420"/>
      </w:pPr>
      <w:rPr>
        <w:rFonts w:hint="default" w:ascii="Wingdings" w:hAnsi="Wingdings"/>
      </w:rPr>
    </w:lvl>
    <w:lvl w:ilvl="2" w:tentative="0">
      <w:start w:val="1"/>
      <w:numFmt w:val="bullet"/>
      <w:lvlText w:val=""/>
      <w:lvlJc w:val="left"/>
      <w:pPr>
        <w:ind w:left="1745" w:hanging="420"/>
      </w:pPr>
      <w:rPr>
        <w:rFonts w:hint="default" w:ascii="Wingdings" w:hAnsi="Wingdings"/>
      </w:rPr>
    </w:lvl>
    <w:lvl w:ilvl="3" w:tentative="0">
      <w:start w:val="1"/>
      <w:numFmt w:val="bullet"/>
      <w:lvlText w:val=""/>
      <w:lvlJc w:val="left"/>
      <w:pPr>
        <w:ind w:left="2165" w:hanging="420"/>
      </w:pPr>
      <w:rPr>
        <w:rFonts w:hint="default" w:ascii="Wingdings" w:hAnsi="Wingdings"/>
      </w:rPr>
    </w:lvl>
    <w:lvl w:ilvl="4" w:tentative="0">
      <w:start w:val="1"/>
      <w:numFmt w:val="bullet"/>
      <w:lvlText w:val=""/>
      <w:lvlJc w:val="left"/>
      <w:pPr>
        <w:ind w:left="2585" w:hanging="420"/>
      </w:pPr>
      <w:rPr>
        <w:rFonts w:hint="default" w:ascii="Wingdings" w:hAnsi="Wingdings"/>
      </w:rPr>
    </w:lvl>
    <w:lvl w:ilvl="5" w:tentative="0">
      <w:start w:val="1"/>
      <w:numFmt w:val="bullet"/>
      <w:lvlText w:val=""/>
      <w:lvlJc w:val="left"/>
      <w:pPr>
        <w:ind w:left="3005" w:hanging="420"/>
      </w:pPr>
      <w:rPr>
        <w:rFonts w:hint="default" w:ascii="Wingdings" w:hAnsi="Wingdings"/>
      </w:rPr>
    </w:lvl>
    <w:lvl w:ilvl="6" w:tentative="0">
      <w:start w:val="1"/>
      <w:numFmt w:val="bullet"/>
      <w:lvlText w:val=""/>
      <w:lvlJc w:val="left"/>
      <w:pPr>
        <w:ind w:left="3425" w:hanging="420"/>
      </w:pPr>
      <w:rPr>
        <w:rFonts w:hint="default" w:ascii="Wingdings" w:hAnsi="Wingdings"/>
      </w:rPr>
    </w:lvl>
    <w:lvl w:ilvl="7" w:tentative="0">
      <w:start w:val="1"/>
      <w:numFmt w:val="bullet"/>
      <w:lvlText w:val=""/>
      <w:lvlJc w:val="left"/>
      <w:pPr>
        <w:ind w:left="3845" w:hanging="420"/>
      </w:pPr>
      <w:rPr>
        <w:rFonts w:hint="default" w:ascii="Wingdings" w:hAnsi="Wingdings"/>
      </w:rPr>
    </w:lvl>
    <w:lvl w:ilvl="8" w:tentative="0">
      <w:start w:val="1"/>
      <w:numFmt w:val="bullet"/>
      <w:lvlText w:val=""/>
      <w:lvlJc w:val="left"/>
      <w:pPr>
        <w:ind w:left="4265" w:hanging="420"/>
      </w:pPr>
      <w:rPr>
        <w:rFonts w:hint="default" w:ascii="Wingdings" w:hAnsi="Wingdings"/>
      </w:rPr>
    </w:lvl>
  </w:abstractNum>
  <w:abstractNum w:abstractNumId="26">
    <w:nsid w:val="5B1C1C69"/>
    <w:multiLevelType w:val="multilevel"/>
    <w:tmpl w:val="5B1C1C69"/>
    <w:lvl w:ilvl="0" w:tentative="0">
      <w:start w:val="1"/>
      <w:numFmt w:val="bullet"/>
      <w:lvlText w:val=""/>
      <w:lvlJc w:val="left"/>
      <w:pPr>
        <w:ind w:left="931" w:hanging="420"/>
      </w:pPr>
      <w:rPr>
        <w:rFonts w:hint="default" w:ascii="Wingdings" w:hAnsi="Wingdings"/>
      </w:rPr>
    </w:lvl>
    <w:lvl w:ilvl="1" w:tentative="0">
      <w:start w:val="1"/>
      <w:numFmt w:val="bullet"/>
      <w:lvlText w:val=""/>
      <w:lvlJc w:val="left"/>
      <w:pPr>
        <w:ind w:left="1351" w:hanging="420"/>
      </w:pPr>
      <w:rPr>
        <w:rFonts w:hint="default" w:ascii="Wingdings" w:hAnsi="Wingdings"/>
      </w:rPr>
    </w:lvl>
    <w:lvl w:ilvl="2" w:tentative="0">
      <w:start w:val="1"/>
      <w:numFmt w:val="bullet"/>
      <w:lvlText w:val=""/>
      <w:lvlJc w:val="left"/>
      <w:pPr>
        <w:ind w:left="1771" w:hanging="420"/>
      </w:pPr>
      <w:rPr>
        <w:rFonts w:hint="default" w:ascii="Wingdings" w:hAnsi="Wingdings"/>
      </w:rPr>
    </w:lvl>
    <w:lvl w:ilvl="3" w:tentative="0">
      <w:start w:val="1"/>
      <w:numFmt w:val="bullet"/>
      <w:lvlText w:val=""/>
      <w:lvlJc w:val="left"/>
      <w:pPr>
        <w:ind w:left="2191" w:hanging="420"/>
      </w:pPr>
      <w:rPr>
        <w:rFonts w:hint="default" w:ascii="Wingdings" w:hAnsi="Wingdings"/>
      </w:rPr>
    </w:lvl>
    <w:lvl w:ilvl="4" w:tentative="0">
      <w:start w:val="1"/>
      <w:numFmt w:val="bullet"/>
      <w:lvlText w:val=""/>
      <w:lvlJc w:val="left"/>
      <w:pPr>
        <w:ind w:left="2611" w:hanging="420"/>
      </w:pPr>
      <w:rPr>
        <w:rFonts w:hint="default" w:ascii="Wingdings" w:hAnsi="Wingdings"/>
      </w:rPr>
    </w:lvl>
    <w:lvl w:ilvl="5" w:tentative="0">
      <w:start w:val="1"/>
      <w:numFmt w:val="bullet"/>
      <w:lvlText w:val=""/>
      <w:lvlJc w:val="left"/>
      <w:pPr>
        <w:ind w:left="3031" w:hanging="420"/>
      </w:pPr>
      <w:rPr>
        <w:rFonts w:hint="default" w:ascii="Wingdings" w:hAnsi="Wingdings"/>
      </w:rPr>
    </w:lvl>
    <w:lvl w:ilvl="6" w:tentative="0">
      <w:start w:val="1"/>
      <w:numFmt w:val="bullet"/>
      <w:lvlText w:val=""/>
      <w:lvlJc w:val="left"/>
      <w:pPr>
        <w:ind w:left="3451" w:hanging="420"/>
      </w:pPr>
      <w:rPr>
        <w:rFonts w:hint="default" w:ascii="Wingdings" w:hAnsi="Wingdings"/>
      </w:rPr>
    </w:lvl>
    <w:lvl w:ilvl="7" w:tentative="0">
      <w:start w:val="1"/>
      <w:numFmt w:val="bullet"/>
      <w:lvlText w:val=""/>
      <w:lvlJc w:val="left"/>
      <w:pPr>
        <w:ind w:left="3871" w:hanging="420"/>
      </w:pPr>
      <w:rPr>
        <w:rFonts w:hint="default" w:ascii="Wingdings" w:hAnsi="Wingdings"/>
      </w:rPr>
    </w:lvl>
    <w:lvl w:ilvl="8" w:tentative="0">
      <w:start w:val="1"/>
      <w:numFmt w:val="bullet"/>
      <w:lvlText w:val=""/>
      <w:lvlJc w:val="left"/>
      <w:pPr>
        <w:ind w:left="4291" w:hanging="420"/>
      </w:pPr>
      <w:rPr>
        <w:rFonts w:hint="default" w:ascii="Wingdings" w:hAnsi="Wingdings"/>
      </w:rPr>
    </w:lvl>
  </w:abstractNum>
  <w:abstractNum w:abstractNumId="27">
    <w:nsid w:val="60E8727D"/>
    <w:multiLevelType w:val="multilevel"/>
    <w:tmpl w:val="60E8727D"/>
    <w:lvl w:ilvl="0" w:tentative="0">
      <w:start w:val="1"/>
      <w:numFmt w:val="bullet"/>
      <w:lvlText w:val=""/>
      <w:lvlJc w:val="left"/>
      <w:pPr>
        <w:ind w:left="905" w:hanging="420"/>
      </w:pPr>
      <w:rPr>
        <w:rFonts w:hint="default" w:ascii="Wingdings" w:hAnsi="Wingdings"/>
      </w:rPr>
    </w:lvl>
    <w:lvl w:ilvl="1" w:tentative="0">
      <w:start w:val="1"/>
      <w:numFmt w:val="bullet"/>
      <w:lvlText w:val=""/>
      <w:lvlJc w:val="left"/>
      <w:pPr>
        <w:ind w:left="1325" w:hanging="420"/>
      </w:pPr>
      <w:rPr>
        <w:rFonts w:hint="default" w:ascii="Wingdings" w:hAnsi="Wingdings"/>
      </w:rPr>
    </w:lvl>
    <w:lvl w:ilvl="2" w:tentative="0">
      <w:start w:val="1"/>
      <w:numFmt w:val="bullet"/>
      <w:lvlText w:val=""/>
      <w:lvlJc w:val="left"/>
      <w:pPr>
        <w:ind w:left="1745" w:hanging="420"/>
      </w:pPr>
      <w:rPr>
        <w:rFonts w:hint="default" w:ascii="Wingdings" w:hAnsi="Wingdings"/>
      </w:rPr>
    </w:lvl>
    <w:lvl w:ilvl="3" w:tentative="0">
      <w:start w:val="1"/>
      <w:numFmt w:val="bullet"/>
      <w:lvlText w:val=""/>
      <w:lvlJc w:val="left"/>
      <w:pPr>
        <w:ind w:left="2165" w:hanging="420"/>
      </w:pPr>
      <w:rPr>
        <w:rFonts w:hint="default" w:ascii="Wingdings" w:hAnsi="Wingdings"/>
      </w:rPr>
    </w:lvl>
    <w:lvl w:ilvl="4" w:tentative="0">
      <w:start w:val="1"/>
      <w:numFmt w:val="bullet"/>
      <w:lvlText w:val=""/>
      <w:lvlJc w:val="left"/>
      <w:pPr>
        <w:ind w:left="2585" w:hanging="420"/>
      </w:pPr>
      <w:rPr>
        <w:rFonts w:hint="default" w:ascii="Wingdings" w:hAnsi="Wingdings"/>
      </w:rPr>
    </w:lvl>
    <w:lvl w:ilvl="5" w:tentative="0">
      <w:start w:val="1"/>
      <w:numFmt w:val="bullet"/>
      <w:lvlText w:val=""/>
      <w:lvlJc w:val="left"/>
      <w:pPr>
        <w:ind w:left="3005" w:hanging="420"/>
      </w:pPr>
      <w:rPr>
        <w:rFonts w:hint="default" w:ascii="Wingdings" w:hAnsi="Wingdings"/>
      </w:rPr>
    </w:lvl>
    <w:lvl w:ilvl="6" w:tentative="0">
      <w:start w:val="1"/>
      <w:numFmt w:val="bullet"/>
      <w:lvlText w:val=""/>
      <w:lvlJc w:val="left"/>
      <w:pPr>
        <w:ind w:left="3425" w:hanging="420"/>
      </w:pPr>
      <w:rPr>
        <w:rFonts w:hint="default" w:ascii="Wingdings" w:hAnsi="Wingdings"/>
      </w:rPr>
    </w:lvl>
    <w:lvl w:ilvl="7" w:tentative="0">
      <w:start w:val="1"/>
      <w:numFmt w:val="bullet"/>
      <w:lvlText w:val=""/>
      <w:lvlJc w:val="left"/>
      <w:pPr>
        <w:ind w:left="3845" w:hanging="420"/>
      </w:pPr>
      <w:rPr>
        <w:rFonts w:hint="default" w:ascii="Wingdings" w:hAnsi="Wingdings"/>
      </w:rPr>
    </w:lvl>
    <w:lvl w:ilvl="8" w:tentative="0">
      <w:start w:val="1"/>
      <w:numFmt w:val="bullet"/>
      <w:lvlText w:val=""/>
      <w:lvlJc w:val="left"/>
      <w:pPr>
        <w:ind w:left="4265" w:hanging="420"/>
      </w:pPr>
      <w:rPr>
        <w:rFonts w:hint="default" w:ascii="Wingdings" w:hAnsi="Wingdings"/>
      </w:rPr>
    </w:lvl>
  </w:abstractNum>
  <w:abstractNum w:abstractNumId="28">
    <w:nsid w:val="61164534"/>
    <w:multiLevelType w:val="multilevel"/>
    <w:tmpl w:val="61164534"/>
    <w:lvl w:ilvl="0" w:tentative="0">
      <w:start w:val="1"/>
      <w:numFmt w:val="bullet"/>
      <w:pStyle w:val="292"/>
      <w:lvlText w:val=""/>
      <w:lvlJc w:val="left"/>
      <w:pPr>
        <w:tabs>
          <w:tab w:val="left" w:pos="900"/>
        </w:tabs>
        <w:ind w:left="900" w:hanging="420"/>
      </w:pPr>
      <w:rPr>
        <w:rFonts w:hint="default" w:ascii="Wingdings" w:hAnsi="Wingdings"/>
      </w:rPr>
    </w:lvl>
    <w:lvl w:ilvl="1" w:tentative="0">
      <w:start w:val="1"/>
      <w:numFmt w:val="decimal"/>
      <w:lvlText w:val="%2."/>
      <w:lvlJc w:val="left"/>
      <w:pPr>
        <w:tabs>
          <w:tab w:val="left" w:pos="840"/>
        </w:tabs>
        <w:ind w:left="840" w:hanging="420"/>
      </w:pPr>
      <w:rPr>
        <w:rFonts w:hint="default"/>
      </w:rPr>
    </w:lvl>
    <w:lvl w:ilvl="2" w:tentative="0">
      <w:start w:val="1"/>
      <w:numFmt w:val="decimal"/>
      <w:lvlText w:val="%3、"/>
      <w:lvlJc w:val="left"/>
      <w:pPr>
        <w:tabs>
          <w:tab w:val="left" w:pos="1200"/>
        </w:tabs>
        <w:ind w:left="1200" w:hanging="360"/>
      </w:pPr>
      <w:rPr>
        <w:rFonts w:hint="default"/>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9">
    <w:nsid w:val="718D7530"/>
    <w:multiLevelType w:val="multilevel"/>
    <w:tmpl w:val="718D7530"/>
    <w:lvl w:ilvl="0" w:tentative="0">
      <w:start w:val="1"/>
      <w:numFmt w:val="bullet"/>
      <w:lvlText w:val=""/>
      <w:lvlJc w:val="left"/>
      <w:pPr>
        <w:ind w:left="907" w:hanging="420"/>
      </w:pPr>
      <w:rPr>
        <w:rFonts w:hint="default" w:ascii="Wingdings" w:hAnsi="Wingdings"/>
      </w:rPr>
    </w:lvl>
    <w:lvl w:ilvl="1" w:tentative="0">
      <w:start w:val="1"/>
      <w:numFmt w:val="bullet"/>
      <w:lvlText w:val=""/>
      <w:lvlJc w:val="left"/>
      <w:pPr>
        <w:ind w:left="1327" w:hanging="420"/>
      </w:pPr>
      <w:rPr>
        <w:rFonts w:hint="default" w:ascii="Wingdings" w:hAnsi="Wingdings"/>
      </w:rPr>
    </w:lvl>
    <w:lvl w:ilvl="2" w:tentative="0">
      <w:start w:val="1"/>
      <w:numFmt w:val="bullet"/>
      <w:lvlText w:val=""/>
      <w:lvlJc w:val="left"/>
      <w:pPr>
        <w:ind w:left="1747" w:hanging="420"/>
      </w:pPr>
      <w:rPr>
        <w:rFonts w:hint="default" w:ascii="Wingdings" w:hAnsi="Wingdings"/>
      </w:rPr>
    </w:lvl>
    <w:lvl w:ilvl="3" w:tentative="0">
      <w:start w:val="1"/>
      <w:numFmt w:val="bullet"/>
      <w:lvlText w:val=""/>
      <w:lvlJc w:val="left"/>
      <w:pPr>
        <w:ind w:left="2167" w:hanging="420"/>
      </w:pPr>
      <w:rPr>
        <w:rFonts w:hint="default" w:ascii="Wingdings" w:hAnsi="Wingdings"/>
      </w:rPr>
    </w:lvl>
    <w:lvl w:ilvl="4" w:tentative="0">
      <w:start w:val="1"/>
      <w:numFmt w:val="bullet"/>
      <w:lvlText w:val=""/>
      <w:lvlJc w:val="left"/>
      <w:pPr>
        <w:ind w:left="2587" w:hanging="420"/>
      </w:pPr>
      <w:rPr>
        <w:rFonts w:hint="default" w:ascii="Wingdings" w:hAnsi="Wingdings"/>
      </w:rPr>
    </w:lvl>
    <w:lvl w:ilvl="5" w:tentative="0">
      <w:start w:val="1"/>
      <w:numFmt w:val="bullet"/>
      <w:lvlText w:val=""/>
      <w:lvlJc w:val="left"/>
      <w:pPr>
        <w:ind w:left="3007" w:hanging="420"/>
      </w:pPr>
      <w:rPr>
        <w:rFonts w:hint="default" w:ascii="Wingdings" w:hAnsi="Wingdings"/>
      </w:rPr>
    </w:lvl>
    <w:lvl w:ilvl="6" w:tentative="0">
      <w:start w:val="1"/>
      <w:numFmt w:val="bullet"/>
      <w:lvlText w:val=""/>
      <w:lvlJc w:val="left"/>
      <w:pPr>
        <w:ind w:left="3427" w:hanging="420"/>
      </w:pPr>
      <w:rPr>
        <w:rFonts w:hint="default" w:ascii="Wingdings" w:hAnsi="Wingdings"/>
      </w:rPr>
    </w:lvl>
    <w:lvl w:ilvl="7" w:tentative="0">
      <w:start w:val="1"/>
      <w:numFmt w:val="bullet"/>
      <w:lvlText w:val=""/>
      <w:lvlJc w:val="left"/>
      <w:pPr>
        <w:ind w:left="3847" w:hanging="420"/>
      </w:pPr>
      <w:rPr>
        <w:rFonts w:hint="default" w:ascii="Wingdings" w:hAnsi="Wingdings"/>
      </w:rPr>
    </w:lvl>
    <w:lvl w:ilvl="8" w:tentative="0">
      <w:start w:val="1"/>
      <w:numFmt w:val="bullet"/>
      <w:lvlText w:val=""/>
      <w:lvlJc w:val="left"/>
      <w:pPr>
        <w:ind w:left="4267" w:hanging="420"/>
      </w:pPr>
      <w:rPr>
        <w:rFonts w:hint="default" w:ascii="Wingdings" w:hAnsi="Wingdings"/>
      </w:rPr>
    </w:lvl>
  </w:abstractNum>
  <w:abstractNum w:abstractNumId="30">
    <w:nsid w:val="773A4E4E"/>
    <w:multiLevelType w:val="multilevel"/>
    <w:tmpl w:val="773A4E4E"/>
    <w:lvl w:ilvl="0" w:tentative="0">
      <w:start w:val="1"/>
      <w:numFmt w:val="bullet"/>
      <w:lvlText w:val=""/>
      <w:lvlJc w:val="left"/>
      <w:pPr>
        <w:ind w:left="905" w:hanging="420"/>
      </w:pPr>
      <w:rPr>
        <w:rFonts w:hint="default" w:ascii="Wingdings" w:hAnsi="Wingdings"/>
      </w:rPr>
    </w:lvl>
    <w:lvl w:ilvl="1" w:tentative="0">
      <w:start w:val="1"/>
      <w:numFmt w:val="bullet"/>
      <w:lvlText w:val=""/>
      <w:lvlJc w:val="left"/>
      <w:pPr>
        <w:ind w:left="1325" w:hanging="420"/>
      </w:pPr>
      <w:rPr>
        <w:rFonts w:hint="default" w:ascii="Wingdings" w:hAnsi="Wingdings"/>
      </w:rPr>
    </w:lvl>
    <w:lvl w:ilvl="2" w:tentative="0">
      <w:start w:val="1"/>
      <w:numFmt w:val="bullet"/>
      <w:lvlText w:val=""/>
      <w:lvlJc w:val="left"/>
      <w:pPr>
        <w:ind w:left="1745" w:hanging="420"/>
      </w:pPr>
      <w:rPr>
        <w:rFonts w:hint="default" w:ascii="Wingdings" w:hAnsi="Wingdings"/>
      </w:rPr>
    </w:lvl>
    <w:lvl w:ilvl="3" w:tentative="0">
      <w:start w:val="1"/>
      <w:numFmt w:val="bullet"/>
      <w:lvlText w:val=""/>
      <w:lvlJc w:val="left"/>
      <w:pPr>
        <w:ind w:left="2165" w:hanging="420"/>
      </w:pPr>
      <w:rPr>
        <w:rFonts w:hint="default" w:ascii="Wingdings" w:hAnsi="Wingdings"/>
      </w:rPr>
    </w:lvl>
    <w:lvl w:ilvl="4" w:tentative="0">
      <w:start w:val="1"/>
      <w:numFmt w:val="bullet"/>
      <w:lvlText w:val=""/>
      <w:lvlJc w:val="left"/>
      <w:pPr>
        <w:ind w:left="2585" w:hanging="420"/>
      </w:pPr>
      <w:rPr>
        <w:rFonts w:hint="default" w:ascii="Wingdings" w:hAnsi="Wingdings"/>
      </w:rPr>
    </w:lvl>
    <w:lvl w:ilvl="5" w:tentative="0">
      <w:start w:val="1"/>
      <w:numFmt w:val="bullet"/>
      <w:lvlText w:val=""/>
      <w:lvlJc w:val="left"/>
      <w:pPr>
        <w:ind w:left="3005" w:hanging="420"/>
      </w:pPr>
      <w:rPr>
        <w:rFonts w:hint="default" w:ascii="Wingdings" w:hAnsi="Wingdings"/>
      </w:rPr>
    </w:lvl>
    <w:lvl w:ilvl="6" w:tentative="0">
      <w:start w:val="1"/>
      <w:numFmt w:val="bullet"/>
      <w:lvlText w:val=""/>
      <w:lvlJc w:val="left"/>
      <w:pPr>
        <w:ind w:left="3425" w:hanging="420"/>
      </w:pPr>
      <w:rPr>
        <w:rFonts w:hint="default" w:ascii="Wingdings" w:hAnsi="Wingdings"/>
      </w:rPr>
    </w:lvl>
    <w:lvl w:ilvl="7" w:tentative="0">
      <w:start w:val="1"/>
      <w:numFmt w:val="bullet"/>
      <w:lvlText w:val=""/>
      <w:lvlJc w:val="left"/>
      <w:pPr>
        <w:ind w:left="3845" w:hanging="420"/>
      </w:pPr>
      <w:rPr>
        <w:rFonts w:hint="default" w:ascii="Wingdings" w:hAnsi="Wingdings"/>
      </w:rPr>
    </w:lvl>
    <w:lvl w:ilvl="8" w:tentative="0">
      <w:start w:val="1"/>
      <w:numFmt w:val="bullet"/>
      <w:lvlText w:val=""/>
      <w:lvlJc w:val="left"/>
      <w:pPr>
        <w:ind w:left="4265" w:hanging="420"/>
      </w:pPr>
      <w:rPr>
        <w:rFonts w:hint="default" w:ascii="Wingdings" w:hAnsi="Wingdings"/>
      </w:rPr>
    </w:lvl>
  </w:abstractNum>
  <w:abstractNum w:abstractNumId="31">
    <w:nsid w:val="7755585C"/>
    <w:multiLevelType w:val="multilevel"/>
    <w:tmpl w:val="7755585C"/>
    <w:lvl w:ilvl="0" w:tentative="0">
      <w:start w:val="1"/>
      <w:numFmt w:val="bullet"/>
      <w:pStyle w:val="489"/>
      <w:lvlText w:val=""/>
      <w:lvlJc w:val="left"/>
      <w:pPr>
        <w:tabs>
          <w:tab w:val="left" w:pos="284"/>
        </w:tabs>
        <w:ind w:left="284" w:hanging="284"/>
      </w:pPr>
      <w:rPr>
        <w:rFonts w:hint="default" w:ascii="Wingdings" w:hAnsi="Wingdings" w:cs="Wingdings"/>
        <w:color w:val="auto"/>
        <w:sz w:val="13"/>
        <w:szCs w:val="13"/>
        <w:u w:val="none"/>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2">
    <w:nsid w:val="7F5E1103"/>
    <w:multiLevelType w:val="multilevel"/>
    <w:tmpl w:val="7F5E1103"/>
    <w:lvl w:ilvl="0" w:tentative="0">
      <w:start w:val="1"/>
      <w:numFmt w:val="decimal"/>
      <w:lvlText w:val="（%1）"/>
      <w:lvlJc w:val="left"/>
      <w:pPr>
        <w:ind w:left="525" w:hanging="52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5"/>
  </w:num>
  <w:num w:numId="3">
    <w:abstractNumId w:val="6"/>
  </w:num>
  <w:num w:numId="4">
    <w:abstractNumId w:val="4"/>
  </w:num>
  <w:num w:numId="5">
    <w:abstractNumId w:val="1"/>
  </w:num>
  <w:num w:numId="6">
    <w:abstractNumId w:val="7"/>
  </w:num>
  <w:num w:numId="7">
    <w:abstractNumId w:val="0"/>
  </w:num>
  <w:num w:numId="8">
    <w:abstractNumId w:val="8"/>
  </w:num>
  <w:num w:numId="9">
    <w:abstractNumId w:val="2"/>
  </w:num>
  <w:num w:numId="10">
    <w:abstractNumId w:val="18"/>
  </w:num>
  <w:num w:numId="11">
    <w:abstractNumId w:val="28"/>
  </w:num>
  <w:num w:numId="12">
    <w:abstractNumId w:val="23"/>
  </w:num>
  <w:num w:numId="13">
    <w:abstractNumId w:val="16"/>
  </w:num>
  <w:num w:numId="14">
    <w:abstractNumId w:val="31"/>
  </w:num>
  <w:num w:numId="15">
    <w:abstractNumId w:val="22"/>
  </w:num>
  <w:num w:numId="16">
    <w:abstractNumId w:val="11"/>
  </w:num>
  <w:num w:numId="17">
    <w:abstractNumId w:val="20"/>
  </w:num>
  <w:num w:numId="18">
    <w:abstractNumId w:val="24"/>
  </w:num>
  <w:num w:numId="19">
    <w:abstractNumId w:val="19"/>
  </w:num>
  <w:num w:numId="20">
    <w:abstractNumId w:val="15"/>
  </w:num>
  <w:num w:numId="21">
    <w:abstractNumId w:val="30"/>
  </w:num>
  <w:num w:numId="22">
    <w:abstractNumId w:val="27"/>
  </w:num>
  <w:num w:numId="23">
    <w:abstractNumId w:val="17"/>
  </w:num>
  <w:num w:numId="24">
    <w:abstractNumId w:val="25"/>
  </w:num>
  <w:num w:numId="25">
    <w:abstractNumId w:val="9"/>
  </w:num>
  <w:num w:numId="26">
    <w:abstractNumId w:val="14"/>
  </w:num>
  <w:num w:numId="27">
    <w:abstractNumId w:val="10"/>
  </w:num>
  <w:num w:numId="28">
    <w:abstractNumId w:val="21"/>
  </w:num>
  <w:num w:numId="29">
    <w:abstractNumId w:val="26"/>
  </w:num>
  <w:num w:numId="30">
    <w:abstractNumId w:val="29"/>
  </w:num>
  <w:num w:numId="31">
    <w:abstractNumId w:val="13"/>
  </w:num>
  <w:num w:numId="32">
    <w:abstractNumId w:val="32"/>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28712F"/>
    <w:rsid w:val="000007C4"/>
    <w:rsid w:val="00000E91"/>
    <w:rsid w:val="0000112C"/>
    <w:rsid w:val="000015EE"/>
    <w:rsid w:val="00001A80"/>
    <w:rsid w:val="00002289"/>
    <w:rsid w:val="0000257B"/>
    <w:rsid w:val="00002F01"/>
    <w:rsid w:val="00002F5E"/>
    <w:rsid w:val="00004468"/>
    <w:rsid w:val="000055FC"/>
    <w:rsid w:val="00005918"/>
    <w:rsid w:val="00006736"/>
    <w:rsid w:val="000067C6"/>
    <w:rsid w:val="00010106"/>
    <w:rsid w:val="00011B84"/>
    <w:rsid w:val="00011F34"/>
    <w:rsid w:val="0001314C"/>
    <w:rsid w:val="000133C1"/>
    <w:rsid w:val="00016502"/>
    <w:rsid w:val="00021060"/>
    <w:rsid w:val="0002118C"/>
    <w:rsid w:val="00021764"/>
    <w:rsid w:val="000235B9"/>
    <w:rsid w:val="00025B35"/>
    <w:rsid w:val="00026370"/>
    <w:rsid w:val="00026471"/>
    <w:rsid w:val="00030AEF"/>
    <w:rsid w:val="00031233"/>
    <w:rsid w:val="000323A1"/>
    <w:rsid w:val="000335CF"/>
    <w:rsid w:val="00033B6C"/>
    <w:rsid w:val="000345F6"/>
    <w:rsid w:val="0003558E"/>
    <w:rsid w:val="0003685A"/>
    <w:rsid w:val="000370E7"/>
    <w:rsid w:val="000406E8"/>
    <w:rsid w:val="00042935"/>
    <w:rsid w:val="00042F94"/>
    <w:rsid w:val="00043909"/>
    <w:rsid w:val="00043B1E"/>
    <w:rsid w:val="00044331"/>
    <w:rsid w:val="000448E7"/>
    <w:rsid w:val="00044CB0"/>
    <w:rsid w:val="00044E6A"/>
    <w:rsid w:val="000454E1"/>
    <w:rsid w:val="00046066"/>
    <w:rsid w:val="00046676"/>
    <w:rsid w:val="00046936"/>
    <w:rsid w:val="000478D8"/>
    <w:rsid w:val="00047AD5"/>
    <w:rsid w:val="0005026A"/>
    <w:rsid w:val="00050457"/>
    <w:rsid w:val="00051167"/>
    <w:rsid w:val="00051737"/>
    <w:rsid w:val="0005362E"/>
    <w:rsid w:val="00054567"/>
    <w:rsid w:val="000551CB"/>
    <w:rsid w:val="000551F2"/>
    <w:rsid w:val="0005643F"/>
    <w:rsid w:val="00057200"/>
    <w:rsid w:val="000610BE"/>
    <w:rsid w:val="00061D6B"/>
    <w:rsid w:val="00062049"/>
    <w:rsid w:val="000620E1"/>
    <w:rsid w:val="00062548"/>
    <w:rsid w:val="000638B6"/>
    <w:rsid w:val="00064A15"/>
    <w:rsid w:val="0006590E"/>
    <w:rsid w:val="00065F2E"/>
    <w:rsid w:val="00066104"/>
    <w:rsid w:val="00070840"/>
    <w:rsid w:val="00071A8D"/>
    <w:rsid w:val="00071E0E"/>
    <w:rsid w:val="00072903"/>
    <w:rsid w:val="00073A62"/>
    <w:rsid w:val="0007437C"/>
    <w:rsid w:val="00075A8C"/>
    <w:rsid w:val="0007642B"/>
    <w:rsid w:val="000807B9"/>
    <w:rsid w:val="00080C8D"/>
    <w:rsid w:val="0008169C"/>
    <w:rsid w:val="00082F7D"/>
    <w:rsid w:val="00082FFC"/>
    <w:rsid w:val="0008522C"/>
    <w:rsid w:val="00085AC0"/>
    <w:rsid w:val="00086D87"/>
    <w:rsid w:val="00087258"/>
    <w:rsid w:val="00087F03"/>
    <w:rsid w:val="00087F60"/>
    <w:rsid w:val="00090121"/>
    <w:rsid w:val="0009059C"/>
    <w:rsid w:val="0009069D"/>
    <w:rsid w:val="000915A8"/>
    <w:rsid w:val="000949E3"/>
    <w:rsid w:val="00095972"/>
    <w:rsid w:val="000960B4"/>
    <w:rsid w:val="0009612A"/>
    <w:rsid w:val="000978FC"/>
    <w:rsid w:val="000A0AA1"/>
    <w:rsid w:val="000A2F73"/>
    <w:rsid w:val="000A39DA"/>
    <w:rsid w:val="000A539A"/>
    <w:rsid w:val="000A5A92"/>
    <w:rsid w:val="000A5B07"/>
    <w:rsid w:val="000A60CB"/>
    <w:rsid w:val="000A73A6"/>
    <w:rsid w:val="000A743C"/>
    <w:rsid w:val="000A76C1"/>
    <w:rsid w:val="000B177F"/>
    <w:rsid w:val="000B28CA"/>
    <w:rsid w:val="000B295A"/>
    <w:rsid w:val="000B3257"/>
    <w:rsid w:val="000B381A"/>
    <w:rsid w:val="000B5DA0"/>
    <w:rsid w:val="000B7078"/>
    <w:rsid w:val="000B7711"/>
    <w:rsid w:val="000C29B8"/>
    <w:rsid w:val="000C31FA"/>
    <w:rsid w:val="000C4B73"/>
    <w:rsid w:val="000C4DBF"/>
    <w:rsid w:val="000C50E9"/>
    <w:rsid w:val="000C5C11"/>
    <w:rsid w:val="000D233A"/>
    <w:rsid w:val="000D3A54"/>
    <w:rsid w:val="000D3C70"/>
    <w:rsid w:val="000D4265"/>
    <w:rsid w:val="000D4D23"/>
    <w:rsid w:val="000E032A"/>
    <w:rsid w:val="000E064E"/>
    <w:rsid w:val="000E0848"/>
    <w:rsid w:val="000E1096"/>
    <w:rsid w:val="000E2232"/>
    <w:rsid w:val="000E26FC"/>
    <w:rsid w:val="000E28A3"/>
    <w:rsid w:val="000E2DF2"/>
    <w:rsid w:val="000E65CB"/>
    <w:rsid w:val="000E675A"/>
    <w:rsid w:val="000F0285"/>
    <w:rsid w:val="000F10BD"/>
    <w:rsid w:val="000F16C9"/>
    <w:rsid w:val="000F1BE2"/>
    <w:rsid w:val="000F1F21"/>
    <w:rsid w:val="000F2359"/>
    <w:rsid w:val="000F2D1B"/>
    <w:rsid w:val="000F3360"/>
    <w:rsid w:val="000F38D9"/>
    <w:rsid w:val="000F4292"/>
    <w:rsid w:val="000F4659"/>
    <w:rsid w:val="000F48DE"/>
    <w:rsid w:val="000F4AA4"/>
    <w:rsid w:val="000F523E"/>
    <w:rsid w:val="000F7480"/>
    <w:rsid w:val="000F77CA"/>
    <w:rsid w:val="000F7BB3"/>
    <w:rsid w:val="00100154"/>
    <w:rsid w:val="00101112"/>
    <w:rsid w:val="0010265F"/>
    <w:rsid w:val="001027B6"/>
    <w:rsid w:val="00102EB8"/>
    <w:rsid w:val="00103534"/>
    <w:rsid w:val="001042D3"/>
    <w:rsid w:val="00106555"/>
    <w:rsid w:val="001075B2"/>
    <w:rsid w:val="00107ECD"/>
    <w:rsid w:val="00111242"/>
    <w:rsid w:val="0011219E"/>
    <w:rsid w:val="00112669"/>
    <w:rsid w:val="00114401"/>
    <w:rsid w:val="00115196"/>
    <w:rsid w:val="00116BFA"/>
    <w:rsid w:val="00117C44"/>
    <w:rsid w:val="00117E9A"/>
    <w:rsid w:val="0012270F"/>
    <w:rsid w:val="00122B06"/>
    <w:rsid w:val="0012493D"/>
    <w:rsid w:val="00124AF0"/>
    <w:rsid w:val="00124F48"/>
    <w:rsid w:val="0012776F"/>
    <w:rsid w:val="00127B78"/>
    <w:rsid w:val="00130271"/>
    <w:rsid w:val="001302CF"/>
    <w:rsid w:val="001303AE"/>
    <w:rsid w:val="00130549"/>
    <w:rsid w:val="00131FF4"/>
    <w:rsid w:val="00132907"/>
    <w:rsid w:val="001329FD"/>
    <w:rsid w:val="00132E7B"/>
    <w:rsid w:val="00132E7F"/>
    <w:rsid w:val="00134454"/>
    <w:rsid w:val="00136F84"/>
    <w:rsid w:val="00137B10"/>
    <w:rsid w:val="00140526"/>
    <w:rsid w:val="0014052A"/>
    <w:rsid w:val="00140725"/>
    <w:rsid w:val="00144471"/>
    <w:rsid w:val="0014532E"/>
    <w:rsid w:val="00145D61"/>
    <w:rsid w:val="00145E97"/>
    <w:rsid w:val="00147171"/>
    <w:rsid w:val="00147AB8"/>
    <w:rsid w:val="00153EBA"/>
    <w:rsid w:val="00154870"/>
    <w:rsid w:val="001550C5"/>
    <w:rsid w:val="00155C77"/>
    <w:rsid w:val="00156901"/>
    <w:rsid w:val="00157FE3"/>
    <w:rsid w:val="001613CE"/>
    <w:rsid w:val="00162CF2"/>
    <w:rsid w:val="00163717"/>
    <w:rsid w:val="0016579B"/>
    <w:rsid w:val="00166532"/>
    <w:rsid w:val="00167A91"/>
    <w:rsid w:val="00167C89"/>
    <w:rsid w:val="001706B9"/>
    <w:rsid w:val="00170F02"/>
    <w:rsid w:val="00171DCC"/>
    <w:rsid w:val="0017388F"/>
    <w:rsid w:val="00174A19"/>
    <w:rsid w:val="0017628D"/>
    <w:rsid w:val="00177913"/>
    <w:rsid w:val="00180B36"/>
    <w:rsid w:val="00181347"/>
    <w:rsid w:val="0018171C"/>
    <w:rsid w:val="00182CCA"/>
    <w:rsid w:val="001830EA"/>
    <w:rsid w:val="0018517D"/>
    <w:rsid w:val="00185E0B"/>
    <w:rsid w:val="0018631F"/>
    <w:rsid w:val="00186B84"/>
    <w:rsid w:val="00186D5F"/>
    <w:rsid w:val="00187ACC"/>
    <w:rsid w:val="001936D7"/>
    <w:rsid w:val="001948CC"/>
    <w:rsid w:val="001948E6"/>
    <w:rsid w:val="00195189"/>
    <w:rsid w:val="00195A2B"/>
    <w:rsid w:val="00197AB5"/>
    <w:rsid w:val="001A04AC"/>
    <w:rsid w:val="001A1A9F"/>
    <w:rsid w:val="001A252B"/>
    <w:rsid w:val="001A3EC3"/>
    <w:rsid w:val="001A3F5E"/>
    <w:rsid w:val="001A4F2C"/>
    <w:rsid w:val="001A64C1"/>
    <w:rsid w:val="001A6D74"/>
    <w:rsid w:val="001B0337"/>
    <w:rsid w:val="001B0476"/>
    <w:rsid w:val="001B0C20"/>
    <w:rsid w:val="001B10EE"/>
    <w:rsid w:val="001B372B"/>
    <w:rsid w:val="001B44BC"/>
    <w:rsid w:val="001C0F82"/>
    <w:rsid w:val="001C2861"/>
    <w:rsid w:val="001C690C"/>
    <w:rsid w:val="001C7427"/>
    <w:rsid w:val="001C74A2"/>
    <w:rsid w:val="001D0092"/>
    <w:rsid w:val="001D0F97"/>
    <w:rsid w:val="001D26D9"/>
    <w:rsid w:val="001D396C"/>
    <w:rsid w:val="001D7ECA"/>
    <w:rsid w:val="001E0415"/>
    <w:rsid w:val="001E0FA3"/>
    <w:rsid w:val="001E13E7"/>
    <w:rsid w:val="001E337B"/>
    <w:rsid w:val="001E3435"/>
    <w:rsid w:val="001E3882"/>
    <w:rsid w:val="001E5101"/>
    <w:rsid w:val="001E5910"/>
    <w:rsid w:val="001E6376"/>
    <w:rsid w:val="001E6A59"/>
    <w:rsid w:val="001E7DF2"/>
    <w:rsid w:val="001F06EA"/>
    <w:rsid w:val="001F1398"/>
    <w:rsid w:val="001F2CBC"/>
    <w:rsid w:val="001F3755"/>
    <w:rsid w:val="001F38BD"/>
    <w:rsid w:val="001F3C5F"/>
    <w:rsid w:val="001F3CCC"/>
    <w:rsid w:val="001F44A9"/>
    <w:rsid w:val="001F5038"/>
    <w:rsid w:val="001F52AB"/>
    <w:rsid w:val="001F602B"/>
    <w:rsid w:val="001F64BC"/>
    <w:rsid w:val="001F7061"/>
    <w:rsid w:val="00201000"/>
    <w:rsid w:val="00202228"/>
    <w:rsid w:val="00202A2A"/>
    <w:rsid w:val="00202FB1"/>
    <w:rsid w:val="00203028"/>
    <w:rsid w:val="00204B51"/>
    <w:rsid w:val="0020579B"/>
    <w:rsid w:val="002076A8"/>
    <w:rsid w:val="00207DEF"/>
    <w:rsid w:val="0021070F"/>
    <w:rsid w:val="00214763"/>
    <w:rsid w:val="00214CB5"/>
    <w:rsid w:val="00214D79"/>
    <w:rsid w:val="00214FBF"/>
    <w:rsid w:val="00215134"/>
    <w:rsid w:val="00215A37"/>
    <w:rsid w:val="00215E74"/>
    <w:rsid w:val="00216204"/>
    <w:rsid w:val="002167B6"/>
    <w:rsid w:val="0021691E"/>
    <w:rsid w:val="00216941"/>
    <w:rsid w:val="00217D66"/>
    <w:rsid w:val="002200A3"/>
    <w:rsid w:val="002200D2"/>
    <w:rsid w:val="00222200"/>
    <w:rsid w:val="00223B92"/>
    <w:rsid w:val="00223F66"/>
    <w:rsid w:val="00224BE3"/>
    <w:rsid w:val="00225C6C"/>
    <w:rsid w:val="00226394"/>
    <w:rsid w:val="00227379"/>
    <w:rsid w:val="00227BEB"/>
    <w:rsid w:val="00227D8A"/>
    <w:rsid w:val="002306C6"/>
    <w:rsid w:val="00232945"/>
    <w:rsid w:val="00232F60"/>
    <w:rsid w:val="002348CB"/>
    <w:rsid w:val="002351D1"/>
    <w:rsid w:val="0023610D"/>
    <w:rsid w:val="0023622E"/>
    <w:rsid w:val="00236653"/>
    <w:rsid w:val="002420D3"/>
    <w:rsid w:val="00242D56"/>
    <w:rsid w:val="00242F7E"/>
    <w:rsid w:val="002451CA"/>
    <w:rsid w:val="0024610C"/>
    <w:rsid w:val="00247B52"/>
    <w:rsid w:val="002517F2"/>
    <w:rsid w:val="002519E9"/>
    <w:rsid w:val="0025261C"/>
    <w:rsid w:val="00253CF1"/>
    <w:rsid w:val="002540B0"/>
    <w:rsid w:val="0025679E"/>
    <w:rsid w:val="00256BF9"/>
    <w:rsid w:val="00256C95"/>
    <w:rsid w:val="00261697"/>
    <w:rsid w:val="00262DBD"/>
    <w:rsid w:val="0026318E"/>
    <w:rsid w:val="00265858"/>
    <w:rsid w:val="002671D3"/>
    <w:rsid w:val="002702D0"/>
    <w:rsid w:val="00270DDF"/>
    <w:rsid w:val="002726CD"/>
    <w:rsid w:val="00272C04"/>
    <w:rsid w:val="00272E0D"/>
    <w:rsid w:val="00274D77"/>
    <w:rsid w:val="0027710E"/>
    <w:rsid w:val="00277B50"/>
    <w:rsid w:val="00277DF6"/>
    <w:rsid w:val="00280CEF"/>
    <w:rsid w:val="00282C28"/>
    <w:rsid w:val="002839FE"/>
    <w:rsid w:val="0028617F"/>
    <w:rsid w:val="002865D0"/>
    <w:rsid w:val="00286B13"/>
    <w:rsid w:val="0028712F"/>
    <w:rsid w:val="002903C1"/>
    <w:rsid w:val="00291DF1"/>
    <w:rsid w:val="002923FB"/>
    <w:rsid w:val="00292C35"/>
    <w:rsid w:val="002937BD"/>
    <w:rsid w:val="00294045"/>
    <w:rsid w:val="00295686"/>
    <w:rsid w:val="002964C2"/>
    <w:rsid w:val="0029681F"/>
    <w:rsid w:val="002A1EB2"/>
    <w:rsid w:val="002A2B34"/>
    <w:rsid w:val="002A2B55"/>
    <w:rsid w:val="002A2B62"/>
    <w:rsid w:val="002A315C"/>
    <w:rsid w:val="002A3801"/>
    <w:rsid w:val="002A59D4"/>
    <w:rsid w:val="002B14D8"/>
    <w:rsid w:val="002B1534"/>
    <w:rsid w:val="002B1A94"/>
    <w:rsid w:val="002B1B8E"/>
    <w:rsid w:val="002B2202"/>
    <w:rsid w:val="002B2AE0"/>
    <w:rsid w:val="002B3D0D"/>
    <w:rsid w:val="002B41DF"/>
    <w:rsid w:val="002B4506"/>
    <w:rsid w:val="002B49C9"/>
    <w:rsid w:val="002B7782"/>
    <w:rsid w:val="002C17A2"/>
    <w:rsid w:val="002C319D"/>
    <w:rsid w:val="002C5D3C"/>
    <w:rsid w:val="002C63D2"/>
    <w:rsid w:val="002D0923"/>
    <w:rsid w:val="002D1366"/>
    <w:rsid w:val="002D344C"/>
    <w:rsid w:val="002D3747"/>
    <w:rsid w:val="002D7886"/>
    <w:rsid w:val="002D794B"/>
    <w:rsid w:val="002D7AEB"/>
    <w:rsid w:val="002D7E70"/>
    <w:rsid w:val="002E0001"/>
    <w:rsid w:val="002E1204"/>
    <w:rsid w:val="002E13FB"/>
    <w:rsid w:val="002E24F1"/>
    <w:rsid w:val="002E322F"/>
    <w:rsid w:val="002E35A0"/>
    <w:rsid w:val="002E6155"/>
    <w:rsid w:val="002E6F2C"/>
    <w:rsid w:val="002F0423"/>
    <w:rsid w:val="002F0654"/>
    <w:rsid w:val="002F07D9"/>
    <w:rsid w:val="002F0932"/>
    <w:rsid w:val="002F0C97"/>
    <w:rsid w:val="002F11B8"/>
    <w:rsid w:val="002F1989"/>
    <w:rsid w:val="002F1D11"/>
    <w:rsid w:val="002F31A5"/>
    <w:rsid w:val="002F3972"/>
    <w:rsid w:val="002F41A1"/>
    <w:rsid w:val="002F5AC1"/>
    <w:rsid w:val="002F712E"/>
    <w:rsid w:val="002F7A57"/>
    <w:rsid w:val="002F7FBA"/>
    <w:rsid w:val="00300A9A"/>
    <w:rsid w:val="00301EC8"/>
    <w:rsid w:val="003027B5"/>
    <w:rsid w:val="003036D4"/>
    <w:rsid w:val="00303789"/>
    <w:rsid w:val="00304B68"/>
    <w:rsid w:val="0030583C"/>
    <w:rsid w:val="0030594A"/>
    <w:rsid w:val="003069F7"/>
    <w:rsid w:val="003076A2"/>
    <w:rsid w:val="003079D2"/>
    <w:rsid w:val="00307F53"/>
    <w:rsid w:val="003102D5"/>
    <w:rsid w:val="00310D04"/>
    <w:rsid w:val="00311BC5"/>
    <w:rsid w:val="0031349D"/>
    <w:rsid w:val="0031391A"/>
    <w:rsid w:val="00313BEB"/>
    <w:rsid w:val="0031421B"/>
    <w:rsid w:val="0031485C"/>
    <w:rsid w:val="00314FD0"/>
    <w:rsid w:val="00315E26"/>
    <w:rsid w:val="00316896"/>
    <w:rsid w:val="0031711A"/>
    <w:rsid w:val="00317EBA"/>
    <w:rsid w:val="0032024B"/>
    <w:rsid w:val="00321B2F"/>
    <w:rsid w:val="00322AAF"/>
    <w:rsid w:val="00325069"/>
    <w:rsid w:val="00325990"/>
    <w:rsid w:val="00325B8D"/>
    <w:rsid w:val="00325F08"/>
    <w:rsid w:val="00326E97"/>
    <w:rsid w:val="003278CD"/>
    <w:rsid w:val="003312B1"/>
    <w:rsid w:val="00331BA3"/>
    <w:rsid w:val="00332AFA"/>
    <w:rsid w:val="003349EA"/>
    <w:rsid w:val="003365B1"/>
    <w:rsid w:val="00337358"/>
    <w:rsid w:val="00337597"/>
    <w:rsid w:val="00341653"/>
    <w:rsid w:val="00341B8F"/>
    <w:rsid w:val="00342D61"/>
    <w:rsid w:val="00342FF5"/>
    <w:rsid w:val="00343062"/>
    <w:rsid w:val="00344853"/>
    <w:rsid w:val="00347B3F"/>
    <w:rsid w:val="0035156C"/>
    <w:rsid w:val="00352E62"/>
    <w:rsid w:val="00355FEB"/>
    <w:rsid w:val="003563B5"/>
    <w:rsid w:val="003566CB"/>
    <w:rsid w:val="00356935"/>
    <w:rsid w:val="003576C8"/>
    <w:rsid w:val="0036133E"/>
    <w:rsid w:val="003614EC"/>
    <w:rsid w:val="00363937"/>
    <w:rsid w:val="00364FC9"/>
    <w:rsid w:val="00365836"/>
    <w:rsid w:val="00365AA3"/>
    <w:rsid w:val="003703B1"/>
    <w:rsid w:val="003705A2"/>
    <w:rsid w:val="003715BF"/>
    <w:rsid w:val="003717FD"/>
    <w:rsid w:val="00373F34"/>
    <w:rsid w:val="00374D88"/>
    <w:rsid w:val="003758C6"/>
    <w:rsid w:val="00377991"/>
    <w:rsid w:val="00380675"/>
    <w:rsid w:val="003839C0"/>
    <w:rsid w:val="00385B27"/>
    <w:rsid w:val="00386D2B"/>
    <w:rsid w:val="00387BC9"/>
    <w:rsid w:val="00393EFF"/>
    <w:rsid w:val="003950B9"/>
    <w:rsid w:val="00396596"/>
    <w:rsid w:val="003977DB"/>
    <w:rsid w:val="00397BAC"/>
    <w:rsid w:val="003A01D6"/>
    <w:rsid w:val="003A0823"/>
    <w:rsid w:val="003A2D14"/>
    <w:rsid w:val="003A3600"/>
    <w:rsid w:val="003A392A"/>
    <w:rsid w:val="003A41A4"/>
    <w:rsid w:val="003A5A96"/>
    <w:rsid w:val="003A6FCE"/>
    <w:rsid w:val="003A7E53"/>
    <w:rsid w:val="003B1773"/>
    <w:rsid w:val="003B3A05"/>
    <w:rsid w:val="003B4B69"/>
    <w:rsid w:val="003B4FA0"/>
    <w:rsid w:val="003C0D84"/>
    <w:rsid w:val="003C1657"/>
    <w:rsid w:val="003C1B69"/>
    <w:rsid w:val="003C1CCB"/>
    <w:rsid w:val="003C3A29"/>
    <w:rsid w:val="003C4424"/>
    <w:rsid w:val="003C4FB9"/>
    <w:rsid w:val="003C6D89"/>
    <w:rsid w:val="003C76BA"/>
    <w:rsid w:val="003D0DF2"/>
    <w:rsid w:val="003D3022"/>
    <w:rsid w:val="003D43D7"/>
    <w:rsid w:val="003D6433"/>
    <w:rsid w:val="003D65BB"/>
    <w:rsid w:val="003D67E4"/>
    <w:rsid w:val="003D7714"/>
    <w:rsid w:val="003E064C"/>
    <w:rsid w:val="003E1BF9"/>
    <w:rsid w:val="003E2AA2"/>
    <w:rsid w:val="003E363F"/>
    <w:rsid w:val="003E40B9"/>
    <w:rsid w:val="003E610E"/>
    <w:rsid w:val="003E62DC"/>
    <w:rsid w:val="003E63C6"/>
    <w:rsid w:val="003E7B2B"/>
    <w:rsid w:val="003F0857"/>
    <w:rsid w:val="003F12DA"/>
    <w:rsid w:val="003F23D1"/>
    <w:rsid w:val="003F314D"/>
    <w:rsid w:val="003F375B"/>
    <w:rsid w:val="003F404B"/>
    <w:rsid w:val="003F4113"/>
    <w:rsid w:val="003F5CCF"/>
    <w:rsid w:val="003F5E50"/>
    <w:rsid w:val="003F6B5D"/>
    <w:rsid w:val="004013BB"/>
    <w:rsid w:val="00401538"/>
    <w:rsid w:val="00401CA9"/>
    <w:rsid w:val="00402C0E"/>
    <w:rsid w:val="00402CEF"/>
    <w:rsid w:val="0040493F"/>
    <w:rsid w:val="00404B30"/>
    <w:rsid w:val="00406875"/>
    <w:rsid w:val="00410856"/>
    <w:rsid w:val="004110DE"/>
    <w:rsid w:val="0041152E"/>
    <w:rsid w:val="004115E0"/>
    <w:rsid w:val="00412976"/>
    <w:rsid w:val="00414901"/>
    <w:rsid w:val="00417417"/>
    <w:rsid w:val="004200B2"/>
    <w:rsid w:val="0042069B"/>
    <w:rsid w:val="004227FF"/>
    <w:rsid w:val="00423B14"/>
    <w:rsid w:val="004248C4"/>
    <w:rsid w:val="00425037"/>
    <w:rsid w:val="004251F3"/>
    <w:rsid w:val="00425449"/>
    <w:rsid w:val="00425948"/>
    <w:rsid w:val="00425981"/>
    <w:rsid w:val="004262E3"/>
    <w:rsid w:val="00427E05"/>
    <w:rsid w:val="00431B8A"/>
    <w:rsid w:val="00431DDA"/>
    <w:rsid w:val="00432BF7"/>
    <w:rsid w:val="00434BB5"/>
    <w:rsid w:val="00434F5D"/>
    <w:rsid w:val="004355A0"/>
    <w:rsid w:val="004358A9"/>
    <w:rsid w:val="00436B44"/>
    <w:rsid w:val="00436BBD"/>
    <w:rsid w:val="00437724"/>
    <w:rsid w:val="00437CE5"/>
    <w:rsid w:val="00440300"/>
    <w:rsid w:val="00440B2E"/>
    <w:rsid w:val="00440E38"/>
    <w:rsid w:val="00440ED9"/>
    <w:rsid w:val="00441A79"/>
    <w:rsid w:val="00441E5A"/>
    <w:rsid w:val="00443095"/>
    <w:rsid w:val="004438C0"/>
    <w:rsid w:val="00445A8A"/>
    <w:rsid w:val="0044666A"/>
    <w:rsid w:val="004521F0"/>
    <w:rsid w:val="004522C1"/>
    <w:rsid w:val="004535B8"/>
    <w:rsid w:val="0045393E"/>
    <w:rsid w:val="00454614"/>
    <w:rsid w:val="00455963"/>
    <w:rsid w:val="00456D90"/>
    <w:rsid w:val="004579FA"/>
    <w:rsid w:val="004623CF"/>
    <w:rsid w:val="00462AAA"/>
    <w:rsid w:val="00464C49"/>
    <w:rsid w:val="00465D83"/>
    <w:rsid w:val="004670F7"/>
    <w:rsid w:val="00473EF5"/>
    <w:rsid w:val="0047436C"/>
    <w:rsid w:val="00474D8E"/>
    <w:rsid w:val="00475319"/>
    <w:rsid w:val="00475922"/>
    <w:rsid w:val="0047611E"/>
    <w:rsid w:val="00480303"/>
    <w:rsid w:val="004813B1"/>
    <w:rsid w:val="00482B6B"/>
    <w:rsid w:val="004832EB"/>
    <w:rsid w:val="00483ED9"/>
    <w:rsid w:val="00484619"/>
    <w:rsid w:val="00486512"/>
    <w:rsid w:val="00490DF3"/>
    <w:rsid w:val="00491CF6"/>
    <w:rsid w:val="0049225B"/>
    <w:rsid w:val="00492747"/>
    <w:rsid w:val="0049402E"/>
    <w:rsid w:val="004952EE"/>
    <w:rsid w:val="004953D6"/>
    <w:rsid w:val="00496622"/>
    <w:rsid w:val="0049696A"/>
    <w:rsid w:val="004A2CEA"/>
    <w:rsid w:val="004A35AC"/>
    <w:rsid w:val="004A3F50"/>
    <w:rsid w:val="004A3FB1"/>
    <w:rsid w:val="004A465E"/>
    <w:rsid w:val="004A4AD4"/>
    <w:rsid w:val="004A5079"/>
    <w:rsid w:val="004A51EC"/>
    <w:rsid w:val="004A5FD0"/>
    <w:rsid w:val="004A6C6B"/>
    <w:rsid w:val="004A6DA8"/>
    <w:rsid w:val="004A7A63"/>
    <w:rsid w:val="004B1736"/>
    <w:rsid w:val="004B2DE2"/>
    <w:rsid w:val="004B33A0"/>
    <w:rsid w:val="004B3C7D"/>
    <w:rsid w:val="004B44FA"/>
    <w:rsid w:val="004B4CD7"/>
    <w:rsid w:val="004B4E32"/>
    <w:rsid w:val="004B56AC"/>
    <w:rsid w:val="004B594B"/>
    <w:rsid w:val="004B5EC6"/>
    <w:rsid w:val="004B6213"/>
    <w:rsid w:val="004C0D28"/>
    <w:rsid w:val="004C1C0D"/>
    <w:rsid w:val="004C1DA4"/>
    <w:rsid w:val="004C284D"/>
    <w:rsid w:val="004C4687"/>
    <w:rsid w:val="004C50BC"/>
    <w:rsid w:val="004C5354"/>
    <w:rsid w:val="004C6658"/>
    <w:rsid w:val="004C7835"/>
    <w:rsid w:val="004C7DCC"/>
    <w:rsid w:val="004D09C3"/>
    <w:rsid w:val="004D0C63"/>
    <w:rsid w:val="004D190D"/>
    <w:rsid w:val="004D1D1A"/>
    <w:rsid w:val="004D398F"/>
    <w:rsid w:val="004D3A57"/>
    <w:rsid w:val="004D4453"/>
    <w:rsid w:val="004D4773"/>
    <w:rsid w:val="004D6370"/>
    <w:rsid w:val="004D6650"/>
    <w:rsid w:val="004D731F"/>
    <w:rsid w:val="004D7E0B"/>
    <w:rsid w:val="004D7F9B"/>
    <w:rsid w:val="004E025D"/>
    <w:rsid w:val="004E390E"/>
    <w:rsid w:val="004E5A10"/>
    <w:rsid w:val="004E5D03"/>
    <w:rsid w:val="004E6B43"/>
    <w:rsid w:val="004E6C0B"/>
    <w:rsid w:val="004F0252"/>
    <w:rsid w:val="004F2977"/>
    <w:rsid w:val="004F2C7D"/>
    <w:rsid w:val="004F34D1"/>
    <w:rsid w:val="004F3A3A"/>
    <w:rsid w:val="004F48DC"/>
    <w:rsid w:val="004F5116"/>
    <w:rsid w:val="004F5235"/>
    <w:rsid w:val="005017D4"/>
    <w:rsid w:val="0050223E"/>
    <w:rsid w:val="00502A45"/>
    <w:rsid w:val="00503993"/>
    <w:rsid w:val="00503A73"/>
    <w:rsid w:val="00504284"/>
    <w:rsid w:val="00504452"/>
    <w:rsid w:val="00504517"/>
    <w:rsid w:val="005047C6"/>
    <w:rsid w:val="00506AF5"/>
    <w:rsid w:val="00506C6D"/>
    <w:rsid w:val="0050709A"/>
    <w:rsid w:val="00507306"/>
    <w:rsid w:val="00507829"/>
    <w:rsid w:val="00511F3D"/>
    <w:rsid w:val="00513403"/>
    <w:rsid w:val="005138CB"/>
    <w:rsid w:val="00513A4B"/>
    <w:rsid w:val="0051414D"/>
    <w:rsid w:val="00514ABD"/>
    <w:rsid w:val="00515CB3"/>
    <w:rsid w:val="0051635A"/>
    <w:rsid w:val="00516984"/>
    <w:rsid w:val="00516F71"/>
    <w:rsid w:val="00521777"/>
    <w:rsid w:val="005226C8"/>
    <w:rsid w:val="00522730"/>
    <w:rsid w:val="00522C8B"/>
    <w:rsid w:val="00522E81"/>
    <w:rsid w:val="00524004"/>
    <w:rsid w:val="005241D9"/>
    <w:rsid w:val="00524D51"/>
    <w:rsid w:val="00530158"/>
    <w:rsid w:val="005309E3"/>
    <w:rsid w:val="00530CB9"/>
    <w:rsid w:val="0053193C"/>
    <w:rsid w:val="00532C4C"/>
    <w:rsid w:val="00533F4C"/>
    <w:rsid w:val="0053500D"/>
    <w:rsid w:val="00535273"/>
    <w:rsid w:val="00535821"/>
    <w:rsid w:val="00536BA4"/>
    <w:rsid w:val="00536FDD"/>
    <w:rsid w:val="005413C9"/>
    <w:rsid w:val="00541857"/>
    <w:rsid w:val="00541DC6"/>
    <w:rsid w:val="005439E3"/>
    <w:rsid w:val="00544896"/>
    <w:rsid w:val="00545EE0"/>
    <w:rsid w:val="00546C72"/>
    <w:rsid w:val="0054778B"/>
    <w:rsid w:val="00547860"/>
    <w:rsid w:val="00550B05"/>
    <w:rsid w:val="00550B18"/>
    <w:rsid w:val="00551B55"/>
    <w:rsid w:val="00551B8C"/>
    <w:rsid w:val="005526E3"/>
    <w:rsid w:val="005547D5"/>
    <w:rsid w:val="00557021"/>
    <w:rsid w:val="00563D3D"/>
    <w:rsid w:val="00564137"/>
    <w:rsid w:val="00564191"/>
    <w:rsid w:val="005641D0"/>
    <w:rsid w:val="00564DB0"/>
    <w:rsid w:val="005656BC"/>
    <w:rsid w:val="005661F2"/>
    <w:rsid w:val="00567024"/>
    <w:rsid w:val="00567396"/>
    <w:rsid w:val="005674D6"/>
    <w:rsid w:val="005676F3"/>
    <w:rsid w:val="00570EAF"/>
    <w:rsid w:val="00571658"/>
    <w:rsid w:val="00571AF1"/>
    <w:rsid w:val="00572435"/>
    <w:rsid w:val="00573C3F"/>
    <w:rsid w:val="0057468D"/>
    <w:rsid w:val="00574CF2"/>
    <w:rsid w:val="00574E12"/>
    <w:rsid w:val="00575AE4"/>
    <w:rsid w:val="0057747A"/>
    <w:rsid w:val="0057768C"/>
    <w:rsid w:val="00577B52"/>
    <w:rsid w:val="00577F59"/>
    <w:rsid w:val="005817D6"/>
    <w:rsid w:val="005829A5"/>
    <w:rsid w:val="00583C5A"/>
    <w:rsid w:val="00584042"/>
    <w:rsid w:val="00584C5A"/>
    <w:rsid w:val="00585176"/>
    <w:rsid w:val="0058517B"/>
    <w:rsid w:val="005856D7"/>
    <w:rsid w:val="00585952"/>
    <w:rsid w:val="005875D3"/>
    <w:rsid w:val="005904A8"/>
    <w:rsid w:val="005907EF"/>
    <w:rsid w:val="005917FC"/>
    <w:rsid w:val="00591956"/>
    <w:rsid w:val="005951AF"/>
    <w:rsid w:val="005963A0"/>
    <w:rsid w:val="005963F2"/>
    <w:rsid w:val="00596729"/>
    <w:rsid w:val="005A0383"/>
    <w:rsid w:val="005A0588"/>
    <w:rsid w:val="005A240B"/>
    <w:rsid w:val="005A309E"/>
    <w:rsid w:val="005A3402"/>
    <w:rsid w:val="005A34E6"/>
    <w:rsid w:val="005A4534"/>
    <w:rsid w:val="005A46F2"/>
    <w:rsid w:val="005A5E22"/>
    <w:rsid w:val="005A5E39"/>
    <w:rsid w:val="005B239C"/>
    <w:rsid w:val="005B299F"/>
    <w:rsid w:val="005B35FA"/>
    <w:rsid w:val="005B551B"/>
    <w:rsid w:val="005B5674"/>
    <w:rsid w:val="005B6795"/>
    <w:rsid w:val="005C13FC"/>
    <w:rsid w:val="005C2384"/>
    <w:rsid w:val="005C26D2"/>
    <w:rsid w:val="005C309E"/>
    <w:rsid w:val="005C321A"/>
    <w:rsid w:val="005C379E"/>
    <w:rsid w:val="005C3F73"/>
    <w:rsid w:val="005C404C"/>
    <w:rsid w:val="005C5404"/>
    <w:rsid w:val="005C6E8E"/>
    <w:rsid w:val="005C7A8A"/>
    <w:rsid w:val="005C7C29"/>
    <w:rsid w:val="005C7DB9"/>
    <w:rsid w:val="005D0913"/>
    <w:rsid w:val="005D18FC"/>
    <w:rsid w:val="005D21C9"/>
    <w:rsid w:val="005D55E0"/>
    <w:rsid w:val="005D56EB"/>
    <w:rsid w:val="005D58A5"/>
    <w:rsid w:val="005E0044"/>
    <w:rsid w:val="005E3FE3"/>
    <w:rsid w:val="005E5326"/>
    <w:rsid w:val="005E6435"/>
    <w:rsid w:val="005E6833"/>
    <w:rsid w:val="005E7FB4"/>
    <w:rsid w:val="005F043B"/>
    <w:rsid w:val="005F27C0"/>
    <w:rsid w:val="005F32F7"/>
    <w:rsid w:val="005F3675"/>
    <w:rsid w:val="005F48B9"/>
    <w:rsid w:val="005F530F"/>
    <w:rsid w:val="005F540A"/>
    <w:rsid w:val="005F5B77"/>
    <w:rsid w:val="005F70F6"/>
    <w:rsid w:val="005F73D2"/>
    <w:rsid w:val="005F76A0"/>
    <w:rsid w:val="006024AA"/>
    <w:rsid w:val="006029C3"/>
    <w:rsid w:val="00602CBF"/>
    <w:rsid w:val="00603D5B"/>
    <w:rsid w:val="00604077"/>
    <w:rsid w:val="00604CB3"/>
    <w:rsid w:val="0060632F"/>
    <w:rsid w:val="006066AA"/>
    <w:rsid w:val="00606829"/>
    <w:rsid w:val="00606D11"/>
    <w:rsid w:val="00610BBB"/>
    <w:rsid w:val="00610BF6"/>
    <w:rsid w:val="00612F80"/>
    <w:rsid w:val="006132F7"/>
    <w:rsid w:val="0061386A"/>
    <w:rsid w:val="00614930"/>
    <w:rsid w:val="00614EC1"/>
    <w:rsid w:val="00615505"/>
    <w:rsid w:val="00617DE2"/>
    <w:rsid w:val="00621121"/>
    <w:rsid w:val="006222EA"/>
    <w:rsid w:val="00625107"/>
    <w:rsid w:val="00632A4B"/>
    <w:rsid w:val="00633251"/>
    <w:rsid w:val="00634062"/>
    <w:rsid w:val="00634985"/>
    <w:rsid w:val="0063637D"/>
    <w:rsid w:val="00636B2E"/>
    <w:rsid w:val="006376B9"/>
    <w:rsid w:val="006401A7"/>
    <w:rsid w:val="0064051B"/>
    <w:rsid w:val="00642348"/>
    <w:rsid w:val="006430CE"/>
    <w:rsid w:val="006435E5"/>
    <w:rsid w:val="00643906"/>
    <w:rsid w:val="006442F7"/>
    <w:rsid w:val="00650823"/>
    <w:rsid w:val="00651575"/>
    <w:rsid w:val="00652381"/>
    <w:rsid w:val="006534AB"/>
    <w:rsid w:val="00653774"/>
    <w:rsid w:val="006540D2"/>
    <w:rsid w:val="006546C1"/>
    <w:rsid w:val="00654E57"/>
    <w:rsid w:val="0066071A"/>
    <w:rsid w:val="00660CE5"/>
    <w:rsid w:val="0066192A"/>
    <w:rsid w:val="0066217B"/>
    <w:rsid w:val="006647E5"/>
    <w:rsid w:val="0066597A"/>
    <w:rsid w:val="006662ED"/>
    <w:rsid w:val="00666845"/>
    <w:rsid w:val="00666917"/>
    <w:rsid w:val="00670500"/>
    <w:rsid w:val="00672757"/>
    <w:rsid w:val="00672C24"/>
    <w:rsid w:val="00673CD5"/>
    <w:rsid w:val="0067430D"/>
    <w:rsid w:val="006749DE"/>
    <w:rsid w:val="00675278"/>
    <w:rsid w:val="00676C19"/>
    <w:rsid w:val="006771CD"/>
    <w:rsid w:val="0068115E"/>
    <w:rsid w:val="00681C04"/>
    <w:rsid w:val="00682CA9"/>
    <w:rsid w:val="00683C81"/>
    <w:rsid w:val="0068444A"/>
    <w:rsid w:val="00686F18"/>
    <w:rsid w:val="006872D5"/>
    <w:rsid w:val="00687B56"/>
    <w:rsid w:val="00690026"/>
    <w:rsid w:val="0069062F"/>
    <w:rsid w:val="00690BF7"/>
    <w:rsid w:val="00691F3D"/>
    <w:rsid w:val="00695661"/>
    <w:rsid w:val="00695EA2"/>
    <w:rsid w:val="006A24C7"/>
    <w:rsid w:val="006A4417"/>
    <w:rsid w:val="006A50DB"/>
    <w:rsid w:val="006A5871"/>
    <w:rsid w:val="006A616B"/>
    <w:rsid w:val="006A7116"/>
    <w:rsid w:val="006A7BDC"/>
    <w:rsid w:val="006B1AF9"/>
    <w:rsid w:val="006B1DB1"/>
    <w:rsid w:val="006B2972"/>
    <w:rsid w:val="006B2CEB"/>
    <w:rsid w:val="006B3921"/>
    <w:rsid w:val="006B4946"/>
    <w:rsid w:val="006B579E"/>
    <w:rsid w:val="006B5C5E"/>
    <w:rsid w:val="006B634D"/>
    <w:rsid w:val="006B6B9C"/>
    <w:rsid w:val="006B7D98"/>
    <w:rsid w:val="006C2996"/>
    <w:rsid w:val="006C5A18"/>
    <w:rsid w:val="006C6674"/>
    <w:rsid w:val="006D0AD9"/>
    <w:rsid w:val="006D135E"/>
    <w:rsid w:val="006D1D2E"/>
    <w:rsid w:val="006D4678"/>
    <w:rsid w:val="006D49DA"/>
    <w:rsid w:val="006D60C7"/>
    <w:rsid w:val="006D7CF5"/>
    <w:rsid w:val="006D7E36"/>
    <w:rsid w:val="006E1BF9"/>
    <w:rsid w:val="006E1F28"/>
    <w:rsid w:val="006E2CE9"/>
    <w:rsid w:val="006E44C9"/>
    <w:rsid w:val="006E4B7A"/>
    <w:rsid w:val="006E58D9"/>
    <w:rsid w:val="006E643A"/>
    <w:rsid w:val="006E6694"/>
    <w:rsid w:val="006E7D64"/>
    <w:rsid w:val="006F0C34"/>
    <w:rsid w:val="006F2952"/>
    <w:rsid w:val="006F3956"/>
    <w:rsid w:val="006F4303"/>
    <w:rsid w:val="006F6009"/>
    <w:rsid w:val="0070067A"/>
    <w:rsid w:val="00702049"/>
    <w:rsid w:val="00702D26"/>
    <w:rsid w:val="00703B56"/>
    <w:rsid w:val="007065E4"/>
    <w:rsid w:val="00706E43"/>
    <w:rsid w:val="007111D1"/>
    <w:rsid w:val="0071368E"/>
    <w:rsid w:val="007138FC"/>
    <w:rsid w:val="00713D04"/>
    <w:rsid w:val="00714151"/>
    <w:rsid w:val="00714B26"/>
    <w:rsid w:val="0071648A"/>
    <w:rsid w:val="0072179A"/>
    <w:rsid w:val="00721B31"/>
    <w:rsid w:val="007222A4"/>
    <w:rsid w:val="00722B16"/>
    <w:rsid w:val="00723078"/>
    <w:rsid w:val="00724204"/>
    <w:rsid w:val="00727AC2"/>
    <w:rsid w:val="00732432"/>
    <w:rsid w:val="0073244D"/>
    <w:rsid w:val="007327CA"/>
    <w:rsid w:val="007331AF"/>
    <w:rsid w:val="00734636"/>
    <w:rsid w:val="007350B9"/>
    <w:rsid w:val="00735DED"/>
    <w:rsid w:val="00735E4E"/>
    <w:rsid w:val="007406FA"/>
    <w:rsid w:val="00740BD1"/>
    <w:rsid w:val="007417D0"/>
    <w:rsid w:val="00742145"/>
    <w:rsid w:val="00742B4A"/>
    <w:rsid w:val="00742F0E"/>
    <w:rsid w:val="00744312"/>
    <w:rsid w:val="00745498"/>
    <w:rsid w:val="007464D9"/>
    <w:rsid w:val="007479E1"/>
    <w:rsid w:val="007503F5"/>
    <w:rsid w:val="0075062F"/>
    <w:rsid w:val="00750D87"/>
    <w:rsid w:val="007524A3"/>
    <w:rsid w:val="00753361"/>
    <w:rsid w:val="00753585"/>
    <w:rsid w:val="00753ED5"/>
    <w:rsid w:val="00754B6C"/>
    <w:rsid w:val="00755271"/>
    <w:rsid w:val="007569FC"/>
    <w:rsid w:val="00756E95"/>
    <w:rsid w:val="00764C1B"/>
    <w:rsid w:val="00765B46"/>
    <w:rsid w:val="007669C8"/>
    <w:rsid w:val="007703BF"/>
    <w:rsid w:val="00771C12"/>
    <w:rsid w:val="007722AA"/>
    <w:rsid w:val="00772922"/>
    <w:rsid w:val="00774AAA"/>
    <w:rsid w:val="00774DCB"/>
    <w:rsid w:val="00775EFA"/>
    <w:rsid w:val="00777A16"/>
    <w:rsid w:val="00777CA8"/>
    <w:rsid w:val="0078040D"/>
    <w:rsid w:val="0078118C"/>
    <w:rsid w:val="00781880"/>
    <w:rsid w:val="007824C0"/>
    <w:rsid w:val="0078350E"/>
    <w:rsid w:val="00784B2C"/>
    <w:rsid w:val="00784F57"/>
    <w:rsid w:val="00786ED0"/>
    <w:rsid w:val="00790517"/>
    <w:rsid w:val="0079160B"/>
    <w:rsid w:val="00791616"/>
    <w:rsid w:val="00793220"/>
    <w:rsid w:val="007933BA"/>
    <w:rsid w:val="00793741"/>
    <w:rsid w:val="007945C8"/>
    <w:rsid w:val="00794970"/>
    <w:rsid w:val="00795FB0"/>
    <w:rsid w:val="00796BCB"/>
    <w:rsid w:val="00796E46"/>
    <w:rsid w:val="007975B9"/>
    <w:rsid w:val="0079787C"/>
    <w:rsid w:val="00797DA4"/>
    <w:rsid w:val="007A0778"/>
    <w:rsid w:val="007A14C2"/>
    <w:rsid w:val="007A1B8F"/>
    <w:rsid w:val="007A3FD3"/>
    <w:rsid w:val="007A64FF"/>
    <w:rsid w:val="007A77C6"/>
    <w:rsid w:val="007B0C31"/>
    <w:rsid w:val="007B1171"/>
    <w:rsid w:val="007B1BA1"/>
    <w:rsid w:val="007B2CBA"/>
    <w:rsid w:val="007B3204"/>
    <w:rsid w:val="007B44B4"/>
    <w:rsid w:val="007C07FC"/>
    <w:rsid w:val="007C243E"/>
    <w:rsid w:val="007C4955"/>
    <w:rsid w:val="007C4C77"/>
    <w:rsid w:val="007C501F"/>
    <w:rsid w:val="007C56FE"/>
    <w:rsid w:val="007C5B47"/>
    <w:rsid w:val="007C5CFA"/>
    <w:rsid w:val="007C6B3E"/>
    <w:rsid w:val="007D0C2A"/>
    <w:rsid w:val="007D1434"/>
    <w:rsid w:val="007D1712"/>
    <w:rsid w:val="007D21A6"/>
    <w:rsid w:val="007D3CE4"/>
    <w:rsid w:val="007D4773"/>
    <w:rsid w:val="007D4830"/>
    <w:rsid w:val="007D5237"/>
    <w:rsid w:val="007D6755"/>
    <w:rsid w:val="007D6AAB"/>
    <w:rsid w:val="007D6EB1"/>
    <w:rsid w:val="007D6F6D"/>
    <w:rsid w:val="007D7075"/>
    <w:rsid w:val="007D7EE8"/>
    <w:rsid w:val="007E0684"/>
    <w:rsid w:val="007E2BD7"/>
    <w:rsid w:val="007E313E"/>
    <w:rsid w:val="007E345A"/>
    <w:rsid w:val="007E3623"/>
    <w:rsid w:val="007E3745"/>
    <w:rsid w:val="007E44AD"/>
    <w:rsid w:val="007E44F4"/>
    <w:rsid w:val="007E6506"/>
    <w:rsid w:val="007E68E2"/>
    <w:rsid w:val="007F0222"/>
    <w:rsid w:val="007F386F"/>
    <w:rsid w:val="007F5183"/>
    <w:rsid w:val="007F5B8D"/>
    <w:rsid w:val="007F67CC"/>
    <w:rsid w:val="00800517"/>
    <w:rsid w:val="00800F68"/>
    <w:rsid w:val="00801157"/>
    <w:rsid w:val="008013A0"/>
    <w:rsid w:val="00803561"/>
    <w:rsid w:val="00804475"/>
    <w:rsid w:val="00804991"/>
    <w:rsid w:val="00805C37"/>
    <w:rsid w:val="0080683A"/>
    <w:rsid w:val="00806FFA"/>
    <w:rsid w:val="00810963"/>
    <w:rsid w:val="00810F88"/>
    <w:rsid w:val="0081308C"/>
    <w:rsid w:val="0081547D"/>
    <w:rsid w:val="0081568A"/>
    <w:rsid w:val="008203D5"/>
    <w:rsid w:val="00820A92"/>
    <w:rsid w:val="00821B85"/>
    <w:rsid w:val="00822512"/>
    <w:rsid w:val="00822F8F"/>
    <w:rsid w:val="00823B4C"/>
    <w:rsid w:val="00823CB1"/>
    <w:rsid w:val="00824331"/>
    <w:rsid w:val="00824BDC"/>
    <w:rsid w:val="00824E76"/>
    <w:rsid w:val="00826FAE"/>
    <w:rsid w:val="008319BF"/>
    <w:rsid w:val="00831D61"/>
    <w:rsid w:val="00832D9A"/>
    <w:rsid w:val="00833473"/>
    <w:rsid w:val="00837998"/>
    <w:rsid w:val="00837E05"/>
    <w:rsid w:val="0084092A"/>
    <w:rsid w:val="00842B3B"/>
    <w:rsid w:val="0084319F"/>
    <w:rsid w:val="008441CD"/>
    <w:rsid w:val="0084430D"/>
    <w:rsid w:val="00844BCF"/>
    <w:rsid w:val="00844FD0"/>
    <w:rsid w:val="008454FA"/>
    <w:rsid w:val="008456B2"/>
    <w:rsid w:val="00846058"/>
    <w:rsid w:val="0084711F"/>
    <w:rsid w:val="00850410"/>
    <w:rsid w:val="00850488"/>
    <w:rsid w:val="00852FFF"/>
    <w:rsid w:val="008535FE"/>
    <w:rsid w:val="00857AF6"/>
    <w:rsid w:val="008601C7"/>
    <w:rsid w:val="00861219"/>
    <w:rsid w:val="008642E9"/>
    <w:rsid w:val="00866173"/>
    <w:rsid w:val="0086671E"/>
    <w:rsid w:val="00866968"/>
    <w:rsid w:val="00867818"/>
    <w:rsid w:val="0087153F"/>
    <w:rsid w:val="00872BAA"/>
    <w:rsid w:val="0087426A"/>
    <w:rsid w:val="00874C53"/>
    <w:rsid w:val="00874DF1"/>
    <w:rsid w:val="00875061"/>
    <w:rsid w:val="00875E2F"/>
    <w:rsid w:val="008768D9"/>
    <w:rsid w:val="008771BC"/>
    <w:rsid w:val="008771F5"/>
    <w:rsid w:val="00880887"/>
    <w:rsid w:val="00880E55"/>
    <w:rsid w:val="008821DE"/>
    <w:rsid w:val="0088238B"/>
    <w:rsid w:val="0088249F"/>
    <w:rsid w:val="00882765"/>
    <w:rsid w:val="00883BBC"/>
    <w:rsid w:val="00884FC8"/>
    <w:rsid w:val="008854B3"/>
    <w:rsid w:val="00886564"/>
    <w:rsid w:val="00886646"/>
    <w:rsid w:val="00886AA0"/>
    <w:rsid w:val="00886CE2"/>
    <w:rsid w:val="00887289"/>
    <w:rsid w:val="00890082"/>
    <w:rsid w:val="00890121"/>
    <w:rsid w:val="00890293"/>
    <w:rsid w:val="008919BF"/>
    <w:rsid w:val="00891BA8"/>
    <w:rsid w:val="00891EA2"/>
    <w:rsid w:val="008926DE"/>
    <w:rsid w:val="00892A9E"/>
    <w:rsid w:val="00894E34"/>
    <w:rsid w:val="00897936"/>
    <w:rsid w:val="008A14BE"/>
    <w:rsid w:val="008A179F"/>
    <w:rsid w:val="008A1EBD"/>
    <w:rsid w:val="008A3793"/>
    <w:rsid w:val="008A5856"/>
    <w:rsid w:val="008A6038"/>
    <w:rsid w:val="008A6274"/>
    <w:rsid w:val="008A6672"/>
    <w:rsid w:val="008A69BD"/>
    <w:rsid w:val="008B0250"/>
    <w:rsid w:val="008B1D49"/>
    <w:rsid w:val="008B2014"/>
    <w:rsid w:val="008B233C"/>
    <w:rsid w:val="008B2816"/>
    <w:rsid w:val="008B4E42"/>
    <w:rsid w:val="008B6416"/>
    <w:rsid w:val="008B657E"/>
    <w:rsid w:val="008C168D"/>
    <w:rsid w:val="008C268F"/>
    <w:rsid w:val="008C2F36"/>
    <w:rsid w:val="008C3DFB"/>
    <w:rsid w:val="008C594F"/>
    <w:rsid w:val="008C5EBC"/>
    <w:rsid w:val="008C63C7"/>
    <w:rsid w:val="008D0881"/>
    <w:rsid w:val="008D0D64"/>
    <w:rsid w:val="008D0E52"/>
    <w:rsid w:val="008D1B8D"/>
    <w:rsid w:val="008D225D"/>
    <w:rsid w:val="008D2473"/>
    <w:rsid w:val="008D3D5E"/>
    <w:rsid w:val="008D41F1"/>
    <w:rsid w:val="008E00DB"/>
    <w:rsid w:val="008E158D"/>
    <w:rsid w:val="008E18C8"/>
    <w:rsid w:val="008E2545"/>
    <w:rsid w:val="008E3116"/>
    <w:rsid w:val="008E73D6"/>
    <w:rsid w:val="008E764C"/>
    <w:rsid w:val="008E7667"/>
    <w:rsid w:val="008F0509"/>
    <w:rsid w:val="008F0705"/>
    <w:rsid w:val="008F1FAC"/>
    <w:rsid w:val="008F7C39"/>
    <w:rsid w:val="008F7FF5"/>
    <w:rsid w:val="00903ECF"/>
    <w:rsid w:val="00903F27"/>
    <w:rsid w:val="0090584F"/>
    <w:rsid w:val="009065EF"/>
    <w:rsid w:val="00910E76"/>
    <w:rsid w:val="0091141A"/>
    <w:rsid w:val="009115D6"/>
    <w:rsid w:val="0091176A"/>
    <w:rsid w:val="00911992"/>
    <w:rsid w:val="00917E1D"/>
    <w:rsid w:val="00921BA1"/>
    <w:rsid w:val="00922F9D"/>
    <w:rsid w:val="00923B21"/>
    <w:rsid w:val="00930F7B"/>
    <w:rsid w:val="00930FB6"/>
    <w:rsid w:val="009360AF"/>
    <w:rsid w:val="009361D7"/>
    <w:rsid w:val="00936F48"/>
    <w:rsid w:val="009419C9"/>
    <w:rsid w:val="0094218D"/>
    <w:rsid w:val="00942618"/>
    <w:rsid w:val="009429F1"/>
    <w:rsid w:val="009433FE"/>
    <w:rsid w:val="00943B8B"/>
    <w:rsid w:val="00943DB9"/>
    <w:rsid w:val="00944CFC"/>
    <w:rsid w:val="00945222"/>
    <w:rsid w:val="00945520"/>
    <w:rsid w:val="00947C5E"/>
    <w:rsid w:val="009500AF"/>
    <w:rsid w:val="009508CC"/>
    <w:rsid w:val="00952A8F"/>
    <w:rsid w:val="00952F76"/>
    <w:rsid w:val="00953049"/>
    <w:rsid w:val="00953695"/>
    <w:rsid w:val="009541D8"/>
    <w:rsid w:val="0095600A"/>
    <w:rsid w:val="00956BAD"/>
    <w:rsid w:val="00957F66"/>
    <w:rsid w:val="0096066B"/>
    <w:rsid w:val="00960CCD"/>
    <w:rsid w:val="00961227"/>
    <w:rsid w:val="009629CE"/>
    <w:rsid w:val="00962C66"/>
    <w:rsid w:val="00964965"/>
    <w:rsid w:val="009650A5"/>
    <w:rsid w:val="00966387"/>
    <w:rsid w:val="0096684C"/>
    <w:rsid w:val="0096737C"/>
    <w:rsid w:val="00967BF5"/>
    <w:rsid w:val="00970B9B"/>
    <w:rsid w:val="00971659"/>
    <w:rsid w:val="009732E4"/>
    <w:rsid w:val="009738F1"/>
    <w:rsid w:val="00974848"/>
    <w:rsid w:val="00975122"/>
    <w:rsid w:val="00976617"/>
    <w:rsid w:val="009775B7"/>
    <w:rsid w:val="00977F2B"/>
    <w:rsid w:val="00980B9A"/>
    <w:rsid w:val="00981E8D"/>
    <w:rsid w:val="009827F1"/>
    <w:rsid w:val="00983A6E"/>
    <w:rsid w:val="00983F83"/>
    <w:rsid w:val="00984795"/>
    <w:rsid w:val="00984BC5"/>
    <w:rsid w:val="00986315"/>
    <w:rsid w:val="00986705"/>
    <w:rsid w:val="009873F3"/>
    <w:rsid w:val="00990E46"/>
    <w:rsid w:val="00990FB9"/>
    <w:rsid w:val="00991CD2"/>
    <w:rsid w:val="00991D60"/>
    <w:rsid w:val="00992F92"/>
    <w:rsid w:val="009942C5"/>
    <w:rsid w:val="009947ED"/>
    <w:rsid w:val="00994F0E"/>
    <w:rsid w:val="00995F14"/>
    <w:rsid w:val="009A12E5"/>
    <w:rsid w:val="009A3759"/>
    <w:rsid w:val="009A3FCE"/>
    <w:rsid w:val="009A41D8"/>
    <w:rsid w:val="009A721C"/>
    <w:rsid w:val="009A7798"/>
    <w:rsid w:val="009A77DF"/>
    <w:rsid w:val="009B3CD7"/>
    <w:rsid w:val="009B3F9A"/>
    <w:rsid w:val="009B3FFC"/>
    <w:rsid w:val="009B61A3"/>
    <w:rsid w:val="009C18B5"/>
    <w:rsid w:val="009C211A"/>
    <w:rsid w:val="009C23A9"/>
    <w:rsid w:val="009C3789"/>
    <w:rsid w:val="009C5A12"/>
    <w:rsid w:val="009C6BED"/>
    <w:rsid w:val="009C7056"/>
    <w:rsid w:val="009C7461"/>
    <w:rsid w:val="009D0F26"/>
    <w:rsid w:val="009D4B0C"/>
    <w:rsid w:val="009D4E5C"/>
    <w:rsid w:val="009D72BF"/>
    <w:rsid w:val="009D791C"/>
    <w:rsid w:val="009D7F6A"/>
    <w:rsid w:val="009E0ECC"/>
    <w:rsid w:val="009E1EE4"/>
    <w:rsid w:val="009E2344"/>
    <w:rsid w:val="009E2D1D"/>
    <w:rsid w:val="009E3B68"/>
    <w:rsid w:val="009E427B"/>
    <w:rsid w:val="009E49A9"/>
    <w:rsid w:val="009E5EFB"/>
    <w:rsid w:val="009E790B"/>
    <w:rsid w:val="009F106B"/>
    <w:rsid w:val="009F110D"/>
    <w:rsid w:val="009F1B53"/>
    <w:rsid w:val="009F254F"/>
    <w:rsid w:val="009F2FBA"/>
    <w:rsid w:val="009F4108"/>
    <w:rsid w:val="009F42C9"/>
    <w:rsid w:val="009F501B"/>
    <w:rsid w:val="009F5780"/>
    <w:rsid w:val="009F5880"/>
    <w:rsid w:val="009F68AF"/>
    <w:rsid w:val="009F740A"/>
    <w:rsid w:val="00A00000"/>
    <w:rsid w:val="00A000D9"/>
    <w:rsid w:val="00A002E4"/>
    <w:rsid w:val="00A004A6"/>
    <w:rsid w:val="00A013A4"/>
    <w:rsid w:val="00A0397F"/>
    <w:rsid w:val="00A03984"/>
    <w:rsid w:val="00A04B47"/>
    <w:rsid w:val="00A06D1B"/>
    <w:rsid w:val="00A06E2F"/>
    <w:rsid w:val="00A1066B"/>
    <w:rsid w:val="00A11534"/>
    <w:rsid w:val="00A11550"/>
    <w:rsid w:val="00A11D54"/>
    <w:rsid w:val="00A11E55"/>
    <w:rsid w:val="00A130E1"/>
    <w:rsid w:val="00A13A6B"/>
    <w:rsid w:val="00A14CA0"/>
    <w:rsid w:val="00A15FD3"/>
    <w:rsid w:val="00A16F4A"/>
    <w:rsid w:val="00A17227"/>
    <w:rsid w:val="00A21708"/>
    <w:rsid w:val="00A22C0C"/>
    <w:rsid w:val="00A23268"/>
    <w:rsid w:val="00A2471A"/>
    <w:rsid w:val="00A24F74"/>
    <w:rsid w:val="00A315DF"/>
    <w:rsid w:val="00A31872"/>
    <w:rsid w:val="00A34BEC"/>
    <w:rsid w:val="00A35FF6"/>
    <w:rsid w:val="00A36010"/>
    <w:rsid w:val="00A36E90"/>
    <w:rsid w:val="00A41DBF"/>
    <w:rsid w:val="00A4237C"/>
    <w:rsid w:val="00A43878"/>
    <w:rsid w:val="00A44126"/>
    <w:rsid w:val="00A47A6E"/>
    <w:rsid w:val="00A5143C"/>
    <w:rsid w:val="00A51A77"/>
    <w:rsid w:val="00A52D5D"/>
    <w:rsid w:val="00A5561E"/>
    <w:rsid w:val="00A56594"/>
    <w:rsid w:val="00A56887"/>
    <w:rsid w:val="00A57075"/>
    <w:rsid w:val="00A60805"/>
    <w:rsid w:val="00A612CC"/>
    <w:rsid w:val="00A6209E"/>
    <w:rsid w:val="00A6249F"/>
    <w:rsid w:val="00A6445B"/>
    <w:rsid w:val="00A647F7"/>
    <w:rsid w:val="00A668F2"/>
    <w:rsid w:val="00A6712F"/>
    <w:rsid w:val="00A706BD"/>
    <w:rsid w:val="00A718E8"/>
    <w:rsid w:val="00A72555"/>
    <w:rsid w:val="00A73240"/>
    <w:rsid w:val="00A73FDB"/>
    <w:rsid w:val="00A741BD"/>
    <w:rsid w:val="00A74941"/>
    <w:rsid w:val="00A83A2C"/>
    <w:rsid w:val="00A8434A"/>
    <w:rsid w:val="00A8463D"/>
    <w:rsid w:val="00A86550"/>
    <w:rsid w:val="00A90078"/>
    <w:rsid w:val="00A9142E"/>
    <w:rsid w:val="00A9260F"/>
    <w:rsid w:val="00A94760"/>
    <w:rsid w:val="00A94B5E"/>
    <w:rsid w:val="00A9638B"/>
    <w:rsid w:val="00A972A9"/>
    <w:rsid w:val="00A97845"/>
    <w:rsid w:val="00A97B72"/>
    <w:rsid w:val="00A97BC0"/>
    <w:rsid w:val="00AA27E2"/>
    <w:rsid w:val="00AA3817"/>
    <w:rsid w:val="00AA4628"/>
    <w:rsid w:val="00AA5605"/>
    <w:rsid w:val="00AA6116"/>
    <w:rsid w:val="00AA6FFC"/>
    <w:rsid w:val="00AA7135"/>
    <w:rsid w:val="00AA7E47"/>
    <w:rsid w:val="00AB00DA"/>
    <w:rsid w:val="00AB0431"/>
    <w:rsid w:val="00AB06B7"/>
    <w:rsid w:val="00AB1346"/>
    <w:rsid w:val="00AB30D2"/>
    <w:rsid w:val="00AB32F3"/>
    <w:rsid w:val="00AB56FE"/>
    <w:rsid w:val="00AB5ADF"/>
    <w:rsid w:val="00AB5EC5"/>
    <w:rsid w:val="00AB7659"/>
    <w:rsid w:val="00AB7FF2"/>
    <w:rsid w:val="00AC1F25"/>
    <w:rsid w:val="00AC3149"/>
    <w:rsid w:val="00AC3393"/>
    <w:rsid w:val="00AC3F15"/>
    <w:rsid w:val="00AC42B9"/>
    <w:rsid w:val="00AC441D"/>
    <w:rsid w:val="00AC5640"/>
    <w:rsid w:val="00AC66A2"/>
    <w:rsid w:val="00AC6D72"/>
    <w:rsid w:val="00AC74BB"/>
    <w:rsid w:val="00AC7E8B"/>
    <w:rsid w:val="00AD1A49"/>
    <w:rsid w:val="00AD1DA5"/>
    <w:rsid w:val="00AD2733"/>
    <w:rsid w:val="00AD27E3"/>
    <w:rsid w:val="00AD47CD"/>
    <w:rsid w:val="00AD5769"/>
    <w:rsid w:val="00AE09C3"/>
    <w:rsid w:val="00AE0B51"/>
    <w:rsid w:val="00AE2141"/>
    <w:rsid w:val="00AE7456"/>
    <w:rsid w:val="00AF1A1D"/>
    <w:rsid w:val="00AF2253"/>
    <w:rsid w:val="00AF3803"/>
    <w:rsid w:val="00AF4A63"/>
    <w:rsid w:val="00AF4D51"/>
    <w:rsid w:val="00AF6FD1"/>
    <w:rsid w:val="00B02029"/>
    <w:rsid w:val="00B028A3"/>
    <w:rsid w:val="00B03906"/>
    <w:rsid w:val="00B03D25"/>
    <w:rsid w:val="00B04E1C"/>
    <w:rsid w:val="00B05B94"/>
    <w:rsid w:val="00B06813"/>
    <w:rsid w:val="00B07D4F"/>
    <w:rsid w:val="00B1007F"/>
    <w:rsid w:val="00B1131A"/>
    <w:rsid w:val="00B130D3"/>
    <w:rsid w:val="00B13DD0"/>
    <w:rsid w:val="00B14EAA"/>
    <w:rsid w:val="00B150A4"/>
    <w:rsid w:val="00B1543C"/>
    <w:rsid w:val="00B1644D"/>
    <w:rsid w:val="00B168C4"/>
    <w:rsid w:val="00B179AE"/>
    <w:rsid w:val="00B17E9D"/>
    <w:rsid w:val="00B20CEB"/>
    <w:rsid w:val="00B22327"/>
    <w:rsid w:val="00B227ED"/>
    <w:rsid w:val="00B22E6B"/>
    <w:rsid w:val="00B24E05"/>
    <w:rsid w:val="00B25055"/>
    <w:rsid w:val="00B25802"/>
    <w:rsid w:val="00B25BE6"/>
    <w:rsid w:val="00B25BF3"/>
    <w:rsid w:val="00B25CCC"/>
    <w:rsid w:val="00B26832"/>
    <w:rsid w:val="00B26B10"/>
    <w:rsid w:val="00B274D0"/>
    <w:rsid w:val="00B33AAD"/>
    <w:rsid w:val="00B34BAE"/>
    <w:rsid w:val="00B35815"/>
    <w:rsid w:val="00B35B93"/>
    <w:rsid w:val="00B35E05"/>
    <w:rsid w:val="00B35ECA"/>
    <w:rsid w:val="00B364D5"/>
    <w:rsid w:val="00B36E48"/>
    <w:rsid w:val="00B37AAA"/>
    <w:rsid w:val="00B40497"/>
    <w:rsid w:val="00B414AE"/>
    <w:rsid w:val="00B42516"/>
    <w:rsid w:val="00B4399B"/>
    <w:rsid w:val="00B443AB"/>
    <w:rsid w:val="00B45A24"/>
    <w:rsid w:val="00B45C98"/>
    <w:rsid w:val="00B46B6D"/>
    <w:rsid w:val="00B47D19"/>
    <w:rsid w:val="00B522F6"/>
    <w:rsid w:val="00B52A97"/>
    <w:rsid w:val="00B52D7D"/>
    <w:rsid w:val="00B53C70"/>
    <w:rsid w:val="00B53C9F"/>
    <w:rsid w:val="00B54D85"/>
    <w:rsid w:val="00B55F5D"/>
    <w:rsid w:val="00B60A01"/>
    <w:rsid w:val="00B625A6"/>
    <w:rsid w:val="00B64E5F"/>
    <w:rsid w:val="00B6530B"/>
    <w:rsid w:val="00B6596A"/>
    <w:rsid w:val="00B706E9"/>
    <w:rsid w:val="00B707D0"/>
    <w:rsid w:val="00B7142A"/>
    <w:rsid w:val="00B723FC"/>
    <w:rsid w:val="00B7358C"/>
    <w:rsid w:val="00B73D47"/>
    <w:rsid w:val="00B74142"/>
    <w:rsid w:val="00B75341"/>
    <w:rsid w:val="00B772A6"/>
    <w:rsid w:val="00B7733C"/>
    <w:rsid w:val="00B778FE"/>
    <w:rsid w:val="00B81595"/>
    <w:rsid w:val="00B81F63"/>
    <w:rsid w:val="00B92A0C"/>
    <w:rsid w:val="00B93C1E"/>
    <w:rsid w:val="00B96309"/>
    <w:rsid w:val="00B9726E"/>
    <w:rsid w:val="00BA0211"/>
    <w:rsid w:val="00BA15C2"/>
    <w:rsid w:val="00BA2625"/>
    <w:rsid w:val="00BA3434"/>
    <w:rsid w:val="00BA434F"/>
    <w:rsid w:val="00BA4A42"/>
    <w:rsid w:val="00BA5994"/>
    <w:rsid w:val="00BA5D60"/>
    <w:rsid w:val="00BA642F"/>
    <w:rsid w:val="00BA68BC"/>
    <w:rsid w:val="00BA749F"/>
    <w:rsid w:val="00BB0D4E"/>
    <w:rsid w:val="00BB12F8"/>
    <w:rsid w:val="00BB14D7"/>
    <w:rsid w:val="00BB163E"/>
    <w:rsid w:val="00BB1F04"/>
    <w:rsid w:val="00BB3867"/>
    <w:rsid w:val="00BB3C08"/>
    <w:rsid w:val="00BB3F3D"/>
    <w:rsid w:val="00BB4089"/>
    <w:rsid w:val="00BB52FE"/>
    <w:rsid w:val="00BB5616"/>
    <w:rsid w:val="00BB627C"/>
    <w:rsid w:val="00BB63BD"/>
    <w:rsid w:val="00BB685C"/>
    <w:rsid w:val="00BB6CE7"/>
    <w:rsid w:val="00BB7B32"/>
    <w:rsid w:val="00BB7BBB"/>
    <w:rsid w:val="00BC07FA"/>
    <w:rsid w:val="00BC28B4"/>
    <w:rsid w:val="00BC6C4B"/>
    <w:rsid w:val="00BC7FE4"/>
    <w:rsid w:val="00BD092A"/>
    <w:rsid w:val="00BD0C23"/>
    <w:rsid w:val="00BD23E6"/>
    <w:rsid w:val="00BD2EA6"/>
    <w:rsid w:val="00BD4AAD"/>
    <w:rsid w:val="00BD6179"/>
    <w:rsid w:val="00BD7160"/>
    <w:rsid w:val="00BD73A6"/>
    <w:rsid w:val="00BD7697"/>
    <w:rsid w:val="00BD7902"/>
    <w:rsid w:val="00BE1374"/>
    <w:rsid w:val="00BE2437"/>
    <w:rsid w:val="00BE2DA2"/>
    <w:rsid w:val="00BE3C90"/>
    <w:rsid w:val="00BE4CA4"/>
    <w:rsid w:val="00BE5E0E"/>
    <w:rsid w:val="00BE7755"/>
    <w:rsid w:val="00BF0B3A"/>
    <w:rsid w:val="00BF11C0"/>
    <w:rsid w:val="00BF1A12"/>
    <w:rsid w:val="00BF1EC4"/>
    <w:rsid w:val="00BF2074"/>
    <w:rsid w:val="00BF341E"/>
    <w:rsid w:val="00BF3642"/>
    <w:rsid w:val="00BF4787"/>
    <w:rsid w:val="00BF7702"/>
    <w:rsid w:val="00BF7CC2"/>
    <w:rsid w:val="00C00601"/>
    <w:rsid w:val="00C01CE1"/>
    <w:rsid w:val="00C0292D"/>
    <w:rsid w:val="00C03188"/>
    <w:rsid w:val="00C03AF2"/>
    <w:rsid w:val="00C04EB8"/>
    <w:rsid w:val="00C054B9"/>
    <w:rsid w:val="00C06D64"/>
    <w:rsid w:val="00C06F3D"/>
    <w:rsid w:val="00C077B1"/>
    <w:rsid w:val="00C1053D"/>
    <w:rsid w:val="00C11463"/>
    <w:rsid w:val="00C11DAA"/>
    <w:rsid w:val="00C14802"/>
    <w:rsid w:val="00C14C7F"/>
    <w:rsid w:val="00C1518C"/>
    <w:rsid w:val="00C15337"/>
    <w:rsid w:val="00C165A0"/>
    <w:rsid w:val="00C17CE6"/>
    <w:rsid w:val="00C17F10"/>
    <w:rsid w:val="00C22904"/>
    <w:rsid w:val="00C230E8"/>
    <w:rsid w:val="00C24015"/>
    <w:rsid w:val="00C2434D"/>
    <w:rsid w:val="00C2493D"/>
    <w:rsid w:val="00C2501F"/>
    <w:rsid w:val="00C252E4"/>
    <w:rsid w:val="00C25BA2"/>
    <w:rsid w:val="00C2671E"/>
    <w:rsid w:val="00C26884"/>
    <w:rsid w:val="00C309B9"/>
    <w:rsid w:val="00C31855"/>
    <w:rsid w:val="00C34147"/>
    <w:rsid w:val="00C34C3C"/>
    <w:rsid w:val="00C34D85"/>
    <w:rsid w:val="00C353E2"/>
    <w:rsid w:val="00C3676C"/>
    <w:rsid w:val="00C36FAC"/>
    <w:rsid w:val="00C3705E"/>
    <w:rsid w:val="00C37A08"/>
    <w:rsid w:val="00C40726"/>
    <w:rsid w:val="00C4186B"/>
    <w:rsid w:val="00C423DD"/>
    <w:rsid w:val="00C42476"/>
    <w:rsid w:val="00C4254C"/>
    <w:rsid w:val="00C4407F"/>
    <w:rsid w:val="00C45A34"/>
    <w:rsid w:val="00C45DAD"/>
    <w:rsid w:val="00C5090E"/>
    <w:rsid w:val="00C50B7B"/>
    <w:rsid w:val="00C50C82"/>
    <w:rsid w:val="00C51C70"/>
    <w:rsid w:val="00C52DDA"/>
    <w:rsid w:val="00C53627"/>
    <w:rsid w:val="00C53B24"/>
    <w:rsid w:val="00C53E53"/>
    <w:rsid w:val="00C54838"/>
    <w:rsid w:val="00C55F3B"/>
    <w:rsid w:val="00C6021C"/>
    <w:rsid w:val="00C62525"/>
    <w:rsid w:val="00C627CE"/>
    <w:rsid w:val="00C633A6"/>
    <w:rsid w:val="00C6354D"/>
    <w:rsid w:val="00C63646"/>
    <w:rsid w:val="00C63C34"/>
    <w:rsid w:val="00C64487"/>
    <w:rsid w:val="00C6462A"/>
    <w:rsid w:val="00C70F7D"/>
    <w:rsid w:val="00C73021"/>
    <w:rsid w:val="00C76E9E"/>
    <w:rsid w:val="00C8013E"/>
    <w:rsid w:val="00C806D6"/>
    <w:rsid w:val="00C80D07"/>
    <w:rsid w:val="00C81ECC"/>
    <w:rsid w:val="00C820A8"/>
    <w:rsid w:val="00C82E2F"/>
    <w:rsid w:val="00C83C98"/>
    <w:rsid w:val="00C844E0"/>
    <w:rsid w:val="00C85018"/>
    <w:rsid w:val="00C861FB"/>
    <w:rsid w:val="00C90244"/>
    <w:rsid w:val="00C913ED"/>
    <w:rsid w:val="00C91737"/>
    <w:rsid w:val="00C938D1"/>
    <w:rsid w:val="00C9398C"/>
    <w:rsid w:val="00C9617F"/>
    <w:rsid w:val="00C96D5E"/>
    <w:rsid w:val="00CA0B35"/>
    <w:rsid w:val="00CA18CB"/>
    <w:rsid w:val="00CA1F24"/>
    <w:rsid w:val="00CA2ADB"/>
    <w:rsid w:val="00CA2DF0"/>
    <w:rsid w:val="00CA33A2"/>
    <w:rsid w:val="00CA417E"/>
    <w:rsid w:val="00CA4BF1"/>
    <w:rsid w:val="00CA57BD"/>
    <w:rsid w:val="00CA63FC"/>
    <w:rsid w:val="00CA66F9"/>
    <w:rsid w:val="00CA6977"/>
    <w:rsid w:val="00CA70D5"/>
    <w:rsid w:val="00CB0EF1"/>
    <w:rsid w:val="00CB3530"/>
    <w:rsid w:val="00CB398E"/>
    <w:rsid w:val="00CB77C2"/>
    <w:rsid w:val="00CC39BA"/>
    <w:rsid w:val="00CC45F2"/>
    <w:rsid w:val="00CC67C7"/>
    <w:rsid w:val="00CC6C44"/>
    <w:rsid w:val="00CC6DD0"/>
    <w:rsid w:val="00CD05B6"/>
    <w:rsid w:val="00CD24A4"/>
    <w:rsid w:val="00CD259C"/>
    <w:rsid w:val="00CD57DA"/>
    <w:rsid w:val="00CE5CA6"/>
    <w:rsid w:val="00CE6633"/>
    <w:rsid w:val="00CE7615"/>
    <w:rsid w:val="00CF1545"/>
    <w:rsid w:val="00CF2FCB"/>
    <w:rsid w:val="00CF3508"/>
    <w:rsid w:val="00CF3A34"/>
    <w:rsid w:val="00CF5B15"/>
    <w:rsid w:val="00CF5E39"/>
    <w:rsid w:val="00CF7672"/>
    <w:rsid w:val="00D0056D"/>
    <w:rsid w:val="00D027F3"/>
    <w:rsid w:val="00D03590"/>
    <w:rsid w:val="00D046B8"/>
    <w:rsid w:val="00D04FE3"/>
    <w:rsid w:val="00D051F0"/>
    <w:rsid w:val="00D060A8"/>
    <w:rsid w:val="00D071EA"/>
    <w:rsid w:val="00D10195"/>
    <w:rsid w:val="00D130B9"/>
    <w:rsid w:val="00D134AE"/>
    <w:rsid w:val="00D139BD"/>
    <w:rsid w:val="00D1535B"/>
    <w:rsid w:val="00D16AB2"/>
    <w:rsid w:val="00D17928"/>
    <w:rsid w:val="00D17C12"/>
    <w:rsid w:val="00D2070C"/>
    <w:rsid w:val="00D22EE8"/>
    <w:rsid w:val="00D23055"/>
    <w:rsid w:val="00D23FC3"/>
    <w:rsid w:val="00D2425E"/>
    <w:rsid w:val="00D25AD2"/>
    <w:rsid w:val="00D261BB"/>
    <w:rsid w:val="00D277DA"/>
    <w:rsid w:val="00D30F14"/>
    <w:rsid w:val="00D31DE6"/>
    <w:rsid w:val="00D32A2A"/>
    <w:rsid w:val="00D32A64"/>
    <w:rsid w:val="00D32C90"/>
    <w:rsid w:val="00D36805"/>
    <w:rsid w:val="00D36C05"/>
    <w:rsid w:val="00D37E8E"/>
    <w:rsid w:val="00D403BE"/>
    <w:rsid w:val="00D41440"/>
    <w:rsid w:val="00D416B4"/>
    <w:rsid w:val="00D41D79"/>
    <w:rsid w:val="00D41F61"/>
    <w:rsid w:val="00D4463B"/>
    <w:rsid w:val="00D45104"/>
    <w:rsid w:val="00D45C9D"/>
    <w:rsid w:val="00D466B9"/>
    <w:rsid w:val="00D46BC5"/>
    <w:rsid w:val="00D50E41"/>
    <w:rsid w:val="00D5172A"/>
    <w:rsid w:val="00D52CC6"/>
    <w:rsid w:val="00D5317C"/>
    <w:rsid w:val="00D53AFD"/>
    <w:rsid w:val="00D56532"/>
    <w:rsid w:val="00D57181"/>
    <w:rsid w:val="00D57368"/>
    <w:rsid w:val="00D574C0"/>
    <w:rsid w:val="00D57CA0"/>
    <w:rsid w:val="00D60166"/>
    <w:rsid w:val="00D60C7D"/>
    <w:rsid w:val="00D6110E"/>
    <w:rsid w:val="00D61AFA"/>
    <w:rsid w:val="00D62496"/>
    <w:rsid w:val="00D6330B"/>
    <w:rsid w:val="00D6370D"/>
    <w:rsid w:val="00D63AC0"/>
    <w:rsid w:val="00D63AF0"/>
    <w:rsid w:val="00D64573"/>
    <w:rsid w:val="00D65F73"/>
    <w:rsid w:val="00D70A5A"/>
    <w:rsid w:val="00D7182A"/>
    <w:rsid w:val="00D77ECD"/>
    <w:rsid w:val="00D80235"/>
    <w:rsid w:val="00D8028A"/>
    <w:rsid w:val="00D81924"/>
    <w:rsid w:val="00D82285"/>
    <w:rsid w:val="00D835E0"/>
    <w:rsid w:val="00D85E5F"/>
    <w:rsid w:val="00D85F82"/>
    <w:rsid w:val="00D860BB"/>
    <w:rsid w:val="00D8610F"/>
    <w:rsid w:val="00D868B7"/>
    <w:rsid w:val="00D9254D"/>
    <w:rsid w:val="00D92D2B"/>
    <w:rsid w:val="00D92FF6"/>
    <w:rsid w:val="00D93C33"/>
    <w:rsid w:val="00D94C3C"/>
    <w:rsid w:val="00D97173"/>
    <w:rsid w:val="00D97CFF"/>
    <w:rsid w:val="00DA159A"/>
    <w:rsid w:val="00DA1ECF"/>
    <w:rsid w:val="00DA2267"/>
    <w:rsid w:val="00DA247C"/>
    <w:rsid w:val="00DA35BA"/>
    <w:rsid w:val="00DA44BC"/>
    <w:rsid w:val="00DA452A"/>
    <w:rsid w:val="00DA468A"/>
    <w:rsid w:val="00DA4AAC"/>
    <w:rsid w:val="00DA4C4C"/>
    <w:rsid w:val="00DA4F83"/>
    <w:rsid w:val="00DA53B1"/>
    <w:rsid w:val="00DA77E7"/>
    <w:rsid w:val="00DB0CB4"/>
    <w:rsid w:val="00DB18C3"/>
    <w:rsid w:val="00DB24A7"/>
    <w:rsid w:val="00DB2E82"/>
    <w:rsid w:val="00DB3745"/>
    <w:rsid w:val="00DB3E95"/>
    <w:rsid w:val="00DB406D"/>
    <w:rsid w:val="00DB5101"/>
    <w:rsid w:val="00DB67F6"/>
    <w:rsid w:val="00DB6FAE"/>
    <w:rsid w:val="00DB787A"/>
    <w:rsid w:val="00DC27D6"/>
    <w:rsid w:val="00DC58B9"/>
    <w:rsid w:val="00DC5CDE"/>
    <w:rsid w:val="00DC6EFF"/>
    <w:rsid w:val="00DD157D"/>
    <w:rsid w:val="00DD308E"/>
    <w:rsid w:val="00DD362D"/>
    <w:rsid w:val="00DD445C"/>
    <w:rsid w:val="00DD4FFE"/>
    <w:rsid w:val="00DD7002"/>
    <w:rsid w:val="00DD7FBB"/>
    <w:rsid w:val="00DE449D"/>
    <w:rsid w:val="00DE5B41"/>
    <w:rsid w:val="00DE5C8E"/>
    <w:rsid w:val="00DE6514"/>
    <w:rsid w:val="00DE65EB"/>
    <w:rsid w:val="00DF0488"/>
    <w:rsid w:val="00DF114B"/>
    <w:rsid w:val="00DF15FE"/>
    <w:rsid w:val="00DF1A1B"/>
    <w:rsid w:val="00DF3297"/>
    <w:rsid w:val="00DF493F"/>
    <w:rsid w:val="00DF49E8"/>
    <w:rsid w:val="00DF56A0"/>
    <w:rsid w:val="00DF6635"/>
    <w:rsid w:val="00E01882"/>
    <w:rsid w:val="00E021DB"/>
    <w:rsid w:val="00E02208"/>
    <w:rsid w:val="00E02D15"/>
    <w:rsid w:val="00E03ABD"/>
    <w:rsid w:val="00E04AB6"/>
    <w:rsid w:val="00E0657A"/>
    <w:rsid w:val="00E06F2C"/>
    <w:rsid w:val="00E07F4F"/>
    <w:rsid w:val="00E106ED"/>
    <w:rsid w:val="00E11178"/>
    <w:rsid w:val="00E14E01"/>
    <w:rsid w:val="00E1509A"/>
    <w:rsid w:val="00E168E6"/>
    <w:rsid w:val="00E1788E"/>
    <w:rsid w:val="00E17C99"/>
    <w:rsid w:val="00E20E6A"/>
    <w:rsid w:val="00E217E5"/>
    <w:rsid w:val="00E25458"/>
    <w:rsid w:val="00E2648A"/>
    <w:rsid w:val="00E26569"/>
    <w:rsid w:val="00E2735D"/>
    <w:rsid w:val="00E301FF"/>
    <w:rsid w:val="00E30C91"/>
    <w:rsid w:val="00E316AF"/>
    <w:rsid w:val="00E317F6"/>
    <w:rsid w:val="00E31850"/>
    <w:rsid w:val="00E3252C"/>
    <w:rsid w:val="00E33F06"/>
    <w:rsid w:val="00E3613F"/>
    <w:rsid w:val="00E3710A"/>
    <w:rsid w:val="00E376F1"/>
    <w:rsid w:val="00E37A58"/>
    <w:rsid w:val="00E408E1"/>
    <w:rsid w:val="00E424D4"/>
    <w:rsid w:val="00E430C2"/>
    <w:rsid w:val="00E43CB8"/>
    <w:rsid w:val="00E466A5"/>
    <w:rsid w:val="00E46BC1"/>
    <w:rsid w:val="00E47062"/>
    <w:rsid w:val="00E47A5F"/>
    <w:rsid w:val="00E47BB4"/>
    <w:rsid w:val="00E5053E"/>
    <w:rsid w:val="00E51780"/>
    <w:rsid w:val="00E51D2A"/>
    <w:rsid w:val="00E5407B"/>
    <w:rsid w:val="00E54203"/>
    <w:rsid w:val="00E5463E"/>
    <w:rsid w:val="00E55617"/>
    <w:rsid w:val="00E56651"/>
    <w:rsid w:val="00E56EF3"/>
    <w:rsid w:val="00E57610"/>
    <w:rsid w:val="00E57740"/>
    <w:rsid w:val="00E60B58"/>
    <w:rsid w:val="00E61792"/>
    <w:rsid w:val="00E619F1"/>
    <w:rsid w:val="00E631C7"/>
    <w:rsid w:val="00E65080"/>
    <w:rsid w:val="00E66B3C"/>
    <w:rsid w:val="00E66C6C"/>
    <w:rsid w:val="00E706A5"/>
    <w:rsid w:val="00E70885"/>
    <w:rsid w:val="00E7133D"/>
    <w:rsid w:val="00E72501"/>
    <w:rsid w:val="00E7285F"/>
    <w:rsid w:val="00E7289E"/>
    <w:rsid w:val="00E72B2C"/>
    <w:rsid w:val="00E72F27"/>
    <w:rsid w:val="00E73342"/>
    <w:rsid w:val="00E743FB"/>
    <w:rsid w:val="00E75BC4"/>
    <w:rsid w:val="00E76BB1"/>
    <w:rsid w:val="00E76D27"/>
    <w:rsid w:val="00E80F99"/>
    <w:rsid w:val="00E81BB2"/>
    <w:rsid w:val="00E8338A"/>
    <w:rsid w:val="00E8476B"/>
    <w:rsid w:val="00E85863"/>
    <w:rsid w:val="00E85B27"/>
    <w:rsid w:val="00E86421"/>
    <w:rsid w:val="00E900B2"/>
    <w:rsid w:val="00E91B5F"/>
    <w:rsid w:val="00E91FA5"/>
    <w:rsid w:val="00E91FEB"/>
    <w:rsid w:val="00E93676"/>
    <w:rsid w:val="00E9379F"/>
    <w:rsid w:val="00E94F98"/>
    <w:rsid w:val="00E97CEC"/>
    <w:rsid w:val="00E97FA4"/>
    <w:rsid w:val="00EA1D19"/>
    <w:rsid w:val="00EA21BE"/>
    <w:rsid w:val="00EA24AF"/>
    <w:rsid w:val="00EA3549"/>
    <w:rsid w:val="00EA4195"/>
    <w:rsid w:val="00EA41A8"/>
    <w:rsid w:val="00EA44D1"/>
    <w:rsid w:val="00EA549C"/>
    <w:rsid w:val="00EA692A"/>
    <w:rsid w:val="00EA6BC8"/>
    <w:rsid w:val="00EA7D56"/>
    <w:rsid w:val="00EB1CF4"/>
    <w:rsid w:val="00EB1E8D"/>
    <w:rsid w:val="00EB2C4A"/>
    <w:rsid w:val="00EB442D"/>
    <w:rsid w:val="00EB5F1E"/>
    <w:rsid w:val="00EB664C"/>
    <w:rsid w:val="00EB6A5C"/>
    <w:rsid w:val="00EB7F14"/>
    <w:rsid w:val="00EC09BE"/>
    <w:rsid w:val="00EC128C"/>
    <w:rsid w:val="00EC1DD8"/>
    <w:rsid w:val="00EC22CE"/>
    <w:rsid w:val="00EC2C15"/>
    <w:rsid w:val="00EC4221"/>
    <w:rsid w:val="00EC5EE0"/>
    <w:rsid w:val="00ED0931"/>
    <w:rsid w:val="00ED1CDB"/>
    <w:rsid w:val="00ED1F30"/>
    <w:rsid w:val="00ED1F89"/>
    <w:rsid w:val="00ED4042"/>
    <w:rsid w:val="00ED4091"/>
    <w:rsid w:val="00ED4DCF"/>
    <w:rsid w:val="00ED533B"/>
    <w:rsid w:val="00ED68FA"/>
    <w:rsid w:val="00ED6E1B"/>
    <w:rsid w:val="00EE2C5D"/>
    <w:rsid w:val="00EE34F4"/>
    <w:rsid w:val="00EE34FC"/>
    <w:rsid w:val="00EE3B12"/>
    <w:rsid w:val="00EE4E79"/>
    <w:rsid w:val="00EE5010"/>
    <w:rsid w:val="00EE5AFE"/>
    <w:rsid w:val="00EE5C91"/>
    <w:rsid w:val="00EE6C06"/>
    <w:rsid w:val="00EE7130"/>
    <w:rsid w:val="00EF04D7"/>
    <w:rsid w:val="00EF1A34"/>
    <w:rsid w:val="00EF23BB"/>
    <w:rsid w:val="00EF267F"/>
    <w:rsid w:val="00EF3983"/>
    <w:rsid w:val="00EF497A"/>
    <w:rsid w:val="00EF52E5"/>
    <w:rsid w:val="00EF5ADE"/>
    <w:rsid w:val="00EF5C6B"/>
    <w:rsid w:val="00EF6A8D"/>
    <w:rsid w:val="00EF6E80"/>
    <w:rsid w:val="00EF7425"/>
    <w:rsid w:val="00F01370"/>
    <w:rsid w:val="00F027D6"/>
    <w:rsid w:val="00F02D12"/>
    <w:rsid w:val="00F03694"/>
    <w:rsid w:val="00F03E08"/>
    <w:rsid w:val="00F04E7E"/>
    <w:rsid w:val="00F05833"/>
    <w:rsid w:val="00F07FCE"/>
    <w:rsid w:val="00F106B4"/>
    <w:rsid w:val="00F11242"/>
    <w:rsid w:val="00F1124C"/>
    <w:rsid w:val="00F121CD"/>
    <w:rsid w:val="00F123E5"/>
    <w:rsid w:val="00F12759"/>
    <w:rsid w:val="00F13E4A"/>
    <w:rsid w:val="00F14E4A"/>
    <w:rsid w:val="00F15635"/>
    <w:rsid w:val="00F162B2"/>
    <w:rsid w:val="00F164EC"/>
    <w:rsid w:val="00F16B6C"/>
    <w:rsid w:val="00F2009B"/>
    <w:rsid w:val="00F20E27"/>
    <w:rsid w:val="00F23678"/>
    <w:rsid w:val="00F25C31"/>
    <w:rsid w:val="00F269FA"/>
    <w:rsid w:val="00F26D21"/>
    <w:rsid w:val="00F279CC"/>
    <w:rsid w:val="00F27CAE"/>
    <w:rsid w:val="00F30F62"/>
    <w:rsid w:val="00F310B5"/>
    <w:rsid w:val="00F32385"/>
    <w:rsid w:val="00F349A5"/>
    <w:rsid w:val="00F34D9D"/>
    <w:rsid w:val="00F36032"/>
    <w:rsid w:val="00F36D8E"/>
    <w:rsid w:val="00F371A1"/>
    <w:rsid w:val="00F37303"/>
    <w:rsid w:val="00F42487"/>
    <w:rsid w:val="00F435D7"/>
    <w:rsid w:val="00F454DD"/>
    <w:rsid w:val="00F45E35"/>
    <w:rsid w:val="00F51A92"/>
    <w:rsid w:val="00F530F1"/>
    <w:rsid w:val="00F53226"/>
    <w:rsid w:val="00F53637"/>
    <w:rsid w:val="00F557A4"/>
    <w:rsid w:val="00F57FE0"/>
    <w:rsid w:val="00F63541"/>
    <w:rsid w:val="00F640A2"/>
    <w:rsid w:val="00F6441B"/>
    <w:rsid w:val="00F64F8E"/>
    <w:rsid w:val="00F658E8"/>
    <w:rsid w:val="00F66A7C"/>
    <w:rsid w:val="00F67C48"/>
    <w:rsid w:val="00F7093A"/>
    <w:rsid w:val="00F75864"/>
    <w:rsid w:val="00F75CA7"/>
    <w:rsid w:val="00F75D49"/>
    <w:rsid w:val="00F75D54"/>
    <w:rsid w:val="00F7656C"/>
    <w:rsid w:val="00F80B54"/>
    <w:rsid w:val="00F81F80"/>
    <w:rsid w:val="00F8270F"/>
    <w:rsid w:val="00F86C4F"/>
    <w:rsid w:val="00F90A11"/>
    <w:rsid w:val="00F90B3A"/>
    <w:rsid w:val="00F91CA4"/>
    <w:rsid w:val="00F93780"/>
    <w:rsid w:val="00F94140"/>
    <w:rsid w:val="00F946D9"/>
    <w:rsid w:val="00F9495D"/>
    <w:rsid w:val="00F954AE"/>
    <w:rsid w:val="00F9733E"/>
    <w:rsid w:val="00FA0D79"/>
    <w:rsid w:val="00FA3BB0"/>
    <w:rsid w:val="00FA46DD"/>
    <w:rsid w:val="00FA4BAB"/>
    <w:rsid w:val="00FA4F28"/>
    <w:rsid w:val="00FA6B18"/>
    <w:rsid w:val="00FB02D3"/>
    <w:rsid w:val="00FB07CB"/>
    <w:rsid w:val="00FB0CB5"/>
    <w:rsid w:val="00FB10B1"/>
    <w:rsid w:val="00FB2C33"/>
    <w:rsid w:val="00FB359D"/>
    <w:rsid w:val="00FB4C7B"/>
    <w:rsid w:val="00FB4E07"/>
    <w:rsid w:val="00FB64B4"/>
    <w:rsid w:val="00FB65CB"/>
    <w:rsid w:val="00FC191C"/>
    <w:rsid w:val="00FC4173"/>
    <w:rsid w:val="00FC5115"/>
    <w:rsid w:val="00FC53C4"/>
    <w:rsid w:val="00FC5E7D"/>
    <w:rsid w:val="00FC6B80"/>
    <w:rsid w:val="00FC6F16"/>
    <w:rsid w:val="00FC6F7C"/>
    <w:rsid w:val="00FC703D"/>
    <w:rsid w:val="00FC79C3"/>
    <w:rsid w:val="00FC7D14"/>
    <w:rsid w:val="00FC7E85"/>
    <w:rsid w:val="00FD0685"/>
    <w:rsid w:val="00FD0FA2"/>
    <w:rsid w:val="00FD30FF"/>
    <w:rsid w:val="00FD3FEA"/>
    <w:rsid w:val="00FD40DB"/>
    <w:rsid w:val="00FD4FD7"/>
    <w:rsid w:val="00FD566B"/>
    <w:rsid w:val="00FD5F3D"/>
    <w:rsid w:val="00FD6482"/>
    <w:rsid w:val="00FD7364"/>
    <w:rsid w:val="00FD779D"/>
    <w:rsid w:val="00FE09B0"/>
    <w:rsid w:val="00FE307F"/>
    <w:rsid w:val="00FE3456"/>
    <w:rsid w:val="00FE4FE1"/>
    <w:rsid w:val="00FE55ED"/>
    <w:rsid w:val="00FE5A50"/>
    <w:rsid w:val="00FE6442"/>
    <w:rsid w:val="00FE6D82"/>
    <w:rsid w:val="00FF1E8E"/>
    <w:rsid w:val="00FF2898"/>
    <w:rsid w:val="00FF30A3"/>
    <w:rsid w:val="00FF390E"/>
    <w:rsid w:val="00FF56CD"/>
    <w:rsid w:val="00FF6DF3"/>
    <w:rsid w:val="00FF7A20"/>
    <w:rsid w:val="04022A77"/>
    <w:rsid w:val="061C061F"/>
    <w:rsid w:val="06223D76"/>
    <w:rsid w:val="0B624F81"/>
    <w:rsid w:val="0BEB5981"/>
    <w:rsid w:val="0E8945AA"/>
    <w:rsid w:val="15990399"/>
    <w:rsid w:val="1BF56977"/>
    <w:rsid w:val="1D2031FA"/>
    <w:rsid w:val="22262A5B"/>
    <w:rsid w:val="22C24397"/>
    <w:rsid w:val="311E6349"/>
    <w:rsid w:val="32B0586C"/>
    <w:rsid w:val="35690510"/>
    <w:rsid w:val="3E4D3C74"/>
    <w:rsid w:val="4A2731DB"/>
    <w:rsid w:val="4DB95A0F"/>
    <w:rsid w:val="503A366E"/>
    <w:rsid w:val="5A297662"/>
    <w:rsid w:val="5ABC7F1B"/>
    <w:rsid w:val="5C9C024E"/>
    <w:rsid w:val="621545E1"/>
    <w:rsid w:val="6D8B2E10"/>
    <w:rsid w:val="7316184A"/>
    <w:rsid w:val="74691014"/>
    <w:rsid w:val="7BDE0C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qFormat="1" w:unhideWhenUsed="0" w:uiPriority="0" w:semiHidden="0" w:name="E-mail Signature"/>
    <w:lsdException w:qFormat="1" w:unhideWhenUsed="0" w:uiPriority="99" w:semiHidden="0" w:name="Normal (Web)"/>
    <w:lsdException w:uiPriority="0" w:name="HTML Acronym"/>
    <w:lsdException w:qFormat="1" w:unhideWhenUsed="0" w:uiPriority="0" w:semiHidden="0" w:name="HTML Address"/>
    <w:lsdException w:uiPriority="0" w:name="HTML Cite"/>
    <w:lsdException w:uiPriority="0" w:name="HTML Code"/>
    <w:lsdException w:uiPriority="0" w:name="HTML Definition"/>
    <w:lsdException w:uiPriority="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iPriority="59" w:semiHidden="0" w:name="Table Grid"/>
    <w:lsdException w:uiPriority="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qFormat="1" w:unhideWhenUsed="0" w:uiPriority="0"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2"/>
    <w:qFormat/>
    <w:uiPriority w:val="0"/>
    <w:pPr>
      <w:keepNext/>
      <w:keepLines/>
      <w:spacing w:before="340" w:after="330" w:line="576" w:lineRule="auto"/>
      <w:outlineLvl w:val="0"/>
    </w:pPr>
    <w:rPr>
      <w:b/>
      <w:bCs/>
      <w:kern w:val="44"/>
      <w:sz w:val="44"/>
      <w:szCs w:val="44"/>
    </w:rPr>
  </w:style>
  <w:style w:type="paragraph" w:styleId="4">
    <w:name w:val="heading 2"/>
    <w:basedOn w:val="1"/>
    <w:next w:val="1"/>
    <w:link w:val="103"/>
    <w:qFormat/>
    <w:uiPriority w:val="0"/>
    <w:pPr>
      <w:keepNext/>
      <w:keepLines/>
      <w:spacing w:before="260" w:after="260" w:line="413" w:lineRule="auto"/>
      <w:outlineLvl w:val="1"/>
    </w:pPr>
    <w:rPr>
      <w:rFonts w:ascii="Cambria" w:hAnsi="Cambria"/>
      <w:b/>
      <w:bCs/>
      <w:sz w:val="32"/>
      <w:szCs w:val="32"/>
    </w:rPr>
  </w:style>
  <w:style w:type="paragraph" w:styleId="5">
    <w:name w:val="heading 3"/>
    <w:basedOn w:val="1"/>
    <w:next w:val="1"/>
    <w:link w:val="104"/>
    <w:qFormat/>
    <w:uiPriority w:val="0"/>
    <w:pPr>
      <w:keepNext/>
      <w:keepLines/>
      <w:spacing w:before="260" w:after="260" w:line="413" w:lineRule="auto"/>
      <w:outlineLvl w:val="2"/>
    </w:pPr>
    <w:rPr>
      <w:b/>
      <w:bCs/>
      <w:sz w:val="32"/>
      <w:szCs w:val="32"/>
    </w:rPr>
  </w:style>
  <w:style w:type="paragraph" w:styleId="6">
    <w:name w:val="heading 4"/>
    <w:basedOn w:val="1"/>
    <w:next w:val="1"/>
    <w:link w:val="105"/>
    <w:qFormat/>
    <w:uiPriority w:val="0"/>
    <w:pPr>
      <w:keepNext/>
      <w:keepLines/>
      <w:spacing w:before="280" w:after="290" w:line="372" w:lineRule="auto"/>
      <w:outlineLvl w:val="3"/>
    </w:pPr>
    <w:rPr>
      <w:rFonts w:ascii="Arial" w:hAnsi="Arial" w:eastAsia="黑体"/>
      <w:b/>
      <w:bCs/>
      <w:sz w:val="28"/>
      <w:szCs w:val="28"/>
    </w:rPr>
  </w:style>
  <w:style w:type="paragraph" w:styleId="7">
    <w:name w:val="heading 5"/>
    <w:basedOn w:val="1"/>
    <w:next w:val="1"/>
    <w:link w:val="106"/>
    <w:qFormat/>
    <w:uiPriority w:val="0"/>
    <w:pPr>
      <w:keepNext/>
      <w:keepLines/>
      <w:tabs>
        <w:tab w:val="left" w:pos="1008"/>
      </w:tabs>
      <w:spacing w:before="280" w:after="290" w:line="372" w:lineRule="auto"/>
      <w:ind w:left="1008" w:hanging="1008"/>
      <w:outlineLvl w:val="4"/>
    </w:pPr>
    <w:rPr>
      <w:b/>
      <w:bCs/>
      <w:sz w:val="28"/>
      <w:szCs w:val="28"/>
    </w:rPr>
  </w:style>
  <w:style w:type="paragraph" w:styleId="8">
    <w:name w:val="heading 6"/>
    <w:basedOn w:val="1"/>
    <w:next w:val="1"/>
    <w:link w:val="107"/>
    <w:qFormat/>
    <w:uiPriority w:val="0"/>
    <w:pPr>
      <w:keepNext/>
      <w:keepLines/>
      <w:tabs>
        <w:tab w:val="left" w:pos="1152"/>
      </w:tabs>
      <w:spacing w:before="240" w:after="64" w:line="317" w:lineRule="auto"/>
      <w:ind w:left="1152" w:hanging="1152"/>
      <w:outlineLvl w:val="5"/>
    </w:pPr>
    <w:rPr>
      <w:rFonts w:ascii="Arial" w:hAnsi="Arial" w:eastAsia="黑体"/>
      <w:b/>
      <w:bCs/>
      <w:sz w:val="24"/>
    </w:rPr>
  </w:style>
  <w:style w:type="paragraph" w:styleId="9">
    <w:name w:val="heading 7"/>
    <w:basedOn w:val="1"/>
    <w:next w:val="1"/>
    <w:link w:val="108"/>
    <w:qFormat/>
    <w:uiPriority w:val="0"/>
    <w:pPr>
      <w:keepNext/>
      <w:keepLines/>
      <w:tabs>
        <w:tab w:val="left" w:pos="1296"/>
      </w:tabs>
      <w:spacing w:before="240" w:after="64" w:line="317" w:lineRule="auto"/>
      <w:ind w:left="1296" w:hanging="1296"/>
      <w:outlineLvl w:val="6"/>
    </w:pPr>
    <w:rPr>
      <w:b/>
      <w:bCs/>
      <w:sz w:val="24"/>
    </w:rPr>
  </w:style>
  <w:style w:type="paragraph" w:styleId="10">
    <w:name w:val="heading 8"/>
    <w:basedOn w:val="1"/>
    <w:next w:val="1"/>
    <w:link w:val="109"/>
    <w:qFormat/>
    <w:uiPriority w:val="0"/>
    <w:pPr>
      <w:keepNext/>
      <w:keepLines/>
      <w:tabs>
        <w:tab w:val="left" w:pos="1440"/>
      </w:tabs>
      <w:spacing w:before="240" w:after="64" w:line="317" w:lineRule="auto"/>
      <w:ind w:left="1440" w:hanging="1440"/>
      <w:outlineLvl w:val="7"/>
    </w:pPr>
    <w:rPr>
      <w:rFonts w:ascii="Arial" w:hAnsi="Arial" w:eastAsia="黑体"/>
      <w:sz w:val="24"/>
    </w:rPr>
  </w:style>
  <w:style w:type="paragraph" w:styleId="11">
    <w:name w:val="heading 9"/>
    <w:basedOn w:val="1"/>
    <w:next w:val="1"/>
    <w:link w:val="110"/>
    <w:qFormat/>
    <w:uiPriority w:val="0"/>
    <w:pPr>
      <w:keepNext/>
      <w:keepLines/>
      <w:tabs>
        <w:tab w:val="left" w:pos="1584"/>
      </w:tabs>
      <w:spacing w:before="240" w:after="64" w:line="317" w:lineRule="auto"/>
      <w:ind w:left="1584" w:hanging="1584"/>
      <w:outlineLvl w:val="8"/>
    </w:pPr>
    <w:rPr>
      <w:rFonts w:ascii="Arial" w:hAnsi="Arial" w:eastAsia="黑体"/>
      <w:szCs w:val="21"/>
    </w:rPr>
  </w:style>
  <w:style w:type="character" w:default="1" w:styleId="90">
    <w:name w:val="Default Paragraph Font"/>
    <w:semiHidden/>
    <w:unhideWhenUsed/>
    <w:qFormat/>
    <w:uiPriority w:val="1"/>
  </w:style>
  <w:style w:type="table" w:default="1" w:styleId="87">
    <w:name w:val="Normal Table"/>
    <w:semiHidden/>
    <w:unhideWhenUsed/>
    <w:qFormat/>
    <w:uiPriority w:val="99"/>
    <w:tblPr>
      <w:tblLayout w:type="fixed"/>
      <w:tblCellMar>
        <w:top w:w="0" w:type="dxa"/>
        <w:left w:w="108" w:type="dxa"/>
        <w:bottom w:w="0" w:type="dxa"/>
        <w:right w:w="108" w:type="dxa"/>
      </w:tblCellMar>
    </w:tblPr>
  </w:style>
  <w:style w:type="paragraph" w:styleId="2">
    <w:name w:val="macro"/>
    <w:link w:val="451"/>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Times New Roman"/>
      <w:kern w:val="2"/>
      <w:sz w:val="24"/>
      <w:lang w:val="en-US" w:eastAsia="zh-CN" w:bidi="ar-SA"/>
    </w:rPr>
  </w:style>
  <w:style w:type="paragraph" w:styleId="12">
    <w:name w:val="List 3"/>
    <w:basedOn w:val="1"/>
    <w:qFormat/>
    <w:uiPriority w:val="0"/>
    <w:pPr>
      <w:ind w:left="1260" w:hanging="420"/>
    </w:pPr>
    <w:rPr>
      <w:szCs w:val="20"/>
    </w:rPr>
  </w:style>
  <w:style w:type="paragraph" w:styleId="13">
    <w:name w:val="toc 7"/>
    <w:basedOn w:val="1"/>
    <w:next w:val="1"/>
    <w:qFormat/>
    <w:uiPriority w:val="39"/>
    <w:pPr>
      <w:ind w:left="1260"/>
    </w:pPr>
    <w:rPr>
      <w:rFonts w:ascii="Calibri" w:hAnsi="Calibri"/>
      <w:sz w:val="18"/>
      <w:szCs w:val="20"/>
    </w:rPr>
  </w:style>
  <w:style w:type="paragraph" w:styleId="14">
    <w:name w:val="List Number 2"/>
    <w:basedOn w:val="1"/>
    <w:qFormat/>
    <w:uiPriority w:val="0"/>
    <w:pPr>
      <w:tabs>
        <w:tab w:val="left" w:pos="1440"/>
      </w:tabs>
      <w:spacing w:line="360" w:lineRule="auto"/>
      <w:ind w:left="1440" w:hanging="1440"/>
    </w:pPr>
    <w:rPr>
      <w:sz w:val="24"/>
    </w:rPr>
  </w:style>
  <w:style w:type="paragraph" w:styleId="15">
    <w:name w:val="table of authorities"/>
    <w:basedOn w:val="1"/>
    <w:next w:val="1"/>
    <w:qFormat/>
    <w:uiPriority w:val="0"/>
    <w:pPr>
      <w:ind w:left="420" w:leftChars="200"/>
    </w:pPr>
    <w:rPr>
      <w:rFonts w:ascii="Verdana" w:hAnsi="Verdana"/>
      <w:szCs w:val="20"/>
    </w:rPr>
  </w:style>
  <w:style w:type="paragraph" w:styleId="16">
    <w:name w:val="Note Heading"/>
    <w:basedOn w:val="1"/>
    <w:next w:val="1"/>
    <w:link w:val="454"/>
    <w:qFormat/>
    <w:uiPriority w:val="0"/>
    <w:rPr>
      <w:rFonts w:ascii="Verdana" w:hAnsi="Verdana"/>
      <w:szCs w:val="20"/>
    </w:rPr>
  </w:style>
  <w:style w:type="paragraph" w:styleId="17">
    <w:name w:val="List Bullet 4"/>
    <w:basedOn w:val="1"/>
    <w:qFormat/>
    <w:uiPriority w:val="0"/>
    <w:pPr>
      <w:numPr>
        <w:ilvl w:val="0"/>
        <w:numId w:val="1"/>
      </w:numPr>
    </w:pPr>
    <w:rPr>
      <w:rFonts w:ascii="Verdana" w:hAnsi="Verdana"/>
      <w:szCs w:val="20"/>
    </w:rPr>
  </w:style>
  <w:style w:type="paragraph" w:styleId="18">
    <w:name w:val="index 8"/>
    <w:basedOn w:val="1"/>
    <w:next w:val="1"/>
    <w:qFormat/>
    <w:uiPriority w:val="0"/>
    <w:pPr>
      <w:ind w:left="1400" w:leftChars="1400"/>
    </w:pPr>
    <w:rPr>
      <w:rFonts w:ascii="Verdana" w:hAnsi="Verdana"/>
      <w:szCs w:val="20"/>
    </w:rPr>
  </w:style>
  <w:style w:type="paragraph" w:styleId="19">
    <w:name w:val="E-mail Signature"/>
    <w:basedOn w:val="1"/>
    <w:link w:val="447"/>
    <w:qFormat/>
    <w:uiPriority w:val="0"/>
    <w:rPr>
      <w:rFonts w:ascii="Verdana" w:hAnsi="Verdana"/>
      <w:szCs w:val="20"/>
    </w:rPr>
  </w:style>
  <w:style w:type="paragraph" w:styleId="20">
    <w:name w:val="List Number"/>
    <w:basedOn w:val="1"/>
    <w:qFormat/>
    <w:uiPriority w:val="0"/>
    <w:pPr>
      <w:tabs>
        <w:tab w:val="left" w:pos="2952"/>
      </w:tabs>
      <w:ind w:left="2952" w:hanging="432"/>
    </w:pPr>
  </w:style>
  <w:style w:type="paragraph" w:styleId="21">
    <w:name w:val="Normal Indent"/>
    <w:basedOn w:val="1"/>
    <w:link w:val="114"/>
    <w:qFormat/>
    <w:uiPriority w:val="0"/>
    <w:pPr>
      <w:ind w:firstLine="420"/>
    </w:pPr>
    <w:rPr>
      <w:szCs w:val="20"/>
    </w:rPr>
  </w:style>
  <w:style w:type="paragraph" w:styleId="22">
    <w:name w:val="caption"/>
    <w:basedOn w:val="1"/>
    <w:next w:val="1"/>
    <w:qFormat/>
    <w:uiPriority w:val="0"/>
    <w:rPr>
      <w:rFonts w:ascii="Arial" w:hAnsi="Arial" w:eastAsia="黑体" w:cs="Arial"/>
      <w:sz w:val="20"/>
      <w:szCs w:val="20"/>
    </w:rPr>
  </w:style>
  <w:style w:type="paragraph" w:styleId="23">
    <w:name w:val="index 5"/>
    <w:basedOn w:val="1"/>
    <w:next w:val="1"/>
    <w:qFormat/>
    <w:uiPriority w:val="0"/>
    <w:pPr>
      <w:ind w:left="800" w:leftChars="800"/>
    </w:pPr>
    <w:rPr>
      <w:rFonts w:ascii="Verdana" w:hAnsi="Verdana"/>
      <w:szCs w:val="20"/>
    </w:rPr>
  </w:style>
  <w:style w:type="paragraph" w:styleId="24">
    <w:name w:val="List Bullet"/>
    <w:basedOn w:val="1"/>
    <w:qFormat/>
    <w:uiPriority w:val="0"/>
    <w:pPr>
      <w:numPr>
        <w:ilvl w:val="0"/>
        <w:numId w:val="2"/>
      </w:numPr>
    </w:pPr>
    <w:rPr>
      <w:rFonts w:ascii="Verdana" w:hAnsi="Verdana"/>
      <w:szCs w:val="20"/>
    </w:rPr>
  </w:style>
  <w:style w:type="paragraph" w:styleId="25">
    <w:name w:val="envelope address"/>
    <w:basedOn w:val="1"/>
    <w:qFormat/>
    <w:uiPriority w:val="0"/>
    <w:pPr>
      <w:snapToGrid w:val="0"/>
      <w:ind w:left="100" w:leftChars="1400"/>
    </w:pPr>
    <w:rPr>
      <w:rFonts w:ascii="Arial" w:hAnsi="Arial"/>
      <w:sz w:val="24"/>
      <w:szCs w:val="20"/>
    </w:rPr>
  </w:style>
  <w:style w:type="paragraph" w:styleId="26">
    <w:name w:val="Document Map"/>
    <w:basedOn w:val="1"/>
    <w:link w:val="148"/>
    <w:qFormat/>
    <w:uiPriority w:val="0"/>
    <w:pPr>
      <w:shd w:val="clear" w:color="auto" w:fill="000080"/>
    </w:pPr>
  </w:style>
  <w:style w:type="paragraph" w:styleId="27">
    <w:name w:val="toa heading"/>
    <w:basedOn w:val="1"/>
    <w:next w:val="1"/>
    <w:qFormat/>
    <w:uiPriority w:val="0"/>
    <w:pPr>
      <w:spacing w:before="120"/>
    </w:pPr>
    <w:rPr>
      <w:rFonts w:ascii="Arial" w:hAnsi="Arial"/>
      <w:sz w:val="24"/>
      <w:szCs w:val="20"/>
    </w:rPr>
  </w:style>
  <w:style w:type="paragraph" w:styleId="28">
    <w:name w:val="annotation text"/>
    <w:basedOn w:val="1"/>
    <w:link w:val="154"/>
    <w:qFormat/>
    <w:uiPriority w:val="0"/>
    <w:pPr>
      <w:jc w:val="left"/>
    </w:pPr>
  </w:style>
  <w:style w:type="paragraph" w:styleId="29">
    <w:name w:val="index 6"/>
    <w:basedOn w:val="1"/>
    <w:next w:val="1"/>
    <w:qFormat/>
    <w:uiPriority w:val="0"/>
    <w:pPr>
      <w:ind w:left="1000" w:leftChars="1000"/>
    </w:pPr>
    <w:rPr>
      <w:rFonts w:ascii="Verdana" w:hAnsi="Verdana"/>
      <w:szCs w:val="20"/>
    </w:rPr>
  </w:style>
  <w:style w:type="paragraph" w:styleId="30">
    <w:name w:val="Salutation"/>
    <w:basedOn w:val="1"/>
    <w:next w:val="1"/>
    <w:link w:val="155"/>
    <w:qFormat/>
    <w:uiPriority w:val="0"/>
    <w:rPr>
      <w:rFonts w:ascii="仿宋_GB2312" w:eastAsia="仿宋_GB2312"/>
      <w:sz w:val="28"/>
      <w:szCs w:val="20"/>
    </w:rPr>
  </w:style>
  <w:style w:type="paragraph" w:styleId="31">
    <w:name w:val="Body Text 3"/>
    <w:basedOn w:val="1"/>
    <w:link w:val="159"/>
    <w:qFormat/>
    <w:uiPriority w:val="0"/>
    <w:pPr>
      <w:spacing w:after="120"/>
    </w:pPr>
    <w:rPr>
      <w:sz w:val="16"/>
      <w:szCs w:val="16"/>
    </w:rPr>
  </w:style>
  <w:style w:type="paragraph" w:styleId="32">
    <w:name w:val="Closing"/>
    <w:basedOn w:val="1"/>
    <w:link w:val="441"/>
    <w:qFormat/>
    <w:uiPriority w:val="0"/>
    <w:pPr>
      <w:ind w:left="100" w:leftChars="2100"/>
    </w:pPr>
    <w:rPr>
      <w:rFonts w:ascii="Verdana" w:hAnsi="Verdana"/>
      <w:szCs w:val="20"/>
    </w:rPr>
  </w:style>
  <w:style w:type="paragraph" w:styleId="33">
    <w:name w:val="List Bullet 3"/>
    <w:basedOn w:val="1"/>
    <w:qFormat/>
    <w:uiPriority w:val="0"/>
    <w:pPr>
      <w:numPr>
        <w:ilvl w:val="0"/>
        <w:numId w:val="3"/>
      </w:numPr>
    </w:pPr>
    <w:rPr>
      <w:rFonts w:ascii="Verdana" w:hAnsi="Verdana"/>
      <w:szCs w:val="20"/>
    </w:rPr>
  </w:style>
  <w:style w:type="paragraph" w:styleId="34">
    <w:name w:val="Body Text"/>
    <w:basedOn w:val="1"/>
    <w:link w:val="144"/>
    <w:qFormat/>
    <w:uiPriority w:val="0"/>
    <w:pPr>
      <w:spacing w:after="120"/>
    </w:pPr>
  </w:style>
  <w:style w:type="paragraph" w:styleId="35">
    <w:name w:val="Body Text Indent"/>
    <w:basedOn w:val="1"/>
    <w:link w:val="146"/>
    <w:qFormat/>
    <w:uiPriority w:val="0"/>
    <w:pPr>
      <w:spacing w:after="120"/>
      <w:ind w:left="420" w:leftChars="200"/>
    </w:pPr>
  </w:style>
  <w:style w:type="paragraph" w:styleId="36">
    <w:name w:val="List Number 3"/>
    <w:basedOn w:val="1"/>
    <w:qFormat/>
    <w:uiPriority w:val="0"/>
    <w:pPr>
      <w:numPr>
        <w:ilvl w:val="0"/>
        <w:numId w:val="4"/>
      </w:numPr>
    </w:pPr>
    <w:rPr>
      <w:rFonts w:ascii="Verdana" w:hAnsi="Verdana"/>
      <w:szCs w:val="20"/>
    </w:rPr>
  </w:style>
  <w:style w:type="paragraph" w:styleId="37">
    <w:name w:val="List 2"/>
    <w:basedOn w:val="1"/>
    <w:qFormat/>
    <w:uiPriority w:val="0"/>
    <w:pPr>
      <w:ind w:left="100" w:leftChars="200" w:hanging="200" w:hangingChars="200"/>
    </w:pPr>
    <w:rPr>
      <w:rFonts w:ascii="Verdana" w:hAnsi="Verdana"/>
      <w:szCs w:val="20"/>
    </w:rPr>
  </w:style>
  <w:style w:type="paragraph" w:styleId="38">
    <w:name w:val="List Continue"/>
    <w:basedOn w:val="1"/>
    <w:qFormat/>
    <w:uiPriority w:val="0"/>
    <w:pPr>
      <w:spacing w:after="120"/>
      <w:ind w:left="420" w:leftChars="200"/>
    </w:pPr>
    <w:rPr>
      <w:rFonts w:ascii="Verdana" w:hAnsi="Verdana"/>
      <w:szCs w:val="20"/>
    </w:rPr>
  </w:style>
  <w:style w:type="paragraph" w:styleId="39">
    <w:name w:val="Block Text"/>
    <w:basedOn w:val="1"/>
    <w:qFormat/>
    <w:uiPriority w:val="0"/>
    <w:pPr>
      <w:spacing w:after="120"/>
      <w:ind w:left="1440" w:leftChars="700" w:right="700" w:rightChars="700"/>
    </w:pPr>
    <w:rPr>
      <w:rFonts w:ascii="Verdana" w:hAnsi="Verdana"/>
      <w:szCs w:val="20"/>
    </w:rPr>
  </w:style>
  <w:style w:type="paragraph" w:styleId="40">
    <w:name w:val="List Bullet 2"/>
    <w:basedOn w:val="1"/>
    <w:qFormat/>
    <w:uiPriority w:val="0"/>
    <w:pPr>
      <w:numPr>
        <w:ilvl w:val="0"/>
        <w:numId w:val="5"/>
      </w:numPr>
    </w:pPr>
    <w:rPr>
      <w:rFonts w:ascii="Verdana" w:hAnsi="Verdana"/>
      <w:szCs w:val="20"/>
    </w:rPr>
  </w:style>
  <w:style w:type="paragraph" w:styleId="41">
    <w:name w:val="HTML Address"/>
    <w:basedOn w:val="1"/>
    <w:link w:val="446"/>
    <w:qFormat/>
    <w:uiPriority w:val="0"/>
    <w:rPr>
      <w:rFonts w:ascii="Verdana" w:hAnsi="Verdana"/>
      <w:i/>
      <w:szCs w:val="20"/>
    </w:rPr>
  </w:style>
  <w:style w:type="paragraph" w:styleId="42">
    <w:name w:val="index 4"/>
    <w:basedOn w:val="1"/>
    <w:next w:val="1"/>
    <w:qFormat/>
    <w:uiPriority w:val="0"/>
    <w:pPr>
      <w:ind w:left="600" w:leftChars="600"/>
    </w:pPr>
    <w:rPr>
      <w:rFonts w:ascii="Verdana" w:hAnsi="Verdana"/>
      <w:szCs w:val="20"/>
    </w:rPr>
  </w:style>
  <w:style w:type="paragraph" w:styleId="43">
    <w:name w:val="toc 5"/>
    <w:basedOn w:val="1"/>
    <w:next w:val="1"/>
    <w:qFormat/>
    <w:uiPriority w:val="39"/>
    <w:pPr>
      <w:ind w:left="840"/>
    </w:pPr>
    <w:rPr>
      <w:rFonts w:ascii="Calibri" w:hAnsi="Calibri"/>
      <w:sz w:val="18"/>
      <w:szCs w:val="20"/>
    </w:rPr>
  </w:style>
  <w:style w:type="paragraph" w:styleId="44">
    <w:name w:val="toc 3"/>
    <w:basedOn w:val="1"/>
    <w:next w:val="1"/>
    <w:qFormat/>
    <w:uiPriority w:val="39"/>
    <w:pPr>
      <w:ind w:left="840" w:leftChars="400"/>
    </w:pPr>
  </w:style>
  <w:style w:type="paragraph" w:styleId="45">
    <w:name w:val="Plain Text"/>
    <w:basedOn w:val="1"/>
    <w:link w:val="160"/>
    <w:qFormat/>
    <w:uiPriority w:val="99"/>
    <w:rPr>
      <w:rFonts w:ascii="宋体" w:hAnsi="Courier New"/>
      <w:szCs w:val="21"/>
    </w:rPr>
  </w:style>
  <w:style w:type="paragraph" w:styleId="46">
    <w:name w:val="List Bullet 5"/>
    <w:basedOn w:val="1"/>
    <w:qFormat/>
    <w:uiPriority w:val="0"/>
    <w:pPr>
      <w:numPr>
        <w:ilvl w:val="0"/>
        <w:numId w:val="6"/>
      </w:numPr>
    </w:pPr>
    <w:rPr>
      <w:rFonts w:ascii="Verdana" w:hAnsi="Verdana"/>
      <w:szCs w:val="20"/>
    </w:rPr>
  </w:style>
  <w:style w:type="paragraph" w:styleId="47">
    <w:name w:val="List Number 4"/>
    <w:basedOn w:val="1"/>
    <w:qFormat/>
    <w:uiPriority w:val="0"/>
    <w:pPr>
      <w:numPr>
        <w:ilvl w:val="0"/>
        <w:numId w:val="7"/>
      </w:numPr>
    </w:pPr>
    <w:rPr>
      <w:rFonts w:ascii="Verdana" w:hAnsi="Verdana"/>
      <w:szCs w:val="20"/>
    </w:rPr>
  </w:style>
  <w:style w:type="paragraph" w:styleId="48">
    <w:name w:val="toc 8"/>
    <w:basedOn w:val="1"/>
    <w:next w:val="1"/>
    <w:qFormat/>
    <w:uiPriority w:val="39"/>
    <w:pPr>
      <w:ind w:left="1470"/>
    </w:pPr>
    <w:rPr>
      <w:rFonts w:ascii="Calibri" w:hAnsi="Calibri"/>
      <w:sz w:val="18"/>
      <w:szCs w:val="20"/>
    </w:rPr>
  </w:style>
  <w:style w:type="paragraph" w:styleId="49">
    <w:name w:val="index 3"/>
    <w:basedOn w:val="1"/>
    <w:next w:val="1"/>
    <w:qFormat/>
    <w:uiPriority w:val="0"/>
    <w:pPr>
      <w:ind w:left="840"/>
    </w:pPr>
    <w:rPr>
      <w:szCs w:val="20"/>
    </w:rPr>
  </w:style>
  <w:style w:type="paragraph" w:styleId="50">
    <w:name w:val="Date"/>
    <w:basedOn w:val="1"/>
    <w:next w:val="1"/>
    <w:link w:val="149"/>
    <w:qFormat/>
    <w:uiPriority w:val="0"/>
    <w:pPr>
      <w:ind w:left="100" w:leftChars="2500"/>
    </w:pPr>
    <w:rPr>
      <w:sz w:val="28"/>
      <w:szCs w:val="20"/>
    </w:rPr>
  </w:style>
  <w:style w:type="paragraph" w:styleId="51">
    <w:name w:val="Body Text Indent 2"/>
    <w:basedOn w:val="1"/>
    <w:link w:val="153"/>
    <w:qFormat/>
    <w:uiPriority w:val="0"/>
    <w:pPr>
      <w:spacing w:line="400" w:lineRule="exact"/>
      <w:ind w:firstLine="480"/>
    </w:pPr>
    <w:rPr>
      <w:rFonts w:ascii="宋体" w:hAnsi="宋体"/>
      <w:sz w:val="24"/>
    </w:rPr>
  </w:style>
  <w:style w:type="paragraph" w:styleId="52">
    <w:name w:val="endnote text"/>
    <w:basedOn w:val="1"/>
    <w:link w:val="356"/>
    <w:qFormat/>
    <w:uiPriority w:val="0"/>
    <w:pPr>
      <w:snapToGrid w:val="0"/>
      <w:jc w:val="left"/>
    </w:pPr>
    <w:rPr>
      <w:kern w:val="0"/>
      <w:sz w:val="20"/>
    </w:rPr>
  </w:style>
  <w:style w:type="paragraph" w:styleId="53">
    <w:name w:val="List Continue 5"/>
    <w:basedOn w:val="1"/>
    <w:qFormat/>
    <w:uiPriority w:val="0"/>
    <w:pPr>
      <w:spacing w:after="120"/>
      <w:ind w:left="2100" w:leftChars="1000"/>
    </w:pPr>
    <w:rPr>
      <w:rFonts w:ascii="Verdana" w:hAnsi="Verdana"/>
      <w:szCs w:val="20"/>
    </w:rPr>
  </w:style>
  <w:style w:type="paragraph" w:styleId="54">
    <w:name w:val="Balloon Text"/>
    <w:basedOn w:val="1"/>
    <w:link w:val="158"/>
    <w:qFormat/>
    <w:uiPriority w:val="0"/>
    <w:rPr>
      <w:sz w:val="18"/>
      <w:szCs w:val="18"/>
    </w:rPr>
  </w:style>
  <w:style w:type="paragraph" w:styleId="55">
    <w:name w:val="footer"/>
    <w:basedOn w:val="1"/>
    <w:link w:val="113"/>
    <w:qFormat/>
    <w:uiPriority w:val="99"/>
    <w:pPr>
      <w:tabs>
        <w:tab w:val="center" w:pos="4153"/>
        <w:tab w:val="right" w:pos="8306"/>
      </w:tabs>
      <w:snapToGrid w:val="0"/>
      <w:jc w:val="left"/>
    </w:pPr>
    <w:rPr>
      <w:sz w:val="18"/>
      <w:szCs w:val="18"/>
    </w:rPr>
  </w:style>
  <w:style w:type="paragraph" w:styleId="56">
    <w:name w:val="envelope return"/>
    <w:basedOn w:val="1"/>
    <w:qFormat/>
    <w:uiPriority w:val="0"/>
    <w:pPr>
      <w:snapToGrid w:val="0"/>
    </w:pPr>
    <w:rPr>
      <w:rFonts w:ascii="Arial" w:hAnsi="Arial"/>
      <w:szCs w:val="20"/>
    </w:rPr>
  </w:style>
  <w:style w:type="paragraph" w:styleId="57">
    <w:name w:val="header"/>
    <w:basedOn w:val="1"/>
    <w:link w:val="112"/>
    <w:qFormat/>
    <w:uiPriority w:val="0"/>
    <w:pPr>
      <w:tabs>
        <w:tab w:val="center" w:pos="4153"/>
        <w:tab w:val="right" w:pos="8306"/>
      </w:tabs>
      <w:snapToGrid w:val="0"/>
      <w:jc w:val="center"/>
    </w:pPr>
    <w:rPr>
      <w:sz w:val="18"/>
      <w:szCs w:val="18"/>
    </w:rPr>
  </w:style>
  <w:style w:type="paragraph" w:styleId="58">
    <w:name w:val="Signature"/>
    <w:basedOn w:val="1"/>
    <w:link w:val="152"/>
    <w:qFormat/>
    <w:uiPriority w:val="0"/>
    <w:pPr>
      <w:adjustRightInd w:val="0"/>
      <w:spacing w:after="600" w:line="312" w:lineRule="atLeast"/>
      <w:jc w:val="center"/>
      <w:textAlignment w:val="baseline"/>
    </w:pPr>
    <w:rPr>
      <w:rFonts w:eastAsia="仿宋_GB2312"/>
      <w:kern w:val="0"/>
      <w:sz w:val="24"/>
      <w:szCs w:val="20"/>
    </w:rPr>
  </w:style>
  <w:style w:type="paragraph" w:styleId="59">
    <w:name w:val="toc 1"/>
    <w:basedOn w:val="1"/>
    <w:next w:val="1"/>
    <w:qFormat/>
    <w:uiPriority w:val="39"/>
  </w:style>
  <w:style w:type="paragraph" w:styleId="60">
    <w:name w:val="List Continue 4"/>
    <w:basedOn w:val="1"/>
    <w:qFormat/>
    <w:uiPriority w:val="0"/>
    <w:pPr>
      <w:spacing w:after="120"/>
      <w:ind w:left="1680" w:leftChars="800"/>
    </w:pPr>
    <w:rPr>
      <w:rFonts w:ascii="Verdana" w:hAnsi="Verdana"/>
      <w:szCs w:val="20"/>
    </w:rPr>
  </w:style>
  <w:style w:type="paragraph" w:styleId="61">
    <w:name w:val="toc 4"/>
    <w:basedOn w:val="1"/>
    <w:next w:val="1"/>
    <w:qFormat/>
    <w:uiPriority w:val="39"/>
    <w:pPr>
      <w:ind w:left="630"/>
    </w:pPr>
    <w:rPr>
      <w:rFonts w:ascii="Calibri" w:hAnsi="Calibri"/>
      <w:sz w:val="18"/>
      <w:szCs w:val="20"/>
    </w:rPr>
  </w:style>
  <w:style w:type="paragraph" w:styleId="62">
    <w:name w:val="index heading"/>
    <w:basedOn w:val="1"/>
    <w:next w:val="63"/>
    <w:qFormat/>
    <w:uiPriority w:val="0"/>
    <w:rPr>
      <w:szCs w:val="20"/>
    </w:rPr>
  </w:style>
  <w:style w:type="paragraph" w:styleId="63">
    <w:name w:val="index 1"/>
    <w:basedOn w:val="1"/>
    <w:next w:val="1"/>
    <w:qFormat/>
    <w:uiPriority w:val="0"/>
    <w:pPr>
      <w:tabs>
        <w:tab w:val="left" w:pos="1260"/>
      </w:tabs>
      <w:jc w:val="center"/>
    </w:pPr>
    <w:rPr>
      <w:rFonts w:ascii="仿宋_GB2312" w:hAnsi="宋体" w:eastAsia="仿宋_GB2312"/>
      <w:sz w:val="30"/>
      <w:szCs w:val="20"/>
    </w:rPr>
  </w:style>
  <w:style w:type="paragraph" w:styleId="64">
    <w:name w:val="Subtitle"/>
    <w:basedOn w:val="1"/>
    <w:next w:val="1"/>
    <w:link w:val="322"/>
    <w:qFormat/>
    <w:uiPriority w:val="0"/>
    <w:pPr>
      <w:widowControl/>
      <w:spacing w:after="600" w:line="276" w:lineRule="auto"/>
      <w:jc w:val="left"/>
    </w:pPr>
    <w:rPr>
      <w:rFonts w:ascii="Cambria" w:hAnsi="Cambria"/>
      <w:i/>
      <w:iCs/>
      <w:spacing w:val="13"/>
      <w:kern w:val="0"/>
      <w:sz w:val="24"/>
      <w:lang w:eastAsia="en-US" w:bidi="en-US"/>
    </w:rPr>
  </w:style>
  <w:style w:type="paragraph" w:styleId="65">
    <w:name w:val="List Number 5"/>
    <w:basedOn w:val="1"/>
    <w:qFormat/>
    <w:uiPriority w:val="0"/>
    <w:pPr>
      <w:numPr>
        <w:ilvl w:val="0"/>
        <w:numId w:val="8"/>
      </w:numPr>
    </w:pPr>
    <w:rPr>
      <w:rFonts w:ascii="Verdana" w:hAnsi="Verdana"/>
      <w:szCs w:val="20"/>
    </w:rPr>
  </w:style>
  <w:style w:type="paragraph" w:styleId="66">
    <w:name w:val="List"/>
    <w:basedOn w:val="1"/>
    <w:qFormat/>
    <w:uiPriority w:val="0"/>
    <w:pPr>
      <w:ind w:left="200" w:hanging="200" w:hangingChars="200"/>
    </w:pPr>
    <w:rPr>
      <w:rFonts w:ascii="Verdana" w:hAnsi="Verdana"/>
      <w:szCs w:val="20"/>
    </w:rPr>
  </w:style>
  <w:style w:type="paragraph" w:styleId="67">
    <w:name w:val="footnote text"/>
    <w:basedOn w:val="1"/>
    <w:link w:val="274"/>
    <w:qFormat/>
    <w:uiPriority w:val="0"/>
    <w:pPr>
      <w:snapToGrid w:val="0"/>
      <w:jc w:val="left"/>
    </w:pPr>
    <w:rPr>
      <w:sz w:val="18"/>
      <w:szCs w:val="18"/>
    </w:rPr>
  </w:style>
  <w:style w:type="paragraph" w:styleId="68">
    <w:name w:val="toc 6"/>
    <w:basedOn w:val="1"/>
    <w:next w:val="1"/>
    <w:qFormat/>
    <w:uiPriority w:val="39"/>
    <w:pPr>
      <w:ind w:left="1050"/>
    </w:pPr>
    <w:rPr>
      <w:rFonts w:ascii="Calibri" w:hAnsi="Calibri"/>
      <w:sz w:val="18"/>
      <w:szCs w:val="20"/>
    </w:rPr>
  </w:style>
  <w:style w:type="paragraph" w:styleId="69">
    <w:name w:val="List 5"/>
    <w:basedOn w:val="1"/>
    <w:qFormat/>
    <w:uiPriority w:val="0"/>
    <w:pPr>
      <w:ind w:left="100" w:leftChars="800" w:hanging="200" w:hangingChars="200"/>
    </w:pPr>
    <w:rPr>
      <w:rFonts w:ascii="Verdana" w:hAnsi="Verdana"/>
      <w:szCs w:val="20"/>
    </w:rPr>
  </w:style>
  <w:style w:type="paragraph" w:styleId="70">
    <w:name w:val="Body Text Indent 3"/>
    <w:basedOn w:val="1"/>
    <w:link w:val="147"/>
    <w:qFormat/>
    <w:uiPriority w:val="0"/>
    <w:pPr>
      <w:spacing w:before="120" w:after="120" w:line="264" w:lineRule="auto"/>
      <w:ind w:left="480"/>
    </w:pPr>
    <w:rPr>
      <w:b/>
      <w:bCs/>
      <w:sz w:val="24"/>
      <w:szCs w:val="20"/>
    </w:rPr>
  </w:style>
  <w:style w:type="paragraph" w:styleId="71">
    <w:name w:val="index 7"/>
    <w:basedOn w:val="1"/>
    <w:next w:val="1"/>
    <w:qFormat/>
    <w:uiPriority w:val="0"/>
    <w:pPr>
      <w:ind w:left="1200" w:leftChars="1200"/>
    </w:pPr>
    <w:rPr>
      <w:rFonts w:ascii="Verdana" w:hAnsi="Verdana"/>
      <w:szCs w:val="20"/>
    </w:rPr>
  </w:style>
  <w:style w:type="paragraph" w:styleId="72">
    <w:name w:val="index 9"/>
    <w:basedOn w:val="1"/>
    <w:next w:val="1"/>
    <w:qFormat/>
    <w:uiPriority w:val="0"/>
    <w:pPr>
      <w:ind w:left="1600" w:leftChars="1600"/>
    </w:pPr>
    <w:rPr>
      <w:rFonts w:ascii="Verdana" w:hAnsi="Verdana"/>
      <w:szCs w:val="20"/>
    </w:rPr>
  </w:style>
  <w:style w:type="paragraph" w:styleId="73">
    <w:name w:val="table of figures"/>
    <w:basedOn w:val="1"/>
    <w:next w:val="1"/>
    <w:qFormat/>
    <w:uiPriority w:val="0"/>
    <w:pPr>
      <w:ind w:left="200" w:leftChars="200" w:hanging="200" w:hangingChars="200"/>
    </w:pPr>
    <w:rPr>
      <w:rFonts w:ascii="Verdana" w:hAnsi="Verdana"/>
      <w:szCs w:val="20"/>
    </w:rPr>
  </w:style>
  <w:style w:type="paragraph" w:styleId="74">
    <w:name w:val="toc 2"/>
    <w:basedOn w:val="1"/>
    <w:next w:val="1"/>
    <w:qFormat/>
    <w:uiPriority w:val="39"/>
    <w:pPr>
      <w:ind w:left="420" w:leftChars="200"/>
    </w:pPr>
  </w:style>
  <w:style w:type="paragraph" w:styleId="75">
    <w:name w:val="toc 9"/>
    <w:basedOn w:val="1"/>
    <w:next w:val="1"/>
    <w:qFormat/>
    <w:uiPriority w:val="39"/>
    <w:pPr>
      <w:ind w:left="1680"/>
    </w:pPr>
    <w:rPr>
      <w:rFonts w:ascii="Calibri" w:hAnsi="Calibri"/>
      <w:sz w:val="18"/>
      <w:szCs w:val="20"/>
    </w:rPr>
  </w:style>
  <w:style w:type="paragraph" w:styleId="76">
    <w:name w:val="Body Text 2"/>
    <w:basedOn w:val="1"/>
    <w:link w:val="151"/>
    <w:qFormat/>
    <w:uiPriority w:val="0"/>
    <w:pPr>
      <w:jc w:val="center"/>
    </w:pPr>
    <w:rPr>
      <w:b/>
      <w:bCs/>
      <w:sz w:val="72"/>
      <w:szCs w:val="20"/>
    </w:rPr>
  </w:style>
  <w:style w:type="paragraph" w:styleId="77">
    <w:name w:val="List 4"/>
    <w:basedOn w:val="1"/>
    <w:qFormat/>
    <w:uiPriority w:val="0"/>
    <w:pPr>
      <w:ind w:left="100" w:leftChars="600" w:hanging="200" w:hangingChars="200"/>
    </w:pPr>
    <w:rPr>
      <w:rFonts w:ascii="Verdana" w:hAnsi="Verdana"/>
      <w:szCs w:val="20"/>
    </w:rPr>
  </w:style>
  <w:style w:type="paragraph" w:styleId="78">
    <w:name w:val="List Continue 2"/>
    <w:basedOn w:val="1"/>
    <w:qFormat/>
    <w:uiPriority w:val="0"/>
    <w:pPr>
      <w:spacing w:after="120"/>
      <w:ind w:left="840" w:leftChars="400"/>
    </w:pPr>
    <w:rPr>
      <w:rFonts w:ascii="Verdana" w:hAnsi="Verdana"/>
      <w:szCs w:val="20"/>
    </w:rPr>
  </w:style>
  <w:style w:type="paragraph" w:styleId="79">
    <w:name w:val="HTML Preformatted"/>
    <w:basedOn w:val="1"/>
    <w:link w:val="15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80">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81">
    <w:name w:val="List Continue 3"/>
    <w:basedOn w:val="1"/>
    <w:qFormat/>
    <w:uiPriority w:val="0"/>
    <w:pPr>
      <w:spacing w:after="120"/>
      <w:ind w:left="1260" w:leftChars="600"/>
    </w:pPr>
    <w:rPr>
      <w:rFonts w:ascii="Verdana" w:hAnsi="Verdana"/>
      <w:szCs w:val="20"/>
    </w:rPr>
  </w:style>
  <w:style w:type="paragraph" w:styleId="82">
    <w:name w:val="index 2"/>
    <w:basedOn w:val="1"/>
    <w:next w:val="1"/>
    <w:qFormat/>
    <w:uiPriority w:val="0"/>
    <w:pPr>
      <w:spacing w:afterLines="50"/>
      <w:ind w:left="420"/>
      <w:jc w:val="center"/>
    </w:pPr>
    <w:rPr>
      <w:rFonts w:ascii="宋体" w:hAnsi="宋体"/>
      <w:b/>
      <w:sz w:val="32"/>
      <w:szCs w:val="20"/>
    </w:rPr>
  </w:style>
  <w:style w:type="paragraph" w:styleId="83">
    <w:name w:val="Title"/>
    <w:basedOn w:val="1"/>
    <w:link w:val="150"/>
    <w:qFormat/>
    <w:uiPriority w:val="0"/>
    <w:pPr>
      <w:widowControl/>
      <w:overflowPunct w:val="0"/>
      <w:autoSpaceDE w:val="0"/>
      <w:autoSpaceDN w:val="0"/>
      <w:adjustRightInd w:val="0"/>
      <w:spacing w:line="420" w:lineRule="exact"/>
      <w:jc w:val="center"/>
      <w:textAlignment w:val="baseline"/>
    </w:pPr>
    <w:rPr>
      <w:rFonts w:eastAsia="黑体"/>
      <w:b/>
      <w:kern w:val="0"/>
      <w:sz w:val="28"/>
      <w:szCs w:val="20"/>
      <w:lang w:val="en-GB"/>
    </w:rPr>
  </w:style>
  <w:style w:type="paragraph" w:styleId="84">
    <w:name w:val="annotation subject"/>
    <w:basedOn w:val="28"/>
    <w:next w:val="28"/>
    <w:link w:val="156"/>
    <w:qFormat/>
    <w:uiPriority w:val="0"/>
    <w:rPr>
      <w:b/>
      <w:bCs/>
    </w:rPr>
  </w:style>
  <w:style w:type="paragraph" w:styleId="85">
    <w:name w:val="Body Text First Indent"/>
    <w:basedOn w:val="34"/>
    <w:link w:val="145"/>
    <w:qFormat/>
    <w:uiPriority w:val="0"/>
    <w:pPr>
      <w:ind w:firstLine="420" w:firstLineChars="100"/>
    </w:pPr>
  </w:style>
  <w:style w:type="paragraph" w:styleId="86">
    <w:name w:val="Body Text First Indent 2"/>
    <w:basedOn w:val="35"/>
    <w:link w:val="537"/>
    <w:qFormat/>
    <w:uiPriority w:val="0"/>
    <w:pPr>
      <w:ind w:firstLine="420" w:firstLineChars="200"/>
    </w:pPr>
  </w:style>
  <w:style w:type="table" w:styleId="88">
    <w:name w:val="Table Grid"/>
    <w:basedOn w:val="87"/>
    <w:unhideWhenUse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styleId="89">
    <w:name w:val="Medium Grid 1 Accent 2"/>
    <w:basedOn w:val="87"/>
    <w:qFormat/>
    <w:uiPriority w:val="0"/>
    <w:rPr>
      <w:rFonts w:ascii="Calibri" w:hAnsi="Calibri"/>
      <w:kern w:val="2"/>
      <w:sz w:val="21"/>
      <w:szCs w:val="22"/>
    </w:rPr>
    <w:tblPr>
      <w:tblLayout w:type="fixed"/>
      <w:tblCellMar>
        <w:top w:w="0" w:type="dxa"/>
        <w:left w:w="108" w:type="dxa"/>
        <w:bottom w:w="0" w:type="dxa"/>
        <w:right w:w="108" w:type="dxa"/>
      </w:tblCellMar>
    </w:tblPr>
    <w:tcPr>
      <w:shd w:val="clear" w:color="auto" w:fill="EDF2F8"/>
    </w:tcPr>
    <w:tblStylePr w:type="firstRow">
      <w:rPr>
        <w:b/>
        <w:bCs/>
      </w:rPr>
      <w:tcPr>
        <w:tcBorders>
          <w:bottom w:val="single" w:color="FFFFFF" w:sz="12" w:space="0"/>
        </w:tcBorders>
        <w:shd w:val="clear" w:color="auto" w:fill="9E3A38"/>
      </w:tcPr>
    </w:tblStylePr>
    <w:tblStylePr w:type="lastRow">
      <w:rPr>
        <w:b/>
        <w:bCs/>
      </w:rPr>
      <w:tblPr>
        <w:tblLayout w:type="fixed"/>
      </w:tblPr>
      <w:tcPr>
        <w:tcBorders>
          <w:top w:val="single" w:color="000000" w:sz="12" w:space="0"/>
        </w:tcBorders>
        <w:shd w:val="clear" w:color="auto" w:fill="FFFFFF"/>
      </w:tcPr>
    </w:tblStylePr>
    <w:tblStylePr w:type="firstCol">
      <w:rPr>
        <w:b/>
        <w:bCs/>
      </w:rPr>
    </w:tblStylePr>
    <w:tblStylePr w:type="lastCol">
      <w:rPr>
        <w:b/>
        <w:bCs/>
      </w:rPr>
    </w:tblStylePr>
    <w:tblStylePr w:type="band1Vert">
      <w:tblPr>
        <w:tblLayout w:type="fixed"/>
      </w:tblPr>
      <w:tcPr>
        <w:tcBorders>
          <w:top w:val="nil"/>
          <w:left w:val="nil"/>
          <w:bottom w:val="nil"/>
          <w:right w:val="nil"/>
          <w:insideH w:val="nil"/>
          <w:insideV w:val="nil"/>
        </w:tcBorders>
        <w:shd w:val="clear" w:color="auto" w:fill="D3DFEE"/>
      </w:tcPr>
    </w:tblStylePr>
    <w:tblStylePr w:type="band1Horz">
      <w:tblPr>
        <w:tblLayout w:type="fixed"/>
      </w:tblPr>
      <w:tcPr>
        <w:shd w:val="clear" w:color="auto" w:fill="DBE5F1"/>
      </w:tcPr>
    </w:tblStylePr>
  </w:style>
  <w:style w:type="character" w:styleId="91">
    <w:name w:val="Strong"/>
    <w:qFormat/>
    <w:uiPriority w:val="0"/>
    <w:rPr>
      <w:b/>
      <w:bCs/>
    </w:rPr>
  </w:style>
  <w:style w:type="character" w:styleId="92">
    <w:name w:val="endnote reference"/>
    <w:qFormat/>
    <w:uiPriority w:val="0"/>
    <w:rPr>
      <w:vertAlign w:val="superscript"/>
    </w:rPr>
  </w:style>
  <w:style w:type="character" w:styleId="93">
    <w:name w:val="page number"/>
    <w:basedOn w:val="90"/>
    <w:qFormat/>
    <w:uiPriority w:val="0"/>
  </w:style>
  <w:style w:type="character" w:styleId="94">
    <w:name w:val="FollowedHyperlink"/>
    <w:qFormat/>
    <w:uiPriority w:val="0"/>
    <w:rPr>
      <w:color w:val="800080"/>
      <w:u w:val="single"/>
    </w:rPr>
  </w:style>
  <w:style w:type="character" w:styleId="95">
    <w:name w:val="Emphasis"/>
    <w:qFormat/>
    <w:uiPriority w:val="0"/>
    <w:rPr>
      <w:b/>
      <w:bCs/>
      <w:i/>
      <w:iCs/>
      <w:spacing w:val="10"/>
      <w:shd w:val="clear" w:color="auto" w:fill="auto"/>
    </w:rPr>
  </w:style>
  <w:style w:type="character" w:styleId="96">
    <w:name w:val="line number"/>
    <w:basedOn w:val="90"/>
    <w:qFormat/>
    <w:uiPriority w:val="0"/>
  </w:style>
  <w:style w:type="character" w:styleId="97">
    <w:name w:val="HTML Typewriter"/>
    <w:qFormat/>
    <w:uiPriority w:val="0"/>
    <w:rPr>
      <w:rFonts w:ascii="宋体" w:hAnsi="宋体" w:eastAsia="宋体" w:cs="宋体"/>
      <w:sz w:val="24"/>
      <w:szCs w:val="24"/>
    </w:rPr>
  </w:style>
  <w:style w:type="character" w:styleId="98">
    <w:name w:val="Hyperlink"/>
    <w:qFormat/>
    <w:uiPriority w:val="99"/>
    <w:rPr>
      <w:color w:val="0000FF"/>
      <w:u w:val="single"/>
    </w:rPr>
  </w:style>
  <w:style w:type="character" w:styleId="99">
    <w:name w:val="annotation reference"/>
    <w:qFormat/>
    <w:uiPriority w:val="0"/>
    <w:rPr>
      <w:sz w:val="21"/>
      <w:szCs w:val="21"/>
    </w:rPr>
  </w:style>
  <w:style w:type="character" w:styleId="100">
    <w:name w:val="footnote reference"/>
    <w:qFormat/>
    <w:uiPriority w:val="0"/>
    <w:rPr>
      <w:vertAlign w:val="superscript"/>
    </w:rPr>
  </w:style>
  <w:style w:type="character" w:styleId="101">
    <w:name w:val="HTML Sample"/>
    <w:qFormat/>
    <w:uiPriority w:val="0"/>
    <w:rPr>
      <w:rFonts w:ascii="Courier New" w:hAnsi="Courier New" w:cs="Courier New"/>
    </w:rPr>
  </w:style>
  <w:style w:type="character" w:customStyle="1" w:styleId="102">
    <w:name w:val="标题 1 Char"/>
    <w:link w:val="3"/>
    <w:qFormat/>
    <w:uiPriority w:val="0"/>
    <w:rPr>
      <w:rFonts w:eastAsia="宋体"/>
      <w:b/>
      <w:bCs/>
      <w:kern w:val="44"/>
      <w:sz w:val="44"/>
      <w:szCs w:val="44"/>
      <w:lang w:val="en-US" w:eastAsia="zh-CN" w:bidi="ar-SA"/>
    </w:rPr>
  </w:style>
  <w:style w:type="character" w:customStyle="1" w:styleId="103">
    <w:name w:val="标题 2 Char"/>
    <w:link w:val="4"/>
    <w:qFormat/>
    <w:uiPriority w:val="0"/>
    <w:rPr>
      <w:rFonts w:ascii="Cambria" w:hAnsi="Cambria" w:eastAsia="宋体"/>
      <w:b/>
      <w:bCs/>
      <w:kern w:val="2"/>
      <w:sz w:val="32"/>
      <w:szCs w:val="32"/>
      <w:lang w:val="en-US" w:eastAsia="zh-CN" w:bidi="ar-SA"/>
    </w:rPr>
  </w:style>
  <w:style w:type="character" w:customStyle="1" w:styleId="104">
    <w:name w:val="标题 3 Char2"/>
    <w:link w:val="5"/>
    <w:qFormat/>
    <w:uiPriority w:val="0"/>
    <w:rPr>
      <w:rFonts w:eastAsia="宋体"/>
      <w:b/>
      <w:bCs/>
      <w:kern w:val="2"/>
      <w:sz w:val="32"/>
      <w:szCs w:val="32"/>
      <w:lang w:val="en-US" w:eastAsia="zh-CN" w:bidi="ar-SA"/>
    </w:rPr>
  </w:style>
  <w:style w:type="character" w:customStyle="1" w:styleId="105">
    <w:name w:val="标题 4 Char"/>
    <w:link w:val="6"/>
    <w:qFormat/>
    <w:locked/>
    <w:uiPriority w:val="0"/>
    <w:rPr>
      <w:rFonts w:ascii="Arial" w:hAnsi="Arial" w:eastAsia="黑体"/>
      <w:b/>
      <w:bCs/>
      <w:kern w:val="2"/>
      <w:sz w:val="28"/>
      <w:szCs w:val="28"/>
      <w:lang w:val="en-US" w:eastAsia="zh-CN" w:bidi="ar-SA"/>
    </w:rPr>
  </w:style>
  <w:style w:type="character" w:customStyle="1" w:styleId="106">
    <w:name w:val="标题 5 Char"/>
    <w:link w:val="7"/>
    <w:qFormat/>
    <w:uiPriority w:val="0"/>
    <w:rPr>
      <w:b/>
      <w:bCs/>
      <w:kern w:val="2"/>
      <w:sz w:val="28"/>
      <w:szCs w:val="28"/>
    </w:rPr>
  </w:style>
  <w:style w:type="character" w:customStyle="1" w:styleId="107">
    <w:name w:val="标题 6 Char"/>
    <w:link w:val="8"/>
    <w:qFormat/>
    <w:uiPriority w:val="0"/>
    <w:rPr>
      <w:rFonts w:ascii="Arial" w:hAnsi="Arial" w:eastAsia="黑体"/>
      <w:b/>
      <w:bCs/>
      <w:kern w:val="2"/>
      <w:sz w:val="24"/>
      <w:szCs w:val="24"/>
    </w:rPr>
  </w:style>
  <w:style w:type="character" w:customStyle="1" w:styleId="108">
    <w:name w:val="标题 7 Char"/>
    <w:link w:val="9"/>
    <w:qFormat/>
    <w:uiPriority w:val="0"/>
    <w:rPr>
      <w:b/>
      <w:bCs/>
      <w:kern w:val="2"/>
      <w:sz w:val="24"/>
      <w:szCs w:val="24"/>
    </w:rPr>
  </w:style>
  <w:style w:type="character" w:customStyle="1" w:styleId="109">
    <w:name w:val="标题 8 Char"/>
    <w:link w:val="10"/>
    <w:uiPriority w:val="0"/>
    <w:rPr>
      <w:rFonts w:ascii="Arial" w:hAnsi="Arial" w:eastAsia="黑体"/>
      <w:kern w:val="2"/>
      <w:sz w:val="24"/>
      <w:szCs w:val="24"/>
    </w:rPr>
  </w:style>
  <w:style w:type="character" w:customStyle="1" w:styleId="110">
    <w:name w:val="标题 9 Char"/>
    <w:link w:val="11"/>
    <w:qFormat/>
    <w:uiPriority w:val="0"/>
    <w:rPr>
      <w:rFonts w:ascii="Arial" w:hAnsi="Arial" w:eastAsia="黑体"/>
      <w:kern w:val="2"/>
      <w:sz w:val="21"/>
      <w:szCs w:val="21"/>
    </w:rPr>
  </w:style>
  <w:style w:type="character" w:customStyle="1" w:styleId="111">
    <w:name w:val="concon"/>
    <w:basedOn w:val="90"/>
    <w:qFormat/>
    <w:uiPriority w:val="0"/>
  </w:style>
  <w:style w:type="character" w:customStyle="1" w:styleId="112">
    <w:name w:val="页眉 Char"/>
    <w:link w:val="57"/>
    <w:qFormat/>
    <w:uiPriority w:val="0"/>
    <w:rPr>
      <w:rFonts w:eastAsia="宋体"/>
      <w:kern w:val="2"/>
      <w:sz w:val="18"/>
      <w:szCs w:val="18"/>
      <w:lang w:val="en-US" w:eastAsia="zh-CN" w:bidi="ar-SA"/>
    </w:rPr>
  </w:style>
  <w:style w:type="character" w:customStyle="1" w:styleId="113">
    <w:name w:val="页脚 Char"/>
    <w:link w:val="55"/>
    <w:qFormat/>
    <w:uiPriority w:val="99"/>
    <w:rPr>
      <w:kern w:val="2"/>
      <w:sz w:val="18"/>
      <w:szCs w:val="18"/>
      <w:lang w:bidi="ar-SA"/>
    </w:rPr>
  </w:style>
  <w:style w:type="character" w:customStyle="1" w:styleId="114">
    <w:name w:val="正文缩进 Char"/>
    <w:link w:val="21"/>
    <w:qFormat/>
    <w:uiPriority w:val="0"/>
    <w:rPr>
      <w:rFonts w:eastAsia="宋体"/>
      <w:kern w:val="2"/>
      <w:sz w:val="21"/>
      <w:lang w:val="en-US" w:eastAsia="zh-CN" w:bidi="ar-SA"/>
    </w:rPr>
  </w:style>
  <w:style w:type="character" w:customStyle="1" w:styleId="115">
    <w:name w:val="listbenefit"/>
    <w:basedOn w:val="90"/>
    <w:qFormat/>
    <w:uiPriority w:val="0"/>
  </w:style>
  <w:style w:type="character" w:customStyle="1" w:styleId="116">
    <w:name w:val="标题 3 Char Char Char Char Char Char Char Char Char Char Char Char Char Char Char Char Char Char Char Char Char Char Char Char Char Char Char Char Char Char Char Char Char Char Char Char Char Char Char Char Char Char Char Char Char Char Char Char Cha Char"/>
    <w:qFormat/>
    <w:uiPriority w:val="0"/>
    <w:rPr>
      <w:rFonts w:eastAsia="宋体"/>
      <w:b/>
      <w:bCs/>
      <w:kern w:val="2"/>
      <w:sz w:val="32"/>
      <w:szCs w:val="32"/>
      <w:lang w:val="en-US" w:eastAsia="zh-CN" w:bidi="ar-SA"/>
    </w:rPr>
  </w:style>
  <w:style w:type="character" w:customStyle="1" w:styleId="117">
    <w:name w:val="标准小四 Char"/>
    <w:link w:val="118"/>
    <w:qFormat/>
    <w:uiPriority w:val="0"/>
    <w:rPr>
      <w:rFonts w:ascii="Arial" w:hAnsi="Arial" w:eastAsia="宋体"/>
      <w:kern w:val="2"/>
      <w:sz w:val="24"/>
      <w:szCs w:val="21"/>
      <w:lang w:val="en-US" w:eastAsia="zh-CN" w:bidi="ar-SA"/>
    </w:rPr>
  </w:style>
  <w:style w:type="paragraph" w:customStyle="1" w:styleId="118">
    <w:name w:val="标准小四"/>
    <w:basedOn w:val="1"/>
    <w:link w:val="117"/>
    <w:qFormat/>
    <w:uiPriority w:val="0"/>
    <w:pPr>
      <w:spacing w:line="360" w:lineRule="auto"/>
      <w:ind w:firstLine="480" w:firstLineChars="200"/>
    </w:pPr>
    <w:rPr>
      <w:rFonts w:ascii="Arial" w:hAnsi="Arial"/>
      <w:sz w:val="24"/>
      <w:szCs w:val="21"/>
    </w:rPr>
  </w:style>
  <w:style w:type="character" w:customStyle="1" w:styleId="119">
    <w:name w:val="正文 + 宋体 Char"/>
    <w:link w:val="120"/>
    <w:qFormat/>
    <w:uiPriority w:val="0"/>
    <w:rPr>
      <w:rFonts w:eastAsia="宋体"/>
      <w:kern w:val="2"/>
      <w:sz w:val="21"/>
      <w:szCs w:val="24"/>
      <w:lang w:val="en-US" w:eastAsia="zh-CN" w:bidi="ar-SA"/>
    </w:rPr>
  </w:style>
  <w:style w:type="paragraph" w:customStyle="1" w:styleId="120">
    <w:name w:val="正文 + 宋体"/>
    <w:basedOn w:val="1"/>
    <w:link w:val="119"/>
    <w:qFormat/>
    <w:uiPriority w:val="0"/>
    <w:pPr>
      <w:spacing w:line="360" w:lineRule="auto"/>
      <w:ind w:firstLine="420" w:firstLineChars="200"/>
    </w:pPr>
  </w:style>
  <w:style w:type="character" w:customStyle="1" w:styleId="121">
    <w:name w:val="标题 3 Char"/>
    <w:qFormat/>
    <w:uiPriority w:val="0"/>
    <w:rPr>
      <w:rFonts w:eastAsia="仿宋_GB2312"/>
      <w:b/>
      <w:bCs/>
      <w:kern w:val="2"/>
      <w:sz w:val="28"/>
      <w:szCs w:val="32"/>
      <w:lang w:val="en-US" w:eastAsia="zh-CN" w:bidi="ar-SA"/>
    </w:rPr>
  </w:style>
  <w:style w:type="character" w:customStyle="1" w:styleId="122">
    <w:name w:val="normalfont1"/>
    <w:qFormat/>
    <w:uiPriority w:val="0"/>
    <w:rPr>
      <w:rFonts w:hint="default" w:ascii="ˎ̥" w:hAnsi="ˎ̥"/>
      <w:sz w:val="18"/>
      <w:szCs w:val="18"/>
      <w:u w:val="none"/>
    </w:rPr>
  </w:style>
  <w:style w:type="character" w:customStyle="1" w:styleId="123">
    <w:name w:val="subtitle1"/>
    <w:qFormat/>
    <w:uiPriority w:val="0"/>
    <w:rPr>
      <w:rFonts w:hint="default" w:ascii="Georgia" w:hAnsi="Georgia"/>
      <w:b/>
      <w:bCs/>
      <w:color w:val="666666"/>
      <w:sz w:val="18"/>
      <w:szCs w:val="18"/>
    </w:rPr>
  </w:style>
  <w:style w:type="character" w:customStyle="1" w:styleId="124">
    <w:name w:val="ih151"/>
    <w:qFormat/>
    <w:uiPriority w:val="0"/>
    <w:rPr>
      <w:color w:val="666666"/>
      <w:sz w:val="18"/>
      <w:szCs w:val="18"/>
      <w:u w:val="none"/>
    </w:rPr>
  </w:style>
  <w:style w:type="character" w:customStyle="1" w:styleId="125">
    <w:name w:val="title_emph1"/>
    <w:qFormat/>
    <w:uiPriority w:val="0"/>
    <w:rPr>
      <w:rFonts w:hint="default" w:ascii="Arial" w:hAnsi="Arial" w:cs="Arial"/>
      <w:b/>
      <w:bCs/>
      <w:sz w:val="18"/>
      <w:szCs w:val="18"/>
    </w:rPr>
  </w:style>
  <w:style w:type="character" w:customStyle="1" w:styleId="126">
    <w:name w:val="小四 段落 宋体 Char Char Char1"/>
    <w:qFormat/>
    <w:uiPriority w:val="0"/>
    <w:rPr>
      <w:rFonts w:ascii="宋体" w:hAnsi="宋体" w:eastAsia="宋体"/>
      <w:kern w:val="2"/>
      <w:sz w:val="24"/>
      <w:szCs w:val="24"/>
      <w:lang w:val="en-US" w:eastAsia="zh-CN" w:bidi="ar-SA"/>
    </w:rPr>
  </w:style>
  <w:style w:type="character" w:customStyle="1" w:styleId="127">
    <w:name w:val="样式 宋体 小四"/>
    <w:qFormat/>
    <w:uiPriority w:val="0"/>
    <w:rPr>
      <w:rFonts w:ascii="宋体" w:hAnsi="宋体"/>
      <w:sz w:val="24"/>
    </w:rPr>
  </w:style>
  <w:style w:type="character" w:customStyle="1" w:styleId="128">
    <w:name w:val="小四 段落 宋体 Char Char Char Char Char"/>
    <w:qFormat/>
    <w:uiPriority w:val="0"/>
    <w:rPr>
      <w:rFonts w:eastAsia="宋体"/>
      <w:kern w:val="2"/>
      <w:sz w:val="24"/>
      <w:szCs w:val="24"/>
      <w:lang w:val="en-US" w:eastAsia="zh-CN" w:bidi="ar-SA"/>
    </w:rPr>
  </w:style>
  <w:style w:type="character" w:customStyle="1" w:styleId="129">
    <w:name w:val="小四 段落 宋体 Char Char Char Char1"/>
    <w:qFormat/>
    <w:uiPriority w:val="0"/>
    <w:rPr>
      <w:rFonts w:eastAsia="宋体"/>
      <w:kern w:val="2"/>
      <w:sz w:val="24"/>
      <w:szCs w:val="24"/>
      <w:lang w:val="en-US" w:eastAsia="zh-CN" w:bidi="ar-SA"/>
    </w:rPr>
  </w:style>
  <w:style w:type="character" w:customStyle="1" w:styleId="130">
    <w:name w:val="华宇段落1 Char Char"/>
    <w:qFormat/>
    <w:uiPriority w:val="0"/>
    <w:rPr>
      <w:rFonts w:eastAsia="宋体"/>
      <w:bCs/>
      <w:kern w:val="2"/>
      <w:sz w:val="24"/>
      <w:szCs w:val="24"/>
      <w:lang w:val="en-US" w:eastAsia="zh-CN" w:bidi="ar-SA"/>
    </w:rPr>
  </w:style>
  <w:style w:type="character" w:customStyle="1" w:styleId="131">
    <w:name w:val="小四 段落 宋体 Char1"/>
    <w:qFormat/>
    <w:uiPriority w:val="0"/>
    <w:rPr>
      <w:rFonts w:eastAsia="宋体"/>
      <w:kern w:val="2"/>
      <w:sz w:val="24"/>
      <w:szCs w:val="24"/>
      <w:lang w:val="en-US" w:eastAsia="zh-CN" w:bidi="ar-SA"/>
    </w:rPr>
  </w:style>
  <w:style w:type="character" w:customStyle="1" w:styleId="132">
    <w:name w:val="标准文本 Char"/>
    <w:link w:val="133"/>
    <w:qFormat/>
    <w:uiPriority w:val="0"/>
    <w:rPr>
      <w:rFonts w:eastAsia="宋体" w:cs="宋体"/>
      <w:kern w:val="2"/>
      <w:sz w:val="24"/>
      <w:szCs w:val="24"/>
      <w:lang w:val="en-US" w:eastAsia="zh-CN" w:bidi="ar-SA"/>
    </w:rPr>
  </w:style>
  <w:style w:type="paragraph" w:customStyle="1" w:styleId="133">
    <w:name w:val="标准文本"/>
    <w:basedOn w:val="1"/>
    <w:link w:val="132"/>
    <w:qFormat/>
    <w:uiPriority w:val="0"/>
    <w:pPr>
      <w:spacing w:line="360" w:lineRule="auto"/>
      <w:ind w:firstLine="480" w:firstLineChars="200"/>
    </w:pPr>
    <w:rPr>
      <w:rFonts w:cs="宋体"/>
      <w:sz w:val="24"/>
    </w:rPr>
  </w:style>
  <w:style w:type="character" w:customStyle="1" w:styleId="134">
    <w:name w:val="content_lineheight1"/>
    <w:basedOn w:val="90"/>
    <w:qFormat/>
    <w:uiPriority w:val="0"/>
  </w:style>
  <w:style w:type="character" w:customStyle="1" w:styleId="135">
    <w:name w:val="3zw"/>
    <w:basedOn w:val="90"/>
    <w:qFormat/>
    <w:uiPriority w:val="0"/>
  </w:style>
  <w:style w:type="character" w:customStyle="1" w:styleId="136">
    <w:name w:val="Item List Char Char Char"/>
    <w:link w:val="137"/>
    <w:qFormat/>
    <w:uiPriority w:val="0"/>
    <w:rPr>
      <w:rFonts w:ascii="Arial" w:hAnsi="Arial" w:eastAsia="Times New Roman"/>
      <w:b/>
      <w:bCs/>
      <w:kern w:val="2"/>
      <w:sz w:val="21"/>
      <w:lang w:val="en-US" w:eastAsia="zh-CN" w:bidi="ar-SA"/>
    </w:rPr>
  </w:style>
  <w:style w:type="paragraph" w:customStyle="1" w:styleId="137">
    <w:name w:val="Item List Char Char"/>
    <w:link w:val="136"/>
    <w:qFormat/>
    <w:uiPriority w:val="0"/>
    <w:pPr>
      <w:adjustRightInd w:val="0"/>
      <w:snapToGrid w:val="0"/>
      <w:spacing w:line="288" w:lineRule="auto"/>
      <w:jc w:val="both"/>
    </w:pPr>
    <w:rPr>
      <w:rFonts w:ascii="Arial" w:hAnsi="Arial" w:eastAsia="Times New Roman" w:cs="Times New Roman"/>
      <w:b/>
      <w:bCs/>
      <w:kern w:val="2"/>
      <w:sz w:val="21"/>
      <w:lang w:val="en-US" w:eastAsia="zh-CN" w:bidi="ar-SA"/>
    </w:rPr>
  </w:style>
  <w:style w:type="character" w:customStyle="1" w:styleId="138">
    <w:name w:val="黑色 Char Char Char Char Char Char Char Char Char Char Char"/>
    <w:link w:val="139"/>
    <w:qFormat/>
    <w:uiPriority w:val="0"/>
    <w:rPr>
      <w:rFonts w:ascii="Arial" w:hAnsi="Arial"/>
      <w:b/>
      <w:color w:val="000000"/>
      <w:kern w:val="2"/>
      <w:sz w:val="21"/>
    </w:rPr>
  </w:style>
  <w:style w:type="paragraph" w:customStyle="1" w:styleId="139">
    <w:name w:val="正文 + Arial Char"/>
    <w:basedOn w:val="1"/>
    <w:link w:val="138"/>
    <w:qFormat/>
    <w:uiPriority w:val="0"/>
    <w:pPr>
      <w:widowControl/>
      <w:numPr>
        <w:ilvl w:val="0"/>
        <w:numId w:val="9"/>
      </w:numPr>
      <w:spacing w:line="300" w:lineRule="auto"/>
    </w:pPr>
    <w:rPr>
      <w:rFonts w:ascii="Arial" w:hAnsi="Arial"/>
      <w:b/>
      <w:color w:val="000000"/>
      <w:szCs w:val="20"/>
    </w:rPr>
  </w:style>
  <w:style w:type="character" w:customStyle="1" w:styleId="140">
    <w:name w:val="我的正文 Char"/>
    <w:link w:val="141"/>
    <w:qFormat/>
    <w:uiPriority w:val="0"/>
    <w:rPr>
      <w:rFonts w:ascii="宋体" w:hAnsi="宋体" w:eastAsia="宋体" w:cs="宋体"/>
      <w:sz w:val="21"/>
      <w:szCs w:val="21"/>
      <w:lang w:val="en-US" w:eastAsia="zh-CN" w:bidi="ar-SA"/>
    </w:rPr>
  </w:style>
  <w:style w:type="paragraph" w:customStyle="1" w:styleId="141">
    <w:name w:val="我的正文"/>
    <w:basedOn w:val="1"/>
    <w:link w:val="140"/>
    <w:qFormat/>
    <w:uiPriority w:val="0"/>
    <w:pPr>
      <w:widowControl/>
      <w:spacing w:line="360" w:lineRule="auto"/>
      <w:ind w:firstLine="420"/>
      <w:jc w:val="left"/>
    </w:pPr>
    <w:rPr>
      <w:rFonts w:ascii="宋体" w:hAnsi="宋体" w:cs="宋体"/>
      <w:kern w:val="0"/>
      <w:szCs w:val="21"/>
    </w:rPr>
  </w:style>
  <w:style w:type="character" w:customStyle="1" w:styleId="142">
    <w:name w:val="普通段落 Char"/>
    <w:link w:val="143"/>
    <w:qFormat/>
    <w:uiPriority w:val="0"/>
    <w:rPr>
      <w:rFonts w:ascii="Arial" w:hAnsi="Arial"/>
      <w:kern w:val="2"/>
      <w:sz w:val="21"/>
      <w:lang w:bidi="ar-SA"/>
    </w:rPr>
  </w:style>
  <w:style w:type="paragraph" w:customStyle="1" w:styleId="143">
    <w:name w:val="普通段落"/>
    <w:basedOn w:val="1"/>
    <w:link w:val="142"/>
    <w:qFormat/>
    <w:uiPriority w:val="0"/>
    <w:pPr>
      <w:spacing w:line="360" w:lineRule="auto"/>
    </w:pPr>
    <w:rPr>
      <w:rFonts w:ascii="Arial" w:hAnsi="Arial"/>
      <w:szCs w:val="20"/>
    </w:rPr>
  </w:style>
  <w:style w:type="character" w:customStyle="1" w:styleId="144">
    <w:name w:val="正文文本 Char"/>
    <w:link w:val="34"/>
    <w:qFormat/>
    <w:locked/>
    <w:uiPriority w:val="0"/>
    <w:rPr>
      <w:rFonts w:eastAsia="宋体"/>
      <w:kern w:val="2"/>
      <w:sz w:val="21"/>
      <w:szCs w:val="24"/>
      <w:lang w:val="en-US" w:eastAsia="zh-CN" w:bidi="ar-SA"/>
    </w:rPr>
  </w:style>
  <w:style w:type="character" w:customStyle="1" w:styleId="145">
    <w:name w:val="正文首行缩进 Char"/>
    <w:basedOn w:val="144"/>
    <w:link w:val="85"/>
    <w:qFormat/>
    <w:uiPriority w:val="0"/>
    <w:rPr>
      <w:rFonts w:eastAsia="宋体"/>
      <w:kern w:val="2"/>
      <w:sz w:val="21"/>
      <w:szCs w:val="24"/>
      <w:lang w:val="en-US" w:eastAsia="zh-CN" w:bidi="ar-SA"/>
    </w:rPr>
  </w:style>
  <w:style w:type="character" w:customStyle="1" w:styleId="146">
    <w:name w:val="正文文本缩进 Char"/>
    <w:link w:val="35"/>
    <w:qFormat/>
    <w:uiPriority w:val="0"/>
    <w:rPr>
      <w:kern w:val="2"/>
      <w:sz w:val="21"/>
      <w:szCs w:val="24"/>
    </w:rPr>
  </w:style>
  <w:style w:type="character" w:customStyle="1" w:styleId="147">
    <w:name w:val="正文文本缩进 3 Char"/>
    <w:link w:val="70"/>
    <w:qFormat/>
    <w:uiPriority w:val="0"/>
    <w:rPr>
      <w:b/>
      <w:bCs/>
      <w:kern w:val="2"/>
      <w:sz w:val="24"/>
    </w:rPr>
  </w:style>
  <w:style w:type="character" w:customStyle="1" w:styleId="148">
    <w:name w:val="文档结构图 Char"/>
    <w:link w:val="26"/>
    <w:qFormat/>
    <w:uiPriority w:val="0"/>
    <w:rPr>
      <w:kern w:val="2"/>
      <w:sz w:val="21"/>
      <w:szCs w:val="24"/>
      <w:shd w:val="clear" w:color="auto" w:fill="000080"/>
    </w:rPr>
  </w:style>
  <w:style w:type="character" w:customStyle="1" w:styleId="149">
    <w:name w:val="日期 Char"/>
    <w:link w:val="50"/>
    <w:qFormat/>
    <w:uiPriority w:val="0"/>
    <w:rPr>
      <w:kern w:val="2"/>
      <w:sz w:val="28"/>
    </w:rPr>
  </w:style>
  <w:style w:type="character" w:customStyle="1" w:styleId="150">
    <w:name w:val="标题 Char"/>
    <w:link w:val="83"/>
    <w:qFormat/>
    <w:uiPriority w:val="0"/>
    <w:rPr>
      <w:rFonts w:eastAsia="黑体"/>
      <w:b/>
      <w:sz w:val="28"/>
      <w:lang w:val="en-GB"/>
    </w:rPr>
  </w:style>
  <w:style w:type="character" w:customStyle="1" w:styleId="151">
    <w:name w:val="正文文本 2 Char"/>
    <w:link w:val="76"/>
    <w:qFormat/>
    <w:uiPriority w:val="0"/>
    <w:rPr>
      <w:b/>
      <w:bCs/>
      <w:kern w:val="2"/>
      <w:sz w:val="72"/>
    </w:rPr>
  </w:style>
  <w:style w:type="character" w:customStyle="1" w:styleId="152">
    <w:name w:val="签名 Char"/>
    <w:link w:val="58"/>
    <w:qFormat/>
    <w:uiPriority w:val="0"/>
    <w:rPr>
      <w:rFonts w:eastAsia="仿宋_GB2312"/>
      <w:sz w:val="24"/>
    </w:rPr>
  </w:style>
  <w:style w:type="character" w:customStyle="1" w:styleId="153">
    <w:name w:val="正文文本缩进 2 Char"/>
    <w:link w:val="51"/>
    <w:qFormat/>
    <w:uiPriority w:val="0"/>
    <w:rPr>
      <w:rFonts w:ascii="宋体" w:hAnsi="宋体"/>
      <w:kern w:val="2"/>
      <w:sz w:val="24"/>
      <w:szCs w:val="24"/>
    </w:rPr>
  </w:style>
  <w:style w:type="character" w:customStyle="1" w:styleId="154">
    <w:name w:val="批注文字 Char"/>
    <w:link w:val="28"/>
    <w:qFormat/>
    <w:uiPriority w:val="0"/>
    <w:rPr>
      <w:kern w:val="2"/>
      <w:sz w:val="21"/>
      <w:szCs w:val="24"/>
    </w:rPr>
  </w:style>
  <w:style w:type="character" w:customStyle="1" w:styleId="155">
    <w:name w:val="称呼 Char"/>
    <w:link w:val="30"/>
    <w:qFormat/>
    <w:uiPriority w:val="0"/>
    <w:rPr>
      <w:rFonts w:ascii="仿宋_GB2312" w:eastAsia="仿宋_GB2312"/>
      <w:kern w:val="2"/>
      <w:sz w:val="28"/>
    </w:rPr>
  </w:style>
  <w:style w:type="character" w:customStyle="1" w:styleId="156">
    <w:name w:val="批注主题 Char"/>
    <w:link w:val="84"/>
    <w:uiPriority w:val="0"/>
    <w:rPr>
      <w:b/>
      <w:bCs/>
      <w:kern w:val="2"/>
      <w:sz w:val="21"/>
      <w:szCs w:val="24"/>
    </w:rPr>
  </w:style>
  <w:style w:type="character" w:customStyle="1" w:styleId="157">
    <w:name w:val="HTML 预设格式 Char"/>
    <w:link w:val="79"/>
    <w:uiPriority w:val="0"/>
    <w:rPr>
      <w:rFonts w:ascii="宋体" w:hAnsi="宋体" w:cs="宋体"/>
      <w:sz w:val="24"/>
      <w:szCs w:val="24"/>
    </w:rPr>
  </w:style>
  <w:style w:type="character" w:customStyle="1" w:styleId="158">
    <w:name w:val="批注框文本 Char"/>
    <w:link w:val="54"/>
    <w:uiPriority w:val="0"/>
    <w:rPr>
      <w:kern w:val="2"/>
      <w:sz w:val="18"/>
      <w:szCs w:val="18"/>
    </w:rPr>
  </w:style>
  <w:style w:type="character" w:customStyle="1" w:styleId="159">
    <w:name w:val="正文文本 3 Char"/>
    <w:link w:val="31"/>
    <w:uiPriority w:val="0"/>
    <w:rPr>
      <w:kern w:val="2"/>
      <w:sz w:val="16"/>
      <w:szCs w:val="16"/>
    </w:rPr>
  </w:style>
  <w:style w:type="character" w:customStyle="1" w:styleId="160">
    <w:name w:val="纯文本 Char2"/>
    <w:link w:val="45"/>
    <w:qFormat/>
    <w:uiPriority w:val="0"/>
    <w:rPr>
      <w:rFonts w:ascii="宋体" w:hAnsi="Courier New"/>
      <w:kern w:val="2"/>
      <w:sz w:val="21"/>
      <w:szCs w:val="21"/>
    </w:rPr>
  </w:style>
  <w:style w:type="paragraph" w:customStyle="1" w:styleId="161">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pPr>
    <w:rPr>
      <w:rFonts w:ascii="宋体" w:hAnsi="宋体"/>
      <w:kern w:val="0"/>
      <w:szCs w:val="21"/>
    </w:rPr>
  </w:style>
  <w:style w:type="paragraph" w:customStyle="1" w:styleId="162">
    <w:name w:val="无间距"/>
    <w:link w:val="163"/>
    <w:qFormat/>
    <w:uiPriority w:val="0"/>
    <w:pPr>
      <w:widowControl w:val="0"/>
      <w:jc w:val="both"/>
    </w:pPr>
    <w:rPr>
      <w:rFonts w:ascii="宋体" w:hAnsi="Times New Roman" w:eastAsia="宋体" w:cs="Times New Roman"/>
      <w:kern w:val="2"/>
      <w:sz w:val="48"/>
      <w:szCs w:val="84"/>
      <w:lang w:val="en-US" w:eastAsia="zh-CN" w:bidi="ar-SA"/>
    </w:rPr>
  </w:style>
  <w:style w:type="character" w:customStyle="1" w:styleId="163">
    <w:name w:val="无间距字符"/>
    <w:link w:val="162"/>
    <w:uiPriority w:val="0"/>
    <w:rPr>
      <w:rFonts w:ascii="宋体"/>
      <w:kern w:val="2"/>
      <w:sz w:val="48"/>
      <w:szCs w:val="84"/>
      <w:lang w:bidi="ar-SA"/>
    </w:rPr>
  </w:style>
  <w:style w:type="paragraph" w:customStyle="1" w:styleId="164">
    <w:name w:val="Defaul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5">
    <w:name w:val="彩色列表 - 强调文字颜色 11"/>
    <w:basedOn w:val="1"/>
    <w:link w:val="488"/>
    <w:qFormat/>
    <w:uiPriority w:val="0"/>
    <w:pPr>
      <w:ind w:firstLine="420" w:firstLineChars="200"/>
    </w:pPr>
  </w:style>
  <w:style w:type="paragraph" w:customStyle="1" w:styleId="166">
    <w:name w:val="Char Char Char Char Char Char Char Char Char Char Char Char Char"/>
    <w:basedOn w:val="1"/>
    <w:qFormat/>
    <w:uiPriority w:val="0"/>
    <w:pPr>
      <w:widowControl/>
      <w:spacing w:after="160" w:line="240" w:lineRule="exact"/>
      <w:jc w:val="left"/>
    </w:pPr>
  </w:style>
  <w:style w:type="paragraph" w:customStyle="1" w:styleId="167">
    <w:name w:val="默认段落字体 Para Char Char Char Char Char Char Char"/>
    <w:basedOn w:val="1"/>
    <w:qFormat/>
    <w:uiPriority w:val="0"/>
    <w:rPr>
      <w:rFonts w:ascii="Tahoma" w:hAnsi="Tahoma"/>
      <w:sz w:val="24"/>
      <w:szCs w:val="20"/>
    </w:rPr>
  </w:style>
  <w:style w:type="paragraph" w:customStyle="1" w:styleId="168">
    <w:name w:val="greytypebeni"/>
    <w:basedOn w:val="1"/>
    <w:qFormat/>
    <w:uiPriority w:val="0"/>
    <w:pPr>
      <w:widowControl/>
      <w:jc w:val="left"/>
    </w:pPr>
    <w:rPr>
      <w:rFonts w:ascii="宋体" w:hAnsi="宋体" w:cs="宋体"/>
      <w:kern w:val="0"/>
      <w:sz w:val="24"/>
    </w:rPr>
  </w:style>
  <w:style w:type="paragraph" w:customStyle="1" w:styleId="169">
    <w:name w:val="Char"/>
    <w:basedOn w:val="21"/>
    <w:qFormat/>
    <w:uiPriority w:val="0"/>
    <w:pPr>
      <w:spacing w:before="100" w:beforeAutospacing="1" w:after="100" w:afterAutospacing="1" w:line="360" w:lineRule="auto"/>
      <w:ind w:firstLine="480" w:firstLineChars="200"/>
    </w:pPr>
  </w:style>
  <w:style w:type="paragraph" w:customStyle="1" w:styleId="170">
    <w:name w:val="Char Char Char Char Char Char"/>
    <w:basedOn w:val="1"/>
    <w:uiPriority w:val="0"/>
    <w:pPr>
      <w:widowControl/>
      <w:spacing w:after="160" w:line="240" w:lineRule="exact"/>
      <w:jc w:val="left"/>
    </w:pPr>
    <w:rPr>
      <w:rFonts w:ascii="Verdana" w:hAnsi="Verdana"/>
      <w:kern w:val="0"/>
      <w:sz w:val="20"/>
      <w:szCs w:val="20"/>
      <w:lang w:eastAsia="en-US"/>
    </w:rPr>
  </w:style>
  <w:style w:type="paragraph" w:customStyle="1" w:styleId="171">
    <w:name w:val="Char11"/>
    <w:basedOn w:val="1"/>
    <w:qFormat/>
    <w:uiPriority w:val="0"/>
    <w:pPr>
      <w:tabs>
        <w:tab w:val="left" w:pos="360"/>
      </w:tabs>
      <w:spacing w:line="360" w:lineRule="auto"/>
    </w:pPr>
    <w:rPr>
      <w:sz w:val="24"/>
    </w:rPr>
  </w:style>
  <w:style w:type="paragraph" w:customStyle="1" w:styleId="172">
    <w:name w:val="文档正文"/>
    <w:basedOn w:val="1"/>
    <w:uiPriority w:val="0"/>
    <w:pPr>
      <w:spacing w:line="360" w:lineRule="auto"/>
    </w:pPr>
    <w:rPr>
      <w:rFonts w:ascii="宋体" w:hAnsi="宋体"/>
      <w:b/>
      <w:bCs/>
    </w:rPr>
  </w:style>
  <w:style w:type="paragraph" w:customStyle="1" w:styleId="173">
    <w:name w:val="Char Char Char Char Char Char Char"/>
    <w:basedOn w:val="1"/>
    <w:qFormat/>
    <w:uiPriority w:val="0"/>
    <w:rPr>
      <w:rFonts w:ascii="Tahoma" w:hAnsi="Tahoma"/>
      <w:sz w:val="24"/>
      <w:szCs w:val="20"/>
    </w:rPr>
  </w:style>
  <w:style w:type="paragraph" w:customStyle="1" w:styleId="174">
    <w:name w:val="p0"/>
    <w:basedOn w:val="1"/>
    <w:qFormat/>
    <w:uiPriority w:val="0"/>
    <w:pPr>
      <w:widowControl/>
    </w:pPr>
    <w:rPr>
      <w:kern w:val="0"/>
      <w:szCs w:val="21"/>
    </w:rPr>
  </w:style>
  <w:style w:type="paragraph" w:customStyle="1" w:styleId="175">
    <w:name w:val="Char Char Char Char"/>
    <w:basedOn w:val="1"/>
    <w:uiPriority w:val="0"/>
    <w:pPr>
      <w:widowControl/>
      <w:spacing w:after="160" w:line="240" w:lineRule="exact"/>
      <w:jc w:val="center"/>
    </w:pPr>
    <w:rPr>
      <w:rFonts w:ascii="黑体" w:hAnsi="Verdana" w:eastAsia="黑体"/>
      <w:kern w:val="0"/>
      <w:sz w:val="32"/>
      <w:szCs w:val="32"/>
      <w:lang w:eastAsia="en-US"/>
    </w:rPr>
  </w:style>
  <w:style w:type="paragraph" w:customStyle="1" w:styleId="176">
    <w:name w:val="font7"/>
    <w:basedOn w:val="1"/>
    <w:uiPriority w:val="0"/>
    <w:pPr>
      <w:widowControl/>
      <w:spacing w:before="100" w:beforeAutospacing="1" w:after="100" w:afterAutospacing="1"/>
      <w:jc w:val="left"/>
    </w:pPr>
    <w:rPr>
      <w:rFonts w:hint="eastAsia" w:ascii="宋体" w:hAnsi="宋体"/>
      <w:b/>
      <w:bCs/>
      <w:kern w:val="0"/>
      <w:sz w:val="24"/>
    </w:rPr>
  </w:style>
  <w:style w:type="paragraph" w:customStyle="1" w:styleId="177">
    <w:name w:val="a0"/>
    <w:basedOn w:val="1"/>
    <w:uiPriority w:val="0"/>
    <w:pPr>
      <w:widowControl/>
      <w:spacing w:before="100" w:beforeAutospacing="1" w:after="100" w:afterAutospacing="1"/>
    </w:pPr>
    <w:rPr>
      <w:rFonts w:ascii="宋体" w:hAnsi="宋体" w:cs="宋体"/>
      <w:kern w:val="0"/>
      <w:sz w:val="24"/>
    </w:rPr>
  </w:style>
  <w:style w:type="paragraph" w:customStyle="1" w:styleId="178">
    <w:name w:val="a"/>
    <w:basedOn w:val="1"/>
    <w:uiPriority w:val="0"/>
    <w:pPr>
      <w:widowControl/>
      <w:spacing w:before="100" w:beforeAutospacing="1" w:after="100" w:afterAutospacing="1"/>
    </w:pPr>
    <w:rPr>
      <w:rFonts w:ascii="宋体" w:hAnsi="宋体" w:cs="宋体"/>
      <w:kern w:val="0"/>
      <w:sz w:val="24"/>
    </w:rPr>
  </w:style>
  <w:style w:type="paragraph" w:customStyle="1" w:styleId="179">
    <w:name w:val="Char Char Char Char Char Char Char Char Char Char Char Char Char Char Char Char Char Char Char Char Char"/>
    <w:basedOn w:val="1"/>
    <w:qFormat/>
    <w:uiPriority w:val="0"/>
    <w:rPr>
      <w:rFonts w:ascii="Tahoma" w:hAnsi="Tahoma"/>
      <w:sz w:val="24"/>
      <w:szCs w:val="20"/>
    </w:rPr>
  </w:style>
  <w:style w:type="paragraph" w:customStyle="1" w:styleId="180">
    <w:name w:val="样式 样式 首行缩进:  2 字符 + 行距: 1.5 倍行距"/>
    <w:basedOn w:val="1"/>
    <w:qFormat/>
    <w:uiPriority w:val="0"/>
    <w:pPr>
      <w:spacing w:line="360" w:lineRule="auto"/>
      <w:ind w:firstLine="470" w:firstLineChars="196"/>
    </w:pPr>
    <w:rPr>
      <w:sz w:val="24"/>
      <w:szCs w:val="20"/>
    </w:rPr>
  </w:style>
  <w:style w:type="paragraph" w:customStyle="1" w:styleId="181">
    <w:name w:val="Char Char Char Char Char Char Char Char"/>
    <w:basedOn w:val="1"/>
    <w:uiPriority w:val="0"/>
    <w:rPr>
      <w:rFonts w:ascii="Tahoma" w:hAnsi="Tahoma"/>
      <w:sz w:val="24"/>
      <w:szCs w:val="20"/>
    </w:rPr>
  </w:style>
  <w:style w:type="paragraph" w:customStyle="1" w:styleId="182">
    <w:name w:val="Char Char Char Char Char Char Char Char Char Char Char"/>
    <w:basedOn w:val="1"/>
    <w:qFormat/>
    <w:uiPriority w:val="0"/>
    <w:rPr>
      <w:rFonts w:ascii="Tahoma" w:hAnsi="Tahoma"/>
      <w:sz w:val="24"/>
      <w:szCs w:val="20"/>
    </w:rPr>
  </w:style>
  <w:style w:type="paragraph" w:customStyle="1" w:styleId="183">
    <w:name w:val="Char Char Char Char Char Char Char Char Char"/>
    <w:basedOn w:val="1"/>
    <w:uiPriority w:val="0"/>
    <w:pPr>
      <w:tabs>
        <w:tab w:val="left" w:pos="360"/>
      </w:tabs>
      <w:ind w:left="360" w:hanging="360" w:hangingChars="200"/>
    </w:pPr>
    <w:rPr>
      <w:sz w:val="24"/>
    </w:rPr>
  </w:style>
  <w:style w:type="paragraph" w:customStyle="1" w:styleId="184">
    <w:name w:val="Char Char Char Char Char Char Char Char Char Char Char Char Char Char Char Char Char Char Char Char Char Char Char"/>
    <w:basedOn w:val="1"/>
    <w:qFormat/>
    <w:uiPriority w:val="0"/>
    <w:rPr>
      <w:rFonts w:ascii="Tahoma" w:hAnsi="Tahoma"/>
      <w:sz w:val="24"/>
      <w:szCs w:val="20"/>
    </w:rPr>
  </w:style>
  <w:style w:type="paragraph" w:customStyle="1" w:styleId="185">
    <w:name w:val="Char Char Char Char Char Char Char Char Char Char Char Char Char Char"/>
    <w:basedOn w:val="1"/>
    <w:qFormat/>
    <w:uiPriority w:val="0"/>
    <w:rPr>
      <w:rFonts w:ascii="Tahoma" w:hAnsi="Tahoma"/>
      <w:sz w:val="24"/>
      <w:szCs w:val="20"/>
    </w:rPr>
  </w:style>
  <w:style w:type="paragraph" w:customStyle="1" w:styleId="186">
    <w:name w:val="Char Char Char Char Char"/>
    <w:basedOn w:val="1"/>
    <w:qFormat/>
    <w:uiPriority w:val="0"/>
    <w:rPr>
      <w:rFonts w:ascii="Tahoma" w:hAnsi="Tahoma"/>
      <w:sz w:val="24"/>
      <w:szCs w:val="20"/>
    </w:rPr>
  </w:style>
  <w:style w:type="paragraph" w:customStyle="1" w:styleId="187">
    <w:name w:val="正文格式"/>
    <w:basedOn w:val="1"/>
    <w:qFormat/>
    <w:uiPriority w:val="0"/>
    <w:pPr>
      <w:widowControl/>
      <w:adjustRightInd w:val="0"/>
      <w:snapToGrid w:val="0"/>
      <w:spacing w:beforeLines="25" w:line="360" w:lineRule="auto"/>
      <w:ind w:left="178" w:right="44" w:rightChars="21" w:hanging="178" w:hangingChars="85"/>
      <w:jc w:val="left"/>
      <w:textAlignment w:val="baseline"/>
    </w:pPr>
    <w:rPr>
      <w:rFonts w:ascii="宋体" w:hAnsi="宋体"/>
      <w:bCs/>
      <w:kern w:val="0"/>
      <w:szCs w:val="21"/>
    </w:rPr>
  </w:style>
  <w:style w:type="paragraph" w:customStyle="1" w:styleId="188">
    <w:name w:val="项目符号：一级"/>
    <w:basedOn w:val="187"/>
    <w:next w:val="187"/>
    <w:uiPriority w:val="0"/>
    <w:pPr>
      <w:ind w:right="-134" w:rightChars="-64"/>
    </w:pPr>
    <w:rPr>
      <w:bCs w:val="0"/>
    </w:rPr>
  </w:style>
  <w:style w:type="paragraph" w:customStyle="1" w:styleId="189">
    <w:name w:val="正文2"/>
    <w:basedOn w:val="1"/>
    <w:qFormat/>
    <w:uiPriority w:val="0"/>
    <w:pPr>
      <w:spacing w:before="156" w:line="360" w:lineRule="auto"/>
      <w:ind w:firstLine="510" w:firstLineChars="200"/>
    </w:pPr>
    <w:rPr>
      <w:sz w:val="24"/>
      <w:szCs w:val="20"/>
    </w:rPr>
  </w:style>
  <w:style w:type="paragraph" w:customStyle="1" w:styleId="190">
    <w:name w:val="样式 样式 标题 3H3sect1.2.3BOD 0Heading 3 - oldh3l3CTLevel 3 Head... +..."/>
    <w:basedOn w:val="1"/>
    <w:uiPriority w:val="0"/>
    <w:pPr>
      <w:keepNext/>
      <w:keepLines/>
      <w:spacing w:beforeLines="50" w:afterLines="50"/>
      <w:jc w:val="left"/>
      <w:outlineLvl w:val="2"/>
    </w:pPr>
    <w:rPr>
      <w:rFonts w:cs="宋体"/>
      <w:b/>
      <w:bCs/>
      <w:sz w:val="24"/>
      <w:szCs w:val="20"/>
    </w:rPr>
  </w:style>
  <w:style w:type="paragraph" w:customStyle="1" w:styleId="191">
    <w:name w:val="样式"/>
    <w:basedOn w:val="1"/>
    <w:uiPriority w:val="0"/>
    <w:pPr>
      <w:autoSpaceDE w:val="0"/>
      <w:autoSpaceDN w:val="0"/>
      <w:snapToGrid w:val="0"/>
      <w:spacing w:before="120" w:after="120" w:line="360" w:lineRule="auto"/>
    </w:pPr>
    <w:rPr>
      <w:rFonts w:ascii="宋体"/>
      <w:sz w:val="24"/>
      <w:szCs w:val="20"/>
    </w:rPr>
  </w:style>
  <w:style w:type="paragraph" w:customStyle="1" w:styleId="192">
    <w:name w:val="段 Char"/>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93">
    <w:name w:val="正文--表格内正文"/>
    <w:basedOn w:val="1"/>
    <w:uiPriority w:val="0"/>
    <w:pPr>
      <w:spacing w:beforeLines="50" w:line="0" w:lineRule="atLeast"/>
      <w:jc w:val="center"/>
    </w:pPr>
    <w:rPr>
      <w:rFonts w:ascii="宋体" w:hAnsi="宋体"/>
      <w:color w:val="000000"/>
      <w:sz w:val="24"/>
    </w:rPr>
  </w:style>
  <w:style w:type="paragraph" w:customStyle="1" w:styleId="194">
    <w:name w:val="样式2"/>
    <w:basedOn w:val="1"/>
    <w:qFormat/>
    <w:uiPriority w:val="0"/>
    <w:pPr>
      <w:spacing w:line="360" w:lineRule="auto"/>
      <w:ind w:left="200" w:leftChars="200"/>
    </w:pPr>
    <w:rPr>
      <w:rFonts w:ascii="宋体" w:hAnsi="宋体"/>
      <w:b/>
      <w:sz w:val="24"/>
    </w:rPr>
  </w:style>
  <w:style w:type="paragraph" w:customStyle="1" w:styleId="195">
    <w:name w:val="段"/>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96">
    <w:name w:val="样式1"/>
    <w:basedOn w:val="1"/>
    <w:uiPriority w:val="0"/>
    <w:pPr>
      <w:spacing w:line="300" w:lineRule="auto"/>
      <w:ind w:firstLine="480" w:firstLineChars="200"/>
    </w:pPr>
    <w:rPr>
      <w:sz w:val="24"/>
    </w:rPr>
  </w:style>
  <w:style w:type="paragraph" w:customStyle="1" w:styleId="197">
    <w:name w:val="正文文本 21"/>
    <w:basedOn w:val="1"/>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198">
    <w:name w:val="1"/>
    <w:basedOn w:val="1"/>
    <w:next w:val="76"/>
    <w:uiPriority w:val="0"/>
    <w:pPr>
      <w:spacing w:line="360" w:lineRule="auto"/>
    </w:pPr>
    <w:rPr>
      <w:rFonts w:eastAsia="仿宋_GB2312"/>
      <w:sz w:val="24"/>
    </w:rPr>
  </w:style>
  <w:style w:type="paragraph" w:customStyle="1" w:styleId="199">
    <w:name w:val="Test2"/>
    <w:basedOn w:val="4"/>
    <w:qFormat/>
    <w:uiPriority w:val="0"/>
    <w:pPr>
      <w:widowControl/>
      <w:adjustRightInd w:val="0"/>
      <w:snapToGrid w:val="0"/>
      <w:spacing w:beforeLines="50" w:afterLines="50" w:line="480" w:lineRule="exact"/>
      <w:jc w:val="center"/>
    </w:pPr>
    <w:rPr>
      <w:rFonts w:ascii="黑体" w:hAnsi="Arial" w:eastAsia="黑体"/>
      <w:snapToGrid w:val="0"/>
      <w:kern w:val="0"/>
      <w:sz w:val="24"/>
      <w:szCs w:val="24"/>
    </w:rPr>
  </w:style>
  <w:style w:type="paragraph" w:customStyle="1" w:styleId="200">
    <w:name w:val="af17cgridlangnp1033langf"/>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201">
    <w:name w:val="表格内容"/>
    <w:basedOn w:val="1"/>
    <w:uiPriority w:val="0"/>
    <w:pPr>
      <w:widowControl/>
      <w:autoSpaceDE w:val="0"/>
      <w:autoSpaceDN w:val="0"/>
      <w:adjustRightInd w:val="0"/>
      <w:spacing w:before="60" w:line="300" w:lineRule="auto"/>
      <w:jc w:val="center"/>
      <w:textAlignment w:val="bottom"/>
    </w:pPr>
    <w:rPr>
      <w:kern w:val="0"/>
      <w:szCs w:val="20"/>
    </w:rPr>
  </w:style>
  <w:style w:type="paragraph" w:customStyle="1" w:styleId="202">
    <w:name w:val="部分1"/>
    <w:basedOn w:val="1"/>
    <w:uiPriority w:val="0"/>
    <w:pPr>
      <w:keepNext/>
      <w:pageBreakBefore/>
      <w:tabs>
        <w:tab w:val="left" w:pos="360"/>
      </w:tabs>
      <w:spacing w:line="360" w:lineRule="auto"/>
      <w:jc w:val="center"/>
      <w:outlineLvl w:val="0"/>
    </w:pPr>
    <w:rPr>
      <w:rFonts w:eastAsia="黑体"/>
      <w:b/>
      <w:kern w:val="44"/>
      <w:sz w:val="36"/>
      <w:szCs w:val="20"/>
    </w:rPr>
  </w:style>
  <w:style w:type="paragraph" w:customStyle="1" w:styleId="203">
    <w:name w:val="大标题"/>
    <w:basedOn w:val="1"/>
    <w:next w:val="1"/>
    <w:uiPriority w:val="0"/>
    <w:pPr>
      <w:pageBreakBefore/>
      <w:tabs>
        <w:tab w:val="left" w:pos="420"/>
      </w:tabs>
      <w:spacing w:line="360" w:lineRule="auto"/>
      <w:ind w:hanging="420" w:firstLineChars="200"/>
      <w:outlineLvl w:val="0"/>
    </w:pPr>
    <w:rPr>
      <w:b/>
      <w:iCs/>
      <w:sz w:val="44"/>
    </w:rPr>
  </w:style>
  <w:style w:type="paragraph" w:customStyle="1" w:styleId="204">
    <w:name w:val="正文1"/>
    <w:basedOn w:val="1"/>
    <w:next w:val="1"/>
    <w:qFormat/>
    <w:uiPriority w:val="0"/>
    <w:pPr>
      <w:spacing w:before="156" w:line="360" w:lineRule="auto"/>
      <w:ind w:firstLine="510" w:firstLineChars="200"/>
    </w:pPr>
    <w:rPr>
      <w:sz w:val="24"/>
      <w:szCs w:val="20"/>
    </w:rPr>
  </w:style>
  <w:style w:type="paragraph" w:customStyle="1" w:styleId="205">
    <w:name w:val="样式 样式 首行缩进:  0.74 厘米 行距: 1.5 倍行距 + 段后: 0.5 行"/>
    <w:basedOn w:val="1"/>
    <w:uiPriority w:val="0"/>
    <w:pPr>
      <w:spacing w:line="360" w:lineRule="auto"/>
      <w:ind w:firstLine="420"/>
    </w:pPr>
    <w:rPr>
      <w:rFonts w:ascii="楷体_GB2312" w:eastAsia="楷体_GB2312"/>
      <w:bCs/>
      <w:sz w:val="24"/>
      <w:szCs w:val="20"/>
    </w:rPr>
  </w:style>
  <w:style w:type="paragraph" w:customStyle="1" w:styleId="206">
    <w:name w:val="正文 居中"/>
    <w:basedOn w:val="1"/>
    <w:uiPriority w:val="0"/>
    <w:pPr>
      <w:spacing w:line="360" w:lineRule="auto"/>
      <w:jc w:val="center"/>
    </w:pPr>
    <w:rPr>
      <w:sz w:val="24"/>
      <w:szCs w:val="20"/>
    </w:rPr>
  </w:style>
  <w:style w:type="paragraph" w:customStyle="1" w:styleId="207">
    <w:name w:val="正文 首行缩进:  2 字符 Char Char"/>
    <w:basedOn w:val="1"/>
    <w:uiPriority w:val="0"/>
    <w:pPr>
      <w:spacing w:line="360" w:lineRule="auto"/>
      <w:ind w:firstLine="480"/>
    </w:pPr>
    <w:rPr>
      <w:rFonts w:ascii="楷体_GB2312" w:eastAsia="楷体_GB2312"/>
      <w:bCs/>
      <w:sz w:val="24"/>
    </w:rPr>
  </w:style>
  <w:style w:type="paragraph" w:customStyle="1" w:styleId="208">
    <w:name w:val="条1"/>
    <w:basedOn w:val="1"/>
    <w:uiPriority w:val="0"/>
    <w:pPr>
      <w:tabs>
        <w:tab w:val="left" w:pos="780"/>
      </w:tabs>
      <w:spacing w:before="156" w:line="360" w:lineRule="auto"/>
      <w:ind w:left="780" w:hanging="360"/>
    </w:pPr>
    <w:rPr>
      <w:rFonts w:eastAsia="黑体"/>
      <w:sz w:val="24"/>
      <w:szCs w:val="20"/>
    </w:rPr>
  </w:style>
  <w:style w:type="paragraph" w:customStyle="1" w:styleId="209">
    <w:name w:val="Char1"/>
    <w:basedOn w:val="1"/>
    <w:qFormat/>
    <w:uiPriority w:val="0"/>
    <w:rPr>
      <w:rFonts w:ascii="仿宋_GB2312" w:eastAsia="仿宋_GB2312"/>
      <w:b/>
      <w:sz w:val="32"/>
      <w:szCs w:val="32"/>
    </w:rPr>
  </w:style>
  <w:style w:type="paragraph" w:customStyle="1" w:styleId="210">
    <w:name w:val="样式4 Char"/>
    <w:basedOn w:val="1"/>
    <w:qFormat/>
    <w:uiPriority w:val="0"/>
    <w:pPr>
      <w:widowControl/>
      <w:spacing w:line="360" w:lineRule="auto"/>
      <w:ind w:firstLine="480"/>
      <w:jc w:val="left"/>
    </w:pPr>
    <w:rPr>
      <w:rFonts w:cs="宋体"/>
      <w:color w:val="000000"/>
      <w:kern w:val="0"/>
      <w:sz w:val="24"/>
    </w:rPr>
  </w:style>
  <w:style w:type="paragraph" w:customStyle="1" w:styleId="211">
    <w:name w:val="标题5，章节第五层"/>
    <w:basedOn w:val="1"/>
    <w:next w:val="1"/>
    <w:qFormat/>
    <w:uiPriority w:val="0"/>
    <w:pPr>
      <w:tabs>
        <w:tab w:val="left" w:pos="1050"/>
        <w:tab w:val="left" w:pos="2100"/>
      </w:tabs>
      <w:spacing w:before="78"/>
      <w:ind w:left="2100" w:hanging="420"/>
      <w:outlineLvl w:val="4"/>
    </w:pPr>
    <w:rPr>
      <w:rFonts w:ascii="Arial" w:hAnsi="Arial" w:eastAsia="华文细黑"/>
      <w:sz w:val="30"/>
    </w:rPr>
  </w:style>
  <w:style w:type="paragraph" w:customStyle="1" w:styleId="212">
    <w:name w:val="正文 首行缩进:  2 字符 Char"/>
    <w:basedOn w:val="1"/>
    <w:qFormat/>
    <w:uiPriority w:val="0"/>
    <w:pPr>
      <w:spacing w:line="360" w:lineRule="auto"/>
      <w:ind w:firstLine="480"/>
    </w:pPr>
    <w:rPr>
      <w:rFonts w:cs="宋体"/>
      <w:sz w:val="24"/>
      <w:szCs w:val="20"/>
    </w:rPr>
  </w:style>
  <w:style w:type="paragraph" w:customStyle="1" w:styleId="213">
    <w:name w:val="标题1，章节第一层"/>
    <w:basedOn w:val="187"/>
    <w:next w:val="187"/>
    <w:qFormat/>
    <w:uiPriority w:val="0"/>
    <w:pPr>
      <w:tabs>
        <w:tab w:val="left" w:pos="693"/>
      </w:tabs>
      <w:spacing w:beforeLines="0"/>
      <w:ind w:left="482"/>
      <w:outlineLvl w:val="0"/>
    </w:pPr>
    <w:rPr>
      <w:color w:val="000000"/>
      <w:sz w:val="24"/>
      <w:szCs w:val="24"/>
    </w:rPr>
  </w:style>
  <w:style w:type="paragraph" w:customStyle="1" w:styleId="214">
    <w:name w:val="项目符号，一级"/>
    <w:basedOn w:val="187"/>
    <w:next w:val="187"/>
    <w:qFormat/>
    <w:uiPriority w:val="0"/>
    <w:pPr>
      <w:tabs>
        <w:tab w:val="left" w:pos="1320"/>
      </w:tabs>
      <w:spacing w:line="240" w:lineRule="atLeast"/>
      <w:ind w:left="376" w:leftChars="179" w:firstLine="0"/>
    </w:pPr>
    <w:rPr>
      <w:bCs w:val="0"/>
      <w:color w:val="000000"/>
      <w:szCs w:val="24"/>
    </w:rPr>
  </w:style>
  <w:style w:type="paragraph" w:customStyle="1" w:styleId="215">
    <w:name w:val="标题4，章节第四层"/>
    <w:basedOn w:val="1"/>
    <w:next w:val="1"/>
    <w:qFormat/>
    <w:uiPriority w:val="0"/>
    <w:pPr>
      <w:tabs>
        <w:tab w:val="left" w:pos="0"/>
      </w:tabs>
      <w:spacing w:line="360" w:lineRule="auto"/>
      <w:outlineLvl w:val="3"/>
    </w:pPr>
    <w:rPr>
      <w:rFonts w:ascii="宋体" w:hAnsi="宋体"/>
      <w:b/>
      <w:sz w:val="24"/>
    </w:rPr>
  </w:style>
  <w:style w:type="paragraph" w:customStyle="1" w:styleId="216">
    <w:name w:val="flType"/>
    <w:basedOn w:val="217"/>
    <w:uiPriority w:val="0"/>
    <w:pPr>
      <w:spacing w:after="284"/>
    </w:pPr>
    <w:rPr>
      <w:rFonts w:eastAsia="宋体"/>
      <w:b w:val="0"/>
    </w:rPr>
  </w:style>
  <w:style w:type="paragraph" w:customStyle="1" w:styleId="217">
    <w:name w:val="flName"/>
    <w:basedOn w:val="218"/>
    <w:uiPriority w:val="0"/>
    <w:pPr>
      <w:spacing w:before="0" w:line="113" w:lineRule="atLeast"/>
    </w:pPr>
  </w:style>
  <w:style w:type="paragraph" w:customStyle="1" w:styleId="218">
    <w:name w:val="flNote"/>
    <w:basedOn w:val="1"/>
    <w:qFormat/>
    <w:uiPriority w:val="0"/>
    <w:pPr>
      <w:adjustRightInd w:val="0"/>
      <w:spacing w:before="567" w:line="360" w:lineRule="atLeast"/>
      <w:jc w:val="center"/>
      <w:textAlignment w:val="baseline"/>
    </w:pPr>
    <w:rPr>
      <w:rFonts w:eastAsia="黑体"/>
      <w:b/>
      <w:kern w:val="0"/>
      <w:sz w:val="24"/>
      <w:szCs w:val="20"/>
    </w:rPr>
  </w:style>
  <w:style w:type="paragraph" w:customStyle="1" w:styleId="219">
    <w:name w:val="项目符号，二级"/>
    <w:basedOn w:val="187"/>
    <w:next w:val="187"/>
    <w:uiPriority w:val="0"/>
    <w:pPr>
      <w:tabs>
        <w:tab w:val="left" w:pos="1211"/>
        <w:tab w:val="left" w:pos="1337"/>
      </w:tabs>
      <w:ind w:left="1337" w:right="-27" w:firstLine="480"/>
    </w:pPr>
    <w:rPr>
      <w:bCs w:val="0"/>
      <w:color w:val="000000"/>
      <w:sz w:val="24"/>
      <w:szCs w:val="24"/>
    </w:rPr>
  </w:style>
  <w:style w:type="paragraph" w:customStyle="1" w:styleId="220">
    <w:name w:val="标题2，章节第二层"/>
    <w:basedOn w:val="1"/>
    <w:next w:val="187"/>
    <w:qFormat/>
    <w:uiPriority w:val="0"/>
    <w:pPr>
      <w:tabs>
        <w:tab w:val="left" w:pos="630"/>
        <w:tab w:val="left" w:pos="992"/>
      </w:tabs>
      <w:adjustRightInd w:val="0"/>
      <w:snapToGrid w:val="0"/>
      <w:spacing w:beforeLines="100" w:afterLines="100" w:line="300" w:lineRule="auto"/>
      <w:ind w:left="992" w:hanging="567"/>
      <w:outlineLvl w:val="1"/>
    </w:pPr>
    <w:rPr>
      <w:rFonts w:ascii="Arial" w:hAnsi="Arial" w:eastAsia="黑体"/>
      <w:sz w:val="32"/>
    </w:rPr>
  </w:style>
  <w:style w:type="paragraph" w:customStyle="1" w:styleId="221">
    <w:name w:val="标题3，章节第三层"/>
    <w:basedOn w:val="1"/>
    <w:next w:val="187"/>
    <w:qFormat/>
    <w:uiPriority w:val="0"/>
    <w:pPr>
      <w:adjustRightInd w:val="0"/>
      <w:snapToGrid w:val="0"/>
      <w:spacing w:before="78" w:line="300" w:lineRule="auto"/>
      <w:outlineLvl w:val="2"/>
    </w:pPr>
    <w:rPr>
      <w:rFonts w:ascii="Arial" w:hAnsi="Arial" w:eastAsia="华文细黑"/>
      <w:sz w:val="30"/>
    </w:rPr>
  </w:style>
  <w:style w:type="paragraph" w:customStyle="1" w:styleId="222">
    <w:name w:val="样式 加点正文 + 段前: 0.5 行 段后: 0.5 行1"/>
    <w:basedOn w:val="1"/>
    <w:uiPriority w:val="0"/>
    <w:pPr>
      <w:tabs>
        <w:tab w:val="left" w:pos="1268"/>
      </w:tabs>
      <w:spacing w:beforeLines="50" w:afterLines="50" w:line="300" w:lineRule="auto"/>
      <w:ind w:left="1268" w:hanging="420"/>
    </w:pPr>
    <w:rPr>
      <w:sz w:val="24"/>
      <w:szCs w:val="20"/>
    </w:rPr>
  </w:style>
  <w:style w:type="paragraph" w:customStyle="1" w:styleId="223">
    <w:name w:val="样式 标题 2第一章 标题 2Heading 2 HiddenHeading 2 CCBSheading 2H2h2..."/>
    <w:basedOn w:val="4"/>
    <w:qFormat/>
    <w:uiPriority w:val="0"/>
    <w:pPr>
      <w:keepLines w:val="0"/>
      <w:tabs>
        <w:tab w:val="left" w:pos="360"/>
      </w:tabs>
      <w:adjustRightInd w:val="0"/>
      <w:spacing w:beforeLines="50" w:afterLines="50" w:line="240" w:lineRule="auto"/>
      <w:ind w:left="360" w:hanging="360"/>
      <w:jc w:val="center"/>
      <w:textAlignment w:val="baseline"/>
    </w:pPr>
    <w:rPr>
      <w:rFonts w:ascii="黑体" w:hAnsi="Times New Roman" w:eastAsia="黑体" w:cs="宋体"/>
      <w:b w:val="0"/>
      <w:bCs w:val="0"/>
      <w:kern w:val="0"/>
      <w:szCs w:val="20"/>
    </w:rPr>
  </w:style>
  <w:style w:type="paragraph" w:customStyle="1" w:styleId="224">
    <w:name w:val="正文lzq"/>
    <w:basedOn w:val="1"/>
    <w:uiPriority w:val="0"/>
    <w:pPr>
      <w:adjustRightInd w:val="0"/>
      <w:spacing w:line="360" w:lineRule="auto"/>
      <w:ind w:firstLine="480"/>
      <w:textAlignment w:val="baseline"/>
    </w:pPr>
    <w:rPr>
      <w:kern w:val="0"/>
      <w:sz w:val="24"/>
      <w:szCs w:val="20"/>
    </w:rPr>
  </w:style>
  <w:style w:type="paragraph" w:customStyle="1" w:styleId="225">
    <w:name w:val="样式 标题 3H3sect1.2.3BOD 0Heading 3 - oldh3l3CTLevel 3 Head..."/>
    <w:basedOn w:val="5"/>
    <w:qFormat/>
    <w:uiPriority w:val="0"/>
    <w:pPr>
      <w:spacing w:beforeLines="50" w:afterLines="50" w:line="240" w:lineRule="auto"/>
      <w:jc w:val="left"/>
    </w:pPr>
    <w:rPr>
      <w:rFonts w:cs="宋体"/>
      <w:sz w:val="30"/>
      <w:szCs w:val="20"/>
    </w:rPr>
  </w:style>
  <w:style w:type="paragraph" w:customStyle="1" w:styleId="226">
    <w:name w:val="zw"/>
    <w:basedOn w:val="1"/>
    <w:qFormat/>
    <w:uiPriority w:val="0"/>
    <w:pPr>
      <w:widowControl/>
      <w:spacing w:line="360" w:lineRule="auto"/>
      <w:ind w:firstLine="480" w:firstLineChars="200"/>
      <w:jc w:val="left"/>
    </w:pPr>
    <w:rPr>
      <w:rFonts w:ascii="宋体" w:hAnsi="宋体"/>
      <w:bCs/>
      <w:kern w:val="0"/>
      <w:sz w:val="24"/>
      <w:szCs w:val="20"/>
    </w:rPr>
  </w:style>
  <w:style w:type="paragraph" w:customStyle="1" w:styleId="227">
    <w:name w:val="章标题"/>
    <w:next w:val="195"/>
    <w:uiPriority w:val="0"/>
    <w:pPr>
      <w:spacing w:beforeLines="50" w:afterLines="50"/>
      <w:jc w:val="both"/>
      <w:outlineLvl w:val="1"/>
    </w:pPr>
    <w:rPr>
      <w:rFonts w:ascii="Times New Roman" w:hAnsi="Times New Roman" w:eastAsia="黑体" w:cs="Times New Roman"/>
      <w:sz w:val="21"/>
      <w:lang w:val="en-US" w:eastAsia="zh-CN" w:bidi="ar-SA"/>
    </w:rPr>
  </w:style>
  <w:style w:type="paragraph" w:customStyle="1" w:styleId="228">
    <w:name w:val="二级条标题"/>
    <w:basedOn w:val="1"/>
    <w:next w:val="195"/>
    <w:qFormat/>
    <w:uiPriority w:val="0"/>
    <w:pPr>
      <w:widowControl/>
      <w:tabs>
        <w:tab w:val="left" w:pos="2240"/>
      </w:tabs>
      <w:ind w:hanging="420"/>
      <w:outlineLvl w:val="3"/>
    </w:pPr>
    <w:rPr>
      <w:rFonts w:eastAsia="黑体"/>
      <w:kern w:val="0"/>
      <w:szCs w:val="20"/>
    </w:rPr>
  </w:style>
  <w:style w:type="paragraph" w:customStyle="1" w:styleId="229">
    <w:name w:val="样式3"/>
    <w:basedOn w:val="1"/>
    <w:next w:val="1"/>
    <w:uiPriority w:val="0"/>
    <w:pPr>
      <w:spacing w:line="360" w:lineRule="auto"/>
    </w:pPr>
    <w:rPr>
      <w:szCs w:val="20"/>
    </w:rPr>
  </w:style>
  <w:style w:type="paragraph" w:customStyle="1" w:styleId="230">
    <w:name w:val="Char Char Char"/>
    <w:basedOn w:val="1"/>
    <w:uiPriority w:val="0"/>
    <w:rPr>
      <w:rFonts w:ascii="Tahoma" w:hAnsi="Tahoma"/>
      <w:sz w:val="24"/>
      <w:szCs w:val="20"/>
    </w:rPr>
  </w:style>
  <w:style w:type="paragraph" w:customStyle="1" w:styleId="231">
    <w:name w:val="正文表标题"/>
    <w:next w:val="195"/>
    <w:uiPriority w:val="0"/>
    <w:pPr>
      <w:tabs>
        <w:tab w:val="left" w:pos="900"/>
      </w:tabs>
      <w:ind w:left="900" w:hanging="420"/>
      <w:jc w:val="center"/>
    </w:pPr>
    <w:rPr>
      <w:rFonts w:ascii="黑体" w:hAnsi="Times New Roman" w:eastAsia="黑体" w:cs="Times New Roman"/>
      <w:sz w:val="21"/>
      <w:lang w:val="en-US" w:eastAsia="zh-CN" w:bidi="ar-SA"/>
    </w:rPr>
  </w:style>
  <w:style w:type="paragraph" w:customStyle="1" w:styleId="232">
    <w:name w:val="丁华正文"/>
    <w:basedOn w:val="70"/>
    <w:qFormat/>
    <w:uiPriority w:val="0"/>
    <w:pPr>
      <w:autoSpaceDE w:val="0"/>
      <w:autoSpaceDN w:val="0"/>
      <w:adjustRightInd w:val="0"/>
      <w:snapToGrid w:val="0"/>
      <w:spacing w:before="0" w:after="0" w:line="360" w:lineRule="auto"/>
      <w:ind w:left="0" w:firstLine="510"/>
    </w:pPr>
    <w:rPr>
      <w:rFonts w:ascii="宋体" w:hAnsi="Arial"/>
      <w:bCs w:val="0"/>
      <w:color w:val="000000"/>
      <w:szCs w:val="16"/>
    </w:rPr>
  </w:style>
  <w:style w:type="paragraph" w:customStyle="1" w:styleId="233">
    <w:name w:val="丁华标题2"/>
    <w:basedOn w:val="4"/>
    <w:next w:val="232"/>
    <w:qFormat/>
    <w:uiPriority w:val="0"/>
    <w:pPr>
      <w:tabs>
        <w:tab w:val="left" w:pos="567"/>
      </w:tabs>
      <w:autoSpaceDE w:val="0"/>
      <w:autoSpaceDN w:val="0"/>
      <w:adjustRightInd w:val="0"/>
      <w:spacing w:before="120" w:after="120"/>
      <w:ind w:left="567" w:hanging="567"/>
      <w:jc w:val="left"/>
    </w:pPr>
    <w:rPr>
      <w:rFonts w:ascii="Arial" w:hAnsi="Arial" w:eastAsia="黑体"/>
      <w:color w:val="000000"/>
      <w:sz w:val="28"/>
      <w:szCs w:val="20"/>
    </w:rPr>
  </w:style>
  <w:style w:type="paragraph" w:customStyle="1" w:styleId="234">
    <w:name w:val="马刚标题1"/>
    <w:basedOn w:val="3"/>
    <w:next w:val="1"/>
    <w:qFormat/>
    <w:uiPriority w:val="0"/>
    <w:pPr>
      <w:tabs>
        <w:tab w:val="left" w:pos="315"/>
        <w:tab w:val="left" w:pos="567"/>
      </w:tabs>
      <w:spacing w:before="400" w:after="120"/>
      <w:ind w:left="567" w:hanging="567"/>
      <w:jc w:val="left"/>
    </w:pPr>
    <w:rPr>
      <w:rFonts w:eastAsia="黑体"/>
      <w:b w:val="0"/>
      <w:bCs w:val="0"/>
      <w:sz w:val="32"/>
      <w:szCs w:val="20"/>
    </w:rPr>
  </w:style>
  <w:style w:type="paragraph" w:customStyle="1" w:styleId="235">
    <w:name w:val="马刚标题3"/>
    <w:basedOn w:val="1"/>
    <w:next w:val="1"/>
    <w:uiPriority w:val="0"/>
    <w:pPr>
      <w:keepNext/>
      <w:keepLines/>
      <w:tabs>
        <w:tab w:val="left" w:pos="567"/>
        <w:tab w:val="left" w:pos="735"/>
      </w:tabs>
      <w:spacing w:before="120" w:after="60" w:line="413" w:lineRule="auto"/>
      <w:ind w:left="567" w:hanging="567"/>
      <w:jc w:val="left"/>
      <w:outlineLvl w:val="2"/>
    </w:pPr>
    <w:rPr>
      <w:rFonts w:ascii="黑体" w:hAnsi="Arial" w:eastAsia="黑体"/>
      <w:b/>
      <w:bCs/>
      <w:sz w:val="24"/>
      <w:szCs w:val="20"/>
    </w:rPr>
  </w:style>
  <w:style w:type="paragraph" w:customStyle="1" w:styleId="236">
    <w:name w:val="Char Char Char Char Char Char Char1"/>
    <w:basedOn w:val="1"/>
    <w:uiPriority w:val="0"/>
    <w:pPr>
      <w:jc w:val="left"/>
    </w:pPr>
    <w:rPr>
      <w:rFonts w:ascii="Tahoma" w:hAnsi="Tahoma"/>
      <w:sz w:val="24"/>
      <w:szCs w:val="20"/>
    </w:rPr>
  </w:style>
  <w:style w:type="paragraph" w:customStyle="1" w:styleId="237">
    <w:name w:val="插图"/>
    <w:basedOn w:val="1"/>
    <w:uiPriority w:val="0"/>
    <w:pPr>
      <w:tabs>
        <w:tab w:val="left" w:pos="1620"/>
      </w:tabs>
      <w:adjustRightInd w:val="0"/>
      <w:jc w:val="center"/>
    </w:pPr>
    <w:rPr>
      <w:bCs/>
      <w:color w:val="000000"/>
      <w:szCs w:val="22"/>
    </w:rPr>
  </w:style>
  <w:style w:type="paragraph" w:customStyle="1" w:styleId="238">
    <w:name w:val="马刚标题4"/>
    <w:basedOn w:val="235"/>
    <w:next w:val="1"/>
    <w:qFormat/>
    <w:uiPriority w:val="0"/>
    <w:pPr>
      <w:tabs>
        <w:tab w:val="left" w:pos="1050"/>
        <w:tab w:val="clear" w:pos="567"/>
        <w:tab w:val="clear" w:pos="735"/>
      </w:tabs>
      <w:spacing w:before="100" w:after="40"/>
      <w:outlineLvl w:val="3"/>
    </w:pPr>
    <w:rPr>
      <w:b w:val="0"/>
    </w:rPr>
  </w:style>
  <w:style w:type="paragraph" w:customStyle="1" w:styleId="239">
    <w:name w:val="Char1 Char Char Char"/>
    <w:basedOn w:val="1"/>
    <w:uiPriority w:val="0"/>
    <w:rPr>
      <w:rFonts w:ascii="Tahoma" w:hAnsi="Tahoma"/>
      <w:sz w:val="24"/>
      <w:szCs w:val="20"/>
    </w:rPr>
  </w:style>
  <w:style w:type="paragraph" w:customStyle="1" w:styleId="240">
    <w:name w:val="一级标题"/>
    <w:basedOn w:val="1"/>
    <w:qFormat/>
    <w:uiPriority w:val="0"/>
    <w:pPr>
      <w:tabs>
        <w:tab w:val="left" w:pos="903"/>
      </w:tabs>
      <w:spacing w:line="360" w:lineRule="auto"/>
      <w:ind w:left="900" w:hanging="420"/>
    </w:pPr>
    <w:rPr>
      <w:rFonts w:ascii="Arial" w:hAnsi="Arial"/>
      <w:sz w:val="24"/>
      <w:szCs w:val="20"/>
    </w:rPr>
  </w:style>
  <w:style w:type="paragraph" w:customStyle="1" w:styleId="241">
    <w:name w:val="Char Char Char1"/>
    <w:basedOn w:val="1"/>
    <w:qFormat/>
    <w:uiPriority w:val="0"/>
    <w:rPr>
      <w:rFonts w:ascii="Tahoma" w:hAnsi="Tahoma"/>
      <w:sz w:val="24"/>
      <w:szCs w:val="20"/>
    </w:rPr>
  </w:style>
  <w:style w:type="paragraph" w:customStyle="1" w:styleId="242">
    <w:name w:val="Char Char1 Char"/>
    <w:basedOn w:val="1"/>
    <w:uiPriority w:val="0"/>
    <w:pPr>
      <w:widowControl/>
      <w:spacing w:after="160" w:line="240" w:lineRule="exact"/>
      <w:jc w:val="left"/>
    </w:pPr>
    <w:rPr>
      <w:rFonts w:ascii="Verdana" w:hAnsi="Verdana"/>
      <w:kern w:val="0"/>
      <w:sz w:val="20"/>
      <w:szCs w:val="20"/>
      <w:lang w:eastAsia="en-US"/>
    </w:rPr>
  </w:style>
  <w:style w:type="paragraph" w:customStyle="1" w:styleId="243">
    <w:name w:val="qw"/>
    <w:uiPriority w:val="0"/>
    <w:pPr>
      <w:widowControl w:val="0"/>
      <w:adjustRightInd w:val="0"/>
      <w:spacing w:line="312" w:lineRule="atLeast"/>
      <w:jc w:val="both"/>
      <w:textAlignment w:val="baseline"/>
    </w:pPr>
    <w:rPr>
      <w:rFonts w:ascii="宋体" w:hAnsi="Times New Roman" w:eastAsia="宋体" w:cs="Times New Roman"/>
      <w:sz w:val="24"/>
      <w:lang w:val="en-US" w:eastAsia="zh-CN" w:bidi="ar-SA"/>
    </w:rPr>
  </w:style>
  <w:style w:type="paragraph" w:customStyle="1" w:styleId="244">
    <w:name w:val="Char Char Char Char1"/>
    <w:basedOn w:val="26"/>
    <w:uiPriority w:val="0"/>
    <w:pPr>
      <w:adjustRightInd w:val="0"/>
      <w:snapToGrid w:val="0"/>
      <w:spacing w:line="360" w:lineRule="auto"/>
    </w:pPr>
    <w:rPr>
      <w:rFonts w:ascii="Tahoma" w:hAnsi="Tahoma"/>
      <w:sz w:val="24"/>
    </w:rPr>
  </w:style>
  <w:style w:type="paragraph" w:customStyle="1" w:styleId="245">
    <w:name w:val="标题 4宋体"/>
    <w:basedOn w:val="6"/>
    <w:qFormat/>
    <w:uiPriority w:val="0"/>
    <w:pPr>
      <w:keepLines w:val="0"/>
      <w:autoSpaceDE w:val="0"/>
      <w:autoSpaceDN w:val="0"/>
      <w:adjustRightInd w:val="0"/>
      <w:spacing w:before="0" w:after="0" w:line="360" w:lineRule="auto"/>
      <w:jc w:val="left"/>
    </w:pPr>
    <w:rPr>
      <w:rFonts w:ascii="宋体" w:hAnsi="宋体" w:eastAsia="宋体"/>
      <w:color w:val="000000"/>
      <w:kern w:val="0"/>
      <w:sz w:val="24"/>
      <w:szCs w:val="20"/>
    </w:rPr>
  </w:style>
  <w:style w:type="paragraph" w:customStyle="1" w:styleId="246">
    <w:name w:val="符号与编号 Char Char"/>
    <w:basedOn w:val="1"/>
    <w:qFormat/>
    <w:uiPriority w:val="0"/>
    <w:pPr>
      <w:tabs>
        <w:tab w:val="left" w:pos="840"/>
      </w:tabs>
      <w:spacing w:afterLines="50" w:line="400" w:lineRule="atLeast"/>
      <w:ind w:left="839" w:hanging="419"/>
    </w:pPr>
    <w:rPr>
      <w:sz w:val="24"/>
    </w:rPr>
  </w:style>
  <w:style w:type="paragraph" w:customStyle="1" w:styleId="247">
    <w:name w:val="小四 段落 宋体 Char Char"/>
    <w:basedOn w:val="1"/>
    <w:uiPriority w:val="0"/>
    <w:pPr>
      <w:spacing w:line="360" w:lineRule="auto"/>
      <w:ind w:firstLine="480" w:firstLineChars="200"/>
    </w:pPr>
    <w:rPr>
      <w:rFonts w:ascii="宋体" w:hAnsi="宋体"/>
      <w:sz w:val="24"/>
    </w:rPr>
  </w:style>
  <w:style w:type="paragraph" w:customStyle="1" w:styleId="248">
    <w:name w:val="小四 段落 宋体 Char"/>
    <w:basedOn w:val="20"/>
    <w:qFormat/>
    <w:uiPriority w:val="0"/>
    <w:pPr>
      <w:tabs>
        <w:tab w:val="clear" w:pos="2952"/>
      </w:tabs>
      <w:ind w:left="0" w:right="-33" w:firstLine="600" w:firstLineChars="200"/>
      <w:jc w:val="left"/>
    </w:pPr>
    <w:rPr>
      <w:rFonts w:ascii="仿宋_GB2312" w:eastAsia="仿宋_GB2312"/>
      <w:sz w:val="30"/>
      <w:szCs w:val="30"/>
    </w:rPr>
  </w:style>
  <w:style w:type="paragraph" w:customStyle="1" w:styleId="249">
    <w:name w:val="符号与编号"/>
    <w:basedOn w:val="1"/>
    <w:qFormat/>
    <w:uiPriority w:val="0"/>
    <w:pPr>
      <w:tabs>
        <w:tab w:val="left" w:pos="900"/>
      </w:tabs>
      <w:spacing w:afterLines="50" w:line="400" w:lineRule="atLeast"/>
      <w:ind w:left="900" w:hanging="420"/>
    </w:pPr>
    <w:rPr>
      <w:sz w:val="24"/>
    </w:rPr>
  </w:style>
  <w:style w:type="paragraph" w:customStyle="1" w:styleId="250">
    <w:name w:val="默认段落字体 Para Char"/>
    <w:basedOn w:val="1"/>
    <w:qFormat/>
    <w:uiPriority w:val="0"/>
    <w:pPr>
      <w:adjustRightInd w:val="0"/>
      <w:spacing w:line="360" w:lineRule="auto"/>
    </w:pPr>
    <w:rPr>
      <w:kern w:val="0"/>
      <w:sz w:val="24"/>
    </w:rPr>
  </w:style>
  <w:style w:type="paragraph" w:customStyle="1" w:styleId="251">
    <w:name w:val="符号与编号 Char"/>
    <w:basedOn w:val="1"/>
    <w:qFormat/>
    <w:uiPriority w:val="0"/>
    <w:pPr>
      <w:tabs>
        <w:tab w:val="left" w:pos="720"/>
      </w:tabs>
      <w:spacing w:afterLines="50" w:line="400" w:lineRule="atLeast"/>
      <w:ind w:left="720"/>
    </w:pPr>
    <w:rPr>
      <w:sz w:val="24"/>
    </w:rPr>
  </w:style>
  <w:style w:type="paragraph" w:customStyle="1" w:styleId="252">
    <w:name w:val="Char Char1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253">
    <w:name w:val="表格内文字"/>
    <w:basedOn w:val="1"/>
    <w:qFormat/>
    <w:uiPriority w:val="0"/>
    <w:pPr>
      <w:spacing w:line="300" w:lineRule="atLeast"/>
    </w:pPr>
    <w:rPr>
      <w:sz w:val="18"/>
    </w:rPr>
  </w:style>
  <w:style w:type="paragraph" w:customStyle="1" w:styleId="254">
    <w:name w:val="7"/>
    <w:basedOn w:val="1"/>
    <w:next w:val="80"/>
    <w:qFormat/>
    <w:uiPriority w:val="0"/>
    <w:pPr>
      <w:widowControl/>
      <w:spacing w:before="100" w:beforeAutospacing="1" w:after="100" w:afterAutospacing="1"/>
      <w:jc w:val="left"/>
    </w:pPr>
    <w:rPr>
      <w:rFonts w:ascii="宋体" w:hAnsi="宋体"/>
      <w:kern w:val="0"/>
      <w:sz w:val="24"/>
      <w:szCs w:val="20"/>
    </w:rPr>
  </w:style>
  <w:style w:type="paragraph" w:customStyle="1" w:styleId="255">
    <w:name w:val="公文正文"/>
    <w:basedOn w:val="35"/>
    <w:uiPriority w:val="0"/>
    <w:pPr>
      <w:spacing w:after="0"/>
      <w:ind w:left="0" w:leftChars="0" w:firstLine="200" w:firstLineChars="200"/>
    </w:pPr>
    <w:rPr>
      <w:rFonts w:ascii="仿宋_GB2312" w:hAnsi="宋体" w:eastAsia="仿宋_GB2312"/>
      <w:kern w:val="28"/>
      <w:sz w:val="28"/>
    </w:rPr>
  </w:style>
  <w:style w:type="paragraph" w:customStyle="1" w:styleId="256">
    <w:name w:val="表头_5"/>
    <w:basedOn w:val="1"/>
    <w:qFormat/>
    <w:uiPriority w:val="0"/>
    <w:pPr>
      <w:adjustRightInd w:val="0"/>
      <w:spacing w:line="360" w:lineRule="auto"/>
      <w:textAlignment w:val="baseline"/>
    </w:pPr>
    <w:rPr>
      <w:b/>
      <w:bCs/>
      <w:sz w:val="28"/>
      <w:szCs w:val="21"/>
    </w:rPr>
  </w:style>
  <w:style w:type="paragraph" w:customStyle="1" w:styleId="257">
    <w:name w:val="content_lineheight"/>
    <w:basedOn w:val="1"/>
    <w:qFormat/>
    <w:uiPriority w:val="0"/>
    <w:pPr>
      <w:widowControl/>
      <w:spacing w:before="100" w:beforeAutospacing="1" w:after="100" w:afterAutospacing="1"/>
      <w:jc w:val="left"/>
    </w:pPr>
    <w:rPr>
      <w:rFonts w:ascii="宋体" w:hAnsi="宋体"/>
      <w:kern w:val="0"/>
      <w:sz w:val="24"/>
    </w:rPr>
  </w:style>
  <w:style w:type="paragraph" w:customStyle="1" w:styleId="258">
    <w:name w:val="段落"/>
    <w:uiPriority w:val="0"/>
    <w:pPr>
      <w:adjustRightInd w:val="0"/>
      <w:snapToGrid w:val="0"/>
      <w:spacing w:before="120" w:after="120" w:line="360" w:lineRule="auto"/>
      <w:ind w:firstLine="480" w:firstLineChars="200"/>
      <w:jc w:val="both"/>
    </w:pPr>
    <w:rPr>
      <w:rFonts w:ascii="Times New Roman" w:hAnsi="Times New Roman" w:eastAsia="仿宋_GB2312" w:cs="Times New Roman"/>
      <w:kern w:val="2"/>
      <w:sz w:val="24"/>
      <w:szCs w:val="24"/>
      <w:lang w:val="en-US" w:eastAsia="zh-CN" w:bidi="ar-SA"/>
    </w:rPr>
  </w:style>
  <w:style w:type="paragraph" w:customStyle="1" w:styleId="259">
    <w:name w:val="公文标题 2"/>
    <w:basedOn w:val="1"/>
    <w:next w:val="255"/>
    <w:qFormat/>
    <w:uiPriority w:val="0"/>
    <w:pPr>
      <w:outlineLvl w:val="1"/>
    </w:pPr>
    <w:rPr>
      <w:rFonts w:ascii="仿宋_GB2312" w:hAnsi="宋体" w:eastAsia="仿宋_GB2312"/>
      <w:kern w:val="28"/>
      <w:sz w:val="28"/>
    </w:rPr>
  </w:style>
  <w:style w:type="paragraph" w:customStyle="1" w:styleId="260">
    <w:name w:val="正文缩进2字符"/>
    <w:basedOn w:val="1"/>
    <w:uiPriority w:val="0"/>
    <w:pPr>
      <w:adjustRightInd w:val="0"/>
      <w:snapToGrid w:val="0"/>
      <w:spacing w:line="300" w:lineRule="auto"/>
      <w:ind w:firstLine="200" w:firstLineChars="200"/>
    </w:pPr>
    <w:rPr>
      <w:rFonts w:ascii="仿宋_GB2312" w:eastAsia="仿宋_GB2312"/>
      <w:sz w:val="32"/>
      <w:szCs w:val="32"/>
    </w:rPr>
  </w:style>
  <w:style w:type="paragraph" w:customStyle="1" w:styleId="261">
    <w:name w:val="方案正文"/>
    <w:basedOn w:val="1"/>
    <w:link w:val="262"/>
    <w:qFormat/>
    <w:uiPriority w:val="0"/>
    <w:pPr>
      <w:spacing w:before="156" w:line="360" w:lineRule="auto"/>
      <w:ind w:firstLine="359" w:firstLineChars="171"/>
      <w:jc w:val="left"/>
    </w:pPr>
    <w:rPr>
      <w:rFonts w:ascii="Arial" w:hAnsi="Arial" w:cs="宋体"/>
      <w:sz w:val="24"/>
      <w:szCs w:val="21"/>
    </w:rPr>
  </w:style>
  <w:style w:type="character" w:customStyle="1" w:styleId="262">
    <w:name w:val="方案正文 Char"/>
    <w:link w:val="261"/>
    <w:qFormat/>
    <w:uiPriority w:val="0"/>
    <w:rPr>
      <w:rFonts w:ascii="Arial" w:hAnsi="Arial" w:eastAsia="宋体" w:cs="宋体"/>
      <w:kern w:val="2"/>
      <w:sz w:val="24"/>
      <w:szCs w:val="21"/>
      <w:lang w:val="en-US" w:eastAsia="zh-CN" w:bidi="ar-SA"/>
    </w:rPr>
  </w:style>
  <w:style w:type="paragraph" w:customStyle="1" w:styleId="263">
    <w:name w:val="Char Char Char Char Char Char Char1 Char"/>
    <w:basedOn w:val="1"/>
    <w:qFormat/>
    <w:uiPriority w:val="0"/>
    <w:rPr>
      <w:rFonts w:ascii="Tahoma" w:hAnsi="Tahoma"/>
      <w:sz w:val="24"/>
      <w:szCs w:val="20"/>
    </w:rPr>
  </w:style>
  <w:style w:type="paragraph" w:customStyle="1" w:styleId="264">
    <w:name w:val="纯文本1"/>
    <w:basedOn w:val="1"/>
    <w:qFormat/>
    <w:uiPriority w:val="0"/>
    <w:pPr>
      <w:adjustRightInd w:val="0"/>
      <w:textAlignment w:val="baseline"/>
    </w:pPr>
    <w:rPr>
      <w:rFonts w:ascii="宋体" w:hAnsi="Courier New" w:eastAsia="楷体_GB2312"/>
      <w:sz w:val="28"/>
      <w:szCs w:val="20"/>
    </w:rPr>
  </w:style>
  <w:style w:type="character" w:customStyle="1" w:styleId="265">
    <w:name w:val="apple-style-span"/>
    <w:qFormat/>
    <w:uiPriority w:val="0"/>
  </w:style>
  <w:style w:type="character" w:customStyle="1" w:styleId="266">
    <w:name w:val="标题 3 Char1"/>
    <w:qFormat/>
    <w:uiPriority w:val="0"/>
    <w:rPr>
      <w:rFonts w:eastAsia="宋体"/>
      <w:b/>
      <w:bCs/>
      <w:kern w:val="2"/>
      <w:sz w:val="32"/>
      <w:szCs w:val="32"/>
      <w:lang w:val="en-US" w:eastAsia="zh-CN" w:bidi="ar-SA"/>
    </w:rPr>
  </w:style>
  <w:style w:type="character" w:customStyle="1" w:styleId="267">
    <w:name w:val="Table Text Char Char"/>
    <w:link w:val="268"/>
    <w:qFormat/>
    <w:uiPriority w:val="0"/>
    <w:rPr>
      <w:rFonts w:ascii="Arial" w:hAnsi="Arial" w:eastAsia="Times New Roman" w:cs="Arial"/>
      <w:sz w:val="21"/>
      <w:szCs w:val="21"/>
      <w:lang w:val="en-US" w:eastAsia="zh-CN" w:bidi="ar-SA"/>
    </w:rPr>
  </w:style>
  <w:style w:type="paragraph" w:customStyle="1" w:styleId="268">
    <w:name w:val="Table Text Char"/>
    <w:link w:val="267"/>
    <w:qFormat/>
    <w:uiPriority w:val="0"/>
    <w:pPr>
      <w:snapToGrid w:val="0"/>
      <w:spacing w:before="80" w:after="80"/>
    </w:pPr>
    <w:rPr>
      <w:rFonts w:ascii="Arial" w:hAnsi="Arial" w:eastAsia="Times New Roman" w:cs="Arial"/>
      <w:sz w:val="21"/>
      <w:szCs w:val="21"/>
      <w:lang w:val="en-US" w:eastAsia="zh-CN" w:bidi="ar-SA"/>
    </w:rPr>
  </w:style>
  <w:style w:type="character" w:customStyle="1" w:styleId="269">
    <w:name w:val="Table Text Char Char Char Char Char Char"/>
    <w:qFormat/>
    <w:uiPriority w:val="0"/>
    <w:rPr>
      <w:rFonts w:ascii="Arial" w:hAnsi="Arial" w:eastAsia="宋体" w:cs="Arial"/>
      <w:kern w:val="2"/>
      <w:sz w:val="18"/>
      <w:szCs w:val="18"/>
      <w:lang w:val="en-US" w:eastAsia="zh-CN" w:bidi="ar-SA"/>
    </w:rPr>
  </w:style>
  <w:style w:type="character" w:customStyle="1" w:styleId="270">
    <w:name w:val="textcontents"/>
    <w:basedOn w:val="90"/>
    <w:qFormat/>
    <w:uiPriority w:val="0"/>
  </w:style>
  <w:style w:type="paragraph" w:customStyle="1" w:styleId="271">
    <w:name w:val="网格型1"/>
    <w:uiPriority w:val="0"/>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 w:val="left" w:pos="13440"/>
        <w:tab w:val="left" w:pos="13860"/>
        <w:tab w:val="left" w:pos="14280"/>
        <w:tab w:val="left" w:pos="14700"/>
        <w:tab w:val="left" w:pos="15120"/>
        <w:tab w:val="left" w:pos="15540"/>
        <w:tab w:val="left" w:pos="15960"/>
        <w:tab w:val="left" w:pos="16380"/>
        <w:tab w:val="left" w:pos="16800"/>
        <w:tab w:val="left" w:pos="17220"/>
        <w:tab w:val="left" w:pos="17640"/>
        <w:tab w:val="left" w:pos="18060"/>
        <w:tab w:val="left" w:pos="18480"/>
        <w:tab w:val="left" w:pos="18900"/>
        <w:tab w:val="left" w:pos="19320"/>
        <w:tab w:val="left" w:pos="19740"/>
        <w:tab w:val="left" w:pos="20160"/>
        <w:tab w:val="left" w:pos="20580"/>
        <w:tab w:val="left" w:pos="21000"/>
        <w:tab w:val="left" w:pos="21420"/>
        <w:tab w:val="left" w:pos="21840"/>
        <w:tab w:val="left" w:pos="22260"/>
        <w:tab w:val="left" w:pos="22680"/>
        <w:tab w:val="left" w:pos="23100"/>
        <w:tab w:val="left" w:pos="23520"/>
        <w:tab w:val="left" w:pos="23940"/>
        <w:tab w:val="left" w:pos="24360"/>
        <w:tab w:val="left" w:pos="24780"/>
        <w:tab w:val="left" w:pos="25200"/>
        <w:tab w:val="left" w:pos="25620"/>
        <w:tab w:val="left" w:pos="26040"/>
        <w:tab w:val="left" w:pos="26460"/>
        <w:tab w:val="left" w:pos="26880"/>
      </w:tabs>
      <w:spacing w:line="360" w:lineRule="exact"/>
      <w:jc w:val="center"/>
    </w:pPr>
    <w:rPr>
      <w:rFonts w:ascii="仿宋_GB2312" w:hAnsi="Times New Roman" w:eastAsia="仿宋_GB2312" w:cs="Times New Roman"/>
      <w:color w:val="000000"/>
      <w:kern w:val="2"/>
      <w:sz w:val="24"/>
      <w:szCs w:val="24"/>
      <w:lang w:val="en-US" w:eastAsia="zh-CN" w:bidi="ar-SA"/>
    </w:rPr>
  </w:style>
  <w:style w:type="paragraph" w:customStyle="1" w:styleId="272">
    <w:name w:val="table_1stline"/>
    <w:basedOn w:val="1"/>
    <w:qFormat/>
    <w:uiPriority w:val="0"/>
    <w:pPr>
      <w:widowControl/>
      <w:spacing w:before="120"/>
      <w:jc w:val="left"/>
    </w:pPr>
    <w:rPr>
      <w:bCs/>
      <w:kern w:val="0"/>
      <w:sz w:val="20"/>
      <w:szCs w:val="20"/>
      <w:lang w:val="de-DE" w:eastAsia="de-DE"/>
    </w:rPr>
  </w:style>
  <w:style w:type="paragraph" w:customStyle="1" w:styleId="273">
    <w:name w:val="table_lines"/>
    <w:basedOn w:val="1"/>
    <w:qFormat/>
    <w:uiPriority w:val="0"/>
    <w:pPr>
      <w:widowControl/>
      <w:jc w:val="left"/>
    </w:pPr>
    <w:rPr>
      <w:kern w:val="0"/>
      <w:sz w:val="20"/>
      <w:szCs w:val="20"/>
      <w:lang w:val="de-DE" w:eastAsia="de-DE"/>
    </w:rPr>
  </w:style>
  <w:style w:type="character" w:customStyle="1" w:styleId="274">
    <w:name w:val="脚注文本 Char"/>
    <w:link w:val="67"/>
    <w:qFormat/>
    <w:uiPriority w:val="0"/>
    <w:rPr>
      <w:kern w:val="2"/>
      <w:sz w:val="18"/>
      <w:szCs w:val="18"/>
    </w:rPr>
  </w:style>
  <w:style w:type="paragraph" w:customStyle="1" w:styleId="275">
    <w:name w:val="Char Char Char Char Char Char Char Char Char Char Char Char Char Char Char Char"/>
    <w:basedOn w:val="1"/>
    <w:qFormat/>
    <w:uiPriority w:val="0"/>
    <w:rPr>
      <w:rFonts w:ascii="Tahoma" w:hAnsi="Tahoma"/>
      <w:sz w:val="24"/>
      <w:szCs w:val="20"/>
    </w:rPr>
  </w:style>
  <w:style w:type="paragraph" w:customStyle="1" w:styleId="276">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77">
    <w:name w:val="a1"/>
    <w:basedOn w:val="1"/>
    <w:qFormat/>
    <w:uiPriority w:val="0"/>
    <w:pPr>
      <w:widowControl/>
      <w:spacing w:before="100" w:beforeAutospacing="1" w:after="100" w:afterAutospacing="1"/>
      <w:jc w:val="left"/>
    </w:pPr>
    <w:rPr>
      <w:rFonts w:ascii="宋体" w:hAnsi="宋体" w:cs="宋体"/>
      <w:kern w:val="0"/>
      <w:sz w:val="24"/>
      <w:lang w:bidi="mr-IN"/>
    </w:rPr>
  </w:style>
  <w:style w:type="paragraph" w:customStyle="1" w:styleId="278">
    <w:name w:val="小四 段落 宋体 Char Char Char"/>
    <w:basedOn w:val="20"/>
    <w:qFormat/>
    <w:uiPriority w:val="0"/>
    <w:pPr>
      <w:tabs>
        <w:tab w:val="clear" w:pos="2952"/>
      </w:tabs>
      <w:spacing w:line="360" w:lineRule="auto"/>
      <w:ind w:left="0" w:right="-33" w:firstLine="545" w:firstLineChars="227"/>
      <w:jc w:val="left"/>
    </w:pPr>
    <w:rPr>
      <w:sz w:val="24"/>
    </w:rPr>
  </w:style>
  <w:style w:type="paragraph" w:customStyle="1" w:styleId="279">
    <w:name w:val="小四 段落 宋体 Char Char Char Char"/>
    <w:basedOn w:val="1"/>
    <w:qFormat/>
    <w:uiPriority w:val="0"/>
    <w:pPr>
      <w:spacing w:line="360" w:lineRule="auto"/>
      <w:ind w:right="-33" w:firstLine="480" w:firstLineChars="200"/>
      <w:jc w:val="left"/>
    </w:pPr>
    <w:rPr>
      <w:sz w:val="24"/>
    </w:rPr>
  </w:style>
  <w:style w:type="paragraph" w:customStyle="1" w:styleId="280">
    <w:name w:val="小四 段落 宋体"/>
    <w:basedOn w:val="20"/>
    <w:qFormat/>
    <w:uiPriority w:val="0"/>
    <w:pPr>
      <w:tabs>
        <w:tab w:val="clear" w:pos="2952"/>
      </w:tabs>
      <w:spacing w:line="360" w:lineRule="auto"/>
      <w:ind w:left="113" w:right="113" w:firstLine="425"/>
      <w:jc w:val="left"/>
    </w:pPr>
    <w:rPr>
      <w:sz w:val="24"/>
    </w:rPr>
  </w:style>
  <w:style w:type="paragraph" w:customStyle="1" w:styleId="281">
    <w:name w:val="华宇段落1 Char"/>
    <w:basedOn w:val="1"/>
    <w:qFormat/>
    <w:uiPriority w:val="0"/>
    <w:pPr>
      <w:spacing w:line="360" w:lineRule="auto"/>
      <w:ind w:firstLine="200" w:firstLineChars="200"/>
    </w:pPr>
    <w:rPr>
      <w:bCs/>
      <w:sz w:val="24"/>
    </w:rPr>
  </w:style>
  <w:style w:type="character" w:customStyle="1" w:styleId="282">
    <w:name w:val="特点 Char1"/>
    <w:qFormat/>
    <w:locked/>
    <w:uiPriority w:val="0"/>
    <w:rPr>
      <w:rFonts w:ascii="宋体" w:hAnsi="宋体" w:eastAsia="宋体"/>
      <w:kern w:val="2"/>
      <w:sz w:val="21"/>
      <w:lang w:val="en-US" w:eastAsia="zh-CN" w:bidi="ar-SA"/>
    </w:rPr>
  </w:style>
  <w:style w:type="paragraph" w:customStyle="1" w:styleId="283">
    <w:name w:val="列出段落1"/>
    <w:basedOn w:val="1"/>
    <w:qFormat/>
    <w:uiPriority w:val="0"/>
    <w:pPr>
      <w:ind w:firstLine="420" w:firstLineChars="200"/>
    </w:pPr>
    <w:rPr>
      <w:rFonts w:ascii="Calibri" w:hAnsi="Calibri"/>
      <w:sz w:val="28"/>
      <w:szCs w:val="28"/>
    </w:rPr>
  </w:style>
  <w:style w:type="paragraph" w:customStyle="1" w:styleId="284">
    <w:name w:val="样式 样式 标题1 + 行距: 单倍行距 + 段前: 7.8 磅 段后: 7.8 磅"/>
    <w:basedOn w:val="1"/>
    <w:qFormat/>
    <w:uiPriority w:val="0"/>
    <w:pPr>
      <w:keepNext/>
      <w:keepLines/>
      <w:numPr>
        <w:ilvl w:val="0"/>
        <w:numId w:val="10"/>
      </w:numPr>
      <w:adjustRightInd w:val="0"/>
      <w:spacing w:before="156" w:after="156" w:line="360" w:lineRule="auto"/>
      <w:jc w:val="center"/>
      <w:textAlignment w:val="baseline"/>
      <w:outlineLvl w:val="0"/>
    </w:pPr>
    <w:rPr>
      <w:rFonts w:ascii="Arial" w:hAnsi="Arial" w:eastAsia="仿宋_GB2312"/>
      <w:kern w:val="44"/>
      <w:sz w:val="30"/>
      <w:szCs w:val="20"/>
    </w:rPr>
  </w:style>
  <w:style w:type="paragraph" w:customStyle="1" w:styleId="285">
    <w:name w:val="标题2"/>
    <w:basedOn w:val="4"/>
    <w:qFormat/>
    <w:uiPriority w:val="0"/>
    <w:pPr>
      <w:keepNext w:val="0"/>
      <w:keepLines w:val="0"/>
      <w:numPr>
        <w:ilvl w:val="1"/>
        <w:numId w:val="10"/>
      </w:numPr>
      <w:adjustRightInd w:val="0"/>
      <w:spacing w:before="0" w:after="0" w:line="360" w:lineRule="auto"/>
      <w:textAlignment w:val="baseline"/>
    </w:pPr>
    <w:rPr>
      <w:rFonts w:ascii="Arial" w:hAnsi="Arial" w:eastAsia="仿宋_GB2312"/>
      <w:b w:val="0"/>
      <w:sz w:val="30"/>
    </w:rPr>
  </w:style>
  <w:style w:type="paragraph" w:customStyle="1" w:styleId="286">
    <w:name w:val="标题3"/>
    <w:basedOn w:val="5"/>
    <w:qFormat/>
    <w:uiPriority w:val="0"/>
    <w:pPr>
      <w:keepNext w:val="0"/>
      <w:keepLines w:val="0"/>
      <w:numPr>
        <w:ilvl w:val="2"/>
        <w:numId w:val="10"/>
      </w:numPr>
      <w:adjustRightInd w:val="0"/>
      <w:spacing w:before="0" w:after="0" w:line="360" w:lineRule="auto"/>
      <w:textAlignment w:val="baseline"/>
    </w:pPr>
    <w:rPr>
      <w:rFonts w:eastAsia="仿宋_GB2312"/>
      <w:b w:val="0"/>
      <w:sz w:val="30"/>
    </w:rPr>
  </w:style>
  <w:style w:type="paragraph" w:customStyle="1" w:styleId="287">
    <w:name w:val="标题5"/>
    <w:basedOn w:val="7"/>
    <w:link w:val="524"/>
    <w:qFormat/>
    <w:uiPriority w:val="0"/>
    <w:pPr>
      <w:keepNext w:val="0"/>
      <w:keepLines w:val="0"/>
      <w:tabs>
        <w:tab w:val="left" w:pos="0"/>
        <w:tab w:val="clear" w:pos="1008"/>
      </w:tabs>
      <w:adjustRightInd w:val="0"/>
      <w:spacing w:before="0" w:after="0" w:line="360" w:lineRule="auto"/>
      <w:ind w:left="0" w:firstLine="0"/>
      <w:textAlignment w:val="baseline"/>
    </w:pPr>
    <w:rPr>
      <w:rFonts w:eastAsia="仿宋_GB2312"/>
      <w:b w:val="0"/>
      <w:sz w:val="30"/>
      <w:szCs w:val="30"/>
    </w:rPr>
  </w:style>
  <w:style w:type="paragraph" w:customStyle="1" w:styleId="288">
    <w:name w:val="标题6"/>
    <w:basedOn w:val="8"/>
    <w:qFormat/>
    <w:uiPriority w:val="0"/>
    <w:pPr>
      <w:keepNext w:val="0"/>
      <w:keepLines w:val="0"/>
      <w:tabs>
        <w:tab w:val="left" w:pos="0"/>
        <w:tab w:val="clear" w:pos="1152"/>
      </w:tabs>
      <w:adjustRightInd w:val="0"/>
      <w:spacing w:before="0" w:after="0" w:line="360" w:lineRule="auto"/>
      <w:ind w:left="0" w:firstLine="200" w:firstLineChars="200"/>
      <w:textAlignment w:val="baseline"/>
    </w:pPr>
    <w:rPr>
      <w:rFonts w:eastAsia="仿宋_GB2312"/>
      <w:b w:val="0"/>
      <w:sz w:val="30"/>
    </w:rPr>
  </w:style>
  <w:style w:type="paragraph" w:customStyle="1" w:styleId="289">
    <w:name w:val="标题8"/>
    <w:basedOn w:val="10"/>
    <w:qFormat/>
    <w:uiPriority w:val="0"/>
    <w:pPr>
      <w:keepNext w:val="0"/>
      <w:keepLines w:val="0"/>
      <w:tabs>
        <w:tab w:val="left" w:pos="0"/>
        <w:tab w:val="clear" w:pos="1440"/>
      </w:tabs>
      <w:adjustRightInd w:val="0"/>
      <w:spacing w:before="0" w:after="0" w:line="360" w:lineRule="auto"/>
      <w:ind w:left="0" w:firstLine="200" w:firstLineChars="200"/>
      <w:textAlignment w:val="baseline"/>
    </w:pPr>
    <w:rPr>
      <w:rFonts w:eastAsia="仿宋_GB2312"/>
      <w:sz w:val="30"/>
    </w:rPr>
  </w:style>
  <w:style w:type="paragraph" w:customStyle="1" w:styleId="290">
    <w:name w:val="标题9"/>
    <w:basedOn w:val="11"/>
    <w:qFormat/>
    <w:uiPriority w:val="0"/>
    <w:pPr>
      <w:keepNext w:val="0"/>
      <w:keepLines w:val="0"/>
      <w:tabs>
        <w:tab w:val="left" w:pos="0"/>
        <w:tab w:val="clear" w:pos="1584"/>
      </w:tabs>
      <w:adjustRightInd w:val="0"/>
      <w:spacing w:before="0" w:after="0" w:line="360" w:lineRule="auto"/>
      <w:ind w:left="0" w:firstLine="200" w:firstLineChars="200"/>
      <w:textAlignment w:val="baseline"/>
    </w:pPr>
    <w:rPr>
      <w:rFonts w:eastAsia="仿宋_GB2312"/>
      <w:sz w:val="30"/>
    </w:rPr>
  </w:style>
  <w:style w:type="paragraph" w:customStyle="1" w:styleId="291">
    <w:name w:val="三级"/>
    <w:basedOn w:val="1"/>
    <w:qFormat/>
    <w:uiPriority w:val="0"/>
    <w:pPr>
      <w:spacing w:before="100" w:beforeAutospacing="1" w:afterLines="50" w:line="360" w:lineRule="auto"/>
      <w:outlineLvl w:val="2"/>
    </w:pPr>
    <w:rPr>
      <w:rFonts w:ascii="Arial" w:hAnsi="Arial"/>
      <w:sz w:val="32"/>
      <w:szCs w:val="32"/>
    </w:rPr>
  </w:style>
  <w:style w:type="paragraph" w:customStyle="1" w:styleId="292">
    <w:name w:val="项目排列"/>
    <w:basedOn w:val="1"/>
    <w:qFormat/>
    <w:uiPriority w:val="0"/>
    <w:pPr>
      <w:numPr>
        <w:ilvl w:val="0"/>
        <w:numId w:val="11"/>
      </w:numPr>
      <w:spacing w:beforeLines="50" w:afterLines="50" w:line="300" w:lineRule="auto"/>
    </w:pPr>
    <w:rPr>
      <w:sz w:val="24"/>
    </w:rPr>
  </w:style>
  <w:style w:type="paragraph" w:customStyle="1" w:styleId="293">
    <w:name w:val="正文缩进 Char Char Char Char Char Char Char"/>
    <w:basedOn w:val="1"/>
    <w:next w:val="21"/>
    <w:qFormat/>
    <w:uiPriority w:val="0"/>
    <w:pPr>
      <w:adjustRightInd w:val="0"/>
      <w:spacing w:afterLines="50" w:line="300" w:lineRule="auto"/>
      <w:ind w:firstLine="420" w:firstLineChars="200"/>
      <w:textAlignment w:val="baseline"/>
    </w:pPr>
    <w:rPr>
      <w:rFonts w:ascii="Arial" w:hAnsi="Arial"/>
      <w:sz w:val="24"/>
    </w:rPr>
  </w:style>
  <w:style w:type="paragraph" w:customStyle="1" w:styleId="294">
    <w:name w:val="列出段落11"/>
    <w:basedOn w:val="1"/>
    <w:qFormat/>
    <w:uiPriority w:val="0"/>
    <w:pPr>
      <w:ind w:firstLine="420" w:firstLineChars="200"/>
    </w:pPr>
    <w:rPr>
      <w:rFonts w:ascii="Calibri" w:hAnsi="Calibri"/>
      <w:szCs w:val="22"/>
    </w:rPr>
  </w:style>
  <w:style w:type="paragraph" w:customStyle="1" w:styleId="295">
    <w:name w:val="Char Char8 Char Char Char Char"/>
    <w:basedOn w:val="1"/>
    <w:qFormat/>
    <w:uiPriority w:val="0"/>
    <w:rPr>
      <w:rFonts w:ascii="Tahoma" w:hAnsi="Tahoma"/>
      <w:sz w:val="24"/>
      <w:szCs w:val="20"/>
    </w:rPr>
  </w:style>
  <w:style w:type="character" w:customStyle="1" w:styleId="296">
    <w:name w:val="标准文本 Char Char"/>
    <w:qFormat/>
    <w:uiPriority w:val="0"/>
    <w:rPr>
      <w:rFonts w:eastAsia="宋体" w:cs="宋体"/>
      <w:kern w:val="2"/>
      <w:sz w:val="24"/>
      <w:szCs w:val="24"/>
      <w:lang w:val="en-US" w:eastAsia="zh-CN" w:bidi="ar-SA"/>
    </w:rPr>
  </w:style>
  <w:style w:type="character" w:customStyle="1" w:styleId="297">
    <w:name w:val="华宇段落1 Char Char Char"/>
    <w:qFormat/>
    <w:uiPriority w:val="0"/>
    <w:rPr>
      <w:rFonts w:eastAsia="宋体"/>
      <w:bCs/>
      <w:kern w:val="2"/>
      <w:sz w:val="24"/>
      <w:szCs w:val="24"/>
      <w:lang w:val="en-US" w:eastAsia="zh-CN" w:bidi="ar-SA"/>
    </w:rPr>
  </w:style>
  <w:style w:type="character" w:customStyle="1" w:styleId="298">
    <w:name w:val="2nd level Char"/>
    <w:qFormat/>
    <w:uiPriority w:val="0"/>
    <w:rPr>
      <w:rFonts w:ascii="Arial" w:hAnsi="Arial" w:eastAsia="黑体"/>
      <w:b/>
      <w:bCs/>
      <w:kern w:val="2"/>
      <w:sz w:val="32"/>
      <w:szCs w:val="32"/>
      <w:lang w:val="en-US" w:eastAsia="zh-CN" w:bidi="ar-SA"/>
    </w:rPr>
  </w:style>
  <w:style w:type="character" w:customStyle="1" w:styleId="299">
    <w:name w:val="Title1 Char"/>
    <w:qFormat/>
    <w:uiPriority w:val="0"/>
    <w:rPr>
      <w:rFonts w:eastAsia="宋体"/>
      <w:b/>
      <w:bCs/>
      <w:kern w:val="44"/>
      <w:sz w:val="44"/>
      <w:szCs w:val="44"/>
      <w:lang w:val="en-US" w:eastAsia="zh-CN" w:bidi="ar-SA"/>
    </w:rPr>
  </w:style>
  <w:style w:type="paragraph" w:customStyle="1" w:styleId="300">
    <w:name w:val="_Style 25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301">
    <w:name w:val="style131"/>
    <w:qFormat/>
    <w:uiPriority w:val="0"/>
    <w:rPr>
      <w:rFonts w:cs="Times New Roman"/>
      <w:sz w:val="18"/>
      <w:szCs w:val="18"/>
    </w:rPr>
  </w:style>
  <w:style w:type="character" w:customStyle="1" w:styleId="302">
    <w:name w:val="Char Char2"/>
    <w:qFormat/>
    <w:uiPriority w:val="0"/>
    <w:rPr>
      <w:rFonts w:ascii="宋体" w:hAnsi="Courier New" w:eastAsia="宋体"/>
      <w:kern w:val="2"/>
      <w:sz w:val="21"/>
      <w:szCs w:val="21"/>
      <w:lang w:val="en-US" w:eastAsia="zh-CN" w:bidi="ar-SA"/>
    </w:rPr>
  </w:style>
  <w:style w:type="character" w:customStyle="1" w:styleId="303">
    <w:name w:val="标准小四 Char Char"/>
    <w:qFormat/>
    <w:uiPriority w:val="0"/>
    <w:rPr>
      <w:rFonts w:ascii="Arial" w:hAnsi="Arial" w:eastAsia="宋体"/>
      <w:kern w:val="2"/>
      <w:sz w:val="24"/>
      <w:szCs w:val="21"/>
      <w:lang w:val="en-US" w:eastAsia="zh-CN" w:bidi="ar-SA"/>
    </w:rPr>
  </w:style>
  <w:style w:type="character" w:customStyle="1" w:styleId="304">
    <w:name w:val="小四 段落 宋体 Char Char Char Char Char Char"/>
    <w:qFormat/>
    <w:uiPriority w:val="0"/>
    <w:rPr>
      <w:rFonts w:eastAsia="宋体"/>
      <w:kern w:val="2"/>
      <w:sz w:val="24"/>
      <w:szCs w:val="24"/>
      <w:lang w:val="en-US" w:eastAsia="zh-CN" w:bidi="ar-SA"/>
    </w:rPr>
  </w:style>
  <w:style w:type="character" w:customStyle="1" w:styleId="305">
    <w:name w:val="样式 首行缩进:  2 字符 Char Char"/>
    <w:link w:val="306"/>
    <w:qFormat/>
    <w:uiPriority w:val="0"/>
    <w:rPr>
      <w:rFonts w:cs="宋体"/>
      <w:kern w:val="2"/>
      <w:sz w:val="24"/>
    </w:rPr>
  </w:style>
  <w:style w:type="paragraph" w:customStyle="1" w:styleId="306">
    <w:name w:val="样式 首行缩进:  2 字符"/>
    <w:basedOn w:val="1"/>
    <w:link w:val="305"/>
    <w:qFormat/>
    <w:uiPriority w:val="0"/>
    <w:pPr>
      <w:spacing w:line="360" w:lineRule="auto"/>
      <w:ind w:firstLine="480" w:firstLineChars="200"/>
    </w:pPr>
    <w:rPr>
      <w:sz w:val="24"/>
      <w:szCs w:val="20"/>
    </w:rPr>
  </w:style>
  <w:style w:type="paragraph" w:customStyle="1" w:styleId="307">
    <w:name w:val="retrait3"/>
    <w:basedOn w:val="1"/>
    <w:qFormat/>
    <w:uiPriority w:val="0"/>
    <w:pPr>
      <w:widowControl/>
      <w:spacing w:before="20" w:after="20"/>
      <w:ind w:left="851"/>
      <w:jc w:val="left"/>
    </w:pPr>
    <w:rPr>
      <w:rFonts w:ascii="Arial" w:hAnsi="Arial"/>
      <w:kern w:val="0"/>
      <w:sz w:val="24"/>
      <w:szCs w:val="20"/>
      <w:lang w:val="en-GB"/>
    </w:rPr>
  </w:style>
  <w:style w:type="paragraph" w:customStyle="1" w:styleId="308">
    <w:name w:val="默认段落字体 Para Char Char Char Char Char Char Char Char Char1 Char Char Char Char Char Char Char"/>
    <w:basedOn w:val="26"/>
    <w:qFormat/>
    <w:uiPriority w:val="0"/>
    <w:rPr>
      <w:szCs w:val="20"/>
    </w:rPr>
  </w:style>
  <w:style w:type="paragraph" w:customStyle="1" w:styleId="309">
    <w:name w:val="tableau"/>
    <w:basedOn w:val="1"/>
    <w:qFormat/>
    <w:uiPriority w:val="0"/>
    <w:pPr>
      <w:widowControl/>
      <w:spacing w:before="20" w:after="20"/>
      <w:jc w:val="center"/>
    </w:pPr>
    <w:rPr>
      <w:rFonts w:ascii="Arial" w:hAnsi="Arial"/>
      <w:kern w:val="0"/>
      <w:sz w:val="16"/>
      <w:szCs w:val="20"/>
      <w:lang w:val="en-GB" w:eastAsia="en-US"/>
    </w:rPr>
  </w:style>
  <w:style w:type="paragraph" w:customStyle="1" w:styleId="310">
    <w:name w:val="Char Char1"/>
    <w:basedOn w:val="1"/>
    <w:uiPriority w:val="0"/>
    <w:rPr>
      <w:rFonts w:ascii="Tahoma" w:hAnsi="Tahoma"/>
      <w:sz w:val="24"/>
      <w:szCs w:val="20"/>
    </w:rPr>
  </w:style>
  <w:style w:type="paragraph" w:customStyle="1" w:styleId="311">
    <w:name w:val="表蕊"/>
    <w:basedOn w:val="1"/>
    <w:link w:val="498"/>
    <w:qFormat/>
    <w:uiPriority w:val="0"/>
    <w:pPr>
      <w:adjustRightInd w:val="0"/>
      <w:spacing w:line="320" w:lineRule="atLeast"/>
      <w:jc w:val="left"/>
      <w:textAlignment w:val="baseline"/>
    </w:pPr>
    <w:rPr>
      <w:rFonts w:eastAsia="楷体_GB2312"/>
      <w:spacing w:val="-10"/>
      <w:kern w:val="0"/>
      <w:szCs w:val="20"/>
    </w:rPr>
  </w:style>
  <w:style w:type="paragraph" w:customStyle="1" w:styleId="312">
    <w:name w:val="Char Char Char Char Char Char Char Char Char Char Char1 Char Char Char1"/>
    <w:basedOn w:val="1"/>
    <w:qFormat/>
    <w:uiPriority w:val="0"/>
    <w:pPr>
      <w:ind w:firstLine="200" w:firstLineChars="200"/>
      <w:jc w:val="left"/>
    </w:pPr>
    <w:rPr>
      <w:rFonts w:ascii="Tahoma" w:hAnsi="Tahoma"/>
      <w:sz w:val="24"/>
    </w:rPr>
  </w:style>
  <w:style w:type="paragraph" w:customStyle="1" w:styleId="313">
    <w:name w:val="Char Char"/>
    <w:basedOn w:val="1"/>
    <w:qFormat/>
    <w:uiPriority w:val="0"/>
    <w:rPr>
      <w:rFonts w:ascii="Tahoma" w:hAnsi="Tahoma"/>
      <w:sz w:val="24"/>
      <w:szCs w:val="20"/>
    </w:rPr>
  </w:style>
  <w:style w:type="character" w:customStyle="1" w:styleId="314">
    <w:name w:val="纯文本 Char Char Char1"/>
    <w:qFormat/>
    <w:uiPriority w:val="0"/>
    <w:rPr>
      <w:rFonts w:ascii="宋体" w:hAnsi="Courier New" w:eastAsia="宋体"/>
      <w:kern w:val="2"/>
      <w:sz w:val="21"/>
      <w:szCs w:val="21"/>
      <w:lang w:val="en-US" w:eastAsia="zh-CN" w:bidi="ar-SA"/>
    </w:rPr>
  </w:style>
  <w:style w:type="character" w:customStyle="1" w:styleId="315">
    <w:name w:val="样式 首行缩进:  2 字符 Char"/>
    <w:uiPriority w:val="0"/>
    <w:rPr>
      <w:rFonts w:eastAsia="宋体" w:cs="宋体"/>
      <w:kern w:val="2"/>
      <w:sz w:val="24"/>
      <w:lang w:val="en-US" w:eastAsia="zh-CN" w:bidi="ar-SA"/>
    </w:rPr>
  </w:style>
  <w:style w:type="paragraph" w:customStyle="1" w:styleId="316">
    <w:name w:val="正文文本 New New"/>
    <w:basedOn w:val="1"/>
    <w:qFormat/>
    <w:uiPriority w:val="0"/>
    <w:pPr>
      <w:widowControl/>
      <w:spacing w:before="60" w:after="60" w:line="360" w:lineRule="auto"/>
      <w:ind w:firstLine="200" w:firstLineChars="200"/>
    </w:pPr>
    <w:rPr>
      <w:rFonts w:eastAsia="华文楷体"/>
      <w:sz w:val="24"/>
    </w:rPr>
  </w:style>
  <w:style w:type="paragraph" w:customStyle="1" w:styleId="317">
    <w:name w:val="Char Char1 Char Char Char Char1 Char Char Char Char Char Char"/>
    <w:basedOn w:val="1"/>
    <w:qFormat/>
    <w:uiPriority w:val="0"/>
    <w:rPr>
      <w:rFonts w:ascii="Tahoma" w:hAnsi="Tahoma"/>
      <w:sz w:val="24"/>
      <w:szCs w:val="20"/>
    </w:rPr>
  </w:style>
  <w:style w:type="paragraph" w:customStyle="1" w:styleId="318">
    <w:name w:val="正文缩进1"/>
    <w:basedOn w:val="1"/>
    <w:qFormat/>
    <w:uiPriority w:val="0"/>
    <w:pPr>
      <w:ind w:firstLine="420"/>
    </w:pPr>
    <w:rPr>
      <w:kern w:val="0"/>
      <w:sz w:val="20"/>
      <w:szCs w:val="20"/>
    </w:rPr>
  </w:style>
  <w:style w:type="paragraph" w:customStyle="1" w:styleId="319">
    <w:name w:val="样式 段后: 0.5 行 左  0.75 字符"/>
    <w:basedOn w:val="1"/>
    <w:qFormat/>
    <w:uiPriority w:val="0"/>
    <w:pPr>
      <w:widowControl/>
      <w:spacing w:line="360" w:lineRule="auto"/>
      <w:ind w:firstLine="420" w:firstLineChars="200"/>
    </w:pPr>
    <w:rPr>
      <w:rFonts w:hAnsi="Arial" w:cs="Arial"/>
      <w:kern w:val="0"/>
      <w:szCs w:val="21"/>
    </w:rPr>
  </w:style>
  <w:style w:type="character" w:customStyle="1" w:styleId="320">
    <w:name w:val="t1"/>
    <w:uiPriority w:val="0"/>
  </w:style>
  <w:style w:type="character" w:customStyle="1" w:styleId="321">
    <w:name w:val="纯文本 Char Char Char"/>
    <w:qFormat/>
    <w:uiPriority w:val="0"/>
    <w:rPr>
      <w:rFonts w:ascii="宋体" w:hAnsi="Courier New" w:eastAsia="宋体"/>
      <w:kern w:val="2"/>
      <w:sz w:val="21"/>
      <w:szCs w:val="21"/>
      <w:lang w:val="en-US" w:eastAsia="zh-CN" w:bidi="ar-SA"/>
    </w:rPr>
  </w:style>
  <w:style w:type="character" w:customStyle="1" w:styleId="322">
    <w:name w:val="副标题 Char"/>
    <w:link w:val="64"/>
    <w:qFormat/>
    <w:uiPriority w:val="0"/>
    <w:rPr>
      <w:rFonts w:ascii="Cambria" w:hAnsi="Cambria"/>
      <w:i/>
      <w:iCs/>
      <w:spacing w:val="13"/>
      <w:sz w:val="24"/>
      <w:szCs w:val="24"/>
      <w:lang w:eastAsia="en-US" w:bidi="en-US"/>
    </w:rPr>
  </w:style>
  <w:style w:type="paragraph" w:customStyle="1" w:styleId="323">
    <w:name w:val="样式 段后: 0.25 行"/>
    <w:basedOn w:val="1"/>
    <w:qFormat/>
    <w:uiPriority w:val="0"/>
    <w:pPr>
      <w:widowControl/>
      <w:spacing w:afterLines="25" w:line="300" w:lineRule="auto"/>
      <w:ind w:firstLine="420" w:firstLineChars="200"/>
      <w:jc w:val="left"/>
    </w:pPr>
    <w:rPr>
      <w:rFonts w:ascii="Arial" w:hAnsi="Arial" w:cs="宋体"/>
      <w:kern w:val="0"/>
      <w:sz w:val="22"/>
      <w:szCs w:val="20"/>
      <w:lang w:eastAsia="en-US" w:bidi="en-US"/>
    </w:rPr>
  </w:style>
  <w:style w:type="paragraph" w:customStyle="1" w:styleId="324">
    <w:name w:val="彩色网格 - 强调文字颜色 11"/>
    <w:basedOn w:val="1"/>
    <w:next w:val="1"/>
    <w:link w:val="325"/>
    <w:qFormat/>
    <w:uiPriority w:val="0"/>
    <w:pPr>
      <w:widowControl/>
      <w:spacing w:before="200" w:line="276" w:lineRule="auto"/>
      <w:ind w:left="360" w:right="360"/>
      <w:jc w:val="left"/>
    </w:pPr>
    <w:rPr>
      <w:rFonts w:ascii="Calibri" w:hAnsi="Calibri"/>
      <w:i/>
      <w:iCs/>
      <w:kern w:val="0"/>
      <w:sz w:val="22"/>
      <w:szCs w:val="22"/>
      <w:lang w:eastAsia="en-US" w:bidi="en-US"/>
    </w:rPr>
  </w:style>
  <w:style w:type="character" w:customStyle="1" w:styleId="325">
    <w:name w:val="彩色网格 - 强调文字颜色 1 Char"/>
    <w:link w:val="324"/>
    <w:qFormat/>
    <w:uiPriority w:val="0"/>
    <w:rPr>
      <w:rFonts w:ascii="Calibri" w:hAnsi="Calibri"/>
      <w:i/>
      <w:iCs/>
      <w:sz w:val="22"/>
      <w:szCs w:val="22"/>
      <w:lang w:eastAsia="en-US" w:bidi="en-US"/>
    </w:rPr>
  </w:style>
  <w:style w:type="paragraph" w:customStyle="1" w:styleId="326">
    <w:name w:val="浅色底纹 - 强调文字颜色 21"/>
    <w:basedOn w:val="1"/>
    <w:next w:val="1"/>
    <w:link w:val="327"/>
    <w:qFormat/>
    <w:uiPriority w:val="0"/>
    <w:pPr>
      <w:widowControl/>
      <w:pBdr>
        <w:bottom w:val="single" w:color="auto" w:sz="4" w:space="1"/>
      </w:pBdr>
      <w:spacing w:before="200" w:after="280" w:line="276" w:lineRule="auto"/>
      <w:ind w:left="1008" w:right="1152"/>
    </w:pPr>
    <w:rPr>
      <w:rFonts w:ascii="Calibri" w:hAnsi="Calibri"/>
      <w:b/>
      <w:bCs/>
      <w:i/>
      <w:iCs/>
      <w:kern w:val="0"/>
      <w:sz w:val="22"/>
      <w:szCs w:val="22"/>
      <w:lang w:eastAsia="en-US" w:bidi="en-US"/>
    </w:rPr>
  </w:style>
  <w:style w:type="character" w:customStyle="1" w:styleId="327">
    <w:name w:val="浅色底纹 - 强调文字颜色 2 Char"/>
    <w:link w:val="326"/>
    <w:qFormat/>
    <w:uiPriority w:val="0"/>
    <w:rPr>
      <w:rFonts w:ascii="Calibri" w:hAnsi="Calibri"/>
      <w:b/>
      <w:bCs/>
      <w:i/>
      <w:iCs/>
      <w:sz w:val="22"/>
      <w:szCs w:val="22"/>
      <w:lang w:eastAsia="en-US" w:bidi="en-US"/>
    </w:rPr>
  </w:style>
  <w:style w:type="character" w:customStyle="1" w:styleId="328">
    <w:name w:val="不明显强调1"/>
    <w:qFormat/>
    <w:uiPriority w:val="0"/>
    <w:rPr>
      <w:i/>
      <w:iCs/>
    </w:rPr>
  </w:style>
  <w:style w:type="character" w:customStyle="1" w:styleId="329">
    <w:name w:val="明显强调1"/>
    <w:qFormat/>
    <w:uiPriority w:val="0"/>
    <w:rPr>
      <w:b/>
      <w:bCs/>
    </w:rPr>
  </w:style>
  <w:style w:type="character" w:customStyle="1" w:styleId="330">
    <w:name w:val="不明显参考1"/>
    <w:qFormat/>
    <w:uiPriority w:val="0"/>
    <w:rPr>
      <w:smallCaps/>
    </w:rPr>
  </w:style>
  <w:style w:type="character" w:customStyle="1" w:styleId="331">
    <w:name w:val="明显参考1"/>
    <w:qFormat/>
    <w:uiPriority w:val="0"/>
    <w:rPr>
      <w:smallCaps/>
      <w:spacing w:val="5"/>
      <w:u w:val="single"/>
    </w:rPr>
  </w:style>
  <w:style w:type="character" w:customStyle="1" w:styleId="332">
    <w:name w:val="书籍标题1"/>
    <w:qFormat/>
    <w:uiPriority w:val="0"/>
    <w:rPr>
      <w:i/>
      <w:iCs/>
      <w:smallCaps/>
      <w:spacing w:val="5"/>
    </w:rPr>
  </w:style>
  <w:style w:type="paragraph" w:customStyle="1" w:styleId="333">
    <w:name w:val="111111"/>
    <w:basedOn w:val="1"/>
    <w:link w:val="334"/>
    <w:qFormat/>
    <w:uiPriority w:val="0"/>
    <w:pPr>
      <w:spacing w:before="120" w:after="120"/>
      <w:jc w:val="center"/>
    </w:pPr>
    <w:rPr>
      <w:rFonts w:ascii="宋体" w:hAnsi="宋体" w:eastAsia="黑体"/>
      <w:b/>
      <w:bCs/>
      <w:szCs w:val="21"/>
    </w:rPr>
  </w:style>
  <w:style w:type="character" w:customStyle="1" w:styleId="334">
    <w:name w:val="111111 Char"/>
    <w:link w:val="333"/>
    <w:uiPriority w:val="0"/>
    <w:rPr>
      <w:rFonts w:ascii="宋体" w:hAnsi="宋体" w:eastAsia="黑体" w:cs="宋体"/>
      <w:b/>
      <w:bCs/>
      <w:kern w:val="2"/>
      <w:sz w:val="21"/>
      <w:szCs w:val="21"/>
    </w:rPr>
  </w:style>
  <w:style w:type="character" w:customStyle="1" w:styleId="335">
    <w:name w:val="Char Char27"/>
    <w:qFormat/>
    <w:uiPriority w:val="0"/>
    <w:rPr>
      <w:b/>
      <w:bCs/>
      <w:kern w:val="44"/>
      <w:sz w:val="44"/>
      <w:szCs w:val="44"/>
    </w:rPr>
  </w:style>
  <w:style w:type="character" w:customStyle="1" w:styleId="336">
    <w:name w:val="Char Char26"/>
    <w:qFormat/>
    <w:uiPriority w:val="0"/>
    <w:rPr>
      <w:b/>
      <w:bCs/>
      <w:kern w:val="2"/>
      <w:sz w:val="32"/>
      <w:szCs w:val="32"/>
    </w:rPr>
  </w:style>
  <w:style w:type="character" w:customStyle="1" w:styleId="337">
    <w:name w:val="Char Char25"/>
    <w:qFormat/>
    <w:uiPriority w:val="0"/>
    <w:rPr>
      <w:rFonts w:ascii="Arial" w:hAnsi="Arial" w:eastAsia="黑体"/>
      <w:b/>
      <w:kern w:val="2"/>
      <w:sz w:val="28"/>
    </w:rPr>
  </w:style>
  <w:style w:type="character" w:customStyle="1" w:styleId="338">
    <w:name w:val="Char Char24"/>
    <w:qFormat/>
    <w:uiPriority w:val="0"/>
    <w:rPr>
      <w:b/>
      <w:bCs/>
      <w:kern w:val="2"/>
      <w:sz w:val="28"/>
      <w:szCs w:val="28"/>
    </w:rPr>
  </w:style>
  <w:style w:type="character" w:customStyle="1" w:styleId="339">
    <w:name w:val="Char Char23"/>
    <w:qFormat/>
    <w:uiPriority w:val="0"/>
    <w:rPr>
      <w:rFonts w:ascii="Arial" w:hAnsi="Arial" w:eastAsia="黑体"/>
      <w:b/>
      <w:bCs/>
      <w:kern w:val="2"/>
      <w:sz w:val="24"/>
      <w:szCs w:val="24"/>
    </w:rPr>
  </w:style>
  <w:style w:type="character" w:customStyle="1" w:styleId="340">
    <w:name w:val="Char Char22"/>
    <w:qFormat/>
    <w:uiPriority w:val="0"/>
    <w:rPr>
      <w:b/>
      <w:bCs/>
      <w:kern w:val="2"/>
      <w:sz w:val="24"/>
      <w:szCs w:val="24"/>
    </w:rPr>
  </w:style>
  <w:style w:type="character" w:customStyle="1" w:styleId="341">
    <w:name w:val="Char Char21"/>
    <w:qFormat/>
    <w:uiPriority w:val="0"/>
    <w:rPr>
      <w:rFonts w:ascii="Arial" w:hAnsi="Arial" w:eastAsia="黑体"/>
      <w:kern w:val="2"/>
      <w:sz w:val="24"/>
      <w:szCs w:val="24"/>
    </w:rPr>
  </w:style>
  <w:style w:type="character" w:customStyle="1" w:styleId="342">
    <w:name w:val="Char Char20"/>
    <w:qFormat/>
    <w:uiPriority w:val="0"/>
    <w:rPr>
      <w:rFonts w:ascii="Arial" w:hAnsi="Arial" w:eastAsia="黑体"/>
      <w:kern w:val="2"/>
      <w:sz w:val="21"/>
      <w:szCs w:val="21"/>
    </w:rPr>
  </w:style>
  <w:style w:type="character" w:customStyle="1" w:styleId="343">
    <w:name w:val="Char Char17"/>
    <w:qFormat/>
    <w:uiPriority w:val="0"/>
    <w:rPr>
      <w:rFonts w:ascii="宋体" w:hAnsi="Courier New"/>
      <w:kern w:val="2"/>
      <w:sz w:val="21"/>
      <w:szCs w:val="21"/>
    </w:rPr>
  </w:style>
  <w:style w:type="paragraph" w:customStyle="1" w:styleId="344">
    <w:name w:val="Body Text 2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character" w:customStyle="1" w:styleId="345">
    <w:name w:val="纯文本 Char1"/>
    <w:qFormat/>
    <w:uiPriority w:val="0"/>
    <w:rPr>
      <w:rFonts w:ascii="宋体" w:hAnsi="Courier New" w:cs="Courier New"/>
      <w:kern w:val="2"/>
      <w:sz w:val="21"/>
      <w:szCs w:val="21"/>
    </w:rPr>
  </w:style>
  <w:style w:type="character" w:customStyle="1" w:styleId="346">
    <w:name w:val="样式 非加粗"/>
    <w:qFormat/>
    <w:uiPriority w:val="0"/>
    <w:rPr>
      <w:rFonts w:eastAsia="宋体"/>
      <w:sz w:val="28"/>
    </w:rPr>
  </w:style>
  <w:style w:type="paragraph" w:customStyle="1" w:styleId="347">
    <w:name w:val="Char2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48">
    <w:name w:val="xl25"/>
    <w:basedOn w:val="1"/>
    <w:qFormat/>
    <w:uiPriority w:val="0"/>
    <w:pPr>
      <w:widowControl/>
      <w:pBdr>
        <w:right w:val="single" w:color="auto" w:sz="4" w:space="0"/>
      </w:pBdr>
      <w:spacing w:before="100" w:beforeAutospacing="1" w:after="100" w:afterAutospacing="1"/>
      <w:jc w:val="center"/>
    </w:pPr>
    <w:rPr>
      <w:kern w:val="0"/>
      <w:szCs w:val="21"/>
    </w:rPr>
  </w:style>
  <w:style w:type="character" w:customStyle="1" w:styleId="349">
    <w:name w:val="A2"/>
    <w:qFormat/>
    <w:uiPriority w:val="0"/>
    <w:rPr>
      <w:rFonts w:cs="Helvetica"/>
      <w:color w:val="000000"/>
      <w:sz w:val="18"/>
      <w:szCs w:val="18"/>
    </w:rPr>
  </w:style>
  <w:style w:type="paragraph" w:customStyle="1" w:styleId="350">
    <w:name w:val="Pa5"/>
    <w:basedOn w:val="1"/>
    <w:next w:val="1"/>
    <w:qFormat/>
    <w:uiPriority w:val="0"/>
    <w:pPr>
      <w:autoSpaceDE w:val="0"/>
      <w:autoSpaceDN w:val="0"/>
      <w:adjustRightInd w:val="0"/>
      <w:spacing w:line="241" w:lineRule="atLeast"/>
      <w:jc w:val="left"/>
    </w:pPr>
    <w:rPr>
      <w:rFonts w:ascii="HYDaHeiJ" w:eastAsia="HYDaHeiJ"/>
      <w:kern w:val="0"/>
      <w:sz w:val="24"/>
    </w:rPr>
  </w:style>
  <w:style w:type="paragraph" w:customStyle="1" w:styleId="351">
    <w:name w:val="Pa6"/>
    <w:basedOn w:val="1"/>
    <w:next w:val="1"/>
    <w:qFormat/>
    <w:uiPriority w:val="0"/>
    <w:pPr>
      <w:autoSpaceDE w:val="0"/>
      <w:autoSpaceDN w:val="0"/>
      <w:adjustRightInd w:val="0"/>
      <w:spacing w:line="241" w:lineRule="atLeast"/>
      <w:jc w:val="left"/>
    </w:pPr>
    <w:rPr>
      <w:rFonts w:ascii="HYDaHeiJ" w:eastAsia="HYDaHeiJ"/>
      <w:kern w:val="0"/>
      <w:sz w:val="24"/>
    </w:rPr>
  </w:style>
  <w:style w:type="paragraph" w:customStyle="1" w:styleId="352">
    <w:name w:val="列出段落2"/>
    <w:basedOn w:val="1"/>
    <w:qFormat/>
    <w:uiPriority w:val="0"/>
    <w:pPr>
      <w:widowControl/>
      <w:ind w:left="720"/>
      <w:jc w:val="left"/>
    </w:pPr>
    <w:rPr>
      <w:rFonts w:ascii="Arial" w:hAnsi="Arial" w:eastAsia="黑体" w:cs="Arial"/>
      <w:kern w:val="0"/>
      <w:sz w:val="24"/>
      <w:lang w:eastAsia="en-US"/>
    </w:rPr>
  </w:style>
  <w:style w:type="character" w:customStyle="1" w:styleId="353">
    <w:name w:val="Char Char29"/>
    <w:uiPriority w:val="0"/>
    <w:rPr>
      <w:rFonts w:ascii="Times New Roman" w:hAnsi="Times New Roman" w:eastAsia="宋体" w:cs="Times New Roman"/>
      <w:b/>
      <w:bCs/>
      <w:kern w:val="44"/>
      <w:sz w:val="44"/>
      <w:szCs w:val="44"/>
    </w:rPr>
  </w:style>
  <w:style w:type="character" w:customStyle="1" w:styleId="354">
    <w:name w:val="Char Char28"/>
    <w:uiPriority w:val="0"/>
    <w:rPr>
      <w:rFonts w:ascii="Arial" w:hAnsi="Arial" w:eastAsia="黑体" w:cs="Arial"/>
      <w:b/>
      <w:bCs/>
      <w:sz w:val="32"/>
      <w:szCs w:val="32"/>
    </w:rPr>
  </w:style>
  <w:style w:type="paragraph" w:customStyle="1" w:styleId="355">
    <w:name w:val="表格"/>
    <w:basedOn w:val="1"/>
    <w:qFormat/>
    <w:uiPriority w:val="0"/>
    <w:pPr>
      <w:snapToGrid w:val="0"/>
      <w:ind w:firstLine="21" w:firstLineChars="21"/>
    </w:pPr>
    <w:rPr>
      <w:rFonts w:ascii="宋体" w:hAnsi="宋体" w:cs="宋体"/>
      <w:kern w:val="0"/>
      <w:sz w:val="20"/>
      <w:szCs w:val="20"/>
    </w:rPr>
  </w:style>
  <w:style w:type="character" w:customStyle="1" w:styleId="356">
    <w:name w:val="尾注文本 Char"/>
    <w:link w:val="52"/>
    <w:qFormat/>
    <w:uiPriority w:val="0"/>
    <w:rPr>
      <w:szCs w:val="24"/>
    </w:rPr>
  </w:style>
  <w:style w:type="paragraph" w:customStyle="1" w:styleId="357">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358">
    <w:name w:val="Char Char11"/>
    <w:basedOn w:val="1"/>
    <w:qFormat/>
    <w:uiPriority w:val="0"/>
    <w:rPr>
      <w:rFonts w:ascii="Tahoma" w:hAnsi="Tahoma" w:cs="Tahoma"/>
      <w:sz w:val="24"/>
      <w:szCs w:val="20"/>
    </w:rPr>
  </w:style>
  <w:style w:type="paragraph" w:customStyle="1" w:styleId="359">
    <w:name w:val="Char Char Char Char Char Char Char Char Char Char Char1"/>
    <w:basedOn w:val="1"/>
    <w:qFormat/>
    <w:uiPriority w:val="0"/>
    <w:rPr>
      <w:rFonts w:ascii="Tahoma" w:hAnsi="Tahoma" w:cs="Tahoma"/>
      <w:sz w:val="24"/>
      <w:szCs w:val="20"/>
    </w:rPr>
  </w:style>
  <w:style w:type="paragraph" w:customStyle="1" w:styleId="360">
    <w:name w:val="纯文本11"/>
    <w:basedOn w:val="1"/>
    <w:qFormat/>
    <w:uiPriority w:val="0"/>
    <w:pPr>
      <w:adjustRightInd w:val="0"/>
      <w:textAlignment w:val="baseline"/>
    </w:pPr>
    <w:rPr>
      <w:rFonts w:ascii="宋体" w:hAnsi="宋体" w:eastAsia="楷体_GB2312" w:cs="宋体"/>
      <w:sz w:val="28"/>
      <w:szCs w:val="20"/>
    </w:rPr>
  </w:style>
  <w:style w:type="paragraph" w:customStyle="1" w:styleId="361">
    <w:name w:val="font8"/>
    <w:basedOn w:val="1"/>
    <w:qFormat/>
    <w:uiPriority w:val="0"/>
    <w:pPr>
      <w:widowControl/>
      <w:spacing w:before="100" w:beforeAutospacing="1" w:after="100" w:afterAutospacing="1"/>
      <w:jc w:val="left"/>
    </w:pPr>
    <w:rPr>
      <w:rFonts w:ascii="宋体" w:hAnsi="宋体" w:cs="宋体"/>
      <w:b/>
      <w:bCs/>
      <w:i/>
      <w:iCs/>
      <w:kern w:val="0"/>
      <w:sz w:val="20"/>
      <w:szCs w:val="20"/>
    </w:rPr>
  </w:style>
  <w:style w:type="paragraph" w:customStyle="1" w:styleId="362">
    <w:name w:val="xl62"/>
    <w:basedOn w:val="1"/>
    <w:qFormat/>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363">
    <w:name w:val="Char Char Char Char Char Char Char Char1"/>
    <w:basedOn w:val="1"/>
    <w:qFormat/>
    <w:uiPriority w:val="0"/>
    <w:rPr>
      <w:rFonts w:ascii="Tahoma" w:hAnsi="Tahoma" w:cs="Tahoma"/>
      <w:sz w:val="24"/>
      <w:szCs w:val="20"/>
    </w:rPr>
  </w:style>
  <w:style w:type="paragraph" w:customStyle="1" w:styleId="364">
    <w:name w:val="xl63"/>
    <w:basedOn w:val="1"/>
    <w:qFormat/>
    <w:uiPriority w:val="0"/>
    <w:pPr>
      <w:widowControl/>
      <w:pBdr>
        <w:top w:val="single" w:color="auto" w:sz="4" w:space="0"/>
        <w:left w:val="single" w:color="auto" w:sz="4" w:space="0"/>
        <w:bottom w:val="single" w:color="auto" w:sz="4" w:space="0"/>
      </w:pBdr>
      <w:spacing w:before="100" w:beforeAutospacing="1" w:after="100" w:afterAutospacing="1"/>
      <w:jc w:val="center"/>
      <w:textAlignment w:val="center"/>
    </w:pPr>
    <w:rPr>
      <w:b/>
      <w:bCs/>
      <w:kern w:val="0"/>
      <w:sz w:val="20"/>
      <w:szCs w:val="20"/>
    </w:rPr>
  </w:style>
  <w:style w:type="paragraph" w:customStyle="1" w:styleId="365">
    <w:name w:val="xl36"/>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66">
    <w:name w:val="xl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367">
    <w:name w:val="xl52"/>
    <w:basedOn w:val="1"/>
    <w:qFormat/>
    <w:uiPriority w:val="0"/>
    <w:pPr>
      <w:widowControl/>
      <w:pBdr>
        <w:top w:val="single" w:color="auto" w:sz="4" w:space="0"/>
        <w:bottom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368">
    <w:name w:val="Char Char Char Char Char Char Char Char Char Char Char Char Char Char1"/>
    <w:basedOn w:val="1"/>
    <w:qFormat/>
    <w:uiPriority w:val="0"/>
    <w:rPr>
      <w:rFonts w:ascii="Tahoma" w:hAnsi="Tahoma" w:cs="Tahoma"/>
      <w:sz w:val="24"/>
      <w:szCs w:val="20"/>
    </w:rPr>
  </w:style>
  <w:style w:type="paragraph" w:customStyle="1" w:styleId="369">
    <w:name w:val="font9"/>
    <w:basedOn w:val="1"/>
    <w:qFormat/>
    <w:uiPriority w:val="0"/>
    <w:pPr>
      <w:widowControl/>
      <w:spacing w:before="100" w:beforeAutospacing="1" w:after="100" w:afterAutospacing="1"/>
      <w:jc w:val="left"/>
    </w:pPr>
    <w:rPr>
      <w:b/>
      <w:bCs/>
      <w:kern w:val="0"/>
      <w:sz w:val="20"/>
      <w:szCs w:val="20"/>
    </w:rPr>
  </w:style>
  <w:style w:type="paragraph" w:customStyle="1" w:styleId="370">
    <w:name w:val="xl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371">
    <w:name w:val="font11"/>
    <w:basedOn w:val="1"/>
    <w:uiPriority w:val="0"/>
    <w:pPr>
      <w:widowControl/>
      <w:spacing w:before="100" w:beforeAutospacing="1" w:after="100" w:afterAutospacing="1"/>
      <w:jc w:val="left"/>
    </w:pPr>
    <w:rPr>
      <w:b/>
      <w:bCs/>
      <w:kern w:val="0"/>
      <w:sz w:val="18"/>
      <w:szCs w:val="18"/>
    </w:rPr>
  </w:style>
  <w:style w:type="paragraph" w:customStyle="1" w:styleId="372">
    <w:name w:val="font6"/>
    <w:basedOn w:val="1"/>
    <w:qFormat/>
    <w:uiPriority w:val="0"/>
    <w:pPr>
      <w:widowControl/>
      <w:spacing w:before="100" w:beforeAutospacing="1" w:after="100" w:afterAutospacing="1"/>
      <w:jc w:val="left"/>
    </w:pPr>
    <w:rPr>
      <w:rFonts w:ascii="宋体" w:hAnsi="宋体" w:cs="宋体"/>
      <w:b/>
      <w:bCs/>
      <w:kern w:val="0"/>
      <w:sz w:val="20"/>
      <w:szCs w:val="20"/>
    </w:rPr>
  </w:style>
  <w:style w:type="paragraph" w:customStyle="1" w:styleId="373">
    <w:name w:val="xl53"/>
    <w:basedOn w:val="1"/>
    <w:qFormat/>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374">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75">
    <w:name w:val="xl3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376">
    <w:name w:val="Char Char Char Char Char1"/>
    <w:basedOn w:val="1"/>
    <w:uiPriority w:val="0"/>
    <w:rPr>
      <w:rFonts w:ascii="Tahoma" w:hAnsi="Tahoma" w:cs="Tahoma"/>
      <w:sz w:val="24"/>
      <w:szCs w:val="20"/>
    </w:rPr>
  </w:style>
  <w:style w:type="paragraph" w:customStyle="1" w:styleId="377">
    <w:name w:val="xl51"/>
    <w:basedOn w:val="1"/>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pPr>
    <w:rPr>
      <w:b/>
      <w:bCs/>
      <w:i/>
      <w:iCs/>
      <w:kern w:val="0"/>
      <w:sz w:val="20"/>
      <w:szCs w:val="20"/>
    </w:rPr>
  </w:style>
  <w:style w:type="paragraph" w:customStyle="1" w:styleId="378">
    <w:name w:val="xl3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rPr>
  </w:style>
  <w:style w:type="paragraph" w:customStyle="1" w:styleId="379">
    <w:name w:val="xl4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80">
    <w:name w:val="xl60"/>
    <w:basedOn w:val="1"/>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381">
    <w:name w:val="xl37"/>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i/>
      <w:iCs/>
      <w:kern w:val="0"/>
      <w:sz w:val="20"/>
      <w:szCs w:val="20"/>
    </w:rPr>
  </w:style>
  <w:style w:type="paragraph" w:customStyle="1" w:styleId="382">
    <w:name w:val="font12"/>
    <w:basedOn w:val="1"/>
    <w:qFormat/>
    <w:uiPriority w:val="0"/>
    <w:pPr>
      <w:widowControl/>
      <w:spacing w:before="100" w:beforeAutospacing="1" w:after="100" w:afterAutospacing="1"/>
      <w:jc w:val="left"/>
    </w:pPr>
    <w:rPr>
      <w:rFonts w:ascii="宋体" w:hAnsi="宋体" w:cs="宋体"/>
      <w:kern w:val="0"/>
      <w:sz w:val="36"/>
      <w:szCs w:val="36"/>
    </w:rPr>
  </w:style>
  <w:style w:type="paragraph" w:customStyle="1" w:styleId="383">
    <w:name w:val="xl61"/>
    <w:basedOn w:val="1"/>
    <w:uiPriority w:val="0"/>
    <w:pPr>
      <w:widowControl/>
      <w:pBdr>
        <w:top w:val="single" w:color="auto" w:sz="4" w:space="0"/>
        <w:bottom w:val="single" w:color="auto" w:sz="4" w:space="0"/>
      </w:pBdr>
      <w:shd w:val="clear" w:color="auto" w:fill="969696"/>
      <w:spacing w:before="100" w:beforeAutospacing="1" w:after="100" w:afterAutospacing="1"/>
      <w:jc w:val="center"/>
      <w:textAlignment w:val="center"/>
    </w:pPr>
    <w:rPr>
      <w:b/>
      <w:bCs/>
      <w:i/>
      <w:iCs/>
      <w:kern w:val="0"/>
      <w:sz w:val="20"/>
      <w:szCs w:val="20"/>
    </w:rPr>
  </w:style>
  <w:style w:type="paragraph" w:customStyle="1" w:styleId="384">
    <w:name w:val="xl47"/>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385">
    <w:name w:val="xl56"/>
    <w:basedOn w:val="1"/>
    <w:uiPriority w:val="0"/>
    <w:pPr>
      <w:widowControl/>
      <w:pBdr>
        <w:top w:val="single" w:color="auto" w:sz="4" w:space="0"/>
        <w:bottom w:val="single" w:color="auto" w:sz="4" w:space="0"/>
        <w:right w:val="single" w:color="auto" w:sz="4" w:space="0"/>
      </w:pBdr>
      <w:shd w:val="clear" w:color="auto" w:fill="969696"/>
      <w:spacing w:before="100" w:beforeAutospacing="1" w:after="100" w:afterAutospacing="1"/>
      <w:jc w:val="center"/>
      <w:textAlignment w:val="center"/>
    </w:pPr>
    <w:rPr>
      <w:b/>
      <w:bCs/>
      <w:kern w:val="0"/>
      <w:sz w:val="20"/>
      <w:szCs w:val="20"/>
    </w:rPr>
  </w:style>
  <w:style w:type="paragraph" w:customStyle="1" w:styleId="386">
    <w:name w:val="xl50"/>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387">
    <w:name w:val="font13"/>
    <w:basedOn w:val="1"/>
    <w:qFormat/>
    <w:uiPriority w:val="0"/>
    <w:pPr>
      <w:widowControl/>
      <w:spacing w:before="100" w:beforeAutospacing="1" w:after="100" w:afterAutospacing="1"/>
      <w:jc w:val="left"/>
    </w:pPr>
    <w:rPr>
      <w:i/>
      <w:iCs/>
      <w:kern w:val="0"/>
      <w:sz w:val="36"/>
      <w:szCs w:val="36"/>
    </w:rPr>
  </w:style>
  <w:style w:type="paragraph" w:customStyle="1" w:styleId="388">
    <w:name w:val="xl2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szCs w:val="20"/>
    </w:rPr>
  </w:style>
  <w:style w:type="paragraph" w:customStyle="1" w:styleId="389">
    <w:name w:val="Char Char Char Char Char Char Char Char Char Char Char Char Char1"/>
    <w:basedOn w:val="1"/>
    <w:uiPriority w:val="0"/>
    <w:pPr>
      <w:widowControl/>
      <w:spacing w:after="160" w:line="240" w:lineRule="exact"/>
      <w:jc w:val="left"/>
    </w:pPr>
  </w:style>
  <w:style w:type="paragraph" w:customStyle="1" w:styleId="390">
    <w:name w:val="Char Char Char Char Char Char Char Char Char Char Char Char Char Char Char Char Char Char Char Char Char1"/>
    <w:basedOn w:val="1"/>
    <w:uiPriority w:val="0"/>
    <w:rPr>
      <w:rFonts w:ascii="Tahoma" w:hAnsi="Tahoma" w:cs="Tahoma"/>
      <w:sz w:val="24"/>
      <w:szCs w:val="20"/>
    </w:rPr>
  </w:style>
  <w:style w:type="paragraph" w:customStyle="1" w:styleId="391">
    <w:name w:val="xl29"/>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392">
    <w:name w:val="xl55"/>
    <w:basedOn w:val="1"/>
    <w:qFormat/>
    <w:uiPriority w:val="0"/>
    <w:pPr>
      <w:widowControl/>
      <w:pBdr>
        <w:top w:val="single" w:color="auto" w:sz="4" w:space="0"/>
        <w:bottom w:val="single" w:color="auto" w:sz="4" w:space="0"/>
      </w:pBdr>
      <w:shd w:val="clear" w:color="auto" w:fill="969696"/>
      <w:spacing w:before="100" w:beforeAutospacing="1" w:after="100" w:afterAutospacing="1"/>
      <w:jc w:val="center"/>
      <w:textAlignment w:val="center"/>
    </w:pPr>
    <w:rPr>
      <w:b/>
      <w:bCs/>
      <w:kern w:val="0"/>
      <w:sz w:val="20"/>
      <w:szCs w:val="20"/>
    </w:rPr>
  </w:style>
  <w:style w:type="paragraph" w:customStyle="1" w:styleId="393">
    <w:name w:val="xl54"/>
    <w:basedOn w:val="1"/>
    <w:uiPriority w:val="0"/>
    <w:pPr>
      <w:widowControl/>
      <w:pBdr>
        <w:top w:val="single" w:color="auto" w:sz="4" w:space="0"/>
        <w:left w:val="single" w:color="auto" w:sz="4" w:space="0"/>
        <w:bottom w:val="single" w:color="auto" w:sz="4" w:space="0"/>
      </w:pBdr>
      <w:shd w:val="clear" w:color="auto" w:fill="969696"/>
      <w:spacing w:before="100" w:beforeAutospacing="1" w:after="100" w:afterAutospacing="1"/>
      <w:jc w:val="center"/>
      <w:textAlignment w:val="center"/>
    </w:pPr>
    <w:rPr>
      <w:rFonts w:ascii="宋体" w:hAnsi="宋体" w:cs="宋体"/>
      <w:b/>
      <w:bCs/>
      <w:kern w:val="0"/>
      <w:sz w:val="20"/>
      <w:szCs w:val="20"/>
    </w:rPr>
  </w:style>
  <w:style w:type="paragraph" w:customStyle="1" w:styleId="394">
    <w:name w:val="列表内容"/>
    <w:basedOn w:val="1"/>
    <w:next w:val="1"/>
    <w:uiPriority w:val="0"/>
    <w:pPr>
      <w:widowControl/>
      <w:tabs>
        <w:tab w:val="left" w:pos="840"/>
      </w:tabs>
      <w:ind w:left="840" w:hanging="420"/>
      <w:jc w:val="left"/>
    </w:pPr>
    <w:rPr>
      <w:kern w:val="0"/>
      <w:sz w:val="18"/>
    </w:rPr>
  </w:style>
  <w:style w:type="paragraph" w:customStyle="1" w:styleId="395">
    <w:name w:val="font14"/>
    <w:basedOn w:val="1"/>
    <w:qFormat/>
    <w:uiPriority w:val="0"/>
    <w:pPr>
      <w:widowControl/>
      <w:spacing w:before="100" w:beforeAutospacing="1" w:after="100" w:afterAutospacing="1"/>
      <w:jc w:val="left"/>
    </w:pPr>
    <w:rPr>
      <w:kern w:val="0"/>
      <w:sz w:val="36"/>
      <w:szCs w:val="36"/>
    </w:rPr>
  </w:style>
  <w:style w:type="paragraph" w:customStyle="1" w:styleId="396">
    <w:name w:val="xl3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i/>
      <w:iCs/>
      <w:kern w:val="0"/>
      <w:sz w:val="20"/>
      <w:szCs w:val="20"/>
    </w:rPr>
  </w:style>
  <w:style w:type="paragraph" w:customStyle="1" w:styleId="397">
    <w:name w:val="xl46"/>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4"/>
    </w:rPr>
  </w:style>
  <w:style w:type="paragraph" w:customStyle="1" w:styleId="398">
    <w:name w:val="xl45"/>
    <w:basedOn w:val="1"/>
    <w:uiPriority w:val="0"/>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99">
    <w:name w:val="xl43"/>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40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1">
    <w:name w:val="xl28"/>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402">
    <w:name w:val="xl48"/>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403">
    <w:name w:val="Char Char Char Char Char Char Char Char Char Char Char Char Char Char Char Char Char Char Char Char Char Char Char1"/>
    <w:basedOn w:val="1"/>
    <w:qFormat/>
    <w:uiPriority w:val="0"/>
    <w:rPr>
      <w:rFonts w:ascii="Tahoma" w:hAnsi="Tahoma" w:cs="Tahoma"/>
      <w:sz w:val="24"/>
      <w:szCs w:val="20"/>
    </w:rPr>
  </w:style>
  <w:style w:type="paragraph" w:customStyle="1" w:styleId="404">
    <w:name w:val="Char1 Char Char Char1"/>
    <w:basedOn w:val="1"/>
    <w:uiPriority w:val="0"/>
    <w:rPr>
      <w:rFonts w:ascii="Tahoma" w:hAnsi="Tahoma" w:cs="Tahoma"/>
      <w:sz w:val="24"/>
      <w:szCs w:val="20"/>
    </w:rPr>
  </w:style>
  <w:style w:type="paragraph" w:customStyle="1" w:styleId="405">
    <w:name w:val="Char Char1 Char Char Char Char Char Char Char"/>
    <w:basedOn w:val="1"/>
    <w:uiPriority w:val="0"/>
    <w:rPr>
      <w:rFonts w:ascii="Tahoma" w:hAnsi="Tahoma" w:cs="Tahoma"/>
      <w:sz w:val="24"/>
      <w:szCs w:val="20"/>
    </w:rPr>
  </w:style>
  <w:style w:type="paragraph" w:customStyle="1" w:styleId="406">
    <w:name w:val="Char Char Char Char Char Char1"/>
    <w:basedOn w:val="1"/>
    <w:uiPriority w:val="0"/>
    <w:rPr>
      <w:rFonts w:ascii="Tahoma" w:hAnsi="Tahoma" w:cs="Tahoma"/>
      <w:sz w:val="24"/>
      <w:szCs w:val="20"/>
    </w:rPr>
  </w:style>
  <w:style w:type="paragraph" w:customStyle="1" w:styleId="407">
    <w:name w:val="正文文本 211"/>
    <w:basedOn w:val="1"/>
    <w:qFormat/>
    <w:uiPriority w:val="0"/>
    <w:pPr>
      <w:widowControl/>
      <w:overflowPunct w:val="0"/>
      <w:autoSpaceDE w:val="0"/>
      <w:autoSpaceDN w:val="0"/>
      <w:adjustRightInd w:val="0"/>
      <w:ind w:left="720" w:hanging="720"/>
      <w:textAlignment w:val="baseline"/>
    </w:pPr>
    <w:rPr>
      <w:kern w:val="0"/>
      <w:sz w:val="24"/>
      <w:szCs w:val="20"/>
      <w:lang w:val="en-GB"/>
    </w:rPr>
  </w:style>
  <w:style w:type="paragraph" w:customStyle="1" w:styleId="408">
    <w:name w:val="xl58"/>
    <w:basedOn w:val="1"/>
    <w:qFormat/>
    <w:uiPriority w:val="0"/>
    <w:pPr>
      <w:widowControl/>
      <w:pBdr>
        <w:left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409">
    <w:name w:val="普通文字"/>
    <w:basedOn w:val="1"/>
    <w:next w:val="1"/>
    <w:uiPriority w:val="0"/>
    <w:rPr>
      <w:rFonts w:ascii="宋体" w:hAnsi="宋体" w:cs="宋体"/>
      <w:kern w:val="0"/>
      <w:sz w:val="24"/>
      <w:szCs w:val="20"/>
      <w:u w:color="000000"/>
    </w:rPr>
  </w:style>
  <w:style w:type="paragraph" w:customStyle="1" w:styleId="410">
    <w:name w:val="Default Text"/>
    <w:basedOn w:val="1"/>
    <w:uiPriority w:val="0"/>
    <w:pPr>
      <w:widowControl/>
      <w:jc w:val="left"/>
    </w:pPr>
    <w:rPr>
      <w:kern w:val="0"/>
      <w:sz w:val="24"/>
      <w:szCs w:val="20"/>
      <w:lang w:eastAsia="en-US"/>
    </w:rPr>
  </w:style>
  <w:style w:type="paragraph" w:customStyle="1" w:styleId="411">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楷体_GB2312" w:hAnsi="宋体" w:eastAsia="楷体_GB2312" w:cs="宋体"/>
      <w:b/>
      <w:bCs/>
      <w:kern w:val="0"/>
      <w:sz w:val="24"/>
    </w:rPr>
  </w:style>
  <w:style w:type="paragraph" w:customStyle="1" w:styleId="412">
    <w:name w:val="Char Char3"/>
    <w:basedOn w:val="1"/>
    <w:qFormat/>
    <w:uiPriority w:val="0"/>
    <w:rPr>
      <w:rFonts w:ascii="Tahoma" w:hAnsi="Tahoma" w:cs="Tahoma"/>
      <w:sz w:val="24"/>
      <w:szCs w:val="20"/>
    </w:rPr>
  </w:style>
  <w:style w:type="paragraph" w:customStyle="1" w:styleId="413">
    <w:name w:val="Char Char Char Char Char Char Char Char Char1"/>
    <w:basedOn w:val="1"/>
    <w:qFormat/>
    <w:uiPriority w:val="0"/>
    <w:pPr>
      <w:tabs>
        <w:tab w:val="left" w:pos="360"/>
      </w:tabs>
      <w:ind w:left="200" w:hanging="200" w:hangingChars="200"/>
    </w:pPr>
    <w:rPr>
      <w:sz w:val="24"/>
    </w:rPr>
  </w:style>
  <w:style w:type="paragraph" w:customStyle="1" w:styleId="414">
    <w:name w:val="xl59"/>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paragraph" w:customStyle="1" w:styleId="415">
    <w:name w:val="xl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sz w:val="20"/>
      <w:szCs w:val="20"/>
    </w:rPr>
  </w:style>
  <w:style w:type="paragraph" w:customStyle="1" w:styleId="416">
    <w:name w:val="Char Char1 Char Char Char Char"/>
    <w:basedOn w:val="26"/>
    <w:qFormat/>
    <w:uiPriority w:val="0"/>
    <w:pPr>
      <w:adjustRightInd w:val="0"/>
      <w:spacing w:line="436" w:lineRule="exact"/>
      <w:ind w:left="357"/>
      <w:jc w:val="left"/>
      <w:outlineLvl w:val="3"/>
    </w:pPr>
    <w:rPr>
      <w:rFonts w:ascii="Tahoma" w:hAnsi="Tahoma" w:cs="Tahoma"/>
      <w:b/>
      <w:kern w:val="0"/>
      <w:sz w:val="24"/>
    </w:rPr>
  </w:style>
  <w:style w:type="paragraph" w:customStyle="1" w:styleId="417">
    <w:name w:val="xl30"/>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20"/>
      <w:szCs w:val="20"/>
    </w:rPr>
  </w:style>
  <w:style w:type="paragraph" w:customStyle="1" w:styleId="418">
    <w:name w:val="Char12"/>
    <w:basedOn w:val="1"/>
    <w:uiPriority w:val="0"/>
    <w:rPr>
      <w:rFonts w:ascii="仿宋_GB2312" w:hAnsi="宋体" w:eastAsia="仿宋_GB2312" w:cs="宋体"/>
      <w:b/>
      <w:sz w:val="32"/>
      <w:szCs w:val="32"/>
    </w:rPr>
  </w:style>
  <w:style w:type="paragraph" w:customStyle="1" w:styleId="419">
    <w:name w:val="font10"/>
    <w:basedOn w:val="1"/>
    <w:qFormat/>
    <w:uiPriority w:val="0"/>
    <w:pPr>
      <w:widowControl/>
      <w:spacing w:before="100" w:beforeAutospacing="1" w:after="100" w:afterAutospacing="1"/>
      <w:jc w:val="left"/>
    </w:pPr>
    <w:rPr>
      <w:rFonts w:ascii="楷体_GB2312" w:hAnsi="宋体" w:eastAsia="楷体_GB2312" w:cs="宋体"/>
      <w:b/>
      <w:bCs/>
      <w:kern w:val="0"/>
      <w:sz w:val="18"/>
      <w:szCs w:val="18"/>
    </w:rPr>
  </w:style>
  <w:style w:type="paragraph" w:customStyle="1" w:styleId="420">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b/>
      <w:bCs/>
      <w:i/>
      <w:iCs/>
      <w:kern w:val="0"/>
      <w:sz w:val="20"/>
      <w:szCs w:val="20"/>
    </w:rPr>
  </w:style>
  <w:style w:type="paragraph" w:customStyle="1" w:styleId="421">
    <w:name w:val="xl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0"/>
      <w:szCs w:val="20"/>
    </w:rPr>
  </w:style>
  <w:style w:type="paragraph" w:customStyle="1" w:styleId="422">
    <w:name w:val="Char Char Char Char Char Char Char1 Char1"/>
    <w:basedOn w:val="1"/>
    <w:uiPriority w:val="0"/>
    <w:rPr>
      <w:rFonts w:ascii="Tahoma" w:hAnsi="Tahoma" w:cs="Tahoma"/>
      <w:sz w:val="24"/>
      <w:szCs w:val="20"/>
    </w:rPr>
  </w:style>
  <w:style w:type="paragraph" w:customStyle="1" w:styleId="423">
    <w:name w:val="xl49"/>
    <w:basedOn w:val="1"/>
    <w:qFormat/>
    <w:uiPriority w:val="0"/>
    <w:pPr>
      <w:widowControl/>
      <w:pBdr>
        <w:left w:val="single" w:color="auto" w:sz="4" w:space="0"/>
        <w:right w:val="single" w:color="auto" w:sz="4" w:space="0"/>
      </w:pBdr>
      <w:spacing w:before="100" w:beforeAutospacing="1" w:after="100" w:afterAutospacing="1"/>
      <w:jc w:val="center"/>
      <w:textAlignment w:val="center"/>
    </w:pPr>
    <w:rPr>
      <w:b/>
      <w:bCs/>
      <w:kern w:val="0"/>
      <w:sz w:val="20"/>
      <w:szCs w:val="20"/>
    </w:rPr>
  </w:style>
  <w:style w:type="paragraph" w:customStyle="1" w:styleId="424">
    <w:name w:val="xl57"/>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textAlignment w:val="center"/>
    </w:pPr>
    <w:rPr>
      <w:b/>
      <w:bCs/>
      <w:i/>
      <w:iCs/>
      <w:kern w:val="0"/>
      <w:sz w:val="20"/>
      <w:szCs w:val="20"/>
    </w:rPr>
  </w:style>
  <w:style w:type="character" w:customStyle="1" w:styleId="425">
    <w:name w:val="已访问的超链接1"/>
    <w:uiPriority w:val="0"/>
    <w:rPr>
      <w:color w:val="auto"/>
      <w:u w:val="none"/>
    </w:rPr>
  </w:style>
  <w:style w:type="character" w:customStyle="1" w:styleId="426">
    <w:name w:val="普通文字1 Char"/>
    <w:qFormat/>
    <w:uiPriority w:val="0"/>
    <w:rPr>
      <w:rFonts w:ascii="宋体" w:eastAsia="宋体"/>
      <w:kern w:val="2"/>
      <w:sz w:val="21"/>
      <w:szCs w:val="21"/>
      <w:lang w:val="en-US" w:eastAsia="zh-CN" w:bidi="ar-SA"/>
    </w:rPr>
  </w:style>
  <w:style w:type="character" w:customStyle="1" w:styleId="427">
    <w:name w:val="h Char Char"/>
    <w:qFormat/>
    <w:uiPriority w:val="0"/>
    <w:rPr>
      <w:rFonts w:eastAsia="宋体"/>
      <w:kern w:val="2"/>
      <w:sz w:val="18"/>
      <w:szCs w:val="18"/>
      <w:lang w:val="en-US" w:eastAsia="zh-CN" w:bidi="ar-SA"/>
    </w:rPr>
  </w:style>
  <w:style w:type="character" w:customStyle="1" w:styleId="428">
    <w:name w:val="case31"/>
    <w:uiPriority w:val="0"/>
    <w:rPr>
      <w:sz w:val="21"/>
      <w:szCs w:val="21"/>
    </w:rPr>
  </w:style>
  <w:style w:type="character" w:customStyle="1" w:styleId="429">
    <w:name w:val="标题 Char1"/>
    <w:qFormat/>
    <w:uiPriority w:val="10"/>
    <w:rPr>
      <w:rFonts w:ascii="Cambria" w:eastAsia="宋体" w:cs="Times New Roman"/>
      <w:b/>
      <w:bCs/>
      <w:sz w:val="32"/>
      <w:szCs w:val="32"/>
    </w:rPr>
  </w:style>
  <w:style w:type="paragraph" w:customStyle="1" w:styleId="430">
    <w:name w:val="正文文本缩进1"/>
    <w:basedOn w:val="1"/>
    <w:qFormat/>
    <w:uiPriority w:val="0"/>
    <w:pPr>
      <w:spacing w:after="120"/>
      <w:ind w:left="420" w:leftChars="200"/>
    </w:pPr>
  </w:style>
  <w:style w:type="character" w:customStyle="1" w:styleId="431">
    <w:name w:val="content"/>
    <w:basedOn w:val="90"/>
    <w:qFormat/>
    <w:uiPriority w:val="0"/>
  </w:style>
  <w:style w:type="character" w:customStyle="1" w:styleId="432">
    <w:name w:val="标题 3 Char Char"/>
    <w:uiPriority w:val="0"/>
    <w:rPr>
      <w:rFonts w:eastAsia="仿宋_GB2312"/>
      <w:b/>
      <w:bCs/>
      <w:kern w:val="2"/>
      <w:sz w:val="28"/>
      <w:szCs w:val="32"/>
      <w:lang w:val="en-US" w:eastAsia="zh-CN" w:bidi="ar-SA"/>
    </w:rPr>
  </w:style>
  <w:style w:type="character" w:customStyle="1" w:styleId="433">
    <w:name w:val="小四 段落 宋体 Char Char Char Char Char Char Char Char"/>
    <w:qFormat/>
    <w:uiPriority w:val="0"/>
    <w:rPr>
      <w:rFonts w:eastAsia="宋体"/>
      <w:kern w:val="2"/>
      <w:sz w:val="24"/>
      <w:szCs w:val="24"/>
      <w:lang w:val="en-US" w:eastAsia="zh-CN" w:bidi="ar-SA"/>
    </w:rPr>
  </w:style>
  <w:style w:type="character" w:customStyle="1" w:styleId="434">
    <w:name w:val="纯文本 Char Char"/>
    <w:qFormat/>
    <w:uiPriority w:val="0"/>
    <w:rPr>
      <w:rFonts w:ascii="宋体" w:hAnsi="Courier New" w:eastAsia="宋体"/>
      <w:kern w:val="2"/>
      <w:sz w:val="21"/>
      <w:szCs w:val="21"/>
      <w:lang w:val="en-US" w:eastAsia="zh-CN" w:bidi="ar-SA"/>
    </w:rPr>
  </w:style>
  <w:style w:type="character" w:customStyle="1" w:styleId="435">
    <w:name w:val="标准文本1 Char"/>
    <w:link w:val="436"/>
    <w:qFormat/>
    <w:uiPriority w:val="0"/>
    <w:rPr>
      <w:rFonts w:ascii="Verdana" w:hAnsi="Verdana"/>
      <w:kern w:val="2"/>
      <w:sz w:val="21"/>
    </w:rPr>
  </w:style>
  <w:style w:type="paragraph" w:customStyle="1" w:styleId="436">
    <w:name w:val="标准文本1"/>
    <w:basedOn w:val="1"/>
    <w:link w:val="435"/>
    <w:qFormat/>
    <w:uiPriority w:val="0"/>
    <w:pPr>
      <w:ind w:firstLine="420" w:firstLineChars="200"/>
    </w:pPr>
    <w:rPr>
      <w:rFonts w:ascii="Verdana" w:hAnsi="Verdana"/>
      <w:szCs w:val="20"/>
    </w:rPr>
  </w:style>
  <w:style w:type="character" w:customStyle="1" w:styleId="437">
    <w:name w:val="文本1"/>
    <w:qFormat/>
    <w:uiPriority w:val="0"/>
    <w:rPr>
      <w:rFonts w:hint="eastAsia" w:ascii="宋体" w:hAnsi="宋体" w:eastAsia="宋体"/>
      <w:color w:val="990000"/>
      <w:sz w:val="20"/>
      <w:u w:val="none"/>
    </w:rPr>
  </w:style>
  <w:style w:type="character" w:customStyle="1" w:styleId="438">
    <w:name w:val="加重文字 Char"/>
    <w:link w:val="439"/>
    <w:qFormat/>
    <w:uiPriority w:val="0"/>
    <w:rPr>
      <w:rFonts w:ascii="Verdana" w:hAnsi="Verdana"/>
      <w:b/>
      <w:kern w:val="2"/>
      <w:sz w:val="21"/>
      <w:u w:val="thick"/>
    </w:rPr>
  </w:style>
  <w:style w:type="paragraph" w:customStyle="1" w:styleId="439">
    <w:name w:val="加重文字"/>
    <w:basedOn w:val="436"/>
    <w:link w:val="438"/>
    <w:uiPriority w:val="0"/>
    <w:pPr>
      <w:ind w:firstLine="0" w:firstLineChars="0"/>
    </w:pPr>
    <w:rPr>
      <w:b/>
      <w:u w:val="thick"/>
    </w:rPr>
  </w:style>
  <w:style w:type="paragraph" w:customStyle="1" w:styleId="440">
    <w:name w:val="wisedu表格文字"/>
    <w:basedOn w:val="1"/>
    <w:qFormat/>
    <w:uiPriority w:val="0"/>
    <w:pPr>
      <w:spacing w:line="360" w:lineRule="auto"/>
    </w:pPr>
    <w:rPr>
      <w:rFonts w:ascii="Verdana" w:hAnsi="Verdana"/>
      <w:szCs w:val="20"/>
    </w:rPr>
  </w:style>
  <w:style w:type="character" w:customStyle="1" w:styleId="441">
    <w:name w:val="结束语 Char"/>
    <w:link w:val="32"/>
    <w:qFormat/>
    <w:uiPriority w:val="0"/>
    <w:rPr>
      <w:rFonts w:ascii="Verdana" w:hAnsi="Verdana"/>
      <w:kern w:val="2"/>
      <w:sz w:val="21"/>
    </w:rPr>
  </w:style>
  <w:style w:type="paragraph" w:customStyle="1" w:styleId="442">
    <w:name w:val="表格文字"/>
    <w:basedOn w:val="1"/>
    <w:qFormat/>
    <w:uiPriority w:val="0"/>
    <w:pPr>
      <w:spacing w:line="360" w:lineRule="auto"/>
    </w:pPr>
    <w:rPr>
      <w:rFonts w:ascii="Verdana" w:hAnsi="Verdana"/>
      <w:szCs w:val="20"/>
    </w:rPr>
  </w:style>
  <w:style w:type="paragraph" w:customStyle="1" w:styleId="443">
    <w:name w:val="目录标题"/>
    <w:next w:val="1"/>
    <w:qFormat/>
    <w:uiPriority w:val="0"/>
    <w:pPr>
      <w:spacing w:before="120" w:after="120" w:line="600" w:lineRule="exact"/>
      <w:ind w:left="301"/>
      <w:jc w:val="center"/>
    </w:pPr>
    <w:rPr>
      <w:rFonts w:ascii="宋体" w:hAnsi="宋体" w:eastAsia="宋体" w:cs="Times New Roman"/>
      <w:b/>
      <w:sz w:val="36"/>
      <w:lang w:val="en-US" w:eastAsia="zh-CN" w:bidi="ar-SA"/>
    </w:rPr>
  </w:style>
  <w:style w:type="paragraph" w:customStyle="1" w:styleId="444">
    <w:name w:val="封面表格"/>
    <w:basedOn w:val="1"/>
    <w:qFormat/>
    <w:uiPriority w:val="0"/>
    <w:rPr>
      <w:rFonts w:ascii="Verdana" w:hAnsi="Verdana"/>
      <w:b/>
      <w:sz w:val="32"/>
      <w:szCs w:val="20"/>
    </w:rPr>
  </w:style>
  <w:style w:type="paragraph" w:customStyle="1" w:styleId="445">
    <w:name w:val="封面"/>
    <w:basedOn w:val="1"/>
    <w:qFormat/>
    <w:uiPriority w:val="0"/>
    <w:pPr>
      <w:spacing w:line="480" w:lineRule="auto"/>
    </w:pPr>
    <w:rPr>
      <w:rFonts w:ascii="Verdana" w:hAnsi="Verdana" w:eastAsia="黑体"/>
      <w:b/>
      <w:sz w:val="48"/>
      <w:szCs w:val="20"/>
    </w:rPr>
  </w:style>
  <w:style w:type="character" w:customStyle="1" w:styleId="446">
    <w:name w:val="HTML 地址 Char"/>
    <w:link w:val="41"/>
    <w:qFormat/>
    <w:uiPriority w:val="0"/>
    <w:rPr>
      <w:rFonts w:ascii="Verdana" w:hAnsi="Verdana"/>
      <w:i/>
      <w:kern w:val="2"/>
      <w:sz w:val="21"/>
    </w:rPr>
  </w:style>
  <w:style w:type="character" w:customStyle="1" w:styleId="447">
    <w:name w:val="电子邮件签名 Char"/>
    <w:link w:val="19"/>
    <w:qFormat/>
    <w:uiPriority w:val="0"/>
    <w:rPr>
      <w:rFonts w:ascii="Verdana" w:hAnsi="Verdana"/>
      <w:kern w:val="2"/>
      <w:sz w:val="21"/>
    </w:rPr>
  </w:style>
  <w:style w:type="paragraph" w:customStyle="1" w:styleId="448">
    <w:name w:val="图片居中"/>
    <w:basedOn w:val="1"/>
    <w:next w:val="436"/>
    <w:qFormat/>
    <w:uiPriority w:val="0"/>
    <w:rPr>
      <w:rFonts w:ascii="Verdana" w:hAnsi="Verdana"/>
      <w:szCs w:val="20"/>
    </w:rPr>
  </w:style>
  <w:style w:type="paragraph" w:customStyle="1" w:styleId="449">
    <w:name w:val="封面小标题"/>
    <w:basedOn w:val="1"/>
    <w:qFormat/>
    <w:uiPriority w:val="0"/>
    <w:rPr>
      <w:rFonts w:ascii="Verdana" w:hAnsi="Verdana"/>
      <w:b/>
      <w:sz w:val="32"/>
      <w:szCs w:val="20"/>
    </w:rPr>
  </w:style>
  <w:style w:type="paragraph" w:customStyle="1" w:styleId="450">
    <w:name w:val="封面大标题"/>
    <w:basedOn w:val="1"/>
    <w:qFormat/>
    <w:uiPriority w:val="0"/>
    <w:rPr>
      <w:rFonts w:ascii="Verdana" w:hAnsi="Verdana"/>
      <w:b/>
      <w:sz w:val="44"/>
      <w:szCs w:val="20"/>
    </w:rPr>
  </w:style>
  <w:style w:type="character" w:customStyle="1" w:styleId="451">
    <w:name w:val="宏文本 Char"/>
    <w:link w:val="2"/>
    <w:qFormat/>
    <w:uiPriority w:val="0"/>
    <w:rPr>
      <w:rFonts w:ascii="Courier New" w:hAnsi="Courier New"/>
      <w:kern w:val="2"/>
      <w:sz w:val="24"/>
      <w:lang w:val="en-US" w:eastAsia="zh-CN" w:bidi="ar-SA"/>
    </w:rPr>
  </w:style>
  <w:style w:type="paragraph" w:customStyle="1" w:styleId="452">
    <w:name w:val="表格标题栏文字"/>
    <w:basedOn w:val="1"/>
    <w:qFormat/>
    <w:uiPriority w:val="0"/>
    <w:pPr>
      <w:spacing w:line="360" w:lineRule="auto"/>
    </w:pPr>
    <w:rPr>
      <w:rFonts w:ascii="Verdana" w:hAnsi="Verdana"/>
      <w:szCs w:val="20"/>
    </w:rPr>
  </w:style>
  <w:style w:type="paragraph" w:customStyle="1" w:styleId="453">
    <w:name w:val="封面标题"/>
    <w:basedOn w:val="445"/>
    <w:qFormat/>
    <w:uiPriority w:val="0"/>
    <w:rPr>
      <w:sz w:val="72"/>
    </w:rPr>
  </w:style>
  <w:style w:type="character" w:customStyle="1" w:styleId="454">
    <w:name w:val="注释标题 Char"/>
    <w:link w:val="16"/>
    <w:uiPriority w:val="0"/>
    <w:rPr>
      <w:rFonts w:ascii="Verdana" w:hAnsi="Verdana"/>
      <w:kern w:val="2"/>
      <w:sz w:val="21"/>
    </w:rPr>
  </w:style>
  <w:style w:type="paragraph" w:customStyle="1" w:styleId="455">
    <w:name w:val="样式 左 行距: 1.5 倍行距"/>
    <w:basedOn w:val="1"/>
    <w:next w:val="442"/>
    <w:uiPriority w:val="0"/>
    <w:pPr>
      <w:spacing w:line="360" w:lineRule="auto"/>
    </w:pPr>
    <w:rPr>
      <w:rFonts w:ascii="Verdana" w:hAnsi="Verdana"/>
      <w:szCs w:val="20"/>
    </w:rPr>
  </w:style>
  <w:style w:type="character" w:customStyle="1" w:styleId="456">
    <w:name w:val="页脚 Char1"/>
    <w:semiHidden/>
    <w:uiPriority w:val="99"/>
    <w:rPr>
      <w:rFonts w:ascii="Verdana" w:hAnsi="Verdana"/>
      <w:kern w:val="2"/>
      <w:sz w:val="18"/>
      <w:szCs w:val="18"/>
    </w:rPr>
  </w:style>
  <w:style w:type="paragraph" w:customStyle="1" w:styleId="457">
    <w:name w:val="标准文本[不缩进]"/>
    <w:basedOn w:val="133"/>
    <w:uiPriority w:val="0"/>
    <w:pPr>
      <w:ind w:firstLine="0" w:firstLineChars="0"/>
    </w:pPr>
    <w:rPr>
      <w:szCs w:val="20"/>
    </w:rPr>
  </w:style>
  <w:style w:type="paragraph" w:customStyle="1" w:styleId="458">
    <w:name w:val="标准文本[加粗]"/>
    <w:basedOn w:val="133"/>
    <w:qFormat/>
    <w:uiPriority w:val="0"/>
    <w:pPr>
      <w:ind w:firstLine="482"/>
    </w:pPr>
    <w:rPr>
      <w:b/>
      <w:bCs/>
      <w:szCs w:val="20"/>
    </w:rPr>
  </w:style>
  <w:style w:type="paragraph" w:customStyle="1" w:styleId="459">
    <w:name w:val="标准文本[居中]"/>
    <w:basedOn w:val="133"/>
    <w:uiPriority w:val="0"/>
    <w:pPr>
      <w:jc w:val="center"/>
    </w:pPr>
    <w:rPr>
      <w:szCs w:val="20"/>
    </w:rPr>
  </w:style>
  <w:style w:type="paragraph" w:customStyle="1" w:styleId="460">
    <w:name w:val="标准文本[代码]"/>
    <w:basedOn w:val="457"/>
    <w:uiPriority w:val="0"/>
    <w:pPr>
      <w:spacing w:line="120" w:lineRule="auto"/>
    </w:pPr>
    <w:rPr>
      <w:sz w:val="21"/>
    </w:rPr>
  </w:style>
  <w:style w:type="paragraph" w:customStyle="1" w:styleId="461">
    <w:name w:val="Table Titles"/>
    <w:basedOn w:val="462"/>
    <w:next w:val="462"/>
    <w:qFormat/>
    <w:uiPriority w:val="0"/>
    <w:pPr>
      <w:widowControl w:val="0"/>
      <w:tabs>
        <w:tab w:val="left" w:pos="720"/>
        <w:tab w:val="left" w:pos="1080"/>
        <w:tab w:val="left" w:pos="1440"/>
      </w:tabs>
      <w:jc w:val="center"/>
    </w:pPr>
    <w:rPr>
      <w:b/>
    </w:rPr>
  </w:style>
  <w:style w:type="paragraph" w:customStyle="1" w:styleId="462">
    <w:name w:val="Table Data"/>
    <w:basedOn w:val="1"/>
    <w:uiPriority w:val="0"/>
    <w:pPr>
      <w:widowControl/>
      <w:tabs>
        <w:tab w:val="left" w:pos="720"/>
        <w:tab w:val="left" w:pos="1080"/>
        <w:tab w:val="left" w:pos="1440"/>
      </w:tabs>
      <w:suppressAutoHyphens/>
      <w:spacing w:before="40" w:after="40"/>
      <w:jc w:val="left"/>
    </w:pPr>
    <w:rPr>
      <w:rFonts w:ascii="Arial" w:hAnsi="Arial"/>
      <w:kern w:val="0"/>
      <w:sz w:val="22"/>
      <w:szCs w:val="20"/>
      <w:lang w:eastAsia="en-US"/>
    </w:rPr>
  </w:style>
  <w:style w:type="paragraph" w:customStyle="1" w:styleId="463">
    <w:name w:val="1x2:cell"/>
    <w:basedOn w:val="1"/>
    <w:qFormat/>
    <w:uiPriority w:val="0"/>
    <w:pPr>
      <w:keepNext/>
      <w:numPr>
        <w:ilvl w:val="0"/>
        <w:numId w:val="12"/>
      </w:numPr>
      <w:tabs>
        <w:tab w:val="left" w:pos="0"/>
        <w:tab w:val="left" w:pos="1440"/>
        <w:tab w:val="left" w:pos="2160"/>
      </w:tabs>
      <w:spacing w:before="240" w:after="38" w:line="222" w:lineRule="auto"/>
      <w:ind w:left="0" w:firstLine="0"/>
      <w:jc w:val="left"/>
    </w:pPr>
    <w:rPr>
      <w:rFonts w:ascii="Helvetica" w:hAnsi="Helvetica"/>
      <w:snapToGrid w:val="0"/>
      <w:kern w:val="0"/>
      <w:sz w:val="20"/>
      <w:szCs w:val="20"/>
      <w:lang w:eastAsia="en-US"/>
    </w:rPr>
  </w:style>
  <w:style w:type="paragraph" w:customStyle="1" w:styleId="464">
    <w:name w:val="Paragraph2"/>
    <w:basedOn w:val="21"/>
    <w:qFormat/>
    <w:uiPriority w:val="0"/>
    <w:pPr>
      <w:widowControl/>
      <w:ind w:left="360" w:firstLine="0"/>
      <w:jc w:val="left"/>
    </w:pPr>
    <w:rPr>
      <w:rFonts w:ascii="Arial" w:hAnsi="Arial"/>
      <w:kern w:val="0"/>
      <w:sz w:val="22"/>
      <w:lang w:eastAsia="en-US"/>
    </w:rPr>
  </w:style>
  <w:style w:type="paragraph" w:customStyle="1" w:styleId="465">
    <w:name w:val="Figure"/>
    <w:basedOn w:val="22"/>
    <w:next w:val="1"/>
    <w:qFormat/>
    <w:uiPriority w:val="0"/>
    <w:pPr>
      <w:widowControl/>
      <w:numPr>
        <w:ilvl w:val="0"/>
        <w:numId w:val="13"/>
      </w:numPr>
      <w:tabs>
        <w:tab w:val="left" w:pos="360"/>
        <w:tab w:val="left" w:pos="1080"/>
        <w:tab w:val="left" w:pos="2160"/>
      </w:tabs>
      <w:suppressAutoHyphens/>
      <w:spacing w:before="120" w:after="120"/>
      <w:jc w:val="center"/>
    </w:pPr>
    <w:rPr>
      <w:rFonts w:eastAsia="宋体" w:cs="Times New Roman"/>
      <w:b/>
      <w:bCs/>
      <w:kern w:val="0"/>
      <w:sz w:val="22"/>
      <w:lang w:eastAsia="en-US"/>
    </w:rPr>
  </w:style>
  <w:style w:type="paragraph" w:customStyle="1" w:styleId="466">
    <w:name w:val="my表格文字"/>
    <w:basedOn w:val="1"/>
    <w:qFormat/>
    <w:uiPriority w:val="0"/>
    <w:rPr>
      <w:rFonts w:ascii="Trebuchet MS" w:hAnsi="Trebuchet MS" w:cs="宋体"/>
      <w:szCs w:val="20"/>
    </w:rPr>
  </w:style>
  <w:style w:type="character" w:customStyle="1" w:styleId="467">
    <w:name w:val="标准文本1 Char Char"/>
    <w:qFormat/>
    <w:uiPriority w:val="0"/>
    <w:rPr>
      <w:rFonts w:ascii="Verdana" w:hAnsi="Verdana"/>
    </w:rPr>
  </w:style>
  <w:style w:type="character" w:customStyle="1" w:styleId="468">
    <w:name w:val="Footer Char"/>
    <w:qFormat/>
    <w:locked/>
    <w:uiPriority w:val="0"/>
    <w:rPr>
      <w:rFonts w:cs="Times New Roman"/>
      <w:sz w:val="18"/>
      <w:szCs w:val="18"/>
    </w:rPr>
  </w:style>
  <w:style w:type="paragraph" w:customStyle="1" w:styleId="469">
    <w:name w:val="_Style 466"/>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70">
    <w:name w:val="1page sec3 Char1"/>
    <w:qFormat/>
    <w:uiPriority w:val="0"/>
    <w:rPr>
      <w:kern w:val="2"/>
      <w:sz w:val="18"/>
      <w:szCs w:val="18"/>
    </w:rPr>
  </w:style>
  <w:style w:type="character" w:customStyle="1" w:styleId="471">
    <w:name w:val="纯文本 Char"/>
    <w:qFormat/>
    <w:uiPriority w:val="99"/>
    <w:rPr>
      <w:rFonts w:ascii="宋体" w:hAnsi="Courier New" w:eastAsia="宋体"/>
      <w:kern w:val="2"/>
      <w:sz w:val="21"/>
      <w:szCs w:val="21"/>
      <w:lang w:val="en-US" w:eastAsia="zh-CN" w:bidi="ar-SA"/>
    </w:rPr>
  </w:style>
  <w:style w:type="character" w:customStyle="1" w:styleId="472">
    <w:name w:val="Heading 2 Char"/>
    <w:qFormat/>
    <w:locked/>
    <w:uiPriority w:val="0"/>
    <w:rPr>
      <w:rFonts w:ascii="Calibri Light" w:hAnsi="Calibri Light" w:eastAsia="宋体" w:cs="Times New Roman"/>
      <w:b/>
      <w:bCs/>
      <w:sz w:val="32"/>
      <w:szCs w:val="32"/>
    </w:rPr>
  </w:style>
  <w:style w:type="character" w:customStyle="1" w:styleId="473">
    <w:name w:val="样式 宋体"/>
    <w:qFormat/>
    <w:uiPriority w:val="0"/>
    <w:rPr>
      <w:rFonts w:ascii="宋体" w:hAnsi="宋体" w:eastAsia="宋体"/>
      <w:sz w:val="24"/>
      <w:szCs w:val="24"/>
    </w:rPr>
  </w:style>
  <w:style w:type="character" w:customStyle="1" w:styleId="474">
    <w:name w:val="Heading 1 Char"/>
    <w:qFormat/>
    <w:locked/>
    <w:uiPriority w:val="0"/>
    <w:rPr>
      <w:rFonts w:ascii="Times New Roman" w:hAnsi="Times New Roman" w:eastAsia="宋体" w:cs="Times New Roman"/>
      <w:b/>
      <w:bCs/>
      <w:kern w:val="44"/>
      <w:sz w:val="44"/>
      <w:szCs w:val="44"/>
    </w:rPr>
  </w:style>
  <w:style w:type="character" w:customStyle="1" w:styleId="475">
    <w:name w:val="1page sec3 Char"/>
    <w:qFormat/>
    <w:uiPriority w:val="0"/>
    <w:rPr>
      <w:rFonts w:eastAsia="宋体"/>
      <w:kern w:val="2"/>
      <w:sz w:val="18"/>
      <w:szCs w:val="18"/>
      <w:lang w:val="en-US" w:eastAsia="zh-CN" w:bidi="ar-SA"/>
    </w:rPr>
  </w:style>
  <w:style w:type="character" w:customStyle="1" w:styleId="476">
    <w:name w:val="Header Char"/>
    <w:qFormat/>
    <w:locked/>
    <w:uiPriority w:val="0"/>
    <w:rPr>
      <w:rFonts w:cs="Times New Roman"/>
      <w:sz w:val="18"/>
      <w:szCs w:val="18"/>
    </w:rPr>
  </w:style>
  <w:style w:type="character" w:customStyle="1" w:styleId="477">
    <w:name w:val="apple-converted-space"/>
    <w:qFormat/>
    <w:uiPriority w:val="0"/>
  </w:style>
  <w:style w:type="paragraph" w:customStyle="1" w:styleId="478">
    <w:name w:val="方案文档"/>
    <w:basedOn w:val="1"/>
    <w:qFormat/>
    <w:uiPriority w:val="0"/>
    <w:pPr>
      <w:spacing w:before="60" w:after="60" w:line="360" w:lineRule="auto"/>
      <w:ind w:firstLine="225" w:firstLineChars="225"/>
    </w:pPr>
    <w:rPr>
      <w:rFonts w:ascii="宋体"/>
      <w:color w:val="000000"/>
      <w:kern w:val="0"/>
      <w:sz w:val="24"/>
      <w:szCs w:val="20"/>
    </w:rPr>
  </w:style>
  <w:style w:type="paragraph" w:customStyle="1" w:styleId="479">
    <w:name w:val="样式 小四 段前: 3 磅 段后: 3 磅 行距: 1.5 倍行距"/>
    <w:basedOn w:val="1"/>
    <w:qFormat/>
    <w:uiPriority w:val="0"/>
    <w:pPr>
      <w:spacing w:before="60" w:after="60" w:line="360" w:lineRule="auto"/>
      <w:ind w:firstLine="540" w:firstLineChars="225"/>
    </w:pPr>
    <w:rPr>
      <w:rFonts w:cs="宋体"/>
      <w:sz w:val="24"/>
    </w:rPr>
  </w:style>
  <w:style w:type="paragraph" w:customStyle="1" w:styleId="480">
    <w:name w:val="z-窗体顶端1"/>
    <w:basedOn w:val="1"/>
    <w:next w:val="1"/>
    <w:qFormat/>
    <w:uiPriority w:val="0"/>
    <w:pPr>
      <w:widowControl/>
      <w:pBdr>
        <w:bottom w:val="single" w:color="auto" w:sz="6" w:space="1"/>
      </w:pBdr>
      <w:jc w:val="center"/>
    </w:pPr>
    <w:rPr>
      <w:rFonts w:ascii="Arial" w:hAnsi="Arial" w:cs="Arial"/>
      <w:vanish/>
      <w:sz w:val="16"/>
      <w:szCs w:val="16"/>
    </w:rPr>
  </w:style>
  <w:style w:type="paragraph" w:customStyle="1" w:styleId="481">
    <w:name w:val="p16"/>
    <w:basedOn w:val="1"/>
    <w:qFormat/>
    <w:uiPriority w:val="0"/>
    <w:pPr>
      <w:widowControl/>
      <w:ind w:left="720"/>
      <w:jc w:val="left"/>
    </w:pPr>
    <w:rPr>
      <w:rFonts w:ascii="Arial" w:hAnsi="Arial" w:cs="Arial"/>
      <w:kern w:val="0"/>
      <w:sz w:val="24"/>
    </w:rPr>
  </w:style>
  <w:style w:type="paragraph" w:customStyle="1" w:styleId="482">
    <w:name w:val="z-窗体底端1"/>
    <w:basedOn w:val="1"/>
    <w:next w:val="1"/>
    <w:qFormat/>
    <w:uiPriority w:val="0"/>
    <w:pPr>
      <w:widowControl/>
      <w:pBdr>
        <w:top w:val="single" w:color="auto" w:sz="6" w:space="1"/>
      </w:pBdr>
      <w:jc w:val="center"/>
    </w:pPr>
    <w:rPr>
      <w:rFonts w:ascii="Arial" w:hAnsi="Arial" w:cs="Arial"/>
      <w:vanish/>
      <w:sz w:val="16"/>
      <w:szCs w:val="16"/>
    </w:rPr>
  </w:style>
  <w:style w:type="paragraph" w:customStyle="1" w:styleId="483">
    <w:name w:val="样式 标题 3H32nd Subheadl3CTh3Level 3 Headlevel_3PIM 3Headi...2"/>
    <w:basedOn w:val="5"/>
    <w:qFormat/>
    <w:uiPriority w:val="0"/>
    <w:pPr>
      <w:tabs>
        <w:tab w:val="left" w:pos="709"/>
      </w:tabs>
      <w:adjustRightInd w:val="0"/>
      <w:spacing w:after="120" w:line="360" w:lineRule="auto"/>
      <w:ind w:left="709" w:hanging="709"/>
      <w:jc w:val="left"/>
      <w:textAlignment w:val="baseline"/>
    </w:pPr>
    <w:rPr>
      <w:rFonts w:cs="宋体"/>
      <w:kern w:val="0"/>
      <w:sz w:val="30"/>
      <w:szCs w:val="20"/>
    </w:rPr>
  </w:style>
  <w:style w:type="paragraph" w:customStyle="1" w:styleId="484">
    <w:name w:val="宏图高科"/>
    <w:basedOn w:val="1"/>
    <w:qFormat/>
    <w:uiPriority w:val="0"/>
    <w:pPr>
      <w:spacing w:line="360" w:lineRule="auto"/>
      <w:ind w:firstLine="480"/>
    </w:pPr>
    <w:rPr>
      <w:rFonts w:eastAsia="楷体_GB2312"/>
      <w:sz w:val="24"/>
      <w:szCs w:val="20"/>
    </w:rPr>
  </w:style>
  <w:style w:type="paragraph" w:customStyle="1" w:styleId="485">
    <w:name w:val="普通(网站)1"/>
    <w:basedOn w:val="1"/>
    <w:qFormat/>
    <w:uiPriority w:val="0"/>
    <w:pPr>
      <w:widowControl/>
      <w:spacing w:before="100" w:beforeAutospacing="1" w:after="100" w:afterAutospacing="1"/>
      <w:jc w:val="left"/>
    </w:pPr>
    <w:rPr>
      <w:rFonts w:ascii="宋体" w:cs="宋体"/>
      <w:kern w:val="0"/>
      <w:sz w:val="24"/>
    </w:rPr>
  </w:style>
  <w:style w:type="paragraph" w:customStyle="1" w:styleId="486">
    <w:name w:val="CD 正文"/>
    <w:basedOn w:val="1"/>
    <w:qFormat/>
    <w:uiPriority w:val="0"/>
    <w:pPr>
      <w:jc w:val="left"/>
    </w:pPr>
    <w:rPr>
      <w:rFonts w:ascii="Arial" w:hAnsi="Arial" w:eastAsia="微软雅黑"/>
    </w:rPr>
  </w:style>
  <w:style w:type="paragraph" w:customStyle="1" w:styleId="487">
    <w:name w:val="封面文字"/>
    <w:basedOn w:val="1"/>
    <w:qFormat/>
    <w:uiPriority w:val="0"/>
    <w:pPr>
      <w:spacing w:line="360" w:lineRule="auto"/>
      <w:ind w:firstLine="480" w:firstLineChars="200"/>
    </w:pPr>
    <w:rPr>
      <w:rFonts w:ascii="宋体" w:hAnsi="宋体"/>
      <w:sz w:val="24"/>
    </w:rPr>
  </w:style>
  <w:style w:type="character" w:customStyle="1" w:styleId="488">
    <w:name w:val="彩色列表 - 强调文字颜色 1 Char1"/>
    <w:link w:val="165"/>
    <w:qFormat/>
    <w:uiPriority w:val="0"/>
    <w:rPr>
      <w:kern w:val="2"/>
      <w:sz w:val="21"/>
      <w:szCs w:val="24"/>
    </w:rPr>
  </w:style>
  <w:style w:type="paragraph" w:customStyle="1" w:styleId="489">
    <w:name w:val="Item List in Table"/>
    <w:link w:val="490"/>
    <w:qFormat/>
    <w:uiPriority w:val="0"/>
    <w:pPr>
      <w:numPr>
        <w:ilvl w:val="0"/>
        <w:numId w:val="14"/>
      </w:numPr>
      <w:spacing w:before="40" w:after="40"/>
      <w:jc w:val="both"/>
    </w:pPr>
    <w:rPr>
      <w:rFonts w:ascii="Arial" w:hAnsi="Arial" w:eastAsia="宋体" w:cs="Times New Roman"/>
      <w:sz w:val="18"/>
      <w:szCs w:val="18"/>
      <w:lang w:val="en-US" w:eastAsia="zh-CN" w:bidi="ar-SA"/>
    </w:rPr>
  </w:style>
  <w:style w:type="character" w:customStyle="1" w:styleId="490">
    <w:name w:val="Item List in Table Char Char"/>
    <w:link w:val="489"/>
    <w:qFormat/>
    <w:uiPriority w:val="0"/>
    <w:rPr>
      <w:rFonts w:ascii="Arial" w:hAnsi="Arial"/>
      <w:sz w:val="18"/>
      <w:szCs w:val="18"/>
    </w:rPr>
  </w:style>
  <w:style w:type="character" w:customStyle="1" w:styleId="491">
    <w:name w:val="彩色列表 - 强调文字颜色 1 Char"/>
    <w:qFormat/>
    <w:uiPriority w:val="0"/>
    <w:rPr>
      <w:rFonts w:ascii="Calibri" w:hAnsi="Calibri" w:cs="Times New Roman"/>
      <w:kern w:val="2"/>
      <w:sz w:val="21"/>
      <w:szCs w:val="22"/>
    </w:rPr>
  </w:style>
  <w:style w:type="paragraph" w:customStyle="1" w:styleId="492">
    <w:name w:val="opening2"/>
    <w:basedOn w:val="1"/>
    <w:qFormat/>
    <w:uiPriority w:val="0"/>
    <w:pPr>
      <w:widowControl/>
      <w:spacing w:before="100" w:beforeAutospacing="1" w:after="100" w:afterAutospacing="1"/>
      <w:jc w:val="left"/>
    </w:pPr>
    <w:rPr>
      <w:rFonts w:ascii="宋体" w:hAnsi="宋体" w:cs="宋体"/>
      <w:color w:val="000000"/>
      <w:kern w:val="0"/>
      <w:sz w:val="23"/>
      <w:szCs w:val="23"/>
    </w:rPr>
  </w:style>
  <w:style w:type="character" w:customStyle="1" w:styleId="493">
    <w:name w:val="列出段落 Char"/>
    <w:link w:val="494"/>
    <w:qFormat/>
    <w:locked/>
    <w:uiPriority w:val="34"/>
    <w:rPr>
      <w:kern w:val="2"/>
      <w:sz w:val="21"/>
      <w:szCs w:val="24"/>
      <w:lang w:bidi="ar-SA"/>
    </w:rPr>
  </w:style>
  <w:style w:type="paragraph" w:styleId="494">
    <w:name w:val="List Paragraph"/>
    <w:basedOn w:val="1"/>
    <w:link w:val="493"/>
    <w:qFormat/>
    <w:uiPriority w:val="34"/>
    <w:pPr>
      <w:ind w:firstLine="420" w:firstLineChars="200"/>
    </w:pPr>
  </w:style>
  <w:style w:type="paragraph" w:customStyle="1" w:styleId="495">
    <w:name w:val="表标题"/>
    <w:basedOn w:val="1"/>
    <w:next w:val="1"/>
    <w:link w:val="499"/>
    <w:qFormat/>
    <w:uiPriority w:val="0"/>
    <w:pPr>
      <w:spacing w:before="120" w:line="440" w:lineRule="exact"/>
      <w:jc w:val="center"/>
    </w:pPr>
    <w:rPr>
      <w:spacing w:val="8"/>
      <w:sz w:val="24"/>
      <w:szCs w:val="21"/>
    </w:rPr>
  </w:style>
  <w:style w:type="paragraph" w:customStyle="1" w:styleId="496">
    <w:name w:val="表头"/>
    <w:basedOn w:val="1"/>
    <w:next w:val="1"/>
    <w:link w:val="497"/>
    <w:qFormat/>
    <w:uiPriority w:val="0"/>
    <w:pPr>
      <w:spacing w:line="300" w:lineRule="exact"/>
      <w:jc w:val="center"/>
    </w:pPr>
    <w:rPr>
      <w:rFonts w:eastAsia="黑体"/>
      <w:spacing w:val="8"/>
      <w:kern w:val="0"/>
      <w:szCs w:val="20"/>
    </w:rPr>
  </w:style>
  <w:style w:type="character" w:customStyle="1" w:styleId="497">
    <w:name w:val="表头 Char"/>
    <w:link w:val="496"/>
    <w:qFormat/>
    <w:uiPriority w:val="0"/>
    <w:rPr>
      <w:rFonts w:eastAsia="黑体"/>
      <w:spacing w:val="8"/>
      <w:sz w:val="21"/>
    </w:rPr>
  </w:style>
  <w:style w:type="character" w:customStyle="1" w:styleId="498">
    <w:name w:val="表蕊 Char1"/>
    <w:link w:val="311"/>
    <w:qFormat/>
    <w:uiPriority w:val="0"/>
    <w:rPr>
      <w:rFonts w:eastAsia="楷体_GB2312"/>
      <w:spacing w:val="-10"/>
      <w:sz w:val="21"/>
    </w:rPr>
  </w:style>
  <w:style w:type="character" w:customStyle="1" w:styleId="499">
    <w:name w:val="表标题 Char Char"/>
    <w:link w:val="495"/>
    <w:qFormat/>
    <w:uiPriority w:val="0"/>
    <w:rPr>
      <w:spacing w:val="8"/>
      <w:kern w:val="2"/>
      <w:sz w:val="24"/>
      <w:szCs w:val="21"/>
    </w:rPr>
  </w:style>
  <w:style w:type="paragraph" w:customStyle="1" w:styleId="500">
    <w:name w:val="Char Char2 Char Char"/>
    <w:basedOn w:val="26"/>
    <w:qFormat/>
    <w:uiPriority w:val="0"/>
    <w:pPr>
      <w:spacing w:line="436" w:lineRule="exact"/>
    </w:pPr>
    <w:rPr>
      <w:rFonts w:ascii="Tahoma" w:hAnsi="Tahoma"/>
      <w:sz w:val="24"/>
      <w:szCs w:val="20"/>
    </w:rPr>
  </w:style>
  <w:style w:type="character" w:customStyle="1" w:styleId="501">
    <w:name w:val="font21"/>
    <w:qFormat/>
    <w:uiPriority w:val="0"/>
    <w:rPr>
      <w:rFonts w:hint="eastAsia" w:ascii="宋体" w:hAnsi="宋体" w:eastAsia="宋体" w:cs="宋体"/>
      <w:color w:val="FF0000"/>
      <w:sz w:val="21"/>
      <w:szCs w:val="21"/>
      <w:u w:val="none"/>
    </w:rPr>
  </w:style>
  <w:style w:type="paragraph" w:customStyle="1" w:styleId="502">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b w:val="0"/>
      <w:bCs w:val="0"/>
      <w:sz w:val="28"/>
      <w:szCs w:val="20"/>
    </w:rPr>
  </w:style>
  <w:style w:type="paragraph" w:customStyle="1" w:styleId="50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504">
    <w:name w:val="_Style 502"/>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05">
    <w:name w:val="font161"/>
    <w:qFormat/>
    <w:uiPriority w:val="0"/>
    <w:rPr>
      <w:b/>
      <w:sz w:val="32"/>
    </w:rPr>
  </w:style>
  <w:style w:type="paragraph" w:customStyle="1" w:styleId="506">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b w:val="0"/>
      <w:bCs w:val="0"/>
      <w:sz w:val="32"/>
      <w:szCs w:val="20"/>
    </w:rPr>
  </w:style>
  <w:style w:type="paragraph" w:customStyle="1" w:styleId="507">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508">
    <w:name w:val="样式 标题 3 + (中文) 黑体 小四 非加粗 段前: 7.8 磅 段后: 0 磅 行距: 固定值 20 磅"/>
    <w:basedOn w:val="5"/>
    <w:qFormat/>
    <w:uiPriority w:val="0"/>
    <w:pPr>
      <w:spacing w:before="0" w:after="0" w:line="400" w:lineRule="exact"/>
    </w:pPr>
    <w:rPr>
      <w:rFonts w:eastAsia="黑体"/>
      <w:b w:val="0"/>
      <w:bCs w:val="0"/>
      <w:sz w:val="24"/>
      <w:szCs w:val="20"/>
    </w:rPr>
  </w:style>
  <w:style w:type="character" w:customStyle="1" w:styleId="509">
    <w:name w:val="bookmark"/>
    <w:basedOn w:val="90"/>
    <w:qFormat/>
    <w:uiPriority w:val="0"/>
  </w:style>
  <w:style w:type="character" w:customStyle="1" w:styleId="510">
    <w:name w:val="页眉 Char1"/>
    <w:semiHidden/>
    <w:qFormat/>
    <w:uiPriority w:val="99"/>
    <w:rPr>
      <w:rFonts w:ascii="Calibri" w:hAnsi="Calibri" w:eastAsia="宋体" w:cs="Times New Roman"/>
      <w:sz w:val="18"/>
      <w:szCs w:val="18"/>
    </w:rPr>
  </w:style>
  <w:style w:type="character" w:customStyle="1" w:styleId="511">
    <w:name w:val="批注框文本 Char1"/>
    <w:qFormat/>
    <w:uiPriority w:val="0"/>
    <w:rPr>
      <w:kern w:val="2"/>
      <w:sz w:val="18"/>
      <w:szCs w:val="18"/>
    </w:rPr>
  </w:style>
  <w:style w:type="character" w:customStyle="1" w:styleId="512">
    <w:name w:val="文档结构图 Char1"/>
    <w:qFormat/>
    <w:uiPriority w:val="0"/>
    <w:rPr>
      <w:rFonts w:ascii="宋体" w:hAnsi="Calibri" w:eastAsia="宋体" w:cs="Times New Roman"/>
      <w:sz w:val="18"/>
      <w:szCs w:val="18"/>
    </w:rPr>
  </w:style>
  <w:style w:type="character" w:customStyle="1" w:styleId="513">
    <w:name w:val="标题4 Char Char"/>
    <w:qFormat/>
    <w:uiPriority w:val="0"/>
    <w:rPr>
      <w:rFonts w:ascii="Arial" w:hAnsi="Arial"/>
      <w:b/>
      <w:bCs/>
      <w:sz w:val="24"/>
      <w:szCs w:val="32"/>
    </w:rPr>
  </w:style>
  <w:style w:type="character" w:customStyle="1" w:styleId="514">
    <w:name w:val="副标题 Char1"/>
    <w:basedOn w:val="90"/>
    <w:qFormat/>
    <w:uiPriority w:val="11"/>
    <w:rPr>
      <w:rFonts w:ascii="Cambria" w:hAnsi="Cambria" w:cs="Times New Roman"/>
      <w:b/>
      <w:bCs/>
      <w:kern w:val="28"/>
      <w:sz w:val="32"/>
      <w:szCs w:val="32"/>
    </w:rPr>
  </w:style>
  <w:style w:type="character" w:customStyle="1" w:styleId="515">
    <w:name w:val="明显引用 Char"/>
    <w:link w:val="516"/>
    <w:qFormat/>
    <w:uiPriority w:val="0"/>
    <w:rPr>
      <w:b/>
      <w:bCs/>
      <w:i/>
      <w:iCs/>
      <w:color w:val="4F81BD"/>
    </w:rPr>
  </w:style>
  <w:style w:type="paragraph" w:styleId="516">
    <w:name w:val="Intense Quote"/>
    <w:basedOn w:val="1"/>
    <w:next w:val="1"/>
    <w:link w:val="515"/>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517">
    <w:name w:val="明显引用 Char1"/>
    <w:basedOn w:val="90"/>
    <w:qFormat/>
    <w:uiPriority w:val="30"/>
    <w:rPr>
      <w:b/>
      <w:bCs/>
      <w:i/>
      <w:iCs/>
      <w:color w:val="4F81BD"/>
      <w:kern w:val="2"/>
      <w:sz w:val="21"/>
      <w:szCs w:val="24"/>
    </w:rPr>
  </w:style>
  <w:style w:type="character" w:customStyle="1" w:styleId="518">
    <w:name w:val="批注框文本 Char2"/>
    <w:semiHidden/>
    <w:qFormat/>
    <w:uiPriority w:val="99"/>
    <w:rPr>
      <w:rFonts w:ascii="Calibri" w:hAnsi="Calibri" w:eastAsia="宋体" w:cs="Times New Roman"/>
      <w:sz w:val="18"/>
      <w:szCs w:val="18"/>
    </w:rPr>
  </w:style>
  <w:style w:type="character" w:customStyle="1" w:styleId="519">
    <w:name w:val="引用 Char"/>
    <w:link w:val="520"/>
    <w:qFormat/>
    <w:uiPriority w:val="0"/>
    <w:rPr>
      <w:i/>
      <w:iCs/>
      <w:color w:val="000000"/>
    </w:rPr>
  </w:style>
  <w:style w:type="paragraph" w:styleId="520">
    <w:name w:val="Quote"/>
    <w:basedOn w:val="1"/>
    <w:next w:val="1"/>
    <w:link w:val="519"/>
    <w:qFormat/>
    <w:uiPriority w:val="0"/>
    <w:rPr>
      <w:i/>
      <w:iCs/>
      <w:color w:val="000000"/>
      <w:kern w:val="0"/>
      <w:sz w:val="20"/>
      <w:szCs w:val="20"/>
    </w:rPr>
  </w:style>
  <w:style w:type="character" w:customStyle="1" w:styleId="521">
    <w:name w:val="引用 Char1"/>
    <w:basedOn w:val="90"/>
    <w:qFormat/>
    <w:uiPriority w:val="29"/>
    <w:rPr>
      <w:i/>
      <w:iCs/>
      <w:color w:val="000000"/>
      <w:kern w:val="2"/>
      <w:sz w:val="21"/>
      <w:szCs w:val="24"/>
    </w:rPr>
  </w:style>
  <w:style w:type="character" w:customStyle="1" w:styleId="522">
    <w:name w:val="日期 Char1"/>
    <w:qFormat/>
    <w:uiPriority w:val="0"/>
    <w:rPr>
      <w:rFonts w:ascii="Calibri" w:hAnsi="Calibri" w:eastAsia="宋体" w:cs="Times New Roman"/>
    </w:rPr>
  </w:style>
  <w:style w:type="character" w:customStyle="1" w:styleId="523">
    <w:name w:val="正文文本 Char1"/>
    <w:qFormat/>
    <w:uiPriority w:val="0"/>
    <w:rPr>
      <w:rFonts w:ascii="Calibri" w:hAnsi="Calibri" w:eastAsia="宋体" w:cs="Times New Roman"/>
    </w:rPr>
  </w:style>
  <w:style w:type="character" w:customStyle="1" w:styleId="524">
    <w:name w:val="标题5 Char Char"/>
    <w:link w:val="287"/>
    <w:qFormat/>
    <w:uiPriority w:val="0"/>
    <w:rPr>
      <w:rFonts w:eastAsia="仿宋_GB2312"/>
      <w:bCs/>
      <w:kern w:val="2"/>
      <w:sz w:val="30"/>
      <w:szCs w:val="30"/>
    </w:rPr>
  </w:style>
  <w:style w:type="character" w:customStyle="1" w:styleId="525">
    <w:name w:val="批注主题 Char1"/>
    <w:uiPriority w:val="0"/>
    <w:rPr>
      <w:b/>
      <w:bCs/>
      <w:kern w:val="2"/>
      <w:sz w:val="21"/>
      <w:szCs w:val="22"/>
    </w:rPr>
  </w:style>
  <w:style w:type="character" w:customStyle="1" w:styleId="526">
    <w:name w:val="批注文字 Char1"/>
    <w:uiPriority w:val="99"/>
    <w:rPr>
      <w:rFonts w:ascii="Calibri" w:hAnsi="Calibri" w:eastAsia="宋体" w:cs="Times New Roman"/>
    </w:rPr>
  </w:style>
  <w:style w:type="character" w:customStyle="1" w:styleId="527">
    <w:name w:val="批注主题 Char2"/>
    <w:basedOn w:val="154"/>
    <w:uiPriority w:val="99"/>
    <w:rPr>
      <w:b/>
      <w:bCs/>
      <w:kern w:val="2"/>
      <w:sz w:val="21"/>
      <w:szCs w:val="24"/>
    </w:rPr>
  </w:style>
  <w:style w:type="character" w:customStyle="1" w:styleId="528">
    <w:name w:val="批注文字 Char2"/>
    <w:uiPriority w:val="0"/>
    <w:rPr>
      <w:kern w:val="2"/>
      <w:sz w:val="21"/>
    </w:rPr>
  </w:style>
  <w:style w:type="character" w:customStyle="1" w:styleId="529">
    <w:name w:val="正文文本 Char2"/>
    <w:semiHidden/>
    <w:uiPriority w:val="99"/>
    <w:rPr>
      <w:rFonts w:ascii="Calibri" w:hAnsi="Calibri" w:eastAsia="宋体" w:cs="Times New Roman"/>
    </w:rPr>
  </w:style>
  <w:style w:type="paragraph" w:customStyle="1" w:styleId="530">
    <w:name w:val="修订1"/>
    <w:uiPriority w:val="0"/>
    <w:rPr>
      <w:rFonts w:ascii="Times New Roman" w:hAnsi="Times New Roman" w:eastAsia="宋体" w:cs="Times New Roman"/>
      <w:kern w:val="2"/>
      <w:sz w:val="21"/>
      <w:szCs w:val="24"/>
      <w:lang w:val="en-US" w:eastAsia="zh-CN" w:bidi="ar-SA"/>
    </w:rPr>
  </w:style>
  <w:style w:type="paragraph" w:styleId="531">
    <w:name w:val="No Spacing"/>
    <w:qFormat/>
    <w:uiPriority w:val="0"/>
    <w:pPr>
      <w:widowControl w:val="0"/>
      <w:jc w:val="both"/>
    </w:pPr>
    <w:rPr>
      <w:rFonts w:ascii="Calibri" w:hAnsi="Calibri" w:eastAsia="宋体" w:cs="Times New Roman"/>
      <w:kern w:val="2"/>
      <w:sz w:val="21"/>
      <w:szCs w:val="22"/>
      <w:lang w:val="en-US" w:eastAsia="zh-CN" w:bidi="ar-SA"/>
    </w:rPr>
  </w:style>
  <w:style w:type="paragraph" w:customStyle="1" w:styleId="532">
    <w:name w:val="空半行"/>
    <w:basedOn w:val="1"/>
    <w:uiPriority w:val="0"/>
    <w:pPr>
      <w:adjustRightInd w:val="0"/>
      <w:spacing w:line="120" w:lineRule="exact"/>
      <w:textAlignment w:val="baseline"/>
    </w:pPr>
    <w:rPr>
      <w:rFonts w:eastAsia="仿宋_GB2312"/>
      <w:color w:val="FFFFFF"/>
      <w:kern w:val="0"/>
      <w:sz w:val="30"/>
      <w:szCs w:val="20"/>
    </w:rPr>
  </w:style>
  <w:style w:type="paragraph" w:customStyle="1" w:styleId="533">
    <w:name w:val="TOC 标题1"/>
    <w:basedOn w:val="3"/>
    <w:next w:val="1"/>
    <w:qFormat/>
    <w:uiPriority w:val="0"/>
    <w:pPr>
      <w:outlineLvl w:val="9"/>
    </w:pPr>
    <w:rPr>
      <w:rFonts w:ascii="Calibri" w:hAnsi="Calibri"/>
    </w:rPr>
  </w:style>
  <w:style w:type="character" w:customStyle="1" w:styleId="534">
    <w:name w:val="日期 Char2"/>
    <w:semiHidden/>
    <w:uiPriority w:val="99"/>
    <w:rPr>
      <w:rFonts w:ascii="Calibri" w:hAnsi="Calibri" w:eastAsia="宋体" w:cs="Times New Roman"/>
    </w:rPr>
  </w:style>
  <w:style w:type="character" w:customStyle="1" w:styleId="535">
    <w:name w:val="文档结构图 Char2"/>
    <w:semiHidden/>
    <w:uiPriority w:val="99"/>
    <w:rPr>
      <w:rFonts w:ascii="宋体" w:hAnsi="Calibri" w:eastAsia="宋体" w:cs="Times New Roman"/>
      <w:sz w:val="18"/>
      <w:szCs w:val="18"/>
    </w:rPr>
  </w:style>
  <w:style w:type="paragraph" w:customStyle="1" w:styleId="536">
    <w:name w:val="_Style 534"/>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37">
    <w:name w:val="正文首行缩进 2 Char"/>
    <w:basedOn w:val="146"/>
    <w:link w:val="86"/>
    <w:uiPriority w:val="0"/>
    <w:rPr>
      <w:kern w:val="2"/>
      <w:sz w:val="21"/>
      <w:szCs w:val="24"/>
    </w:rPr>
  </w:style>
  <w:style w:type="paragraph" w:customStyle="1" w:styleId="538">
    <w:name w:val="Style Heading 2标题 1.1 + 宋体 小二 Not Bold Centered Line spacing: ..."/>
    <w:basedOn w:val="4"/>
    <w:uiPriority w:val="0"/>
    <w:pPr>
      <w:spacing w:before="60" w:after="60" w:line="240" w:lineRule="auto"/>
      <w:jc w:val="left"/>
    </w:pPr>
    <w:rPr>
      <w:rFonts w:ascii="宋体" w:hAnsi="Arial" w:cs="宋体"/>
      <w:bCs w:val="0"/>
      <w:color w:val="000000"/>
      <w:sz w:val="28"/>
      <w:szCs w:val="20"/>
    </w:rPr>
  </w:style>
  <w:style w:type="paragraph" w:customStyle="1" w:styleId="539">
    <w:name w:val="正文 New New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40">
    <w:name w:val="普通正文"/>
    <w:basedOn w:val="1"/>
    <w:uiPriority w:val="0"/>
    <w:pPr>
      <w:adjustRightInd w:val="0"/>
      <w:spacing w:before="120" w:after="120" w:line="360" w:lineRule="auto"/>
      <w:ind w:firstLine="480"/>
      <w:jc w:val="left"/>
      <w:textAlignment w:val="baseline"/>
    </w:pPr>
    <w:rPr>
      <w:rFonts w:ascii="Arial" w:hAnsi="Arial"/>
      <w:kern w:val="0"/>
      <w:sz w:val="24"/>
    </w:rPr>
  </w:style>
  <w:style w:type="character" w:customStyle="1" w:styleId="541">
    <w:name w:val="标题 1 Char1"/>
    <w:basedOn w:val="90"/>
    <w:uiPriority w:val="0"/>
    <w:rPr>
      <w:rFonts w:ascii="楷体_GB2312" w:hAnsi="Times New Roman" w:eastAsia="楷体_GB2312" w:cs="Times New Roman"/>
      <w:sz w:val="28"/>
      <w:szCs w:val="28"/>
    </w:rPr>
  </w:style>
  <w:style w:type="character" w:customStyle="1" w:styleId="542">
    <w:name w:val="二级目录 Char"/>
    <w:link w:val="543"/>
    <w:uiPriority w:val="0"/>
    <w:rPr>
      <w:b/>
      <w:kern w:val="2"/>
      <w:sz w:val="30"/>
      <w:szCs w:val="28"/>
    </w:rPr>
  </w:style>
  <w:style w:type="paragraph" w:customStyle="1" w:styleId="543">
    <w:name w:val="二级目录"/>
    <w:next w:val="1"/>
    <w:link w:val="542"/>
    <w:uiPriority w:val="0"/>
    <w:pPr>
      <w:tabs>
        <w:tab w:val="left" w:pos="907"/>
        <w:tab w:val="left" w:pos="1145"/>
        <w:tab w:val="left" w:pos="1280"/>
      </w:tabs>
      <w:ind w:left="1280" w:hanging="720"/>
      <w:outlineLvl w:val="1"/>
    </w:pPr>
    <w:rPr>
      <w:rFonts w:ascii="Times New Roman" w:hAnsi="Times New Roman" w:eastAsia="宋体" w:cs="Times New Roman"/>
      <w:b/>
      <w:kern w:val="2"/>
      <w:sz w:val="30"/>
      <w:szCs w:val="28"/>
      <w:lang w:val="en-US" w:eastAsia="zh-CN" w:bidi="ar-SA"/>
    </w:rPr>
  </w:style>
  <w:style w:type="character" w:customStyle="1" w:styleId="544">
    <w:name w:val="font5 Char"/>
    <w:uiPriority w:val="0"/>
    <w:rPr>
      <w:rFonts w:ascii="宋体" w:hAnsi="宋体" w:eastAsia="宋体"/>
      <w:sz w:val="28"/>
      <w:szCs w:val="28"/>
      <w:lang w:val="en-US" w:eastAsia="zh-CN" w:bidi="ar-SA"/>
    </w:rPr>
  </w:style>
  <w:style w:type="paragraph" w:customStyle="1" w:styleId="545">
    <w:name w:val="Char Char4"/>
    <w:basedOn w:val="1"/>
    <w:uiPriority w:val="0"/>
    <w:pPr>
      <w:adjustRightInd w:val="0"/>
      <w:spacing w:line="360" w:lineRule="auto"/>
    </w:pPr>
    <w:rPr>
      <w:kern w:val="0"/>
      <w:sz w:val="24"/>
      <w:szCs w:val="20"/>
    </w:rPr>
  </w:style>
  <w:style w:type="paragraph" w:customStyle="1" w:styleId="546">
    <w:name w:val="标题1"/>
    <w:basedOn w:val="1"/>
    <w:next w:val="1"/>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547">
    <w:name w:val="Char Char Char Char Char Char Char Char Char Char"/>
    <w:basedOn w:val="1"/>
    <w:uiPriority w:val="0"/>
    <w:pPr>
      <w:adjustRightInd w:val="0"/>
      <w:spacing w:line="360" w:lineRule="auto"/>
    </w:pPr>
    <w:rPr>
      <w:kern w:val="0"/>
      <w:sz w:val="24"/>
      <w:szCs w:val="20"/>
    </w:rPr>
  </w:style>
  <w:style w:type="paragraph" w:customStyle="1" w:styleId="548">
    <w:name w:val="正文_0_0"/>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549">
    <w:name w:val="普通 (Web)"/>
    <w:basedOn w:val="1"/>
    <w:uiPriority w:val="0"/>
    <w:pPr>
      <w:widowControl/>
      <w:spacing w:before="100" w:beforeAutospacing="1" w:after="100" w:afterAutospacing="1"/>
      <w:jc w:val="left"/>
    </w:pPr>
    <w:rPr>
      <w:rFonts w:ascii="宋体" w:hAnsi="宋体"/>
      <w:kern w:val="0"/>
      <w:sz w:val="24"/>
    </w:rPr>
  </w:style>
  <w:style w:type="paragraph" w:customStyle="1" w:styleId="550">
    <w:name w:val="正文_3_0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1">
    <w:name w:val="4"/>
    <w:basedOn w:val="1"/>
    <w:next w:val="70"/>
    <w:uiPriority w:val="0"/>
    <w:pPr>
      <w:spacing w:line="360" w:lineRule="auto"/>
      <w:ind w:firstLine="420"/>
    </w:pPr>
    <w:rPr>
      <w:color w:val="FF0000"/>
      <w:sz w:val="24"/>
    </w:rPr>
  </w:style>
  <w:style w:type="paragraph" w:customStyle="1" w:styleId="552">
    <w:name w:val="附录1"/>
    <w:uiPriority w:val="0"/>
    <w:pPr>
      <w:tabs>
        <w:tab w:val="left" w:pos="907"/>
        <w:tab w:val="left" w:pos="1280"/>
      </w:tabs>
      <w:snapToGrid w:val="0"/>
      <w:spacing w:before="240" w:line="600" w:lineRule="atLeast"/>
      <w:ind w:left="1280" w:hanging="720"/>
    </w:pPr>
    <w:rPr>
      <w:rFonts w:ascii="Times New Roman" w:hAnsi="Times New Roman" w:eastAsia="宋体" w:cs="Times New Roman"/>
      <w:b/>
      <w:i/>
      <w:sz w:val="28"/>
      <w:lang w:val="en-US" w:eastAsia="zh-CN" w:bidi="ar-SA"/>
    </w:rPr>
  </w:style>
  <w:style w:type="paragraph" w:customStyle="1" w:styleId="553">
    <w:name w:val="Char2"/>
    <w:basedOn w:val="26"/>
    <w:uiPriority w:val="0"/>
    <w:rPr>
      <w:rFonts w:ascii="Tahoma" w:hAnsi="Tahoma"/>
      <w:sz w:val="24"/>
    </w:rPr>
  </w:style>
  <w:style w:type="paragraph" w:customStyle="1" w:styleId="554">
    <w:name w:val="Body Text(ch)"/>
    <w:basedOn w:val="1"/>
    <w:next w:val="34"/>
    <w:uiPriority w:val="0"/>
    <w:pPr>
      <w:tabs>
        <w:tab w:val="left" w:pos="1280"/>
      </w:tabs>
      <w:spacing w:after="120"/>
    </w:pPr>
    <w:rPr>
      <w:rFonts w:ascii="宋体" w:hAnsi="Arial"/>
      <w:bCs/>
      <w:iCs/>
    </w:rPr>
  </w:style>
  <w:style w:type="paragraph" w:customStyle="1" w:styleId="555">
    <w:name w:val="Char Char Char Char Char Char Char Char2"/>
    <w:basedOn w:val="1"/>
    <w:uiPriority w:val="0"/>
    <w:pPr>
      <w:widowControl/>
      <w:spacing w:after="160" w:line="240" w:lineRule="exact"/>
      <w:jc w:val="left"/>
    </w:pPr>
    <w:rPr>
      <w:rFonts w:ascii="Verdana" w:hAnsi="Verdana"/>
      <w:kern w:val="0"/>
      <w:sz w:val="20"/>
      <w:szCs w:val="20"/>
      <w:lang w:eastAsia="en-US"/>
    </w:rPr>
  </w:style>
  <w:style w:type="paragraph" w:customStyle="1" w:styleId="556">
    <w:name w:val="Char Char Char Char2"/>
    <w:basedOn w:val="26"/>
    <w:uiPriority w:val="0"/>
    <w:pPr>
      <w:adjustRightInd w:val="0"/>
      <w:snapToGrid w:val="0"/>
      <w:spacing w:line="360" w:lineRule="auto"/>
    </w:pPr>
    <w:rPr>
      <w:rFonts w:ascii="Tahoma" w:hAnsi="Tahoma"/>
      <w:sz w:val="24"/>
    </w:rPr>
  </w:style>
  <w:style w:type="paragraph" w:customStyle="1" w:styleId="557">
    <w:name w:val="图标"/>
    <w:basedOn w:val="1"/>
    <w:next w:val="1"/>
    <w:uiPriority w:val="0"/>
    <w:pPr>
      <w:tabs>
        <w:tab w:val="left" w:pos="567"/>
        <w:tab w:val="left" w:pos="840"/>
        <w:tab w:val="left" w:pos="90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558">
    <w:name w:val="Normal_1"/>
    <w:qFormat/>
    <w:uiPriority w:val="0"/>
    <w:rPr>
      <w:rFonts w:ascii="Times New Roman" w:hAnsi="Times New Roman" w:eastAsia="Times New Roman" w:cs="Times New Roman"/>
      <w:sz w:val="24"/>
      <w:szCs w:val="24"/>
      <w:lang w:val="en-US" w:eastAsia="zh-CN" w:bidi="ar-SA"/>
    </w:rPr>
  </w:style>
  <w:style w:type="paragraph" w:customStyle="1" w:styleId="559">
    <w:name w:val="Normal_2"/>
    <w:qFormat/>
    <w:uiPriority w:val="0"/>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3410CD-711E-411B-94D9-250E69AC47F2}">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56</Pages>
  <Words>5090</Words>
  <Characters>29013</Characters>
  <Lines>241</Lines>
  <Paragraphs>68</Paragraphs>
  <TotalTime>72</TotalTime>
  <ScaleCrop>false</ScaleCrop>
  <LinksUpToDate>false</LinksUpToDate>
  <CharactersWithSpaces>34035</CharactersWithSpaces>
  <Application>WPS Office_11.1.0.8412_F1E327BC-269C-435d-A152-05C5408002CA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2019-01-25T08:46:00Z</dcterms:created>
  <dc:creator>User</dc:creator>
  <cp:lastModifiedBy>ximin</cp:lastModifiedBy>
  <cp:lastPrinted>2018-12-11T06:22:00Z</cp:lastPrinted>
  <dcterms:modified xsi:type="dcterms:W3CDTF">2019-02-19T08:14:35Z</dcterms:modified>
  <dc:title>公开招标文件</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2052-11.1.0.8412</vt:lpwstr>
  </property>
</Properties>
</file>