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120" w:afterLines="50"/>
        <w:jc w:val="center"/>
        <w:rPr>
          <w:rFonts w:hint="eastAsia" w:asciiTheme="minorEastAsia" w:hAnsiTheme="minorEastAsia" w:eastAsiaTheme="minorEastAsia" w:cstheme="minorEastAsia"/>
          <w:b/>
          <w:sz w:val="52"/>
          <w:szCs w:val="52"/>
        </w:rPr>
      </w:pPr>
      <w:bookmarkStart w:id="0" w:name="_Toc50860346"/>
      <w:bookmarkStart w:id="1" w:name="_Toc50861851"/>
      <w:bookmarkStart w:id="2" w:name="_Toc48120177"/>
      <w:bookmarkStart w:id="3" w:name="_Toc26166904"/>
      <w:bookmarkStart w:id="4" w:name="_Toc48042038"/>
      <w:bookmarkStart w:id="5" w:name="_Toc48101110"/>
      <w:bookmarkStart w:id="6" w:name="_Toc51213919"/>
      <w:bookmarkStart w:id="7" w:name="_Toc30298450"/>
      <w:bookmarkStart w:id="8" w:name="_Toc29693737"/>
      <w:bookmarkStart w:id="9" w:name="_Toc30905406"/>
      <w:bookmarkStart w:id="10" w:name="_Toc30905314"/>
      <w:bookmarkStart w:id="11" w:name="_Toc50453926"/>
      <w:bookmarkStart w:id="12" w:name="_Toc50861715"/>
    </w:p>
    <w:p>
      <w:pPr>
        <w:spacing w:before="120" w:after="120" w:afterLines="50"/>
        <w:jc w:val="center"/>
        <w:rPr>
          <w:rFonts w:hint="eastAsia" w:asciiTheme="minorEastAsia" w:hAnsiTheme="minorEastAsia" w:eastAsiaTheme="minorEastAsia" w:cstheme="minorEastAsia"/>
          <w:b/>
          <w:sz w:val="52"/>
          <w:szCs w:val="52"/>
        </w:rPr>
      </w:pPr>
    </w:p>
    <w:p>
      <w:pPr>
        <w:spacing w:before="120" w:after="120" w:afterLines="50"/>
        <w:jc w:val="center"/>
        <w:rPr>
          <w:rFonts w:hint="eastAsia" w:asciiTheme="minorEastAsia" w:hAnsiTheme="minorEastAsia" w:eastAsiaTheme="minorEastAsia" w:cstheme="minorEastAsia"/>
          <w:b/>
          <w:sz w:val="52"/>
          <w:szCs w:val="52"/>
        </w:rPr>
      </w:pPr>
      <w:r>
        <w:rPr>
          <w:rFonts w:hint="eastAsia" w:asciiTheme="minorEastAsia" w:hAnsiTheme="minorEastAsia" w:eastAsiaTheme="minorEastAsia" w:cstheme="minorEastAsia"/>
          <w:b/>
          <w:sz w:val="52"/>
          <w:szCs w:val="52"/>
        </w:rPr>
        <w:t>徐州市</w:t>
      </w:r>
      <w:r>
        <w:rPr>
          <w:rFonts w:hint="eastAsia" w:asciiTheme="minorEastAsia" w:hAnsiTheme="minorEastAsia" w:eastAsiaTheme="minorEastAsia" w:cstheme="minorEastAsia"/>
          <w:b/>
          <w:sz w:val="56"/>
          <w:szCs w:val="72"/>
        </w:rPr>
        <w:t>建国东路、泉润大道（老徐萧路）和五山公园综合管廊PPP项目</w:t>
      </w:r>
      <w:r>
        <w:rPr>
          <w:rFonts w:hint="eastAsia" w:asciiTheme="minorEastAsia" w:hAnsiTheme="minorEastAsia" w:eastAsiaTheme="minorEastAsia" w:cstheme="minorEastAsia"/>
          <w:b/>
          <w:sz w:val="52"/>
          <w:szCs w:val="52"/>
        </w:rPr>
        <w:t>招标文件之附件一</w:t>
      </w:r>
    </w:p>
    <w:p>
      <w:pPr>
        <w:widowControl/>
        <w:spacing w:before="120" w:after="120" w:afterLines="50"/>
        <w:jc w:val="center"/>
        <w:rPr>
          <w:rFonts w:hint="eastAsia" w:asciiTheme="minorEastAsia" w:hAnsiTheme="minorEastAsia" w:eastAsiaTheme="minorEastAsia" w:cstheme="minorEastAsia"/>
          <w:b/>
          <w:sz w:val="84"/>
          <w:szCs w:val="84"/>
        </w:rPr>
      </w:pPr>
      <w:r>
        <w:rPr>
          <w:rFonts w:hint="eastAsia" w:asciiTheme="minorEastAsia" w:hAnsiTheme="minorEastAsia" w:eastAsiaTheme="minorEastAsia" w:cstheme="minorEastAsia"/>
          <w:b/>
          <w:sz w:val="84"/>
          <w:szCs w:val="84"/>
        </w:rPr>
        <w:t>PPP项目合同</w:t>
      </w:r>
    </w:p>
    <w:p>
      <w:pPr>
        <w:spacing w:before="120" w:after="120" w:afterLines="50"/>
        <w:rPr>
          <w:rFonts w:hint="eastAsia" w:asciiTheme="minorEastAsia" w:hAnsiTheme="minorEastAsia" w:eastAsiaTheme="minorEastAsia" w:cstheme="minorEastAsia"/>
          <w:b/>
          <w:sz w:val="52"/>
          <w:szCs w:val="52"/>
        </w:rPr>
      </w:pPr>
    </w:p>
    <w:p>
      <w:pPr>
        <w:widowControl w:val="0"/>
        <w:suppressAutoHyphens/>
        <w:spacing w:before="120" w:beforeLines="50" w:after="120" w:afterLines="50" w:line="360" w:lineRule="auto"/>
        <w:rPr>
          <w:rFonts w:hint="eastAsia" w:asciiTheme="minorEastAsia" w:hAnsiTheme="minorEastAsia" w:eastAsiaTheme="minorEastAsia" w:cstheme="minorEastAsia"/>
          <w:sz w:val="28"/>
          <w:szCs w:val="28"/>
        </w:rPr>
      </w:pPr>
    </w:p>
    <w:p>
      <w:pPr>
        <w:widowControl w:val="0"/>
        <w:suppressAutoHyphens/>
        <w:spacing w:before="120" w:beforeLines="50" w:after="120" w:afterLines="50" w:line="360" w:lineRule="auto"/>
        <w:jc w:val="center"/>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徐州市城市管理局</w:t>
      </w:r>
    </w:p>
    <w:p>
      <w:pPr>
        <w:spacing w:before="120" w:after="120" w:afterLines="50"/>
        <w:jc w:val="center"/>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2"/>
          <w:szCs w:val="32"/>
        </w:rPr>
        <w:t>二〇一</w:t>
      </w:r>
      <w:r>
        <w:rPr>
          <w:rFonts w:hint="eastAsia" w:asciiTheme="minorEastAsia" w:hAnsiTheme="minorEastAsia" w:eastAsiaTheme="minorEastAsia" w:cstheme="minorEastAsia"/>
          <w:b/>
          <w:bCs/>
          <w:sz w:val="32"/>
          <w:szCs w:val="32"/>
          <w:lang w:val="en-US" w:eastAsia="zh-CN"/>
        </w:rPr>
        <w:t>九</w:t>
      </w:r>
      <w:r>
        <w:rPr>
          <w:rFonts w:hint="eastAsia" w:asciiTheme="minorEastAsia" w:hAnsiTheme="minorEastAsia" w:eastAsiaTheme="minorEastAsia" w:cstheme="minorEastAsia"/>
          <w:b/>
          <w:bCs/>
          <w:sz w:val="32"/>
          <w:szCs w:val="32"/>
        </w:rPr>
        <w:t>年</w:t>
      </w:r>
      <w:r>
        <w:rPr>
          <w:rFonts w:hint="eastAsia" w:asciiTheme="minorEastAsia" w:hAnsiTheme="minorEastAsia" w:eastAsiaTheme="minorEastAsia" w:cstheme="minorEastAsia"/>
          <w:b/>
          <w:bCs/>
          <w:sz w:val="32"/>
          <w:szCs w:val="32"/>
          <w:lang w:val="en-US" w:eastAsia="zh-CN"/>
        </w:rPr>
        <w:t>七</w:t>
      </w:r>
      <w:r>
        <w:rPr>
          <w:rFonts w:hint="eastAsia" w:asciiTheme="minorEastAsia" w:hAnsiTheme="minorEastAsia" w:eastAsiaTheme="minorEastAsia" w:cstheme="minorEastAsia"/>
          <w:b/>
          <w:bCs/>
          <w:sz w:val="32"/>
          <w:szCs w:val="32"/>
        </w:rPr>
        <w:t>月</w:t>
      </w:r>
    </w:p>
    <w:p>
      <w:pPr>
        <w:spacing w:before="120" w:after="120" w:afterLines="50"/>
        <w:jc w:val="center"/>
        <w:rPr>
          <w:rFonts w:hint="eastAsia" w:asciiTheme="minorEastAsia" w:hAnsiTheme="minorEastAsia" w:eastAsiaTheme="minorEastAsia" w:cstheme="minorEastAsia"/>
          <w:b/>
          <w:sz w:val="52"/>
          <w:szCs w:val="52"/>
        </w:rPr>
        <w:sectPr>
          <w:headerReference r:id="rId5" w:type="first"/>
          <w:footerReference r:id="rId8" w:type="first"/>
          <w:headerReference r:id="rId3" w:type="default"/>
          <w:footerReference r:id="rId6" w:type="default"/>
          <w:headerReference r:id="rId4" w:type="even"/>
          <w:footerReference r:id="rId7" w:type="even"/>
          <w:type w:val="oddPage"/>
          <w:pgSz w:w="11907" w:h="16840"/>
          <w:pgMar w:top="1418" w:right="1418" w:bottom="1418" w:left="1418" w:header="567" w:footer="992" w:gutter="0"/>
          <w:pgNumType w:fmt="upperRoman" w:start="1"/>
          <w:cols w:space="425" w:num="1"/>
          <w:titlePg/>
          <w:docGrid w:linePitch="326" w:charSpace="0"/>
        </w:sectPr>
      </w:pPr>
    </w:p>
    <w:p>
      <w:pPr>
        <w:spacing w:before="120" w:after="120" w:afterLines="50"/>
        <w:jc w:val="center"/>
        <w:rPr>
          <w:rFonts w:hint="eastAsia" w:asciiTheme="minorEastAsia" w:hAnsiTheme="minorEastAsia" w:eastAsiaTheme="minorEastAsia" w:cstheme="minorEastAsia"/>
          <w:b/>
          <w:bCs/>
          <w:sz w:val="44"/>
          <w:highlight w:val="none"/>
        </w:rPr>
      </w:pPr>
      <w:r>
        <w:rPr>
          <w:rFonts w:hint="eastAsia" w:asciiTheme="minorEastAsia" w:hAnsiTheme="minorEastAsia" w:eastAsiaTheme="minorEastAsia" w:cstheme="minorEastAsia"/>
          <w:b/>
          <w:bCs/>
          <w:sz w:val="44"/>
          <w:highlight w:val="none"/>
        </w:rPr>
        <w:t>目   录</w:t>
      </w:r>
    </w:p>
    <w:p>
      <w:pPr>
        <w:pStyle w:val="28"/>
        <w:tabs>
          <w:tab w:val="clear" w:pos="1200"/>
        </w:tabs>
      </w:pPr>
      <w:r>
        <w:rPr>
          <w:rFonts w:hint="eastAsia" w:asciiTheme="minorEastAsia" w:hAnsiTheme="minorEastAsia" w:eastAsiaTheme="minorEastAsia" w:cstheme="minorEastAsia"/>
          <w:smallCaps/>
          <w:sz w:val="28"/>
        </w:rPr>
        <w:fldChar w:fldCharType="begin"/>
      </w:r>
      <w:r>
        <w:rPr>
          <w:rFonts w:hint="eastAsia" w:asciiTheme="minorEastAsia" w:hAnsiTheme="minorEastAsia" w:eastAsiaTheme="minorEastAsia" w:cstheme="minorEastAsia"/>
          <w:smallCaps/>
          <w:sz w:val="28"/>
        </w:rPr>
        <w:instrText xml:space="preserve"> TOC \o "1-2" \h \z \u </w:instrText>
      </w:r>
      <w:r>
        <w:rPr>
          <w:rFonts w:hint="eastAsia" w:asciiTheme="minorEastAsia" w:hAnsiTheme="minorEastAsia" w:eastAsiaTheme="minorEastAsia" w:cstheme="minorEastAsia"/>
          <w:smallCaps/>
          <w:sz w:val="28"/>
        </w:rPr>
        <w:fldChar w:fldCharType="separate"/>
      </w: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_Toc3680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第一章 </w:t>
      </w:r>
      <w:r>
        <w:rPr>
          <w:rFonts w:hint="eastAsia" w:asciiTheme="minorEastAsia" w:hAnsiTheme="minorEastAsia" w:eastAsiaTheme="minorEastAsia" w:cstheme="minorEastAsia"/>
        </w:rPr>
        <w:t>定义和释义</w:t>
      </w:r>
      <w:r>
        <w:tab/>
      </w:r>
      <w:r>
        <w:fldChar w:fldCharType="begin"/>
      </w:r>
      <w:r>
        <w:instrText xml:space="preserve"> PAGEREF _Toc3680 </w:instrText>
      </w:r>
      <w:r>
        <w:fldChar w:fldCharType="separate"/>
      </w:r>
      <w:r>
        <w:t>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_Toc22432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1.1 </w:t>
      </w:r>
      <w:r>
        <w:rPr>
          <w:rFonts w:hint="eastAsia" w:asciiTheme="minorEastAsia" w:hAnsiTheme="minorEastAsia" w:eastAsiaTheme="minorEastAsia" w:cstheme="minorEastAsia"/>
        </w:rPr>
        <w:t>定义</w:t>
      </w:r>
      <w:r>
        <w:tab/>
      </w:r>
      <w:r>
        <w:fldChar w:fldCharType="begin"/>
      </w:r>
      <w:r>
        <w:instrText xml:space="preserve"> PAGEREF _Toc22432 </w:instrText>
      </w:r>
      <w:r>
        <w:fldChar w:fldCharType="separate"/>
      </w:r>
      <w:r>
        <w:t>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_Toc13335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1.2 </w:t>
      </w:r>
      <w:r>
        <w:rPr>
          <w:rFonts w:hint="eastAsia" w:asciiTheme="minorEastAsia" w:hAnsiTheme="minorEastAsia" w:eastAsiaTheme="minorEastAsia" w:cstheme="minorEastAsia"/>
        </w:rPr>
        <w:t>释义</w:t>
      </w:r>
      <w:r>
        <w:tab/>
      </w:r>
      <w:r>
        <w:fldChar w:fldCharType="begin"/>
      </w:r>
      <w:r>
        <w:instrText xml:space="preserve"> PAGEREF _Toc13335 </w:instrText>
      </w:r>
      <w:r>
        <w:fldChar w:fldCharType="separate"/>
      </w:r>
      <w:r>
        <w:t>6</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_Toc3962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1.3 </w:t>
      </w:r>
      <w:r>
        <w:rPr>
          <w:rFonts w:hint="eastAsia" w:asciiTheme="minorEastAsia" w:hAnsiTheme="minorEastAsia" w:eastAsiaTheme="minorEastAsia" w:cstheme="minorEastAsia"/>
        </w:rPr>
        <w:t>项目合同构成</w:t>
      </w:r>
      <w:r>
        <w:tab/>
      </w:r>
      <w:r>
        <w:fldChar w:fldCharType="begin"/>
      </w:r>
      <w:r>
        <w:instrText xml:space="preserve"> PAGEREF _Toc3962 </w:instrText>
      </w:r>
      <w:r>
        <w:fldChar w:fldCharType="separate"/>
      </w:r>
      <w:r>
        <w:t>7</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_Toc7846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1.4 </w:t>
      </w:r>
      <w:r>
        <w:rPr>
          <w:rFonts w:hint="eastAsia" w:asciiTheme="minorEastAsia" w:hAnsiTheme="minorEastAsia" w:eastAsiaTheme="minorEastAsia" w:cstheme="minorEastAsia"/>
        </w:rPr>
        <w:t>声明和保证</w:t>
      </w:r>
      <w:r>
        <w:tab/>
      </w:r>
      <w:r>
        <w:fldChar w:fldCharType="begin"/>
      </w:r>
      <w:r>
        <w:instrText xml:space="preserve"> PAGEREF _Toc7846 </w:instrText>
      </w:r>
      <w:r>
        <w:fldChar w:fldCharType="separate"/>
      </w:r>
      <w:r>
        <w:t>8</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_Toc29206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第二章 </w:t>
      </w:r>
      <w:r>
        <w:rPr>
          <w:rFonts w:hint="eastAsia" w:asciiTheme="minorEastAsia" w:hAnsiTheme="minorEastAsia" w:eastAsiaTheme="minorEastAsia" w:cstheme="minorEastAsia"/>
        </w:rPr>
        <w:t>先决条件</w:t>
      </w:r>
      <w:r>
        <w:tab/>
      </w:r>
      <w:r>
        <w:fldChar w:fldCharType="begin"/>
      </w:r>
      <w:r>
        <w:instrText xml:space="preserve"> PAGEREF _Toc29206 </w:instrText>
      </w:r>
      <w:r>
        <w:fldChar w:fldCharType="separate"/>
      </w:r>
      <w:r>
        <w:t>11</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_Toc1567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2 条 </w:t>
      </w:r>
      <w:r>
        <w:tab/>
      </w:r>
      <w:r>
        <w:fldChar w:fldCharType="begin"/>
      </w:r>
      <w:r>
        <w:instrText xml:space="preserve"> PAGEREF _Toc1567 </w:instrText>
      </w:r>
      <w:r>
        <w:fldChar w:fldCharType="separate"/>
      </w:r>
      <w:r>
        <w:t>11</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_Toc11114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2.1 </w:t>
      </w:r>
      <w:r>
        <w:rPr>
          <w:rFonts w:hint="eastAsia" w:asciiTheme="minorEastAsia" w:hAnsiTheme="minorEastAsia" w:eastAsiaTheme="minorEastAsia" w:cstheme="minorEastAsia"/>
        </w:rPr>
        <w:t>合同生效条件</w:t>
      </w:r>
      <w:r>
        <w:tab/>
      </w:r>
      <w:r>
        <w:fldChar w:fldCharType="begin"/>
      </w:r>
      <w:r>
        <w:instrText xml:space="preserve"> PAGEREF _Toc11114 </w:instrText>
      </w:r>
      <w:r>
        <w:fldChar w:fldCharType="separate"/>
      </w:r>
      <w:r>
        <w:t>11</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_Toc12805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第三章 </w:t>
      </w:r>
      <w:r>
        <w:rPr>
          <w:rFonts w:hint="eastAsia" w:asciiTheme="minorEastAsia" w:hAnsiTheme="minorEastAsia" w:eastAsiaTheme="minorEastAsia" w:cstheme="minorEastAsia"/>
        </w:rPr>
        <w:t>项目公司</w:t>
      </w:r>
      <w:r>
        <w:tab/>
      </w:r>
      <w:r>
        <w:fldChar w:fldCharType="begin"/>
      </w:r>
      <w:r>
        <w:instrText xml:space="preserve"> PAGEREF _Toc12805 </w:instrText>
      </w:r>
      <w:r>
        <w:fldChar w:fldCharType="separate"/>
      </w:r>
      <w:r>
        <w:t>13</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_Toc10929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3 条 </w:t>
      </w:r>
      <w:r>
        <w:tab/>
      </w:r>
      <w:r>
        <w:fldChar w:fldCharType="begin"/>
      </w:r>
      <w:r>
        <w:instrText xml:space="preserve"> PAGEREF _Toc10929 </w:instrText>
      </w:r>
      <w:r>
        <w:fldChar w:fldCharType="separate"/>
      </w:r>
      <w:r>
        <w:t>13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_Toc2915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3.1 </w:t>
      </w:r>
      <w:r>
        <w:rPr>
          <w:rFonts w:hint="eastAsia" w:asciiTheme="minorEastAsia" w:hAnsiTheme="minorEastAsia" w:eastAsiaTheme="minorEastAsia" w:cstheme="minorEastAsia"/>
        </w:rPr>
        <w:t>项目公司的成立与组织架构</w:t>
      </w:r>
      <w:r>
        <w:tab/>
      </w:r>
      <w:r>
        <w:fldChar w:fldCharType="begin"/>
      </w:r>
      <w:r>
        <w:instrText xml:space="preserve"> PAGEREF _Toc2915 </w:instrText>
      </w:r>
      <w:r>
        <w:fldChar w:fldCharType="separate"/>
      </w:r>
      <w:r>
        <w:t>13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_Toc30877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3.2 </w:t>
      </w:r>
      <w:r>
        <w:rPr>
          <w:rFonts w:hint="eastAsia" w:asciiTheme="minorEastAsia" w:hAnsiTheme="minorEastAsia" w:eastAsiaTheme="minorEastAsia" w:cstheme="minorEastAsia"/>
        </w:rPr>
        <w:t>项目公司的基本义务</w:t>
      </w:r>
      <w:r>
        <w:tab/>
      </w:r>
      <w:r>
        <w:fldChar w:fldCharType="begin"/>
      </w:r>
      <w:r>
        <w:instrText xml:space="preserve"> PAGEREF _Toc30877 </w:instrText>
      </w:r>
      <w:r>
        <w:fldChar w:fldCharType="separate"/>
      </w:r>
      <w:r>
        <w:t>13</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_Toc29870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第四章 </w:t>
      </w:r>
      <w:r>
        <w:rPr>
          <w:rFonts w:hint="eastAsia" w:asciiTheme="minorEastAsia" w:hAnsiTheme="minorEastAsia" w:eastAsiaTheme="minorEastAsia" w:cstheme="minorEastAsia"/>
        </w:rPr>
        <w:t>项目的范围和期限</w:t>
      </w:r>
      <w:r>
        <w:tab/>
      </w:r>
      <w:r>
        <w:fldChar w:fldCharType="begin"/>
      </w:r>
      <w:r>
        <w:instrText xml:space="preserve"> PAGEREF _Toc29870 </w:instrText>
      </w:r>
      <w:r>
        <w:fldChar w:fldCharType="separate"/>
      </w:r>
      <w:r>
        <w:t>15</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_Toc8240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4 条 </w:t>
      </w:r>
      <w:r>
        <w:tab/>
      </w:r>
      <w:r>
        <w:fldChar w:fldCharType="begin"/>
      </w:r>
      <w:r>
        <w:instrText xml:space="preserve"> PAGEREF _Toc8240 </w:instrText>
      </w:r>
      <w:r>
        <w:fldChar w:fldCharType="separate"/>
      </w:r>
      <w:r>
        <w:t>15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_Toc15801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4.1 </w:t>
      </w:r>
      <w:r>
        <w:rPr>
          <w:rFonts w:hint="eastAsia" w:asciiTheme="minorEastAsia" w:hAnsiTheme="minorEastAsia" w:eastAsiaTheme="minorEastAsia" w:cstheme="minorEastAsia"/>
        </w:rPr>
        <w:t>项目合作范围</w:t>
      </w:r>
      <w:r>
        <w:tab/>
      </w:r>
      <w:r>
        <w:fldChar w:fldCharType="begin"/>
      </w:r>
      <w:r>
        <w:instrText xml:space="preserve"> PAGEREF _Toc15801 </w:instrText>
      </w:r>
      <w:r>
        <w:fldChar w:fldCharType="separate"/>
      </w:r>
      <w:r>
        <w:t>15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_Toc18276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4.2 </w:t>
      </w:r>
      <w:r>
        <w:rPr>
          <w:rFonts w:hint="eastAsia" w:asciiTheme="minorEastAsia" w:hAnsiTheme="minorEastAsia" w:eastAsiaTheme="minorEastAsia" w:cstheme="minorEastAsia"/>
        </w:rPr>
        <w:t>项目合作期</w:t>
      </w:r>
      <w:r>
        <w:tab/>
      </w:r>
      <w:r>
        <w:fldChar w:fldCharType="begin"/>
      </w:r>
      <w:r>
        <w:instrText xml:space="preserve"> PAGEREF _Toc18276 </w:instrText>
      </w:r>
      <w:r>
        <w:fldChar w:fldCharType="separate"/>
      </w:r>
      <w:r>
        <w:t>15</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_Toc31808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第五章 </w:t>
      </w:r>
      <w:r>
        <w:rPr>
          <w:rFonts w:hint="eastAsia" w:asciiTheme="minorEastAsia" w:hAnsiTheme="minorEastAsia" w:eastAsiaTheme="minorEastAsia" w:cstheme="minorEastAsia"/>
        </w:rPr>
        <w:t>项目的投融资</w:t>
      </w:r>
      <w:r>
        <w:tab/>
      </w:r>
      <w:r>
        <w:fldChar w:fldCharType="begin"/>
      </w:r>
      <w:r>
        <w:instrText xml:space="preserve"> PAGEREF _Toc31808 </w:instrText>
      </w:r>
      <w:r>
        <w:fldChar w:fldCharType="separate"/>
      </w:r>
      <w:r>
        <w:t>16</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_Toc15878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5 条 </w:t>
      </w:r>
      <w:r>
        <w:tab/>
      </w:r>
      <w:r>
        <w:fldChar w:fldCharType="begin"/>
      </w:r>
      <w:r>
        <w:instrText xml:space="preserve"> PAGEREF _Toc15878 </w:instrText>
      </w:r>
      <w:r>
        <w:fldChar w:fldCharType="separate"/>
      </w:r>
      <w:r>
        <w:t>16</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_Toc5590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5.1 </w:t>
      </w:r>
      <w:r>
        <w:rPr>
          <w:rFonts w:hint="eastAsia" w:asciiTheme="minorEastAsia" w:hAnsiTheme="minorEastAsia" w:eastAsiaTheme="minorEastAsia" w:cstheme="minorEastAsia"/>
        </w:rPr>
        <w:t>项目投融资结构</w:t>
      </w:r>
      <w:r>
        <w:tab/>
      </w:r>
      <w:r>
        <w:fldChar w:fldCharType="begin"/>
      </w:r>
      <w:r>
        <w:instrText xml:space="preserve"> PAGEREF _Toc5590 </w:instrText>
      </w:r>
      <w:r>
        <w:fldChar w:fldCharType="separate"/>
      </w:r>
      <w:r>
        <w:t>16</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_Toc15471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5.2 </w:t>
      </w:r>
      <w:r>
        <w:rPr>
          <w:rFonts w:hint="eastAsia" w:asciiTheme="minorEastAsia" w:hAnsiTheme="minorEastAsia" w:eastAsiaTheme="minorEastAsia" w:cstheme="minorEastAsia"/>
        </w:rPr>
        <w:t>项目融资</w:t>
      </w:r>
      <w:r>
        <w:tab/>
      </w:r>
      <w:r>
        <w:fldChar w:fldCharType="begin"/>
      </w:r>
      <w:r>
        <w:instrText xml:space="preserve"> PAGEREF _Toc15471 </w:instrText>
      </w:r>
      <w:r>
        <w:fldChar w:fldCharType="separate"/>
      </w:r>
      <w:r>
        <w:t>16</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_Toc28219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5.3 </w:t>
      </w:r>
      <w:r>
        <w:rPr>
          <w:rFonts w:hint="eastAsia" w:asciiTheme="minorEastAsia" w:hAnsiTheme="minorEastAsia" w:eastAsiaTheme="minorEastAsia" w:cstheme="minorEastAsia"/>
        </w:rPr>
        <w:t>融资文件</w:t>
      </w:r>
      <w:r>
        <w:tab/>
      </w:r>
      <w:r>
        <w:fldChar w:fldCharType="begin"/>
      </w:r>
      <w:r>
        <w:instrText xml:space="preserve"> PAGEREF _Toc28219 </w:instrText>
      </w:r>
      <w:r>
        <w:fldChar w:fldCharType="separate"/>
      </w:r>
      <w:r>
        <w:t>17</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_Toc6400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5.4 </w:t>
      </w:r>
      <w:r>
        <w:rPr>
          <w:rFonts w:hint="eastAsia" w:asciiTheme="minorEastAsia" w:hAnsiTheme="minorEastAsia" w:eastAsiaTheme="minorEastAsia" w:cstheme="minorEastAsia"/>
        </w:rPr>
        <w:t>融资交割</w:t>
      </w:r>
      <w:r>
        <w:tab/>
      </w:r>
      <w:r>
        <w:fldChar w:fldCharType="begin"/>
      </w:r>
      <w:r>
        <w:instrText xml:space="preserve"> PAGEREF _Toc6400 </w:instrText>
      </w:r>
      <w:r>
        <w:fldChar w:fldCharType="separate"/>
      </w:r>
      <w:r>
        <w:t>17</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_Toc1379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5.5 </w:t>
      </w:r>
      <w:r>
        <w:rPr>
          <w:rFonts w:hint="eastAsia" w:asciiTheme="minorEastAsia" w:hAnsiTheme="minorEastAsia" w:eastAsiaTheme="minorEastAsia" w:cstheme="minorEastAsia"/>
        </w:rPr>
        <w:t>担保权益</w:t>
      </w:r>
      <w:r>
        <w:tab/>
      </w:r>
      <w:r>
        <w:fldChar w:fldCharType="begin"/>
      </w:r>
      <w:r>
        <w:instrText xml:space="preserve"> PAGEREF _Toc1379 </w:instrText>
      </w:r>
      <w:r>
        <w:fldChar w:fldCharType="separate"/>
      </w:r>
      <w:r>
        <w:t>18</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_Toc12944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5.6 </w:t>
      </w:r>
      <w:r>
        <w:rPr>
          <w:rFonts w:hint="eastAsia" w:asciiTheme="minorEastAsia" w:hAnsiTheme="minorEastAsia" w:eastAsiaTheme="minorEastAsia" w:cstheme="minorEastAsia"/>
        </w:rPr>
        <w:t>投融资监管</w:t>
      </w:r>
      <w:r>
        <w:tab/>
      </w:r>
      <w:r>
        <w:fldChar w:fldCharType="begin"/>
      </w:r>
      <w:r>
        <w:instrText xml:space="preserve"> PAGEREF _Toc12944 </w:instrText>
      </w:r>
      <w:r>
        <w:fldChar w:fldCharType="separate"/>
      </w:r>
      <w:r>
        <w:t>18</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_Toc27319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5.7 </w:t>
      </w:r>
      <w:r>
        <w:rPr>
          <w:rFonts w:hint="eastAsia" w:asciiTheme="minorEastAsia" w:hAnsiTheme="minorEastAsia" w:eastAsiaTheme="minorEastAsia" w:cstheme="minorEastAsia"/>
        </w:rPr>
        <w:t>关于优惠政策的处置</w:t>
      </w:r>
      <w:r>
        <w:tab/>
      </w:r>
      <w:r>
        <w:fldChar w:fldCharType="begin"/>
      </w:r>
      <w:r>
        <w:instrText xml:space="preserve"> PAGEREF _Toc27319 </w:instrText>
      </w:r>
      <w:r>
        <w:fldChar w:fldCharType="separate"/>
      </w:r>
      <w:r>
        <w:t>18</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_Toc32553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第六章 </w:t>
      </w:r>
      <w:r>
        <w:rPr>
          <w:rFonts w:hint="eastAsia" w:asciiTheme="minorEastAsia" w:hAnsiTheme="minorEastAsia" w:eastAsiaTheme="minorEastAsia" w:cstheme="minorEastAsia"/>
        </w:rPr>
        <w:t>项目用地</w:t>
      </w:r>
      <w:r>
        <w:tab/>
      </w:r>
      <w:r>
        <w:fldChar w:fldCharType="begin"/>
      </w:r>
      <w:r>
        <w:instrText xml:space="preserve"> PAGEREF _Toc32553 </w:instrText>
      </w:r>
      <w:r>
        <w:fldChar w:fldCharType="separate"/>
      </w:r>
      <w:r>
        <w:t>20</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_Toc22356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6 条 </w:t>
      </w:r>
      <w:r>
        <w:tab/>
      </w:r>
      <w:r>
        <w:fldChar w:fldCharType="begin"/>
      </w:r>
      <w:r>
        <w:instrText xml:space="preserve"> PAGEREF _Toc22356 </w:instrText>
      </w:r>
      <w:r>
        <w:fldChar w:fldCharType="separate"/>
      </w:r>
      <w:r>
        <w:t>20</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_Toc27075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6.1 </w:t>
      </w:r>
      <w:r>
        <w:rPr>
          <w:rFonts w:hint="eastAsia" w:asciiTheme="minorEastAsia" w:hAnsiTheme="minorEastAsia" w:eastAsiaTheme="minorEastAsia" w:cstheme="minorEastAsia"/>
        </w:rPr>
        <w:t>建设用地和临时用地</w:t>
      </w:r>
      <w:r>
        <w:tab/>
      </w:r>
      <w:r>
        <w:fldChar w:fldCharType="begin"/>
      </w:r>
      <w:r>
        <w:instrText xml:space="preserve"> PAGEREF _Toc27075 </w:instrText>
      </w:r>
      <w:r>
        <w:fldChar w:fldCharType="separate"/>
      </w:r>
      <w:r>
        <w:t>20</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_Toc3926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6.2 </w:t>
      </w:r>
      <w:r>
        <w:rPr>
          <w:rFonts w:hint="eastAsia" w:asciiTheme="minorEastAsia" w:hAnsiTheme="minorEastAsia" w:eastAsiaTheme="minorEastAsia" w:cstheme="minorEastAsia"/>
        </w:rPr>
        <w:t>土地使用权</w:t>
      </w:r>
      <w:r>
        <w:tab/>
      </w:r>
      <w:r>
        <w:fldChar w:fldCharType="begin"/>
      </w:r>
      <w:r>
        <w:instrText xml:space="preserve"> PAGEREF _Toc3926 </w:instrText>
      </w:r>
      <w:r>
        <w:fldChar w:fldCharType="separate"/>
      </w:r>
      <w:r>
        <w:t>20</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_Toc16107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6.3 </w:t>
      </w:r>
      <w:r>
        <w:rPr>
          <w:rFonts w:hint="eastAsia" w:asciiTheme="minorEastAsia" w:hAnsiTheme="minorEastAsia" w:eastAsiaTheme="minorEastAsia" w:cstheme="minorEastAsia"/>
        </w:rPr>
        <w:t>土地使用权的限制</w:t>
      </w:r>
      <w:r>
        <w:tab/>
      </w:r>
      <w:r>
        <w:fldChar w:fldCharType="begin"/>
      </w:r>
      <w:r>
        <w:instrText xml:space="preserve"> PAGEREF _Toc16107 </w:instrText>
      </w:r>
      <w:r>
        <w:fldChar w:fldCharType="separate"/>
      </w:r>
      <w:r>
        <w:t>20</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_Toc27253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6.4 </w:t>
      </w:r>
      <w:r>
        <w:rPr>
          <w:rFonts w:hint="eastAsia" w:asciiTheme="minorEastAsia" w:hAnsiTheme="minorEastAsia" w:eastAsiaTheme="minorEastAsia" w:cstheme="minorEastAsia"/>
        </w:rPr>
        <w:t>土地的适用性和土地的状况</w:t>
      </w:r>
      <w:r>
        <w:tab/>
      </w:r>
      <w:r>
        <w:fldChar w:fldCharType="begin"/>
      </w:r>
      <w:r>
        <w:instrText xml:space="preserve"> PAGEREF _Toc27253 </w:instrText>
      </w:r>
      <w:r>
        <w:fldChar w:fldCharType="separate"/>
      </w:r>
      <w:r>
        <w:t>20</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_Toc10092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第七章 </w:t>
      </w:r>
      <w:r>
        <w:rPr>
          <w:rFonts w:hint="eastAsia" w:asciiTheme="minorEastAsia" w:hAnsiTheme="minorEastAsia" w:eastAsiaTheme="minorEastAsia" w:cstheme="minorEastAsia"/>
        </w:rPr>
        <w:t>项目的建设</w:t>
      </w:r>
      <w:r>
        <w:tab/>
      </w:r>
      <w:r>
        <w:fldChar w:fldCharType="begin"/>
      </w:r>
      <w:r>
        <w:instrText xml:space="preserve"> PAGEREF _Toc10092 </w:instrText>
      </w:r>
      <w:r>
        <w:fldChar w:fldCharType="separate"/>
      </w:r>
      <w:r>
        <w:t>21</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_Toc9847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7 条 </w:t>
      </w:r>
      <w:r>
        <w:tab/>
      </w:r>
      <w:r>
        <w:fldChar w:fldCharType="begin"/>
      </w:r>
      <w:r>
        <w:instrText xml:space="preserve"> PAGEREF _Toc9847 </w:instrText>
      </w:r>
      <w:r>
        <w:fldChar w:fldCharType="separate"/>
      </w:r>
      <w:r>
        <w:t>21</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_Toc26998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7.1 </w:t>
      </w:r>
      <w:r>
        <w:rPr>
          <w:rFonts w:hint="eastAsia" w:asciiTheme="minorEastAsia" w:hAnsiTheme="minorEastAsia" w:eastAsiaTheme="minorEastAsia" w:cstheme="minorEastAsia"/>
        </w:rPr>
        <w:t>工程范围</w:t>
      </w:r>
      <w:r>
        <w:tab/>
      </w:r>
      <w:r>
        <w:fldChar w:fldCharType="begin"/>
      </w:r>
      <w:r>
        <w:instrText xml:space="preserve"> PAGEREF _Toc26998 </w:instrText>
      </w:r>
      <w:r>
        <w:fldChar w:fldCharType="separate"/>
      </w:r>
      <w:r>
        <w:t>21</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_Toc31301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7.2 </w:t>
      </w:r>
      <w:r>
        <w:rPr>
          <w:rFonts w:hint="eastAsia" w:asciiTheme="minorEastAsia" w:hAnsiTheme="minorEastAsia" w:eastAsiaTheme="minorEastAsia" w:cstheme="minorEastAsia"/>
        </w:rPr>
        <w:t>各方在建设期的</w:t>
      </w:r>
      <w:r>
        <w:rPr>
          <w:rFonts w:hint="eastAsia" w:asciiTheme="minorEastAsia" w:hAnsiTheme="minorEastAsia" w:eastAsiaTheme="minorEastAsia" w:cstheme="minorEastAsia"/>
          <w:lang w:val="en-US" w:eastAsia="zh-CN"/>
        </w:rPr>
        <w:t>权利</w:t>
      </w:r>
      <w:r>
        <w:rPr>
          <w:rFonts w:hint="eastAsia" w:asciiTheme="minorEastAsia" w:hAnsiTheme="minorEastAsia" w:eastAsiaTheme="minorEastAsia" w:cstheme="minorEastAsia"/>
        </w:rPr>
        <w:t>义务</w:t>
      </w:r>
      <w:r>
        <w:tab/>
      </w:r>
      <w:r>
        <w:fldChar w:fldCharType="begin"/>
      </w:r>
      <w:r>
        <w:instrText xml:space="preserve"> PAGEREF _Toc31301 </w:instrText>
      </w:r>
      <w:r>
        <w:fldChar w:fldCharType="separate"/>
      </w:r>
      <w:r>
        <w:t>21</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_Toc11231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7.3 </w:t>
      </w:r>
      <w:r>
        <w:rPr>
          <w:rFonts w:hint="eastAsia" w:asciiTheme="minorEastAsia" w:hAnsiTheme="minorEastAsia" w:eastAsiaTheme="minorEastAsia" w:cstheme="minorEastAsia"/>
        </w:rPr>
        <w:t>地质勘查和设计</w:t>
      </w:r>
      <w:r>
        <w:tab/>
      </w:r>
      <w:r>
        <w:fldChar w:fldCharType="begin"/>
      </w:r>
      <w:r>
        <w:instrText xml:space="preserve"> PAGEREF _Toc11231 </w:instrText>
      </w:r>
      <w:r>
        <w:fldChar w:fldCharType="separate"/>
      </w:r>
      <w:r>
        <w:t>24</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_Toc22188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7.4 </w:t>
      </w:r>
      <w:r>
        <w:rPr>
          <w:rFonts w:hint="eastAsia" w:asciiTheme="minorEastAsia" w:hAnsiTheme="minorEastAsia" w:eastAsiaTheme="minorEastAsia" w:cstheme="minorEastAsia"/>
        </w:rPr>
        <w:t>工程总承包</w:t>
      </w:r>
      <w:r>
        <w:tab/>
      </w:r>
      <w:r>
        <w:fldChar w:fldCharType="begin"/>
      </w:r>
      <w:r>
        <w:instrText xml:space="preserve"> PAGEREF _Toc22188 </w:instrText>
      </w:r>
      <w:r>
        <w:fldChar w:fldCharType="separate"/>
      </w:r>
      <w:r>
        <w:t>24</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_Toc5222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7.5 </w:t>
      </w:r>
      <w:r>
        <w:rPr>
          <w:rFonts w:hint="eastAsia" w:asciiTheme="minorEastAsia" w:hAnsiTheme="minorEastAsia" w:eastAsiaTheme="minorEastAsia" w:cstheme="minorEastAsia"/>
          <w:bCs/>
        </w:rPr>
        <w:t>项目</w:t>
      </w:r>
      <w:r>
        <w:rPr>
          <w:rFonts w:hint="eastAsia" w:asciiTheme="minorEastAsia" w:hAnsiTheme="minorEastAsia" w:eastAsiaTheme="minorEastAsia" w:cstheme="minorEastAsia"/>
        </w:rPr>
        <w:t>进度</w:t>
      </w:r>
      <w:r>
        <w:tab/>
      </w:r>
      <w:r>
        <w:fldChar w:fldCharType="begin"/>
      </w:r>
      <w:r>
        <w:instrText xml:space="preserve"> PAGEREF _Toc5222 </w:instrText>
      </w:r>
      <w:r>
        <w:fldChar w:fldCharType="separate"/>
      </w:r>
      <w:r>
        <w:t>25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_Toc27144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7.6 </w:t>
      </w:r>
      <w:r>
        <w:rPr>
          <w:rFonts w:hint="eastAsia" w:asciiTheme="minorEastAsia" w:hAnsiTheme="minorEastAsia" w:eastAsiaTheme="minorEastAsia" w:cstheme="minorEastAsia"/>
        </w:rPr>
        <w:t>施工管理</w:t>
      </w:r>
      <w:r>
        <w:tab/>
      </w:r>
      <w:r>
        <w:fldChar w:fldCharType="begin"/>
      </w:r>
      <w:r>
        <w:instrText xml:space="preserve"> PAGEREF _Toc27144 </w:instrText>
      </w:r>
      <w:r>
        <w:fldChar w:fldCharType="separate"/>
      </w:r>
      <w:r>
        <w:t>27</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_Toc8485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kern w:val="0"/>
          <w:szCs w:val="20"/>
        </w:rPr>
        <w:t xml:space="preserve">7.7 </w:t>
      </w:r>
      <w:r>
        <w:rPr>
          <w:rFonts w:hint="eastAsia" w:asciiTheme="minorEastAsia" w:hAnsiTheme="minorEastAsia" w:eastAsiaTheme="minorEastAsia" w:cstheme="minorEastAsia"/>
          <w:kern w:val="0"/>
          <w:szCs w:val="20"/>
        </w:rPr>
        <w:t>遵守安全标准和加强环境保护的责任</w:t>
      </w:r>
      <w:r>
        <w:tab/>
      </w:r>
      <w:r>
        <w:fldChar w:fldCharType="begin"/>
      </w:r>
      <w:r>
        <w:instrText xml:space="preserve"> PAGEREF _Toc8485 </w:instrText>
      </w:r>
      <w:r>
        <w:fldChar w:fldCharType="separate"/>
      </w:r>
      <w:r>
        <w:t>27</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_Toc26223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7.8 </w:t>
      </w:r>
      <w:r>
        <w:rPr>
          <w:rFonts w:hint="eastAsia" w:asciiTheme="minorEastAsia" w:hAnsiTheme="minorEastAsia" w:eastAsiaTheme="minorEastAsia" w:cstheme="minorEastAsia"/>
        </w:rPr>
        <w:t>监理</w:t>
      </w:r>
      <w:r>
        <w:rPr>
          <w:rFonts w:hint="eastAsia" w:asciiTheme="minorEastAsia" w:hAnsiTheme="minorEastAsia" w:eastAsiaTheme="minorEastAsia" w:cstheme="minorEastAsia"/>
          <w:lang w:val="en-US" w:eastAsia="zh-CN"/>
        </w:rPr>
        <w:t>或全过程项目管理</w:t>
      </w:r>
      <w:r>
        <w:tab/>
      </w:r>
      <w:r>
        <w:fldChar w:fldCharType="begin"/>
      </w:r>
      <w:r>
        <w:instrText xml:space="preserve"> PAGEREF _Toc26223 </w:instrText>
      </w:r>
      <w:r>
        <w:fldChar w:fldCharType="separate"/>
      </w:r>
      <w:r>
        <w:t>28</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_Toc24223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7.9 </w:t>
      </w:r>
      <w:r>
        <w:rPr>
          <w:rFonts w:hint="eastAsia" w:asciiTheme="minorEastAsia" w:hAnsiTheme="minorEastAsia" w:eastAsiaTheme="minorEastAsia" w:cstheme="minorEastAsia"/>
        </w:rPr>
        <w:t>变更</w:t>
      </w:r>
      <w:r>
        <w:tab/>
      </w:r>
      <w:r>
        <w:fldChar w:fldCharType="begin"/>
      </w:r>
      <w:r>
        <w:instrText xml:space="preserve"> PAGEREF _Toc24223 </w:instrText>
      </w:r>
      <w:r>
        <w:fldChar w:fldCharType="separate"/>
      </w:r>
      <w:r>
        <w:t>28</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_Toc17944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7.10 </w:t>
      </w:r>
      <w:r>
        <w:rPr>
          <w:rFonts w:hint="eastAsia" w:asciiTheme="minorEastAsia" w:hAnsiTheme="minorEastAsia" w:eastAsiaTheme="minorEastAsia" w:cstheme="minorEastAsia"/>
        </w:rPr>
        <w:t>现场监督机构</w:t>
      </w:r>
      <w:r>
        <w:tab/>
      </w:r>
      <w:r>
        <w:fldChar w:fldCharType="begin"/>
      </w:r>
      <w:r>
        <w:instrText xml:space="preserve"> PAGEREF _Toc17944 </w:instrText>
      </w:r>
      <w:r>
        <w:fldChar w:fldCharType="separate"/>
      </w:r>
      <w:r>
        <w:t>29</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_Toc26366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7.11 </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/现场监督机构的监督和检查</w:t>
      </w:r>
      <w:r>
        <w:tab/>
      </w:r>
      <w:r>
        <w:fldChar w:fldCharType="begin"/>
      </w:r>
      <w:r>
        <w:instrText xml:space="preserve"> PAGEREF _Toc26366 </w:instrText>
      </w:r>
      <w:r>
        <w:fldChar w:fldCharType="separate"/>
      </w:r>
      <w:r>
        <w:t>30</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_Toc26640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7.12 </w:t>
      </w:r>
      <w:r>
        <w:rPr>
          <w:rFonts w:hint="eastAsia" w:asciiTheme="minorEastAsia" w:hAnsiTheme="minorEastAsia" w:eastAsiaTheme="minorEastAsia" w:cstheme="minorEastAsia"/>
        </w:rPr>
        <w:t>不符合质量和/或安全要求</w:t>
      </w:r>
      <w:r>
        <w:tab/>
      </w:r>
      <w:r>
        <w:fldChar w:fldCharType="begin"/>
      </w:r>
      <w:r>
        <w:instrText xml:space="preserve"> PAGEREF _Toc26640 </w:instrText>
      </w:r>
      <w:r>
        <w:fldChar w:fldCharType="separate"/>
      </w:r>
      <w:r>
        <w:t>31</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_Toc15484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7.13 </w:t>
      </w:r>
      <w:r>
        <w:rPr>
          <w:rFonts w:hint="eastAsia" w:asciiTheme="minorEastAsia" w:hAnsiTheme="minorEastAsia" w:eastAsiaTheme="minorEastAsia" w:cstheme="minorEastAsia"/>
        </w:rPr>
        <w:t>不可免除</w:t>
      </w:r>
      <w:r>
        <w:tab/>
      </w:r>
      <w:r>
        <w:fldChar w:fldCharType="begin"/>
      </w:r>
      <w:r>
        <w:instrText xml:space="preserve"> PAGEREF _Toc15484 </w:instrText>
      </w:r>
      <w:r>
        <w:fldChar w:fldCharType="separate"/>
      </w:r>
      <w:r>
        <w:t>31</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_Toc28540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第八章 </w:t>
      </w:r>
      <w:r>
        <w:rPr>
          <w:rFonts w:hint="eastAsia" w:asciiTheme="minorEastAsia" w:hAnsiTheme="minorEastAsia" w:eastAsiaTheme="minorEastAsia" w:cstheme="minorEastAsia"/>
        </w:rPr>
        <w:t>验收、结算和竣工</w:t>
      </w:r>
      <w:r>
        <w:tab/>
      </w:r>
      <w:r>
        <w:fldChar w:fldCharType="begin"/>
      </w:r>
      <w:r>
        <w:instrText xml:space="preserve"> PAGEREF _Toc28540 </w:instrText>
      </w:r>
      <w:r>
        <w:fldChar w:fldCharType="separate"/>
      </w:r>
      <w:r>
        <w:t>32</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_Toc24610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8 条 </w:t>
      </w:r>
      <w:r>
        <w:tab/>
      </w:r>
      <w:r>
        <w:fldChar w:fldCharType="begin"/>
      </w:r>
      <w:r>
        <w:instrText xml:space="preserve"> PAGEREF _Toc24610 </w:instrText>
      </w:r>
      <w:r>
        <w:fldChar w:fldCharType="separate"/>
      </w:r>
      <w:r>
        <w:t>32</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_Toc25074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8.1 </w:t>
      </w:r>
      <w:r>
        <w:rPr>
          <w:rFonts w:hint="eastAsia" w:asciiTheme="minorEastAsia" w:hAnsiTheme="minorEastAsia" w:eastAsiaTheme="minorEastAsia" w:cstheme="minorEastAsia"/>
        </w:rPr>
        <w:t>隐蔽工程和中间验收</w:t>
      </w:r>
      <w:r>
        <w:tab/>
      </w:r>
      <w:r>
        <w:fldChar w:fldCharType="begin"/>
      </w:r>
      <w:r>
        <w:instrText xml:space="preserve"> PAGEREF _Toc25074 </w:instrText>
      </w:r>
      <w:r>
        <w:fldChar w:fldCharType="separate"/>
      </w:r>
      <w:r>
        <w:t>32</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_Toc20266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8.2 </w:t>
      </w:r>
      <w:r>
        <w:rPr>
          <w:rFonts w:hint="eastAsia" w:asciiTheme="minorEastAsia" w:hAnsiTheme="minorEastAsia" w:eastAsiaTheme="minorEastAsia" w:cstheme="minorEastAsia"/>
        </w:rPr>
        <w:t>单位工程验收</w:t>
      </w:r>
      <w:r>
        <w:tab/>
      </w:r>
      <w:r>
        <w:fldChar w:fldCharType="begin"/>
      </w:r>
      <w:r>
        <w:instrText xml:space="preserve"> PAGEREF _Toc20266 </w:instrText>
      </w:r>
      <w:r>
        <w:fldChar w:fldCharType="separate"/>
      </w:r>
      <w:r>
        <w:t>32</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_Toc9659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8.3 </w:t>
      </w:r>
      <w:r>
        <w:rPr>
          <w:rFonts w:hint="eastAsia" w:asciiTheme="minorEastAsia" w:hAnsiTheme="minorEastAsia" w:eastAsiaTheme="minorEastAsia" w:cstheme="minorEastAsia"/>
        </w:rPr>
        <w:t>专项验收</w:t>
      </w:r>
      <w:r>
        <w:tab/>
      </w:r>
      <w:r>
        <w:fldChar w:fldCharType="begin"/>
      </w:r>
      <w:r>
        <w:instrText xml:space="preserve"> PAGEREF _Toc9659 </w:instrText>
      </w:r>
      <w:r>
        <w:fldChar w:fldCharType="separate"/>
      </w:r>
      <w:r>
        <w:t>32</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_Toc9420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8.4 </w:t>
      </w:r>
      <w:r>
        <w:rPr>
          <w:rFonts w:hint="eastAsia" w:asciiTheme="minorEastAsia" w:hAnsiTheme="minorEastAsia" w:eastAsiaTheme="minorEastAsia" w:cstheme="minorEastAsia"/>
        </w:rPr>
        <w:t>竣工验收</w:t>
      </w:r>
      <w:r>
        <w:tab/>
      </w:r>
      <w:r>
        <w:fldChar w:fldCharType="begin"/>
      </w:r>
      <w:r>
        <w:instrText xml:space="preserve"> PAGEREF _Toc9420 </w:instrText>
      </w:r>
      <w:r>
        <w:fldChar w:fldCharType="separate"/>
      </w:r>
      <w:r>
        <w:t>32</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_Toc18167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8.5 </w:t>
      </w:r>
      <w:r>
        <w:rPr>
          <w:rFonts w:hint="eastAsia" w:asciiTheme="minorEastAsia" w:hAnsiTheme="minorEastAsia" w:eastAsiaTheme="minorEastAsia" w:cstheme="minorEastAsia"/>
        </w:rPr>
        <w:t>验收通知</w:t>
      </w:r>
      <w:r>
        <w:tab/>
      </w:r>
      <w:r>
        <w:fldChar w:fldCharType="begin"/>
      </w:r>
      <w:r>
        <w:instrText xml:space="preserve"> PAGEREF _Toc18167 </w:instrText>
      </w:r>
      <w:r>
        <w:fldChar w:fldCharType="separate"/>
      </w:r>
      <w:r>
        <w:t>32</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_Toc19278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8.6 </w:t>
      </w:r>
      <w:r>
        <w:rPr>
          <w:rFonts w:hint="eastAsia" w:asciiTheme="minorEastAsia" w:hAnsiTheme="minorEastAsia" w:eastAsiaTheme="minorEastAsia" w:cstheme="minorEastAsia"/>
        </w:rPr>
        <w:t>验收未通过</w:t>
      </w:r>
      <w:r>
        <w:tab/>
      </w:r>
      <w:r>
        <w:fldChar w:fldCharType="begin"/>
      </w:r>
      <w:r>
        <w:instrText xml:space="preserve"> PAGEREF _Toc19278 </w:instrText>
      </w:r>
      <w:r>
        <w:fldChar w:fldCharType="separate"/>
      </w:r>
      <w:r>
        <w:t>33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_Toc25330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8.7 </w:t>
      </w:r>
      <w:r>
        <w:rPr>
          <w:rFonts w:hint="eastAsia" w:asciiTheme="minorEastAsia" w:hAnsiTheme="minorEastAsia" w:eastAsiaTheme="minorEastAsia" w:cstheme="minorEastAsia"/>
        </w:rPr>
        <w:t>验收备案</w:t>
      </w:r>
      <w:r>
        <w:tab/>
      </w:r>
      <w:r>
        <w:fldChar w:fldCharType="begin"/>
      </w:r>
      <w:r>
        <w:instrText xml:space="preserve"> PAGEREF _Toc25330 </w:instrText>
      </w:r>
      <w:r>
        <w:fldChar w:fldCharType="separate"/>
      </w:r>
      <w:r>
        <w:t>33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_Toc15993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8.8 </w:t>
      </w:r>
      <w:r>
        <w:rPr>
          <w:rFonts w:hint="eastAsia" w:asciiTheme="minorEastAsia" w:hAnsiTheme="minorEastAsia" w:eastAsiaTheme="minorEastAsia" w:cstheme="minorEastAsia"/>
        </w:rPr>
        <w:t>工程结算</w:t>
      </w:r>
      <w:r>
        <w:tab/>
      </w:r>
      <w:r>
        <w:fldChar w:fldCharType="begin"/>
      </w:r>
      <w:r>
        <w:instrText xml:space="preserve"> PAGEREF _Toc15993 </w:instrText>
      </w:r>
      <w:r>
        <w:fldChar w:fldCharType="separate"/>
      </w:r>
      <w:r>
        <w:t>33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_Toc21305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8.9 </w:t>
      </w:r>
      <w:r>
        <w:rPr>
          <w:rFonts w:hint="eastAsia" w:asciiTheme="minorEastAsia" w:hAnsiTheme="minorEastAsia" w:eastAsiaTheme="minorEastAsia" w:cstheme="minorEastAsia"/>
        </w:rPr>
        <w:t>工程竣工财务决算</w:t>
      </w:r>
      <w:r>
        <w:tab/>
      </w:r>
      <w:r>
        <w:fldChar w:fldCharType="begin"/>
      </w:r>
      <w:r>
        <w:instrText xml:space="preserve"> PAGEREF _Toc21305 </w:instrText>
      </w:r>
      <w:r>
        <w:fldChar w:fldCharType="separate"/>
      </w:r>
      <w:r>
        <w:t>35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_Toc13038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8.10 </w:t>
      </w:r>
      <w:r>
        <w:rPr>
          <w:rFonts w:hint="eastAsia" w:asciiTheme="minorEastAsia" w:hAnsiTheme="minorEastAsia" w:eastAsiaTheme="minorEastAsia" w:cstheme="minorEastAsia"/>
        </w:rPr>
        <w:t>竣工财务决算审计</w:t>
      </w:r>
      <w:r>
        <w:tab/>
      </w:r>
      <w:r>
        <w:fldChar w:fldCharType="begin"/>
      </w:r>
      <w:r>
        <w:instrText xml:space="preserve"> PAGEREF _Toc13038 </w:instrText>
      </w:r>
      <w:r>
        <w:fldChar w:fldCharType="separate"/>
      </w:r>
      <w:r>
        <w:t>35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_Toc15909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8.11 </w:t>
      </w:r>
      <w:r>
        <w:rPr>
          <w:rFonts w:hint="eastAsia" w:asciiTheme="minorEastAsia" w:hAnsiTheme="minorEastAsia" w:eastAsiaTheme="minorEastAsia" w:cstheme="minorEastAsia"/>
        </w:rPr>
        <w:t>交付图纸和技术细节</w:t>
      </w:r>
      <w:r>
        <w:tab/>
      </w:r>
      <w:r>
        <w:fldChar w:fldCharType="begin"/>
      </w:r>
      <w:r>
        <w:instrText xml:space="preserve"> PAGEREF _Toc15909 </w:instrText>
      </w:r>
      <w:r>
        <w:fldChar w:fldCharType="separate"/>
      </w:r>
      <w:r>
        <w:t>35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_Toc20717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8.12 </w:t>
      </w:r>
      <w:r>
        <w:rPr>
          <w:rFonts w:hint="eastAsia" w:asciiTheme="minorEastAsia" w:hAnsiTheme="minorEastAsia" w:eastAsiaTheme="minorEastAsia" w:cstheme="minorEastAsia"/>
        </w:rPr>
        <w:t>不予免责</w:t>
      </w:r>
      <w:r>
        <w:tab/>
      </w:r>
      <w:r>
        <w:fldChar w:fldCharType="begin"/>
      </w:r>
      <w:r>
        <w:instrText xml:space="preserve"> PAGEREF _Toc20717 </w:instrText>
      </w:r>
      <w:r>
        <w:fldChar w:fldCharType="separate"/>
      </w:r>
      <w:r>
        <w:t>35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_Toc8443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8.13 </w:t>
      </w:r>
      <w:r>
        <w:rPr>
          <w:rFonts w:hint="eastAsia" w:asciiTheme="minorEastAsia" w:hAnsiTheme="minorEastAsia" w:eastAsiaTheme="minorEastAsia" w:cstheme="minorEastAsia"/>
        </w:rPr>
        <w:t>物价波动引起的价格调整</w:t>
      </w:r>
      <w:r>
        <w:tab/>
      </w:r>
      <w:r>
        <w:fldChar w:fldCharType="begin"/>
      </w:r>
      <w:r>
        <w:instrText xml:space="preserve"> PAGEREF _Toc8443 </w:instrText>
      </w:r>
      <w:r>
        <w:fldChar w:fldCharType="separate"/>
      </w:r>
      <w:r>
        <w:t>35</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_Toc26254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第九章 </w:t>
      </w:r>
      <w:r>
        <w:rPr>
          <w:rFonts w:hint="eastAsia" w:asciiTheme="minorEastAsia" w:hAnsiTheme="minorEastAsia" w:eastAsiaTheme="minorEastAsia" w:cstheme="minorEastAsia"/>
        </w:rPr>
        <w:t>竣工延误和放弃</w:t>
      </w:r>
      <w:r>
        <w:tab/>
      </w:r>
      <w:r>
        <w:fldChar w:fldCharType="begin"/>
      </w:r>
      <w:r>
        <w:instrText xml:space="preserve"> PAGEREF _Toc26254 </w:instrText>
      </w:r>
      <w:r>
        <w:fldChar w:fldCharType="separate"/>
      </w:r>
      <w:r>
        <w:t>38</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_Toc18387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9 条 </w:t>
      </w:r>
      <w:r>
        <w:tab/>
      </w:r>
      <w:r>
        <w:fldChar w:fldCharType="begin"/>
      </w:r>
      <w:r>
        <w:instrText xml:space="preserve"> PAGEREF _Toc18387 </w:instrText>
      </w:r>
      <w:r>
        <w:fldChar w:fldCharType="separate"/>
      </w:r>
      <w:r>
        <w:t>38</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_Toc21624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9.1 </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导致的延误</w:t>
      </w:r>
      <w:r>
        <w:tab/>
      </w:r>
      <w:r>
        <w:fldChar w:fldCharType="begin"/>
      </w:r>
      <w:r>
        <w:instrText xml:space="preserve"> PAGEREF _Toc21624 </w:instrText>
      </w:r>
      <w:r>
        <w:fldChar w:fldCharType="separate"/>
      </w:r>
      <w:r>
        <w:t>38</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_Toc2527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9.2 </w:t>
      </w:r>
      <w:r>
        <w:rPr>
          <w:rFonts w:hint="eastAsia" w:asciiTheme="minorEastAsia" w:hAnsiTheme="minorEastAsia" w:eastAsiaTheme="minorEastAsia" w:cstheme="minorEastAsia"/>
          <w:bCs/>
        </w:rPr>
        <w:t>项目</w:t>
      </w:r>
      <w:r>
        <w:rPr>
          <w:rFonts w:hint="eastAsia" w:asciiTheme="minorEastAsia" w:hAnsiTheme="minorEastAsia" w:eastAsiaTheme="minorEastAsia" w:cstheme="minorEastAsia"/>
        </w:rPr>
        <w:t>公司</w:t>
      </w:r>
      <w:r>
        <w:rPr>
          <w:rFonts w:hint="eastAsia" w:asciiTheme="minorEastAsia" w:hAnsiTheme="minorEastAsia" w:eastAsiaTheme="minorEastAsia" w:cstheme="minorEastAsia"/>
          <w:lang w:val="en-US" w:eastAsia="zh-CN"/>
        </w:rPr>
        <w:t>或其关联方</w:t>
      </w:r>
      <w:r>
        <w:rPr>
          <w:rFonts w:hint="eastAsia" w:asciiTheme="minorEastAsia" w:hAnsiTheme="minorEastAsia" w:eastAsiaTheme="minorEastAsia" w:cstheme="minorEastAsia"/>
        </w:rPr>
        <w:t>导致的延误</w:t>
      </w:r>
      <w:r>
        <w:tab/>
      </w:r>
      <w:r>
        <w:fldChar w:fldCharType="begin"/>
      </w:r>
      <w:r>
        <w:instrText xml:space="preserve"> PAGEREF _Toc2527 </w:instrText>
      </w:r>
      <w:r>
        <w:fldChar w:fldCharType="separate"/>
      </w:r>
      <w:r>
        <w:t>38</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_Toc20889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9.3 </w:t>
      </w:r>
      <w:r>
        <w:rPr>
          <w:rFonts w:hint="eastAsia" w:asciiTheme="minorEastAsia" w:hAnsiTheme="minorEastAsia" w:eastAsiaTheme="minorEastAsia" w:cstheme="minorEastAsia"/>
        </w:rPr>
        <w:t>不可抗力及其他约定共同承担风险事项导致的延误</w:t>
      </w:r>
      <w:r>
        <w:tab/>
      </w:r>
      <w:r>
        <w:fldChar w:fldCharType="begin"/>
      </w:r>
      <w:r>
        <w:instrText xml:space="preserve"> PAGEREF _Toc20889 </w:instrText>
      </w:r>
      <w:r>
        <w:fldChar w:fldCharType="separate"/>
      </w:r>
      <w:r>
        <w:t>38</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_Toc5325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9.4 </w:t>
      </w:r>
      <w:r>
        <w:rPr>
          <w:rFonts w:hint="eastAsia" w:asciiTheme="minorEastAsia" w:hAnsiTheme="minorEastAsia" w:eastAsiaTheme="minorEastAsia" w:cstheme="minorEastAsia"/>
        </w:rPr>
        <w:t>放弃</w:t>
      </w:r>
      <w:r>
        <w:tab/>
      </w:r>
      <w:r>
        <w:fldChar w:fldCharType="begin"/>
      </w:r>
      <w:r>
        <w:instrText xml:space="preserve"> PAGEREF _Toc5325 </w:instrText>
      </w:r>
      <w:r>
        <w:fldChar w:fldCharType="separate"/>
      </w:r>
      <w:r>
        <w:t>38</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_Toc17783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第十章 </w:t>
      </w:r>
      <w:r>
        <w:rPr>
          <w:rFonts w:hint="eastAsia" w:asciiTheme="minorEastAsia" w:hAnsiTheme="minorEastAsia" w:eastAsiaTheme="minorEastAsia" w:cstheme="minorEastAsia"/>
        </w:rPr>
        <w:t>运行与投入运营</w:t>
      </w:r>
      <w:r>
        <w:tab/>
      </w:r>
      <w:r>
        <w:fldChar w:fldCharType="begin"/>
      </w:r>
      <w:r>
        <w:instrText xml:space="preserve"> PAGEREF _Toc17783 </w:instrText>
      </w:r>
      <w:r>
        <w:fldChar w:fldCharType="separate"/>
      </w:r>
      <w:r>
        <w:t>40</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_Toc10329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10 条 </w:t>
      </w:r>
      <w:r>
        <w:tab/>
      </w:r>
      <w:r>
        <w:fldChar w:fldCharType="begin"/>
      </w:r>
      <w:r>
        <w:instrText xml:space="preserve"> PAGEREF _Toc10329 </w:instrText>
      </w:r>
      <w:r>
        <w:fldChar w:fldCharType="separate"/>
      </w:r>
      <w:r>
        <w:t>40</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_Toc13827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10.1 </w:t>
      </w:r>
      <w:r>
        <w:rPr>
          <w:rFonts w:hint="eastAsia" w:asciiTheme="minorEastAsia" w:hAnsiTheme="minorEastAsia" w:eastAsiaTheme="minorEastAsia" w:cstheme="minorEastAsia"/>
          <w:lang w:val="en-US" w:eastAsia="zh-CN"/>
        </w:rPr>
        <w:t>项目</w:t>
      </w:r>
      <w:r>
        <w:rPr>
          <w:rFonts w:hint="eastAsia" w:asciiTheme="minorEastAsia" w:hAnsiTheme="minorEastAsia" w:eastAsiaTheme="minorEastAsia" w:cstheme="minorEastAsia"/>
        </w:rPr>
        <w:t>运行</w:t>
      </w:r>
      <w:r>
        <w:tab/>
      </w:r>
      <w:r>
        <w:fldChar w:fldCharType="begin"/>
      </w:r>
      <w:r>
        <w:instrText xml:space="preserve"> PAGEREF _Toc13827 </w:instrText>
      </w:r>
      <w:r>
        <w:fldChar w:fldCharType="separate"/>
      </w:r>
      <w:r>
        <w:t>40</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_Toc27464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10.2 </w:t>
      </w:r>
      <w:r>
        <w:rPr>
          <w:rFonts w:hint="eastAsia" w:asciiTheme="minorEastAsia" w:hAnsiTheme="minorEastAsia" w:eastAsiaTheme="minorEastAsia" w:cstheme="minorEastAsia"/>
        </w:rPr>
        <w:t>投入运营</w:t>
      </w:r>
      <w:r>
        <w:tab/>
      </w:r>
      <w:r>
        <w:fldChar w:fldCharType="begin"/>
      </w:r>
      <w:r>
        <w:instrText xml:space="preserve"> PAGEREF _Toc27464 </w:instrText>
      </w:r>
      <w:r>
        <w:fldChar w:fldCharType="separate"/>
      </w:r>
      <w:r>
        <w:t>40</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_Toc3427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第十一章 </w:t>
      </w:r>
      <w:r>
        <w:rPr>
          <w:rFonts w:hint="eastAsia" w:asciiTheme="minorEastAsia" w:hAnsiTheme="minorEastAsia" w:eastAsiaTheme="minorEastAsia" w:cstheme="minorEastAsia"/>
        </w:rPr>
        <w:t>运营和维护</w:t>
      </w:r>
      <w:r>
        <w:tab/>
      </w:r>
      <w:r>
        <w:fldChar w:fldCharType="begin"/>
      </w:r>
      <w:r>
        <w:instrText xml:space="preserve"> PAGEREF _Toc3427 </w:instrText>
      </w:r>
      <w:r>
        <w:fldChar w:fldCharType="separate"/>
      </w:r>
      <w:r>
        <w:t>41</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_Toc23341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bCs/>
          <w:i w:val="0"/>
          <w:vanish/>
          <w:kern w:val="0"/>
          <w:szCs w:val="20"/>
        </w:rPr>
        <w:t xml:space="preserve">第 11 条 </w:t>
      </w:r>
      <w:r>
        <w:tab/>
      </w:r>
      <w:r>
        <w:fldChar w:fldCharType="begin"/>
      </w:r>
      <w:r>
        <w:instrText xml:space="preserve"> PAGEREF _Toc23341 </w:instrText>
      </w:r>
      <w:r>
        <w:fldChar w:fldCharType="separate"/>
      </w:r>
      <w:r>
        <w:t>41</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_Toc17968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11.1 </w:t>
      </w:r>
      <w:r>
        <w:rPr>
          <w:rFonts w:hint="eastAsia" w:asciiTheme="minorEastAsia" w:hAnsiTheme="minorEastAsia" w:eastAsiaTheme="minorEastAsia" w:cstheme="minorEastAsia"/>
          <w:bCs/>
        </w:rPr>
        <w:t>项目</w:t>
      </w:r>
      <w:r>
        <w:rPr>
          <w:rFonts w:hint="eastAsia" w:asciiTheme="minorEastAsia" w:hAnsiTheme="minorEastAsia" w:eastAsiaTheme="minorEastAsia" w:cstheme="minorEastAsia"/>
        </w:rPr>
        <w:t>公司的主要</w:t>
      </w:r>
      <w:r>
        <w:rPr>
          <w:rFonts w:hint="eastAsia" w:asciiTheme="minorEastAsia" w:hAnsiTheme="minorEastAsia" w:eastAsiaTheme="minorEastAsia" w:cstheme="minorEastAsia"/>
          <w:lang w:val="en-US" w:eastAsia="zh-CN"/>
        </w:rPr>
        <w:t>权利</w:t>
      </w:r>
      <w:r>
        <w:rPr>
          <w:rFonts w:hint="eastAsia" w:asciiTheme="minorEastAsia" w:hAnsiTheme="minorEastAsia" w:eastAsiaTheme="minorEastAsia" w:cstheme="minorEastAsia"/>
        </w:rPr>
        <w:t>义务</w:t>
      </w:r>
      <w:r>
        <w:tab/>
      </w:r>
      <w:r>
        <w:fldChar w:fldCharType="begin"/>
      </w:r>
      <w:r>
        <w:instrText xml:space="preserve"> PAGEREF _Toc17968 </w:instrText>
      </w:r>
      <w:r>
        <w:fldChar w:fldCharType="separate"/>
      </w:r>
      <w:r>
        <w:t>41</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_Toc10100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11.2 </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的主要</w:t>
      </w:r>
      <w:r>
        <w:rPr>
          <w:rFonts w:hint="eastAsia" w:asciiTheme="minorEastAsia" w:hAnsiTheme="minorEastAsia" w:eastAsiaTheme="minorEastAsia" w:cstheme="minorEastAsia"/>
          <w:lang w:val="en-US" w:eastAsia="zh-CN"/>
        </w:rPr>
        <w:t>权利</w:t>
      </w:r>
      <w:r>
        <w:rPr>
          <w:rFonts w:hint="eastAsia" w:asciiTheme="minorEastAsia" w:hAnsiTheme="minorEastAsia" w:eastAsiaTheme="minorEastAsia" w:cstheme="minorEastAsia"/>
        </w:rPr>
        <w:t>义务</w:t>
      </w:r>
      <w:r>
        <w:tab/>
      </w:r>
      <w:r>
        <w:fldChar w:fldCharType="begin"/>
      </w:r>
      <w:r>
        <w:instrText xml:space="preserve"> PAGEREF _Toc10100 </w:instrText>
      </w:r>
      <w:r>
        <w:fldChar w:fldCharType="separate"/>
      </w:r>
      <w:r>
        <w:t>42</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_Toc32370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11.3 </w:t>
      </w:r>
      <w:r>
        <w:rPr>
          <w:rFonts w:hint="eastAsia" w:asciiTheme="minorEastAsia" w:hAnsiTheme="minorEastAsia" w:eastAsiaTheme="minorEastAsia" w:cstheme="minorEastAsia"/>
        </w:rPr>
        <w:t>运营和维护</w:t>
      </w:r>
      <w:r>
        <w:rPr>
          <w:rFonts w:hint="eastAsia" w:asciiTheme="minorEastAsia" w:hAnsiTheme="minorEastAsia" w:eastAsiaTheme="minorEastAsia" w:cstheme="minorEastAsia"/>
          <w:lang w:val="en-US" w:eastAsia="zh-CN"/>
        </w:rPr>
        <w:t>服务内容</w:t>
      </w:r>
      <w:r>
        <w:tab/>
      </w:r>
      <w:r>
        <w:fldChar w:fldCharType="begin"/>
      </w:r>
      <w:r>
        <w:instrText xml:space="preserve"> PAGEREF _Toc32370 </w:instrText>
      </w:r>
      <w:r>
        <w:fldChar w:fldCharType="separate"/>
      </w:r>
      <w:r>
        <w:t>43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_Toc9225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11.4 </w:t>
      </w:r>
      <w:r>
        <w:rPr>
          <w:rFonts w:hint="eastAsia" w:asciiTheme="minorEastAsia" w:hAnsiTheme="minorEastAsia" w:eastAsiaTheme="minorEastAsia" w:cstheme="minorEastAsia"/>
        </w:rPr>
        <w:t>项目设施的运营维护</w:t>
      </w:r>
      <w:r>
        <w:tab/>
      </w:r>
      <w:r>
        <w:fldChar w:fldCharType="begin"/>
      </w:r>
      <w:r>
        <w:instrText xml:space="preserve"> PAGEREF _Toc9225 </w:instrText>
      </w:r>
      <w:r>
        <w:fldChar w:fldCharType="separate"/>
      </w:r>
      <w:r>
        <w:t>43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_Toc8895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11.5 </w:t>
      </w:r>
      <w:r>
        <w:rPr>
          <w:rFonts w:hint="eastAsia" w:asciiTheme="minorEastAsia" w:hAnsiTheme="minorEastAsia" w:eastAsiaTheme="minorEastAsia" w:cstheme="minorEastAsia"/>
        </w:rPr>
        <w:t>运营维护手册</w:t>
      </w:r>
      <w:r>
        <w:tab/>
      </w:r>
      <w:r>
        <w:fldChar w:fldCharType="begin"/>
      </w:r>
      <w:r>
        <w:instrText xml:space="preserve"> PAGEREF _Toc8895 </w:instrText>
      </w:r>
      <w:r>
        <w:fldChar w:fldCharType="separate"/>
      </w:r>
      <w:r>
        <w:t>43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_Toc19102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11.6 </w:t>
      </w:r>
      <w:r>
        <w:rPr>
          <w:rFonts w:hint="eastAsia" w:asciiTheme="minorEastAsia" w:hAnsiTheme="minorEastAsia" w:eastAsiaTheme="minorEastAsia" w:cstheme="minorEastAsia"/>
        </w:rPr>
        <w:t>维修资金安排</w:t>
      </w:r>
      <w:r>
        <w:tab/>
      </w:r>
      <w:r>
        <w:fldChar w:fldCharType="begin"/>
      </w:r>
      <w:r>
        <w:instrText xml:space="preserve"> PAGEREF _Toc19102 </w:instrText>
      </w:r>
      <w:r>
        <w:fldChar w:fldCharType="separate"/>
      </w:r>
      <w:r>
        <w:t>44</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_Toc20393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11.7 </w:t>
      </w:r>
      <w:r>
        <w:rPr>
          <w:rFonts w:hint="eastAsia" w:asciiTheme="minorEastAsia" w:hAnsiTheme="minorEastAsia" w:eastAsiaTheme="minorEastAsia" w:cstheme="minorEastAsia"/>
        </w:rPr>
        <w:t>未履行运营维护义务的处理</w:t>
      </w:r>
      <w:r>
        <w:tab/>
      </w:r>
      <w:r>
        <w:fldChar w:fldCharType="begin"/>
      </w:r>
      <w:r>
        <w:instrText xml:space="preserve"> PAGEREF _Toc20393 </w:instrText>
      </w:r>
      <w:r>
        <w:fldChar w:fldCharType="separate"/>
      </w:r>
      <w:r>
        <w:t>44</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_Toc20606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11.8 </w:t>
      </w:r>
      <w:r>
        <w:rPr>
          <w:rFonts w:hint="eastAsia" w:asciiTheme="minorEastAsia" w:hAnsiTheme="minorEastAsia" w:eastAsiaTheme="minorEastAsia" w:cstheme="minorEastAsia"/>
          <w:lang w:eastAsia="zh-CN"/>
        </w:rPr>
        <w:t>市城管</w:t>
      </w:r>
      <w:r>
        <w:rPr>
          <w:rFonts w:hint="eastAsia" w:asciiTheme="minorEastAsia" w:hAnsiTheme="minorEastAsia" w:eastAsiaTheme="minorEastAsia" w:cstheme="minorEastAsia"/>
          <w:lang w:val="en-US" w:eastAsia="zh-CN"/>
        </w:rPr>
        <w:t>局进入场地的权利</w:t>
      </w:r>
      <w:r>
        <w:tab/>
      </w:r>
      <w:r>
        <w:fldChar w:fldCharType="begin"/>
      </w:r>
      <w:r>
        <w:instrText xml:space="preserve"> PAGEREF _Toc20606 </w:instrText>
      </w:r>
      <w:r>
        <w:fldChar w:fldCharType="separate"/>
      </w:r>
      <w:r>
        <w:t>45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_Toc19535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11.9 </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获得资料</w:t>
      </w:r>
      <w:r>
        <w:rPr>
          <w:rFonts w:hint="eastAsia" w:asciiTheme="minorEastAsia" w:hAnsiTheme="minorEastAsia" w:eastAsiaTheme="minorEastAsia" w:cstheme="minorEastAsia"/>
          <w:lang w:val="en-US" w:eastAsia="zh-CN"/>
        </w:rPr>
        <w:t>的权利</w:t>
      </w:r>
      <w:r>
        <w:tab/>
      </w:r>
      <w:r>
        <w:fldChar w:fldCharType="begin"/>
      </w:r>
      <w:r>
        <w:instrText xml:space="preserve"> PAGEREF _Toc19535 </w:instrText>
      </w:r>
      <w:r>
        <w:fldChar w:fldCharType="separate"/>
      </w:r>
      <w:r>
        <w:t>45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_Toc4961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11.10 </w:t>
      </w:r>
      <w:r>
        <w:rPr>
          <w:rFonts w:hint="eastAsia" w:asciiTheme="minorEastAsia" w:hAnsiTheme="minorEastAsia" w:eastAsiaTheme="minorEastAsia" w:cstheme="minorEastAsia"/>
        </w:rPr>
        <w:t>记录</w:t>
      </w:r>
      <w:r>
        <w:tab/>
      </w:r>
      <w:r>
        <w:fldChar w:fldCharType="begin"/>
      </w:r>
      <w:r>
        <w:instrText xml:space="preserve"> PAGEREF _Toc4961 </w:instrText>
      </w:r>
      <w:r>
        <w:fldChar w:fldCharType="separate"/>
      </w:r>
      <w:r>
        <w:t>45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_Toc11853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11.11 </w:t>
      </w:r>
      <w:r>
        <w:rPr>
          <w:rFonts w:hint="eastAsia" w:asciiTheme="minorEastAsia" w:hAnsiTheme="minorEastAsia" w:eastAsiaTheme="minorEastAsia" w:cstheme="minorEastAsia"/>
        </w:rPr>
        <w:t>资产权属</w:t>
      </w:r>
      <w:r>
        <w:tab/>
      </w:r>
      <w:r>
        <w:fldChar w:fldCharType="begin"/>
      </w:r>
      <w:r>
        <w:instrText xml:space="preserve"> PAGEREF _Toc11853 </w:instrText>
      </w:r>
      <w:r>
        <w:fldChar w:fldCharType="separate"/>
      </w:r>
      <w:r>
        <w:t>46</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_Toc28174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11.12 </w:t>
      </w:r>
      <w:r>
        <w:rPr>
          <w:rFonts w:hint="eastAsia" w:asciiTheme="minorEastAsia" w:hAnsiTheme="minorEastAsia" w:eastAsiaTheme="minorEastAsia" w:cstheme="minorEastAsia"/>
        </w:rPr>
        <w:t>项目新增改扩建需求</w:t>
      </w:r>
      <w:r>
        <w:tab/>
      </w:r>
      <w:r>
        <w:fldChar w:fldCharType="begin"/>
      </w:r>
      <w:r>
        <w:instrText xml:space="preserve"> PAGEREF _Toc28174 </w:instrText>
      </w:r>
      <w:r>
        <w:fldChar w:fldCharType="separate"/>
      </w:r>
      <w:r>
        <w:t>46</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_Toc6764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第十二章 </w:t>
      </w:r>
      <w:r>
        <w:rPr>
          <w:rFonts w:hint="eastAsia" w:asciiTheme="minorEastAsia" w:hAnsiTheme="minorEastAsia" w:eastAsiaTheme="minorEastAsia" w:cstheme="minorEastAsia"/>
        </w:rPr>
        <w:t>股权变更及合同转让限制</w:t>
      </w:r>
      <w:r>
        <w:tab/>
      </w:r>
      <w:r>
        <w:fldChar w:fldCharType="begin"/>
      </w:r>
      <w:r>
        <w:instrText xml:space="preserve"> PAGEREF _Toc6764 </w:instrText>
      </w:r>
      <w:r>
        <w:fldChar w:fldCharType="separate"/>
      </w:r>
      <w:r>
        <w:t>47</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_Toc15075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12 条 </w:t>
      </w:r>
      <w:r>
        <w:tab/>
      </w:r>
      <w:r>
        <w:fldChar w:fldCharType="begin"/>
      </w:r>
      <w:r>
        <w:instrText xml:space="preserve"> PAGEREF _Toc15075 </w:instrText>
      </w:r>
      <w:r>
        <w:fldChar w:fldCharType="separate"/>
      </w:r>
      <w:r>
        <w:t>47</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_Toc28538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12.1 </w:t>
      </w:r>
      <w:r>
        <w:rPr>
          <w:rFonts w:hint="eastAsia" w:asciiTheme="minorEastAsia" w:hAnsiTheme="minorEastAsia" w:eastAsiaTheme="minorEastAsia" w:cstheme="minorEastAsia"/>
        </w:rPr>
        <w:t>股权变更的限制</w:t>
      </w:r>
      <w:r>
        <w:tab/>
      </w:r>
      <w:r>
        <w:fldChar w:fldCharType="begin"/>
      </w:r>
      <w:r>
        <w:instrText xml:space="preserve"> PAGEREF _Toc28538 </w:instrText>
      </w:r>
      <w:r>
        <w:fldChar w:fldCharType="separate"/>
      </w:r>
      <w:r>
        <w:t>47</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_Toc15286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12.2 </w:t>
      </w:r>
      <w:r>
        <w:rPr>
          <w:rFonts w:hint="eastAsia" w:asciiTheme="minorEastAsia" w:hAnsiTheme="minorEastAsia" w:eastAsiaTheme="minorEastAsia" w:cstheme="minorEastAsia"/>
        </w:rPr>
        <w:t>项目公司股权受让方之资质要求</w:t>
      </w:r>
      <w:r>
        <w:tab/>
      </w:r>
      <w:r>
        <w:fldChar w:fldCharType="begin"/>
      </w:r>
      <w:r>
        <w:instrText xml:space="preserve"> PAGEREF _Toc15286 </w:instrText>
      </w:r>
      <w:r>
        <w:fldChar w:fldCharType="separate"/>
      </w:r>
      <w:r>
        <w:t>47</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_Toc21806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12.3 </w:t>
      </w:r>
      <w:r>
        <w:rPr>
          <w:rFonts w:hint="eastAsia" w:asciiTheme="minorEastAsia" w:hAnsiTheme="minorEastAsia" w:eastAsiaTheme="minorEastAsia" w:cstheme="minorEastAsia"/>
        </w:rPr>
        <w:t>公司章程条款的要求</w:t>
      </w:r>
      <w:r>
        <w:tab/>
      </w:r>
      <w:r>
        <w:fldChar w:fldCharType="begin"/>
      </w:r>
      <w:r>
        <w:instrText xml:space="preserve"> PAGEREF _Toc21806 </w:instrText>
      </w:r>
      <w:r>
        <w:fldChar w:fldCharType="separate"/>
      </w:r>
      <w:r>
        <w:t>48</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_Toc6577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12.4 </w:t>
      </w:r>
      <w:r>
        <w:rPr>
          <w:rFonts w:hint="eastAsia" w:asciiTheme="minorEastAsia" w:hAnsiTheme="minorEastAsia" w:eastAsiaTheme="minorEastAsia" w:cstheme="minorEastAsia"/>
        </w:rPr>
        <w:t>合同转让</w:t>
      </w:r>
      <w:r>
        <w:tab/>
      </w:r>
      <w:r>
        <w:fldChar w:fldCharType="begin"/>
      </w:r>
      <w:r>
        <w:instrText xml:space="preserve"> PAGEREF _Toc6577 </w:instrText>
      </w:r>
      <w:r>
        <w:fldChar w:fldCharType="separate"/>
      </w:r>
      <w:r>
        <w:t>48</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_Toc14100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第十三章 </w:t>
      </w:r>
      <w:r>
        <w:rPr>
          <w:rFonts w:hint="eastAsia" w:asciiTheme="minorEastAsia" w:hAnsiTheme="minorEastAsia" w:eastAsiaTheme="minorEastAsia" w:cstheme="minorEastAsia"/>
        </w:rPr>
        <w:t>付费机制</w:t>
      </w:r>
      <w:r>
        <w:tab/>
      </w:r>
      <w:r>
        <w:fldChar w:fldCharType="begin"/>
      </w:r>
      <w:r>
        <w:instrText xml:space="preserve"> PAGEREF _Toc14100 </w:instrText>
      </w:r>
      <w:r>
        <w:fldChar w:fldCharType="separate"/>
      </w:r>
      <w:r>
        <w:t>49</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_Toc1301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13 条 </w:t>
      </w:r>
      <w:r>
        <w:tab/>
      </w:r>
      <w:r>
        <w:fldChar w:fldCharType="begin"/>
      </w:r>
      <w:r>
        <w:instrText xml:space="preserve"> PAGEREF _Toc1301 </w:instrText>
      </w:r>
      <w:r>
        <w:fldChar w:fldCharType="separate"/>
      </w:r>
      <w:r>
        <w:t>49</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_Toc13253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13.1 </w:t>
      </w:r>
      <w:r>
        <w:rPr>
          <w:rFonts w:hint="eastAsia" w:asciiTheme="minorEastAsia" w:hAnsiTheme="minorEastAsia" w:eastAsiaTheme="minorEastAsia" w:cstheme="minorEastAsia"/>
        </w:rPr>
        <w:t>入廊费和日常维护费</w:t>
      </w:r>
      <w:r>
        <w:rPr>
          <w:rFonts w:hint="eastAsia" w:asciiTheme="minorEastAsia" w:hAnsiTheme="minorEastAsia" w:eastAsiaTheme="minorEastAsia" w:cstheme="minorEastAsia"/>
          <w:lang w:val="en-US" w:eastAsia="zh-CN"/>
        </w:rPr>
        <w:t>的定价机制</w:t>
      </w:r>
      <w:r>
        <w:tab/>
      </w:r>
      <w:r>
        <w:fldChar w:fldCharType="begin"/>
      </w:r>
      <w:r>
        <w:instrText xml:space="preserve"> PAGEREF _Toc13253 </w:instrText>
      </w:r>
      <w:r>
        <w:fldChar w:fldCharType="separate"/>
      </w:r>
      <w:r>
        <w:t>49</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_Toc31750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13.2 </w:t>
      </w:r>
      <w:r>
        <w:rPr>
          <w:rFonts w:hint="eastAsia" w:asciiTheme="minorEastAsia" w:hAnsiTheme="minorEastAsia" w:eastAsiaTheme="minorEastAsia" w:cstheme="minorEastAsia"/>
        </w:rPr>
        <w:t>可行性缺口补助核算</w:t>
      </w:r>
      <w:r>
        <w:tab/>
      </w:r>
      <w:r>
        <w:fldChar w:fldCharType="begin"/>
      </w:r>
      <w:r>
        <w:instrText xml:space="preserve"> PAGEREF _Toc31750 </w:instrText>
      </w:r>
      <w:r>
        <w:fldChar w:fldCharType="separate"/>
      </w:r>
      <w:r>
        <w:t>49</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_Toc2815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13.3 </w:t>
      </w:r>
      <w:r>
        <w:rPr>
          <w:rFonts w:hint="eastAsia" w:asciiTheme="minorEastAsia" w:hAnsiTheme="minorEastAsia" w:eastAsiaTheme="minorEastAsia" w:cstheme="minorEastAsia"/>
        </w:rPr>
        <w:t>可行性缺口补助支付</w:t>
      </w:r>
      <w:r>
        <w:tab/>
      </w:r>
      <w:r>
        <w:fldChar w:fldCharType="begin"/>
      </w:r>
      <w:r>
        <w:instrText xml:space="preserve"> PAGEREF _Toc2815 </w:instrText>
      </w:r>
      <w:r>
        <w:fldChar w:fldCharType="separate"/>
      </w:r>
      <w:r>
        <w:t>53</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_Toc14545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第十四章 </w:t>
      </w:r>
      <w:r>
        <w:rPr>
          <w:rFonts w:hint="eastAsia" w:asciiTheme="minorEastAsia" w:hAnsiTheme="minorEastAsia" w:eastAsiaTheme="minorEastAsia" w:cstheme="minorEastAsia"/>
        </w:rPr>
        <w:t>绩效考核</w:t>
      </w:r>
      <w:r>
        <w:tab/>
      </w:r>
      <w:r>
        <w:fldChar w:fldCharType="begin"/>
      </w:r>
      <w:r>
        <w:instrText xml:space="preserve"> PAGEREF _Toc14545 </w:instrText>
      </w:r>
      <w:r>
        <w:fldChar w:fldCharType="separate"/>
      </w:r>
      <w:r>
        <w:t>55</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_Toc10582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14 条 </w:t>
      </w:r>
      <w:r>
        <w:tab/>
      </w:r>
      <w:r>
        <w:fldChar w:fldCharType="begin"/>
      </w:r>
      <w:r>
        <w:instrText xml:space="preserve"> PAGEREF _Toc10582 </w:instrText>
      </w:r>
      <w:r>
        <w:fldChar w:fldCharType="separate"/>
      </w:r>
      <w:r>
        <w:t>55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_Toc2891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14.1 </w:t>
      </w:r>
      <w:r>
        <w:rPr>
          <w:rFonts w:hint="eastAsia" w:asciiTheme="minorEastAsia" w:hAnsiTheme="minorEastAsia" w:eastAsiaTheme="minorEastAsia" w:cstheme="minorEastAsia"/>
        </w:rPr>
        <w:t>建设管理绩效考核</w:t>
      </w:r>
      <w:r>
        <w:tab/>
      </w:r>
      <w:r>
        <w:fldChar w:fldCharType="begin"/>
      </w:r>
      <w:r>
        <w:instrText xml:space="preserve"> PAGEREF _Toc2891 </w:instrText>
      </w:r>
      <w:r>
        <w:fldChar w:fldCharType="separate"/>
      </w:r>
      <w:r>
        <w:t>55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_Toc9875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14.2 </w:t>
      </w:r>
      <w:r>
        <w:rPr>
          <w:rFonts w:hint="eastAsia" w:asciiTheme="minorEastAsia" w:hAnsiTheme="minorEastAsia" w:eastAsiaTheme="minorEastAsia" w:cstheme="minorEastAsia"/>
        </w:rPr>
        <w:t>运营维护管理绩效考核</w:t>
      </w:r>
      <w:r>
        <w:tab/>
      </w:r>
      <w:r>
        <w:fldChar w:fldCharType="begin"/>
      </w:r>
      <w:r>
        <w:instrText xml:space="preserve"> PAGEREF _Toc9875 </w:instrText>
      </w:r>
      <w:r>
        <w:fldChar w:fldCharType="separate"/>
      </w:r>
      <w:r>
        <w:t>55</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_Toc15927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第十五章 </w:t>
      </w:r>
      <w:r>
        <w:rPr>
          <w:rFonts w:hint="eastAsia" w:asciiTheme="minorEastAsia" w:hAnsiTheme="minorEastAsia" w:eastAsiaTheme="minorEastAsia" w:cstheme="minorEastAsia"/>
        </w:rPr>
        <w:t>履约担保</w:t>
      </w:r>
      <w:r>
        <w:tab/>
      </w:r>
      <w:r>
        <w:fldChar w:fldCharType="begin"/>
      </w:r>
      <w:r>
        <w:instrText xml:space="preserve"> PAGEREF _Toc15927 </w:instrText>
      </w:r>
      <w:r>
        <w:fldChar w:fldCharType="separate"/>
      </w:r>
      <w:r>
        <w:t>58</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_Toc29702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15 条 </w:t>
      </w:r>
      <w:r>
        <w:tab/>
      </w:r>
      <w:r>
        <w:fldChar w:fldCharType="begin"/>
      </w:r>
      <w:r>
        <w:instrText xml:space="preserve"> PAGEREF _Toc29702 </w:instrText>
      </w:r>
      <w:r>
        <w:fldChar w:fldCharType="separate"/>
      </w:r>
      <w:r>
        <w:t>58</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_Toc28890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15.1 </w:t>
      </w:r>
      <w:r>
        <w:rPr>
          <w:rFonts w:hint="eastAsia" w:asciiTheme="minorEastAsia" w:hAnsiTheme="minorEastAsia" w:eastAsiaTheme="minorEastAsia" w:cstheme="minorEastAsia"/>
        </w:rPr>
        <w:t>建设履约独立保函</w:t>
      </w:r>
      <w:r>
        <w:tab/>
      </w:r>
      <w:r>
        <w:fldChar w:fldCharType="begin"/>
      </w:r>
      <w:r>
        <w:instrText xml:space="preserve"> PAGEREF _Toc28890 </w:instrText>
      </w:r>
      <w:r>
        <w:fldChar w:fldCharType="separate"/>
      </w:r>
      <w:r>
        <w:t>58</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_Toc8778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lang w:val="en-US" w:eastAsia="zh-CN"/>
        </w:rPr>
        <w:t xml:space="preserve">15.2 </w:t>
      </w:r>
      <w:r>
        <w:rPr>
          <w:rFonts w:hint="eastAsia" w:asciiTheme="minorEastAsia" w:hAnsiTheme="minorEastAsia" w:eastAsiaTheme="minorEastAsia" w:cstheme="minorEastAsia"/>
          <w:lang w:val="en-US" w:eastAsia="zh-CN"/>
        </w:rPr>
        <w:t>运营维护独立保函</w:t>
      </w:r>
      <w:r>
        <w:tab/>
      </w:r>
      <w:r>
        <w:fldChar w:fldCharType="begin"/>
      </w:r>
      <w:r>
        <w:instrText xml:space="preserve"> PAGEREF _Toc8778 </w:instrText>
      </w:r>
      <w:r>
        <w:fldChar w:fldCharType="separate"/>
      </w:r>
      <w:r>
        <w:t>58</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_Toc20001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15.3 </w:t>
      </w:r>
      <w:r>
        <w:rPr>
          <w:rFonts w:hint="eastAsia" w:asciiTheme="minorEastAsia" w:hAnsiTheme="minorEastAsia" w:eastAsiaTheme="minorEastAsia" w:cstheme="minorEastAsia"/>
        </w:rPr>
        <w:t>移交</w:t>
      </w:r>
      <w:r>
        <w:rPr>
          <w:rFonts w:hint="eastAsia" w:asciiTheme="minorEastAsia" w:hAnsiTheme="minorEastAsia" w:eastAsiaTheme="minorEastAsia" w:cstheme="minorEastAsia"/>
          <w:lang w:val="en-US" w:eastAsia="zh-CN"/>
        </w:rPr>
        <w:t>维修独立</w:t>
      </w:r>
      <w:r>
        <w:rPr>
          <w:rFonts w:hint="eastAsia" w:asciiTheme="minorEastAsia" w:hAnsiTheme="minorEastAsia" w:eastAsiaTheme="minorEastAsia" w:cstheme="minorEastAsia"/>
        </w:rPr>
        <w:t>保函</w:t>
      </w:r>
      <w:r>
        <w:tab/>
      </w:r>
      <w:r>
        <w:fldChar w:fldCharType="begin"/>
      </w:r>
      <w:r>
        <w:instrText xml:space="preserve"> PAGEREF _Toc20001 </w:instrText>
      </w:r>
      <w:r>
        <w:fldChar w:fldCharType="separate"/>
      </w:r>
      <w:r>
        <w:t>59</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_Toc8788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第十六章 </w:t>
      </w:r>
      <w:r>
        <w:rPr>
          <w:rFonts w:hint="eastAsia" w:asciiTheme="minorEastAsia" w:hAnsiTheme="minorEastAsia" w:eastAsiaTheme="minorEastAsia" w:cstheme="minorEastAsia"/>
        </w:rPr>
        <w:t>政府承诺</w:t>
      </w:r>
      <w:r>
        <w:tab/>
      </w:r>
      <w:r>
        <w:fldChar w:fldCharType="begin"/>
      </w:r>
      <w:r>
        <w:instrText xml:space="preserve"> PAGEREF _Toc8788 </w:instrText>
      </w:r>
      <w:r>
        <w:fldChar w:fldCharType="separate"/>
      </w:r>
      <w:r>
        <w:t>60</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_Toc5639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16 条 </w:t>
      </w:r>
      <w:r>
        <w:tab/>
      </w:r>
      <w:r>
        <w:fldChar w:fldCharType="begin"/>
      </w:r>
      <w:r>
        <w:instrText xml:space="preserve"> PAGEREF _Toc5639 </w:instrText>
      </w:r>
      <w:r>
        <w:fldChar w:fldCharType="separate"/>
      </w:r>
      <w:r>
        <w:t>60</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_Toc17340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16.1 </w:t>
      </w:r>
      <w:r>
        <w:rPr>
          <w:rFonts w:hint="eastAsia" w:asciiTheme="minorEastAsia" w:hAnsiTheme="minorEastAsia" w:eastAsiaTheme="minorEastAsia" w:cstheme="minorEastAsia"/>
        </w:rPr>
        <w:t>遵守法律、法规</w:t>
      </w:r>
      <w:r>
        <w:tab/>
      </w:r>
      <w:r>
        <w:fldChar w:fldCharType="begin"/>
      </w:r>
      <w:r>
        <w:instrText xml:space="preserve"> PAGEREF _Toc17340 </w:instrText>
      </w:r>
      <w:r>
        <w:fldChar w:fldCharType="separate"/>
      </w:r>
      <w:r>
        <w:t>60</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_Toc21277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16.2 </w:t>
      </w:r>
      <w:r>
        <w:rPr>
          <w:rFonts w:hint="eastAsia" w:asciiTheme="minorEastAsia" w:hAnsiTheme="minorEastAsia" w:eastAsiaTheme="minorEastAsia" w:cstheme="minorEastAsia"/>
        </w:rPr>
        <w:t>批准</w:t>
      </w:r>
      <w:r>
        <w:tab/>
      </w:r>
      <w:r>
        <w:fldChar w:fldCharType="begin"/>
      </w:r>
      <w:r>
        <w:instrText xml:space="preserve"> PAGEREF _Toc21277 </w:instrText>
      </w:r>
      <w:r>
        <w:fldChar w:fldCharType="separate"/>
      </w:r>
      <w:r>
        <w:t>60</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_Toc683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16.3 </w:t>
      </w:r>
      <w:r>
        <w:rPr>
          <w:rFonts w:hint="eastAsia" w:asciiTheme="minorEastAsia" w:hAnsiTheme="minorEastAsia" w:eastAsiaTheme="minorEastAsia" w:cstheme="minorEastAsia"/>
        </w:rPr>
        <w:t>入廊管理</w:t>
      </w:r>
      <w:r>
        <w:tab/>
      </w:r>
      <w:r>
        <w:fldChar w:fldCharType="begin"/>
      </w:r>
      <w:r>
        <w:instrText xml:space="preserve"> PAGEREF _Toc683 </w:instrText>
      </w:r>
      <w:r>
        <w:fldChar w:fldCharType="separate"/>
      </w:r>
      <w:r>
        <w:t>60</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_Toc9569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16.4 </w:t>
      </w:r>
      <w:r>
        <w:rPr>
          <w:rFonts w:hint="eastAsia" w:asciiTheme="minorEastAsia" w:hAnsiTheme="minorEastAsia" w:eastAsiaTheme="minorEastAsia" w:cstheme="minorEastAsia"/>
        </w:rPr>
        <w:t>可行性缺口补助和税收优惠</w:t>
      </w:r>
      <w:r>
        <w:tab/>
      </w:r>
      <w:r>
        <w:fldChar w:fldCharType="begin"/>
      </w:r>
      <w:r>
        <w:instrText xml:space="preserve"> PAGEREF _Toc9569 </w:instrText>
      </w:r>
      <w:r>
        <w:fldChar w:fldCharType="separate"/>
      </w:r>
      <w:r>
        <w:t>61</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_Toc2510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16.5 </w:t>
      </w:r>
      <w:r>
        <w:rPr>
          <w:rFonts w:hint="eastAsia" w:asciiTheme="minorEastAsia" w:hAnsiTheme="minorEastAsia" w:eastAsiaTheme="minorEastAsia" w:cstheme="minorEastAsia"/>
        </w:rPr>
        <w:t>不干预</w:t>
      </w:r>
      <w:r>
        <w:tab/>
      </w:r>
      <w:r>
        <w:fldChar w:fldCharType="begin"/>
      </w:r>
      <w:r>
        <w:instrText xml:space="preserve"> PAGEREF _Toc2510 </w:instrText>
      </w:r>
      <w:r>
        <w:fldChar w:fldCharType="separate"/>
      </w:r>
      <w:r>
        <w:t>61</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_Toc5323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16.6 </w:t>
      </w:r>
      <w:r>
        <w:rPr>
          <w:rFonts w:hint="eastAsia" w:asciiTheme="minorEastAsia" w:hAnsiTheme="minorEastAsia" w:eastAsiaTheme="minorEastAsia" w:cstheme="minorEastAsia"/>
        </w:rPr>
        <w:t>安全保障</w:t>
      </w:r>
      <w:r>
        <w:tab/>
      </w:r>
      <w:r>
        <w:fldChar w:fldCharType="begin"/>
      </w:r>
      <w:r>
        <w:instrText xml:space="preserve"> PAGEREF _Toc5323 </w:instrText>
      </w:r>
      <w:r>
        <w:fldChar w:fldCharType="separate"/>
      </w:r>
      <w:r>
        <w:t>61</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_Toc12599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第十七章 </w:t>
      </w:r>
      <w:r>
        <w:rPr>
          <w:rFonts w:hint="eastAsia" w:asciiTheme="minorEastAsia" w:hAnsiTheme="minorEastAsia" w:eastAsiaTheme="minorEastAsia" w:cstheme="minorEastAsia"/>
        </w:rPr>
        <w:t>保险</w:t>
      </w:r>
      <w:r>
        <w:tab/>
      </w:r>
      <w:r>
        <w:fldChar w:fldCharType="begin"/>
      </w:r>
      <w:r>
        <w:instrText xml:space="preserve"> PAGEREF _Toc12599 </w:instrText>
      </w:r>
      <w:r>
        <w:fldChar w:fldCharType="separate"/>
      </w:r>
      <w:r>
        <w:t>62</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_Toc12597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17 条 </w:t>
      </w:r>
      <w:r>
        <w:tab/>
      </w:r>
      <w:r>
        <w:fldChar w:fldCharType="begin"/>
      </w:r>
      <w:r>
        <w:instrText xml:space="preserve"> PAGEREF _Toc12597 </w:instrText>
      </w:r>
      <w:r>
        <w:fldChar w:fldCharType="separate"/>
      </w:r>
      <w:r>
        <w:t>62</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_Toc18726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17.1 </w:t>
      </w:r>
      <w:r>
        <w:rPr>
          <w:rFonts w:hint="eastAsia" w:asciiTheme="minorEastAsia" w:hAnsiTheme="minorEastAsia" w:eastAsiaTheme="minorEastAsia" w:cstheme="minorEastAsia"/>
        </w:rPr>
        <w:t>建设期间的保险</w:t>
      </w:r>
      <w:r>
        <w:tab/>
      </w:r>
      <w:r>
        <w:fldChar w:fldCharType="begin"/>
      </w:r>
      <w:r>
        <w:instrText xml:space="preserve"> PAGEREF _Toc18726 </w:instrText>
      </w:r>
      <w:r>
        <w:fldChar w:fldCharType="separate"/>
      </w:r>
      <w:r>
        <w:t>62</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_Toc12935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17.2 </w:t>
      </w:r>
      <w:r>
        <w:rPr>
          <w:rFonts w:hint="eastAsia" w:asciiTheme="minorEastAsia" w:hAnsiTheme="minorEastAsia" w:eastAsiaTheme="minorEastAsia" w:cstheme="minorEastAsia"/>
        </w:rPr>
        <w:t>运营维护期的保险</w:t>
      </w:r>
      <w:r>
        <w:tab/>
      </w:r>
      <w:r>
        <w:fldChar w:fldCharType="begin"/>
      </w:r>
      <w:r>
        <w:instrText xml:space="preserve"> PAGEREF _Toc12935 </w:instrText>
      </w:r>
      <w:r>
        <w:fldChar w:fldCharType="separate"/>
      </w:r>
      <w:r>
        <w:t>62</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_Toc14329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第十八章 </w:t>
      </w:r>
      <w:r>
        <w:rPr>
          <w:rFonts w:hint="eastAsia" w:asciiTheme="minorEastAsia" w:hAnsiTheme="minorEastAsia" w:eastAsiaTheme="minorEastAsia" w:cstheme="minorEastAsia"/>
        </w:rPr>
        <w:t>法律变更</w:t>
      </w:r>
      <w:r>
        <w:tab/>
      </w:r>
      <w:r>
        <w:fldChar w:fldCharType="begin"/>
      </w:r>
      <w:r>
        <w:instrText xml:space="preserve"> PAGEREF _Toc14329 </w:instrText>
      </w:r>
      <w:r>
        <w:fldChar w:fldCharType="separate"/>
      </w:r>
      <w:r>
        <w:t>63</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_Toc9044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18 条 </w:t>
      </w:r>
      <w:r>
        <w:tab/>
      </w:r>
      <w:r>
        <w:fldChar w:fldCharType="begin"/>
      </w:r>
      <w:r>
        <w:instrText xml:space="preserve"> PAGEREF _Toc9044 </w:instrText>
      </w:r>
      <w:r>
        <w:fldChar w:fldCharType="separate"/>
      </w:r>
      <w:r>
        <w:t>63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_Toc27874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18.1 </w:t>
      </w:r>
      <w:r>
        <w:rPr>
          <w:rFonts w:hint="eastAsia" w:asciiTheme="minorEastAsia" w:hAnsiTheme="minorEastAsia" w:eastAsiaTheme="minorEastAsia" w:cstheme="minorEastAsia"/>
        </w:rPr>
        <w:t>法律变更内容</w:t>
      </w:r>
      <w:r>
        <w:tab/>
      </w:r>
      <w:r>
        <w:fldChar w:fldCharType="begin"/>
      </w:r>
      <w:r>
        <w:instrText xml:space="preserve"> PAGEREF _Toc27874 </w:instrText>
      </w:r>
      <w:r>
        <w:fldChar w:fldCharType="separate"/>
      </w:r>
      <w:r>
        <w:t>63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_Toc12616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18.2 </w:t>
      </w:r>
      <w:r>
        <w:rPr>
          <w:rFonts w:hint="eastAsia" w:asciiTheme="minorEastAsia" w:hAnsiTheme="minorEastAsia" w:eastAsiaTheme="minorEastAsia" w:cstheme="minorEastAsia"/>
        </w:rPr>
        <w:t>法律变更评估与报告</w:t>
      </w:r>
      <w:r>
        <w:tab/>
      </w:r>
      <w:r>
        <w:fldChar w:fldCharType="begin"/>
      </w:r>
      <w:r>
        <w:instrText xml:space="preserve"> PAGEREF _Toc12616 </w:instrText>
      </w:r>
      <w:r>
        <w:fldChar w:fldCharType="separate"/>
      </w:r>
      <w:r>
        <w:t>63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_Toc29974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18.3 </w:t>
      </w:r>
      <w:r>
        <w:rPr>
          <w:rFonts w:hint="eastAsia" w:asciiTheme="minorEastAsia" w:hAnsiTheme="minorEastAsia" w:eastAsiaTheme="minorEastAsia" w:cstheme="minorEastAsia"/>
        </w:rPr>
        <w:t>法律变更的其他规定</w:t>
      </w:r>
      <w:r>
        <w:tab/>
      </w:r>
      <w:r>
        <w:fldChar w:fldCharType="begin"/>
      </w:r>
      <w:r>
        <w:instrText xml:space="preserve"> PAGEREF _Toc29974 </w:instrText>
      </w:r>
      <w:r>
        <w:fldChar w:fldCharType="separate"/>
      </w:r>
      <w:r>
        <w:t>64</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_Toc23062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第十九章 </w:t>
      </w:r>
      <w:r>
        <w:rPr>
          <w:rFonts w:hint="eastAsia" w:asciiTheme="minorEastAsia" w:hAnsiTheme="minorEastAsia" w:eastAsiaTheme="minorEastAsia" w:cstheme="minorEastAsia"/>
        </w:rPr>
        <w:t>不可抗力</w:t>
      </w:r>
      <w:r>
        <w:tab/>
      </w:r>
      <w:r>
        <w:fldChar w:fldCharType="begin"/>
      </w:r>
      <w:r>
        <w:instrText xml:space="preserve"> PAGEREF _Toc23062 </w:instrText>
      </w:r>
      <w:r>
        <w:fldChar w:fldCharType="separate"/>
      </w:r>
      <w:r>
        <w:t>65</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_Toc12169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19 条 </w:t>
      </w:r>
      <w:r>
        <w:tab/>
      </w:r>
      <w:r>
        <w:fldChar w:fldCharType="begin"/>
      </w:r>
      <w:r>
        <w:instrText xml:space="preserve"> PAGEREF _Toc12169 </w:instrText>
      </w:r>
      <w:r>
        <w:fldChar w:fldCharType="separate"/>
      </w:r>
      <w:r>
        <w:t>65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_Toc8392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19.1 </w:t>
      </w:r>
      <w:r>
        <w:rPr>
          <w:rFonts w:hint="eastAsia" w:asciiTheme="minorEastAsia" w:hAnsiTheme="minorEastAsia" w:eastAsiaTheme="minorEastAsia" w:cstheme="minorEastAsia"/>
        </w:rPr>
        <w:t>不可抗力事件</w:t>
      </w:r>
      <w:r>
        <w:tab/>
      </w:r>
      <w:r>
        <w:fldChar w:fldCharType="begin"/>
      </w:r>
      <w:r>
        <w:instrText xml:space="preserve"> PAGEREF _Toc8392 </w:instrText>
      </w:r>
      <w:r>
        <w:fldChar w:fldCharType="separate"/>
      </w:r>
      <w:r>
        <w:t>65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_Toc15221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19.2 </w:t>
      </w:r>
      <w:r>
        <w:rPr>
          <w:rFonts w:hint="eastAsia" w:asciiTheme="minorEastAsia" w:hAnsiTheme="minorEastAsia" w:eastAsiaTheme="minorEastAsia" w:cstheme="minorEastAsia"/>
        </w:rPr>
        <w:t>免于履行</w:t>
      </w:r>
      <w:r>
        <w:tab/>
      </w:r>
      <w:r>
        <w:fldChar w:fldCharType="begin"/>
      </w:r>
      <w:r>
        <w:instrText xml:space="preserve"> PAGEREF _Toc15221 </w:instrText>
      </w:r>
      <w:r>
        <w:fldChar w:fldCharType="separate"/>
      </w:r>
      <w:r>
        <w:t>65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_Toc5791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19.3 </w:t>
      </w:r>
      <w:r>
        <w:rPr>
          <w:rFonts w:hint="eastAsia" w:asciiTheme="minorEastAsia" w:hAnsiTheme="minorEastAsia" w:eastAsiaTheme="minorEastAsia" w:cstheme="minorEastAsia"/>
        </w:rPr>
        <w:t>不可抗力事件引起的中止履行</w:t>
      </w:r>
      <w:r>
        <w:tab/>
      </w:r>
      <w:r>
        <w:fldChar w:fldCharType="begin"/>
      </w:r>
      <w:r>
        <w:instrText xml:space="preserve"> PAGEREF _Toc5791 </w:instrText>
      </w:r>
      <w:r>
        <w:fldChar w:fldCharType="separate"/>
      </w:r>
      <w:r>
        <w:t>65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_Toc24641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19.4 </w:t>
      </w:r>
      <w:r>
        <w:rPr>
          <w:rFonts w:hint="eastAsia" w:asciiTheme="minorEastAsia" w:hAnsiTheme="minorEastAsia" w:eastAsiaTheme="minorEastAsia" w:cstheme="minorEastAsia"/>
        </w:rPr>
        <w:t>适用的例外</w:t>
      </w:r>
      <w:r>
        <w:tab/>
      </w:r>
      <w:r>
        <w:fldChar w:fldCharType="begin"/>
      </w:r>
      <w:r>
        <w:instrText xml:space="preserve"> PAGEREF _Toc24641 </w:instrText>
      </w:r>
      <w:r>
        <w:fldChar w:fldCharType="separate"/>
      </w:r>
      <w:r>
        <w:t>66</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_Toc7142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19.5 </w:t>
      </w:r>
      <w:r>
        <w:rPr>
          <w:rFonts w:hint="eastAsia" w:asciiTheme="minorEastAsia" w:hAnsiTheme="minorEastAsia" w:eastAsiaTheme="minorEastAsia" w:cstheme="minorEastAsia"/>
        </w:rPr>
        <w:t>不可抗力的通知</w:t>
      </w:r>
      <w:r>
        <w:tab/>
      </w:r>
      <w:r>
        <w:fldChar w:fldCharType="begin"/>
      </w:r>
      <w:r>
        <w:instrText xml:space="preserve"> PAGEREF _Toc7142 </w:instrText>
      </w:r>
      <w:r>
        <w:fldChar w:fldCharType="separate"/>
      </w:r>
      <w:r>
        <w:t>66</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_Toc24968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19.6 </w:t>
      </w:r>
      <w:r>
        <w:rPr>
          <w:rFonts w:hint="eastAsia" w:asciiTheme="minorEastAsia" w:hAnsiTheme="minorEastAsia" w:eastAsiaTheme="minorEastAsia" w:cstheme="minorEastAsia"/>
        </w:rPr>
        <w:t>费用和时间表的修改</w:t>
      </w:r>
      <w:r>
        <w:tab/>
      </w:r>
      <w:r>
        <w:fldChar w:fldCharType="begin"/>
      </w:r>
      <w:r>
        <w:instrText xml:space="preserve"> PAGEREF _Toc24968 </w:instrText>
      </w:r>
      <w:r>
        <w:fldChar w:fldCharType="separate"/>
      </w:r>
      <w:r>
        <w:t>66</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_Toc8289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19.7 </w:t>
      </w:r>
      <w:r>
        <w:rPr>
          <w:rFonts w:hint="eastAsia" w:asciiTheme="minorEastAsia" w:hAnsiTheme="minorEastAsia" w:eastAsiaTheme="minorEastAsia" w:cstheme="minorEastAsia"/>
        </w:rPr>
        <w:t>减少损失的责任和协商</w:t>
      </w:r>
      <w:r>
        <w:tab/>
      </w:r>
      <w:r>
        <w:fldChar w:fldCharType="begin"/>
      </w:r>
      <w:r>
        <w:instrText xml:space="preserve"> PAGEREF _Toc8289 </w:instrText>
      </w:r>
      <w:r>
        <w:fldChar w:fldCharType="separate"/>
      </w:r>
      <w:r>
        <w:t>66</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_Toc2115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19.8 </w:t>
      </w:r>
      <w:r>
        <w:rPr>
          <w:rFonts w:hint="eastAsia" w:asciiTheme="minorEastAsia" w:hAnsiTheme="minorEastAsia" w:eastAsiaTheme="minorEastAsia" w:cstheme="minorEastAsia"/>
        </w:rPr>
        <w:t>不可抗力事件造成的提前终止</w:t>
      </w:r>
      <w:r>
        <w:tab/>
      </w:r>
      <w:r>
        <w:fldChar w:fldCharType="begin"/>
      </w:r>
      <w:r>
        <w:instrText xml:space="preserve"> PAGEREF _Toc2115 </w:instrText>
      </w:r>
      <w:r>
        <w:fldChar w:fldCharType="separate"/>
      </w:r>
      <w:r>
        <w:t>67</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_Toc10312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第二十章 </w:t>
      </w:r>
      <w:r>
        <w:rPr>
          <w:rFonts w:hint="eastAsia" w:asciiTheme="minorEastAsia" w:hAnsiTheme="minorEastAsia" w:eastAsiaTheme="minorEastAsia" w:cstheme="minorEastAsia"/>
        </w:rPr>
        <w:t>合作期</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的监管和介入</w:t>
      </w:r>
      <w:r>
        <w:tab/>
      </w:r>
      <w:r>
        <w:fldChar w:fldCharType="begin"/>
      </w:r>
      <w:r>
        <w:instrText xml:space="preserve"> PAGEREF _Toc10312 </w:instrText>
      </w:r>
      <w:r>
        <w:fldChar w:fldCharType="separate"/>
      </w:r>
      <w:r>
        <w:t>68</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_Toc12906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20 条 </w:t>
      </w:r>
      <w:r>
        <w:tab/>
      </w:r>
      <w:r>
        <w:fldChar w:fldCharType="begin"/>
      </w:r>
      <w:r>
        <w:instrText xml:space="preserve"> PAGEREF _Toc12906 </w:instrText>
      </w:r>
      <w:r>
        <w:fldChar w:fldCharType="separate"/>
      </w:r>
      <w:r>
        <w:t>68</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_Toc16866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20.1 </w:t>
      </w:r>
      <w:r>
        <w:rPr>
          <w:rFonts w:hint="eastAsia" w:asciiTheme="minorEastAsia" w:hAnsiTheme="minorEastAsia" w:eastAsiaTheme="minorEastAsia" w:cstheme="minorEastAsia"/>
        </w:rPr>
        <w:t>行业监管</w:t>
      </w:r>
      <w:r>
        <w:tab/>
      </w:r>
      <w:r>
        <w:fldChar w:fldCharType="begin"/>
      </w:r>
      <w:r>
        <w:instrText xml:space="preserve"> PAGEREF _Toc16866 </w:instrText>
      </w:r>
      <w:r>
        <w:fldChar w:fldCharType="separate"/>
      </w:r>
      <w:r>
        <w:t>68</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_Toc1165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20.2 </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介入的前提</w:t>
      </w:r>
      <w:r>
        <w:tab/>
      </w:r>
      <w:r>
        <w:fldChar w:fldCharType="begin"/>
      </w:r>
      <w:r>
        <w:instrText xml:space="preserve"> PAGEREF _Toc1165 </w:instrText>
      </w:r>
      <w:r>
        <w:fldChar w:fldCharType="separate"/>
      </w:r>
      <w:r>
        <w:t>68</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_Toc14660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20.3 </w:t>
      </w:r>
      <w:r>
        <w:rPr>
          <w:rFonts w:hint="eastAsia" w:asciiTheme="minorEastAsia" w:hAnsiTheme="minorEastAsia" w:eastAsiaTheme="minorEastAsia" w:cstheme="minorEastAsia"/>
        </w:rPr>
        <w:t>介入的程序</w:t>
      </w:r>
      <w:r>
        <w:tab/>
      </w:r>
      <w:r>
        <w:fldChar w:fldCharType="begin"/>
      </w:r>
      <w:r>
        <w:instrText xml:space="preserve"> PAGEREF _Toc14660 </w:instrText>
      </w:r>
      <w:r>
        <w:fldChar w:fldCharType="separate"/>
      </w:r>
      <w:r>
        <w:t>69</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_Toc29995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20.4 </w:t>
      </w:r>
      <w:r>
        <w:rPr>
          <w:rFonts w:hint="eastAsia" w:asciiTheme="minorEastAsia" w:hAnsiTheme="minorEastAsia" w:eastAsiaTheme="minorEastAsia" w:cstheme="minorEastAsia"/>
        </w:rPr>
        <w:t>介入的持续时间和范围</w:t>
      </w:r>
      <w:r>
        <w:tab/>
      </w:r>
      <w:r>
        <w:fldChar w:fldCharType="begin"/>
      </w:r>
      <w:r>
        <w:instrText xml:space="preserve"> PAGEREF _Toc29995 </w:instrText>
      </w:r>
      <w:r>
        <w:fldChar w:fldCharType="separate"/>
      </w:r>
      <w:r>
        <w:t>69</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_Toc704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20.5 </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或指定机构的介入</w:t>
      </w:r>
      <w:r>
        <w:tab/>
      </w:r>
      <w:r>
        <w:fldChar w:fldCharType="begin"/>
      </w:r>
      <w:r>
        <w:instrText xml:space="preserve"> PAGEREF _Toc704 </w:instrText>
      </w:r>
      <w:r>
        <w:fldChar w:fldCharType="separate"/>
      </w:r>
      <w:r>
        <w:t>70</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_Toc26582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20.6 </w:t>
      </w:r>
      <w:r>
        <w:rPr>
          <w:rFonts w:hint="eastAsia" w:asciiTheme="minorEastAsia" w:hAnsiTheme="minorEastAsia" w:eastAsiaTheme="minorEastAsia" w:cstheme="minorEastAsia"/>
        </w:rPr>
        <w:t>项目公司在</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介入期间的义务</w:t>
      </w:r>
      <w:r>
        <w:tab/>
      </w:r>
      <w:r>
        <w:fldChar w:fldCharType="begin"/>
      </w:r>
      <w:r>
        <w:instrText xml:space="preserve"> PAGEREF _Toc26582 </w:instrText>
      </w:r>
      <w:r>
        <w:fldChar w:fldCharType="separate"/>
      </w:r>
      <w:r>
        <w:t>70</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_Toc23041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20.7 </w:t>
      </w:r>
      <w:r>
        <w:rPr>
          <w:rFonts w:hint="eastAsia" w:asciiTheme="minorEastAsia" w:hAnsiTheme="minorEastAsia" w:eastAsiaTheme="minorEastAsia" w:cstheme="minorEastAsia"/>
        </w:rPr>
        <w:t>介入期间的费用和收入</w:t>
      </w:r>
      <w:r>
        <w:tab/>
      </w:r>
      <w:r>
        <w:fldChar w:fldCharType="begin"/>
      </w:r>
      <w:r>
        <w:instrText xml:space="preserve"> PAGEREF _Toc23041 </w:instrText>
      </w:r>
      <w:r>
        <w:fldChar w:fldCharType="separate"/>
      </w:r>
      <w:r>
        <w:t>70</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_Toc32360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20.8 </w:t>
      </w:r>
      <w:r>
        <w:rPr>
          <w:rFonts w:hint="eastAsia" w:asciiTheme="minorEastAsia" w:hAnsiTheme="minorEastAsia" w:eastAsiaTheme="minorEastAsia" w:cstheme="minorEastAsia"/>
        </w:rPr>
        <w:t>收回资产</w:t>
      </w:r>
      <w:r>
        <w:tab/>
      </w:r>
      <w:r>
        <w:fldChar w:fldCharType="begin"/>
      </w:r>
      <w:r>
        <w:instrText xml:space="preserve"> PAGEREF _Toc32360 </w:instrText>
      </w:r>
      <w:r>
        <w:fldChar w:fldCharType="separate"/>
      </w:r>
      <w:r>
        <w:t>71</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_Toc17138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第二十一章 </w:t>
      </w:r>
      <w:r>
        <w:rPr>
          <w:rFonts w:hint="eastAsia" w:asciiTheme="minorEastAsia" w:hAnsiTheme="minorEastAsia" w:eastAsiaTheme="minorEastAsia" w:cstheme="minorEastAsia"/>
        </w:rPr>
        <w:t>一般违约及赔偿</w:t>
      </w:r>
      <w:r>
        <w:tab/>
      </w:r>
      <w:r>
        <w:fldChar w:fldCharType="begin"/>
      </w:r>
      <w:r>
        <w:instrText xml:space="preserve"> PAGEREF _Toc17138 </w:instrText>
      </w:r>
      <w:r>
        <w:fldChar w:fldCharType="separate"/>
      </w:r>
      <w:r>
        <w:t>72</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_Toc14535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21 条 </w:t>
      </w:r>
      <w:r>
        <w:tab/>
      </w:r>
      <w:r>
        <w:fldChar w:fldCharType="begin"/>
      </w:r>
      <w:r>
        <w:instrText xml:space="preserve"> PAGEREF _Toc14535 </w:instrText>
      </w:r>
      <w:r>
        <w:fldChar w:fldCharType="separate"/>
      </w:r>
      <w:r>
        <w:t>72</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_Toc17113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21.1 </w:t>
      </w:r>
      <w:r>
        <w:rPr>
          <w:rFonts w:hint="eastAsia" w:asciiTheme="minorEastAsia" w:hAnsiTheme="minorEastAsia" w:eastAsiaTheme="minorEastAsia" w:cstheme="minorEastAsia"/>
        </w:rPr>
        <w:t>项目公司违约</w:t>
      </w:r>
      <w:r>
        <w:tab/>
      </w:r>
      <w:r>
        <w:fldChar w:fldCharType="begin"/>
      </w:r>
      <w:r>
        <w:instrText xml:space="preserve"> PAGEREF _Toc17113 </w:instrText>
      </w:r>
      <w:r>
        <w:fldChar w:fldCharType="separate"/>
      </w:r>
      <w:r>
        <w:t>72</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_Toc30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21.2 </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的违约</w:t>
      </w:r>
      <w:r>
        <w:tab/>
      </w:r>
      <w:r>
        <w:fldChar w:fldCharType="begin"/>
      </w:r>
      <w:r>
        <w:instrText xml:space="preserve"> PAGEREF _Toc30 </w:instrText>
      </w:r>
      <w:r>
        <w:fldChar w:fldCharType="separate"/>
      </w:r>
      <w:r>
        <w:t>73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_Toc6992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21.3 </w:t>
      </w:r>
      <w:r>
        <w:rPr>
          <w:rFonts w:hint="eastAsia" w:asciiTheme="minorEastAsia" w:hAnsiTheme="minorEastAsia" w:eastAsiaTheme="minorEastAsia" w:cstheme="minorEastAsia"/>
        </w:rPr>
        <w:t>违约金争议</w:t>
      </w:r>
      <w:r>
        <w:tab/>
      </w:r>
      <w:r>
        <w:fldChar w:fldCharType="begin"/>
      </w:r>
      <w:r>
        <w:instrText xml:space="preserve"> PAGEREF _Toc6992 </w:instrText>
      </w:r>
      <w:r>
        <w:fldChar w:fldCharType="separate"/>
      </w:r>
      <w:r>
        <w:t>73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_Toc24680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21.4 </w:t>
      </w:r>
      <w:r>
        <w:rPr>
          <w:rFonts w:hint="eastAsia" w:asciiTheme="minorEastAsia" w:hAnsiTheme="minorEastAsia" w:eastAsiaTheme="minorEastAsia" w:cstheme="minorEastAsia"/>
        </w:rPr>
        <w:t>其他违约赔偿</w:t>
      </w:r>
      <w:r>
        <w:tab/>
      </w:r>
      <w:r>
        <w:fldChar w:fldCharType="begin"/>
      </w:r>
      <w:r>
        <w:instrText xml:space="preserve"> PAGEREF _Toc24680 </w:instrText>
      </w:r>
      <w:r>
        <w:fldChar w:fldCharType="separate"/>
      </w:r>
      <w:r>
        <w:t>73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_Toc24066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21.5 </w:t>
      </w:r>
      <w:r>
        <w:rPr>
          <w:rFonts w:hint="eastAsia" w:asciiTheme="minorEastAsia" w:hAnsiTheme="minorEastAsia" w:eastAsiaTheme="minorEastAsia" w:cstheme="minorEastAsia"/>
        </w:rPr>
        <w:t>免责</w:t>
      </w:r>
      <w:r>
        <w:tab/>
      </w:r>
      <w:r>
        <w:fldChar w:fldCharType="begin"/>
      </w:r>
      <w:r>
        <w:instrText xml:space="preserve"> PAGEREF _Toc24066 </w:instrText>
      </w:r>
      <w:r>
        <w:fldChar w:fldCharType="separate"/>
      </w:r>
      <w:r>
        <w:t>73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_Toc3007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21.6 </w:t>
      </w:r>
      <w:r>
        <w:rPr>
          <w:rFonts w:hint="eastAsia" w:asciiTheme="minorEastAsia" w:hAnsiTheme="minorEastAsia" w:eastAsiaTheme="minorEastAsia" w:cstheme="minorEastAsia"/>
        </w:rPr>
        <w:t>减轻损失的措施</w:t>
      </w:r>
      <w:r>
        <w:tab/>
      </w:r>
      <w:r>
        <w:fldChar w:fldCharType="begin"/>
      </w:r>
      <w:r>
        <w:instrText xml:space="preserve"> PAGEREF _Toc3007 </w:instrText>
      </w:r>
      <w:r>
        <w:fldChar w:fldCharType="separate"/>
      </w:r>
      <w:r>
        <w:t>73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_Toc10070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21.7 </w:t>
      </w:r>
      <w:r>
        <w:rPr>
          <w:rFonts w:hint="eastAsia" w:asciiTheme="minorEastAsia" w:hAnsiTheme="minorEastAsia" w:eastAsiaTheme="minorEastAsia" w:cstheme="minorEastAsia"/>
        </w:rPr>
        <w:t>部分由于受损害方造成的损失</w:t>
      </w:r>
      <w:r>
        <w:tab/>
      </w:r>
      <w:r>
        <w:fldChar w:fldCharType="begin"/>
      </w:r>
      <w:r>
        <w:instrText xml:space="preserve"> PAGEREF _Toc10070 </w:instrText>
      </w:r>
      <w:r>
        <w:fldChar w:fldCharType="separate"/>
      </w:r>
      <w:r>
        <w:t>74</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_Toc23769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21.8 </w:t>
      </w:r>
      <w:r>
        <w:rPr>
          <w:rFonts w:hint="eastAsia" w:asciiTheme="minorEastAsia" w:hAnsiTheme="minorEastAsia" w:eastAsiaTheme="minorEastAsia" w:cstheme="minorEastAsia"/>
        </w:rPr>
        <w:t>对间接损失不负责任</w:t>
      </w:r>
      <w:r>
        <w:tab/>
      </w:r>
      <w:r>
        <w:fldChar w:fldCharType="begin"/>
      </w:r>
      <w:r>
        <w:instrText xml:space="preserve"> PAGEREF _Toc23769 </w:instrText>
      </w:r>
      <w:r>
        <w:fldChar w:fldCharType="separate"/>
      </w:r>
      <w:r>
        <w:t>74</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_Toc32622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第二十二章 </w:t>
      </w:r>
      <w:r>
        <w:rPr>
          <w:rFonts w:hint="eastAsia" w:asciiTheme="minorEastAsia" w:hAnsiTheme="minorEastAsia" w:eastAsiaTheme="minorEastAsia" w:cstheme="minorEastAsia"/>
        </w:rPr>
        <w:t>终止</w:t>
      </w:r>
      <w:r>
        <w:tab/>
      </w:r>
      <w:r>
        <w:fldChar w:fldCharType="begin"/>
      </w:r>
      <w:r>
        <w:instrText xml:space="preserve"> PAGEREF _Toc32622 </w:instrText>
      </w:r>
      <w:r>
        <w:fldChar w:fldCharType="separate"/>
      </w:r>
      <w:r>
        <w:t>75</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_Toc31366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22 条 </w:t>
      </w:r>
      <w:r>
        <w:tab/>
      </w:r>
      <w:r>
        <w:fldChar w:fldCharType="begin"/>
      </w:r>
      <w:r>
        <w:instrText xml:space="preserve"> PAGEREF _Toc31366 </w:instrText>
      </w:r>
      <w:r>
        <w:fldChar w:fldCharType="separate"/>
      </w:r>
      <w:r>
        <w:t>75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_Toc7205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22.1 </w:t>
      </w:r>
      <w:r>
        <w:rPr>
          <w:rFonts w:hint="eastAsia" w:asciiTheme="minorEastAsia" w:hAnsiTheme="minorEastAsia" w:eastAsiaTheme="minorEastAsia" w:cstheme="minorEastAsia"/>
        </w:rPr>
        <w:t>合作期正常终止</w:t>
      </w:r>
      <w:r>
        <w:tab/>
      </w:r>
      <w:r>
        <w:fldChar w:fldCharType="begin"/>
      </w:r>
      <w:r>
        <w:instrText xml:space="preserve"> PAGEREF _Toc7205 </w:instrText>
      </w:r>
      <w:r>
        <w:fldChar w:fldCharType="separate"/>
      </w:r>
      <w:r>
        <w:t>75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_Toc3138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22.2 </w:t>
      </w:r>
      <w:r>
        <w:rPr>
          <w:rFonts w:hint="eastAsia" w:asciiTheme="minorEastAsia" w:hAnsiTheme="minorEastAsia" w:eastAsiaTheme="minorEastAsia" w:cstheme="minorEastAsia"/>
        </w:rPr>
        <w:t>合作期提前终止</w:t>
      </w:r>
      <w:r>
        <w:tab/>
      </w:r>
      <w:r>
        <w:fldChar w:fldCharType="begin"/>
      </w:r>
      <w:r>
        <w:instrText xml:space="preserve"> PAGEREF _Toc3138 </w:instrText>
      </w:r>
      <w:r>
        <w:fldChar w:fldCharType="separate"/>
      </w:r>
      <w:r>
        <w:t>75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_Toc12296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22.3 </w:t>
      </w:r>
      <w:r>
        <w:rPr>
          <w:rFonts w:hint="eastAsia" w:asciiTheme="minorEastAsia" w:hAnsiTheme="minorEastAsia" w:eastAsiaTheme="minorEastAsia" w:cstheme="minorEastAsia"/>
        </w:rPr>
        <w:t>项目公司严重违约事件</w:t>
      </w:r>
      <w:r>
        <w:tab/>
      </w:r>
      <w:r>
        <w:fldChar w:fldCharType="begin"/>
      </w:r>
      <w:r>
        <w:instrText xml:space="preserve"> PAGEREF _Toc12296 </w:instrText>
      </w:r>
      <w:r>
        <w:fldChar w:fldCharType="separate"/>
      </w:r>
      <w:r>
        <w:t>75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_Toc20682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22.4 </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严重违约事件</w:t>
      </w:r>
      <w:r>
        <w:tab/>
      </w:r>
      <w:r>
        <w:fldChar w:fldCharType="begin"/>
      </w:r>
      <w:r>
        <w:instrText xml:space="preserve"> PAGEREF _Toc20682 </w:instrText>
      </w:r>
      <w:r>
        <w:fldChar w:fldCharType="separate"/>
      </w:r>
      <w:r>
        <w:t>76</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_Toc9228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22.5 </w:t>
      </w:r>
      <w:r>
        <w:rPr>
          <w:rFonts w:hint="eastAsia" w:asciiTheme="minorEastAsia" w:hAnsiTheme="minorEastAsia" w:eastAsiaTheme="minorEastAsia" w:cstheme="minorEastAsia"/>
        </w:rPr>
        <w:t>因不可抗力导致的提前终止</w:t>
      </w:r>
      <w:r>
        <w:tab/>
      </w:r>
      <w:r>
        <w:fldChar w:fldCharType="begin"/>
      </w:r>
      <w:r>
        <w:instrText xml:space="preserve"> PAGEREF _Toc9228 </w:instrText>
      </w:r>
      <w:r>
        <w:fldChar w:fldCharType="separate"/>
      </w:r>
      <w:r>
        <w:t>76</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_Toc19359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22.6 </w:t>
      </w:r>
      <w:r>
        <w:rPr>
          <w:rFonts w:hint="eastAsia" w:asciiTheme="minorEastAsia" w:hAnsiTheme="minorEastAsia" w:eastAsiaTheme="minorEastAsia" w:cstheme="minorEastAsia"/>
        </w:rPr>
        <w:t>因法律变更导致项目可行性受到严重不利影响的提前终止</w:t>
      </w:r>
      <w:r>
        <w:tab/>
      </w:r>
      <w:r>
        <w:fldChar w:fldCharType="begin"/>
      </w:r>
      <w:r>
        <w:instrText xml:space="preserve"> PAGEREF _Toc19359 </w:instrText>
      </w:r>
      <w:r>
        <w:fldChar w:fldCharType="separate"/>
      </w:r>
      <w:r>
        <w:t>76</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_Toc27405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22.7 </w:t>
      </w:r>
      <w:r>
        <w:rPr>
          <w:rFonts w:hint="eastAsia" w:asciiTheme="minorEastAsia" w:hAnsiTheme="minorEastAsia" w:eastAsiaTheme="minorEastAsia" w:cstheme="minorEastAsia"/>
        </w:rPr>
        <w:t>提前终止意向通知和提前终止通知</w:t>
      </w:r>
      <w:r>
        <w:tab/>
      </w:r>
      <w:r>
        <w:fldChar w:fldCharType="begin"/>
      </w:r>
      <w:r>
        <w:instrText xml:space="preserve"> PAGEREF _Toc27405 </w:instrText>
      </w:r>
      <w:r>
        <w:fldChar w:fldCharType="separate"/>
      </w:r>
      <w:r>
        <w:t>77</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_Toc7107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22.8 </w:t>
      </w:r>
      <w:r>
        <w:rPr>
          <w:rFonts w:hint="eastAsia" w:asciiTheme="minorEastAsia" w:hAnsiTheme="minorEastAsia" w:eastAsiaTheme="minorEastAsia" w:cstheme="minorEastAsia"/>
        </w:rPr>
        <w:t>终止后的移交</w:t>
      </w:r>
      <w:r>
        <w:tab/>
      </w:r>
      <w:r>
        <w:fldChar w:fldCharType="begin"/>
      </w:r>
      <w:r>
        <w:instrText xml:space="preserve"> PAGEREF _Toc7107 </w:instrText>
      </w:r>
      <w:r>
        <w:fldChar w:fldCharType="separate"/>
      </w:r>
      <w:r>
        <w:t>78</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_Toc10322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22.9 </w:t>
      </w:r>
      <w:r>
        <w:rPr>
          <w:rFonts w:hint="eastAsia" w:asciiTheme="minorEastAsia" w:hAnsiTheme="minorEastAsia" w:eastAsiaTheme="minorEastAsia" w:cstheme="minorEastAsia"/>
        </w:rPr>
        <w:t>缺陷责任</w:t>
      </w:r>
      <w:r>
        <w:tab/>
      </w:r>
      <w:r>
        <w:fldChar w:fldCharType="begin"/>
      </w:r>
      <w:r>
        <w:instrText xml:space="preserve"> PAGEREF _Toc10322 </w:instrText>
      </w:r>
      <w:r>
        <w:fldChar w:fldCharType="separate"/>
      </w:r>
      <w:r>
        <w:t>81</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_Toc895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22.10 </w:t>
      </w:r>
      <w:r>
        <w:rPr>
          <w:rFonts w:hint="eastAsia" w:asciiTheme="minorEastAsia" w:hAnsiTheme="minorEastAsia" w:eastAsiaTheme="minorEastAsia" w:cstheme="minorEastAsia"/>
        </w:rPr>
        <w:t>责任限制</w:t>
      </w:r>
      <w:r>
        <w:tab/>
      </w:r>
      <w:r>
        <w:fldChar w:fldCharType="begin"/>
      </w:r>
      <w:r>
        <w:instrText xml:space="preserve"> PAGEREF _Toc895 </w:instrText>
      </w:r>
      <w:r>
        <w:fldChar w:fldCharType="separate"/>
      </w:r>
      <w:r>
        <w:t>82</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_Toc10687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第二十三章 </w:t>
      </w:r>
      <w:r>
        <w:rPr>
          <w:rFonts w:hint="eastAsia" w:asciiTheme="minorEastAsia" w:hAnsiTheme="minorEastAsia" w:eastAsiaTheme="minorEastAsia" w:cstheme="minorEastAsia"/>
        </w:rPr>
        <w:t>争议解决</w:t>
      </w:r>
      <w:r>
        <w:tab/>
      </w:r>
      <w:r>
        <w:fldChar w:fldCharType="begin"/>
      </w:r>
      <w:r>
        <w:instrText xml:space="preserve"> PAGEREF _Toc10687 </w:instrText>
      </w:r>
      <w:r>
        <w:fldChar w:fldCharType="separate"/>
      </w:r>
      <w:r>
        <w:t>83</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_Toc30610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23 条 </w:t>
      </w:r>
      <w:r>
        <w:tab/>
      </w:r>
      <w:r>
        <w:fldChar w:fldCharType="begin"/>
      </w:r>
      <w:r>
        <w:instrText xml:space="preserve"> PAGEREF _Toc30610 </w:instrText>
      </w:r>
      <w:r>
        <w:fldChar w:fldCharType="separate"/>
      </w:r>
      <w:r>
        <w:t>83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_Toc29278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23.1 </w:t>
      </w:r>
      <w:r>
        <w:rPr>
          <w:rFonts w:hint="eastAsia" w:asciiTheme="minorEastAsia" w:hAnsiTheme="minorEastAsia" w:eastAsiaTheme="minorEastAsia" w:cstheme="minorEastAsia"/>
        </w:rPr>
        <w:t>各方友好协商解决</w:t>
      </w:r>
      <w:r>
        <w:tab/>
      </w:r>
      <w:r>
        <w:fldChar w:fldCharType="begin"/>
      </w:r>
      <w:r>
        <w:instrText xml:space="preserve"> PAGEREF _Toc29278 </w:instrText>
      </w:r>
      <w:r>
        <w:fldChar w:fldCharType="separate"/>
      </w:r>
      <w:r>
        <w:t>83</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_Toc23902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23.2 </w:t>
      </w:r>
      <w:r>
        <w:rPr>
          <w:rFonts w:hint="eastAsia" w:asciiTheme="minorEastAsia" w:hAnsiTheme="minorEastAsia" w:eastAsiaTheme="minorEastAsia" w:cstheme="minorEastAsia"/>
        </w:rPr>
        <w:t>申请仲裁</w:t>
      </w:r>
      <w:r>
        <w:tab/>
      </w:r>
      <w:r>
        <w:fldChar w:fldCharType="begin"/>
      </w:r>
      <w:r>
        <w:instrText xml:space="preserve"> PAGEREF _Toc23902 </w:instrText>
      </w:r>
      <w:r>
        <w:fldChar w:fldCharType="separate"/>
      </w:r>
      <w:r>
        <w:t>83</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_Toc12710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szCs w:val="28"/>
        </w:rPr>
        <w:t xml:space="preserve">第二十四章 </w:t>
      </w:r>
      <w:r>
        <w:rPr>
          <w:rFonts w:hint="eastAsia" w:asciiTheme="minorEastAsia" w:hAnsiTheme="minorEastAsia" w:eastAsiaTheme="minorEastAsia" w:cstheme="minorEastAsia"/>
        </w:rPr>
        <w:t>其他约定</w:t>
      </w:r>
      <w:r>
        <w:tab/>
      </w:r>
      <w:r>
        <w:fldChar w:fldCharType="begin"/>
      </w:r>
      <w:r>
        <w:instrText xml:space="preserve"> PAGEREF _Toc12710 </w:instrText>
      </w:r>
      <w:r>
        <w:fldChar w:fldCharType="separate"/>
      </w:r>
      <w:r>
        <w:t>84</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_Toc16041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vanish/>
          <w:kern w:val="0"/>
          <w:szCs w:val="20"/>
        </w:rPr>
        <w:t xml:space="preserve">第 24 条 </w:t>
      </w:r>
      <w:r>
        <w:tab/>
      </w:r>
      <w:r>
        <w:fldChar w:fldCharType="begin"/>
      </w:r>
      <w:r>
        <w:instrText xml:space="preserve"> PAGEREF _Toc16041 </w:instrText>
      </w:r>
      <w:r>
        <w:fldChar w:fldCharType="separate"/>
      </w:r>
      <w:r>
        <w:t>84</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_Toc23805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24.1 </w:t>
      </w:r>
      <w:r>
        <w:rPr>
          <w:rFonts w:hint="eastAsia" w:asciiTheme="minorEastAsia" w:hAnsiTheme="minorEastAsia" w:eastAsiaTheme="minorEastAsia" w:cstheme="minorEastAsia"/>
        </w:rPr>
        <w:t>保密条款</w:t>
      </w:r>
      <w:r>
        <w:tab/>
      </w:r>
      <w:r>
        <w:fldChar w:fldCharType="begin"/>
      </w:r>
      <w:r>
        <w:instrText xml:space="preserve"> PAGEREF _Toc23805 </w:instrText>
      </w:r>
      <w:r>
        <w:fldChar w:fldCharType="separate"/>
      </w:r>
      <w:r>
        <w:t>84</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_Toc18717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24.2 </w:t>
      </w:r>
      <w:r>
        <w:rPr>
          <w:rFonts w:hint="eastAsia" w:asciiTheme="minorEastAsia" w:hAnsiTheme="minorEastAsia" w:eastAsiaTheme="minorEastAsia" w:cstheme="minorEastAsia"/>
        </w:rPr>
        <w:t>合作、预先警告义务</w:t>
      </w:r>
      <w:r>
        <w:tab/>
      </w:r>
      <w:r>
        <w:fldChar w:fldCharType="begin"/>
      </w:r>
      <w:r>
        <w:instrText xml:space="preserve"> PAGEREF _Toc18717 </w:instrText>
      </w:r>
      <w:r>
        <w:fldChar w:fldCharType="separate"/>
      </w:r>
      <w:r>
        <w:t>84</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_Toc10713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24.3 </w:t>
      </w:r>
      <w:r>
        <w:rPr>
          <w:rFonts w:hint="eastAsia" w:asciiTheme="minorEastAsia" w:hAnsiTheme="minorEastAsia" w:eastAsiaTheme="minorEastAsia" w:cstheme="minorEastAsia"/>
        </w:rPr>
        <w:t>不限制</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法定权力</w:t>
      </w:r>
      <w:r>
        <w:tab/>
      </w:r>
      <w:r>
        <w:fldChar w:fldCharType="begin"/>
      </w:r>
      <w:r>
        <w:instrText xml:space="preserve"> PAGEREF _Toc10713 </w:instrText>
      </w:r>
      <w:r>
        <w:fldChar w:fldCharType="separate"/>
      </w:r>
      <w:r>
        <w:t>84</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_Toc26878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24.4 </w:t>
      </w:r>
      <w:r>
        <w:rPr>
          <w:rFonts w:hint="eastAsia" w:asciiTheme="minorEastAsia" w:hAnsiTheme="minorEastAsia" w:eastAsiaTheme="minorEastAsia" w:cstheme="minorEastAsia"/>
        </w:rPr>
        <w:t>合同文件</w:t>
      </w:r>
      <w:r>
        <w:tab/>
      </w:r>
      <w:r>
        <w:fldChar w:fldCharType="begin"/>
      </w:r>
      <w:r>
        <w:instrText xml:space="preserve"> PAGEREF _Toc26878 </w:instrText>
      </w:r>
      <w:r>
        <w:fldChar w:fldCharType="separate"/>
      </w:r>
      <w:r>
        <w:t>84</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_Toc21872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24.5 </w:t>
      </w:r>
      <w:r>
        <w:rPr>
          <w:rFonts w:hint="eastAsia" w:asciiTheme="minorEastAsia" w:hAnsiTheme="minorEastAsia" w:eastAsiaTheme="minorEastAsia" w:cstheme="minorEastAsia"/>
        </w:rPr>
        <w:t>合同变更及修改</w:t>
      </w:r>
      <w:r>
        <w:tab/>
      </w:r>
      <w:r>
        <w:fldChar w:fldCharType="begin"/>
      </w:r>
      <w:r>
        <w:instrText xml:space="preserve"> PAGEREF _Toc21872 </w:instrText>
      </w:r>
      <w:r>
        <w:fldChar w:fldCharType="separate"/>
      </w:r>
      <w:r>
        <w:t>84</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_Toc26794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24.6 </w:t>
      </w:r>
      <w:r>
        <w:rPr>
          <w:rFonts w:hint="eastAsia" w:asciiTheme="minorEastAsia" w:hAnsiTheme="minorEastAsia" w:eastAsiaTheme="minorEastAsia" w:cstheme="minorEastAsia"/>
        </w:rPr>
        <w:t>合同展期</w:t>
      </w:r>
      <w:r>
        <w:tab/>
      </w:r>
      <w:r>
        <w:fldChar w:fldCharType="begin"/>
      </w:r>
      <w:r>
        <w:instrText xml:space="preserve"> PAGEREF _Toc26794 </w:instrText>
      </w:r>
      <w:r>
        <w:fldChar w:fldCharType="separate"/>
      </w:r>
      <w:r>
        <w:t>85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_Toc25275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24.7 </w:t>
      </w:r>
      <w:r>
        <w:rPr>
          <w:rFonts w:hint="eastAsia" w:asciiTheme="minorEastAsia" w:hAnsiTheme="minorEastAsia" w:eastAsiaTheme="minorEastAsia" w:cstheme="minorEastAsia"/>
        </w:rPr>
        <w:t>可分割性</w:t>
      </w:r>
      <w:r>
        <w:tab/>
      </w:r>
      <w:r>
        <w:fldChar w:fldCharType="begin"/>
      </w:r>
      <w:r>
        <w:instrText xml:space="preserve"> PAGEREF _Toc25275 </w:instrText>
      </w:r>
      <w:r>
        <w:fldChar w:fldCharType="separate"/>
      </w:r>
      <w:r>
        <w:t>85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_Toc24829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24.8 </w:t>
      </w:r>
      <w:r>
        <w:rPr>
          <w:rFonts w:hint="eastAsia" w:asciiTheme="minorEastAsia" w:hAnsiTheme="minorEastAsia" w:eastAsiaTheme="minorEastAsia" w:cstheme="minorEastAsia"/>
        </w:rPr>
        <w:t>合同的一致性</w:t>
      </w:r>
      <w:r>
        <w:tab/>
      </w:r>
      <w:r>
        <w:fldChar w:fldCharType="begin"/>
      </w:r>
      <w:r>
        <w:instrText xml:space="preserve"> PAGEREF _Toc24829 </w:instrText>
      </w:r>
      <w:r>
        <w:fldChar w:fldCharType="separate"/>
      </w:r>
      <w:r>
        <w:t>85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_Toc18887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24.9 </w:t>
      </w:r>
      <w:r>
        <w:rPr>
          <w:rFonts w:hint="eastAsia" w:asciiTheme="minorEastAsia" w:hAnsiTheme="minorEastAsia" w:eastAsiaTheme="minorEastAsia" w:cstheme="minorEastAsia"/>
        </w:rPr>
        <w:t>通知</w:t>
      </w:r>
      <w:r>
        <w:tab/>
      </w:r>
      <w:r>
        <w:fldChar w:fldCharType="begin"/>
      </w:r>
      <w:r>
        <w:instrText xml:space="preserve"> PAGEREF _Toc18887 </w:instrText>
      </w:r>
      <w:r>
        <w:fldChar w:fldCharType="separate"/>
      </w:r>
      <w:r>
        <w:t>85</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_Toc10729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24.10 </w:t>
      </w:r>
      <w:r>
        <w:rPr>
          <w:rFonts w:hint="eastAsia" w:asciiTheme="minorEastAsia" w:hAnsiTheme="minorEastAsia" w:eastAsiaTheme="minorEastAsia" w:cstheme="minorEastAsia"/>
        </w:rPr>
        <w:t>合同文字</w:t>
      </w:r>
      <w:r>
        <w:tab/>
      </w:r>
      <w:r>
        <w:fldChar w:fldCharType="begin"/>
      </w:r>
      <w:r>
        <w:instrText xml:space="preserve"> PAGEREF _Toc10729 </w:instrText>
      </w:r>
      <w:r>
        <w:fldChar w:fldCharType="separate"/>
      </w:r>
      <w:r>
        <w:t>86</w:t>
      </w:r>
      <w:r>
        <w:fldChar w:fldCharType="end"/>
      </w:r>
      <w:r>
        <w:rPr>
          <w:rFonts w:hint="eastAsia" w:asciiTheme="minorEastAsia" w:hAnsiTheme="minorEastAsia" w:eastAsiaTheme="minorEastAsia" w:cstheme="minorEastAsia"/>
          <w:smallCaps/>
        </w:rPr>
        <w:fldChar w:fldCharType="end"/>
      </w:r>
    </w:p>
    <w:p>
      <w:pPr>
        <w:pStyle w:val="33"/>
        <w:tabs>
          <w:tab w:val="clear" w:pos="1276"/>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_Toc10864 </w:instrText>
      </w:r>
      <w:r>
        <w:rPr>
          <w:rFonts w:hint="eastAsia" w:asciiTheme="minorEastAsia" w:hAnsiTheme="minorEastAsia" w:eastAsiaTheme="minorEastAsia" w:cstheme="minorEastAsia"/>
          <w:smallCaps/>
        </w:rPr>
        <w:fldChar w:fldCharType="separate"/>
      </w:r>
      <w:r>
        <w:rPr>
          <w:rFonts w:hint="default" w:ascii="Times New Roman" w:hAnsi="Times New Roman" w:eastAsia="宋体" w:cstheme="minorEastAsia"/>
          <w:i w:val="0"/>
        </w:rPr>
        <w:t xml:space="preserve">24.11 </w:t>
      </w:r>
      <w:r>
        <w:rPr>
          <w:rFonts w:hint="eastAsia" w:asciiTheme="minorEastAsia" w:hAnsiTheme="minorEastAsia" w:eastAsiaTheme="minorEastAsia" w:cstheme="minorEastAsia"/>
        </w:rPr>
        <w:t>开始生效</w:t>
      </w:r>
      <w:r>
        <w:tab/>
      </w:r>
      <w:r>
        <w:fldChar w:fldCharType="begin"/>
      </w:r>
      <w:r>
        <w:instrText xml:space="preserve"> PAGEREF _Toc10864 </w:instrText>
      </w:r>
      <w:r>
        <w:fldChar w:fldCharType="separate"/>
      </w:r>
      <w:r>
        <w:t>86</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_Toc13511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rPr>
        <w:t xml:space="preserve">附件1 </w:t>
      </w:r>
      <w:r>
        <w:rPr>
          <w:rFonts w:hint="eastAsia" w:asciiTheme="minorEastAsia" w:hAnsiTheme="minorEastAsia" w:eastAsiaTheme="minorEastAsia" w:cstheme="minorEastAsia"/>
          <w:lang w:val="en-US" w:eastAsia="zh-CN"/>
        </w:rPr>
        <w:t>建设管理、</w:t>
      </w:r>
      <w:r>
        <w:rPr>
          <w:rFonts w:hint="eastAsia" w:asciiTheme="minorEastAsia" w:hAnsiTheme="minorEastAsia" w:eastAsiaTheme="minorEastAsia" w:cstheme="minorEastAsia"/>
        </w:rPr>
        <w:t>运营维护绩效考核表</w:t>
      </w:r>
      <w:r>
        <w:tab/>
      </w:r>
      <w:r>
        <w:fldChar w:fldCharType="begin"/>
      </w:r>
      <w:r>
        <w:instrText xml:space="preserve"> PAGEREF _Toc13511 </w:instrText>
      </w:r>
      <w:r>
        <w:fldChar w:fldCharType="separate"/>
      </w:r>
      <w:r>
        <w:t>89</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_Toc26094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rPr>
        <w:t>附件2 调价公式</w:t>
      </w:r>
      <w:r>
        <w:tab/>
      </w:r>
      <w:r>
        <w:fldChar w:fldCharType="begin"/>
      </w:r>
      <w:r>
        <w:instrText xml:space="preserve"> PAGEREF _Toc26094 </w:instrText>
      </w:r>
      <w:r>
        <w:fldChar w:fldCharType="separate"/>
      </w:r>
      <w:r>
        <w:t>100</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_Toc17958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rPr>
        <w:t>附件3 建设履约独立保函</w:t>
      </w:r>
      <w:r>
        <w:tab/>
      </w:r>
      <w:r>
        <w:fldChar w:fldCharType="begin"/>
      </w:r>
      <w:r>
        <w:instrText xml:space="preserve"> PAGEREF _Toc17958 </w:instrText>
      </w:r>
      <w:r>
        <w:fldChar w:fldCharType="separate"/>
      </w:r>
      <w:r>
        <w:t>101</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_Toc24037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rPr>
        <w:t>附件4 运营维护独立保函/移交维修独立保函</w:t>
      </w:r>
      <w:r>
        <w:tab/>
      </w:r>
      <w:r>
        <w:fldChar w:fldCharType="begin"/>
      </w:r>
      <w:r>
        <w:instrText xml:space="preserve"> PAGEREF _Toc24037 </w:instrText>
      </w:r>
      <w:r>
        <w:fldChar w:fldCharType="separate"/>
      </w:r>
      <w:r>
        <w:t>103</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_Toc29479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rPr>
        <w:t>附件5 保险</w:t>
      </w:r>
      <w:r>
        <w:tab/>
      </w:r>
      <w:r>
        <w:fldChar w:fldCharType="begin"/>
      </w:r>
      <w:r>
        <w:instrText xml:space="preserve"> PAGEREF _Toc29479 </w:instrText>
      </w:r>
      <w:r>
        <w:fldChar w:fldCharType="separate"/>
      </w:r>
      <w:r>
        <w:t>105</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_Toc19666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rPr>
        <w:t>附件6</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szCs w:val="21"/>
        </w:rPr>
        <w:t>经审定的施工组织设计方案、</w:t>
      </w:r>
      <w:r>
        <w:rPr>
          <w:rFonts w:hint="eastAsia" w:asciiTheme="minorEastAsia" w:hAnsiTheme="minorEastAsia" w:eastAsiaTheme="minorEastAsia" w:cstheme="minorEastAsia"/>
        </w:rPr>
        <w:t>社会资本投标文件</w:t>
      </w:r>
      <w:r>
        <w:rPr>
          <w:rFonts w:hint="eastAsia" w:asciiTheme="minorEastAsia" w:hAnsiTheme="minorEastAsia" w:eastAsiaTheme="minorEastAsia" w:cstheme="minorEastAsia"/>
          <w:lang w:val="en-US" w:eastAsia="zh-CN"/>
        </w:rPr>
        <w:t>列明的技术方案</w:t>
      </w:r>
      <w:r>
        <w:tab/>
      </w:r>
      <w:r>
        <w:fldChar w:fldCharType="begin"/>
      </w:r>
      <w:r>
        <w:instrText xml:space="preserve"> PAGEREF _Toc19666 </w:instrText>
      </w:r>
      <w:r>
        <w:fldChar w:fldCharType="separate"/>
      </w:r>
      <w:r>
        <w:t>110</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_Toc9897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rPr>
        <w:t>附件7 股东协议</w:t>
      </w:r>
      <w:r>
        <w:tab/>
      </w:r>
      <w:r>
        <w:fldChar w:fldCharType="begin"/>
      </w:r>
      <w:r>
        <w:instrText xml:space="preserve"> PAGEREF _Toc9897 </w:instrText>
      </w:r>
      <w:r>
        <w:fldChar w:fldCharType="separate"/>
      </w:r>
      <w:r>
        <w:t>111</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_Toc2832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rPr>
        <w:t>附件8 公司章程</w:t>
      </w:r>
      <w:r>
        <w:tab/>
      </w:r>
      <w:r>
        <w:fldChar w:fldCharType="begin"/>
      </w:r>
      <w:r>
        <w:instrText xml:space="preserve"> PAGEREF _Toc2832 </w:instrText>
      </w:r>
      <w:r>
        <w:fldChar w:fldCharType="separate"/>
      </w:r>
      <w:r>
        <w:t>112</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_Toc21705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rPr>
        <w:t>附件9 入廊协议</w:t>
      </w:r>
      <w:r>
        <w:tab/>
      </w:r>
      <w:r>
        <w:fldChar w:fldCharType="begin"/>
      </w:r>
      <w:r>
        <w:instrText xml:space="preserve"> PAGEREF _Toc21705 </w:instrText>
      </w:r>
      <w:r>
        <w:fldChar w:fldCharType="separate"/>
      </w:r>
      <w:r>
        <w:t>113</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_Toc27845 </w:instrText>
      </w:r>
      <w:r>
        <w:rPr>
          <w:rFonts w:hint="eastAsia" w:asciiTheme="minorEastAsia" w:hAnsiTheme="minorEastAsia" w:eastAsiaTheme="minorEastAsia" w:cstheme="minorEastAsia"/>
          <w:smallCaps/>
        </w:rPr>
        <w:fldChar w:fldCharType="separate"/>
      </w:r>
      <w:r>
        <w:rPr>
          <w:rFonts w:hint="eastAsia" w:asciiTheme="minorEastAsia" w:hAnsiTheme="minorEastAsia" w:eastAsiaTheme="minorEastAsia" w:cstheme="minorEastAsia"/>
        </w:rPr>
        <w:t xml:space="preserve">附件10 </w:t>
      </w:r>
      <w:r>
        <w:rPr>
          <w:rFonts w:hint="eastAsia" w:asciiTheme="minorEastAsia" w:hAnsiTheme="minorEastAsia" w:eastAsiaTheme="minorEastAsia" w:cstheme="minorEastAsia"/>
          <w:lang w:val="en-US" w:eastAsia="zh-CN"/>
        </w:rPr>
        <w:t>建设工程施工合同</w:t>
      </w:r>
      <w:r>
        <w:tab/>
      </w:r>
      <w:r>
        <w:fldChar w:fldCharType="begin"/>
      </w:r>
      <w:r>
        <w:instrText xml:space="preserve"> PAGEREF _Toc27845 </w:instrText>
      </w:r>
      <w:r>
        <w:fldChar w:fldCharType="separate"/>
      </w:r>
      <w:r>
        <w:t>114</w:t>
      </w:r>
      <w:r>
        <w:fldChar w:fldCharType="end"/>
      </w:r>
      <w:r>
        <w:rPr>
          <w:rFonts w:hint="eastAsia" w:asciiTheme="minorEastAsia" w:hAnsiTheme="minorEastAsia" w:eastAsiaTheme="minorEastAsia" w:cstheme="minorEastAsia"/>
          <w:smallCaps/>
        </w:rPr>
        <w:fldChar w:fldCharType="end"/>
      </w:r>
    </w:p>
    <w:p>
      <w:pPr>
        <w:pStyle w:val="28"/>
        <w:tabs>
          <w:tab w:val="clear" w:pos="1200"/>
        </w:tabs>
      </w:pPr>
      <w:r>
        <w:rPr>
          <w:rFonts w:hint="eastAsia" w:asciiTheme="minorEastAsia" w:hAnsiTheme="minorEastAsia" w:eastAsiaTheme="minorEastAsia" w:cstheme="minorEastAsia"/>
          <w:smallCaps/>
        </w:rPr>
        <w:fldChar w:fldCharType="begin"/>
      </w:r>
      <w:r>
        <w:rPr>
          <w:rFonts w:hint="eastAsia" w:asciiTheme="minorEastAsia" w:hAnsiTheme="minorEastAsia" w:eastAsiaTheme="minorEastAsia" w:cstheme="minorEastAsia"/>
          <w:smallCaps/>
        </w:rPr>
        <w:instrText xml:space="preserve"> HYPERLINK \l _Toc30602 </w:instrText>
      </w:r>
      <w:r>
        <w:rPr>
          <w:rFonts w:hint="eastAsia" w:asciiTheme="minorEastAsia" w:hAnsiTheme="minorEastAsia" w:eastAsiaTheme="minorEastAsia" w:cstheme="minorEastAsia"/>
          <w:smallCaps/>
        </w:rPr>
        <w:fldChar w:fldCharType="separate"/>
      </w:r>
      <w:r>
        <w:rPr>
          <w:rFonts w:hint="eastAsia"/>
          <w:lang w:val="en-US" w:eastAsia="zh-CN"/>
        </w:rPr>
        <w:t>附件11 中标社会资本投标文件</w:t>
      </w:r>
      <w:r>
        <w:tab/>
      </w:r>
      <w:r>
        <w:fldChar w:fldCharType="begin"/>
      </w:r>
      <w:r>
        <w:instrText xml:space="preserve"> PAGEREF _Toc30602 </w:instrText>
      </w:r>
      <w:r>
        <w:fldChar w:fldCharType="separate"/>
      </w:r>
      <w:r>
        <w:t>115</w:t>
      </w:r>
      <w:r>
        <w:fldChar w:fldCharType="end"/>
      </w:r>
      <w:r>
        <w:rPr>
          <w:rFonts w:hint="eastAsia" w:asciiTheme="minorEastAsia" w:hAnsiTheme="minorEastAsia" w:eastAsiaTheme="minorEastAsia" w:cstheme="minorEastAsia"/>
          <w:smallCaps/>
        </w:rPr>
        <w:fldChar w:fldCharType="end"/>
      </w:r>
    </w:p>
    <w:p>
      <w:pPr>
        <w:spacing w:before="120" w:after="120" w:afterLines="50"/>
        <w:rPr>
          <w:rFonts w:hint="eastAsia" w:asciiTheme="minorEastAsia" w:hAnsiTheme="minorEastAsia" w:eastAsiaTheme="minorEastAsia" w:cstheme="minorEastAsia"/>
          <w:sz w:val="44"/>
        </w:rPr>
      </w:pPr>
      <w:r>
        <w:rPr>
          <w:rFonts w:hint="eastAsia" w:asciiTheme="minorEastAsia" w:hAnsiTheme="minorEastAsia" w:eastAsiaTheme="minorEastAsia" w:cstheme="minorEastAsia"/>
          <w:smallCaps/>
        </w:rPr>
        <w:fldChar w:fldCharType="end"/>
      </w:r>
    </w:p>
    <w:p>
      <w:pPr>
        <w:spacing w:before="120" w:after="120" w:afterLines="50"/>
        <w:jc w:val="center"/>
        <w:rPr>
          <w:rFonts w:hint="eastAsia" w:asciiTheme="minorEastAsia" w:hAnsiTheme="minorEastAsia" w:eastAsiaTheme="minorEastAsia" w:cstheme="minorEastAsia"/>
          <w:b/>
          <w:bCs/>
          <w:sz w:val="44"/>
        </w:rPr>
        <w:sectPr>
          <w:headerReference r:id="rId11" w:type="first"/>
          <w:footerReference r:id="rId14" w:type="first"/>
          <w:headerReference r:id="rId9" w:type="default"/>
          <w:footerReference r:id="rId12" w:type="default"/>
          <w:headerReference r:id="rId10" w:type="even"/>
          <w:footerReference r:id="rId13" w:type="even"/>
          <w:type w:val="oddPage"/>
          <w:pgSz w:w="11907" w:h="16840"/>
          <w:pgMar w:top="1418" w:right="1418" w:bottom="1418" w:left="1418" w:header="567" w:footer="992" w:gutter="0"/>
          <w:pgNumType w:fmt="upperRoman" w:start="1"/>
          <w:cols w:space="425" w:num="1"/>
          <w:docGrid w:linePitch="326" w:charSpace="0"/>
        </w:sectPr>
      </w:pPr>
    </w:p>
    <w:p>
      <w:pPr>
        <w:spacing w:before="120" w:after="120" w:afterLines="50"/>
        <w:rPr>
          <w:rFonts w:hint="eastAsia" w:asciiTheme="minorEastAsia" w:hAnsiTheme="minorEastAsia" w:eastAsiaTheme="minorEastAsia" w:cstheme="minorEastAsia"/>
          <w:lang w:val="en-GB"/>
        </w:rPr>
      </w:pPr>
      <w:bookmarkStart w:id="13" w:name="_Toc51225597"/>
      <w:r>
        <w:rPr>
          <w:rFonts w:hint="eastAsia" w:asciiTheme="minorEastAsia" w:hAnsiTheme="minorEastAsia" w:eastAsiaTheme="minorEastAsia" w:cstheme="minorEastAsia"/>
          <w:lang w:val="en-GB"/>
        </w:rPr>
        <w:t>本合同由以下各方于【  】年【  】月【  】日在中国江苏省徐州市签署。</w:t>
      </w:r>
    </w:p>
    <w:p>
      <w:pPr>
        <w:pStyle w:val="47"/>
        <w:widowControl w:val="0"/>
        <w:spacing w:afterLines="50"/>
        <w:ind w:left="426"/>
        <w:rPr>
          <w:rFonts w:hint="eastAsia" w:asciiTheme="minorEastAsia" w:hAnsiTheme="minorEastAsia" w:eastAsiaTheme="minorEastAsia" w:cstheme="minorEastAsia"/>
          <w:bCs/>
          <w:szCs w:val="24"/>
        </w:rPr>
      </w:pPr>
      <w:r>
        <w:rPr>
          <w:rFonts w:hint="eastAsia" w:asciiTheme="minorEastAsia" w:hAnsiTheme="minorEastAsia" w:eastAsiaTheme="minorEastAsia" w:cstheme="minorEastAsia"/>
          <w:b/>
          <w:szCs w:val="24"/>
        </w:rPr>
        <w:t>甲方：徐州市</w:t>
      </w:r>
      <w:r>
        <w:rPr>
          <w:rFonts w:hint="eastAsia" w:asciiTheme="minorEastAsia" w:hAnsiTheme="minorEastAsia" w:eastAsiaTheme="minorEastAsia" w:cstheme="minorEastAsia"/>
          <w:b/>
          <w:szCs w:val="24"/>
          <w:lang w:val="en-US" w:eastAsia="zh-CN"/>
        </w:rPr>
        <w:t>城市管理</w:t>
      </w:r>
      <w:r>
        <w:rPr>
          <w:rFonts w:hint="eastAsia" w:asciiTheme="minorEastAsia" w:hAnsiTheme="minorEastAsia" w:eastAsiaTheme="minorEastAsia" w:cstheme="minorEastAsia"/>
          <w:b/>
          <w:szCs w:val="24"/>
        </w:rPr>
        <w:t>局</w:t>
      </w:r>
      <w:r>
        <w:rPr>
          <w:rFonts w:hint="eastAsia" w:asciiTheme="minorEastAsia" w:hAnsiTheme="minorEastAsia" w:eastAsiaTheme="minorEastAsia" w:cstheme="minorEastAsia"/>
          <w:bCs/>
          <w:szCs w:val="24"/>
        </w:rPr>
        <w:t>（下称“</w:t>
      </w:r>
      <w:r>
        <w:rPr>
          <w:rFonts w:hint="eastAsia" w:asciiTheme="minorEastAsia" w:hAnsiTheme="minorEastAsia" w:eastAsiaTheme="minorEastAsia" w:cstheme="minorEastAsia"/>
          <w:b/>
          <w:bCs/>
          <w:szCs w:val="24"/>
        </w:rPr>
        <w:t>市</w:t>
      </w:r>
      <w:r>
        <w:rPr>
          <w:rFonts w:hint="eastAsia" w:asciiTheme="minorEastAsia" w:hAnsiTheme="minorEastAsia" w:eastAsiaTheme="minorEastAsia" w:cstheme="minorEastAsia"/>
          <w:b/>
          <w:bCs/>
          <w:szCs w:val="24"/>
          <w:lang w:val="en-US" w:eastAsia="zh-CN"/>
        </w:rPr>
        <w:t>城管</w:t>
      </w:r>
      <w:r>
        <w:rPr>
          <w:rFonts w:hint="eastAsia" w:asciiTheme="minorEastAsia" w:hAnsiTheme="minorEastAsia" w:eastAsiaTheme="minorEastAsia" w:cstheme="minorEastAsia"/>
          <w:b/>
          <w:bCs/>
          <w:szCs w:val="24"/>
        </w:rPr>
        <w:t>局</w:t>
      </w:r>
      <w:r>
        <w:rPr>
          <w:rFonts w:hint="eastAsia" w:asciiTheme="minorEastAsia" w:hAnsiTheme="minorEastAsia" w:eastAsiaTheme="minorEastAsia" w:cstheme="minorEastAsia"/>
          <w:bCs/>
          <w:szCs w:val="24"/>
        </w:rPr>
        <w:t>”），系按照中华人民共和国（下称“</w:t>
      </w:r>
      <w:r>
        <w:rPr>
          <w:rFonts w:hint="eastAsia" w:asciiTheme="minorEastAsia" w:hAnsiTheme="minorEastAsia" w:eastAsiaTheme="minorEastAsia" w:cstheme="minorEastAsia"/>
          <w:b/>
          <w:szCs w:val="24"/>
        </w:rPr>
        <w:t>中国</w:t>
      </w:r>
      <w:r>
        <w:rPr>
          <w:rFonts w:hint="eastAsia" w:asciiTheme="minorEastAsia" w:hAnsiTheme="minorEastAsia" w:eastAsiaTheme="minorEastAsia" w:cstheme="minorEastAsia"/>
          <w:bCs/>
          <w:szCs w:val="24"/>
        </w:rPr>
        <w:t>”）法律依法组建和存续的徐州市政府机构。</w:t>
      </w:r>
    </w:p>
    <w:p>
      <w:pPr>
        <w:pStyle w:val="47"/>
        <w:widowControl w:val="0"/>
        <w:spacing w:afterLines="50"/>
        <w:ind w:left="426"/>
        <w:rPr>
          <w:rFonts w:hint="eastAsia" w:asciiTheme="minorEastAsia" w:hAnsiTheme="minorEastAsia" w:eastAsiaTheme="minorEastAsia" w:cstheme="minorEastAsia"/>
          <w:b/>
          <w:szCs w:val="24"/>
        </w:rPr>
      </w:pPr>
    </w:p>
    <w:p>
      <w:pPr>
        <w:pStyle w:val="47"/>
        <w:widowControl w:val="0"/>
        <w:spacing w:afterLines="50"/>
        <w:ind w:left="426"/>
        <w:rPr>
          <w:rFonts w:hint="eastAsia" w:asciiTheme="minorEastAsia" w:hAnsiTheme="minorEastAsia" w:eastAsiaTheme="minorEastAsia" w:cstheme="minorEastAsia"/>
          <w:bCs/>
          <w:szCs w:val="24"/>
        </w:rPr>
      </w:pPr>
      <w:r>
        <w:rPr>
          <w:rFonts w:hint="eastAsia" w:asciiTheme="minorEastAsia" w:hAnsiTheme="minorEastAsia" w:eastAsiaTheme="minorEastAsia" w:cstheme="minorEastAsia"/>
          <w:b/>
          <w:szCs w:val="24"/>
        </w:rPr>
        <w:t>乙方：</w:t>
      </w:r>
      <w:r>
        <w:rPr>
          <w:rFonts w:hint="eastAsia" w:asciiTheme="minorEastAsia" w:hAnsiTheme="minorEastAsia" w:eastAsiaTheme="minorEastAsia" w:cstheme="minorEastAsia"/>
          <w:bCs/>
          <w:szCs w:val="24"/>
        </w:rPr>
        <w:t>（下称“”），系按照中国法律依法设立及存续的有限责任公司。</w:t>
      </w:r>
    </w:p>
    <w:p>
      <w:pPr>
        <w:spacing w:before="120" w:after="120" w:afterLines="50"/>
        <w:rPr>
          <w:rFonts w:hint="eastAsia" w:asciiTheme="minorEastAsia" w:hAnsiTheme="minorEastAsia" w:eastAsiaTheme="minorEastAsia" w:cstheme="minorEastAsia"/>
          <w:lang w:val="en-GB"/>
        </w:rPr>
      </w:pPr>
      <w:r>
        <w:rPr>
          <w:rFonts w:hint="eastAsia" w:asciiTheme="minorEastAsia" w:hAnsiTheme="minorEastAsia" w:eastAsiaTheme="minorEastAsia" w:cstheme="minorEastAsia"/>
          <w:lang w:val="en-GB"/>
        </w:rPr>
        <w:t>鉴于：</w:t>
      </w:r>
    </w:p>
    <w:p>
      <w:pPr>
        <w:numPr>
          <w:ilvl w:val="0"/>
          <w:numId w:val="6"/>
        </w:numPr>
        <w:spacing w:before="120" w:after="120" w:afterLines="50"/>
        <w:ind w:left="851" w:hanging="366"/>
        <w:rPr>
          <w:rFonts w:hint="eastAsia" w:asciiTheme="minorEastAsia" w:hAnsiTheme="minorEastAsia" w:eastAsiaTheme="minorEastAsia" w:cstheme="minorEastAsia"/>
          <w:lang w:val="en-GB"/>
        </w:rPr>
      </w:pPr>
      <w:r>
        <w:rPr>
          <w:rFonts w:hint="eastAsia" w:asciiTheme="minorEastAsia" w:hAnsiTheme="minorEastAsia" w:eastAsiaTheme="minorEastAsia" w:cstheme="minorEastAsia"/>
          <w:lang w:val="en-GB"/>
        </w:rPr>
        <w:t>为了进一步缓解财政压力，筹集项目建设所需资金，提高徐州市地下综合管廊的建设水平、建设速度和运营管理水平，提升徐州市基础设施的整体运营管理和服务水平，徐州市人民政府（下称“市政府”）拟采用政府和社会资本合作（PPP）方式对徐州市建国东路、泉润大道（老徐萧路）和五山公园综合管廊进行市场化运作，充分吸引社会资本参与徐州市地下综合管廊工程的投资、建设、运营和维护。</w:t>
      </w:r>
    </w:p>
    <w:p>
      <w:pPr>
        <w:numPr>
          <w:ilvl w:val="0"/>
          <w:numId w:val="6"/>
        </w:numPr>
        <w:spacing w:before="120" w:after="120" w:afterLines="50"/>
        <w:ind w:left="851" w:hanging="366"/>
        <w:rPr>
          <w:rFonts w:hint="eastAsia" w:asciiTheme="minorEastAsia" w:hAnsiTheme="minorEastAsia" w:eastAsiaTheme="minorEastAsia" w:cstheme="minorEastAsia"/>
          <w:lang w:val="en-GB"/>
        </w:rPr>
      </w:pPr>
      <w:r>
        <w:rPr>
          <w:rFonts w:hint="eastAsia" w:asciiTheme="minorEastAsia" w:hAnsiTheme="minorEastAsia" w:eastAsiaTheme="minorEastAsia" w:cstheme="minorEastAsia"/>
          <w:lang w:val="en-GB"/>
        </w:rPr>
        <w:t>根据市政府批准，同意徐州市建国东路、泉润大道（老徐萧路）和五山公园综合管廊PPP项目的立项建设。</w:t>
      </w:r>
    </w:p>
    <w:p>
      <w:pPr>
        <w:numPr>
          <w:ilvl w:val="0"/>
          <w:numId w:val="6"/>
        </w:numPr>
        <w:spacing w:before="120" w:after="120" w:afterLines="50"/>
        <w:ind w:left="851" w:hanging="366"/>
        <w:rPr>
          <w:rFonts w:hint="eastAsia" w:asciiTheme="minorEastAsia" w:hAnsiTheme="minorEastAsia" w:eastAsiaTheme="minorEastAsia" w:cstheme="minorEastAsia"/>
          <w:lang w:val="en-GB"/>
        </w:rPr>
      </w:pPr>
      <w:r>
        <w:rPr>
          <w:rFonts w:hint="eastAsia" w:asciiTheme="minorEastAsia" w:hAnsiTheme="minorEastAsia" w:eastAsiaTheme="minorEastAsia" w:cstheme="minorEastAsia"/>
          <w:lang w:val="en-GB"/>
        </w:rPr>
        <w:t>根据市政府批准，同意按照《徐州市建国东路、泉润大道（老徐萧路）和五山公园综合管廊PPP项目实施方案》推进项目实施。</w:t>
      </w:r>
    </w:p>
    <w:p>
      <w:pPr>
        <w:numPr>
          <w:ilvl w:val="0"/>
          <w:numId w:val="6"/>
        </w:numPr>
        <w:spacing w:before="120" w:after="120" w:afterLines="50"/>
        <w:ind w:left="851" w:hanging="366"/>
        <w:rPr>
          <w:rFonts w:hint="eastAsia" w:asciiTheme="minorEastAsia" w:hAnsiTheme="minorEastAsia" w:eastAsiaTheme="minorEastAsia" w:cstheme="minorEastAsia"/>
          <w:lang w:val="en-GB"/>
        </w:rPr>
      </w:pPr>
      <w:r>
        <w:rPr>
          <w:rFonts w:hint="eastAsia" w:asciiTheme="minorEastAsia" w:hAnsiTheme="minorEastAsia" w:eastAsiaTheme="minorEastAsia" w:cstheme="minorEastAsia"/>
          <w:lang w:val="en-GB"/>
        </w:rPr>
        <w:t>市政府采用“投资、建设、运营和维护一体化+入廊单位付费+可行性缺口补助”的方式投资建设徐州市建国东路、泉润大道（老徐萧路）和五山公园综合管廊</w:t>
      </w:r>
      <w:r>
        <w:rPr>
          <w:rFonts w:hint="eastAsia" w:asciiTheme="minorEastAsia" w:hAnsiTheme="minorEastAsia" w:eastAsiaTheme="minorEastAsia" w:cstheme="minorEastAsia"/>
          <w:lang w:val="en-US" w:eastAsia="zh-CN"/>
        </w:rPr>
        <w:t>工程</w:t>
      </w:r>
      <w:r>
        <w:rPr>
          <w:rFonts w:hint="eastAsia" w:asciiTheme="minorEastAsia" w:hAnsiTheme="minorEastAsia" w:eastAsiaTheme="minorEastAsia" w:cstheme="minorEastAsia"/>
          <w:lang w:val="en-GB"/>
        </w:rPr>
        <w:t>。市政府授权市</w:t>
      </w:r>
      <w:r>
        <w:rPr>
          <w:rFonts w:hint="eastAsia" w:asciiTheme="minorEastAsia" w:hAnsiTheme="minorEastAsia" w:eastAsiaTheme="minorEastAsia" w:cstheme="minorEastAsia"/>
          <w:lang w:val="en-US" w:eastAsia="zh-CN"/>
        </w:rPr>
        <w:t>城管</w:t>
      </w:r>
      <w:r>
        <w:rPr>
          <w:rFonts w:hint="eastAsia" w:asciiTheme="minorEastAsia" w:hAnsiTheme="minorEastAsia" w:eastAsiaTheme="minorEastAsia" w:cstheme="minorEastAsia"/>
          <w:lang w:val="en-GB"/>
        </w:rPr>
        <w:t>局作为项目实施机构，负责项目的准备、采购、监管和移交等具体工作。</w:t>
      </w:r>
    </w:p>
    <w:p>
      <w:pPr>
        <w:numPr>
          <w:ilvl w:val="0"/>
          <w:numId w:val="6"/>
        </w:numPr>
        <w:spacing w:before="120" w:after="120" w:afterLines="50"/>
        <w:ind w:left="851" w:hanging="366"/>
        <w:rPr>
          <w:rFonts w:hint="eastAsia" w:asciiTheme="minorEastAsia" w:hAnsiTheme="minorEastAsia" w:eastAsiaTheme="minorEastAsia" w:cstheme="minorEastAsia"/>
          <w:lang w:val="en-GB"/>
        </w:rPr>
      </w:pPr>
      <w:r>
        <w:rPr>
          <w:rFonts w:hint="eastAsia" w:asciiTheme="minorEastAsia" w:hAnsiTheme="minorEastAsia" w:eastAsiaTheme="minorEastAsia" w:cstheme="minorEastAsia"/>
          <w:lang w:val="en-GB"/>
        </w:rPr>
        <w:t>市</w:t>
      </w:r>
      <w:r>
        <w:rPr>
          <w:rFonts w:hint="eastAsia" w:asciiTheme="minorEastAsia" w:hAnsiTheme="minorEastAsia" w:eastAsiaTheme="minorEastAsia" w:cstheme="minorEastAsia"/>
          <w:lang w:val="en-US" w:eastAsia="zh-CN"/>
        </w:rPr>
        <w:t>城管</w:t>
      </w:r>
      <w:r>
        <w:rPr>
          <w:rFonts w:hint="eastAsia" w:asciiTheme="minorEastAsia" w:hAnsiTheme="minorEastAsia" w:eastAsiaTheme="minorEastAsia" w:cstheme="minorEastAsia"/>
          <w:lang w:val="en-GB"/>
        </w:rPr>
        <w:t>局依法履行政府采购程序，通过公开招标的方式选定徐州市建国东路、泉润大道（老徐萧路）和五山公园综合管廊PPP项目（以下简称“本项目”）的社会资本，已于【    】年【    】月【    】日公示完毕，并于【    】年【    】月【    】日发出中选通知书，确定</w:t>
      </w:r>
      <w:r>
        <w:rPr>
          <w:rFonts w:hint="eastAsia" w:asciiTheme="minorEastAsia" w:hAnsiTheme="minorEastAsia" w:eastAsiaTheme="minorEastAsia" w:cstheme="minorEastAsia"/>
          <w:b/>
          <w:bCs/>
          <w:u w:val="single"/>
        </w:rPr>
        <w:t xml:space="preserve">   </w:t>
      </w:r>
      <w:r>
        <w:rPr>
          <w:rFonts w:hint="eastAsia" w:asciiTheme="minorEastAsia" w:hAnsiTheme="minorEastAsia" w:eastAsiaTheme="minorEastAsia" w:cstheme="minorEastAsia"/>
          <w:u w:val="single"/>
          <w:lang w:val="en-GB"/>
        </w:rPr>
        <w:t xml:space="preserve">                          </w:t>
      </w:r>
      <w:r>
        <w:rPr>
          <w:rFonts w:hint="eastAsia" w:asciiTheme="minorEastAsia" w:hAnsiTheme="minorEastAsia" w:eastAsiaTheme="minorEastAsia" w:cstheme="minorEastAsia"/>
          <w:lang w:val="en-GB"/>
        </w:rPr>
        <w:t>为本项目的中标社会资本。</w:t>
      </w:r>
    </w:p>
    <w:p>
      <w:pPr>
        <w:numPr>
          <w:ilvl w:val="0"/>
          <w:numId w:val="6"/>
        </w:numPr>
        <w:spacing w:before="120" w:after="120" w:afterLines="50"/>
        <w:ind w:left="851" w:hanging="366"/>
        <w:rPr>
          <w:rFonts w:hint="eastAsia" w:asciiTheme="minorEastAsia" w:hAnsiTheme="minorEastAsia" w:eastAsiaTheme="minorEastAsia" w:cstheme="minorEastAsia"/>
          <w:lang w:val="en-GB"/>
        </w:rPr>
      </w:pPr>
      <w:r>
        <w:rPr>
          <w:rFonts w:hint="eastAsia" w:asciiTheme="minorEastAsia" w:hAnsiTheme="minorEastAsia" w:eastAsiaTheme="minorEastAsia" w:cstheme="minorEastAsia"/>
          <w:lang w:val="en-GB"/>
        </w:rPr>
        <w:t>市政府授权徐州新盛基础建设公司（以下简称“徐州</w:t>
      </w:r>
      <w:r>
        <w:rPr>
          <w:rFonts w:hint="eastAsia" w:asciiTheme="minorEastAsia" w:hAnsiTheme="minorEastAsia" w:eastAsiaTheme="minorEastAsia" w:cstheme="minorEastAsia"/>
          <w:lang w:val="en-US" w:eastAsia="zh-CN"/>
        </w:rPr>
        <w:t>新盛</w:t>
      </w:r>
      <w:r>
        <w:rPr>
          <w:rFonts w:hint="eastAsia" w:asciiTheme="minorEastAsia" w:hAnsiTheme="minorEastAsia" w:eastAsiaTheme="minorEastAsia" w:cstheme="minorEastAsia"/>
          <w:lang w:val="en-GB"/>
        </w:rPr>
        <w:t>公司”）作为本项目的政府方出资代表，依法代表市政府履行出资责任，</w:t>
      </w:r>
      <w:r>
        <w:rPr>
          <w:rFonts w:hint="eastAsia" w:asciiTheme="minorEastAsia" w:hAnsiTheme="minorEastAsia" w:eastAsiaTheme="minorEastAsia" w:cstheme="minorEastAsia"/>
          <w:lang w:val="en-US" w:eastAsia="zh-CN"/>
        </w:rPr>
        <w:t>与中标社会资本共同组建项目公司。</w:t>
      </w:r>
    </w:p>
    <w:p>
      <w:pPr>
        <w:numPr>
          <w:ilvl w:val="0"/>
          <w:numId w:val="6"/>
        </w:numPr>
        <w:spacing w:before="120" w:after="120" w:afterLines="50"/>
        <w:ind w:left="851" w:hanging="366"/>
        <w:rPr>
          <w:rFonts w:hint="eastAsia" w:asciiTheme="minorEastAsia" w:hAnsiTheme="minorEastAsia" w:eastAsiaTheme="minorEastAsia" w:cstheme="minorEastAsia"/>
          <w:lang w:val="en-GB"/>
        </w:rPr>
      </w:pPr>
      <w:r>
        <w:rPr>
          <w:rFonts w:hint="eastAsia" w:asciiTheme="minorEastAsia" w:hAnsiTheme="minorEastAsia" w:eastAsiaTheme="minorEastAsia" w:cstheme="minorEastAsia"/>
          <w:lang w:val="en-GB"/>
        </w:rPr>
        <w:t>在</w:t>
      </w:r>
      <w:r>
        <w:rPr>
          <w:rFonts w:hint="eastAsia" w:asciiTheme="minorEastAsia" w:hAnsiTheme="minorEastAsia" w:eastAsiaTheme="minorEastAsia" w:cstheme="minorEastAsia"/>
          <w:lang w:val="en-US" w:eastAsia="zh-CN"/>
        </w:rPr>
        <w:t>项目公司组建</w:t>
      </w:r>
      <w:r>
        <w:rPr>
          <w:rFonts w:hint="eastAsia" w:asciiTheme="minorEastAsia" w:hAnsiTheme="minorEastAsia" w:eastAsiaTheme="minorEastAsia" w:cstheme="minorEastAsia"/>
          <w:lang w:val="en-GB"/>
        </w:rPr>
        <w:t>完成后，市政府授权市</w:t>
      </w:r>
      <w:r>
        <w:rPr>
          <w:rFonts w:hint="eastAsia" w:asciiTheme="minorEastAsia" w:hAnsiTheme="minorEastAsia" w:eastAsiaTheme="minorEastAsia" w:cstheme="minorEastAsia"/>
          <w:lang w:val="en-US" w:eastAsia="zh-CN"/>
        </w:rPr>
        <w:t>城管</w:t>
      </w:r>
      <w:r>
        <w:rPr>
          <w:rFonts w:hint="eastAsia" w:asciiTheme="minorEastAsia" w:hAnsiTheme="minorEastAsia" w:eastAsiaTheme="minorEastAsia" w:cstheme="minorEastAsia"/>
          <w:lang w:val="en-GB"/>
        </w:rPr>
        <w:t>局与项目公司签订本合同，项目公司在合作期内按照适用法律及本合同的规定投资、建设、运营和维护</w:t>
      </w:r>
      <w:r>
        <w:rPr>
          <w:rFonts w:hint="eastAsia" w:asciiTheme="minorEastAsia" w:hAnsiTheme="minorEastAsia" w:eastAsiaTheme="minorEastAsia" w:cstheme="minorEastAsia"/>
        </w:rPr>
        <w:t>徐州市建国东路、泉润大道（老徐萧路）和五山公园综合管廊工程</w:t>
      </w:r>
      <w:r>
        <w:rPr>
          <w:rFonts w:hint="eastAsia" w:asciiTheme="minorEastAsia" w:hAnsiTheme="minorEastAsia" w:eastAsiaTheme="minorEastAsia" w:cstheme="minorEastAsia"/>
          <w:lang w:val="en-GB"/>
        </w:rPr>
        <w:t>项目设施，并获得入廊费、日常维护费以及可行性缺口补助等相应收入；合作期满后，社会资本方按照本合同约定，通过法定程序将其在项目公司中的股权移交给市政府指定机构，实现退出。</w:t>
      </w:r>
    </w:p>
    <w:p>
      <w:pPr>
        <w:spacing w:before="120" w:after="120" w:afterLines="50"/>
        <w:ind w:left="485" w:leftChars="202"/>
        <w:rPr>
          <w:rFonts w:hint="eastAsia" w:asciiTheme="minorEastAsia" w:hAnsiTheme="minorEastAsia" w:eastAsiaTheme="minorEastAsia" w:cstheme="minorEastAsia"/>
        </w:rPr>
        <w:sectPr>
          <w:footerReference r:id="rId15" w:type="default"/>
          <w:type w:val="oddPage"/>
          <w:pgSz w:w="11907" w:h="16840"/>
          <w:pgMar w:top="1418" w:right="1418" w:bottom="1418" w:left="1418" w:header="567" w:footer="992" w:gutter="0"/>
          <w:pgNumType w:fmt="decimal" w:start="1"/>
          <w:cols w:space="425" w:num="1"/>
          <w:docGrid w:linePitch="326" w:charSpace="0"/>
        </w:sectPr>
      </w:pPr>
      <w:r>
        <w:rPr>
          <w:rFonts w:hint="eastAsia" w:asciiTheme="minorEastAsia" w:hAnsiTheme="minorEastAsia" w:eastAsiaTheme="minorEastAsia" w:cstheme="minorEastAsia"/>
          <w:lang w:val="en-GB"/>
        </w:rPr>
        <w:t>为此，双方达成如下约定，共同遵守执行：</w:t>
      </w:r>
    </w:p>
    <w:p>
      <w:pPr>
        <w:pStyle w:val="37"/>
        <w:spacing w:after="120" w:afterLines="50"/>
        <w:rPr>
          <w:rFonts w:hint="eastAsia" w:asciiTheme="minorEastAsia" w:hAnsiTheme="minorEastAsia" w:eastAsiaTheme="minorEastAsia" w:cstheme="minorEastAsia"/>
        </w:rPr>
      </w:pPr>
      <w:bookmarkStart w:id="14" w:name="_Toc239861021"/>
      <w:bookmarkStart w:id="15" w:name="_Toc23955"/>
      <w:bookmarkStart w:id="16" w:name="_Toc6934"/>
      <w:bookmarkStart w:id="17" w:name="_Toc3680"/>
      <w:r>
        <w:rPr>
          <w:rFonts w:hint="eastAsia" w:asciiTheme="minorEastAsia" w:hAnsiTheme="minorEastAsia" w:eastAsiaTheme="minorEastAsia" w:cstheme="minorEastAsia"/>
        </w:rPr>
        <w:t>定义</w:t>
      </w:r>
      <w:bookmarkEnd w:id="0"/>
      <w:bookmarkEnd w:id="1"/>
      <w:bookmarkEnd w:id="2"/>
      <w:bookmarkEnd w:id="3"/>
      <w:bookmarkEnd w:id="4"/>
      <w:bookmarkEnd w:id="5"/>
      <w:bookmarkEnd w:id="6"/>
      <w:bookmarkEnd w:id="7"/>
      <w:bookmarkEnd w:id="8"/>
      <w:bookmarkEnd w:id="9"/>
      <w:bookmarkEnd w:id="10"/>
      <w:bookmarkEnd w:id="11"/>
      <w:bookmarkEnd w:id="12"/>
      <w:bookmarkEnd w:id="13"/>
      <w:r>
        <w:rPr>
          <w:rFonts w:hint="eastAsia" w:asciiTheme="minorEastAsia" w:hAnsiTheme="minorEastAsia" w:eastAsiaTheme="minorEastAsia" w:cstheme="minorEastAsia"/>
        </w:rPr>
        <w:t>和释义</w:t>
      </w:r>
      <w:bookmarkEnd w:id="14"/>
      <w:bookmarkEnd w:id="15"/>
      <w:bookmarkEnd w:id="16"/>
      <w:bookmarkEnd w:id="17"/>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8" w:name="_Toc239861022"/>
      <w:bookmarkStart w:id="19" w:name="_Toc30298451"/>
      <w:bookmarkStart w:id="20" w:name="_Toc30905407"/>
      <w:bookmarkStart w:id="21" w:name="_Toc48120178"/>
      <w:bookmarkStart w:id="22" w:name="_Toc48101111"/>
      <w:bookmarkStart w:id="23" w:name="_Toc51225598"/>
      <w:bookmarkStart w:id="24" w:name="_Toc26166905"/>
      <w:bookmarkStart w:id="25" w:name="_Toc48042039"/>
      <w:bookmarkStart w:id="26" w:name="_Ref86654823"/>
      <w:bookmarkStart w:id="27" w:name="_Toc29693738"/>
      <w:bookmarkStart w:id="28" w:name="_Toc50861852"/>
      <w:bookmarkStart w:id="29" w:name="_Toc19457"/>
      <w:bookmarkStart w:id="30" w:name="_Toc50861716"/>
      <w:bookmarkStart w:id="31" w:name="_Toc50453927"/>
      <w:bookmarkStart w:id="32" w:name="_Toc51213920"/>
      <w:bookmarkStart w:id="33" w:name="_Ref86654825"/>
      <w:bookmarkStart w:id="34" w:name="_Toc30905315"/>
      <w:bookmarkStart w:id="35" w:name="_Toc50860347"/>
      <w:bookmarkStart w:id="36" w:name="_Toc19801"/>
      <w:bookmarkStart w:id="37" w:name="_Toc22432"/>
      <w:r>
        <w:rPr>
          <w:rFonts w:hint="eastAsia" w:asciiTheme="minorEastAsia" w:hAnsiTheme="minorEastAsia" w:eastAsiaTheme="minorEastAsia" w:cstheme="minorEastAsia"/>
          <w:color w:val="auto"/>
        </w:rPr>
        <w:t>定义</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pStyle w:val="47"/>
        <w:widowControl w:val="0"/>
        <w:spacing w:afterLines="50"/>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在本合同中，下述术语具有如下含义：</w:t>
      </w:r>
    </w:p>
    <w:tbl>
      <w:tblPr>
        <w:tblStyle w:val="39"/>
        <w:tblW w:w="9072" w:type="dxa"/>
        <w:tblInd w:w="70" w:type="dxa"/>
        <w:tblLayout w:type="fixed"/>
        <w:tblCellMar>
          <w:top w:w="0" w:type="dxa"/>
          <w:left w:w="70" w:type="dxa"/>
          <w:bottom w:w="0" w:type="dxa"/>
          <w:right w:w="70" w:type="dxa"/>
        </w:tblCellMar>
      </w:tblPr>
      <w:tblGrid>
        <w:gridCol w:w="3003"/>
        <w:gridCol w:w="6069"/>
      </w:tblGrid>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“本合同”</w:t>
            </w:r>
          </w:p>
        </w:tc>
        <w:tc>
          <w:tcPr>
            <w:tcW w:w="6069" w:type="dxa"/>
            <w:vAlign w:val="center"/>
          </w:tcPr>
          <w:p>
            <w:pPr>
              <w:spacing w:before="120" w:after="120" w:afterLines="50"/>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指市</w:t>
            </w:r>
            <w:r>
              <w:rPr>
                <w:rFonts w:hint="eastAsia" w:asciiTheme="minorEastAsia" w:hAnsiTheme="minorEastAsia" w:eastAsiaTheme="minorEastAsia" w:cstheme="minorEastAsia"/>
                <w:bCs/>
                <w:lang w:val="en-US" w:eastAsia="zh-CN"/>
              </w:rPr>
              <w:t>城管</w:t>
            </w:r>
            <w:r>
              <w:rPr>
                <w:rFonts w:hint="eastAsia" w:asciiTheme="minorEastAsia" w:hAnsiTheme="minorEastAsia" w:eastAsiaTheme="minorEastAsia" w:cstheme="minorEastAsia"/>
                <w:bCs/>
              </w:rPr>
              <w:t>局与</w:t>
            </w:r>
            <w:r>
              <w:rPr>
                <w:rFonts w:hint="eastAsia" w:asciiTheme="minorEastAsia" w:hAnsiTheme="minorEastAsia" w:eastAsiaTheme="minorEastAsia" w:cstheme="minorEastAsia"/>
              </w:rPr>
              <w:t>项目</w:t>
            </w:r>
            <w:r>
              <w:rPr>
                <w:rFonts w:hint="eastAsia" w:asciiTheme="minorEastAsia" w:hAnsiTheme="minorEastAsia" w:eastAsiaTheme="minorEastAsia" w:cstheme="minorEastAsia"/>
                <w:bCs/>
              </w:rPr>
              <w:t>公司之间签订的《徐州市建国东路、泉润大道（老徐萧路）和五山公园综合管廊PPP项目合同》，包括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"_附件1_污水处理厂用地四至图_1" </w:instrText>
            </w:r>
            <w:r>
              <w:rPr>
                <w:rFonts w:hint="eastAsia" w:asciiTheme="minorEastAsia" w:hAnsiTheme="minorEastAsia" w:eastAsiaTheme="minorEastAsia" w:cstheme="minorEastAsia"/>
              </w:rPr>
              <w:fldChar w:fldCharType="separate"/>
            </w:r>
            <w:r>
              <w:rPr>
                <w:rStyle w:val="44"/>
                <w:rFonts w:hint="eastAsia" w:asciiTheme="minorEastAsia" w:hAnsiTheme="minorEastAsia" w:eastAsiaTheme="minorEastAsia" w:cstheme="minorEastAsia"/>
                <w:bCs/>
                <w:color w:val="auto"/>
              </w:rPr>
              <w:t>附件1</w:t>
            </w:r>
            <w:r>
              <w:rPr>
                <w:rStyle w:val="44"/>
                <w:rFonts w:hint="eastAsia" w:asciiTheme="minorEastAsia" w:hAnsiTheme="minorEastAsia" w:eastAsiaTheme="minorEastAsia" w:cstheme="minorEastAsia"/>
                <w:bCs/>
                <w:color w:val="auto"/>
              </w:rPr>
              <w:fldChar w:fldCharType="end"/>
            </w:r>
            <w:r>
              <w:rPr>
                <w:rFonts w:hint="eastAsia" w:asciiTheme="minorEastAsia" w:hAnsiTheme="minorEastAsia" w:eastAsiaTheme="minorEastAsia" w:cstheme="minorEastAsia"/>
                <w:bCs/>
              </w:rPr>
              <w:t>至</w:t>
            </w:r>
            <w:r>
              <w:rPr>
                <w:rFonts w:hint="eastAsia" w:asciiTheme="minorEastAsia" w:hAnsiTheme="minorEastAsia" w:eastAsiaTheme="minorEastAsia" w:cstheme="minorEastAsia"/>
                <w:bCs/>
                <w:u w:val="single"/>
              </w:rPr>
              <w:t>附件10</w:t>
            </w:r>
            <w:r>
              <w:rPr>
                <w:rFonts w:hint="eastAsia" w:asciiTheme="minorEastAsia" w:hAnsiTheme="minorEastAsia" w:eastAsiaTheme="minorEastAsia" w:cstheme="minorEastAsia"/>
                <w:bCs/>
              </w:rPr>
              <w:t>，以及日后可能签订的任何本合同之补充修改合同及其附件。</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“本项目”或“项目”</w:t>
            </w:r>
          </w:p>
        </w:tc>
        <w:tc>
          <w:tcPr>
            <w:tcW w:w="6069" w:type="dxa"/>
            <w:vAlign w:val="center"/>
          </w:tcPr>
          <w:p>
            <w:pPr>
              <w:pStyle w:val="18"/>
              <w:spacing w:before="120" w:beforeLines="50" w:after="120" w:afterLines="50"/>
              <w:ind w:left="0" w:leftChars="0" w:firstLine="0" w:firstLineChars="0"/>
              <w:jc w:val="both"/>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sz w:val="24"/>
              </w:rPr>
              <w:t>指徐州市建国东路、泉润大道（老徐萧路）和五山公园综合管廊PPP项目。</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“本工程”</w:t>
            </w:r>
          </w:p>
        </w:tc>
        <w:tc>
          <w:tcPr>
            <w:tcW w:w="6069" w:type="dxa"/>
            <w:vAlign w:val="center"/>
          </w:tcPr>
          <w:p>
            <w:pPr>
              <w:pStyle w:val="18"/>
              <w:spacing w:before="120" w:beforeLines="50" w:after="120" w:afterLines="50"/>
              <w:ind w:left="0" w:leftChars="0" w:firstLine="0" w:firstLineChars="0"/>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指徐州市建国东路、泉润大道（老徐萧路）和五山公园综合管廊项目</w:t>
            </w:r>
            <w:r>
              <w:rPr>
                <w:rFonts w:hint="eastAsia" w:asciiTheme="minorEastAsia" w:hAnsiTheme="minorEastAsia" w:eastAsiaTheme="minorEastAsia" w:cstheme="minorEastAsia"/>
                <w:sz w:val="24"/>
                <w:lang w:val="en-US" w:eastAsia="zh-CN"/>
              </w:rPr>
              <w:t>工程</w:t>
            </w:r>
            <w:r>
              <w:rPr>
                <w:rFonts w:hint="eastAsia" w:asciiTheme="minorEastAsia" w:hAnsiTheme="minorEastAsia" w:eastAsiaTheme="minorEastAsia" w:cstheme="minorEastAsia"/>
                <w:sz w:val="24"/>
              </w:rPr>
              <w:t>。</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rPr>
              <w:t>“项目设施”</w:t>
            </w:r>
          </w:p>
        </w:tc>
        <w:tc>
          <w:tcPr>
            <w:tcW w:w="6069"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指徐州市建国东路、泉润大道（老徐萧路）和五山公园综合管廊本体和附属设施的总称。</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“市</w:t>
            </w:r>
            <w:r>
              <w:rPr>
                <w:rFonts w:hint="eastAsia" w:asciiTheme="minorEastAsia" w:hAnsiTheme="minorEastAsia" w:eastAsiaTheme="minorEastAsia" w:cstheme="minorEastAsia"/>
                <w:b/>
                <w:lang w:val="en-US" w:eastAsia="zh-CN"/>
              </w:rPr>
              <w:t>城管</w:t>
            </w:r>
            <w:r>
              <w:rPr>
                <w:rFonts w:hint="eastAsia" w:asciiTheme="minorEastAsia" w:hAnsiTheme="minorEastAsia" w:eastAsiaTheme="minorEastAsia" w:cstheme="minorEastAsia"/>
                <w:b/>
              </w:rPr>
              <w:t>局”</w:t>
            </w:r>
          </w:p>
        </w:tc>
        <w:tc>
          <w:tcPr>
            <w:tcW w:w="6069"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指徐州市</w:t>
            </w:r>
            <w:r>
              <w:rPr>
                <w:rFonts w:hint="eastAsia" w:asciiTheme="minorEastAsia" w:hAnsiTheme="minorEastAsia" w:eastAsiaTheme="minorEastAsia" w:cstheme="minorEastAsia"/>
                <w:lang w:val="en-US" w:eastAsia="zh-CN"/>
              </w:rPr>
              <w:t>城市管理</w:t>
            </w:r>
            <w:r>
              <w:rPr>
                <w:rFonts w:hint="eastAsia" w:asciiTheme="minorEastAsia" w:hAnsiTheme="minorEastAsia" w:eastAsiaTheme="minorEastAsia" w:cstheme="minorEastAsia"/>
              </w:rPr>
              <w:t>局，根据市政府授权代表市政府签署本合同，并履行本合同项下的权利和义务，本合同另有约定的除外。</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“徐州</w:t>
            </w:r>
            <w:r>
              <w:rPr>
                <w:rFonts w:hint="eastAsia" w:asciiTheme="minorEastAsia" w:hAnsiTheme="minorEastAsia" w:eastAsiaTheme="minorEastAsia" w:cstheme="minorEastAsia"/>
                <w:b/>
                <w:lang w:val="en-US" w:eastAsia="zh-CN"/>
              </w:rPr>
              <w:t>新盛</w:t>
            </w:r>
            <w:r>
              <w:rPr>
                <w:rFonts w:hint="eastAsia" w:asciiTheme="minorEastAsia" w:hAnsiTheme="minorEastAsia" w:eastAsiaTheme="minorEastAsia" w:cstheme="minorEastAsia"/>
                <w:b/>
              </w:rPr>
              <w:t>公司”</w:t>
            </w:r>
          </w:p>
        </w:tc>
        <w:tc>
          <w:tcPr>
            <w:tcW w:w="6069"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指徐州市</w:t>
            </w:r>
            <w:r>
              <w:rPr>
                <w:rFonts w:hint="eastAsia" w:asciiTheme="minorEastAsia" w:hAnsiTheme="minorEastAsia" w:eastAsiaTheme="minorEastAsia" w:cstheme="minorEastAsia"/>
                <w:lang w:val="en-US" w:eastAsia="zh-CN"/>
              </w:rPr>
              <w:t>新盛基础</w:t>
            </w:r>
            <w:r>
              <w:rPr>
                <w:rFonts w:hint="eastAsia" w:asciiTheme="minorEastAsia" w:hAnsiTheme="minorEastAsia" w:eastAsiaTheme="minorEastAsia" w:cstheme="minorEastAsia"/>
              </w:rPr>
              <w:t>建设</w:t>
            </w:r>
            <w:r>
              <w:rPr>
                <w:rFonts w:hint="eastAsia" w:asciiTheme="minorEastAsia" w:hAnsiTheme="minorEastAsia" w:eastAsiaTheme="minorEastAsia" w:cstheme="minorEastAsia"/>
                <w:lang w:val="en-US" w:eastAsia="zh-CN"/>
              </w:rPr>
              <w:t>资产管理有限</w:t>
            </w:r>
            <w:r>
              <w:rPr>
                <w:rFonts w:hint="eastAsia" w:asciiTheme="minorEastAsia" w:hAnsiTheme="minorEastAsia" w:eastAsiaTheme="minorEastAsia" w:cstheme="minorEastAsia"/>
              </w:rPr>
              <w:t>公司，一家根据中国法律设立的有限责任公司，根据市政府授权作为本项目的政府方出资代表。</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“项目公司”</w:t>
            </w:r>
          </w:p>
        </w:tc>
        <w:tc>
          <w:tcPr>
            <w:tcW w:w="6069"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是由中标社会资本和徐州</w:t>
            </w:r>
            <w:r>
              <w:rPr>
                <w:rFonts w:hint="eastAsia" w:asciiTheme="minorEastAsia" w:hAnsiTheme="minorEastAsia" w:eastAsiaTheme="minorEastAsia" w:cstheme="minorEastAsia"/>
                <w:lang w:val="en-US" w:eastAsia="zh-CN"/>
              </w:rPr>
              <w:t>新盛</w:t>
            </w:r>
            <w:r>
              <w:rPr>
                <w:rFonts w:hint="eastAsia" w:asciiTheme="minorEastAsia" w:hAnsiTheme="minorEastAsia" w:eastAsiaTheme="minorEastAsia" w:cstheme="minorEastAsia"/>
              </w:rPr>
              <w:t>公司依据本项目招标文件规定对徐州市建国东路、泉润大道（老徐萧路）和五山公园综合管廊建设管理有限公司增资改组后的、以实施本合同为目的的公司。</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“社会资本方”</w:t>
            </w:r>
          </w:p>
        </w:tc>
        <w:tc>
          <w:tcPr>
            <w:tcW w:w="6069"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指本项目的中标社会资本。</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“《股东协议》”</w:t>
            </w:r>
          </w:p>
        </w:tc>
        <w:tc>
          <w:tcPr>
            <w:tcW w:w="6069"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指项目公司各股东签署的股东协议。</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“《公司章程》”</w:t>
            </w:r>
          </w:p>
        </w:tc>
        <w:tc>
          <w:tcPr>
            <w:tcW w:w="6069"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指项目公司各股东签署的项目公司的公司章程。</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“生效日”</w:t>
            </w:r>
          </w:p>
        </w:tc>
        <w:tc>
          <w:tcPr>
            <w:tcW w:w="6069"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指满足第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_Ref447621196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2.1.1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条款各先决条件之日。</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“合作期”</w:t>
            </w:r>
          </w:p>
        </w:tc>
        <w:tc>
          <w:tcPr>
            <w:tcW w:w="6069" w:type="dxa"/>
            <w:vAlign w:val="center"/>
          </w:tcPr>
          <w:p>
            <w:pPr>
              <w:spacing w:before="120" w:after="120" w:afterLines="50"/>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指第</w:t>
            </w:r>
            <w:r>
              <w:rPr>
                <w:rFonts w:hint="eastAsia" w:asciiTheme="minorEastAsia" w:hAnsiTheme="minorEastAsia" w:eastAsiaTheme="minorEastAsia" w:cstheme="minorEastAsia"/>
                <w:bCs/>
              </w:rPr>
              <w:fldChar w:fldCharType="begin"/>
            </w:r>
            <w:r>
              <w:rPr>
                <w:rFonts w:hint="eastAsia" w:asciiTheme="minorEastAsia" w:hAnsiTheme="minorEastAsia" w:eastAsiaTheme="minorEastAsia" w:cstheme="minorEastAsia"/>
                <w:bCs/>
              </w:rPr>
              <w:instrText xml:space="preserve"> REF _Ref448072964 \r \h  \* MERGEFORMAT </w:instrText>
            </w:r>
            <w:r>
              <w:rPr>
                <w:rFonts w:hint="eastAsia" w:asciiTheme="minorEastAsia" w:hAnsiTheme="minorEastAsia" w:eastAsiaTheme="minorEastAsia" w:cstheme="minorEastAsia"/>
                <w:bCs/>
              </w:rPr>
              <w:fldChar w:fldCharType="separate"/>
            </w:r>
            <w:r>
              <w:rPr>
                <w:rFonts w:hint="eastAsia" w:asciiTheme="minorEastAsia" w:hAnsiTheme="minorEastAsia" w:eastAsiaTheme="minorEastAsia" w:cstheme="minorEastAsia"/>
                <w:bCs/>
              </w:rPr>
              <w:t>4.2</w:t>
            </w:r>
            <w:r>
              <w:rPr>
                <w:rFonts w:hint="eastAsia" w:asciiTheme="minorEastAsia" w:hAnsiTheme="minorEastAsia" w:eastAsiaTheme="minorEastAsia" w:cstheme="minorEastAsia"/>
                <w:bCs/>
              </w:rPr>
              <w:fldChar w:fldCharType="end"/>
            </w:r>
            <w:r>
              <w:rPr>
                <w:rFonts w:hint="eastAsia" w:asciiTheme="minorEastAsia" w:hAnsiTheme="minorEastAsia" w:eastAsiaTheme="minorEastAsia" w:cstheme="minorEastAsia"/>
                <w:bCs/>
              </w:rPr>
              <w:t>条所规定的项目合作期。</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“建设期”</w:t>
            </w:r>
          </w:p>
        </w:tc>
        <w:tc>
          <w:tcPr>
            <w:tcW w:w="6069" w:type="dxa"/>
            <w:vAlign w:val="center"/>
          </w:tcPr>
          <w:p>
            <w:pPr>
              <w:spacing w:before="120" w:after="120" w:afterLines="50"/>
              <w:rPr>
                <w:rFonts w:hint="eastAsia" w:asciiTheme="minorEastAsia" w:hAnsiTheme="minorEastAsia" w:eastAsiaTheme="minorEastAsia" w:cstheme="minorEastAsia"/>
                <w:bCs/>
              </w:rPr>
            </w:pPr>
            <w:r>
              <w:rPr>
                <w:rFonts w:hint="eastAsia" w:asciiTheme="minorEastAsia" w:hAnsiTheme="minorEastAsia" w:eastAsiaTheme="minorEastAsia" w:cstheme="minorEastAsia"/>
              </w:rPr>
              <w:t>指从开工日起至正式</w:t>
            </w:r>
            <w:r>
              <w:rPr>
                <w:rFonts w:hint="eastAsia" w:asciiTheme="minorEastAsia" w:hAnsiTheme="minorEastAsia" w:eastAsiaTheme="minorEastAsia" w:cstheme="minorEastAsia"/>
                <w:bCs/>
              </w:rPr>
              <w:t>运营日前一日止</w:t>
            </w:r>
            <w:r>
              <w:rPr>
                <w:rFonts w:hint="eastAsia" w:asciiTheme="minorEastAsia" w:hAnsiTheme="minorEastAsia" w:eastAsiaTheme="minorEastAsia" w:cstheme="minorEastAsia"/>
              </w:rPr>
              <w:t>的期间。</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“运营维护期”</w:t>
            </w:r>
          </w:p>
        </w:tc>
        <w:tc>
          <w:tcPr>
            <w:tcW w:w="6069"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指从正式运营日至项目合作期结束之日止的期间。</w:t>
            </w:r>
          </w:p>
        </w:tc>
      </w:tr>
      <w:tr>
        <w:tblPrEx>
          <w:tblLayout w:type="fixed"/>
          <w:tblCellMar>
            <w:top w:w="0" w:type="dxa"/>
            <w:left w:w="70" w:type="dxa"/>
            <w:bottom w:w="0" w:type="dxa"/>
            <w:right w:w="70" w:type="dxa"/>
          </w:tblCellMar>
        </w:tblPrEx>
        <w:tc>
          <w:tcPr>
            <w:tcW w:w="3003" w:type="dxa"/>
          </w:tcPr>
          <w:p>
            <w:pPr>
              <w:spacing w:before="120" w:after="120" w:afterLines="50"/>
              <w:ind w:left="98" w:right="170" w:hanging="98"/>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“批准”</w:t>
            </w:r>
          </w:p>
        </w:tc>
        <w:tc>
          <w:tcPr>
            <w:tcW w:w="6069" w:type="dxa"/>
            <w:vAlign w:val="center"/>
          </w:tcPr>
          <w:p>
            <w:pPr>
              <w:spacing w:before="120" w:after="120" w:afterLines="50"/>
              <w:ind w:right="105"/>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指根据本合同的规定为项目公司或为项目进行融资、建设、运营和维护而需从政府部门获得的许可、执照、同意、授权、核准或批准。</w:t>
            </w:r>
          </w:p>
        </w:tc>
      </w:tr>
      <w:tr>
        <w:tblPrEx>
          <w:tblLayout w:type="fixed"/>
          <w:tblCellMar>
            <w:top w:w="0" w:type="dxa"/>
            <w:left w:w="70" w:type="dxa"/>
            <w:bottom w:w="0" w:type="dxa"/>
            <w:right w:w="70" w:type="dxa"/>
          </w:tblCellMar>
        </w:tblPrEx>
        <w:tc>
          <w:tcPr>
            <w:tcW w:w="3003" w:type="dxa"/>
          </w:tcPr>
          <w:p>
            <w:pPr>
              <w:spacing w:before="120" w:after="120" w:afterLines="50"/>
              <w:ind w:left="125"/>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“适用法律”</w:t>
            </w:r>
          </w:p>
        </w:tc>
        <w:tc>
          <w:tcPr>
            <w:tcW w:w="6069" w:type="dxa"/>
            <w:vAlign w:val="center"/>
          </w:tcPr>
          <w:p>
            <w:pPr>
              <w:spacing w:before="120" w:after="120" w:afterLines="50"/>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指中国法律、行政法规、地方性法规、自治条例、单行条例、部门规章、地方政府规章及其它具有普遍约束力的强制性规范性文件（包括国家、地方和行业的技术标准、规范和要求）。为本合同之目的，“适用法律”不应包括香港特别行政区、澳门特别行政区和台湾的法律。</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“政府部门”</w:t>
            </w:r>
          </w:p>
        </w:tc>
        <w:tc>
          <w:tcPr>
            <w:tcW w:w="6069" w:type="dxa"/>
            <w:vAlign w:val="center"/>
          </w:tcPr>
          <w:p>
            <w:pPr>
              <w:spacing w:before="120" w:after="120" w:afterLines="50"/>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指</w:t>
            </w:r>
          </w:p>
          <w:p>
            <w:pPr>
              <w:numPr>
                <w:ilvl w:val="0"/>
                <w:numId w:val="7"/>
              </w:numPr>
              <w:spacing w:before="120" w:after="120" w:afterLines="50"/>
              <w:ind w:left="471" w:hanging="399"/>
              <w:rPr>
                <w:rFonts w:hint="eastAsia" w:asciiTheme="minorEastAsia" w:hAnsiTheme="minorEastAsia" w:eastAsiaTheme="minorEastAsia" w:cstheme="minorEastAsia"/>
              </w:rPr>
            </w:pPr>
            <w:r>
              <w:rPr>
                <w:rFonts w:hint="eastAsia" w:asciiTheme="minorEastAsia" w:hAnsiTheme="minorEastAsia" w:eastAsiaTheme="minorEastAsia" w:cstheme="minorEastAsia"/>
              </w:rPr>
              <w:t>中国国务院及其下属的部、委、局、署、行，或具有中央政府行政管理功能的其他行政实体；</w:t>
            </w:r>
          </w:p>
          <w:p>
            <w:pPr>
              <w:numPr>
                <w:ilvl w:val="0"/>
                <w:numId w:val="7"/>
              </w:numPr>
              <w:spacing w:before="120" w:after="120" w:afterLines="50"/>
              <w:ind w:left="471" w:hanging="399"/>
              <w:rPr>
                <w:rFonts w:hint="eastAsia" w:asciiTheme="minorEastAsia" w:hAnsiTheme="minorEastAsia" w:eastAsiaTheme="minorEastAsia" w:cstheme="minorEastAsia"/>
              </w:rPr>
            </w:pPr>
            <w:r>
              <w:rPr>
                <w:rFonts w:hint="eastAsia" w:asciiTheme="minorEastAsia" w:hAnsiTheme="minorEastAsia" w:eastAsiaTheme="minorEastAsia" w:cstheme="minorEastAsia"/>
              </w:rPr>
              <w:t>江苏省政府及其下辖政府职能行政管理部门；</w:t>
            </w:r>
          </w:p>
          <w:p>
            <w:pPr>
              <w:numPr>
                <w:ilvl w:val="0"/>
                <w:numId w:val="7"/>
              </w:numPr>
              <w:spacing w:before="120" w:after="120" w:afterLines="50"/>
              <w:ind w:left="471" w:hanging="399"/>
              <w:rPr>
                <w:rFonts w:hint="eastAsia" w:asciiTheme="minorEastAsia" w:hAnsiTheme="minorEastAsia" w:eastAsiaTheme="minorEastAsia" w:cstheme="minorEastAsia"/>
                <w:bCs/>
              </w:rPr>
            </w:pPr>
            <w:r>
              <w:rPr>
                <w:rFonts w:hint="eastAsia" w:asciiTheme="minorEastAsia" w:hAnsiTheme="minorEastAsia" w:eastAsiaTheme="minorEastAsia" w:cstheme="minorEastAsia"/>
              </w:rPr>
              <w:t>徐州市政府及其下辖政府职能行政管理部门或徐州市的任何区、县（市）政府及其下辖的政府职能行政管理部门。</w:t>
            </w:r>
          </w:p>
        </w:tc>
      </w:tr>
      <w:tr>
        <w:tblPrEx>
          <w:tblLayout w:type="fixed"/>
          <w:tblCellMar>
            <w:top w:w="0" w:type="dxa"/>
            <w:left w:w="70" w:type="dxa"/>
            <w:bottom w:w="0" w:type="dxa"/>
            <w:right w:w="70" w:type="dxa"/>
          </w:tblCellMar>
        </w:tblPrEx>
        <w:tc>
          <w:tcPr>
            <w:tcW w:w="3003" w:type="dxa"/>
          </w:tcPr>
          <w:p>
            <w:pPr>
              <w:spacing w:before="120" w:after="120" w:afterLines="50"/>
              <w:ind w:left="98" w:right="170" w:hanging="98"/>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“融资交割”</w:t>
            </w:r>
          </w:p>
        </w:tc>
        <w:tc>
          <w:tcPr>
            <w:tcW w:w="6069"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当下述条件均具备时，视为完成融资交割：</w:t>
            </w:r>
          </w:p>
          <w:p>
            <w:pPr>
              <w:numPr>
                <w:ilvl w:val="0"/>
                <w:numId w:val="8"/>
              </w:numPr>
              <w:spacing w:before="120" w:after="120" w:afterLines="50"/>
              <w:ind w:left="471"/>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项目公司的股东已依法缴纳对项目公司的出资；以及</w:t>
            </w:r>
          </w:p>
          <w:p>
            <w:pPr>
              <w:numPr>
                <w:ilvl w:val="0"/>
                <w:numId w:val="8"/>
              </w:numPr>
              <w:spacing w:before="120" w:after="120" w:afterLines="50"/>
              <w:ind w:left="471"/>
              <w:rPr>
                <w:rFonts w:hint="eastAsia" w:asciiTheme="minorEastAsia" w:hAnsiTheme="minorEastAsia" w:eastAsiaTheme="minorEastAsia" w:cstheme="minorEastAsia"/>
                <w:bCs/>
              </w:rPr>
            </w:pPr>
            <w:r>
              <w:rPr>
                <w:rFonts w:hint="eastAsia" w:asciiTheme="minorEastAsia" w:hAnsiTheme="minorEastAsia" w:eastAsiaTheme="minorEastAsia" w:cstheme="minorEastAsia"/>
              </w:rPr>
              <w:t>项目公司已为项目融资的目的经与贷款人签署并向贷款人递交所有融资文件，包括融资文件要求的获得资金的每一前提条件均被满足或被贷款人放弃。</w:t>
            </w:r>
          </w:p>
        </w:tc>
      </w:tr>
      <w:tr>
        <w:tblPrEx>
          <w:tblLayout w:type="fixed"/>
          <w:tblCellMar>
            <w:top w:w="0" w:type="dxa"/>
            <w:left w:w="70" w:type="dxa"/>
            <w:bottom w:w="0" w:type="dxa"/>
            <w:right w:w="70" w:type="dxa"/>
          </w:tblCellMar>
        </w:tblPrEx>
        <w:tc>
          <w:tcPr>
            <w:tcW w:w="3003" w:type="dxa"/>
          </w:tcPr>
          <w:p>
            <w:pPr>
              <w:spacing w:before="120" w:after="120" w:afterLines="50"/>
              <w:ind w:left="98" w:right="170" w:hanging="98"/>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“融资文件”</w:t>
            </w:r>
          </w:p>
        </w:tc>
        <w:tc>
          <w:tcPr>
            <w:tcW w:w="6069" w:type="dxa"/>
            <w:vAlign w:val="center"/>
          </w:tcPr>
          <w:p>
            <w:pPr>
              <w:spacing w:before="120" w:after="120" w:afterLines="50"/>
              <w:rPr>
                <w:rFonts w:hint="eastAsia" w:asciiTheme="minorEastAsia" w:hAnsiTheme="minorEastAsia" w:eastAsiaTheme="minorEastAsia" w:cstheme="minorEastAsia"/>
                <w:bCs/>
              </w:rPr>
            </w:pPr>
            <w:r>
              <w:rPr>
                <w:rFonts w:hint="eastAsia" w:asciiTheme="minorEastAsia" w:hAnsiTheme="minorEastAsia" w:eastAsiaTheme="minorEastAsia" w:cstheme="minorEastAsia"/>
              </w:rPr>
              <w:t>市</w:t>
            </w:r>
            <w:r>
              <w:rPr>
                <w:rFonts w:hint="eastAsia" w:asciiTheme="minorEastAsia" w:hAnsiTheme="minorEastAsia" w:eastAsiaTheme="minorEastAsia" w:cstheme="minorEastAsia"/>
                <w:lang w:val="en-US" w:eastAsia="zh-CN"/>
              </w:rPr>
              <w:t>城管</w:t>
            </w:r>
            <w:r>
              <w:rPr>
                <w:rFonts w:hint="eastAsia" w:asciiTheme="minorEastAsia" w:hAnsiTheme="minorEastAsia" w:eastAsiaTheme="minorEastAsia" w:cstheme="minorEastAsia"/>
              </w:rPr>
              <w:t>局批准的与本项目或其任何一部分的建设，长期、短期融资或再融资相关的贷款意向书、协议、票据、债券、契约、担保协议、保函和其他文件。</w:t>
            </w:r>
          </w:p>
        </w:tc>
      </w:tr>
      <w:tr>
        <w:tblPrEx>
          <w:tblLayout w:type="fixed"/>
          <w:tblCellMar>
            <w:top w:w="0" w:type="dxa"/>
            <w:left w:w="70" w:type="dxa"/>
            <w:bottom w:w="0" w:type="dxa"/>
            <w:right w:w="70" w:type="dxa"/>
          </w:tblCellMar>
        </w:tblPrEx>
        <w:tc>
          <w:tcPr>
            <w:tcW w:w="3003" w:type="dxa"/>
          </w:tcPr>
          <w:p>
            <w:pPr>
              <w:spacing w:before="120" w:after="120" w:afterLines="50"/>
              <w:ind w:left="98" w:right="170" w:hanging="98"/>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“项目场地”</w:t>
            </w:r>
          </w:p>
        </w:tc>
        <w:tc>
          <w:tcPr>
            <w:tcW w:w="6069"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指本项目的项目红线范围内占用的地下空间。</w:t>
            </w:r>
          </w:p>
        </w:tc>
      </w:tr>
      <w:tr>
        <w:tblPrEx>
          <w:tblLayout w:type="fixed"/>
          <w:tblCellMar>
            <w:top w:w="0" w:type="dxa"/>
            <w:left w:w="70" w:type="dxa"/>
            <w:bottom w:w="0" w:type="dxa"/>
            <w:right w:w="70" w:type="dxa"/>
          </w:tblCellMar>
        </w:tblPrEx>
        <w:tc>
          <w:tcPr>
            <w:tcW w:w="3003" w:type="dxa"/>
          </w:tcPr>
          <w:p>
            <w:pPr>
              <w:spacing w:before="120" w:after="120" w:afterLines="50"/>
              <w:ind w:left="98" w:right="170" w:hanging="98"/>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“建设标准”</w:t>
            </w:r>
          </w:p>
        </w:tc>
        <w:tc>
          <w:tcPr>
            <w:tcW w:w="6069"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指适用法律、规范和设计文件所规定的建设要求和建设标准。</w:t>
            </w:r>
          </w:p>
        </w:tc>
      </w:tr>
      <w:tr>
        <w:tblPrEx>
          <w:tblLayout w:type="fixed"/>
          <w:tblCellMar>
            <w:top w:w="0" w:type="dxa"/>
            <w:left w:w="70" w:type="dxa"/>
            <w:bottom w:w="0" w:type="dxa"/>
            <w:right w:w="70" w:type="dxa"/>
          </w:tblCellMar>
        </w:tblPrEx>
        <w:tc>
          <w:tcPr>
            <w:tcW w:w="3003" w:type="dxa"/>
          </w:tcPr>
          <w:p>
            <w:pPr>
              <w:spacing w:before="120" w:after="120" w:afterLines="50"/>
              <w:ind w:left="98" w:right="170" w:hanging="98"/>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“设计文件”</w:t>
            </w:r>
          </w:p>
        </w:tc>
        <w:tc>
          <w:tcPr>
            <w:tcW w:w="6069"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包括初步设计文件、施工图设计文件及其变更文件。</w:t>
            </w:r>
          </w:p>
        </w:tc>
      </w:tr>
      <w:tr>
        <w:tblPrEx>
          <w:tblLayout w:type="fixed"/>
          <w:tblCellMar>
            <w:top w:w="0" w:type="dxa"/>
            <w:left w:w="70" w:type="dxa"/>
            <w:bottom w:w="0" w:type="dxa"/>
            <w:right w:w="70" w:type="dxa"/>
          </w:tblCellMar>
        </w:tblPrEx>
        <w:tc>
          <w:tcPr>
            <w:tcW w:w="3003" w:type="dxa"/>
          </w:tcPr>
          <w:p>
            <w:pPr>
              <w:spacing w:before="120" w:after="120" w:afterLines="50"/>
              <w:ind w:left="98" w:right="170" w:hanging="98"/>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“变更”</w:t>
            </w:r>
          </w:p>
        </w:tc>
        <w:tc>
          <w:tcPr>
            <w:tcW w:w="6069"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指在建设期内根据第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_Ref447620852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7.9</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条对初步设计文件和/或施工图设计文件中的设计、施工过程、施工方法、设备、设施等进行的修改或补充。</w:t>
            </w:r>
          </w:p>
        </w:tc>
      </w:tr>
      <w:tr>
        <w:tblPrEx>
          <w:tblLayout w:type="fixed"/>
          <w:tblCellMar>
            <w:top w:w="0" w:type="dxa"/>
            <w:left w:w="70" w:type="dxa"/>
            <w:bottom w:w="0" w:type="dxa"/>
            <w:right w:w="70" w:type="dxa"/>
          </w:tblCellMar>
        </w:tblPrEx>
        <w:tc>
          <w:tcPr>
            <w:tcW w:w="3003" w:type="dxa"/>
          </w:tcPr>
          <w:p>
            <w:pPr>
              <w:spacing w:before="120" w:after="120" w:afterLines="50"/>
              <w:ind w:left="98" w:right="170" w:hanging="98"/>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“竣工验收”</w:t>
            </w:r>
          </w:p>
        </w:tc>
        <w:tc>
          <w:tcPr>
            <w:tcW w:w="6069"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具有第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_Ref447620899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8.4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条规定的含义。</w:t>
            </w:r>
          </w:p>
        </w:tc>
      </w:tr>
      <w:tr>
        <w:tblPrEx>
          <w:tblLayout w:type="fixed"/>
          <w:tblCellMar>
            <w:top w:w="0" w:type="dxa"/>
            <w:left w:w="70" w:type="dxa"/>
            <w:bottom w:w="0" w:type="dxa"/>
            <w:right w:w="70" w:type="dxa"/>
          </w:tblCellMar>
        </w:tblPrEx>
        <w:tc>
          <w:tcPr>
            <w:tcW w:w="3003" w:type="dxa"/>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“工作日”</w:t>
            </w:r>
          </w:p>
        </w:tc>
        <w:tc>
          <w:tcPr>
            <w:tcW w:w="6069" w:type="dxa"/>
            <w:vAlign w:val="center"/>
          </w:tcPr>
          <w:p>
            <w:pPr>
              <w:pStyle w:val="26"/>
              <w:widowControl w:val="0"/>
              <w:spacing w:before="120" w:after="120" w:afterLines="50"/>
              <w:rPr>
                <w:rFonts w:hint="eastAsia" w:asciiTheme="minorEastAsia" w:hAnsiTheme="minorEastAsia" w:eastAsiaTheme="minorEastAsia" w:cstheme="minorEastAsia"/>
                <w:bCs/>
                <w:kern w:val="2"/>
                <w:szCs w:val="24"/>
                <w:lang w:val="en-US"/>
              </w:rPr>
            </w:pPr>
            <w:r>
              <w:rPr>
                <w:rFonts w:hint="eastAsia" w:asciiTheme="minorEastAsia" w:hAnsiTheme="minorEastAsia" w:eastAsiaTheme="minorEastAsia" w:cstheme="minorEastAsia"/>
                <w:bCs/>
                <w:kern w:val="2"/>
                <w:szCs w:val="24"/>
                <w:lang w:val="en-US"/>
              </w:rPr>
              <w:t>指中国法定节假日以外的公历日。</w:t>
            </w:r>
          </w:p>
        </w:tc>
      </w:tr>
      <w:tr>
        <w:tblPrEx>
          <w:tblLayout w:type="fixed"/>
          <w:tblCellMar>
            <w:top w:w="0" w:type="dxa"/>
            <w:left w:w="70" w:type="dxa"/>
            <w:bottom w:w="0" w:type="dxa"/>
            <w:right w:w="70" w:type="dxa"/>
          </w:tblCellMar>
        </w:tblPrEx>
        <w:tc>
          <w:tcPr>
            <w:tcW w:w="3003" w:type="dxa"/>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“运行日”</w:t>
            </w:r>
          </w:p>
        </w:tc>
        <w:tc>
          <w:tcPr>
            <w:tcW w:w="6069" w:type="dxa"/>
            <w:vAlign w:val="center"/>
          </w:tcPr>
          <w:p>
            <w:pPr>
              <w:pStyle w:val="26"/>
              <w:widowControl w:val="0"/>
              <w:spacing w:before="120" w:after="120" w:afterLines="50"/>
              <w:rPr>
                <w:rFonts w:hint="eastAsia" w:asciiTheme="minorEastAsia" w:hAnsiTheme="minorEastAsia" w:eastAsiaTheme="minorEastAsia" w:cstheme="minorEastAsia"/>
                <w:bCs/>
                <w:kern w:val="2"/>
                <w:szCs w:val="24"/>
                <w:lang w:val="en-US"/>
              </w:rPr>
            </w:pPr>
            <w:r>
              <w:rPr>
                <w:rFonts w:hint="eastAsia" w:asciiTheme="minorEastAsia" w:hAnsiTheme="minorEastAsia" w:eastAsiaTheme="minorEastAsia" w:cstheme="minorEastAsia"/>
                <w:bCs/>
                <w:kern w:val="2"/>
                <w:szCs w:val="24"/>
                <w:lang w:val="en-US"/>
              </w:rPr>
              <w:t>指根据第</w:t>
            </w:r>
            <w:r>
              <w:rPr>
                <w:rFonts w:hint="eastAsia" w:asciiTheme="minorEastAsia" w:hAnsiTheme="minorEastAsia" w:eastAsiaTheme="minorEastAsia" w:cstheme="minorEastAsia"/>
                <w:bCs/>
                <w:kern w:val="2"/>
                <w:szCs w:val="24"/>
                <w:lang w:val="en-US"/>
              </w:rPr>
              <w:fldChar w:fldCharType="begin"/>
            </w:r>
            <w:r>
              <w:rPr>
                <w:rFonts w:hint="eastAsia" w:asciiTheme="minorEastAsia" w:hAnsiTheme="minorEastAsia" w:eastAsiaTheme="minorEastAsia" w:cstheme="minorEastAsia"/>
                <w:bCs/>
                <w:kern w:val="2"/>
                <w:szCs w:val="24"/>
                <w:lang w:val="en-US"/>
              </w:rPr>
              <w:instrText xml:space="preserve"> REF _Ref447967034 \r \h  \* MERGEFORMAT </w:instrText>
            </w:r>
            <w:r>
              <w:rPr>
                <w:rFonts w:hint="eastAsia" w:asciiTheme="minorEastAsia" w:hAnsiTheme="minorEastAsia" w:eastAsiaTheme="minorEastAsia" w:cstheme="minorEastAsia"/>
                <w:bCs/>
                <w:kern w:val="2"/>
                <w:szCs w:val="24"/>
                <w:lang w:val="en-US"/>
              </w:rPr>
              <w:fldChar w:fldCharType="separate"/>
            </w:r>
            <w:r>
              <w:rPr>
                <w:rFonts w:hint="eastAsia" w:asciiTheme="minorEastAsia" w:hAnsiTheme="minorEastAsia" w:eastAsiaTheme="minorEastAsia" w:cstheme="minorEastAsia"/>
                <w:bCs/>
                <w:kern w:val="2"/>
                <w:szCs w:val="24"/>
                <w:lang w:val="en-US"/>
              </w:rPr>
              <w:t>10.1</w:t>
            </w:r>
            <w:r>
              <w:rPr>
                <w:rFonts w:hint="eastAsia" w:asciiTheme="minorEastAsia" w:hAnsiTheme="minorEastAsia" w:eastAsiaTheme="minorEastAsia" w:cstheme="minorEastAsia"/>
                <w:bCs/>
                <w:kern w:val="2"/>
                <w:szCs w:val="24"/>
                <w:lang w:val="en-US"/>
              </w:rPr>
              <w:fldChar w:fldCharType="end"/>
            </w:r>
            <w:r>
              <w:rPr>
                <w:rFonts w:hint="eastAsia" w:asciiTheme="minorEastAsia" w:hAnsiTheme="minorEastAsia" w:eastAsiaTheme="minorEastAsia" w:cstheme="minorEastAsia"/>
                <w:bCs/>
                <w:kern w:val="2"/>
                <w:szCs w:val="24"/>
                <w:lang w:val="en-US"/>
              </w:rPr>
              <w:t>条款项目被视为开始运行之日。</w:t>
            </w:r>
          </w:p>
        </w:tc>
      </w:tr>
      <w:tr>
        <w:tblPrEx>
          <w:tblLayout w:type="fixed"/>
          <w:tblCellMar>
            <w:top w:w="0" w:type="dxa"/>
            <w:left w:w="70" w:type="dxa"/>
            <w:bottom w:w="0" w:type="dxa"/>
            <w:right w:w="70" w:type="dxa"/>
          </w:tblCellMar>
        </w:tblPrEx>
        <w:tc>
          <w:tcPr>
            <w:tcW w:w="3003" w:type="dxa"/>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“正式运营日”</w:t>
            </w:r>
          </w:p>
        </w:tc>
        <w:tc>
          <w:tcPr>
            <w:tcW w:w="6069" w:type="dxa"/>
            <w:vAlign w:val="center"/>
          </w:tcPr>
          <w:p>
            <w:pPr>
              <w:pStyle w:val="26"/>
              <w:widowControl w:val="0"/>
              <w:spacing w:before="120" w:after="120" w:afterLines="50"/>
              <w:rPr>
                <w:rFonts w:hint="eastAsia" w:asciiTheme="minorEastAsia" w:hAnsiTheme="minorEastAsia" w:eastAsiaTheme="minorEastAsia" w:cstheme="minorEastAsia"/>
                <w:bCs/>
                <w:kern w:val="2"/>
                <w:szCs w:val="24"/>
                <w:lang w:val="en-US"/>
              </w:rPr>
            </w:pPr>
            <w:r>
              <w:rPr>
                <w:rFonts w:hint="eastAsia" w:asciiTheme="minorEastAsia" w:hAnsiTheme="minorEastAsia" w:eastAsiaTheme="minorEastAsia" w:cstheme="minorEastAsia"/>
                <w:bCs/>
                <w:kern w:val="2"/>
                <w:szCs w:val="24"/>
                <w:lang w:val="en-US"/>
              </w:rPr>
              <w:t>指根据第</w:t>
            </w:r>
            <w:r>
              <w:rPr>
                <w:rFonts w:hint="eastAsia" w:asciiTheme="minorEastAsia" w:hAnsiTheme="minorEastAsia" w:eastAsiaTheme="minorEastAsia" w:cstheme="minorEastAsia"/>
                <w:bCs/>
                <w:kern w:val="2"/>
                <w:szCs w:val="24"/>
                <w:lang w:val="en-US"/>
              </w:rPr>
              <w:fldChar w:fldCharType="begin"/>
            </w:r>
            <w:r>
              <w:rPr>
                <w:rFonts w:hint="eastAsia" w:asciiTheme="minorEastAsia" w:hAnsiTheme="minorEastAsia" w:eastAsiaTheme="minorEastAsia" w:cstheme="minorEastAsia"/>
                <w:bCs/>
                <w:kern w:val="2"/>
                <w:szCs w:val="24"/>
                <w:lang w:val="en-US"/>
              </w:rPr>
              <w:instrText xml:space="preserve"> REF _Ref447967045 \r \h  \* MERGEFORMAT </w:instrText>
            </w:r>
            <w:r>
              <w:rPr>
                <w:rFonts w:hint="eastAsia" w:asciiTheme="minorEastAsia" w:hAnsiTheme="minorEastAsia" w:eastAsiaTheme="minorEastAsia" w:cstheme="minorEastAsia"/>
                <w:bCs/>
                <w:kern w:val="2"/>
                <w:szCs w:val="24"/>
                <w:lang w:val="en-US"/>
              </w:rPr>
              <w:fldChar w:fldCharType="separate"/>
            </w:r>
            <w:r>
              <w:rPr>
                <w:rFonts w:hint="eastAsia" w:asciiTheme="minorEastAsia" w:hAnsiTheme="minorEastAsia" w:eastAsiaTheme="minorEastAsia" w:cstheme="minorEastAsia"/>
                <w:bCs/>
                <w:kern w:val="2"/>
                <w:szCs w:val="24"/>
                <w:lang w:val="en-US"/>
              </w:rPr>
              <w:t>10.2</w:t>
            </w:r>
            <w:r>
              <w:rPr>
                <w:rFonts w:hint="eastAsia" w:asciiTheme="minorEastAsia" w:hAnsiTheme="minorEastAsia" w:eastAsiaTheme="minorEastAsia" w:cstheme="minorEastAsia"/>
                <w:bCs/>
                <w:kern w:val="2"/>
                <w:szCs w:val="24"/>
                <w:lang w:val="en-US"/>
              </w:rPr>
              <w:fldChar w:fldCharType="end"/>
            </w:r>
            <w:r>
              <w:rPr>
                <w:rFonts w:hint="eastAsia" w:asciiTheme="minorEastAsia" w:hAnsiTheme="minorEastAsia" w:eastAsiaTheme="minorEastAsia" w:cstheme="minorEastAsia"/>
                <w:bCs/>
                <w:kern w:val="2"/>
                <w:szCs w:val="24"/>
                <w:lang w:val="en-US"/>
              </w:rPr>
              <w:t>条项目被视为开始运营之日。</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“会计年度”</w:t>
            </w:r>
          </w:p>
        </w:tc>
        <w:tc>
          <w:tcPr>
            <w:tcW w:w="6069" w:type="dxa"/>
            <w:vAlign w:val="center"/>
          </w:tcPr>
          <w:p>
            <w:pPr>
              <w:spacing w:before="120" w:after="120" w:afterLines="50"/>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指项目公司从每年一月一日起至十二月三十一日止。项目公司第一个会计年度应自项目公司营业执照签发之日至同年十二月三十一日。</w:t>
            </w:r>
          </w:p>
        </w:tc>
      </w:tr>
      <w:tr>
        <w:tblPrEx>
          <w:tblLayout w:type="fixed"/>
          <w:tblCellMar>
            <w:top w:w="0" w:type="dxa"/>
            <w:left w:w="70" w:type="dxa"/>
            <w:bottom w:w="0" w:type="dxa"/>
            <w:right w:w="70" w:type="dxa"/>
          </w:tblCellMar>
        </w:tblPrEx>
        <w:tc>
          <w:tcPr>
            <w:tcW w:w="3003" w:type="dxa"/>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“谨慎运营惯例”</w:t>
            </w:r>
          </w:p>
        </w:tc>
        <w:tc>
          <w:tcPr>
            <w:tcW w:w="6069" w:type="dxa"/>
            <w:vAlign w:val="center"/>
          </w:tcPr>
          <w:p>
            <w:pPr>
              <w:pStyle w:val="26"/>
              <w:widowControl w:val="0"/>
              <w:tabs>
                <w:tab w:val="clear" w:pos="4153"/>
                <w:tab w:val="clear" w:pos="8306"/>
              </w:tabs>
              <w:spacing w:before="120" w:after="120" w:afterLines="50"/>
              <w:rPr>
                <w:rFonts w:hint="eastAsia" w:asciiTheme="minorEastAsia" w:hAnsiTheme="minorEastAsia" w:eastAsiaTheme="minorEastAsia" w:cstheme="minorEastAsia"/>
                <w:kern w:val="2"/>
                <w:szCs w:val="24"/>
                <w:lang w:val="en-US"/>
              </w:rPr>
            </w:pPr>
            <w:r>
              <w:rPr>
                <w:rFonts w:hint="eastAsia" w:asciiTheme="minorEastAsia" w:hAnsiTheme="minorEastAsia" w:eastAsiaTheme="minorEastAsia" w:cstheme="minorEastAsia"/>
                <w:bCs/>
                <w:kern w:val="2"/>
                <w:szCs w:val="24"/>
                <w:lang w:val="en-US"/>
              </w:rPr>
              <w:t>指根据适用法律的规定应遵守的运营惯例和在中国的大部分城市地下综合管廊运营者为运营维护同类城市地下综合管廊所通常采用或接受的惯例、方法和做法以及通行的国际惯例和方法。</w:t>
            </w:r>
          </w:p>
        </w:tc>
      </w:tr>
      <w:tr>
        <w:tblPrEx>
          <w:tblLayout w:type="fixed"/>
          <w:tblCellMar>
            <w:top w:w="0" w:type="dxa"/>
            <w:left w:w="70" w:type="dxa"/>
            <w:bottom w:w="0" w:type="dxa"/>
            <w:right w:w="70" w:type="dxa"/>
          </w:tblCellMar>
        </w:tblPrEx>
        <w:tc>
          <w:tcPr>
            <w:tcW w:w="3003" w:type="dxa"/>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“运营维护手册”</w:t>
            </w:r>
          </w:p>
        </w:tc>
        <w:tc>
          <w:tcPr>
            <w:tcW w:w="6069" w:type="dxa"/>
            <w:vAlign w:val="center"/>
          </w:tcPr>
          <w:p>
            <w:pPr>
              <w:pStyle w:val="26"/>
              <w:widowControl w:val="0"/>
              <w:tabs>
                <w:tab w:val="clear" w:pos="4153"/>
                <w:tab w:val="clear" w:pos="8306"/>
              </w:tabs>
              <w:spacing w:before="120" w:after="120" w:afterLines="50"/>
              <w:rPr>
                <w:rFonts w:hint="eastAsia" w:asciiTheme="minorEastAsia" w:hAnsiTheme="minorEastAsia" w:eastAsiaTheme="minorEastAsia" w:cstheme="minorEastAsia"/>
                <w:bCs/>
                <w:kern w:val="2"/>
                <w:szCs w:val="24"/>
                <w:lang w:val="en-US"/>
              </w:rPr>
            </w:pPr>
            <w:r>
              <w:rPr>
                <w:rFonts w:hint="eastAsia" w:asciiTheme="minorEastAsia" w:hAnsiTheme="minorEastAsia" w:eastAsiaTheme="minorEastAsia" w:cstheme="minorEastAsia"/>
                <w:bCs/>
                <w:kern w:val="2"/>
                <w:szCs w:val="24"/>
                <w:lang w:val="en-US"/>
              </w:rPr>
              <w:t>指根据第</w:t>
            </w:r>
            <w:r>
              <w:rPr>
                <w:rFonts w:hint="eastAsia" w:asciiTheme="minorEastAsia" w:hAnsiTheme="minorEastAsia" w:eastAsiaTheme="minorEastAsia" w:cstheme="minorEastAsia"/>
                <w:bCs/>
                <w:kern w:val="2"/>
                <w:szCs w:val="24"/>
                <w:lang w:val="en-US"/>
              </w:rPr>
              <w:fldChar w:fldCharType="begin"/>
            </w:r>
            <w:r>
              <w:rPr>
                <w:rFonts w:hint="eastAsia" w:asciiTheme="minorEastAsia" w:hAnsiTheme="minorEastAsia" w:eastAsiaTheme="minorEastAsia" w:cstheme="minorEastAsia"/>
                <w:bCs/>
                <w:kern w:val="2"/>
                <w:szCs w:val="24"/>
                <w:lang w:val="en-US"/>
              </w:rPr>
              <w:instrText xml:space="preserve"> REF _Ref447620949 \r \h  \* MERGEFORMAT </w:instrText>
            </w:r>
            <w:r>
              <w:rPr>
                <w:rFonts w:hint="eastAsia" w:asciiTheme="minorEastAsia" w:hAnsiTheme="minorEastAsia" w:eastAsiaTheme="minorEastAsia" w:cstheme="minorEastAsia"/>
                <w:bCs/>
                <w:kern w:val="2"/>
                <w:szCs w:val="24"/>
                <w:lang w:val="en-US"/>
              </w:rPr>
              <w:fldChar w:fldCharType="separate"/>
            </w:r>
            <w:r>
              <w:rPr>
                <w:rFonts w:hint="eastAsia" w:asciiTheme="minorEastAsia" w:hAnsiTheme="minorEastAsia" w:eastAsiaTheme="minorEastAsia" w:cstheme="minorEastAsia"/>
                <w:bCs/>
                <w:kern w:val="2"/>
                <w:szCs w:val="24"/>
                <w:lang w:val="en-US"/>
              </w:rPr>
              <w:t>11.5</w:t>
            </w:r>
            <w:r>
              <w:rPr>
                <w:rFonts w:hint="eastAsia" w:asciiTheme="minorEastAsia" w:hAnsiTheme="minorEastAsia" w:eastAsiaTheme="minorEastAsia" w:cstheme="minorEastAsia"/>
                <w:bCs/>
                <w:kern w:val="2"/>
                <w:szCs w:val="24"/>
                <w:lang w:val="en-US"/>
              </w:rPr>
              <w:fldChar w:fldCharType="end"/>
            </w:r>
            <w:r>
              <w:rPr>
                <w:rFonts w:hint="eastAsia" w:asciiTheme="minorEastAsia" w:hAnsiTheme="minorEastAsia" w:eastAsiaTheme="minorEastAsia" w:cstheme="minorEastAsia"/>
                <w:bCs/>
                <w:kern w:val="2"/>
                <w:szCs w:val="24"/>
                <w:lang w:val="en-US"/>
              </w:rPr>
              <w:t>条编制的运营维护手册。</w:t>
            </w:r>
          </w:p>
        </w:tc>
      </w:tr>
      <w:tr>
        <w:tblPrEx>
          <w:tblLayout w:type="fixed"/>
          <w:tblCellMar>
            <w:top w:w="0" w:type="dxa"/>
            <w:left w:w="70" w:type="dxa"/>
            <w:bottom w:w="0" w:type="dxa"/>
            <w:right w:w="70" w:type="dxa"/>
          </w:tblCellMar>
        </w:tblPrEx>
        <w:tc>
          <w:tcPr>
            <w:tcW w:w="3003" w:type="dxa"/>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“约定年度运营维护成本”</w:t>
            </w:r>
          </w:p>
        </w:tc>
        <w:tc>
          <w:tcPr>
            <w:tcW w:w="6069" w:type="dxa"/>
            <w:vAlign w:val="center"/>
          </w:tcPr>
          <w:p>
            <w:pPr>
              <w:pStyle w:val="26"/>
              <w:widowControl w:val="0"/>
              <w:tabs>
                <w:tab w:val="clear" w:pos="4153"/>
                <w:tab w:val="clear" w:pos="8306"/>
              </w:tabs>
              <w:spacing w:before="120" w:after="120" w:afterLines="50"/>
              <w:rPr>
                <w:rFonts w:hint="eastAsia" w:asciiTheme="minorEastAsia" w:hAnsiTheme="minorEastAsia" w:eastAsiaTheme="minorEastAsia" w:cstheme="minorEastAsia"/>
                <w:bCs/>
                <w:kern w:val="2"/>
                <w:szCs w:val="24"/>
                <w:lang w:val="en-US"/>
              </w:rPr>
            </w:pPr>
            <w:r>
              <w:rPr>
                <w:rFonts w:hint="eastAsia" w:asciiTheme="minorEastAsia" w:hAnsiTheme="minorEastAsia" w:eastAsiaTheme="minorEastAsia" w:cstheme="minorEastAsia"/>
                <w:bCs/>
                <w:kern w:val="2"/>
                <w:szCs w:val="24"/>
                <w:lang w:val="en-US"/>
              </w:rPr>
              <w:t>是指项目公司维持地下综合管廊正常运转所支付的职工薪酬、运营维护支出（包括电费、维修费、营运费用等）和管理费用等各项成本费用水平（不包括折旧摊销和财务费用等）的年度约定值，根据</w:t>
            </w:r>
            <w:r>
              <w:rPr>
                <w:rFonts w:hint="eastAsia" w:asciiTheme="minorEastAsia" w:hAnsiTheme="minorEastAsia" w:eastAsiaTheme="minorEastAsia" w:cstheme="minorEastAsia"/>
                <w:bCs/>
                <w:kern w:val="2"/>
                <w:szCs w:val="24"/>
                <w:u w:val="single"/>
                <w:lang w:val="en-US"/>
              </w:rPr>
              <w:t>附件2</w:t>
            </w:r>
            <w:r>
              <w:rPr>
                <w:rFonts w:hint="eastAsia" w:asciiTheme="minorEastAsia" w:hAnsiTheme="minorEastAsia" w:eastAsiaTheme="minorEastAsia" w:cstheme="minorEastAsia"/>
                <w:bCs/>
                <w:kern w:val="2"/>
                <w:szCs w:val="24"/>
                <w:lang w:val="en-US"/>
              </w:rPr>
              <w:t>《调价公式》计算运营维护期各年的约定年度运营维护成本，用于核算本项目的可行性缺口补助。</w:t>
            </w:r>
          </w:p>
        </w:tc>
      </w:tr>
      <w:tr>
        <w:tblPrEx>
          <w:tblLayout w:type="fixed"/>
          <w:tblCellMar>
            <w:top w:w="0" w:type="dxa"/>
            <w:left w:w="70" w:type="dxa"/>
            <w:bottom w:w="0" w:type="dxa"/>
            <w:right w:w="70" w:type="dxa"/>
          </w:tblCellMar>
        </w:tblPrEx>
        <w:tc>
          <w:tcPr>
            <w:tcW w:w="3003" w:type="dxa"/>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“建设履约独立保函”</w:t>
            </w:r>
          </w:p>
        </w:tc>
        <w:tc>
          <w:tcPr>
            <w:tcW w:w="6069" w:type="dxa"/>
            <w:vAlign w:val="center"/>
          </w:tcPr>
          <w:p>
            <w:pPr>
              <w:pStyle w:val="26"/>
              <w:widowControl w:val="0"/>
              <w:tabs>
                <w:tab w:val="clear" w:pos="4153"/>
                <w:tab w:val="clear" w:pos="8306"/>
              </w:tabs>
              <w:spacing w:before="120" w:after="120" w:afterLines="50"/>
              <w:rPr>
                <w:rFonts w:hint="eastAsia" w:asciiTheme="minorEastAsia" w:hAnsiTheme="minorEastAsia" w:eastAsiaTheme="minorEastAsia" w:cstheme="minorEastAsia"/>
                <w:bCs/>
                <w:kern w:val="2"/>
                <w:szCs w:val="24"/>
                <w:lang w:val="en-US"/>
              </w:rPr>
            </w:pPr>
            <w:r>
              <w:rPr>
                <w:rFonts w:hint="eastAsia" w:asciiTheme="minorEastAsia" w:hAnsiTheme="minorEastAsia" w:eastAsiaTheme="minorEastAsia" w:cstheme="minorEastAsia"/>
                <w:bCs/>
                <w:kern w:val="2"/>
                <w:szCs w:val="24"/>
                <w:lang w:val="en-US"/>
              </w:rPr>
              <w:t>指</w:t>
            </w:r>
            <w:r>
              <w:rPr>
                <w:rFonts w:hint="eastAsia" w:asciiTheme="minorEastAsia" w:hAnsiTheme="minorEastAsia" w:eastAsiaTheme="minorEastAsia" w:cstheme="minorEastAsia"/>
                <w:bCs/>
                <w:kern w:val="2"/>
                <w:szCs w:val="24"/>
                <w:lang w:val="en-US" w:eastAsia="zh-CN"/>
              </w:rPr>
              <w:t>社会资本</w:t>
            </w:r>
            <w:r>
              <w:rPr>
                <w:rFonts w:hint="eastAsia" w:asciiTheme="minorEastAsia" w:hAnsiTheme="minorEastAsia" w:eastAsiaTheme="minorEastAsia" w:cstheme="minorEastAsia"/>
                <w:bCs/>
                <w:kern w:val="2"/>
                <w:szCs w:val="24"/>
                <w:lang w:val="en-US"/>
              </w:rPr>
              <w:t>按照第</w:t>
            </w:r>
            <w:r>
              <w:rPr>
                <w:rFonts w:hint="eastAsia" w:asciiTheme="minorEastAsia" w:hAnsiTheme="minorEastAsia" w:eastAsiaTheme="minorEastAsia" w:cstheme="minorEastAsia"/>
                <w:bCs/>
                <w:kern w:val="2"/>
                <w:szCs w:val="24"/>
                <w:lang w:val="en-US"/>
              </w:rPr>
              <w:fldChar w:fldCharType="begin"/>
            </w:r>
            <w:r>
              <w:rPr>
                <w:rFonts w:hint="eastAsia" w:asciiTheme="minorEastAsia" w:hAnsiTheme="minorEastAsia" w:eastAsiaTheme="minorEastAsia" w:cstheme="minorEastAsia"/>
                <w:bCs/>
                <w:kern w:val="2"/>
                <w:szCs w:val="24"/>
                <w:lang w:val="en-US"/>
              </w:rPr>
              <w:instrText xml:space="preserve"> REF _Ref491249225 \r \h </w:instrText>
            </w:r>
            <w:r>
              <w:rPr>
                <w:rFonts w:hint="eastAsia" w:asciiTheme="minorEastAsia" w:hAnsiTheme="minorEastAsia" w:eastAsiaTheme="minorEastAsia" w:cstheme="minorEastAsia"/>
                <w:bCs/>
                <w:kern w:val="2"/>
                <w:szCs w:val="24"/>
                <w:lang w:val="en-US"/>
              </w:rPr>
              <w:fldChar w:fldCharType="separate"/>
            </w:r>
            <w:r>
              <w:rPr>
                <w:rFonts w:hint="eastAsia" w:asciiTheme="minorEastAsia" w:hAnsiTheme="minorEastAsia" w:eastAsiaTheme="minorEastAsia" w:cstheme="minorEastAsia"/>
                <w:bCs/>
                <w:kern w:val="2"/>
                <w:szCs w:val="24"/>
                <w:lang w:val="en-US"/>
              </w:rPr>
              <w:t>15.1</w:t>
            </w:r>
            <w:r>
              <w:rPr>
                <w:rFonts w:hint="eastAsia" w:asciiTheme="minorEastAsia" w:hAnsiTheme="minorEastAsia" w:eastAsiaTheme="minorEastAsia" w:cstheme="minorEastAsia"/>
                <w:bCs/>
                <w:kern w:val="2"/>
                <w:szCs w:val="24"/>
                <w:lang w:val="en-US"/>
              </w:rPr>
              <w:fldChar w:fldCharType="end"/>
            </w:r>
            <w:r>
              <w:rPr>
                <w:rFonts w:hint="eastAsia" w:asciiTheme="minorEastAsia" w:hAnsiTheme="minorEastAsia" w:eastAsiaTheme="minorEastAsia" w:cstheme="minorEastAsia"/>
                <w:bCs/>
                <w:kern w:val="2"/>
                <w:szCs w:val="24"/>
                <w:lang w:val="en-US"/>
              </w:rPr>
              <w:t>条向市</w:t>
            </w:r>
            <w:r>
              <w:rPr>
                <w:rFonts w:hint="eastAsia" w:asciiTheme="minorEastAsia" w:hAnsiTheme="minorEastAsia" w:eastAsiaTheme="minorEastAsia" w:cstheme="minorEastAsia"/>
                <w:bCs/>
                <w:kern w:val="2"/>
                <w:szCs w:val="24"/>
                <w:lang w:val="en-US" w:eastAsia="zh-CN"/>
              </w:rPr>
              <w:t>城管</w:t>
            </w:r>
            <w:r>
              <w:rPr>
                <w:rFonts w:hint="eastAsia" w:asciiTheme="minorEastAsia" w:hAnsiTheme="minorEastAsia" w:eastAsiaTheme="minorEastAsia" w:cstheme="minorEastAsia"/>
                <w:bCs/>
                <w:kern w:val="2"/>
                <w:szCs w:val="24"/>
                <w:lang w:val="en-US"/>
              </w:rPr>
              <w:t>局提交的保函。</w:t>
            </w:r>
          </w:p>
        </w:tc>
      </w:tr>
      <w:tr>
        <w:tblPrEx>
          <w:tblLayout w:type="fixed"/>
          <w:tblCellMar>
            <w:top w:w="0" w:type="dxa"/>
            <w:left w:w="70" w:type="dxa"/>
            <w:bottom w:w="0" w:type="dxa"/>
            <w:right w:w="70" w:type="dxa"/>
          </w:tblCellMar>
        </w:tblPrEx>
        <w:tc>
          <w:tcPr>
            <w:tcW w:w="3003" w:type="dxa"/>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“运营维护独立保函”</w:t>
            </w:r>
          </w:p>
        </w:tc>
        <w:tc>
          <w:tcPr>
            <w:tcW w:w="6069" w:type="dxa"/>
            <w:vAlign w:val="center"/>
          </w:tcPr>
          <w:p>
            <w:pPr>
              <w:pStyle w:val="26"/>
              <w:widowControl w:val="0"/>
              <w:tabs>
                <w:tab w:val="clear" w:pos="4153"/>
                <w:tab w:val="clear" w:pos="8306"/>
              </w:tabs>
              <w:spacing w:before="120" w:after="120" w:afterLines="50"/>
              <w:rPr>
                <w:rFonts w:hint="eastAsia" w:asciiTheme="minorEastAsia" w:hAnsiTheme="minorEastAsia" w:eastAsiaTheme="minorEastAsia" w:cstheme="minorEastAsia"/>
                <w:bCs/>
                <w:kern w:val="2"/>
                <w:szCs w:val="24"/>
                <w:lang w:val="en-US"/>
              </w:rPr>
            </w:pPr>
            <w:r>
              <w:rPr>
                <w:rFonts w:hint="eastAsia" w:asciiTheme="minorEastAsia" w:hAnsiTheme="minorEastAsia" w:eastAsiaTheme="minorEastAsia" w:cstheme="minorEastAsia"/>
                <w:bCs/>
                <w:kern w:val="2"/>
                <w:szCs w:val="24"/>
                <w:lang w:val="en-US"/>
              </w:rPr>
              <w:t>指项目公司按照第</w:t>
            </w:r>
            <w:r>
              <w:rPr>
                <w:rFonts w:hint="eastAsia" w:asciiTheme="minorEastAsia" w:hAnsiTheme="minorEastAsia" w:eastAsiaTheme="minorEastAsia" w:cstheme="minorEastAsia"/>
                <w:bCs/>
                <w:kern w:val="2"/>
                <w:szCs w:val="24"/>
                <w:lang w:val="en-US"/>
              </w:rPr>
              <w:fldChar w:fldCharType="begin"/>
            </w:r>
            <w:r>
              <w:rPr>
                <w:rFonts w:hint="eastAsia" w:asciiTheme="minorEastAsia" w:hAnsiTheme="minorEastAsia" w:eastAsiaTheme="minorEastAsia" w:cstheme="minorEastAsia"/>
                <w:bCs/>
                <w:kern w:val="2"/>
                <w:szCs w:val="24"/>
                <w:lang w:val="en-US"/>
              </w:rPr>
              <w:instrText xml:space="preserve"> REF _Ref491249251 \r \h </w:instrText>
            </w:r>
            <w:r>
              <w:rPr>
                <w:rFonts w:hint="eastAsia" w:asciiTheme="minorEastAsia" w:hAnsiTheme="minorEastAsia" w:eastAsiaTheme="minorEastAsia" w:cstheme="minorEastAsia"/>
                <w:bCs/>
                <w:kern w:val="2"/>
                <w:szCs w:val="24"/>
                <w:lang w:val="en-US"/>
              </w:rPr>
              <w:fldChar w:fldCharType="separate"/>
            </w:r>
            <w:r>
              <w:rPr>
                <w:rFonts w:hint="eastAsia" w:asciiTheme="minorEastAsia" w:hAnsiTheme="minorEastAsia" w:eastAsiaTheme="minorEastAsia" w:cstheme="minorEastAsia"/>
                <w:bCs/>
                <w:kern w:val="2"/>
                <w:szCs w:val="24"/>
                <w:lang w:val="en-US"/>
              </w:rPr>
              <w:t>15.2</w:t>
            </w:r>
            <w:r>
              <w:rPr>
                <w:rFonts w:hint="eastAsia" w:asciiTheme="minorEastAsia" w:hAnsiTheme="minorEastAsia" w:eastAsiaTheme="minorEastAsia" w:cstheme="minorEastAsia"/>
                <w:bCs/>
                <w:kern w:val="2"/>
                <w:szCs w:val="24"/>
                <w:lang w:val="en-US"/>
              </w:rPr>
              <w:fldChar w:fldCharType="end"/>
            </w:r>
            <w:r>
              <w:rPr>
                <w:rFonts w:hint="eastAsia" w:asciiTheme="minorEastAsia" w:hAnsiTheme="minorEastAsia" w:eastAsiaTheme="minorEastAsia" w:cstheme="minorEastAsia"/>
                <w:bCs/>
                <w:kern w:val="2"/>
                <w:szCs w:val="24"/>
                <w:lang w:val="en-US"/>
              </w:rPr>
              <w:t>条向市</w:t>
            </w:r>
            <w:r>
              <w:rPr>
                <w:rFonts w:hint="eastAsia" w:asciiTheme="minorEastAsia" w:hAnsiTheme="minorEastAsia" w:eastAsiaTheme="minorEastAsia" w:cstheme="minorEastAsia"/>
                <w:bCs/>
                <w:kern w:val="2"/>
                <w:szCs w:val="24"/>
                <w:lang w:val="en-US" w:eastAsia="zh-CN"/>
              </w:rPr>
              <w:t>城管</w:t>
            </w:r>
            <w:r>
              <w:rPr>
                <w:rFonts w:hint="eastAsia" w:asciiTheme="minorEastAsia" w:hAnsiTheme="minorEastAsia" w:eastAsiaTheme="minorEastAsia" w:cstheme="minorEastAsia"/>
                <w:bCs/>
                <w:kern w:val="2"/>
                <w:szCs w:val="24"/>
                <w:lang w:val="en-US"/>
              </w:rPr>
              <w:t>局提交的保函。</w:t>
            </w:r>
          </w:p>
        </w:tc>
      </w:tr>
      <w:tr>
        <w:tblPrEx>
          <w:tblLayout w:type="fixed"/>
          <w:tblCellMar>
            <w:top w:w="0" w:type="dxa"/>
            <w:left w:w="70" w:type="dxa"/>
            <w:bottom w:w="0" w:type="dxa"/>
            <w:right w:w="70" w:type="dxa"/>
          </w:tblCellMar>
        </w:tblPrEx>
        <w:tc>
          <w:tcPr>
            <w:tcW w:w="3003" w:type="dxa"/>
          </w:tcPr>
          <w:p>
            <w:pPr>
              <w:spacing w:before="120" w:after="120" w:afterLines="50"/>
              <w:jc w:val="center"/>
              <w:rPr>
                <w:rFonts w:hint="eastAsia" w:asciiTheme="minorEastAsia" w:hAnsiTheme="minorEastAsia" w:eastAsiaTheme="minorEastAsia" w:cstheme="minorEastAsia"/>
                <w:b/>
                <w:lang w:eastAsia="zh-CN"/>
              </w:rPr>
            </w:pPr>
            <w:r>
              <w:rPr>
                <w:rFonts w:hint="eastAsia" w:asciiTheme="minorEastAsia" w:hAnsiTheme="minorEastAsia" w:eastAsiaTheme="minorEastAsia" w:cstheme="minorEastAsia"/>
                <w:b/>
                <w:lang w:eastAsia="zh-CN"/>
              </w:rPr>
              <w:t>“</w:t>
            </w:r>
            <w:r>
              <w:rPr>
                <w:rFonts w:hint="eastAsia" w:asciiTheme="minorEastAsia" w:hAnsiTheme="minorEastAsia" w:eastAsiaTheme="minorEastAsia" w:cstheme="minorEastAsia"/>
                <w:b/>
              </w:rPr>
              <w:t>移交维修独立保函</w:t>
            </w:r>
            <w:r>
              <w:rPr>
                <w:rFonts w:hint="eastAsia" w:asciiTheme="minorEastAsia" w:hAnsiTheme="minorEastAsia" w:eastAsiaTheme="minorEastAsia" w:cstheme="minorEastAsia"/>
                <w:b/>
                <w:lang w:eastAsia="zh-CN"/>
              </w:rPr>
              <w:t>”</w:t>
            </w:r>
          </w:p>
        </w:tc>
        <w:tc>
          <w:tcPr>
            <w:tcW w:w="6069" w:type="dxa"/>
            <w:vAlign w:val="center"/>
          </w:tcPr>
          <w:p>
            <w:pPr>
              <w:pStyle w:val="26"/>
              <w:widowControl w:val="0"/>
              <w:tabs>
                <w:tab w:val="clear" w:pos="4153"/>
                <w:tab w:val="clear" w:pos="8306"/>
              </w:tabs>
              <w:spacing w:before="120" w:after="120" w:afterLines="50"/>
              <w:rPr>
                <w:rFonts w:hint="eastAsia" w:asciiTheme="minorEastAsia" w:hAnsiTheme="minorEastAsia" w:eastAsiaTheme="minorEastAsia" w:cstheme="minorEastAsia"/>
                <w:bCs/>
                <w:kern w:val="2"/>
                <w:szCs w:val="24"/>
                <w:lang w:val="en-US"/>
              </w:rPr>
            </w:pPr>
            <w:r>
              <w:rPr>
                <w:rFonts w:hint="eastAsia" w:asciiTheme="minorEastAsia" w:hAnsiTheme="minorEastAsia" w:eastAsiaTheme="minorEastAsia" w:cstheme="minorEastAsia"/>
                <w:bCs/>
                <w:kern w:val="2"/>
                <w:szCs w:val="24"/>
                <w:lang w:val="en-US"/>
              </w:rPr>
              <w:t>指项目公司按照第</w:t>
            </w:r>
            <w:r>
              <w:rPr>
                <w:rFonts w:hint="eastAsia" w:asciiTheme="minorEastAsia" w:hAnsiTheme="minorEastAsia" w:eastAsiaTheme="minorEastAsia" w:cstheme="minorEastAsia"/>
                <w:bCs/>
                <w:kern w:val="2"/>
                <w:szCs w:val="24"/>
                <w:lang w:val="en-US" w:eastAsia="zh-CN"/>
              </w:rPr>
              <w:t>15.3</w:t>
            </w:r>
            <w:r>
              <w:rPr>
                <w:rFonts w:hint="eastAsia" w:asciiTheme="minorEastAsia" w:hAnsiTheme="minorEastAsia" w:eastAsiaTheme="minorEastAsia" w:cstheme="minorEastAsia"/>
                <w:bCs/>
                <w:kern w:val="2"/>
                <w:szCs w:val="24"/>
                <w:lang w:val="en-US"/>
              </w:rPr>
              <w:t>条向市</w:t>
            </w:r>
            <w:r>
              <w:rPr>
                <w:rFonts w:hint="eastAsia" w:asciiTheme="minorEastAsia" w:hAnsiTheme="minorEastAsia" w:eastAsiaTheme="minorEastAsia" w:cstheme="minorEastAsia"/>
                <w:bCs/>
                <w:kern w:val="2"/>
                <w:szCs w:val="24"/>
                <w:lang w:val="en-US" w:eastAsia="zh-CN"/>
              </w:rPr>
              <w:t>城管</w:t>
            </w:r>
            <w:r>
              <w:rPr>
                <w:rFonts w:hint="eastAsia" w:asciiTheme="minorEastAsia" w:hAnsiTheme="minorEastAsia" w:eastAsiaTheme="minorEastAsia" w:cstheme="minorEastAsia"/>
                <w:bCs/>
                <w:kern w:val="2"/>
                <w:szCs w:val="24"/>
                <w:lang w:val="en-US"/>
              </w:rPr>
              <w:t>局提交的保函。</w:t>
            </w:r>
          </w:p>
        </w:tc>
      </w:tr>
      <w:tr>
        <w:tblPrEx>
          <w:tblLayout w:type="fixed"/>
          <w:tblCellMar>
            <w:top w:w="0" w:type="dxa"/>
            <w:left w:w="70" w:type="dxa"/>
            <w:bottom w:w="0" w:type="dxa"/>
            <w:right w:w="70" w:type="dxa"/>
          </w:tblCellMar>
        </w:tblPrEx>
        <w:tc>
          <w:tcPr>
            <w:tcW w:w="3003" w:type="dxa"/>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“法律变更”</w:t>
            </w:r>
          </w:p>
        </w:tc>
        <w:tc>
          <w:tcPr>
            <w:tcW w:w="6069" w:type="dxa"/>
            <w:vAlign w:val="center"/>
          </w:tcPr>
          <w:p>
            <w:pPr>
              <w:pStyle w:val="26"/>
              <w:widowControl w:val="0"/>
              <w:tabs>
                <w:tab w:val="clear" w:pos="4153"/>
                <w:tab w:val="clear" w:pos="8306"/>
              </w:tabs>
              <w:spacing w:before="120" w:after="120" w:afterLines="50"/>
              <w:rPr>
                <w:rFonts w:hint="eastAsia" w:asciiTheme="minorEastAsia" w:hAnsiTheme="minorEastAsia" w:eastAsiaTheme="minorEastAsia" w:cstheme="minorEastAsia"/>
                <w:bCs/>
                <w:kern w:val="2"/>
                <w:szCs w:val="24"/>
                <w:lang w:val="en-US"/>
              </w:rPr>
            </w:pPr>
            <w:r>
              <w:rPr>
                <w:rFonts w:hint="eastAsia" w:asciiTheme="minorEastAsia" w:hAnsiTheme="minorEastAsia" w:eastAsiaTheme="minorEastAsia" w:cstheme="minorEastAsia"/>
                <w:bCs/>
                <w:kern w:val="2"/>
                <w:szCs w:val="24"/>
                <w:lang w:val="en-US"/>
              </w:rPr>
              <w:t>具有第</w:t>
            </w:r>
            <w:r>
              <w:rPr>
                <w:rFonts w:hint="eastAsia" w:asciiTheme="minorEastAsia" w:hAnsiTheme="minorEastAsia" w:eastAsiaTheme="minorEastAsia" w:cstheme="minorEastAsia"/>
                <w:bCs/>
                <w:kern w:val="2"/>
                <w:szCs w:val="24"/>
                <w:lang w:val="en-US"/>
              </w:rPr>
              <w:fldChar w:fldCharType="begin"/>
            </w:r>
            <w:r>
              <w:rPr>
                <w:rFonts w:hint="eastAsia" w:asciiTheme="minorEastAsia" w:hAnsiTheme="minorEastAsia" w:eastAsiaTheme="minorEastAsia" w:cstheme="minorEastAsia"/>
                <w:bCs/>
                <w:kern w:val="2"/>
                <w:szCs w:val="24"/>
                <w:lang w:val="en-US"/>
              </w:rPr>
              <w:instrText xml:space="preserve"> REF _Ref447620997 \r \h  \* MERGEFORMAT </w:instrText>
            </w:r>
            <w:r>
              <w:rPr>
                <w:rFonts w:hint="eastAsia" w:asciiTheme="minorEastAsia" w:hAnsiTheme="minorEastAsia" w:eastAsiaTheme="minorEastAsia" w:cstheme="minorEastAsia"/>
                <w:bCs/>
                <w:kern w:val="2"/>
                <w:szCs w:val="24"/>
                <w:lang w:val="en-US"/>
              </w:rPr>
              <w:fldChar w:fldCharType="separate"/>
            </w:r>
            <w:r>
              <w:rPr>
                <w:rFonts w:hint="eastAsia" w:asciiTheme="minorEastAsia" w:hAnsiTheme="minorEastAsia" w:eastAsiaTheme="minorEastAsia" w:cstheme="minorEastAsia"/>
                <w:bCs/>
                <w:kern w:val="2"/>
                <w:szCs w:val="24"/>
                <w:lang w:val="en-US"/>
              </w:rPr>
              <w:t>18.1</w:t>
            </w:r>
            <w:r>
              <w:rPr>
                <w:rFonts w:hint="eastAsia" w:asciiTheme="minorEastAsia" w:hAnsiTheme="minorEastAsia" w:eastAsiaTheme="minorEastAsia" w:cstheme="minorEastAsia"/>
                <w:bCs/>
                <w:kern w:val="2"/>
                <w:szCs w:val="24"/>
                <w:lang w:val="en-US"/>
              </w:rPr>
              <w:fldChar w:fldCharType="end"/>
            </w:r>
            <w:r>
              <w:rPr>
                <w:rFonts w:hint="eastAsia" w:asciiTheme="minorEastAsia" w:hAnsiTheme="minorEastAsia" w:eastAsiaTheme="minorEastAsia" w:cstheme="minorEastAsia"/>
                <w:bCs/>
                <w:kern w:val="2"/>
                <w:szCs w:val="24"/>
                <w:lang w:val="en-US"/>
              </w:rPr>
              <w:t>条规定的含义。</w:t>
            </w:r>
          </w:p>
        </w:tc>
      </w:tr>
      <w:tr>
        <w:tblPrEx>
          <w:tblLayout w:type="fixed"/>
          <w:tblCellMar>
            <w:top w:w="0" w:type="dxa"/>
            <w:left w:w="70" w:type="dxa"/>
            <w:bottom w:w="0" w:type="dxa"/>
            <w:right w:w="70" w:type="dxa"/>
          </w:tblCellMar>
        </w:tblPrEx>
        <w:tc>
          <w:tcPr>
            <w:tcW w:w="3003" w:type="dxa"/>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“不可抗力”</w:t>
            </w:r>
          </w:p>
        </w:tc>
        <w:tc>
          <w:tcPr>
            <w:tcW w:w="6069" w:type="dxa"/>
            <w:vAlign w:val="center"/>
          </w:tcPr>
          <w:p>
            <w:pPr>
              <w:pStyle w:val="26"/>
              <w:widowControl w:val="0"/>
              <w:tabs>
                <w:tab w:val="clear" w:pos="4153"/>
                <w:tab w:val="clear" w:pos="8306"/>
              </w:tabs>
              <w:spacing w:before="120" w:after="120" w:afterLines="50"/>
              <w:rPr>
                <w:rFonts w:hint="eastAsia" w:asciiTheme="minorEastAsia" w:hAnsiTheme="minorEastAsia" w:eastAsiaTheme="minorEastAsia" w:cstheme="minorEastAsia"/>
                <w:bCs/>
                <w:kern w:val="2"/>
                <w:szCs w:val="24"/>
                <w:lang w:val="en-US"/>
              </w:rPr>
            </w:pPr>
            <w:r>
              <w:rPr>
                <w:rFonts w:hint="eastAsia" w:asciiTheme="minorEastAsia" w:hAnsiTheme="minorEastAsia" w:eastAsiaTheme="minorEastAsia" w:cstheme="minorEastAsia"/>
                <w:bCs/>
                <w:kern w:val="2"/>
                <w:szCs w:val="24"/>
                <w:lang w:val="en-US"/>
              </w:rPr>
              <w:t>指第</w:t>
            </w:r>
            <w:r>
              <w:rPr>
                <w:rStyle w:val="44"/>
                <w:rFonts w:hint="eastAsia" w:asciiTheme="minorEastAsia" w:hAnsiTheme="minorEastAsia" w:eastAsiaTheme="minorEastAsia" w:cstheme="minorEastAsia"/>
                <w:color w:val="auto"/>
                <w:lang w:val="en-US"/>
              </w:rPr>
              <w:fldChar w:fldCharType="begin"/>
            </w:r>
            <w:r>
              <w:rPr>
                <w:rFonts w:hint="eastAsia" w:asciiTheme="minorEastAsia" w:hAnsiTheme="minorEastAsia" w:eastAsiaTheme="minorEastAsia" w:cstheme="minorEastAsia"/>
                <w:bCs/>
                <w:kern w:val="2"/>
                <w:szCs w:val="24"/>
                <w:lang w:val="en-US"/>
              </w:rPr>
              <w:instrText xml:space="preserve"> REF _Ref447621018 \r \h </w:instrText>
            </w:r>
            <w:r>
              <w:rPr>
                <w:rStyle w:val="44"/>
                <w:rFonts w:hint="eastAsia" w:asciiTheme="minorEastAsia" w:hAnsiTheme="minorEastAsia" w:eastAsiaTheme="minorEastAsia" w:cstheme="minorEastAsia"/>
                <w:color w:val="auto"/>
                <w:lang w:val="en-US"/>
              </w:rPr>
              <w:instrText xml:space="preserve"> \* MERGEFORMAT </w:instrText>
            </w:r>
            <w:r>
              <w:rPr>
                <w:rStyle w:val="44"/>
                <w:rFonts w:hint="eastAsia" w:asciiTheme="minorEastAsia" w:hAnsiTheme="minorEastAsia" w:eastAsiaTheme="minorEastAsia" w:cstheme="minorEastAsia"/>
                <w:color w:val="auto"/>
                <w:lang w:val="en-US"/>
              </w:rPr>
              <w:fldChar w:fldCharType="separate"/>
            </w:r>
            <w:r>
              <w:rPr>
                <w:rFonts w:hint="eastAsia" w:asciiTheme="minorEastAsia" w:hAnsiTheme="minorEastAsia" w:eastAsiaTheme="minorEastAsia" w:cstheme="minorEastAsia"/>
                <w:bCs/>
                <w:kern w:val="2"/>
                <w:szCs w:val="24"/>
                <w:lang w:val="en-US"/>
              </w:rPr>
              <w:t>19.1</w:t>
            </w:r>
            <w:r>
              <w:rPr>
                <w:rStyle w:val="44"/>
                <w:rFonts w:hint="eastAsia" w:asciiTheme="minorEastAsia" w:hAnsiTheme="minorEastAsia" w:eastAsiaTheme="minorEastAsia" w:cstheme="minorEastAsia"/>
                <w:color w:val="auto"/>
                <w:lang w:val="en-US"/>
              </w:rPr>
              <w:fldChar w:fldCharType="end"/>
            </w:r>
            <w:r>
              <w:rPr>
                <w:rFonts w:hint="eastAsia" w:asciiTheme="minorEastAsia" w:hAnsiTheme="minorEastAsia" w:eastAsiaTheme="minorEastAsia" w:cstheme="minorEastAsia"/>
                <w:bCs/>
                <w:kern w:val="2"/>
                <w:szCs w:val="24"/>
              </w:rPr>
              <w:t>条</w:t>
            </w:r>
            <w:r>
              <w:rPr>
                <w:rFonts w:hint="eastAsia" w:asciiTheme="minorEastAsia" w:hAnsiTheme="minorEastAsia" w:eastAsiaTheme="minorEastAsia" w:cstheme="minorEastAsia"/>
                <w:bCs/>
                <w:kern w:val="2"/>
                <w:szCs w:val="24"/>
                <w:lang w:val="en-US"/>
              </w:rPr>
              <w:t>所规定的事件。</w:t>
            </w:r>
          </w:p>
        </w:tc>
      </w:tr>
      <w:tr>
        <w:tblPrEx>
          <w:tblLayout w:type="fixed"/>
          <w:tblCellMar>
            <w:top w:w="0" w:type="dxa"/>
            <w:left w:w="70" w:type="dxa"/>
            <w:bottom w:w="0" w:type="dxa"/>
            <w:right w:w="70" w:type="dxa"/>
          </w:tblCellMar>
        </w:tblPrEx>
        <w:tc>
          <w:tcPr>
            <w:tcW w:w="3003" w:type="dxa"/>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“正常终止日”</w:t>
            </w:r>
          </w:p>
        </w:tc>
        <w:tc>
          <w:tcPr>
            <w:tcW w:w="6069" w:type="dxa"/>
            <w:vAlign w:val="center"/>
          </w:tcPr>
          <w:p>
            <w:pPr>
              <w:pStyle w:val="26"/>
              <w:widowControl w:val="0"/>
              <w:tabs>
                <w:tab w:val="clear" w:pos="4153"/>
                <w:tab w:val="clear" w:pos="8306"/>
              </w:tabs>
              <w:spacing w:before="120" w:after="120" w:afterLines="50"/>
              <w:rPr>
                <w:rFonts w:hint="eastAsia" w:asciiTheme="minorEastAsia" w:hAnsiTheme="minorEastAsia" w:eastAsiaTheme="minorEastAsia" w:cstheme="minorEastAsia"/>
                <w:bCs/>
                <w:kern w:val="2"/>
                <w:szCs w:val="24"/>
                <w:lang w:val="en-US"/>
              </w:rPr>
            </w:pPr>
            <w:r>
              <w:rPr>
                <w:rFonts w:hint="eastAsia" w:asciiTheme="minorEastAsia" w:hAnsiTheme="minorEastAsia" w:eastAsiaTheme="minorEastAsia" w:cstheme="minorEastAsia"/>
                <w:bCs/>
                <w:kern w:val="2"/>
                <w:szCs w:val="24"/>
                <w:lang w:val="en-US"/>
              </w:rPr>
              <w:t>具有第</w:t>
            </w:r>
            <w:r>
              <w:rPr>
                <w:rFonts w:hint="eastAsia" w:asciiTheme="minorEastAsia" w:hAnsiTheme="minorEastAsia" w:eastAsiaTheme="minorEastAsia" w:cstheme="minorEastAsia"/>
                <w:bCs/>
                <w:kern w:val="2"/>
                <w:szCs w:val="24"/>
                <w:lang w:val="en-US"/>
              </w:rPr>
              <w:fldChar w:fldCharType="begin"/>
            </w:r>
            <w:r>
              <w:rPr>
                <w:rFonts w:hint="eastAsia" w:asciiTheme="minorEastAsia" w:hAnsiTheme="minorEastAsia" w:eastAsiaTheme="minorEastAsia" w:cstheme="minorEastAsia"/>
                <w:bCs/>
                <w:kern w:val="2"/>
                <w:szCs w:val="24"/>
                <w:lang w:val="en-US"/>
              </w:rPr>
              <w:instrText xml:space="preserve"> REF _Ref447621055 \r \h  \* MERGEFORMAT </w:instrText>
            </w:r>
            <w:r>
              <w:rPr>
                <w:rFonts w:hint="eastAsia" w:asciiTheme="minorEastAsia" w:hAnsiTheme="minorEastAsia" w:eastAsiaTheme="minorEastAsia" w:cstheme="minorEastAsia"/>
                <w:bCs/>
                <w:kern w:val="2"/>
                <w:szCs w:val="24"/>
                <w:lang w:val="en-US"/>
              </w:rPr>
              <w:fldChar w:fldCharType="separate"/>
            </w:r>
            <w:r>
              <w:rPr>
                <w:rFonts w:hint="eastAsia" w:asciiTheme="minorEastAsia" w:hAnsiTheme="minorEastAsia" w:eastAsiaTheme="minorEastAsia" w:cstheme="minorEastAsia"/>
                <w:bCs/>
                <w:kern w:val="2"/>
                <w:szCs w:val="24"/>
                <w:lang w:val="en-US"/>
              </w:rPr>
              <w:t>22.1</w:t>
            </w:r>
            <w:r>
              <w:rPr>
                <w:rFonts w:hint="eastAsia" w:asciiTheme="minorEastAsia" w:hAnsiTheme="minorEastAsia" w:eastAsiaTheme="minorEastAsia" w:cstheme="minorEastAsia"/>
                <w:bCs/>
                <w:kern w:val="2"/>
                <w:szCs w:val="24"/>
                <w:lang w:val="en-US"/>
              </w:rPr>
              <w:fldChar w:fldCharType="end"/>
            </w:r>
            <w:r>
              <w:rPr>
                <w:rFonts w:hint="eastAsia" w:asciiTheme="minorEastAsia" w:hAnsiTheme="minorEastAsia" w:eastAsiaTheme="minorEastAsia" w:cstheme="minorEastAsia"/>
                <w:bCs/>
                <w:kern w:val="2"/>
                <w:szCs w:val="24"/>
                <w:lang w:val="en-US"/>
              </w:rPr>
              <w:t>条所规定的含义。</w:t>
            </w:r>
          </w:p>
        </w:tc>
      </w:tr>
      <w:tr>
        <w:tblPrEx>
          <w:tblLayout w:type="fixed"/>
          <w:tblCellMar>
            <w:top w:w="0" w:type="dxa"/>
            <w:left w:w="70" w:type="dxa"/>
            <w:bottom w:w="0" w:type="dxa"/>
            <w:right w:w="70" w:type="dxa"/>
          </w:tblCellMar>
        </w:tblPrEx>
        <w:tc>
          <w:tcPr>
            <w:tcW w:w="3003" w:type="dxa"/>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“提前终止日”</w:t>
            </w:r>
          </w:p>
        </w:tc>
        <w:tc>
          <w:tcPr>
            <w:tcW w:w="6069" w:type="dxa"/>
            <w:vAlign w:val="center"/>
          </w:tcPr>
          <w:p>
            <w:pPr>
              <w:pStyle w:val="26"/>
              <w:widowControl w:val="0"/>
              <w:tabs>
                <w:tab w:val="clear" w:pos="4153"/>
                <w:tab w:val="clear" w:pos="8306"/>
              </w:tabs>
              <w:spacing w:before="120" w:after="120" w:afterLines="50"/>
              <w:rPr>
                <w:rFonts w:hint="eastAsia" w:asciiTheme="minorEastAsia" w:hAnsiTheme="minorEastAsia" w:eastAsiaTheme="minorEastAsia" w:cstheme="minorEastAsia"/>
                <w:bCs/>
                <w:kern w:val="2"/>
                <w:szCs w:val="24"/>
                <w:lang w:val="en-US"/>
              </w:rPr>
            </w:pPr>
            <w:r>
              <w:rPr>
                <w:rFonts w:hint="eastAsia" w:asciiTheme="minorEastAsia" w:hAnsiTheme="minorEastAsia" w:eastAsiaTheme="minorEastAsia" w:cstheme="minorEastAsia"/>
                <w:bCs/>
                <w:kern w:val="2"/>
                <w:szCs w:val="24"/>
                <w:lang w:val="en-US"/>
              </w:rPr>
              <w:t>指提前终止通知发出之日或市</w:t>
            </w:r>
            <w:r>
              <w:rPr>
                <w:rFonts w:hint="eastAsia" w:asciiTheme="minorEastAsia" w:hAnsiTheme="minorEastAsia" w:eastAsiaTheme="minorEastAsia" w:cstheme="minorEastAsia"/>
                <w:bCs/>
                <w:kern w:val="2"/>
                <w:szCs w:val="24"/>
                <w:lang w:val="en-US" w:eastAsia="zh-CN"/>
              </w:rPr>
              <w:t>城管</w:t>
            </w:r>
            <w:r>
              <w:rPr>
                <w:rFonts w:hint="eastAsia" w:asciiTheme="minorEastAsia" w:hAnsiTheme="minorEastAsia" w:eastAsiaTheme="minorEastAsia" w:cstheme="minorEastAsia"/>
                <w:bCs/>
                <w:kern w:val="2"/>
                <w:szCs w:val="24"/>
                <w:lang w:val="en-US"/>
              </w:rPr>
              <w:t>局和项目公司就提前终止达成一致之日为提前终止之日。</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“提前终止意向通知”</w:t>
            </w:r>
          </w:p>
        </w:tc>
        <w:tc>
          <w:tcPr>
            <w:tcW w:w="6069" w:type="dxa"/>
            <w:vAlign w:val="center"/>
          </w:tcPr>
          <w:p>
            <w:pPr>
              <w:spacing w:before="120" w:after="120" w:afterLines="50"/>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指根据第</w:t>
            </w:r>
            <w:r>
              <w:rPr>
                <w:rFonts w:hint="eastAsia" w:asciiTheme="minorEastAsia" w:hAnsiTheme="minorEastAsia" w:eastAsiaTheme="minorEastAsia" w:cstheme="minorEastAsia"/>
                <w:bCs/>
              </w:rPr>
              <w:fldChar w:fldCharType="begin"/>
            </w:r>
            <w:r>
              <w:rPr>
                <w:rFonts w:hint="eastAsia" w:asciiTheme="minorEastAsia" w:hAnsiTheme="minorEastAsia" w:eastAsiaTheme="minorEastAsia" w:cstheme="minorEastAsia"/>
                <w:bCs/>
              </w:rPr>
              <w:instrText xml:space="preserve"> REF _Ref447621069 \r \h  \* MERGEFORMAT </w:instrText>
            </w:r>
            <w:r>
              <w:rPr>
                <w:rFonts w:hint="eastAsia" w:asciiTheme="minorEastAsia" w:hAnsiTheme="minorEastAsia" w:eastAsiaTheme="minorEastAsia" w:cstheme="minorEastAsia"/>
                <w:bCs/>
              </w:rPr>
              <w:fldChar w:fldCharType="separate"/>
            </w:r>
            <w:r>
              <w:rPr>
                <w:rFonts w:hint="eastAsia" w:asciiTheme="minorEastAsia" w:hAnsiTheme="minorEastAsia" w:eastAsiaTheme="minorEastAsia" w:cstheme="minorEastAsia"/>
                <w:bCs/>
              </w:rPr>
              <w:t>22.7.1</w:t>
            </w:r>
            <w:r>
              <w:rPr>
                <w:rFonts w:hint="eastAsia" w:asciiTheme="minorEastAsia" w:hAnsiTheme="minorEastAsia" w:eastAsiaTheme="minorEastAsia" w:cstheme="minorEastAsia"/>
                <w:bCs/>
              </w:rPr>
              <w:fldChar w:fldCharType="end"/>
            </w:r>
            <w:r>
              <w:rPr>
                <w:rFonts w:hint="eastAsia" w:asciiTheme="minorEastAsia" w:hAnsiTheme="minorEastAsia" w:eastAsiaTheme="minorEastAsia" w:cstheme="minorEastAsia"/>
                <w:bCs/>
              </w:rPr>
              <w:t>条款发出的通知。</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“提前终止通知”</w:t>
            </w:r>
          </w:p>
        </w:tc>
        <w:tc>
          <w:tcPr>
            <w:tcW w:w="6069" w:type="dxa"/>
            <w:vAlign w:val="center"/>
          </w:tcPr>
          <w:p>
            <w:pPr>
              <w:spacing w:before="120" w:after="120" w:afterLines="50"/>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指根据第</w:t>
            </w:r>
            <w:r>
              <w:rPr>
                <w:rFonts w:hint="eastAsia" w:asciiTheme="minorEastAsia" w:hAnsiTheme="minorEastAsia" w:eastAsiaTheme="minorEastAsia" w:cstheme="minorEastAsia"/>
                <w:bCs/>
              </w:rPr>
              <w:fldChar w:fldCharType="begin"/>
            </w:r>
            <w:r>
              <w:rPr>
                <w:rFonts w:hint="eastAsia" w:asciiTheme="minorEastAsia" w:hAnsiTheme="minorEastAsia" w:eastAsiaTheme="minorEastAsia" w:cstheme="minorEastAsia"/>
                <w:bCs/>
              </w:rPr>
              <w:instrText xml:space="preserve"> REF _Ref447621082 \r \h  \* MERGEFORMAT </w:instrText>
            </w:r>
            <w:r>
              <w:rPr>
                <w:rFonts w:hint="eastAsia" w:asciiTheme="minorEastAsia" w:hAnsiTheme="minorEastAsia" w:eastAsiaTheme="minorEastAsia" w:cstheme="minorEastAsia"/>
                <w:bCs/>
              </w:rPr>
              <w:fldChar w:fldCharType="separate"/>
            </w:r>
            <w:r>
              <w:rPr>
                <w:rFonts w:hint="eastAsia" w:asciiTheme="minorEastAsia" w:hAnsiTheme="minorEastAsia" w:eastAsiaTheme="minorEastAsia" w:cstheme="minorEastAsia"/>
                <w:bCs/>
              </w:rPr>
              <w:t>22.7.2</w:t>
            </w:r>
            <w:r>
              <w:rPr>
                <w:rFonts w:hint="eastAsia" w:asciiTheme="minorEastAsia" w:hAnsiTheme="minorEastAsia" w:eastAsiaTheme="minorEastAsia" w:cstheme="minorEastAsia"/>
                <w:bCs/>
              </w:rPr>
              <w:fldChar w:fldCharType="end"/>
            </w:r>
            <w:r>
              <w:rPr>
                <w:rFonts w:hint="eastAsia" w:asciiTheme="minorEastAsia" w:hAnsiTheme="minorEastAsia" w:eastAsiaTheme="minorEastAsia" w:cstheme="minorEastAsia"/>
                <w:bCs/>
              </w:rPr>
              <w:t>条款发出的通知。</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“缺陷责任期”</w:t>
            </w:r>
          </w:p>
        </w:tc>
        <w:tc>
          <w:tcPr>
            <w:tcW w:w="6069" w:type="dxa"/>
            <w:vAlign w:val="center"/>
          </w:tcPr>
          <w:p>
            <w:pPr>
              <w:spacing w:before="120" w:after="120" w:afterLines="50"/>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指股权移交日起的十二（12）个月。</w:t>
            </w:r>
          </w:p>
        </w:tc>
      </w:tr>
      <w:tr>
        <w:tblPrEx>
          <w:tblLayout w:type="fixed"/>
          <w:tblCellMar>
            <w:top w:w="0" w:type="dxa"/>
            <w:left w:w="70" w:type="dxa"/>
            <w:bottom w:w="0" w:type="dxa"/>
            <w:right w:w="70" w:type="dxa"/>
          </w:tblCellMar>
        </w:tblPrEx>
        <w:tc>
          <w:tcPr>
            <w:tcW w:w="3003" w:type="dxa"/>
          </w:tcPr>
          <w:p>
            <w:pPr>
              <w:spacing w:before="120" w:after="120" w:afterLines="50"/>
              <w:ind w:left="125" w:right="17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“股权移交日”</w:t>
            </w:r>
          </w:p>
        </w:tc>
        <w:tc>
          <w:tcPr>
            <w:tcW w:w="6069" w:type="dxa"/>
            <w:vAlign w:val="center"/>
          </w:tcPr>
          <w:p>
            <w:pPr>
              <w:spacing w:before="120" w:after="120" w:afterLines="50"/>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指合作期结束之日的次日，或经市政府指定机构和社会资本方书面同意的其他日期。</w:t>
            </w:r>
          </w:p>
        </w:tc>
      </w:tr>
    </w:tbl>
    <w:p>
      <w:pPr>
        <w:pStyle w:val="3"/>
        <w:keepNext w:val="0"/>
        <w:widowControl w:val="0"/>
        <w:spacing w:before="120" w:beforeLines="50" w:afterLines="50"/>
        <w:rPr>
          <w:rFonts w:hint="eastAsia" w:asciiTheme="minorEastAsia" w:hAnsiTheme="minorEastAsia" w:eastAsiaTheme="minorEastAsia" w:cstheme="minorEastAsia"/>
          <w:color w:val="auto"/>
        </w:rPr>
      </w:pPr>
      <w:bookmarkStart w:id="38" w:name="_Toc50860348"/>
      <w:bookmarkStart w:id="39" w:name="_Toc51225599"/>
      <w:bookmarkStart w:id="40" w:name="_Toc239861023"/>
      <w:bookmarkStart w:id="41" w:name="_Toc51213921"/>
      <w:bookmarkStart w:id="42" w:name="_Toc50453928"/>
      <w:bookmarkStart w:id="43" w:name="_Toc50861717"/>
      <w:bookmarkStart w:id="44" w:name="_Toc7749"/>
      <w:bookmarkStart w:id="45" w:name="_Toc50861853"/>
      <w:bookmarkStart w:id="46" w:name="_Toc27163"/>
      <w:bookmarkStart w:id="47" w:name="_Toc13335"/>
      <w:r>
        <w:rPr>
          <w:rFonts w:hint="eastAsia" w:asciiTheme="minorEastAsia" w:hAnsiTheme="minorEastAsia" w:eastAsiaTheme="minorEastAsia" w:cstheme="minorEastAsia"/>
          <w:color w:val="auto"/>
        </w:rPr>
        <w:t>释义</w:t>
      </w:r>
      <w:bookmarkEnd w:id="38"/>
      <w:bookmarkEnd w:id="39"/>
      <w:bookmarkEnd w:id="40"/>
      <w:bookmarkEnd w:id="41"/>
      <w:bookmarkEnd w:id="42"/>
      <w:bookmarkEnd w:id="43"/>
      <w:bookmarkEnd w:id="44"/>
      <w:bookmarkEnd w:id="45"/>
      <w:bookmarkEnd w:id="46"/>
      <w:bookmarkEnd w:id="47"/>
    </w:p>
    <w:p>
      <w:pPr>
        <w:pStyle w:val="5"/>
        <w:rPr>
          <w:rFonts w:hint="eastAsia" w:asciiTheme="minorEastAsia" w:hAnsiTheme="minorEastAsia" w:eastAsiaTheme="minorEastAsia" w:cstheme="minorEastAsia"/>
          <w:color w:val="auto"/>
        </w:rPr>
      </w:pPr>
      <w:bookmarkStart w:id="48" w:name="_Ref87781732"/>
      <w:r>
        <w:rPr>
          <w:rFonts w:hint="eastAsia" w:asciiTheme="minorEastAsia" w:hAnsiTheme="minorEastAsia" w:eastAsiaTheme="minorEastAsia" w:cstheme="minorEastAsia"/>
          <w:color w:val="auto"/>
        </w:rPr>
        <w:t>在本合同中，除非另有明确规定，下述词语的释义如下：</w:t>
      </w:r>
      <w:bookmarkEnd w:id="48"/>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“元”指中华人民共和国法定货币人民币元；</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除本合同上下文另有规定外，本合同中提到的条款和附件均为本合同的条款和附件；</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除本合同上下文另有规定外，“一方”或“各方”应为本合同的一方或各方；本合同、项目合同/协议或融资文件的各方均包括其各自的继任者和获准的受让人； </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所指的日（天）、星期、月份和年均指公历的日、星期、月份和年；</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若要求支付之日为非工作日，则应视要求支付之日为下一个工作日；</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除上下文另有规定，“包括”一词在任何时候应被视为与“但不限于”连用；</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所指的合同/协议在任何情况下均包括对该合同/协议不时所作的补充、修改、合并、更替或替代；</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表示单数的词语亦包括该词语的复数，反之亦然；</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本合同中的“以上”、“以下”、“届满”，包括本数；</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凡提及任何一项适用法律应解释为包括对该项适用法律不时做出的修改、综合、补充或替代；</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除非另有表述，时间应被解释为北京时间。</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条款标题仅作为参考，不应用于本合同的解释。</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为本合同之目的，市政府指定机构或市</w:t>
      </w:r>
      <w:r>
        <w:rPr>
          <w:rFonts w:hint="eastAsia" w:asciiTheme="minorEastAsia" w:hAnsiTheme="minorEastAsia" w:eastAsiaTheme="minorEastAsia" w:cstheme="minorEastAsia"/>
          <w:color w:val="auto"/>
          <w:lang w:val="en-US" w:eastAsia="zh-CN"/>
        </w:rPr>
        <w:t>城管</w:t>
      </w:r>
      <w:r>
        <w:rPr>
          <w:rFonts w:hint="eastAsia" w:asciiTheme="minorEastAsia" w:hAnsiTheme="minorEastAsia" w:eastAsiaTheme="minorEastAsia" w:cstheme="minorEastAsia"/>
          <w:color w:val="auto"/>
        </w:rPr>
        <w:t>局指定机构系指经市政府或市</w:t>
      </w:r>
      <w:r>
        <w:rPr>
          <w:rFonts w:hint="eastAsia" w:asciiTheme="minorEastAsia" w:hAnsiTheme="minorEastAsia" w:eastAsiaTheme="minorEastAsia" w:cstheme="minorEastAsia"/>
          <w:color w:val="auto"/>
          <w:lang w:val="en-US" w:eastAsia="zh-CN"/>
        </w:rPr>
        <w:t>城管</w:t>
      </w:r>
      <w:r>
        <w:rPr>
          <w:rFonts w:hint="eastAsia" w:asciiTheme="minorEastAsia" w:hAnsiTheme="minorEastAsia" w:eastAsiaTheme="minorEastAsia" w:cstheme="minorEastAsia"/>
          <w:color w:val="auto"/>
        </w:rPr>
        <w:t>局书面授权，代表市政府或市</w:t>
      </w:r>
      <w:r>
        <w:rPr>
          <w:rFonts w:hint="eastAsia" w:asciiTheme="minorEastAsia" w:hAnsiTheme="minorEastAsia" w:eastAsiaTheme="minorEastAsia" w:cstheme="minorEastAsia"/>
          <w:color w:val="auto"/>
          <w:lang w:val="en-US" w:eastAsia="zh-CN"/>
        </w:rPr>
        <w:t>城管</w:t>
      </w:r>
      <w:r>
        <w:rPr>
          <w:rFonts w:hint="eastAsia" w:asciiTheme="minorEastAsia" w:hAnsiTheme="minorEastAsia" w:eastAsiaTheme="minorEastAsia" w:cstheme="minorEastAsia"/>
          <w:color w:val="auto"/>
        </w:rPr>
        <w:t>局根据本合同的相关条款行使或履行市政府相关职能部门或市</w:t>
      </w:r>
      <w:r>
        <w:rPr>
          <w:rFonts w:hint="eastAsia" w:asciiTheme="minorEastAsia" w:hAnsiTheme="minorEastAsia" w:eastAsiaTheme="minorEastAsia" w:cstheme="minorEastAsia"/>
          <w:color w:val="auto"/>
          <w:lang w:val="en-US" w:eastAsia="zh-CN"/>
        </w:rPr>
        <w:t>城管</w:t>
      </w:r>
      <w:r>
        <w:rPr>
          <w:rFonts w:hint="eastAsia" w:asciiTheme="minorEastAsia" w:hAnsiTheme="minorEastAsia" w:eastAsiaTheme="minorEastAsia" w:cstheme="minorEastAsia"/>
          <w:color w:val="auto"/>
        </w:rPr>
        <w:t>局在该等条款项下的相关权利、义务和责任的机构或实体。</w:t>
      </w:r>
      <w:bookmarkStart w:id="49" w:name="_Toc48101113"/>
      <w:bookmarkStart w:id="50" w:name="_Toc29693740"/>
      <w:bookmarkStart w:id="51" w:name="_Toc51213922"/>
      <w:bookmarkStart w:id="52" w:name="_Toc51225600"/>
      <w:bookmarkStart w:id="53" w:name="_Toc48042041"/>
      <w:bookmarkStart w:id="54" w:name="_Toc48120180"/>
      <w:bookmarkStart w:id="55" w:name="_Toc30905409"/>
      <w:bookmarkStart w:id="56" w:name="_Toc50861718"/>
      <w:bookmarkStart w:id="57" w:name="_Toc50453929"/>
      <w:bookmarkStart w:id="58" w:name="_Toc50861854"/>
      <w:bookmarkStart w:id="59" w:name="_Toc30298453"/>
      <w:bookmarkStart w:id="60" w:name="_Toc50860349"/>
      <w:bookmarkStart w:id="61" w:name="_Toc30905317"/>
      <w:bookmarkStart w:id="62" w:name="_Toc26166907"/>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63" w:name="_Ref392839304"/>
      <w:bookmarkStart w:id="64" w:name="_Toc437945788"/>
      <w:bookmarkStart w:id="65" w:name="_Toc418368729"/>
      <w:bookmarkStart w:id="66" w:name="_Toc13117"/>
      <w:bookmarkStart w:id="67" w:name="_Toc26537"/>
      <w:bookmarkStart w:id="68" w:name="_Toc3962"/>
      <w:r>
        <w:rPr>
          <w:rFonts w:hint="eastAsia" w:asciiTheme="minorEastAsia" w:hAnsiTheme="minorEastAsia" w:eastAsiaTheme="minorEastAsia" w:cstheme="minorEastAsia"/>
          <w:color w:val="auto"/>
        </w:rPr>
        <w:t>项目</w:t>
      </w:r>
      <w:bookmarkEnd w:id="63"/>
      <w:r>
        <w:rPr>
          <w:rFonts w:hint="eastAsia" w:asciiTheme="minorEastAsia" w:hAnsiTheme="minorEastAsia" w:eastAsiaTheme="minorEastAsia" w:cstheme="minorEastAsia"/>
          <w:color w:val="auto"/>
        </w:rPr>
        <w:t>合同构成</w:t>
      </w:r>
      <w:bookmarkEnd w:id="64"/>
      <w:bookmarkEnd w:id="65"/>
      <w:bookmarkEnd w:id="66"/>
      <w:bookmarkEnd w:id="67"/>
      <w:bookmarkEnd w:id="68"/>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市</w:t>
      </w:r>
      <w:r>
        <w:rPr>
          <w:rFonts w:hint="eastAsia" w:asciiTheme="minorEastAsia" w:hAnsiTheme="minorEastAsia" w:eastAsiaTheme="minorEastAsia" w:cstheme="minorEastAsia"/>
          <w:color w:val="auto"/>
          <w:lang w:val="en-US" w:eastAsia="zh-CN"/>
        </w:rPr>
        <w:t>城管</w:t>
      </w:r>
      <w:r>
        <w:rPr>
          <w:rFonts w:hint="eastAsia" w:asciiTheme="minorEastAsia" w:hAnsiTheme="minorEastAsia" w:eastAsiaTheme="minorEastAsia" w:cstheme="minorEastAsia"/>
          <w:color w:val="auto"/>
        </w:rPr>
        <w:t>局与项目公司签订本合同，其附件包括以下合同/协议和文件：</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u w:val="single"/>
          <w:lang w:eastAsia="zh-CN"/>
        </w:rPr>
        <w:t>附件1《建设管理、运营维护绩效考核表》</w:t>
      </w:r>
      <w:r>
        <w:rPr>
          <w:rFonts w:hint="eastAsia" w:asciiTheme="minorEastAsia" w:hAnsiTheme="minorEastAsia" w:eastAsiaTheme="minorEastAsia" w:cstheme="minorEastAsia"/>
        </w:rPr>
        <w:t>，指市</w:t>
      </w:r>
      <w:r>
        <w:rPr>
          <w:rFonts w:hint="eastAsia" w:asciiTheme="minorEastAsia" w:hAnsiTheme="minorEastAsia" w:eastAsiaTheme="minorEastAsia" w:cstheme="minorEastAsia"/>
          <w:lang w:val="en-US" w:eastAsia="zh-CN"/>
        </w:rPr>
        <w:t>城管</w:t>
      </w:r>
      <w:r>
        <w:rPr>
          <w:rFonts w:hint="eastAsia" w:asciiTheme="minorEastAsia" w:hAnsiTheme="minorEastAsia" w:eastAsiaTheme="minorEastAsia" w:cstheme="minorEastAsia"/>
        </w:rPr>
        <w:t>局或其委托机构对项目公司进行运营维护绩效考核的考核表，包括考核内容、具体指标、指标要求、不达标扣分方法和修复要求等；</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u w:val="single"/>
        </w:rPr>
        <w:t>附件2</w:t>
      </w:r>
      <w:r>
        <w:rPr>
          <w:rFonts w:hint="eastAsia" w:asciiTheme="minorEastAsia" w:hAnsiTheme="minorEastAsia" w:eastAsiaTheme="minorEastAsia" w:cstheme="minorEastAsia"/>
        </w:rPr>
        <w:t>《调价公式》，指用于计算项目公司在本项目运营维护期各年的约定年度运营维护成本的计算公式；</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u w:val="single"/>
        </w:rPr>
        <w:t>附件3</w:t>
      </w:r>
      <w:r>
        <w:rPr>
          <w:rFonts w:hint="eastAsia" w:asciiTheme="minorEastAsia" w:hAnsiTheme="minorEastAsia" w:eastAsiaTheme="minorEastAsia" w:cstheme="minorEastAsia"/>
        </w:rPr>
        <w:t>《建设履约独立保函》，指项目公司向市</w:t>
      </w:r>
      <w:r>
        <w:rPr>
          <w:rFonts w:hint="eastAsia" w:asciiTheme="minorEastAsia" w:hAnsiTheme="minorEastAsia" w:eastAsiaTheme="minorEastAsia" w:cstheme="minorEastAsia"/>
          <w:lang w:val="en-US" w:eastAsia="zh-CN"/>
        </w:rPr>
        <w:t>城管</w:t>
      </w:r>
      <w:r>
        <w:rPr>
          <w:rFonts w:hint="eastAsia" w:asciiTheme="minorEastAsia" w:hAnsiTheme="minorEastAsia" w:eastAsiaTheme="minorEastAsia" w:cstheme="minorEastAsia"/>
        </w:rPr>
        <w:t>局出具以市</w:t>
      </w:r>
      <w:r>
        <w:rPr>
          <w:rFonts w:hint="eastAsia" w:asciiTheme="minorEastAsia" w:hAnsiTheme="minorEastAsia" w:eastAsiaTheme="minorEastAsia" w:cstheme="minorEastAsia"/>
          <w:lang w:val="en-US" w:eastAsia="zh-CN"/>
        </w:rPr>
        <w:t>城管</w:t>
      </w:r>
      <w:r>
        <w:rPr>
          <w:rFonts w:hint="eastAsia" w:asciiTheme="minorEastAsia" w:hAnsiTheme="minorEastAsia" w:eastAsiaTheme="minorEastAsia" w:cstheme="minorEastAsia"/>
        </w:rPr>
        <w:t>局为受益人的建设履约独立保函格式文件；</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u w:val="single"/>
        </w:rPr>
        <w:t>附件4</w:t>
      </w:r>
      <w:r>
        <w:rPr>
          <w:rFonts w:hint="eastAsia" w:asciiTheme="minorEastAsia" w:hAnsiTheme="minorEastAsia" w:eastAsiaTheme="minorEastAsia" w:cstheme="minorEastAsia"/>
        </w:rPr>
        <w:t>《运营维护独立保函/移交维修独立保函》，指项目公司向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出具以</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为受益人的运营维护独立保函/移交维修独立保函格式文件；</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u w:val="single"/>
        </w:rPr>
        <w:t>附件5</w:t>
      </w:r>
      <w:r>
        <w:rPr>
          <w:rFonts w:hint="eastAsia" w:asciiTheme="minorEastAsia" w:hAnsiTheme="minorEastAsia" w:eastAsiaTheme="minorEastAsia" w:cstheme="minorEastAsia"/>
        </w:rPr>
        <w:t>《保险》，指项目公司为本项目在建设期和运营维护期购买保险的种类及其他相关安排；</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u w:val="single"/>
        </w:rPr>
        <w:t>附件6</w:t>
      </w:r>
      <w:r>
        <w:rPr>
          <w:rFonts w:hint="eastAsia" w:asciiTheme="minorEastAsia" w:hAnsiTheme="minorEastAsia" w:eastAsiaTheme="minorEastAsia" w:cstheme="minorEastAsia"/>
          <w:szCs w:val="21"/>
        </w:rPr>
        <w:t>经审定的施工组织设计方案、</w:t>
      </w:r>
      <w:r>
        <w:rPr>
          <w:rFonts w:hint="eastAsia" w:asciiTheme="minorEastAsia" w:hAnsiTheme="minorEastAsia" w:eastAsiaTheme="minorEastAsia" w:cstheme="minorEastAsia"/>
        </w:rPr>
        <w:t>《中标社会资本投标文件》</w:t>
      </w:r>
      <w:r>
        <w:rPr>
          <w:rFonts w:hint="eastAsia" w:asciiTheme="minorEastAsia" w:hAnsiTheme="minorEastAsia" w:eastAsiaTheme="minorEastAsia" w:cstheme="minorEastAsia"/>
          <w:szCs w:val="21"/>
        </w:rPr>
        <w:t>列明的技术方案</w:t>
      </w:r>
      <w:r>
        <w:rPr>
          <w:rFonts w:hint="eastAsia" w:asciiTheme="minorEastAsia" w:hAnsiTheme="minorEastAsia" w:eastAsiaTheme="minorEastAsia" w:cstheme="minorEastAsia"/>
        </w:rPr>
        <w:t>。</w:t>
      </w:r>
    </w:p>
    <w:p>
      <w:pPr>
        <w:pStyle w:val="6"/>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附件7</w:t>
      </w:r>
      <w:r>
        <w:rPr>
          <w:rFonts w:hint="eastAsia" w:asciiTheme="minorEastAsia" w:hAnsiTheme="minorEastAsia" w:eastAsiaTheme="minorEastAsia" w:cstheme="minorEastAsia"/>
        </w:rPr>
        <w:t>《股东协议》，指</w:t>
      </w:r>
      <w:r>
        <w:rPr>
          <w:rFonts w:hint="eastAsia" w:asciiTheme="minorEastAsia" w:hAnsiTheme="minorEastAsia" w:eastAsiaTheme="minorEastAsia" w:cstheme="minorEastAsia"/>
          <w:lang w:eastAsia="zh-CN"/>
        </w:rPr>
        <w:t>徐州新盛基础建设公司</w:t>
      </w:r>
      <w:r>
        <w:rPr>
          <w:rFonts w:hint="eastAsia" w:asciiTheme="minorEastAsia" w:hAnsiTheme="minorEastAsia" w:eastAsiaTheme="minorEastAsia" w:cstheme="minorEastAsia"/>
        </w:rPr>
        <w:t>与中标社会资本签订的《股东协议》；</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u w:val="single"/>
        </w:rPr>
        <w:t>附件8</w:t>
      </w:r>
      <w:r>
        <w:rPr>
          <w:rFonts w:hint="eastAsia" w:asciiTheme="minorEastAsia" w:hAnsiTheme="minorEastAsia" w:eastAsiaTheme="minorEastAsia" w:cstheme="minorEastAsia"/>
        </w:rPr>
        <w:t>《公司章程》，指</w:t>
      </w:r>
      <w:r>
        <w:rPr>
          <w:rFonts w:hint="eastAsia" w:asciiTheme="minorEastAsia" w:hAnsiTheme="minorEastAsia" w:eastAsiaTheme="minorEastAsia" w:cstheme="minorEastAsia"/>
          <w:lang w:eastAsia="zh-CN"/>
        </w:rPr>
        <w:t>徐州新盛基础建设公司</w:t>
      </w:r>
      <w:r>
        <w:rPr>
          <w:rFonts w:hint="eastAsia" w:asciiTheme="minorEastAsia" w:hAnsiTheme="minorEastAsia" w:eastAsiaTheme="minorEastAsia" w:cstheme="minorEastAsia"/>
        </w:rPr>
        <w:t>与中标社会资本签订的《公司章程》；</w:t>
      </w:r>
    </w:p>
    <w:p>
      <w:pPr>
        <w:pStyle w:val="6"/>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附件9</w:t>
      </w:r>
      <w:r>
        <w:rPr>
          <w:rFonts w:hint="eastAsia" w:asciiTheme="minorEastAsia" w:hAnsiTheme="minorEastAsia" w:eastAsiaTheme="minorEastAsia" w:cstheme="minorEastAsia"/>
        </w:rPr>
        <w:t>《入廊协议》，指项目公司和入廊管线单位签订的《入廊协议》；</w:t>
      </w:r>
    </w:p>
    <w:p>
      <w:pPr>
        <w:pStyle w:val="6"/>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u w:val="single"/>
        </w:rPr>
        <w:t>附件10</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en-US" w:eastAsia="zh-CN"/>
        </w:rPr>
        <w:t>建设工程施工合同</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eastAsia="zh-CN"/>
        </w:rPr>
        <w:t>。</w:t>
      </w:r>
    </w:p>
    <w:p>
      <w:pPr>
        <w:pStyle w:val="6"/>
        <w:rPr>
          <w:rFonts w:hint="eastAsia" w:asciiTheme="minorEastAsia" w:hAnsiTheme="minorEastAsia" w:eastAsiaTheme="minorEastAsia" w:cstheme="minorEastAsia"/>
          <w:u w:val="single"/>
          <w:lang w:val="en-US" w:eastAsia="zh-CN"/>
        </w:rPr>
      </w:pPr>
      <w:r>
        <w:rPr>
          <w:rFonts w:hint="eastAsia" w:asciiTheme="minorEastAsia" w:hAnsiTheme="minorEastAsia" w:eastAsiaTheme="minorEastAsia" w:cstheme="minorEastAsia"/>
          <w:u w:val="single"/>
          <w:lang w:val="en-US" w:eastAsia="zh-CN"/>
        </w:rPr>
        <w:t>附件11《招标文件》</w:t>
      </w:r>
    </w:p>
    <w:p>
      <w:pPr>
        <w:pStyle w:val="6"/>
        <w:ind w:left="1464" w:hanging="864"/>
        <w:rPr>
          <w:rFonts w:hint="default"/>
          <w:lang w:val="en-US" w:eastAsia="zh-CN"/>
        </w:rPr>
      </w:pPr>
      <w:r>
        <w:rPr>
          <w:rFonts w:hint="eastAsia"/>
          <w:lang w:val="en-US" w:eastAsia="zh-CN"/>
        </w:rPr>
        <w:t>附件《</w:t>
      </w:r>
      <w:r>
        <w:rPr>
          <w:rFonts w:hint="eastAsia" w:asciiTheme="minorEastAsia" w:hAnsiTheme="minorEastAsia" w:eastAsiaTheme="minorEastAsia" w:cstheme="minorEastAsia"/>
        </w:rPr>
        <w:t>中标社会资本投标文件</w:t>
      </w:r>
      <w:r>
        <w:rPr>
          <w:rFonts w:hint="eastAsia"/>
          <w:lang w:val="en-US" w:eastAsia="zh-CN"/>
        </w:rPr>
        <w:t>》</w:t>
      </w:r>
    </w:p>
    <w:bookmarkEnd w:id="49"/>
    <w:bookmarkEnd w:id="50"/>
    <w:bookmarkEnd w:id="51"/>
    <w:bookmarkEnd w:id="52"/>
    <w:bookmarkEnd w:id="53"/>
    <w:bookmarkEnd w:id="54"/>
    <w:bookmarkEnd w:id="55"/>
    <w:bookmarkEnd w:id="56"/>
    <w:bookmarkEnd w:id="57"/>
    <w:bookmarkEnd w:id="58"/>
    <w:bookmarkEnd w:id="59"/>
    <w:bookmarkEnd w:id="60"/>
    <w:bookmarkEnd w:id="61"/>
    <w:bookmarkEnd w:id="62"/>
    <w:p>
      <w:pPr>
        <w:pStyle w:val="3"/>
        <w:keepNext w:val="0"/>
        <w:widowControl w:val="0"/>
        <w:spacing w:before="120" w:beforeLines="50" w:afterLines="50"/>
        <w:rPr>
          <w:rFonts w:hint="eastAsia" w:asciiTheme="minorEastAsia" w:hAnsiTheme="minorEastAsia" w:eastAsiaTheme="minorEastAsia" w:cstheme="minorEastAsia"/>
          <w:color w:val="auto"/>
        </w:rPr>
      </w:pPr>
      <w:bookmarkStart w:id="69" w:name="_Toc25528"/>
      <w:bookmarkStart w:id="70" w:name="_Toc26669"/>
      <w:bookmarkStart w:id="71" w:name="_Toc7846"/>
      <w:r>
        <w:rPr>
          <w:rFonts w:hint="eastAsia" w:asciiTheme="minorEastAsia" w:hAnsiTheme="minorEastAsia" w:eastAsiaTheme="minorEastAsia" w:cstheme="minorEastAsia"/>
          <w:color w:val="auto"/>
        </w:rPr>
        <w:t>声明和保证</w:t>
      </w:r>
      <w:bookmarkEnd w:id="69"/>
      <w:bookmarkEnd w:id="70"/>
      <w:bookmarkEnd w:id="71"/>
    </w:p>
    <w:p>
      <w:pPr>
        <w:pStyle w:val="5"/>
        <w:rPr>
          <w:rFonts w:hint="eastAsia" w:asciiTheme="minorEastAsia" w:hAnsiTheme="minorEastAsia" w:eastAsiaTheme="minorEastAsia" w:cstheme="minorEastAsia"/>
          <w:color w:val="auto"/>
        </w:rPr>
      </w:pPr>
      <w:bookmarkStart w:id="72" w:name="_项目公司的声明和保证"/>
      <w:bookmarkEnd w:id="72"/>
      <w:bookmarkStart w:id="73" w:name="_项目公司的声明和保证_1"/>
      <w:bookmarkEnd w:id="73"/>
      <w:bookmarkStart w:id="74" w:name="_Ref447621293"/>
      <w:r>
        <w:rPr>
          <w:rFonts w:hint="eastAsia" w:asciiTheme="minorEastAsia" w:hAnsiTheme="minorEastAsia" w:eastAsiaTheme="minorEastAsia" w:cstheme="minorEastAsia"/>
          <w:color w:val="auto"/>
        </w:rPr>
        <w:t>项目公司的声明和保证</w:t>
      </w:r>
      <w:bookmarkEnd w:id="74"/>
    </w:p>
    <w:p>
      <w:pPr>
        <w:spacing w:before="120" w:after="120" w:afterLines="50"/>
        <w:ind w:left="708" w:leftChars="295"/>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项目公司在此向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声明和保证，在本合同正式签署日期：</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项目公司已经依据适用法律正式成立并注册，其拥有完整的法律权利、权力和授权签署、交付并履行本合同及其全部附件和本合同中提及的其作为当事方的任何合同/协议和文件；</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其授权代表已获合法授权代表项目公司签署本合同及其全部附件和本合同中提及的其作为当事方的任何合同/协议和文件；</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其已采取了全部适当和必要的行为授权签署包括全部附件在内的本合同以及本合同中提及的其作为当事方的任何合同/协议和文件，以及授权履行和遵守本合同及本合同所提及的其作为当事方的任何合同/协议和文件；</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其对本合同、本合同中提及的其作为当事方的任何合同/协议和文件以及根据本合同拟订立的任何其他合同/协议和文件的签署、交付和履行不会违反任何已存在的文件、其作为当事方的任何其他合同/协议和文件或该等合同/协议和文件项下的义务，亦不会违反任何适用法律；</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项目公司已经为本合同的履行准备了足够的资金、人员和设备，将从财务、设备、技术力量等一切可能与本合同的履行有关的方面确保本合同项下各项义务的履行；</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本合同不限制</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的行政权力，</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有权根据法律、法规和本合同的约定对项目公司进行监管。</w:t>
      </w:r>
    </w:p>
    <w:p>
      <w:pPr>
        <w:spacing w:before="120" w:after="120" w:afterLines="50"/>
        <w:ind w:left="708" w:leftChars="295"/>
        <w:rPr>
          <w:rFonts w:hint="eastAsia" w:asciiTheme="minorEastAsia" w:hAnsiTheme="minorEastAsia" w:eastAsiaTheme="minorEastAsia" w:cstheme="minorEastAsia"/>
        </w:rPr>
      </w:pPr>
      <w:r>
        <w:rPr>
          <w:rFonts w:hint="eastAsia" w:asciiTheme="minorEastAsia" w:hAnsiTheme="minorEastAsia" w:eastAsiaTheme="minorEastAsia" w:cstheme="minorEastAsia"/>
        </w:rPr>
        <w:t>如果项目公司在本条款项下所作的声明和保证被证明有实质性不真实或不准确，</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应有权根据第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_Ref447621311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21.4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条就任何有关损失获得赔偿，且在第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_Ref447621331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22.3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条所述的情况下，有权终止合作期。</w:t>
      </w:r>
    </w:p>
    <w:p>
      <w:pPr>
        <w:pStyle w:val="5"/>
        <w:rPr>
          <w:rFonts w:hint="eastAsia" w:asciiTheme="minorEastAsia" w:hAnsiTheme="minorEastAsia" w:eastAsiaTheme="minorEastAsia" w:cstheme="minorEastAsia"/>
          <w:color w:val="auto"/>
        </w:rPr>
      </w:pPr>
      <w:bookmarkStart w:id="75" w:name="_市建委的声明和保证"/>
      <w:bookmarkEnd w:id="75"/>
      <w:bookmarkStart w:id="76" w:name="_Ref447621346"/>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的声明和保证</w:t>
      </w:r>
      <w:bookmarkEnd w:id="76"/>
    </w:p>
    <w:p>
      <w:pPr>
        <w:spacing w:before="120" w:after="120" w:afterLines="50"/>
        <w:ind w:left="708" w:leftChars="295"/>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在此向项目公司声明和保证，在本合同正式签署日期：</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徐州市发展改革委已签发《关于</w:t>
      </w:r>
      <w:r>
        <w:rPr>
          <w:rFonts w:hint="eastAsia" w:asciiTheme="minorEastAsia" w:hAnsiTheme="minorEastAsia" w:eastAsiaTheme="minorEastAsia" w:cstheme="minorEastAsia"/>
          <w:lang w:eastAsia="zh-CN"/>
        </w:rPr>
        <w:t>徐州市建国东路、泉润大道（老徐萧路）和五山公园综合管廊PPP项目</w:t>
      </w:r>
      <w:r>
        <w:rPr>
          <w:rFonts w:hint="eastAsia" w:asciiTheme="minorEastAsia" w:hAnsiTheme="minorEastAsia" w:eastAsiaTheme="minorEastAsia" w:cstheme="minorEastAsia"/>
        </w:rPr>
        <w:t xml:space="preserve">建议书的批复》； </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拥有完整的法律权利、权力和授权签署、交付并履行本合同及其全部附件和本合同中提及的其作为当事方的任何合同/协议和文件；</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签署本合同及其全部附件和本合同中提及的其作为当事方的任何合同/协议和文件，并对其行为承担全部责任。</w:t>
      </w:r>
    </w:p>
    <w:p>
      <w:pPr>
        <w:spacing w:before="120" w:after="120" w:afterLines="50"/>
        <w:ind w:left="708" w:leftChars="295"/>
        <w:rPr>
          <w:rFonts w:hint="eastAsia" w:asciiTheme="minorEastAsia" w:hAnsiTheme="minorEastAsia" w:eastAsiaTheme="minorEastAsia" w:cstheme="minorEastAsia"/>
        </w:rPr>
        <w:sectPr>
          <w:pgSz w:w="11907" w:h="16840"/>
          <w:pgMar w:top="1418" w:right="1418" w:bottom="1418" w:left="1418" w:header="567" w:footer="992" w:gutter="0"/>
          <w:pgNumType w:fmt="decimal"/>
          <w:cols w:space="425" w:num="1"/>
          <w:docGrid w:linePitch="326" w:charSpace="0"/>
        </w:sectPr>
      </w:pPr>
      <w:r>
        <w:rPr>
          <w:rFonts w:hint="eastAsia" w:asciiTheme="minorEastAsia" w:hAnsiTheme="minorEastAsia" w:eastAsiaTheme="minorEastAsia" w:cstheme="minorEastAsia"/>
        </w:rPr>
        <w:t>如果</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在本条款项下所作的声明和保证被证明有实质性不真实或不准确，项目公司应有权根据第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_Ref447621311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21.4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条就任何有关损失获得赔偿，且在第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_Ref447621373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22.4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条所述的情况下，有权终止合作期。</w:t>
      </w:r>
    </w:p>
    <w:p>
      <w:pPr>
        <w:pStyle w:val="37"/>
        <w:spacing w:after="120" w:afterLines="50"/>
        <w:rPr>
          <w:rFonts w:hint="eastAsia" w:asciiTheme="minorEastAsia" w:hAnsiTheme="minorEastAsia" w:eastAsiaTheme="minorEastAsia" w:cstheme="minorEastAsia"/>
        </w:rPr>
      </w:pPr>
      <w:bookmarkStart w:id="77" w:name="_Toc3092"/>
      <w:bookmarkStart w:id="78" w:name="_Toc23811"/>
      <w:bookmarkStart w:id="79" w:name="_Toc29206"/>
      <w:bookmarkStart w:id="80" w:name="_Toc239861027"/>
      <w:r>
        <w:rPr>
          <w:rFonts w:hint="eastAsia" w:asciiTheme="minorEastAsia" w:hAnsiTheme="minorEastAsia" w:eastAsiaTheme="minorEastAsia" w:cstheme="minorEastAsia"/>
        </w:rPr>
        <w:t>先决条件</w:t>
      </w:r>
      <w:bookmarkEnd w:id="77"/>
      <w:bookmarkEnd w:id="78"/>
      <w:bookmarkEnd w:id="79"/>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81" w:name="_Toc489977793"/>
      <w:bookmarkEnd w:id="81"/>
      <w:bookmarkStart w:id="82" w:name="_Toc448051408"/>
      <w:bookmarkEnd w:id="82"/>
      <w:bookmarkStart w:id="83" w:name="_Toc491680598"/>
      <w:bookmarkEnd w:id="83"/>
      <w:bookmarkStart w:id="84" w:name="_Toc448073099"/>
      <w:bookmarkEnd w:id="84"/>
      <w:bookmarkStart w:id="85" w:name="_Toc490081412"/>
      <w:bookmarkEnd w:id="85"/>
      <w:bookmarkStart w:id="86" w:name="_Toc490035074"/>
      <w:bookmarkEnd w:id="86"/>
      <w:bookmarkStart w:id="87" w:name="_Toc448051226"/>
      <w:bookmarkEnd w:id="87"/>
      <w:bookmarkStart w:id="88" w:name="_Toc448056066"/>
      <w:bookmarkEnd w:id="88"/>
      <w:bookmarkStart w:id="89" w:name="_Toc490090470"/>
      <w:bookmarkEnd w:id="89"/>
      <w:bookmarkStart w:id="90" w:name="_Toc493454761"/>
      <w:bookmarkEnd w:id="90"/>
      <w:bookmarkStart w:id="91" w:name="_Toc447620399"/>
      <w:bookmarkEnd w:id="91"/>
      <w:bookmarkStart w:id="92" w:name="_Toc491687868"/>
      <w:bookmarkEnd w:id="92"/>
      <w:bookmarkStart w:id="93" w:name="_Toc454482240"/>
      <w:bookmarkEnd w:id="93"/>
      <w:bookmarkStart w:id="94" w:name="_Toc454572521"/>
      <w:bookmarkEnd w:id="94"/>
      <w:bookmarkStart w:id="95" w:name="_Toc447632650"/>
      <w:bookmarkEnd w:id="95"/>
      <w:bookmarkStart w:id="96" w:name="_Toc493453801"/>
      <w:bookmarkEnd w:id="96"/>
      <w:bookmarkStart w:id="97" w:name="_Toc447743361"/>
      <w:bookmarkEnd w:id="97"/>
      <w:bookmarkStart w:id="98" w:name="_Toc489977612"/>
      <w:bookmarkEnd w:id="98"/>
      <w:bookmarkStart w:id="99" w:name="_Toc447849987"/>
      <w:bookmarkEnd w:id="99"/>
      <w:bookmarkStart w:id="100" w:name="_Toc454489340"/>
      <w:bookmarkEnd w:id="100"/>
      <w:bookmarkStart w:id="101" w:name="_Toc491687672"/>
      <w:bookmarkEnd w:id="101"/>
      <w:bookmarkStart w:id="102" w:name="_Toc3529"/>
      <w:bookmarkEnd w:id="102"/>
      <w:bookmarkStart w:id="103" w:name="_Toc448046007"/>
      <w:bookmarkEnd w:id="103"/>
      <w:bookmarkStart w:id="104" w:name="_Toc447534679"/>
      <w:bookmarkEnd w:id="104"/>
      <w:bookmarkStart w:id="105" w:name="_Toc447847337"/>
      <w:bookmarkEnd w:id="105"/>
      <w:bookmarkStart w:id="106" w:name="_Toc454506700"/>
      <w:bookmarkEnd w:id="106"/>
      <w:bookmarkStart w:id="107" w:name="_Toc491257713"/>
      <w:bookmarkEnd w:id="107"/>
      <w:bookmarkStart w:id="108" w:name="_Toc491193596"/>
      <w:bookmarkEnd w:id="108"/>
      <w:bookmarkStart w:id="109" w:name="_Toc448054671"/>
      <w:bookmarkEnd w:id="109"/>
      <w:bookmarkStart w:id="110" w:name="_Toc448055675"/>
      <w:bookmarkEnd w:id="110"/>
      <w:bookmarkStart w:id="111" w:name="_Toc490036465"/>
      <w:bookmarkEnd w:id="111"/>
      <w:bookmarkStart w:id="112" w:name="_Toc447744451"/>
      <w:bookmarkEnd w:id="112"/>
      <w:bookmarkStart w:id="113" w:name="_Toc447534511"/>
      <w:bookmarkEnd w:id="113"/>
      <w:bookmarkStart w:id="114" w:name="_Toc489988399"/>
      <w:bookmarkEnd w:id="114"/>
      <w:bookmarkStart w:id="115" w:name="_Toc489986138"/>
      <w:bookmarkEnd w:id="115"/>
      <w:bookmarkStart w:id="116" w:name="_Toc13711"/>
      <w:bookmarkEnd w:id="116"/>
      <w:bookmarkStart w:id="117" w:name="_Toc1567"/>
      <w:bookmarkEnd w:id="117"/>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18" w:name="_Toc24504"/>
      <w:bookmarkStart w:id="119" w:name="_Toc30770"/>
      <w:bookmarkStart w:id="120" w:name="_Toc11114"/>
      <w:r>
        <w:rPr>
          <w:rFonts w:hint="eastAsia" w:asciiTheme="minorEastAsia" w:hAnsiTheme="minorEastAsia" w:eastAsiaTheme="minorEastAsia" w:cstheme="minorEastAsia"/>
          <w:color w:val="auto"/>
        </w:rPr>
        <w:t>合同生效条件</w:t>
      </w:r>
      <w:bookmarkEnd w:id="118"/>
      <w:bookmarkEnd w:id="119"/>
      <w:bookmarkEnd w:id="120"/>
    </w:p>
    <w:p>
      <w:pPr>
        <w:pStyle w:val="5"/>
        <w:rPr>
          <w:rFonts w:hint="eastAsia" w:asciiTheme="minorEastAsia" w:hAnsiTheme="minorEastAsia" w:eastAsiaTheme="minorEastAsia" w:cstheme="minorEastAsia"/>
          <w:color w:val="auto"/>
        </w:rPr>
      </w:pPr>
      <w:bookmarkStart w:id="121" w:name="_生效的先决条件"/>
      <w:bookmarkEnd w:id="121"/>
      <w:bookmarkStart w:id="122" w:name="_Ref447621196"/>
      <w:r>
        <w:rPr>
          <w:rFonts w:hint="eastAsia" w:asciiTheme="minorEastAsia" w:hAnsiTheme="minorEastAsia" w:eastAsiaTheme="minorEastAsia" w:cstheme="minorEastAsia"/>
          <w:color w:val="auto"/>
        </w:rPr>
        <w:t>生效的先决条件</w:t>
      </w:r>
      <w:bookmarkEnd w:id="122"/>
    </w:p>
    <w:p>
      <w:pPr>
        <w:spacing w:before="120" w:after="120" w:afterLines="50"/>
        <w:ind w:left="708" w:leftChars="295"/>
        <w:rPr>
          <w:rFonts w:hint="eastAsia" w:asciiTheme="minorEastAsia" w:hAnsiTheme="minorEastAsia" w:eastAsiaTheme="minorEastAsia" w:cstheme="minorEastAsia"/>
        </w:rPr>
      </w:pPr>
      <w:r>
        <w:rPr>
          <w:rFonts w:hint="eastAsia" w:asciiTheme="minorEastAsia" w:hAnsiTheme="minorEastAsia" w:eastAsiaTheme="minorEastAsia" w:cstheme="minorEastAsia"/>
        </w:rPr>
        <w:t>本合同生效的先决条件如下：</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政府部门已经签发以下有关</w:t>
      </w:r>
      <w:r>
        <w:rPr>
          <w:rFonts w:hint="eastAsia" w:asciiTheme="minorEastAsia" w:hAnsiTheme="minorEastAsia" w:eastAsiaTheme="minorEastAsia" w:cstheme="minorEastAsia"/>
          <w:lang w:eastAsia="zh-CN"/>
        </w:rPr>
        <w:t>徐州市建国东路、泉润大道（老徐萧路）和五山公园综合管廊PPP项目</w:t>
      </w:r>
      <w:r>
        <w:rPr>
          <w:rFonts w:hint="eastAsia" w:asciiTheme="minorEastAsia" w:hAnsiTheme="minorEastAsia" w:eastAsiaTheme="minorEastAsia" w:cstheme="minorEastAsia"/>
        </w:rPr>
        <w:t>或项目公司的批准文件：</w:t>
      </w:r>
    </w:p>
    <w:p>
      <w:pPr>
        <w:pStyle w:val="6"/>
        <w:numPr>
          <w:ilvl w:val="3"/>
          <w:numId w:val="9"/>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市政府关于</w:t>
      </w:r>
      <w:r>
        <w:rPr>
          <w:rFonts w:hint="eastAsia" w:asciiTheme="minorEastAsia" w:hAnsiTheme="minorEastAsia" w:eastAsiaTheme="minorEastAsia" w:cstheme="minorEastAsia"/>
          <w:lang w:val="en-US" w:eastAsia="zh-CN"/>
        </w:rPr>
        <w:t>同意</w:t>
      </w:r>
      <w:r>
        <w:rPr>
          <w:rFonts w:hint="eastAsia" w:asciiTheme="minorEastAsia" w:hAnsiTheme="minorEastAsia" w:eastAsiaTheme="minorEastAsia" w:cstheme="minorEastAsia"/>
        </w:rPr>
        <w:t>徐州市建国东路、泉润大道（老徐萧路）和五山公园综合管廊PPP项目实施方案的批复；</w:t>
      </w:r>
    </w:p>
    <w:p>
      <w:pPr>
        <w:pStyle w:val="6"/>
        <w:numPr>
          <w:ilvl w:val="3"/>
          <w:numId w:val="9"/>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市政府对本合同（含附件）的批复；</w:t>
      </w:r>
    </w:p>
    <w:p>
      <w:pPr>
        <w:pStyle w:val="6"/>
        <w:numPr>
          <w:ilvl w:val="3"/>
          <w:numId w:val="9"/>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已生效的《股东协议》和《公司章程》；</w:t>
      </w:r>
    </w:p>
    <w:p>
      <w:pPr>
        <w:pStyle w:val="6"/>
        <w:numPr>
          <w:ilvl w:val="3"/>
          <w:numId w:val="9"/>
        </w:numP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徐州市市场监督管理局</w:t>
      </w:r>
      <w:r>
        <w:rPr>
          <w:rFonts w:hint="eastAsia" w:asciiTheme="minorEastAsia" w:hAnsiTheme="minorEastAsia" w:eastAsiaTheme="minorEastAsia" w:cstheme="minorEastAsia"/>
        </w:rPr>
        <w:t>签发的项目公司企业法人营业执照，营业执照上所注明的经营范围与审批机构所批准的《股东协议》和《公司章程》中所注明的项目公司经营范围在实质上一致；</w:t>
      </w:r>
    </w:p>
    <w:p>
      <w:pPr>
        <w:pStyle w:val="6"/>
        <w:numPr>
          <w:ilvl w:val="3"/>
          <w:numId w:val="9"/>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其他政府部门对项目公司或</w:t>
      </w:r>
      <w:r>
        <w:rPr>
          <w:rFonts w:hint="eastAsia" w:asciiTheme="minorEastAsia" w:hAnsiTheme="minorEastAsia" w:eastAsiaTheme="minorEastAsia" w:cstheme="minorEastAsia"/>
          <w:lang w:eastAsia="zh-CN"/>
        </w:rPr>
        <w:t>徐州市建国东路、泉润大道（老徐萧路）和五山公园综合管廊PPP项目</w:t>
      </w:r>
      <w:r>
        <w:rPr>
          <w:rFonts w:hint="eastAsia" w:asciiTheme="minorEastAsia" w:hAnsiTheme="minorEastAsia" w:eastAsiaTheme="minorEastAsia" w:cstheme="minorEastAsia"/>
        </w:rPr>
        <w:t>的批准性文件（如须）。</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融资交割</w:t>
      </w:r>
    </w:p>
    <w:p>
      <w:pPr>
        <w:pStyle w:val="6"/>
        <w:numPr>
          <w:ilvl w:val="3"/>
          <w:numId w:val="10"/>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融资文件已经签署和交付、充分有效，且符合本合同的要求。项目公司已将签署的上述融资文件的副本提交给</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备案。融资文件的具体要求见本合同第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_Ref447621179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5.3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条规定；</w:t>
      </w:r>
    </w:p>
    <w:p>
      <w:pPr>
        <w:pStyle w:val="6"/>
        <w:numPr>
          <w:ilvl w:val="3"/>
          <w:numId w:val="10"/>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项目公司已满足或能够满足融资文件项下融资交割的所有先决条件（只能在本合同签署日期或之后方可满足的条件除外），而每一项尚未满足的条件能够在上述融资文件规定的期限内得到满足。</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本合同经</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、项目公司双方法定代表人或授权代表签字盖章；</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社会资本方已完成向项目公司的首笔出资义务，且截至前述（a）、（b）、（c）款项下的先决条件全部满足之日，《股东协议》之履行未出现出资违约情况；</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项目公司已提交建设履约独立保函。</w:t>
      </w:r>
    </w:p>
    <w:p>
      <w:pPr>
        <w:pStyle w:val="5"/>
        <w:rPr>
          <w:rFonts w:hint="eastAsia" w:asciiTheme="minorEastAsia" w:hAnsiTheme="minorEastAsia" w:eastAsiaTheme="minorEastAsia" w:cstheme="minorEastAsia"/>
          <w:color w:val="auto"/>
        </w:rPr>
      </w:pPr>
      <w:bookmarkStart w:id="123" w:name="_Ref447621241"/>
      <w:r>
        <w:rPr>
          <w:rFonts w:hint="eastAsia" w:asciiTheme="minorEastAsia" w:hAnsiTheme="minorEastAsia" w:eastAsiaTheme="minorEastAsia" w:cstheme="minorEastAsia"/>
          <w:color w:val="auto"/>
        </w:rPr>
        <w:t>先决条件的满足与放弃</w:t>
      </w:r>
      <w:bookmarkEnd w:id="123"/>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先决条件的满足</w:t>
      </w:r>
    </w:p>
    <w:p>
      <w:pPr>
        <w:spacing w:before="120" w:after="120" w:afterLines="50"/>
        <w:ind w:left="991" w:leftChars="413"/>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和项目公司双方须尽一切合理努力，以使先决条件得到满足，并且当每一项先决条件得到满足时，应将该满足及满足时间立刻通知对方。</w:t>
      </w:r>
    </w:p>
    <w:p>
      <w:pPr>
        <w:pStyle w:val="6"/>
        <w:rPr>
          <w:rFonts w:hint="eastAsia" w:asciiTheme="minorEastAsia" w:hAnsiTheme="minorEastAsia" w:eastAsiaTheme="minorEastAsia" w:cstheme="minorEastAsia"/>
        </w:rPr>
      </w:pPr>
      <w:bookmarkStart w:id="124" w:name="_先决条件的放弃"/>
      <w:bookmarkEnd w:id="124"/>
      <w:bookmarkStart w:id="125" w:name="_Ref447621251"/>
      <w:r>
        <w:rPr>
          <w:rFonts w:hint="eastAsia" w:asciiTheme="minorEastAsia" w:hAnsiTheme="minorEastAsia" w:eastAsiaTheme="minorEastAsia" w:cstheme="minorEastAsia"/>
        </w:rPr>
        <w:t>先决条件的放弃</w:t>
      </w:r>
      <w:bookmarkEnd w:id="125"/>
    </w:p>
    <w:p>
      <w:pPr>
        <w:spacing w:before="120" w:after="120" w:afterLines="50"/>
        <w:ind w:left="991" w:leftChars="413"/>
        <w:rPr>
          <w:rFonts w:hint="eastAsia" w:asciiTheme="minorEastAsia" w:hAnsiTheme="minorEastAsia" w:eastAsiaTheme="minorEastAsia" w:cstheme="minorEastAsia"/>
        </w:rPr>
      </w:pPr>
      <w:r>
        <w:rPr>
          <w:rFonts w:hint="eastAsia" w:asciiTheme="minorEastAsia" w:hAnsiTheme="minorEastAsia" w:eastAsiaTheme="minorEastAsia" w:cstheme="minorEastAsia"/>
        </w:rPr>
        <w:t>经</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和项目公司双方一致</w:t>
      </w:r>
      <w:r>
        <w:rPr>
          <w:rFonts w:hint="eastAsia" w:asciiTheme="minorEastAsia" w:hAnsiTheme="minorEastAsia" w:eastAsiaTheme="minorEastAsia" w:cstheme="minorEastAsia"/>
          <w:lang w:val="en-US" w:eastAsia="zh-CN"/>
        </w:rPr>
        <w:t>书面</w:t>
      </w:r>
      <w:r>
        <w:rPr>
          <w:rFonts w:hint="eastAsia" w:asciiTheme="minorEastAsia" w:hAnsiTheme="minorEastAsia" w:eastAsiaTheme="minorEastAsia" w:cstheme="minorEastAsia"/>
        </w:rPr>
        <w:t>同意，</w:t>
      </w:r>
      <w:r>
        <w:rPr>
          <w:rFonts w:hint="eastAsia" w:asciiTheme="minorEastAsia" w:hAnsiTheme="minorEastAsia" w:eastAsiaTheme="minorEastAsia" w:cstheme="minorEastAsia"/>
          <w:lang w:val="en-US" w:eastAsia="zh-CN"/>
        </w:rPr>
        <w:t>并获得市政府批准，</w:t>
      </w:r>
      <w:r>
        <w:rPr>
          <w:rFonts w:hint="eastAsia" w:asciiTheme="minorEastAsia" w:hAnsiTheme="minorEastAsia" w:eastAsiaTheme="minorEastAsia" w:cstheme="minorEastAsia"/>
        </w:rPr>
        <w:t>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_Ref447621196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2.1.1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条规定的任何一项先决条件均可被放弃，但此等放弃并不影响双方在本合同项下的其他权利及义务。</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合同生效日期</w:t>
      </w:r>
    </w:p>
    <w:p>
      <w:pPr>
        <w:spacing w:before="120" w:after="120" w:afterLines="50"/>
        <w:ind w:left="708" w:leftChars="295"/>
        <w:rPr>
          <w:rFonts w:hint="eastAsia" w:asciiTheme="minorEastAsia" w:hAnsiTheme="minorEastAsia" w:eastAsiaTheme="minorEastAsia" w:cstheme="minorEastAsia"/>
        </w:rPr>
      </w:pPr>
      <w:r>
        <w:rPr>
          <w:rFonts w:hint="eastAsia" w:asciiTheme="minorEastAsia" w:hAnsiTheme="minorEastAsia" w:eastAsiaTheme="minorEastAsia" w:cstheme="minorEastAsia"/>
        </w:rPr>
        <w:t>本合同生效日期为：</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在第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_Ref447621196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2.1.1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条所述之所有先决条件成就之日；</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在其他先决条件业已成就的情况下，全部尚未成就的先决条件已根据第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_Ref447621251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2.1.2（b）</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条的规定被放弃之日，为本合同生效日期。</w:t>
      </w:r>
    </w:p>
    <w:bookmarkEnd w:id="80"/>
    <w:p>
      <w:pPr>
        <w:widowControl/>
        <w:spacing w:before="120" w:after="120" w:afterLines="50"/>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rPr>
        <w:br w:type="page"/>
      </w:r>
    </w:p>
    <w:p>
      <w:pPr>
        <w:pStyle w:val="37"/>
        <w:spacing w:after="120" w:afterLines="50"/>
        <w:rPr>
          <w:rFonts w:hint="eastAsia" w:asciiTheme="minorEastAsia" w:hAnsiTheme="minorEastAsia" w:eastAsiaTheme="minorEastAsia" w:cstheme="minorEastAsia"/>
          <w:b w:val="0"/>
        </w:rPr>
      </w:pPr>
      <w:bookmarkStart w:id="126" w:name="_Toc20080"/>
      <w:bookmarkStart w:id="127" w:name="_Toc14116"/>
      <w:bookmarkStart w:id="128" w:name="_Toc12805"/>
      <w:r>
        <w:rPr>
          <w:rFonts w:hint="eastAsia" w:asciiTheme="minorEastAsia" w:hAnsiTheme="minorEastAsia" w:eastAsiaTheme="minorEastAsia" w:cstheme="minorEastAsia"/>
        </w:rPr>
        <w:t>项目公司</w:t>
      </w:r>
      <w:bookmarkEnd w:id="126"/>
      <w:bookmarkEnd w:id="127"/>
      <w:bookmarkEnd w:id="128"/>
      <w:bookmarkStart w:id="129" w:name="_Toc491098345"/>
    </w:p>
    <w:p>
      <w:pPr>
        <w:pStyle w:val="66"/>
        <w:keepNext/>
        <w:widowControl/>
        <w:numPr>
          <w:ilvl w:val="0"/>
          <w:numId w:val="1"/>
        </w:numPr>
        <w:autoSpaceDE w:val="0"/>
        <w:autoSpaceDN w:val="0"/>
        <w:adjustRightInd w:val="0"/>
        <w:spacing w:before="360" w:beforeLines="150" w:after="120" w:line="480" w:lineRule="exact"/>
        <w:ind w:right="28" w:firstLineChars="0"/>
        <w:jc w:val="center"/>
        <w:outlineLvl w:val="0"/>
        <w:rPr>
          <w:rFonts w:hint="eastAsia" w:asciiTheme="minorEastAsia" w:hAnsiTheme="minorEastAsia" w:eastAsiaTheme="minorEastAsia" w:cstheme="minorEastAsia"/>
          <w:b/>
          <w:vanish/>
          <w:kern w:val="0"/>
          <w:sz w:val="28"/>
          <w:szCs w:val="20"/>
        </w:rPr>
      </w:pPr>
      <w:bookmarkStart w:id="130" w:name="_Toc491687675"/>
      <w:bookmarkEnd w:id="130"/>
      <w:bookmarkStart w:id="131" w:name="_Toc22446"/>
      <w:bookmarkEnd w:id="131"/>
      <w:bookmarkStart w:id="132" w:name="_Toc491680601"/>
      <w:bookmarkEnd w:id="132"/>
      <w:bookmarkStart w:id="133" w:name="_Toc491257716"/>
      <w:bookmarkEnd w:id="133"/>
      <w:bookmarkStart w:id="134" w:name="_Toc491687871"/>
      <w:bookmarkEnd w:id="134"/>
      <w:bookmarkStart w:id="135" w:name="_Toc493453804"/>
      <w:bookmarkEnd w:id="135"/>
      <w:bookmarkStart w:id="136" w:name="_Toc493454764"/>
      <w:bookmarkEnd w:id="136"/>
      <w:bookmarkStart w:id="137" w:name="_Toc25261"/>
      <w:bookmarkEnd w:id="137"/>
      <w:bookmarkStart w:id="138" w:name="_Toc10929"/>
      <w:bookmarkEnd w:id="138"/>
    </w:p>
    <w:p>
      <w:pPr>
        <w:pStyle w:val="3"/>
        <w:rPr>
          <w:rFonts w:hint="eastAsia" w:asciiTheme="minorEastAsia" w:hAnsiTheme="minorEastAsia" w:eastAsiaTheme="minorEastAsia" w:cstheme="minorEastAsia"/>
          <w:color w:val="auto"/>
        </w:rPr>
      </w:pPr>
      <w:bookmarkStart w:id="139" w:name="_Toc29430"/>
      <w:bookmarkStart w:id="140" w:name="_Toc28706"/>
      <w:bookmarkStart w:id="141" w:name="_Toc2915"/>
      <w:r>
        <w:rPr>
          <w:rFonts w:hint="eastAsia" w:asciiTheme="minorEastAsia" w:hAnsiTheme="minorEastAsia" w:eastAsiaTheme="minorEastAsia" w:cstheme="minorEastAsia"/>
          <w:color w:val="auto"/>
        </w:rPr>
        <w:t>项目公司的成立与组织架构</w:t>
      </w:r>
      <w:bookmarkEnd w:id="129"/>
      <w:bookmarkEnd w:id="139"/>
      <w:bookmarkEnd w:id="140"/>
      <w:bookmarkEnd w:id="141"/>
    </w:p>
    <w:p>
      <w:pPr>
        <w:spacing w:before="120" w:after="120" w:afterLines="50"/>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中标社会资本与</w:t>
      </w:r>
      <w:r>
        <w:rPr>
          <w:rFonts w:hint="eastAsia" w:asciiTheme="minorEastAsia" w:hAnsiTheme="minorEastAsia" w:eastAsiaTheme="minorEastAsia" w:cstheme="minorEastAsia"/>
          <w:lang w:eastAsia="zh-CN"/>
        </w:rPr>
        <w:t>徐州新盛基础建设公司</w:t>
      </w:r>
      <w:r>
        <w:rPr>
          <w:rFonts w:hint="eastAsia" w:asciiTheme="minorEastAsia" w:hAnsiTheme="minorEastAsia" w:eastAsiaTheme="minorEastAsia" w:cstheme="minorEastAsia"/>
        </w:rPr>
        <w:t>共同</w:t>
      </w:r>
      <w:r>
        <w:rPr>
          <w:rFonts w:hint="eastAsia" w:asciiTheme="minorEastAsia" w:hAnsiTheme="minorEastAsia" w:eastAsiaTheme="minorEastAsia" w:cstheme="minorEastAsia"/>
          <w:lang w:val="en-US" w:eastAsia="zh-CN"/>
        </w:rPr>
        <w:t>组建</w:t>
      </w:r>
      <w:r>
        <w:rPr>
          <w:rFonts w:hint="eastAsia" w:asciiTheme="minorEastAsia" w:hAnsiTheme="minorEastAsia" w:eastAsiaTheme="minorEastAsia" w:cstheme="minorEastAsia"/>
        </w:rPr>
        <w:t>本项目的项目公司。</w:t>
      </w:r>
    </w:p>
    <w:p>
      <w:pPr>
        <w:spacing w:before="120" w:after="120" w:afterLines="50"/>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根据招标文件、《股东协议》以及《公司章程》，项目公司已办理工商注册登记，首期增资后股权结构如下表：</w:t>
      </w:r>
    </w:p>
    <w:tbl>
      <w:tblPr>
        <w:tblStyle w:val="39"/>
        <w:tblW w:w="7132" w:type="dxa"/>
        <w:jc w:val="center"/>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146"/>
        <w:gridCol w:w="1993"/>
        <w:gridCol w:w="199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3146" w:type="dxa"/>
            <w:vAlign w:val="center"/>
          </w:tcPr>
          <w:p>
            <w:pPr>
              <w:spacing w:before="12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股东名称</w:t>
            </w:r>
          </w:p>
        </w:tc>
        <w:tc>
          <w:tcPr>
            <w:tcW w:w="1993" w:type="dxa"/>
            <w:vAlign w:val="center"/>
          </w:tcPr>
          <w:p>
            <w:pPr>
              <w:spacing w:before="12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认缴出资额度</w:t>
            </w:r>
          </w:p>
          <w:p>
            <w:pPr>
              <w:spacing w:before="12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（万元）</w:t>
            </w:r>
          </w:p>
        </w:tc>
        <w:tc>
          <w:tcPr>
            <w:tcW w:w="1993" w:type="dxa"/>
            <w:vAlign w:val="center"/>
          </w:tcPr>
          <w:p>
            <w:pPr>
              <w:spacing w:before="12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股权比例</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jc w:val="center"/>
        </w:trPr>
        <w:tc>
          <w:tcPr>
            <w:tcW w:w="3146" w:type="dxa"/>
            <w:vAlign w:val="center"/>
          </w:tcPr>
          <w:p>
            <w:pPr>
              <w:spacing w:before="12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（政府方出资代表）</w:t>
            </w:r>
          </w:p>
        </w:tc>
        <w:tc>
          <w:tcPr>
            <w:tcW w:w="1993" w:type="dxa"/>
            <w:vAlign w:val="center"/>
          </w:tcPr>
          <w:p>
            <w:pPr>
              <w:spacing w:before="12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3664.97</w:t>
            </w:r>
          </w:p>
        </w:tc>
        <w:tc>
          <w:tcPr>
            <w:tcW w:w="1993" w:type="dxa"/>
            <w:vAlign w:val="center"/>
          </w:tcPr>
          <w:p>
            <w:pPr>
              <w:numPr>
                <w:ilvl w:val="6"/>
                <w:numId w:val="5"/>
              </w:numPr>
              <w:tabs>
                <w:tab w:val="left" w:pos="360"/>
                <w:tab w:val="left" w:pos="1440"/>
                <w:tab w:val="left" w:pos="2940"/>
              </w:tabs>
              <w:spacing w:before="120"/>
              <w:ind w:left="1440" w:hanging="144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30%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jc w:val="center"/>
        </w:trPr>
        <w:tc>
          <w:tcPr>
            <w:tcW w:w="3146" w:type="dxa"/>
            <w:vAlign w:val="center"/>
          </w:tcPr>
          <w:p>
            <w:pPr>
              <w:spacing w:before="12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（中标社会资本）</w:t>
            </w:r>
          </w:p>
        </w:tc>
        <w:tc>
          <w:tcPr>
            <w:tcW w:w="1993" w:type="dxa"/>
            <w:vAlign w:val="center"/>
          </w:tcPr>
          <w:p>
            <w:pPr>
              <w:spacing w:before="12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8551.60</w:t>
            </w:r>
          </w:p>
        </w:tc>
        <w:tc>
          <w:tcPr>
            <w:tcW w:w="1993" w:type="dxa"/>
            <w:vAlign w:val="center"/>
          </w:tcPr>
          <w:p>
            <w:pPr>
              <w:numPr>
                <w:ilvl w:val="6"/>
                <w:numId w:val="5"/>
              </w:numPr>
              <w:tabs>
                <w:tab w:val="left" w:pos="360"/>
                <w:tab w:val="left" w:pos="1440"/>
                <w:tab w:val="left" w:pos="2940"/>
              </w:tabs>
              <w:spacing w:before="120"/>
              <w:ind w:left="1440" w:hanging="144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70%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jc w:val="center"/>
        </w:trPr>
        <w:tc>
          <w:tcPr>
            <w:tcW w:w="3146" w:type="dxa"/>
            <w:vAlign w:val="center"/>
          </w:tcPr>
          <w:p>
            <w:pPr>
              <w:spacing w:before="12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合计</w:t>
            </w:r>
          </w:p>
        </w:tc>
        <w:tc>
          <w:tcPr>
            <w:tcW w:w="1993" w:type="dxa"/>
            <w:vAlign w:val="center"/>
          </w:tcPr>
          <w:p>
            <w:pPr>
              <w:spacing w:before="12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12216.58</w:t>
            </w:r>
          </w:p>
        </w:tc>
        <w:tc>
          <w:tcPr>
            <w:tcW w:w="1993" w:type="dxa"/>
            <w:vAlign w:val="center"/>
          </w:tcPr>
          <w:p>
            <w:pPr>
              <w:numPr>
                <w:ilvl w:val="6"/>
                <w:numId w:val="5"/>
              </w:numPr>
              <w:tabs>
                <w:tab w:val="left" w:pos="360"/>
                <w:tab w:val="left" w:pos="1440"/>
                <w:tab w:val="left" w:pos="2940"/>
              </w:tabs>
              <w:spacing w:before="120"/>
              <w:ind w:left="1440" w:hanging="144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100%</w:t>
            </w:r>
          </w:p>
        </w:tc>
      </w:tr>
    </w:tbl>
    <w:p>
      <w:pPr>
        <w:pStyle w:val="3"/>
        <w:keepNext w:val="0"/>
        <w:widowControl w:val="0"/>
        <w:numPr>
          <w:ilvl w:val="1"/>
          <w:numId w:val="1"/>
        </w:numPr>
        <w:spacing w:before="120" w:beforeLines="50" w:afterLines="50"/>
        <w:rPr>
          <w:rFonts w:hint="eastAsia" w:asciiTheme="minorEastAsia" w:hAnsiTheme="minorEastAsia" w:eastAsiaTheme="minorEastAsia" w:cstheme="minorEastAsia"/>
          <w:color w:val="auto"/>
        </w:rPr>
      </w:pPr>
      <w:bookmarkStart w:id="142" w:name="_Toc493454768"/>
      <w:bookmarkEnd w:id="142"/>
      <w:bookmarkStart w:id="143" w:name="_Toc493454774"/>
      <w:bookmarkEnd w:id="143"/>
      <w:bookmarkStart w:id="144" w:name="_Toc493454772"/>
      <w:bookmarkEnd w:id="144"/>
      <w:bookmarkStart w:id="145" w:name="_Toc493454766"/>
      <w:bookmarkEnd w:id="145"/>
      <w:bookmarkStart w:id="146" w:name="_Toc493453810"/>
      <w:bookmarkEnd w:id="146"/>
      <w:bookmarkStart w:id="147" w:name="_Toc493453806"/>
      <w:bookmarkEnd w:id="147"/>
      <w:bookmarkStart w:id="148" w:name="_Toc493453813"/>
      <w:bookmarkEnd w:id="148"/>
      <w:bookmarkStart w:id="149" w:name="_Toc493454771"/>
      <w:bookmarkEnd w:id="149"/>
      <w:bookmarkStart w:id="150" w:name="_Toc493454773"/>
      <w:bookmarkEnd w:id="150"/>
      <w:bookmarkStart w:id="151" w:name="_Toc493454770"/>
      <w:bookmarkEnd w:id="151"/>
      <w:bookmarkStart w:id="152" w:name="_Toc493454769"/>
      <w:bookmarkEnd w:id="152"/>
      <w:bookmarkStart w:id="153" w:name="_Toc493453811"/>
      <w:bookmarkEnd w:id="153"/>
      <w:bookmarkStart w:id="154" w:name="_Toc493453816"/>
      <w:bookmarkEnd w:id="154"/>
      <w:bookmarkStart w:id="155" w:name="_Toc493453815"/>
      <w:bookmarkEnd w:id="155"/>
      <w:bookmarkStart w:id="156" w:name="_Toc493453808"/>
      <w:bookmarkEnd w:id="156"/>
      <w:bookmarkStart w:id="157" w:name="_Toc493453812"/>
      <w:bookmarkEnd w:id="157"/>
      <w:bookmarkStart w:id="158" w:name="_Toc493454776"/>
      <w:bookmarkEnd w:id="158"/>
      <w:bookmarkStart w:id="159" w:name="_Toc493453807"/>
      <w:bookmarkEnd w:id="159"/>
      <w:bookmarkStart w:id="160" w:name="_Toc493453814"/>
      <w:bookmarkEnd w:id="160"/>
      <w:bookmarkStart w:id="161" w:name="_Toc493453809"/>
      <w:bookmarkEnd w:id="161"/>
      <w:bookmarkStart w:id="162" w:name="_Toc493454767"/>
      <w:bookmarkEnd w:id="162"/>
      <w:bookmarkStart w:id="163" w:name="_Toc493454775"/>
      <w:bookmarkEnd w:id="163"/>
      <w:bookmarkStart w:id="164" w:name="_Toc5764"/>
      <w:bookmarkStart w:id="165" w:name="_Toc491098346"/>
      <w:bookmarkStart w:id="166" w:name="_Toc31753"/>
      <w:bookmarkStart w:id="167" w:name="_Toc30877"/>
      <w:r>
        <w:rPr>
          <w:rFonts w:hint="eastAsia" w:asciiTheme="minorEastAsia" w:hAnsiTheme="minorEastAsia" w:eastAsiaTheme="minorEastAsia" w:cstheme="minorEastAsia"/>
          <w:color w:val="auto"/>
        </w:rPr>
        <w:t>项目公司的基本义务</w:t>
      </w:r>
      <w:bookmarkEnd w:id="164"/>
      <w:bookmarkEnd w:id="165"/>
      <w:bookmarkEnd w:id="166"/>
      <w:bookmarkEnd w:id="167"/>
    </w:p>
    <w:p>
      <w:pPr>
        <w:spacing w:before="120" w:after="120" w:afterLines="50"/>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除本合同其他条款规定的义务外，项目公司在合作期内的一般义务包括：</w:t>
      </w:r>
    </w:p>
    <w:p>
      <w:pPr>
        <w:pStyle w:val="5"/>
        <w:numPr>
          <w:ilvl w:val="2"/>
          <w:numId w:val="1"/>
        </w:num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事先征求</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同意</w:t>
      </w:r>
    </w:p>
    <w:p>
      <w:pPr>
        <w:spacing w:before="120" w:after="120" w:afterLines="50"/>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如果项目公司拟签署有效期超过合作期的任何合同/协议或具有法律约束力的文件，应事先征得</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的书面同意。否则，项目公司不得签署该等合同/协议或具有法律约束力的文件。</w:t>
      </w:r>
    </w:p>
    <w:p>
      <w:pPr>
        <w:pStyle w:val="5"/>
        <w:numPr>
          <w:ilvl w:val="2"/>
          <w:numId w:val="1"/>
        </w:num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事先取得</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的批准</w:t>
      </w:r>
    </w:p>
    <w:p>
      <w:pPr>
        <w:spacing w:before="120" w:after="120" w:afterLines="50"/>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项目公司在履行本项目建设、维修养护义务时，涉及关系公共利益相关事项时，项目公司、股东会及董事会做出的决策应事先取得</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的批准。</w:t>
      </w:r>
    </w:p>
    <w:p>
      <w:pPr>
        <w:pStyle w:val="5"/>
        <w:numPr>
          <w:ilvl w:val="2"/>
          <w:numId w:val="1"/>
        </w:num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环境保护</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避免对周围环境的干扰</w:t>
      </w:r>
    </w:p>
    <w:p>
      <w:pPr>
        <w:spacing w:before="120" w:after="120" w:afterLines="50"/>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项目公司在本项目设施的建设和养护期间应根据适用法律的要求，采取必要的合理措施来避免或尽量减少对设施、建筑物和居民区的干扰。</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项目公司责任的例外</w:t>
      </w:r>
    </w:p>
    <w:p>
      <w:pPr>
        <w:spacing w:before="120" w:after="120" w:afterLines="50"/>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项目公司在下列情况下不承担环境污染责任：</w:t>
      </w:r>
    </w:p>
    <w:p>
      <w:pPr>
        <w:pStyle w:val="6"/>
        <w:numPr>
          <w:ilvl w:val="3"/>
          <w:numId w:val="11"/>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生效日之前存在的；</w:t>
      </w:r>
    </w:p>
    <w:p>
      <w:pPr>
        <w:pStyle w:val="6"/>
        <w:numPr>
          <w:ilvl w:val="3"/>
          <w:numId w:val="11"/>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因</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履行义务不完全引发的环境污染责任；或者</w:t>
      </w:r>
    </w:p>
    <w:p>
      <w:pPr>
        <w:pStyle w:val="6"/>
        <w:numPr>
          <w:ilvl w:val="3"/>
          <w:numId w:val="11"/>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因</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的违约引起的环境污染责任。</w:t>
      </w:r>
    </w:p>
    <w:p>
      <w:pPr>
        <w:pStyle w:val="5"/>
        <w:numPr>
          <w:ilvl w:val="2"/>
          <w:numId w:val="1"/>
        </w:num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对承包商和其雇员及代理人的责任</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选择合作单位</w:t>
      </w:r>
    </w:p>
    <w:p>
      <w:pPr>
        <w:spacing w:before="120" w:after="120" w:afterLines="50"/>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应按照适用法律及本合同规定选择合作单位，包括建设承包商、建设监理人、设备供应商和养护业务的承包商，但该等雇用不解除项目公司在本合同项下的任何义务。项目公司对于其直接招标选定或聘用或书面认可的（视情况而定）的承包商、承包商的代理人或承包商直接或间接雇用的任何人的任何职务行为根据本合同对</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承担全部的责任，并视同该等行为是项目公司的行为。</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与承包商的合同</w:t>
      </w:r>
    </w:p>
    <w:p>
      <w:pPr>
        <w:spacing w:before="120" w:after="120" w:afterLines="50"/>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项目公司应确保与承包商签订的合同</w:t>
      </w:r>
    </w:p>
    <w:p>
      <w:pPr>
        <w:pStyle w:val="6"/>
        <w:numPr>
          <w:ilvl w:val="3"/>
          <w:numId w:val="12"/>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符合本合同的规定；且</w:t>
      </w:r>
    </w:p>
    <w:p>
      <w:pPr>
        <w:pStyle w:val="6"/>
        <w:numPr>
          <w:ilvl w:val="3"/>
          <w:numId w:val="12"/>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包含使项目公司能够履行本合同项下义务所需要的条款。</w:t>
      </w:r>
    </w:p>
    <w:p>
      <w:pPr>
        <w:widowControl/>
        <w:spacing w:before="0" w:beforeLines="0" w:line="240" w:lineRule="auto"/>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rPr>
        <w:br w:type="page"/>
      </w:r>
    </w:p>
    <w:p>
      <w:pPr>
        <w:pStyle w:val="37"/>
        <w:spacing w:after="120" w:afterLines="50"/>
        <w:rPr>
          <w:rFonts w:hint="eastAsia" w:asciiTheme="minorEastAsia" w:hAnsiTheme="minorEastAsia" w:eastAsiaTheme="minorEastAsia" w:cstheme="minorEastAsia"/>
        </w:rPr>
      </w:pPr>
      <w:bookmarkStart w:id="168" w:name="_Toc15452"/>
      <w:bookmarkStart w:id="169" w:name="_Toc20020"/>
      <w:bookmarkStart w:id="170" w:name="_Toc29870"/>
      <w:r>
        <w:rPr>
          <w:rFonts w:hint="eastAsia" w:asciiTheme="minorEastAsia" w:hAnsiTheme="minorEastAsia" w:eastAsiaTheme="minorEastAsia" w:cstheme="minorEastAsia"/>
        </w:rPr>
        <w:t>项目的范围和期限</w:t>
      </w:r>
      <w:bookmarkEnd w:id="168"/>
      <w:bookmarkEnd w:id="169"/>
      <w:bookmarkEnd w:id="170"/>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171" w:name="_Toc454489335"/>
      <w:bookmarkEnd w:id="171"/>
      <w:bookmarkStart w:id="172" w:name="_Toc447744447"/>
      <w:bookmarkEnd w:id="172"/>
      <w:bookmarkStart w:id="173" w:name="_Toc448046003"/>
      <w:bookmarkEnd w:id="173"/>
      <w:bookmarkStart w:id="174" w:name="_Toc454506695"/>
      <w:bookmarkEnd w:id="174"/>
      <w:bookmarkStart w:id="175" w:name="_Toc447632646"/>
      <w:bookmarkEnd w:id="175"/>
      <w:bookmarkStart w:id="176" w:name="_Toc448051222"/>
      <w:bookmarkEnd w:id="176"/>
      <w:bookmarkStart w:id="177" w:name="_Toc489986141"/>
      <w:bookmarkEnd w:id="177"/>
      <w:bookmarkStart w:id="178" w:name="_Toc447534675"/>
      <w:bookmarkEnd w:id="178"/>
      <w:bookmarkStart w:id="179" w:name="_Toc447847333"/>
      <w:bookmarkEnd w:id="179"/>
      <w:bookmarkStart w:id="180" w:name="_Toc448073095"/>
      <w:bookmarkEnd w:id="180"/>
      <w:bookmarkStart w:id="181" w:name="_Toc447620395"/>
      <w:bookmarkEnd w:id="181"/>
      <w:bookmarkStart w:id="182" w:name="_Toc454572516"/>
      <w:bookmarkEnd w:id="182"/>
      <w:bookmarkStart w:id="183" w:name="_特许经营权"/>
      <w:bookmarkEnd w:id="183"/>
      <w:bookmarkStart w:id="184" w:name="_Toc447849983"/>
      <w:bookmarkEnd w:id="184"/>
      <w:bookmarkStart w:id="185" w:name="_Toc491257720"/>
      <w:bookmarkEnd w:id="185"/>
      <w:bookmarkStart w:id="186" w:name="_Toc490036468"/>
      <w:bookmarkEnd w:id="186"/>
      <w:bookmarkStart w:id="187" w:name="_Toc448055671"/>
      <w:bookmarkEnd w:id="187"/>
      <w:bookmarkStart w:id="188" w:name="_Toc490035077"/>
      <w:bookmarkEnd w:id="188"/>
      <w:bookmarkStart w:id="189" w:name="_Toc493454779"/>
      <w:bookmarkEnd w:id="189"/>
      <w:bookmarkStart w:id="190" w:name="_Toc1853"/>
      <w:bookmarkEnd w:id="190"/>
      <w:bookmarkStart w:id="191" w:name="_Toc447534507"/>
      <w:bookmarkEnd w:id="191"/>
      <w:bookmarkStart w:id="192" w:name="_Toc491687875"/>
      <w:bookmarkEnd w:id="192"/>
      <w:bookmarkStart w:id="193" w:name="_Toc448054667"/>
      <w:bookmarkEnd w:id="193"/>
      <w:bookmarkStart w:id="194" w:name="_Toc490090473"/>
      <w:bookmarkEnd w:id="194"/>
      <w:bookmarkStart w:id="195" w:name="_Toc448056062"/>
      <w:bookmarkEnd w:id="195"/>
      <w:bookmarkStart w:id="196" w:name="_Toc448051404"/>
      <w:bookmarkEnd w:id="196"/>
      <w:bookmarkStart w:id="197" w:name="_Toc490081415"/>
      <w:bookmarkEnd w:id="197"/>
      <w:bookmarkStart w:id="198" w:name="_Toc491687679"/>
      <w:bookmarkEnd w:id="198"/>
      <w:bookmarkStart w:id="199" w:name="_Toc491680605"/>
      <w:bookmarkEnd w:id="199"/>
      <w:bookmarkStart w:id="200" w:name="_Toc493453819"/>
      <w:bookmarkEnd w:id="200"/>
      <w:bookmarkStart w:id="201" w:name="_Toc489977796"/>
      <w:bookmarkEnd w:id="201"/>
      <w:bookmarkStart w:id="202" w:name="_Toc489977615"/>
      <w:bookmarkEnd w:id="202"/>
      <w:bookmarkStart w:id="203" w:name="_Toc489988402"/>
      <w:bookmarkEnd w:id="203"/>
      <w:bookmarkStart w:id="204" w:name="_Toc447743357"/>
      <w:bookmarkEnd w:id="204"/>
      <w:bookmarkStart w:id="205" w:name="_Toc491193599"/>
      <w:bookmarkEnd w:id="205"/>
      <w:bookmarkStart w:id="206" w:name="_Toc454482235"/>
      <w:bookmarkEnd w:id="206"/>
      <w:bookmarkStart w:id="207" w:name="_Toc32254"/>
      <w:bookmarkEnd w:id="207"/>
      <w:bookmarkStart w:id="208" w:name="_Toc8240"/>
      <w:bookmarkEnd w:id="208"/>
      <w:bookmarkStart w:id="209" w:name="_Toc48042042"/>
      <w:bookmarkStart w:id="210" w:name="_Toc48120181"/>
      <w:bookmarkStart w:id="211" w:name="_Toc50861855"/>
      <w:bookmarkStart w:id="212" w:name="_Toc51213923"/>
      <w:bookmarkStart w:id="213" w:name="_Toc51225601"/>
      <w:bookmarkStart w:id="214" w:name="_Toc239861025"/>
      <w:bookmarkStart w:id="215" w:name="_Toc50453930"/>
      <w:bookmarkStart w:id="216" w:name="_Toc48101114"/>
      <w:bookmarkStart w:id="217" w:name="_Toc50861719"/>
      <w:bookmarkStart w:id="218" w:name="_Toc50860350"/>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19" w:name="_Toc26514"/>
      <w:bookmarkStart w:id="220" w:name="_Toc9197"/>
      <w:bookmarkStart w:id="221" w:name="_Toc15801"/>
      <w:r>
        <w:rPr>
          <w:rFonts w:hint="eastAsia" w:asciiTheme="minorEastAsia" w:hAnsiTheme="minorEastAsia" w:eastAsiaTheme="minorEastAsia" w:cstheme="minorEastAsia"/>
          <w:color w:val="auto"/>
        </w:rPr>
        <w:t>项目合作范围</w:t>
      </w:r>
      <w:bookmarkEnd w:id="219"/>
      <w:bookmarkEnd w:id="220"/>
      <w:bookmarkEnd w:id="221"/>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项目名称</w:t>
      </w:r>
    </w:p>
    <w:p>
      <w:pPr>
        <w:spacing w:before="120" w:after="120" w:afterLines="50"/>
        <w:ind w:left="708" w:leftChars="295"/>
        <w:rPr>
          <w:rFonts w:hint="eastAsia" w:asciiTheme="minorEastAsia" w:hAnsiTheme="minorEastAsia" w:eastAsiaTheme="minorEastAsia" w:cstheme="minorEastAsia"/>
        </w:rPr>
      </w:pPr>
      <w:r>
        <w:rPr>
          <w:rFonts w:hint="eastAsia" w:asciiTheme="minorEastAsia" w:hAnsiTheme="minorEastAsia" w:eastAsiaTheme="minorEastAsia" w:cstheme="minorEastAsia"/>
        </w:rPr>
        <w:t>徐州市建国东路、泉润大道（老徐萧路）和五山公园综合管廊PPP项目</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PPP合作范围</w:t>
      </w:r>
    </w:p>
    <w:p>
      <w:pPr>
        <w:spacing w:before="120" w:after="120" w:afterLines="50"/>
        <w:ind w:left="708" w:leftChars="295"/>
        <w:rPr>
          <w:rFonts w:hint="eastAsia" w:asciiTheme="minorEastAsia" w:hAnsiTheme="minorEastAsia" w:eastAsiaTheme="minorEastAsia" w:cstheme="minorEastAsia"/>
        </w:rPr>
      </w:pPr>
      <w:r>
        <w:rPr>
          <w:rFonts w:hint="eastAsia" w:asciiTheme="minorEastAsia" w:hAnsiTheme="minorEastAsia" w:eastAsiaTheme="minorEastAsia" w:cstheme="minorEastAsia"/>
        </w:rPr>
        <w:t>本项目PPP合作范围包括项目公司在合作期内根据适用法律、规范和本合同规定：</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投资、建设徐州市建国东路、泉润大道（老徐萧路）和五山公园综合管廊PPP项目；</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提供</w:t>
      </w:r>
      <w:r>
        <w:rPr>
          <w:rFonts w:hint="eastAsia" w:asciiTheme="minorEastAsia" w:hAnsiTheme="minorEastAsia" w:eastAsiaTheme="minorEastAsia" w:cstheme="minorEastAsia"/>
          <w:lang w:eastAsia="zh-CN"/>
        </w:rPr>
        <w:t>徐州市建国东路、泉润大道（老徐萧路）和五山公园综合管廊PPP项目</w:t>
      </w:r>
      <w:r>
        <w:rPr>
          <w:rFonts w:hint="eastAsia" w:asciiTheme="minorEastAsia" w:hAnsiTheme="minorEastAsia" w:eastAsiaTheme="minorEastAsia" w:cstheme="minorEastAsia"/>
        </w:rPr>
        <w:t>设施的运营和维护服务；</w:t>
      </w:r>
    </w:p>
    <w:bookmarkEnd w:id="209"/>
    <w:bookmarkEnd w:id="210"/>
    <w:bookmarkEnd w:id="211"/>
    <w:bookmarkEnd w:id="212"/>
    <w:bookmarkEnd w:id="213"/>
    <w:bookmarkEnd w:id="214"/>
    <w:bookmarkEnd w:id="215"/>
    <w:bookmarkEnd w:id="216"/>
    <w:bookmarkEnd w:id="217"/>
    <w:bookmarkEnd w:id="218"/>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22" w:name="_特许期"/>
      <w:bookmarkEnd w:id="222"/>
      <w:bookmarkStart w:id="223" w:name="_Toc24858"/>
      <w:bookmarkStart w:id="224" w:name="_Ref448072964"/>
      <w:bookmarkStart w:id="225" w:name="_Toc22958"/>
      <w:bookmarkStart w:id="226" w:name="_Toc18276"/>
      <w:r>
        <w:rPr>
          <w:rFonts w:hint="eastAsia" w:asciiTheme="minorEastAsia" w:hAnsiTheme="minorEastAsia" w:eastAsiaTheme="minorEastAsia" w:cstheme="minorEastAsia"/>
          <w:color w:val="auto"/>
        </w:rPr>
        <w:t>项目合作期</w:t>
      </w:r>
      <w:bookmarkEnd w:id="223"/>
      <w:bookmarkEnd w:id="224"/>
      <w:bookmarkEnd w:id="225"/>
      <w:bookmarkEnd w:id="226"/>
    </w:p>
    <w:p>
      <w:pPr>
        <w:spacing w:before="120" w:after="120" w:afterLines="50"/>
        <w:ind w:left="708" w:leftChars="295"/>
        <w:rPr>
          <w:rFonts w:hint="eastAsia" w:asciiTheme="minorEastAsia" w:hAnsiTheme="minorEastAsia" w:eastAsiaTheme="minorEastAsia" w:cstheme="minorEastAsia"/>
        </w:rPr>
      </w:pPr>
      <w:bookmarkStart w:id="227" w:name="_PPP合作期"/>
      <w:bookmarkEnd w:id="227"/>
      <w:r>
        <w:rPr>
          <w:rFonts w:hint="eastAsia" w:asciiTheme="minorEastAsia" w:hAnsiTheme="minorEastAsia" w:eastAsiaTheme="minorEastAsia" w:cstheme="minorEastAsia"/>
        </w:rPr>
        <w:t>除非根据</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_Ref489987852 \r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第二十二章　</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而终止，项目合作期为二十</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）年，自开工日起开始计算。</w:t>
      </w:r>
    </w:p>
    <w:p>
      <w:pPr>
        <w:spacing w:before="120" w:after="120" w:afterLines="50"/>
        <w:ind w:left="708" w:leftChars="295"/>
        <w:rPr>
          <w:rFonts w:hint="eastAsia" w:asciiTheme="minorEastAsia" w:hAnsiTheme="minorEastAsia" w:eastAsiaTheme="minorEastAsia" w:cstheme="minorEastAsia"/>
        </w:rPr>
      </w:pPr>
      <w:r>
        <w:rPr>
          <w:rFonts w:hint="eastAsia" w:asciiTheme="minorEastAsia" w:hAnsiTheme="minorEastAsia" w:eastAsiaTheme="minorEastAsia" w:cstheme="minorEastAsia"/>
        </w:rPr>
        <w:t>本合同项下的合作期由建设期和运营维护期组成，其中建设期自开工日起至正式运营日前一日止，运营维护期自正式运营日起至合作期最后一日止。</w:t>
      </w:r>
      <w:bookmarkStart w:id="228" w:name="_Toc51225603"/>
      <w:bookmarkStart w:id="229" w:name="_Toc50453932"/>
      <w:bookmarkStart w:id="230" w:name="_Toc1040013"/>
      <w:bookmarkStart w:id="231" w:name="_Toc48042046"/>
      <w:bookmarkStart w:id="232" w:name="_Toc515348009"/>
      <w:bookmarkStart w:id="233" w:name="_Toc515966039"/>
      <w:bookmarkStart w:id="234" w:name="_Toc515679414"/>
      <w:bookmarkStart w:id="235" w:name="_Toc424760324"/>
      <w:bookmarkStart w:id="236" w:name="_Toc50861857"/>
      <w:bookmarkStart w:id="237" w:name="_Toc48120185"/>
      <w:bookmarkStart w:id="238" w:name="_Toc412914173"/>
      <w:bookmarkStart w:id="239" w:name="_Toc411394406"/>
      <w:bookmarkStart w:id="240" w:name="_Toc51213925"/>
      <w:bookmarkStart w:id="241" w:name="_Toc48101118"/>
      <w:bookmarkStart w:id="242" w:name="_Toc50861721"/>
      <w:bookmarkStart w:id="243" w:name="_Toc50860352"/>
    </w:p>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Pr>
        <w:widowControl/>
        <w:spacing w:before="120" w:after="120" w:afterLines="50"/>
        <w:jc w:val="left"/>
        <w:rPr>
          <w:rFonts w:hint="eastAsia" w:asciiTheme="minorEastAsia" w:hAnsiTheme="minorEastAsia" w:eastAsiaTheme="minorEastAsia" w:cstheme="minorEastAsia"/>
          <w:b/>
          <w:bCs/>
          <w:sz w:val="28"/>
          <w:szCs w:val="28"/>
        </w:rPr>
      </w:pPr>
      <w:bookmarkStart w:id="244" w:name="_生效日期后七(7)个工作日内，项目公司应向市公用局提交按照附件11的格"/>
      <w:bookmarkEnd w:id="244"/>
      <w:bookmarkStart w:id="245" w:name="_土地使用和前期工作"/>
      <w:bookmarkEnd w:id="245"/>
      <w:bookmarkStart w:id="246" w:name="_Toc1040020"/>
      <w:bookmarkStart w:id="247" w:name="_Toc424760333"/>
      <w:bookmarkStart w:id="248" w:name="_Toc50861729"/>
      <w:bookmarkStart w:id="249" w:name="_Toc50453939"/>
      <w:bookmarkStart w:id="250" w:name="_Toc50861865"/>
      <w:bookmarkStart w:id="251" w:name="_Toc50860360"/>
      <w:bookmarkStart w:id="252" w:name="_Toc515966049"/>
      <w:bookmarkStart w:id="253" w:name="_Toc515679423"/>
      <w:bookmarkStart w:id="254" w:name="_Toc51225610"/>
      <w:bookmarkStart w:id="255" w:name="_Toc48042055"/>
      <w:bookmarkStart w:id="256" w:name="_Toc411394415"/>
      <w:bookmarkStart w:id="257" w:name="_Toc412914182"/>
      <w:bookmarkStart w:id="258" w:name="_Toc51213932"/>
      <w:bookmarkStart w:id="259" w:name="_Toc48101127"/>
      <w:bookmarkStart w:id="260" w:name="_Toc48120194"/>
      <w:bookmarkStart w:id="261" w:name="_Toc515348018"/>
      <w:r>
        <w:rPr>
          <w:rFonts w:hint="eastAsia" w:asciiTheme="minorEastAsia" w:hAnsiTheme="minorEastAsia" w:eastAsiaTheme="minorEastAsia" w:cstheme="minorEastAsia"/>
        </w:rPr>
        <w:br w:type="page"/>
      </w:r>
    </w:p>
    <w:p>
      <w:pPr>
        <w:pStyle w:val="37"/>
        <w:spacing w:after="120" w:afterLines="50"/>
        <w:rPr>
          <w:rFonts w:hint="eastAsia" w:asciiTheme="minorEastAsia" w:hAnsiTheme="minorEastAsia" w:eastAsiaTheme="minorEastAsia" w:cstheme="minorEastAsia"/>
        </w:rPr>
      </w:pPr>
      <w:bookmarkStart w:id="262" w:name="_Toc19615"/>
      <w:bookmarkStart w:id="263" w:name="_Toc11120"/>
      <w:bookmarkStart w:id="264" w:name="_Toc31808"/>
      <w:r>
        <w:rPr>
          <w:rFonts w:hint="eastAsia" w:asciiTheme="minorEastAsia" w:hAnsiTheme="minorEastAsia" w:eastAsiaTheme="minorEastAsia" w:cstheme="minorEastAsia"/>
        </w:rPr>
        <w:t>项目的投融资</w:t>
      </w:r>
      <w:bookmarkEnd w:id="262"/>
      <w:bookmarkEnd w:id="263"/>
      <w:bookmarkEnd w:id="264"/>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265" w:name="_Toc448051230"/>
      <w:bookmarkEnd w:id="265"/>
      <w:bookmarkStart w:id="266" w:name="_Toc489988406"/>
      <w:bookmarkEnd w:id="266"/>
      <w:bookmarkStart w:id="267" w:name="_Toc491687879"/>
      <w:bookmarkEnd w:id="267"/>
      <w:bookmarkStart w:id="268" w:name="_Toc454506704"/>
      <w:bookmarkEnd w:id="268"/>
      <w:bookmarkStart w:id="269" w:name="_Toc447744455"/>
      <w:bookmarkEnd w:id="269"/>
      <w:bookmarkStart w:id="270" w:name="_Toc447849991"/>
      <w:bookmarkEnd w:id="270"/>
      <w:bookmarkStart w:id="271" w:name="_Toc454572525"/>
      <w:bookmarkEnd w:id="271"/>
      <w:bookmarkStart w:id="272" w:name="_Toc493453823"/>
      <w:bookmarkEnd w:id="272"/>
      <w:bookmarkStart w:id="273" w:name="_Toc493454783"/>
      <w:bookmarkEnd w:id="273"/>
      <w:bookmarkStart w:id="274" w:name="_Toc489977800"/>
      <w:bookmarkEnd w:id="274"/>
      <w:bookmarkStart w:id="275" w:name="_Toc490081419"/>
      <w:bookmarkEnd w:id="275"/>
      <w:bookmarkStart w:id="276" w:name="_Toc491680609"/>
      <w:bookmarkEnd w:id="276"/>
      <w:bookmarkStart w:id="277" w:name="_Toc448051412"/>
      <w:bookmarkEnd w:id="277"/>
      <w:bookmarkStart w:id="278" w:name="_Toc447534683"/>
      <w:bookmarkEnd w:id="278"/>
      <w:bookmarkStart w:id="279" w:name="_Toc447534515"/>
      <w:bookmarkEnd w:id="279"/>
      <w:bookmarkStart w:id="280" w:name="_Toc448055679"/>
      <w:bookmarkEnd w:id="280"/>
      <w:bookmarkStart w:id="281" w:name="_Toc448056070"/>
      <w:bookmarkEnd w:id="281"/>
      <w:bookmarkStart w:id="282" w:name="_Toc448046011"/>
      <w:bookmarkEnd w:id="282"/>
      <w:bookmarkStart w:id="283" w:name="_Toc454482244"/>
      <w:bookmarkEnd w:id="283"/>
      <w:bookmarkStart w:id="284" w:name="_Toc448054675"/>
      <w:bookmarkEnd w:id="284"/>
      <w:bookmarkStart w:id="285" w:name="_Toc490035081"/>
      <w:bookmarkEnd w:id="285"/>
      <w:bookmarkStart w:id="286" w:name="_Toc447620403"/>
      <w:bookmarkEnd w:id="286"/>
      <w:bookmarkStart w:id="287" w:name="_Toc490090477"/>
      <w:bookmarkEnd w:id="287"/>
      <w:bookmarkStart w:id="288" w:name="_Toc491687683"/>
      <w:bookmarkEnd w:id="288"/>
      <w:bookmarkStart w:id="289" w:name="_Toc448073103"/>
      <w:bookmarkEnd w:id="289"/>
      <w:bookmarkStart w:id="290" w:name="_Toc490036472"/>
      <w:bookmarkEnd w:id="290"/>
      <w:bookmarkStart w:id="291" w:name="_Toc447632654"/>
      <w:bookmarkEnd w:id="291"/>
      <w:bookmarkStart w:id="292" w:name="_Toc19111"/>
      <w:bookmarkEnd w:id="292"/>
      <w:bookmarkStart w:id="293" w:name="_Toc447847341"/>
      <w:bookmarkEnd w:id="293"/>
      <w:bookmarkStart w:id="294" w:name="_Toc489986145"/>
      <w:bookmarkEnd w:id="294"/>
      <w:bookmarkStart w:id="295" w:name="_Toc491193603"/>
      <w:bookmarkEnd w:id="295"/>
      <w:bookmarkStart w:id="296" w:name="_Toc447743365"/>
      <w:bookmarkEnd w:id="296"/>
      <w:bookmarkStart w:id="297" w:name="_Toc454489344"/>
      <w:bookmarkEnd w:id="297"/>
      <w:bookmarkStart w:id="298" w:name="_Toc491257724"/>
      <w:bookmarkEnd w:id="298"/>
      <w:bookmarkStart w:id="299" w:name="_Toc489977619"/>
      <w:bookmarkEnd w:id="299"/>
      <w:bookmarkStart w:id="300" w:name="_Toc24589"/>
      <w:bookmarkEnd w:id="300"/>
      <w:bookmarkStart w:id="301" w:name="_Toc15878"/>
      <w:bookmarkEnd w:id="301"/>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302" w:name="_融资交割_1"/>
      <w:bookmarkEnd w:id="302"/>
      <w:bookmarkStart w:id="303" w:name="_Toc29689"/>
      <w:bookmarkStart w:id="304" w:name="_Toc454458209"/>
      <w:bookmarkStart w:id="305" w:name="_Toc31673"/>
      <w:bookmarkStart w:id="306" w:name="_Toc5590"/>
      <w:bookmarkStart w:id="307" w:name="_Ref87007807"/>
      <w:bookmarkStart w:id="308" w:name="_Toc239861033"/>
      <w:r>
        <w:rPr>
          <w:rFonts w:hint="eastAsia" w:asciiTheme="minorEastAsia" w:hAnsiTheme="minorEastAsia" w:eastAsiaTheme="minorEastAsia" w:cstheme="minorEastAsia"/>
          <w:color w:val="auto"/>
        </w:rPr>
        <w:t>项目投融资结构</w:t>
      </w:r>
      <w:bookmarkEnd w:id="303"/>
      <w:bookmarkEnd w:id="304"/>
      <w:bookmarkEnd w:id="305"/>
      <w:bookmarkEnd w:id="306"/>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本项目的总投资估算值为61082.89万元，本项目的总投资最终以经政府审计机构审计确认的总投资为准。</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本项目的资本金比例为</w:t>
      </w:r>
      <w:r>
        <w:rPr>
          <w:rFonts w:hint="eastAsia" w:asciiTheme="minorEastAsia" w:hAnsiTheme="minorEastAsia" w:eastAsiaTheme="minorEastAsia" w:cstheme="minorEastAsia"/>
          <w:color w:val="auto"/>
          <w:lang w:val="en-US" w:eastAsia="zh-CN"/>
        </w:rPr>
        <w:t>2</w:t>
      </w:r>
      <w:r>
        <w:rPr>
          <w:rFonts w:hint="eastAsia" w:asciiTheme="minorEastAsia" w:hAnsiTheme="minorEastAsia" w:eastAsiaTheme="minorEastAsia" w:cstheme="minorEastAsia"/>
          <w:color w:val="auto"/>
        </w:rPr>
        <w:t>0%，项目资本金金额为12216.58万万元。本项目的项目资本金通过注册资本筹集（即项目资本金金额等于注册资本金额），其中，</w:t>
      </w:r>
      <w:r>
        <w:rPr>
          <w:rFonts w:hint="eastAsia" w:asciiTheme="minorEastAsia" w:hAnsiTheme="minorEastAsia" w:eastAsiaTheme="minorEastAsia" w:cstheme="minorEastAsia"/>
          <w:color w:val="auto"/>
          <w:lang w:eastAsia="zh-CN"/>
        </w:rPr>
        <w:t>徐州新盛基础建设公司</w:t>
      </w:r>
      <w:r>
        <w:rPr>
          <w:rFonts w:hint="eastAsia" w:asciiTheme="minorEastAsia" w:hAnsiTheme="minorEastAsia" w:eastAsiaTheme="minorEastAsia" w:cstheme="minorEastAsia"/>
          <w:color w:val="auto"/>
        </w:rPr>
        <w:t>出资3664.97万元，社会资本方出资8551.60万元。第一笔项目资本金 1000 万元，项目公司股东各方应在股东协议签订之日后 15 日内按照 股权比例同步到位，对于剩余项目资本金，由市城管局根据项目建设需要向项目公司股东各方分批发出筹集项目资本金通知，在发出通知之日后 30 日内，项目公司股东各方按股权比例同步到位</w:t>
      </w:r>
      <w:r>
        <w:rPr>
          <w:rFonts w:hint="eastAsia" w:asciiTheme="minorEastAsia" w:hAnsiTheme="minorEastAsia" w:eastAsiaTheme="minorEastAsia" w:cstheme="minorEastAsia"/>
          <w:color w:val="auto"/>
          <w:lang w:eastAsia="zh-CN"/>
        </w:rPr>
        <w:t>。</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本项目的项目融资金额为</w:t>
      </w:r>
      <w:r>
        <w:rPr>
          <w:rFonts w:hint="eastAsia" w:asciiTheme="minorEastAsia" w:hAnsiTheme="minorEastAsia" w:eastAsiaTheme="minorEastAsia" w:cstheme="minorEastAsia"/>
        </w:rPr>
        <w:t>48866.31</w:t>
      </w:r>
      <w:r>
        <w:rPr>
          <w:rFonts w:hint="eastAsia" w:asciiTheme="minorEastAsia" w:hAnsiTheme="minorEastAsia" w:eastAsiaTheme="minorEastAsia" w:cstheme="minorEastAsia"/>
          <w:color w:val="auto"/>
        </w:rPr>
        <w:t>万元，由项目公司负责本项目全部的项目融资。</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市城管局</w:t>
      </w:r>
      <w:r>
        <w:rPr>
          <w:rFonts w:hint="eastAsia" w:asciiTheme="minorEastAsia" w:hAnsiTheme="minorEastAsia" w:eastAsiaTheme="minorEastAsia" w:cstheme="minorEastAsia"/>
          <w:color w:val="auto"/>
        </w:rPr>
        <w:t>有权要求对项目建设内容、建设标准等进行更改；如</w:t>
      </w:r>
      <w:r>
        <w:rPr>
          <w:rFonts w:hint="eastAsia" w:asciiTheme="minorEastAsia" w:hAnsiTheme="minorEastAsia" w:eastAsiaTheme="minorEastAsia" w:cstheme="minorEastAsia"/>
          <w:color w:val="auto"/>
          <w:lang w:val="en-US" w:eastAsia="zh-CN"/>
        </w:rPr>
        <w:t>项目公司</w:t>
      </w:r>
      <w:r>
        <w:rPr>
          <w:rFonts w:hint="eastAsia" w:asciiTheme="minorEastAsia" w:hAnsiTheme="minorEastAsia" w:eastAsiaTheme="minorEastAsia" w:cstheme="minorEastAsia"/>
          <w:color w:val="auto"/>
        </w:rPr>
        <w:t>提出对项目建设内容、建设标准等进行更改，需经</w:t>
      </w:r>
      <w:r>
        <w:rPr>
          <w:rFonts w:hint="eastAsia" w:asciiTheme="minorEastAsia" w:hAnsiTheme="minorEastAsia" w:eastAsiaTheme="minorEastAsia" w:cstheme="minorEastAsia"/>
          <w:color w:val="auto"/>
          <w:lang w:val="en-US" w:eastAsia="zh-CN"/>
        </w:rPr>
        <w:t>市城管局</w:t>
      </w:r>
      <w:r>
        <w:rPr>
          <w:rFonts w:hint="eastAsia" w:asciiTheme="minorEastAsia" w:hAnsiTheme="minorEastAsia" w:eastAsiaTheme="minorEastAsia" w:cstheme="minorEastAsia"/>
          <w:color w:val="auto"/>
        </w:rPr>
        <w:t>及相关部门的同意方可实施，并履行徐州市的相关报建程序和基本建设程序（如须）。</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项目公司使用建设资金应遵守国家相关财经制度；项目公司应设立资金专户，项目所有的建设资金必须从该账户中进行流转，</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lang w:val="en-US" w:eastAsia="zh-CN"/>
        </w:rPr>
        <w:t>有权对项目公司的资金使用情况进行监管</w:t>
      </w:r>
      <w:r>
        <w:rPr>
          <w:rFonts w:hint="eastAsia" w:asciiTheme="minorEastAsia" w:hAnsiTheme="minorEastAsia" w:eastAsiaTheme="minorEastAsia" w:cstheme="minorEastAsia"/>
          <w:color w:val="auto"/>
        </w:rPr>
        <w:t>。</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309" w:name="_Toc7734"/>
      <w:bookmarkStart w:id="310" w:name="_Toc5787"/>
      <w:bookmarkStart w:id="311" w:name="_Toc15471"/>
      <w:r>
        <w:rPr>
          <w:rFonts w:hint="eastAsia" w:asciiTheme="minorEastAsia" w:hAnsiTheme="minorEastAsia" w:eastAsiaTheme="minorEastAsia" w:cstheme="minorEastAsia"/>
          <w:color w:val="auto"/>
        </w:rPr>
        <w:t>项目融资</w:t>
      </w:r>
      <w:bookmarkEnd w:id="309"/>
      <w:bookmarkEnd w:id="310"/>
      <w:bookmarkEnd w:id="311"/>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项目公司对在合作期内投资和建设徐州市建国东路、泉润大道（老徐萧路）和五山公园综合管廊PPP项目所需的资金（包括注册资本和贷款）的获得承担全部责任。</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项目公司应积极运用境内外适用和优惠的融资工具为本项目获得必要融资，以降低项目公司的融资成本。各方应为项目公司的融资提供协助。</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本项目在合作期的融资利率不得超过中国人民银行公布的5年以上同期贷款基准利率上浮</w:t>
      </w:r>
      <w:r>
        <w:rPr>
          <w:rFonts w:hint="eastAsia" w:asciiTheme="minorEastAsia" w:hAnsiTheme="minorEastAsia" w:eastAsiaTheme="minorEastAsia" w:cstheme="minorEastAsia"/>
          <w:color w:val="auto"/>
          <w:highlight w:val="none"/>
          <w:lang w:val="en-US" w:eastAsia="zh-CN"/>
        </w:rPr>
        <w:t>2</w:t>
      </w:r>
      <w:r>
        <w:rPr>
          <w:rFonts w:hint="eastAsia" w:asciiTheme="minorEastAsia" w:hAnsiTheme="minorEastAsia" w:eastAsiaTheme="minorEastAsia" w:cstheme="minorEastAsia"/>
          <w:color w:val="auto"/>
          <w:highlight w:val="none"/>
        </w:rPr>
        <w:t>0%（</w:t>
      </w:r>
      <w:r>
        <w:rPr>
          <w:rFonts w:hint="eastAsia" w:asciiTheme="minorEastAsia" w:hAnsiTheme="minorEastAsia" w:eastAsiaTheme="minorEastAsia" w:cstheme="minorEastAsia"/>
          <w:color w:val="auto"/>
        </w:rPr>
        <w:t>与银行基准利率同步调整），如项目公司取得贷款利率低于或超过中国人民银行公布的同期贷款基准利率上浮</w:t>
      </w:r>
      <w:r>
        <w:rPr>
          <w:rFonts w:hint="eastAsia" w:asciiTheme="minorEastAsia" w:hAnsiTheme="minorEastAsia" w:eastAsiaTheme="minorEastAsia" w:cstheme="minorEastAsia"/>
          <w:color w:val="auto"/>
          <w:lang w:val="en-US" w:eastAsia="zh-CN"/>
        </w:rPr>
        <w:t>2</w:t>
      </w:r>
      <w:r>
        <w:rPr>
          <w:rFonts w:hint="eastAsia" w:asciiTheme="minorEastAsia" w:hAnsiTheme="minorEastAsia" w:eastAsiaTheme="minorEastAsia" w:cstheme="minorEastAsia"/>
          <w:color w:val="auto"/>
        </w:rPr>
        <w:t>0%（与银行基准利率同步调整），</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实行</w:t>
      </w:r>
      <w:r>
        <w:rPr>
          <w:rFonts w:hint="eastAsia" w:asciiTheme="minorEastAsia" w:hAnsiTheme="minorEastAsia" w:eastAsiaTheme="minorEastAsia" w:cstheme="minorEastAsia"/>
          <w:color w:val="auto"/>
          <w:lang w:val="en-US" w:eastAsia="zh-CN"/>
        </w:rPr>
        <w:t>奖励或扣</w:t>
      </w:r>
      <w:r>
        <w:rPr>
          <w:rFonts w:hint="eastAsia" w:asciiTheme="minorEastAsia" w:hAnsiTheme="minorEastAsia" w:eastAsiaTheme="minorEastAsia" w:cstheme="minorEastAsia"/>
          <w:color w:val="auto"/>
        </w:rPr>
        <w:t>款制度，并根据第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_Ref447624136 \r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13.2</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条的约定核算可行性缺口补助。</w:t>
      </w:r>
    </w:p>
    <w:p>
      <w:pPr>
        <w:pStyle w:val="5"/>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本次测算贷款期限暂按21年计算，宽限期为1年，宽限期不还款，采用等额本金方式还款。本项目的贷款利率按照中国人民银行目前执行的5年以上贷款基准利率上浮20%（即5.88%）测算。</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非经</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事先书面同意，并遵循相关法定程序，项目公司不得转让、出租、质押或许可他人使用项目公司拥有的资产，或设置抵押或其他担保权益。上述转让、出租、抵押、质押或许可等均仅限于为本项目实施之目的，且不得影响</w:t>
      </w:r>
      <w:r>
        <w:rPr>
          <w:rFonts w:hint="eastAsia" w:asciiTheme="minorEastAsia" w:hAnsiTheme="minorEastAsia" w:eastAsiaTheme="minorEastAsia" w:cstheme="minorEastAsia"/>
          <w:color w:val="auto"/>
          <w:lang w:eastAsia="zh-CN"/>
        </w:rPr>
        <w:t>徐州市建国东路、泉润大道（老徐萧路）和五山公园综合管廊PPP项目</w:t>
      </w:r>
      <w:r>
        <w:rPr>
          <w:rFonts w:hint="eastAsia" w:asciiTheme="minorEastAsia" w:hAnsiTheme="minorEastAsia" w:eastAsiaTheme="minorEastAsia" w:cstheme="minorEastAsia"/>
          <w:color w:val="auto"/>
        </w:rPr>
        <w:t>的正常运行。</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社会资本方应发挥其资信实力及综合协调能力的优势，协助项目公司申请本项目的项目贷款，在压缩贷款审批周期、降低贷款利率、争取优惠条件等方面提供必要的支持。</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若项目公司无法按期完成融资，则项目公司社会资本方股东</w:t>
      </w:r>
      <w:r>
        <w:rPr>
          <w:rFonts w:hint="eastAsia" w:asciiTheme="minorEastAsia" w:hAnsiTheme="minorEastAsia" w:eastAsiaTheme="minorEastAsia" w:cstheme="minorEastAsia"/>
          <w:color w:val="auto"/>
        </w:rPr>
        <w:t>应在六十（60）个工作日以内采取垫资，或自有资金</w:t>
      </w:r>
      <w:r>
        <w:rPr>
          <w:rFonts w:hint="eastAsia" w:asciiTheme="minorEastAsia" w:hAnsiTheme="minorEastAsia" w:eastAsiaTheme="minorEastAsia" w:cstheme="minorEastAsia"/>
          <w:color w:val="auto"/>
          <w:lang w:val="en-US" w:eastAsia="zh-CN"/>
        </w:rPr>
        <w:t>等</w:t>
      </w:r>
      <w:r>
        <w:rPr>
          <w:rFonts w:hint="eastAsia" w:asciiTheme="minorEastAsia" w:hAnsiTheme="minorEastAsia" w:eastAsiaTheme="minorEastAsia" w:cstheme="minorEastAsia"/>
          <w:color w:val="auto"/>
        </w:rPr>
        <w:t>方式</w:t>
      </w:r>
      <w:r>
        <w:rPr>
          <w:rFonts w:hint="eastAsia" w:asciiTheme="minorEastAsia" w:hAnsiTheme="minorEastAsia" w:eastAsiaTheme="minorEastAsia" w:cstheme="minorEastAsia"/>
          <w:color w:val="auto"/>
          <w:lang w:val="en-US" w:eastAsia="zh-CN"/>
        </w:rPr>
        <w:t>提供融资，</w:t>
      </w:r>
      <w:r>
        <w:rPr>
          <w:rFonts w:hint="eastAsia" w:asciiTheme="minorEastAsia" w:hAnsiTheme="minorEastAsia" w:eastAsiaTheme="minorEastAsia" w:cstheme="minorEastAsia"/>
          <w:color w:val="auto"/>
        </w:rPr>
        <w:t>确保项目的顺利进行</w:t>
      </w:r>
      <w:r>
        <w:rPr>
          <w:rFonts w:hint="eastAsia" w:asciiTheme="minorEastAsia" w:hAnsiTheme="minorEastAsia" w:eastAsiaTheme="minorEastAsia" w:cstheme="minorEastAsia"/>
          <w:color w:val="auto"/>
          <w:lang w:eastAsia="zh-CN"/>
        </w:rPr>
        <w:t>。</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项目公司应按照金融机构要求提供合规性材料，包括但不限于其公司基础资料、财务报表以及其它融资合规性文件等。</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312" w:name="_Ref447621179"/>
      <w:bookmarkStart w:id="313" w:name="_Toc15251"/>
      <w:bookmarkStart w:id="314" w:name="_Toc27895"/>
      <w:bookmarkStart w:id="315" w:name="_Toc28219"/>
      <w:r>
        <w:rPr>
          <w:rFonts w:hint="eastAsia" w:asciiTheme="minorEastAsia" w:hAnsiTheme="minorEastAsia" w:eastAsiaTheme="minorEastAsia" w:cstheme="minorEastAsia"/>
          <w:color w:val="auto"/>
        </w:rPr>
        <w:t>融资文件</w:t>
      </w:r>
      <w:bookmarkEnd w:id="312"/>
      <w:bookmarkEnd w:id="313"/>
      <w:bookmarkEnd w:id="314"/>
      <w:bookmarkEnd w:id="315"/>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融资文件的批准</w:t>
      </w:r>
    </w:p>
    <w:p>
      <w:pPr>
        <w:spacing w:before="120" w:after="120" w:afterLines="50"/>
        <w:ind w:left="708" w:leftChars="295"/>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项目公司应于生效日期或之前向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提交融资文件，未经</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事先书面批准，项目公司不得：</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签署任何其它的融资文件；</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在任何重大方面修改或补充、或终止、替换已经由</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依据本合同批准的融资文件。</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融资文件批准的效力</w:t>
      </w:r>
    </w:p>
    <w:p>
      <w:pPr>
        <w:spacing w:before="120" w:after="120" w:afterLines="50"/>
        <w:ind w:left="708" w:leftChars="295"/>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对融资文件或融资文件的修改或变更的批准并不免除项目公司在本合同项下的任何义务或责任。</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316" w:name="_Toc9008"/>
      <w:bookmarkStart w:id="317" w:name="_Toc25289"/>
      <w:bookmarkStart w:id="318" w:name="_Toc6400"/>
      <w:r>
        <w:rPr>
          <w:rFonts w:hint="eastAsia" w:asciiTheme="minorEastAsia" w:hAnsiTheme="minorEastAsia" w:eastAsiaTheme="minorEastAsia" w:cstheme="minorEastAsia"/>
          <w:color w:val="auto"/>
        </w:rPr>
        <w:t>融资交割</w:t>
      </w:r>
      <w:bookmarkEnd w:id="307"/>
      <w:bookmarkEnd w:id="308"/>
      <w:bookmarkEnd w:id="316"/>
      <w:bookmarkEnd w:id="317"/>
      <w:bookmarkEnd w:id="318"/>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在本合同正式签署日之日起</w:t>
      </w:r>
      <w:r>
        <w:rPr>
          <w:rFonts w:hint="eastAsia" w:asciiTheme="minorEastAsia" w:hAnsiTheme="minorEastAsia" w:eastAsiaTheme="minorEastAsia" w:cstheme="minorEastAsia"/>
          <w:color w:val="auto"/>
          <w:highlight w:val="none"/>
        </w:rPr>
        <w:t>六十</w:t>
      </w:r>
      <w:r>
        <w:rPr>
          <w:rFonts w:hint="eastAsia" w:asciiTheme="minorEastAsia" w:hAnsiTheme="minorEastAsia" w:eastAsiaTheme="minorEastAsia" w:cstheme="minorEastAsia"/>
          <w:color w:val="auto"/>
        </w:rPr>
        <w:t>（60）日内，项目公司应完成融资交割。</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项目公司自完成融资交割之日起</w:t>
      </w:r>
      <w:r>
        <w:rPr>
          <w:rFonts w:hint="eastAsia" w:asciiTheme="minorEastAsia" w:hAnsiTheme="minorEastAsia" w:eastAsiaTheme="minorEastAsia" w:cstheme="minorEastAsia"/>
          <w:color w:val="auto"/>
          <w:highlight w:val="none"/>
        </w:rPr>
        <w:t>十五（15）</w:t>
      </w:r>
      <w:r>
        <w:rPr>
          <w:rFonts w:hint="eastAsia" w:asciiTheme="minorEastAsia" w:hAnsiTheme="minorEastAsia" w:eastAsiaTheme="minorEastAsia" w:cstheme="minorEastAsia"/>
          <w:color w:val="auto"/>
        </w:rPr>
        <w:t>个工作日内，应向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书面确认融资交割完成，并提交所有已签署的融资文件的复印件，以及</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合理要求的证明融资交割已完成的任何其他文件。</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如融资交割未能按期实现，项目公司可以向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申请一宽限期，该宽限期时间不超过六十（60）日，以经</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书面同意的时间为准。</w:t>
      </w:r>
      <w:bookmarkStart w:id="319" w:name="_技改资金"/>
      <w:bookmarkEnd w:id="319"/>
      <w:bookmarkStart w:id="320" w:name="_Ref87107145"/>
      <w:r>
        <w:rPr>
          <w:rFonts w:hint="eastAsia" w:asciiTheme="minorEastAsia" w:hAnsiTheme="minorEastAsia" w:eastAsiaTheme="minorEastAsia" w:cstheme="minorEastAsia"/>
          <w:color w:val="auto"/>
        </w:rPr>
        <w:t>如</w:t>
      </w:r>
      <w:r>
        <w:rPr>
          <w:rFonts w:hint="eastAsia" w:asciiTheme="minorEastAsia" w:hAnsiTheme="minorEastAsia" w:eastAsiaTheme="minorEastAsia" w:cstheme="minorEastAsia"/>
          <w:color w:val="auto"/>
          <w:lang w:val="en-US" w:eastAsia="zh-CN"/>
        </w:rPr>
        <w:t>项目公司</w:t>
      </w:r>
      <w:r>
        <w:rPr>
          <w:rFonts w:hint="eastAsia" w:asciiTheme="minorEastAsia" w:hAnsiTheme="minorEastAsia" w:eastAsiaTheme="minorEastAsia" w:cstheme="minorEastAsia"/>
          <w:color w:val="auto"/>
        </w:rPr>
        <w:t>未能在宽限内完成，每逾期一天，</w:t>
      </w:r>
      <w:r>
        <w:rPr>
          <w:rFonts w:hint="eastAsia" w:asciiTheme="minorEastAsia" w:hAnsiTheme="minorEastAsia" w:eastAsiaTheme="minorEastAsia" w:cstheme="minorEastAsia"/>
          <w:color w:val="auto"/>
          <w:lang w:val="en-US" w:eastAsia="zh-CN"/>
        </w:rPr>
        <w:t>项目公司</w:t>
      </w:r>
      <w:r>
        <w:rPr>
          <w:rFonts w:hint="eastAsia" w:asciiTheme="minorEastAsia" w:hAnsiTheme="minorEastAsia" w:eastAsiaTheme="minorEastAsia" w:cstheme="minorEastAsia"/>
          <w:color w:val="auto"/>
        </w:rPr>
        <w:t>向</w:t>
      </w:r>
      <w:r>
        <w:rPr>
          <w:rFonts w:hint="eastAsia" w:asciiTheme="minorEastAsia" w:hAnsiTheme="minorEastAsia" w:eastAsiaTheme="minorEastAsia" w:cstheme="minorEastAsia"/>
          <w:color w:val="auto"/>
          <w:lang w:val="en-US" w:eastAsia="zh-CN"/>
        </w:rPr>
        <w:t>市城管局</w:t>
      </w:r>
      <w:r>
        <w:rPr>
          <w:rFonts w:hint="eastAsia" w:asciiTheme="minorEastAsia" w:hAnsiTheme="minorEastAsia" w:eastAsiaTheme="minorEastAsia" w:cstheme="minorEastAsia"/>
          <w:color w:val="auto"/>
        </w:rPr>
        <w:t>承担20000元/天的违约责任。超过宽限期仍未完成的，社会资本方应在六十（60）个工作日以内采取垫资、股东借款，或自有资金补充等融资方式确保项目的顺利进行，否则视为属</w:t>
      </w:r>
      <w:r>
        <w:rPr>
          <w:rFonts w:hint="eastAsia" w:asciiTheme="minorEastAsia" w:hAnsiTheme="minorEastAsia" w:eastAsiaTheme="minorEastAsia" w:cstheme="minorEastAsia"/>
          <w:color w:val="auto"/>
          <w:lang w:val="en-US" w:eastAsia="zh-CN"/>
        </w:rPr>
        <w:t>项目公司</w:t>
      </w:r>
      <w:r>
        <w:rPr>
          <w:rFonts w:hint="eastAsia" w:asciiTheme="minorEastAsia" w:hAnsiTheme="minorEastAsia" w:eastAsiaTheme="minorEastAsia" w:cstheme="minorEastAsia"/>
          <w:color w:val="auto"/>
        </w:rPr>
        <w:t>严重违约，</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有权终止合同，提取全部保函，并要求</w:t>
      </w:r>
      <w:r>
        <w:rPr>
          <w:rFonts w:hint="eastAsia" w:asciiTheme="minorEastAsia" w:hAnsiTheme="minorEastAsia" w:eastAsiaTheme="minorEastAsia" w:cstheme="minorEastAsia"/>
          <w:color w:val="auto"/>
          <w:lang w:val="en-US" w:eastAsia="zh-CN"/>
        </w:rPr>
        <w:t>项目公司</w:t>
      </w:r>
      <w:r>
        <w:rPr>
          <w:rFonts w:hint="eastAsia" w:asciiTheme="minorEastAsia" w:hAnsiTheme="minorEastAsia" w:eastAsiaTheme="minorEastAsia" w:cstheme="minorEastAsia"/>
          <w:color w:val="auto"/>
        </w:rPr>
        <w:t>承担不低于总投资额5%的经济损失，同时有权有权终止合同。</w:t>
      </w:r>
    </w:p>
    <w:bookmarkEnd w:id="320"/>
    <w:p>
      <w:pPr>
        <w:pStyle w:val="3"/>
        <w:keepNext w:val="0"/>
        <w:widowControl w:val="0"/>
        <w:spacing w:before="120" w:beforeLines="50" w:afterLines="50"/>
        <w:rPr>
          <w:rFonts w:hint="eastAsia" w:asciiTheme="minorEastAsia" w:hAnsiTheme="minorEastAsia" w:eastAsiaTheme="minorEastAsia" w:cstheme="minorEastAsia"/>
          <w:color w:val="auto"/>
        </w:rPr>
      </w:pPr>
      <w:bookmarkStart w:id="321" w:name="_Toc454506706"/>
      <w:bookmarkEnd w:id="321"/>
      <w:bookmarkStart w:id="322" w:name="_Toc454489346"/>
      <w:bookmarkEnd w:id="322"/>
      <w:bookmarkStart w:id="323" w:name="_Toc12656"/>
      <w:bookmarkStart w:id="324" w:name="_Toc3276"/>
      <w:bookmarkStart w:id="325" w:name="_Toc1379"/>
      <w:r>
        <w:rPr>
          <w:rFonts w:hint="eastAsia" w:asciiTheme="minorEastAsia" w:hAnsiTheme="minorEastAsia" w:eastAsiaTheme="minorEastAsia" w:cstheme="minorEastAsia"/>
          <w:color w:val="auto"/>
        </w:rPr>
        <w:t>担保权益</w:t>
      </w:r>
      <w:bookmarkEnd w:id="323"/>
      <w:bookmarkEnd w:id="324"/>
      <w:bookmarkEnd w:id="325"/>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项目公司为</w:t>
      </w:r>
      <w:r>
        <w:rPr>
          <w:rFonts w:hint="eastAsia" w:asciiTheme="minorEastAsia" w:hAnsiTheme="minorEastAsia" w:eastAsiaTheme="minorEastAsia" w:cstheme="minorEastAsia"/>
          <w:color w:val="auto"/>
          <w:lang w:eastAsia="zh-CN"/>
        </w:rPr>
        <w:t>徐州市建国东路、泉润大道（老徐萧路）和五山公园综合管廊PPP项目</w:t>
      </w:r>
      <w:r>
        <w:rPr>
          <w:rFonts w:hint="eastAsia" w:asciiTheme="minorEastAsia" w:hAnsiTheme="minorEastAsia" w:eastAsiaTheme="minorEastAsia" w:cstheme="minorEastAsia"/>
          <w:color w:val="auto"/>
        </w:rPr>
        <w:t>融资之目的，遵循适用法律程序，将其项目合同项下的权利和利益及项目公司拥有的资产（包括动产、不动产和无形财产、项目公司的收入或收益权、及其对其银行账户的权利）之上设置抵押、质押或以其它方式设置担保权益，应报</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批准。</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326" w:name="_Toc27357"/>
      <w:bookmarkStart w:id="327" w:name="_Toc18890"/>
      <w:bookmarkStart w:id="328" w:name="_Toc12944"/>
      <w:r>
        <w:rPr>
          <w:rFonts w:hint="eastAsia" w:asciiTheme="minorEastAsia" w:hAnsiTheme="minorEastAsia" w:eastAsiaTheme="minorEastAsia" w:cstheme="minorEastAsia"/>
          <w:color w:val="auto"/>
        </w:rPr>
        <w:t>投融资监管</w:t>
      </w:r>
      <w:bookmarkEnd w:id="326"/>
      <w:bookmarkEnd w:id="327"/>
      <w:bookmarkEnd w:id="328"/>
    </w:p>
    <w:p>
      <w:pPr>
        <w:pStyle w:val="4"/>
        <w:ind w:left="720" w:leftChars="30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有权对项目公司的投融资行为进行监督，确保项目公司投融资行为合规合法，并按照约定的进度与数额完成投融资计划。</w:t>
      </w:r>
    </w:p>
    <w:p>
      <w:pPr>
        <w:pStyle w:val="4"/>
        <w:ind w:left="720" w:leftChars="30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项目公司应将本项目的融资情况以书面形式每月向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报告，便于</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了解本项目的融资情况，加强对项目公司的监督。</w:t>
      </w:r>
    </w:p>
    <w:p>
      <w:pPr>
        <w:pStyle w:val="4"/>
        <w:ind w:left="720" w:leftChars="30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如果项目公司未在本合同约定的期限内完成融资交割，</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有权根据第</w:t>
      </w:r>
      <w:r>
        <w:rPr>
          <w:rFonts w:hint="eastAsia" w:asciiTheme="minorEastAsia" w:hAnsiTheme="minorEastAsia" w:eastAsiaTheme="minorEastAsia" w:cstheme="minorEastAsia"/>
          <w:lang w:val="en-US" w:eastAsia="zh-CN"/>
        </w:rPr>
        <w:t>5.4.3</w:t>
      </w:r>
      <w:r>
        <w:rPr>
          <w:rFonts w:hint="eastAsia" w:asciiTheme="minorEastAsia" w:hAnsiTheme="minorEastAsia" w:eastAsiaTheme="minorEastAsia" w:cstheme="minorEastAsia"/>
        </w:rPr>
        <w:t>条兑取建设履约独立保函</w:t>
      </w:r>
      <w:r>
        <w:rPr>
          <w:rFonts w:hint="eastAsia" w:asciiTheme="minorEastAsia" w:hAnsiTheme="minorEastAsia" w:eastAsiaTheme="minorEastAsia" w:cstheme="minorEastAsia"/>
          <w:lang w:val="en-US" w:eastAsia="zh-CN"/>
        </w:rPr>
        <w:t>且</w:t>
      </w:r>
      <w:r>
        <w:rPr>
          <w:rFonts w:hint="eastAsia" w:asciiTheme="minorEastAsia" w:hAnsiTheme="minorEastAsia" w:eastAsiaTheme="minorEastAsia" w:cstheme="minorEastAsia"/>
        </w:rPr>
        <w:t>提前终止本合同。如果项目公司的融资金额无法满足项目进度要求的，</w:t>
      </w:r>
      <w:r>
        <w:rPr>
          <w:rFonts w:hint="eastAsia" w:asciiTheme="minorEastAsia" w:hAnsiTheme="minorEastAsia" w:eastAsiaTheme="minorEastAsia" w:cstheme="minorEastAsia"/>
          <w:lang w:val="en-US" w:eastAsia="zh-CN"/>
        </w:rPr>
        <w:t>市城管局</w:t>
      </w:r>
      <w:r>
        <w:rPr>
          <w:rFonts w:hint="eastAsia" w:asciiTheme="minorEastAsia" w:hAnsiTheme="minorEastAsia" w:eastAsiaTheme="minorEastAsia" w:cstheme="minorEastAsia"/>
        </w:rPr>
        <w:t>有权兑取建设履约独立保函</w:t>
      </w:r>
      <w:r>
        <w:rPr>
          <w:rFonts w:hint="eastAsia" w:asciiTheme="minorEastAsia" w:hAnsiTheme="minorEastAsia" w:eastAsiaTheme="minorEastAsia" w:cstheme="minorEastAsia"/>
          <w:lang w:val="en-US" w:eastAsia="zh-CN"/>
        </w:rPr>
        <w:t>且</w:t>
      </w:r>
      <w:r>
        <w:rPr>
          <w:rFonts w:hint="eastAsia" w:asciiTheme="minorEastAsia" w:hAnsiTheme="minorEastAsia" w:eastAsiaTheme="minorEastAsia" w:cstheme="minorEastAsia"/>
        </w:rPr>
        <w:t>提前终止本合同。</w:t>
      </w:r>
    </w:p>
    <w:p>
      <w:pPr>
        <w:pStyle w:val="3"/>
        <w:spacing w:before="120" w:beforeLines="50" w:afterLines="50"/>
        <w:rPr>
          <w:rFonts w:hint="eastAsia" w:asciiTheme="minorEastAsia" w:hAnsiTheme="minorEastAsia" w:eastAsiaTheme="minorEastAsia" w:cstheme="minorEastAsia"/>
          <w:color w:val="auto"/>
        </w:rPr>
      </w:pPr>
      <w:bookmarkStart w:id="329" w:name="_融资文件"/>
      <w:bookmarkEnd w:id="329"/>
      <w:bookmarkStart w:id="330" w:name="_Toc14267"/>
      <w:bookmarkStart w:id="331" w:name="_Toc2414"/>
      <w:bookmarkStart w:id="332" w:name="_Toc27319"/>
      <w:r>
        <w:rPr>
          <w:rFonts w:hint="eastAsia" w:asciiTheme="minorEastAsia" w:hAnsiTheme="minorEastAsia" w:eastAsiaTheme="minorEastAsia" w:cstheme="minorEastAsia"/>
          <w:color w:val="auto"/>
        </w:rPr>
        <w:t>关于优惠政策的处置</w:t>
      </w:r>
      <w:bookmarkEnd w:id="330"/>
      <w:bookmarkEnd w:id="331"/>
      <w:bookmarkEnd w:id="332"/>
      <w:r>
        <w:rPr>
          <w:rFonts w:hint="eastAsia" w:asciiTheme="minorEastAsia" w:hAnsiTheme="minorEastAsia" w:eastAsiaTheme="minorEastAsia" w:cstheme="minorEastAsia"/>
          <w:color w:val="auto"/>
        </w:rPr>
        <w:t xml:space="preserve"> </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本项目在合作期期内享有的国家或地方的优惠政策、支持资金和其他形式的补贴，该等优惠政策、支持资金和补贴所有权、使用权和处分权均归</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或政府指定机构所有。如政府方将该等优惠政策、支持资金和补贴用于项目公司，则政府方有权在可行性缺口补助中扣减相应金额。</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在项目合作期内，如有财政专项资金、政府引导性基金、开发性金融基金等优惠项目资金进入，项目公司和项目公司股东各方应积极配合上述资金的注入和使用。</w:t>
      </w:r>
    </w:p>
    <w:p>
      <w:pPr>
        <w:spacing w:before="120" w:after="120" w:afterLines="50"/>
        <w:rPr>
          <w:rFonts w:hint="eastAsia" w:asciiTheme="minorEastAsia" w:hAnsiTheme="minorEastAsia" w:eastAsiaTheme="minorEastAsia" w:cstheme="minorEastAsia"/>
        </w:rPr>
      </w:pPr>
    </w:p>
    <w:p>
      <w:pPr>
        <w:pStyle w:val="37"/>
        <w:spacing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bookmarkStart w:id="333" w:name="_Toc13469"/>
      <w:bookmarkStart w:id="334" w:name="_Toc12185"/>
      <w:bookmarkStart w:id="335" w:name="_Toc32553"/>
      <w:r>
        <w:rPr>
          <w:rFonts w:hint="eastAsia" w:asciiTheme="minorEastAsia" w:hAnsiTheme="minorEastAsia" w:eastAsiaTheme="minorEastAsia" w:cstheme="minorEastAsia"/>
        </w:rPr>
        <w:t>项目用地</w:t>
      </w:r>
      <w:bookmarkEnd w:id="333"/>
      <w:bookmarkEnd w:id="334"/>
      <w:bookmarkEnd w:id="335"/>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336" w:name="_Toc447743371"/>
      <w:bookmarkEnd w:id="336"/>
      <w:bookmarkStart w:id="337" w:name="_Toc447849998"/>
      <w:bookmarkEnd w:id="337"/>
      <w:bookmarkStart w:id="338" w:name="_Toc491193611"/>
      <w:bookmarkEnd w:id="338"/>
      <w:bookmarkStart w:id="339" w:name="_Toc490081427"/>
      <w:bookmarkEnd w:id="339"/>
      <w:bookmarkStart w:id="340" w:name="_Toc26294"/>
      <w:bookmarkEnd w:id="340"/>
      <w:bookmarkStart w:id="341" w:name="_Toc489988414"/>
      <w:bookmarkEnd w:id="341"/>
      <w:bookmarkStart w:id="342" w:name="_Toc454489352"/>
      <w:bookmarkEnd w:id="342"/>
      <w:bookmarkStart w:id="343" w:name="_Toc447847348"/>
      <w:bookmarkEnd w:id="343"/>
      <w:bookmarkStart w:id="344" w:name="_Toc491687887"/>
      <w:bookmarkEnd w:id="344"/>
      <w:bookmarkStart w:id="345" w:name="_Toc489977627"/>
      <w:bookmarkEnd w:id="345"/>
      <w:bookmarkStart w:id="346" w:name="_Toc489977808"/>
      <w:bookmarkEnd w:id="346"/>
      <w:bookmarkStart w:id="347" w:name="_土地使用权"/>
      <w:bookmarkEnd w:id="347"/>
      <w:bookmarkStart w:id="348" w:name="_Toc448073110"/>
      <w:bookmarkEnd w:id="348"/>
      <w:bookmarkStart w:id="349" w:name="_Toc447632660"/>
      <w:bookmarkEnd w:id="349"/>
      <w:bookmarkStart w:id="350" w:name="_Toc491687691"/>
      <w:bookmarkEnd w:id="350"/>
      <w:bookmarkStart w:id="351" w:name="_Toc447534689"/>
      <w:bookmarkEnd w:id="351"/>
      <w:bookmarkStart w:id="352" w:name="_Toc447534521"/>
      <w:bookmarkEnd w:id="352"/>
      <w:bookmarkStart w:id="353" w:name="_Toc448051237"/>
      <w:bookmarkEnd w:id="353"/>
      <w:bookmarkStart w:id="354" w:name="_Toc448054682"/>
      <w:bookmarkEnd w:id="354"/>
      <w:bookmarkStart w:id="355" w:name="_Toc490036480"/>
      <w:bookmarkEnd w:id="355"/>
      <w:bookmarkStart w:id="356" w:name="_Toc493454792"/>
      <w:bookmarkEnd w:id="356"/>
      <w:bookmarkStart w:id="357" w:name="_Toc491680617"/>
      <w:bookmarkEnd w:id="357"/>
      <w:bookmarkStart w:id="358" w:name="_Toc490090485"/>
      <w:bookmarkEnd w:id="358"/>
      <w:bookmarkStart w:id="359" w:name="_Toc489986153"/>
      <w:bookmarkEnd w:id="359"/>
      <w:bookmarkStart w:id="360" w:name="_Toc448056077"/>
      <w:bookmarkEnd w:id="360"/>
      <w:bookmarkStart w:id="361" w:name="_Toc493453832"/>
      <w:bookmarkEnd w:id="361"/>
      <w:bookmarkStart w:id="362" w:name="_Toc447620409"/>
      <w:bookmarkEnd w:id="362"/>
      <w:bookmarkStart w:id="363" w:name="_Toc454482251"/>
      <w:bookmarkEnd w:id="363"/>
      <w:bookmarkStart w:id="364" w:name="_Toc448051419"/>
      <w:bookmarkEnd w:id="364"/>
      <w:bookmarkStart w:id="365" w:name="_Toc491257732"/>
      <w:bookmarkEnd w:id="365"/>
      <w:bookmarkStart w:id="366" w:name="_Toc448055686"/>
      <w:bookmarkEnd w:id="366"/>
      <w:bookmarkStart w:id="367" w:name="_Toc454506712"/>
      <w:bookmarkEnd w:id="367"/>
      <w:bookmarkStart w:id="368" w:name="_Toc448046018"/>
      <w:bookmarkEnd w:id="368"/>
      <w:bookmarkStart w:id="369" w:name="_Toc490035089"/>
      <w:bookmarkEnd w:id="369"/>
      <w:bookmarkStart w:id="370" w:name="_Toc454572532"/>
      <w:bookmarkEnd w:id="370"/>
      <w:bookmarkStart w:id="371" w:name="_Toc447744461"/>
      <w:bookmarkEnd w:id="371"/>
      <w:bookmarkStart w:id="372" w:name="_Toc29443"/>
      <w:bookmarkEnd w:id="372"/>
      <w:bookmarkStart w:id="373" w:name="_Toc22356"/>
      <w:bookmarkEnd w:id="373"/>
      <w:bookmarkStart w:id="374" w:name="_Toc50861866"/>
      <w:bookmarkStart w:id="375" w:name="_Toc239861035"/>
      <w:bookmarkStart w:id="376" w:name="_Ref87025095"/>
      <w:bookmarkStart w:id="377" w:name="_Toc50860361"/>
      <w:bookmarkStart w:id="378" w:name="_Toc51213933"/>
      <w:bookmarkStart w:id="379" w:name="_Toc50861730"/>
      <w:bookmarkStart w:id="380" w:name="_Toc51225611"/>
      <w:bookmarkStart w:id="381" w:name="_Toc50453940"/>
      <w:bookmarkStart w:id="382" w:name="_Ref87025848"/>
    </w:p>
    <w:bookmarkEnd w:id="374"/>
    <w:bookmarkEnd w:id="375"/>
    <w:bookmarkEnd w:id="376"/>
    <w:bookmarkEnd w:id="377"/>
    <w:bookmarkEnd w:id="378"/>
    <w:bookmarkEnd w:id="379"/>
    <w:bookmarkEnd w:id="380"/>
    <w:bookmarkEnd w:id="381"/>
    <w:bookmarkEnd w:id="382"/>
    <w:p>
      <w:pPr>
        <w:pStyle w:val="3"/>
        <w:keepNext w:val="0"/>
        <w:widowControl w:val="0"/>
        <w:spacing w:before="120" w:beforeLines="50" w:afterLines="50"/>
        <w:rPr>
          <w:rFonts w:hint="eastAsia" w:asciiTheme="minorEastAsia" w:hAnsiTheme="minorEastAsia" w:eastAsiaTheme="minorEastAsia" w:cstheme="minorEastAsia"/>
          <w:color w:val="auto"/>
        </w:rPr>
      </w:pPr>
      <w:bookmarkStart w:id="383" w:name="_Toc7327"/>
      <w:bookmarkStart w:id="384" w:name="_Toc6008"/>
      <w:bookmarkStart w:id="385" w:name="_Toc27075"/>
      <w:r>
        <w:rPr>
          <w:rFonts w:hint="eastAsia" w:asciiTheme="minorEastAsia" w:hAnsiTheme="minorEastAsia" w:eastAsiaTheme="minorEastAsia" w:cstheme="minorEastAsia"/>
          <w:color w:val="auto"/>
        </w:rPr>
        <w:t>建设用地和临时用地</w:t>
      </w:r>
      <w:bookmarkEnd w:id="383"/>
      <w:bookmarkEnd w:id="384"/>
      <w:bookmarkEnd w:id="385"/>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建设用地是指项目公司为建设本项目依法取得的本项目规划红线范围内的土地。本项目涉及的临时用地是指因建设项目施工需要，超出建设用地范围的土地。</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386" w:name="_土地使用权_1"/>
      <w:bookmarkEnd w:id="386"/>
      <w:bookmarkStart w:id="387" w:name="_Ref447621392"/>
      <w:bookmarkStart w:id="388" w:name="_Toc761"/>
      <w:bookmarkStart w:id="389" w:name="_Toc27822"/>
      <w:bookmarkStart w:id="390" w:name="_Toc3926"/>
      <w:r>
        <w:rPr>
          <w:rFonts w:hint="eastAsia" w:asciiTheme="minorEastAsia" w:hAnsiTheme="minorEastAsia" w:eastAsiaTheme="minorEastAsia" w:cstheme="minorEastAsia"/>
          <w:color w:val="auto"/>
        </w:rPr>
        <w:t>土地使用权</w:t>
      </w:r>
      <w:bookmarkEnd w:id="387"/>
      <w:bookmarkEnd w:id="388"/>
      <w:bookmarkEnd w:id="389"/>
      <w:bookmarkEnd w:id="390"/>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在合作期内，市国土局将向市城管局出具项目用地使用的文件，市城管 局再将项目用地无偿提供给项目公司使用。 </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391" w:name="_Toc493453835"/>
      <w:bookmarkEnd w:id="391"/>
      <w:bookmarkStart w:id="392" w:name="_Toc493454795"/>
      <w:bookmarkEnd w:id="392"/>
      <w:bookmarkStart w:id="393" w:name="_Toc241724867"/>
      <w:bookmarkEnd w:id="393"/>
      <w:bookmarkStart w:id="394" w:name="_Toc424760339"/>
      <w:bookmarkStart w:id="395" w:name="_Toc412914188"/>
      <w:bookmarkStart w:id="396" w:name="_Toc411394421"/>
      <w:bookmarkStart w:id="397" w:name="_Toc515679428"/>
      <w:bookmarkStart w:id="398" w:name="_Toc50861731"/>
      <w:bookmarkStart w:id="399" w:name="_Toc50861867"/>
      <w:bookmarkStart w:id="400" w:name="_Toc48101131"/>
      <w:bookmarkStart w:id="401" w:name="_Toc515348023"/>
      <w:bookmarkStart w:id="402" w:name="_Toc239861036"/>
      <w:bookmarkStart w:id="403" w:name="_Toc1040025"/>
      <w:bookmarkStart w:id="404" w:name="_Toc51225612"/>
      <w:bookmarkStart w:id="405" w:name="_Toc515966054"/>
      <w:bookmarkStart w:id="406" w:name="_Toc50453941"/>
      <w:bookmarkStart w:id="407" w:name="_Toc48042059"/>
      <w:bookmarkStart w:id="408" w:name="_Toc12697"/>
      <w:bookmarkStart w:id="409" w:name="_Toc48120198"/>
      <w:bookmarkStart w:id="410" w:name="_Toc50860362"/>
      <w:bookmarkStart w:id="411" w:name="_Toc51213934"/>
      <w:bookmarkStart w:id="412" w:name="_Toc14655"/>
      <w:bookmarkStart w:id="413" w:name="_Toc16107"/>
      <w:r>
        <w:rPr>
          <w:rFonts w:hint="eastAsia" w:asciiTheme="minorEastAsia" w:hAnsiTheme="minorEastAsia" w:eastAsiaTheme="minorEastAsia" w:cstheme="minorEastAsia"/>
          <w:color w:val="auto"/>
        </w:rPr>
        <w:t>土地使用权的限</w:t>
      </w:r>
      <w:bookmarkEnd w:id="394"/>
      <w:bookmarkEnd w:id="395"/>
      <w:bookmarkEnd w:id="396"/>
      <w:r>
        <w:rPr>
          <w:rFonts w:hint="eastAsia" w:asciiTheme="minorEastAsia" w:hAnsiTheme="minorEastAsia" w:eastAsiaTheme="minorEastAsia" w:cstheme="minorEastAsia"/>
          <w:color w:val="auto"/>
        </w:rPr>
        <w:t>制</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根据第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_Ref447621392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6.2</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的规定，项目公司有权为本项目之目的合法、独占性地使用和合法出入场地，且该等权利在合作期内一直保持有效。项目公司仅能将场地用于本合同项下的建设、运营和维护，不得将该等场地全部或部分用于本合同项下之外的其他任何目的和用途。</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应当根据适用法律的要求以及与有关政府部门签订的，与取得本合同项下场地使用有关的法律文件的要求，合理使用本合同项下的场地，如因项目公司违反适用法律和/或本合同和/或其他有关法律文件的要求使用该场地给国家、公共利益或第三人造成损害，项目公司应当赔偿因此造成的损失。</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414" w:name="_Toc424760340"/>
      <w:bookmarkStart w:id="415" w:name="_Toc411394422"/>
      <w:bookmarkStart w:id="416" w:name="_Toc412914189"/>
      <w:bookmarkStart w:id="417" w:name="_Toc48101132"/>
      <w:bookmarkStart w:id="418" w:name="_Toc51225613"/>
      <w:bookmarkStart w:id="419" w:name="_Toc515348024"/>
      <w:bookmarkStart w:id="420" w:name="_Toc51213935"/>
      <w:bookmarkStart w:id="421" w:name="_Toc239861037"/>
      <w:bookmarkStart w:id="422" w:name="_Toc1040026"/>
      <w:bookmarkStart w:id="423" w:name="_Toc50861732"/>
      <w:bookmarkStart w:id="424" w:name="_Toc21212"/>
      <w:bookmarkStart w:id="425" w:name="_Toc50860363"/>
      <w:bookmarkStart w:id="426" w:name="_Toc48042060"/>
      <w:bookmarkStart w:id="427" w:name="_Toc50453942"/>
      <w:bookmarkStart w:id="428" w:name="_Toc515679429"/>
      <w:bookmarkStart w:id="429" w:name="_Toc48120199"/>
      <w:bookmarkStart w:id="430" w:name="_Toc515966055"/>
      <w:bookmarkStart w:id="431" w:name="_Toc50861868"/>
      <w:bookmarkStart w:id="432" w:name="_Toc29473"/>
      <w:bookmarkStart w:id="433" w:name="_Toc27253"/>
      <w:r>
        <w:rPr>
          <w:rFonts w:hint="eastAsia" w:asciiTheme="minorEastAsia" w:hAnsiTheme="minorEastAsia" w:eastAsiaTheme="minorEastAsia" w:cstheme="minorEastAsia"/>
          <w:color w:val="auto"/>
        </w:rPr>
        <w:t>土地的适用性和土地的状</w:t>
      </w:r>
      <w:bookmarkEnd w:id="414"/>
      <w:bookmarkEnd w:id="415"/>
      <w:bookmarkEnd w:id="416"/>
      <w:r>
        <w:rPr>
          <w:rFonts w:hint="eastAsia" w:asciiTheme="minorEastAsia" w:hAnsiTheme="minorEastAsia" w:eastAsiaTheme="minorEastAsia" w:cstheme="minorEastAsia"/>
          <w:color w:val="auto"/>
        </w:rPr>
        <w:t>况</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已察看并检查了本项目场地，充分了解该等土地及其周围的状况，包括地下土壤状况、通道和设施关联物。项目公司接受该等土地的现状（包括地下土层条件），并确认本项目场地的状况适于为本合同项下建设、运营和维护的目的使用。</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项目公司对本项目场地于生效日之前发生的环境污染不承担责任</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项目公司对生效日之日起由项目公司导致的、或因项目公司作为或不作为的行为而加重的环境污染应依法承担相应的责任。</w:t>
      </w:r>
    </w:p>
    <w:p>
      <w:pPr>
        <w:spacing w:before="120" w:after="120" w:afterLines="50"/>
        <w:rPr>
          <w:rFonts w:hint="eastAsia" w:asciiTheme="minorEastAsia" w:hAnsiTheme="minorEastAsia" w:eastAsiaTheme="minorEastAsia" w:cstheme="minorEastAsia"/>
        </w:rPr>
        <w:sectPr>
          <w:pgSz w:w="11907" w:h="16840"/>
          <w:pgMar w:top="1418" w:right="1418" w:bottom="1418" w:left="1418" w:header="567" w:footer="992" w:gutter="0"/>
          <w:pgNumType w:fmt="decimal"/>
          <w:cols w:space="425" w:num="1"/>
          <w:docGrid w:linePitch="326" w:charSpace="0"/>
        </w:sectPr>
      </w:pPr>
    </w:p>
    <w:p>
      <w:pPr>
        <w:pStyle w:val="37"/>
        <w:spacing w:after="120" w:afterLines="50"/>
        <w:rPr>
          <w:rFonts w:hint="eastAsia" w:asciiTheme="minorEastAsia" w:hAnsiTheme="minorEastAsia" w:eastAsiaTheme="minorEastAsia" w:cstheme="minorEastAsia"/>
        </w:rPr>
      </w:pPr>
      <w:bookmarkStart w:id="434" w:name="_Toc12570"/>
      <w:bookmarkStart w:id="435" w:name="_Toc6697"/>
      <w:bookmarkStart w:id="436" w:name="_Toc10092"/>
      <w:r>
        <w:rPr>
          <w:rFonts w:hint="eastAsia" w:asciiTheme="minorEastAsia" w:hAnsiTheme="minorEastAsia" w:eastAsiaTheme="minorEastAsia" w:cstheme="minorEastAsia"/>
        </w:rPr>
        <w:t>项目的建设</w:t>
      </w:r>
      <w:bookmarkEnd w:id="434"/>
      <w:bookmarkEnd w:id="435"/>
      <w:bookmarkEnd w:id="436"/>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437" w:name="_Toc491257738"/>
      <w:bookmarkEnd w:id="437"/>
      <w:bookmarkStart w:id="438" w:name="_Toc13313"/>
      <w:bookmarkEnd w:id="438"/>
      <w:bookmarkStart w:id="439" w:name="_Toc489977634"/>
      <w:bookmarkEnd w:id="439"/>
      <w:bookmarkStart w:id="440" w:name="_履约保函"/>
      <w:bookmarkEnd w:id="440"/>
      <w:bookmarkStart w:id="441" w:name="_Toc491193617"/>
      <w:bookmarkEnd w:id="441"/>
      <w:bookmarkStart w:id="442" w:name="_Toc493453839"/>
      <w:bookmarkEnd w:id="442"/>
      <w:bookmarkStart w:id="443" w:name="_Toc454482258"/>
      <w:bookmarkEnd w:id="443"/>
      <w:bookmarkStart w:id="444" w:name="_Toc489988421"/>
      <w:bookmarkEnd w:id="444"/>
      <w:bookmarkStart w:id="445" w:name="_Toc448073117"/>
      <w:bookmarkEnd w:id="445"/>
      <w:bookmarkStart w:id="446" w:name="_Toc447534528"/>
      <w:bookmarkEnd w:id="446"/>
      <w:bookmarkStart w:id="447" w:name="_Toc490081433"/>
      <w:bookmarkEnd w:id="447"/>
      <w:bookmarkStart w:id="448" w:name="_Toc448051244"/>
      <w:bookmarkEnd w:id="448"/>
      <w:bookmarkStart w:id="449" w:name="_Toc447744468"/>
      <w:bookmarkEnd w:id="449"/>
      <w:bookmarkStart w:id="450" w:name="_Toc447743378"/>
      <w:bookmarkEnd w:id="450"/>
      <w:bookmarkStart w:id="451" w:name="_Toc489977815"/>
      <w:bookmarkEnd w:id="451"/>
      <w:bookmarkStart w:id="452" w:name="_Toc490036486"/>
      <w:bookmarkEnd w:id="452"/>
      <w:bookmarkStart w:id="453" w:name="_Toc489986160"/>
      <w:bookmarkEnd w:id="453"/>
      <w:bookmarkStart w:id="454" w:name="_Toc490090491"/>
      <w:bookmarkEnd w:id="454"/>
      <w:bookmarkStart w:id="455" w:name="_Toc454506719"/>
      <w:bookmarkEnd w:id="455"/>
      <w:bookmarkStart w:id="456" w:name="_Toc491687697"/>
      <w:bookmarkEnd w:id="456"/>
      <w:bookmarkStart w:id="457" w:name="_Toc491687893"/>
      <w:bookmarkEnd w:id="457"/>
      <w:bookmarkStart w:id="458" w:name="_Toc447620416"/>
      <w:bookmarkEnd w:id="458"/>
      <w:bookmarkStart w:id="459" w:name="_Toc448046025"/>
      <w:bookmarkEnd w:id="459"/>
      <w:bookmarkStart w:id="460" w:name="_Toc493454799"/>
      <w:bookmarkEnd w:id="460"/>
      <w:bookmarkStart w:id="461" w:name="_Toc447632667"/>
      <w:bookmarkEnd w:id="461"/>
      <w:bookmarkStart w:id="462" w:name="_Toc448055693"/>
      <w:bookmarkEnd w:id="462"/>
      <w:bookmarkStart w:id="463" w:name="_Toc491680623"/>
      <w:bookmarkEnd w:id="463"/>
      <w:bookmarkStart w:id="464" w:name="_Toc447847355"/>
      <w:bookmarkEnd w:id="464"/>
      <w:bookmarkStart w:id="465" w:name="_Toc447850005"/>
      <w:bookmarkEnd w:id="465"/>
      <w:bookmarkStart w:id="466" w:name="_Toc454572539"/>
      <w:bookmarkEnd w:id="466"/>
      <w:bookmarkStart w:id="467" w:name="_Toc448054689"/>
      <w:bookmarkEnd w:id="467"/>
      <w:bookmarkStart w:id="468" w:name="_Toc490035095"/>
      <w:bookmarkEnd w:id="468"/>
      <w:bookmarkStart w:id="469" w:name="_Toc448056084"/>
      <w:bookmarkEnd w:id="469"/>
      <w:bookmarkStart w:id="470" w:name="_Toc454489359"/>
      <w:bookmarkEnd w:id="470"/>
      <w:bookmarkStart w:id="471" w:name="_Toc447534696"/>
      <w:bookmarkEnd w:id="471"/>
      <w:bookmarkStart w:id="472" w:name="_Toc448051426"/>
      <w:bookmarkEnd w:id="472"/>
      <w:bookmarkStart w:id="473" w:name="_Toc19641"/>
      <w:bookmarkEnd w:id="473"/>
      <w:bookmarkStart w:id="474" w:name="_Toc9847"/>
      <w:bookmarkEnd w:id="474"/>
      <w:bookmarkStart w:id="475" w:name="_Ref87007748"/>
      <w:bookmarkStart w:id="476" w:name="_Toc239861032"/>
    </w:p>
    <w:bookmarkEnd w:id="475"/>
    <w:bookmarkEnd w:id="476"/>
    <w:p>
      <w:pPr>
        <w:pStyle w:val="3"/>
        <w:keepNext w:val="0"/>
        <w:widowControl w:val="0"/>
        <w:spacing w:before="120" w:beforeLines="50" w:afterLines="50"/>
        <w:rPr>
          <w:rFonts w:hint="eastAsia" w:asciiTheme="minorEastAsia" w:hAnsiTheme="minorEastAsia" w:eastAsiaTheme="minorEastAsia" w:cstheme="minorEastAsia"/>
          <w:color w:val="auto"/>
        </w:rPr>
      </w:pPr>
      <w:bookmarkStart w:id="477" w:name="_Toc26457"/>
      <w:bookmarkStart w:id="478" w:name="_Toc3330"/>
      <w:bookmarkStart w:id="479" w:name="_Toc26998"/>
      <w:r>
        <w:rPr>
          <w:rFonts w:hint="eastAsia" w:asciiTheme="minorEastAsia" w:hAnsiTheme="minorEastAsia" w:eastAsiaTheme="minorEastAsia" w:cstheme="minorEastAsia"/>
          <w:color w:val="auto"/>
        </w:rPr>
        <w:t>工程范围</w:t>
      </w:r>
      <w:bookmarkEnd w:id="477"/>
      <w:bookmarkEnd w:id="478"/>
      <w:bookmarkEnd w:id="479"/>
    </w:p>
    <w:p>
      <w:pPr>
        <w:pStyle w:val="5"/>
        <w:rPr>
          <w:rFonts w:hint="eastAsia" w:asciiTheme="minorEastAsia" w:hAnsiTheme="minorEastAsia" w:eastAsiaTheme="minorEastAsia" w:cstheme="minorEastAsia"/>
          <w:color w:val="auto"/>
        </w:rPr>
      </w:pPr>
      <w:bookmarkStart w:id="480" w:name="_生效日之日起七(7)个工作日内，项目公司应向市公用局提交按照附件11的格式出具"/>
      <w:bookmarkEnd w:id="480"/>
      <w:r>
        <w:rPr>
          <w:rFonts w:hint="eastAsia" w:asciiTheme="minorEastAsia" w:hAnsiTheme="minorEastAsia" w:eastAsiaTheme="minorEastAsia" w:cstheme="minorEastAsia"/>
          <w:color w:val="auto"/>
        </w:rPr>
        <w:t>本项目主要建设内容为：</w:t>
      </w:r>
      <w:r>
        <w:rPr>
          <w:rFonts w:hint="eastAsia" w:asciiTheme="minorEastAsia" w:hAnsiTheme="minorEastAsia" w:eastAsiaTheme="minorEastAsia" w:cstheme="minorEastAsia"/>
          <w:color w:val="auto"/>
          <w:highlight w:val="none"/>
        </w:rPr>
        <w:t>本项目</w:t>
      </w:r>
      <w:r>
        <w:rPr>
          <w:rFonts w:hint="eastAsia" w:asciiTheme="minorEastAsia" w:hAnsiTheme="minorEastAsia" w:eastAsiaTheme="minorEastAsia" w:cstheme="minorEastAsia"/>
          <w:color w:val="auto"/>
          <w:highlight w:val="none"/>
          <w:lang w:val="en-US" w:eastAsia="zh-CN"/>
        </w:rPr>
        <w:t>建设为三段管廊建设，具体为：建国东路、泉润大道（老徐萧路）和五山公园综合管廊项目</w:t>
      </w:r>
      <w:r>
        <w:rPr>
          <w:rFonts w:hint="eastAsia" w:asciiTheme="minorEastAsia" w:hAnsiTheme="minorEastAsia" w:eastAsiaTheme="minorEastAsia" w:cstheme="minorEastAsia"/>
          <w:color w:val="auto"/>
          <w:highlight w:val="none"/>
        </w:rPr>
        <w:t>，总长度</w:t>
      </w:r>
      <w:r>
        <w:rPr>
          <w:rFonts w:hint="eastAsia" w:asciiTheme="minorEastAsia" w:hAnsiTheme="minorEastAsia" w:eastAsiaTheme="minorEastAsia" w:cstheme="minorEastAsia"/>
          <w:color w:val="auto"/>
          <w:highlight w:val="none"/>
          <w:lang w:val="en-US" w:eastAsia="zh-CN"/>
        </w:rPr>
        <w:t>5789.2米</w:t>
      </w: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rPr>
        <w:t>全线采用</w:t>
      </w:r>
      <w:r>
        <w:rPr>
          <w:rFonts w:hint="eastAsia" w:asciiTheme="minorEastAsia" w:hAnsiTheme="minorEastAsia" w:eastAsiaTheme="minorEastAsia" w:cstheme="minorEastAsia"/>
          <w:color w:val="auto"/>
          <w:lang w:val="en-US" w:eastAsia="zh-CN"/>
        </w:rPr>
        <w:t>单、</w:t>
      </w:r>
      <w:r>
        <w:rPr>
          <w:rFonts w:hint="eastAsia" w:asciiTheme="minorEastAsia" w:hAnsiTheme="minorEastAsia" w:eastAsiaTheme="minorEastAsia" w:cstheme="minorEastAsia"/>
          <w:color w:val="auto"/>
        </w:rPr>
        <w:t>双舱形式管廊，入廊管线为热力、电力、通信、给水、再生水五类管线。</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本项目的工程建设规模和内容最终以批复的设计文件为准。</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有权对本项目的工程范围进行调整，</w:t>
      </w:r>
      <w:r>
        <w:rPr>
          <w:rFonts w:hint="eastAsia" w:asciiTheme="minorEastAsia" w:hAnsiTheme="minorEastAsia" w:eastAsiaTheme="minorEastAsia" w:cstheme="minorEastAsia"/>
          <w:color w:val="auto"/>
          <w:lang w:val="en-US" w:eastAsia="zh-CN"/>
        </w:rPr>
        <w:t>同时</w:t>
      </w:r>
      <w:r>
        <w:rPr>
          <w:rFonts w:hint="eastAsia" w:asciiTheme="minorEastAsia" w:hAnsiTheme="minorEastAsia" w:eastAsiaTheme="minorEastAsia" w:cstheme="minorEastAsia"/>
          <w:color w:val="auto"/>
        </w:rPr>
        <w:t>按照</w:t>
      </w:r>
      <w:r>
        <w:rPr>
          <w:rFonts w:hint="eastAsia" w:asciiTheme="minorEastAsia" w:hAnsiTheme="minorEastAsia" w:eastAsiaTheme="minorEastAsia" w:cstheme="minorEastAsia"/>
          <w:color w:val="auto"/>
          <w:highlight w:val="yellow"/>
        </w:rPr>
        <w:t>第</w:t>
      </w:r>
      <w:r>
        <w:rPr>
          <w:rFonts w:hint="eastAsia" w:asciiTheme="minorEastAsia" w:hAnsiTheme="minorEastAsia" w:eastAsiaTheme="minorEastAsia" w:cstheme="minorEastAsia"/>
          <w:color w:val="auto"/>
          <w:highlight w:val="yellow"/>
        </w:rPr>
        <w:fldChar w:fldCharType="begin"/>
      </w:r>
      <w:r>
        <w:rPr>
          <w:rFonts w:hint="eastAsia" w:asciiTheme="minorEastAsia" w:hAnsiTheme="minorEastAsia" w:eastAsiaTheme="minorEastAsia" w:cstheme="minorEastAsia"/>
          <w:color w:val="auto"/>
          <w:highlight w:val="yellow"/>
        </w:rPr>
        <w:instrText xml:space="preserve"> REF _Ref447620852 \r \h  \* MERGEFORMAT </w:instrText>
      </w:r>
      <w:r>
        <w:rPr>
          <w:rFonts w:hint="eastAsia" w:asciiTheme="minorEastAsia" w:hAnsiTheme="minorEastAsia" w:eastAsiaTheme="minorEastAsia" w:cstheme="minorEastAsia"/>
          <w:color w:val="auto"/>
          <w:highlight w:val="yellow"/>
        </w:rPr>
        <w:fldChar w:fldCharType="separate"/>
      </w:r>
      <w:r>
        <w:rPr>
          <w:rFonts w:hint="eastAsia" w:asciiTheme="minorEastAsia" w:hAnsiTheme="minorEastAsia" w:eastAsiaTheme="minorEastAsia" w:cstheme="minorEastAsia"/>
          <w:color w:val="auto"/>
          <w:highlight w:val="yellow"/>
        </w:rPr>
        <w:t>7.9</w:t>
      </w:r>
      <w:r>
        <w:rPr>
          <w:rFonts w:hint="eastAsia" w:asciiTheme="minorEastAsia" w:hAnsiTheme="minorEastAsia" w:eastAsiaTheme="minorEastAsia" w:cstheme="minorEastAsia"/>
          <w:color w:val="auto"/>
          <w:highlight w:val="yellow"/>
        </w:rPr>
        <w:fldChar w:fldCharType="end"/>
      </w:r>
      <w:r>
        <w:rPr>
          <w:rFonts w:hint="eastAsia" w:asciiTheme="minorEastAsia" w:hAnsiTheme="minorEastAsia" w:eastAsiaTheme="minorEastAsia" w:cstheme="minorEastAsia"/>
          <w:color w:val="auto"/>
          <w:highlight w:val="yellow"/>
        </w:rPr>
        <w:t>条</w:t>
      </w:r>
      <w:r>
        <w:rPr>
          <w:rFonts w:hint="eastAsia" w:asciiTheme="minorEastAsia" w:hAnsiTheme="minorEastAsia" w:eastAsiaTheme="minorEastAsia" w:cstheme="minorEastAsia"/>
          <w:color w:val="auto"/>
        </w:rPr>
        <w:t>相关规定执行。</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481" w:name="_Toc6743"/>
      <w:bookmarkStart w:id="482" w:name="_Toc5991"/>
      <w:bookmarkStart w:id="483" w:name="_Toc31301"/>
      <w:r>
        <w:rPr>
          <w:rFonts w:hint="eastAsia" w:asciiTheme="minorEastAsia" w:hAnsiTheme="minorEastAsia" w:eastAsiaTheme="minorEastAsia" w:cstheme="minorEastAsia"/>
          <w:color w:val="auto"/>
        </w:rPr>
        <w:t>各方在建设期的</w:t>
      </w:r>
      <w:r>
        <w:rPr>
          <w:rFonts w:hint="eastAsia" w:asciiTheme="minorEastAsia" w:hAnsiTheme="minorEastAsia" w:eastAsiaTheme="minorEastAsia" w:cstheme="minorEastAsia"/>
          <w:color w:val="auto"/>
          <w:lang w:val="en-US" w:eastAsia="zh-CN"/>
        </w:rPr>
        <w:t>权利</w:t>
      </w:r>
      <w:r>
        <w:rPr>
          <w:rFonts w:hint="eastAsia" w:asciiTheme="minorEastAsia" w:hAnsiTheme="minorEastAsia" w:eastAsiaTheme="minorEastAsia" w:cstheme="minorEastAsia"/>
          <w:color w:val="auto"/>
        </w:rPr>
        <w:t>义务</w:t>
      </w:r>
      <w:bookmarkEnd w:id="481"/>
      <w:bookmarkEnd w:id="482"/>
      <w:bookmarkEnd w:id="483"/>
    </w:p>
    <w:p>
      <w:pPr>
        <w:pStyle w:val="5"/>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市城管局的主要权利</w:t>
      </w:r>
    </w:p>
    <w:p>
      <w:pPr>
        <w:numPr>
          <w:ilvl w:val="0"/>
          <w:numId w:val="13"/>
        </w:numPr>
        <w:ind w:left="0"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在遵守、符合适用法律要求的前提下，市城管局有权对项目公司履行PPP项目合同项下的建设期义务进行监督和检查。</w:t>
      </w:r>
    </w:p>
    <w:p>
      <w:pPr>
        <w:numPr>
          <w:ilvl w:val="0"/>
          <w:numId w:val="13"/>
        </w:numPr>
        <w:ind w:left="0"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有权提出本项目的建设要求（包括项目设计方案、施工和验收等要求）；</w:t>
      </w:r>
    </w:p>
    <w:p>
      <w:pPr>
        <w:numPr>
          <w:ilvl w:val="0"/>
          <w:numId w:val="13"/>
        </w:numPr>
        <w:ind w:left="0"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有权对项目的工程造价进行预算评审；</w:t>
      </w:r>
    </w:p>
    <w:p>
      <w:pPr>
        <w:numPr>
          <w:ilvl w:val="0"/>
          <w:numId w:val="13"/>
        </w:numPr>
        <w:ind w:left="0"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建设期内，甲方可以根据实际需要或法律变更情况对已确定的项目设计方案以及建设要求提出修改或变更；若该变更事项由乙方提出，甲方有权审核并同意或否决，方案修改或变更造成的费用增减计入项目总投资；</w:t>
      </w:r>
    </w:p>
    <w:p>
      <w:pPr>
        <w:numPr>
          <w:ilvl w:val="0"/>
          <w:numId w:val="13"/>
        </w:numPr>
        <w:ind w:left="0"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有权要求乙方报送项目建设的相关信息，并对项目的建设进度、施工安全、工程质量进行监督和考核；</w:t>
      </w:r>
    </w:p>
    <w:p>
      <w:pPr>
        <w:numPr>
          <w:ilvl w:val="0"/>
          <w:numId w:val="13"/>
        </w:numPr>
        <w:ind w:left="0"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有权参与项目的竣工验收工作；</w:t>
      </w:r>
    </w:p>
    <w:p>
      <w:pPr>
        <w:numPr>
          <w:ilvl w:val="0"/>
          <w:numId w:val="13"/>
        </w:numPr>
        <w:ind w:left="0"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在建设过程中发生本合同约定的紧急事件时，有权统一调度、临时接管项目公司以应对突发情况；</w:t>
      </w:r>
    </w:p>
    <w:p>
      <w:pPr>
        <w:numPr>
          <w:ilvl w:val="0"/>
          <w:numId w:val="13"/>
        </w:numPr>
        <w:ind w:left="0" w:leftChars="0" w:firstLine="480" w:firstLineChars="200"/>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color w:val="auto"/>
          <w:lang w:val="en-US" w:eastAsia="zh-CN"/>
        </w:rPr>
        <w:t>当乙方产生违约情形时，有权视违约所造成的后果大小而采取责令乙方纠正违约、扣减可行性缺口补助、兑取保函、提前终止PPP项目合作或采取本合同规定的其他措施；</w:t>
      </w:r>
    </w:p>
    <w:p>
      <w:pPr>
        <w:numPr>
          <w:ilvl w:val="0"/>
          <w:numId w:val="13"/>
        </w:numPr>
        <w:ind w:left="0" w:leftChars="0" w:firstLine="480" w:firstLineChars="200"/>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lang w:val="en-US"/>
        </w:rPr>
        <w:t>批准同意监理单位选择的标准和条件，批准同意项目公司对监理费用的支付。</w:t>
      </w:r>
    </w:p>
    <w:p>
      <w:pPr>
        <w:numPr>
          <w:ilvl w:val="0"/>
          <w:numId w:val="13"/>
        </w:numPr>
        <w:ind w:left="0" w:leftChars="0" w:firstLine="480" w:firstLineChars="200"/>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color w:val="auto"/>
          <w:lang w:val="en-US" w:eastAsia="zh-CN"/>
        </w:rPr>
        <w:t>在乙方严重违约时，有权按约定提前终止合作及项目合同等。</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的主要义务</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在建设期内协调项目公司与相关政府部门的关系；</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协助项目公司取得必要的批准</w:t>
      </w:r>
      <w:r>
        <w:rPr>
          <w:rFonts w:hint="eastAsia" w:asciiTheme="minorEastAsia" w:hAnsiTheme="minorEastAsia" w:eastAsiaTheme="minorEastAsia" w:cstheme="minorEastAsia"/>
          <w:lang w:val="en-US" w:eastAsia="zh-CN"/>
        </w:rPr>
        <w:t>手续</w:t>
      </w:r>
      <w:r>
        <w:rPr>
          <w:rFonts w:hint="eastAsia" w:asciiTheme="minorEastAsia" w:hAnsiTheme="minorEastAsia" w:eastAsiaTheme="minorEastAsia" w:cstheme="minorEastAsia"/>
        </w:rPr>
        <w:t>；</w:t>
      </w:r>
    </w:p>
    <w:p>
      <w:pPr>
        <w:pStyle w:val="6"/>
        <w:rPr>
          <w:rFonts w:hint="eastAsia" w:asciiTheme="minorEastAsia" w:hAnsiTheme="minorEastAsia" w:eastAsiaTheme="minorEastAsia" w:cstheme="minorEastAsia"/>
        </w:rPr>
      </w:pPr>
      <w:bookmarkStart w:id="484" w:name="_协调相关部门在项目开工日前完成本项目的前期工作："/>
      <w:bookmarkEnd w:id="484"/>
      <w:bookmarkStart w:id="485" w:name="_Ref447621416"/>
      <w:r>
        <w:rPr>
          <w:rFonts w:hint="eastAsia" w:asciiTheme="minorEastAsia" w:hAnsiTheme="minorEastAsia" w:eastAsiaTheme="minorEastAsia" w:cstheme="minorEastAsia"/>
        </w:rPr>
        <w:t>协调相关部门在项目开工日前完成本项目的前期工作</w:t>
      </w:r>
      <w:bookmarkEnd w:id="485"/>
      <w:r>
        <w:rPr>
          <w:rFonts w:hint="eastAsia" w:asciiTheme="minorEastAsia" w:hAnsiTheme="minorEastAsia" w:eastAsiaTheme="minorEastAsia" w:cstheme="minorEastAsia"/>
          <w:lang w:eastAsia="zh-CN"/>
        </w:rPr>
        <w:t>；</w:t>
      </w:r>
    </w:p>
    <w:p>
      <w:pPr>
        <w:pStyle w:val="6"/>
        <w:numPr>
          <w:ilvl w:val="3"/>
          <w:numId w:val="14"/>
        </w:num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负责</w:t>
      </w:r>
      <w:r>
        <w:rPr>
          <w:rFonts w:hint="eastAsia" w:asciiTheme="minorEastAsia" w:hAnsiTheme="minorEastAsia" w:eastAsiaTheme="minorEastAsia" w:cstheme="minorEastAsia"/>
          <w:highlight w:val="none"/>
        </w:rPr>
        <w:t>项目用地范围内的征地拆迁，所发生的费用</w:t>
      </w:r>
      <w:r>
        <w:rPr>
          <w:rFonts w:hint="eastAsia" w:asciiTheme="minorEastAsia" w:hAnsiTheme="minorEastAsia" w:eastAsiaTheme="minorEastAsia" w:cstheme="minorEastAsia"/>
          <w:highlight w:val="none"/>
          <w:lang w:val="en-US" w:eastAsia="zh-CN"/>
        </w:rPr>
        <w:t>不</w:t>
      </w:r>
      <w:r>
        <w:rPr>
          <w:rFonts w:hint="eastAsia" w:asciiTheme="minorEastAsia" w:hAnsiTheme="minorEastAsia" w:eastAsiaTheme="minorEastAsia" w:cstheme="minorEastAsia"/>
          <w:highlight w:val="none"/>
        </w:rPr>
        <w:t>计入</w:t>
      </w:r>
      <w:r>
        <w:rPr>
          <w:rFonts w:hint="eastAsia" w:asciiTheme="minorEastAsia" w:hAnsiTheme="minorEastAsia" w:eastAsiaTheme="minorEastAsia" w:cstheme="minorEastAsia"/>
          <w:highlight w:val="none"/>
          <w:lang w:val="en-US" w:eastAsia="zh-CN"/>
        </w:rPr>
        <w:t>项目</w:t>
      </w:r>
      <w:r>
        <w:rPr>
          <w:rFonts w:hint="eastAsia" w:asciiTheme="minorEastAsia" w:hAnsiTheme="minorEastAsia" w:eastAsiaTheme="minorEastAsia" w:cstheme="minorEastAsia"/>
          <w:highlight w:val="none"/>
        </w:rPr>
        <w:t>总投资；</w:t>
      </w:r>
    </w:p>
    <w:p>
      <w:pPr>
        <w:pStyle w:val="6"/>
        <w:numPr>
          <w:ilvl w:val="3"/>
          <w:numId w:val="14"/>
        </w:numP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负责</w:t>
      </w:r>
      <w:r>
        <w:rPr>
          <w:rFonts w:hint="eastAsia" w:asciiTheme="minorEastAsia" w:hAnsiTheme="minorEastAsia" w:eastAsiaTheme="minorEastAsia" w:cstheme="minorEastAsia"/>
        </w:rPr>
        <w:t>项目的规划及选址工作，相关费用计入工程总投资；</w:t>
      </w:r>
    </w:p>
    <w:p>
      <w:pPr>
        <w:pStyle w:val="6"/>
        <w:numPr>
          <w:ilvl w:val="3"/>
          <w:numId w:val="14"/>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协助项目公司完成本项目建设用地规划许可证、土地使用权证、建设工程规划许可证、建设工程施工许可证等办理及报批工作；</w:t>
      </w:r>
    </w:p>
    <w:p>
      <w:pPr>
        <w:pStyle w:val="6"/>
        <w:numPr>
          <w:ilvl w:val="3"/>
          <w:numId w:val="14"/>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协调项目建设所需的供水、供电、进场道路等配套设施；</w:t>
      </w:r>
    </w:p>
    <w:p>
      <w:pPr>
        <w:pStyle w:val="6"/>
        <w:numPr>
          <w:ilvl w:val="3"/>
          <w:numId w:val="14"/>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完成本项目的项目建议书、方案设计文件、可行性研究报告等编制工作，并组织上述文件的报审等工作，所发生的费用由项目公司承担并计入项目总投资</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以及先期由城管局完成的勘察、项目设计、全过程咨询管理、水土流失评估等，其所发生的费用均由项目公司承担并计入项目总投资。</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确保项目公司在建设期内能够为了工程</w:t>
      </w:r>
      <w:r>
        <w:rPr>
          <w:rFonts w:hint="eastAsia" w:asciiTheme="minorEastAsia" w:hAnsiTheme="minorEastAsia" w:eastAsiaTheme="minorEastAsia" w:cstheme="minorEastAsia"/>
          <w:lang w:val="en-US" w:eastAsia="zh-CN"/>
        </w:rPr>
        <w:t>建设</w:t>
      </w:r>
      <w:r>
        <w:rPr>
          <w:rFonts w:hint="eastAsia" w:asciiTheme="minorEastAsia" w:hAnsiTheme="minorEastAsia" w:eastAsiaTheme="minorEastAsia" w:cstheme="minorEastAsia"/>
        </w:rPr>
        <w:t>的目的合理使用项目区域内的土地。</w:t>
      </w:r>
    </w:p>
    <w:p>
      <w:pPr>
        <w:pStyle w:val="5"/>
        <w:rPr>
          <w:rFonts w:hint="eastAsia" w:asciiTheme="minorEastAsia" w:hAnsiTheme="minorEastAsia" w:eastAsiaTheme="minorEastAsia" w:cstheme="minorEastAsia"/>
          <w:color w:val="auto"/>
        </w:rPr>
      </w:pPr>
      <w:bookmarkStart w:id="486" w:name="_项目公司的主要义务_3"/>
      <w:bookmarkEnd w:id="486"/>
      <w:bookmarkStart w:id="487" w:name="_Ref447623566"/>
      <w:r>
        <w:rPr>
          <w:rFonts w:hint="eastAsia" w:asciiTheme="minorEastAsia" w:hAnsiTheme="minorEastAsia" w:eastAsiaTheme="minorEastAsia" w:cstheme="minorEastAsia"/>
          <w:color w:val="auto"/>
          <w:lang w:val="en-US" w:eastAsia="zh-CN"/>
        </w:rPr>
        <w:t>项目公司的主要权利</w:t>
      </w:r>
    </w:p>
    <w:p>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a</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因甲方要求或政策法规变更导致的项目设计要求以及建设标准变更时，有权就因变更内容所引起的成本根据实际工程量变更情况和投标报价各项指标进行结算；</w:t>
      </w:r>
    </w:p>
    <w:p>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b）</w:t>
      </w:r>
      <w:r>
        <w:rPr>
          <w:rFonts w:hint="eastAsia" w:asciiTheme="minorEastAsia" w:hAnsiTheme="minorEastAsia" w:eastAsiaTheme="minorEastAsia" w:cstheme="minorEastAsia"/>
        </w:rPr>
        <w:t>为本项目建设融资之目的，经甲方书面同意，乙方可以将本项目的收益权向资金提供方进行质押；</w:t>
      </w:r>
    </w:p>
    <w:p>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c</w:t>
      </w:r>
      <w:r>
        <w:rPr>
          <w:rFonts w:hint="eastAsia" w:asciiTheme="minorEastAsia" w:hAnsiTheme="minorEastAsia" w:eastAsiaTheme="minorEastAsia" w:cstheme="minorEastAsia"/>
        </w:rPr>
        <w:t>）非因乙方原因项目PPP合作提前终止，乙方可以根据提前终止补偿机制获得相应补偿；</w:t>
      </w:r>
    </w:p>
    <w:p>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d</w:t>
      </w:r>
      <w:r>
        <w:rPr>
          <w:rFonts w:hint="eastAsia" w:asciiTheme="minorEastAsia" w:hAnsiTheme="minorEastAsia" w:eastAsiaTheme="minorEastAsia" w:cstheme="minorEastAsia"/>
        </w:rPr>
        <w:t>）本合同签订后，在后续建设过程中，乙方可对合同非实质性条款的细节及内容进行修改或调整，但应征得甲方的同意；</w:t>
      </w:r>
    </w:p>
    <w:p>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e</w:t>
      </w:r>
      <w:r>
        <w:rPr>
          <w:rFonts w:hint="eastAsia" w:asciiTheme="minorEastAsia" w:hAnsiTheme="minorEastAsia" w:eastAsiaTheme="minorEastAsia" w:cstheme="minorEastAsia"/>
        </w:rPr>
        <w:t>）由于非乙方原因导致工程无法正常完成的，经双方协商一致后可采取甩项、甩段等方案验收并移交。</w:t>
      </w:r>
    </w:p>
    <w:p>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f</w:t>
      </w:r>
      <w:r>
        <w:rPr>
          <w:rFonts w:hint="eastAsia" w:asciiTheme="minorEastAsia" w:hAnsiTheme="minorEastAsia" w:eastAsiaTheme="minorEastAsia" w:cstheme="minorEastAsia"/>
        </w:rPr>
        <w:t>）项目公司可对设计文件进行优化，设计优化须经市城管局同意批准后实施，设计优化由此产生的费用计入项目总投资。</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项目公司的主要义务</w:t>
      </w:r>
      <w:bookmarkEnd w:id="487"/>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负责项目的投融资管理，进行项目资本金和融资资金的筹集和管理，并在</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的监管下使用项目建设资金。</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承担项目前期工作所发生的相关费用（包括但不限于办理项目前期批件所发生的报告编制、咨询等相关费用）并计入项目总投资；</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负责按适用法律的要求及时申请并获得建设工程规划许可证和建设工程施工许可证。</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除第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_Ref447621416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7.2.1（c）</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条款规定的前期工作以外，项目公司应承担所有其他的工程施工准备工作，并负责完成项目的建设，包括项目的土建施工和设备安装、调试。</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按本合同规定的关键工期、进度计划和建设标准组织完成项目工程的建设，并承担相关的一切费用、责任和风险。</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做好项目施工场地和邻近建筑物、构筑物（包括文物保护建筑）、古树名木的保护工作。</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项目公司应及时向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及有关政府部门汇报工程实施过程中的重大问题。</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按本合同的规定，接受</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或其指定机构的监督、检查和考核，并承担相应考核结果。</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按照适用法律及第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_Ref447621443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17.1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条的规定在建设期为本项目工程的建设购买保险，包括建设期间建设施工相关保险、公众责任险、以及其他一切惯常应合理购买的保险，该等保险的购买应事前征得</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同意，</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不因同意购买该等保险而对险种及额度的充分性承担责任。同时，未经</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同意，项目公司不得对保险合同的重要条款（包括但不限于保险范围、责任限制以及免赔范围等）做出实质性变更。</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遵守相关的安全规定，进行安全生产管理。</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项目公司融资资金在融资银行开设资金专户，并在融资银行监督下按</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的要求以及工程进度的需要按比例投入。项目公司自筹资金以货币资金的形式投入工程建设，项目公司应保证项目建设投资的及时到位和专款专用，项目公司所有的建设资金必须从该资金专户中进行流转。</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488" w:name="_Toc22207"/>
      <w:bookmarkStart w:id="489" w:name="_Toc23788"/>
      <w:bookmarkStart w:id="490" w:name="_Toc11231"/>
      <w:r>
        <w:rPr>
          <w:rFonts w:hint="eastAsia" w:asciiTheme="minorEastAsia" w:hAnsiTheme="minorEastAsia" w:eastAsiaTheme="minorEastAsia" w:cstheme="minorEastAsia"/>
          <w:color w:val="auto"/>
        </w:rPr>
        <w:t>地质勘查和设计</w:t>
      </w:r>
      <w:bookmarkEnd w:id="488"/>
      <w:bookmarkEnd w:id="489"/>
      <w:bookmarkEnd w:id="490"/>
    </w:p>
    <w:p>
      <w:pPr>
        <w:pStyle w:val="5"/>
        <w:rPr>
          <w:rFonts w:hint="eastAsia" w:asciiTheme="minorEastAsia" w:hAnsiTheme="minorEastAsia" w:eastAsiaTheme="minorEastAsia" w:cstheme="minorEastAsia"/>
          <w:color w:val="auto"/>
        </w:rPr>
      </w:pPr>
      <w:bookmarkStart w:id="491" w:name="_地质勘查和设计工作"/>
      <w:bookmarkEnd w:id="491"/>
      <w:bookmarkStart w:id="492" w:name="_Ref447621465"/>
      <w:r>
        <w:rPr>
          <w:rFonts w:hint="eastAsia" w:asciiTheme="minorEastAsia" w:hAnsiTheme="minorEastAsia" w:eastAsiaTheme="minorEastAsia" w:cstheme="minorEastAsia"/>
          <w:color w:val="auto"/>
        </w:rPr>
        <w:t>地质勘查和设计工作</w:t>
      </w:r>
      <w:bookmarkEnd w:id="492"/>
    </w:p>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Pr>
        <w:pStyle w:val="6"/>
        <w:rPr>
          <w:rFonts w:hint="eastAsia" w:asciiTheme="minorEastAsia" w:hAnsiTheme="minorEastAsia" w:eastAsiaTheme="minorEastAsia" w:cstheme="minorEastAsia"/>
        </w:rPr>
      </w:pPr>
      <w:bookmarkStart w:id="493" w:name="_项目公司应根据适用法律的规定自行委托具有相应资质的勘察机构进行地质详细勘察和出"/>
      <w:bookmarkEnd w:id="493"/>
      <w:bookmarkStart w:id="494" w:name="_在选定社会资本前，由长春润德建设按照适用法律的规定，委托具有相应资质的"/>
      <w:bookmarkEnd w:id="494"/>
      <w:bookmarkStart w:id="495" w:name="_融资交割"/>
      <w:bookmarkEnd w:id="495"/>
      <w:r>
        <w:rPr>
          <w:rFonts w:hint="eastAsia" w:asciiTheme="minorEastAsia" w:hAnsiTheme="minorEastAsia" w:eastAsiaTheme="minorEastAsia" w:cstheme="minorEastAsia"/>
          <w:lang w:val="en-US" w:eastAsia="zh-CN"/>
        </w:rPr>
        <w:t>市城管局</w:t>
      </w:r>
      <w:r>
        <w:rPr>
          <w:rFonts w:hint="eastAsia" w:asciiTheme="minorEastAsia" w:hAnsiTheme="minorEastAsia" w:eastAsiaTheme="minorEastAsia" w:cstheme="minorEastAsia"/>
        </w:rPr>
        <w:t>应按照适用法律的规定，委托具有相应资质的勘察机构进行地质初步测绘勘察及地质详细勘察和出具地质详细勘察报告，委托具有相应资质的设计单位进行本项目初步设计和施工图设计。</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地质勘察和设计产生的费用，计入项目总投资。</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对于入廊管线的设计，由入廊管线单位及相应行业主管部门选择具有相应资质的设计单位负责入廊管线的设计工作，入廊管线单位、行业主管部门和项目公司应做好入廊管线设计的统筹、协调和确认工作，入廊管线设计所发生的相关费用由入廊单位承担。同时，对于本项目入廊管线的设计，应符合本项目地下综合管廊总体设计的规定及国家现行相应管线设计标准的规定。对于入廊管线设计文件的报批程序，入廊管线单位应按照国家、江苏省和徐州市的有关规定执行。</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根据适用法律的批准</w:t>
      </w:r>
    </w:p>
    <w:p>
      <w:pPr>
        <w:pStyle w:val="6"/>
        <w:rPr>
          <w:rFonts w:hint="eastAsia" w:asciiTheme="minorEastAsia" w:hAnsiTheme="minorEastAsia" w:eastAsiaTheme="minorEastAsia" w:cstheme="minorEastAsia"/>
        </w:rPr>
      </w:pPr>
      <w:bookmarkStart w:id="496" w:name="_项目公司应根据适用法律的规定，通过公开招标的方式委托有相应资质的设计单位按附件"/>
      <w:bookmarkEnd w:id="496"/>
      <w:bookmarkStart w:id="497" w:name="_本项目的初步设计文件审查、施工图设计文件审查等必须接受市建委监管并经市"/>
      <w:bookmarkEnd w:id="497"/>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lang w:val="en-US" w:eastAsia="zh-CN"/>
        </w:rPr>
        <w:t>应将</w:t>
      </w:r>
      <w:r>
        <w:rPr>
          <w:rFonts w:hint="eastAsia" w:asciiTheme="minorEastAsia" w:hAnsiTheme="minorEastAsia" w:eastAsiaTheme="minorEastAsia" w:cstheme="minorEastAsia"/>
        </w:rPr>
        <w:t>项目初步设计文件、施工图设计文件等上报政府有关职能部门审批，并取得政府有关职能部门的批复。</w:t>
      </w:r>
    </w:p>
    <w:p>
      <w:pPr>
        <w:pStyle w:val="6"/>
        <w:rPr>
          <w:rFonts w:hint="eastAsia" w:asciiTheme="minorEastAsia" w:hAnsiTheme="minorEastAsia" w:eastAsiaTheme="minorEastAsia" w:cstheme="minorEastAsia"/>
        </w:rPr>
      </w:pPr>
      <w:bookmarkStart w:id="498" w:name="_Toc48120204"/>
      <w:bookmarkStart w:id="499" w:name="_Toc1040031"/>
      <w:bookmarkStart w:id="500" w:name="_Toc51225618"/>
      <w:bookmarkStart w:id="501" w:name="_Toc48101137"/>
      <w:bookmarkStart w:id="502" w:name="_Toc515348028"/>
      <w:bookmarkStart w:id="503" w:name="_Toc50861873"/>
      <w:bookmarkStart w:id="504" w:name="_Toc51213940"/>
      <w:bookmarkStart w:id="505" w:name="_Toc424760344"/>
      <w:bookmarkStart w:id="506" w:name="_Toc515679434"/>
      <w:bookmarkStart w:id="507" w:name="_Toc50861737"/>
      <w:bookmarkStart w:id="508" w:name="_Toc412914193"/>
      <w:bookmarkStart w:id="509" w:name="_Toc411394426"/>
      <w:bookmarkStart w:id="510" w:name="_Toc48042065"/>
      <w:bookmarkStart w:id="511" w:name="_Toc515966060"/>
      <w:bookmarkStart w:id="512" w:name="_Toc50860368"/>
      <w:bookmarkStart w:id="513" w:name="_Toc50453947"/>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有权及时知晓项目工程勘察、设计过程中的任何重大事项，包括：</w:t>
      </w:r>
    </w:p>
    <w:p>
      <w:pPr>
        <w:pStyle w:val="6"/>
        <w:numPr>
          <w:ilvl w:val="3"/>
          <w:numId w:val="15"/>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勘察单位和/或设计单位的变更；</w:t>
      </w:r>
    </w:p>
    <w:p>
      <w:pPr>
        <w:pStyle w:val="6"/>
        <w:numPr>
          <w:ilvl w:val="3"/>
          <w:numId w:val="15"/>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对勘察文件和/或设计文件的变更。</w:t>
      </w:r>
    </w:p>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Pr>
        <w:pStyle w:val="3"/>
        <w:keepNext w:val="0"/>
        <w:widowControl w:val="0"/>
        <w:spacing w:before="120" w:beforeLines="50" w:afterLines="50"/>
        <w:rPr>
          <w:rFonts w:hint="eastAsia" w:asciiTheme="minorEastAsia" w:hAnsiTheme="minorEastAsia" w:eastAsiaTheme="minorEastAsia" w:cstheme="minorEastAsia"/>
          <w:color w:val="auto"/>
        </w:rPr>
      </w:pPr>
      <w:bookmarkStart w:id="514" w:name="_Toc491257745"/>
      <w:bookmarkEnd w:id="514"/>
      <w:bookmarkStart w:id="515" w:name="_Toc491257744"/>
      <w:bookmarkEnd w:id="515"/>
      <w:bookmarkStart w:id="516" w:name="_Toc491257743"/>
      <w:bookmarkEnd w:id="516"/>
      <w:bookmarkStart w:id="517" w:name="_Toc491257742"/>
      <w:bookmarkEnd w:id="517"/>
      <w:bookmarkStart w:id="518" w:name="_项目公司的主要义务"/>
      <w:bookmarkEnd w:id="518"/>
      <w:bookmarkStart w:id="519" w:name="_Toc239861045"/>
      <w:bookmarkStart w:id="520" w:name="_Toc11278"/>
      <w:bookmarkStart w:id="521" w:name="_Toc19187"/>
      <w:bookmarkStart w:id="522" w:name="_Toc22188"/>
      <w:bookmarkStart w:id="523" w:name="_Toc50860371"/>
      <w:bookmarkStart w:id="524" w:name="_Toc515348034"/>
      <w:bookmarkStart w:id="525" w:name="_Toc1040038"/>
      <w:bookmarkStart w:id="526" w:name="_Toc411394433"/>
      <w:bookmarkStart w:id="527" w:name="_Toc515966067"/>
      <w:bookmarkStart w:id="528" w:name="_Toc50453950"/>
      <w:bookmarkStart w:id="529" w:name="_Toc50861740"/>
      <w:bookmarkStart w:id="530" w:name="_Toc515679441"/>
      <w:bookmarkStart w:id="531" w:name="_Toc424760351"/>
      <w:bookmarkStart w:id="532" w:name="_Toc51225621"/>
      <w:bookmarkStart w:id="533" w:name="_Toc412914200"/>
      <w:bookmarkStart w:id="534" w:name="_Toc48120211"/>
      <w:bookmarkStart w:id="535" w:name="_Toc51213943"/>
      <w:bookmarkStart w:id="536" w:name="_Toc48101144"/>
      <w:bookmarkStart w:id="537" w:name="_Toc50861876"/>
      <w:bookmarkStart w:id="538" w:name="_Toc48042072"/>
      <w:r>
        <w:rPr>
          <w:rFonts w:hint="eastAsia" w:asciiTheme="minorEastAsia" w:hAnsiTheme="minorEastAsia" w:eastAsiaTheme="minorEastAsia" w:cstheme="minorEastAsia"/>
          <w:color w:val="auto"/>
        </w:rPr>
        <w:t>工程总承包</w:t>
      </w:r>
      <w:bookmarkEnd w:id="519"/>
      <w:bookmarkEnd w:id="520"/>
      <w:bookmarkEnd w:id="521"/>
      <w:bookmarkEnd w:id="522"/>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项目管廊本体和附属设施等工程的建设应采用工程总承包的形式进行。</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项目已通过公开招标程序选定具有相应施工资质的社会资本（即__________）,根据市政府的批复，并履行相关建设工程程序后，项目公司与本项目具有相应施工资质的中标社会资本签订工程施工合同，但中标社会资本不得将本项目工程的主体部分（管廊结构）对外转包或分包。对于本项目工程其它部分的分包需经</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批准后，通过</w:t>
      </w:r>
      <w:r>
        <w:rPr>
          <w:rFonts w:hint="eastAsia" w:asciiTheme="minorEastAsia" w:hAnsiTheme="minorEastAsia" w:eastAsiaTheme="minorEastAsia" w:cstheme="minorEastAsia"/>
          <w:color w:val="auto"/>
          <w:lang w:val="en-US" w:eastAsia="zh-CN"/>
        </w:rPr>
        <w:t>国家及江苏省现行的法律</w:t>
      </w:r>
      <w:r>
        <w:rPr>
          <w:rFonts w:hint="eastAsia" w:asciiTheme="minorEastAsia" w:hAnsiTheme="minorEastAsia" w:eastAsiaTheme="minorEastAsia" w:cstheme="minorEastAsia"/>
          <w:color w:val="auto"/>
        </w:rPr>
        <w:t>公开招标的形式进行，并接受徐州市相关职能部门的监督。</w:t>
      </w:r>
      <w:r>
        <w:rPr>
          <w:rFonts w:hint="eastAsia" w:asciiTheme="minorEastAsia" w:hAnsiTheme="minorEastAsia" w:eastAsiaTheme="minorEastAsia" w:cstheme="minorEastAsia"/>
          <w:color w:val="auto"/>
          <w:szCs w:val="21"/>
        </w:rPr>
        <w:t>项目公司与中标社会资本签订施工总承包合同时，不得与本合同相关条款相违背。如有冲突，以本合同约定为准。因违背而增加的费用由中标社会资本承担。</w:t>
      </w:r>
    </w:p>
    <w:p>
      <w:pPr>
        <w:ind w:left="720" w:hanging="720" w:hangingChars="300"/>
        <w:rPr>
          <w:rFonts w:hint="default" w:eastAsiaTheme="minorEastAsia"/>
          <w:lang w:val="en-US" w:eastAsia="zh-CN"/>
        </w:rPr>
      </w:pPr>
      <w:r>
        <w:rPr>
          <w:rFonts w:hint="eastAsia" w:asciiTheme="minorEastAsia" w:hAnsiTheme="minorEastAsia" w:eastAsiaTheme="minorEastAsia" w:cstheme="minorEastAsia"/>
          <w:color w:val="auto"/>
          <w:szCs w:val="21"/>
          <w:lang w:val="en-US" w:eastAsia="zh-CN"/>
        </w:rPr>
        <w:t xml:space="preserve">     本项目为“两标一招”，项目实施过程工程质量、安全文明施工与环境保护、工期与进度、材料与设备、试验与检验、变更、价格调整、合同价格、计量与支付、验收与工程试车、竣工结算、缺陷责任期与保修、违约、不可抗力、保险、争议解决等相关约定参照《建设工程施工合同》（GF-2017-0201)执行。其中附件10建设工程施工合同专用条款中涉及工程质量、安全文明施工与环境保护、工期、材料与设备、试验与检验、变更、价格调整、合同价格、计量等未标明项目公司参考执行的条款，中标社会资本与施工总承包人必须共同遵守。</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对于入廊管线的施工建设，由各入廊管线单位负责相应入廊管线的建设管理工作，入廊管线施工所发生的相关费用由入廊单位承担，对于施工单位的选择，按照国家、江苏省和徐州市的相关规定执行。中标社会资本方应根据项目公司的要求，配合入廊管线施工单位的施工建设。</w:t>
      </w:r>
    </w:p>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Pr>
        <w:pStyle w:val="3"/>
        <w:keepNext w:val="0"/>
        <w:widowControl w:val="0"/>
        <w:spacing w:before="120" w:beforeLines="50" w:afterLines="50"/>
        <w:rPr>
          <w:rFonts w:hint="eastAsia" w:asciiTheme="minorEastAsia" w:hAnsiTheme="minorEastAsia" w:eastAsiaTheme="minorEastAsia" w:cstheme="minorEastAsia"/>
          <w:color w:val="auto"/>
        </w:rPr>
      </w:pPr>
      <w:bookmarkStart w:id="539" w:name="_项目公司的主要义务_2"/>
      <w:bookmarkEnd w:id="539"/>
      <w:bookmarkStart w:id="540" w:name="_Toc378234916"/>
      <w:bookmarkEnd w:id="540"/>
      <w:bookmarkStart w:id="541" w:name="_Toc87620118"/>
      <w:bookmarkEnd w:id="541"/>
      <w:bookmarkStart w:id="542" w:name="_Toc377857264"/>
      <w:bookmarkEnd w:id="542"/>
      <w:bookmarkStart w:id="543" w:name="_Toc87620298"/>
      <w:bookmarkEnd w:id="543"/>
      <w:bookmarkStart w:id="544" w:name="_Toc378189279"/>
      <w:bookmarkEnd w:id="544"/>
      <w:bookmarkStart w:id="545" w:name="_Toc412914204"/>
      <w:bookmarkStart w:id="546" w:name="_Toc515348038"/>
      <w:bookmarkStart w:id="547" w:name="_Toc50453952"/>
      <w:bookmarkStart w:id="548" w:name="_Toc48101147"/>
      <w:bookmarkStart w:id="549" w:name="_Toc11388"/>
      <w:bookmarkStart w:id="550" w:name="_Toc424760355"/>
      <w:bookmarkStart w:id="551" w:name="_Toc239861049"/>
      <w:bookmarkStart w:id="552" w:name="_Toc515679445"/>
      <w:bookmarkStart w:id="553" w:name="_Toc411394437"/>
      <w:bookmarkStart w:id="554" w:name="_Toc50861878"/>
      <w:bookmarkStart w:id="555" w:name="_Toc50860373"/>
      <w:bookmarkStart w:id="556" w:name="_Toc50861742"/>
      <w:bookmarkStart w:id="557" w:name="_Toc51213945"/>
      <w:bookmarkStart w:id="558" w:name="_Toc48120214"/>
      <w:bookmarkStart w:id="559" w:name="_Toc51225623"/>
      <w:bookmarkStart w:id="560" w:name="_Toc1040041"/>
      <w:bookmarkStart w:id="561" w:name="_Toc48042075"/>
      <w:bookmarkStart w:id="562" w:name="_Toc515966071"/>
      <w:bookmarkStart w:id="563" w:name="_Toc16140"/>
      <w:bookmarkStart w:id="564" w:name="_Toc5222"/>
      <w:r>
        <w:rPr>
          <w:rFonts w:hint="eastAsia" w:asciiTheme="minorEastAsia" w:hAnsiTheme="minorEastAsia" w:eastAsiaTheme="minorEastAsia" w:cstheme="minorEastAsia"/>
          <w:bCs/>
          <w:color w:val="auto"/>
        </w:rPr>
        <w:t>项目</w:t>
      </w:r>
      <w:r>
        <w:rPr>
          <w:rFonts w:hint="eastAsia" w:asciiTheme="minorEastAsia" w:hAnsiTheme="minorEastAsia" w:eastAsiaTheme="minorEastAsia" w:cstheme="minorEastAsia"/>
          <w:color w:val="auto"/>
        </w:rPr>
        <w:t>进度</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pPr>
        <w:pStyle w:val="5"/>
        <w:rPr>
          <w:rFonts w:hint="eastAsia" w:asciiTheme="minorEastAsia" w:hAnsiTheme="minorEastAsia" w:eastAsiaTheme="minorEastAsia" w:cstheme="minorEastAsia"/>
          <w:color w:val="auto"/>
        </w:rPr>
      </w:pPr>
      <w:bookmarkStart w:id="565" w:name="_预计的进度"/>
      <w:bookmarkEnd w:id="565"/>
      <w:bookmarkStart w:id="566" w:name="_预计的进度日期"/>
      <w:bookmarkEnd w:id="566"/>
      <w:bookmarkStart w:id="567" w:name="_Ref86655543"/>
      <w:r>
        <w:rPr>
          <w:rFonts w:hint="eastAsia" w:asciiTheme="minorEastAsia" w:hAnsiTheme="minorEastAsia" w:eastAsiaTheme="minorEastAsia" w:cstheme="minorEastAsia"/>
          <w:color w:val="auto"/>
        </w:rPr>
        <w:t>预计的进度</w:t>
      </w:r>
      <w:bookmarkEnd w:id="567"/>
    </w:p>
    <w:p>
      <w:pPr>
        <w:pStyle w:val="6"/>
        <w:numPr>
          <w:ilvl w:val="0"/>
          <w:numId w:val="0"/>
        </w:numPr>
        <w:ind w:left="600"/>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项目公司必须在下列规定的关键工期当日或之前完成下列工作，除本合同另有约定外，下述关键工期不可延后。</w:t>
      </w:r>
    </w:p>
    <w:tbl>
      <w:tblPr>
        <w:tblStyle w:val="39"/>
        <w:tblpPr w:leftFromText="180" w:rightFromText="180" w:vertAnchor="text" w:tblpX="84" w:tblpY="1"/>
        <w:tblOverlap w:val="never"/>
        <w:tblW w:w="92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70" w:type="dxa"/>
          <w:bottom w:w="0" w:type="dxa"/>
          <w:right w:w="70" w:type="dxa"/>
        </w:tblCellMar>
      </w:tblPr>
      <w:tblGrid>
        <w:gridCol w:w="4803"/>
        <w:gridCol w:w="44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c>
          <w:tcPr>
            <w:tcW w:w="4803" w:type="dxa"/>
          </w:tcPr>
          <w:p>
            <w:pPr>
              <w:tabs>
                <w:tab w:val="left" w:pos="4256"/>
              </w:tabs>
              <w:spacing w:before="120" w:after="120" w:afterLines="50"/>
              <w:ind w:left="-2" w:leftChars="-1"/>
              <w:jc w:val="center"/>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重大事项</w:t>
            </w:r>
          </w:p>
        </w:tc>
        <w:tc>
          <w:tcPr>
            <w:tcW w:w="4408" w:type="dxa"/>
          </w:tcPr>
          <w:p>
            <w:pPr>
              <w:spacing w:before="120" w:after="120" w:afterLines="50"/>
              <w:ind w:left="-70"/>
              <w:jc w:val="center"/>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进度日期</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70" w:type="dxa"/>
            <w:bottom w:w="0" w:type="dxa"/>
            <w:right w:w="70" w:type="dxa"/>
          </w:tblCellMar>
        </w:tblPrEx>
        <w:tc>
          <w:tcPr>
            <w:tcW w:w="4803" w:type="dxa"/>
          </w:tcPr>
          <w:p>
            <w:pPr>
              <w:spacing w:before="120" w:after="120" w:afterLines="50"/>
              <w:jc w:val="center"/>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计划开工日</w:t>
            </w:r>
          </w:p>
        </w:tc>
        <w:tc>
          <w:tcPr>
            <w:tcW w:w="4408" w:type="dxa"/>
          </w:tcPr>
          <w:p>
            <w:pPr>
              <w:spacing w:before="120" w:after="120" w:afterLines="50"/>
              <w:jc w:val="center"/>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本项目监理单位下发开工令之日的次日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70" w:type="dxa"/>
            <w:bottom w:w="0" w:type="dxa"/>
            <w:right w:w="70" w:type="dxa"/>
          </w:tblCellMar>
        </w:tblPrEx>
        <w:tc>
          <w:tcPr>
            <w:tcW w:w="4803" w:type="dxa"/>
          </w:tcPr>
          <w:p>
            <w:pPr>
              <w:spacing w:before="120" w:after="120" w:afterLines="50"/>
              <w:jc w:val="center"/>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计划完工日</w:t>
            </w:r>
          </w:p>
        </w:tc>
        <w:tc>
          <w:tcPr>
            <w:tcW w:w="4408" w:type="dxa"/>
          </w:tcPr>
          <w:p>
            <w:pPr>
              <w:spacing w:before="120" w:after="120" w:afterLines="50"/>
              <w:jc w:val="center"/>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开工日后</w:t>
            </w:r>
            <w:r>
              <w:rPr>
                <w:rFonts w:hint="eastAsia" w:asciiTheme="minorEastAsia" w:hAnsiTheme="minorEastAsia" w:eastAsiaTheme="minorEastAsia" w:cstheme="minorEastAsia"/>
                <w:bCs/>
                <w:kern w:val="0"/>
                <w:szCs w:val="20"/>
                <w:lang w:val="en-US" w:eastAsia="zh-CN"/>
              </w:rPr>
              <w:t>12</w:t>
            </w:r>
            <w:r>
              <w:rPr>
                <w:rFonts w:hint="eastAsia" w:asciiTheme="minorEastAsia" w:hAnsiTheme="minorEastAsia" w:eastAsiaTheme="minorEastAsia" w:cstheme="minorEastAsia"/>
                <w:bCs/>
                <w:kern w:val="0"/>
                <w:szCs w:val="20"/>
              </w:rPr>
              <w:t>个月内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70" w:type="dxa"/>
            <w:bottom w:w="0" w:type="dxa"/>
            <w:right w:w="70" w:type="dxa"/>
          </w:tblCellMar>
        </w:tblPrEx>
        <w:tc>
          <w:tcPr>
            <w:tcW w:w="4803" w:type="dxa"/>
          </w:tcPr>
          <w:p>
            <w:pPr>
              <w:spacing w:before="120" w:after="120" w:afterLines="50"/>
              <w:jc w:val="center"/>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最终竣工日</w:t>
            </w:r>
          </w:p>
        </w:tc>
        <w:tc>
          <w:tcPr>
            <w:tcW w:w="4408" w:type="dxa"/>
          </w:tcPr>
          <w:p>
            <w:pPr>
              <w:spacing w:before="120" w:after="120" w:afterLines="50"/>
              <w:jc w:val="center"/>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开工日后</w:t>
            </w:r>
            <w:r>
              <w:rPr>
                <w:rFonts w:hint="eastAsia" w:asciiTheme="minorEastAsia" w:hAnsiTheme="minorEastAsia" w:eastAsiaTheme="minorEastAsia" w:cstheme="minorEastAsia"/>
                <w:bCs/>
                <w:kern w:val="0"/>
                <w:szCs w:val="20"/>
                <w:lang w:val="en-US" w:eastAsia="zh-CN"/>
              </w:rPr>
              <w:t>12</w:t>
            </w:r>
            <w:r>
              <w:rPr>
                <w:rFonts w:hint="eastAsia" w:asciiTheme="minorEastAsia" w:hAnsiTheme="minorEastAsia" w:eastAsiaTheme="minorEastAsia" w:cstheme="minorEastAsia"/>
                <w:bCs/>
                <w:kern w:val="0"/>
                <w:szCs w:val="20"/>
              </w:rPr>
              <w:t>个月内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70" w:type="dxa"/>
            <w:bottom w:w="0" w:type="dxa"/>
            <w:right w:w="70" w:type="dxa"/>
          </w:tblCellMar>
        </w:tblPrEx>
        <w:tc>
          <w:tcPr>
            <w:tcW w:w="4803" w:type="dxa"/>
          </w:tcPr>
          <w:p>
            <w:pPr>
              <w:spacing w:before="120" w:after="120" w:afterLines="50"/>
              <w:jc w:val="center"/>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开始运营日</w:t>
            </w:r>
          </w:p>
        </w:tc>
        <w:tc>
          <w:tcPr>
            <w:tcW w:w="4408" w:type="dxa"/>
          </w:tcPr>
          <w:p>
            <w:pPr>
              <w:spacing w:before="120" w:after="120" w:afterLines="50"/>
              <w:jc w:val="center"/>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竣工日后1个月内</w:t>
            </w:r>
          </w:p>
        </w:tc>
      </w:tr>
    </w:tbl>
    <w:p>
      <w:pPr>
        <w:pStyle w:val="5"/>
        <w:rPr>
          <w:rFonts w:hint="eastAsia" w:asciiTheme="minorEastAsia" w:hAnsiTheme="minorEastAsia" w:eastAsiaTheme="minorEastAsia" w:cstheme="minorEastAsia"/>
          <w:color w:val="auto"/>
        </w:rPr>
      </w:pPr>
      <w:bookmarkStart w:id="568" w:name="_预计的建设延误的通知"/>
      <w:bookmarkEnd w:id="568"/>
      <w:r>
        <w:rPr>
          <w:rFonts w:hint="eastAsia" w:asciiTheme="minorEastAsia" w:hAnsiTheme="minorEastAsia" w:eastAsiaTheme="minorEastAsia" w:cstheme="minorEastAsia"/>
          <w:color w:val="auto"/>
        </w:rPr>
        <w:t>预计的建设延误的通知</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在任何时候，如果一方合理地预计由该方负责完成的项目计划的任何部分不能在</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"_预计的进度日期" </w:instrText>
      </w:r>
      <w:r>
        <w:rPr>
          <w:rFonts w:hint="eastAsia" w:asciiTheme="minorEastAsia" w:hAnsiTheme="minorEastAsia" w:eastAsiaTheme="minorEastAsia" w:cstheme="minorEastAsia"/>
        </w:rPr>
        <w:fldChar w:fldCharType="separate"/>
      </w:r>
      <w:r>
        <w:rPr>
          <w:rStyle w:val="44"/>
          <w:rFonts w:hint="eastAsia" w:asciiTheme="minorEastAsia" w:hAnsiTheme="minorEastAsia" w:eastAsiaTheme="minorEastAsia" w:cstheme="minorEastAsia"/>
          <w:color w:val="auto"/>
        </w:rPr>
        <w:t>第</w:t>
      </w:r>
      <w:r>
        <w:rPr>
          <w:rStyle w:val="44"/>
          <w:rFonts w:hint="eastAsia" w:asciiTheme="minorEastAsia" w:hAnsiTheme="minorEastAsia" w:eastAsiaTheme="minorEastAsia" w:cstheme="minorEastAsia"/>
          <w:color w:val="auto"/>
          <w:lang w:val="en-US" w:eastAsia="zh-CN"/>
        </w:rPr>
        <w:t>7</w:t>
      </w:r>
      <w:r>
        <w:rPr>
          <w:rStyle w:val="44"/>
          <w:rFonts w:hint="eastAsia" w:asciiTheme="minorEastAsia" w:hAnsiTheme="minorEastAsia" w:eastAsiaTheme="minorEastAsia" w:cstheme="minorEastAsia"/>
          <w:color w:val="auto"/>
        </w:rPr>
        <w:t>.5.1条款</w:t>
      </w:r>
      <w:r>
        <w:rPr>
          <w:rStyle w:val="44"/>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rPr>
        <w:t>所规定的进度日期之前完成，该方应及时通知另一方并合理地详细描述以下情况：</w:t>
      </w:r>
    </w:p>
    <w:p>
      <w:pPr>
        <w:pStyle w:val="7"/>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明确何种事项无法按照预计的进度完成；</w:t>
      </w:r>
    </w:p>
    <w:p>
      <w:pPr>
        <w:pStyle w:val="7"/>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延误或预计延误的原因，包括对任何声明为不可抗力的情况的描述；</w:t>
      </w:r>
    </w:p>
    <w:p>
      <w:pPr>
        <w:pStyle w:val="7"/>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所预计的可能超出进度日期的日数和其他可合理预见的对项目不利的影响；</w:t>
      </w:r>
    </w:p>
    <w:p>
      <w:pPr>
        <w:pStyle w:val="7"/>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该方已经采取或建议采取的解决或减少延误及其影响的措施。</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如果一方未向另一方发出上述通知，该方应承担另一方因其未发出此通知而可能遭致的任何直接损失和费用。</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发出上述通知不应解除各方在本合同项下的任何义务。</w:t>
      </w:r>
    </w:p>
    <w:p>
      <w:pPr>
        <w:pStyle w:val="5"/>
        <w:rPr>
          <w:rFonts w:hint="eastAsia" w:asciiTheme="minorEastAsia" w:hAnsiTheme="minorEastAsia" w:eastAsiaTheme="minorEastAsia" w:cstheme="minorEastAsia"/>
          <w:color w:val="auto"/>
        </w:rPr>
      </w:pPr>
      <w:bookmarkStart w:id="569" w:name="_如果出现下述情况，有关进度日期的最后期限将延长或修改："/>
      <w:bookmarkEnd w:id="569"/>
      <w:bookmarkStart w:id="570" w:name="_Ref86656004"/>
      <w:r>
        <w:rPr>
          <w:rFonts w:hint="eastAsia" w:asciiTheme="minorEastAsia" w:hAnsiTheme="minorEastAsia" w:eastAsiaTheme="minorEastAsia" w:cstheme="minorEastAsia"/>
          <w:color w:val="auto"/>
        </w:rPr>
        <w:t>如果出现下述情况，有关进度日期的最后期限将延长或修改：</w:t>
      </w:r>
      <w:bookmarkEnd w:id="570"/>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法律变更；</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不可抗力事件；</w:t>
      </w:r>
    </w:p>
    <w:p>
      <w:pPr>
        <w:pStyle w:val="6"/>
        <w:rPr>
          <w:rFonts w:hint="eastAsia" w:asciiTheme="minorEastAsia" w:hAnsiTheme="minorEastAsia" w:eastAsiaTheme="minorEastAsia" w:cstheme="minorEastAsia"/>
        </w:rPr>
      </w:pPr>
      <w:bookmarkStart w:id="571" w:name="_项目建设过程中，在污水处理厂场地内发现有古墓、古建筑或化石等具有考古、"/>
      <w:bookmarkEnd w:id="571"/>
      <w:r>
        <w:rPr>
          <w:rFonts w:hint="eastAsia" w:asciiTheme="minorEastAsia" w:hAnsiTheme="minorEastAsia" w:eastAsiaTheme="minorEastAsia" w:cstheme="minorEastAsia"/>
        </w:rPr>
        <w:t>项目建设过程中，在项目场地范围内发现有古墓、古建筑或化石等具有考古、地质研究价值的物品；</w:t>
      </w:r>
    </w:p>
    <w:p>
      <w:pPr>
        <w:pStyle w:val="6"/>
        <w:rPr>
          <w:rFonts w:hint="eastAsia" w:asciiTheme="minorEastAsia" w:hAnsiTheme="minorEastAsia" w:eastAsiaTheme="minorEastAsia" w:cstheme="minorEastAsia"/>
        </w:rPr>
      </w:pPr>
      <w:bookmarkStart w:id="572" w:name="_对项目公司应达到的进度日期，由于市公用局的违约或主管设计和建设的政府部"/>
      <w:bookmarkEnd w:id="572"/>
      <w:bookmarkStart w:id="573" w:name="_由于长沙市政府有关职能部门在正式受理项目公司或市公用局报批申请后违反适用法律规"/>
      <w:bookmarkEnd w:id="573"/>
      <w:bookmarkStart w:id="574" w:name="_Ref447623652"/>
      <w:r>
        <w:rPr>
          <w:rFonts w:hint="eastAsia" w:asciiTheme="minorEastAsia" w:hAnsiTheme="minorEastAsia" w:eastAsiaTheme="minorEastAsia" w:cstheme="minorEastAsia"/>
        </w:rPr>
        <w:t>由于政府部门在正式受理项目公司或</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报批申请后，违反适用法律规定的审批迟延而造成延误；</w:t>
      </w:r>
      <w:bookmarkEnd w:id="574"/>
    </w:p>
    <w:p>
      <w:pPr>
        <w:pStyle w:val="6"/>
        <w:rPr>
          <w:rFonts w:hint="eastAsia" w:asciiTheme="minorEastAsia" w:hAnsiTheme="minorEastAsia" w:eastAsiaTheme="minorEastAsia" w:cstheme="minorEastAsia"/>
        </w:rPr>
      </w:pPr>
      <w:bookmarkStart w:id="575" w:name="_Ref326590822"/>
      <w:r>
        <w:rPr>
          <w:rFonts w:hint="eastAsia" w:asciiTheme="minorEastAsia" w:hAnsiTheme="minorEastAsia" w:eastAsiaTheme="minorEastAsia" w:cstheme="minorEastAsia"/>
        </w:rPr>
        <w:t>对项目公司应达到的进度日期，由于</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的违约而造成延误</w:t>
      </w:r>
      <w:bookmarkEnd w:id="575"/>
      <w:r>
        <w:rPr>
          <w:rFonts w:hint="eastAsia" w:asciiTheme="minorEastAsia" w:hAnsiTheme="minorEastAsia" w:eastAsiaTheme="minorEastAsia" w:cstheme="minorEastAsia"/>
        </w:rPr>
        <w:t>。</w:t>
      </w:r>
    </w:p>
    <w:p>
      <w:pPr>
        <w:pStyle w:val="5"/>
        <w:rPr>
          <w:rFonts w:hint="eastAsia" w:asciiTheme="minorEastAsia" w:hAnsiTheme="minorEastAsia" w:eastAsiaTheme="minorEastAsia" w:cstheme="minorEastAsia"/>
          <w:color w:val="auto"/>
        </w:rPr>
      </w:pPr>
      <w:bookmarkStart w:id="576" w:name="_进度日期的延长"/>
      <w:bookmarkEnd w:id="576"/>
      <w:bookmarkStart w:id="577" w:name="_Ref447623593"/>
      <w:r>
        <w:rPr>
          <w:rFonts w:hint="eastAsia" w:asciiTheme="minorEastAsia" w:hAnsiTheme="minorEastAsia" w:eastAsiaTheme="minorEastAsia" w:cstheme="minorEastAsia"/>
          <w:color w:val="auto"/>
        </w:rPr>
        <w:t>进度日期的延长</w:t>
      </w:r>
      <w:bookmarkEnd w:id="577"/>
    </w:p>
    <w:p>
      <w:pPr>
        <w:pStyle w:val="48"/>
        <w:rPr>
          <w:rFonts w:hint="eastAsia" w:asciiTheme="minorEastAsia" w:hAnsiTheme="minorEastAsia" w:eastAsiaTheme="minorEastAsia" w:cstheme="minorEastAsia"/>
        </w:rPr>
      </w:pPr>
      <w:r>
        <w:rPr>
          <w:rFonts w:hint="eastAsia" w:asciiTheme="minorEastAsia" w:hAnsiTheme="minorEastAsia" w:eastAsiaTheme="minorEastAsia" w:cstheme="minorEastAsia"/>
        </w:rPr>
        <w:t>在同时满足了以下（a）、（b）、（c）、（d）前提下，一方可以在第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_Ref86656004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7.5.3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条款所描述的事件发生时，要求延长进度日期，合作期不变：</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该方（下称“第一方”）在实际发生延误的五（5）个工作日内向另一方（下称“第二方”）提出书面的延期要求，说明对相应的进度日期可能造成的影响；</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进度日期的</w:t>
      </w:r>
      <w:r>
        <w:rPr>
          <w:rFonts w:hint="eastAsia" w:asciiTheme="minorEastAsia" w:hAnsiTheme="minorEastAsia" w:eastAsiaTheme="minorEastAsia" w:cstheme="minorEastAsia"/>
          <w:lang w:val="en-US" w:eastAsia="zh-CN"/>
        </w:rPr>
        <w:t>时间</w:t>
      </w:r>
      <w:r>
        <w:rPr>
          <w:rFonts w:hint="eastAsia" w:asciiTheme="minorEastAsia" w:hAnsiTheme="minorEastAsia" w:eastAsiaTheme="minorEastAsia" w:cstheme="minorEastAsia"/>
        </w:rPr>
        <w:t>实际已经被延误；</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第一方已采取所有合理的措施减少延误。</w:t>
      </w:r>
    </w:p>
    <w:p>
      <w:pPr>
        <w:pStyle w:val="6"/>
        <w:rPr>
          <w:rFonts w:hint="eastAsia" w:asciiTheme="minorEastAsia" w:hAnsiTheme="minorEastAsia" w:eastAsiaTheme="minorEastAsia" w:cstheme="minorEastAsia"/>
        </w:rPr>
      </w:pPr>
      <w:bookmarkStart w:id="578" w:name="_如果第二方在收到书面要求后十四(14)个工作日之内对要求的延期未书面表示异议，"/>
      <w:bookmarkEnd w:id="578"/>
      <w:r>
        <w:rPr>
          <w:rFonts w:hint="eastAsia" w:asciiTheme="minorEastAsia" w:hAnsiTheme="minorEastAsia" w:eastAsiaTheme="minorEastAsia" w:cstheme="minorEastAsia"/>
        </w:rPr>
        <w:t>如果第二方在收到书面要求后十四（14）个工作日之内对要求的延期未书面表示异议，则第二方将被视为对要求的延期已表示同意；如果第二方提出了书面异议，则该进度延长将不被接受。双方无法达成一致时，依照相关法律规定予以处理；</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由于项目公司的违约而造成延误，工期不得顺延。</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579" w:name="_Toc239861050"/>
      <w:bookmarkStart w:id="580" w:name="_Toc2644"/>
      <w:bookmarkStart w:id="581" w:name="_Toc31333"/>
      <w:bookmarkStart w:id="582" w:name="_Toc27144"/>
      <w:r>
        <w:rPr>
          <w:rFonts w:hint="eastAsia" w:asciiTheme="minorEastAsia" w:hAnsiTheme="minorEastAsia" w:eastAsiaTheme="minorEastAsia" w:cstheme="minorEastAsia"/>
          <w:color w:val="auto"/>
        </w:rPr>
        <w:t>施工</w:t>
      </w:r>
      <w:bookmarkEnd w:id="579"/>
      <w:r>
        <w:rPr>
          <w:rFonts w:hint="eastAsia" w:asciiTheme="minorEastAsia" w:hAnsiTheme="minorEastAsia" w:eastAsiaTheme="minorEastAsia" w:cstheme="minorEastAsia"/>
          <w:color w:val="auto"/>
        </w:rPr>
        <w:t>管理</w:t>
      </w:r>
      <w:bookmarkEnd w:id="580"/>
      <w:bookmarkEnd w:id="581"/>
      <w:bookmarkEnd w:id="582"/>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项目公司必须根据以下规定和要求组织项目工程的施工：</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经批准的初步设计文件和施工图设计；</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"_附件14_技术方案" </w:instrText>
      </w:r>
      <w:r>
        <w:rPr>
          <w:rFonts w:hint="eastAsia" w:asciiTheme="minorEastAsia" w:hAnsiTheme="minorEastAsia" w:eastAsiaTheme="minorEastAsia" w:cstheme="minorEastAsia"/>
        </w:rPr>
        <w:fldChar w:fldCharType="separate"/>
      </w:r>
      <w:r>
        <w:rPr>
          <w:rStyle w:val="44"/>
          <w:rFonts w:hint="eastAsia" w:asciiTheme="minorEastAsia" w:hAnsiTheme="minorEastAsia" w:eastAsiaTheme="minorEastAsia" w:cstheme="minorEastAsia"/>
          <w:bCs w:val="0"/>
          <w:color w:val="auto"/>
          <w:kern w:val="2"/>
          <w:szCs w:val="24"/>
        </w:rPr>
        <w:t>附件6</w:t>
      </w:r>
      <w:r>
        <w:rPr>
          <w:rFonts w:hint="eastAsia" w:asciiTheme="minorEastAsia" w:hAnsiTheme="minorEastAsia" w:eastAsiaTheme="minorEastAsia" w:cstheme="minorEastAsia"/>
          <w:szCs w:val="21"/>
        </w:rPr>
        <w:t>经审定的施工组织设计方案、</w:t>
      </w:r>
      <w:r>
        <w:rPr>
          <w:rStyle w:val="44"/>
          <w:rFonts w:hint="eastAsia" w:asciiTheme="minorEastAsia" w:hAnsiTheme="minorEastAsia" w:eastAsiaTheme="minorEastAsia" w:cstheme="minorEastAsia"/>
          <w:bCs w:val="0"/>
          <w:color w:val="auto"/>
          <w:kern w:val="2"/>
          <w:szCs w:val="24"/>
        </w:rPr>
        <w:t>《中标社会资本</w:t>
      </w:r>
      <w:r>
        <w:rPr>
          <w:rStyle w:val="44"/>
          <w:rFonts w:hint="eastAsia" w:asciiTheme="minorEastAsia" w:hAnsiTheme="minorEastAsia" w:eastAsiaTheme="minorEastAsia" w:cstheme="minorEastAsia"/>
          <w:bCs w:val="0"/>
          <w:color w:val="auto"/>
          <w:kern w:val="2"/>
          <w:szCs w:val="24"/>
        </w:rPr>
        <w:fldChar w:fldCharType="end"/>
      </w:r>
      <w:r>
        <w:rPr>
          <w:rStyle w:val="44"/>
          <w:rFonts w:hint="eastAsia" w:asciiTheme="minorEastAsia" w:hAnsiTheme="minorEastAsia" w:eastAsiaTheme="minorEastAsia" w:cstheme="minorEastAsia"/>
          <w:bCs w:val="0"/>
          <w:color w:val="auto"/>
          <w:kern w:val="2"/>
          <w:szCs w:val="24"/>
        </w:rPr>
        <w:t>投标文件</w:t>
      </w:r>
      <w:r>
        <w:rPr>
          <w:rFonts w:hint="eastAsia" w:asciiTheme="minorEastAsia" w:hAnsiTheme="minorEastAsia" w:eastAsiaTheme="minorEastAsia" w:cstheme="minorEastAsia"/>
        </w:rPr>
        <w:t>》列明的技术方案；</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所有适用法律和所有批准的要求；</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本合同的所有其他要求。</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项目工程建设过程中发生的，或因项目施工和建设所导致的任何依据适用法律或依照本合同应由建设单位和施工单位承担的责任，均应由项目公司承担。</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项目公司和/或总承包商应当根据适用法律的规定保存项目工程施工的有关文件，并应准备一份完整的复印件。</w:t>
      </w:r>
      <w:bookmarkStart w:id="583" w:name="_Toc239861051"/>
    </w:p>
    <w:p>
      <w:pPr>
        <w:numPr>
          <w:ilvl w:val="1"/>
          <w:numId w:val="1"/>
        </w:numPr>
        <w:autoSpaceDE w:val="0"/>
        <w:autoSpaceDN w:val="0"/>
        <w:adjustRightInd w:val="0"/>
        <w:spacing w:before="120" w:after="120" w:afterLines="50"/>
        <w:jc w:val="left"/>
        <w:outlineLvl w:val="1"/>
        <w:rPr>
          <w:rFonts w:hint="eastAsia" w:asciiTheme="minorEastAsia" w:hAnsiTheme="minorEastAsia" w:eastAsiaTheme="minorEastAsia" w:cstheme="minorEastAsia"/>
          <w:b/>
          <w:kern w:val="0"/>
          <w:sz w:val="28"/>
          <w:szCs w:val="20"/>
        </w:rPr>
      </w:pPr>
      <w:bookmarkStart w:id="584" w:name="_Toc343179709"/>
      <w:bookmarkStart w:id="585" w:name="_Toc29401"/>
      <w:bookmarkStart w:id="586" w:name="_Toc19168"/>
      <w:bookmarkStart w:id="587" w:name="_Toc8485"/>
      <w:r>
        <w:rPr>
          <w:rFonts w:hint="eastAsia" w:asciiTheme="minorEastAsia" w:hAnsiTheme="minorEastAsia" w:eastAsiaTheme="minorEastAsia" w:cstheme="minorEastAsia"/>
          <w:b/>
          <w:kern w:val="0"/>
          <w:sz w:val="28"/>
          <w:szCs w:val="20"/>
        </w:rPr>
        <w:t>遵守安全标准和加强环境保护的责任</w:t>
      </w:r>
      <w:bookmarkEnd w:id="584"/>
      <w:bookmarkEnd w:id="585"/>
      <w:bookmarkEnd w:id="586"/>
      <w:bookmarkEnd w:id="587"/>
    </w:p>
    <w:p>
      <w:pPr>
        <w:numPr>
          <w:ilvl w:val="2"/>
          <w:numId w:val="1"/>
        </w:numPr>
        <w:tabs>
          <w:tab w:val="left" w:pos="1920"/>
        </w:tabs>
        <w:autoSpaceDE w:val="0"/>
        <w:autoSpaceDN w:val="0"/>
        <w:adjustRightInd w:val="0"/>
        <w:spacing w:before="120" w:after="120" w:afterLines="50"/>
        <w:outlineLvl w:val="2"/>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项目公司应始终遵守有关公共卫生和安全的适用法律及本合同的规定；</w:t>
      </w:r>
    </w:p>
    <w:p>
      <w:pPr>
        <w:numPr>
          <w:ilvl w:val="2"/>
          <w:numId w:val="1"/>
        </w:numPr>
        <w:tabs>
          <w:tab w:val="left" w:pos="1920"/>
        </w:tabs>
        <w:autoSpaceDE w:val="0"/>
        <w:autoSpaceDN w:val="0"/>
        <w:adjustRightInd w:val="0"/>
        <w:spacing w:before="120" w:after="120" w:afterLines="50"/>
        <w:outlineLvl w:val="2"/>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项目公司</w:t>
      </w:r>
      <w:r>
        <w:rPr>
          <w:rFonts w:hint="eastAsia" w:asciiTheme="minorEastAsia" w:hAnsiTheme="minorEastAsia" w:eastAsiaTheme="minorEastAsia" w:cstheme="minorEastAsia"/>
          <w:bCs/>
          <w:kern w:val="0"/>
          <w:szCs w:val="20"/>
          <w:lang w:val="en-US" w:eastAsia="zh-CN"/>
        </w:rPr>
        <w:t>负有防止</w:t>
      </w:r>
      <w:r>
        <w:rPr>
          <w:rFonts w:hint="eastAsia" w:asciiTheme="minorEastAsia" w:hAnsiTheme="minorEastAsia" w:eastAsiaTheme="minorEastAsia" w:cstheme="minorEastAsia"/>
          <w:bCs/>
          <w:kern w:val="0"/>
          <w:szCs w:val="20"/>
        </w:rPr>
        <w:t>施工场地或周围环境污染</w:t>
      </w:r>
      <w:r>
        <w:rPr>
          <w:rFonts w:hint="eastAsia" w:asciiTheme="minorEastAsia" w:hAnsiTheme="minorEastAsia" w:eastAsiaTheme="minorEastAsia" w:cstheme="minorEastAsia"/>
          <w:bCs/>
          <w:kern w:val="0"/>
          <w:szCs w:val="20"/>
          <w:lang w:val="en-US" w:eastAsia="zh-CN"/>
        </w:rPr>
        <w:t>的责任</w:t>
      </w:r>
      <w:r>
        <w:rPr>
          <w:rFonts w:hint="eastAsia" w:asciiTheme="minorEastAsia" w:hAnsiTheme="minorEastAsia" w:eastAsiaTheme="minorEastAsia" w:cstheme="minorEastAsia"/>
          <w:bCs/>
          <w:kern w:val="0"/>
          <w:szCs w:val="20"/>
        </w:rPr>
        <w:t>；</w:t>
      </w:r>
    </w:p>
    <w:p>
      <w:pPr>
        <w:numPr>
          <w:ilvl w:val="2"/>
          <w:numId w:val="1"/>
        </w:numPr>
        <w:tabs>
          <w:tab w:val="left" w:pos="1920"/>
        </w:tabs>
        <w:autoSpaceDE w:val="0"/>
        <w:autoSpaceDN w:val="0"/>
        <w:adjustRightInd w:val="0"/>
        <w:spacing w:before="120" w:after="120" w:afterLines="50"/>
        <w:outlineLvl w:val="2"/>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项目公司在工程建设期应采取一切合理措施来避免或尽量减少对周围建筑物和居民区的干扰；</w:t>
      </w:r>
    </w:p>
    <w:p>
      <w:pPr>
        <w:numPr>
          <w:ilvl w:val="2"/>
          <w:numId w:val="1"/>
        </w:numPr>
        <w:tabs>
          <w:tab w:val="left" w:pos="1920"/>
        </w:tabs>
        <w:autoSpaceDE w:val="0"/>
        <w:autoSpaceDN w:val="0"/>
        <w:adjustRightInd w:val="0"/>
        <w:spacing w:before="120" w:after="120" w:afterLines="50"/>
        <w:outlineLvl w:val="2"/>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对本合同生效日前已经存在或潜在的，且因第三方的作为或不作为引起的环境污染及安全隐患，项目公司不承担责任。</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588" w:name="_Toc5332"/>
      <w:bookmarkStart w:id="589" w:name="_Toc30225"/>
      <w:bookmarkStart w:id="590" w:name="_Toc26223"/>
      <w:r>
        <w:rPr>
          <w:rFonts w:hint="eastAsia" w:asciiTheme="minorEastAsia" w:hAnsiTheme="minorEastAsia" w:eastAsiaTheme="minorEastAsia" w:cstheme="minorEastAsia"/>
          <w:color w:val="auto"/>
        </w:rPr>
        <w:t>监理</w:t>
      </w:r>
      <w:bookmarkEnd w:id="583"/>
      <w:bookmarkEnd w:id="588"/>
      <w:r>
        <w:rPr>
          <w:rFonts w:hint="eastAsia" w:asciiTheme="minorEastAsia" w:hAnsiTheme="minorEastAsia" w:eastAsiaTheme="minorEastAsia" w:cstheme="minorEastAsia"/>
          <w:color w:val="auto"/>
          <w:lang w:val="en-US" w:eastAsia="zh-CN"/>
        </w:rPr>
        <w:t>或全过程项目管理</w:t>
      </w:r>
      <w:bookmarkEnd w:id="589"/>
      <w:bookmarkEnd w:id="590"/>
    </w:p>
    <w:p>
      <w:pPr>
        <w:pStyle w:val="5"/>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对于项目监理单位（全过程项目管理单位，以下凡以“监理、监理单位”均表达“监理或全过程项目管理”之含义内容）的确定，由市城管局通过法定程序选择项目供应商单位，由市城管局、项目公司、供应商单位签订三方合同，明确各方的权利义务关系。监理单位对项目建设质量、进度等进行全程监理，所发生的相关费用由项目公司承担，并计入项目总投资。</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项目公司应在每月的十（10）日前向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提交上个月项目的工程进度报告和监理</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lang w:val="en-US" w:eastAsia="zh-CN"/>
        </w:rPr>
        <w:t>或全过程项目管理，下同</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月报。</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项目公司依第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_Ref447621482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7.9</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条款向监理公司</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lang w:val="en-US" w:eastAsia="zh-CN"/>
        </w:rPr>
        <w:t>或全过程项目管理单位，下同</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提出工程变更申请后，经监理工程师</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lang w:val="en-US" w:eastAsia="zh-CN"/>
        </w:rPr>
        <w:t>或全过程项目管理师，下同</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审核、</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批准后方可组织实施。</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591" w:name="_变更"/>
      <w:bookmarkEnd w:id="591"/>
      <w:bookmarkStart w:id="592" w:name="_Ref447620852"/>
      <w:bookmarkStart w:id="593" w:name="_Toc14133"/>
      <w:bookmarkStart w:id="594" w:name="_Ref447621430"/>
      <w:bookmarkStart w:id="595" w:name="_Ref447621482"/>
      <w:bookmarkStart w:id="596" w:name="_Ref447621509"/>
      <w:bookmarkStart w:id="597" w:name="_Toc13327"/>
      <w:bookmarkStart w:id="598" w:name="_Toc24223"/>
      <w:r>
        <w:rPr>
          <w:rFonts w:hint="eastAsia" w:asciiTheme="minorEastAsia" w:hAnsiTheme="minorEastAsia" w:eastAsiaTheme="minorEastAsia" w:cstheme="minorEastAsia"/>
          <w:color w:val="auto"/>
        </w:rPr>
        <w:t>变更</w:t>
      </w:r>
      <w:bookmarkEnd w:id="592"/>
      <w:bookmarkEnd w:id="593"/>
      <w:bookmarkEnd w:id="594"/>
      <w:bookmarkEnd w:id="595"/>
      <w:bookmarkEnd w:id="596"/>
      <w:bookmarkEnd w:id="597"/>
      <w:bookmarkEnd w:id="598"/>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变更条件</w:t>
      </w:r>
    </w:p>
    <w:p>
      <w:pPr>
        <w:pStyle w:val="6"/>
        <w:numPr>
          <w:ilvl w:val="0"/>
          <w:numId w:val="0"/>
        </w:numPr>
        <w:ind w:left="600"/>
        <w:rPr>
          <w:rFonts w:hint="eastAsia" w:asciiTheme="minorEastAsia" w:hAnsiTheme="minorEastAsia" w:eastAsiaTheme="minorEastAsia" w:cstheme="minorEastAsia"/>
        </w:rPr>
      </w:pPr>
      <w:r>
        <w:rPr>
          <w:rFonts w:hint="eastAsia" w:asciiTheme="minorEastAsia" w:hAnsiTheme="minorEastAsia" w:eastAsiaTheme="minorEastAsia" w:cstheme="minorEastAsia"/>
        </w:rPr>
        <w:t>工程变更是指在建设过程中对合同约定的工程进度、数量和标准等方面的变更。</w:t>
      </w:r>
    </w:p>
    <w:p>
      <w:pPr>
        <w:pStyle w:val="5"/>
        <w:rPr>
          <w:rFonts w:hint="eastAsia" w:asciiTheme="minorEastAsia" w:hAnsiTheme="minorEastAsia" w:eastAsiaTheme="minorEastAsia" w:cstheme="minorEastAsia"/>
          <w:color w:val="auto"/>
        </w:rPr>
      </w:pPr>
      <w:bookmarkStart w:id="599" w:name="_在建设期内，以下列条件之一为前提，项目公司可以向监理公司以递交建议书的"/>
      <w:bookmarkEnd w:id="599"/>
      <w:bookmarkStart w:id="600" w:name="_Ref326581122"/>
      <w:r>
        <w:rPr>
          <w:rFonts w:hint="eastAsia" w:asciiTheme="minorEastAsia" w:hAnsiTheme="minorEastAsia" w:eastAsiaTheme="minorEastAsia" w:cstheme="minorEastAsia"/>
          <w:color w:val="auto"/>
        </w:rPr>
        <w:t>在建设期内，以下列条件之一为前提，项目公司可以向监理公司以递交建议书的方式提出工程变更申请，并应同时提供相应的证明材料：</w:t>
      </w:r>
      <w:bookmarkEnd w:id="600"/>
    </w:p>
    <w:p>
      <w:pPr>
        <w:numPr>
          <w:ilvl w:val="3"/>
          <w:numId w:val="1"/>
        </w:numPr>
        <w:autoSpaceDE w:val="0"/>
        <w:autoSpaceDN w:val="0"/>
        <w:adjustRightInd w:val="0"/>
        <w:spacing w:before="120" w:after="120" w:afterLines="50"/>
        <w:outlineLvl w:val="3"/>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缩短工程进度</w:t>
      </w:r>
      <w:r>
        <w:rPr>
          <w:rFonts w:hint="eastAsia" w:asciiTheme="minorEastAsia" w:hAnsiTheme="minorEastAsia" w:eastAsiaTheme="minorEastAsia" w:cstheme="minorEastAsia"/>
          <w:bCs/>
          <w:kern w:val="0"/>
          <w:szCs w:val="20"/>
          <w:lang w:eastAsia="zh-CN"/>
        </w:rPr>
        <w:t>；</w:t>
      </w:r>
    </w:p>
    <w:p>
      <w:pPr>
        <w:numPr>
          <w:ilvl w:val="3"/>
          <w:numId w:val="1"/>
        </w:numPr>
        <w:autoSpaceDE w:val="0"/>
        <w:autoSpaceDN w:val="0"/>
        <w:adjustRightInd w:val="0"/>
        <w:spacing w:before="120" w:after="120" w:afterLines="50"/>
        <w:outlineLvl w:val="3"/>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提高工程标准</w:t>
      </w:r>
      <w:r>
        <w:rPr>
          <w:rFonts w:hint="eastAsia" w:asciiTheme="minorEastAsia" w:hAnsiTheme="minorEastAsia" w:eastAsiaTheme="minorEastAsia" w:cstheme="minorEastAsia"/>
          <w:bCs/>
          <w:kern w:val="0"/>
          <w:szCs w:val="20"/>
          <w:lang w:eastAsia="zh-CN"/>
        </w:rPr>
        <w:t>；</w:t>
      </w:r>
    </w:p>
    <w:p>
      <w:pPr>
        <w:numPr>
          <w:ilvl w:val="3"/>
          <w:numId w:val="1"/>
        </w:numPr>
        <w:autoSpaceDE w:val="0"/>
        <w:autoSpaceDN w:val="0"/>
        <w:adjustRightInd w:val="0"/>
        <w:spacing w:before="120" w:after="120" w:afterLines="50"/>
        <w:outlineLvl w:val="3"/>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节约建设工程费用</w:t>
      </w:r>
      <w:r>
        <w:rPr>
          <w:rFonts w:hint="eastAsia" w:asciiTheme="minorEastAsia" w:hAnsiTheme="minorEastAsia" w:eastAsiaTheme="minorEastAsia" w:cstheme="minorEastAsia"/>
          <w:bCs/>
          <w:kern w:val="0"/>
          <w:szCs w:val="20"/>
          <w:lang w:eastAsia="zh-CN"/>
        </w:rPr>
        <w:t>；</w:t>
      </w:r>
    </w:p>
    <w:p>
      <w:pPr>
        <w:numPr>
          <w:ilvl w:val="3"/>
          <w:numId w:val="1"/>
        </w:numPr>
        <w:autoSpaceDE w:val="0"/>
        <w:autoSpaceDN w:val="0"/>
        <w:adjustRightInd w:val="0"/>
        <w:spacing w:before="120" w:after="120" w:afterLines="50"/>
        <w:outlineLvl w:val="3"/>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解决施工难题</w:t>
      </w:r>
      <w:r>
        <w:rPr>
          <w:rFonts w:hint="eastAsia" w:asciiTheme="minorEastAsia" w:hAnsiTheme="minorEastAsia" w:eastAsiaTheme="minorEastAsia" w:cstheme="minorEastAsia"/>
          <w:bCs/>
          <w:kern w:val="0"/>
          <w:szCs w:val="20"/>
          <w:lang w:val="en-US" w:eastAsia="zh-CN"/>
        </w:rPr>
        <w:t>等。</w:t>
      </w:r>
    </w:p>
    <w:p>
      <w:pPr>
        <w:pStyle w:val="5"/>
        <w:rPr>
          <w:rFonts w:hint="eastAsia" w:asciiTheme="minorEastAsia" w:hAnsiTheme="minorEastAsia" w:eastAsiaTheme="minorEastAsia" w:cstheme="minorEastAsia"/>
          <w:color w:val="auto"/>
        </w:rPr>
      </w:pPr>
      <w:bookmarkStart w:id="601" w:name="_在建设期内，若发生法律变更需要对工程进行工程变更，则项目公司应在得知法"/>
      <w:bookmarkEnd w:id="601"/>
      <w:bookmarkStart w:id="602" w:name="_Ref326581128"/>
      <w:r>
        <w:rPr>
          <w:rFonts w:hint="eastAsia" w:asciiTheme="minorEastAsia" w:hAnsiTheme="minorEastAsia" w:eastAsiaTheme="minorEastAsia" w:cstheme="minorEastAsia"/>
          <w:color w:val="auto"/>
        </w:rPr>
        <w:t>在建设期内，若发生变更需要对工程进行工程变更，则项目公司应在得知法律变更事项后五（5）个工作日内向监理公司</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lang w:val="en-US" w:eastAsia="zh-CN"/>
        </w:rPr>
        <w:t>或全过程项目管理单位，下同</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提出工程变更申请。</w:t>
      </w:r>
      <w:bookmarkEnd w:id="602"/>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变更程序</w:t>
      </w:r>
    </w:p>
    <w:p>
      <w:pPr>
        <w:numPr>
          <w:ilvl w:val="3"/>
          <w:numId w:val="1"/>
        </w:numPr>
        <w:autoSpaceDE w:val="0"/>
        <w:autoSpaceDN w:val="0"/>
        <w:adjustRightInd w:val="0"/>
        <w:spacing w:before="120" w:after="120" w:afterLines="50"/>
        <w:outlineLvl w:val="3"/>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项目公司按照上述第</w:t>
      </w:r>
      <w:r>
        <w:rPr>
          <w:rFonts w:hint="eastAsia" w:asciiTheme="minorEastAsia" w:hAnsiTheme="minorEastAsia" w:eastAsiaTheme="minorEastAsia" w:cstheme="minorEastAsia"/>
          <w:bCs/>
          <w:kern w:val="0"/>
          <w:szCs w:val="20"/>
        </w:rPr>
        <w:fldChar w:fldCharType="begin"/>
      </w:r>
      <w:r>
        <w:rPr>
          <w:rFonts w:hint="eastAsia" w:asciiTheme="minorEastAsia" w:hAnsiTheme="minorEastAsia" w:eastAsiaTheme="minorEastAsia" w:cstheme="minorEastAsia"/>
          <w:bCs/>
          <w:kern w:val="0"/>
          <w:szCs w:val="20"/>
        </w:rPr>
        <w:instrText xml:space="preserve"> REF _Ref326581122 \r \h  \* MERGEFORMAT </w:instrText>
      </w:r>
      <w:r>
        <w:rPr>
          <w:rFonts w:hint="eastAsia" w:asciiTheme="minorEastAsia" w:hAnsiTheme="minorEastAsia" w:eastAsiaTheme="minorEastAsia" w:cstheme="minorEastAsia"/>
          <w:bCs/>
          <w:kern w:val="0"/>
          <w:szCs w:val="20"/>
        </w:rPr>
        <w:fldChar w:fldCharType="separate"/>
      </w:r>
      <w:r>
        <w:rPr>
          <w:rFonts w:hint="eastAsia" w:asciiTheme="minorEastAsia" w:hAnsiTheme="minorEastAsia" w:eastAsiaTheme="minorEastAsia" w:cstheme="minorEastAsia"/>
          <w:bCs/>
          <w:kern w:val="0"/>
          <w:szCs w:val="20"/>
        </w:rPr>
        <w:t>7.9.3</w:t>
      </w:r>
      <w:r>
        <w:rPr>
          <w:rFonts w:hint="eastAsia" w:asciiTheme="minorEastAsia" w:hAnsiTheme="minorEastAsia" w:eastAsiaTheme="minorEastAsia" w:cstheme="minorEastAsia"/>
          <w:bCs/>
          <w:kern w:val="0"/>
          <w:szCs w:val="20"/>
        </w:rPr>
        <w:fldChar w:fldCharType="end"/>
      </w:r>
      <w:r>
        <w:rPr>
          <w:rFonts w:hint="eastAsia" w:asciiTheme="minorEastAsia" w:hAnsiTheme="minorEastAsia" w:eastAsiaTheme="minorEastAsia" w:cstheme="minorEastAsia"/>
          <w:bCs/>
          <w:kern w:val="0"/>
          <w:szCs w:val="20"/>
        </w:rPr>
        <w:t>条款或第</w:t>
      </w:r>
      <w:r>
        <w:rPr>
          <w:rFonts w:hint="eastAsia" w:asciiTheme="minorEastAsia" w:hAnsiTheme="minorEastAsia" w:eastAsiaTheme="minorEastAsia" w:cstheme="minorEastAsia"/>
          <w:bCs/>
          <w:kern w:val="0"/>
          <w:szCs w:val="20"/>
        </w:rPr>
        <w:fldChar w:fldCharType="begin"/>
      </w:r>
      <w:r>
        <w:rPr>
          <w:rFonts w:hint="eastAsia" w:asciiTheme="minorEastAsia" w:hAnsiTheme="minorEastAsia" w:eastAsiaTheme="minorEastAsia" w:cstheme="minorEastAsia"/>
          <w:bCs/>
          <w:kern w:val="0"/>
          <w:szCs w:val="20"/>
        </w:rPr>
        <w:instrText xml:space="preserve"> REF _Ref326581128 \r \h  \* MERGEFORMAT </w:instrText>
      </w:r>
      <w:r>
        <w:rPr>
          <w:rFonts w:hint="eastAsia" w:asciiTheme="minorEastAsia" w:hAnsiTheme="minorEastAsia" w:eastAsiaTheme="minorEastAsia" w:cstheme="minorEastAsia"/>
          <w:bCs/>
          <w:kern w:val="0"/>
          <w:szCs w:val="20"/>
        </w:rPr>
        <w:fldChar w:fldCharType="separate"/>
      </w:r>
      <w:r>
        <w:rPr>
          <w:rFonts w:hint="eastAsia" w:asciiTheme="minorEastAsia" w:hAnsiTheme="minorEastAsia" w:eastAsiaTheme="minorEastAsia" w:cstheme="minorEastAsia"/>
          <w:bCs/>
          <w:kern w:val="0"/>
          <w:szCs w:val="20"/>
        </w:rPr>
        <w:t>7.9.4</w:t>
      </w:r>
      <w:r>
        <w:rPr>
          <w:rFonts w:hint="eastAsia" w:asciiTheme="minorEastAsia" w:hAnsiTheme="minorEastAsia" w:eastAsiaTheme="minorEastAsia" w:cstheme="minorEastAsia"/>
          <w:bCs/>
          <w:kern w:val="0"/>
          <w:szCs w:val="20"/>
        </w:rPr>
        <w:fldChar w:fldCharType="end"/>
      </w:r>
      <w:r>
        <w:rPr>
          <w:rFonts w:hint="eastAsia" w:asciiTheme="minorEastAsia" w:hAnsiTheme="minorEastAsia" w:eastAsiaTheme="minorEastAsia" w:cstheme="minorEastAsia"/>
          <w:bCs/>
          <w:kern w:val="0"/>
          <w:szCs w:val="20"/>
        </w:rPr>
        <w:t>条款提出工程变更申请时，应向</w:t>
      </w:r>
      <w:r>
        <w:rPr>
          <w:rFonts w:hint="eastAsia" w:asciiTheme="minorEastAsia" w:hAnsiTheme="minorEastAsia" w:eastAsiaTheme="minorEastAsia" w:cstheme="minorEastAsia"/>
          <w:bCs/>
          <w:kern w:val="0"/>
          <w:szCs w:val="20"/>
          <w:lang w:eastAsia="zh-CN"/>
        </w:rPr>
        <w:t>市城管局</w:t>
      </w:r>
      <w:r>
        <w:rPr>
          <w:rFonts w:hint="eastAsia" w:asciiTheme="minorEastAsia" w:hAnsiTheme="minorEastAsia" w:eastAsiaTheme="minorEastAsia" w:cstheme="minorEastAsia"/>
          <w:bCs/>
          <w:kern w:val="0"/>
          <w:szCs w:val="20"/>
        </w:rPr>
        <w:t>和监理工程师同时提交变更文件，包括相应的设计文件以及因此对工程费用和进度造成的影响等；</w:t>
      </w:r>
    </w:p>
    <w:p>
      <w:pPr>
        <w:numPr>
          <w:ilvl w:val="3"/>
          <w:numId w:val="1"/>
        </w:numPr>
        <w:autoSpaceDE w:val="0"/>
        <w:autoSpaceDN w:val="0"/>
        <w:adjustRightInd w:val="0"/>
        <w:spacing w:before="120" w:after="120" w:afterLines="50"/>
        <w:outlineLvl w:val="3"/>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监理公司</w:t>
      </w:r>
      <w:r>
        <w:rPr>
          <w:rFonts w:hint="eastAsia" w:asciiTheme="minorEastAsia" w:hAnsiTheme="minorEastAsia" w:eastAsiaTheme="minorEastAsia" w:cstheme="minorEastAsia"/>
          <w:bCs/>
          <w:kern w:val="0"/>
          <w:szCs w:val="20"/>
          <w:lang w:eastAsia="zh-CN"/>
        </w:rPr>
        <w:t>（</w:t>
      </w:r>
      <w:r>
        <w:rPr>
          <w:rFonts w:hint="eastAsia" w:asciiTheme="minorEastAsia" w:hAnsiTheme="minorEastAsia" w:eastAsiaTheme="minorEastAsia" w:cstheme="minorEastAsia"/>
          <w:color w:val="auto"/>
          <w:lang w:val="en-US" w:eastAsia="zh-CN"/>
        </w:rPr>
        <w:t>或全过程项目管理单位，下同</w:t>
      </w:r>
      <w:r>
        <w:rPr>
          <w:rFonts w:hint="eastAsia" w:asciiTheme="minorEastAsia" w:hAnsiTheme="minorEastAsia" w:eastAsiaTheme="minorEastAsia" w:cstheme="minorEastAsia"/>
          <w:bCs/>
          <w:kern w:val="0"/>
          <w:szCs w:val="20"/>
          <w:lang w:eastAsia="zh-CN"/>
        </w:rPr>
        <w:t>）</w:t>
      </w:r>
      <w:r>
        <w:rPr>
          <w:rFonts w:hint="eastAsia" w:asciiTheme="minorEastAsia" w:hAnsiTheme="minorEastAsia" w:eastAsiaTheme="minorEastAsia" w:cstheme="minorEastAsia"/>
          <w:bCs/>
          <w:kern w:val="0"/>
          <w:szCs w:val="20"/>
        </w:rPr>
        <w:t>在收到变更申请后五（5）个工作日内向</w:t>
      </w:r>
      <w:r>
        <w:rPr>
          <w:rFonts w:hint="eastAsia" w:asciiTheme="minorEastAsia" w:hAnsiTheme="minorEastAsia" w:eastAsiaTheme="minorEastAsia" w:cstheme="minorEastAsia"/>
          <w:bCs/>
          <w:kern w:val="0"/>
          <w:szCs w:val="20"/>
          <w:lang w:eastAsia="zh-CN"/>
        </w:rPr>
        <w:t>市城管局</w:t>
      </w:r>
      <w:r>
        <w:rPr>
          <w:rFonts w:hint="eastAsia" w:asciiTheme="minorEastAsia" w:hAnsiTheme="minorEastAsia" w:eastAsiaTheme="minorEastAsia" w:cstheme="minorEastAsia"/>
          <w:bCs/>
          <w:kern w:val="0"/>
          <w:szCs w:val="20"/>
        </w:rPr>
        <w:t>出具书面意见，</w:t>
      </w:r>
      <w:r>
        <w:rPr>
          <w:rFonts w:hint="eastAsia" w:asciiTheme="minorEastAsia" w:hAnsiTheme="minorEastAsia" w:eastAsiaTheme="minorEastAsia" w:cstheme="minorEastAsia"/>
          <w:bCs/>
          <w:kern w:val="0"/>
          <w:szCs w:val="20"/>
          <w:lang w:eastAsia="zh-CN"/>
        </w:rPr>
        <w:t>市城管局</w:t>
      </w:r>
      <w:r>
        <w:rPr>
          <w:rFonts w:hint="eastAsia" w:asciiTheme="minorEastAsia" w:hAnsiTheme="minorEastAsia" w:eastAsiaTheme="minorEastAsia" w:cstheme="minorEastAsia"/>
          <w:bCs/>
          <w:kern w:val="0"/>
          <w:szCs w:val="20"/>
        </w:rPr>
        <w:t>应在此后五（5）个工作日内对项目公司提交的变更文件予以批准或提出异议，否则即视为</w:t>
      </w:r>
      <w:r>
        <w:rPr>
          <w:rFonts w:hint="eastAsia" w:asciiTheme="minorEastAsia" w:hAnsiTheme="minorEastAsia" w:eastAsiaTheme="minorEastAsia" w:cstheme="minorEastAsia"/>
          <w:bCs/>
          <w:kern w:val="0"/>
          <w:szCs w:val="20"/>
          <w:lang w:eastAsia="zh-CN"/>
        </w:rPr>
        <w:t>市城管局</w:t>
      </w:r>
      <w:r>
        <w:rPr>
          <w:rFonts w:hint="eastAsia" w:asciiTheme="minorEastAsia" w:hAnsiTheme="minorEastAsia" w:eastAsiaTheme="minorEastAsia" w:cstheme="minorEastAsia"/>
          <w:bCs/>
          <w:kern w:val="0"/>
          <w:szCs w:val="20"/>
        </w:rPr>
        <w:t>同意项目公司提交的变更文件；</w:t>
      </w:r>
    </w:p>
    <w:p>
      <w:pPr>
        <w:numPr>
          <w:ilvl w:val="3"/>
          <w:numId w:val="1"/>
        </w:numPr>
        <w:autoSpaceDE w:val="0"/>
        <w:autoSpaceDN w:val="0"/>
        <w:adjustRightInd w:val="0"/>
        <w:spacing w:before="120" w:after="120" w:afterLines="50"/>
        <w:outlineLvl w:val="3"/>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对重大工程变更应按适用法律报原设计审批机构批准；</w:t>
      </w:r>
    </w:p>
    <w:p>
      <w:pPr>
        <w:numPr>
          <w:ilvl w:val="3"/>
          <w:numId w:val="1"/>
        </w:numPr>
        <w:autoSpaceDE w:val="0"/>
        <w:autoSpaceDN w:val="0"/>
        <w:adjustRightInd w:val="0"/>
        <w:spacing w:before="120" w:after="120" w:afterLines="50"/>
        <w:outlineLvl w:val="3"/>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任何工程变更符合第7.9规定的程序和条件后方可实施。</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603" w:name="_Toc9803"/>
      <w:bookmarkStart w:id="604" w:name="_Toc14327"/>
      <w:bookmarkStart w:id="605" w:name="_Toc17944"/>
      <w:bookmarkStart w:id="606" w:name="_Toc411394440"/>
      <w:bookmarkStart w:id="607" w:name="_Toc424760358"/>
      <w:bookmarkStart w:id="608" w:name="_Toc412914207"/>
      <w:bookmarkStart w:id="609" w:name="_Toc239861052"/>
      <w:bookmarkStart w:id="610" w:name="_Toc50860374"/>
      <w:bookmarkStart w:id="611" w:name="_Toc51225624"/>
      <w:bookmarkStart w:id="612" w:name="_Toc515348041"/>
      <w:bookmarkStart w:id="613" w:name="_Toc515679448"/>
      <w:bookmarkStart w:id="614" w:name="_Toc51213946"/>
      <w:bookmarkStart w:id="615" w:name="_Toc48042078"/>
      <w:bookmarkStart w:id="616" w:name="_Toc48120217"/>
      <w:bookmarkStart w:id="617" w:name="_Toc50453953"/>
      <w:bookmarkStart w:id="618" w:name="_Toc50861743"/>
      <w:bookmarkStart w:id="619" w:name="_Toc48101150"/>
      <w:bookmarkStart w:id="620" w:name="_Toc50861879"/>
      <w:bookmarkStart w:id="621" w:name="_Toc1040044"/>
      <w:bookmarkStart w:id="622" w:name="_Toc515966074"/>
      <w:r>
        <w:rPr>
          <w:rFonts w:hint="eastAsia" w:asciiTheme="minorEastAsia" w:hAnsiTheme="minorEastAsia" w:eastAsiaTheme="minorEastAsia" w:cstheme="minorEastAsia"/>
          <w:color w:val="auto"/>
        </w:rPr>
        <w:t>现场监督机构</w:t>
      </w:r>
      <w:bookmarkEnd w:id="603"/>
      <w:bookmarkEnd w:id="604"/>
      <w:bookmarkEnd w:id="605"/>
    </w:p>
    <w:p>
      <w:pPr>
        <w:pStyle w:val="5"/>
        <w:rPr>
          <w:rFonts w:hint="eastAsia" w:asciiTheme="minorEastAsia" w:hAnsiTheme="minorEastAsia" w:eastAsiaTheme="minorEastAsia" w:cstheme="minorEastAsia"/>
          <w:color w:val="auto"/>
        </w:rPr>
      </w:pPr>
      <w:bookmarkStart w:id="623" w:name="_Toc459207565"/>
      <w:bookmarkStart w:id="624" w:name="_Ref458346955"/>
      <w:r>
        <w:rPr>
          <w:rFonts w:hint="eastAsia" w:asciiTheme="minorEastAsia" w:hAnsiTheme="minorEastAsia" w:eastAsiaTheme="minorEastAsia" w:cstheme="minorEastAsia"/>
          <w:color w:val="auto"/>
        </w:rPr>
        <w:t>现场监督机构</w:t>
      </w:r>
      <w:bookmarkEnd w:id="623"/>
      <w:bookmarkEnd w:id="624"/>
    </w:p>
    <w:p>
      <w:pPr>
        <w:spacing w:before="120"/>
        <w:ind w:left="566" w:leftChars="236" w:firstLine="1"/>
        <w:rPr>
          <w:rFonts w:hint="eastAsia" w:asciiTheme="minorEastAsia" w:hAnsiTheme="minorEastAsia" w:eastAsiaTheme="minorEastAsia" w:cstheme="minorEastAsia"/>
        </w:rPr>
      </w:pPr>
      <w:r>
        <w:rPr>
          <w:rFonts w:hint="eastAsia" w:asciiTheme="minorEastAsia" w:hAnsiTheme="minorEastAsia" w:eastAsiaTheme="minorEastAsia" w:cstheme="minorEastAsia"/>
        </w:rPr>
        <w:t>现场监督机构是指由</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根据项目实际情况成立的（非必须或被要求）现场监督机构或指定的相关职能部门。</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现场监督机构权利及职责</w:t>
      </w:r>
    </w:p>
    <w:p>
      <w:pPr>
        <w:numPr>
          <w:ilvl w:val="3"/>
          <w:numId w:val="1"/>
        </w:numPr>
        <w:autoSpaceDE w:val="0"/>
        <w:autoSpaceDN w:val="0"/>
        <w:adjustRightInd w:val="0"/>
        <w:spacing w:before="120" w:after="120" w:afterLines="50"/>
        <w:outlineLvl w:val="3"/>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将本项目设计变更、工程方案等报相关行政主管部门确认</w:t>
      </w:r>
      <w:r>
        <w:rPr>
          <w:rFonts w:hint="eastAsia" w:asciiTheme="minorEastAsia" w:hAnsiTheme="minorEastAsia" w:eastAsiaTheme="minorEastAsia" w:cstheme="minorEastAsia"/>
          <w:bCs/>
          <w:kern w:val="0"/>
          <w:szCs w:val="20"/>
          <w:lang w:eastAsia="zh-CN"/>
        </w:rPr>
        <w:t>，</w:t>
      </w:r>
      <w:r>
        <w:rPr>
          <w:rFonts w:hint="eastAsia" w:asciiTheme="minorEastAsia" w:hAnsiTheme="minorEastAsia" w:eastAsiaTheme="minorEastAsia" w:cstheme="minorEastAsia"/>
          <w:bCs/>
          <w:kern w:val="0"/>
          <w:szCs w:val="20"/>
        </w:rPr>
        <w:t>对项目公司的建设行为进行必要的监督和管理。</w:t>
      </w:r>
    </w:p>
    <w:p>
      <w:pPr>
        <w:numPr>
          <w:ilvl w:val="3"/>
          <w:numId w:val="1"/>
        </w:numPr>
        <w:autoSpaceDE w:val="0"/>
        <w:autoSpaceDN w:val="0"/>
        <w:adjustRightInd w:val="0"/>
        <w:spacing w:before="120" w:after="120" w:afterLines="50"/>
        <w:outlineLvl w:val="3"/>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对建设期选定监理</w:t>
      </w:r>
      <w:r>
        <w:rPr>
          <w:rFonts w:hint="eastAsia" w:asciiTheme="minorEastAsia" w:hAnsiTheme="minorEastAsia" w:eastAsiaTheme="minorEastAsia" w:cstheme="minorEastAsia"/>
          <w:bCs/>
          <w:kern w:val="0"/>
          <w:szCs w:val="20"/>
          <w:lang w:eastAsia="zh-CN"/>
        </w:rPr>
        <w:t>（</w:t>
      </w:r>
      <w:r>
        <w:rPr>
          <w:rFonts w:hint="eastAsia" w:asciiTheme="minorEastAsia" w:hAnsiTheme="minorEastAsia" w:eastAsiaTheme="minorEastAsia" w:cstheme="minorEastAsia"/>
          <w:color w:val="auto"/>
          <w:lang w:val="en-US" w:eastAsia="zh-CN"/>
        </w:rPr>
        <w:t>或全过程项目管理单位</w:t>
      </w:r>
      <w:r>
        <w:rPr>
          <w:rFonts w:hint="eastAsia" w:asciiTheme="minorEastAsia" w:hAnsiTheme="minorEastAsia" w:eastAsiaTheme="minorEastAsia" w:cstheme="minorEastAsia"/>
          <w:bCs/>
          <w:kern w:val="0"/>
          <w:szCs w:val="20"/>
          <w:lang w:eastAsia="zh-CN"/>
        </w:rPr>
        <w:t>）</w:t>
      </w:r>
      <w:r>
        <w:rPr>
          <w:rFonts w:hint="eastAsia" w:asciiTheme="minorEastAsia" w:hAnsiTheme="minorEastAsia" w:eastAsiaTheme="minorEastAsia" w:cstheme="minorEastAsia"/>
          <w:bCs/>
          <w:kern w:val="0"/>
          <w:szCs w:val="20"/>
        </w:rPr>
        <w:t>、试验检测、桩基检测、监控、工程保险等单位时进行全过程监督，并对选定过程中存在的不合理因素进行纠正。</w:t>
      </w:r>
    </w:p>
    <w:p>
      <w:pPr>
        <w:numPr>
          <w:ilvl w:val="3"/>
          <w:numId w:val="1"/>
        </w:numPr>
        <w:autoSpaceDE w:val="0"/>
        <w:autoSpaceDN w:val="0"/>
        <w:adjustRightInd w:val="0"/>
        <w:spacing w:before="120" w:after="120" w:afterLines="50"/>
        <w:outlineLvl w:val="3"/>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对项目公司建设期的每期工程计量支付款进行审核、确认，并对支付时效进行监督和管理。</w:t>
      </w:r>
    </w:p>
    <w:p>
      <w:pPr>
        <w:numPr>
          <w:ilvl w:val="3"/>
          <w:numId w:val="1"/>
        </w:numPr>
        <w:autoSpaceDE w:val="0"/>
        <w:autoSpaceDN w:val="0"/>
        <w:adjustRightInd w:val="0"/>
        <w:spacing w:before="120" w:after="120" w:afterLines="50"/>
        <w:outlineLvl w:val="3"/>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lang w:eastAsia="zh-CN"/>
        </w:rPr>
        <w:t>市城管局</w:t>
      </w:r>
      <w:r>
        <w:rPr>
          <w:rFonts w:hint="eastAsia" w:asciiTheme="minorEastAsia" w:hAnsiTheme="minorEastAsia" w:eastAsiaTheme="minorEastAsia" w:cstheme="minorEastAsia"/>
          <w:bCs/>
          <w:kern w:val="0"/>
          <w:szCs w:val="20"/>
        </w:rPr>
        <w:t>或现场监督机构对项目公司及</w:t>
      </w:r>
      <w:r>
        <w:rPr>
          <w:rFonts w:hint="eastAsia" w:asciiTheme="minorEastAsia" w:hAnsiTheme="minorEastAsia" w:eastAsiaTheme="minorEastAsia" w:cstheme="minorEastAsia"/>
          <w:bCs/>
          <w:kern w:val="0"/>
          <w:szCs w:val="20"/>
          <w:lang w:val="en-US" w:eastAsia="zh-CN"/>
        </w:rPr>
        <w:t>中标社会资本</w:t>
      </w:r>
      <w:r>
        <w:rPr>
          <w:rFonts w:hint="eastAsia" w:asciiTheme="minorEastAsia" w:hAnsiTheme="minorEastAsia" w:eastAsiaTheme="minorEastAsia" w:cstheme="minorEastAsia"/>
          <w:bCs/>
          <w:kern w:val="0"/>
          <w:szCs w:val="20"/>
        </w:rPr>
        <w:t>方进行履约考核，履约考核结果提交上级行政主管部门。</w:t>
      </w:r>
    </w:p>
    <w:p>
      <w:pPr>
        <w:numPr>
          <w:ilvl w:val="3"/>
          <w:numId w:val="1"/>
        </w:numPr>
        <w:autoSpaceDE w:val="0"/>
        <w:autoSpaceDN w:val="0"/>
        <w:adjustRightInd w:val="0"/>
        <w:spacing w:before="120" w:after="120" w:afterLines="50"/>
        <w:outlineLvl w:val="3"/>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其他约定的权</w:t>
      </w:r>
      <w:r>
        <w:rPr>
          <w:rFonts w:hint="eastAsia" w:asciiTheme="minorEastAsia" w:hAnsiTheme="minorEastAsia" w:eastAsiaTheme="minorEastAsia" w:cstheme="minorEastAsia"/>
          <w:bCs/>
          <w:kern w:val="0"/>
          <w:szCs w:val="20"/>
          <w:lang w:val="en-US" w:eastAsia="zh-CN"/>
        </w:rPr>
        <w:t>利</w:t>
      </w:r>
      <w:r>
        <w:rPr>
          <w:rFonts w:hint="eastAsia" w:asciiTheme="minorEastAsia" w:hAnsiTheme="minorEastAsia" w:eastAsiaTheme="minorEastAsia" w:cstheme="minorEastAsia"/>
          <w:bCs/>
          <w:kern w:val="0"/>
          <w:szCs w:val="20"/>
        </w:rPr>
        <w:t>。</w:t>
      </w:r>
    </w:p>
    <w:p>
      <w:pPr>
        <w:numPr>
          <w:ilvl w:val="3"/>
          <w:numId w:val="1"/>
        </w:numPr>
        <w:autoSpaceDE w:val="0"/>
        <w:autoSpaceDN w:val="0"/>
        <w:adjustRightInd w:val="0"/>
        <w:spacing w:before="120" w:after="120" w:afterLines="50"/>
        <w:outlineLvl w:val="3"/>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负责</w:t>
      </w:r>
      <w:r>
        <w:rPr>
          <w:rFonts w:hint="eastAsia" w:asciiTheme="minorEastAsia" w:hAnsiTheme="minorEastAsia" w:eastAsiaTheme="minorEastAsia" w:cstheme="minorEastAsia"/>
          <w:bCs/>
          <w:kern w:val="0"/>
          <w:szCs w:val="20"/>
          <w:lang w:val="en-US" w:eastAsia="zh-CN"/>
        </w:rPr>
        <w:t>向</w:t>
      </w:r>
      <w:r>
        <w:rPr>
          <w:rFonts w:hint="eastAsia" w:asciiTheme="minorEastAsia" w:hAnsiTheme="minorEastAsia" w:eastAsiaTheme="minorEastAsia" w:cstheme="minorEastAsia"/>
          <w:bCs/>
          <w:kern w:val="0"/>
          <w:szCs w:val="20"/>
        </w:rPr>
        <w:t>政府审计部门</w:t>
      </w:r>
      <w:r>
        <w:rPr>
          <w:rFonts w:hint="eastAsia" w:asciiTheme="minorEastAsia" w:hAnsiTheme="minorEastAsia" w:eastAsiaTheme="minorEastAsia" w:cstheme="minorEastAsia"/>
          <w:bCs/>
          <w:kern w:val="0"/>
          <w:szCs w:val="20"/>
          <w:lang w:val="en-US" w:eastAsia="zh-CN"/>
        </w:rPr>
        <w:t>申报</w:t>
      </w:r>
      <w:r>
        <w:rPr>
          <w:rFonts w:hint="eastAsia" w:asciiTheme="minorEastAsia" w:hAnsiTheme="minorEastAsia" w:eastAsiaTheme="minorEastAsia" w:cstheme="minorEastAsia"/>
          <w:bCs/>
          <w:kern w:val="0"/>
          <w:szCs w:val="20"/>
        </w:rPr>
        <w:t>进行工程</w:t>
      </w:r>
      <w:r>
        <w:rPr>
          <w:rFonts w:hint="eastAsia" w:asciiTheme="minorEastAsia" w:hAnsiTheme="minorEastAsia" w:eastAsiaTheme="minorEastAsia" w:cstheme="minorEastAsia"/>
          <w:bCs/>
          <w:kern w:val="0"/>
          <w:szCs w:val="20"/>
          <w:highlight w:val="none"/>
        </w:rPr>
        <w:t>跟踪审计</w:t>
      </w:r>
      <w:r>
        <w:rPr>
          <w:rFonts w:hint="eastAsia" w:asciiTheme="minorEastAsia" w:hAnsiTheme="minorEastAsia" w:eastAsiaTheme="minorEastAsia" w:cstheme="minorEastAsia"/>
          <w:bCs/>
          <w:kern w:val="0"/>
          <w:szCs w:val="20"/>
        </w:rPr>
        <w:t>，同步按月完成过程审计文件。</w:t>
      </w:r>
    </w:p>
    <w:p>
      <w:pPr>
        <w:numPr>
          <w:ilvl w:val="3"/>
          <w:numId w:val="1"/>
        </w:numPr>
        <w:autoSpaceDE w:val="0"/>
        <w:autoSpaceDN w:val="0"/>
        <w:adjustRightInd w:val="0"/>
        <w:spacing w:before="120" w:after="120" w:afterLines="50"/>
        <w:outlineLvl w:val="3"/>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协助项目公司办理工程前期手续及协调处理地方事宜。</w:t>
      </w:r>
    </w:p>
    <w:p>
      <w:pPr>
        <w:numPr>
          <w:ilvl w:val="3"/>
          <w:numId w:val="1"/>
        </w:numPr>
        <w:autoSpaceDE w:val="0"/>
        <w:autoSpaceDN w:val="0"/>
        <w:adjustRightInd w:val="0"/>
        <w:spacing w:before="120" w:after="120" w:afterLines="50"/>
        <w:outlineLvl w:val="3"/>
        <w:rPr>
          <w:rFonts w:hint="eastAsia" w:asciiTheme="minorEastAsia" w:hAnsiTheme="minorEastAsia" w:eastAsiaTheme="minorEastAsia" w:cstheme="minorEastAsia"/>
          <w:bCs/>
          <w:kern w:val="0"/>
          <w:szCs w:val="20"/>
        </w:rPr>
      </w:pPr>
      <w:r>
        <w:rPr>
          <w:rFonts w:hint="eastAsia" w:asciiTheme="minorEastAsia" w:hAnsiTheme="minorEastAsia" w:eastAsiaTheme="minorEastAsia" w:cstheme="minorEastAsia"/>
          <w:bCs/>
          <w:kern w:val="0"/>
          <w:szCs w:val="20"/>
        </w:rPr>
        <w:t>负责开工前提供工程地质和地下管线的资料，提供水准点、坐标控制点及有关参照物和数据，并现场交底</w:t>
      </w:r>
      <w:r>
        <w:rPr>
          <w:rFonts w:hint="eastAsia" w:asciiTheme="minorEastAsia" w:hAnsiTheme="minorEastAsia" w:eastAsiaTheme="minorEastAsia" w:cstheme="minorEastAsia"/>
          <w:bCs/>
          <w:kern w:val="0"/>
          <w:szCs w:val="20"/>
          <w:lang w:val="en-US" w:eastAsia="zh-CN"/>
        </w:rPr>
        <w:t>等</w:t>
      </w:r>
      <w:r>
        <w:rPr>
          <w:rFonts w:hint="eastAsia" w:asciiTheme="minorEastAsia" w:hAnsiTheme="minorEastAsia" w:eastAsiaTheme="minorEastAsia" w:cstheme="minorEastAsia"/>
          <w:bCs/>
          <w:kern w:val="0"/>
          <w:szCs w:val="20"/>
        </w:rPr>
        <w:t>。</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625" w:name="_Toc18634"/>
      <w:bookmarkStart w:id="626" w:name="_Toc23089"/>
      <w:bookmarkStart w:id="627" w:name="_Toc26366"/>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/现场监督机构的监督和检</w:t>
      </w:r>
      <w:bookmarkEnd w:id="606"/>
      <w:bookmarkEnd w:id="607"/>
      <w:bookmarkEnd w:id="608"/>
      <w:r>
        <w:rPr>
          <w:rFonts w:hint="eastAsia" w:asciiTheme="minorEastAsia" w:hAnsiTheme="minorEastAsia" w:eastAsiaTheme="minorEastAsia" w:cstheme="minorEastAsia"/>
          <w:color w:val="auto"/>
        </w:rPr>
        <w:t>查</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5"/>
      <w:bookmarkEnd w:id="626"/>
      <w:bookmarkEnd w:id="627"/>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项目公司应在签署、取得或完成下列文件后十（10）日内，将下列有关施工文件的复印件（项目公司必须在该复印件上盖章并书面确认与原件核对无误）报送</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/现场监督机构备案：</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同施工单位签订的工程建设施工合同和详细的工程建设计划；</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经建设行政主管部门批准的施工图、施工图审查意见和建设工程施工许可证；</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工程投资计划执行情况报告、统计报表及汇报资料；</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选择分包商的招标文件（如有）；</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同监理机构签订的监理合同和监理计划；</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竣工资料。</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施工现场的监督和检查</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/现场监督机构有权在不影响建设进度的情况下对项目工程的施工情况进行检查，项目公司应当派代表陪同。若项目公司未能派代表参加，</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/现场监督机构仍可以对项目的建设情况进行监督和检查。</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项目公司应当提供或责成施工单位提供</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/现场监督机构进入项目场地的便利条件，并对</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/现场监督机构与实施本合同项下监督和检查有关的合理要求予以最大限度的必要协助。</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/现场监督机构对建设工程的监督和检查不影响也不能替代其他政府部门依法对建设工程的监督和检查。</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有关检查的资料</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项目公司应当提供或责成建设施工单位提供</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/现场监督机构进行检查所需的，与特定的检查目的相关的所有方案、设计、文件和资料的复印件，项目公司必须在该复印件上盖章并书面确认与原件核对无误。</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对保密或专有资料的任何检查应遵照第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_Ref447621532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24.2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条的保密规定。</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628" w:name="_Toc31413"/>
      <w:bookmarkStart w:id="629" w:name="_Toc7443"/>
      <w:bookmarkStart w:id="630" w:name="_Toc26640"/>
      <w:r>
        <w:rPr>
          <w:rFonts w:hint="eastAsia" w:asciiTheme="minorEastAsia" w:hAnsiTheme="minorEastAsia" w:eastAsiaTheme="minorEastAsia" w:cstheme="minorEastAsia"/>
          <w:color w:val="auto"/>
        </w:rPr>
        <w:t>不符合质量和/或安全要求</w:t>
      </w:r>
      <w:bookmarkEnd w:id="628"/>
      <w:bookmarkEnd w:id="629"/>
      <w:bookmarkEnd w:id="630"/>
    </w:p>
    <w:p>
      <w:pPr>
        <w:pStyle w:val="5"/>
        <w:rPr>
          <w:rFonts w:hint="eastAsia" w:asciiTheme="minorEastAsia" w:hAnsiTheme="minorEastAsia" w:eastAsiaTheme="minorEastAsia" w:cstheme="minorEastAsia"/>
          <w:color w:val="auto"/>
        </w:rPr>
      </w:pPr>
      <w:bookmarkStart w:id="631" w:name="_市公用局有权在最终完工日之前的任何时间以书面方式通知项目公司严重不符合本协议规"/>
      <w:bookmarkEnd w:id="631"/>
      <w:r>
        <w:rPr>
          <w:rFonts w:hint="eastAsia" w:asciiTheme="minorEastAsia" w:hAnsiTheme="minorEastAsia" w:eastAsiaTheme="minorEastAsia" w:cstheme="minorEastAsia"/>
          <w:color w:val="auto"/>
        </w:rPr>
        <w:t>在项目的设计和建设阶段，</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现场监督机构有权在最终竣工日之前的任何时间以书面方式通知项目公司不符合本合同规定的任何工程、材料或设备并说明不合格的理由，并有权要求项目公司在合理期限内改正工程缺陷或更换合格的材料和设备，产生的费用不得计入项目总投资。</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如果项目公司认为</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/现场监督机构书面通知存在错误，其有权予以说明，并提供相关证据。如项目公司不能证明</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/现场监督机构的书面通知存在错误，项目公司应在</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/现场监督机构要求的合理期限内改正工程缺陷或更换合格的材料和设备，并承担相关费用。</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如果项目公司不能证明</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/现场监督机构的书面通知存在错误，并在收到</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/现场监督机构或有关政府部门上述通知后合理的时间内不能或拒绝纠正缺陷，</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/现场监督机构或有关政府部门有权自行或聘请第三方纠正上述缺陷。在这种情况下，项目公司应为此向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支付合理且必要的修理费用，否则，</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有权从建设履约独立保函中兑取相应金额以补偿该等修理费用。</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632" w:name="_项目公司应对由此引起的任何增加的费用和延误负责。"/>
      <w:bookmarkEnd w:id="632"/>
      <w:bookmarkStart w:id="633" w:name="_Toc411394442"/>
      <w:bookmarkStart w:id="634" w:name="_Toc424760360"/>
      <w:bookmarkStart w:id="635" w:name="_Toc412914209"/>
      <w:bookmarkStart w:id="636" w:name="_Toc51225626"/>
      <w:bookmarkStart w:id="637" w:name="_Toc48101152"/>
      <w:bookmarkStart w:id="638" w:name="_Toc50861881"/>
      <w:bookmarkStart w:id="639" w:name="_Toc515679450"/>
      <w:bookmarkStart w:id="640" w:name="_Toc7851"/>
      <w:bookmarkStart w:id="641" w:name="_Toc239861054"/>
      <w:bookmarkStart w:id="642" w:name="_Toc50861745"/>
      <w:bookmarkStart w:id="643" w:name="_Toc1040046"/>
      <w:bookmarkStart w:id="644" w:name="_Toc50453955"/>
      <w:bookmarkStart w:id="645" w:name="_Toc51213948"/>
      <w:bookmarkStart w:id="646" w:name="_Toc50860376"/>
      <w:bookmarkStart w:id="647" w:name="_Toc48042080"/>
      <w:bookmarkStart w:id="648" w:name="_Toc515348043"/>
      <w:bookmarkStart w:id="649" w:name="_Toc515966076"/>
      <w:bookmarkStart w:id="650" w:name="_Toc48120219"/>
      <w:bookmarkStart w:id="651" w:name="_Toc26362"/>
      <w:bookmarkStart w:id="652" w:name="_Toc15484"/>
      <w:r>
        <w:rPr>
          <w:rFonts w:hint="eastAsia" w:asciiTheme="minorEastAsia" w:hAnsiTheme="minorEastAsia" w:eastAsiaTheme="minorEastAsia" w:cstheme="minorEastAsia"/>
          <w:color w:val="auto"/>
        </w:rPr>
        <w:t>不可免</w:t>
      </w:r>
      <w:bookmarkEnd w:id="633"/>
      <w:bookmarkEnd w:id="634"/>
      <w:bookmarkEnd w:id="635"/>
      <w:r>
        <w:rPr>
          <w:rFonts w:hint="eastAsia" w:asciiTheme="minorEastAsia" w:hAnsiTheme="minorEastAsia" w:eastAsiaTheme="minorEastAsia" w:cstheme="minorEastAsia"/>
          <w:color w:val="auto"/>
        </w:rPr>
        <w:t>除</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r>
        <w:rPr>
          <w:rFonts w:hint="eastAsia" w:asciiTheme="minorEastAsia" w:hAnsiTheme="minorEastAsia" w:eastAsiaTheme="minorEastAsia" w:cstheme="minorEastAsia"/>
          <w:color w:val="auto"/>
        </w:rPr>
        <w:t xml:space="preserve">        </w:t>
      </w:r>
    </w:p>
    <w:p>
      <w:pPr>
        <w:pStyle w:val="5"/>
        <w:rPr>
          <w:rFonts w:hint="eastAsia" w:asciiTheme="minorEastAsia" w:hAnsiTheme="minorEastAsia" w:eastAsiaTheme="minorEastAsia" w:cstheme="minorEastAsia"/>
          <w:color w:val="auto"/>
        </w:rPr>
      </w:pPr>
      <w:bookmarkStart w:id="653" w:name="_交付图纸和技术细节"/>
      <w:bookmarkEnd w:id="653"/>
      <w:bookmarkStart w:id="654" w:name="_Toc515348046"/>
      <w:bookmarkStart w:id="655" w:name="_Toc515966079"/>
      <w:bookmarkStart w:id="656" w:name="_Toc411394445"/>
      <w:bookmarkStart w:id="657" w:name="_Toc50453957"/>
      <w:bookmarkStart w:id="658" w:name="_Toc48101155"/>
      <w:bookmarkStart w:id="659" w:name="_Toc51213950"/>
      <w:bookmarkStart w:id="660" w:name="_Toc50861747"/>
      <w:bookmarkStart w:id="661" w:name="_Toc50860378"/>
      <w:bookmarkStart w:id="662" w:name="_Toc51225628"/>
      <w:bookmarkStart w:id="663" w:name="_Toc515679453"/>
      <w:bookmarkStart w:id="664" w:name="_Toc412914212"/>
      <w:bookmarkStart w:id="665" w:name="_Toc424760363"/>
      <w:bookmarkStart w:id="666" w:name="_Toc48042083"/>
      <w:bookmarkStart w:id="667" w:name="_Toc48120222"/>
      <w:bookmarkStart w:id="668" w:name="_Toc50861883"/>
      <w:bookmarkStart w:id="669" w:name="_Toc1040049"/>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/现场监督机构未监督检验项目建设工程的任何部分或未书面通知项目公司不符合本合同规定的任何质量和/或安全要求，不应视为</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放弃其在本合同下的任何权利，也不能免除项目公司在本合同下的任何责任和义务。</w:t>
      </w:r>
    </w:p>
    <w:p>
      <w:pPr>
        <w:pStyle w:val="37"/>
        <w:spacing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bookmarkStart w:id="670" w:name="_Toc13271"/>
      <w:bookmarkStart w:id="671" w:name="_Toc13136"/>
      <w:bookmarkStart w:id="672" w:name="_Toc28540"/>
      <w:r>
        <w:rPr>
          <w:rFonts w:hint="eastAsia" w:asciiTheme="minorEastAsia" w:hAnsiTheme="minorEastAsia" w:eastAsiaTheme="minorEastAsia" w:cstheme="minorEastAsia"/>
        </w:rPr>
        <w:t>验收、结算和竣工</w:t>
      </w:r>
      <w:bookmarkEnd w:id="670"/>
      <w:bookmarkEnd w:id="671"/>
      <w:bookmarkEnd w:id="672"/>
    </w:p>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673" w:name="_Toc493454814"/>
      <w:bookmarkEnd w:id="673"/>
      <w:bookmarkStart w:id="674" w:name="_Toc447534710"/>
      <w:bookmarkEnd w:id="674"/>
      <w:bookmarkStart w:id="675" w:name="_Toc489988435"/>
      <w:bookmarkEnd w:id="675"/>
      <w:bookmarkStart w:id="676" w:name="_Toc447743392"/>
      <w:bookmarkEnd w:id="676"/>
      <w:bookmarkStart w:id="677" w:name="_Toc489977829"/>
      <w:bookmarkEnd w:id="677"/>
      <w:bookmarkStart w:id="678" w:name="_Toc9880"/>
      <w:bookmarkEnd w:id="678"/>
      <w:bookmarkStart w:id="679" w:name="_Toc448051258"/>
      <w:bookmarkEnd w:id="679"/>
      <w:bookmarkStart w:id="680" w:name="_Toc489986174"/>
      <w:bookmarkEnd w:id="680"/>
      <w:bookmarkStart w:id="681" w:name="_Toc490035109"/>
      <w:bookmarkEnd w:id="681"/>
      <w:bookmarkStart w:id="682" w:name="_Toc454572553"/>
      <w:bookmarkEnd w:id="682"/>
      <w:bookmarkStart w:id="683" w:name="_Toc447847369"/>
      <w:bookmarkEnd w:id="683"/>
      <w:bookmarkStart w:id="684" w:name="_Toc490090505"/>
      <w:bookmarkEnd w:id="684"/>
      <w:bookmarkStart w:id="685" w:name="_Toc493453854"/>
      <w:bookmarkEnd w:id="685"/>
      <w:bookmarkStart w:id="686" w:name="_Toc448056098"/>
      <w:bookmarkEnd w:id="686"/>
      <w:bookmarkStart w:id="687" w:name="_Toc491687712"/>
      <w:bookmarkEnd w:id="687"/>
      <w:bookmarkStart w:id="688" w:name="_Toc447620430"/>
      <w:bookmarkEnd w:id="688"/>
      <w:bookmarkStart w:id="689" w:name="_Toc447850019"/>
      <w:bookmarkEnd w:id="689"/>
      <w:bookmarkStart w:id="690" w:name="_Toc447534542"/>
      <w:bookmarkEnd w:id="690"/>
      <w:bookmarkStart w:id="691" w:name="_Toc448055707"/>
      <w:bookmarkEnd w:id="691"/>
      <w:bookmarkStart w:id="692" w:name="_Toc490036500"/>
      <w:bookmarkEnd w:id="692"/>
      <w:bookmarkStart w:id="693" w:name="_Toc448046039"/>
      <w:bookmarkEnd w:id="693"/>
      <w:bookmarkStart w:id="694" w:name="_Toc447632681"/>
      <w:bookmarkEnd w:id="694"/>
      <w:bookmarkStart w:id="695" w:name="_Toc454506733"/>
      <w:bookmarkEnd w:id="695"/>
      <w:bookmarkStart w:id="696" w:name="_Toc491193631"/>
      <w:bookmarkEnd w:id="696"/>
      <w:bookmarkStart w:id="697" w:name="_Toc454489373"/>
      <w:bookmarkEnd w:id="697"/>
      <w:bookmarkStart w:id="698" w:name="_Toc447744482"/>
      <w:bookmarkEnd w:id="698"/>
      <w:bookmarkStart w:id="699" w:name="_Toc491687908"/>
      <w:bookmarkEnd w:id="699"/>
      <w:bookmarkStart w:id="700" w:name="_Toc491680637"/>
      <w:bookmarkEnd w:id="700"/>
      <w:bookmarkStart w:id="701" w:name="_Toc489977648"/>
      <w:bookmarkEnd w:id="701"/>
      <w:bookmarkStart w:id="702" w:name="_Toc448054703"/>
      <w:bookmarkEnd w:id="702"/>
      <w:bookmarkStart w:id="703" w:name="_Toc490081447"/>
      <w:bookmarkEnd w:id="703"/>
      <w:bookmarkStart w:id="704" w:name="_Toc448073131"/>
      <w:bookmarkEnd w:id="704"/>
      <w:bookmarkStart w:id="705" w:name="_Toc454482272"/>
      <w:bookmarkEnd w:id="705"/>
      <w:bookmarkStart w:id="706" w:name="_Toc448051440"/>
      <w:bookmarkEnd w:id="706"/>
      <w:bookmarkStart w:id="707" w:name="_Toc491257756"/>
      <w:bookmarkEnd w:id="707"/>
      <w:bookmarkStart w:id="708" w:name="_Toc27424"/>
      <w:bookmarkEnd w:id="708"/>
      <w:bookmarkStart w:id="709" w:name="_Toc24610"/>
      <w:bookmarkEnd w:id="709"/>
      <w:bookmarkStart w:id="710" w:name="_Toc50453958"/>
      <w:bookmarkStart w:id="711" w:name="_Toc51213951"/>
      <w:bookmarkStart w:id="712" w:name="_Toc50860379"/>
      <w:bookmarkStart w:id="713" w:name="_Toc51225629"/>
      <w:bookmarkStart w:id="714" w:name="_Toc50861884"/>
      <w:bookmarkStart w:id="715" w:name="_Toc50861748"/>
      <w:bookmarkStart w:id="716" w:name="_Toc239861056"/>
    </w:p>
    <w:bookmarkEnd w:id="710"/>
    <w:bookmarkEnd w:id="711"/>
    <w:bookmarkEnd w:id="712"/>
    <w:bookmarkEnd w:id="713"/>
    <w:bookmarkEnd w:id="714"/>
    <w:bookmarkEnd w:id="715"/>
    <w:bookmarkEnd w:id="716"/>
    <w:p>
      <w:pPr>
        <w:pStyle w:val="3"/>
        <w:keepNext w:val="0"/>
        <w:widowControl w:val="0"/>
        <w:spacing w:before="120" w:beforeLines="50" w:afterLines="50"/>
        <w:rPr>
          <w:rFonts w:hint="eastAsia" w:asciiTheme="minorEastAsia" w:hAnsiTheme="minorEastAsia" w:eastAsiaTheme="minorEastAsia" w:cstheme="minorEastAsia"/>
          <w:color w:val="auto"/>
        </w:rPr>
      </w:pPr>
      <w:bookmarkStart w:id="717" w:name="_初步性能测试"/>
      <w:bookmarkEnd w:id="717"/>
      <w:bookmarkStart w:id="718" w:name="_Ref447623516"/>
      <w:bookmarkStart w:id="719" w:name="_Toc22327"/>
      <w:bookmarkStart w:id="720" w:name="_Toc23658"/>
      <w:bookmarkStart w:id="721" w:name="_Toc25074"/>
      <w:bookmarkStart w:id="722" w:name="_Ref87177839"/>
      <w:bookmarkStart w:id="723" w:name="_Ref86663273"/>
      <w:r>
        <w:rPr>
          <w:rFonts w:hint="eastAsia" w:asciiTheme="minorEastAsia" w:hAnsiTheme="minorEastAsia" w:eastAsiaTheme="minorEastAsia" w:cstheme="minorEastAsia"/>
          <w:color w:val="auto"/>
        </w:rPr>
        <w:t>隐蔽工程和中间验收</w:t>
      </w:r>
      <w:bookmarkEnd w:id="718"/>
      <w:bookmarkEnd w:id="719"/>
      <w:bookmarkEnd w:id="720"/>
      <w:bookmarkEnd w:id="721"/>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在工程具备隐蔽条件或达到适用法律规定的中间验收部位时，项目公司应在按照适用法律进行自检后，及时向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或其指定机构书面申请隐蔽工程验收和中间验收并提交相关资料。验收合格且经</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和监理工程师在验收记录上盖章确认或签字后，施工单位可进行隐蔽和继续施工。如果验收不合格，项目公司应在</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限定的时间内纠正相关缺陷后重新验收。</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724" w:name="_单位工程验收"/>
      <w:bookmarkEnd w:id="724"/>
      <w:bookmarkStart w:id="725" w:name="_Toc2976"/>
      <w:bookmarkStart w:id="726" w:name="_Ref447623524"/>
      <w:bookmarkStart w:id="727" w:name="_Toc12493"/>
      <w:bookmarkStart w:id="728" w:name="_Toc20266"/>
      <w:r>
        <w:rPr>
          <w:rFonts w:hint="eastAsia" w:asciiTheme="minorEastAsia" w:hAnsiTheme="minorEastAsia" w:eastAsiaTheme="minorEastAsia" w:cstheme="minorEastAsia"/>
          <w:color w:val="auto"/>
        </w:rPr>
        <w:t>单位工程验收</w:t>
      </w:r>
      <w:bookmarkEnd w:id="725"/>
      <w:bookmarkEnd w:id="726"/>
      <w:bookmarkEnd w:id="727"/>
      <w:bookmarkEnd w:id="728"/>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在项目建设过程中，项目公司应按照适用法律及本合同有关规定，在不同时期向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或其指定机构分别书面申请进行项目单位工程的主要部位工程质量、单位工程质量等验收工作，并提交相关资料。</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729" w:name="_法定验收_1"/>
      <w:bookmarkEnd w:id="729"/>
      <w:bookmarkStart w:id="730" w:name="_Ref447623531"/>
      <w:bookmarkStart w:id="731" w:name="_Toc14533"/>
      <w:bookmarkStart w:id="732" w:name="_Ref447623457"/>
      <w:bookmarkStart w:id="733" w:name="_Toc9101"/>
      <w:bookmarkStart w:id="734" w:name="_Toc9659"/>
      <w:r>
        <w:rPr>
          <w:rFonts w:hint="eastAsia" w:asciiTheme="minorEastAsia" w:hAnsiTheme="minorEastAsia" w:eastAsiaTheme="minorEastAsia" w:cstheme="minorEastAsia"/>
          <w:color w:val="auto"/>
        </w:rPr>
        <w:t>专项验收</w:t>
      </w:r>
      <w:bookmarkEnd w:id="722"/>
      <w:bookmarkEnd w:id="730"/>
      <w:bookmarkEnd w:id="731"/>
      <w:bookmarkEnd w:id="732"/>
      <w:bookmarkEnd w:id="733"/>
      <w:bookmarkEnd w:id="734"/>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项目公司应当根据第</w:t>
      </w:r>
      <w:r>
        <w:rPr>
          <w:rFonts w:hint="eastAsia" w:asciiTheme="minorEastAsia" w:hAnsiTheme="minorEastAsia" w:eastAsiaTheme="minorEastAsia" w:cstheme="minorEastAsia"/>
          <w:color w:val="auto"/>
          <w:lang w:val="en-US" w:eastAsia="zh-CN"/>
        </w:rPr>
        <w:t>7</w:t>
      </w:r>
      <w:r>
        <w:rPr>
          <w:rFonts w:hint="eastAsia" w:asciiTheme="minorEastAsia" w:hAnsiTheme="minorEastAsia" w:eastAsiaTheme="minorEastAsia" w:cstheme="minorEastAsia"/>
          <w:color w:val="auto"/>
        </w:rPr>
        <w:t>.5.1条款的进度要求在适当的时间组织项目工程各项验收，并通过省、市政府有关部门就项目工程的工程质量、消防、电力、规划组织的验收。</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如因项目工程存在某一方面的瑕疵导致项目工程未通过本第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_Ref447623457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8.3</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条项下的验收，项目公司应当根据有关部门的验收意见及时采取措施予以整改或完善，并再次组织相关验收，直到通过该等验收为止。</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如果由于非项目公司原因导致建设用地规划许可、土地使用权证权利人与建设工程规划许可证、施工许可证权利人不一致时，</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应协调相关部门办理建设工程规划许可证、施工许可证以及积极促进相关验收的进行。</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735" w:name="_竣工验收"/>
      <w:bookmarkEnd w:id="735"/>
      <w:bookmarkStart w:id="736" w:name="_Ref447623540"/>
      <w:bookmarkStart w:id="737" w:name="_Toc15017"/>
      <w:bookmarkStart w:id="738" w:name="_Ref447620899"/>
      <w:bookmarkStart w:id="739" w:name="_Toc388"/>
      <w:bookmarkStart w:id="740" w:name="_Toc9420"/>
      <w:r>
        <w:rPr>
          <w:rFonts w:hint="eastAsia" w:asciiTheme="minorEastAsia" w:hAnsiTheme="minorEastAsia" w:eastAsiaTheme="minorEastAsia" w:cstheme="minorEastAsia"/>
          <w:color w:val="auto"/>
        </w:rPr>
        <w:t>竣工验收</w:t>
      </w:r>
      <w:bookmarkEnd w:id="736"/>
      <w:bookmarkEnd w:id="737"/>
      <w:bookmarkEnd w:id="738"/>
      <w:bookmarkEnd w:id="739"/>
      <w:bookmarkEnd w:id="740"/>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工程建设完成后，项目公司应按适用法律规定及时组织申请竣工验收并提交相关资料。</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741" w:name="_Toc8118"/>
      <w:bookmarkStart w:id="742" w:name="_Toc29485"/>
      <w:bookmarkStart w:id="743" w:name="_Toc18167"/>
      <w:r>
        <w:rPr>
          <w:rFonts w:hint="eastAsia" w:asciiTheme="minorEastAsia" w:hAnsiTheme="minorEastAsia" w:eastAsiaTheme="minorEastAsia" w:cstheme="minorEastAsia"/>
          <w:color w:val="auto"/>
        </w:rPr>
        <w:t>验收通知</w:t>
      </w:r>
      <w:bookmarkEnd w:id="741"/>
      <w:bookmarkEnd w:id="742"/>
      <w:bookmarkEnd w:id="743"/>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项目公司应当在隐蔽验收、中间验收、单位工程验收、其他各项验收和竣工验收开始前至少七（7）个工作日向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发出书面通知，告知验收项目和验收开始的时间。</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在收到上述通知后，应派代表参加有关验收。</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收到上述通知后未能派代表参加有关验收，不影响该等验收的效力。</w:t>
      </w:r>
      <w:bookmarkEnd w:id="723"/>
      <w:bookmarkStart w:id="744" w:name="_如果初步性能测试不合格，并且市公用局按第7.1.1(d)条款发出书面通"/>
      <w:bookmarkEnd w:id="744"/>
      <w:bookmarkStart w:id="745" w:name="_初步性能测试后，如果初步性能测试表明项目设施不符合本协议或适用法律的要"/>
      <w:bookmarkEnd w:id="745"/>
      <w:bookmarkStart w:id="746" w:name="_项目公司应对因不合格而导致的费用增加和工期延误承担全部责任。"/>
      <w:bookmarkEnd w:id="746"/>
      <w:bookmarkStart w:id="747" w:name="_如果初步性能测试表明项目设施不符合本协议或适用法律的要求，市公用局应于"/>
      <w:bookmarkEnd w:id="747"/>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748" w:name="_Toc23633"/>
      <w:bookmarkStart w:id="749" w:name="_Toc12533"/>
      <w:bookmarkStart w:id="750" w:name="_Toc19278"/>
      <w:r>
        <w:rPr>
          <w:rFonts w:hint="eastAsia" w:asciiTheme="minorEastAsia" w:hAnsiTheme="minorEastAsia" w:eastAsiaTheme="minorEastAsia" w:cstheme="minorEastAsia"/>
          <w:color w:val="auto"/>
        </w:rPr>
        <w:t>验收未通过</w:t>
      </w:r>
      <w:bookmarkEnd w:id="748"/>
      <w:bookmarkEnd w:id="749"/>
      <w:bookmarkEnd w:id="750"/>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因工程存在某一方面的瑕疵导致工程未通过有关验收或者由于项目公司原因导致竣工延误，项目公司应当根据有关部门的意见及时采取措施予以整改或完善，并再次申请进行相关验收，直到通过该等验收为止，且项目公司应根据第9.2.1条款和第21.1.1条款向市城管局支付违约金。整改或完善的相关费用由项目公司自行承担，不得计入本项目总投资。</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751" w:name="_法定验收"/>
      <w:bookmarkEnd w:id="751"/>
      <w:bookmarkStart w:id="752" w:name="_Ref86664719"/>
      <w:bookmarkStart w:id="753" w:name="_Toc8042"/>
      <w:bookmarkStart w:id="754" w:name="_Toc24323"/>
      <w:bookmarkStart w:id="755" w:name="_Toc25330"/>
      <w:r>
        <w:rPr>
          <w:rFonts w:hint="eastAsia" w:asciiTheme="minorEastAsia" w:hAnsiTheme="minorEastAsia" w:eastAsiaTheme="minorEastAsia" w:cstheme="minorEastAsia"/>
          <w:color w:val="auto"/>
        </w:rPr>
        <w:t>验收</w:t>
      </w:r>
      <w:bookmarkEnd w:id="752"/>
      <w:r>
        <w:rPr>
          <w:rFonts w:hint="eastAsia" w:asciiTheme="minorEastAsia" w:hAnsiTheme="minorEastAsia" w:eastAsiaTheme="minorEastAsia" w:cstheme="minorEastAsia"/>
          <w:color w:val="auto"/>
        </w:rPr>
        <w:t>备案</w:t>
      </w:r>
      <w:bookmarkEnd w:id="753"/>
      <w:bookmarkEnd w:id="754"/>
      <w:bookmarkEnd w:id="755"/>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项目公司应当在省、市有关职能部门的验收报告出具之日起五（5）个工作日内，提交该等验收报告的一套完整复印件给</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备案，项目公司必须在该复印件上盖章并书面确认与原件核对无误。</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756" w:name="_Toc30411"/>
      <w:bookmarkStart w:id="757" w:name="_Toc32670"/>
      <w:bookmarkStart w:id="758" w:name="_Toc15993"/>
      <w:r>
        <w:rPr>
          <w:rFonts w:hint="eastAsia" w:asciiTheme="minorEastAsia" w:hAnsiTheme="minorEastAsia" w:eastAsiaTheme="minorEastAsia" w:cstheme="minorEastAsia"/>
          <w:color w:val="auto"/>
        </w:rPr>
        <w:t>工程结算</w:t>
      </w:r>
      <w:bookmarkEnd w:id="756"/>
      <w:bookmarkEnd w:id="757"/>
      <w:bookmarkEnd w:id="758"/>
    </w:p>
    <w:p>
      <w:pPr>
        <w:pStyle w:val="5"/>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auto"/>
        </w:rPr>
        <w:t>工程结算（投资）价款的认定</w:t>
      </w:r>
      <w:r>
        <w:rPr>
          <w:rFonts w:hint="eastAsia" w:asciiTheme="minorEastAsia" w:hAnsiTheme="minorEastAsia" w:eastAsiaTheme="minorEastAsia" w:cstheme="minorEastAsia"/>
          <w:szCs w:val="21"/>
        </w:rPr>
        <w:t>         </w:t>
      </w:r>
    </w:p>
    <w:p>
      <w:pPr>
        <w:numPr>
          <w:ilvl w:val="0"/>
          <w:numId w:val="16"/>
        </w:numPr>
        <w:spacing w:before="120"/>
        <w:ind w:left="480" w:hanging="480" w:hanging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本工程采用“两标一招”方式，社会资本在投标时所报的施工总承包部分报价，做为结算基准价；结算采用固定单价合同。</w:t>
      </w:r>
    </w:p>
    <w:p>
      <w:pPr>
        <w:spacing w:before="120"/>
        <w:ind w:left="480" w:hanging="480" w:hanging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b. 施工组织设计方案须经现场监督管理机构、项目公司、监理等审定，审定后的施工组织设计方案不得擅自变更，确需变更应履行相关报批手续。</w:t>
      </w:r>
    </w:p>
    <w:p>
      <w:pPr>
        <w:spacing w:before="120"/>
        <w:ind w:left="480" w:hanging="480" w:hanging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c. 工程投标报价及结算价采用工程量清单模式编制。</w:t>
      </w:r>
    </w:p>
    <w:p>
      <w:pPr>
        <w:spacing w:before="120"/>
        <w:ind w:left="480" w:hanging="480" w:hanging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d.</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预算价按照招标时国家、徐州市、江苏省的市政工程计价办法及《建设工程工程量清单计价规范》（GB50500-2013）等相关文件进行编制；基期材料价格参照2019年6月的《徐州工程造价信息》中的材料指导价。</w:t>
      </w:r>
    </w:p>
    <w:p>
      <w:pPr>
        <w:spacing w:before="120"/>
        <w:ind w:left="480" w:hanging="480" w:hanging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e.</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项目工程总投资必须经徐州市政府审计机构审计，最终决算以审计结果为准。项目前期及实施过程中的勘察设计、项目全过程咨询（监理）、环境影响评价、防洪影响评价、安全评估、监测等费用由项目公司承担，计入工程总投资。</w:t>
      </w:r>
    </w:p>
    <w:p>
      <w:pPr>
        <w:spacing w:before="120"/>
        <w:ind w:left="480" w:hanging="480" w:hanging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f.</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施工期间的主要建筑材料价格调整，按照本合同第13？条规定的价格调整办法执行。《徐州工程造价信息》缺项的材料、设备价格按市场行情，由实施机构代表、项目公司代表、监理单位（或全过程咨询单位）代表、有关专家等共同组成评审小组，通过公开询价或二次招标确定。经共同询价或招标的材料、设备价格结算时不再下浮。</w:t>
      </w:r>
    </w:p>
    <w:p>
      <w:pPr>
        <w:pStyle w:val="5"/>
        <w:rPr>
          <w:rFonts w:hint="default"/>
        </w:rPr>
      </w:pPr>
      <w:r>
        <w:rPr>
          <w:rFonts w:hint="default"/>
        </w:rPr>
        <w:t>项目计量</w:t>
      </w:r>
    </w:p>
    <w:p>
      <w:pPr>
        <w:spacing w:before="120"/>
        <w:ind w:left="480" w:hanging="480" w:hanging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a. 项目公司须责成施工方于每月25日向监理人（或全过程咨询单位，下同）报送已完成的工程量报告，并附已完成工程量报表和有关资料。</w:t>
      </w:r>
    </w:p>
    <w:p>
      <w:pPr>
        <w:spacing w:before="120"/>
        <w:ind w:left="480" w:hanging="480" w:hanging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b. 监理人（或全过程咨询单位，下同）在收到施工方提交的工程量报告7日内完成对报告的审核并报送项目公司，并由项目公司报送现场监督机构（可能是或有关机构），以确定实际完成的工程量。监理人对工程量有异议的，有权要求施工方进行共同复核或抽样复测。项目公司须责成施工方协助监理人进行复核或抽样复测，并按监理人的要求提供补充计量资料。施工方未按监理人要求进行复核或抽样复测的，监理人复核或修正的工程量视为施工方实际完成的工程量。</w:t>
      </w:r>
    </w:p>
    <w:p>
      <w:pPr>
        <w:spacing w:before="120"/>
        <w:ind w:left="480" w:hanging="480" w:hanging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8.</w:t>
      </w:r>
      <w:r>
        <w:rPr>
          <w:rFonts w:hint="eastAsia" w:asciiTheme="minorEastAsia" w:hAnsiTheme="minorEastAsia" w:eastAsiaTheme="minorEastAsia" w:cstheme="minorEastAsia"/>
          <w:szCs w:val="21"/>
        </w:rPr>
        <w:t>1.3.项目预算调整</w:t>
      </w:r>
    </w:p>
    <w:p>
      <w:pPr>
        <w:spacing w:before="120"/>
        <w:ind w:left="480" w:hanging="480" w:hanging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a. 本项目工程在实施过程中，由于变更设计或其他原因确需调整项目预算的，有下列情形之一的，由项目公司提出书面意见、经相关部门审核（评审）后可以调整：</w:t>
      </w:r>
    </w:p>
    <w:p>
      <w:pPr>
        <w:spacing w:before="120"/>
        <w:ind w:left="480" w:hanging="480" w:hanging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i. 项目实施中工程量发生变更，引起预算总金额调整在5%以下且预算金额调整在100万元以下的；</w:t>
      </w:r>
    </w:p>
    <w:p>
      <w:pPr>
        <w:spacing w:before="120"/>
        <w:ind w:left="480" w:hanging="480" w:hanging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ii.</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项目预算总额虽未发生变化，但项目子项间发生相互调整，导致子项投资金额调整在5%以内且预算金额调整在100万元以下的。 </w:t>
      </w:r>
    </w:p>
    <w:p>
      <w:pPr>
        <w:spacing w:before="120"/>
        <w:ind w:left="480" w:hanging="480" w:hanging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b. 预算金额调整超出上述标准的，按下述程序办理：</w:t>
      </w:r>
    </w:p>
    <w:p>
      <w:pPr>
        <w:spacing w:before="120"/>
        <w:ind w:left="480" w:hanging="480" w:hanging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i.</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 xml:space="preserve"> 市政府确定的预算调增。由相关部门根据市委、市政府文件，市委常委会议纪要、市政府常务会议纪要以及市委、市政府主要领导主持的办公会议纪要或签批意见，明确工程投资计划、建设时间等相关要求。</w:t>
      </w:r>
    </w:p>
    <w:p>
      <w:pPr>
        <w:spacing w:before="120"/>
        <w:ind w:left="480" w:hanging="480" w:hanging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t>ii.</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项目在施工过程中，因工程实际情况确需调增投资计划的，由项目实施机构提出工程项目调增申请，在征求发改、规划、建设等相关部门意见的基础上，提出工程项目调增建设内容和投资计划调整审核意见上报市政府审批，经市政府审批后方可调整。</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759" w:name="_Toc493453863"/>
      <w:bookmarkEnd w:id="759"/>
      <w:bookmarkStart w:id="760" w:name="_Toc493453864"/>
      <w:bookmarkEnd w:id="760"/>
      <w:bookmarkStart w:id="761" w:name="_Toc493454824"/>
      <w:bookmarkEnd w:id="761"/>
      <w:bookmarkStart w:id="762" w:name="_Toc491257766"/>
      <w:bookmarkEnd w:id="762"/>
      <w:bookmarkStart w:id="763" w:name="_Toc493454823"/>
      <w:bookmarkEnd w:id="763"/>
      <w:bookmarkStart w:id="764" w:name="_Toc491257765"/>
      <w:bookmarkEnd w:id="764"/>
      <w:bookmarkStart w:id="765" w:name="_Toc11350"/>
      <w:bookmarkStart w:id="766" w:name="_Toc15019"/>
      <w:bookmarkStart w:id="767" w:name="_Toc21305"/>
      <w:r>
        <w:rPr>
          <w:rFonts w:hint="eastAsia" w:asciiTheme="minorEastAsia" w:hAnsiTheme="minorEastAsia" w:eastAsiaTheme="minorEastAsia" w:cstheme="minorEastAsia"/>
          <w:color w:val="auto"/>
        </w:rPr>
        <w:t>工程竣工财务决算</w:t>
      </w:r>
      <w:bookmarkEnd w:id="765"/>
      <w:bookmarkEnd w:id="766"/>
      <w:bookmarkEnd w:id="767"/>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在项目竣工验收合格后，由项目公司负责编制工程竣工财务决算并向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备案。</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768" w:name="_Toc16286"/>
      <w:bookmarkStart w:id="769" w:name="_Toc6999"/>
      <w:bookmarkStart w:id="770" w:name="_Toc13038"/>
      <w:r>
        <w:rPr>
          <w:rFonts w:hint="eastAsia" w:asciiTheme="minorEastAsia" w:hAnsiTheme="minorEastAsia" w:eastAsiaTheme="minorEastAsia" w:cstheme="minorEastAsia"/>
          <w:color w:val="auto"/>
        </w:rPr>
        <w:t>竣工财务决算审计</w:t>
      </w:r>
      <w:bookmarkEnd w:id="768"/>
      <w:bookmarkEnd w:id="769"/>
      <w:bookmarkEnd w:id="770"/>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在工程竣工财务决算编制完成后，徐州市政府审计机构有权对本项目建设进行竣工财务决算审计。</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771" w:name="_交付图纸和技术细节_2"/>
      <w:bookmarkEnd w:id="771"/>
      <w:bookmarkStart w:id="772" w:name="_Toc30010"/>
      <w:bookmarkStart w:id="773" w:name="_Ref447625693"/>
      <w:bookmarkStart w:id="774" w:name="_Toc239861060"/>
      <w:bookmarkStart w:id="775" w:name="_Toc19085"/>
      <w:bookmarkStart w:id="776" w:name="_Toc15909"/>
      <w:r>
        <w:rPr>
          <w:rFonts w:hint="eastAsia" w:asciiTheme="minorEastAsia" w:hAnsiTheme="minorEastAsia" w:eastAsiaTheme="minorEastAsia" w:cstheme="minorEastAsia"/>
          <w:color w:val="auto"/>
        </w:rPr>
        <w:t>交付图纸和技术细节</w:t>
      </w:r>
      <w:bookmarkEnd w:id="772"/>
      <w:bookmarkEnd w:id="773"/>
      <w:bookmarkEnd w:id="774"/>
      <w:bookmarkEnd w:id="775"/>
      <w:bookmarkEnd w:id="776"/>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项目公司应按照适用法律编制竣工资料，并确保项目通过有关部门组织的竣工验收。在最终竣工日后两（2）个月内，项目公司应向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提交下述资料：</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如项目承包商和设备供应商经招标程序选定，须提交招标文件、中标人的投标文件、与中标人的澄清等招标文件（如有）；</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项目设施的施工文件和竣工文件，包括作为该等文件一部分或该等文件附件的所有图纸、表格、计算式、技术参数、规程和程序，并应同时提交书面文本和电子文件；</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所有项目设施的技术资料和图纸，包括设备平面图、说明书、质量保证书、安装记录、测试记录、质量监督和验收记录；</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合理要求的与项目有关的其它技术文件或资料，包括书面文本和电子文件。</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777" w:name="_Toc9336"/>
      <w:bookmarkStart w:id="778" w:name="_Toc29997"/>
      <w:bookmarkStart w:id="779" w:name="_Toc20717"/>
      <w:r>
        <w:rPr>
          <w:rFonts w:hint="eastAsia" w:asciiTheme="minorEastAsia" w:hAnsiTheme="minorEastAsia" w:eastAsiaTheme="minorEastAsia" w:cstheme="minorEastAsia"/>
          <w:color w:val="auto"/>
        </w:rPr>
        <w:t>不予免责</w:t>
      </w:r>
      <w:bookmarkEnd w:id="777"/>
      <w:bookmarkEnd w:id="778"/>
      <w:bookmarkEnd w:id="779"/>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检查和接收工程建设的全部或任何部分及确认工程竣工的行为均不解除项目公司就工程的缺陷或预定进度的延误应承担的任何责任或义务，也不影响其他政府部门依适用法律检查、管理工程建设的权利。</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780" w:name="_Toc2876"/>
      <w:bookmarkStart w:id="781" w:name="_Ref458877669"/>
      <w:bookmarkStart w:id="782" w:name="_Toc491098370"/>
      <w:bookmarkStart w:id="783" w:name="_Toc2232"/>
      <w:bookmarkStart w:id="784" w:name="_Toc8443"/>
      <w:r>
        <w:rPr>
          <w:rFonts w:hint="eastAsia" w:asciiTheme="minorEastAsia" w:hAnsiTheme="minorEastAsia" w:eastAsiaTheme="minorEastAsia" w:cstheme="minorEastAsia"/>
          <w:color w:val="auto"/>
        </w:rPr>
        <w:t>物价波动引起的价格调整</w:t>
      </w:r>
      <w:bookmarkEnd w:id="780"/>
      <w:bookmarkEnd w:id="781"/>
      <w:bookmarkEnd w:id="782"/>
      <w:bookmarkEnd w:id="783"/>
      <w:bookmarkEnd w:id="784"/>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物价波动引起的价格调整</w:t>
      </w:r>
    </w:p>
    <w:p>
      <w:pPr>
        <w:pStyle w:val="5"/>
        <w:numPr>
          <w:ilvl w:val="-1"/>
          <w:numId w:val="0"/>
        </w:numPr>
        <w:ind w:left="598" w:leftChars="249" w:firstLine="0"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本工程以下主要建筑材料：钢材、水泥、管材、沥青、石材、商品混凝土、沥青混凝土、水泥稳定碎石、二灰碎石、碎石、黄沙、石灰、电线电缆、防水材料，价格按以下方式调整：</w:t>
      </w:r>
    </w:p>
    <w:p>
      <w:pPr>
        <w:pStyle w:val="5"/>
        <w:numPr>
          <w:ilvl w:val="-1"/>
          <w:numId w:val="0"/>
        </w:numPr>
        <w:ind w:left="398" w:leftChars="166" w:firstLine="0"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（1）承包人投标报价中材料单价低于基准单价：施工期间材料单价涨幅以基准单价为基础超过5%，或材料单价跌幅以投标报价为基础超过5%时，其超过部分按实调整。</w:t>
      </w:r>
    </w:p>
    <w:p>
      <w:pPr>
        <w:pStyle w:val="5"/>
        <w:numPr>
          <w:ilvl w:val="-1"/>
          <w:numId w:val="0"/>
        </w:numPr>
        <w:ind w:left="398" w:leftChars="166" w:firstLine="0"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（2）承包人投标报价中材料单价高于基准单价：施工期间材料单价跌幅以基准单价为基础超过5%，或材料单价涨幅以投标报价为基础超过5%时，其超过部分按实调整。</w:t>
      </w:r>
    </w:p>
    <w:p>
      <w:pPr>
        <w:pStyle w:val="5"/>
        <w:numPr>
          <w:ilvl w:val="-1"/>
          <w:numId w:val="0"/>
        </w:numPr>
        <w:ind w:left="398" w:leftChars="166" w:firstLine="0"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（3）承包人投标报价中材料单价等于基准单价：施工期间材料单价涨、跌幅均以基准单价为基础，涨幅超过5%和跌幅超过5%，其超过部分按实调整。</w:t>
      </w:r>
    </w:p>
    <w:p>
      <w:pPr>
        <w:pStyle w:val="5"/>
        <w:numPr>
          <w:ilvl w:val="-1"/>
          <w:numId w:val="0"/>
        </w:numPr>
        <w:ind w:left="0" w:firstLine="48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2.</w:t>
      </w:r>
      <w:r>
        <w:rPr>
          <w:rFonts w:hint="eastAsia" w:asciiTheme="minorEastAsia" w:hAnsiTheme="minorEastAsia" w:eastAsiaTheme="minorEastAsia" w:cstheme="minorEastAsia"/>
          <w:color w:val="auto"/>
        </w:rPr>
        <w:t>材料价格调整费用仅计取材料差价及其税金，不再计取其他相关费用。</w:t>
      </w:r>
    </w:p>
    <w:p>
      <w:pPr>
        <w:pStyle w:val="5"/>
        <w:numPr>
          <w:ilvl w:val="-1"/>
          <w:numId w:val="0"/>
        </w:numPr>
        <w:ind w:left="398" w:leftChars="166" w:firstLine="0"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3.</w:t>
      </w:r>
      <w:r>
        <w:rPr>
          <w:rFonts w:hint="eastAsia" w:asciiTheme="minorEastAsia" w:hAnsiTheme="minorEastAsia" w:eastAsiaTheme="minorEastAsia" w:cstheme="minorEastAsia"/>
          <w:color w:val="auto"/>
        </w:rPr>
        <w:t>人工单价按照施工期间对应的人工工资指导价进行调整，并扣除原投标报价中人工单价相对基准日人工工资指导价的让利部分。</w:t>
      </w:r>
    </w:p>
    <w:p>
      <w:pPr>
        <w:pStyle w:val="5"/>
        <w:numPr>
          <w:ilvl w:val="-1"/>
          <w:numId w:val="0"/>
        </w:numPr>
        <w:ind w:left="480" w:hanging="480" w:hanging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w:t>
      </w:r>
      <w:r>
        <w:rPr>
          <w:rFonts w:hint="eastAsia" w:asciiTheme="minorEastAsia" w:hAnsiTheme="minorEastAsia" w:eastAsiaTheme="minorEastAsia" w:cstheme="minorEastAsia"/>
          <w:color w:val="auto"/>
          <w:lang w:val="en-US" w:eastAsia="zh-CN"/>
        </w:rPr>
        <w:t xml:space="preserve"> 4.</w:t>
      </w:r>
      <w:r>
        <w:rPr>
          <w:rFonts w:hint="eastAsia" w:asciiTheme="minorEastAsia" w:hAnsiTheme="minorEastAsia" w:eastAsiaTheme="minorEastAsia" w:cstheme="minorEastAsia"/>
          <w:color w:val="auto"/>
        </w:rPr>
        <w:t>对于法律、法规、规章或有关政策出台导致工程税金、规费等发生变化的，应按照有关规定执行。</w:t>
      </w:r>
    </w:p>
    <w:p>
      <w:pPr>
        <w:pStyle w:val="5"/>
        <w:numPr>
          <w:ilvl w:val="-1"/>
          <w:numId w:val="0"/>
        </w:numPr>
        <w:ind w:left="398" w:leftChars="166" w:firstLine="0"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5.</w:t>
      </w:r>
      <w:r>
        <w:rPr>
          <w:rFonts w:hint="eastAsia" w:asciiTheme="minorEastAsia" w:hAnsiTheme="minorEastAsia" w:eastAsiaTheme="minorEastAsia" w:cstheme="minorEastAsia"/>
          <w:color w:val="auto"/>
        </w:rPr>
        <w:t>关于基准价格的约定：材料价格以2019年6月《徐州工程造价信息》为准，信息价没有标明的材料价格以该项目招标控制价中的材料价格为准；人工费执行苏建函价(2019)142号文。如遇政策调整，执行苏建价[2012]633号文件。</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.工程量增减引起的调整</w:t>
      </w:r>
    </w:p>
    <w:p>
      <w:pPr>
        <w:pStyle w:val="5"/>
        <w:numPr>
          <w:ilvl w:val="-1"/>
          <w:numId w:val="0"/>
        </w:numPr>
        <w:ind w:left="0" w:firstLine="48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本工程综合单价在约定的风险范围内固定。</w:t>
      </w:r>
    </w:p>
    <w:p>
      <w:pPr>
        <w:pStyle w:val="5"/>
        <w:numPr>
          <w:ilvl w:val="-1"/>
          <w:numId w:val="0"/>
        </w:numPr>
        <w:ind w:left="398" w:leftChars="166" w:firstLine="0"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2.</w:t>
      </w:r>
      <w:r>
        <w:rPr>
          <w:rFonts w:hint="eastAsia" w:asciiTheme="minorEastAsia" w:hAnsiTheme="minorEastAsia" w:eastAsiaTheme="minorEastAsia" w:cstheme="minorEastAsia"/>
          <w:color w:val="auto"/>
        </w:rPr>
        <w:t>综合单价包含的风险范围、风险费用的计算方法、风险范围以外合同价格的调整方法约定如下：</w:t>
      </w:r>
    </w:p>
    <w:p>
      <w:pPr>
        <w:pStyle w:val="5"/>
        <w:numPr>
          <w:ilvl w:val="-1"/>
          <w:numId w:val="0"/>
        </w:numPr>
        <w:ind w:left="398" w:leftChars="166" w:firstLine="0"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（1）因市场价格波动引起的调整按第</w:t>
      </w:r>
      <w:r>
        <w:rPr>
          <w:rFonts w:hint="eastAsia" w:asciiTheme="minorEastAsia" w:hAnsiTheme="minorEastAsia" w:eastAsiaTheme="minorEastAsia" w:cstheme="minorEastAsia"/>
          <w:color w:val="auto"/>
          <w:lang w:val="en-US" w:eastAsia="zh-CN"/>
        </w:rPr>
        <w:t>8.13.1</w:t>
      </w:r>
      <w:r>
        <w:rPr>
          <w:rFonts w:hint="eastAsia" w:asciiTheme="minorEastAsia" w:hAnsiTheme="minorEastAsia" w:eastAsiaTheme="minorEastAsia" w:cstheme="minorEastAsia"/>
          <w:color w:val="auto"/>
        </w:rPr>
        <w:t>款</w:t>
      </w:r>
      <w:r>
        <w:rPr>
          <w:rFonts w:hint="eastAsia" w:asciiTheme="minorEastAsia" w:hAnsiTheme="minorEastAsia" w:eastAsiaTheme="minorEastAsia" w:cstheme="minorEastAsia"/>
          <w:color w:val="auto"/>
          <w:lang w:val="en-US" w:eastAsia="zh-CN"/>
        </w:rPr>
        <w:t>中相关约定执行</w:t>
      </w:r>
      <w:r>
        <w:rPr>
          <w:rFonts w:hint="eastAsia" w:asciiTheme="minorEastAsia" w:hAnsiTheme="minorEastAsia" w:eastAsiaTheme="minorEastAsia" w:cstheme="minorEastAsia"/>
          <w:color w:val="auto"/>
        </w:rPr>
        <w:t>，因法律、政策引起的调整按第</w:t>
      </w:r>
      <w:r>
        <w:rPr>
          <w:rFonts w:hint="eastAsia" w:asciiTheme="minorEastAsia" w:hAnsiTheme="minorEastAsia" w:eastAsiaTheme="minorEastAsia" w:cstheme="minorEastAsia"/>
          <w:color w:val="auto"/>
          <w:lang w:val="en-US" w:eastAsia="zh-CN"/>
        </w:rPr>
        <w:t>8.13.1</w:t>
      </w:r>
      <w:r>
        <w:rPr>
          <w:rFonts w:hint="eastAsia" w:asciiTheme="minorEastAsia" w:hAnsiTheme="minorEastAsia" w:eastAsiaTheme="minorEastAsia" w:cstheme="minorEastAsia"/>
          <w:color w:val="auto"/>
        </w:rPr>
        <w:t>款</w:t>
      </w:r>
      <w:r>
        <w:rPr>
          <w:rFonts w:hint="eastAsia" w:asciiTheme="minorEastAsia" w:hAnsiTheme="minorEastAsia" w:eastAsiaTheme="minorEastAsia" w:cstheme="minorEastAsia"/>
          <w:color w:val="auto"/>
          <w:lang w:val="en-US" w:eastAsia="zh-CN"/>
        </w:rPr>
        <w:t>相关</w:t>
      </w:r>
      <w:r>
        <w:rPr>
          <w:rFonts w:hint="eastAsia" w:asciiTheme="minorEastAsia" w:hAnsiTheme="minorEastAsia" w:eastAsiaTheme="minorEastAsia" w:cstheme="minorEastAsia"/>
          <w:color w:val="auto"/>
        </w:rPr>
        <w:t>约定执行；人工费调整执行苏建价[2012]633号文件，人工单价按照施工期间对应的人工工资指导价进行调整，并扣除原投标报价中人工单价相对基准日人工工资指导价的让利部分。</w:t>
      </w:r>
    </w:p>
    <w:p>
      <w:pPr>
        <w:pStyle w:val="5"/>
        <w:numPr>
          <w:ilvl w:val="-1"/>
          <w:numId w:val="0"/>
        </w:numPr>
        <w:ind w:left="398" w:leftChars="166" w:firstLine="0"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（2）当结算工程量小于或等于投标清单工程量的115%时，其相应综合单价仍按投标单价进行结算。</w:t>
      </w:r>
    </w:p>
    <w:p>
      <w:pPr>
        <w:pStyle w:val="5"/>
        <w:numPr>
          <w:ilvl w:val="-1"/>
          <w:numId w:val="0"/>
        </w:numPr>
        <w:ind w:left="398" w:leftChars="166" w:firstLine="0"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当结算工程量大于投标清单工程量的115%以上时，对超出部分的工程量其相应综合单价执行招标控制价中对应的清单单价再乘以中标价（扣除暂列金和暂估价后）与招标控制价（扣除暂列金和暂估价后）相比的浮动比率后作为综合单价进行结算。</w:t>
      </w:r>
    </w:p>
    <w:p>
      <w:pPr>
        <w:pStyle w:val="37"/>
        <w:spacing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bookmarkStart w:id="785" w:name="_Toc2923"/>
      <w:bookmarkStart w:id="786" w:name="_Toc239861062"/>
      <w:bookmarkStart w:id="787" w:name="_Toc8002"/>
      <w:bookmarkStart w:id="788" w:name="_Toc26254"/>
      <w:r>
        <w:rPr>
          <w:rFonts w:hint="eastAsia" w:asciiTheme="minorEastAsia" w:hAnsiTheme="minorEastAsia" w:eastAsiaTheme="minorEastAsia" w:cstheme="minorEastAsia"/>
        </w:rPr>
        <w:t>竣工延误和放弃</w:t>
      </w:r>
      <w:bookmarkEnd w:id="785"/>
      <w:bookmarkEnd w:id="786"/>
      <w:bookmarkEnd w:id="787"/>
      <w:bookmarkEnd w:id="788"/>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789" w:name="_Toc489977847"/>
      <w:bookmarkEnd w:id="789"/>
      <w:bookmarkStart w:id="790" w:name="_Toc491687923"/>
      <w:bookmarkEnd w:id="790"/>
      <w:bookmarkStart w:id="791" w:name="_Toc448051458"/>
      <w:bookmarkEnd w:id="791"/>
      <w:bookmarkStart w:id="792" w:name="_Toc448051276"/>
      <w:bookmarkEnd w:id="792"/>
      <w:bookmarkStart w:id="793" w:name="_Toc490090519"/>
      <w:bookmarkEnd w:id="793"/>
      <w:bookmarkStart w:id="794" w:name="_Toc448054721"/>
      <w:bookmarkEnd w:id="794"/>
      <w:bookmarkStart w:id="795" w:name="_Toc493453871"/>
      <w:bookmarkEnd w:id="795"/>
      <w:bookmarkStart w:id="796" w:name="_Toc489977666"/>
      <w:bookmarkEnd w:id="796"/>
      <w:bookmarkStart w:id="797" w:name="_Toc490036514"/>
      <w:bookmarkEnd w:id="797"/>
      <w:bookmarkStart w:id="798" w:name="_Toc447534560"/>
      <w:bookmarkEnd w:id="798"/>
      <w:bookmarkStart w:id="799" w:name="_Toc491257773"/>
      <w:bookmarkEnd w:id="799"/>
      <w:bookmarkStart w:id="800" w:name="_Toc454572571"/>
      <w:bookmarkEnd w:id="800"/>
      <w:bookmarkStart w:id="801" w:name="_Toc447744500"/>
      <w:bookmarkEnd w:id="801"/>
      <w:bookmarkStart w:id="802" w:name="_Toc447847387"/>
      <w:bookmarkEnd w:id="802"/>
      <w:bookmarkStart w:id="803" w:name="_Toc447534728"/>
      <w:bookmarkEnd w:id="803"/>
      <w:bookmarkStart w:id="804" w:name="_Toc448073149"/>
      <w:bookmarkEnd w:id="804"/>
      <w:bookmarkStart w:id="805" w:name="_Toc491193645"/>
      <w:bookmarkEnd w:id="805"/>
      <w:bookmarkStart w:id="806" w:name="_Toc448056116"/>
      <w:bookmarkEnd w:id="806"/>
      <w:bookmarkStart w:id="807" w:name="_Toc490035123"/>
      <w:bookmarkEnd w:id="807"/>
      <w:bookmarkStart w:id="808" w:name="_Toc454482290"/>
      <w:bookmarkEnd w:id="808"/>
      <w:bookmarkStart w:id="809" w:name="_Toc448055725"/>
      <w:bookmarkEnd w:id="809"/>
      <w:bookmarkStart w:id="810" w:name="_Toc447743410"/>
      <w:bookmarkEnd w:id="810"/>
      <w:bookmarkStart w:id="811" w:name="_Toc489988453"/>
      <w:bookmarkEnd w:id="811"/>
      <w:bookmarkStart w:id="812" w:name="_Toc454506751"/>
      <w:bookmarkEnd w:id="812"/>
      <w:bookmarkStart w:id="813" w:name="_Toc489986192"/>
      <w:bookmarkEnd w:id="813"/>
      <w:bookmarkStart w:id="814" w:name="_Toc491680652"/>
      <w:bookmarkEnd w:id="814"/>
      <w:bookmarkStart w:id="815" w:name="_Toc447620448"/>
      <w:bookmarkEnd w:id="815"/>
      <w:bookmarkStart w:id="816" w:name="_Toc448046057"/>
      <w:bookmarkEnd w:id="816"/>
      <w:bookmarkStart w:id="817" w:name="_市公用局导致的延误"/>
      <w:bookmarkEnd w:id="817"/>
      <w:bookmarkStart w:id="818" w:name="_Toc30615"/>
      <w:bookmarkEnd w:id="818"/>
      <w:bookmarkStart w:id="819" w:name="_Toc447850037"/>
      <w:bookmarkEnd w:id="819"/>
      <w:bookmarkStart w:id="820" w:name="_市建委导致的延误"/>
      <w:bookmarkEnd w:id="820"/>
      <w:bookmarkStart w:id="821" w:name="_Toc447632699"/>
      <w:bookmarkEnd w:id="821"/>
      <w:bookmarkStart w:id="822" w:name="_Toc493454831"/>
      <w:bookmarkEnd w:id="822"/>
      <w:bookmarkStart w:id="823" w:name="_Toc491687727"/>
      <w:bookmarkEnd w:id="823"/>
      <w:bookmarkStart w:id="824" w:name="_Toc454489391"/>
      <w:bookmarkEnd w:id="824"/>
      <w:bookmarkStart w:id="825" w:name="_Toc490081461"/>
      <w:bookmarkEnd w:id="825"/>
      <w:bookmarkStart w:id="826" w:name="_Toc1488"/>
      <w:bookmarkEnd w:id="826"/>
      <w:bookmarkStart w:id="827" w:name="_Toc18387"/>
      <w:bookmarkEnd w:id="827"/>
      <w:bookmarkStart w:id="828" w:name="_Toc412914228"/>
      <w:bookmarkStart w:id="829" w:name="_Toc424760379"/>
      <w:bookmarkStart w:id="830" w:name="_Toc411394461"/>
      <w:bookmarkStart w:id="831" w:name="_Toc515679467"/>
      <w:bookmarkStart w:id="832" w:name="_Toc50453965"/>
      <w:bookmarkStart w:id="833" w:name="_Toc48042102"/>
      <w:bookmarkStart w:id="834" w:name="_Toc50861891"/>
      <w:bookmarkStart w:id="835" w:name="_Toc50861755"/>
      <w:bookmarkStart w:id="836" w:name="_Toc48120241"/>
      <w:bookmarkStart w:id="837" w:name="_Toc515966093"/>
      <w:bookmarkStart w:id="838" w:name="_Toc239861063"/>
      <w:bookmarkStart w:id="839" w:name="_Toc1040063"/>
      <w:bookmarkStart w:id="840" w:name="_Toc51213958"/>
      <w:bookmarkStart w:id="841" w:name="_Toc48101174"/>
      <w:bookmarkStart w:id="842" w:name="_Toc51225636"/>
      <w:bookmarkStart w:id="843" w:name="_Toc50860386"/>
      <w:bookmarkStart w:id="844" w:name="_Toc515348059"/>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845" w:name="_市建委导致的延误_1"/>
      <w:bookmarkEnd w:id="845"/>
      <w:bookmarkStart w:id="846" w:name="_Toc3671"/>
      <w:bookmarkStart w:id="847" w:name="_Ref447621138"/>
      <w:bookmarkStart w:id="848" w:name="_Toc14991"/>
      <w:bookmarkStart w:id="849" w:name="_Toc21624"/>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导致的延</w:t>
      </w:r>
      <w:bookmarkEnd w:id="828"/>
      <w:bookmarkEnd w:id="829"/>
      <w:bookmarkEnd w:id="830"/>
      <w:r>
        <w:rPr>
          <w:rFonts w:hint="eastAsia" w:asciiTheme="minorEastAsia" w:hAnsiTheme="minorEastAsia" w:eastAsiaTheme="minorEastAsia" w:cstheme="minorEastAsia"/>
          <w:color w:val="auto"/>
        </w:rPr>
        <w:t>误</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6"/>
      <w:bookmarkEnd w:id="847"/>
      <w:bookmarkEnd w:id="848"/>
      <w:bookmarkEnd w:id="849"/>
    </w:p>
    <w:p>
      <w:pPr>
        <w:pStyle w:val="5"/>
        <w:rPr>
          <w:rFonts w:hint="eastAsia" w:asciiTheme="minorEastAsia" w:hAnsiTheme="minorEastAsia" w:eastAsiaTheme="minorEastAsia" w:cstheme="minorEastAsia"/>
          <w:color w:val="auto"/>
        </w:rPr>
      </w:pPr>
      <w:bookmarkStart w:id="850" w:name="_由于市建委的原因导致竣工日延误，则有关进度日期应根据第6.5.4条款适"/>
      <w:bookmarkEnd w:id="850"/>
      <w:bookmarkStart w:id="851" w:name="_由于市建委的原因导致竣工日延误，则有关进度日期应根据第8.5.4条款适"/>
      <w:bookmarkEnd w:id="851"/>
      <w:bookmarkStart w:id="852" w:name="_由于市公用局的原因导致商业试运行或商业运行延误，则有关进度日期应根据第6.3."/>
      <w:bookmarkEnd w:id="852"/>
      <w:bookmarkStart w:id="853" w:name="_Ref87517558"/>
      <w:r>
        <w:rPr>
          <w:rFonts w:hint="eastAsia" w:asciiTheme="minorEastAsia" w:hAnsiTheme="minorEastAsia" w:eastAsiaTheme="minorEastAsia" w:cstheme="minorEastAsia"/>
          <w:color w:val="auto"/>
        </w:rPr>
        <w:t>由于</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的原因导致竣工日延误，则有关进度日期适当延长</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lang w:val="en-US" w:eastAsia="zh-CN"/>
        </w:rPr>
        <w:t>建设期延长</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，合作期不变。</w:t>
      </w:r>
      <w:bookmarkEnd w:id="853"/>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除第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_Ref87517558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9.1.1</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条款的规定外，</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就该等延误造成的任何损失、费用或损害对</w:t>
      </w:r>
      <w:r>
        <w:rPr>
          <w:rFonts w:hint="eastAsia" w:asciiTheme="minorEastAsia" w:hAnsiTheme="minorEastAsia" w:eastAsiaTheme="minorEastAsia" w:cstheme="minorEastAsia"/>
          <w:bCs/>
          <w:color w:val="auto"/>
        </w:rPr>
        <w:t>项目</w:t>
      </w:r>
      <w:r>
        <w:rPr>
          <w:rFonts w:hint="eastAsia" w:asciiTheme="minorEastAsia" w:hAnsiTheme="minorEastAsia" w:eastAsiaTheme="minorEastAsia" w:cstheme="minorEastAsia"/>
          <w:color w:val="auto"/>
        </w:rPr>
        <w:t>公司不再承担其他责任。</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854" w:name="_项目公司导致的商业试运行日和最终完工日延误"/>
      <w:bookmarkEnd w:id="854"/>
      <w:bookmarkStart w:id="855" w:name="_项目公司导致的延误"/>
      <w:bookmarkEnd w:id="855"/>
      <w:bookmarkStart w:id="856" w:name="_Toc424760381"/>
      <w:bookmarkStart w:id="857" w:name="_Toc412914230"/>
      <w:bookmarkStart w:id="858" w:name="_Toc411394463"/>
      <w:bookmarkStart w:id="859" w:name="_Toc48042104"/>
      <w:bookmarkStart w:id="860" w:name="_Toc51213959"/>
      <w:bookmarkStart w:id="861" w:name="_Toc515966095"/>
      <w:bookmarkStart w:id="862" w:name="_Ref447621148"/>
      <w:bookmarkStart w:id="863" w:name="_Toc515679469"/>
      <w:bookmarkStart w:id="864" w:name="_Toc1040065"/>
      <w:bookmarkStart w:id="865" w:name="_Toc48101176"/>
      <w:bookmarkStart w:id="866" w:name="_Toc50861892"/>
      <w:bookmarkStart w:id="867" w:name="_Toc515348061"/>
      <w:bookmarkStart w:id="868" w:name="_Toc50861756"/>
      <w:bookmarkStart w:id="869" w:name="_Toc48120243"/>
      <w:bookmarkStart w:id="870" w:name="_Toc239861064"/>
      <w:bookmarkStart w:id="871" w:name="_Toc51225637"/>
      <w:bookmarkStart w:id="872" w:name="_Toc5118"/>
      <w:bookmarkStart w:id="873" w:name="_Toc50453966"/>
      <w:bookmarkStart w:id="874" w:name="_Ref447624917"/>
      <w:bookmarkStart w:id="875" w:name="_Toc50860387"/>
      <w:bookmarkStart w:id="876" w:name="_Toc28232"/>
      <w:bookmarkStart w:id="877" w:name="_Toc2527"/>
      <w:r>
        <w:rPr>
          <w:rFonts w:hint="eastAsia" w:asciiTheme="minorEastAsia" w:hAnsiTheme="minorEastAsia" w:eastAsiaTheme="minorEastAsia" w:cstheme="minorEastAsia"/>
          <w:bCs/>
          <w:color w:val="auto"/>
        </w:rPr>
        <w:t>项目</w:t>
      </w:r>
      <w:r>
        <w:rPr>
          <w:rFonts w:hint="eastAsia" w:asciiTheme="minorEastAsia" w:hAnsiTheme="minorEastAsia" w:eastAsiaTheme="minorEastAsia" w:cstheme="minorEastAsia"/>
          <w:color w:val="auto"/>
        </w:rPr>
        <w:t>公司</w:t>
      </w:r>
      <w:r>
        <w:rPr>
          <w:rFonts w:hint="eastAsia" w:asciiTheme="minorEastAsia" w:hAnsiTheme="minorEastAsia" w:eastAsiaTheme="minorEastAsia" w:cstheme="minorEastAsia"/>
          <w:color w:val="auto"/>
          <w:lang w:val="en-US" w:eastAsia="zh-CN"/>
        </w:rPr>
        <w:t>或其关联方</w:t>
      </w:r>
      <w:r>
        <w:rPr>
          <w:rFonts w:hint="eastAsia" w:asciiTheme="minorEastAsia" w:hAnsiTheme="minorEastAsia" w:eastAsiaTheme="minorEastAsia" w:cstheme="minorEastAsia"/>
          <w:color w:val="auto"/>
        </w:rPr>
        <w:t>导致的延</w:t>
      </w:r>
      <w:bookmarkEnd w:id="856"/>
      <w:bookmarkEnd w:id="857"/>
      <w:bookmarkEnd w:id="858"/>
      <w:r>
        <w:rPr>
          <w:rFonts w:hint="eastAsia" w:asciiTheme="minorEastAsia" w:hAnsiTheme="minorEastAsia" w:eastAsiaTheme="minorEastAsia" w:cstheme="minorEastAsia"/>
          <w:color w:val="auto"/>
        </w:rPr>
        <w:t>误</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pPr>
        <w:pStyle w:val="5"/>
        <w:rPr>
          <w:rFonts w:hint="eastAsia" w:asciiTheme="minorEastAsia" w:hAnsiTheme="minorEastAsia" w:eastAsiaTheme="minorEastAsia" w:cstheme="minorEastAsia"/>
          <w:color w:val="auto"/>
        </w:rPr>
      </w:pPr>
      <w:bookmarkStart w:id="878" w:name="_因项目公司原因导致竣工日延误，则有关进度日期在取得市建委的书面同意下根"/>
      <w:bookmarkEnd w:id="878"/>
      <w:bookmarkStart w:id="879" w:name="_Ref87517577"/>
      <w:r>
        <w:rPr>
          <w:rFonts w:hint="eastAsia" w:asciiTheme="minorEastAsia" w:hAnsiTheme="minorEastAsia" w:eastAsiaTheme="minorEastAsia" w:cstheme="minorEastAsia"/>
          <w:color w:val="auto"/>
        </w:rPr>
        <w:t>因项目公司原因或其关联方导致竣工日延误，则有关进度日期在取得</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的书面同意下根据第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_Ref447623593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7.5.4</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条款适当延长，合作期不变，项目公司除继续承担第</w:t>
      </w:r>
      <w:r>
        <w:rPr>
          <w:rFonts w:hint="eastAsia" w:asciiTheme="minorEastAsia" w:hAnsiTheme="minorEastAsia" w:eastAsiaTheme="minorEastAsia" w:cstheme="minorEastAsia"/>
          <w:color w:val="auto"/>
          <w:lang w:val="en-US" w:eastAsia="zh-CN"/>
        </w:rPr>
        <w:t>7.2.4</w:t>
      </w:r>
      <w:r>
        <w:rPr>
          <w:rFonts w:hint="eastAsia" w:asciiTheme="minorEastAsia" w:hAnsiTheme="minorEastAsia" w:eastAsiaTheme="minorEastAsia" w:cstheme="minorEastAsia"/>
          <w:color w:val="auto"/>
        </w:rPr>
        <w:t>条款项下项目公司的义务外，还应就此等延误逐日向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支付</w:t>
      </w:r>
      <w:r>
        <w:rPr>
          <w:rFonts w:hint="eastAsia" w:asciiTheme="minorEastAsia" w:hAnsiTheme="minorEastAsia" w:eastAsiaTheme="minorEastAsia" w:cstheme="minorEastAsia"/>
          <w:color w:val="auto"/>
          <w:highlight w:val="none"/>
        </w:rPr>
        <w:t>第</w:t>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REF _Ref447623493 \r \h  \* MERGEFORMAT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21.1.1</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color w:val="auto"/>
          <w:highlight w:val="none"/>
        </w:rPr>
        <w:t>条</w:t>
      </w:r>
      <w:r>
        <w:rPr>
          <w:rFonts w:hint="eastAsia" w:asciiTheme="minorEastAsia" w:hAnsiTheme="minorEastAsia" w:eastAsiaTheme="minorEastAsia" w:cstheme="minorEastAsia"/>
          <w:color w:val="auto"/>
        </w:rPr>
        <w:t>款规定的违约金。</w:t>
      </w:r>
      <w:bookmarkEnd w:id="879"/>
    </w:p>
    <w:p>
      <w:pPr>
        <w:pStyle w:val="3"/>
        <w:spacing w:before="120" w:beforeLines="50" w:afterLines="50"/>
        <w:rPr>
          <w:rFonts w:hint="eastAsia" w:asciiTheme="minorEastAsia" w:hAnsiTheme="minorEastAsia" w:eastAsiaTheme="minorEastAsia" w:cstheme="minorEastAsia"/>
          <w:color w:val="auto"/>
        </w:rPr>
      </w:pPr>
      <w:bookmarkStart w:id="880" w:name="_Toc21062"/>
      <w:bookmarkStart w:id="881" w:name="_Toc31664"/>
      <w:bookmarkStart w:id="882" w:name="_Toc20889"/>
      <w:r>
        <w:rPr>
          <w:rFonts w:hint="eastAsia" w:asciiTheme="minorEastAsia" w:hAnsiTheme="minorEastAsia" w:eastAsiaTheme="minorEastAsia" w:cstheme="minorEastAsia"/>
          <w:color w:val="auto"/>
        </w:rPr>
        <w:t>不可抗力及其他约定共同承担风险事项导致的延误</w:t>
      </w:r>
      <w:bookmarkEnd w:id="880"/>
      <w:bookmarkEnd w:id="881"/>
      <w:bookmarkEnd w:id="882"/>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由于不可抗力及其他</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和项目公司约定共同承担风险事项等原因导致竣工验收日延误，则有关进度日期应根据</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"_进度日期的延长"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color w:val="auto"/>
        </w:rPr>
        <w:t>第</w:t>
      </w:r>
      <w:r>
        <w:rPr>
          <w:rFonts w:hint="eastAsia" w:asciiTheme="minorEastAsia" w:hAnsiTheme="minorEastAsia" w:eastAsiaTheme="minorEastAsia" w:cstheme="minorEastAsia"/>
          <w:color w:val="auto"/>
          <w:lang w:val="en-US" w:eastAsia="zh-CN"/>
        </w:rPr>
        <w:t>7</w:t>
      </w:r>
      <w:r>
        <w:rPr>
          <w:rFonts w:hint="eastAsia" w:asciiTheme="minorEastAsia" w:hAnsiTheme="minorEastAsia" w:eastAsiaTheme="minorEastAsia" w:cstheme="minorEastAsia"/>
          <w:color w:val="auto"/>
        </w:rPr>
        <w:t>.5.4条款</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适当延长，合作期不变，由</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和项目公司各自承担相应损失。</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883" w:name="_Toc378234933"/>
      <w:bookmarkEnd w:id="883"/>
      <w:bookmarkStart w:id="884" w:name="_放弃"/>
      <w:bookmarkEnd w:id="884"/>
      <w:bookmarkStart w:id="885" w:name="_Toc87620136"/>
      <w:bookmarkEnd w:id="885"/>
      <w:bookmarkStart w:id="886" w:name="_Toc87620316"/>
      <w:bookmarkEnd w:id="886"/>
      <w:bookmarkStart w:id="887" w:name="_Toc411394466"/>
      <w:bookmarkStart w:id="888" w:name="_Toc424760384"/>
      <w:bookmarkStart w:id="889" w:name="_Toc412914233"/>
      <w:bookmarkStart w:id="890" w:name="_Toc50860388"/>
      <w:bookmarkStart w:id="891" w:name="_Toc50861757"/>
      <w:bookmarkStart w:id="892" w:name="_Toc48042105"/>
      <w:bookmarkStart w:id="893" w:name="_Toc515348064"/>
      <w:bookmarkStart w:id="894" w:name="_Toc51225638"/>
      <w:bookmarkStart w:id="895" w:name="_Toc515966098"/>
      <w:bookmarkStart w:id="896" w:name="_Toc48120244"/>
      <w:bookmarkStart w:id="897" w:name="_Ref447625185"/>
      <w:bookmarkStart w:id="898" w:name="_Toc50453967"/>
      <w:bookmarkStart w:id="899" w:name="_Toc48101177"/>
      <w:bookmarkStart w:id="900" w:name="_Toc25319"/>
      <w:bookmarkStart w:id="901" w:name="_Toc515679472"/>
      <w:bookmarkStart w:id="902" w:name="_Toc1040068"/>
      <w:bookmarkStart w:id="903" w:name="_Toc50861893"/>
      <w:bookmarkStart w:id="904" w:name="_Toc239861065"/>
      <w:bookmarkStart w:id="905" w:name="_Toc51213960"/>
      <w:bookmarkStart w:id="906" w:name="_Toc15986"/>
      <w:bookmarkStart w:id="907" w:name="_Toc5325"/>
      <w:r>
        <w:rPr>
          <w:rFonts w:hint="eastAsia" w:asciiTheme="minorEastAsia" w:hAnsiTheme="minorEastAsia" w:eastAsiaTheme="minorEastAsia" w:cstheme="minorEastAsia"/>
          <w:color w:val="auto"/>
        </w:rPr>
        <w:t>放</w:t>
      </w:r>
      <w:bookmarkEnd w:id="887"/>
      <w:bookmarkEnd w:id="888"/>
      <w:bookmarkEnd w:id="889"/>
      <w:r>
        <w:rPr>
          <w:rFonts w:hint="eastAsia" w:asciiTheme="minorEastAsia" w:hAnsiTheme="minorEastAsia" w:eastAsiaTheme="minorEastAsia" w:cstheme="minorEastAsia"/>
          <w:color w:val="auto"/>
        </w:rPr>
        <w:t>弃</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pPr>
        <w:pStyle w:val="5"/>
        <w:rPr>
          <w:rFonts w:hint="eastAsia" w:asciiTheme="minorEastAsia" w:hAnsiTheme="minorEastAsia" w:eastAsiaTheme="minorEastAsia" w:cstheme="minorEastAsia"/>
          <w:color w:val="auto"/>
        </w:rPr>
      </w:pPr>
      <w:bookmarkStart w:id="908" w:name="_如果除市公用局的违约或不可抗力或第6.3.3(c)条款所述情况以外的任何原因，"/>
      <w:bookmarkEnd w:id="908"/>
      <w:bookmarkStart w:id="909" w:name="_Ref447624952"/>
      <w:r>
        <w:rPr>
          <w:rFonts w:hint="eastAsia" w:asciiTheme="minorEastAsia" w:hAnsiTheme="minorEastAsia" w:eastAsiaTheme="minorEastAsia" w:cstheme="minorEastAsia"/>
          <w:color w:val="auto"/>
        </w:rPr>
        <w:t>如果除法律变更、不可抗力或</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"_由于长沙市政府有关职能部门在正式受理项目公司或市公用局报批申请后违反适用法律规"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color w:val="auto"/>
        </w:rPr>
        <w:t>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_Ref447623652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7.5.3（d）</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所述情况以外的任何原因，项目公司出现下列情况，则项目的建设应视为已被项目公司放弃：</w:t>
      </w:r>
      <w:bookmarkEnd w:id="909"/>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书面通知</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其已终止建设工程，且不打算重新开始施工</w:t>
      </w:r>
      <w:r>
        <w:rPr>
          <w:rFonts w:hint="eastAsia" w:asciiTheme="minorEastAsia" w:hAnsiTheme="minorEastAsia" w:eastAsiaTheme="minorEastAsia" w:cstheme="minorEastAsia"/>
          <w:lang w:eastAsia="zh-CN"/>
        </w:rPr>
        <w:t>；</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因项目公司原因，在具备开工条件下未能在第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_Ref86655543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7.5.1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条款规定的开始建设工程日期（该日期可按第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_Ref447623593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7.5.4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条款推迟）后三十（30）日内开始建设工程</w:t>
      </w:r>
      <w:r>
        <w:rPr>
          <w:rFonts w:hint="eastAsia" w:asciiTheme="minorEastAsia" w:hAnsiTheme="minorEastAsia" w:eastAsiaTheme="minorEastAsia" w:cstheme="minorEastAsia"/>
          <w:lang w:eastAsia="zh-CN"/>
        </w:rPr>
        <w:t>；</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未能在任何法律变更、不可抗力事件或</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"_由于长沙市政府有关职能部门在正式受理项目公司或市公用局报批申请后违反适用法律规"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_Ref447623652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7.5.3（d）</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条款</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规定的情况结束且具备施工条件后六十（60）日内恢复建设工程施工；</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在最终竣工日之前停止建设工程或者直接或通过建设承包商从项目场地撤走全部或大部分的工作人员，但因在建设工程停止之日后三十（30）日内更换建设承包商除外；</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因项目公司原因，未能在最终竣工日（根据第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_Ref447623593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7.5.4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条款规定可予以延长）后一百八十（180）日内开始正式运营。</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如果项目公司与</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按第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_Ref86656004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7.5.3</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条款就最后期限不能达成一致，项目公司可以提出放弃。</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如果项目公司放弃，视为项目公司的严重违约，应适用于第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_Ref447623760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22.7</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条的规定。</w:t>
      </w:r>
    </w:p>
    <w:p>
      <w:pPr>
        <w:pStyle w:val="2"/>
        <w:keepNext w:val="0"/>
        <w:widowControl w:val="0"/>
        <w:numPr>
          <w:ilvl w:val="0"/>
          <w:numId w:val="0"/>
        </w:numPr>
        <w:spacing w:before="120" w:beforeLines="50" w:afterLines="50" w:line="360" w:lineRule="auto"/>
        <w:ind w:left="2401"/>
        <w:jc w:val="both"/>
        <w:rPr>
          <w:rFonts w:hint="eastAsia" w:asciiTheme="minorEastAsia" w:hAnsiTheme="minorEastAsia" w:eastAsiaTheme="minorEastAsia" w:cstheme="minorEastAsia"/>
        </w:rPr>
        <w:sectPr>
          <w:pgSz w:w="11907" w:h="16840"/>
          <w:pgMar w:top="1418" w:right="1418" w:bottom="1418" w:left="1418" w:header="567" w:footer="992" w:gutter="0"/>
          <w:pgNumType w:fmt="decimal"/>
          <w:cols w:space="425" w:num="1"/>
          <w:docGrid w:linePitch="326" w:charSpace="0"/>
        </w:sectPr>
      </w:pPr>
    </w:p>
    <w:p>
      <w:pPr>
        <w:pStyle w:val="37"/>
        <w:spacing w:after="120" w:afterLines="50"/>
        <w:rPr>
          <w:rFonts w:hint="eastAsia" w:asciiTheme="minorEastAsia" w:hAnsiTheme="minorEastAsia" w:eastAsiaTheme="minorEastAsia" w:cstheme="minorEastAsia"/>
        </w:rPr>
      </w:pPr>
      <w:bookmarkStart w:id="910" w:name="_Toc25349"/>
      <w:bookmarkStart w:id="911" w:name="_Toc18218"/>
      <w:bookmarkStart w:id="912" w:name="_Toc17783"/>
      <w:r>
        <w:rPr>
          <w:rFonts w:hint="eastAsia" w:asciiTheme="minorEastAsia" w:hAnsiTheme="minorEastAsia" w:eastAsiaTheme="minorEastAsia" w:cstheme="minorEastAsia"/>
        </w:rPr>
        <w:t>运行与投入运营</w:t>
      </w:r>
      <w:bookmarkEnd w:id="910"/>
      <w:bookmarkEnd w:id="911"/>
      <w:bookmarkEnd w:id="912"/>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913" w:name="_Toc447743406"/>
      <w:bookmarkEnd w:id="913"/>
      <w:bookmarkStart w:id="914" w:name="_Toc489977843"/>
      <w:bookmarkEnd w:id="914"/>
      <w:bookmarkStart w:id="915" w:name="_Toc489986188"/>
      <w:bookmarkEnd w:id="915"/>
      <w:bookmarkStart w:id="916" w:name="_Toc448073145"/>
      <w:bookmarkEnd w:id="916"/>
      <w:bookmarkStart w:id="917" w:name="_Toc447632695"/>
      <w:bookmarkEnd w:id="917"/>
      <w:bookmarkStart w:id="918" w:name="_Toc489988449"/>
      <w:bookmarkEnd w:id="918"/>
      <w:bookmarkStart w:id="919" w:name="_Toc490036520"/>
      <w:bookmarkEnd w:id="919"/>
      <w:bookmarkStart w:id="920" w:name="_Toc447534556"/>
      <w:bookmarkEnd w:id="920"/>
      <w:bookmarkStart w:id="921" w:name="_Toc447534724"/>
      <w:bookmarkEnd w:id="921"/>
      <w:bookmarkStart w:id="922" w:name="_Toc447850033"/>
      <w:bookmarkEnd w:id="922"/>
      <w:bookmarkStart w:id="923" w:name="_Toc448056112"/>
      <w:bookmarkEnd w:id="923"/>
      <w:bookmarkStart w:id="924" w:name="_Toc491687929"/>
      <w:bookmarkEnd w:id="924"/>
      <w:bookmarkStart w:id="925" w:name="_Toc490035129"/>
      <w:bookmarkEnd w:id="925"/>
      <w:bookmarkStart w:id="926" w:name="_Toc493453877"/>
      <w:bookmarkEnd w:id="926"/>
      <w:bookmarkStart w:id="927" w:name="_Toc447620444"/>
      <w:bookmarkEnd w:id="927"/>
      <w:bookmarkStart w:id="928" w:name="_Toc491257779"/>
      <w:bookmarkEnd w:id="928"/>
      <w:bookmarkStart w:id="929" w:name="_Toc20311"/>
      <w:bookmarkEnd w:id="929"/>
      <w:bookmarkStart w:id="930" w:name="_Toc448051272"/>
      <w:bookmarkEnd w:id="930"/>
      <w:bookmarkStart w:id="931" w:name="_Toc490081467"/>
      <w:bookmarkEnd w:id="931"/>
      <w:bookmarkStart w:id="932" w:name="_Toc448055721"/>
      <w:bookmarkEnd w:id="932"/>
      <w:bookmarkStart w:id="933" w:name="_Toc491680658"/>
      <w:bookmarkEnd w:id="933"/>
      <w:bookmarkStart w:id="934" w:name="_商业试运行"/>
      <w:bookmarkEnd w:id="934"/>
      <w:bookmarkStart w:id="935" w:name="_Toc448046053"/>
      <w:bookmarkEnd w:id="935"/>
      <w:bookmarkStart w:id="936" w:name="_Toc448051454"/>
      <w:bookmarkEnd w:id="936"/>
      <w:bookmarkStart w:id="937" w:name="_Toc448054717"/>
      <w:bookmarkEnd w:id="937"/>
      <w:bookmarkStart w:id="938" w:name="_Toc493454837"/>
      <w:bookmarkEnd w:id="938"/>
      <w:bookmarkStart w:id="939" w:name="_Toc454482286"/>
      <w:bookmarkEnd w:id="939"/>
      <w:bookmarkStart w:id="940" w:name="_Toc454489387"/>
      <w:bookmarkEnd w:id="940"/>
      <w:bookmarkStart w:id="941" w:name="_Toc491687733"/>
      <w:bookmarkEnd w:id="941"/>
      <w:bookmarkStart w:id="942" w:name="_Toc454572567"/>
      <w:bookmarkEnd w:id="942"/>
      <w:bookmarkStart w:id="943" w:name="_Toc490090525"/>
      <w:bookmarkEnd w:id="943"/>
      <w:bookmarkStart w:id="944" w:name="_Toc491193651"/>
      <w:bookmarkEnd w:id="944"/>
      <w:bookmarkStart w:id="945" w:name="_Toc447744496"/>
      <w:bookmarkEnd w:id="945"/>
      <w:bookmarkStart w:id="946" w:name="_Toc489977662"/>
      <w:bookmarkEnd w:id="946"/>
      <w:bookmarkStart w:id="947" w:name="_Toc447847383"/>
      <w:bookmarkEnd w:id="947"/>
      <w:bookmarkStart w:id="948" w:name="_Toc454506747"/>
      <w:bookmarkEnd w:id="948"/>
      <w:bookmarkStart w:id="949" w:name="_Toc17468"/>
      <w:bookmarkEnd w:id="949"/>
      <w:bookmarkStart w:id="950" w:name="_Toc10329"/>
      <w:bookmarkEnd w:id="950"/>
      <w:bookmarkStart w:id="951" w:name="_Toc239861057"/>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952" w:name="_Toc31818"/>
      <w:bookmarkStart w:id="953" w:name="_Ref447967034"/>
      <w:bookmarkStart w:id="954" w:name="_Toc10441"/>
      <w:bookmarkStart w:id="955" w:name="_Toc13827"/>
      <w:r>
        <w:rPr>
          <w:rFonts w:hint="eastAsia" w:asciiTheme="minorEastAsia" w:hAnsiTheme="minorEastAsia" w:eastAsiaTheme="minorEastAsia" w:cstheme="minorEastAsia"/>
          <w:color w:val="auto"/>
          <w:lang w:val="en-US" w:eastAsia="zh-CN"/>
        </w:rPr>
        <w:t>项目</w:t>
      </w:r>
      <w:r>
        <w:rPr>
          <w:rFonts w:hint="eastAsia" w:asciiTheme="minorEastAsia" w:hAnsiTheme="minorEastAsia" w:eastAsiaTheme="minorEastAsia" w:cstheme="minorEastAsia"/>
          <w:color w:val="auto"/>
        </w:rPr>
        <w:t>运行</w:t>
      </w:r>
      <w:bookmarkEnd w:id="951"/>
      <w:bookmarkEnd w:id="952"/>
      <w:bookmarkEnd w:id="953"/>
      <w:bookmarkEnd w:id="954"/>
      <w:bookmarkEnd w:id="955"/>
    </w:p>
    <w:p>
      <w:pPr>
        <w:pStyle w:val="5"/>
        <w:rPr>
          <w:rFonts w:hint="eastAsia" w:asciiTheme="minorEastAsia" w:hAnsiTheme="minorEastAsia" w:eastAsiaTheme="minorEastAsia" w:cstheme="minorEastAsia"/>
          <w:color w:val="auto"/>
        </w:rPr>
      </w:pPr>
      <w:bookmarkStart w:id="956" w:name="_项目工程通过第7.1.1条款、第7.1.2条款和第7.1.3条款要求的"/>
      <w:bookmarkEnd w:id="956"/>
      <w:bookmarkStart w:id="957" w:name="_污水处理厂在调试阶段持续稳定运行三十（30）日后，项目公司可向市公用局发出开始"/>
      <w:bookmarkEnd w:id="957"/>
      <w:bookmarkStart w:id="958" w:name="OLE_LINK24"/>
      <w:bookmarkStart w:id="959" w:name="OLE_LINK23"/>
      <w:r>
        <w:rPr>
          <w:rFonts w:hint="eastAsia" w:asciiTheme="minorEastAsia" w:hAnsiTheme="minorEastAsia" w:eastAsiaTheme="minorEastAsia" w:cstheme="minorEastAsia"/>
          <w:color w:val="auto"/>
        </w:rPr>
        <w:t>项目运行为项目公司对本项目的管廊设施的测试和调试，测试和调试的内容应包括消防、供电、照明、监控与报警、通风、排水等设施的性能</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在项目运行阶段，项目公司应协助入廊管线单位完成对入廊管线性能的测试和调试。</w:t>
      </w:r>
    </w:p>
    <w:bookmarkEnd w:id="958"/>
    <w:bookmarkEnd w:id="959"/>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项目工程通过第</w:t>
      </w:r>
      <w:r>
        <w:rPr>
          <w:rFonts w:hint="eastAsia" w:asciiTheme="minorEastAsia" w:hAnsiTheme="minorEastAsia" w:eastAsiaTheme="minorEastAsia" w:cstheme="minorEastAsia"/>
          <w:color w:val="auto"/>
          <w:lang w:val="en-US" w:eastAsia="zh-CN"/>
        </w:rPr>
        <w:t>8</w:t>
      </w:r>
      <w:r>
        <w:rPr>
          <w:rFonts w:hint="eastAsia" w:asciiTheme="minorEastAsia" w:hAnsiTheme="minorEastAsia" w:eastAsiaTheme="minorEastAsia" w:cstheme="minorEastAsia"/>
          <w:color w:val="auto"/>
        </w:rPr>
        <w:t>.1条、第</w:t>
      </w:r>
      <w:r>
        <w:rPr>
          <w:rFonts w:hint="eastAsia" w:asciiTheme="minorEastAsia" w:hAnsiTheme="minorEastAsia" w:eastAsiaTheme="minorEastAsia" w:cstheme="minorEastAsia"/>
          <w:color w:val="auto"/>
          <w:lang w:val="en-US" w:eastAsia="zh-CN"/>
        </w:rPr>
        <w:t>8</w:t>
      </w:r>
      <w:r>
        <w:rPr>
          <w:rFonts w:hint="eastAsia" w:asciiTheme="minorEastAsia" w:hAnsiTheme="minorEastAsia" w:eastAsiaTheme="minorEastAsia" w:cstheme="minorEastAsia"/>
          <w:color w:val="auto"/>
        </w:rPr>
        <w:t>.2条</w:t>
      </w:r>
      <w:r>
        <w:rPr>
          <w:rFonts w:hint="eastAsia" w:asciiTheme="minorEastAsia" w:hAnsiTheme="minorEastAsia" w:eastAsiaTheme="minorEastAsia" w:cstheme="minorEastAsia"/>
          <w:color w:val="auto"/>
          <w:lang w:val="en-US" w:eastAsia="zh-CN"/>
        </w:rPr>
        <w:t>和</w:t>
      </w:r>
      <w:r>
        <w:rPr>
          <w:rFonts w:hint="eastAsia" w:asciiTheme="minorEastAsia" w:hAnsiTheme="minorEastAsia" w:eastAsiaTheme="minorEastAsia" w:cstheme="minorEastAsia"/>
          <w:color w:val="auto"/>
        </w:rPr>
        <w:t>第</w:t>
      </w:r>
      <w:r>
        <w:rPr>
          <w:rFonts w:hint="eastAsia" w:asciiTheme="minorEastAsia" w:hAnsiTheme="minorEastAsia" w:eastAsiaTheme="minorEastAsia" w:cstheme="minorEastAsia"/>
          <w:color w:val="auto"/>
          <w:lang w:val="en-US" w:eastAsia="zh-CN"/>
        </w:rPr>
        <w:t>8</w:t>
      </w:r>
      <w:r>
        <w:rPr>
          <w:rFonts w:hint="eastAsia" w:asciiTheme="minorEastAsia" w:hAnsiTheme="minorEastAsia" w:eastAsiaTheme="minorEastAsia" w:cstheme="minorEastAsia"/>
          <w:color w:val="auto"/>
        </w:rPr>
        <w:t>.3条要求的全部验收后五（5）个工作日内，项目公司应向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发出开始运行的通知，</w:t>
      </w:r>
      <w:bookmarkStart w:id="960" w:name="_自开始商业试运行日或视为同意开始商业试运行当日，市公用局有义务向项目公"/>
      <w:bookmarkEnd w:id="960"/>
      <w:bookmarkStart w:id="961" w:name="_Ref339988649"/>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应自接到开始运行申请之日起的五（5）个工作日内书面通知项目公司是否同意开始运行。如果非项目公司原因导致</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否决运行申请，则</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须提供书面理由，</w:t>
      </w:r>
      <w:r>
        <w:rPr>
          <w:rFonts w:hint="eastAsia" w:asciiTheme="minorEastAsia" w:hAnsiTheme="minorEastAsia" w:eastAsiaTheme="minorEastAsia" w:cstheme="minorEastAsia"/>
          <w:color w:val="auto"/>
          <w:lang w:val="en-US" w:eastAsia="zh-CN"/>
        </w:rPr>
        <w:t>经</w:t>
      </w:r>
      <w:r>
        <w:rPr>
          <w:rFonts w:hint="eastAsia" w:asciiTheme="minorEastAsia" w:hAnsiTheme="minorEastAsia" w:eastAsiaTheme="minorEastAsia" w:cstheme="minorEastAsia"/>
          <w:color w:val="auto"/>
        </w:rPr>
        <w:t>双方协商解决。如果因项目公司原因导致</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不同意项目公司开始运行的申请，项目公司在收到</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不同意开始运行的书面通知后，应按照</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的意见，尽快纠正其存在的问题，并重新申请运行。</w:t>
      </w:r>
      <w:bookmarkEnd w:id="961"/>
    </w:p>
    <w:p>
      <w:pPr>
        <w:pStyle w:val="5"/>
        <w:rPr>
          <w:rFonts w:hint="eastAsia" w:asciiTheme="minorEastAsia" w:hAnsiTheme="minorEastAsia" w:eastAsiaTheme="minorEastAsia" w:cstheme="minorEastAsia"/>
          <w:color w:val="auto"/>
        </w:rPr>
      </w:pPr>
      <w:bookmarkStart w:id="962" w:name="_Ref87177433"/>
      <w:r>
        <w:rPr>
          <w:rFonts w:hint="eastAsia" w:asciiTheme="minorEastAsia" w:hAnsiTheme="minorEastAsia" w:eastAsiaTheme="minorEastAsia" w:cstheme="minorEastAsia"/>
          <w:color w:val="auto"/>
        </w:rPr>
        <w:t>自运行日（含当日）起</w:t>
      </w:r>
      <w:bookmarkEnd w:id="962"/>
      <w:r>
        <w:rPr>
          <w:rFonts w:hint="eastAsia" w:asciiTheme="minorEastAsia" w:hAnsiTheme="minorEastAsia" w:eastAsiaTheme="minorEastAsia" w:cstheme="minorEastAsia"/>
          <w:color w:val="auto"/>
        </w:rPr>
        <w:t>至运营日（不含当日）期间（即运行期），项目目公司无权向入廊单位收取入廊费和日常维护费。</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963" w:name="_完工和商业运行"/>
      <w:bookmarkEnd w:id="963"/>
      <w:bookmarkStart w:id="964" w:name="_自商业试运行日起算，本项目的商业试运行不得少于六十（60）日，项目公司应在该六"/>
      <w:bookmarkEnd w:id="964"/>
      <w:bookmarkStart w:id="965" w:name="_履约保函的解除"/>
      <w:bookmarkEnd w:id="965"/>
      <w:bookmarkStart w:id="966" w:name="_市公用局对提前完工的权利"/>
      <w:bookmarkEnd w:id="966"/>
      <w:bookmarkStart w:id="967" w:name="_Toc378356984"/>
      <w:bookmarkEnd w:id="967"/>
      <w:bookmarkStart w:id="968" w:name="_市公用局应在项目公司按照第9.3条款【维护保函】向市公用局提交维护保函"/>
      <w:bookmarkEnd w:id="968"/>
      <w:bookmarkStart w:id="969" w:name="_Toc14313"/>
      <w:bookmarkStart w:id="970" w:name="_Ref447967045"/>
      <w:bookmarkStart w:id="971" w:name="_Toc17287"/>
      <w:bookmarkStart w:id="972" w:name="_Toc27464"/>
      <w:bookmarkStart w:id="973" w:name="_Toc48120238"/>
      <w:bookmarkStart w:id="974" w:name="_Toc48042099"/>
      <w:bookmarkStart w:id="975" w:name="_Toc1040060"/>
      <w:bookmarkStart w:id="976" w:name="_Toc515966090"/>
      <w:bookmarkStart w:id="977" w:name="_Toc515348056"/>
      <w:bookmarkStart w:id="978" w:name="_Toc51225634"/>
      <w:bookmarkStart w:id="979" w:name="_Toc50861889"/>
      <w:bookmarkStart w:id="980" w:name="_Toc48101171"/>
      <w:bookmarkStart w:id="981" w:name="_Toc51213956"/>
      <w:bookmarkStart w:id="982" w:name="_Toc50861753"/>
      <w:bookmarkStart w:id="983" w:name="_Toc50453963"/>
      <w:bookmarkStart w:id="984" w:name="_Toc515679464"/>
      <w:bookmarkStart w:id="985" w:name="_Toc50860384"/>
      <w:r>
        <w:rPr>
          <w:rFonts w:hint="eastAsia" w:asciiTheme="minorEastAsia" w:hAnsiTheme="minorEastAsia" w:eastAsiaTheme="minorEastAsia" w:cstheme="minorEastAsia"/>
          <w:color w:val="auto"/>
        </w:rPr>
        <w:t>投入运营</w:t>
      </w:r>
      <w:bookmarkEnd w:id="969"/>
      <w:bookmarkEnd w:id="970"/>
      <w:bookmarkEnd w:id="971"/>
      <w:bookmarkEnd w:id="972"/>
    </w:p>
    <w:p>
      <w:pPr>
        <w:pStyle w:val="5"/>
        <w:rPr>
          <w:rFonts w:hint="eastAsia" w:asciiTheme="minorEastAsia" w:hAnsiTheme="minorEastAsia" w:eastAsiaTheme="minorEastAsia" w:cstheme="minorEastAsia"/>
          <w:color w:val="auto"/>
        </w:rPr>
      </w:pPr>
      <w:bookmarkStart w:id="986" w:name="_完工日"/>
      <w:bookmarkEnd w:id="986"/>
      <w:bookmarkStart w:id="987" w:name="_项目工程通过第7.1.4条款的竣工验收的一个月内，项目公司开始正式运营"/>
      <w:bookmarkEnd w:id="987"/>
      <w:r>
        <w:rPr>
          <w:rFonts w:hint="eastAsia" w:asciiTheme="minorEastAsia" w:hAnsiTheme="minorEastAsia" w:eastAsiaTheme="minorEastAsia" w:cstheme="minorEastAsia"/>
          <w:color w:val="auto"/>
        </w:rPr>
        <w:t>项目工程通过第</w:t>
      </w:r>
      <w:r>
        <w:rPr>
          <w:rFonts w:hint="eastAsia" w:asciiTheme="minorEastAsia" w:hAnsiTheme="minorEastAsia" w:eastAsiaTheme="minorEastAsia" w:cstheme="minorEastAsia"/>
          <w:color w:val="auto"/>
          <w:lang w:val="en-US" w:eastAsia="zh-CN"/>
        </w:rPr>
        <w:t>8</w:t>
      </w:r>
      <w:r>
        <w:rPr>
          <w:rFonts w:hint="eastAsia" w:asciiTheme="minorEastAsia" w:hAnsiTheme="minorEastAsia" w:eastAsiaTheme="minorEastAsia" w:cstheme="minorEastAsia"/>
          <w:color w:val="auto"/>
        </w:rPr>
        <w:t>.4条的竣工验收后五（5）个工作日内，项目公司应向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发出开始正式运营的通知，</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应自接到开始运营申请之日起的五（5）个工作日内书面通知项目公司是否同意开始运营，如果不同意须同时书面理由，如非项目公司原因导致</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不同意该申请，</w:t>
      </w:r>
      <w:r>
        <w:rPr>
          <w:rFonts w:hint="eastAsia" w:asciiTheme="minorEastAsia" w:hAnsiTheme="minorEastAsia" w:eastAsiaTheme="minorEastAsia" w:cstheme="minorEastAsia"/>
          <w:color w:val="auto"/>
          <w:lang w:val="en-US" w:eastAsia="zh-CN"/>
        </w:rPr>
        <w:t>经</w:t>
      </w:r>
      <w:r>
        <w:rPr>
          <w:rFonts w:hint="eastAsia" w:asciiTheme="minorEastAsia" w:hAnsiTheme="minorEastAsia" w:eastAsiaTheme="minorEastAsia" w:cstheme="minorEastAsia"/>
          <w:color w:val="auto"/>
        </w:rPr>
        <w:t>双方协商解决。</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如果因项目公司原因导致</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不同意项目公司开始运营的申请，项目公司在收到</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不同意开始运营的书面通知后，应按照</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的意见，尽快纠正其存在的问题，并按照前述规定重新申请运营。</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非项目公司原因导致项目无法投入运营或市城管局无正当理由不同意项目公司运营申请达30日的，应视为项目进入正式运营日。</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项目正式运营日为管廊项目设施正式投入使用之日。从正式运营日（含当日）起，项目公司可向入廊单位收取入廊费和日常维护费，并获得</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和市财政局支付的经绩效考核后的全部年度可行性缺口补助。</w:t>
      </w:r>
    </w:p>
    <w:bookmarkEnd w:id="973"/>
    <w:bookmarkEnd w:id="974"/>
    <w:bookmarkEnd w:id="975"/>
    <w:bookmarkEnd w:id="976"/>
    <w:bookmarkEnd w:id="977"/>
    <w:bookmarkEnd w:id="978"/>
    <w:bookmarkEnd w:id="979"/>
    <w:bookmarkEnd w:id="980"/>
    <w:bookmarkEnd w:id="981"/>
    <w:bookmarkEnd w:id="982"/>
    <w:bookmarkEnd w:id="983"/>
    <w:bookmarkEnd w:id="984"/>
    <w:bookmarkEnd w:id="985"/>
    <w:p>
      <w:pPr>
        <w:pStyle w:val="2"/>
        <w:keepNext w:val="0"/>
        <w:widowControl w:val="0"/>
        <w:spacing w:before="120" w:beforeLines="50" w:afterLines="50" w:line="360" w:lineRule="auto"/>
        <w:rPr>
          <w:rFonts w:hint="eastAsia" w:asciiTheme="minorEastAsia" w:hAnsiTheme="minorEastAsia" w:eastAsiaTheme="minorEastAsia" w:cstheme="minorEastAsia"/>
        </w:rPr>
        <w:sectPr>
          <w:pgSz w:w="11907" w:h="16840"/>
          <w:pgMar w:top="1418" w:right="1418" w:bottom="1418" w:left="1418" w:header="567" w:footer="992" w:gutter="0"/>
          <w:pgNumType w:fmt="decimal"/>
          <w:cols w:space="425" w:num="1"/>
          <w:docGrid w:linePitch="326" w:charSpace="0"/>
        </w:sectPr>
      </w:pPr>
      <w:bookmarkStart w:id="988" w:name="_市公用局对提前开始商业试运行和商业运行的权利"/>
      <w:bookmarkEnd w:id="988"/>
      <w:bookmarkStart w:id="989" w:name="_交付图纸和技术细节_1"/>
      <w:bookmarkEnd w:id="989"/>
      <w:bookmarkStart w:id="990" w:name="_Toc50861890"/>
      <w:bookmarkStart w:id="991" w:name="_Toc50860385"/>
      <w:bookmarkStart w:id="992" w:name="_Toc50861754"/>
      <w:bookmarkStart w:id="993" w:name="_Toc51213957"/>
      <w:bookmarkStart w:id="994" w:name="_Toc515679466"/>
      <w:bookmarkStart w:id="995" w:name="_Toc48101173"/>
      <w:bookmarkStart w:id="996" w:name="_Toc424760378"/>
      <w:bookmarkStart w:id="997" w:name="_Toc48042101"/>
      <w:bookmarkStart w:id="998" w:name="_Toc515966092"/>
      <w:bookmarkStart w:id="999" w:name="_Toc515348058"/>
      <w:bookmarkStart w:id="1000" w:name="_Toc50453964"/>
      <w:bookmarkStart w:id="1001" w:name="_Toc1040062"/>
      <w:bookmarkStart w:id="1002" w:name="_Toc51225635"/>
      <w:bookmarkStart w:id="1003" w:name="_Toc412914227"/>
      <w:bookmarkStart w:id="1004" w:name="_Toc411394460"/>
      <w:bookmarkStart w:id="1005" w:name="_Toc48120240"/>
    </w:p>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Pr>
        <w:pStyle w:val="37"/>
        <w:spacing w:after="120" w:afterLines="50"/>
        <w:rPr>
          <w:rFonts w:hint="eastAsia" w:asciiTheme="minorEastAsia" w:hAnsiTheme="minorEastAsia" w:eastAsiaTheme="minorEastAsia" w:cstheme="minorEastAsia"/>
        </w:rPr>
      </w:pPr>
      <w:bookmarkStart w:id="1006" w:name="_Toc1824"/>
      <w:bookmarkStart w:id="1007" w:name="_Toc239861066"/>
      <w:bookmarkStart w:id="1008" w:name="_Toc31355"/>
      <w:bookmarkStart w:id="1009" w:name="_Toc3427"/>
      <w:r>
        <w:rPr>
          <w:rFonts w:hint="eastAsia" w:asciiTheme="minorEastAsia" w:hAnsiTheme="minorEastAsia" w:eastAsiaTheme="minorEastAsia" w:cstheme="minorEastAsia"/>
        </w:rPr>
        <w:t>运营和维护</w:t>
      </w:r>
      <w:bookmarkEnd w:id="1006"/>
      <w:bookmarkEnd w:id="1007"/>
      <w:bookmarkEnd w:id="1008"/>
      <w:bookmarkEnd w:id="1009"/>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bCs/>
          <w:vanish/>
          <w:kern w:val="0"/>
          <w:sz w:val="28"/>
          <w:szCs w:val="20"/>
        </w:rPr>
      </w:pPr>
      <w:bookmarkStart w:id="1010" w:name="_Toc447534733"/>
      <w:bookmarkEnd w:id="1010"/>
      <w:bookmarkStart w:id="1011" w:name="_Toc490090529"/>
      <w:bookmarkEnd w:id="1011"/>
      <w:bookmarkStart w:id="1012" w:name="_Toc491193655"/>
      <w:bookmarkEnd w:id="1012"/>
      <w:bookmarkStart w:id="1013" w:name="_Toc448056121"/>
      <w:bookmarkEnd w:id="1013"/>
      <w:bookmarkStart w:id="1014" w:name="_Toc447534565"/>
      <w:bookmarkEnd w:id="1014"/>
      <w:bookmarkStart w:id="1015" w:name="_Toc447847392"/>
      <w:bookmarkEnd w:id="1015"/>
      <w:bookmarkStart w:id="1016" w:name="_Toc447620453"/>
      <w:bookmarkEnd w:id="1016"/>
      <w:bookmarkStart w:id="1017" w:name="_Toc489977852"/>
      <w:bookmarkEnd w:id="1017"/>
      <w:bookmarkStart w:id="1018" w:name="_Toc448054726"/>
      <w:bookmarkEnd w:id="1018"/>
      <w:bookmarkStart w:id="1019" w:name="_Toc454482295"/>
      <w:bookmarkEnd w:id="1019"/>
      <w:bookmarkStart w:id="1020" w:name="_Toc489977671"/>
      <w:bookmarkEnd w:id="1020"/>
      <w:bookmarkStart w:id="1021" w:name="_Toc489988458"/>
      <w:bookmarkEnd w:id="1021"/>
      <w:bookmarkStart w:id="1022" w:name="_Toc490035133"/>
      <w:bookmarkEnd w:id="1022"/>
      <w:bookmarkStart w:id="1023" w:name="_Toc454572576"/>
      <w:bookmarkEnd w:id="1023"/>
      <w:bookmarkStart w:id="1024" w:name="_Toc448051281"/>
      <w:bookmarkEnd w:id="1024"/>
      <w:bookmarkStart w:id="1025" w:name="_Toc490036524"/>
      <w:bookmarkEnd w:id="1025"/>
      <w:bookmarkStart w:id="1026" w:name="_Toc448051463"/>
      <w:bookmarkEnd w:id="1026"/>
      <w:bookmarkStart w:id="1027" w:name="_项目公司的主要义务_1"/>
      <w:bookmarkEnd w:id="1027"/>
      <w:bookmarkStart w:id="1028" w:name="_Toc491680662"/>
      <w:bookmarkEnd w:id="1028"/>
      <w:bookmarkStart w:id="1029" w:name="_Toc448073154"/>
      <w:bookmarkEnd w:id="1029"/>
      <w:bookmarkStart w:id="1030" w:name="_Toc447632704"/>
      <w:bookmarkEnd w:id="1030"/>
      <w:bookmarkStart w:id="1031" w:name="_Toc493454841"/>
      <w:bookmarkEnd w:id="1031"/>
      <w:bookmarkStart w:id="1032" w:name="_Toc491687737"/>
      <w:bookmarkEnd w:id="1032"/>
      <w:bookmarkStart w:id="1033" w:name="_Toc26435"/>
      <w:bookmarkEnd w:id="1033"/>
      <w:bookmarkStart w:id="1034" w:name="_Toc447850042"/>
      <w:bookmarkEnd w:id="1034"/>
      <w:bookmarkStart w:id="1035" w:name="_Toc447744505"/>
      <w:bookmarkEnd w:id="1035"/>
      <w:bookmarkStart w:id="1036" w:name="_Toc491687933"/>
      <w:bookmarkEnd w:id="1036"/>
      <w:bookmarkStart w:id="1037" w:name="_Toc493453881"/>
      <w:bookmarkEnd w:id="1037"/>
      <w:bookmarkStart w:id="1038" w:name="_Toc454489396"/>
      <w:bookmarkEnd w:id="1038"/>
      <w:bookmarkStart w:id="1039" w:name="_Toc448046062"/>
      <w:bookmarkEnd w:id="1039"/>
      <w:bookmarkStart w:id="1040" w:name="_Toc489986197"/>
      <w:bookmarkEnd w:id="1040"/>
      <w:bookmarkStart w:id="1041" w:name="_Toc447743415"/>
      <w:bookmarkEnd w:id="1041"/>
      <w:bookmarkStart w:id="1042" w:name="_Toc448055730"/>
      <w:bookmarkEnd w:id="1042"/>
      <w:bookmarkStart w:id="1043" w:name="_Toc490081471"/>
      <w:bookmarkEnd w:id="1043"/>
      <w:bookmarkStart w:id="1044" w:name="_Toc454506756"/>
      <w:bookmarkEnd w:id="1044"/>
      <w:bookmarkStart w:id="1045" w:name="_Toc491257783"/>
      <w:bookmarkEnd w:id="1045"/>
      <w:bookmarkStart w:id="1046" w:name="_Toc27980"/>
      <w:bookmarkEnd w:id="1046"/>
      <w:bookmarkStart w:id="1047" w:name="_Toc23341"/>
      <w:bookmarkEnd w:id="1047"/>
      <w:bookmarkStart w:id="1048" w:name="_Toc51213962"/>
      <w:bookmarkStart w:id="1049" w:name="_Toc50861896"/>
      <w:bookmarkStart w:id="1050" w:name="_Toc30905427"/>
      <w:bookmarkStart w:id="1051" w:name="_Toc48120247"/>
      <w:bookmarkStart w:id="1052" w:name="_Toc30905335"/>
      <w:bookmarkStart w:id="1053" w:name="_Toc26166924"/>
      <w:bookmarkStart w:id="1054" w:name="_Toc50860391"/>
      <w:bookmarkStart w:id="1055" w:name="_Toc48042108"/>
      <w:bookmarkStart w:id="1056" w:name="_Toc51225640"/>
      <w:bookmarkStart w:id="1057" w:name="_Toc239861067"/>
      <w:bookmarkStart w:id="1058" w:name="_Toc50453970"/>
      <w:bookmarkStart w:id="1059" w:name="_Toc30298471"/>
      <w:bookmarkStart w:id="1060" w:name="_Toc50861760"/>
      <w:bookmarkStart w:id="1061" w:name="_Toc48101180"/>
      <w:bookmarkStart w:id="1062" w:name="_Toc29693758"/>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063" w:name="_项目公司的主要义务_4"/>
      <w:bookmarkEnd w:id="1063"/>
      <w:bookmarkStart w:id="1064" w:name="_Ref447624390"/>
      <w:bookmarkStart w:id="1065" w:name="_Toc27465"/>
      <w:bookmarkStart w:id="1066" w:name="_Toc13259"/>
      <w:bookmarkStart w:id="1067" w:name="_Toc17968"/>
      <w:r>
        <w:rPr>
          <w:rFonts w:hint="eastAsia" w:asciiTheme="minorEastAsia" w:hAnsiTheme="minorEastAsia" w:eastAsiaTheme="minorEastAsia" w:cstheme="minorEastAsia"/>
          <w:bCs/>
          <w:color w:val="auto"/>
        </w:rPr>
        <w:t>项目</w:t>
      </w:r>
      <w:r>
        <w:rPr>
          <w:rFonts w:hint="eastAsia" w:asciiTheme="minorEastAsia" w:hAnsiTheme="minorEastAsia" w:eastAsiaTheme="minorEastAsia" w:cstheme="minorEastAsia"/>
          <w:color w:val="auto"/>
        </w:rPr>
        <w:t>公司的主要</w:t>
      </w:r>
      <w:r>
        <w:rPr>
          <w:rFonts w:hint="eastAsia" w:asciiTheme="minorEastAsia" w:hAnsiTheme="minorEastAsia" w:eastAsiaTheme="minorEastAsia" w:cstheme="minorEastAsia"/>
          <w:color w:val="auto"/>
          <w:lang w:val="en-US" w:eastAsia="zh-CN"/>
        </w:rPr>
        <w:t>权利</w:t>
      </w:r>
      <w:r>
        <w:rPr>
          <w:rFonts w:hint="eastAsia" w:asciiTheme="minorEastAsia" w:hAnsiTheme="minorEastAsia" w:eastAsiaTheme="minorEastAsia" w:cstheme="minorEastAsia"/>
          <w:color w:val="auto"/>
        </w:rPr>
        <w:t>义务</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4"/>
      <w:bookmarkEnd w:id="1065"/>
      <w:bookmarkEnd w:id="1066"/>
      <w:bookmarkEnd w:id="1067"/>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主要权利</w:t>
      </w:r>
    </w:p>
    <w:p>
      <w:pPr>
        <w:pStyle w:val="5"/>
        <w:numPr>
          <w:ilvl w:val="0"/>
          <w:numId w:val="17"/>
        </w:numPr>
        <w:tabs>
          <w:tab w:val="clear" w:pos="680"/>
        </w:tabs>
        <w:ind w:left="0" w:leftChars="0" w:firstLine="48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获得政府方支付的可行性缺口补助的权利。</w:t>
      </w:r>
    </w:p>
    <w:p>
      <w:pPr>
        <w:numPr>
          <w:ilvl w:val="0"/>
          <w:numId w:val="17"/>
        </w:numPr>
        <w:ind w:left="0" w:leftChars="0" w:firstLine="48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因市城管局要求、市政府层面可控的法律变更等导致项目的建设投资，或运营维护成本（不包括自然不可抗力造成的损失）增加时，根据PPP项目合同约定获得合理补偿。</w:t>
      </w:r>
    </w:p>
    <w:p>
      <w:pPr>
        <w:numPr>
          <w:ilvl w:val="0"/>
          <w:numId w:val="17"/>
        </w:numPr>
        <w:ind w:left="0" w:leftChars="0" w:firstLine="48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在市城管局违反PPP项目合同相关条款情况下，根据PPP项目合同约定获得赔偿。</w:t>
      </w:r>
    </w:p>
    <w:p>
      <w:pPr>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11.1.2 主要义务</w:t>
      </w:r>
    </w:p>
    <w:p>
      <w:pPr>
        <w:ind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1.在整个运营维护期内，项目公司应根据本合同的规定，自行承担费用、责任和风险，管理、运营和维护管廊项目设施。</w:t>
      </w:r>
    </w:p>
    <w:p>
      <w:pPr>
        <w:ind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2.配合入廊单位负责本项目范围内相应入廊管线的维护工作。</w:t>
      </w:r>
    </w:p>
    <w:p>
      <w:pPr>
        <w:ind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3.项目公司应按照下述规定的时间和要求，向市城管局提交全面反映其经营情况各个方面的下列财务报表和其他报表：</w:t>
      </w:r>
    </w:p>
    <w:p>
      <w:pPr>
        <w:ind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（a）每年4月30日之前，提交上一年度按适用法律和普遍认可的中国会计准则、制度和惯例编制的经审计的年度财务报表，包括资产负债表、损益表和现金流量表；</w:t>
      </w:r>
    </w:p>
    <w:p>
      <w:pPr>
        <w:ind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（b）每年1月31日之前，提交上一个会计年度项目公司的运营成本表（包括电力成本、人工、维修维护成本和管理成本等）；</w:t>
      </w:r>
    </w:p>
    <w:p>
      <w:pPr>
        <w:ind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（c）市城管局为监督项目公司遵守适用法律和本合同，合理要求的有关项目公司财务状况的其它资料。</w:t>
      </w:r>
    </w:p>
    <w:p>
      <w:pPr>
        <w:ind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4.按照本合同的规定，服从市城管局或相关职能部门的监管，接受市城管局或相关职能部门对运营维护服务进行的检查与监督，接受市政府指定机构的监督检查和绩效考核，并承担运营维护服务绩效考核的结果。</w:t>
      </w:r>
    </w:p>
    <w:p>
      <w:pPr>
        <w:ind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5.项目公司在合作期内不得对外投资、对外担保或从事超出其经营范围的活动。</w:t>
      </w:r>
    </w:p>
    <w:p>
      <w:pPr>
        <w:ind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6.按照第17.2条的规定在运营维护期为项目设施的运营维护购买保险。</w:t>
      </w:r>
    </w:p>
    <w:p>
      <w:pPr>
        <w:ind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7.项目公司应于每年12月31日之前提交下一运营维护年度的运营维护计划，将其下一年度的重大维护和更新计划书面通知市城管局。</w:t>
      </w:r>
    </w:p>
    <w:p>
      <w:pPr>
        <w:ind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8.项目公司应采取一切合理有效的措施，最大限度地预防和减少对周围自然环境、周边设施、建筑物、住宅区的干扰和损害，积极履行相关环境保护义务。</w:t>
      </w:r>
    </w:p>
    <w:p>
      <w:pPr>
        <w:ind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9.项目公司应配合市城管局向公众充分披露项目实施和运行的相关信息，包括但不限于应急突发事件处理情况、运营维护手册、项目公司绩效考核结果等，切实保障公众知情权。</w:t>
      </w:r>
    </w:p>
    <w:p>
      <w:pPr>
        <w:ind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10.在合作期内，项目公司应考虑增值税抵扣因素，进行合理的税务筹划和会计处理，减轻项目税务负担，保证项目的持续稳定运营。</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068" w:name="_市公用局的主要义务"/>
      <w:bookmarkEnd w:id="1068"/>
      <w:bookmarkStart w:id="1069" w:name="_Toc30905428"/>
      <w:bookmarkStart w:id="1070" w:name="_Toc50860392"/>
      <w:bookmarkStart w:id="1071" w:name="_Toc30905336"/>
      <w:bookmarkStart w:id="1072" w:name="_Toc50453971"/>
      <w:bookmarkStart w:id="1073" w:name="_Toc29693759"/>
      <w:bookmarkStart w:id="1074" w:name="_Toc239861068"/>
      <w:bookmarkStart w:id="1075" w:name="_Toc48120248"/>
      <w:bookmarkStart w:id="1076" w:name="_Toc15447"/>
      <w:bookmarkStart w:id="1077" w:name="_Toc51225641"/>
      <w:bookmarkStart w:id="1078" w:name="_Toc48042109"/>
      <w:bookmarkStart w:id="1079" w:name="_Toc48101181"/>
      <w:bookmarkStart w:id="1080" w:name="_Toc51213963"/>
      <w:bookmarkStart w:id="1081" w:name="_Toc50861897"/>
      <w:bookmarkStart w:id="1082" w:name="_Toc30298472"/>
      <w:bookmarkStart w:id="1083" w:name="_Toc26166925"/>
      <w:bookmarkStart w:id="1084" w:name="_Toc50861761"/>
      <w:bookmarkStart w:id="1085" w:name="_Toc23877"/>
      <w:bookmarkStart w:id="1086" w:name="_Toc10100"/>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的主要</w:t>
      </w:r>
      <w:r>
        <w:rPr>
          <w:rFonts w:hint="eastAsia" w:asciiTheme="minorEastAsia" w:hAnsiTheme="minorEastAsia" w:eastAsiaTheme="minorEastAsia" w:cstheme="minorEastAsia"/>
          <w:color w:val="auto"/>
          <w:lang w:val="en-US" w:eastAsia="zh-CN"/>
        </w:rPr>
        <w:t>权利</w:t>
      </w:r>
      <w:r>
        <w:rPr>
          <w:rFonts w:hint="eastAsia" w:asciiTheme="minorEastAsia" w:hAnsiTheme="minorEastAsia" w:eastAsiaTheme="minorEastAsia" w:cstheme="minorEastAsia"/>
          <w:color w:val="auto"/>
        </w:rPr>
        <w:t>义务</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主要权利</w:t>
      </w:r>
    </w:p>
    <w:p>
      <w:pPr>
        <w:numPr>
          <w:ilvl w:val="0"/>
          <w:numId w:val="18"/>
        </w:numPr>
        <w:ind w:left="0"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运营维护期内，根据需要或法律变更情况，依据国家、江苏省和徐州市关于地下综合管廊设施的相关标准，有权制定和修改项目的运营维护规定和办法。</w:t>
      </w:r>
    </w:p>
    <w:p>
      <w:pPr>
        <w:numPr>
          <w:ilvl w:val="0"/>
          <w:numId w:val="18"/>
        </w:numPr>
        <w:ind w:left="0"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有权根据法律规定和PPP项目合同的约定对项目公司运营维护服务进行行业监管。</w:t>
      </w:r>
    </w:p>
    <w:p>
      <w:pPr>
        <w:numPr>
          <w:ilvl w:val="0"/>
          <w:numId w:val="18"/>
        </w:numPr>
        <w:ind w:left="0"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运营期内，有权要求本项目依法接受政府审计机构的审计监管。</w:t>
      </w:r>
    </w:p>
    <w:p>
      <w:pPr>
        <w:numPr>
          <w:ilvl w:val="0"/>
          <w:numId w:val="18"/>
        </w:numPr>
        <w:ind w:left="0"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对乙方在运营期出现严重违约时，有权按约定提前终止合作及本项目合同。</w:t>
      </w:r>
    </w:p>
    <w:p>
      <w:pPr>
        <w:numPr>
          <w:ilvl w:val="0"/>
          <w:numId w:val="18"/>
        </w:numPr>
        <w:ind w:left="0" w:leftChars="0" w:firstLine="480" w:firstLineChars="200"/>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color w:val="auto"/>
          <w:lang w:val="en-US" w:eastAsia="zh-CN"/>
        </w:rPr>
        <w:t>有权对乙方进行运营期绩效考核。</w:t>
      </w:r>
    </w:p>
    <w:p>
      <w:pPr>
        <w:numPr>
          <w:ilvl w:val="0"/>
          <w:numId w:val="18"/>
        </w:numPr>
        <w:ind w:left="0" w:leftChars="0" w:firstLine="480" w:firstLineChars="200"/>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lang w:val="en-US"/>
        </w:rPr>
        <w:t>如项目公司选择第三方运营商进行项目运营和维护，第三方运营商需经市城管局的认可，项目公司与第三方运营商签订的运营维护协议需经市城管局审批，否则承担相应违约责任。</w:t>
      </w:r>
    </w:p>
    <w:p>
      <w:pPr>
        <w:numPr>
          <w:ilvl w:val="0"/>
          <w:numId w:val="18"/>
        </w:numPr>
        <w:ind w:left="0" w:leftChars="0" w:firstLine="480" w:firstLineChars="200"/>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lang w:val="en-US"/>
        </w:rPr>
        <w:t>在发生PPP项目合同约定的项目公司严重违约或发生紧急事件时，市城管局或市政府指定机构有权利（但不得被要求）介入，接管项目公司运营管理和维护项目设施。</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主要义务</w:t>
      </w:r>
    </w:p>
    <w:p>
      <w:pPr>
        <w:pStyle w:val="5"/>
        <w:numPr>
          <w:ilvl w:val="0"/>
          <w:numId w:val="19"/>
        </w:numPr>
        <w:tabs>
          <w:tab w:val="clear" w:pos="680"/>
        </w:tabs>
        <w:ind w:left="0" w:leftChars="0" w:firstLine="48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对于管廊项目设施运营维护期间遇到突发事件给予必要的应急协助和相关的资源调配。</w:t>
      </w:r>
    </w:p>
    <w:p>
      <w:pPr>
        <w:pStyle w:val="5"/>
        <w:numPr>
          <w:ilvl w:val="0"/>
          <w:numId w:val="19"/>
        </w:numPr>
        <w:tabs>
          <w:tab w:val="clear" w:pos="680"/>
        </w:tabs>
        <w:ind w:left="0" w:leftChars="0" w:firstLine="48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会同市财政局应按照本合同约定的机制核算可行性缺口补助，并支付可行性缺口补助。</w:t>
      </w:r>
    </w:p>
    <w:p>
      <w:pPr>
        <w:pStyle w:val="5"/>
        <w:numPr>
          <w:ilvl w:val="0"/>
          <w:numId w:val="19"/>
        </w:numPr>
        <w:tabs>
          <w:tab w:val="clear" w:pos="680"/>
        </w:tabs>
        <w:ind w:left="0" w:leftChars="0" w:firstLine="480" w:firstLineChars="200"/>
        <w:rPr>
          <w:rFonts w:hint="eastAsia" w:asciiTheme="minorEastAsia" w:hAnsiTheme="minorEastAsia" w:eastAsiaTheme="minorEastAsia" w:cstheme="minorEastAsia"/>
          <w:color w:val="auto"/>
        </w:rPr>
      </w:pPr>
      <w:bookmarkStart w:id="1087" w:name="_在项目公司按照本合同的条款和条件足额、达标提供污水处理服务后，按第15条的规定"/>
      <w:bookmarkEnd w:id="1087"/>
      <w:r>
        <w:rPr>
          <w:rFonts w:hint="eastAsia" w:asciiTheme="minorEastAsia" w:hAnsiTheme="minorEastAsia" w:eastAsiaTheme="minorEastAsia" w:cstheme="minorEastAsia"/>
          <w:color w:val="auto"/>
        </w:rPr>
        <w:t>在运营维护期内协助项目公司与相关政府部门进行沟通。</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088" w:name="_Ref447966351"/>
      <w:bookmarkStart w:id="1089" w:name="_Toc4731"/>
      <w:bookmarkStart w:id="1090" w:name="_Toc24931"/>
      <w:bookmarkStart w:id="1091" w:name="_Toc32370"/>
      <w:r>
        <w:rPr>
          <w:rFonts w:hint="eastAsia" w:asciiTheme="minorEastAsia" w:hAnsiTheme="minorEastAsia" w:eastAsiaTheme="minorEastAsia" w:cstheme="minorEastAsia"/>
          <w:color w:val="auto"/>
        </w:rPr>
        <w:t>运营和维护</w:t>
      </w:r>
      <w:bookmarkEnd w:id="1088"/>
      <w:r>
        <w:rPr>
          <w:rFonts w:hint="eastAsia" w:asciiTheme="minorEastAsia" w:hAnsiTheme="minorEastAsia" w:eastAsiaTheme="minorEastAsia" w:cstheme="minorEastAsia"/>
          <w:color w:val="auto"/>
          <w:lang w:val="en-US" w:eastAsia="zh-CN"/>
        </w:rPr>
        <w:t>服务内容</w:t>
      </w:r>
      <w:bookmarkEnd w:id="1089"/>
      <w:bookmarkEnd w:id="1090"/>
      <w:bookmarkEnd w:id="1091"/>
    </w:p>
    <w:p>
      <w:pPr>
        <w:pStyle w:val="4"/>
        <w:spacing w:after="120" w:afterLines="50"/>
        <w:ind w:left="566" w:leftChars="236"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项目公司按照本合同规定的运营维护服务范围和要求提供服务。具体包括： </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保持管廊内的整洁和通风良好。</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建立健全维护管理工作制度，搞好安全监控和巡查等安全保障。</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统筹安排管线单位日常维护管理，配合和协助管线单位的巡查、维护和维修。</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负责管廊内通风、排水、照明、消防等附属设施设备的正常运转。</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组织制定管廊管理应急预案，管廊内发生险情时，应当采取紧急措施并及时通知管线单位进行抢修。</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为保障管廊安全运行应履行的其他义务等。</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092" w:name="_项目设施的运行维护"/>
      <w:bookmarkEnd w:id="1092"/>
      <w:bookmarkStart w:id="1093" w:name="_Ref447623868"/>
      <w:bookmarkStart w:id="1094" w:name="_Toc21011"/>
      <w:bookmarkStart w:id="1095" w:name="_Toc11544"/>
      <w:bookmarkStart w:id="1096" w:name="_Toc9225"/>
      <w:r>
        <w:rPr>
          <w:rFonts w:hint="eastAsia" w:asciiTheme="minorEastAsia" w:hAnsiTheme="minorEastAsia" w:eastAsiaTheme="minorEastAsia" w:cstheme="minorEastAsia"/>
          <w:color w:val="auto"/>
        </w:rPr>
        <w:t>项目设施的运营维护</w:t>
      </w:r>
      <w:bookmarkEnd w:id="1093"/>
      <w:bookmarkEnd w:id="1094"/>
      <w:bookmarkEnd w:id="1095"/>
      <w:bookmarkEnd w:id="1096"/>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项目公司应确保在整个运营维护期内，始终根据下列规定和要求维护管廊项目设施：</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适用法律；</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相关安全技术规程；</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运营维护手册；</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本合同的约定；</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谨慎运营惯例。</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项目公司有权将管廊项目设施维护维修的辅助工作委托第三方，对于第三方运营商的选择需经</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的认可和同意。</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097" w:name="_未履行维护义务"/>
      <w:bookmarkEnd w:id="1097"/>
      <w:bookmarkStart w:id="1098" w:name="_运行维护手册"/>
      <w:bookmarkEnd w:id="1098"/>
      <w:bookmarkStart w:id="1099" w:name="_公共安全_1"/>
      <w:bookmarkEnd w:id="1099"/>
      <w:bookmarkStart w:id="1100" w:name="_市公用局进入项目设施/监督员"/>
      <w:bookmarkEnd w:id="1100"/>
      <w:bookmarkStart w:id="1101" w:name="_维护保函"/>
      <w:bookmarkEnd w:id="1101"/>
      <w:bookmarkStart w:id="1102" w:name="_Toc13170"/>
      <w:bookmarkStart w:id="1103" w:name="_Toc50453975"/>
      <w:bookmarkStart w:id="1104" w:name="_Toc48101165"/>
      <w:bookmarkStart w:id="1105" w:name="_Toc51213967"/>
      <w:bookmarkStart w:id="1106" w:name="_Toc48042093"/>
      <w:bookmarkStart w:id="1107" w:name="_Toc50861765"/>
      <w:bookmarkStart w:id="1108" w:name="_Ref447623874"/>
      <w:bookmarkStart w:id="1109" w:name="_Toc51225645"/>
      <w:bookmarkStart w:id="1110" w:name="_Toc50860396"/>
      <w:bookmarkStart w:id="1111" w:name="_Ref447620949"/>
      <w:bookmarkStart w:id="1112" w:name="_Toc48120232"/>
      <w:bookmarkStart w:id="1113" w:name="_Toc50861901"/>
      <w:bookmarkStart w:id="1114" w:name="_Toc239861075"/>
      <w:bookmarkStart w:id="1115" w:name="_Toc38424327"/>
      <w:bookmarkStart w:id="1116" w:name="_Toc29882"/>
      <w:bookmarkStart w:id="1117" w:name="_Toc8895"/>
      <w:bookmarkStart w:id="1118" w:name="_Toc1040057"/>
      <w:bookmarkStart w:id="1119" w:name="_Toc515966087"/>
      <w:bookmarkStart w:id="1120" w:name="_Toc515679461"/>
      <w:r>
        <w:rPr>
          <w:rFonts w:hint="eastAsia" w:asciiTheme="minorEastAsia" w:hAnsiTheme="minorEastAsia" w:eastAsiaTheme="minorEastAsia" w:cstheme="minorEastAsia"/>
          <w:color w:val="auto"/>
        </w:rPr>
        <w:t>运营维护手册</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项目正式运营之前，项目公司应根据适用法律和谨慎运营惯例编制管廊项目设施的运营维护手册（下称“手册”），并应根据管廊项目设施的运营和维护的实际情况随时对该手册进行修改和完善。手册应包括日常检查、定期检查、专项检查、状态评定和日常维护维修、中修和大修的程序和计划</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lang w:val="en-US" w:eastAsia="zh-CN"/>
        </w:rPr>
        <w:t>应急服务方案，</w:t>
      </w:r>
      <w:r>
        <w:rPr>
          <w:rFonts w:hint="eastAsia" w:asciiTheme="minorEastAsia" w:hAnsiTheme="minorEastAsia" w:eastAsiaTheme="minorEastAsia" w:cstheme="minorEastAsia"/>
          <w:color w:val="auto"/>
        </w:rPr>
        <w:t>以及调整和改进运行维护安排的程序和计划等内容。运营维护手册应列明项目正常运营和维护所需的消耗性备品备件和事故抢修的备品备件。</w:t>
      </w:r>
    </w:p>
    <w:p>
      <w:pPr>
        <w:pStyle w:val="5"/>
        <w:rPr>
          <w:rFonts w:hint="eastAsia" w:asciiTheme="minorEastAsia" w:hAnsiTheme="minorEastAsia" w:eastAsiaTheme="minorEastAsia" w:cstheme="minorEastAsia"/>
          <w:color w:val="auto"/>
        </w:rPr>
      </w:pPr>
      <w:bookmarkStart w:id="1121" w:name="_手册应列明污水处理厂正常运营所需的消耗性备品备件和事故抢修的备品备件名称和所需"/>
      <w:bookmarkEnd w:id="1121"/>
      <w:bookmarkStart w:id="1122" w:name="_手册应列明污水处理厂正常运营所需的消耗性备品备件和事故抢修的备品备件。"/>
      <w:bookmarkEnd w:id="1122"/>
      <w:r>
        <w:rPr>
          <w:rFonts w:hint="eastAsia" w:asciiTheme="minorEastAsia" w:hAnsiTheme="minorEastAsia" w:eastAsiaTheme="minorEastAsia" w:cstheme="minorEastAsia"/>
          <w:color w:val="auto"/>
        </w:rPr>
        <w:t>项目设施的运营与维护应符合适用法律和《城市综合管廊工程 技术规范》（GB50838-2015）等行业规范</w:t>
      </w:r>
      <w:r>
        <w:rPr>
          <w:rFonts w:hint="eastAsia" w:asciiTheme="minorEastAsia" w:hAnsiTheme="minorEastAsia" w:eastAsiaTheme="minorEastAsia" w:cstheme="minorEastAsia"/>
          <w:color w:val="auto"/>
          <w:lang w:val="en-US" w:eastAsia="zh-CN"/>
        </w:rPr>
        <w:t>或项目实施过程中新出台的规范标准</w:t>
      </w:r>
      <w:r>
        <w:rPr>
          <w:rFonts w:hint="eastAsia" w:asciiTheme="minorEastAsia" w:hAnsiTheme="minorEastAsia" w:eastAsiaTheme="minorEastAsia" w:cstheme="minorEastAsia"/>
          <w:color w:val="auto"/>
        </w:rPr>
        <w:t>，以及和国家、江苏省、 徐州市颁布的关于地下综合管廊维护相关的政策文件。维护标准在 运营期内相关法律法规、行业规范和管理办法有变化的，按变化后 的标准执行。</w:t>
      </w:r>
    </w:p>
    <w:p>
      <w:pPr>
        <w:pStyle w:val="5"/>
        <w:rPr>
          <w:rFonts w:hint="eastAsia"/>
        </w:rPr>
      </w:pPr>
      <w:r>
        <w:rPr>
          <w:rFonts w:hint="eastAsia" w:asciiTheme="minorEastAsia" w:hAnsiTheme="minorEastAsia" w:eastAsiaTheme="minorEastAsia" w:cstheme="minorEastAsia"/>
          <w:color w:val="auto"/>
        </w:rPr>
        <w:t>项目公司应及时将手册和对手册所做的任何修改</w:t>
      </w:r>
      <w:r>
        <w:rPr>
          <w:rFonts w:hint="eastAsia" w:asciiTheme="minorEastAsia" w:hAnsiTheme="minorEastAsia" w:eastAsiaTheme="minorEastAsia" w:cstheme="minorEastAsia"/>
          <w:color w:val="auto"/>
          <w:lang w:val="en-US" w:eastAsia="zh-CN"/>
        </w:rPr>
        <w:t>报</w:t>
      </w:r>
      <w:r>
        <w:rPr>
          <w:rFonts w:hint="eastAsia" w:asciiTheme="minorEastAsia" w:hAnsiTheme="minorEastAsia" w:eastAsiaTheme="minorEastAsia" w:cstheme="minorEastAsia"/>
          <w:color w:val="auto"/>
        </w:rPr>
        <w:t>经</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同意。</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123" w:name="_Toc15446"/>
      <w:bookmarkStart w:id="1124" w:name="_Toc17604"/>
      <w:bookmarkStart w:id="1125" w:name="_Toc19102"/>
      <w:r>
        <w:rPr>
          <w:rFonts w:hint="eastAsia" w:asciiTheme="minorEastAsia" w:hAnsiTheme="minorEastAsia" w:eastAsiaTheme="minorEastAsia" w:cstheme="minorEastAsia"/>
          <w:color w:val="auto"/>
        </w:rPr>
        <w:t>维修资金安排</w:t>
      </w:r>
      <w:bookmarkEnd w:id="1123"/>
      <w:bookmarkEnd w:id="1124"/>
      <w:bookmarkEnd w:id="1125"/>
    </w:p>
    <w:bookmarkEnd w:id="1118"/>
    <w:bookmarkEnd w:id="1119"/>
    <w:bookmarkEnd w:id="1120"/>
    <w:p>
      <w:pPr>
        <w:pStyle w:val="5"/>
        <w:rPr>
          <w:rFonts w:hint="eastAsia" w:asciiTheme="minorEastAsia" w:hAnsiTheme="minorEastAsia" w:eastAsiaTheme="minorEastAsia" w:cstheme="minorEastAsia"/>
          <w:color w:val="auto"/>
        </w:rPr>
      </w:pPr>
      <w:bookmarkStart w:id="1126" w:name="_Toc51225647"/>
      <w:bookmarkStart w:id="1127" w:name="_Toc50861767"/>
      <w:bookmarkStart w:id="1128" w:name="_Toc50861903"/>
      <w:bookmarkStart w:id="1129" w:name="_Toc48101187"/>
      <w:bookmarkStart w:id="1130" w:name="_Toc30905433"/>
      <w:bookmarkStart w:id="1131" w:name="_Toc30905341"/>
      <w:bookmarkStart w:id="1132" w:name="_Toc26166930"/>
      <w:bookmarkStart w:id="1133" w:name="_Toc48042115"/>
      <w:bookmarkStart w:id="1134" w:name="_Toc51213969"/>
      <w:bookmarkStart w:id="1135" w:name="_Toc50368729"/>
      <w:bookmarkStart w:id="1136" w:name="_Toc48120254"/>
      <w:bookmarkStart w:id="1137" w:name="_Toc50453977"/>
      <w:bookmarkStart w:id="1138" w:name="_Toc50860398"/>
      <w:bookmarkStart w:id="1139" w:name="_Toc30298477"/>
      <w:bookmarkStart w:id="1140" w:name="_Toc29693764"/>
      <w:r>
        <w:rPr>
          <w:rFonts w:hint="eastAsia" w:asciiTheme="minorEastAsia" w:hAnsiTheme="minorEastAsia" w:eastAsiaTheme="minorEastAsia" w:cstheme="minorEastAsia"/>
          <w:color w:val="auto"/>
        </w:rPr>
        <w:t>为保证管廊正常运行和合作期结束时项目设施各项技术性能参数能够符合移交标准的规定，项目公司应对维修资金的来源进行合理安排。</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141" w:name="_Toc12882"/>
      <w:bookmarkStart w:id="1142" w:name="_Toc10822"/>
      <w:bookmarkStart w:id="1143" w:name="_Toc20393"/>
      <w:r>
        <w:rPr>
          <w:rFonts w:hint="eastAsia" w:asciiTheme="minorEastAsia" w:hAnsiTheme="minorEastAsia" w:eastAsiaTheme="minorEastAsia" w:cstheme="minorEastAsia"/>
          <w:color w:val="auto"/>
        </w:rPr>
        <w:t>未履行运营维护义务的处理</w:t>
      </w:r>
      <w:bookmarkEnd w:id="1141"/>
      <w:bookmarkEnd w:id="1142"/>
      <w:bookmarkEnd w:id="1143"/>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如果项目公司未履行第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_Ref447624390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11.1</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_Ref447966351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11.3</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和</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_Ref447623868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11.4</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条下的运营维护义务，</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可就该违约向项目公司发出书面通知。项目公司在接到上述书面通知后应按照手册对管廊项目设施进行必要的维修和维护，或者可以通知</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其对通知内容有异议。当发生争议时，应按照</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_Ref490036351 \r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第二十三章　</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的规定解决争议。</w:t>
      </w:r>
    </w:p>
    <w:p>
      <w:pPr>
        <w:pStyle w:val="5"/>
        <w:rPr>
          <w:rFonts w:hint="eastAsia" w:asciiTheme="minorEastAsia" w:hAnsiTheme="minorEastAsia" w:eastAsiaTheme="minorEastAsia" w:cstheme="minorEastAsia"/>
          <w:color w:val="auto"/>
        </w:rPr>
      </w:pPr>
      <w:bookmarkStart w:id="1144" w:name="_Ref448000701"/>
      <w:r>
        <w:rPr>
          <w:rFonts w:hint="eastAsia" w:asciiTheme="minorEastAsia" w:hAnsiTheme="minorEastAsia" w:eastAsiaTheme="minorEastAsia" w:cstheme="minorEastAsia"/>
          <w:color w:val="auto"/>
        </w:rPr>
        <w:t>如果在监管过程中，</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认定项目公司未能按照第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_Ref447624390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11.1</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_Ref447966351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11.3</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和</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_Ref447623868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11.4</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条的要求维修和维护管廊项目设施，并且在其决定中规定的期限内项目公司未进行补救，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可以进行维修和维护，并根据第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_Ref491249311 \r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15.2.5</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lang w:val="en-US" w:eastAsia="zh-CN"/>
        </w:rPr>
        <w:t>15.3.2</w:t>
      </w:r>
      <w:r>
        <w:rPr>
          <w:rFonts w:hint="eastAsia" w:asciiTheme="minorEastAsia" w:hAnsiTheme="minorEastAsia" w:eastAsiaTheme="minorEastAsia" w:cstheme="minorEastAsia"/>
          <w:color w:val="auto"/>
        </w:rPr>
        <w:t>条款的规定兑取运营维护独立保函或移交维修独立保函相应金额，用以支付相应费用；当发生争议时，应按照</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_Ref490036351 \r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第二十三章　</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的规定解决争议。</w:t>
      </w:r>
      <w:bookmarkEnd w:id="1144"/>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在该种情况下，项目公司应允许</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或其指定机构的雇员、代理人或承包商为此目的进入项目场地，对管廊项目设施进行必要的维修和维护。</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应确保其执行此项工作的人员尽量减少对项目运营维护可能产生的干扰，并按照谨慎运营惯例完成工作。</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145" w:name="_Toc5972"/>
      <w:bookmarkStart w:id="1146" w:name="_Toc22927"/>
      <w:bookmarkStart w:id="1147" w:name="_Toc20606"/>
      <w:r>
        <w:rPr>
          <w:rFonts w:hint="eastAsia" w:asciiTheme="minorEastAsia" w:hAnsiTheme="minorEastAsia" w:eastAsiaTheme="minorEastAsia" w:cstheme="minorEastAsia"/>
          <w:color w:val="auto"/>
          <w:lang w:eastAsia="zh-CN"/>
        </w:rPr>
        <w:t>市城管</w:t>
      </w:r>
      <w:r>
        <w:rPr>
          <w:rFonts w:hint="eastAsia" w:asciiTheme="minorEastAsia" w:hAnsiTheme="minorEastAsia" w:eastAsiaTheme="minorEastAsia" w:cstheme="minorEastAsia"/>
          <w:color w:val="auto"/>
          <w:lang w:val="en-US" w:eastAsia="zh-CN"/>
        </w:rPr>
        <w:t>局进入场地的权利</w:t>
      </w:r>
      <w:bookmarkEnd w:id="1145"/>
      <w:bookmarkEnd w:id="1146"/>
      <w:bookmarkEnd w:id="1147"/>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为本合同之目的，</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或其指定机构或其书面授权的任何第三方有权在不影响项目公司或管廊项目正常运营的情况下，在工作时间进入项目场地，以检查本合同执行情况。项目公司有义务提供工作配合和支持。</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148" w:name="_Toc26787"/>
      <w:bookmarkStart w:id="1149" w:name="_Toc18999"/>
      <w:bookmarkStart w:id="1150" w:name="_Toc19535"/>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获得资料</w:t>
      </w:r>
      <w:r>
        <w:rPr>
          <w:rFonts w:hint="eastAsia" w:asciiTheme="minorEastAsia" w:hAnsiTheme="minorEastAsia" w:eastAsiaTheme="minorEastAsia" w:cstheme="minorEastAsia"/>
          <w:color w:val="auto"/>
          <w:lang w:val="en-US" w:eastAsia="zh-CN"/>
        </w:rPr>
        <w:t>的权利</w:t>
      </w:r>
      <w:bookmarkEnd w:id="1148"/>
      <w:bookmarkEnd w:id="1149"/>
      <w:bookmarkEnd w:id="1150"/>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可以书面通知的形式，要求项目公司在合理的期间内：</w:t>
      </w:r>
    </w:p>
    <w:p>
      <w:pPr>
        <w:pStyle w:val="6"/>
        <w:rPr>
          <w:rFonts w:hint="eastAsia" w:asciiTheme="minorEastAsia" w:hAnsiTheme="minorEastAsia" w:eastAsiaTheme="minorEastAsia" w:cstheme="minorEastAsia"/>
        </w:rPr>
      </w:pPr>
      <w:bookmarkStart w:id="1151" w:name="_给予市建委充分的权利，使其能够获取项目公司与本协议规定义务相关的资料；"/>
      <w:bookmarkEnd w:id="1151"/>
      <w:bookmarkStart w:id="1152" w:name="_Ref447623930"/>
      <w:r>
        <w:rPr>
          <w:rFonts w:hint="eastAsia" w:asciiTheme="minorEastAsia" w:hAnsiTheme="minorEastAsia" w:eastAsiaTheme="minorEastAsia" w:cstheme="minorEastAsia"/>
        </w:rPr>
        <w:t>给予</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充分的权利，使其能够获取项目公司与本合同规定义务相关的资料；</w:t>
      </w:r>
      <w:bookmarkEnd w:id="1152"/>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按通知书所指明的方式及合理的时间，向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提供第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_Ref447623914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11.10</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条所述资料，并给予其核实资料的权利。</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_Ref447623930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11.9.1（a）</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条款中所提及的资料，包括</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为确认项目公司已遵从本合同及</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根据本合同作出的任何决定、指示、说明或规定而合理地要求的任何资料。</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或其指定机构，在行使其本条规定的权利时，应以不得干涉、延误或干扰项目公司正常履行其在本合同项下的义务为前提。</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153" w:name="_记录"/>
      <w:bookmarkEnd w:id="1153"/>
      <w:bookmarkStart w:id="1154" w:name="_Ref447623914"/>
      <w:bookmarkStart w:id="1155" w:name="_Toc13349"/>
      <w:bookmarkStart w:id="1156" w:name="_Toc25316"/>
      <w:bookmarkStart w:id="1157" w:name="_Toc4961"/>
      <w:r>
        <w:rPr>
          <w:rFonts w:hint="eastAsia" w:asciiTheme="minorEastAsia" w:hAnsiTheme="minorEastAsia" w:eastAsiaTheme="minorEastAsia" w:cstheme="minorEastAsia"/>
          <w:color w:val="auto"/>
        </w:rPr>
        <w:t>记录</w:t>
      </w:r>
      <w:bookmarkEnd w:id="1154"/>
      <w:bookmarkEnd w:id="1155"/>
      <w:bookmarkEnd w:id="1156"/>
      <w:bookmarkEnd w:id="1157"/>
    </w:p>
    <w:p>
      <w:pPr>
        <w:pStyle w:val="5"/>
        <w:rPr>
          <w:rFonts w:hint="eastAsia" w:asciiTheme="minorEastAsia" w:hAnsiTheme="minorEastAsia" w:eastAsiaTheme="minorEastAsia" w:cstheme="minorEastAsia"/>
          <w:color w:val="auto"/>
        </w:rPr>
      </w:pPr>
      <w:bookmarkStart w:id="1158" w:name="_项目公司应按规定的格式就运营维护服务事项备存记录，包括："/>
      <w:bookmarkEnd w:id="1158"/>
      <w:bookmarkStart w:id="1159" w:name="_Ref447623944"/>
      <w:r>
        <w:rPr>
          <w:rFonts w:hint="eastAsia" w:asciiTheme="minorEastAsia" w:hAnsiTheme="minorEastAsia" w:eastAsiaTheme="minorEastAsia" w:cstheme="minorEastAsia"/>
          <w:color w:val="auto"/>
        </w:rPr>
        <w:t>项目公司应按规定的格式就运营维护服务事项备存记录，包括：</w:t>
      </w:r>
      <w:bookmarkEnd w:id="1159"/>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项目设施状况，包括正常使用中及处在维修状态的项目设施种类及数目；</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维护维修计划；</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维护维修计划执行情况；</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维护维修计划变动情况；</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项目设施检查记录，包括日常检查、定期检查和专项检查；</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项目设施状态评定记录；</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项目设施维修记录，包括日常维修、中修及大修；</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相关政府部门检查结果；</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任何事故的详细记录；及</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合理要求的其他事项记录。</w:t>
      </w:r>
    </w:p>
    <w:p>
      <w:pPr>
        <w:pStyle w:val="5"/>
        <w:rPr>
          <w:rFonts w:hint="eastAsia" w:asciiTheme="minorEastAsia" w:hAnsiTheme="minorEastAsia" w:eastAsiaTheme="minorEastAsia" w:cstheme="minorEastAsia"/>
          <w:color w:val="auto"/>
          <w:lang w:val="en-GB"/>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可以书面通知的形式，要求项目公司在合理的期间内：</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按通知书所指明的格式及合理的时间，向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提供第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_Ref447623944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11.10.1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条款备存记录的副本；</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准许</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或其指定机构，在任何合理的时间查阅按照第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_Ref447623944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11.10.1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条款备存的所有记录。</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或其授权人有权复印第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_Ref447623944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11.10.1</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条款规定的记录。</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160" w:name="_Toc4608"/>
      <w:bookmarkStart w:id="1161" w:name="_Toc26207"/>
      <w:bookmarkStart w:id="1162" w:name="_Toc11853"/>
      <w:r>
        <w:rPr>
          <w:rFonts w:hint="eastAsia" w:asciiTheme="minorEastAsia" w:hAnsiTheme="minorEastAsia" w:eastAsiaTheme="minorEastAsia" w:cstheme="minorEastAsia"/>
          <w:color w:val="auto"/>
        </w:rPr>
        <w:t>资产权属</w:t>
      </w:r>
      <w:bookmarkEnd w:id="1160"/>
      <w:bookmarkEnd w:id="1161"/>
      <w:bookmarkEnd w:id="1162"/>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本项目建设期内投资建设形成的全部项目资产，以及本项目运营维护期内因更新重置，由项目公司投资形成的项目资产（如有）， 在 PPP 项目合同有效期内均归市城管局所有，项目公司仅拥有上述 项目资产的使用权和经营权</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163" w:name="_Toc31550"/>
      <w:bookmarkStart w:id="1164" w:name="_Toc489995915"/>
      <w:bookmarkStart w:id="1165" w:name="_Toc2841"/>
      <w:bookmarkStart w:id="1166" w:name="_Toc28174"/>
      <w:r>
        <w:rPr>
          <w:rFonts w:hint="eastAsia" w:asciiTheme="minorEastAsia" w:hAnsiTheme="minorEastAsia" w:eastAsiaTheme="minorEastAsia" w:cstheme="minorEastAsia"/>
          <w:color w:val="auto"/>
        </w:rPr>
        <w:t>项目新增改扩建需求</w:t>
      </w:r>
      <w:bookmarkEnd w:id="1163"/>
      <w:bookmarkEnd w:id="1164"/>
      <w:bookmarkEnd w:id="1165"/>
      <w:bookmarkEnd w:id="1166"/>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在合作期内，如果政府方提出新增改扩建需求，对于新增改扩建部分的投资和运营成本支出，</w:t>
      </w:r>
      <w:r>
        <w:rPr>
          <w:rFonts w:hint="eastAsia" w:asciiTheme="minorEastAsia" w:hAnsiTheme="minorEastAsia" w:eastAsiaTheme="minorEastAsia" w:cstheme="minorEastAsia"/>
          <w:color w:val="auto"/>
          <w:lang w:val="en-US" w:eastAsia="zh-CN"/>
        </w:rPr>
        <w:t>在履行相应法定程序后，</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应与项目公司签订PPP项目合同补充合同，在遵循本合同约定的商务条件不变原则的基础上，双方协商明确对于新增改扩建的合作条件、可行性缺口补助核算等合同内容。</w:t>
      </w:r>
    </w:p>
    <w:p>
      <w:pPr>
        <w:spacing w:before="120" w:after="120" w:afterLines="50"/>
        <w:rPr>
          <w:rFonts w:hint="eastAsia" w:asciiTheme="minorEastAsia" w:hAnsiTheme="minorEastAsia" w:eastAsiaTheme="minorEastAsia" w:cstheme="minorEastAsia"/>
        </w:rPr>
      </w:pPr>
    </w:p>
    <w:p>
      <w:pPr>
        <w:pStyle w:val="37"/>
        <w:spacing w:after="120" w:afterLines="50"/>
        <w:rPr>
          <w:rFonts w:hint="eastAsia" w:asciiTheme="minorEastAsia" w:hAnsiTheme="minorEastAsia" w:eastAsiaTheme="minorEastAsia" w:cstheme="minorEastAsia"/>
        </w:rPr>
      </w:pPr>
      <w:bookmarkStart w:id="1167" w:name="_Toc447850054"/>
      <w:bookmarkEnd w:id="1167"/>
      <w:bookmarkStart w:id="1168" w:name="_Toc447847404"/>
      <w:bookmarkEnd w:id="1168"/>
      <w:r>
        <w:rPr>
          <w:rFonts w:hint="eastAsia" w:asciiTheme="minorEastAsia" w:hAnsiTheme="minorEastAsia" w:eastAsiaTheme="minorEastAsia" w:cstheme="minorEastAsia"/>
        </w:rPr>
        <w:br w:type="page"/>
      </w:r>
      <w:bookmarkStart w:id="1169" w:name="_Toc11077"/>
      <w:bookmarkStart w:id="1170" w:name="_Toc2142"/>
      <w:bookmarkStart w:id="1171" w:name="_Toc6764"/>
      <w:r>
        <w:rPr>
          <w:rFonts w:hint="eastAsia" w:asciiTheme="minorEastAsia" w:hAnsiTheme="minorEastAsia" w:eastAsiaTheme="minorEastAsia" w:cstheme="minorEastAsia"/>
        </w:rPr>
        <w:t>股权变更及合同转让限制</w:t>
      </w:r>
      <w:bookmarkEnd w:id="1169"/>
      <w:bookmarkEnd w:id="1170"/>
      <w:bookmarkEnd w:id="1171"/>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1172" w:name="_Toc454506769"/>
      <w:bookmarkEnd w:id="1172"/>
      <w:bookmarkStart w:id="1173" w:name="_Toc489988471"/>
      <w:bookmarkEnd w:id="1173"/>
      <w:bookmarkStart w:id="1174" w:name="_Toc454572589"/>
      <w:bookmarkEnd w:id="1174"/>
      <w:bookmarkStart w:id="1175" w:name="_Toc448056134"/>
      <w:bookmarkEnd w:id="1175"/>
      <w:bookmarkStart w:id="1176" w:name="_Toc447620466"/>
      <w:bookmarkEnd w:id="1176"/>
      <w:bookmarkStart w:id="1177" w:name="_Toc493454855"/>
      <w:bookmarkEnd w:id="1177"/>
      <w:bookmarkStart w:id="1178" w:name="_Toc490090543"/>
      <w:bookmarkEnd w:id="1178"/>
      <w:bookmarkStart w:id="1179" w:name="_Toc447850056"/>
      <w:bookmarkEnd w:id="1179"/>
      <w:bookmarkStart w:id="1180" w:name="_Toc491687947"/>
      <w:bookmarkEnd w:id="1180"/>
      <w:bookmarkStart w:id="1181" w:name="_Toc447534577"/>
      <w:bookmarkEnd w:id="1181"/>
      <w:bookmarkStart w:id="1182" w:name="_Toc447632717"/>
      <w:bookmarkEnd w:id="1182"/>
      <w:bookmarkStart w:id="1183" w:name="_Toc454482308"/>
      <w:bookmarkEnd w:id="1183"/>
      <w:bookmarkStart w:id="1184" w:name="_Toc491193669"/>
      <w:bookmarkEnd w:id="1184"/>
      <w:bookmarkStart w:id="1185" w:name="_Toc448055743"/>
      <w:bookmarkEnd w:id="1185"/>
      <w:bookmarkStart w:id="1186" w:name="_Toc491257797"/>
      <w:bookmarkEnd w:id="1186"/>
      <w:bookmarkStart w:id="1187" w:name="_Toc489986210"/>
      <w:bookmarkEnd w:id="1187"/>
      <w:bookmarkStart w:id="1188" w:name="_Toc489977865"/>
      <w:bookmarkEnd w:id="1188"/>
      <w:bookmarkStart w:id="1189" w:name="_Toc490081483"/>
      <w:bookmarkEnd w:id="1189"/>
      <w:bookmarkStart w:id="1190" w:name="_Toc448051294"/>
      <w:bookmarkEnd w:id="1190"/>
      <w:bookmarkStart w:id="1191" w:name="_Toc454489409"/>
      <w:bookmarkEnd w:id="1191"/>
      <w:bookmarkStart w:id="1192" w:name="_Toc493453895"/>
      <w:bookmarkEnd w:id="1192"/>
      <w:bookmarkStart w:id="1193" w:name="_股权变更的限制"/>
      <w:bookmarkEnd w:id="1193"/>
      <w:bookmarkStart w:id="1194" w:name="_Toc448051476"/>
      <w:bookmarkEnd w:id="1194"/>
      <w:bookmarkStart w:id="1195" w:name="_Toc447743428"/>
      <w:bookmarkEnd w:id="1195"/>
      <w:bookmarkStart w:id="1196" w:name="_Toc490036536"/>
      <w:bookmarkEnd w:id="1196"/>
      <w:bookmarkStart w:id="1197" w:name="_Toc448046075"/>
      <w:bookmarkEnd w:id="1197"/>
      <w:bookmarkStart w:id="1198" w:name="_Toc489977684"/>
      <w:bookmarkEnd w:id="1198"/>
      <w:bookmarkStart w:id="1199" w:name="_Toc448054739"/>
      <w:bookmarkEnd w:id="1199"/>
      <w:bookmarkStart w:id="1200" w:name="_Toc491680676"/>
      <w:bookmarkEnd w:id="1200"/>
      <w:bookmarkStart w:id="1201" w:name="_Toc447534745"/>
      <w:bookmarkEnd w:id="1201"/>
      <w:bookmarkStart w:id="1202" w:name="_Toc491687751"/>
      <w:bookmarkEnd w:id="1202"/>
      <w:bookmarkStart w:id="1203" w:name="_Toc447847406"/>
      <w:bookmarkEnd w:id="1203"/>
      <w:bookmarkStart w:id="1204" w:name="_Toc490035146"/>
      <w:bookmarkEnd w:id="1204"/>
      <w:bookmarkStart w:id="1205" w:name="_Toc15194"/>
      <w:bookmarkEnd w:id="1205"/>
      <w:bookmarkStart w:id="1206" w:name="_Toc448073167"/>
      <w:bookmarkEnd w:id="1206"/>
      <w:bookmarkStart w:id="1207" w:name="_Toc447744518"/>
      <w:bookmarkEnd w:id="1207"/>
      <w:bookmarkStart w:id="1208" w:name="_Toc9061"/>
      <w:bookmarkEnd w:id="1208"/>
      <w:bookmarkStart w:id="1209" w:name="_Toc15075"/>
      <w:bookmarkEnd w:id="1209"/>
      <w:bookmarkStart w:id="1210" w:name="_Ref432709343"/>
      <w:bookmarkStart w:id="1211" w:name="_Ref432709390"/>
      <w:bookmarkStart w:id="1212" w:name="_Toc437945910"/>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213" w:name="_Ref447623997"/>
      <w:bookmarkStart w:id="1214" w:name="_Toc16461"/>
      <w:bookmarkStart w:id="1215" w:name="_Toc23102"/>
      <w:bookmarkStart w:id="1216" w:name="_Toc28538"/>
      <w:r>
        <w:rPr>
          <w:rFonts w:hint="eastAsia" w:asciiTheme="minorEastAsia" w:hAnsiTheme="minorEastAsia" w:eastAsiaTheme="minorEastAsia" w:cstheme="minorEastAsia"/>
          <w:color w:val="auto"/>
        </w:rPr>
        <w:t>股权变更的限制</w:t>
      </w:r>
      <w:bookmarkEnd w:id="1210"/>
      <w:bookmarkEnd w:id="1211"/>
      <w:bookmarkEnd w:id="1212"/>
      <w:bookmarkEnd w:id="1213"/>
      <w:bookmarkEnd w:id="1214"/>
      <w:bookmarkEnd w:id="1215"/>
      <w:bookmarkEnd w:id="1216"/>
    </w:p>
    <w:p>
      <w:pPr>
        <w:pStyle w:val="5"/>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本项目</w:t>
      </w:r>
      <w:r>
        <w:rPr>
          <w:rFonts w:hint="eastAsia" w:asciiTheme="minorEastAsia" w:hAnsiTheme="minorEastAsia" w:eastAsiaTheme="minorEastAsia" w:cstheme="minorEastAsia"/>
          <w:color w:val="auto"/>
          <w:szCs w:val="21"/>
          <w:lang w:val="en-US" w:eastAsia="zh-CN"/>
        </w:rPr>
        <w:t>设置股权锁定期，</w:t>
      </w:r>
      <w:r>
        <w:rPr>
          <w:rFonts w:hint="eastAsia" w:asciiTheme="minorEastAsia" w:hAnsiTheme="minorEastAsia" w:eastAsiaTheme="minorEastAsia" w:cstheme="minorEastAsia"/>
          <w:color w:val="auto"/>
          <w:szCs w:val="21"/>
        </w:rPr>
        <w:t>锁定期为PPP项目合同生效之日起至本项目全部综合管廊投入运营之日（以最后一个投入运营的综合管廊的投入运营日为准）后满3年。在锁定期内，社会资本方不得</w:t>
      </w:r>
      <w:r>
        <w:rPr>
          <w:rFonts w:hint="eastAsia" w:asciiTheme="minorEastAsia" w:hAnsiTheme="minorEastAsia" w:eastAsiaTheme="minorEastAsia" w:cstheme="minorEastAsia"/>
          <w:color w:val="auto"/>
          <w:szCs w:val="21"/>
          <w:lang w:val="en-US" w:eastAsia="zh-CN"/>
        </w:rPr>
        <w:t>转让</w:t>
      </w:r>
      <w:r>
        <w:rPr>
          <w:rFonts w:hint="eastAsia" w:asciiTheme="minorEastAsia" w:hAnsiTheme="minorEastAsia" w:eastAsiaTheme="minorEastAsia" w:cstheme="minorEastAsia"/>
          <w:color w:val="auto"/>
          <w:szCs w:val="21"/>
        </w:rPr>
        <w:t>股权，但</w:t>
      </w:r>
      <w:r>
        <w:rPr>
          <w:rFonts w:hint="eastAsia" w:asciiTheme="minorEastAsia" w:hAnsiTheme="minorEastAsia" w:eastAsiaTheme="minorEastAsia" w:cstheme="minorEastAsia"/>
          <w:color w:val="auto"/>
          <w:szCs w:val="21"/>
          <w:lang w:val="en-US" w:eastAsia="zh-CN"/>
        </w:rPr>
        <w:t>下列情形除外：</w:t>
      </w:r>
    </w:p>
    <w:p>
      <w:pPr>
        <w:pStyle w:val="5"/>
        <w:numPr>
          <w:ilvl w:val="2"/>
          <w:numId w:val="0"/>
        </w:numPr>
        <w:ind w:leftChars="0" w:firstLine="48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（1）项目公司股东之间相互转让股权，不受股权锁定期的限制，但应报经甲方书面同意；</w:t>
      </w:r>
    </w:p>
    <w:p>
      <w:pPr>
        <w:pStyle w:val="5"/>
        <w:numPr>
          <w:ilvl w:val="2"/>
          <w:numId w:val="0"/>
        </w:numPr>
        <w:ind w:leftChars="0" w:firstLine="48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（2）社会资本方因项目融资需要向其母公司或关联公司转让股权的，不受股权锁定期限制，但应事先征得甲方书面同意，并履行政府审批程序。</w:t>
      </w:r>
    </w:p>
    <w:p>
      <w:pPr>
        <w:pStyle w:val="5"/>
        <w:numPr>
          <w:ilvl w:val="2"/>
          <w:numId w:val="0"/>
        </w:numPr>
        <w:ind w:leftChars="0"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auto"/>
          <w:szCs w:val="21"/>
        </w:rPr>
        <w:t>（3）将股权转让给包括PPP基金、政策性基金、政府的产业基金等在内的社会资本方（不包括合伙性质的非法人基金），不受股权锁定期的限制。但应事先征得甲方书面同意，并履行政府审批程序。</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Cs w:val="21"/>
        </w:rPr>
        <w:t>在锁定期外，经市城管局书面批准后，社会资本方可根据项目的实际情况选择合适的方式进行退出。</w:t>
      </w:r>
      <w:bookmarkStart w:id="1217" w:name="_在锁定期外，项目公司股东应确保任何项目公司股东都不得擅自变更（包括向项"/>
      <w:bookmarkEnd w:id="1217"/>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股权变更应保证社会资本方的股权比例</w:t>
      </w:r>
      <w:r>
        <w:rPr>
          <w:rFonts w:hint="eastAsia" w:asciiTheme="minorEastAsia" w:hAnsiTheme="minorEastAsia" w:eastAsiaTheme="minorEastAsia" w:cstheme="minorEastAsia"/>
          <w:color w:val="auto"/>
          <w:lang w:val="en-US" w:eastAsia="zh-CN"/>
        </w:rPr>
        <w:t>高于</w:t>
      </w:r>
      <w:r>
        <w:rPr>
          <w:rFonts w:hint="eastAsia" w:asciiTheme="minorEastAsia" w:hAnsiTheme="minorEastAsia" w:eastAsiaTheme="minorEastAsia" w:cstheme="minorEastAsia"/>
          <w:color w:val="auto"/>
        </w:rPr>
        <w:t>50%，但因期满移交和合同提前终止时的股权移交发生的股权变更除外。</w:t>
      </w:r>
    </w:p>
    <w:p>
      <w:pPr>
        <w:rPr>
          <w:rFonts w:hint="eastAsia" w:asciiTheme="minorEastAsia" w:hAnsiTheme="minorEastAsia" w:eastAsiaTheme="minorEastAsia" w:cstheme="minorEastAsia"/>
          <w:color w:val="auto"/>
          <w:kern w:val="0"/>
          <w:sz w:val="24"/>
          <w:szCs w:val="20"/>
          <w:lang w:val="en-US" w:eastAsia="zh-CN" w:bidi="ar-SA"/>
        </w:rPr>
      </w:pPr>
      <w:r>
        <w:rPr>
          <w:rFonts w:hint="eastAsia" w:asciiTheme="minorEastAsia" w:hAnsiTheme="minorEastAsia" w:eastAsiaTheme="minorEastAsia" w:cstheme="minorEastAsia"/>
          <w:color w:val="auto"/>
          <w:kern w:val="0"/>
          <w:sz w:val="24"/>
          <w:szCs w:val="20"/>
          <w:lang w:val="en-US" w:eastAsia="zh-CN" w:bidi="ar-SA"/>
        </w:rPr>
        <w:t>12.1.4政府出资方代表的股权变更不受锁定期限制。</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218" w:name="_Toc4299"/>
      <w:bookmarkStart w:id="1219" w:name="_Toc437945911"/>
      <w:bookmarkStart w:id="1220" w:name="_Toc7315"/>
      <w:bookmarkStart w:id="1221" w:name="_Toc15286"/>
      <w:r>
        <w:rPr>
          <w:rFonts w:hint="eastAsia" w:asciiTheme="minorEastAsia" w:hAnsiTheme="minorEastAsia" w:eastAsiaTheme="minorEastAsia" w:cstheme="minorEastAsia"/>
          <w:color w:val="auto"/>
        </w:rPr>
        <w:t>项目公司股权受让方之资质要求</w:t>
      </w:r>
      <w:bookmarkEnd w:id="1218"/>
      <w:bookmarkEnd w:id="1219"/>
      <w:bookmarkEnd w:id="1220"/>
      <w:bookmarkEnd w:id="1221"/>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在合作期内，除第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_Ref447623997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12.1</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条所允许的变更外，经</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事先书面同意</w:t>
      </w:r>
      <w:r>
        <w:rPr>
          <w:rFonts w:hint="eastAsia" w:asciiTheme="minorEastAsia" w:hAnsiTheme="minorEastAsia" w:eastAsiaTheme="minorEastAsia" w:cstheme="minorEastAsia"/>
          <w:color w:val="auto"/>
          <w:lang w:val="en-US" w:eastAsia="zh-CN"/>
        </w:rPr>
        <w:t>并报市政府审核批准后</w:t>
      </w:r>
      <w:r>
        <w:rPr>
          <w:rFonts w:hint="eastAsia" w:asciiTheme="minorEastAsia" w:hAnsiTheme="minorEastAsia" w:eastAsiaTheme="minorEastAsia" w:cstheme="minorEastAsia"/>
          <w:color w:val="auto"/>
        </w:rPr>
        <w:t>，社会资本方可以向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申请变更其在项目公司中的股权，包括股东之间的转让，以及向股东以外的受让方转让，受让方应满足如下条件：</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具有足够的技术和财务方面的能力、资源和信誉履行项目公司初始股东在本合同及《股东协议》项下的义务，且通过</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或其指定机构的资格审查；</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已经以书面形式明示，在其成为项目公司股东后，该股东继续承担原股东在相关合同/协议项下的义务；</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以获得必要的批准为前提，具有法律权利和能力成为项目公司股东签署的《股东协议》的一方，并根据《股东协议》促使确保项目公司履行在本合同项下的义务。</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拟退出的社会资本方根据项目情况向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提出具体的股权转让申请，该申请文件应包括股权转让公告内容、合同/协议文本，以及对转让计划的时点、额度等内容进行合理调整的意见等。经</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审核同意后，应通过法定程序以公开方式履行合规的转让程序，或经相关部门批准后协议转让，并办理工商登记手续。</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222" w:name="_Toc25830"/>
      <w:bookmarkStart w:id="1223" w:name="_Toc21806"/>
      <w:bookmarkStart w:id="1224" w:name="_Toc12378"/>
      <w:r>
        <w:rPr>
          <w:rFonts w:hint="eastAsia" w:asciiTheme="minorEastAsia" w:hAnsiTheme="minorEastAsia" w:eastAsiaTheme="minorEastAsia" w:cstheme="minorEastAsia"/>
          <w:color w:val="auto"/>
        </w:rPr>
        <w:t>公司章程条款的要求</w:t>
      </w:r>
      <w:bookmarkEnd w:id="1222"/>
      <w:bookmarkEnd w:id="1223"/>
    </w:p>
    <w:p>
      <w:pPr>
        <w:rPr>
          <w:rFonts w:hint="eastAsia"/>
          <w:lang w:val="en-US" w:eastAsia="zh-CN"/>
        </w:rPr>
      </w:pPr>
      <w:bookmarkStart w:id="1225" w:name="_Toc21039"/>
      <w:r>
        <w:rPr>
          <w:rFonts w:hint="eastAsia"/>
          <w:lang w:val="en-US" w:eastAsia="zh-CN"/>
        </w:rPr>
        <w:t>12.3.1 项目公司应在其公司章程中作出适当的规定，以确保预期的股权受让人在审阅公司章程后可以充分获知以上第12.1条对相关权益变更规定的限制条件。</w:t>
      </w:r>
      <w:bookmarkEnd w:id="1225"/>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226" w:name="_Toc6909"/>
      <w:bookmarkStart w:id="1227" w:name="_Toc6577"/>
      <w:r>
        <w:rPr>
          <w:rFonts w:hint="eastAsia" w:asciiTheme="minorEastAsia" w:hAnsiTheme="minorEastAsia" w:eastAsiaTheme="minorEastAsia" w:cstheme="minorEastAsia"/>
          <w:color w:val="auto"/>
        </w:rPr>
        <w:t>合同转让</w:t>
      </w:r>
      <w:bookmarkEnd w:id="1224"/>
      <w:bookmarkEnd w:id="1226"/>
      <w:bookmarkEnd w:id="1227"/>
    </w:p>
    <w:p>
      <w:pPr>
        <w:pStyle w:val="5"/>
        <w:rPr>
          <w:rFonts w:hint="eastAsia" w:asciiTheme="minorEastAsia" w:hAnsiTheme="minorEastAsia" w:eastAsiaTheme="minorEastAsia" w:cstheme="minorEastAsia"/>
          <w:color w:val="auto"/>
        </w:rPr>
      </w:pPr>
      <w:bookmarkStart w:id="1228" w:name="_未经项目公司事先书面同意，市建委不得转让其本协议项下全部或部分的权利或"/>
      <w:bookmarkEnd w:id="1228"/>
      <w:r>
        <w:rPr>
          <w:rFonts w:hint="eastAsia" w:asciiTheme="minorEastAsia" w:hAnsiTheme="minorEastAsia" w:eastAsiaTheme="minorEastAsia" w:cstheme="minorEastAsia"/>
          <w:color w:val="auto"/>
        </w:rPr>
        <w:t>未经</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事先书面同意，项目公司在任何情况下不得转让或以其他方式转移本合同下的权利和义务，包括采取承包、托管、联营、租赁、信托等任何方式导致项目公司对本项目的实际控制权发生转移</w:t>
      </w:r>
      <w:r>
        <w:rPr>
          <w:rFonts w:hint="eastAsia" w:asciiTheme="minorEastAsia" w:hAnsiTheme="minorEastAsia" w:eastAsiaTheme="minorEastAsia" w:cstheme="minorEastAsia"/>
          <w:color w:val="auto"/>
          <w:lang w:val="en-US" w:eastAsia="zh-CN"/>
        </w:rPr>
        <w:t>的</w:t>
      </w:r>
      <w:r>
        <w:rPr>
          <w:rFonts w:hint="eastAsia" w:asciiTheme="minorEastAsia" w:hAnsiTheme="minorEastAsia" w:eastAsiaTheme="minorEastAsia" w:cstheme="minorEastAsia"/>
          <w:color w:val="auto"/>
        </w:rPr>
        <w:t>。</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未经</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批准，项目公司不得转让其用于项目</w:t>
      </w:r>
      <w:r>
        <w:rPr>
          <w:rFonts w:hint="eastAsia" w:asciiTheme="minorEastAsia" w:hAnsiTheme="minorEastAsia" w:eastAsiaTheme="minorEastAsia" w:cstheme="minorEastAsia"/>
          <w:color w:val="auto"/>
          <w:lang w:val="en-US" w:eastAsia="zh-CN"/>
        </w:rPr>
        <w:t>运营</w:t>
      </w:r>
      <w:r>
        <w:rPr>
          <w:rFonts w:hint="eastAsia" w:asciiTheme="minorEastAsia" w:hAnsiTheme="minorEastAsia" w:eastAsiaTheme="minorEastAsia" w:cstheme="minorEastAsia"/>
          <w:color w:val="auto"/>
        </w:rPr>
        <w:t>的项目设施。</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有权转让其在本合同项下全部或部分的权利或义务，包括</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与中国其他的政府部门或机构或具有行政管理职能的机构合并、分立或职能转移：</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具有承担</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在本合同项下所承担的所有权利、义务和责任的能力和授权；</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接受并完全承担</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在本合同项下义务的履行。</w:t>
      </w:r>
    </w:p>
    <w:p>
      <w:pPr>
        <w:pStyle w:val="37"/>
        <w:spacing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bookmarkStart w:id="1229" w:name="_Toc13472"/>
      <w:bookmarkStart w:id="1230" w:name="_Toc9284"/>
      <w:bookmarkStart w:id="1231" w:name="_Toc14100"/>
      <w:r>
        <w:rPr>
          <w:rFonts w:hint="eastAsia" w:asciiTheme="minorEastAsia" w:hAnsiTheme="minorEastAsia" w:eastAsiaTheme="minorEastAsia" w:cstheme="minorEastAsia"/>
        </w:rPr>
        <w:t>付费机制</w:t>
      </w:r>
      <w:bookmarkEnd w:id="1229"/>
      <w:bookmarkEnd w:id="1230"/>
      <w:bookmarkEnd w:id="1231"/>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1232" w:name="_Toc447743434"/>
      <w:bookmarkEnd w:id="1232"/>
      <w:bookmarkStart w:id="1233" w:name="_Toc490036542"/>
      <w:bookmarkEnd w:id="1233"/>
      <w:bookmarkStart w:id="1234" w:name="_Toc448051300"/>
      <w:bookmarkEnd w:id="1234"/>
      <w:bookmarkStart w:id="1235" w:name="_Toc490090549"/>
      <w:bookmarkEnd w:id="1235"/>
      <w:bookmarkStart w:id="1236" w:name="_Toc31258"/>
      <w:bookmarkEnd w:id="1236"/>
      <w:bookmarkStart w:id="1237" w:name="_Toc454572595"/>
      <w:bookmarkEnd w:id="1237"/>
      <w:bookmarkStart w:id="1238" w:name="_Toc491193675"/>
      <w:bookmarkEnd w:id="1238"/>
      <w:bookmarkStart w:id="1239" w:name="_Toc489977690"/>
      <w:bookmarkEnd w:id="1239"/>
      <w:bookmarkStart w:id="1240" w:name="_Toc490035152"/>
      <w:bookmarkEnd w:id="1240"/>
      <w:bookmarkStart w:id="1241" w:name="_Toc448054745"/>
      <w:bookmarkEnd w:id="1241"/>
      <w:bookmarkStart w:id="1242" w:name="_Toc447632723"/>
      <w:bookmarkEnd w:id="1242"/>
      <w:bookmarkStart w:id="1243" w:name="_Toc447850062"/>
      <w:bookmarkEnd w:id="1243"/>
      <w:bookmarkStart w:id="1244" w:name="_Toc489988477"/>
      <w:bookmarkEnd w:id="1244"/>
      <w:bookmarkStart w:id="1245" w:name="_Toc491680682"/>
      <w:bookmarkEnd w:id="1245"/>
      <w:bookmarkStart w:id="1246" w:name="_Toc491257803"/>
      <w:bookmarkEnd w:id="1246"/>
      <w:bookmarkStart w:id="1247" w:name="_Toc493453901"/>
      <w:bookmarkEnd w:id="1247"/>
      <w:bookmarkStart w:id="1248" w:name="_Toc447534583"/>
      <w:bookmarkEnd w:id="1248"/>
      <w:bookmarkStart w:id="1249" w:name="_Toc448056140"/>
      <w:bookmarkEnd w:id="1249"/>
      <w:bookmarkStart w:id="1250" w:name="_Toc447744524"/>
      <w:bookmarkEnd w:id="1250"/>
      <w:bookmarkStart w:id="1251" w:name="_Toc491687953"/>
      <w:bookmarkEnd w:id="1251"/>
      <w:bookmarkStart w:id="1252" w:name="_Toc448055749"/>
      <w:bookmarkEnd w:id="1252"/>
      <w:bookmarkStart w:id="1253" w:name="_Toc489977871"/>
      <w:bookmarkEnd w:id="1253"/>
      <w:bookmarkStart w:id="1254" w:name="_Toc493454861"/>
      <w:bookmarkEnd w:id="1254"/>
      <w:bookmarkStart w:id="1255" w:name="_Toc448051482"/>
      <w:bookmarkEnd w:id="1255"/>
      <w:bookmarkStart w:id="1256" w:name="_Toc448073173"/>
      <w:bookmarkEnd w:id="1256"/>
      <w:bookmarkStart w:id="1257" w:name="_Toc447847412"/>
      <w:bookmarkEnd w:id="1257"/>
      <w:bookmarkStart w:id="1258" w:name="_Toc447534751"/>
      <w:bookmarkEnd w:id="1258"/>
      <w:bookmarkStart w:id="1259" w:name="_Toc454489415"/>
      <w:bookmarkEnd w:id="1259"/>
      <w:bookmarkStart w:id="1260" w:name="_Toc447620472"/>
      <w:bookmarkEnd w:id="1260"/>
      <w:bookmarkStart w:id="1261" w:name="_Toc491687757"/>
      <w:bookmarkEnd w:id="1261"/>
      <w:bookmarkStart w:id="1262" w:name="_Toc454506775"/>
      <w:bookmarkEnd w:id="1262"/>
      <w:bookmarkStart w:id="1263" w:name="_Toc489986216"/>
      <w:bookmarkEnd w:id="1263"/>
      <w:bookmarkStart w:id="1264" w:name="_Toc490081489"/>
      <w:bookmarkEnd w:id="1264"/>
      <w:bookmarkStart w:id="1265" w:name="_Toc454482314"/>
      <w:bookmarkEnd w:id="1265"/>
      <w:bookmarkStart w:id="1266" w:name="_Toc448046081"/>
      <w:bookmarkEnd w:id="1266"/>
      <w:bookmarkStart w:id="1267" w:name="_Toc23624"/>
      <w:bookmarkEnd w:id="1267"/>
      <w:bookmarkStart w:id="1268" w:name="_Toc1301"/>
      <w:bookmarkEnd w:id="1268"/>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269" w:name="_入廊费和日常维护费"/>
      <w:bookmarkEnd w:id="1269"/>
      <w:bookmarkStart w:id="1270" w:name="_Ref447624098"/>
      <w:bookmarkStart w:id="1271" w:name="_Toc29948"/>
      <w:bookmarkStart w:id="1272" w:name="_Toc31717"/>
      <w:bookmarkStart w:id="1273" w:name="_Toc13253"/>
      <w:r>
        <w:rPr>
          <w:rFonts w:hint="eastAsia" w:asciiTheme="minorEastAsia" w:hAnsiTheme="minorEastAsia" w:eastAsiaTheme="minorEastAsia" w:cstheme="minorEastAsia"/>
          <w:color w:val="auto"/>
        </w:rPr>
        <w:t>入廊费和日常维护费</w:t>
      </w:r>
      <w:bookmarkEnd w:id="1270"/>
      <w:r>
        <w:rPr>
          <w:rFonts w:hint="eastAsia" w:asciiTheme="minorEastAsia" w:hAnsiTheme="minorEastAsia" w:eastAsiaTheme="minorEastAsia" w:cstheme="minorEastAsia"/>
          <w:color w:val="auto"/>
          <w:lang w:val="en-US" w:eastAsia="zh-CN"/>
        </w:rPr>
        <w:t>的定价机制</w:t>
      </w:r>
      <w:bookmarkEnd w:id="1271"/>
      <w:bookmarkEnd w:id="1272"/>
      <w:bookmarkEnd w:id="1273"/>
    </w:p>
    <w:p>
      <w:pPr>
        <w:pStyle w:val="4"/>
        <w:rPr>
          <w:rFonts w:hint="eastAsia" w:asciiTheme="minorEastAsia" w:hAnsiTheme="minorEastAsia" w:eastAsiaTheme="minorEastAsia" w:cstheme="minorEastAsia"/>
          <w:bCs w:val="0"/>
          <w:color w:val="auto"/>
          <w:kern w:val="0"/>
          <w:sz w:val="24"/>
          <w:szCs w:val="20"/>
          <w:lang w:val="en-US" w:eastAsia="zh-CN" w:bidi="ar-SA"/>
        </w:rPr>
      </w:pPr>
      <w:r>
        <w:rPr>
          <w:rFonts w:hint="eastAsia" w:asciiTheme="minorEastAsia" w:hAnsiTheme="minorEastAsia" w:eastAsiaTheme="minorEastAsia" w:cstheme="minorEastAsia"/>
          <w:bCs w:val="0"/>
          <w:color w:val="auto"/>
          <w:kern w:val="0"/>
          <w:sz w:val="24"/>
          <w:szCs w:val="20"/>
          <w:lang w:val="en-US" w:eastAsia="zh-CN" w:bidi="ar-SA"/>
        </w:rPr>
        <w:t>入廊费=管线单独敷设成本+管线在不进入管廊情况下所需的重复单独敷设成本+因管线破损率（漏损率）降低而节省的管线维护和生产经营成本</w:t>
      </w:r>
    </w:p>
    <w:p>
      <w:pPr>
        <w:pStyle w:val="4"/>
        <w:rPr>
          <w:rFonts w:hint="eastAsia" w:asciiTheme="minorEastAsia" w:hAnsiTheme="minorEastAsia" w:eastAsiaTheme="minorEastAsia" w:cstheme="minorEastAsia"/>
          <w:bCs w:val="0"/>
          <w:color w:val="auto"/>
          <w:kern w:val="0"/>
          <w:sz w:val="24"/>
          <w:szCs w:val="20"/>
          <w:lang w:val="en-US" w:eastAsia="zh-CN" w:bidi="ar-SA"/>
        </w:rPr>
      </w:pPr>
      <w:r>
        <w:rPr>
          <w:rFonts w:hint="eastAsia" w:asciiTheme="minorEastAsia" w:hAnsiTheme="minorEastAsia" w:eastAsiaTheme="minorEastAsia" w:cstheme="minorEastAsia"/>
          <w:bCs w:val="0"/>
          <w:color w:val="auto"/>
          <w:kern w:val="0"/>
          <w:sz w:val="24"/>
          <w:szCs w:val="20"/>
          <w:lang w:val="en-US" w:eastAsia="zh-CN" w:bidi="ar-SA"/>
        </w:rPr>
        <w:t>单位日常维护费=各类入廊管线占用管廊空间的平均比例*（综合管廊项目设施运行、维护、更新改造成本+综合管廊运营单位正常管理支出+综合管廊运营单位合理经营利润）/总长度</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274" w:name="_可行性缺口补助"/>
      <w:bookmarkEnd w:id="1274"/>
      <w:bookmarkStart w:id="1275" w:name="_Ref447625229"/>
      <w:bookmarkStart w:id="1276" w:name="_Ref447624136"/>
      <w:bookmarkStart w:id="1277" w:name="_Ref490060402"/>
      <w:bookmarkStart w:id="1278" w:name="_Toc7128"/>
      <w:bookmarkStart w:id="1279" w:name="_Toc15487"/>
      <w:bookmarkStart w:id="1280" w:name="_Toc31750"/>
      <w:r>
        <w:rPr>
          <w:rFonts w:hint="eastAsia" w:asciiTheme="minorEastAsia" w:hAnsiTheme="minorEastAsia" w:eastAsiaTheme="minorEastAsia" w:cstheme="minorEastAsia"/>
          <w:color w:val="auto"/>
        </w:rPr>
        <w:t>可行性缺口补助</w:t>
      </w:r>
      <w:bookmarkEnd w:id="1275"/>
      <w:bookmarkEnd w:id="1276"/>
      <w:r>
        <w:rPr>
          <w:rFonts w:hint="eastAsia" w:asciiTheme="minorEastAsia" w:hAnsiTheme="minorEastAsia" w:eastAsiaTheme="minorEastAsia" w:cstheme="minorEastAsia"/>
          <w:color w:val="auto"/>
        </w:rPr>
        <w:t>核算</w:t>
      </w:r>
      <w:bookmarkEnd w:id="1277"/>
      <w:bookmarkEnd w:id="1278"/>
      <w:bookmarkEnd w:id="1279"/>
      <w:bookmarkEnd w:id="1280"/>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当项目公司获得的入廊费和日常维护费不足以覆盖日常运营维护成本、还本付息及社会资本合理投资回报的情况下，</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和市财政局需根据绩效考核机制给予必要的可行性缺口补助。</w:t>
      </w:r>
    </w:p>
    <w:p>
      <w:pPr>
        <w:widowControl w:val="0"/>
        <w:suppressAutoHyphens/>
        <w:spacing w:before="120" w:beforeLines="50" w:after="120" w:afterLines="50" w:line="360" w:lineRule="auto"/>
        <w:ind w:left="2241" w:hanging="1928" w:hangingChars="800"/>
        <w:jc w:val="both"/>
        <w:rPr>
          <w:rFonts w:hint="eastAsia" w:asciiTheme="minorEastAsia" w:hAnsiTheme="minorEastAsia" w:eastAsiaTheme="minorEastAsia" w:cstheme="minorEastAsia"/>
          <w:b/>
          <w:sz w:val="24"/>
          <w:szCs w:val="24"/>
        </w:rPr>
      </w:pPr>
      <w:bookmarkStart w:id="1281" w:name="_Toc493453904"/>
      <w:bookmarkEnd w:id="1281"/>
      <w:bookmarkStart w:id="1282" w:name="_Toc493454938"/>
      <w:bookmarkEnd w:id="1282"/>
      <w:bookmarkStart w:id="1283" w:name="_Toc493454864"/>
      <w:bookmarkEnd w:id="1283"/>
      <w:bookmarkStart w:id="1284" w:name="_Toc493453905"/>
      <w:bookmarkEnd w:id="1284"/>
      <w:bookmarkStart w:id="1285" w:name="_Toc493453978"/>
      <w:bookmarkEnd w:id="1285"/>
      <w:bookmarkStart w:id="1286" w:name="_Toc493454865"/>
      <w:bookmarkEnd w:id="1286"/>
      <w:r>
        <w:rPr>
          <w:rFonts w:hint="eastAsia" w:asciiTheme="minorEastAsia" w:hAnsiTheme="minorEastAsia" w:eastAsiaTheme="minorEastAsia" w:cstheme="minorEastAsia"/>
          <w:b/>
          <w:sz w:val="24"/>
          <w:szCs w:val="24"/>
        </w:rPr>
        <w:t xml:space="preserve">可行性缺口补助＝{资本金预期投资回报+项目总投资 /（合作期-建 设期）+约定的融资成本水平+约定的运营维护成 本水平+税费（不含所得税）-使用者付费收入约 定值}*运营维护管理考核支付比例 </w:t>
      </w:r>
    </w:p>
    <w:p>
      <w:pPr>
        <w:widowControl w:val="0"/>
        <w:suppressAutoHyphens/>
        <w:spacing w:before="120" w:beforeLines="50" w:after="120" w:afterLines="50" w:line="360" w:lineRule="auto"/>
        <w:ind w:firstLine="480" w:firstLineChars="200"/>
        <w:jc w:val="both"/>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可行性缺口补助公式说明如下：</w:t>
      </w:r>
    </w:p>
    <w:p>
      <w:pPr>
        <w:pStyle w:val="66"/>
        <w:widowControl w:val="0"/>
        <w:numPr>
          <w:ilvl w:val="0"/>
          <w:numId w:val="0"/>
        </w:numPr>
        <w:tabs>
          <w:tab w:val="left" w:pos="1276"/>
        </w:tabs>
        <w:suppressAutoHyphens/>
        <w:spacing w:before="120" w:beforeLines="50" w:after="120" w:afterLines="50" w:line="360" w:lineRule="auto"/>
        <w:ind w:leftChars="200"/>
        <w:contextualSpacing w:val="0"/>
        <w:jc w:val="both"/>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val="en-US" w:eastAsia="zh-CN"/>
        </w:rPr>
        <w:t>1.</w:t>
      </w:r>
      <w:r>
        <w:rPr>
          <w:rFonts w:hint="eastAsia" w:asciiTheme="minorEastAsia" w:hAnsiTheme="minorEastAsia" w:eastAsiaTheme="minorEastAsia" w:cstheme="minorEastAsia"/>
          <w:b/>
          <w:sz w:val="24"/>
          <w:szCs w:val="24"/>
        </w:rPr>
        <w:t>资本金预期投资回报</w:t>
      </w:r>
    </w:p>
    <w:p>
      <w:pPr>
        <w:widowControl w:val="0"/>
        <w:suppressAutoHyphens/>
        <w:spacing w:before="120" w:beforeLines="50" w:after="120" w:afterLines="50"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项目资本金预期投资回报包括社会资本资本金预期投资回报和政府方出资代表资</w:t>
      </w:r>
      <w:bookmarkStart w:id="3021" w:name="_GoBack"/>
      <w:bookmarkEnd w:id="3021"/>
      <w:r>
        <w:rPr>
          <w:rFonts w:hint="eastAsia" w:asciiTheme="minorEastAsia" w:hAnsiTheme="minorEastAsia" w:eastAsiaTheme="minorEastAsia" w:cstheme="minorEastAsia"/>
          <w:sz w:val="24"/>
          <w:szCs w:val="24"/>
        </w:rPr>
        <w:t>本金预期投资回报。</w:t>
      </w:r>
    </w:p>
    <w:p>
      <w:pPr>
        <w:widowControl w:val="0"/>
        <w:suppressAutoHyphens/>
        <w:spacing w:before="120" w:beforeLines="50" w:after="120" w:afterLines="50"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本项目在建设期不计预期投资回报，资本金预期投资回报从运营维护期第一年开始计算，并在考核运营年度的下一年度年初进行核算并支付，计算公式如下： </w:t>
      </w:r>
    </w:p>
    <w:p>
      <w:pPr>
        <w:widowControl w:val="0"/>
        <w:suppressAutoHyphens/>
        <w:spacing w:before="120" w:beforeLines="50" w:after="120" w:afterLines="50" w:line="360" w:lineRule="auto"/>
        <w:ind w:left="2836" w:hanging="2438" w:hangingChars="1012"/>
        <w:jc w:val="both"/>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资本金预期投资回报=社会资本资本金预期投资回报{社会资本方实缴资本金*社会资本方资本金预期投资回报率}+政府方出资代表资本金预期投资回报{政府方出资代表实缴资本金*政府方出资代表资本金预期投资回报率}</w:t>
      </w:r>
    </w:p>
    <w:p>
      <w:pPr>
        <w:widowControl w:val="0"/>
        <w:suppressAutoHyphens/>
        <w:spacing w:before="120" w:beforeLines="50" w:after="120" w:afterLines="50" w:line="360" w:lineRule="auto"/>
        <w:ind w:firstLine="480" w:firstLineChars="20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社会资本方资本金预期投资回报率通过采购确定，以中标社会资本投报的回报率为准。徐州新盛基础建设公司的资本金出资资金并按照经采购确定的社会资本方资本金预期投资回报率计算其资本金预期投资回报。 </w:t>
      </w:r>
    </w:p>
    <w:p>
      <w:pPr>
        <w:widowControl w:val="0"/>
        <w:suppressAutoHyphens/>
        <w:spacing w:before="120" w:beforeLines="50" w:after="120" w:afterLines="50" w:line="360" w:lineRule="auto"/>
        <w:ind w:firstLine="480" w:firstLineChars="20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在合作期内，项目公司可能会增加或减少注册资本和资本公积， 导致项目建设期内股东实缴的资本金金额在合作期内发生变化，故各年的项目公司股东方的资本金实缴资金以当年各股东方在项目公司中的帐面实缴资本金金额为准。 </w:t>
      </w:r>
    </w:p>
    <w:p>
      <w:pPr>
        <w:widowControl w:val="0"/>
        <w:numPr>
          <w:ilvl w:val="0"/>
          <w:numId w:val="20"/>
        </w:numPr>
        <w:suppressAutoHyphens/>
        <w:spacing w:before="120" w:beforeLines="50" w:after="120" w:afterLines="50" w:line="360" w:lineRule="auto"/>
        <w:ind w:firstLine="482" w:firstLineChars="20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 xml:space="preserve">运营维护管理考核支付比例 </w:t>
      </w:r>
    </w:p>
    <w:p>
      <w:pPr>
        <w:widowControl w:val="0"/>
        <w:numPr>
          <w:ilvl w:val="0"/>
          <w:numId w:val="0"/>
        </w:numPr>
        <w:suppressAutoHyphens/>
        <w:spacing w:before="120" w:beforeLines="50" w:after="120" w:afterLines="50" w:line="360" w:lineRule="auto"/>
        <w:ind w:firstLine="560"/>
        <w:jc w:val="both"/>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在运营维护期，市城管局或其委托机构会同市财政局和铜山区 财政局对全部综合管廊的运营维护情况进行绩效考核，并依据绩效 考核方案约定的考核评分办法分别进行绩效评分，将绩效考核评分 结果与可行性缺口补助直接挂钩，实现 PPP绩效考核的传导。根据 绩效考核评分结果确定的可行性缺口补助的具体支付比例。</w:t>
      </w:r>
    </w:p>
    <w:p>
      <w:pPr>
        <w:widowControl w:val="0"/>
        <w:numPr>
          <w:ilvl w:val="0"/>
          <w:numId w:val="20"/>
        </w:numPr>
        <w:suppressAutoHyphens/>
        <w:spacing w:before="120" w:beforeLines="50" w:after="120" w:afterLines="50" w:line="360" w:lineRule="auto"/>
        <w:ind w:left="0" w:leftChars="0" w:firstLine="482" w:firstLineChars="200"/>
        <w:jc w:val="both"/>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项目总投资/（合作期-建设期）</w:t>
      </w:r>
    </w:p>
    <w:p>
      <w:pPr>
        <w:widowControl w:val="0"/>
        <w:numPr>
          <w:ilvl w:val="0"/>
          <w:numId w:val="0"/>
        </w:numPr>
        <w:suppressAutoHyphens/>
        <w:spacing w:before="120" w:beforeLines="50" w:after="120" w:afterLines="50" w:line="360" w:lineRule="auto"/>
        <w:ind w:firstLine="560"/>
        <w:jc w:val="both"/>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 xml:space="preserve"> 本项目的项目总投资以政府制定机构竣工决算审计确定的投资额为准。 </w:t>
      </w:r>
    </w:p>
    <w:p>
      <w:pPr>
        <w:widowControl w:val="0"/>
        <w:numPr>
          <w:ilvl w:val="0"/>
          <w:numId w:val="0"/>
        </w:numPr>
        <w:suppressAutoHyphens/>
        <w:spacing w:before="120" w:beforeLines="50" w:after="120" w:afterLines="50" w:line="360" w:lineRule="auto"/>
        <w:ind w:firstLine="560"/>
        <w:jc w:val="both"/>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 xml:space="preserve">本项目的项目总投资不应超过经市发展和改革委员批复的项目投资预算金额，因工程变更造成实际贷款总额超过上述约定总额的，须市城管局审批后依照PPP项目合同的约定执行。 </w:t>
      </w:r>
    </w:p>
    <w:p>
      <w:pPr>
        <w:widowControl w:val="0"/>
        <w:numPr>
          <w:ilvl w:val="0"/>
          <w:numId w:val="20"/>
        </w:numPr>
        <w:suppressAutoHyphens/>
        <w:spacing w:before="120" w:beforeLines="50" w:after="120" w:afterLines="50" w:line="360" w:lineRule="auto"/>
        <w:ind w:left="0" w:leftChars="0" w:firstLine="482" w:firstLineChars="200"/>
        <w:jc w:val="both"/>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约定的融资成本水平</w:t>
      </w:r>
    </w:p>
    <w:p>
      <w:pPr>
        <w:widowControl w:val="0"/>
        <w:numPr>
          <w:ilvl w:val="0"/>
          <w:numId w:val="0"/>
        </w:numPr>
        <w:suppressAutoHyphens/>
        <w:spacing w:before="120" w:beforeLines="50" w:after="120" w:afterLines="50" w:line="360" w:lineRule="auto"/>
        <w:ind w:firstLine="560"/>
        <w:jc w:val="both"/>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 xml:space="preserve">约定的融资成本水平仅指建设期内为项目建设，项目公司与银行等金融机构签订贷款协议在还款期实际支付的贷款利息，不包括项目公司在运营维护期内因公司经营需要进行设备设施更新或资金周转进行融资而支付的利息。 </w:t>
      </w:r>
    </w:p>
    <w:p>
      <w:pPr>
        <w:widowControl w:val="0"/>
        <w:numPr>
          <w:ilvl w:val="0"/>
          <w:numId w:val="0"/>
        </w:numPr>
        <w:suppressAutoHyphens/>
        <w:spacing w:before="120" w:beforeLines="50" w:after="120" w:afterLines="50" w:line="360" w:lineRule="auto"/>
        <w:ind w:firstLine="560"/>
        <w:jc w:val="both"/>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 xml:space="preserve">本项目的融资利率由社会资本进行报价（对中国人民银行同期5年期以上基准贷款利率上浮的比例进行报价），社会资本融资利率报价不得超过中国人民银行同期 5 年期以上基准贷款利率上浮 20%。在项目合作期，如中国人民银行 5 年期以上同期贷款基准利率发生变化，社会资本融资利率报价根据中国人民银行 5 年期以上 贷款利率变化而调整。 </w:t>
      </w:r>
    </w:p>
    <w:p>
      <w:pPr>
        <w:widowControl w:val="0"/>
        <w:numPr>
          <w:ilvl w:val="0"/>
          <w:numId w:val="0"/>
        </w:numPr>
        <w:suppressAutoHyphens/>
        <w:spacing w:before="120" w:beforeLines="50" w:after="120" w:afterLines="50" w:line="360" w:lineRule="auto"/>
        <w:ind w:firstLine="560"/>
        <w:jc w:val="both"/>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 xml:space="preserve">项目公司的实际融资利率大于等于社会资本报价融资利率，约 定的融资成本水平按照社会资本报价融资利率核算。 </w:t>
      </w:r>
    </w:p>
    <w:p>
      <w:pPr>
        <w:widowControl w:val="0"/>
        <w:numPr>
          <w:ilvl w:val="0"/>
          <w:numId w:val="0"/>
        </w:numPr>
        <w:suppressAutoHyphens/>
        <w:spacing w:before="120" w:beforeLines="50" w:after="120" w:afterLines="50" w:line="360" w:lineRule="auto"/>
        <w:ind w:firstLine="560"/>
        <w:jc w:val="both"/>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 xml:space="preserve">当项目的实际融资利率在中国人民银行同期5年期以上基准贷款利率上浮 10%至上浮 20%之间时，约定的融资成本水平取社会资本报价融资利率和实际融资利率的较小值。 </w:t>
      </w:r>
    </w:p>
    <w:p>
      <w:pPr>
        <w:widowControl w:val="0"/>
        <w:numPr>
          <w:ilvl w:val="0"/>
          <w:numId w:val="0"/>
        </w:numPr>
        <w:suppressAutoHyphens/>
        <w:spacing w:before="120" w:beforeLines="50" w:after="120" w:afterLines="50" w:line="360" w:lineRule="auto"/>
        <w:ind w:firstLine="560"/>
        <w:jc w:val="both"/>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当项目公司的实际融资利率小于中国人民银行同期 5 年期以上基准贷款利率上浮 10%时，本项目建立融资奖励机制，约定的融资成本水平按照{项目公司的实际融资利率+（中国人民银行同期 5 年 期以上基准贷款利率上浮 10%-项目公司的实际融资利率）*50%}计算的利率进行核算。</w:t>
      </w:r>
    </w:p>
    <w:p>
      <w:pPr>
        <w:widowControl w:val="0"/>
        <w:numPr>
          <w:ilvl w:val="0"/>
          <w:numId w:val="0"/>
        </w:numPr>
        <w:suppressAutoHyphens/>
        <w:spacing w:before="120" w:beforeLines="50" w:after="120" w:afterLines="50" w:line="360" w:lineRule="auto"/>
        <w:ind w:firstLine="560"/>
        <w:jc w:val="both"/>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 xml:space="preserve">在增加本项目的项目收益且不影响项目实施的情况下，同时再融资的融资利率须小于项目公司在建设期期初进行项目建设贷款的融资利率，并经过市城管局的批准下，项目公司在PPP合作期内可以进行项目再融资。再融资的融资利率作为项目公司的实际融资利率，按照上述原则，核算约定的融资成本水平。 </w:t>
      </w:r>
    </w:p>
    <w:p>
      <w:pPr>
        <w:pStyle w:val="66"/>
        <w:widowControl w:val="0"/>
        <w:numPr>
          <w:ilvl w:val="0"/>
          <w:numId w:val="0"/>
        </w:numPr>
        <w:tabs>
          <w:tab w:val="left" w:pos="1276"/>
        </w:tabs>
        <w:suppressAutoHyphens/>
        <w:spacing w:before="120" w:beforeLines="50" w:after="120" w:afterLines="50" w:line="360" w:lineRule="auto"/>
        <w:ind w:leftChars="200"/>
        <w:contextualSpacing w:val="0"/>
        <w:jc w:val="both"/>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val="en-US" w:eastAsia="zh-CN"/>
        </w:rPr>
        <w:t>5.</w:t>
      </w:r>
      <w:r>
        <w:rPr>
          <w:rFonts w:hint="eastAsia" w:asciiTheme="minorEastAsia" w:hAnsiTheme="minorEastAsia" w:eastAsiaTheme="minorEastAsia" w:cstheme="minorEastAsia"/>
          <w:b/>
          <w:sz w:val="24"/>
          <w:szCs w:val="24"/>
        </w:rPr>
        <w:t>约定的运营维护成本水平</w:t>
      </w:r>
    </w:p>
    <w:p>
      <w:pPr>
        <w:widowControl w:val="0"/>
        <w:suppressAutoHyphens/>
        <w:spacing w:before="120" w:beforeLines="50" w:after="120" w:afterLines="50" w:line="360" w:lineRule="auto"/>
        <w:ind w:firstLine="480" w:firstLineChars="200"/>
        <w:jc w:val="both"/>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运营维护成本水平是项目公司维持地下综合管廊正常运转所实际支付的职工薪酬、设备设施更新、运营维护支出（包括电费、维修费、营运费用等）和管理费用等各项成本费用水平，不包括折旧摊销和财务费用等。</w:t>
      </w:r>
    </w:p>
    <w:p>
      <w:pPr>
        <w:widowControl w:val="0"/>
        <w:suppressAutoHyphens/>
        <w:spacing w:before="120" w:beforeLines="50" w:after="120" w:afterLines="50" w:line="360" w:lineRule="auto"/>
        <w:ind w:firstLine="480" w:firstLineChars="200"/>
        <w:jc w:val="both"/>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社会资本需对运营维护期初年的运营维护成本（万元/年）进行报价（即运营维护成本报价值），运营维护期初年的约定运营维护成本上限值以招标文件中的规定为准。</w:t>
      </w:r>
    </w:p>
    <w:p>
      <w:pPr>
        <w:widowControl w:val="0"/>
        <w:suppressAutoHyphens/>
        <w:spacing w:before="120" w:beforeLines="50" w:after="120" w:afterLines="50" w:line="360" w:lineRule="auto"/>
        <w:ind w:firstLine="480" w:firstLineChars="200"/>
        <w:jc w:val="both"/>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在运营维护期，市城管局会同市财政局和铜山区财政局对项目公司实施成本监管与监测，通过比较项目公司各年实际年度运营维护成本与运营维护成本报价值/运营维护成本报价调整值（运营维护期前3年为运营维护成本报价值，运营维护期其他年度为运营维护成本报价调整值，下同）之间的差额，判断项目公司运营维护成本的控制情况，进一步核算约定的运营维护成本。</w:t>
      </w:r>
    </w:p>
    <w:p>
      <w:pPr>
        <w:widowControl w:val="0"/>
        <w:suppressAutoHyphens/>
        <w:spacing w:before="120" w:beforeLines="50" w:after="120" w:afterLines="50" w:line="360" w:lineRule="auto"/>
        <w:ind w:firstLine="480" w:firstLineChars="200"/>
        <w:jc w:val="both"/>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在运营维护期内，经审计确定的实际发生的运营维护成本超出运营维护成本报价值/运营维护成本报价调整值时，按运营维护成本报价值/运营维护成本报价调整值进行核算。</w:t>
      </w:r>
    </w:p>
    <w:p>
      <w:pPr>
        <w:widowControl w:val="0"/>
        <w:suppressAutoHyphens/>
        <w:spacing w:before="120" w:beforeLines="50" w:after="120" w:afterLines="50"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经审计确定的实际发生的运营维护成本低于运营维护成本报价值/运营维护成本报价调整值时，</w:t>
      </w:r>
      <w:r>
        <w:rPr>
          <w:rFonts w:hint="eastAsia" w:asciiTheme="minorEastAsia" w:hAnsiTheme="minorEastAsia" w:eastAsiaTheme="minorEastAsia" w:cstheme="minorEastAsia"/>
          <w:sz w:val="24"/>
          <w:szCs w:val="24"/>
        </w:rPr>
        <w:t>本项目建立运营维护成本奖励机制，约定的运营维护成本水平按照{</w:t>
      </w:r>
      <w:r>
        <w:rPr>
          <w:rFonts w:hint="eastAsia" w:asciiTheme="minorEastAsia" w:hAnsiTheme="minorEastAsia" w:eastAsiaTheme="minorEastAsia" w:cstheme="minorEastAsia"/>
          <w:color w:val="000000"/>
          <w:sz w:val="24"/>
          <w:szCs w:val="24"/>
        </w:rPr>
        <w:t>经审计确定的实际发生的运营维护成本+运营维护成本奖励金额</w:t>
      </w:r>
      <w:r>
        <w:rPr>
          <w:rFonts w:hint="eastAsia" w:asciiTheme="minorEastAsia" w:hAnsiTheme="minorEastAsia" w:eastAsiaTheme="minorEastAsia" w:cstheme="minorEastAsia"/>
          <w:sz w:val="24"/>
          <w:szCs w:val="24"/>
        </w:rPr>
        <w:t>}核算。运营维护成本奖励金额如下表所示：</w:t>
      </w:r>
    </w:p>
    <w:p>
      <w:pPr>
        <w:widowControl w:val="0"/>
        <w:suppressAutoHyphens/>
        <w:spacing w:before="120" w:beforeLines="50" w:after="120" w:afterLines="50" w:line="360" w:lineRule="auto"/>
        <w:ind w:firstLine="480" w:firstLineChars="200"/>
        <w:jc w:val="both"/>
        <w:rPr>
          <w:rFonts w:hint="eastAsia" w:asciiTheme="minorEastAsia" w:hAnsiTheme="minorEastAsia" w:eastAsiaTheme="minorEastAsia" w:cstheme="minorEastAsia"/>
          <w:sz w:val="24"/>
          <w:szCs w:val="24"/>
        </w:rPr>
      </w:pPr>
    </w:p>
    <w:p>
      <w:pPr>
        <w:widowControl w:val="0"/>
        <w:suppressAutoHyphens/>
        <w:spacing w:before="120" w:beforeLines="50" w:after="120" w:afterLines="50" w:line="360" w:lineRule="auto"/>
        <w:ind w:firstLine="480" w:firstLineChars="200"/>
        <w:jc w:val="both"/>
        <w:rPr>
          <w:rFonts w:hint="eastAsia" w:asciiTheme="minorEastAsia" w:hAnsiTheme="minorEastAsia" w:eastAsiaTheme="minorEastAsia" w:cstheme="minorEastAsia"/>
          <w:sz w:val="24"/>
          <w:szCs w:val="24"/>
        </w:rPr>
      </w:pPr>
    </w:p>
    <w:p>
      <w:pPr>
        <w:widowControl w:val="0"/>
        <w:suppressAutoHyphens/>
        <w:spacing w:before="120" w:beforeLines="50" w:after="120" w:afterLines="50" w:line="360" w:lineRule="auto"/>
        <w:ind w:firstLine="480" w:firstLineChars="200"/>
        <w:jc w:val="both"/>
        <w:rPr>
          <w:rFonts w:hint="eastAsia" w:asciiTheme="minorEastAsia" w:hAnsiTheme="minorEastAsia" w:eastAsiaTheme="minorEastAsia" w:cstheme="minorEastAsia"/>
          <w:sz w:val="24"/>
          <w:szCs w:val="24"/>
        </w:rPr>
      </w:pPr>
    </w:p>
    <w:p>
      <w:pPr>
        <w:widowControl w:val="0"/>
        <w:suppressAutoHyphens/>
        <w:spacing w:before="120" w:beforeLines="50" w:after="120" w:after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表6.2  运营维护成本奖励金额</w:t>
      </w:r>
    </w:p>
    <w:tbl>
      <w:tblPr>
        <w:tblStyle w:val="40"/>
        <w:tblW w:w="85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1484"/>
        <w:gridCol w:w="1484"/>
        <w:gridCol w:w="148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6"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当年实际运营维护成本低于运营维护成本报价值/运营维护成本报价调整值的比例</w:t>
            </w:r>
          </w:p>
        </w:tc>
        <w:tc>
          <w:tcPr>
            <w:tcW w:w="1484"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 20%]</w:t>
            </w:r>
          </w:p>
        </w:tc>
        <w:tc>
          <w:tcPr>
            <w:tcW w:w="1484"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 30%]</w:t>
            </w:r>
          </w:p>
        </w:tc>
        <w:tc>
          <w:tcPr>
            <w:tcW w:w="1484"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 40%]</w:t>
            </w:r>
          </w:p>
        </w:tc>
        <w:tc>
          <w:tcPr>
            <w:tcW w:w="1701"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6"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差额部分作为对项目公司奖励的比例</w:t>
            </w:r>
          </w:p>
        </w:tc>
        <w:tc>
          <w:tcPr>
            <w:tcW w:w="1484"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50%</w:t>
            </w:r>
          </w:p>
        </w:tc>
        <w:tc>
          <w:tcPr>
            <w:tcW w:w="1484"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60%</w:t>
            </w:r>
          </w:p>
        </w:tc>
        <w:tc>
          <w:tcPr>
            <w:tcW w:w="1484"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70%</w:t>
            </w:r>
          </w:p>
        </w:tc>
        <w:tc>
          <w:tcPr>
            <w:tcW w:w="1701"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80%</w:t>
            </w:r>
          </w:p>
        </w:tc>
      </w:tr>
    </w:tbl>
    <w:p>
      <w:pPr>
        <w:pStyle w:val="66"/>
        <w:widowControl w:val="0"/>
        <w:numPr>
          <w:ilvl w:val="0"/>
          <w:numId w:val="0"/>
        </w:numPr>
        <w:tabs>
          <w:tab w:val="left" w:pos="1276"/>
        </w:tabs>
        <w:suppressAutoHyphens/>
        <w:spacing w:before="120" w:beforeLines="50" w:after="120" w:afterLines="50" w:line="360" w:lineRule="auto"/>
        <w:ind w:leftChars="200"/>
        <w:contextualSpacing w:val="0"/>
        <w:jc w:val="both"/>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val="en-US" w:eastAsia="zh-CN"/>
        </w:rPr>
        <w:t>6.</w:t>
      </w:r>
      <w:r>
        <w:rPr>
          <w:rFonts w:hint="eastAsia" w:asciiTheme="minorEastAsia" w:hAnsiTheme="minorEastAsia" w:eastAsiaTheme="minorEastAsia" w:cstheme="minorEastAsia"/>
          <w:b/>
          <w:sz w:val="24"/>
          <w:szCs w:val="24"/>
        </w:rPr>
        <w:t>税费（不含所得税）</w:t>
      </w:r>
    </w:p>
    <w:p>
      <w:pPr>
        <w:widowControl w:val="0"/>
        <w:suppressAutoHyphens/>
        <w:spacing w:before="120" w:beforeLines="50" w:after="120" w:afterLines="50" w:line="360" w:lineRule="auto"/>
        <w:ind w:firstLine="480" w:firstLineChars="200"/>
        <w:jc w:val="both"/>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color w:val="000000"/>
          <w:sz w:val="24"/>
          <w:szCs w:val="24"/>
        </w:rPr>
        <w:t>税费（不含所得税）是指项目公司依法缴纳的税收和规费（不含企业所得税），对于项目公司某一年度发生的税费（不含所得税），将在税费发生年度的下一年度在可行性缺口补助公式中进行核算。</w:t>
      </w:r>
    </w:p>
    <w:p>
      <w:pPr>
        <w:pStyle w:val="66"/>
        <w:widowControl w:val="0"/>
        <w:numPr>
          <w:ilvl w:val="0"/>
          <w:numId w:val="0"/>
        </w:numPr>
        <w:tabs>
          <w:tab w:val="left" w:pos="1276"/>
        </w:tabs>
        <w:suppressAutoHyphens/>
        <w:spacing w:before="120" w:beforeLines="50" w:after="120" w:afterLines="50" w:line="360" w:lineRule="auto"/>
        <w:ind w:leftChars="200"/>
        <w:contextualSpacing w:val="0"/>
        <w:jc w:val="both"/>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val="en-US" w:eastAsia="zh-CN"/>
        </w:rPr>
        <w:t>7.</w:t>
      </w:r>
      <w:r>
        <w:rPr>
          <w:rFonts w:hint="eastAsia" w:asciiTheme="minorEastAsia" w:hAnsiTheme="minorEastAsia" w:eastAsiaTheme="minorEastAsia" w:cstheme="minorEastAsia"/>
          <w:b/>
          <w:sz w:val="24"/>
          <w:szCs w:val="24"/>
        </w:rPr>
        <w:t>使用者付费收入约定值</w:t>
      </w:r>
    </w:p>
    <w:p>
      <w:pPr>
        <w:widowControl w:val="0"/>
        <w:suppressAutoHyphens/>
        <w:spacing w:before="120" w:beforeLines="50" w:after="120" w:afterLines="50" w:line="360" w:lineRule="auto"/>
        <w:ind w:firstLine="480" w:firstLineChars="200"/>
        <w:jc w:val="both"/>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使用者付费包括项目公司向入廊单位收取的入廊费和日常维护费。本项目将对使用者付费金额进行考核，并设定入廊费基准值和日常维护费基准值，本项目入廊费的基准值暂定为 2000 万元（一次性收入），日常维护费的基准值暂定为 100 万元/年（运营维护期各年均有收 入）。待江苏省、徐州市出台入廊相关收费标准后，市城管局和项目公司共同协商对入廊费基准值和日常维护费基准值进行相应调整。 </w:t>
      </w:r>
    </w:p>
    <w:p>
      <w:pPr>
        <w:widowControl w:val="0"/>
        <w:suppressAutoHyphens/>
        <w:spacing w:before="120" w:beforeLines="50" w:after="120" w:afterLines="50" w:line="360" w:lineRule="auto"/>
        <w:ind w:firstLine="480" w:firstLineChars="200"/>
        <w:jc w:val="both"/>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本项目的使用者付费收入约定值确定机制如下：</w:t>
      </w:r>
    </w:p>
    <w:p>
      <w:pPr>
        <w:widowControl w:val="0"/>
        <w:suppressAutoHyphens/>
        <w:spacing w:before="120" w:beforeLines="50" w:after="120" w:afterLines="50" w:line="360" w:lineRule="auto"/>
        <w:ind w:firstLine="480" w:firstLineChars="200"/>
        <w:jc w:val="both"/>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当实际的使用者付费收入小于使用者付费收入基准值时，使用者付费收入约定值取使用者付费收入基准值。</w:t>
      </w:r>
    </w:p>
    <w:p>
      <w:pPr>
        <w:widowControl w:val="0"/>
        <w:suppressAutoHyphens/>
        <w:spacing w:before="120" w:beforeLines="50" w:after="120" w:afterLines="50" w:line="360" w:lineRule="auto"/>
        <w:ind w:firstLine="480" w:firstLineChars="200"/>
        <w:jc w:val="both"/>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当实际的使用者付费收入大于等于使用者付费收入基准值时，使用者付费收入约定值按照{实际的使用者付费收入-使用者付费收入奖励金额}核算。使用者付费收入奖励值按照差额累进制计算，各阶段的奖励值如下表所示：</w:t>
      </w:r>
    </w:p>
    <w:p>
      <w:pPr>
        <w:widowControl w:val="0"/>
        <w:suppressAutoHyphens/>
        <w:spacing w:before="120" w:beforeLines="50" w:after="120" w:after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表6.3  使用者付费收入奖励金额</w:t>
      </w:r>
    </w:p>
    <w:tbl>
      <w:tblPr>
        <w:tblStyle w:val="40"/>
        <w:tblW w:w="93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2"/>
        <w:gridCol w:w="1208"/>
        <w:gridCol w:w="1487"/>
        <w:gridCol w:w="1487"/>
        <w:gridCol w:w="1419"/>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02"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当年实际使用者付费收入高于使用者付费收入基准值的比例</w:t>
            </w:r>
          </w:p>
        </w:tc>
        <w:tc>
          <w:tcPr>
            <w:tcW w:w="1208"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（0,10%]</w:t>
            </w:r>
          </w:p>
        </w:tc>
        <w:tc>
          <w:tcPr>
            <w:tcW w:w="1487"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 20%]</w:t>
            </w:r>
          </w:p>
        </w:tc>
        <w:tc>
          <w:tcPr>
            <w:tcW w:w="1487"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（20%,30%]</w:t>
            </w:r>
          </w:p>
        </w:tc>
        <w:tc>
          <w:tcPr>
            <w:tcW w:w="1419"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（30%,40%]</w:t>
            </w:r>
          </w:p>
        </w:tc>
        <w:tc>
          <w:tcPr>
            <w:tcW w:w="1419"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02"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差额部分作为对项目公司奖励的比例</w:t>
            </w:r>
          </w:p>
        </w:tc>
        <w:tc>
          <w:tcPr>
            <w:tcW w:w="1208"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487"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487"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1419"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1419" w:type="dxa"/>
            <w:vAlign w:val="center"/>
          </w:tcPr>
          <w:p>
            <w:pPr>
              <w:widowControl w:val="0"/>
              <w:tabs>
                <w:tab w:val="left" w:pos="993"/>
              </w:tabs>
              <w:suppressAutoHyphens/>
              <w:adjustRightInd w:val="0"/>
              <w:snapToGrid w:val="0"/>
              <w:spacing w:after="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r>
    </w:tbl>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287" w:name="_Toc2065"/>
      <w:bookmarkStart w:id="1288" w:name="_Toc30994"/>
      <w:bookmarkStart w:id="1289" w:name="_Toc2815"/>
      <w:r>
        <w:rPr>
          <w:rFonts w:hint="eastAsia" w:asciiTheme="minorEastAsia" w:hAnsiTheme="minorEastAsia" w:eastAsiaTheme="minorEastAsia" w:cstheme="minorEastAsia"/>
          <w:color w:val="auto"/>
        </w:rPr>
        <w:t>可行性缺口补助支付</w:t>
      </w:r>
      <w:bookmarkEnd w:id="1287"/>
      <w:bookmarkEnd w:id="1288"/>
      <w:bookmarkEnd w:id="1289"/>
    </w:p>
    <w:p>
      <w:pPr>
        <w:pStyle w:val="66"/>
        <w:tabs>
          <w:tab w:val="left" w:pos="993"/>
        </w:tabs>
        <w:spacing w:before="120" w:after="120" w:afterLines="50"/>
        <w:ind w:firstLine="484" w:firstLineChars="202"/>
        <w:rPr>
          <w:rFonts w:hint="eastAsia" w:asciiTheme="minorEastAsia" w:hAnsiTheme="minorEastAsia" w:eastAsiaTheme="minorEastAsia" w:cstheme="minorEastAsia"/>
          <w:kern w:val="0"/>
          <w:szCs w:val="20"/>
        </w:rPr>
      </w:pPr>
      <w:r>
        <w:rPr>
          <w:rFonts w:hint="eastAsia" w:asciiTheme="minorEastAsia" w:hAnsiTheme="minorEastAsia" w:eastAsiaTheme="minorEastAsia" w:cstheme="minorEastAsia"/>
          <w:kern w:val="0"/>
          <w:szCs w:val="20"/>
        </w:rPr>
        <w:t>关于本项目分年度可行性缺口补助支付计划的说明如下：</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每一年度结束后一（1）个月内，项目公司将用于计算每年的政府服务费的证明文件（提供所有相应的证明记录、资料及相关计算明细）提交给</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市财政局和铜山区财政局，市城管局会同市财政局和铜山区财政局依据项目公司提供的相关证明文件以及本项目的绩效考核结果文件，按照</w:t>
      </w:r>
      <w:r>
        <w:rPr>
          <w:rFonts w:hint="eastAsia" w:asciiTheme="minorEastAsia" w:hAnsiTheme="minorEastAsia" w:eastAsiaTheme="minorEastAsia" w:cstheme="minorEastAsia"/>
          <w:color w:val="auto"/>
          <w:lang w:val="en-US" w:eastAsia="zh-CN"/>
        </w:rPr>
        <w:t>本</w:t>
      </w:r>
      <w:r>
        <w:rPr>
          <w:rFonts w:hint="eastAsia" w:asciiTheme="minorEastAsia" w:hAnsiTheme="minorEastAsia" w:eastAsiaTheme="minorEastAsia" w:cstheme="minorEastAsia"/>
          <w:color w:val="auto"/>
        </w:rPr>
        <w:t>合同约定的绩效考核方式核算可行性缺口补助金额。</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在确定绩效考核结果和可行性缺口补助金额后，市城管局会同市财政局和铜山区财政局应将该年度的绩效考核结果以及可行性缺口补助金额以书面形式通知项目公司。</w:t>
      </w:r>
    </w:p>
    <w:p>
      <w:pPr>
        <w:pStyle w:val="5"/>
        <w:rPr>
          <w:rFonts w:hint="eastAsia" w:asciiTheme="minorEastAsia" w:hAnsiTheme="minorEastAsia" w:eastAsiaTheme="minorEastAsia" w:cstheme="minorEastAsia"/>
        </w:rPr>
      </w:pPr>
      <w:r>
        <w:rPr>
          <w:rFonts w:hint="eastAsia" w:asciiTheme="minorEastAsia" w:hAnsiTheme="minorEastAsia" w:eastAsiaTheme="minorEastAsia" w:cstheme="minorEastAsia"/>
          <w:color w:val="auto"/>
        </w:rPr>
        <w:t xml:space="preserve">在上一年度市本级和区级的可行性缺口补助金额确定后，市财政局和铜山区财政局按照财政程序安排财政预算资金，并在两 （2）个月内进行相应可行性缺口补助的结算和拨付。 </w:t>
      </w:r>
    </w:p>
    <w:p>
      <w:pPr>
        <w:bidi w:val="0"/>
        <w:rPr>
          <w:rFonts w:hint="eastAsia" w:asciiTheme="minorEastAsia" w:hAnsiTheme="minorEastAsia" w:eastAsiaTheme="minorEastAsia" w:cstheme="minorEastAsia"/>
          <w:lang w:val="en-US" w:eastAsia="zh-CN"/>
        </w:rPr>
        <w:sectPr>
          <w:pgSz w:w="11907" w:h="16840"/>
          <w:pgMar w:top="1418" w:right="1418" w:bottom="1418" w:left="1418" w:header="567" w:footer="992" w:gutter="0"/>
          <w:pgNumType w:fmt="decimal"/>
          <w:cols w:space="425" w:num="1"/>
          <w:docGrid w:linePitch="326" w:charSpace="0"/>
        </w:sectPr>
      </w:pPr>
    </w:p>
    <w:p>
      <w:pPr>
        <w:bidi w:val="0"/>
        <w:rPr>
          <w:rFonts w:hint="eastAsia" w:asciiTheme="minorEastAsia" w:hAnsiTheme="minorEastAsia" w:eastAsiaTheme="minorEastAsia" w:cstheme="minorEastAsia"/>
          <w:lang w:val="en-US" w:eastAsia="zh-CN"/>
        </w:rPr>
        <w:sectPr>
          <w:type w:val="continuous"/>
          <w:pgSz w:w="11907" w:h="16840"/>
          <w:pgMar w:top="1418" w:right="1418" w:bottom="1418" w:left="1418" w:header="567" w:footer="992" w:gutter="0"/>
          <w:pgNumType w:fmt="decimal"/>
          <w:cols w:space="425" w:num="1"/>
          <w:docGrid w:linePitch="326" w:charSpace="0"/>
        </w:sectPr>
      </w:pPr>
      <w:r>
        <w:rPr>
          <w:rFonts w:hint="eastAsia" w:asciiTheme="minorEastAsia" w:hAnsiTheme="minorEastAsia" w:eastAsiaTheme="minorEastAsia" w:cstheme="minorEastAsia"/>
          <w:lang w:val="en-US" w:eastAsia="zh-CN"/>
        </w:rPr>
        <w:t xml:space="preserve">  </w:t>
      </w:r>
    </w:p>
    <w:p>
      <w:pPr>
        <w:pStyle w:val="37"/>
        <w:spacing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bookmarkStart w:id="1290" w:name="_Toc9758"/>
      <w:bookmarkStart w:id="1291" w:name="_Ref491193839"/>
      <w:bookmarkStart w:id="1292" w:name="_Toc29220"/>
      <w:bookmarkStart w:id="1293" w:name="_Toc14545"/>
      <w:r>
        <w:rPr>
          <w:rFonts w:hint="eastAsia" w:asciiTheme="minorEastAsia" w:hAnsiTheme="minorEastAsia" w:eastAsiaTheme="minorEastAsia" w:cstheme="minorEastAsia"/>
        </w:rPr>
        <w:t>绩效考核</w:t>
      </w:r>
      <w:bookmarkEnd w:id="1290"/>
      <w:bookmarkEnd w:id="1291"/>
      <w:bookmarkEnd w:id="1292"/>
      <w:bookmarkEnd w:id="1293"/>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1294" w:name="_Toc491257810"/>
      <w:bookmarkEnd w:id="1294"/>
      <w:bookmarkStart w:id="1295" w:name="_Toc489977877"/>
      <w:bookmarkEnd w:id="1295"/>
      <w:bookmarkStart w:id="1296" w:name="_Toc491687960"/>
      <w:bookmarkEnd w:id="1296"/>
      <w:bookmarkStart w:id="1297" w:name="_Toc448051488"/>
      <w:bookmarkEnd w:id="1297"/>
      <w:bookmarkStart w:id="1298" w:name="_Toc447743440"/>
      <w:bookmarkEnd w:id="1298"/>
      <w:bookmarkStart w:id="1299" w:name="_Toc491687764"/>
      <w:bookmarkEnd w:id="1299"/>
      <w:bookmarkStart w:id="1300" w:name="_Toc447632729"/>
      <w:bookmarkEnd w:id="1300"/>
      <w:bookmarkStart w:id="1301" w:name="_Toc447620478"/>
      <w:bookmarkEnd w:id="1301"/>
      <w:bookmarkStart w:id="1302" w:name="_Toc448073179"/>
      <w:bookmarkEnd w:id="1302"/>
      <w:bookmarkStart w:id="1303" w:name="_Toc448054751"/>
      <w:bookmarkEnd w:id="1303"/>
      <w:bookmarkStart w:id="1304" w:name="_Toc490081496"/>
      <w:bookmarkEnd w:id="1304"/>
      <w:bookmarkStart w:id="1305" w:name="_Toc489986222"/>
      <w:bookmarkEnd w:id="1305"/>
      <w:bookmarkStart w:id="1306" w:name="_Toc448051306"/>
      <w:bookmarkEnd w:id="1306"/>
      <w:bookmarkStart w:id="1307" w:name="_Toc448046087"/>
      <w:bookmarkEnd w:id="1307"/>
      <w:bookmarkStart w:id="1308" w:name="_Toc491193682"/>
      <w:bookmarkEnd w:id="1308"/>
      <w:bookmarkStart w:id="1309" w:name="_Toc447534757"/>
      <w:bookmarkEnd w:id="1309"/>
      <w:bookmarkStart w:id="1310" w:name="_Toc490035158"/>
      <w:bookmarkEnd w:id="1310"/>
      <w:bookmarkStart w:id="1311" w:name="_Toc454489421"/>
      <w:bookmarkEnd w:id="1311"/>
      <w:bookmarkStart w:id="1312" w:name="_Toc493453982"/>
      <w:bookmarkEnd w:id="1312"/>
      <w:bookmarkStart w:id="1313" w:name="_Toc447850068"/>
      <w:bookmarkEnd w:id="1313"/>
      <w:bookmarkStart w:id="1314" w:name="_Toc448056146"/>
      <w:bookmarkEnd w:id="1314"/>
      <w:bookmarkStart w:id="1315" w:name="_Toc28056"/>
      <w:bookmarkEnd w:id="1315"/>
      <w:bookmarkStart w:id="1316" w:name="_Toc489977696"/>
      <w:bookmarkEnd w:id="1316"/>
      <w:bookmarkStart w:id="1317" w:name="_Toc489988483"/>
      <w:bookmarkEnd w:id="1317"/>
      <w:bookmarkStart w:id="1318" w:name="_Toc447744530"/>
      <w:bookmarkEnd w:id="1318"/>
      <w:bookmarkStart w:id="1319" w:name="_Toc490036548"/>
      <w:bookmarkEnd w:id="1319"/>
      <w:bookmarkStart w:id="1320" w:name="_Toc454572601"/>
      <w:bookmarkEnd w:id="1320"/>
      <w:bookmarkStart w:id="1321" w:name="_Toc491680689"/>
      <w:bookmarkEnd w:id="1321"/>
      <w:bookmarkStart w:id="1322" w:name="_Toc448055755"/>
      <w:bookmarkEnd w:id="1322"/>
      <w:bookmarkStart w:id="1323" w:name="_Toc490090556"/>
      <w:bookmarkEnd w:id="1323"/>
      <w:bookmarkStart w:id="1324" w:name="_Toc454506781"/>
      <w:bookmarkEnd w:id="1324"/>
      <w:bookmarkStart w:id="1325" w:name="_Toc454482320"/>
      <w:bookmarkEnd w:id="1325"/>
      <w:bookmarkStart w:id="1326" w:name="_Toc493454942"/>
      <w:bookmarkEnd w:id="1326"/>
      <w:bookmarkStart w:id="1327" w:name="_Toc447534589"/>
      <w:bookmarkEnd w:id="1327"/>
      <w:bookmarkStart w:id="1328" w:name="_Toc447847418"/>
      <w:bookmarkEnd w:id="1328"/>
      <w:bookmarkStart w:id="1329" w:name="_Toc15548"/>
      <w:bookmarkEnd w:id="1329"/>
      <w:bookmarkStart w:id="1330" w:name="_Toc10582"/>
      <w:bookmarkEnd w:id="1330"/>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331" w:name="_建设绩效考核"/>
      <w:bookmarkEnd w:id="1331"/>
      <w:bookmarkStart w:id="1332" w:name="_Toc11516"/>
      <w:bookmarkStart w:id="1333" w:name="_Ref447624035"/>
      <w:bookmarkStart w:id="1334" w:name="_Toc13558"/>
      <w:bookmarkStart w:id="1335" w:name="_Toc2891"/>
      <w:r>
        <w:rPr>
          <w:rFonts w:hint="eastAsia" w:asciiTheme="minorEastAsia" w:hAnsiTheme="minorEastAsia" w:eastAsiaTheme="minorEastAsia" w:cstheme="minorEastAsia"/>
          <w:color w:val="auto"/>
        </w:rPr>
        <w:t>建设管理绩效考核</w:t>
      </w:r>
      <w:bookmarkEnd w:id="1332"/>
      <w:bookmarkEnd w:id="1333"/>
      <w:bookmarkEnd w:id="1334"/>
      <w:bookmarkEnd w:id="1335"/>
    </w:p>
    <w:p>
      <w:pPr>
        <w:pStyle w:val="5"/>
        <w:rPr>
          <w:rFonts w:hint="eastAsia" w:asciiTheme="minorEastAsia" w:hAnsiTheme="minorEastAsia" w:eastAsiaTheme="minorEastAsia" w:cstheme="minorEastAsia"/>
          <w:color w:val="auto"/>
          <w:lang w:val="en-US" w:eastAsia="zh-CN"/>
        </w:rPr>
      </w:pPr>
      <w:bookmarkStart w:id="1336" w:name="_Ref447624046"/>
      <w:bookmarkStart w:id="1337" w:name="_Ref447623809"/>
      <w:r>
        <w:rPr>
          <w:rFonts w:hint="eastAsia" w:asciiTheme="minorEastAsia" w:hAnsiTheme="minorEastAsia" w:eastAsiaTheme="minorEastAsia" w:cstheme="minorEastAsia"/>
          <w:color w:val="auto"/>
          <w:lang w:val="en-US" w:eastAsia="zh-CN"/>
        </w:rPr>
        <w:t>在建设期，市城管局或其委托机构会同市财政局和铜山区财政局将对本项目全部综合管廊工程进行建设管理绩效考核。建设管理 绩效考核内容主要包括工程质量、建设工期、资金使用、安全文明、 环境保护、组织管理、采购与合同、文档资料等八大方面，具体考核如附件一所示。</w:t>
      </w:r>
    </w:p>
    <w:p>
      <w:pPr>
        <w:pStyle w:val="5"/>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 xml:space="preserve">考核办法 </w:t>
      </w:r>
    </w:p>
    <w:p>
      <w:pPr>
        <w:pStyle w:val="5"/>
        <w:numPr>
          <w:ilvl w:val="2"/>
          <w:numId w:val="0"/>
        </w:numPr>
        <w:ind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 xml:space="preserve">（1）考核方式 </w:t>
      </w:r>
    </w:p>
    <w:p>
      <w:pPr>
        <w:pStyle w:val="5"/>
        <w:numPr>
          <w:ilvl w:val="2"/>
          <w:numId w:val="0"/>
        </w:numPr>
        <w:ind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 xml:space="preserve">市城管局或其委托机构会同市财政局和铜山区财政局按照绩效考核要求，通过临时考核方式对项目公司进行建设管理绩效考核。 </w:t>
      </w:r>
    </w:p>
    <w:p>
      <w:pPr>
        <w:pStyle w:val="5"/>
        <w:numPr>
          <w:ilvl w:val="2"/>
          <w:numId w:val="0"/>
        </w:numPr>
        <w:ind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 xml:space="preserve">对于考核结果不符合要求的，市城管局有权要求项目公司在一定期限内进行整改，如到期仍然不符合要求，市城管局可根据 PPP项目合同约定提取项目公司提交的建设履约保函中的相应金额，同时将绩效考核评价结果计入建设过程评价结果。 </w:t>
      </w:r>
    </w:p>
    <w:p>
      <w:pPr>
        <w:pStyle w:val="5"/>
        <w:numPr>
          <w:ilvl w:val="2"/>
          <w:numId w:val="0"/>
        </w:numPr>
        <w:ind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 xml:space="preserve">（2）考核结果及付费方案 </w:t>
      </w:r>
    </w:p>
    <w:p>
      <w:pPr>
        <w:pStyle w:val="5"/>
        <w:numPr>
          <w:ilvl w:val="2"/>
          <w:numId w:val="0"/>
        </w:numPr>
        <w:ind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 xml:space="preserve">1）建设管理绩效考核得分总分在 85 分及以上，视为达到建设管 理标准，市城管局不兑取建设履约独立保函金额；  </w:t>
      </w:r>
    </w:p>
    <w:p>
      <w:pPr>
        <w:pStyle w:val="5"/>
        <w:numPr>
          <w:ilvl w:val="2"/>
          <w:numId w:val="0"/>
        </w:numPr>
        <w:ind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 xml:space="preserve">2）建设管理绩效考核得分总分在 75 分（含）-85 分（不含）之间， 市城管局兑取建设履约独立保函金额的 20%； </w:t>
      </w:r>
    </w:p>
    <w:p>
      <w:pPr>
        <w:pStyle w:val="5"/>
        <w:numPr>
          <w:ilvl w:val="2"/>
          <w:numId w:val="0"/>
        </w:numPr>
        <w:ind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 xml:space="preserve">3）建设管理绩效考核得分总分在 65 分（含）-75 分（不含）之间， 市城管局兑取建设履约独立保函金额的 40%； </w:t>
      </w:r>
    </w:p>
    <w:p>
      <w:pPr>
        <w:pStyle w:val="5"/>
        <w:numPr>
          <w:ilvl w:val="2"/>
          <w:numId w:val="0"/>
        </w:numPr>
        <w:ind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 xml:space="preserve">4）建设管理绩效考核得分总分在 60 分（含）-65 分（不含）之间， 市城管局兑取建设履约独立保函金额的 60%； </w:t>
      </w:r>
    </w:p>
    <w:p>
      <w:pPr>
        <w:pStyle w:val="5"/>
        <w:numPr>
          <w:ilvl w:val="2"/>
          <w:numId w:val="0"/>
        </w:numPr>
        <w:ind w:leftChars="0" w:firstLine="480" w:firstLineChars="2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5）建设管理绩效考核得分总分在 60 分（不含）以下的，市城管局兑取建设履约独立保函金额的100%</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338" w:name="_Toc32071"/>
      <w:bookmarkStart w:id="1339" w:name="_Toc6133"/>
      <w:bookmarkStart w:id="1340" w:name="_Toc9875"/>
      <w:r>
        <w:rPr>
          <w:rFonts w:hint="eastAsia" w:asciiTheme="minorEastAsia" w:hAnsiTheme="minorEastAsia" w:eastAsiaTheme="minorEastAsia" w:cstheme="minorEastAsia"/>
          <w:color w:val="auto"/>
        </w:rPr>
        <w:t>运营维护管理绩效考核</w:t>
      </w:r>
      <w:bookmarkEnd w:id="1336"/>
      <w:bookmarkEnd w:id="1337"/>
      <w:bookmarkEnd w:id="1338"/>
      <w:bookmarkEnd w:id="1339"/>
      <w:bookmarkEnd w:id="1340"/>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或其委托</w:t>
      </w:r>
      <w:r>
        <w:rPr>
          <w:rFonts w:hint="eastAsia" w:asciiTheme="minorEastAsia" w:hAnsiTheme="minorEastAsia" w:eastAsiaTheme="minorEastAsia" w:cstheme="minorEastAsia"/>
          <w:color w:val="auto"/>
          <w:lang w:val="en-US" w:eastAsia="zh-CN"/>
        </w:rPr>
        <w:t>的第三方考核</w:t>
      </w:r>
      <w:r>
        <w:rPr>
          <w:rFonts w:hint="eastAsia" w:asciiTheme="minorEastAsia" w:hAnsiTheme="minorEastAsia" w:eastAsiaTheme="minorEastAsia" w:cstheme="minorEastAsia"/>
          <w:color w:val="auto"/>
        </w:rPr>
        <w:t>机构会同市财政局和铜山区财政局对项目公司在本项目</w:t>
      </w:r>
      <w:r>
        <w:rPr>
          <w:rFonts w:hint="eastAsia" w:asciiTheme="minorEastAsia" w:hAnsiTheme="minorEastAsia" w:eastAsiaTheme="minorEastAsia" w:cstheme="minorEastAsia"/>
          <w:color w:val="auto"/>
          <w:lang w:val="en-US" w:eastAsia="zh-CN"/>
        </w:rPr>
        <w:t>运营维护期内对</w:t>
      </w:r>
      <w:r>
        <w:rPr>
          <w:rFonts w:hint="eastAsia" w:asciiTheme="minorEastAsia" w:hAnsiTheme="minorEastAsia" w:eastAsiaTheme="minorEastAsia" w:cstheme="minorEastAsia"/>
          <w:color w:val="auto"/>
        </w:rPr>
        <w:t>管廊本体和附属设施的运营维护管理进行绩效考核。</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运营维护绩效考核包含五个层级，满分为100分：</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第一级（35分）：考察综合管廊工程本体及附属设施的维护状况；</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第二级（35分）：考察安全管理和突发事件管理，需要符合《建设项目（工程）劳动安全卫生监察规定》（劳动部令第3号）等，以及其他国家、江苏省、徐州市出台的维护标准；</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第三级（10分）：环境保护，符合《建设项目环境保护设计规定》（国环〔1987〕002号）、《声环境质量标准》（GB_3096-2008）、《污水综合排放标准》（GB8978-1996）等；</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第四级（5分）：档案资料的管理状况；</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第五级（15分）：利益相关者满意度，包括</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和市财政局等相关政府部门的满意度、入廊管线单位和管廊建设周边居民的满意度，通过聘请第三方评估机构进行公共调查，满意度需在80%以上。</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或其委托机构会同市财政局和铜山区财政局按</w:t>
      </w:r>
      <w:r>
        <w:rPr>
          <w:rFonts w:hint="eastAsia" w:asciiTheme="minorEastAsia" w:hAnsiTheme="minorEastAsia" w:eastAsiaTheme="minorEastAsia" w:cstheme="minorEastAsia"/>
          <w:color w:val="auto"/>
          <w:u w:val="single"/>
          <w:lang w:eastAsia="zh-CN"/>
        </w:rPr>
        <w:t>附件1《建设管理、运营维护绩效考核表》</w:t>
      </w:r>
      <w:r>
        <w:rPr>
          <w:rFonts w:hint="eastAsia" w:asciiTheme="minorEastAsia" w:hAnsiTheme="minorEastAsia" w:eastAsiaTheme="minorEastAsia" w:cstheme="minorEastAsia"/>
          <w:color w:val="auto"/>
        </w:rPr>
        <w:t>规定的绩效考核标准和内容，通过常规考核和临时考核的方式对项目公司服务绩效水平进行考核。</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常规考核</w:t>
      </w:r>
    </w:p>
    <w:p>
      <w:pPr>
        <w:numPr>
          <w:ilvl w:val="0"/>
          <w:numId w:val="21"/>
        </w:numPr>
        <w:spacing w:before="120" w:after="120" w:afterLines="50"/>
        <w:ind w:left="1560" w:hanging="426"/>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项目公司在整个运营维护期内须在每季度结束后二十（20）日 内向市城管局或其委托机构和市财政局提交上一个季度的季度报告。 季度报告包括但不限于日常检查、定期检查及专项检查记录的季度 汇总表，日常维护维修情况记录的季度汇总表，与地下综合管廊运 营维护相关的投诉、建议及处理情况汇总，与运营维护安全相关的 紧急事件、处理情况汇总等。 </w:t>
      </w:r>
    </w:p>
    <w:p>
      <w:pPr>
        <w:numPr>
          <w:ilvl w:val="0"/>
          <w:numId w:val="21"/>
        </w:numPr>
        <w:spacing w:before="120" w:after="120" w:afterLines="50"/>
        <w:ind w:left="1560" w:hanging="426"/>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市城管局或其委托机构会同市财政局和铜山区财政局在项目公司提交季度报告之日起5日内组织进行季度考核，在规定的考核现场对管廊本体和附属设施的维护、安全与应急管理、环境保护、资料管理等进行检查，并开展满意度调查。 </w:t>
      </w:r>
    </w:p>
    <w:p>
      <w:pPr>
        <w:numPr>
          <w:ilvl w:val="0"/>
          <w:numId w:val="21"/>
        </w:numPr>
        <w:spacing w:before="120" w:after="120" w:afterLines="50"/>
        <w:ind w:left="1560" w:hanging="426"/>
        <w:rPr>
          <w:rFonts w:hint="eastAsia" w:asciiTheme="minorEastAsia" w:hAnsiTheme="minorEastAsia" w:eastAsiaTheme="minorEastAsia" w:cstheme="minorEastAsia"/>
        </w:rPr>
      </w:pPr>
      <w:r>
        <w:rPr>
          <w:rFonts w:hint="eastAsia" w:asciiTheme="minorEastAsia" w:hAnsiTheme="minorEastAsia" w:eastAsiaTheme="minorEastAsia" w:cstheme="minorEastAsia"/>
        </w:rPr>
        <w:t>每季度最少考核一次，年度累计考核里程需达到全部综合管廊 长度的20%以上</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临时考核</w:t>
      </w:r>
    </w:p>
    <w:p>
      <w:pPr>
        <w:numPr>
          <w:ilvl w:val="0"/>
          <w:numId w:val="22"/>
        </w:numPr>
        <w:spacing w:before="120" w:after="120" w:afterLines="50"/>
        <w:ind w:left="1560" w:hanging="426"/>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或其委托机构会同</w:t>
      </w:r>
      <w:r>
        <w:rPr>
          <w:rFonts w:hint="eastAsia" w:asciiTheme="minorEastAsia" w:hAnsiTheme="minorEastAsia" w:eastAsiaTheme="minorEastAsia" w:cstheme="minorEastAsia"/>
          <w:color w:val="auto"/>
        </w:rPr>
        <w:t>市财政局和铜山区财政局</w:t>
      </w:r>
      <w:r>
        <w:rPr>
          <w:rFonts w:hint="eastAsia" w:asciiTheme="minorEastAsia" w:hAnsiTheme="minorEastAsia" w:eastAsiaTheme="minorEastAsia" w:cstheme="minorEastAsia"/>
        </w:rPr>
        <w:t>可以随时自行考核项目公司的运营维护服务绩效，考核范围可以为常规考核的全部考核内容或部分考核内容，市城管局或其委托机构会同市财政 局和铜山区财政局可依据实际情况对全部考核内容或部分考核内容进行考核</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如发现缺陷，则需在24小时内以书面形式通知项目公司，项目公司在接到该通知后，应在绩效考核要求的时间内修复缺陷。</w:t>
      </w:r>
    </w:p>
    <w:p>
      <w:pPr>
        <w:numPr>
          <w:ilvl w:val="0"/>
          <w:numId w:val="22"/>
        </w:numPr>
        <w:spacing w:before="120" w:after="120" w:afterLines="50"/>
        <w:ind w:left="1560" w:hanging="426"/>
        <w:rPr>
          <w:rFonts w:hint="eastAsia" w:asciiTheme="minorEastAsia" w:hAnsiTheme="minorEastAsia" w:eastAsiaTheme="minorEastAsia" w:cstheme="minorEastAsia"/>
        </w:rPr>
      </w:pPr>
      <w:r>
        <w:rPr>
          <w:rFonts w:hint="eastAsia" w:asciiTheme="minorEastAsia" w:hAnsiTheme="minorEastAsia" w:eastAsiaTheme="minorEastAsia" w:cstheme="minorEastAsia"/>
        </w:rPr>
        <w:t>临时考核结果纳入考核当月的季度考核结果</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如果在某一季度，市城管局或其委托机构会同市财政局和铜山区财政局进行了临时考核，该季度的考核结果分数=该季度的常规绩效考核结果分数+该季度的临时绩效考核结果分数。</w:t>
      </w:r>
    </w:p>
    <w:p>
      <w:pPr>
        <w:pStyle w:val="5"/>
        <w:rPr>
          <w:rFonts w:hint="eastAsia" w:asciiTheme="minorEastAsia" w:hAnsiTheme="minorEastAsia" w:eastAsiaTheme="minorEastAsia" w:cstheme="minorEastAsia"/>
        </w:rPr>
      </w:pPr>
      <w:bookmarkStart w:id="1341" w:name="_Ref447624222"/>
      <w:r>
        <w:rPr>
          <w:rFonts w:hint="eastAsia" w:asciiTheme="minorEastAsia" w:hAnsiTheme="minorEastAsia" w:eastAsiaTheme="minorEastAsia" w:cstheme="minorEastAsia"/>
          <w:color w:val="auto"/>
          <w:lang w:val="en-US" w:eastAsia="zh-CN"/>
        </w:rPr>
        <w:t>考核结果与付费方法</w:t>
      </w:r>
    </w:p>
    <w:p>
      <w:pPr>
        <w:ind w:firstLine="720" w:firstLineChars="3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运营维护管理考核结果与可行性缺口补助支付比例相挂钩，并按照如下标准执行： </w:t>
      </w:r>
    </w:p>
    <w:p>
      <w:pPr>
        <w:ind w:firstLine="48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（1） 运营维护管理绩效考核得分总分在 85 分及以上，视为达到建 设管理标准，可行性缺口补助的支付比例为100%；  </w:t>
      </w:r>
    </w:p>
    <w:p>
      <w:pPr>
        <w:ind w:firstLine="48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（2） 运营维护管理绩效考核得分总分在 75 分（含）-85 分（不含） 之间，可行性缺口补助的支付比例为80%； </w:t>
      </w:r>
    </w:p>
    <w:p>
      <w:pPr>
        <w:ind w:firstLine="48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（3） 运营维护管理绩效考核得分总分在 65 分（含）-75 分（不含） 之间，可行性缺口补助的支付比例为60%； </w:t>
      </w:r>
    </w:p>
    <w:p>
      <w:pPr>
        <w:ind w:firstLine="48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（4） 运营维护管理绩效考核得分总分在 60 分（含）-65 分（不含）之间，可行性缺口补助的支付比例为40%； </w:t>
      </w:r>
    </w:p>
    <w:p>
      <w:pPr>
        <w:ind w:firstLine="48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（5） 运营维护管理绩效考核得分总分在 60 分（不含）以下的，可 行性缺口补助的支付比例为0%。 </w:t>
      </w:r>
    </w:p>
    <w:bookmarkEnd w:id="1341"/>
    <w:p>
      <w:pPr>
        <w:numPr>
          <w:ilvl w:val="0"/>
          <w:numId w:val="0"/>
        </w:numPr>
        <w:spacing w:before="120" w:after="120" w:afterLines="50"/>
        <w:rPr>
          <w:rFonts w:hint="eastAsia" w:asciiTheme="minorEastAsia" w:hAnsiTheme="minorEastAsia" w:eastAsiaTheme="minorEastAsia" w:cstheme="minorEastAsia"/>
        </w:rPr>
      </w:pPr>
    </w:p>
    <w:p>
      <w:pPr>
        <w:numPr>
          <w:ilvl w:val="0"/>
          <w:numId w:val="0"/>
        </w:numPr>
        <w:spacing w:before="120" w:after="120" w:afterLines="50"/>
        <w:rPr>
          <w:rFonts w:hint="eastAsia" w:asciiTheme="minorEastAsia" w:hAnsiTheme="minorEastAsia" w:eastAsiaTheme="minorEastAsia" w:cstheme="minorEastAsia"/>
        </w:rPr>
      </w:pPr>
    </w:p>
    <w:p>
      <w:pPr>
        <w:numPr>
          <w:ilvl w:val="0"/>
          <w:numId w:val="0"/>
        </w:numPr>
        <w:spacing w:before="120" w:after="120" w:afterLines="50"/>
        <w:rPr>
          <w:rFonts w:hint="eastAsia" w:asciiTheme="minorEastAsia" w:hAnsiTheme="minorEastAsia" w:eastAsiaTheme="minorEastAsia" w:cstheme="minorEastAsia"/>
        </w:rPr>
      </w:pPr>
    </w:p>
    <w:p>
      <w:pPr>
        <w:pStyle w:val="37"/>
        <w:spacing w:after="120" w:afterLines="50"/>
        <w:rPr>
          <w:rFonts w:hint="eastAsia" w:asciiTheme="minorEastAsia" w:hAnsiTheme="minorEastAsia" w:eastAsiaTheme="minorEastAsia" w:cstheme="minorEastAsia"/>
        </w:rPr>
      </w:pPr>
      <w:bookmarkStart w:id="1342" w:name="_Ref491250421"/>
      <w:bookmarkStart w:id="1343" w:name="_Ref447729624"/>
      <w:bookmarkStart w:id="1344" w:name="_Toc490216984"/>
      <w:bookmarkStart w:id="1345" w:name="_Toc21820"/>
      <w:bookmarkStart w:id="1346" w:name="_Toc20705"/>
      <w:bookmarkStart w:id="1347" w:name="_Toc15927"/>
      <w:r>
        <w:rPr>
          <w:rFonts w:hint="eastAsia" w:asciiTheme="minorEastAsia" w:hAnsiTheme="minorEastAsia" w:eastAsiaTheme="minorEastAsia" w:cstheme="minorEastAsia"/>
        </w:rPr>
        <w:t>履约担保</w:t>
      </w:r>
      <w:bookmarkEnd w:id="1342"/>
      <w:bookmarkEnd w:id="1343"/>
      <w:bookmarkEnd w:id="1344"/>
      <w:bookmarkEnd w:id="1345"/>
      <w:bookmarkEnd w:id="1346"/>
      <w:bookmarkEnd w:id="1347"/>
    </w:p>
    <w:p>
      <w:pPr>
        <w:pStyle w:val="66"/>
        <w:keepNext/>
        <w:widowControl/>
        <w:numPr>
          <w:ilvl w:val="0"/>
          <w:numId w:val="1"/>
        </w:numPr>
        <w:autoSpaceDE w:val="0"/>
        <w:autoSpaceDN w:val="0"/>
        <w:adjustRightInd w:val="0"/>
        <w:spacing w:before="360" w:beforeLines="150" w:after="120" w:line="480" w:lineRule="exact"/>
        <w:ind w:right="28" w:firstLineChars="0"/>
        <w:jc w:val="center"/>
        <w:outlineLvl w:val="0"/>
        <w:rPr>
          <w:rFonts w:hint="eastAsia" w:asciiTheme="minorEastAsia" w:hAnsiTheme="minorEastAsia" w:eastAsiaTheme="minorEastAsia" w:cstheme="minorEastAsia"/>
          <w:b/>
          <w:vanish/>
          <w:kern w:val="0"/>
          <w:sz w:val="28"/>
          <w:szCs w:val="20"/>
        </w:rPr>
      </w:pPr>
      <w:bookmarkStart w:id="1348" w:name="_Toc491193688"/>
      <w:bookmarkEnd w:id="1348"/>
      <w:bookmarkStart w:id="1349" w:name="_Toc491687770"/>
      <w:bookmarkEnd w:id="1349"/>
      <w:bookmarkStart w:id="1350" w:name="_Toc491257816"/>
      <w:bookmarkEnd w:id="1350"/>
      <w:bookmarkStart w:id="1351" w:name="_Toc493453988"/>
      <w:bookmarkEnd w:id="1351"/>
      <w:bookmarkStart w:id="1352" w:name="_Toc493454948"/>
      <w:bookmarkEnd w:id="1352"/>
      <w:bookmarkStart w:id="1353" w:name="_Toc491680695"/>
      <w:bookmarkEnd w:id="1353"/>
      <w:bookmarkStart w:id="1354" w:name="_Toc30753"/>
      <w:bookmarkEnd w:id="1354"/>
      <w:bookmarkStart w:id="1355" w:name="_Toc491687966"/>
      <w:bookmarkEnd w:id="1355"/>
      <w:bookmarkStart w:id="1356" w:name="_Toc29070"/>
      <w:bookmarkEnd w:id="1356"/>
      <w:bookmarkStart w:id="1357" w:name="_Toc29702"/>
      <w:bookmarkEnd w:id="1357"/>
      <w:bookmarkStart w:id="1358" w:name="_Toc490216985"/>
    </w:p>
    <w:bookmarkEnd w:id="1358"/>
    <w:p>
      <w:pPr>
        <w:pStyle w:val="3"/>
        <w:rPr>
          <w:rFonts w:hint="eastAsia" w:asciiTheme="minorEastAsia" w:hAnsiTheme="minorEastAsia" w:eastAsiaTheme="minorEastAsia" w:cstheme="minorEastAsia"/>
          <w:color w:val="auto"/>
        </w:rPr>
      </w:pPr>
      <w:bookmarkStart w:id="1359" w:name="_Toc12567"/>
      <w:bookmarkStart w:id="1360" w:name="_Toc6568"/>
      <w:bookmarkStart w:id="1361" w:name="_Toc28890"/>
      <w:r>
        <w:rPr>
          <w:rFonts w:hint="eastAsia" w:asciiTheme="minorEastAsia" w:hAnsiTheme="minorEastAsia" w:eastAsiaTheme="minorEastAsia" w:cstheme="minorEastAsia"/>
          <w:color w:val="auto"/>
        </w:rPr>
        <w:t>建设履约独立保函</w:t>
      </w:r>
      <w:bookmarkEnd w:id="1359"/>
      <w:bookmarkEnd w:id="1360"/>
      <w:bookmarkEnd w:id="1361"/>
    </w:p>
    <w:p>
      <w:pPr>
        <w:pStyle w:val="5"/>
        <w:tabs>
          <w:tab w:val="left" w:pos="0"/>
          <w:tab w:val="left" w:pos="860"/>
          <w:tab w:val="left" w:pos="993"/>
        </w:tabs>
        <w:ind w:left="86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本合同</w:t>
      </w:r>
      <w:r>
        <w:rPr>
          <w:rFonts w:hint="eastAsia" w:asciiTheme="minorEastAsia" w:hAnsiTheme="minorEastAsia" w:eastAsiaTheme="minorEastAsia" w:cstheme="minorEastAsia"/>
          <w:color w:val="auto"/>
          <w:lang w:val="en-US" w:eastAsia="zh-CN"/>
        </w:rPr>
        <w:t>生效</w:t>
      </w:r>
      <w:r>
        <w:rPr>
          <w:rFonts w:hint="eastAsia" w:asciiTheme="minorEastAsia" w:hAnsiTheme="minorEastAsia" w:eastAsiaTheme="minorEastAsia" w:cstheme="minorEastAsia"/>
          <w:color w:val="auto"/>
        </w:rPr>
        <w:t>之日起七（7）个工作日内，</w:t>
      </w:r>
      <w:r>
        <w:rPr>
          <w:rFonts w:hint="eastAsia" w:asciiTheme="minorEastAsia" w:hAnsiTheme="minorEastAsia" w:eastAsiaTheme="minorEastAsia" w:cstheme="minorEastAsia"/>
          <w:color w:val="auto"/>
          <w:highlight w:val="none"/>
        </w:rPr>
        <w:t>项目公司</w:t>
      </w:r>
      <w:r>
        <w:rPr>
          <w:rFonts w:hint="eastAsia" w:asciiTheme="minorEastAsia" w:hAnsiTheme="minorEastAsia" w:eastAsiaTheme="minorEastAsia" w:cstheme="minorEastAsia"/>
          <w:color w:val="auto"/>
        </w:rPr>
        <w:t>应按照</w:t>
      </w:r>
      <w:r>
        <w:rPr>
          <w:rFonts w:hint="eastAsia" w:asciiTheme="minorEastAsia" w:hAnsiTheme="minorEastAsia" w:eastAsiaTheme="minorEastAsia" w:cstheme="minorEastAsia"/>
          <w:color w:val="auto"/>
          <w:u w:val="single"/>
        </w:rPr>
        <w:t>附件3</w:t>
      </w:r>
      <w:r>
        <w:rPr>
          <w:rFonts w:hint="eastAsia" w:asciiTheme="minorEastAsia" w:hAnsiTheme="minorEastAsia" w:eastAsiaTheme="minorEastAsia" w:cstheme="minorEastAsia"/>
          <w:color w:val="auto"/>
        </w:rPr>
        <w:t>《建设履约独立保函》的格式向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出具以</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为受益人的建设履约独立保函，以保证项目公司按照本合同规定履行相应义务。</w:t>
      </w:r>
    </w:p>
    <w:p>
      <w:pPr>
        <w:pStyle w:val="5"/>
        <w:tabs>
          <w:tab w:val="left" w:pos="0"/>
          <w:tab w:val="left" w:pos="860"/>
          <w:tab w:val="left" w:pos="993"/>
        </w:tabs>
        <w:ind w:left="860"/>
        <w:rPr>
          <w:rFonts w:hint="eastAsia" w:asciiTheme="minorEastAsia" w:hAnsiTheme="minorEastAsia" w:eastAsiaTheme="minorEastAsia" w:cstheme="minorEastAsia"/>
          <w:color w:val="auto"/>
        </w:rPr>
      </w:pPr>
      <w:bookmarkStart w:id="1362" w:name="_Ref447827903"/>
      <w:r>
        <w:rPr>
          <w:rFonts w:hint="eastAsia" w:asciiTheme="minorEastAsia" w:hAnsiTheme="minorEastAsia" w:eastAsiaTheme="minorEastAsia" w:cstheme="minorEastAsia"/>
          <w:color w:val="auto"/>
        </w:rPr>
        <w:t>建设履约独立保函金额为人民币</w:t>
      </w:r>
      <w:r>
        <w:rPr>
          <w:rFonts w:hint="eastAsia" w:asciiTheme="minorEastAsia" w:hAnsiTheme="minorEastAsia" w:eastAsiaTheme="minorEastAsia" w:cstheme="minorEastAsia"/>
          <w:color w:val="auto"/>
          <w:lang w:val="en-US" w:eastAsia="zh-CN"/>
        </w:rPr>
        <w:t>伍</w:t>
      </w:r>
      <w:r>
        <w:rPr>
          <w:rFonts w:hint="eastAsia" w:asciiTheme="minorEastAsia" w:hAnsiTheme="minorEastAsia" w:eastAsiaTheme="minorEastAsia" w:cstheme="minorEastAsia"/>
          <w:color w:val="auto"/>
        </w:rPr>
        <w:t>仟万元（¥</w:t>
      </w:r>
      <w:r>
        <w:rPr>
          <w:rFonts w:hint="eastAsia" w:asciiTheme="minorEastAsia" w:hAnsiTheme="minorEastAsia" w:eastAsiaTheme="minorEastAsia" w:cstheme="minorEastAsia"/>
          <w:color w:val="auto"/>
          <w:lang w:val="en-US" w:eastAsia="zh-CN"/>
        </w:rPr>
        <w:t>5</w:t>
      </w:r>
      <w:r>
        <w:rPr>
          <w:rFonts w:hint="eastAsia" w:asciiTheme="minorEastAsia" w:hAnsiTheme="minorEastAsia" w:eastAsiaTheme="minorEastAsia" w:cstheme="minorEastAsia"/>
          <w:color w:val="auto"/>
        </w:rPr>
        <w:t>0,000,000.00）。</w:t>
      </w:r>
    </w:p>
    <w:bookmarkEnd w:id="1362"/>
    <w:p>
      <w:pPr>
        <w:pStyle w:val="5"/>
        <w:tabs>
          <w:tab w:val="left" w:pos="0"/>
          <w:tab w:val="left" w:pos="860"/>
          <w:tab w:val="left" w:pos="993"/>
        </w:tabs>
        <w:ind w:left="860"/>
        <w:rPr>
          <w:rFonts w:hint="eastAsia" w:asciiTheme="minorEastAsia" w:hAnsiTheme="minorEastAsia" w:eastAsiaTheme="minorEastAsia" w:cstheme="minorEastAsia"/>
          <w:color w:val="auto"/>
        </w:rPr>
      </w:pPr>
      <w:bookmarkStart w:id="1363" w:name="_Ref447829911"/>
      <w:r>
        <w:rPr>
          <w:rFonts w:hint="eastAsia" w:asciiTheme="minorEastAsia" w:hAnsiTheme="minorEastAsia" w:eastAsiaTheme="minorEastAsia" w:cstheme="minorEastAsia"/>
          <w:color w:val="auto"/>
        </w:rPr>
        <w:t>建设履约独立保函的有效期为自生效日起至项目公司根据第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_Ref447731007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15.2</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条的规定提交运营维护独立保函之日止。</w:t>
      </w:r>
      <w:bookmarkEnd w:id="1363"/>
    </w:p>
    <w:p>
      <w:pPr>
        <w:pStyle w:val="5"/>
        <w:tabs>
          <w:tab w:val="left" w:pos="0"/>
          <w:tab w:val="left" w:pos="860"/>
          <w:tab w:val="left" w:pos="993"/>
        </w:tabs>
        <w:ind w:left="86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如果在根据上述第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_Ref447829911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15.1.3</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条款的规定解除建设履约独立保函前，如本合同提前终止，则建设履约独立保函应在本合同提前终止后六十（60）日内保持有效。</w:t>
      </w:r>
    </w:p>
    <w:p>
      <w:pPr>
        <w:pStyle w:val="5"/>
        <w:tabs>
          <w:tab w:val="left" w:pos="0"/>
          <w:tab w:val="left" w:pos="860"/>
          <w:tab w:val="left" w:pos="993"/>
        </w:tabs>
        <w:ind w:left="86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如果在根据上述第</w:t>
      </w:r>
      <w:r>
        <w:rPr>
          <w:rFonts w:hint="eastAsia" w:asciiTheme="minorEastAsia" w:hAnsiTheme="minorEastAsia" w:eastAsiaTheme="minorEastAsia" w:cstheme="minorEastAsia"/>
          <w:color w:val="auto"/>
          <w:lang w:val="en-US" w:eastAsia="zh-CN"/>
        </w:rPr>
        <w:t>15.1.4</w:t>
      </w:r>
      <w:r>
        <w:rPr>
          <w:rFonts w:hint="eastAsia" w:asciiTheme="minorEastAsia" w:hAnsiTheme="minorEastAsia" w:eastAsiaTheme="minorEastAsia" w:cstheme="minorEastAsia"/>
          <w:color w:val="auto"/>
        </w:rPr>
        <w:t>条款的规定解除建设履约独立保函前，股东协议提前终止，则建设履约独立保函应在股东协议提前终止合作后六十（60）日内解除。</w:t>
      </w:r>
    </w:p>
    <w:p>
      <w:pPr>
        <w:pStyle w:val="5"/>
        <w:tabs>
          <w:tab w:val="left" w:pos="0"/>
          <w:tab w:val="left" w:pos="860"/>
          <w:tab w:val="left" w:pos="993"/>
        </w:tabs>
        <w:ind w:left="86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在建设履约独立保函有效期内，如项目公司未根据本合同的条款和条件履行全部或部分义务，</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有权经书面通知后兑取建设履约独立保函的全部或部分金额。</w:t>
      </w:r>
    </w:p>
    <w:p>
      <w:pPr>
        <w:pStyle w:val="5"/>
        <w:tabs>
          <w:tab w:val="left" w:pos="0"/>
          <w:tab w:val="left" w:pos="860"/>
          <w:tab w:val="left" w:pos="993"/>
        </w:tabs>
        <w:ind w:left="86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兑取了建设履约独立保函的全部或部分金额，</w:t>
      </w:r>
      <w:r>
        <w:rPr>
          <w:rFonts w:hint="eastAsia" w:asciiTheme="minorEastAsia" w:hAnsiTheme="minorEastAsia" w:eastAsiaTheme="minorEastAsia" w:cstheme="minorEastAsia"/>
          <w:color w:val="auto"/>
          <w:highlight w:val="none"/>
        </w:rPr>
        <w:t>项目公司</w:t>
      </w:r>
      <w:r>
        <w:rPr>
          <w:rFonts w:hint="eastAsia" w:asciiTheme="minorEastAsia" w:hAnsiTheme="minorEastAsia" w:eastAsiaTheme="minorEastAsia" w:cstheme="minorEastAsia"/>
          <w:color w:val="auto"/>
        </w:rPr>
        <w:t>应在建设履约独立保函被提取之日起的一（1）个月内将建设履约独立保函补充至第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_Ref447827903 \r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15.1.2</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条款中规定的数额，并向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出示其已经恢复建设履约独立保函金额的证据。</w:t>
      </w:r>
    </w:p>
    <w:p>
      <w:pPr>
        <w:pStyle w:val="5"/>
        <w:tabs>
          <w:tab w:val="left" w:pos="0"/>
          <w:tab w:val="left" w:pos="860"/>
          <w:tab w:val="left" w:pos="993"/>
        </w:tabs>
        <w:ind w:left="86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未能根据本合同提交建设履约独立保函、或建设履约独立保函被提取完而未能补足规定额度保证金，则均视为项目公司的严重违约。</w:t>
      </w:r>
    </w:p>
    <w:p>
      <w:pPr>
        <w:pStyle w:val="3"/>
        <w:bidi w:val="0"/>
        <w:rPr>
          <w:rFonts w:hint="eastAsia" w:asciiTheme="minorEastAsia" w:hAnsiTheme="minorEastAsia" w:eastAsiaTheme="minorEastAsia" w:cstheme="minorEastAsia"/>
          <w:lang w:val="en-US" w:eastAsia="zh-CN"/>
        </w:rPr>
      </w:pPr>
      <w:bookmarkStart w:id="1364" w:name="_Toc32173"/>
      <w:bookmarkStart w:id="1365" w:name="_Toc8778"/>
      <w:r>
        <w:rPr>
          <w:rFonts w:hint="eastAsia" w:asciiTheme="minorEastAsia" w:hAnsiTheme="minorEastAsia" w:eastAsiaTheme="minorEastAsia" w:cstheme="minorEastAsia"/>
          <w:lang w:val="en-US" w:eastAsia="zh-CN"/>
        </w:rPr>
        <w:t>运营维护独立保函</w:t>
      </w:r>
      <w:bookmarkEnd w:id="1364"/>
      <w:bookmarkEnd w:id="1365"/>
    </w:p>
    <w:p>
      <w:pPr>
        <w:pStyle w:val="5"/>
        <w:tabs>
          <w:tab w:val="left" w:pos="0"/>
          <w:tab w:val="left" w:pos="860"/>
          <w:tab w:val="left" w:pos="993"/>
        </w:tabs>
        <w:ind w:left="86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为保证项目公司在运营期内按照本合同的规定履行相应的运营、维护义务，项目公司自项目正式运营日之日起七个工作日内，应向</w:t>
      </w:r>
      <w:r>
        <w:rPr>
          <w:rFonts w:hint="eastAsia" w:asciiTheme="minorEastAsia" w:hAnsiTheme="minorEastAsia" w:eastAsiaTheme="minorEastAsia" w:cstheme="minorEastAsia"/>
          <w:color w:val="auto"/>
          <w:lang w:val="en-US" w:eastAsia="zh-CN"/>
        </w:rPr>
        <w:t>实施机构</w:t>
      </w:r>
      <w:r>
        <w:rPr>
          <w:rFonts w:hint="eastAsia" w:asciiTheme="minorEastAsia" w:hAnsiTheme="minorEastAsia" w:eastAsiaTheme="minorEastAsia" w:cstheme="minorEastAsia"/>
          <w:color w:val="auto"/>
        </w:rPr>
        <w:t>提交中国境内银行出具的运营</w:t>
      </w:r>
      <w:r>
        <w:rPr>
          <w:rFonts w:hint="eastAsia" w:asciiTheme="minorEastAsia" w:hAnsiTheme="minorEastAsia" w:eastAsiaTheme="minorEastAsia" w:cstheme="minorEastAsia"/>
          <w:color w:val="auto"/>
          <w:lang w:val="en-US" w:eastAsia="zh-CN"/>
        </w:rPr>
        <w:t>维护独立</w:t>
      </w:r>
      <w:r>
        <w:rPr>
          <w:rFonts w:hint="eastAsia" w:asciiTheme="minorEastAsia" w:hAnsiTheme="minorEastAsia" w:eastAsiaTheme="minorEastAsia" w:cstheme="minorEastAsia"/>
          <w:color w:val="auto"/>
        </w:rPr>
        <w:t>保函。</w:t>
      </w:r>
    </w:p>
    <w:p>
      <w:pPr>
        <w:pStyle w:val="5"/>
        <w:tabs>
          <w:tab w:val="left" w:pos="0"/>
          <w:tab w:val="left" w:pos="860"/>
          <w:tab w:val="left" w:pos="993"/>
        </w:tabs>
        <w:ind w:left="86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本项目的运营期履约保函应为人民币</w:t>
      </w:r>
      <w:r>
        <w:rPr>
          <w:rFonts w:hint="eastAsia" w:asciiTheme="minorEastAsia" w:hAnsiTheme="minorEastAsia" w:eastAsiaTheme="minorEastAsia" w:cstheme="minorEastAsia"/>
          <w:color w:val="auto"/>
          <w:lang w:val="en-US" w:eastAsia="zh-CN"/>
        </w:rPr>
        <w:t>壹</w:t>
      </w:r>
      <w:r>
        <w:rPr>
          <w:rFonts w:hint="eastAsia" w:asciiTheme="minorEastAsia" w:hAnsiTheme="minorEastAsia" w:eastAsiaTheme="minorEastAsia" w:cstheme="minorEastAsia"/>
          <w:color w:val="auto"/>
        </w:rPr>
        <w:t>仟万元（ ¥</w:t>
      </w:r>
      <w:r>
        <w:rPr>
          <w:rFonts w:hint="eastAsia" w:asciiTheme="minorEastAsia" w:hAnsiTheme="minorEastAsia" w:eastAsiaTheme="minorEastAsia" w:cstheme="minorEastAsia"/>
          <w:color w:val="auto"/>
          <w:lang w:val="en-US" w:eastAsia="zh-CN"/>
        </w:rPr>
        <w:t>1</w:t>
      </w:r>
      <w:r>
        <w:rPr>
          <w:rFonts w:hint="eastAsia" w:asciiTheme="minorEastAsia" w:hAnsiTheme="minorEastAsia" w:eastAsiaTheme="minorEastAsia" w:cstheme="minorEastAsia"/>
          <w:color w:val="auto"/>
        </w:rPr>
        <w:t>000,0000.00）。</w:t>
      </w:r>
    </w:p>
    <w:p>
      <w:pPr>
        <w:pStyle w:val="5"/>
        <w:tabs>
          <w:tab w:val="left" w:pos="0"/>
          <w:tab w:val="left" w:pos="860"/>
          <w:tab w:val="left" w:pos="993"/>
        </w:tabs>
        <w:ind w:left="86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恢复保函的金额</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若</w:t>
      </w:r>
      <w:r>
        <w:rPr>
          <w:rFonts w:hint="eastAsia" w:asciiTheme="minorEastAsia" w:hAnsiTheme="minorEastAsia" w:eastAsiaTheme="minorEastAsia" w:cstheme="minorEastAsia"/>
          <w:color w:val="auto"/>
          <w:lang w:val="en-US" w:eastAsia="zh-CN"/>
        </w:rPr>
        <w:t>实施机构</w:t>
      </w:r>
      <w:r>
        <w:rPr>
          <w:rFonts w:hint="eastAsia" w:asciiTheme="minorEastAsia" w:hAnsiTheme="minorEastAsia" w:eastAsiaTheme="minorEastAsia" w:cstheme="minorEastAsia"/>
          <w:color w:val="auto"/>
        </w:rPr>
        <w:t>在合作期内根据本合同的规定提取运营期履约保函项下的金额，项目公司应在运营期履约保函被提取之日起的1个月内将运营期履约保函补充到第1</w:t>
      </w:r>
      <w:r>
        <w:rPr>
          <w:rFonts w:hint="eastAsia" w:asciiTheme="minorEastAsia" w:hAnsiTheme="minorEastAsia" w:eastAsiaTheme="minorEastAsia" w:cstheme="minorEastAsia"/>
          <w:color w:val="auto"/>
          <w:lang w:val="en-US" w:eastAsia="zh-CN"/>
        </w:rPr>
        <w:t>5</w:t>
      </w:r>
      <w:r>
        <w:rPr>
          <w:rFonts w:hint="eastAsia" w:asciiTheme="minorEastAsia" w:hAnsiTheme="minorEastAsia" w:eastAsiaTheme="minorEastAsia" w:cstheme="minorEastAsia"/>
          <w:color w:val="auto"/>
        </w:rPr>
        <w:t xml:space="preserve">.2.2条款中规定的数额，并向甲方出示其已经恢复运营期履约保函金额的证据。    </w:t>
      </w:r>
    </w:p>
    <w:p>
      <w:pPr>
        <w:pStyle w:val="5"/>
        <w:tabs>
          <w:tab w:val="left" w:pos="0"/>
          <w:tab w:val="left" w:pos="860"/>
          <w:tab w:val="left" w:pos="993"/>
        </w:tabs>
        <w:ind w:left="86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保函有效期</w:t>
      </w:r>
      <w:r>
        <w:rPr>
          <w:rFonts w:hint="eastAsia" w:asciiTheme="minorEastAsia" w:hAnsiTheme="minorEastAsia" w:eastAsiaTheme="minorEastAsia" w:cstheme="minorEastAsia"/>
          <w:color w:val="auto"/>
          <w:lang w:eastAsia="zh-CN"/>
        </w:rPr>
        <w:t>。运营维护独立保函期限为投入运营日起至合作期终止一（1）年前的期间。</w:t>
      </w:r>
    </w:p>
    <w:p>
      <w:pPr>
        <w:pStyle w:val="5"/>
        <w:tabs>
          <w:tab w:val="left" w:pos="0"/>
          <w:tab w:val="left" w:pos="860"/>
          <w:tab w:val="left" w:pos="993"/>
        </w:tabs>
        <w:ind w:left="86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保函的提取</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如果发生项目公司未全部或部分履行其在本合同项下的义务，且在</w:t>
      </w:r>
      <w:r>
        <w:rPr>
          <w:rFonts w:hint="eastAsia" w:asciiTheme="minorEastAsia" w:hAnsiTheme="minorEastAsia" w:eastAsiaTheme="minorEastAsia" w:cstheme="minorEastAsia"/>
          <w:color w:val="auto"/>
          <w:lang w:val="en-US" w:eastAsia="zh-CN"/>
        </w:rPr>
        <w:t>实施机构</w:t>
      </w:r>
      <w:r>
        <w:rPr>
          <w:rFonts w:hint="eastAsia" w:asciiTheme="minorEastAsia" w:hAnsiTheme="minorEastAsia" w:eastAsiaTheme="minorEastAsia" w:cstheme="minorEastAsia"/>
          <w:color w:val="auto"/>
        </w:rPr>
        <w:t>要求的期限内未予补正，或未按本合同的约定承担违约责任，</w:t>
      </w:r>
      <w:r>
        <w:rPr>
          <w:rFonts w:hint="eastAsia" w:asciiTheme="minorEastAsia" w:hAnsiTheme="minorEastAsia" w:eastAsiaTheme="minorEastAsia" w:cstheme="minorEastAsia"/>
          <w:color w:val="auto"/>
          <w:lang w:val="en-US" w:eastAsia="zh-CN"/>
        </w:rPr>
        <w:t>实施机构</w:t>
      </w:r>
      <w:r>
        <w:rPr>
          <w:rFonts w:hint="eastAsia" w:asciiTheme="minorEastAsia" w:hAnsiTheme="minorEastAsia" w:eastAsiaTheme="minorEastAsia" w:cstheme="minorEastAsia"/>
          <w:color w:val="auto"/>
        </w:rPr>
        <w:t>有权兑取保函的全部金额；</w:t>
      </w:r>
    </w:p>
    <w:p>
      <w:pPr>
        <w:pStyle w:val="5"/>
        <w:tabs>
          <w:tab w:val="left" w:pos="0"/>
          <w:tab w:val="left" w:pos="860"/>
          <w:tab w:val="left" w:pos="993"/>
        </w:tabs>
        <w:ind w:left="86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实施机构</w:t>
      </w:r>
      <w:r>
        <w:rPr>
          <w:rFonts w:hint="eastAsia" w:asciiTheme="minorEastAsia" w:hAnsiTheme="minorEastAsia" w:eastAsiaTheme="minorEastAsia" w:cstheme="minorEastAsia"/>
          <w:color w:val="auto"/>
        </w:rPr>
        <w:t>行使兑取运营期履约保函的权利，不影响</w:t>
      </w:r>
      <w:r>
        <w:rPr>
          <w:rFonts w:hint="eastAsia" w:asciiTheme="minorEastAsia" w:hAnsiTheme="minorEastAsia" w:eastAsiaTheme="minorEastAsia" w:cstheme="minorEastAsia"/>
          <w:color w:val="auto"/>
          <w:lang w:val="en-US" w:eastAsia="zh-CN"/>
        </w:rPr>
        <w:t>实施机构</w:t>
      </w:r>
      <w:r>
        <w:rPr>
          <w:rFonts w:hint="eastAsia" w:asciiTheme="minorEastAsia" w:hAnsiTheme="minorEastAsia" w:eastAsiaTheme="minorEastAsia" w:cstheme="minorEastAsia"/>
          <w:color w:val="auto"/>
        </w:rPr>
        <w:t>在本合同项下的其他权利。</w:t>
      </w:r>
    </w:p>
    <w:p>
      <w:pPr>
        <w:pStyle w:val="3"/>
        <w:bidi w:val="0"/>
        <w:rPr>
          <w:rFonts w:hint="eastAsia" w:asciiTheme="minorEastAsia" w:hAnsiTheme="minorEastAsia" w:eastAsiaTheme="minorEastAsia" w:cstheme="minorEastAsia"/>
        </w:rPr>
      </w:pPr>
      <w:bookmarkStart w:id="1366" w:name="_Toc3221"/>
      <w:bookmarkStart w:id="1367" w:name="_Toc20001"/>
      <w:r>
        <w:rPr>
          <w:rFonts w:hint="eastAsia" w:asciiTheme="minorEastAsia" w:hAnsiTheme="minorEastAsia" w:eastAsiaTheme="minorEastAsia" w:cstheme="minorEastAsia"/>
        </w:rPr>
        <w:t>移交</w:t>
      </w:r>
      <w:r>
        <w:rPr>
          <w:rFonts w:hint="eastAsia" w:asciiTheme="minorEastAsia" w:hAnsiTheme="minorEastAsia" w:eastAsiaTheme="minorEastAsia" w:cstheme="minorEastAsia"/>
          <w:lang w:val="en-US" w:eastAsia="zh-CN"/>
        </w:rPr>
        <w:t>维修独立</w:t>
      </w:r>
      <w:r>
        <w:rPr>
          <w:rFonts w:hint="eastAsia" w:asciiTheme="minorEastAsia" w:hAnsiTheme="minorEastAsia" w:eastAsiaTheme="minorEastAsia" w:cstheme="minorEastAsia"/>
        </w:rPr>
        <w:t>保函</w:t>
      </w:r>
      <w:bookmarkEnd w:id="1366"/>
      <w:bookmarkEnd w:id="1367"/>
    </w:p>
    <w:p>
      <w:pPr>
        <w:pStyle w:val="5"/>
        <w:tabs>
          <w:tab w:val="left" w:pos="0"/>
          <w:tab w:val="left" w:pos="860"/>
          <w:tab w:val="left" w:pos="993"/>
        </w:tabs>
        <w:ind w:left="86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eastAsia="zh-CN"/>
        </w:rPr>
        <w:t>在本项目合作期届满前一（1）年及缺陷责任期（缺陷责任期为 1 年）内，项目公司</w:t>
      </w:r>
      <w:r>
        <w:rPr>
          <w:rFonts w:hint="eastAsia" w:asciiTheme="minorEastAsia" w:hAnsiTheme="minorEastAsia" w:eastAsiaTheme="minorEastAsia" w:cstheme="minorEastAsia"/>
          <w:color w:val="auto"/>
        </w:rPr>
        <w:t>应向</w:t>
      </w:r>
      <w:r>
        <w:rPr>
          <w:rFonts w:hint="eastAsia" w:asciiTheme="minorEastAsia" w:hAnsiTheme="minorEastAsia" w:eastAsiaTheme="minorEastAsia" w:cstheme="minorEastAsia"/>
          <w:color w:val="auto"/>
          <w:lang w:val="en-US" w:eastAsia="zh-CN"/>
        </w:rPr>
        <w:t>实施机构</w:t>
      </w:r>
      <w:r>
        <w:rPr>
          <w:rFonts w:hint="eastAsia" w:asciiTheme="minorEastAsia" w:hAnsiTheme="minorEastAsia" w:eastAsiaTheme="minorEastAsia" w:cstheme="minorEastAsia"/>
          <w:color w:val="auto"/>
        </w:rPr>
        <w:t>提交中国境内金融机构出具的移交期保函，用于保证项目移交前的设施修复和更换等事项，并保证项目公司继续履行其在本合同所列的各项义务。移交期保函的金额为</w:t>
      </w:r>
      <w:r>
        <w:rPr>
          <w:rFonts w:hint="eastAsia" w:asciiTheme="minorEastAsia" w:hAnsiTheme="minorEastAsia" w:eastAsiaTheme="minorEastAsia" w:cstheme="minorEastAsia"/>
          <w:color w:val="auto"/>
          <w:lang w:val="en-US" w:eastAsia="zh-CN"/>
        </w:rPr>
        <w:t>贰</w:t>
      </w:r>
      <w:r>
        <w:rPr>
          <w:rFonts w:hint="eastAsia" w:asciiTheme="minorEastAsia" w:hAnsiTheme="minorEastAsia" w:eastAsiaTheme="minorEastAsia" w:cstheme="minorEastAsia"/>
          <w:color w:val="auto"/>
        </w:rPr>
        <w:t>仟万元（ ¥</w:t>
      </w:r>
      <w:r>
        <w:rPr>
          <w:rFonts w:hint="eastAsia" w:asciiTheme="minorEastAsia" w:hAnsiTheme="minorEastAsia" w:eastAsiaTheme="minorEastAsia" w:cstheme="minorEastAsia"/>
          <w:color w:val="auto"/>
          <w:lang w:val="en-US" w:eastAsia="zh-CN"/>
        </w:rPr>
        <w:t>2</w:t>
      </w:r>
      <w:r>
        <w:rPr>
          <w:rFonts w:hint="eastAsia" w:asciiTheme="minorEastAsia" w:hAnsiTheme="minorEastAsia" w:eastAsiaTheme="minorEastAsia" w:cstheme="minorEastAsia"/>
          <w:color w:val="auto"/>
        </w:rPr>
        <w:t>0，000，000.00）。移交期保函中应明确移交保函应在移交事项结束，</w:t>
      </w:r>
      <w:r>
        <w:rPr>
          <w:rFonts w:hint="eastAsia" w:asciiTheme="minorEastAsia" w:hAnsiTheme="minorEastAsia" w:eastAsiaTheme="minorEastAsia" w:cstheme="minorEastAsia"/>
          <w:color w:val="auto"/>
          <w:lang w:val="en-US" w:eastAsia="zh-CN"/>
        </w:rPr>
        <w:t>市城管局</w:t>
      </w:r>
      <w:r>
        <w:rPr>
          <w:rFonts w:hint="eastAsia" w:asciiTheme="minorEastAsia" w:hAnsiTheme="minorEastAsia" w:eastAsiaTheme="minorEastAsia" w:cstheme="minorEastAsia"/>
          <w:color w:val="auto"/>
        </w:rPr>
        <w:t>对项目移交验收合格之日起一年（缺陷责任期）后方允许撤销。</w:t>
      </w:r>
    </w:p>
    <w:p>
      <w:pPr>
        <w:pStyle w:val="5"/>
        <w:tabs>
          <w:tab w:val="left" w:pos="0"/>
          <w:tab w:val="left" w:pos="860"/>
          <w:tab w:val="left" w:pos="993"/>
        </w:tabs>
        <w:ind w:left="86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移交期保函的提取。如果发生</w:t>
      </w:r>
      <w:r>
        <w:rPr>
          <w:rFonts w:hint="eastAsia" w:asciiTheme="minorEastAsia" w:hAnsiTheme="minorEastAsia" w:eastAsiaTheme="minorEastAsia" w:cstheme="minorEastAsia"/>
          <w:color w:val="auto"/>
          <w:lang w:val="en-US" w:eastAsia="zh-CN"/>
        </w:rPr>
        <w:t>项目公司</w:t>
      </w:r>
      <w:r>
        <w:rPr>
          <w:rFonts w:hint="eastAsia" w:asciiTheme="minorEastAsia" w:hAnsiTheme="minorEastAsia" w:eastAsiaTheme="minorEastAsia" w:cstheme="minorEastAsia"/>
          <w:color w:val="auto"/>
        </w:rPr>
        <w:t>未全部或部分履行其在PPP项目合同项下的义务，且在</w:t>
      </w:r>
      <w:r>
        <w:rPr>
          <w:rFonts w:hint="eastAsia" w:asciiTheme="minorEastAsia" w:hAnsiTheme="minorEastAsia" w:eastAsiaTheme="minorEastAsia" w:cstheme="minorEastAsia"/>
          <w:color w:val="auto"/>
          <w:lang w:val="en-US" w:eastAsia="zh-CN"/>
        </w:rPr>
        <w:t>市城管局</w:t>
      </w:r>
      <w:r>
        <w:rPr>
          <w:rFonts w:hint="eastAsia" w:asciiTheme="minorEastAsia" w:hAnsiTheme="minorEastAsia" w:eastAsiaTheme="minorEastAsia" w:cstheme="minorEastAsia"/>
          <w:color w:val="auto"/>
        </w:rPr>
        <w:t>要求的期限内未予补正，或未按PPP项目合同的约定承担违约责任，</w:t>
      </w:r>
      <w:r>
        <w:rPr>
          <w:rFonts w:hint="eastAsia" w:asciiTheme="minorEastAsia" w:hAnsiTheme="minorEastAsia" w:eastAsiaTheme="minorEastAsia" w:cstheme="minorEastAsia"/>
          <w:color w:val="auto"/>
          <w:lang w:val="en-US" w:eastAsia="zh-CN"/>
        </w:rPr>
        <w:t>市城管局</w:t>
      </w:r>
      <w:r>
        <w:rPr>
          <w:rFonts w:hint="eastAsia" w:asciiTheme="minorEastAsia" w:hAnsiTheme="minorEastAsia" w:eastAsiaTheme="minorEastAsia" w:cstheme="minorEastAsia"/>
          <w:color w:val="auto"/>
        </w:rPr>
        <w:t>有权按照实际违约金额持保函向银行提取相应违约金，但提取违约金总额不得超过保函金额。</w:t>
      </w:r>
    </w:p>
    <w:p>
      <w:pPr>
        <w:pStyle w:val="5"/>
        <w:tabs>
          <w:tab w:val="left" w:pos="0"/>
          <w:tab w:val="left" w:pos="860"/>
          <w:tab w:val="left" w:pos="993"/>
        </w:tabs>
        <w:ind w:left="86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市城管局在根据本条款提取移交期保函任何金额之前，应向</w:t>
      </w:r>
      <w:r>
        <w:rPr>
          <w:rFonts w:hint="eastAsia" w:asciiTheme="minorEastAsia" w:hAnsiTheme="minorEastAsia" w:eastAsiaTheme="minorEastAsia" w:cstheme="minorEastAsia"/>
          <w:color w:val="auto"/>
          <w:lang w:val="en-US" w:eastAsia="zh-CN"/>
        </w:rPr>
        <w:t>项目公司</w:t>
      </w:r>
      <w:r>
        <w:rPr>
          <w:rFonts w:hint="eastAsia" w:asciiTheme="minorEastAsia" w:hAnsiTheme="minorEastAsia" w:eastAsiaTheme="minorEastAsia" w:cstheme="minorEastAsia"/>
          <w:color w:val="auto"/>
        </w:rPr>
        <w:t>发出书面通知并告知对方其提取的理由和拟提取的移交期保函金额。除非</w:t>
      </w:r>
      <w:r>
        <w:rPr>
          <w:rFonts w:hint="eastAsia" w:asciiTheme="minorEastAsia" w:hAnsiTheme="minorEastAsia" w:eastAsiaTheme="minorEastAsia" w:cstheme="minorEastAsia"/>
          <w:color w:val="auto"/>
          <w:lang w:val="en-US" w:eastAsia="zh-CN"/>
        </w:rPr>
        <w:t>项目</w:t>
      </w:r>
      <w:r>
        <w:rPr>
          <w:rFonts w:hint="eastAsia" w:asciiTheme="minorEastAsia" w:hAnsiTheme="minorEastAsia" w:eastAsiaTheme="minorEastAsia" w:cstheme="minorEastAsia"/>
          <w:color w:val="auto"/>
        </w:rPr>
        <w:t>在收到该通知后七（7)个工作日内向</w:t>
      </w:r>
      <w:r>
        <w:rPr>
          <w:rFonts w:hint="eastAsia" w:asciiTheme="minorEastAsia" w:hAnsiTheme="minorEastAsia" w:eastAsiaTheme="minorEastAsia" w:cstheme="minorEastAsia"/>
          <w:color w:val="auto"/>
          <w:lang w:val="en-US" w:eastAsia="zh-CN"/>
        </w:rPr>
        <w:t>市城管局</w:t>
      </w:r>
      <w:r>
        <w:rPr>
          <w:rFonts w:hint="eastAsia" w:asciiTheme="minorEastAsia" w:hAnsiTheme="minorEastAsia" w:eastAsiaTheme="minorEastAsia" w:cstheme="minorEastAsia"/>
          <w:color w:val="auto"/>
        </w:rPr>
        <w:t>全额支付上述拟提取的移交期保函。</w:t>
      </w:r>
    </w:p>
    <w:p>
      <w:pPr>
        <w:pStyle w:val="5"/>
        <w:tabs>
          <w:tab w:val="left" w:pos="0"/>
          <w:tab w:val="left" w:pos="860"/>
          <w:tab w:val="left" w:pos="993"/>
        </w:tabs>
        <w:ind w:left="86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移交期保函金额的恢复。如果</w:t>
      </w:r>
      <w:r>
        <w:rPr>
          <w:rFonts w:hint="eastAsia" w:asciiTheme="minorEastAsia" w:hAnsiTheme="minorEastAsia" w:eastAsiaTheme="minorEastAsia" w:cstheme="minorEastAsia"/>
          <w:color w:val="auto"/>
          <w:lang w:val="en-US" w:eastAsia="zh-CN"/>
        </w:rPr>
        <w:t>市城管局</w:t>
      </w:r>
      <w:r>
        <w:rPr>
          <w:rFonts w:hint="eastAsia" w:asciiTheme="minorEastAsia" w:hAnsiTheme="minorEastAsia" w:eastAsiaTheme="minorEastAsia" w:cstheme="minorEastAsia"/>
          <w:color w:val="auto"/>
        </w:rPr>
        <w:t>在项目合作期内根据 PPP 项目合同的有关规定提取了移交期保函，</w:t>
      </w:r>
      <w:r>
        <w:rPr>
          <w:rFonts w:hint="eastAsia" w:asciiTheme="minorEastAsia" w:hAnsiTheme="minorEastAsia" w:eastAsiaTheme="minorEastAsia" w:cstheme="minorEastAsia"/>
          <w:color w:val="auto"/>
          <w:lang w:val="en-US" w:eastAsia="zh-CN"/>
        </w:rPr>
        <w:t>项目公司</w:t>
      </w:r>
      <w:r>
        <w:rPr>
          <w:rFonts w:hint="eastAsia" w:asciiTheme="minorEastAsia" w:hAnsiTheme="minorEastAsia" w:eastAsiaTheme="minorEastAsia" w:cstheme="minorEastAsia"/>
          <w:color w:val="auto"/>
        </w:rPr>
        <w:t>应确保在</w:t>
      </w:r>
      <w:r>
        <w:rPr>
          <w:rFonts w:hint="eastAsia" w:asciiTheme="minorEastAsia" w:hAnsiTheme="minorEastAsia" w:eastAsiaTheme="minorEastAsia" w:cstheme="minorEastAsia"/>
          <w:color w:val="auto"/>
          <w:lang w:val="en-US" w:eastAsia="zh-CN"/>
        </w:rPr>
        <w:t>市城管局</w:t>
      </w:r>
      <w:r>
        <w:rPr>
          <w:rFonts w:hint="eastAsia" w:asciiTheme="minorEastAsia" w:hAnsiTheme="minorEastAsia" w:eastAsiaTheme="minorEastAsia" w:cstheme="minorEastAsia"/>
          <w:color w:val="auto"/>
        </w:rPr>
        <w:t>提取后的十（10）个工作日内，将移交期保函的数额恢复到PPP项目合同 1</w:t>
      </w:r>
      <w:r>
        <w:rPr>
          <w:rFonts w:hint="eastAsia" w:asciiTheme="minorEastAsia" w:hAnsiTheme="minorEastAsia" w:eastAsiaTheme="minorEastAsia" w:cstheme="minorEastAsia"/>
          <w:color w:val="auto"/>
          <w:lang w:val="en-US" w:eastAsia="zh-CN"/>
        </w:rPr>
        <w:t>5</w:t>
      </w:r>
      <w:r>
        <w:rPr>
          <w:rFonts w:hint="eastAsia" w:asciiTheme="minorEastAsia" w:hAnsiTheme="minorEastAsia" w:eastAsiaTheme="minorEastAsia" w:cstheme="minorEastAsia"/>
          <w:color w:val="auto"/>
        </w:rPr>
        <w:t>.3.1 约定的数额，且应向</w:t>
      </w:r>
      <w:r>
        <w:rPr>
          <w:rFonts w:hint="eastAsia" w:asciiTheme="minorEastAsia" w:hAnsiTheme="minorEastAsia" w:eastAsiaTheme="minorEastAsia" w:cstheme="minorEastAsia"/>
          <w:color w:val="auto"/>
          <w:lang w:val="en-US" w:eastAsia="zh-CN"/>
        </w:rPr>
        <w:t>市城管局</w:t>
      </w:r>
      <w:r>
        <w:rPr>
          <w:rFonts w:hint="eastAsia" w:asciiTheme="minorEastAsia" w:hAnsiTheme="minorEastAsia" w:eastAsiaTheme="minorEastAsia" w:cstheme="minorEastAsia"/>
          <w:color w:val="auto"/>
        </w:rPr>
        <w:t>提供移交期保函已足额恢复的证据。</w:t>
      </w:r>
      <w:r>
        <w:rPr>
          <w:rFonts w:hint="eastAsia" w:asciiTheme="minorEastAsia" w:hAnsiTheme="minorEastAsia" w:eastAsiaTheme="minorEastAsia" w:cstheme="minorEastAsia"/>
          <w:color w:val="auto"/>
          <w:lang w:val="en-US" w:eastAsia="zh-CN"/>
        </w:rPr>
        <w:t>市城管局</w:t>
      </w:r>
      <w:r>
        <w:rPr>
          <w:rFonts w:hint="eastAsia" w:asciiTheme="minorEastAsia" w:hAnsiTheme="minorEastAsia" w:eastAsiaTheme="minorEastAsia" w:cstheme="minorEastAsia"/>
          <w:color w:val="auto"/>
        </w:rPr>
        <w:t>提取移交期保函的权利不影响</w:t>
      </w:r>
      <w:r>
        <w:rPr>
          <w:rFonts w:hint="eastAsia" w:asciiTheme="minorEastAsia" w:hAnsiTheme="minorEastAsia" w:eastAsiaTheme="minorEastAsia" w:cstheme="minorEastAsia"/>
          <w:color w:val="auto"/>
          <w:lang w:val="en-US" w:eastAsia="zh-CN"/>
        </w:rPr>
        <w:t>市城管局</w:t>
      </w:r>
      <w:r>
        <w:rPr>
          <w:rFonts w:hint="eastAsia" w:asciiTheme="minorEastAsia" w:hAnsiTheme="minorEastAsia" w:eastAsiaTheme="minorEastAsia" w:cstheme="minorEastAsia"/>
          <w:color w:val="auto"/>
        </w:rPr>
        <w:t>在 PPP项目合同项下的其他权利，并且不应解除</w:t>
      </w:r>
      <w:r>
        <w:rPr>
          <w:rFonts w:hint="eastAsia" w:asciiTheme="minorEastAsia" w:hAnsiTheme="minorEastAsia" w:eastAsiaTheme="minorEastAsia" w:cstheme="minorEastAsia"/>
          <w:color w:val="auto"/>
          <w:lang w:val="en-US" w:eastAsia="zh-CN"/>
        </w:rPr>
        <w:t>项目公司</w:t>
      </w:r>
      <w:r>
        <w:rPr>
          <w:rFonts w:hint="eastAsia" w:asciiTheme="minorEastAsia" w:hAnsiTheme="minorEastAsia" w:eastAsiaTheme="minorEastAsia" w:cstheme="minorEastAsia"/>
          <w:color w:val="auto"/>
        </w:rPr>
        <w:t>不履行维护本项目义务而对甲方所负的任何进一步的责任和义务。</w:t>
      </w:r>
    </w:p>
    <w:p>
      <w:pPr>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p>
    <w:p>
      <w:pPr>
        <w:pStyle w:val="37"/>
        <w:spacing w:after="120" w:afterLines="50"/>
        <w:rPr>
          <w:rFonts w:hint="eastAsia" w:asciiTheme="minorEastAsia" w:hAnsiTheme="minorEastAsia" w:eastAsiaTheme="minorEastAsia" w:cstheme="minorEastAsia"/>
        </w:rPr>
      </w:pPr>
      <w:bookmarkStart w:id="1368" w:name="_Toc11287"/>
      <w:bookmarkStart w:id="1369" w:name="_Toc32554"/>
      <w:bookmarkStart w:id="1370" w:name="_Toc8788"/>
      <w:r>
        <w:rPr>
          <w:rFonts w:hint="eastAsia" w:asciiTheme="minorEastAsia" w:hAnsiTheme="minorEastAsia" w:eastAsiaTheme="minorEastAsia" w:cstheme="minorEastAsia"/>
        </w:rPr>
        <w:t>政府承诺</w:t>
      </w:r>
      <w:bookmarkEnd w:id="1368"/>
      <w:bookmarkEnd w:id="1369"/>
      <w:bookmarkEnd w:id="1370"/>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1371" w:name="_Toc447620486"/>
      <w:bookmarkEnd w:id="1371"/>
      <w:bookmarkStart w:id="1372" w:name="_Toc448055763"/>
      <w:bookmarkEnd w:id="1372"/>
      <w:bookmarkStart w:id="1373" w:name="_Toc454489429"/>
      <w:bookmarkEnd w:id="1373"/>
      <w:bookmarkStart w:id="1374" w:name="_Toc454482328"/>
      <w:bookmarkEnd w:id="1374"/>
      <w:bookmarkStart w:id="1375" w:name="_Toc491193692"/>
      <w:bookmarkEnd w:id="1375"/>
      <w:bookmarkStart w:id="1376" w:name="_Toc448051314"/>
      <w:bookmarkEnd w:id="1376"/>
      <w:bookmarkStart w:id="1377" w:name="_Toc448051496"/>
      <w:bookmarkEnd w:id="1377"/>
      <w:bookmarkStart w:id="1378" w:name="_Toc447744542"/>
      <w:bookmarkEnd w:id="1378"/>
      <w:bookmarkStart w:id="1379" w:name="_Toc448046095"/>
      <w:bookmarkEnd w:id="1379"/>
      <w:bookmarkStart w:id="1380" w:name="_Toc448056154"/>
      <w:bookmarkEnd w:id="1380"/>
      <w:bookmarkStart w:id="1381" w:name="_Toc491680699"/>
      <w:bookmarkEnd w:id="1381"/>
      <w:bookmarkStart w:id="1382" w:name="_Toc490090566"/>
      <w:bookmarkEnd w:id="1382"/>
      <w:bookmarkStart w:id="1383" w:name="_Toc447847430"/>
      <w:bookmarkEnd w:id="1383"/>
      <w:bookmarkStart w:id="1384" w:name="_Toc447534765"/>
      <w:bookmarkEnd w:id="1384"/>
      <w:bookmarkStart w:id="1385" w:name="_Toc489986230"/>
      <w:bookmarkEnd w:id="1385"/>
      <w:bookmarkStart w:id="1386" w:name="_Toc490081506"/>
      <w:bookmarkEnd w:id="1386"/>
      <w:bookmarkStart w:id="1387" w:name="_Toc454572609"/>
      <w:bookmarkEnd w:id="1387"/>
      <w:bookmarkStart w:id="1388" w:name="_Toc489977704"/>
      <w:bookmarkEnd w:id="1388"/>
      <w:bookmarkStart w:id="1389" w:name="_Toc489988491"/>
      <w:bookmarkEnd w:id="1389"/>
      <w:bookmarkStart w:id="1390" w:name="_Toc493454952"/>
      <w:bookmarkEnd w:id="1390"/>
      <w:bookmarkStart w:id="1391" w:name="_Toc447743452"/>
      <w:bookmarkEnd w:id="1391"/>
      <w:bookmarkStart w:id="1392" w:name="_Toc454506789"/>
      <w:bookmarkEnd w:id="1392"/>
      <w:bookmarkStart w:id="1393" w:name="_Toc491257820"/>
      <w:bookmarkEnd w:id="1393"/>
      <w:bookmarkStart w:id="1394" w:name="_Toc448073187"/>
      <w:bookmarkEnd w:id="1394"/>
      <w:bookmarkStart w:id="1395" w:name="_Toc493453992"/>
      <w:bookmarkEnd w:id="1395"/>
      <w:bookmarkStart w:id="1396" w:name="_Toc18491"/>
      <w:bookmarkEnd w:id="1396"/>
      <w:bookmarkStart w:id="1397" w:name="_Toc490036556"/>
      <w:bookmarkEnd w:id="1397"/>
      <w:bookmarkStart w:id="1398" w:name="_Toc491687774"/>
      <w:bookmarkEnd w:id="1398"/>
      <w:bookmarkStart w:id="1399" w:name="_Toc447534595"/>
      <w:bookmarkEnd w:id="1399"/>
      <w:bookmarkStart w:id="1400" w:name="_Toc448054759"/>
      <w:bookmarkEnd w:id="1400"/>
      <w:bookmarkStart w:id="1401" w:name="_Toc447632737"/>
      <w:bookmarkEnd w:id="1401"/>
      <w:bookmarkStart w:id="1402" w:name="_Toc489977885"/>
      <w:bookmarkEnd w:id="1402"/>
      <w:bookmarkStart w:id="1403" w:name="_Toc447850080"/>
      <w:bookmarkEnd w:id="1403"/>
      <w:bookmarkStart w:id="1404" w:name="_Toc490035166"/>
      <w:bookmarkEnd w:id="1404"/>
      <w:bookmarkStart w:id="1405" w:name="_Toc491687970"/>
      <w:bookmarkEnd w:id="1405"/>
      <w:bookmarkStart w:id="1406" w:name="_Toc6386"/>
      <w:bookmarkEnd w:id="1406"/>
      <w:bookmarkStart w:id="1407" w:name="_Toc5639"/>
      <w:bookmarkEnd w:id="1407"/>
      <w:bookmarkStart w:id="1408" w:name="_Toc418368743"/>
      <w:bookmarkStart w:id="1409" w:name="_Toc437945947"/>
    </w:p>
    <w:p>
      <w:pPr>
        <w:spacing w:before="120" w:after="120" w:afterLines="50"/>
        <w:ind w:firstLine="566" w:firstLineChars="236"/>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的</w:t>
      </w:r>
      <w:bookmarkEnd w:id="1408"/>
      <w:r>
        <w:rPr>
          <w:rFonts w:hint="eastAsia" w:asciiTheme="minorEastAsia" w:hAnsiTheme="minorEastAsia" w:eastAsiaTheme="minorEastAsia" w:cstheme="minorEastAsia"/>
        </w:rPr>
        <w:t>承诺</w:t>
      </w:r>
      <w:bookmarkEnd w:id="1409"/>
      <w:r>
        <w:rPr>
          <w:rFonts w:hint="eastAsia" w:asciiTheme="minorEastAsia" w:hAnsiTheme="minorEastAsia" w:eastAsiaTheme="minorEastAsia" w:cstheme="minorEastAsia"/>
        </w:rPr>
        <w:t>除本合同其它条款规定的义务外，</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在合作期内承诺：</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410" w:name="_Toc418368744"/>
      <w:bookmarkStart w:id="1411" w:name="_Toc88292852"/>
      <w:bookmarkStart w:id="1412" w:name="_Toc391568056"/>
      <w:bookmarkStart w:id="1413" w:name="_Toc437945948"/>
      <w:bookmarkStart w:id="1414" w:name="_Toc4618"/>
      <w:bookmarkStart w:id="1415" w:name="_Toc18608"/>
      <w:bookmarkStart w:id="1416" w:name="_Toc17340"/>
      <w:r>
        <w:rPr>
          <w:rFonts w:hint="eastAsia" w:asciiTheme="minorEastAsia" w:hAnsiTheme="minorEastAsia" w:eastAsiaTheme="minorEastAsia" w:cstheme="minorEastAsia"/>
          <w:color w:val="auto"/>
        </w:rPr>
        <w:t>遵守法律、法规</w:t>
      </w:r>
      <w:bookmarkEnd w:id="1410"/>
      <w:bookmarkEnd w:id="1411"/>
      <w:bookmarkEnd w:id="1412"/>
      <w:bookmarkEnd w:id="1413"/>
      <w:bookmarkEnd w:id="1414"/>
      <w:bookmarkEnd w:id="1415"/>
      <w:bookmarkEnd w:id="1416"/>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将始终遵守所有适用法律及本合同规定的相关义务。</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417" w:name="_Toc16220"/>
      <w:bookmarkStart w:id="1418" w:name="_Toc437945949"/>
      <w:bookmarkStart w:id="1419" w:name="_Toc88292854"/>
      <w:bookmarkStart w:id="1420" w:name="_Toc391568057"/>
      <w:bookmarkStart w:id="1421" w:name="_Toc418368745"/>
      <w:bookmarkStart w:id="1422" w:name="_Toc3364"/>
      <w:bookmarkStart w:id="1423" w:name="_Toc21277"/>
      <w:r>
        <w:rPr>
          <w:rFonts w:hint="eastAsia" w:asciiTheme="minorEastAsia" w:hAnsiTheme="minorEastAsia" w:eastAsiaTheme="minorEastAsia" w:cstheme="minorEastAsia"/>
          <w:color w:val="auto"/>
        </w:rPr>
        <w:t>批准</w:t>
      </w:r>
      <w:bookmarkEnd w:id="1417"/>
      <w:bookmarkEnd w:id="1418"/>
      <w:bookmarkEnd w:id="1419"/>
      <w:bookmarkEnd w:id="1420"/>
      <w:bookmarkEnd w:id="1421"/>
      <w:bookmarkEnd w:id="1422"/>
      <w:bookmarkEnd w:id="1423"/>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如果项目公司已经及时、正确地向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提交了有关项目批准的申请、要求和文件，并且符合适用法律或本合同规定的获得该等批准所要求的条件，</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将给予（仅限于</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根据适用法律和本合同有行政管理审批权/有权批准的事项）或尽力协助项目公司获得所需的批准，并在适用法律允许的情况下加快批准程序。</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将在适用法律和本合同规定的限期内完成审批事宜。</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按照本条的规定给予协助不应免除项目公司依据本合同规定获得所需批准的相关义务。</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424" w:name="_Toc9942"/>
      <w:bookmarkStart w:id="1425" w:name="_Toc9199"/>
      <w:bookmarkStart w:id="1426" w:name="_Toc683"/>
      <w:bookmarkStart w:id="1427" w:name="_Toc437945950"/>
      <w:bookmarkStart w:id="1428" w:name="_Toc418368746"/>
      <w:bookmarkStart w:id="1429" w:name="_Toc88292855"/>
      <w:bookmarkStart w:id="1430" w:name="_Toc391568058"/>
      <w:r>
        <w:rPr>
          <w:rFonts w:hint="eastAsia" w:asciiTheme="minorEastAsia" w:hAnsiTheme="minorEastAsia" w:eastAsiaTheme="minorEastAsia" w:cstheme="minorEastAsia"/>
          <w:color w:val="auto"/>
        </w:rPr>
        <w:t>入廊管理</w:t>
      </w:r>
      <w:bookmarkEnd w:id="1424"/>
      <w:bookmarkEnd w:id="1425"/>
      <w:bookmarkEnd w:id="1426"/>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协调</w:t>
      </w:r>
      <w:r>
        <w:rPr>
          <w:rFonts w:hint="eastAsia" w:asciiTheme="minorEastAsia" w:hAnsiTheme="minorEastAsia" w:eastAsiaTheme="minorEastAsia" w:cstheme="minorEastAsia"/>
          <w:color w:val="auto"/>
          <w:lang w:val="en-US" w:eastAsia="zh-CN"/>
        </w:rPr>
        <w:t>项目公司</w:t>
      </w:r>
      <w:r>
        <w:rPr>
          <w:rFonts w:hint="eastAsia" w:asciiTheme="minorEastAsia" w:hAnsiTheme="minorEastAsia" w:eastAsiaTheme="minorEastAsia" w:cstheme="minorEastAsia"/>
          <w:color w:val="auto"/>
        </w:rPr>
        <w:t>实施入廊管理并出台相关支持性政策文件和配套政策，协调各行业主管部门配合</w:t>
      </w:r>
      <w:r>
        <w:rPr>
          <w:rFonts w:hint="eastAsia" w:asciiTheme="minorEastAsia" w:hAnsiTheme="minorEastAsia" w:eastAsiaTheme="minorEastAsia" w:cstheme="minorEastAsia"/>
          <w:color w:val="auto"/>
          <w:lang w:val="en-US" w:eastAsia="zh-CN"/>
        </w:rPr>
        <w:t>项目公司</w:t>
      </w:r>
      <w:r>
        <w:rPr>
          <w:rFonts w:hint="eastAsia" w:asciiTheme="minorEastAsia" w:hAnsiTheme="minorEastAsia" w:eastAsiaTheme="minorEastAsia" w:cstheme="minorEastAsia"/>
          <w:color w:val="auto"/>
        </w:rPr>
        <w:t>做好各自管线入廊和交纳入廊费、日常维护费工作。</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431" w:name="_Toc13065"/>
      <w:bookmarkStart w:id="1432" w:name="_Toc21901"/>
      <w:bookmarkStart w:id="1433" w:name="_Toc9569"/>
      <w:r>
        <w:rPr>
          <w:rFonts w:hint="eastAsia" w:asciiTheme="minorEastAsia" w:hAnsiTheme="minorEastAsia" w:eastAsiaTheme="minorEastAsia" w:cstheme="minorEastAsia"/>
          <w:color w:val="auto"/>
        </w:rPr>
        <w:t>可行性缺口补助和税收优惠</w:t>
      </w:r>
      <w:bookmarkEnd w:id="1427"/>
      <w:bookmarkEnd w:id="1431"/>
      <w:bookmarkEnd w:id="1432"/>
      <w:bookmarkEnd w:id="1433"/>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市财政局</w:t>
      </w:r>
      <w:r>
        <w:rPr>
          <w:rFonts w:hint="eastAsia" w:asciiTheme="minorEastAsia" w:hAnsiTheme="minorEastAsia" w:eastAsiaTheme="minorEastAsia" w:cstheme="minorEastAsia"/>
          <w:color w:val="auto"/>
          <w:lang w:val="en-US" w:eastAsia="zh-CN"/>
        </w:rPr>
        <w:t>和铜山区财政局</w:t>
      </w:r>
      <w:r>
        <w:rPr>
          <w:rFonts w:hint="eastAsia" w:asciiTheme="minorEastAsia" w:hAnsiTheme="minorEastAsia" w:eastAsiaTheme="minorEastAsia" w:cstheme="minorEastAsia"/>
          <w:color w:val="auto"/>
        </w:rPr>
        <w:t>将按照本合同规定提供可行性缺口补助，并</w:t>
      </w:r>
      <w:r>
        <w:rPr>
          <w:rFonts w:hint="eastAsia" w:asciiTheme="minorEastAsia" w:hAnsiTheme="minorEastAsia" w:eastAsiaTheme="minorEastAsia" w:cstheme="minorEastAsia"/>
          <w:color w:val="auto"/>
          <w:lang w:val="en-US" w:eastAsia="zh-CN"/>
        </w:rPr>
        <w:t>协助</w:t>
      </w:r>
      <w:r>
        <w:rPr>
          <w:rFonts w:hint="eastAsia" w:asciiTheme="minorEastAsia" w:hAnsiTheme="minorEastAsia" w:eastAsiaTheme="minorEastAsia" w:cstheme="minorEastAsia"/>
          <w:color w:val="auto"/>
        </w:rPr>
        <w:t>项目公司向相关部门申请获得适用法律规定的有关税收优惠政策（如有）。</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434" w:name="_Toc437945951"/>
      <w:bookmarkStart w:id="1435" w:name="_Toc21436"/>
      <w:bookmarkStart w:id="1436" w:name="_Toc14183"/>
      <w:bookmarkStart w:id="1437" w:name="_Toc2510"/>
      <w:r>
        <w:rPr>
          <w:rFonts w:hint="eastAsia" w:asciiTheme="minorEastAsia" w:hAnsiTheme="minorEastAsia" w:eastAsiaTheme="minorEastAsia" w:cstheme="minorEastAsia"/>
          <w:color w:val="auto"/>
        </w:rPr>
        <w:t>不干预</w:t>
      </w:r>
      <w:bookmarkEnd w:id="1428"/>
      <w:bookmarkEnd w:id="1429"/>
      <w:bookmarkEnd w:id="1430"/>
      <w:bookmarkEnd w:id="1434"/>
      <w:bookmarkEnd w:id="1435"/>
      <w:bookmarkEnd w:id="1436"/>
      <w:bookmarkEnd w:id="1437"/>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不干预项目</w:t>
      </w:r>
      <w:r>
        <w:rPr>
          <w:rFonts w:hint="eastAsia" w:asciiTheme="minorEastAsia" w:hAnsiTheme="minorEastAsia" w:eastAsiaTheme="minorEastAsia" w:cstheme="minorEastAsia"/>
          <w:color w:val="auto"/>
          <w:lang w:val="en-US" w:eastAsia="zh-CN"/>
        </w:rPr>
        <w:t>正常</w:t>
      </w:r>
      <w:r>
        <w:rPr>
          <w:rFonts w:hint="eastAsia" w:asciiTheme="minorEastAsia" w:hAnsiTheme="minorEastAsia" w:eastAsiaTheme="minorEastAsia" w:cstheme="minorEastAsia"/>
          <w:color w:val="auto"/>
        </w:rPr>
        <w:t>的建设和运营维护</w:t>
      </w:r>
      <w:r>
        <w:rPr>
          <w:rFonts w:hint="eastAsia" w:asciiTheme="minorEastAsia" w:hAnsiTheme="minorEastAsia" w:eastAsiaTheme="minorEastAsia" w:cstheme="minorEastAsia"/>
          <w:color w:val="auto"/>
          <w:lang w:val="en-US" w:eastAsia="zh-CN"/>
        </w:rPr>
        <w:t>工作</w:t>
      </w:r>
      <w:r>
        <w:rPr>
          <w:rFonts w:hint="eastAsia" w:asciiTheme="minorEastAsia" w:hAnsiTheme="minorEastAsia" w:eastAsiaTheme="minorEastAsia" w:cstheme="minorEastAsia"/>
          <w:color w:val="auto"/>
        </w:rPr>
        <w:t>，除非是本合同另有规定或为保护公众健康和公共安全以及履行其法定职责的需要而根据适用法律和本合同规定进行。应项目公司的要求，</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将尽力防止和减少可能产生的第三方对项目建设和运营维护的干预、干扰、影响。</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438" w:name="_Toc14897"/>
      <w:bookmarkStart w:id="1439" w:name="_Toc437945953"/>
      <w:bookmarkStart w:id="1440" w:name="_Toc418368748"/>
      <w:bookmarkStart w:id="1441" w:name="_Toc391568061"/>
      <w:bookmarkStart w:id="1442" w:name="_Toc92949565"/>
      <w:bookmarkStart w:id="1443" w:name="_Toc25515"/>
      <w:bookmarkStart w:id="1444" w:name="_Toc5323"/>
      <w:r>
        <w:rPr>
          <w:rFonts w:hint="eastAsia" w:asciiTheme="minorEastAsia" w:hAnsiTheme="minorEastAsia" w:eastAsiaTheme="minorEastAsia" w:cstheme="minorEastAsia"/>
          <w:color w:val="auto"/>
        </w:rPr>
        <w:t>安全保障</w:t>
      </w:r>
      <w:bookmarkEnd w:id="1438"/>
      <w:bookmarkEnd w:id="1439"/>
      <w:bookmarkEnd w:id="1440"/>
      <w:bookmarkEnd w:id="1441"/>
      <w:bookmarkEnd w:id="1442"/>
      <w:bookmarkEnd w:id="1443"/>
      <w:bookmarkEnd w:id="1444"/>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除项目公司根据适用法律和本合同规定采取安全保障措施外，在项目设施的建设及运营维护期间，如项目公司发现任何危害项目安全运营维护的行为或任何可能影响项目安全运营维护的作业，项目公司在适当预防、处理的同时，应及时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进行汇报，</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将根据适用法律的规定采取有效措施，以防止该等行为危害项目的安全运营维护。</w:t>
      </w:r>
    </w:p>
    <w:p>
      <w:pPr>
        <w:pStyle w:val="37"/>
        <w:spacing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bookmarkStart w:id="1445" w:name="_Toc9177"/>
      <w:bookmarkStart w:id="1446" w:name="_Toc1945"/>
      <w:bookmarkStart w:id="1447" w:name="_Toc12599"/>
      <w:r>
        <w:rPr>
          <w:rFonts w:hint="eastAsia" w:asciiTheme="minorEastAsia" w:hAnsiTheme="minorEastAsia" w:eastAsiaTheme="minorEastAsia" w:cstheme="minorEastAsia"/>
        </w:rPr>
        <w:t>保险</w:t>
      </w:r>
      <w:bookmarkEnd w:id="1445"/>
      <w:bookmarkEnd w:id="1446"/>
      <w:bookmarkEnd w:id="1447"/>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1448" w:name="_Toc491257828"/>
      <w:bookmarkEnd w:id="1448"/>
      <w:bookmarkStart w:id="1449" w:name="_Toc490090574"/>
      <w:bookmarkEnd w:id="1449"/>
      <w:bookmarkStart w:id="1450" w:name="_Toc489977712"/>
      <w:bookmarkEnd w:id="1450"/>
      <w:bookmarkStart w:id="1451" w:name="_Toc454506797"/>
      <w:bookmarkEnd w:id="1451"/>
      <w:bookmarkStart w:id="1452" w:name="_Toc490035174"/>
      <w:bookmarkEnd w:id="1452"/>
      <w:bookmarkStart w:id="1453" w:name="_Toc447850088"/>
      <w:bookmarkEnd w:id="1453"/>
      <w:bookmarkStart w:id="1454" w:name="_Toc447847438"/>
      <w:bookmarkEnd w:id="1454"/>
      <w:bookmarkStart w:id="1455" w:name="_Toc448054767"/>
      <w:bookmarkEnd w:id="1455"/>
      <w:bookmarkStart w:id="1456" w:name="_Toc448073195"/>
      <w:bookmarkEnd w:id="1456"/>
      <w:bookmarkStart w:id="1457" w:name="_Toc447620493"/>
      <w:bookmarkEnd w:id="1457"/>
      <w:bookmarkStart w:id="1458" w:name="_Toc448046103"/>
      <w:bookmarkEnd w:id="1458"/>
      <w:bookmarkStart w:id="1459" w:name="_Toc447743459"/>
      <w:bookmarkEnd w:id="1459"/>
      <w:bookmarkStart w:id="1460" w:name="_Toc447632744"/>
      <w:bookmarkEnd w:id="1460"/>
      <w:bookmarkStart w:id="1461" w:name="_Toc490081514"/>
      <w:bookmarkEnd w:id="1461"/>
      <w:bookmarkStart w:id="1462" w:name="_Toc454572617"/>
      <w:bookmarkEnd w:id="1462"/>
      <w:bookmarkStart w:id="1463" w:name="_Toc448055771"/>
      <w:bookmarkEnd w:id="1463"/>
      <w:bookmarkStart w:id="1464" w:name="_Toc447744549"/>
      <w:bookmarkEnd w:id="1464"/>
      <w:bookmarkStart w:id="1465" w:name="_Toc27582"/>
      <w:bookmarkEnd w:id="1465"/>
      <w:bookmarkStart w:id="1466" w:name="_Toc447534601"/>
      <w:bookmarkEnd w:id="1466"/>
      <w:bookmarkStart w:id="1467" w:name="_Toc448051322"/>
      <w:bookmarkEnd w:id="1467"/>
      <w:bookmarkStart w:id="1468" w:name="_Toc454482336"/>
      <w:bookmarkEnd w:id="1468"/>
      <w:bookmarkStart w:id="1469" w:name="_Toc489977893"/>
      <w:bookmarkEnd w:id="1469"/>
      <w:bookmarkStart w:id="1470" w:name="_Toc491687782"/>
      <w:bookmarkEnd w:id="1470"/>
      <w:bookmarkStart w:id="1471" w:name="_Toc491193700"/>
      <w:bookmarkEnd w:id="1471"/>
      <w:bookmarkStart w:id="1472" w:name="_Toc454489437"/>
      <w:bookmarkEnd w:id="1472"/>
      <w:bookmarkStart w:id="1473" w:name="_Toc491680707"/>
      <w:bookmarkEnd w:id="1473"/>
      <w:bookmarkStart w:id="1474" w:name="_Toc448051504"/>
      <w:bookmarkEnd w:id="1474"/>
      <w:bookmarkStart w:id="1475" w:name="_Toc493454000"/>
      <w:bookmarkEnd w:id="1475"/>
      <w:bookmarkStart w:id="1476" w:name="_Toc491687978"/>
      <w:bookmarkEnd w:id="1476"/>
      <w:bookmarkStart w:id="1477" w:name="_Toc489988499"/>
      <w:bookmarkEnd w:id="1477"/>
      <w:bookmarkStart w:id="1478" w:name="_Toc490036564"/>
      <w:bookmarkEnd w:id="1478"/>
      <w:bookmarkStart w:id="1479" w:name="_Toc448056162"/>
      <w:bookmarkEnd w:id="1479"/>
      <w:bookmarkStart w:id="1480" w:name="_Toc489986238"/>
      <w:bookmarkEnd w:id="1480"/>
      <w:bookmarkStart w:id="1481" w:name="_Toc447534772"/>
      <w:bookmarkEnd w:id="1481"/>
      <w:bookmarkStart w:id="1482" w:name="_Toc493454960"/>
      <w:bookmarkEnd w:id="1482"/>
      <w:bookmarkStart w:id="1483" w:name="_Toc1808"/>
      <w:bookmarkEnd w:id="1483"/>
      <w:bookmarkStart w:id="1484" w:name="_Toc12597"/>
      <w:bookmarkEnd w:id="1484"/>
      <w:bookmarkStart w:id="1485" w:name="_Toc418369000"/>
      <w:bookmarkStart w:id="1486" w:name="_Toc391568030"/>
      <w:bookmarkStart w:id="1487" w:name="_Toc437945955"/>
      <w:bookmarkStart w:id="1488" w:name="_Ref432705860"/>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489" w:name="_建设期间的保险"/>
      <w:bookmarkEnd w:id="1489"/>
      <w:bookmarkStart w:id="1490" w:name="_Ref447621443"/>
      <w:bookmarkStart w:id="1491" w:name="_Ref447625644"/>
      <w:bookmarkStart w:id="1492" w:name="_Toc12711"/>
      <w:bookmarkStart w:id="1493" w:name="_Toc22169"/>
      <w:bookmarkStart w:id="1494" w:name="_Toc18726"/>
      <w:r>
        <w:rPr>
          <w:rFonts w:hint="eastAsia" w:asciiTheme="minorEastAsia" w:hAnsiTheme="minorEastAsia" w:eastAsiaTheme="minorEastAsia" w:cstheme="minorEastAsia"/>
          <w:color w:val="auto"/>
        </w:rPr>
        <w:t>建设期间的保险</w:t>
      </w:r>
      <w:bookmarkEnd w:id="1485"/>
      <w:bookmarkEnd w:id="1486"/>
      <w:bookmarkEnd w:id="1487"/>
      <w:bookmarkEnd w:id="1488"/>
      <w:bookmarkEnd w:id="1490"/>
      <w:bookmarkEnd w:id="1491"/>
      <w:bookmarkEnd w:id="1492"/>
      <w:bookmarkEnd w:id="1493"/>
      <w:bookmarkEnd w:id="1494"/>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项目公司应根据适用法律的规定，为本项目工程购买和维持</w:t>
      </w:r>
      <w:r>
        <w:rPr>
          <w:rFonts w:hint="eastAsia" w:asciiTheme="minorEastAsia" w:hAnsiTheme="minorEastAsia" w:eastAsiaTheme="minorEastAsia" w:cstheme="minorEastAsia"/>
          <w:color w:val="auto"/>
          <w:u w:val="single"/>
        </w:rPr>
        <w:t>附件5</w:t>
      </w:r>
      <w:r>
        <w:rPr>
          <w:rFonts w:hint="eastAsia" w:asciiTheme="minorEastAsia" w:hAnsiTheme="minorEastAsia" w:eastAsiaTheme="minorEastAsia" w:cstheme="minorEastAsia"/>
          <w:color w:val="auto"/>
        </w:rPr>
        <w:t>《保险》和适用法律所要求的建设保险，包括建设期间建设施工相关保险、公众责任险、以及其他一切惯常应可合理购买的保险，该等保险的购买应事前征得</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同意，</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不因同意购买该等保险而对险种及额度的充分性承担责任。</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在建设期内，项目公司必须自费购买和维持本合同和适用法律所要求的保险，并须将</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列为保险单上的被保险人</w:t>
      </w:r>
      <w:r>
        <w:rPr>
          <w:rFonts w:hint="eastAsia" w:asciiTheme="minorEastAsia" w:hAnsiTheme="minorEastAsia" w:eastAsiaTheme="minorEastAsia" w:cstheme="minorEastAsia"/>
          <w:color w:val="auto"/>
          <w:lang w:val="en-US" w:eastAsia="zh-CN"/>
        </w:rPr>
        <w:t>之一</w:t>
      </w:r>
      <w:r>
        <w:rPr>
          <w:rFonts w:hint="eastAsia" w:asciiTheme="minorEastAsia" w:hAnsiTheme="minorEastAsia" w:eastAsiaTheme="minorEastAsia" w:cstheme="minorEastAsia"/>
          <w:color w:val="auto"/>
        </w:rPr>
        <w:t>。</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如果项目公司不购买或维持本合同所要求的保险，则</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或其指定机构有权购买该保险，并</w:t>
      </w:r>
      <w:r>
        <w:rPr>
          <w:rFonts w:hint="eastAsia" w:asciiTheme="minorEastAsia" w:hAnsiTheme="minorEastAsia" w:eastAsiaTheme="minorEastAsia" w:cstheme="minorEastAsia"/>
          <w:color w:val="auto"/>
          <w:lang w:val="en-US" w:eastAsia="zh-CN"/>
        </w:rPr>
        <w:t>视为属于项目公司的违约行为，</w:t>
      </w:r>
      <w:r>
        <w:rPr>
          <w:rFonts w:hint="eastAsia" w:asciiTheme="minorEastAsia" w:hAnsiTheme="minorEastAsia" w:eastAsiaTheme="minorEastAsia" w:cstheme="minorEastAsia"/>
          <w:color w:val="auto"/>
        </w:rPr>
        <w:t>且有权根据本合同从建设履约独立保函中提取需支付的保险费金额。</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495" w:name="_运营维护期的保险"/>
      <w:bookmarkEnd w:id="1495"/>
      <w:bookmarkStart w:id="1496" w:name="_Ref432705795"/>
      <w:bookmarkStart w:id="1497" w:name="_Toc17043"/>
      <w:bookmarkStart w:id="1498" w:name="_Toc391568031"/>
      <w:bookmarkStart w:id="1499" w:name="_Toc418369001"/>
      <w:bookmarkStart w:id="1500" w:name="_Ref447623780"/>
      <w:bookmarkStart w:id="1501" w:name="_Ref447624409"/>
      <w:bookmarkStart w:id="1502" w:name="_Ref447625649"/>
      <w:bookmarkStart w:id="1503" w:name="_Toc437945956"/>
      <w:bookmarkStart w:id="1504" w:name="_Toc3871"/>
      <w:bookmarkStart w:id="1505" w:name="_Toc12935"/>
      <w:r>
        <w:rPr>
          <w:rFonts w:hint="eastAsia" w:asciiTheme="minorEastAsia" w:hAnsiTheme="minorEastAsia" w:eastAsiaTheme="minorEastAsia" w:cstheme="minorEastAsia"/>
          <w:color w:val="auto"/>
        </w:rPr>
        <w:t>运营维护期的保险</w:t>
      </w:r>
      <w:bookmarkEnd w:id="1496"/>
      <w:bookmarkEnd w:id="1497"/>
      <w:bookmarkEnd w:id="1498"/>
      <w:bookmarkEnd w:id="1499"/>
      <w:bookmarkEnd w:id="1500"/>
      <w:bookmarkEnd w:id="1501"/>
      <w:bookmarkEnd w:id="1502"/>
      <w:bookmarkEnd w:id="1503"/>
      <w:bookmarkEnd w:id="1504"/>
      <w:bookmarkEnd w:id="1505"/>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运营维护期内，项目公司应根据适用法律的规定，为本项目设施的运营维护购买和维持</w:t>
      </w:r>
      <w:r>
        <w:rPr>
          <w:rFonts w:hint="eastAsia" w:asciiTheme="minorEastAsia" w:hAnsiTheme="minorEastAsia" w:eastAsiaTheme="minorEastAsia" w:cstheme="minorEastAsia"/>
          <w:color w:val="auto"/>
          <w:u w:val="single"/>
        </w:rPr>
        <w:t>附件5</w:t>
      </w:r>
      <w:r>
        <w:rPr>
          <w:rFonts w:hint="eastAsia" w:asciiTheme="minorEastAsia" w:hAnsiTheme="minorEastAsia" w:eastAsiaTheme="minorEastAsia" w:cstheme="minorEastAsia"/>
          <w:color w:val="auto"/>
        </w:rPr>
        <w:t>《保险》和适用法律所要求的一切惯常、可合理购买的保险，该等保险的购买应事前征得</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同意，</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不因同意购买该等保险而对险种及额度的充分性承担</w:t>
      </w:r>
      <w:r>
        <w:rPr>
          <w:rFonts w:hint="eastAsia" w:asciiTheme="minorEastAsia" w:hAnsiTheme="minorEastAsia" w:eastAsiaTheme="minorEastAsia" w:cstheme="minorEastAsia"/>
          <w:color w:val="auto"/>
          <w:lang w:val="en-US" w:eastAsia="zh-CN"/>
        </w:rPr>
        <w:t>任何</w:t>
      </w:r>
      <w:r>
        <w:rPr>
          <w:rFonts w:hint="eastAsia" w:asciiTheme="minorEastAsia" w:hAnsiTheme="minorEastAsia" w:eastAsiaTheme="minorEastAsia" w:cstheme="minorEastAsia"/>
          <w:color w:val="auto"/>
        </w:rPr>
        <w:t>责任。</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在合作期内，项目公司必须自费购买和维持本合同和适用法律所要求的保险，并须将</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列为保险单上的被保险人</w:t>
      </w:r>
      <w:r>
        <w:rPr>
          <w:rFonts w:hint="eastAsia" w:asciiTheme="minorEastAsia" w:hAnsiTheme="minorEastAsia" w:eastAsiaTheme="minorEastAsia" w:cstheme="minorEastAsia"/>
          <w:color w:val="auto"/>
          <w:lang w:val="en-US" w:eastAsia="zh-CN"/>
        </w:rPr>
        <w:t>之一</w:t>
      </w:r>
      <w:r>
        <w:rPr>
          <w:rFonts w:hint="eastAsia" w:asciiTheme="minorEastAsia" w:hAnsiTheme="minorEastAsia" w:eastAsiaTheme="minorEastAsia" w:cstheme="minorEastAsia"/>
          <w:color w:val="auto"/>
        </w:rPr>
        <w:t>。</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如果项目公司不购买或维持本合同所要求的保险，则</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或其指定机构有权购买该保险，并</w:t>
      </w:r>
      <w:r>
        <w:rPr>
          <w:rFonts w:hint="eastAsia" w:asciiTheme="minorEastAsia" w:hAnsiTheme="minorEastAsia" w:eastAsiaTheme="minorEastAsia" w:cstheme="minorEastAsia"/>
          <w:color w:val="auto"/>
          <w:lang w:val="en-US" w:eastAsia="zh-CN"/>
        </w:rPr>
        <w:t>视为属于项目公司违约的行为，</w:t>
      </w:r>
      <w:r>
        <w:rPr>
          <w:rFonts w:hint="eastAsia" w:asciiTheme="minorEastAsia" w:hAnsiTheme="minorEastAsia" w:eastAsiaTheme="minorEastAsia" w:cstheme="minorEastAsia"/>
          <w:color w:val="auto"/>
        </w:rPr>
        <w:t>且有权根据本合同规定从运营维护独立保函或移交维修独立保函中提取需支付的保险费金额。</w:t>
      </w:r>
    </w:p>
    <w:p>
      <w:pPr>
        <w:pStyle w:val="37"/>
        <w:spacing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bookmarkStart w:id="1506" w:name="_Toc30088"/>
      <w:bookmarkStart w:id="1507" w:name="_Toc32090"/>
      <w:bookmarkStart w:id="1508" w:name="_Toc14329"/>
      <w:r>
        <w:rPr>
          <w:rFonts w:hint="eastAsia" w:asciiTheme="minorEastAsia" w:hAnsiTheme="minorEastAsia" w:eastAsiaTheme="minorEastAsia" w:cstheme="minorEastAsia"/>
        </w:rPr>
        <w:t>法律变更</w:t>
      </w:r>
      <w:bookmarkEnd w:id="1506"/>
      <w:bookmarkEnd w:id="1507"/>
      <w:bookmarkEnd w:id="1508"/>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1509" w:name="_Toc489986242"/>
      <w:bookmarkEnd w:id="1509"/>
      <w:bookmarkStart w:id="1510" w:name="_Toc447620497"/>
      <w:bookmarkEnd w:id="1510"/>
      <w:bookmarkStart w:id="1511" w:name="_Toc448055775"/>
      <w:bookmarkEnd w:id="1511"/>
      <w:bookmarkStart w:id="1512" w:name="_Toc489977897"/>
      <w:bookmarkEnd w:id="1512"/>
      <w:bookmarkStart w:id="1513" w:name="_Toc447744553"/>
      <w:bookmarkEnd w:id="1513"/>
      <w:bookmarkStart w:id="1514" w:name="_Toc17004"/>
      <w:bookmarkEnd w:id="1514"/>
      <w:bookmarkStart w:id="1515" w:name="_Toc448054771"/>
      <w:bookmarkEnd w:id="1515"/>
      <w:bookmarkStart w:id="1516" w:name="_Toc447850092"/>
      <w:bookmarkEnd w:id="1516"/>
      <w:bookmarkStart w:id="1517" w:name="_Toc448051508"/>
      <w:bookmarkEnd w:id="1517"/>
      <w:bookmarkStart w:id="1518" w:name="_Toc448046107"/>
      <w:bookmarkEnd w:id="1518"/>
      <w:bookmarkStart w:id="1519" w:name="_Toc454506801"/>
      <w:bookmarkEnd w:id="1519"/>
      <w:bookmarkStart w:id="1520" w:name="_Toc491687982"/>
      <w:bookmarkEnd w:id="1520"/>
      <w:bookmarkStart w:id="1521" w:name="_Toc489988503"/>
      <w:bookmarkEnd w:id="1521"/>
      <w:bookmarkStart w:id="1522" w:name="_Toc448073199"/>
      <w:bookmarkEnd w:id="1522"/>
      <w:bookmarkStart w:id="1523" w:name="_Toc447632748"/>
      <w:bookmarkEnd w:id="1523"/>
      <w:bookmarkStart w:id="1524" w:name="_Toc447847442"/>
      <w:bookmarkEnd w:id="1524"/>
      <w:bookmarkStart w:id="1525" w:name="_Toc490081518"/>
      <w:bookmarkEnd w:id="1525"/>
      <w:bookmarkStart w:id="1526" w:name="_Toc491193704"/>
      <w:bookmarkEnd w:id="1526"/>
      <w:bookmarkStart w:id="1527" w:name="_Toc447534604"/>
      <w:bookmarkEnd w:id="1527"/>
      <w:bookmarkStart w:id="1528" w:name="_Toc489977716"/>
      <w:bookmarkEnd w:id="1528"/>
      <w:bookmarkStart w:id="1529" w:name="_Toc447743463"/>
      <w:bookmarkEnd w:id="1529"/>
      <w:bookmarkStart w:id="1530" w:name="_Toc491680711"/>
      <w:bookmarkEnd w:id="1530"/>
      <w:bookmarkStart w:id="1531" w:name="_Toc493454004"/>
      <w:bookmarkEnd w:id="1531"/>
      <w:bookmarkStart w:id="1532" w:name="_Toc490035178"/>
      <w:bookmarkEnd w:id="1532"/>
      <w:bookmarkStart w:id="1533" w:name="_Toc454489441"/>
      <w:bookmarkEnd w:id="1533"/>
      <w:bookmarkStart w:id="1534" w:name="_Toc448051326"/>
      <w:bookmarkEnd w:id="1534"/>
      <w:bookmarkStart w:id="1535" w:name="_Toc491687786"/>
      <w:bookmarkEnd w:id="1535"/>
      <w:bookmarkStart w:id="1536" w:name="_Toc491257832"/>
      <w:bookmarkEnd w:id="1536"/>
      <w:bookmarkStart w:id="1537" w:name="_Toc490090578"/>
      <w:bookmarkEnd w:id="1537"/>
      <w:bookmarkStart w:id="1538" w:name="_Toc447534776"/>
      <w:bookmarkEnd w:id="1538"/>
      <w:bookmarkStart w:id="1539" w:name="_Toc493454964"/>
      <w:bookmarkEnd w:id="1539"/>
      <w:bookmarkStart w:id="1540" w:name="_Toc490036568"/>
      <w:bookmarkEnd w:id="1540"/>
      <w:bookmarkStart w:id="1541" w:name="_Toc448056166"/>
      <w:bookmarkEnd w:id="1541"/>
      <w:bookmarkStart w:id="1542" w:name="_Toc454572621"/>
      <w:bookmarkEnd w:id="1542"/>
      <w:bookmarkStart w:id="1543" w:name="_Toc454482340"/>
      <w:bookmarkEnd w:id="1543"/>
      <w:bookmarkStart w:id="1544" w:name="_Toc950"/>
      <w:bookmarkEnd w:id="1544"/>
      <w:bookmarkStart w:id="1545" w:name="_Toc9044"/>
      <w:bookmarkEnd w:id="1545"/>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546" w:name="_法律变更内容"/>
      <w:bookmarkEnd w:id="1546"/>
      <w:bookmarkStart w:id="1547" w:name="_Toc9633"/>
      <w:bookmarkStart w:id="1548" w:name="_Ref447620997"/>
      <w:bookmarkStart w:id="1549" w:name="_Ref447625026"/>
      <w:bookmarkStart w:id="1550" w:name="_Toc29736"/>
      <w:bookmarkStart w:id="1551" w:name="_Toc27874"/>
      <w:r>
        <w:rPr>
          <w:rFonts w:hint="eastAsia" w:asciiTheme="minorEastAsia" w:hAnsiTheme="minorEastAsia" w:eastAsiaTheme="minorEastAsia" w:cstheme="minorEastAsia"/>
          <w:color w:val="auto"/>
        </w:rPr>
        <w:t>法律变更内容</w:t>
      </w:r>
      <w:bookmarkEnd w:id="1547"/>
      <w:bookmarkEnd w:id="1548"/>
      <w:bookmarkEnd w:id="1549"/>
      <w:bookmarkEnd w:id="1550"/>
      <w:bookmarkEnd w:id="1551"/>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合同所指的“法律变更”是指本合同生效日期之后，有权机关颁布、实施新的适用法律或对在生效日期之前的适用法律进行任何修改、废除或重新解释。法律变更分为“市政府之上层面的法律变更”和“市政府层面的法律变更”。</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市政府之上层面的法律变更”是指生效日期之后，颁布、实施新的法律、国务院颁布的行政法规、国务院部门规章、江苏省地方性法规、江苏省人民政府颁布的地方政府规章、江苏省及其政府部门颁布的强制性规范文件，或对生效日期之前的上述法律、行政法规、部门规章、地方性法规及地方政府规章、强制性规范文件的任何修改、废除或重新解释。</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市政府层面的法律变更”是指生效日期之后，颁布、实施新的徐州市人民代表大会或其常务委员会颁布的地方性法规、市政府颁布的地方政府规章及市政府或相关管廊行业主管部门颁布的其他强制性规范文件、或对生效日期之前的该等地方性法规、地方政府规章及强制性规范文件的任何修改、废除或重新解释（不包括徐州市人民代表大会或其常务委员会、市政府或相关管廊行业主管部门根据中央层面的法律变更而颁布、实施新的徐州市人民代表大会或其常务委员会颁布的地方性法规、市政府颁布的地方政府规章及相关管廊行业主管部门颁布的其他强制性规范文件、或对生效日期之前的徐州市人民代表大会或其常务委员会颁布的地方性法规、市政府颁布的地方政府规章及相关管廊行业主管部门颁布的其他强制性规范文件的任何修改、废除或重新解释）。</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552" w:name="_法律变更评估与报告"/>
      <w:bookmarkEnd w:id="1552"/>
      <w:bookmarkStart w:id="1553" w:name="_Toc437945967"/>
      <w:bookmarkStart w:id="1554" w:name="_Toc391568088"/>
      <w:bookmarkStart w:id="1555" w:name="_Ref392755698"/>
      <w:bookmarkStart w:id="1556" w:name="_Toc418368927"/>
      <w:bookmarkStart w:id="1557" w:name="_Ref392756030"/>
      <w:bookmarkStart w:id="1558" w:name="_Ref392687105"/>
      <w:bookmarkStart w:id="1559" w:name="_Ref392757475"/>
      <w:bookmarkStart w:id="1560" w:name="_Toc27856"/>
      <w:bookmarkStart w:id="1561" w:name="_Ref447625056"/>
      <w:bookmarkStart w:id="1562" w:name="_Ref392755932"/>
      <w:bookmarkStart w:id="1563" w:name="_Toc29745"/>
      <w:bookmarkStart w:id="1564" w:name="_Toc12616"/>
      <w:r>
        <w:rPr>
          <w:rFonts w:hint="eastAsia" w:asciiTheme="minorEastAsia" w:hAnsiTheme="minorEastAsia" w:eastAsiaTheme="minorEastAsia" w:cstheme="minorEastAsia"/>
          <w:color w:val="auto"/>
        </w:rPr>
        <w:t>法律变更评估与报告</w:t>
      </w:r>
      <w:bookmarkEnd w:id="1553"/>
      <w:bookmarkEnd w:id="1554"/>
      <w:bookmarkEnd w:id="1555"/>
      <w:bookmarkEnd w:id="1556"/>
      <w:bookmarkEnd w:id="1557"/>
      <w:bookmarkEnd w:id="1558"/>
      <w:bookmarkEnd w:id="1559"/>
      <w:bookmarkEnd w:id="1560"/>
      <w:bookmarkEnd w:id="1561"/>
      <w:bookmarkEnd w:id="1562"/>
      <w:bookmarkEnd w:id="1563"/>
      <w:bookmarkEnd w:id="1564"/>
    </w:p>
    <w:p>
      <w:pPr>
        <w:pStyle w:val="5"/>
        <w:rPr>
          <w:rFonts w:hint="eastAsia" w:asciiTheme="minorEastAsia" w:hAnsiTheme="minorEastAsia" w:eastAsiaTheme="minorEastAsia" w:cstheme="minorEastAsia"/>
          <w:color w:val="auto"/>
        </w:rPr>
      </w:pPr>
      <w:bookmarkStart w:id="1565" w:name="_Toc89677558"/>
      <w:bookmarkEnd w:id="1565"/>
      <w:bookmarkStart w:id="1566" w:name="_Toc89678153"/>
      <w:bookmarkEnd w:id="1566"/>
      <w:bookmarkStart w:id="1567" w:name="_Ref392687124"/>
      <w:r>
        <w:rPr>
          <w:rFonts w:hint="eastAsia" w:asciiTheme="minorEastAsia" w:hAnsiTheme="minorEastAsia" w:eastAsiaTheme="minorEastAsia" w:cstheme="minorEastAsia"/>
          <w:color w:val="auto"/>
        </w:rPr>
        <w:t>在发生法律变更使项目公司不能全部或部分履行其本合同项下的义务时，项目公司应对该影响或情况进行评估，并向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提出报告（报告应列明该等法律变更对项目公司履行本合同项下义务（包括建设期和运营维护期）产生的影响），经</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审核同意后，项目公司可在法律变更对该项义务的履行产生影响的期间内根据</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合理做出的审核意见中止或免除履行受法律变更影响而不能履行的相关义务，并执行审核意见中确定的其它内容。</w:t>
      </w:r>
      <w:bookmarkEnd w:id="1567"/>
    </w:p>
    <w:p>
      <w:pPr>
        <w:pStyle w:val="5"/>
        <w:rPr>
          <w:rFonts w:hint="eastAsia" w:asciiTheme="minorEastAsia" w:hAnsiTheme="minorEastAsia" w:eastAsiaTheme="minorEastAsia" w:cstheme="minorEastAsia"/>
          <w:color w:val="auto"/>
        </w:rPr>
      </w:pPr>
      <w:bookmarkStart w:id="1568" w:name="_Ref392755937"/>
      <w:r>
        <w:rPr>
          <w:rFonts w:hint="eastAsia" w:asciiTheme="minorEastAsia" w:hAnsiTheme="minorEastAsia" w:eastAsiaTheme="minorEastAsia" w:cstheme="minorEastAsia"/>
          <w:color w:val="auto"/>
        </w:rPr>
        <w:t>在发生法律变更使</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不能全部或部分履行其本合同项下的义务（包括遵守关键工期的义务）时，由</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和项目公司双方对法律变更的影响进行协商，经双方协商一致后，</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可在法律变更对其义务的履行产生影响的期间内根据双方协商一致的意见中止或免除履行受法律变更影响而不能履行的相关义务，并执行双方协商一致的意见中所确定的其它内容。</w:t>
      </w:r>
      <w:bookmarkEnd w:id="1568"/>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569" w:name="_Toc437945968"/>
      <w:bookmarkStart w:id="1570" w:name="_Toc418368928"/>
      <w:bookmarkStart w:id="1571" w:name="_Toc391568089"/>
      <w:bookmarkStart w:id="1572" w:name="_Toc6541"/>
      <w:bookmarkStart w:id="1573" w:name="_Toc11309"/>
      <w:bookmarkStart w:id="1574" w:name="_Toc29974"/>
      <w:r>
        <w:rPr>
          <w:rFonts w:hint="eastAsia" w:asciiTheme="minorEastAsia" w:hAnsiTheme="minorEastAsia" w:eastAsiaTheme="minorEastAsia" w:cstheme="minorEastAsia"/>
          <w:color w:val="auto"/>
        </w:rPr>
        <w:t>法律变更的其他规定</w:t>
      </w:r>
      <w:bookmarkEnd w:id="1569"/>
      <w:bookmarkEnd w:id="1570"/>
      <w:bookmarkEnd w:id="1571"/>
      <w:bookmarkEnd w:id="1572"/>
      <w:bookmarkEnd w:id="1573"/>
      <w:bookmarkEnd w:id="1574"/>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法律变更对项目可行性造成严重不利影响的情况根据第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_Ref447624609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22.6</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条执行。</w:t>
      </w:r>
    </w:p>
    <w:p>
      <w:pPr>
        <w:pStyle w:val="37"/>
        <w:numPr>
          <w:ilvl w:val="0"/>
          <w:numId w:val="0"/>
        </w:numPr>
        <w:spacing w:after="120" w:afterLines="50"/>
        <w:jc w:val="both"/>
        <w:outlineLvl w:val="9"/>
        <w:rPr>
          <w:rFonts w:hint="eastAsia" w:asciiTheme="minorEastAsia" w:hAnsiTheme="minorEastAsia" w:eastAsiaTheme="minorEastAsia" w:cstheme="minorEastAsia"/>
        </w:rPr>
      </w:pPr>
    </w:p>
    <w:p>
      <w:pPr>
        <w:pStyle w:val="37"/>
        <w:spacing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bookmarkStart w:id="1575" w:name="_Toc20077"/>
      <w:bookmarkStart w:id="1576" w:name="_Toc5986"/>
      <w:bookmarkStart w:id="1577" w:name="_Toc23062"/>
      <w:r>
        <w:rPr>
          <w:rFonts w:hint="eastAsia" w:asciiTheme="minorEastAsia" w:hAnsiTheme="minorEastAsia" w:eastAsiaTheme="minorEastAsia" w:cstheme="minorEastAsia"/>
        </w:rPr>
        <w:t>不可抗力</w:t>
      </w:r>
      <w:bookmarkEnd w:id="1575"/>
      <w:bookmarkEnd w:id="1576"/>
      <w:bookmarkEnd w:id="1577"/>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1578" w:name="_Toc448056171"/>
      <w:bookmarkEnd w:id="1578"/>
      <w:bookmarkStart w:id="1579" w:name="_Toc490090583"/>
      <w:bookmarkEnd w:id="1579"/>
      <w:bookmarkStart w:id="1580" w:name="_Toc489986247"/>
      <w:bookmarkEnd w:id="1580"/>
      <w:bookmarkStart w:id="1581" w:name="_Toc30898"/>
      <w:bookmarkEnd w:id="1581"/>
      <w:bookmarkStart w:id="1582" w:name="_Toc448073204"/>
      <w:bookmarkEnd w:id="1582"/>
      <w:bookmarkStart w:id="1583" w:name="_Toc454489446"/>
      <w:bookmarkEnd w:id="1583"/>
      <w:bookmarkStart w:id="1584" w:name="_Toc491687791"/>
      <w:bookmarkEnd w:id="1584"/>
      <w:bookmarkStart w:id="1585" w:name="_Toc454482345"/>
      <w:bookmarkEnd w:id="1585"/>
      <w:bookmarkStart w:id="1586" w:name="_Toc447632753"/>
      <w:bookmarkEnd w:id="1586"/>
      <w:bookmarkStart w:id="1587" w:name="_Toc454506806"/>
      <w:bookmarkEnd w:id="1587"/>
      <w:bookmarkStart w:id="1588" w:name="_Toc491680716"/>
      <w:bookmarkEnd w:id="1588"/>
      <w:bookmarkStart w:id="1589" w:name="_Toc493454009"/>
      <w:bookmarkEnd w:id="1589"/>
      <w:bookmarkStart w:id="1590" w:name="_Toc447534608"/>
      <w:bookmarkEnd w:id="1590"/>
      <w:bookmarkStart w:id="1591" w:name="_Toc489977721"/>
      <w:bookmarkEnd w:id="1591"/>
      <w:bookmarkStart w:id="1592" w:name="_Toc447744558"/>
      <w:bookmarkEnd w:id="1592"/>
      <w:bookmarkStart w:id="1593" w:name="_Toc447850097"/>
      <w:bookmarkEnd w:id="1593"/>
      <w:bookmarkStart w:id="1594" w:name="_Toc491193709"/>
      <w:bookmarkEnd w:id="1594"/>
      <w:bookmarkStart w:id="1595" w:name="_Toc489977902"/>
      <w:bookmarkEnd w:id="1595"/>
      <w:bookmarkStart w:id="1596" w:name="_Toc447743468"/>
      <w:bookmarkEnd w:id="1596"/>
      <w:bookmarkStart w:id="1597" w:name="_Toc447534781"/>
      <w:bookmarkEnd w:id="1597"/>
      <w:bookmarkStart w:id="1598" w:name="_Toc448051513"/>
      <w:bookmarkEnd w:id="1598"/>
      <w:bookmarkStart w:id="1599" w:name="_Toc490081523"/>
      <w:bookmarkEnd w:id="1599"/>
      <w:bookmarkStart w:id="1600" w:name="_Toc454572626"/>
      <w:bookmarkEnd w:id="1600"/>
      <w:bookmarkStart w:id="1601" w:name="_Toc489988508"/>
      <w:bookmarkEnd w:id="1601"/>
      <w:bookmarkStart w:id="1602" w:name="_Toc493454969"/>
      <w:bookmarkEnd w:id="1602"/>
      <w:bookmarkStart w:id="1603" w:name="_Toc490035183"/>
      <w:bookmarkEnd w:id="1603"/>
      <w:bookmarkStart w:id="1604" w:name="_Toc491257837"/>
      <w:bookmarkEnd w:id="1604"/>
      <w:bookmarkStart w:id="1605" w:name="_Toc447847447"/>
      <w:bookmarkEnd w:id="1605"/>
      <w:bookmarkStart w:id="1606" w:name="_Toc448055780"/>
      <w:bookmarkEnd w:id="1606"/>
      <w:bookmarkStart w:id="1607" w:name="_Toc448054776"/>
      <w:bookmarkEnd w:id="1607"/>
      <w:bookmarkStart w:id="1608" w:name="_Toc447620502"/>
      <w:bookmarkEnd w:id="1608"/>
      <w:bookmarkStart w:id="1609" w:name="_Toc491687987"/>
      <w:bookmarkEnd w:id="1609"/>
      <w:bookmarkStart w:id="1610" w:name="_Toc490036573"/>
      <w:bookmarkEnd w:id="1610"/>
      <w:bookmarkStart w:id="1611" w:name="_Toc448051331"/>
      <w:bookmarkEnd w:id="1611"/>
      <w:bookmarkStart w:id="1612" w:name="_Toc448046112"/>
      <w:bookmarkEnd w:id="1612"/>
      <w:bookmarkStart w:id="1613" w:name="_Toc10747"/>
      <w:bookmarkEnd w:id="1613"/>
      <w:bookmarkStart w:id="1614" w:name="_Toc12169"/>
      <w:bookmarkEnd w:id="1614"/>
      <w:bookmarkStart w:id="1615" w:name="_Toc88292884"/>
      <w:bookmarkStart w:id="1616" w:name="_Ref392839330"/>
      <w:bookmarkStart w:id="1617" w:name="_Ref392757122"/>
      <w:bookmarkStart w:id="1618" w:name="_Toc391568079"/>
      <w:bookmarkStart w:id="1619" w:name="_Toc418368919"/>
      <w:bookmarkStart w:id="1620" w:name="_Ref392757454"/>
      <w:bookmarkStart w:id="1621" w:name="_Toc437945959"/>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622" w:name="_不可抗力事件"/>
      <w:bookmarkEnd w:id="1622"/>
      <w:bookmarkStart w:id="1623" w:name="_Toc28836"/>
      <w:bookmarkStart w:id="1624" w:name="_Ref447621018"/>
      <w:bookmarkStart w:id="1625" w:name="_Ref447625040"/>
      <w:bookmarkStart w:id="1626" w:name="_Toc3189"/>
      <w:bookmarkStart w:id="1627" w:name="_Toc8392"/>
      <w:r>
        <w:rPr>
          <w:rFonts w:hint="eastAsia" w:asciiTheme="minorEastAsia" w:hAnsiTheme="minorEastAsia" w:eastAsiaTheme="minorEastAsia" w:cstheme="minorEastAsia"/>
          <w:color w:val="auto"/>
        </w:rPr>
        <w:t>不可抗力事件</w:t>
      </w:r>
      <w:bookmarkEnd w:id="1615"/>
      <w:bookmarkEnd w:id="1616"/>
      <w:bookmarkEnd w:id="1617"/>
      <w:bookmarkEnd w:id="1618"/>
      <w:bookmarkEnd w:id="1619"/>
      <w:bookmarkEnd w:id="1620"/>
      <w:bookmarkEnd w:id="1621"/>
      <w:bookmarkEnd w:id="1623"/>
      <w:bookmarkEnd w:id="1624"/>
      <w:bookmarkEnd w:id="1625"/>
      <w:bookmarkEnd w:id="1626"/>
      <w:bookmarkEnd w:id="1627"/>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本合同所指的“不可抗力事件”是指本合同生效日期之后出现的，使得任何一方不能履行或部分履行本合同的所有事件，而且该事件是本合同</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和项目公司双方不能预见、不能避免并不能克服的客观情况或即使可以预见但不能避免并不能克服的情况，包括：</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地震、地面沉降、地面上升、洪涝、干旱、水灾、火灾、山崩、火山喷发、陨石或天体撞击或其他天灾；</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暴风雪、暴风雨、飓风、龙卷风、雷电或其他灾害性天气；</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流行病、饥荒或瘟疫；</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恐怖活动或恐怖事件；</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战争、敌对状态（不论宣战与否）；</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侵略、外国敌军的行动、叛乱、暴动、暴乱、武装冲突或军事行动、内战、紧急状态；</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全国性、地区性或行业性罢工；</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化学、电离辐射、核原料、核废料或有害放射性爆炸造成的辐射污染；</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其他符合不可抗力的事件。</w:t>
      </w:r>
    </w:p>
    <w:p>
      <w:pPr>
        <w:spacing w:before="120" w:after="120" w:afterLines="50"/>
        <w:ind w:left="566" w:leftChars="236"/>
        <w:rPr>
          <w:rFonts w:hint="eastAsia" w:asciiTheme="minorEastAsia" w:hAnsiTheme="minorEastAsia" w:eastAsiaTheme="minorEastAsia" w:cstheme="minorEastAsia"/>
        </w:rPr>
      </w:pPr>
      <w:r>
        <w:rPr>
          <w:rFonts w:hint="eastAsia" w:asciiTheme="minorEastAsia" w:hAnsiTheme="minorEastAsia" w:eastAsiaTheme="minorEastAsia" w:cstheme="minorEastAsia"/>
        </w:rPr>
        <w:t>以上不可抗力认定标准按国家相关规定执行。</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628" w:name="_免于履行"/>
      <w:bookmarkEnd w:id="1628"/>
      <w:bookmarkStart w:id="1629" w:name="_Toc28737"/>
      <w:bookmarkStart w:id="1630" w:name="_Toc364406987"/>
      <w:bookmarkStart w:id="1631" w:name="_Ref326760084"/>
      <w:bookmarkStart w:id="1632" w:name="_Toc4455"/>
      <w:bookmarkStart w:id="1633" w:name="_Toc15221"/>
      <w:r>
        <w:rPr>
          <w:rFonts w:hint="eastAsia" w:asciiTheme="minorEastAsia" w:hAnsiTheme="minorEastAsia" w:eastAsiaTheme="minorEastAsia" w:cstheme="minorEastAsia"/>
          <w:color w:val="auto"/>
        </w:rPr>
        <w:t>免于履行</w:t>
      </w:r>
      <w:bookmarkEnd w:id="1629"/>
      <w:bookmarkEnd w:id="1630"/>
      <w:bookmarkEnd w:id="1631"/>
      <w:bookmarkEnd w:id="1632"/>
      <w:bookmarkEnd w:id="1633"/>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当生效日之后发生的不可抗力情况全部地或部分地阻碍一方履行其在本合同的义务时，可在不可抗力影响的范围内，全部或部分免除该方在本合同项下的相应义务。</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634" w:name="_Toc437945960"/>
      <w:bookmarkStart w:id="1635" w:name="_Toc418368920"/>
      <w:bookmarkStart w:id="1636" w:name="_Toc391568080"/>
      <w:bookmarkStart w:id="1637" w:name="_Toc6147"/>
      <w:bookmarkStart w:id="1638" w:name="_Toc88292885"/>
      <w:bookmarkStart w:id="1639" w:name="_Toc19424"/>
      <w:bookmarkStart w:id="1640" w:name="_Toc5791"/>
      <w:r>
        <w:rPr>
          <w:rFonts w:hint="eastAsia" w:asciiTheme="minorEastAsia" w:hAnsiTheme="minorEastAsia" w:eastAsiaTheme="minorEastAsia" w:cstheme="minorEastAsia"/>
          <w:color w:val="auto"/>
        </w:rPr>
        <w:t>不可抗力事件引起的中止履行</w:t>
      </w:r>
      <w:bookmarkEnd w:id="1634"/>
      <w:bookmarkEnd w:id="1635"/>
      <w:bookmarkEnd w:id="1636"/>
      <w:bookmarkEnd w:id="1637"/>
      <w:bookmarkEnd w:id="1638"/>
      <w:bookmarkEnd w:id="1639"/>
      <w:bookmarkEnd w:id="1640"/>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任何一方由于出现不可抗力事件使该方不能全部或部分履行其本合同项下的义务时，该方应有权中止履行本合同项下的义务。</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对于因为任何不可抗力事件的发生或存在而造成的任何损失、损害、成本、花费和索赔，任何一方均无须以任何方式向其他各方承担责任。</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641" w:name="_Toc22051"/>
      <w:bookmarkStart w:id="1642" w:name="_Toc418368921"/>
      <w:bookmarkStart w:id="1643" w:name="_Toc437945961"/>
      <w:bookmarkStart w:id="1644" w:name="_Toc391568081"/>
      <w:bookmarkStart w:id="1645" w:name="_Toc88292886"/>
      <w:bookmarkStart w:id="1646" w:name="_Toc5435"/>
      <w:bookmarkStart w:id="1647" w:name="_Toc24641"/>
      <w:r>
        <w:rPr>
          <w:rFonts w:hint="eastAsia" w:asciiTheme="minorEastAsia" w:hAnsiTheme="minorEastAsia" w:eastAsiaTheme="minorEastAsia" w:cstheme="minorEastAsia"/>
          <w:color w:val="auto"/>
        </w:rPr>
        <w:t>适用的例外</w:t>
      </w:r>
      <w:bookmarkEnd w:id="1641"/>
      <w:bookmarkEnd w:id="1642"/>
      <w:bookmarkEnd w:id="1643"/>
      <w:bookmarkEnd w:id="1644"/>
      <w:bookmarkEnd w:id="1645"/>
      <w:bookmarkEnd w:id="1646"/>
      <w:bookmarkEnd w:id="1647"/>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项目公司无权将任何下述情况视作不可抗力事件而中止/终止履行本合同或作为其不履行本合同项下义务的理由：</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因其自身、其职工自身和/或任一承包商或分包商（包括建设承包商和运营维护的辅助业务的承包商或任何其直接或间接分包商）自身或其职工自身的原因（受本合同所定义的不可抗力事件影响的除外），不能履行本合同；</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非因本合同所定义的不可抗力事件原因，任何项目设施存在缺陷、潜在缺陷或交付发生延误；</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项目设施的材料、设备、机器或零件的故障或正常磨损。</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648" w:name="_不可抗力的通知"/>
      <w:bookmarkEnd w:id="1648"/>
      <w:bookmarkStart w:id="1649" w:name="_Ref392751697"/>
      <w:bookmarkStart w:id="1650" w:name="_Toc88292887"/>
      <w:bookmarkStart w:id="1651" w:name="_Toc437945962"/>
      <w:bookmarkStart w:id="1652" w:name="_Toc16383"/>
      <w:bookmarkStart w:id="1653" w:name="_Toc418368922"/>
      <w:bookmarkStart w:id="1654" w:name="_Toc391568082"/>
      <w:bookmarkStart w:id="1655" w:name="_Ref447624693"/>
      <w:bookmarkStart w:id="1656" w:name="_Toc4292"/>
      <w:bookmarkStart w:id="1657" w:name="_Toc7142"/>
      <w:r>
        <w:rPr>
          <w:rFonts w:hint="eastAsia" w:asciiTheme="minorEastAsia" w:hAnsiTheme="minorEastAsia" w:eastAsiaTheme="minorEastAsia" w:cstheme="minorEastAsia"/>
          <w:color w:val="auto"/>
        </w:rPr>
        <w:t>不可抗力的通知</w:t>
      </w:r>
      <w:bookmarkEnd w:id="1649"/>
      <w:bookmarkEnd w:id="1650"/>
      <w:bookmarkEnd w:id="1651"/>
      <w:bookmarkEnd w:id="1652"/>
      <w:bookmarkEnd w:id="1653"/>
      <w:bookmarkEnd w:id="1654"/>
      <w:bookmarkEnd w:id="1655"/>
      <w:bookmarkEnd w:id="1656"/>
      <w:bookmarkEnd w:id="1657"/>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声称受到不可抗力事件影响的一方应在知道不可抗力事件之后及时并不迟于十五（15）日内书面通知另一方并详细描述不可抗力事件的发生情况和可能导致的后果，包括该不可抗力事件发生的日期和预计停止的时间，以及对该方履行在本合同项下义务的影响，并在另一方合理要求时提供证明。</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658" w:name="_Toc391568083"/>
      <w:bookmarkEnd w:id="1658"/>
      <w:bookmarkStart w:id="1659" w:name="_Toc391565233"/>
      <w:bookmarkEnd w:id="1659"/>
      <w:bookmarkStart w:id="1660" w:name="_Toc391567554"/>
      <w:bookmarkEnd w:id="1660"/>
      <w:bookmarkStart w:id="1661" w:name="_Toc391565838"/>
      <w:bookmarkEnd w:id="1661"/>
      <w:bookmarkStart w:id="1662" w:name="_Toc391567012"/>
      <w:bookmarkEnd w:id="1662"/>
      <w:bookmarkStart w:id="1663" w:name="_Toc391564961"/>
      <w:bookmarkEnd w:id="1663"/>
      <w:bookmarkStart w:id="1664" w:name="_Toc391567283"/>
      <w:bookmarkEnd w:id="1664"/>
      <w:bookmarkStart w:id="1665" w:name="_Toc437945963"/>
      <w:bookmarkStart w:id="1666" w:name="_Toc391568084"/>
      <w:bookmarkStart w:id="1667" w:name="_Toc418368923"/>
      <w:bookmarkStart w:id="1668" w:name="_Toc2147"/>
      <w:bookmarkStart w:id="1669" w:name="_Toc88292888"/>
      <w:bookmarkStart w:id="1670" w:name="_Toc4494"/>
      <w:bookmarkStart w:id="1671" w:name="_Toc24968"/>
      <w:r>
        <w:rPr>
          <w:rFonts w:hint="eastAsia" w:asciiTheme="minorEastAsia" w:hAnsiTheme="minorEastAsia" w:eastAsiaTheme="minorEastAsia" w:cstheme="minorEastAsia"/>
          <w:color w:val="auto"/>
        </w:rPr>
        <w:t>费用和时间表的修改</w:t>
      </w:r>
      <w:bookmarkEnd w:id="1665"/>
      <w:bookmarkEnd w:id="1666"/>
      <w:bookmarkEnd w:id="1667"/>
      <w:bookmarkEnd w:id="1668"/>
      <w:bookmarkEnd w:id="1669"/>
      <w:bookmarkEnd w:id="1670"/>
      <w:bookmarkEnd w:id="1671"/>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发生不可抗力事件时，</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和项目公司双方应各自承担不可抗力事件对其造成的损失。</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如果声称遭受不可抗力事件影响的一方已履行了第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_Ref447624693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19.5</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条的通知程序，并且在不可抗力事件影响建设工程进展的情况下，已履行了第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_Ref86656004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7.5.3</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条款的请求延长关键工期的程序，则本合同中规定的履行某项义务的任何期限，经受到影响的一方请求，应根据不可抗力事件对履行该项义务产生影响的相同时间相应顺延。</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672" w:name="_Toc88292889"/>
      <w:bookmarkStart w:id="1673" w:name="_Toc418368924"/>
      <w:bookmarkStart w:id="1674" w:name="_Toc391568085"/>
      <w:bookmarkStart w:id="1675" w:name="_Toc437945964"/>
      <w:bookmarkStart w:id="1676" w:name="_Toc1339"/>
      <w:bookmarkStart w:id="1677" w:name="_Toc1646"/>
      <w:bookmarkStart w:id="1678" w:name="_Toc8289"/>
      <w:r>
        <w:rPr>
          <w:rFonts w:hint="eastAsia" w:asciiTheme="minorEastAsia" w:hAnsiTheme="minorEastAsia" w:eastAsiaTheme="minorEastAsia" w:cstheme="minorEastAsia"/>
          <w:color w:val="auto"/>
        </w:rPr>
        <w:t>减少损失的责任和协商</w:t>
      </w:r>
      <w:bookmarkEnd w:id="1672"/>
      <w:bookmarkEnd w:id="1673"/>
      <w:bookmarkEnd w:id="1674"/>
      <w:bookmarkEnd w:id="1675"/>
      <w:bookmarkEnd w:id="1676"/>
      <w:bookmarkEnd w:id="1677"/>
      <w:bookmarkEnd w:id="1678"/>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受到不可抗力事件影响的一方应尽合理的努力减少不可抗力事件的影响，包括根据该等措施可能产生的结果支付合理的金额。</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和项目公司双方应协商制定并实施补救计划及合理的替代措施以消除不可抗力事件带来的影响，并决定为尽量减少不可抗力事件的影响给每一方带来的损失应采取的合理的手段。</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声称受到不可抗力事件不利影响的一方在不可抗力事件消除之后应在一个月内恢复履行本合同项下的义务。</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679" w:name="_不可抗力事件造成的提前终止"/>
      <w:bookmarkEnd w:id="1679"/>
      <w:bookmarkStart w:id="1680" w:name="_Toc5335"/>
      <w:bookmarkStart w:id="1681" w:name="_Ref447625245"/>
      <w:bookmarkStart w:id="1682" w:name="_Toc3522"/>
      <w:bookmarkStart w:id="1683" w:name="_Toc2115"/>
      <w:r>
        <w:rPr>
          <w:rFonts w:hint="eastAsia" w:asciiTheme="minorEastAsia" w:hAnsiTheme="minorEastAsia" w:eastAsiaTheme="minorEastAsia" w:cstheme="minorEastAsia"/>
          <w:color w:val="auto"/>
        </w:rPr>
        <w:t>不可抗力事件造成的提前终止</w:t>
      </w:r>
      <w:bookmarkEnd w:id="1680"/>
      <w:bookmarkEnd w:id="1681"/>
      <w:bookmarkEnd w:id="1682"/>
      <w:bookmarkEnd w:id="1683"/>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如果不可抗力事件给项目设施造成实质性损害，使本合同的履行受到实质性不利影响，并且该项损害无法通过保险得到有效赔偿，则</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和项目公司双方应努力就如何修复项目设施继续履行本合同的条件达成一致。如双方就如何修复项目设施及继续履行本合同达成一致，则双方应遵守达成一致的处理办法。</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除上述情况外，如果任何不可抗力事件阻止一方履行其义务的时间自该不可抗力事件发生日起连续超过九十（90）日，</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项目公司双方应协商决定继续履行本合同的条件或者同意终止合作期。如果自不可抗力事件发生后一百八十（180）日之内双方不能就继续履行的条件或提前终止合作期达成一致意见，任何一方有权向另一方发出终止通知，终止合作期，发出终止通知之日即为提前终止日，并且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_Ref447624766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22.5</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条的规定应适用。</w:t>
      </w:r>
    </w:p>
    <w:p>
      <w:pPr>
        <w:pStyle w:val="37"/>
        <w:spacing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bookmarkStart w:id="1684" w:name="_Toc31497"/>
      <w:bookmarkStart w:id="1685" w:name="_Toc8927"/>
      <w:bookmarkStart w:id="1686" w:name="_Toc10312"/>
      <w:r>
        <w:rPr>
          <w:rFonts w:hint="eastAsia" w:asciiTheme="minorEastAsia" w:hAnsiTheme="minorEastAsia" w:eastAsiaTheme="minorEastAsia" w:cstheme="minorEastAsia"/>
        </w:rPr>
        <w:t>合作期</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的监管和介入</w:t>
      </w:r>
      <w:bookmarkEnd w:id="1684"/>
      <w:bookmarkEnd w:id="1685"/>
      <w:bookmarkEnd w:id="1686"/>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1687" w:name="_Toc448051523"/>
      <w:bookmarkEnd w:id="1687"/>
      <w:bookmarkStart w:id="1688" w:name="_Toc491193719"/>
      <w:bookmarkEnd w:id="1688"/>
      <w:bookmarkStart w:id="1689" w:name="_Toc491680726"/>
      <w:bookmarkEnd w:id="1689"/>
      <w:bookmarkStart w:id="1690" w:name="_Toc448073214"/>
      <w:bookmarkEnd w:id="1690"/>
      <w:bookmarkStart w:id="1691" w:name="_Toc447632763"/>
      <w:bookmarkEnd w:id="1691"/>
      <w:bookmarkStart w:id="1692" w:name="_Toc448046122"/>
      <w:bookmarkEnd w:id="1692"/>
      <w:bookmarkStart w:id="1693" w:name="_Toc447850107"/>
      <w:bookmarkEnd w:id="1693"/>
      <w:bookmarkStart w:id="1694" w:name="_Toc489986257"/>
      <w:bookmarkEnd w:id="1694"/>
      <w:bookmarkStart w:id="1695" w:name="_Toc448056181"/>
      <w:bookmarkEnd w:id="1695"/>
      <w:bookmarkStart w:id="1696" w:name="_Toc447847457"/>
      <w:bookmarkEnd w:id="1696"/>
      <w:bookmarkStart w:id="1697" w:name="_Toc448054786"/>
      <w:bookmarkEnd w:id="1697"/>
      <w:bookmarkStart w:id="1698" w:name="_Toc447744568"/>
      <w:bookmarkEnd w:id="1698"/>
      <w:bookmarkStart w:id="1699" w:name="_Toc493454979"/>
      <w:bookmarkEnd w:id="1699"/>
      <w:bookmarkStart w:id="1700" w:name="_Toc454572636"/>
      <w:bookmarkEnd w:id="1700"/>
      <w:bookmarkStart w:id="1701" w:name="_Toc490081533"/>
      <w:bookmarkEnd w:id="1701"/>
      <w:bookmarkStart w:id="1702" w:name="_Toc490090593"/>
      <w:bookmarkEnd w:id="1702"/>
      <w:bookmarkStart w:id="1703" w:name="_Toc493454019"/>
      <w:bookmarkEnd w:id="1703"/>
      <w:bookmarkStart w:id="1704" w:name="_Toc490036583"/>
      <w:bookmarkEnd w:id="1704"/>
      <w:bookmarkStart w:id="1705" w:name="_Toc489988518"/>
      <w:bookmarkEnd w:id="1705"/>
      <w:bookmarkStart w:id="1706" w:name="_Toc447743478"/>
      <w:bookmarkEnd w:id="1706"/>
      <w:bookmarkStart w:id="1707" w:name="_Toc21264"/>
      <w:bookmarkEnd w:id="1707"/>
      <w:bookmarkStart w:id="1708" w:name="_Toc489977912"/>
      <w:bookmarkEnd w:id="1708"/>
      <w:bookmarkStart w:id="1709" w:name="_Toc491687997"/>
      <w:bookmarkEnd w:id="1709"/>
      <w:bookmarkStart w:id="1710" w:name="_Toc447534617"/>
      <w:bookmarkEnd w:id="1710"/>
      <w:bookmarkStart w:id="1711" w:name="_Toc491257847"/>
      <w:bookmarkEnd w:id="1711"/>
      <w:bookmarkStart w:id="1712" w:name="_Toc489977731"/>
      <w:bookmarkEnd w:id="1712"/>
      <w:bookmarkStart w:id="1713" w:name="_Toc454506816"/>
      <w:bookmarkEnd w:id="1713"/>
      <w:bookmarkStart w:id="1714" w:name="_Toc491687801"/>
      <w:bookmarkEnd w:id="1714"/>
      <w:bookmarkStart w:id="1715" w:name="_Toc447534791"/>
      <w:bookmarkEnd w:id="1715"/>
      <w:bookmarkStart w:id="1716" w:name="_Toc448051341"/>
      <w:bookmarkEnd w:id="1716"/>
      <w:bookmarkStart w:id="1717" w:name="_Toc490035193"/>
      <w:bookmarkEnd w:id="1717"/>
      <w:bookmarkStart w:id="1718" w:name="_Toc447620512"/>
      <w:bookmarkEnd w:id="1718"/>
      <w:bookmarkStart w:id="1719" w:name="_Toc454489456"/>
      <w:bookmarkEnd w:id="1719"/>
      <w:bookmarkStart w:id="1720" w:name="_Toc448055790"/>
      <w:bookmarkEnd w:id="1720"/>
      <w:bookmarkStart w:id="1721" w:name="_Toc454482355"/>
      <w:bookmarkEnd w:id="1721"/>
      <w:bookmarkStart w:id="1722" w:name="_Toc2927"/>
      <w:bookmarkEnd w:id="1722"/>
      <w:bookmarkStart w:id="1723" w:name="_Toc12906"/>
      <w:bookmarkEnd w:id="1723"/>
      <w:bookmarkStart w:id="1724" w:name="_Toc239861078"/>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725" w:name="_Toc3607"/>
      <w:bookmarkStart w:id="1726" w:name="_Toc7803"/>
      <w:bookmarkStart w:id="1727" w:name="_Toc16866"/>
      <w:r>
        <w:rPr>
          <w:rFonts w:hint="eastAsia" w:asciiTheme="minorEastAsia" w:hAnsiTheme="minorEastAsia" w:eastAsiaTheme="minorEastAsia" w:cstheme="minorEastAsia"/>
          <w:color w:val="auto"/>
        </w:rPr>
        <w:t>行业监管</w:t>
      </w:r>
      <w:bookmarkEnd w:id="1724"/>
      <w:bookmarkEnd w:id="1725"/>
      <w:bookmarkEnd w:id="1726"/>
      <w:bookmarkEnd w:id="1727"/>
    </w:p>
    <w:p>
      <w:pPr>
        <w:spacing w:before="120" w:after="120" w:afterLines="50"/>
        <w:ind w:left="708" w:leftChars="295"/>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有权根据法律规定和本合同的约定对本合同项下项目公司的建设和运营维护服务进行行业监管，包括：</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协助政府物价部门决定运营维护服务的价格和价格调整。</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审核和监控项目公司的经营、管理和服务成本。</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检查和监控本合同项下运营维护的质量。</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color w:val="auto"/>
        </w:rPr>
        <w:t>会同市财政局</w:t>
      </w:r>
      <w:r>
        <w:rPr>
          <w:rFonts w:hint="eastAsia" w:asciiTheme="minorEastAsia" w:hAnsiTheme="minorEastAsia" w:eastAsiaTheme="minorEastAsia" w:cstheme="minorEastAsia"/>
          <w:color w:val="auto"/>
          <w:lang w:val="en-US" w:eastAsia="zh-CN"/>
        </w:rPr>
        <w:t>和铜山区财政局</w:t>
      </w:r>
      <w:r>
        <w:rPr>
          <w:rFonts w:hint="eastAsia" w:asciiTheme="minorEastAsia" w:hAnsiTheme="minorEastAsia" w:eastAsiaTheme="minorEastAsia" w:cstheme="minorEastAsia"/>
          <w:color w:val="auto"/>
        </w:rPr>
        <w:t>开展PPP项目绩效运行监控，对绩效目标运行情况进行跟踪管理和定期检查，确保阶段性目标与资金支付相匹配，开展中期绩效评估；</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color w:val="auto"/>
        </w:rPr>
        <w:t>会同市财政局</w:t>
      </w:r>
      <w:r>
        <w:rPr>
          <w:rFonts w:hint="eastAsia" w:asciiTheme="minorEastAsia" w:hAnsiTheme="minorEastAsia" w:eastAsiaTheme="minorEastAsia" w:cstheme="minorEastAsia"/>
          <w:color w:val="auto"/>
          <w:lang w:val="en-US" w:eastAsia="zh-CN"/>
        </w:rPr>
        <w:t>和铜山区财政局</w:t>
      </w:r>
      <w:r>
        <w:rPr>
          <w:rFonts w:hint="eastAsia" w:asciiTheme="minorEastAsia" w:hAnsiTheme="minorEastAsia" w:eastAsiaTheme="minorEastAsia" w:cstheme="minorEastAsia"/>
          <w:color w:val="auto"/>
        </w:rPr>
        <w:t>每3年（如未来出台政策文件明确规定PPP项目中期评估的期限要求，按照政策文件要求调整和执行）将对本项目进行一次中期评估，重点分析项目运行状况和本合同的合规性、适应性和合理性，监控中发现绩效运行与原定绩效目标偏离时，应及时采取措施予以纠正。</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根据适用法律的规定依法查处项目公司的违规行为及实施其他适用法律所规定的监管行为。</w:t>
      </w:r>
    </w:p>
    <w:p>
      <w:pPr>
        <w:pStyle w:val="5"/>
        <w:rPr>
          <w:rFonts w:hint="eastAsia" w:asciiTheme="minorEastAsia" w:hAnsiTheme="minorEastAsia" w:eastAsiaTheme="minorEastAsia" w:cstheme="minorEastAsia"/>
          <w:color w:val="auto"/>
        </w:rPr>
      </w:pPr>
      <w:bookmarkStart w:id="1728" w:name="_Ref448045808"/>
      <w:r>
        <w:rPr>
          <w:rFonts w:hint="eastAsia" w:asciiTheme="minorEastAsia" w:hAnsiTheme="minorEastAsia" w:eastAsiaTheme="minorEastAsia" w:cstheme="minorEastAsia"/>
          <w:color w:val="auto"/>
        </w:rPr>
        <w:t>项目公司下列事项，必须经</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审查批准，未经</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批准，项目公司不得进行下列行为，否则视为项目公司放弃管廊项目设施的运营维护，视为项目公司的严重违约，应适用于第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_Ref447624779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22.7</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条的规定：</w:t>
      </w:r>
      <w:bookmarkEnd w:id="1728"/>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项目公司股权结构变更（</w:t>
      </w:r>
      <w:r>
        <w:rPr>
          <w:rFonts w:hint="eastAsia" w:asciiTheme="minorEastAsia" w:hAnsiTheme="minorEastAsia" w:eastAsiaTheme="minorEastAsia" w:cstheme="minorEastAsia"/>
          <w:lang w:eastAsia="zh-CN"/>
        </w:rPr>
        <w:t>徐州新盛基础建设公司</w:t>
      </w:r>
      <w:r>
        <w:rPr>
          <w:rFonts w:hint="eastAsia" w:asciiTheme="minorEastAsia" w:hAnsiTheme="minorEastAsia" w:eastAsiaTheme="minorEastAsia" w:cstheme="minorEastAsia"/>
        </w:rPr>
        <w:t>的股权变更除外）、股权质押；</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对外转让、抵押、处置项目设施和资产；</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本合同项下经营权转让或者质押；</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项目公司的名称、地址、法定代表人变更。</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729" w:name="_市建委介入的前提"/>
      <w:bookmarkEnd w:id="1729"/>
      <w:bookmarkStart w:id="1730" w:name="_Toc418368775"/>
      <w:bookmarkStart w:id="1731" w:name="_Ref392751433"/>
      <w:bookmarkStart w:id="1732" w:name="_Ref447624841"/>
      <w:bookmarkStart w:id="1733" w:name="_Ref392751468"/>
      <w:bookmarkStart w:id="1734" w:name="_Ref392754349"/>
      <w:bookmarkStart w:id="1735" w:name="_Ref392754358"/>
      <w:bookmarkStart w:id="1736" w:name="_Ref392751369"/>
      <w:bookmarkStart w:id="1737" w:name="_Ref392751400"/>
      <w:bookmarkStart w:id="1738" w:name="_Ref392751353"/>
      <w:bookmarkStart w:id="1739" w:name="_Toc88292892"/>
      <w:bookmarkStart w:id="1740" w:name="_Ref392751388"/>
      <w:bookmarkStart w:id="1741" w:name="_Toc437945971"/>
      <w:bookmarkStart w:id="1742" w:name="_Ref432755988"/>
      <w:bookmarkStart w:id="1743" w:name="_Ref392751415"/>
      <w:bookmarkStart w:id="1744" w:name="_Toc10975"/>
      <w:bookmarkStart w:id="1745" w:name="_Toc391568091"/>
      <w:bookmarkStart w:id="1746" w:name="_Toc29136"/>
      <w:bookmarkStart w:id="1747" w:name="_Toc1165"/>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介入的前提</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pPr>
        <w:spacing w:before="120" w:after="120" w:afterLines="50"/>
        <w:ind w:left="708" w:leftChars="295"/>
        <w:rPr>
          <w:rFonts w:hint="eastAsia" w:asciiTheme="minorEastAsia" w:hAnsiTheme="minorEastAsia" w:eastAsiaTheme="minorEastAsia" w:cstheme="minorEastAsia"/>
        </w:rPr>
      </w:pPr>
      <w:r>
        <w:rPr>
          <w:rFonts w:hint="eastAsia" w:asciiTheme="minorEastAsia" w:hAnsiTheme="minorEastAsia" w:eastAsiaTheme="minorEastAsia" w:cstheme="minorEastAsia"/>
        </w:rPr>
        <w:t>在合作期，在发生下述情况时，</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有权利（但不得被要求）介入，</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或其指定机构进入项目场地暂代项目公司建设和运营维护管廊项目：</w:t>
      </w:r>
    </w:p>
    <w:p>
      <w:pPr>
        <w:pStyle w:val="5"/>
        <w:rPr>
          <w:rFonts w:hint="eastAsia" w:asciiTheme="minorEastAsia" w:hAnsiTheme="minorEastAsia" w:eastAsiaTheme="minorEastAsia" w:cstheme="minorEastAsia"/>
          <w:color w:val="auto"/>
        </w:rPr>
      </w:pPr>
      <w:bookmarkStart w:id="1748" w:name="_项目公司严重违反本协议，且在本协议规定的期限内，或在本协议未明确规定期"/>
      <w:bookmarkEnd w:id="1748"/>
      <w:bookmarkStart w:id="1749" w:name="_Ref392751356"/>
      <w:r>
        <w:rPr>
          <w:rFonts w:hint="eastAsia" w:asciiTheme="minorEastAsia" w:hAnsiTheme="minorEastAsia" w:eastAsiaTheme="minorEastAsia" w:cstheme="minorEastAsia"/>
          <w:color w:val="auto"/>
        </w:rPr>
        <w:t>项目公司严重违反本合同，且在本合同规定的期限内，或在本合同未明确规定期限的情况下，在</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书面要求的期限内，未能或无法纠正，导致或可能导致如果</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不采取介入的方式将严重危及公共利益、公共安全或项目正常安全运行；</w:t>
      </w:r>
      <w:bookmarkEnd w:id="1749"/>
    </w:p>
    <w:p>
      <w:pPr>
        <w:pStyle w:val="5"/>
        <w:rPr>
          <w:rFonts w:hint="eastAsia" w:asciiTheme="minorEastAsia" w:hAnsiTheme="minorEastAsia" w:eastAsiaTheme="minorEastAsia" w:cstheme="minorEastAsia"/>
          <w:color w:val="auto"/>
        </w:rPr>
      </w:pPr>
      <w:bookmarkStart w:id="1750" w:name="_项目公司没有违反本协议，但发生紧急事件或合理预期可能出现紧急事件，且在"/>
      <w:bookmarkEnd w:id="1750"/>
      <w:bookmarkStart w:id="1751" w:name="_Ref392751371"/>
      <w:r>
        <w:rPr>
          <w:rFonts w:hint="eastAsia" w:asciiTheme="minorEastAsia" w:hAnsiTheme="minorEastAsia" w:eastAsiaTheme="minorEastAsia" w:cstheme="minorEastAsia"/>
          <w:color w:val="auto"/>
        </w:rPr>
        <w:t>项目公司没有违反本合同，但发生紧急事件或合理预期可能出现紧急事件，且在项目公司已经尽全力采取应急措施的前提下，如果</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不采取介入的方式，将导致或可能导致严重危及公共利益、公共安全或项目正常安全运行。</w:t>
      </w:r>
      <w:bookmarkEnd w:id="1751"/>
    </w:p>
    <w:p>
      <w:pPr>
        <w:spacing w:before="120" w:after="120" w:afterLines="50"/>
        <w:ind w:left="708" w:leftChars="295"/>
        <w:rPr>
          <w:rFonts w:hint="eastAsia" w:asciiTheme="minorEastAsia" w:hAnsiTheme="minorEastAsia" w:eastAsiaTheme="minorEastAsia" w:cstheme="minorEastAsia"/>
        </w:rPr>
      </w:pPr>
      <w:r>
        <w:rPr>
          <w:rFonts w:hint="eastAsia" w:asciiTheme="minorEastAsia" w:hAnsiTheme="minorEastAsia" w:eastAsiaTheme="minorEastAsia" w:cstheme="minorEastAsia"/>
        </w:rPr>
        <w:t>“紧急事件”指：如果</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不采取介入的方式，将严重危及公共利益、公共安全或项目安全正常运行的事件，包括火灾、洪水、爆炸、有毒气体泄漏、重要电力或机械中断、地震、台风、风暴、大雾或其它天气状况、暴乱、战争或任何其它使项目公司或可能使项目公司不能或可能不能按照正常或通常方式运营维护项目设施或其任何部分的事件。</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752" w:name="_Toc437945972"/>
      <w:bookmarkStart w:id="1753" w:name="_Toc88292893"/>
      <w:bookmarkStart w:id="1754" w:name="_Toc418368776"/>
      <w:bookmarkStart w:id="1755" w:name="_Toc25955"/>
      <w:bookmarkStart w:id="1756" w:name="_Toc391568092"/>
      <w:bookmarkStart w:id="1757" w:name="_Toc14932"/>
      <w:bookmarkStart w:id="1758" w:name="_Toc14660"/>
      <w:r>
        <w:rPr>
          <w:rFonts w:hint="eastAsia" w:asciiTheme="minorEastAsia" w:hAnsiTheme="minorEastAsia" w:eastAsiaTheme="minorEastAsia" w:cstheme="minorEastAsia"/>
          <w:color w:val="auto"/>
        </w:rPr>
        <w:t>介入的程序</w:t>
      </w:r>
      <w:bookmarkEnd w:id="1752"/>
      <w:bookmarkEnd w:id="1753"/>
      <w:bookmarkEnd w:id="1754"/>
      <w:bookmarkEnd w:id="1755"/>
      <w:bookmarkEnd w:id="1756"/>
      <w:bookmarkEnd w:id="1757"/>
      <w:bookmarkEnd w:id="1758"/>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在根据第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_Ref392751356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20.2.1</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条款介入前，应就介入的原因、介入的范围和程度、介入代表、介入时间事先书面通知并咨询项目公司，并充分考虑项目公司在咨询过程中所作出的申述。</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根据本条进行介入无须获得项目公司的同意。</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在根据第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_Ref392751371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20.2.2</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条款介入前，应就介入的原因、介入的决定、介入代表、介入时间书面通知项目公司，并在当时情况下属切实可行的范围内，就此咨询项目公司，并充分考虑项目公司在咨询过程中所作出的申述。</w:t>
      </w:r>
      <w:bookmarkStart w:id="1759" w:name="_Toc88292894"/>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根据本条进行介入无须获得项目公司的同意。</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760" w:name="_Toc418368777"/>
      <w:bookmarkStart w:id="1761" w:name="_Toc21487"/>
      <w:bookmarkStart w:id="1762" w:name="_Toc437945973"/>
      <w:bookmarkStart w:id="1763" w:name="_Toc391568093"/>
      <w:bookmarkStart w:id="1764" w:name="_Toc8555"/>
      <w:bookmarkStart w:id="1765" w:name="_Toc29995"/>
      <w:r>
        <w:rPr>
          <w:rFonts w:hint="eastAsia" w:asciiTheme="minorEastAsia" w:hAnsiTheme="minorEastAsia" w:eastAsiaTheme="minorEastAsia" w:cstheme="minorEastAsia"/>
          <w:color w:val="auto"/>
        </w:rPr>
        <w:t>介入的持续时间</w:t>
      </w:r>
      <w:bookmarkEnd w:id="1759"/>
      <w:r>
        <w:rPr>
          <w:rFonts w:hint="eastAsia" w:asciiTheme="minorEastAsia" w:hAnsiTheme="minorEastAsia" w:eastAsiaTheme="minorEastAsia" w:cstheme="minorEastAsia"/>
          <w:color w:val="auto"/>
        </w:rPr>
        <w:t>和范围</w:t>
      </w:r>
      <w:bookmarkEnd w:id="1760"/>
      <w:bookmarkEnd w:id="1761"/>
      <w:bookmarkEnd w:id="1762"/>
      <w:bookmarkEnd w:id="1763"/>
      <w:bookmarkEnd w:id="1764"/>
      <w:bookmarkEnd w:id="1765"/>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的介入并不直接导致本合同中止、终止或转让或合作期的中止、终止；</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根据第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_Ref392751356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20.2.1</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条款所进行的介入，将一直并仅应持续到项目公司改正了或可以合理地被期望有能力改正导致介入的违约事件，以较早发生的时间为准；</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根据第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_Ref392751371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20.2.2</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条款所进行的介入，将一直并仅应持续到紧急事件解除或项目公司被认为已具有应对能力解除紧急事件为止，以较早发生的时间为准。</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介入范围不应超过足以使项目公司改正或有能力改正导致介入的违约事件或解除紧急事件或使项目公司具有应对能力解除紧急事件所必须的范围和程度。</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766" w:name="_Toc391568094"/>
      <w:bookmarkStart w:id="1767" w:name="_Toc88292895"/>
      <w:bookmarkStart w:id="1768" w:name="_Toc418368778"/>
      <w:bookmarkStart w:id="1769" w:name="_Toc31723"/>
      <w:bookmarkStart w:id="1770" w:name="_Toc437945974"/>
      <w:bookmarkStart w:id="1771" w:name="_Toc20910"/>
      <w:bookmarkStart w:id="1772" w:name="_Toc704"/>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或指定机构的介入</w:t>
      </w:r>
      <w:bookmarkEnd w:id="1766"/>
      <w:bookmarkEnd w:id="1767"/>
      <w:bookmarkEnd w:id="1768"/>
      <w:bookmarkEnd w:id="1769"/>
      <w:bookmarkEnd w:id="1770"/>
      <w:bookmarkEnd w:id="1771"/>
      <w:bookmarkEnd w:id="1772"/>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根据第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_Ref447624841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20.2</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条的规定而介入，则</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或其指定机构可代替项目公司根据本合同规定进行项目设施的建设和维护，并为此目的使用项目公司的任何财产（以与介入直接相关的必要的财产的范围为限），并将该财产用于项目的管理和运营维护。</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或其指定机构在介入过程中应遵循谨慎惯例，因为</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介入而发生的费用按照下述第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_Ref447624851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20.7</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条约定执行。</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上述所赋予的将该财产用于项目管理和运营维护的权利，包括将该财产保存或保持就该目的而言属适当的状况的权利，及就该目的而言属适当的方式将该财产使用和改变的权利。</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773" w:name="_Toc418374393"/>
      <w:bookmarkEnd w:id="1773"/>
      <w:bookmarkStart w:id="1774" w:name="_Toc418424979"/>
      <w:bookmarkEnd w:id="1774"/>
      <w:bookmarkStart w:id="1775" w:name="_Toc418374700"/>
      <w:bookmarkEnd w:id="1775"/>
      <w:bookmarkStart w:id="1776" w:name="_Toc418375007"/>
      <w:bookmarkEnd w:id="1776"/>
      <w:bookmarkStart w:id="1777" w:name="_Toc418373777"/>
      <w:bookmarkEnd w:id="1777"/>
      <w:bookmarkStart w:id="1778" w:name="_Toc418425287"/>
      <w:bookmarkEnd w:id="1778"/>
      <w:bookmarkStart w:id="1779" w:name="_Toc418374085"/>
      <w:bookmarkEnd w:id="1779"/>
      <w:bookmarkStart w:id="1780" w:name="_Toc417396742"/>
      <w:bookmarkEnd w:id="1780"/>
      <w:bookmarkStart w:id="1781" w:name="_Toc417469020"/>
      <w:bookmarkEnd w:id="1781"/>
      <w:bookmarkStart w:id="1782" w:name="_Toc418375314"/>
      <w:bookmarkEnd w:id="1782"/>
      <w:bookmarkStart w:id="1783" w:name="_Toc418375620"/>
      <w:bookmarkEnd w:id="1783"/>
      <w:bookmarkStart w:id="1784" w:name="_Toc418368779"/>
      <w:bookmarkEnd w:id="1784"/>
      <w:bookmarkStart w:id="1785" w:name="_Toc391568095"/>
      <w:bookmarkStart w:id="1786" w:name="_Toc418368780"/>
      <w:bookmarkStart w:id="1787" w:name="_Toc32584"/>
      <w:bookmarkStart w:id="1788" w:name="_Toc437945975"/>
      <w:bookmarkStart w:id="1789" w:name="_Toc88292896"/>
      <w:bookmarkStart w:id="1790" w:name="_Toc23040"/>
      <w:bookmarkStart w:id="1791" w:name="_Toc26582"/>
      <w:r>
        <w:rPr>
          <w:rFonts w:hint="eastAsia" w:asciiTheme="minorEastAsia" w:hAnsiTheme="minorEastAsia" w:eastAsiaTheme="minorEastAsia" w:cstheme="minorEastAsia"/>
          <w:color w:val="auto"/>
        </w:rPr>
        <w:t>项目公司在</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介入期间的义务</w:t>
      </w:r>
      <w:bookmarkEnd w:id="1785"/>
      <w:bookmarkEnd w:id="1786"/>
      <w:bookmarkEnd w:id="1787"/>
      <w:bookmarkEnd w:id="1788"/>
      <w:bookmarkEnd w:id="1789"/>
      <w:bookmarkEnd w:id="1790"/>
      <w:bookmarkEnd w:id="1791"/>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介入期间，项目公司有义务为</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提供资料和合作（包括执行</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或其指定机构或介入代表的任何合理的决定（对于</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指定机构或介入代表而言是指其在</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授权范围内所作出的决定），</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指定机构或介入代表在其授权范围内所作出的决定和行为视为</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的决定和行为），以使</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或其指定机构能够在最大程度上消除导致</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介入的事件对项目建设和运营维护可能带来的影响或损失；</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任何情况下，</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选择介入不应被视为受让项目设施所有权或承担项目公司作为项目设施所有权人的义务；也不应视为</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承接项目公司在与项目设施有关的和第三方之间的任何合同、协议项下的责任与义务。</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除</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介入范围内的项目相关部分外，项目公司仍应履行本合同项下的其它义务。</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792" w:name="_介入期间的费用和收入"/>
      <w:bookmarkEnd w:id="1792"/>
      <w:bookmarkStart w:id="1793" w:name="_Ref447624851"/>
      <w:bookmarkStart w:id="1794" w:name="_Toc88292897"/>
      <w:bookmarkStart w:id="1795" w:name="_Toc418368781"/>
      <w:bookmarkStart w:id="1796" w:name="_Toc391568096"/>
      <w:bookmarkStart w:id="1797" w:name="_Ref432755931"/>
      <w:bookmarkStart w:id="1798" w:name="_Toc437945976"/>
      <w:bookmarkStart w:id="1799" w:name="_Toc16560"/>
      <w:bookmarkStart w:id="1800" w:name="_Toc22694"/>
      <w:bookmarkStart w:id="1801" w:name="_Toc23041"/>
      <w:r>
        <w:rPr>
          <w:rFonts w:hint="eastAsia" w:asciiTheme="minorEastAsia" w:hAnsiTheme="minorEastAsia" w:eastAsiaTheme="minorEastAsia" w:cstheme="minorEastAsia"/>
          <w:color w:val="auto"/>
        </w:rPr>
        <w:t>介入期间的费用和收入</w:t>
      </w:r>
      <w:bookmarkEnd w:id="1793"/>
      <w:bookmarkEnd w:id="1794"/>
      <w:bookmarkEnd w:id="1795"/>
      <w:bookmarkEnd w:id="1796"/>
      <w:bookmarkEnd w:id="1797"/>
      <w:bookmarkEnd w:id="1798"/>
      <w:bookmarkEnd w:id="1799"/>
      <w:bookmarkEnd w:id="1800"/>
      <w:bookmarkEnd w:id="1801"/>
    </w:p>
    <w:p>
      <w:pPr>
        <w:pStyle w:val="5"/>
        <w:rPr>
          <w:rFonts w:hint="eastAsia" w:asciiTheme="minorEastAsia" w:hAnsiTheme="minorEastAsia" w:eastAsiaTheme="minorEastAsia" w:cstheme="minorEastAsia"/>
          <w:color w:val="auto"/>
        </w:rPr>
      </w:pPr>
      <w:bookmarkStart w:id="1802" w:name="_Ref447979388"/>
      <w:r>
        <w:rPr>
          <w:rFonts w:hint="eastAsia" w:asciiTheme="minorEastAsia" w:hAnsiTheme="minorEastAsia" w:eastAsiaTheme="minorEastAsia" w:cstheme="minorEastAsia"/>
          <w:color w:val="auto"/>
        </w:rPr>
        <w:t>如果</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根据第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_Ref392751356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20.2.1</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条款介入，则介入期间的收入（如有），应按以下顺序使用与支配：</w:t>
      </w:r>
      <w:bookmarkEnd w:id="1802"/>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首先用于偿还项目公司的债务；</w:t>
      </w:r>
    </w:p>
    <w:p>
      <w:pPr>
        <w:pStyle w:val="6"/>
        <w:rPr>
          <w:rFonts w:hint="eastAsia" w:asciiTheme="minorEastAsia" w:hAnsiTheme="minorEastAsia" w:eastAsiaTheme="minorEastAsia" w:cstheme="minorEastAsia"/>
        </w:rPr>
      </w:pPr>
      <w:bookmarkStart w:id="1803" w:name="_Ref447979383"/>
      <w:r>
        <w:rPr>
          <w:rFonts w:hint="eastAsia" w:asciiTheme="minorEastAsia" w:hAnsiTheme="minorEastAsia" w:eastAsiaTheme="minorEastAsia" w:cstheme="minorEastAsia"/>
        </w:rPr>
        <w:t>用于弥补</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或其指定机构为此而发生的费用（如有）；</w:t>
      </w:r>
      <w:bookmarkEnd w:id="1803"/>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如有剩余，首先用于支付项目公司就导致介入的违约而应支付给</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 xml:space="preserve">的赔偿； </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如有剩余，归项目公司所有。</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_Ref447979388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20.7.1</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条款的情形下，若剩余收入不足以弥补</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或其指定机构的费用以及应支付给</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的赔偿，则超出部分在社会资本方的投资回报中予以扣减；仍不足以弥补上述费用的，</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有权从相应保函中兑取相应金额。</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根据第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_Ref392751371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20.2.2</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条款介入，则</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和项目公司共同承担项目公司的损失、支出或费用（包括因</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的介入导致项目公司需对任何第三方承担任何责任或赔偿，但不包括项目公司因第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_Ref392751371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20.2.2</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条款所述紧急事件本身而遭受的损失）；此外，介入期间的收入（如有），应归项目公司所有。</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804" w:name="_Toc476048693"/>
      <w:bookmarkStart w:id="1805" w:name="_Toc8621"/>
      <w:bookmarkStart w:id="1806" w:name="_Toc11538"/>
      <w:bookmarkStart w:id="1807" w:name="_Toc32360"/>
      <w:r>
        <w:rPr>
          <w:rFonts w:hint="eastAsia" w:asciiTheme="minorEastAsia" w:hAnsiTheme="minorEastAsia" w:eastAsiaTheme="minorEastAsia" w:cstheme="minorEastAsia"/>
          <w:color w:val="auto"/>
        </w:rPr>
        <w:t>收回资产</w:t>
      </w:r>
      <w:bookmarkEnd w:id="1804"/>
      <w:bookmarkEnd w:id="1805"/>
      <w:bookmarkEnd w:id="1806"/>
      <w:bookmarkEnd w:id="1807"/>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为了维护公共利益的需要，市政府有权收回本项目的全部或部分项目资产。</w:t>
      </w:r>
    </w:p>
    <w:p>
      <w:pPr>
        <w:spacing w:before="120" w:after="120" w:afterLines="50"/>
        <w:rPr>
          <w:rFonts w:hint="eastAsia" w:asciiTheme="minorEastAsia" w:hAnsiTheme="minorEastAsia" w:eastAsiaTheme="minorEastAsia" w:cstheme="minorEastAsia"/>
        </w:rPr>
      </w:pPr>
    </w:p>
    <w:p>
      <w:pPr>
        <w:pStyle w:val="37"/>
        <w:spacing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bookmarkStart w:id="1808" w:name="_Toc14344"/>
      <w:bookmarkStart w:id="1809" w:name="_Toc14634"/>
      <w:bookmarkStart w:id="1810" w:name="_Toc17138"/>
      <w:r>
        <w:rPr>
          <w:rFonts w:hint="eastAsia" w:asciiTheme="minorEastAsia" w:hAnsiTheme="minorEastAsia" w:eastAsiaTheme="minorEastAsia" w:cstheme="minorEastAsia"/>
        </w:rPr>
        <w:t>一般违约及赔偿</w:t>
      </w:r>
      <w:bookmarkEnd w:id="1808"/>
      <w:bookmarkEnd w:id="1809"/>
      <w:bookmarkEnd w:id="1810"/>
    </w:p>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1811" w:name="_Toc491257857"/>
      <w:bookmarkEnd w:id="1811"/>
      <w:bookmarkStart w:id="1812" w:name="_Toc489988527"/>
      <w:bookmarkEnd w:id="1812"/>
      <w:bookmarkStart w:id="1813" w:name="_Toc490081543"/>
      <w:bookmarkEnd w:id="1813"/>
      <w:bookmarkStart w:id="1814" w:name="_Toc489986266"/>
      <w:bookmarkEnd w:id="1814"/>
      <w:bookmarkStart w:id="1815" w:name="_Toc448056190"/>
      <w:bookmarkEnd w:id="1815"/>
      <w:bookmarkStart w:id="1816" w:name="_Toc491687811"/>
      <w:bookmarkEnd w:id="1816"/>
      <w:bookmarkStart w:id="1817" w:name="_Toc447744577"/>
      <w:bookmarkEnd w:id="1817"/>
      <w:bookmarkStart w:id="1818" w:name="_Toc491680736"/>
      <w:bookmarkEnd w:id="1818"/>
      <w:bookmarkStart w:id="1819" w:name="_Toc448054795"/>
      <w:bookmarkEnd w:id="1819"/>
      <w:bookmarkStart w:id="1820" w:name="_Toc447850116"/>
      <w:bookmarkEnd w:id="1820"/>
      <w:bookmarkStart w:id="1821" w:name="_Toc490036592"/>
      <w:bookmarkEnd w:id="1821"/>
      <w:bookmarkStart w:id="1822" w:name="_Toc454572645"/>
      <w:bookmarkEnd w:id="1822"/>
      <w:bookmarkStart w:id="1823" w:name="_Toc447620521"/>
      <w:bookmarkEnd w:id="1823"/>
      <w:bookmarkStart w:id="1824" w:name="_Toc490090603"/>
      <w:bookmarkEnd w:id="1824"/>
      <w:bookmarkStart w:id="1825" w:name="_Toc448073223"/>
      <w:bookmarkEnd w:id="1825"/>
      <w:bookmarkStart w:id="1826" w:name="_Toc454506825"/>
      <w:bookmarkEnd w:id="1826"/>
      <w:bookmarkStart w:id="1827" w:name="_开票和付款_1"/>
      <w:bookmarkEnd w:id="1827"/>
      <w:bookmarkStart w:id="1828" w:name="_项目公司违约"/>
      <w:bookmarkEnd w:id="1828"/>
      <w:bookmarkStart w:id="1829" w:name="_Toc447743487"/>
      <w:bookmarkEnd w:id="1829"/>
      <w:bookmarkStart w:id="1830" w:name="_Toc447632772"/>
      <w:bookmarkEnd w:id="1830"/>
      <w:bookmarkStart w:id="1831" w:name="_Toc490035202"/>
      <w:bookmarkEnd w:id="1831"/>
      <w:bookmarkStart w:id="1832" w:name="_Toc491688007"/>
      <w:bookmarkEnd w:id="1832"/>
      <w:bookmarkStart w:id="1833" w:name="_Toc448055799"/>
      <w:bookmarkEnd w:id="1833"/>
      <w:bookmarkStart w:id="1834" w:name="_Toc447534625"/>
      <w:bookmarkEnd w:id="1834"/>
      <w:bookmarkStart w:id="1835" w:name="_Toc448051532"/>
      <w:bookmarkEnd w:id="1835"/>
      <w:bookmarkStart w:id="1836" w:name="_Toc493454989"/>
      <w:bookmarkEnd w:id="1836"/>
      <w:bookmarkStart w:id="1837" w:name="_Toc454482364"/>
      <w:bookmarkEnd w:id="1837"/>
      <w:bookmarkStart w:id="1838" w:name="_Toc447534800"/>
      <w:bookmarkEnd w:id="1838"/>
      <w:bookmarkStart w:id="1839" w:name="_Toc448051350"/>
      <w:bookmarkEnd w:id="1839"/>
      <w:bookmarkStart w:id="1840" w:name="_Toc493454029"/>
      <w:bookmarkEnd w:id="1840"/>
      <w:bookmarkStart w:id="1841" w:name="_Toc447847466"/>
      <w:bookmarkEnd w:id="1841"/>
      <w:bookmarkStart w:id="1842" w:name="_Toc489977740"/>
      <w:bookmarkEnd w:id="1842"/>
      <w:bookmarkStart w:id="1843" w:name="_Toc489977921"/>
      <w:bookmarkEnd w:id="1843"/>
      <w:bookmarkStart w:id="1844" w:name="_Toc491193729"/>
      <w:bookmarkEnd w:id="1844"/>
      <w:bookmarkStart w:id="1845" w:name="_特许期期满时项目设施的移交"/>
      <w:bookmarkEnd w:id="1845"/>
      <w:bookmarkStart w:id="1846" w:name="_Toc454489465"/>
      <w:bookmarkEnd w:id="1846"/>
      <w:bookmarkStart w:id="1847" w:name="_Toc448046131"/>
      <w:bookmarkEnd w:id="1847"/>
      <w:bookmarkStart w:id="1848" w:name="_Toc3639"/>
      <w:bookmarkEnd w:id="1848"/>
      <w:bookmarkStart w:id="1849" w:name="_Toc18811"/>
      <w:bookmarkEnd w:id="1849"/>
      <w:bookmarkStart w:id="1850" w:name="_Toc14535"/>
      <w:bookmarkEnd w:id="1850"/>
      <w:bookmarkStart w:id="1851" w:name="_Toc51214007"/>
      <w:bookmarkStart w:id="1852" w:name="_Toc239861139"/>
      <w:bookmarkStart w:id="1853" w:name="_Toc50368776"/>
      <w:bookmarkStart w:id="1854" w:name="_Toc51225685"/>
      <w:bookmarkStart w:id="1855" w:name="_Toc50861949"/>
      <w:bookmarkStart w:id="1856" w:name="_Toc50454022"/>
      <w:bookmarkStart w:id="1857" w:name="_Toc50861813"/>
      <w:bookmarkStart w:id="1858" w:name="_Toc50860444"/>
      <w:bookmarkStart w:id="1859" w:name="_Toc239861143"/>
      <w:bookmarkStart w:id="1860" w:name="_Toc50860439"/>
      <w:bookmarkStart w:id="1861" w:name="_Toc50861808"/>
      <w:bookmarkStart w:id="1862" w:name="_Toc50368771"/>
      <w:bookmarkStart w:id="1863" w:name="_Toc50454017"/>
      <w:bookmarkStart w:id="1864" w:name="_Toc50861944"/>
      <w:bookmarkStart w:id="1865" w:name="_Toc51213987"/>
      <w:bookmarkStart w:id="1866" w:name="_Toc50368750"/>
      <w:bookmarkStart w:id="1867" w:name="_Toc50453996"/>
      <w:bookmarkStart w:id="1868" w:name="_Toc50861923"/>
      <w:bookmarkStart w:id="1869" w:name="_Toc50860418"/>
      <w:bookmarkStart w:id="1870" w:name="_Toc51225665"/>
      <w:bookmarkStart w:id="1871" w:name="_Toc50861787"/>
      <w:bookmarkStart w:id="1872" w:name="_Toc239861102"/>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873" w:name="_项目公司违约_1"/>
      <w:bookmarkEnd w:id="1873"/>
      <w:bookmarkStart w:id="1874" w:name="_Ref447624895"/>
      <w:bookmarkStart w:id="1875" w:name="_Toc12373"/>
      <w:bookmarkStart w:id="1876" w:name="_Toc18600"/>
      <w:bookmarkStart w:id="1877" w:name="_Toc17113"/>
      <w:r>
        <w:rPr>
          <w:rFonts w:hint="eastAsia" w:asciiTheme="minorEastAsia" w:hAnsiTheme="minorEastAsia" w:eastAsiaTheme="minorEastAsia" w:cstheme="minorEastAsia"/>
          <w:color w:val="auto"/>
        </w:rPr>
        <w:t>项目公司违约</w:t>
      </w:r>
      <w:bookmarkEnd w:id="1851"/>
      <w:bookmarkEnd w:id="1852"/>
      <w:bookmarkEnd w:id="1853"/>
      <w:bookmarkEnd w:id="1854"/>
      <w:bookmarkEnd w:id="1855"/>
      <w:bookmarkEnd w:id="1856"/>
      <w:bookmarkEnd w:id="1857"/>
      <w:bookmarkEnd w:id="1858"/>
      <w:bookmarkEnd w:id="1874"/>
      <w:bookmarkEnd w:id="1875"/>
      <w:bookmarkEnd w:id="1876"/>
      <w:bookmarkEnd w:id="1877"/>
    </w:p>
    <w:p>
      <w:pPr>
        <w:pStyle w:val="4"/>
        <w:spacing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本第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_Ref447624895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21.1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条款适用于下述违约情形：</w:t>
      </w:r>
    </w:p>
    <w:p>
      <w:pPr>
        <w:pStyle w:val="5"/>
        <w:rPr>
          <w:rFonts w:hint="eastAsia" w:asciiTheme="minorEastAsia" w:hAnsiTheme="minorEastAsia" w:eastAsiaTheme="minorEastAsia" w:cstheme="minorEastAsia"/>
          <w:color w:val="auto"/>
        </w:rPr>
      </w:pPr>
      <w:bookmarkStart w:id="1878" w:name="_项目公司延误的违约金"/>
      <w:bookmarkEnd w:id="1878"/>
      <w:bookmarkStart w:id="1879" w:name="_Ref447623493"/>
      <w:r>
        <w:rPr>
          <w:rFonts w:hint="eastAsia" w:asciiTheme="minorEastAsia" w:hAnsiTheme="minorEastAsia" w:eastAsiaTheme="minorEastAsia" w:cstheme="minorEastAsia"/>
          <w:color w:val="auto"/>
        </w:rPr>
        <w:t>项目公司及其关联方延误的违约金</w:t>
      </w:r>
      <w:bookmarkEnd w:id="1879"/>
    </w:p>
    <w:p>
      <w:pPr>
        <w:pStyle w:val="6"/>
        <w:rPr>
          <w:rFonts w:hint="eastAsia" w:asciiTheme="minorEastAsia" w:hAnsiTheme="minorEastAsia" w:eastAsiaTheme="minorEastAsia" w:cstheme="minorEastAsia"/>
        </w:rPr>
      </w:pPr>
      <w:bookmarkStart w:id="1880" w:name="_如果发生第9.2条款规定的情况，由于项目公司的原因导致竣工验收日延误，"/>
      <w:bookmarkEnd w:id="1880"/>
      <w:r>
        <w:rPr>
          <w:rFonts w:hint="eastAsia" w:asciiTheme="minorEastAsia" w:hAnsiTheme="minorEastAsia" w:eastAsiaTheme="minorEastAsia" w:cstheme="minorEastAsia"/>
        </w:rPr>
        <w:t>如果发生第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_Ref447624917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9.2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条款规定的情况，由于项目公司及其关联方的原因导致竣工验收日延误，项目公司必须逐日向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支付按照以下标准规定的违约金：</w:t>
      </w:r>
    </w:p>
    <w:p>
      <w:pPr>
        <w:numPr>
          <w:ilvl w:val="0"/>
          <w:numId w:val="23"/>
        </w:numPr>
        <w:spacing w:before="120" w:after="120" w:afterLines="50"/>
        <w:ind w:left="1843" w:hanging="70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第一个延误三十（30）日内，每日支付1万元； </w:t>
      </w:r>
    </w:p>
    <w:p>
      <w:pPr>
        <w:numPr>
          <w:ilvl w:val="0"/>
          <w:numId w:val="23"/>
        </w:numPr>
        <w:spacing w:before="120" w:after="120" w:afterLines="50"/>
        <w:ind w:left="1843" w:hanging="709"/>
        <w:rPr>
          <w:rFonts w:hint="eastAsia" w:asciiTheme="minorEastAsia" w:hAnsiTheme="minorEastAsia" w:eastAsiaTheme="minorEastAsia" w:cstheme="minorEastAsia"/>
        </w:rPr>
      </w:pPr>
      <w:r>
        <w:rPr>
          <w:rFonts w:hint="eastAsia" w:asciiTheme="minorEastAsia" w:hAnsiTheme="minorEastAsia" w:eastAsiaTheme="minorEastAsia" w:cstheme="minorEastAsia"/>
        </w:rPr>
        <w:t>第二个延误三十（30）日内，每日支付2万元；</w:t>
      </w:r>
    </w:p>
    <w:p>
      <w:pPr>
        <w:numPr>
          <w:ilvl w:val="0"/>
          <w:numId w:val="23"/>
        </w:numPr>
        <w:spacing w:before="120" w:after="120" w:afterLines="50"/>
        <w:ind w:left="1843" w:hanging="709"/>
        <w:rPr>
          <w:rFonts w:hint="eastAsia" w:asciiTheme="minorEastAsia" w:hAnsiTheme="minorEastAsia" w:eastAsiaTheme="minorEastAsia" w:cstheme="minorEastAsia"/>
        </w:rPr>
      </w:pPr>
      <w:r>
        <w:rPr>
          <w:rFonts w:hint="eastAsia" w:asciiTheme="minorEastAsia" w:hAnsiTheme="minorEastAsia" w:eastAsiaTheme="minorEastAsia" w:cstheme="minorEastAsia"/>
        </w:rPr>
        <w:t>第三个延误三十（30）日内，每日支付经政府指定机构审定的施工图预算总额的万分之一；</w:t>
      </w:r>
    </w:p>
    <w:p>
      <w:pPr>
        <w:numPr>
          <w:ilvl w:val="0"/>
          <w:numId w:val="23"/>
        </w:numPr>
        <w:spacing w:before="120" w:after="120" w:afterLines="50"/>
        <w:ind w:left="1843" w:hanging="709"/>
        <w:rPr>
          <w:rFonts w:hint="eastAsia" w:asciiTheme="minorEastAsia" w:hAnsiTheme="minorEastAsia" w:eastAsiaTheme="minorEastAsia" w:cstheme="minorEastAsia"/>
        </w:rPr>
      </w:pPr>
      <w:r>
        <w:rPr>
          <w:rFonts w:hint="eastAsia" w:asciiTheme="minorEastAsia" w:hAnsiTheme="minorEastAsia" w:eastAsiaTheme="minorEastAsia" w:cstheme="minorEastAsia"/>
        </w:rPr>
        <w:t>此后延误每日支付经政府指定机构审定的施工图预算总额的万分之二。</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上述违约金应在第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_Ref447624917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9.2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条款的延误总日数的基础上累积，直至已达到竣工验收日。</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该部分违约金作为建设期对项目公司绩效考核结果确定的奖罚金额，将在给予社会资本方的运营维护期第一年的预期投资回报部分可行性缺口补助中进行增减核算。如果当年的预期投资回报不足以抵扣罚款金额，对于不足部分，</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和市财政局有权将不足抵减金额在下一年度的资本金预期投资部分可行性缺口补助中进行扣减，或兑取项目公司提交的运营维护独立保函中的相应金额。</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上述违约金为纯粹处罚性约定，项目公司不得以任何纠纷解决（仲裁或诉讼）中，向处罚单位提出违约金过高并要求降低请求。</w:t>
      </w:r>
    </w:p>
    <w:p>
      <w:pPr>
        <w:pStyle w:val="5"/>
        <w:rPr>
          <w:rFonts w:hint="eastAsia" w:asciiTheme="minorEastAsia" w:hAnsiTheme="minorEastAsia" w:eastAsiaTheme="minorEastAsia" w:cstheme="minorEastAsia"/>
          <w:color w:val="auto"/>
        </w:rPr>
      </w:pPr>
      <w:bookmarkStart w:id="1881" w:name="_项目公司放弃项目的违约金"/>
      <w:bookmarkEnd w:id="1881"/>
      <w:bookmarkStart w:id="1882" w:name="_Ref447624975"/>
      <w:r>
        <w:rPr>
          <w:rFonts w:hint="eastAsia" w:asciiTheme="minorEastAsia" w:hAnsiTheme="minorEastAsia" w:eastAsiaTheme="minorEastAsia" w:cstheme="minorEastAsia"/>
          <w:color w:val="auto"/>
        </w:rPr>
        <w:t>项目公司放弃项目的违约金</w:t>
      </w:r>
      <w:bookmarkEnd w:id="1882"/>
    </w:p>
    <w:p>
      <w:pPr>
        <w:pStyle w:val="6"/>
        <w:rPr>
          <w:rFonts w:hint="eastAsia" w:asciiTheme="minorEastAsia" w:hAnsiTheme="minorEastAsia" w:eastAsiaTheme="minorEastAsia" w:cstheme="minorEastAsia"/>
        </w:rPr>
      </w:pPr>
      <w:bookmarkStart w:id="1883" w:name="_如果发生第9.3.1条款规定的情况，项目公司放弃或被视为放弃项目的建设"/>
      <w:bookmarkEnd w:id="1883"/>
      <w:bookmarkStart w:id="1884" w:name="_Ref447624971"/>
      <w:r>
        <w:rPr>
          <w:rFonts w:hint="eastAsia" w:asciiTheme="minorEastAsia" w:hAnsiTheme="minorEastAsia" w:eastAsiaTheme="minorEastAsia" w:cstheme="minorEastAsia"/>
        </w:rPr>
        <w:t>如果发生第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_Ref447624952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9.4.1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条款规定的情况，项目公司放弃或被视为放弃项目的建设，</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有权兑取项目公司提交的建设履约独立保函。</w:t>
      </w:r>
      <w:bookmarkEnd w:id="1884"/>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获得第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_Ref447624975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21.1.2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_Ref447624971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（a）</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条款规定的违约金的权利不影响其在第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_Ref447624989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22.2.2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条款项下终止本合同的权利。</w:t>
      </w:r>
    </w:p>
    <w:p>
      <w:pPr>
        <w:spacing w:before="120"/>
        <w:rPr>
          <w:rFonts w:hint="eastAsia" w:asciiTheme="minorEastAsia" w:hAnsiTheme="minorEastAsia" w:eastAsiaTheme="minorEastAsia" w:cstheme="minorEastAsia"/>
        </w:rPr>
      </w:pPr>
      <w:r>
        <w:rPr>
          <w:rFonts w:hint="eastAsia" w:asciiTheme="minorEastAsia" w:hAnsiTheme="minorEastAsia" w:eastAsiaTheme="minorEastAsia" w:cstheme="minorEastAsia"/>
        </w:rPr>
        <w:t>21.1.3项目公司其他违约</w:t>
      </w:r>
    </w:p>
    <w:p>
      <w:pPr>
        <w:spacing w:before="12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本项目中标社会资本方在资格预审及投标阶段确定的项目负责人，不得变更，否则，视为中标社会资本方及项目公司违约，由中标社会资本方按照施工图预算总额的千分之五向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支付违约金。</w:t>
      </w:r>
    </w:p>
    <w:p>
      <w:pPr>
        <w:spacing w:before="120"/>
        <w:rPr>
          <w:rFonts w:hint="eastAsia" w:asciiTheme="minorEastAsia" w:hAnsiTheme="minorEastAsia" w:eastAsiaTheme="minorEastAsia" w:cstheme="minorEastAsia"/>
        </w:rPr>
      </w:pP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885" w:name="_Toc87620405"/>
      <w:bookmarkEnd w:id="1885"/>
      <w:bookmarkStart w:id="1886" w:name="_市公用局的违约"/>
      <w:bookmarkEnd w:id="1886"/>
      <w:bookmarkStart w:id="1887" w:name="_在运营期内的任一运营月，如果某一运营日来水量未超过日设计能力，而项目公"/>
      <w:bookmarkEnd w:id="1887"/>
      <w:bookmarkStart w:id="1888" w:name="_Toc87620402"/>
      <w:bookmarkEnd w:id="1888"/>
      <w:bookmarkStart w:id="1889" w:name="_Toc87620222"/>
      <w:bookmarkEnd w:id="1889"/>
      <w:bookmarkStart w:id="1890" w:name="_Toc87620228"/>
      <w:bookmarkEnd w:id="1890"/>
      <w:bookmarkStart w:id="1891" w:name="_管委会建设局的违约"/>
      <w:bookmarkEnd w:id="1891"/>
      <w:bookmarkStart w:id="1892" w:name="_Toc87620401"/>
      <w:bookmarkEnd w:id="1892"/>
      <w:bookmarkStart w:id="1893" w:name="_Toc87620221"/>
      <w:bookmarkEnd w:id="1893"/>
      <w:bookmarkStart w:id="1894" w:name="_实际处理水量不足违约金"/>
      <w:bookmarkEnd w:id="1894"/>
      <w:bookmarkStart w:id="1895" w:name="_计划外暂停服务期间的违约金"/>
      <w:bookmarkEnd w:id="1895"/>
      <w:bookmarkStart w:id="1896" w:name="_Toc87620406"/>
      <w:bookmarkEnd w:id="1896"/>
      <w:bookmarkStart w:id="1897" w:name="_Toc87620226"/>
      <w:bookmarkEnd w:id="1897"/>
      <w:bookmarkStart w:id="1898" w:name="_Toc241724975"/>
      <w:bookmarkEnd w:id="1898"/>
      <w:bookmarkStart w:id="1899" w:name="_Toc87620225"/>
      <w:bookmarkEnd w:id="1899"/>
      <w:bookmarkStart w:id="1900" w:name="_Toc87620408"/>
      <w:bookmarkEnd w:id="1900"/>
      <w:bookmarkStart w:id="1901" w:name="_Toc87620224"/>
      <w:bookmarkEnd w:id="1901"/>
      <w:bookmarkStart w:id="1902" w:name="_水量不足违约金"/>
      <w:bookmarkEnd w:id="1902"/>
      <w:bookmarkStart w:id="1903" w:name="_Toc87620404"/>
      <w:bookmarkEnd w:id="1903"/>
      <w:bookmarkStart w:id="1904" w:name="_Toc19113"/>
      <w:bookmarkStart w:id="1905" w:name="_Toc50860445"/>
      <w:bookmarkStart w:id="1906" w:name="_Toc51225686"/>
      <w:bookmarkStart w:id="1907" w:name="_Toc239861140"/>
      <w:bookmarkStart w:id="1908" w:name="_Toc50368777"/>
      <w:bookmarkStart w:id="1909" w:name="_Toc50861814"/>
      <w:bookmarkStart w:id="1910" w:name="_Toc51214008"/>
      <w:bookmarkStart w:id="1911" w:name="_Toc50454023"/>
      <w:bookmarkStart w:id="1912" w:name="_Toc50861950"/>
      <w:bookmarkStart w:id="1913" w:name="_Ref447625006"/>
      <w:bookmarkStart w:id="1914" w:name="_Toc4339"/>
      <w:bookmarkStart w:id="1915" w:name="_Toc30"/>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的违约</w:t>
      </w:r>
      <w:bookmarkEnd w:id="1904"/>
      <w:bookmarkEnd w:id="1905"/>
      <w:bookmarkEnd w:id="1906"/>
      <w:bookmarkEnd w:id="1907"/>
      <w:bookmarkEnd w:id="1908"/>
      <w:bookmarkEnd w:id="1909"/>
      <w:bookmarkEnd w:id="1910"/>
      <w:bookmarkEnd w:id="1911"/>
      <w:bookmarkEnd w:id="1912"/>
      <w:bookmarkEnd w:id="1913"/>
      <w:bookmarkEnd w:id="1914"/>
      <w:bookmarkEnd w:id="1915"/>
    </w:p>
    <w:p>
      <w:pPr>
        <w:pStyle w:val="4"/>
        <w:spacing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本第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_Ref447625006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21.2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条适用于下述违约情形：</w:t>
      </w:r>
    </w:p>
    <w:p>
      <w:pPr>
        <w:pStyle w:val="5"/>
        <w:rPr>
          <w:rFonts w:hint="eastAsia" w:asciiTheme="minorEastAsia" w:hAnsiTheme="minorEastAsia" w:eastAsiaTheme="minorEastAsia" w:cstheme="minorEastAsia"/>
          <w:color w:val="auto"/>
        </w:rPr>
      </w:pPr>
      <w:bookmarkStart w:id="1916" w:name="_市公用局违约导致商业试运行日或商业运行日延误的违约金"/>
      <w:bookmarkEnd w:id="1916"/>
      <w:r>
        <w:rPr>
          <w:rFonts w:hint="eastAsia" w:asciiTheme="minorEastAsia" w:hAnsiTheme="minorEastAsia" w:eastAsiaTheme="minorEastAsia" w:cstheme="minorEastAsia"/>
          <w:color w:val="auto"/>
        </w:rPr>
        <w:t>由于</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的原因导致竣工日延误，则有关进度日期应根据第6.5.4条款适当延长。</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917" w:name="_项目公司运营期间违约金支付"/>
      <w:bookmarkEnd w:id="1917"/>
      <w:bookmarkStart w:id="1918" w:name="_Toc51225688"/>
      <w:bookmarkStart w:id="1919" w:name="_Toc239861142"/>
      <w:bookmarkStart w:id="1920" w:name="_Toc4921"/>
      <w:bookmarkStart w:id="1921" w:name="_Toc51214010"/>
      <w:bookmarkStart w:id="1922" w:name="_Toc9233"/>
      <w:bookmarkStart w:id="1923" w:name="_Toc6992"/>
      <w:r>
        <w:rPr>
          <w:rFonts w:hint="eastAsia" w:asciiTheme="minorEastAsia" w:hAnsiTheme="minorEastAsia" w:eastAsiaTheme="minorEastAsia" w:cstheme="minorEastAsia"/>
          <w:color w:val="auto"/>
        </w:rPr>
        <w:t>违约金争议</w:t>
      </w:r>
      <w:bookmarkEnd w:id="1918"/>
      <w:bookmarkEnd w:id="1919"/>
      <w:bookmarkEnd w:id="1920"/>
      <w:bookmarkEnd w:id="1921"/>
      <w:bookmarkEnd w:id="1922"/>
      <w:bookmarkEnd w:id="1923"/>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如对违约金金额有争议，应根据</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_Ref490071032 \r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第二十三章　</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解决。</w:t>
      </w:r>
      <w:bookmarkStart w:id="1924" w:name="_Toc51214011"/>
      <w:bookmarkStart w:id="1925" w:name="_Toc51225689"/>
    </w:p>
    <w:bookmarkEnd w:id="1859"/>
    <w:bookmarkEnd w:id="1860"/>
    <w:bookmarkEnd w:id="1861"/>
    <w:bookmarkEnd w:id="1862"/>
    <w:bookmarkEnd w:id="1863"/>
    <w:bookmarkEnd w:id="1864"/>
    <w:bookmarkEnd w:id="1924"/>
    <w:bookmarkEnd w:id="1925"/>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926" w:name="_其他违约赔偿"/>
      <w:bookmarkEnd w:id="1926"/>
      <w:bookmarkStart w:id="1927" w:name="_Ref447621311"/>
      <w:bookmarkStart w:id="1928" w:name="_Toc51225690"/>
      <w:bookmarkStart w:id="1929" w:name="_Toc2684"/>
      <w:bookmarkStart w:id="1930" w:name="_Toc51214012"/>
      <w:bookmarkStart w:id="1931" w:name="_Toc239861144"/>
      <w:bookmarkStart w:id="1932" w:name="_Toc11884"/>
      <w:bookmarkStart w:id="1933" w:name="_Toc24680"/>
      <w:r>
        <w:rPr>
          <w:rFonts w:hint="eastAsia" w:asciiTheme="minorEastAsia" w:hAnsiTheme="minorEastAsia" w:eastAsiaTheme="minorEastAsia" w:cstheme="minorEastAsia"/>
          <w:color w:val="auto"/>
        </w:rPr>
        <w:t>其他违约赔偿</w:t>
      </w:r>
      <w:bookmarkEnd w:id="1927"/>
      <w:bookmarkEnd w:id="1928"/>
      <w:bookmarkEnd w:id="1929"/>
      <w:bookmarkEnd w:id="1930"/>
      <w:bookmarkEnd w:id="1931"/>
      <w:bookmarkEnd w:id="1932"/>
      <w:bookmarkEnd w:id="1933"/>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受限于本合同的其他规定，每一方应有权获得因违约方违约而使该方遭受的任何损失、支出和费用的赔偿，该项赔偿由违约方支付。</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934" w:name="_Toc51225691"/>
      <w:bookmarkStart w:id="1935" w:name="_Toc50368772"/>
      <w:bookmarkStart w:id="1936" w:name="_Toc50454018"/>
      <w:bookmarkStart w:id="1937" w:name="_Toc50861809"/>
      <w:bookmarkStart w:id="1938" w:name="_Toc51214013"/>
      <w:bookmarkStart w:id="1939" w:name="_Toc50861945"/>
      <w:bookmarkStart w:id="1940" w:name="_Toc239861145"/>
      <w:bookmarkStart w:id="1941" w:name="_Toc50860440"/>
      <w:bookmarkStart w:id="1942" w:name="_Toc29168"/>
      <w:bookmarkStart w:id="1943" w:name="_Toc27946"/>
      <w:bookmarkStart w:id="1944" w:name="_Toc24066"/>
      <w:r>
        <w:rPr>
          <w:rFonts w:hint="eastAsia" w:asciiTheme="minorEastAsia" w:hAnsiTheme="minorEastAsia" w:eastAsiaTheme="minorEastAsia" w:cstheme="minorEastAsia"/>
          <w:color w:val="auto"/>
        </w:rPr>
        <w:t>免责</w:t>
      </w:r>
      <w:bookmarkEnd w:id="1934"/>
      <w:bookmarkEnd w:id="1935"/>
      <w:bookmarkEnd w:id="1936"/>
      <w:bookmarkEnd w:id="1937"/>
      <w:bookmarkEnd w:id="1938"/>
      <w:bookmarkEnd w:id="1939"/>
      <w:bookmarkEnd w:id="1940"/>
      <w:bookmarkEnd w:id="1941"/>
      <w:bookmarkEnd w:id="1942"/>
      <w:bookmarkEnd w:id="1943"/>
      <w:bookmarkEnd w:id="1944"/>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如果一方证明其未履行义务是由于第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_Ref447625026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18.1</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条规定的法律变更、或</w:t>
      </w:r>
      <w:r>
        <w:rPr>
          <w:rStyle w:val="44"/>
          <w:rFonts w:hint="eastAsia" w:asciiTheme="minorEastAsia" w:hAnsiTheme="minorEastAsia" w:eastAsiaTheme="minorEastAsia" w:cstheme="minorEastAsia"/>
          <w:color w:val="auto"/>
          <w:u w:val="none"/>
        </w:rPr>
        <w:t>第</w:t>
      </w:r>
      <w:r>
        <w:rPr>
          <w:rStyle w:val="44"/>
          <w:rFonts w:hint="eastAsia" w:asciiTheme="minorEastAsia" w:hAnsiTheme="minorEastAsia" w:eastAsiaTheme="minorEastAsia" w:cstheme="minorEastAsia"/>
          <w:color w:val="auto"/>
          <w:u w:val="none"/>
        </w:rPr>
        <w:fldChar w:fldCharType="begin"/>
      </w:r>
      <w:r>
        <w:rPr>
          <w:rStyle w:val="44"/>
          <w:rFonts w:hint="eastAsia" w:asciiTheme="minorEastAsia" w:hAnsiTheme="minorEastAsia" w:eastAsiaTheme="minorEastAsia" w:cstheme="minorEastAsia"/>
          <w:color w:val="auto"/>
          <w:u w:val="none"/>
        </w:rPr>
        <w:instrText xml:space="preserve"> REF _Ref447625040 \r \h  \* MERGEFORMAT </w:instrText>
      </w:r>
      <w:r>
        <w:rPr>
          <w:rStyle w:val="44"/>
          <w:rFonts w:hint="eastAsia" w:asciiTheme="minorEastAsia" w:hAnsiTheme="minorEastAsia" w:eastAsiaTheme="minorEastAsia" w:cstheme="minorEastAsia"/>
          <w:color w:val="auto"/>
          <w:u w:val="none"/>
        </w:rPr>
        <w:fldChar w:fldCharType="separate"/>
      </w:r>
      <w:r>
        <w:rPr>
          <w:rStyle w:val="44"/>
          <w:rFonts w:hint="eastAsia" w:asciiTheme="minorEastAsia" w:hAnsiTheme="minorEastAsia" w:eastAsiaTheme="minorEastAsia" w:cstheme="minorEastAsia"/>
          <w:color w:val="auto"/>
          <w:u w:val="none"/>
        </w:rPr>
        <w:t>19.1</w:t>
      </w:r>
      <w:r>
        <w:rPr>
          <w:rStyle w:val="44"/>
          <w:rFonts w:hint="eastAsia" w:asciiTheme="minorEastAsia" w:hAnsiTheme="minorEastAsia" w:eastAsiaTheme="minorEastAsia" w:cstheme="minorEastAsia"/>
          <w:color w:val="auto"/>
          <w:u w:val="none"/>
        </w:rPr>
        <w:fldChar w:fldCharType="end"/>
      </w:r>
      <w:r>
        <w:rPr>
          <w:rStyle w:val="44"/>
          <w:rFonts w:hint="eastAsia" w:asciiTheme="minorEastAsia" w:hAnsiTheme="minorEastAsia" w:eastAsiaTheme="minorEastAsia" w:cstheme="minorEastAsia"/>
          <w:color w:val="auto"/>
          <w:u w:val="none"/>
        </w:rPr>
        <w:t>条</w:t>
      </w:r>
      <w:r>
        <w:rPr>
          <w:rFonts w:hint="eastAsia" w:asciiTheme="minorEastAsia" w:hAnsiTheme="minorEastAsia" w:eastAsiaTheme="minorEastAsia" w:cstheme="minorEastAsia"/>
          <w:color w:val="auto"/>
        </w:rPr>
        <w:t>规定的不可抗力事件（但声称受到不可抗力事件影响的一方应在知道不可抗力事件之后在十五（15）日内未书面通知另一方的情形除外）或对方的违约造成的，则不构成该方违约。</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尽管有上述规定，在发生法律变更的情况下应适用第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_Ref447625056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18.2</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条的规定。</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945" w:name="_Toc50368773"/>
      <w:bookmarkStart w:id="1946" w:name="_Toc50861810"/>
      <w:bookmarkStart w:id="1947" w:name="_Toc50860441"/>
      <w:bookmarkStart w:id="1948" w:name="_Toc51214014"/>
      <w:bookmarkStart w:id="1949" w:name="_Toc51225692"/>
      <w:bookmarkStart w:id="1950" w:name="_Toc50454019"/>
      <w:bookmarkStart w:id="1951" w:name="_Toc713"/>
      <w:bookmarkStart w:id="1952" w:name="_Toc239861146"/>
      <w:bookmarkStart w:id="1953" w:name="_Toc50861946"/>
      <w:bookmarkStart w:id="1954" w:name="_Toc23729"/>
      <w:bookmarkStart w:id="1955" w:name="_Toc3007"/>
      <w:r>
        <w:rPr>
          <w:rFonts w:hint="eastAsia" w:asciiTheme="minorEastAsia" w:hAnsiTheme="minorEastAsia" w:eastAsiaTheme="minorEastAsia" w:cstheme="minorEastAsia"/>
          <w:color w:val="auto"/>
        </w:rPr>
        <w:t>减轻损失的措施</w:t>
      </w:r>
      <w:bookmarkEnd w:id="1945"/>
      <w:bookmarkEnd w:id="1946"/>
      <w:bookmarkEnd w:id="1947"/>
      <w:bookmarkEnd w:id="1948"/>
      <w:bookmarkEnd w:id="1949"/>
      <w:bookmarkEnd w:id="1950"/>
      <w:bookmarkEnd w:id="1951"/>
      <w:bookmarkEnd w:id="1952"/>
      <w:bookmarkEnd w:id="1953"/>
      <w:bookmarkEnd w:id="1954"/>
      <w:bookmarkEnd w:id="1955"/>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由于另一方违约而遭受损失或可能会遭受损失的一方应采取合理行动减轻或最大程度地减少另一方违约引起的损失。</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如果一方未能采取此类措施，违约方可以请求从赔偿金额中扣除应能够减轻或减少的损失金额。</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受损害的一方应有权从另一方获得因试图减轻和减少损失而合理发生的任何费用。</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956" w:name="_Toc11732"/>
      <w:bookmarkStart w:id="1957" w:name="_Toc51214015"/>
      <w:bookmarkStart w:id="1958" w:name="_Toc50861947"/>
      <w:bookmarkStart w:id="1959" w:name="_Toc239861147"/>
      <w:bookmarkStart w:id="1960" w:name="_Toc50860442"/>
      <w:bookmarkStart w:id="1961" w:name="_Toc50861811"/>
      <w:bookmarkStart w:id="1962" w:name="_Toc51225693"/>
      <w:bookmarkStart w:id="1963" w:name="_Toc50454020"/>
      <w:bookmarkStart w:id="1964" w:name="_Toc50368774"/>
      <w:bookmarkStart w:id="1965" w:name="_Toc31558"/>
      <w:bookmarkStart w:id="1966" w:name="_Toc10070"/>
      <w:r>
        <w:rPr>
          <w:rFonts w:hint="eastAsia" w:asciiTheme="minorEastAsia" w:hAnsiTheme="minorEastAsia" w:eastAsiaTheme="minorEastAsia" w:cstheme="minorEastAsia"/>
          <w:color w:val="auto"/>
        </w:rPr>
        <w:t>部分由于受损害方造成的损失</w:t>
      </w:r>
      <w:bookmarkEnd w:id="1956"/>
      <w:bookmarkEnd w:id="1957"/>
      <w:bookmarkEnd w:id="1958"/>
      <w:bookmarkEnd w:id="1959"/>
      <w:bookmarkEnd w:id="1960"/>
      <w:bookmarkEnd w:id="1961"/>
      <w:bookmarkEnd w:id="1962"/>
      <w:bookmarkEnd w:id="1963"/>
      <w:bookmarkEnd w:id="1964"/>
      <w:bookmarkEnd w:id="1965"/>
      <w:bookmarkEnd w:id="1966"/>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如果损失是由于受损害方的作为或不作为造成的，或产生于应由受损害方承担风险的另一事件，赔偿的数额应扣除这些因素造成的损失。</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1967" w:name="_Toc447850125"/>
      <w:bookmarkEnd w:id="1967"/>
      <w:bookmarkStart w:id="1968" w:name="_Toc447847474"/>
      <w:bookmarkEnd w:id="1968"/>
      <w:bookmarkStart w:id="1969" w:name="_Toc447850124"/>
      <w:bookmarkEnd w:id="1969"/>
      <w:bookmarkStart w:id="1970" w:name="_Toc447847475"/>
      <w:bookmarkEnd w:id="1970"/>
      <w:bookmarkStart w:id="1971" w:name="_正常终止"/>
      <w:bookmarkEnd w:id="1971"/>
      <w:bookmarkStart w:id="1972" w:name="_Toc51214016"/>
      <w:bookmarkStart w:id="1973" w:name="_Toc50861812"/>
      <w:bookmarkStart w:id="1974" w:name="_Toc50454021"/>
      <w:bookmarkStart w:id="1975" w:name="_Toc14943"/>
      <w:bookmarkStart w:id="1976" w:name="_Toc51225694"/>
      <w:bookmarkStart w:id="1977" w:name="_Toc50860443"/>
      <w:bookmarkStart w:id="1978" w:name="_Toc239861148"/>
      <w:bookmarkStart w:id="1979" w:name="_Toc50368775"/>
      <w:bookmarkStart w:id="1980" w:name="_Toc50861948"/>
      <w:bookmarkStart w:id="1981" w:name="_Toc18100"/>
      <w:bookmarkStart w:id="1982" w:name="_Toc23769"/>
      <w:bookmarkStart w:id="1983" w:name="_Toc239861127"/>
      <w:r>
        <w:rPr>
          <w:rFonts w:hint="eastAsia" w:asciiTheme="minorEastAsia" w:hAnsiTheme="minorEastAsia" w:eastAsiaTheme="minorEastAsia" w:cstheme="minorEastAsia"/>
          <w:color w:val="auto"/>
        </w:rPr>
        <w:t>对间接损失不负责任</w:t>
      </w:r>
      <w:bookmarkEnd w:id="1972"/>
      <w:bookmarkEnd w:id="1973"/>
      <w:bookmarkEnd w:id="1974"/>
      <w:bookmarkEnd w:id="1975"/>
      <w:bookmarkEnd w:id="1976"/>
      <w:bookmarkEnd w:id="1977"/>
      <w:bookmarkEnd w:id="1978"/>
      <w:bookmarkEnd w:id="1979"/>
      <w:bookmarkEnd w:id="1980"/>
      <w:bookmarkEnd w:id="1981"/>
      <w:bookmarkEnd w:id="1982"/>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除非本合同另有规定，各方均不应对由于或根据本合同产生的或与其相关的任何索赔为对方的任何间接、特殊或附带损失或惩罚性损害赔偿负责。</w:t>
      </w:r>
      <w:bookmarkStart w:id="1984" w:name="_市公用局的终止"/>
      <w:bookmarkEnd w:id="1984"/>
      <w:bookmarkStart w:id="1985" w:name="_协议的终止"/>
      <w:bookmarkEnd w:id="1985"/>
    </w:p>
    <w:p>
      <w:pPr>
        <w:pStyle w:val="37"/>
        <w:spacing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bookmarkStart w:id="1986" w:name="_Toc14443"/>
      <w:bookmarkStart w:id="1987" w:name="_Ref489987852"/>
      <w:bookmarkStart w:id="1988" w:name="_Toc25303"/>
      <w:bookmarkStart w:id="1989" w:name="_Toc32622"/>
      <w:r>
        <w:rPr>
          <w:rFonts w:hint="eastAsia" w:asciiTheme="minorEastAsia" w:hAnsiTheme="minorEastAsia" w:eastAsiaTheme="minorEastAsia" w:cstheme="minorEastAsia"/>
        </w:rPr>
        <w:t>终止</w:t>
      </w:r>
      <w:bookmarkEnd w:id="1986"/>
      <w:bookmarkEnd w:id="1987"/>
      <w:bookmarkEnd w:id="1988"/>
      <w:bookmarkEnd w:id="1989"/>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1990" w:name="_Toc448051360"/>
      <w:bookmarkEnd w:id="1990"/>
      <w:bookmarkStart w:id="1991" w:name="_Toc490081553"/>
      <w:bookmarkEnd w:id="1991"/>
      <w:bookmarkStart w:id="1992" w:name="_Toc454572655"/>
      <w:bookmarkEnd w:id="1992"/>
      <w:bookmarkStart w:id="1993" w:name="_Toc491257867"/>
      <w:bookmarkEnd w:id="1993"/>
      <w:bookmarkStart w:id="1994" w:name="_Toc454489475"/>
      <w:bookmarkEnd w:id="1994"/>
      <w:bookmarkStart w:id="1995" w:name="_Toc489977931"/>
      <w:bookmarkEnd w:id="1995"/>
      <w:bookmarkStart w:id="1996" w:name="_Toc11566"/>
      <w:bookmarkEnd w:id="1996"/>
      <w:bookmarkStart w:id="1997" w:name="_Toc491680746"/>
      <w:bookmarkEnd w:id="1997"/>
      <w:bookmarkStart w:id="1998" w:name="_Toc447632783"/>
      <w:bookmarkEnd w:id="1998"/>
      <w:bookmarkStart w:id="1999" w:name="_Toc448073233"/>
      <w:bookmarkEnd w:id="1999"/>
      <w:bookmarkStart w:id="2000" w:name="_Toc448055809"/>
      <w:bookmarkEnd w:id="2000"/>
      <w:bookmarkStart w:id="2001" w:name="_Toc448056200"/>
      <w:bookmarkEnd w:id="2001"/>
      <w:bookmarkStart w:id="2002" w:name="_Toc447743498"/>
      <w:bookmarkEnd w:id="2002"/>
      <w:bookmarkStart w:id="2003" w:name="_Toc489986276"/>
      <w:bookmarkEnd w:id="2003"/>
      <w:bookmarkStart w:id="2004" w:name="_Toc490036602"/>
      <w:bookmarkEnd w:id="2004"/>
      <w:bookmarkStart w:id="2005" w:name="_Toc448046141"/>
      <w:bookmarkEnd w:id="2005"/>
      <w:bookmarkStart w:id="2006" w:name="_Toc448051542"/>
      <w:bookmarkEnd w:id="2006"/>
      <w:bookmarkStart w:id="2007" w:name="_Toc454506835"/>
      <w:bookmarkEnd w:id="2007"/>
      <w:bookmarkStart w:id="2008" w:name="_Toc493454999"/>
      <w:bookmarkEnd w:id="2008"/>
      <w:bookmarkStart w:id="2009" w:name="_Toc447744588"/>
      <w:bookmarkEnd w:id="2009"/>
      <w:bookmarkStart w:id="2010" w:name="_Toc491688017"/>
      <w:bookmarkEnd w:id="2010"/>
      <w:bookmarkStart w:id="2011" w:name="_Toc491687821"/>
      <w:bookmarkEnd w:id="2011"/>
      <w:bookmarkStart w:id="2012" w:name="_Toc447534811"/>
      <w:bookmarkEnd w:id="2012"/>
      <w:bookmarkStart w:id="2013" w:name="_Toc489988537"/>
      <w:bookmarkEnd w:id="2013"/>
      <w:bookmarkStart w:id="2014" w:name="_Toc491193739"/>
      <w:bookmarkEnd w:id="2014"/>
      <w:bookmarkStart w:id="2015" w:name="_Toc447620532"/>
      <w:bookmarkEnd w:id="2015"/>
      <w:bookmarkStart w:id="2016" w:name="_Toc447847478"/>
      <w:bookmarkEnd w:id="2016"/>
      <w:bookmarkStart w:id="2017" w:name="_Toc490035212"/>
      <w:bookmarkEnd w:id="2017"/>
      <w:bookmarkStart w:id="2018" w:name="_Toc490090613"/>
      <w:bookmarkEnd w:id="2018"/>
      <w:bookmarkStart w:id="2019" w:name="_由建设管理局主张的提前终止"/>
      <w:bookmarkEnd w:id="2019"/>
      <w:bookmarkStart w:id="2020" w:name="_由市公用局主张的提前终止"/>
      <w:bookmarkEnd w:id="2020"/>
      <w:bookmarkStart w:id="2021" w:name="_Toc493454039"/>
      <w:bookmarkEnd w:id="2021"/>
      <w:bookmarkStart w:id="2022" w:name="_Toc489977750"/>
      <w:bookmarkEnd w:id="2022"/>
      <w:bookmarkStart w:id="2023" w:name="_市公用局的提前终止"/>
      <w:bookmarkEnd w:id="2023"/>
      <w:bookmarkStart w:id="2024" w:name="_Toc448054805"/>
      <w:bookmarkEnd w:id="2024"/>
      <w:bookmarkStart w:id="2025" w:name="_Toc454482374"/>
      <w:bookmarkEnd w:id="2025"/>
      <w:bookmarkStart w:id="2026" w:name="_Toc447534635"/>
      <w:bookmarkEnd w:id="2026"/>
      <w:bookmarkStart w:id="2027" w:name="_Toc447850128"/>
      <w:bookmarkEnd w:id="2027"/>
      <w:bookmarkStart w:id="2028" w:name="_Toc30554"/>
      <w:bookmarkEnd w:id="2028"/>
      <w:bookmarkStart w:id="2029" w:name="_Toc31366"/>
      <w:bookmarkEnd w:id="2029"/>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030" w:name="_合作期正常终止"/>
      <w:bookmarkEnd w:id="2030"/>
      <w:bookmarkStart w:id="2031" w:name="_Ref447621055"/>
      <w:bookmarkStart w:id="2032" w:name="_Toc13410"/>
      <w:bookmarkStart w:id="2033" w:name="_Toc4728"/>
      <w:bookmarkStart w:id="2034" w:name="_Toc7205"/>
      <w:r>
        <w:rPr>
          <w:rFonts w:hint="eastAsia" w:asciiTheme="minorEastAsia" w:hAnsiTheme="minorEastAsia" w:eastAsiaTheme="minorEastAsia" w:cstheme="minorEastAsia"/>
          <w:color w:val="auto"/>
        </w:rPr>
        <w:t>合作期正常终止</w:t>
      </w:r>
      <w:bookmarkEnd w:id="2031"/>
      <w:bookmarkEnd w:id="2032"/>
      <w:bookmarkEnd w:id="2033"/>
      <w:bookmarkEnd w:id="2034"/>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如果本项目的合作期未根据本合同提前结束，则社会资本方应于合作期结束之日（该日即为正常终止日），按照第2</w:t>
      </w:r>
      <w:r>
        <w:rPr>
          <w:rFonts w:hint="eastAsia" w:asciiTheme="minorEastAsia" w:hAnsiTheme="minorEastAsia" w:eastAsiaTheme="minorEastAsia" w:cstheme="minorEastAsia"/>
          <w:color w:val="auto"/>
          <w:lang w:val="en-US" w:eastAsia="zh-CN"/>
        </w:rPr>
        <w:t>2</w:t>
      </w:r>
      <w:r>
        <w:rPr>
          <w:rFonts w:hint="eastAsia" w:asciiTheme="minorEastAsia" w:hAnsiTheme="minorEastAsia" w:eastAsiaTheme="minorEastAsia" w:cstheme="minorEastAsia"/>
          <w:color w:val="auto"/>
        </w:rPr>
        <w:t>.8.1条款的规定，向市政府指定机构移交在项目公司中的股权。</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035" w:name="_合作期提前终止"/>
      <w:bookmarkEnd w:id="2035"/>
      <w:bookmarkStart w:id="2036" w:name="_Toc6083"/>
      <w:bookmarkStart w:id="2037" w:name="_Ref447625387"/>
      <w:bookmarkStart w:id="2038" w:name="_Ref447625354"/>
      <w:bookmarkStart w:id="2039" w:name="_Toc15582"/>
      <w:bookmarkStart w:id="2040" w:name="_Toc3138"/>
      <w:r>
        <w:rPr>
          <w:rFonts w:hint="eastAsia" w:asciiTheme="minorEastAsia" w:hAnsiTheme="minorEastAsia" w:eastAsiaTheme="minorEastAsia" w:cstheme="minorEastAsia"/>
          <w:color w:val="auto"/>
        </w:rPr>
        <w:t>合作期提前终止</w:t>
      </w:r>
      <w:bookmarkEnd w:id="2036"/>
      <w:bookmarkEnd w:id="2037"/>
      <w:bookmarkEnd w:id="2038"/>
      <w:bookmarkEnd w:id="2039"/>
      <w:bookmarkEnd w:id="2040"/>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和项目公司可依据第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_Ref447625090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22.5</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_Ref447625102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22.6</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条提前终止。</w:t>
      </w:r>
    </w:p>
    <w:p>
      <w:pPr>
        <w:pStyle w:val="5"/>
        <w:rPr>
          <w:rFonts w:hint="eastAsia" w:asciiTheme="minorEastAsia" w:hAnsiTheme="minorEastAsia" w:eastAsiaTheme="minorEastAsia" w:cstheme="minorEastAsia"/>
          <w:color w:val="auto"/>
        </w:rPr>
      </w:pPr>
      <w:bookmarkStart w:id="2041" w:name="_市建委可依据第21.3条及第21.7条，提前终止合作期。"/>
      <w:bookmarkEnd w:id="2041"/>
      <w:bookmarkStart w:id="2042" w:name="_Ref447624989"/>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可依据第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_Ref447625123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22.3</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条及第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_Ref447625129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22.7</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条，发出提前终止意向通知。</w:t>
      </w:r>
      <w:bookmarkEnd w:id="2042"/>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项目公司可依据第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_Ref447625152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22.4</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条及第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_Ref447625129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22.7</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条，发出提终止意向通知。</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若经</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和项目公司双方友好协商并达成一致，本合同可提前终止。</w:t>
      </w:r>
    </w:p>
    <w:bookmarkEnd w:id="1983"/>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043" w:name="_项目公司严重违约事件"/>
      <w:bookmarkEnd w:id="2043"/>
      <w:bookmarkStart w:id="2044" w:name="_Toc18007"/>
      <w:bookmarkStart w:id="2045" w:name="_Ref447625123"/>
      <w:bookmarkStart w:id="2046" w:name="_Ref447621331"/>
      <w:bookmarkStart w:id="2047" w:name="_Ref447625278"/>
      <w:bookmarkStart w:id="2048" w:name="_Toc31070"/>
      <w:bookmarkStart w:id="2049" w:name="_Toc12296"/>
      <w:r>
        <w:rPr>
          <w:rFonts w:hint="eastAsia" w:asciiTheme="minorEastAsia" w:hAnsiTheme="minorEastAsia" w:eastAsiaTheme="minorEastAsia" w:cstheme="minorEastAsia"/>
          <w:color w:val="auto"/>
        </w:rPr>
        <w:t>项目公司严重违约事件</w:t>
      </w:r>
      <w:bookmarkEnd w:id="2044"/>
      <w:bookmarkEnd w:id="2045"/>
      <w:bookmarkEnd w:id="2046"/>
      <w:bookmarkEnd w:id="2047"/>
      <w:bookmarkEnd w:id="2048"/>
      <w:bookmarkEnd w:id="2049"/>
    </w:p>
    <w:p>
      <w:pPr>
        <w:pStyle w:val="47"/>
        <w:widowControl w:val="0"/>
        <w:spacing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下述每一条款所述事件，如果不是由于</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的违约或延误或由于不可抗力事件或法律变更规定的情况（本合同另有规定除外）所致，如果有允许的纠正期限而在该期限内未能纠正，</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有权立即发出提前终止意向通知：</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社会资本方未根据股东协议和公司章程的规定履行向项目公司的出资义务；</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项目公司根据中国法律进行清算或不能清偿大额到期债务；</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项目公司在第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_Ref447621293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1.4.1</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 xml:space="preserve">条款中的任何声明被证明实质不属实，使项目公司无法履行本合同； </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根据第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_Ref447625185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9.4</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条，项目公司放弃或视为放弃项目的建设；</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项目公司擅自转让</w:t>
      </w:r>
      <w:r>
        <w:rPr>
          <w:rFonts w:hint="eastAsia" w:asciiTheme="minorEastAsia" w:hAnsiTheme="minorEastAsia" w:eastAsiaTheme="minorEastAsia" w:cstheme="minorEastAsia"/>
          <w:color w:val="auto"/>
          <w:lang w:val="en-US" w:eastAsia="zh-CN"/>
        </w:rPr>
        <w:t>所持有的项目公司的股权或合同项下的权利义务的</w:t>
      </w:r>
      <w:r>
        <w:rPr>
          <w:rFonts w:hint="eastAsia" w:asciiTheme="minorEastAsia" w:hAnsiTheme="minorEastAsia" w:eastAsiaTheme="minorEastAsia" w:cstheme="minorEastAsia"/>
          <w:color w:val="auto"/>
        </w:rPr>
        <w:t>、出租经营权的；</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发生第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_Ref448045808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20.1.6</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条款的任一事项的；</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未经</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事先书面同意，且并非用于为项目融资之目的，项目公司对项目设施及有关财产以及其在项目合同项下获得的权利设定任何抵押、质押或其它担保物权及第三方权益；</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项目公司未根据</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_Ref491250421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第十五章　</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的要求提交和恢复建设履约独立保函、运营维护独立保函和移交维修独立保函；</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根据第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_Ref447740729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14.2.</w:t>
      </w:r>
      <w:r>
        <w:rPr>
          <w:rFonts w:hint="eastAsia" w:asciiTheme="minorEastAsia" w:hAnsiTheme="minorEastAsia" w:eastAsiaTheme="minorEastAsia" w:cstheme="minorEastAsia"/>
          <w:color w:val="auto"/>
          <w:lang w:val="en-US" w:eastAsia="zh-CN"/>
        </w:rPr>
        <w:t>4  5</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条款，如果连续两年年度绩效考核得分在65分以下的；</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项目公司未履行本合同项下的义务构成对本合同的实质性违约，并且在收到</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说明其违约并要求补救的书面通知后六十（60）日内仍未能补救该实质性违约；</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在项目合作期，由于项目公司原因导致项目遭受重大损失，且该等损失无法通过建设履约独立保函/运营维护独立保函/移交维修独立保函和保险赔偿所弥补的；</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根据本合同其他条款的规定</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有权提前终止合同的。</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color w:val="auto"/>
          <w:sz w:val="22"/>
          <w:szCs w:val="22"/>
          <w:lang w:val="en-US" w:eastAsia="zh-CN"/>
        </w:rPr>
        <w:t xml:space="preserve">22.3.13 </w:t>
      </w:r>
      <w:r>
        <w:rPr>
          <w:rFonts w:hint="eastAsia" w:asciiTheme="minorEastAsia" w:hAnsiTheme="minorEastAsia" w:eastAsiaTheme="minorEastAsia" w:cstheme="minorEastAsia"/>
          <w:color w:val="auto"/>
          <w:lang w:val="en-US" w:eastAsia="zh-CN"/>
        </w:rPr>
        <w:t>经有关部门鉴定出现严重工程质量问题的。</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050" w:name="_Toc87620385"/>
      <w:bookmarkEnd w:id="2050"/>
      <w:bookmarkStart w:id="2051" w:name="_市建委严重违约事件"/>
      <w:bookmarkEnd w:id="2051"/>
      <w:bookmarkStart w:id="2052" w:name="_Toc87620205"/>
      <w:bookmarkEnd w:id="2052"/>
      <w:bookmarkStart w:id="2053" w:name="_项目公司主张的提前终止"/>
      <w:bookmarkEnd w:id="2053"/>
      <w:bookmarkStart w:id="2054" w:name="_Toc87620206"/>
      <w:bookmarkEnd w:id="2054"/>
      <w:bookmarkStart w:id="2055" w:name="_Toc87620207"/>
      <w:bookmarkEnd w:id="2055"/>
      <w:bookmarkStart w:id="2056" w:name="_Toc87620387"/>
      <w:bookmarkEnd w:id="2056"/>
      <w:bookmarkStart w:id="2057" w:name="_Toc87620386"/>
      <w:bookmarkEnd w:id="2057"/>
      <w:bookmarkStart w:id="2058" w:name="_项目公司的提前终止"/>
      <w:bookmarkEnd w:id="2058"/>
      <w:bookmarkStart w:id="2059" w:name="_Ref447621373"/>
      <w:bookmarkStart w:id="2060" w:name="_Toc9570"/>
      <w:bookmarkStart w:id="2061" w:name="_Ref447625152"/>
      <w:bookmarkStart w:id="2062" w:name="_Ref447625285"/>
      <w:bookmarkStart w:id="2063" w:name="_Toc17397"/>
      <w:bookmarkStart w:id="2064" w:name="_Toc20682"/>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严重违约事件</w:t>
      </w:r>
      <w:bookmarkEnd w:id="2059"/>
      <w:bookmarkEnd w:id="2060"/>
      <w:bookmarkEnd w:id="2061"/>
      <w:bookmarkEnd w:id="2062"/>
      <w:bookmarkEnd w:id="2063"/>
      <w:bookmarkEnd w:id="2064"/>
    </w:p>
    <w:p>
      <w:pPr>
        <w:pStyle w:val="47"/>
        <w:widowControl w:val="0"/>
        <w:spacing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下述每一条款所述事件，如果不是由于项目公司的违约或由于不可抗力事件或法律变更所致，且如果有允许的纠正期限而在该期限内未能纠正，项目公司有权立即发出提前终止意向通知：</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在第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_Ref447621346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1.4.2</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条款中的任何声明被证明在实质方面不实，使</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履行本合同的能力受到严重的不利影响；</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未履行本合同项下的其他重要义务并构成对本合同的重大违约，并且在收到项目公司说明其违约并要求补救的书面通知后六十（60）日内仍未能补救该违约；</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未按照第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_Ref447625229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13.2</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条规定支付可行性缺口补助，并已超过了一百八十（180）日。</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065" w:name="_因不可抗力导致的提前终止"/>
      <w:bookmarkEnd w:id="2065"/>
      <w:bookmarkStart w:id="2066" w:name="_Ref447625090"/>
      <w:bookmarkStart w:id="2067" w:name="_Ref447624766"/>
      <w:bookmarkStart w:id="2068" w:name="_Toc239861129"/>
      <w:bookmarkStart w:id="2069" w:name="_Toc10527"/>
      <w:bookmarkStart w:id="2070" w:name="_Toc73037220"/>
      <w:bookmarkStart w:id="2071" w:name="_Toc2652"/>
      <w:bookmarkStart w:id="2072" w:name="_Toc9228"/>
      <w:r>
        <w:rPr>
          <w:rFonts w:hint="eastAsia" w:asciiTheme="minorEastAsia" w:hAnsiTheme="minorEastAsia" w:eastAsiaTheme="minorEastAsia" w:cstheme="minorEastAsia"/>
          <w:color w:val="auto"/>
        </w:rPr>
        <w:t>因不可抗力导致的提前终止</w:t>
      </w:r>
      <w:bookmarkEnd w:id="2066"/>
      <w:bookmarkEnd w:id="2067"/>
      <w:bookmarkEnd w:id="2068"/>
      <w:bookmarkEnd w:id="2069"/>
      <w:bookmarkEnd w:id="2070"/>
      <w:bookmarkEnd w:id="2071"/>
      <w:bookmarkEnd w:id="2072"/>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任何一方有权根据第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_Ref447625245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19.8</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条的规定向另一方发出提前终止通知。</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073" w:name="_因法律变更导致项目可行性受到严重不利影响的提前终止"/>
      <w:bookmarkEnd w:id="2073"/>
      <w:bookmarkStart w:id="2074" w:name="_Ref447624609"/>
      <w:bookmarkStart w:id="2075" w:name="_Ref447625102"/>
      <w:bookmarkStart w:id="2076" w:name="_Toc22466"/>
      <w:bookmarkStart w:id="2077" w:name="_Toc4437"/>
      <w:bookmarkStart w:id="2078" w:name="_Toc19359"/>
      <w:r>
        <w:rPr>
          <w:rFonts w:hint="eastAsia" w:asciiTheme="minorEastAsia" w:hAnsiTheme="minorEastAsia" w:eastAsiaTheme="minorEastAsia" w:cstheme="minorEastAsia"/>
          <w:color w:val="auto"/>
        </w:rPr>
        <w:t>因法律变更导致项目可行性受到严重不利影响的提前终止</w:t>
      </w:r>
      <w:bookmarkEnd w:id="2074"/>
      <w:bookmarkEnd w:id="2075"/>
      <w:bookmarkEnd w:id="2076"/>
      <w:bookmarkEnd w:id="2077"/>
      <w:bookmarkEnd w:id="2078"/>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如果因法律变更导致本合同履行的可行性受到严重不利影响，</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和项目公司双方应就如何继续履行本合同进行协商。如果双方无法在一百八十（180）日内或双方同意的更长时间内就如何继续履行本合同达成一致意见，项目公司有权就该等不利影响进行评估，并向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提交评估报告。</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应于收到项目公司的评估报告之日起六十（60）日内或</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和项目公司双方同意的更长时间内给予同意或提出反对意见，在约定时限内未作答复的，视为</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同意。</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同意或视为同意提前终止的情况下，项目公司有权发出终止通知，终止合作期，发出终止通知之日即为提前终止日。</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合作期终止后，市政府指定机构和社会资本方应按照第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_Ref447625261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22.8.2</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条款规定的程序完成股权移交。</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079" w:name="_提前终止意向通知和提前终止通知"/>
      <w:bookmarkEnd w:id="2079"/>
      <w:bookmarkStart w:id="2080" w:name="_Ref447625129"/>
      <w:bookmarkStart w:id="2081" w:name="_Ref447624779"/>
      <w:bookmarkStart w:id="2082" w:name="_Toc239861130"/>
      <w:bookmarkStart w:id="2083" w:name="_Ref447625320"/>
      <w:bookmarkStart w:id="2084" w:name="_Toc2294"/>
      <w:bookmarkStart w:id="2085" w:name="_Ref447623760"/>
      <w:bookmarkStart w:id="2086" w:name="_Toc18384"/>
      <w:bookmarkStart w:id="2087" w:name="_Toc27405"/>
      <w:r>
        <w:rPr>
          <w:rFonts w:hint="eastAsia" w:asciiTheme="minorEastAsia" w:hAnsiTheme="minorEastAsia" w:eastAsiaTheme="minorEastAsia" w:cstheme="minorEastAsia"/>
          <w:color w:val="auto"/>
        </w:rPr>
        <w:t>提前终止意向通知和提前终止通知</w:t>
      </w:r>
      <w:bookmarkEnd w:id="2080"/>
      <w:bookmarkEnd w:id="2081"/>
      <w:bookmarkEnd w:id="2082"/>
      <w:bookmarkEnd w:id="2083"/>
      <w:bookmarkEnd w:id="2084"/>
      <w:bookmarkEnd w:id="2085"/>
      <w:bookmarkEnd w:id="2086"/>
      <w:bookmarkEnd w:id="2087"/>
    </w:p>
    <w:p>
      <w:pPr>
        <w:pStyle w:val="5"/>
        <w:rPr>
          <w:rFonts w:hint="eastAsia" w:asciiTheme="minorEastAsia" w:hAnsiTheme="minorEastAsia" w:eastAsiaTheme="minorEastAsia" w:cstheme="minorEastAsia"/>
          <w:color w:val="auto"/>
        </w:rPr>
      </w:pPr>
      <w:bookmarkStart w:id="2088" w:name="_提前终止意向通知"/>
      <w:bookmarkEnd w:id="2088"/>
      <w:bookmarkStart w:id="2089" w:name="_Ref447621069"/>
      <w:r>
        <w:rPr>
          <w:rFonts w:hint="eastAsia" w:asciiTheme="minorEastAsia" w:hAnsiTheme="minorEastAsia" w:eastAsiaTheme="minorEastAsia" w:cstheme="minorEastAsia"/>
          <w:color w:val="auto"/>
        </w:rPr>
        <w:t>提前终止意向通知</w:t>
      </w:r>
      <w:bookmarkEnd w:id="2089"/>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按照第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_Ref447625278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22.3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或</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_Ref447625285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22.4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条发出的任何提前终止意向通知应表述引起发出该通知的项目公司违约事件或</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违约事件的合理详细的情况。</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在提前终止意向通知发出之后，双方应在二十（20）日之内或双方同意的更长时间内（“协商期”）协商避免本合同终止的措施。在协商期内，双方应继续履行各自在本合同项下的除争议事项外的义务。</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如果项目公司和</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就将要采取的措施达成一致意见，并且/或者项目公司或</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（视情况而定）在协商期纠正了项目公司违约事件或</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违约事件，提前终止意向通知应立即自动失效。</w:t>
      </w:r>
    </w:p>
    <w:p>
      <w:pPr>
        <w:pStyle w:val="5"/>
        <w:rPr>
          <w:rFonts w:hint="eastAsia" w:asciiTheme="minorEastAsia" w:hAnsiTheme="minorEastAsia" w:eastAsiaTheme="minorEastAsia" w:cstheme="minorEastAsia"/>
          <w:color w:val="auto"/>
        </w:rPr>
      </w:pPr>
      <w:bookmarkStart w:id="2090" w:name="_提前终止通知"/>
      <w:bookmarkEnd w:id="2090"/>
      <w:bookmarkStart w:id="2091" w:name="_Ref447621082"/>
      <w:r>
        <w:rPr>
          <w:rFonts w:hint="eastAsia" w:asciiTheme="minorEastAsia" w:hAnsiTheme="minorEastAsia" w:eastAsiaTheme="minorEastAsia" w:cstheme="minorEastAsia"/>
          <w:color w:val="auto"/>
        </w:rPr>
        <w:t>提前终止通知</w:t>
      </w:r>
      <w:bookmarkEnd w:id="2091"/>
      <w:r>
        <w:rPr>
          <w:rFonts w:hint="eastAsia" w:asciiTheme="minorEastAsia" w:hAnsiTheme="minorEastAsia" w:eastAsiaTheme="minorEastAsia" w:cstheme="minorEastAsia"/>
          <w:color w:val="auto"/>
        </w:rPr>
        <w:t xml:space="preserve"> </w:t>
      </w:r>
    </w:p>
    <w:p>
      <w:pPr>
        <w:pStyle w:val="6"/>
        <w:rPr>
          <w:rFonts w:hint="eastAsia" w:asciiTheme="minorEastAsia" w:hAnsiTheme="minorEastAsia" w:eastAsiaTheme="minorEastAsia" w:cstheme="minorEastAsia"/>
        </w:rPr>
      </w:pPr>
      <w:bookmarkStart w:id="2092" w:name="_在协商期之后，除非"/>
      <w:bookmarkEnd w:id="2092"/>
      <w:r>
        <w:rPr>
          <w:rFonts w:hint="eastAsia" w:asciiTheme="minorEastAsia" w:hAnsiTheme="minorEastAsia" w:eastAsiaTheme="minorEastAsia" w:cstheme="minorEastAsia"/>
        </w:rPr>
        <w:t>以第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_Ref447621069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22.7.1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条款为前提，在协商期届满之时，除非</w:t>
      </w:r>
    </w:p>
    <w:p>
      <w:pPr>
        <w:numPr>
          <w:ilvl w:val="0"/>
          <w:numId w:val="24"/>
        </w:numPr>
        <w:spacing w:before="120" w:after="120" w:afterLines="50"/>
        <w:ind w:firstLine="856"/>
        <w:rPr>
          <w:rFonts w:hint="eastAsia" w:asciiTheme="minorEastAsia" w:hAnsiTheme="minorEastAsia" w:eastAsiaTheme="minorEastAsia" w:cstheme="minorEastAsia"/>
        </w:rPr>
      </w:pPr>
      <w:r>
        <w:rPr>
          <w:rFonts w:hint="eastAsia" w:asciiTheme="minorEastAsia" w:hAnsiTheme="minorEastAsia" w:eastAsiaTheme="minorEastAsia" w:cstheme="minorEastAsia"/>
        </w:rPr>
        <w:t>双方另外达成一致；或</w:t>
      </w:r>
    </w:p>
    <w:p>
      <w:pPr>
        <w:numPr>
          <w:ilvl w:val="0"/>
          <w:numId w:val="24"/>
        </w:numPr>
        <w:spacing w:before="120" w:after="120" w:afterLines="50"/>
        <w:ind w:left="1701" w:hanging="425"/>
        <w:rPr>
          <w:rFonts w:hint="eastAsia" w:asciiTheme="minorEastAsia" w:hAnsiTheme="minorEastAsia" w:eastAsiaTheme="minorEastAsia" w:cstheme="minorEastAsia"/>
        </w:rPr>
      </w:pPr>
      <w:r>
        <w:rPr>
          <w:rFonts w:hint="eastAsia" w:asciiTheme="minorEastAsia" w:hAnsiTheme="minorEastAsia" w:eastAsiaTheme="minorEastAsia" w:cstheme="minorEastAsia"/>
        </w:rPr>
        <w:t>导致发出提前终止意向通知的项目公司违约事件或</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违约事件得到纠正，</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发出提前终止意向通知的一方有权发出提前终止通知，终止合作期，提前终止日为发出终止通知之日。</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093" w:name="_终止后的移交"/>
      <w:bookmarkEnd w:id="2093"/>
      <w:bookmarkStart w:id="2094" w:name="_按第18.5.2(a)或15.3条款规定所发出/送达的提前终止通知发出/送达后"/>
      <w:bookmarkEnd w:id="2094"/>
      <w:bookmarkStart w:id="2095" w:name="_提前终止的提前移交"/>
      <w:bookmarkEnd w:id="2095"/>
      <w:bookmarkStart w:id="2096" w:name="_提前终止后的提前移交"/>
      <w:bookmarkEnd w:id="2096"/>
      <w:bookmarkStart w:id="2097" w:name="_Toc239861132"/>
      <w:bookmarkStart w:id="2098" w:name="_Ref447625395"/>
      <w:bookmarkStart w:id="2099" w:name="_Toc15854"/>
      <w:bookmarkStart w:id="2100" w:name="_Toc29786"/>
      <w:bookmarkStart w:id="2101" w:name="_Toc7107"/>
      <w:r>
        <w:rPr>
          <w:rFonts w:hint="eastAsia" w:asciiTheme="minorEastAsia" w:hAnsiTheme="minorEastAsia" w:eastAsiaTheme="minorEastAsia" w:cstheme="minorEastAsia"/>
          <w:color w:val="auto"/>
        </w:rPr>
        <w:t>终止后的移交</w:t>
      </w:r>
      <w:bookmarkEnd w:id="2097"/>
      <w:bookmarkEnd w:id="2098"/>
      <w:bookmarkEnd w:id="2099"/>
      <w:bookmarkEnd w:id="2100"/>
      <w:bookmarkEnd w:id="2101"/>
    </w:p>
    <w:p>
      <w:pPr>
        <w:pStyle w:val="5"/>
        <w:rPr>
          <w:rFonts w:hint="eastAsia" w:asciiTheme="minorEastAsia" w:hAnsiTheme="minorEastAsia" w:eastAsiaTheme="minorEastAsia" w:cstheme="minorEastAsia"/>
          <w:color w:val="auto"/>
        </w:rPr>
      </w:pPr>
      <w:bookmarkStart w:id="2102" w:name="_合作期正常终止的股权移交"/>
      <w:bookmarkEnd w:id="2102"/>
      <w:bookmarkStart w:id="2103" w:name="_移交范围_1"/>
      <w:bookmarkEnd w:id="2103"/>
      <w:bookmarkStart w:id="2104" w:name="_Ref447625071"/>
      <w:r>
        <w:rPr>
          <w:rFonts w:hint="eastAsia" w:asciiTheme="minorEastAsia" w:hAnsiTheme="minorEastAsia" w:eastAsiaTheme="minorEastAsia" w:cstheme="minorEastAsia"/>
          <w:color w:val="auto"/>
        </w:rPr>
        <w:t>合作期正常终止的股权移交</w:t>
      </w:r>
      <w:bookmarkEnd w:id="2104"/>
    </w:p>
    <w:p>
      <w:pPr>
        <w:pStyle w:val="48"/>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根据第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_Ref447621055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22.1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条的规定正常终止后，社会资本方依据适用法律程序将其在项目公司中的股权移交给市政府指定机构。</w:t>
      </w:r>
    </w:p>
    <w:p>
      <w:pPr>
        <w:pStyle w:val="48"/>
        <w:numPr>
          <w:ilvl w:val="0"/>
          <w:numId w:val="25"/>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移交范围</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在移交日，</w:t>
      </w:r>
      <w:r>
        <w:rPr>
          <w:rFonts w:hint="eastAsia" w:asciiTheme="minorEastAsia" w:hAnsiTheme="minorEastAsia" w:eastAsiaTheme="minorEastAsia" w:cstheme="minorEastAsia"/>
          <w:lang w:val="en-US" w:eastAsia="zh-CN"/>
        </w:rPr>
        <w:t>项目公司</w:t>
      </w:r>
      <w:r>
        <w:rPr>
          <w:rFonts w:hint="eastAsia" w:asciiTheme="minorEastAsia" w:hAnsiTheme="minorEastAsia" w:eastAsiaTheme="minorEastAsia" w:cstheme="minorEastAsia"/>
        </w:rPr>
        <w:t>应向</w:t>
      </w:r>
      <w:r>
        <w:rPr>
          <w:rFonts w:hint="eastAsia" w:asciiTheme="minorEastAsia" w:hAnsiTheme="minorEastAsia" w:eastAsiaTheme="minorEastAsia" w:cstheme="minorEastAsia"/>
          <w:lang w:val="en-US" w:eastAsia="zh-CN"/>
        </w:rPr>
        <w:t>市城管局</w:t>
      </w:r>
      <w:r>
        <w:rPr>
          <w:rFonts w:hint="eastAsia" w:asciiTheme="minorEastAsia" w:hAnsiTheme="minorEastAsia" w:eastAsiaTheme="minorEastAsia" w:cstheme="minorEastAsia"/>
        </w:rPr>
        <w:t xml:space="preserve">或市政府指定机构无偿完好移交项目公司对全部项目设施的使用权、经营权以及其他权益，包括： </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全部项目设施及其所占用场地； </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与项目设施相关的所有设备、机器、装置、零部件、备品备件、化学品以及其他动产； </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运营和维护项目设施所要求的所有技术和技术诀窍（包括以任何许可方式取得的）； </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所有未到期的保证、保险和其它合同的利益； </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 与项目设施有关的所有的手册、图纸、文件和资料；</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为转移项目设施的所有权所需的文件； </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市城管局</w:t>
      </w:r>
      <w:r>
        <w:rPr>
          <w:rFonts w:hint="eastAsia" w:asciiTheme="minorEastAsia" w:hAnsiTheme="minorEastAsia" w:eastAsiaTheme="minorEastAsia" w:cstheme="minorEastAsia"/>
        </w:rPr>
        <w:t xml:space="preserve">或市政府指定机构合理要求的其它物品与资料。 </w:t>
      </w:r>
    </w:p>
    <w:p>
      <w:pPr>
        <w:pStyle w:val="48"/>
        <w:numPr>
          <w:ilvl w:val="0"/>
          <w:numId w:val="25"/>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移交的标准</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所有与上述移交范围内有关的负债或违约、侵权责任，应由</w:t>
      </w:r>
      <w:r>
        <w:rPr>
          <w:rFonts w:hint="eastAsia" w:asciiTheme="minorEastAsia" w:hAnsiTheme="minorEastAsia" w:eastAsiaTheme="minorEastAsia" w:cstheme="minorEastAsia"/>
          <w:lang w:val="en-US" w:eastAsia="zh-CN"/>
        </w:rPr>
        <w:t>项目公司</w:t>
      </w:r>
      <w:r>
        <w:rPr>
          <w:rFonts w:hint="eastAsia" w:asciiTheme="minorEastAsia" w:hAnsiTheme="minorEastAsia" w:eastAsiaTheme="minorEastAsia" w:cstheme="minorEastAsia"/>
        </w:rPr>
        <w:t>全部清偿、赔偿或解除完毕。上述移交不应附带任何其他债务、留置权、质押权、抵押权、优先权和其他担保权益及第三方权益。</w:t>
      </w:r>
    </w:p>
    <w:p>
      <w:pPr>
        <w:pStyle w:val="48"/>
        <w:numPr>
          <w:ilvl w:val="0"/>
          <w:numId w:val="25"/>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移交程序</w:t>
      </w:r>
    </w:p>
    <w:p>
      <w:pPr>
        <w:pStyle w:val="48"/>
        <w:numPr>
          <w:ilvl w:val="0"/>
          <w:numId w:val="0"/>
        </w:numPr>
        <w:ind w:firstLine="720" w:firstLineChars="3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移交手续办理</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市城管局发出移交通知后，移交委员会应开始对项目进行尽职调查。</w:t>
      </w:r>
      <w:r>
        <w:rPr>
          <w:rFonts w:hint="eastAsia" w:asciiTheme="minorEastAsia" w:hAnsiTheme="minorEastAsia" w:eastAsiaTheme="minorEastAsia" w:cstheme="minorEastAsia"/>
          <w:lang w:val="en-US" w:eastAsia="zh-CN"/>
        </w:rPr>
        <w:t>项目公司</w:t>
      </w:r>
      <w:r>
        <w:rPr>
          <w:rFonts w:hint="eastAsia" w:asciiTheme="minorEastAsia" w:hAnsiTheme="minorEastAsia" w:eastAsiaTheme="minorEastAsia" w:cstheme="minorEastAsia"/>
        </w:rPr>
        <w:t xml:space="preserve">应根据移交委员会提供的合理的尽职调查清单，配合其完成项目的尽职调查工作，以及时确认项目设施各项性能参数是否满足项目移交标准的相关要求。 </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全部验收及移交完毕后，</w:t>
      </w:r>
      <w:r>
        <w:rPr>
          <w:rFonts w:hint="eastAsia" w:asciiTheme="minorEastAsia" w:hAnsiTheme="minorEastAsia" w:eastAsiaTheme="minorEastAsia" w:cstheme="minorEastAsia"/>
          <w:lang w:val="en-US" w:eastAsia="zh-CN"/>
        </w:rPr>
        <w:t>市城管局</w:t>
      </w:r>
      <w:r>
        <w:rPr>
          <w:rFonts w:hint="eastAsia" w:asciiTheme="minorEastAsia" w:hAnsiTheme="minorEastAsia" w:eastAsiaTheme="minorEastAsia" w:cstheme="minorEastAsia"/>
        </w:rPr>
        <w:t>应在合作期满日及时向</w:t>
      </w:r>
      <w:r>
        <w:rPr>
          <w:rFonts w:hint="eastAsia" w:asciiTheme="minorEastAsia" w:hAnsiTheme="minorEastAsia" w:eastAsiaTheme="minorEastAsia" w:cstheme="minorEastAsia"/>
          <w:lang w:val="en-US" w:eastAsia="zh-CN"/>
        </w:rPr>
        <w:t>项目公司</w:t>
      </w:r>
      <w:r>
        <w:rPr>
          <w:rFonts w:hint="eastAsia" w:asciiTheme="minorEastAsia" w:hAnsiTheme="minorEastAsia" w:eastAsiaTheme="minorEastAsia" w:cstheme="minorEastAsia"/>
        </w:rPr>
        <w:t>发出移交确认书，移交确认书签发之日即为</w:t>
      </w:r>
      <w:r>
        <w:rPr>
          <w:rFonts w:hint="eastAsia" w:asciiTheme="minorEastAsia" w:hAnsiTheme="minorEastAsia" w:eastAsiaTheme="minorEastAsia" w:cstheme="minorEastAsia"/>
          <w:lang w:val="en-US" w:eastAsia="zh-CN"/>
        </w:rPr>
        <w:t>项目公司</w:t>
      </w:r>
      <w:r>
        <w:rPr>
          <w:rFonts w:hint="eastAsia" w:asciiTheme="minorEastAsia" w:hAnsiTheme="minorEastAsia" w:eastAsiaTheme="minorEastAsia" w:cstheme="minorEastAsia"/>
        </w:rPr>
        <w:t>完成项目向</w:t>
      </w:r>
      <w:r>
        <w:rPr>
          <w:rFonts w:hint="eastAsia" w:asciiTheme="minorEastAsia" w:hAnsiTheme="minorEastAsia" w:eastAsiaTheme="minorEastAsia" w:cstheme="minorEastAsia"/>
          <w:lang w:val="en-US" w:eastAsia="zh-CN"/>
        </w:rPr>
        <w:t>市城管局</w:t>
      </w:r>
      <w:r>
        <w:rPr>
          <w:rFonts w:hint="eastAsia" w:asciiTheme="minorEastAsia" w:hAnsiTheme="minorEastAsia" w:eastAsiaTheme="minorEastAsia" w:cstheme="minorEastAsia"/>
        </w:rPr>
        <w:t>或市政府指定机构移交之日（即项目设施移交之日）。</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移交费用（含税费）</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a</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由双方根据相关规定协商解决。</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b</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项目公司</w:t>
      </w:r>
      <w:r>
        <w:rPr>
          <w:rFonts w:hint="eastAsia" w:asciiTheme="minorEastAsia" w:hAnsiTheme="minorEastAsia" w:eastAsiaTheme="minorEastAsia" w:cstheme="minorEastAsia"/>
        </w:rPr>
        <w:t>保证按合同约定标准向</w:t>
      </w:r>
      <w:r>
        <w:rPr>
          <w:rFonts w:hint="eastAsia" w:asciiTheme="minorEastAsia" w:hAnsiTheme="minorEastAsia" w:eastAsiaTheme="minorEastAsia" w:cstheme="minorEastAsia"/>
          <w:lang w:val="en-US" w:eastAsia="zh-CN"/>
        </w:rPr>
        <w:t>市城管局</w:t>
      </w:r>
      <w:r>
        <w:rPr>
          <w:rFonts w:hint="eastAsia" w:asciiTheme="minorEastAsia" w:hAnsiTheme="minorEastAsia" w:eastAsiaTheme="minorEastAsia" w:cstheme="minorEastAsia"/>
        </w:rPr>
        <w:t>移交。另外，即使本合同未约定或约定不清楚，但为保障本项目的顺利营运，</w:t>
      </w:r>
      <w:r>
        <w:rPr>
          <w:rFonts w:hint="eastAsia" w:asciiTheme="minorEastAsia" w:hAnsiTheme="minorEastAsia" w:eastAsiaTheme="minorEastAsia" w:cstheme="minorEastAsia"/>
          <w:lang w:val="en-US" w:eastAsia="zh-CN"/>
        </w:rPr>
        <w:t>市城管局</w:t>
      </w:r>
      <w:r>
        <w:rPr>
          <w:rFonts w:hint="eastAsia" w:asciiTheme="minorEastAsia" w:hAnsiTheme="minorEastAsia" w:eastAsiaTheme="minorEastAsia" w:cstheme="minorEastAsia"/>
        </w:rPr>
        <w:t>有权要求</w:t>
      </w:r>
      <w:r>
        <w:rPr>
          <w:rFonts w:hint="eastAsia" w:asciiTheme="minorEastAsia" w:hAnsiTheme="minorEastAsia" w:eastAsiaTheme="minorEastAsia" w:cstheme="minorEastAsia"/>
          <w:lang w:val="en-US" w:eastAsia="zh-CN"/>
        </w:rPr>
        <w:t>项目公司</w:t>
      </w:r>
      <w:r>
        <w:rPr>
          <w:rFonts w:hint="eastAsia" w:asciiTheme="minorEastAsia" w:hAnsiTheme="minorEastAsia" w:eastAsiaTheme="minorEastAsia" w:cstheme="minorEastAsia"/>
        </w:rPr>
        <w:t>移交</w:t>
      </w:r>
      <w:r>
        <w:rPr>
          <w:rFonts w:hint="eastAsia" w:asciiTheme="minorEastAsia" w:hAnsiTheme="minorEastAsia" w:eastAsiaTheme="minorEastAsia" w:cstheme="minorEastAsia"/>
          <w:lang w:val="en-US" w:eastAsia="zh-CN"/>
        </w:rPr>
        <w:t>项目公司</w:t>
      </w:r>
      <w:r>
        <w:rPr>
          <w:rFonts w:hint="eastAsia" w:asciiTheme="minorEastAsia" w:hAnsiTheme="minorEastAsia" w:eastAsiaTheme="minorEastAsia" w:cstheme="minorEastAsia"/>
        </w:rPr>
        <w:t>工作范围内的其他资料、资产和权利。</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c</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项目公司</w:t>
      </w:r>
      <w:r>
        <w:rPr>
          <w:rFonts w:hint="eastAsia" w:asciiTheme="minorEastAsia" w:hAnsiTheme="minorEastAsia" w:eastAsiaTheme="minorEastAsia" w:cstheme="minorEastAsia"/>
        </w:rPr>
        <w:t>移交上述资料和权利视为</w:t>
      </w:r>
      <w:r>
        <w:rPr>
          <w:rFonts w:hint="eastAsia" w:asciiTheme="minorEastAsia" w:hAnsiTheme="minorEastAsia" w:eastAsiaTheme="minorEastAsia" w:cstheme="minorEastAsia"/>
          <w:lang w:val="en-US" w:eastAsia="zh-CN"/>
        </w:rPr>
        <w:t>项目公司</w:t>
      </w:r>
      <w:r>
        <w:rPr>
          <w:rFonts w:hint="eastAsia" w:asciiTheme="minorEastAsia" w:hAnsiTheme="minorEastAsia" w:eastAsiaTheme="minorEastAsia" w:cstheme="minorEastAsia"/>
        </w:rPr>
        <w:t>的合同义务，相关费用已包括在建设费用中，</w:t>
      </w:r>
      <w:r>
        <w:rPr>
          <w:rFonts w:hint="eastAsia" w:asciiTheme="minorEastAsia" w:hAnsiTheme="minorEastAsia" w:eastAsiaTheme="minorEastAsia" w:cstheme="minorEastAsia"/>
          <w:lang w:val="en-US" w:eastAsia="zh-CN"/>
        </w:rPr>
        <w:t>项目公司</w:t>
      </w:r>
      <w:r>
        <w:rPr>
          <w:rFonts w:hint="eastAsia" w:asciiTheme="minorEastAsia" w:hAnsiTheme="minorEastAsia" w:eastAsiaTheme="minorEastAsia" w:cstheme="minorEastAsia"/>
        </w:rPr>
        <w:t>不得要求增加任何费用。</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d</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如因一方违约事件导致项目终止而需要提前移交，则由违约方承担移交费用。</w:t>
      </w:r>
    </w:p>
    <w:p>
      <w:pPr>
        <w:pStyle w:val="48"/>
        <w:numPr>
          <w:ilvl w:val="0"/>
          <w:numId w:val="25"/>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PPP合作期满的移交委员会</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不迟于项目移交日前二十四个月，</w:t>
      </w:r>
      <w:r>
        <w:rPr>
          <w:rFonts w:hint="eastAsia" w:asciiTheme="minorEastAsia" w:hAnsiTheme="minorEastAsia" w:eastAsiaTheme="minorEastAsia" w:cstheme="minorEastAsia"/>
          <w:lang w:val="en-US" w:eastAsia="zh-CN"/>
        </w:rPr>
        <w:t>市政府指定机构与社会资本方</w:t>
      </w:r>
      <w:r>
        <w:rPr>
          <w:rFonts w:hint="eastAsia" w:asciiTheme="minorEastAsia" w:hAnsiTheme="minorEastAsia" w:eastAsiaTheme="minorEastAsia" w:cstheme="minorEastAsia"/>
        </w:rPr>
        <w:t>组建移交委员会。移交委员会或其委托的专门机构有权对移交相关事项进行监管，</w:t>
      </w:r>
      <w:r>
        <w:rPr>
          <w:rFonts w:hint="eastAsia" w:asciiTheme="minorEastAsia" w:hAnsiTheme="minorEastAsia" w:eastAsiaTheme="minorEastAsia" w:cstheme="minorEastAsia"/>
          <w:lang w:val="en-US" w:eastAsia="zh-CN"/>
        </w:rPr>
        <w:t>项目公司</w:t>
      </w:r>
      <w:r>
        <w:rPr>
          <w:rFonts w:hint="eastAsia" w:asciiTheme="minorEastAsia" w:hAnsiTheme="minorEastAsia" w:eastAsiaTheme="minorEastAsia" w:cstheme="minorEastAsia"/>
        </w:rPr>
        <w:t>有义务提供协助与配合。在</w:t>
      </w:r>
      <w:r>
        <w:rPr>
          <w:rFonts w:hint="eastAsia" w:asciiTheme="minorEastAsia" w:hAnsiTheme="minorEastAsia" w:eastAsiaTheme="minorEastAsia" w:cstheme="minorEastAsia"/>
          <w:lang w:val="en-US" w:eastAsia="zh-CN"/>
        </w:rPr>
        <w:t>项目公司</w:t>
      </w:r>
      <w:r>
        <w:rPr>
          <w:rFonts w:hint="eastAsia" w:asciiTheme="minorEastAsia" w:hAnsiTheme="minorEastAsia" w:eastAsiaTheme="minorEastAsia" w:cstheme="minorEastAsia"/>
        </w:rPr>
        <w:t>行为对未来移交不造成负面影响的情况下，移交委员会不得干涉</w:t>
      </w:r>
      <w:r>
        <w:rPr>
          <w:rFonts w:hint="eastAsia" w:asciiTheme="minorEastAsia" w:hAnsiTheme="minorEastAsia" w:eastAsiaTheme="minorEastAsia" w:cstheme="minorEastAsia"/>
          <w:lang w:val="en-US" w:eastAsia="zh-CN"/>
        </w:rPr>
        <w:t>项目公司</w:t>
      </w:r>
      <w:r>
        <w:rPr>
          <w:rFonts w:hint="eastAsia" w:asciiTheme="minorEastAsia" w:hAnsiTheme="minorEastAsia" w:eastAsiaTheme="minorEastAsia" w:cstheme="minorEastAsia"/>
        </w:rPr>
        <w:t>的正常运营。</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移交委员会有权要求</w:t>
      </w:r>
      <w:r>
        <w:rPr>
          <w:rFonts w:hint="eastAsia" w:asciiTheme="minorEastAsia" w:hAnsiTheme="minorEastAsia" w:eastAsiaTheme="minorEastAsia" w:cstheme="minorEastAsia"/>
          <w:lang w:val="en-US" w:eastAsia="zh-CN"/>
        </w:rPr>
        <w:t>项目公司</w:t>
      </w:r>
      <w:r>
        <w:rPr>
          <w:rFonts w:hint="eastAsia" w:asciiTheme="minorEastAsia" w:hAnsiTheme="minorEastAsia" w:eastAsiaTheme="minorEastAsia" w:cstheme="minorEastAsia"/>
        </w:rPr>
        <w:t>在不迟于移交日前六个月向移交委员会提供与项目相关的如下资料：</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项目公司财务各类台账；</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项目运营管理各类台账；</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各类设施、设备统计清单及技术资料；</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知识产权和专有技术目录及其概要；</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运营管理章程及手册；</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运营过程中形成的各种合同、纪要等材料；</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其他完成移交所需材料。</w:t>
      </w:r>
    </w:p>
    <w:p>
      <w:pPr>
        <w:pStyle w:val="48"/>
        <w:numPr>
          <w:ilvl w:val="0"/>
          <w:numId w:val="25"/>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移交前大修</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在移交日之前不早于12个月，项目公司应对项目设施进行一次大修，但此大修应不迟于移交日之前6个月完成。大修的具体时间和内容应于移交日前22个月时由移交委员会核准。 </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通过移交前大修，</w:t>
      </w:r>
      <w:r>
        <w:rPr>
          <w:rFonts w:hint="eastAsia" w:asciiTheme="minorEastAsia" w:hAnsiTheme="minorEastAsia" w:eastAsiaTheme="minorEastAsia" w:cstheme="minorEastAsia"/>
          <w:lang w:val="en-US" w:eastAsia="zh-CN"/>
        </w:rPr>
        <w:t>项目公司</w:t>
      </w:r>
      <w:r>
        <w:rPr>
          <w:rFonts w:hint="eastAsia" w:asciiTheme="minorEastAsia" w:hAnsiTheme="minorEastAsia" w:eastAsiaTheme="minorEastAsia" w:cstheme="minorEastAsia"/>
        </w:rPr>
        <w:t>应确保供水厂关键性设施设备的整体完好率达到 100%、管网泵站与其他设施设备的整体完好率达到 95%、构筑物不存在重大破损，可以保证项目设施的正常运行。</w:t>
      </w:r>
    </w:p>
    <w:p>
      <w:pPr>
        <w:pStyle w:val="48"/>
        <w:numPr>
          <w:ilvl w:val="0"/>
          <w:numId w:val="0"/>
        </w:num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如</w:t>
      </w:r>
      <w:r>
        <w:rPr>
          <w:rFonts w:hint="eastAsia" w:asciiTheme="minorEastAsia" w:hAnsiTheme="minorEastAsia" w:eastAsiaTheme="minorEastAsia" w:cstheme="minorEastAsia"/>
          <w:lang w:val="en-US" w:eastAsia="zh-CN"/>
        </w:rPr>
        <w:t>项目公司</w:t>
      </w:r>
      <w:r>
        <w:rPr>
          <w:rFonts w:hint="eastAsia" w:asciiTheme="minorEastAsia" w:hAnsiTheme="minorEastAsia" w:eastAsiaTheme="minorEastAsia" w:cstheme="minorEastAsia"/>
        </w:rPr>
        <w:t>不能或不愿根据本条进行移交前大修，视作</w:t>
      </w:r>
      <w:r>
        <w:rPr>
          <w:rFonts w:hint="eastAsia" w:asciiTheme="minorEastAsia" w:hAnsiTheme="minorEastAsia" w:eastAsiaTheme="minorEastAsia" w:cstheme="minorEastAsia"/>
          <w:lang w:val="en-US" w:eastAsia="zh-CN"/>
        </w:rPr>
        <w:t>项目公司</w:t>
      </w:r>
      <w:r>
        <w:rPr>
          <w:rFonts w:hint="eastAsia" w:asciiTheme="minorEastAsia" w:hAnsiTheme="minorEastAsia" w:eastAsiaTheme="minorEastAsia" w:cstheme="minorEastAsia"/>
        </w:rPr>
        <w:t>严重违约，</w:t>
      </w:r>
      <w:r>
        <w:rPr>
          <w:rFonts w:hint="eastAsia" w:asciiTheme="minorEastAsia" w:hAnsiTheme="minorEastAsia" w:eastAsiaTheme="minorEastAsia" w:cstheme="minorEastAsia"/>
          <w:lang w:val="en-US" w:eastAsia="zh-CN"/>
        </w:rPr>
        <w:t>市城管局</w:t>
      </w:r>
      <w:r>
        <w:rPr>
          <w:rFonts w:hint="eastAsia" w:asciiTheme="minorEastAsia" w:hAnsiTheme="minorEastAsia" w:eastAsiaTheme="minorEastAsia" w:cstheme="minorEastAsia"/>
        </w:rPr>
        <w:t>有权提取全部履约保函并终止本合同。</w:t>
      </w:r>
    </w:p>
    <w:p>
      <w:pPr>
        <w:pStyle w:val="48"/>
        <w:ind w:left="0" w:leftChars="0"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合作期期满前1个月，</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或市政府指定机构组织对项目公司进行全面的审计，对项目资产进行功能性验收合格后，双方应在正常终止日三十（30）日内完成股权交割。</w:t>
      </w:r>
    </w:p>
    <w:p>
      <w:pPr>
        <w:pStyle w:val="5"/>
        <w:rPr>
          <w:rFonts w:hint="eastAsia" w:asciiTheme="minorEastAsia" w:hAnsiTheme="minorEastAsia" w:eastAsiaTheme="minorEastAsia" w:cstheme="minorEastAsia"/>
          <w:color w:val="auto"/>
        </w:rPr>
      </w:pPr>
      <w:bookmarkStart w:id="2105" w:name="_提前终止后的股权移交"/>
      <w:bookmarkEnd w:id="2105"/>
      <w:bookmarkStart w:id="2106" w:name="_Ref447625261"/>
      <w:r>
        <w:rPr>
          <w:rFonts w:hint="eastAsia" w:asciiTheme="minorEastAsia" w:hAnsiTheme="minorEastAsia" w:eastAsiaTheme="minorEastAsia" w:cstheme="minorEastAsia"/>
          <w:color w:val="auto"/>
        </w:rPr>
        <w:t>提前终止后的股权移交</w:t>
      </w:r>
      <w:bookmarkEnd w:id="2106"/>
    </w:p>
    <w:p>
      <w:pPr>
        <w:pStyle w:val="48"/>
        <w:rPr>
          <w:rFonts w:hint="eastAsia" w:asciiTheme="minorEastAsia" w:hAnsiTheme="minorEastAsia" w:eastAsiaTheme="minorEastAsia" w:cstheme="minorEastAsia"/>
        </w:rPr>
      </w:pPr>
      <w:r>
        <w:rPr>
          <w:rFonts w:hint="eastAsia" w:asciiTheme="minorEastAsia" w:hAnsiTheme="minorEastAsia" w:eastAsiaTheme="minorEastAsia" w:cstheme="minorEastAsia"/>
        </w:rPr>
        <w:t>本合同任何一方根据第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_Ref447625320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22.7</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条的规定发出提前终止通知后，社会资本方依据适用法律程序将其在本项目中的股权移交给市政府指定机构。双方应在发出提前终止通知后三十（30）日内完成股权交割，市政府指定机构根据第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_Ref447625330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22.8.3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条款向本项目中的社会资本方支付股权移交对价。</w:t>
      </w:r>
    </w:p>
    <w:p>
      <w:pPr>
        <w:pStyle w:val="5"/>
        <w:rPr>
          <w:rFonts w:hint="eastAsia" w:asciiTheme="minorEastAsia" w:hAnsiTheme="minorEastAsia" w:eastAsiaTheme="minorEastAsia" w:cstheme="minorEastAsia"/>
          <w:color w:val="auto"/>
        </w:rPr>
      </w:pPr>
      <w:bookmarkStart w:id="2107" w:name="_提前终止后的股权收购价值"/>
      <w:bookmarkEnd w:id="2107"/>
      <w:bookmarkStart w:id="2108" w:name="_Ref447625330"/>
      <w:r>
        <w:rPr>
          <w:rFonts w:hint="eastAsia" w:asciiTheme="minorEastAsia" w:hAnsiTheme="minorEastAsia" w:eastAsiaTheme="minorEastAsia" w:cstheme="minorEastAsia"/>
          <w:color w:val="auto"/>
        </w:rPr>
        <w:t>提前终止后的股权移交对价</w:t>
      </w:r>
      <w:bookmarkEnd w:id="2108"/>
    </w:p>
    <w:p>
      <w:pPr>
        <w:pStyle w:val="48"/>
        <w:rPr>
          <w:rFonts w:hint="eastAsia" w:asciiTheme="minorEastAsia" w:hAnsiTheme="minorEastAsia" w:eastAsiaTheme="minorEastAsia" w:cstheme="minorEastAsia"/>
        </w:rPr>
      </w:pPr>
      <w:r>
        <w:rPr>
          <w:rFonts w:hint="eastAsia" w:asciiTheme="minorEastAsia" w:hAnsiTheme="minorEastAsia" w:eastAsiaTheme="minorEastAsia" w:cstheme="minorEastAsia"/>
        </w:rPr>
        <w:t>若本合同根据第</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REF _Ref447625354 \r \h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22.2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条提前终止后，社会资本方依据适用法律程序将其在本项目中的股权移交给市政府指定机构，市政府指定机构根据表21.1的规定向本项目中的社会资本方支付股权移交对价。</w:t>
      </w:r>
    </w:p>
    <w:p>
      <w:pPr>
        <w:pStyle w:val="48"/>
        <w:ind w:left="0" w:leftChars="0" w:firstLine="1200" w:firstLineChars="5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表21.1</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szCs w:val="24"/>
        </w:rPr>
        <w:t>合同提前终止情形及股权移交对价表</w:t>
      </w:r>
    </w:p>
    <w:p>
      <w:pPr>
        <w:pStyle w:val="48"/>
        <w:ind w:left="0" w:leftChars="0" w:firstLine="1200" w:firstLineChars="500"/>
        <w:rPr>
          <w:rFonts w:hint="eastAsia" w:asciiTheme="minorEastAsia" w:hAnsiTheme="minorEastAsia" w:eastAsiaTheme="minorEastAsia" w:cstheme="minorEastAsia"/>
          <w:szCs w:val="24"/>
        </w:rPr>
      </w:pPr>
    </w:p>
    <w:tbl>
      <w:tblPr>
        <w:tblStyle w:val="39"/>
        <w:tblW w:w="83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5996"/>
        <w:gridCol w:w="1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shd w:val="clear" w:color="auto" w:fill="D8D8D8" w:themeFill="background1" w:themeFillShade="D9"/>
            <w:vAlign w:val="center"/>
          </w:tcPr>
          <w:p>
            <w:pPr>
              <w:pStyle w:val="36"/>
              <w:widowControl w:val="0"/>
              <w:suppressAutoHyphens/>
              <w:kinsoku w:val="0"/>
              <w:spacing w:before="0" w:beforeAutospacing="0" w:after="0" w:afterAutospacing="0" w:line="360" w:lineRule="auto"/>
              <w:ind w:left="0" w:leftChars="0" w:firstLine="0" w:firstLine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序号</w:t>
            </w:r>
          </w:p>
        </w:tc>
        <w:tc>
          <w:tcPr>
            <w:tcW w:w="5996" w:type="dxa"/>
            <w:shd w:val="clear" w:color="auto" w:fill="D8D8D8" w:themeFill="background1" w:themeFillShade="D9"/>
            <w:vAlign w:val="center"/>
          </w:tcPr>
          <w:p>
            <w:pPr>
              <w:pStyle w:val="36"/>
              <w:widowControl w:val="0"/>
              <w:suppressAutoHyphens/>
              <w:kinsoku w:val="0"/>
              <w:spacing w:before="0" w:beforeAutospacing="0" w:after="0" w:afterAutospacing="0"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合同提前终止情形</w:t>
            </w:r>
          </w:p>
        </w:tc>
        <w:tc>
          <w:tcPr>
            <w:tcW w:w="1687" w:type="dxa"/>
            <w:shd w:val="clear" w:color="auto" w:fill="D8D8D8" w:themeFill="background1" w:themeFillShade="D9"/>
            <w:vAlign w:val="center"/>
          </w:tcPr>
          <w:p>
            <w:pPr>
              <w:pStyle w:val="36"/>
              <w:widowControl w:val="0"/>
              <w:suppressAutoHyphens/>
              <w:kinsoku w:val="0"/>
              <w:spacing w:before="0" w:beforeAutospacing="0" w:after="0" w:afterAutospacing="0" w:line="360" w:lineRule="auto"/>
              <w:ind w:left="0" w:leftChars="0" w:firstLine="0" w:firstLine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股权移交对价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pStyle w:val="36"/>
              <w:widowControl w:val="0"/>
              <w:suppressAutoHyphens/>
              <w:kinsoku w:val="0"/>
              <w:spacing w:before="0" w:beforeAutospacing="0" w:after="0" w:afterAutospacing="0"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p>
        </w:tc>
        <w:tc>
          <w:tcPr>
            <w:tcW w:w="5996" w:type="dxa"/>
            <w:vAlign w:val="center"/>
          </w:tcPr>
          <w:p>
            <w:pPr>
              <w:pStyle w:val="36"/>
              <w:widowControl w:val="0"/>
              <w:suppressAutoHyphens/>
              <w:kinsoku w:val="0"/>
              <w:spacing w:before="0" w:beforeAutospacing="0" w:after="0" w:afterAutospacing="0"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政府方在建设期违约导致的提前终止</w:t>
            </w:r>
          </w:p>
        </w:tc>
        <w:tc>
          <w:tcPr>
            <w:tcW w:w="1687" w:type="dxa"/>
            <w:vAlign w:val="center"/>
          </w:tcPr>
          <w:p>
            <w:pPr>
              <w:pStyle w:val="36"/>
              <w:widowControl w:val="0"/>
              <w:suppressAutoHyphens/>
              <w:kinsoku w:val="0"/>
              <w:spacing w:before="0" w:beforeAutospacing="0" w:after="0" w:afterAutospacing="0" w:line="360" w:lineRule="auto"/>
              <w:ind w:left="0" w:leftChars="0" w:firstLine="0" w:firstLine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pStyle w:val="36"/>
              <w:widowControl w:val="0"/>
              <w:suppressAutoHyphens/>
              <w:kinsoku w:val="0"/>
              <w:spacing w:before="0" w:beforeAutospacing="0" w:after="0" w:afterAutospacing="0"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p>
        </w:tc>
        <w:tc>
          <w:tcPr>
            <w:tcW w:w="5996" w:type="dxa"/>
            <w:vAlign w:val="center"/>
          </w:tcPr>
          <w:p>
            <w:pPr>
              <w:pStyle w:val="36"/>
              <w:widowControl w:val="0"/>
              <w:suppressAutoHyphens/>
              <w:kinsoku w:val="0"/>
              <w:spacing w:before="0" w:beforeAutospacing="0" w:after="0" w:afterAutospacing="0"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政府方在运营维护期违约导致的提前终止</w:t>
            </w:r>
          </w:p>
        </w:tc>
        <w:tc>
          <w:tcPr>
            <w:tcW w:w="1687" w:type="dxa"/>
            <w:vAlign w:val="center"/>
          </w:tcPr>
          <w:p>
            <w:pPr>
              <w:pStyle w:val="36"/>
              <w:widowControl w:val="0"/>
              <w:suppressAutoHyphens/>
              <w:kinsoku w:val="0"/>
              <w:spacing w:before="0" w:beforeAutospacing="0" w:after="0" w:afterAutospacing="0" w:line="360" w:lineRule="auto"/>
              <w:ind w:left="0" w:leftChars="0" w:firstLine="0" w:firstLine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pStyle w:val="36"/>
              <w:widowControl w:val="0"/>
              <w:suppressAutoHyphens/>
              <w:kinsoku w:val="0"/>
              <w:spacing w:before="0" w:beforeAutospacing="0" w:after="0" w:afterAutospacing="0"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p>
        </w:tc>
        <w:tc>
          <w:tcPr>
            <w:tcW w:w="5996" w:type="dxa"/>
            <w:vAlign w:val="center"/>
          </w:tcPr>
          <w:p>
            <w:pPr>
              <w:pStyle w:val="36"/>
              <w:widowControl w:val="0"/>
              <w:suppressAutoHyphens/>
              <w:kinsoku w:val="0"/>
              <w:spacing w:before="0" w:beforeAutospacing="0" w:after="0" w:afterAutospacing="0"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项目公司在建设期违约导致的提前终止</w:t>
            </w:r>
          </w:p>
        </w:tc>
        <w:tc>
          <w:tcPr>
            <w:tcW w:w="1687" w:type="dxa"/>
            <w:vAlign w:val="center"/>
          </w:tcPr>
          <w:p>
            <w:pPr>
              <w:pStyle w:val="36"/>
              <w:widowControl w:val="0"/>
              <w:suppressAutoHyphens/>
              <w:kinsoku w:val="0"/>
              <w:spacing w:before="0" w:beforeAutospacing="0" w:after="0" w:afterAutospacing="0" w:line="360" w:lineRule="auto"/>
              <w:ind w:left="0" w:leftChars="0" w:firstLine="0" w:firstLine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A*0.7 -B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pStyle w:val="36"/>
              <w:widowControl w:val="0"/>
              <w:suppressAutoHyphens/>
              <w:kinsoku w:val="0"/>
              <w:spacing w:before="0" w:beforeAutospacing="0" w:after="0" w:afterAutospacing="0"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p>
        </w:tc>
        <w:tc>
          <w:tcPr>
            <w:tcW w:w="5996" w:type="dxa"/>
            <w:vAlign w:val="center"/>
          </w:tcPr>
          <w:p>
            <w:pPr>
              <w:pStyle w:val="36"/>
              <w:widowControl w:val="0"/>
              <w:suppressAutoHyphens/>
              <w:kinsoku w:val="0"/>
              <w:spacing w:before="0" w:beforeAutospacing="0" w:after="0" w:afterAutospacing="0"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项目公司在运营维护期违约导致的提前终止</w:t>
            </w:r>
          </w:p>
        </w:tc>
        <w:tc>
          <w:tcPr>
            <w:tcW w:w="1687" w:type="dxa"/>
            <w:vAlign w:val="center"/>
          </w:tcPr>
          <w:p>
            <w:pPr>
              <w:pStyle w:val="36"/>
              <w:widowControl w:val="0"/>
              <w:suppressAutoHyphens/>
              <w:kinsoku w:val="0"/>
              <w:spacing w:before="0" w:beforeAutospacing="0" w:after="0" w:afterAutospacing="0" w:line="360" w:lineRule="auto"/>
              <w:ind w:left="0" w:leftChars="0" w:firstLine="0" w:firstLine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A*0.7-B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pStyle w:val="36"/>
              <w:widowControl w:val="0"/>
              <w:suppressAutoHyphens/>
              <w:kinsoku w:val="0"/>
              <w:spacing w:before="0" w:beforeAutospacing="0" w:after="0" w:afterAutospacing="0"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p>
        </w:tc>
        <w:tc>
          <w:tcPr>
            <w:tcW w:w="5996" w:type="dxa"/>
            <w:vAlign w:val="center"/>
          </w:tcPr>
          <w:p>
            <w:pPr>
              <w:pStyle w:val="36"/>
              <w:widowControl w:val="0"/>
              <w:suppressAutoHyphens/>
              <w:kinsoku w:val="0"/>
              <w:spacing w:before="0" w:beforeAutospacing="0" w:after="0" w:afterAutospacing="0"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在建设期发生法律变更或政府行为导致的提前终止</w:t>
            </w:r>
          </w:p>
        </w:tc>
        <w:tc>
          <w:tcPr>
            <w:tcW w:w="1687" w:type="dxa"/>
            <w:vAlign w:val="center"/>
          </w:tcPr>
          <w:p>
            <w:pPr>
              <w:pStyle w:val="36"/>
              <w:widowControl w:val="0"/>
              <w:suppressAutoHyphens/>
              <w:kinsoku w:val="0"/>
              <w:spacing w:before="0" w:beforeAutospacing="0" w:after="0" w:afterAutospacing="0" w:line="360" w:lineRule="auto"/>
              <w:ind w:left="0" w:leftChars="0" w:firstLine="0" w:firstLine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A+C*0.5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pStyle w:val="36"/>
              <w:widowControl w:val="0"/>
              <w:suppressAutoHyphens/>
              <w:kinsoku w:val="0"/>
              <w:spacing w:before="0" w:beforeAutospacing="0" w:after="0" w:afterAutospacing="0"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p>
        </w:tc>
        <w:tc>
          <w:tcPr>
            <w:tcW w:w="5996" w:type="dxa"/>
            <w:vAlign w:val="center"/>
          </w:tcPr>
          <w:p>
            <w:pPr>
              <w:pStyle w:val="36"/>
              <w:widowControl w:val="0"/>
              <w:suppressAutoHyphens/>
              <w:kinsoku w:val="0"/>
              <w:spacing w:before="0" w:beforeAutospacing="0" w:after="0" w:afterAutospacing="0"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在运营维护期发生法律变更或政府行为导致的提前终止</w:t>
            </w:r>
          </w:p>
        </w:tc>
        <w:tc>
          <w:tcPr>
            <w:tcW w:w="1687" w:type="dxa"/>
            <w:vAlign w:val="center"/>
          </w:tcPr>
          <w:p>
            <w:pPr>
              <w:pStyle w:val="36"/>
              <w:widowControl w:val="0"/>
              <w:suppressAutoHyphens/>
              <w:kinsoku w:val="0"/>
              <w:spacing w:before="0" w:beforeAutospacing="0" w:after="0" w:afterAutospacing="0" w:line="360" w:lineRule="auto"/>
              <w:ind w:left="0" w:leftChars="0" w:firstLine="0" w:firstLine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A+C*0.5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pStyle w:val="36"/>
              <w:widowControl w:val="0"/>
              <w:suppressAutoHyphens/>
              <w:kinsoku w:val="0"/>
              <w:spacing w:before="0" w:beforeAutospacing="0" w:after="0" w:afterAutospacing="0"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7</w:t>
            </w:r>
          </w:p>
        </w:tc>
        <w:tc>
          <w:tcPr>
            <w:tcW w:w="5996" w:type="dxa"/>
            <w:vAlign w:val="center"/>
          </w:tcPr>
          <w:p>
            <w:pPr>
              <w:pStyle w:val="36"/>
              <w:widowControl w:val="0"/>
              <w:suppressAutoHyphens/>
              <w:kinsoku w:val="0"/>
              <w:spacing w:before="0" w:beforeAutospacing="0" w:after="0" w:afterAutospacing="0"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在建设期发生自然不可抗力导致的提前终止</w:t>
            </w:r>
          </w:p>
        </w:tc>
        <w:tc>
          <w:tcPr>
            <w:tcW w:w="1687" w:type="dxa"/>
            <w:vAlign w:val="center"/>
          </w:tcPr>
          <w:p>
            <w:pPr>
              <w:pStyle w:val="36"/>
              <w:widowControl w:val="0"/>
              <w:suppressAutoHyphens/>
              <w:kinsoku w:val="0"/>
              <w:spacing w:before="0" w:beforeAutospacing="0" w:after="0" w:afterAutospacing="0" w:line="360" w:lineRule="auto"/>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A-B*0.7+C*0.5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pStyle w:val="36"/>
              <w:widowControl w:val="0"/>
              <w:suppressAutoHyphens/>
              <w:kinsoku w:val="0"/>
              <w:spacing w:before="0" w:beforeAutospacing="0" w:after="0" w:afterAutospacing="0"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8</w:t>
            </w:r>
          </w:p>
        </w:tc>
        <w:tc>
          <w:tcPr>
            <w:tcW w:w="5996" w:type="dxa"/>
            <w:vAlign w:val="center"/>
          </w:tcPr>
          <w:p>
            <w:pPr>
              <w:pStyle w:val="36"/>
              <w:widowControl w:val="0"/>
              <w:suppressAutoHyphens/>
              <w:kinsoku w:val="0"/>
              <w:spacing w:before="0" w:beforeAutospacing="0" w:after="0" w:afterAutospacing="0"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在运营维护期发生自然不可抗力导致的提前终止</w:t>
            </w:r>
          </w:p>
        </w:tc>
        <w:tc>
          <w:tcPr>
            <w:tcW w:w="1687" w:type="dxa"/>
            <w:vAlign w:val="center"/>
          </w:tcPr>
          <w:p>
            <w:pPr>
              <w:pStyle w:val="36"/>
              <w:widowControl w:val="0"/>
              <w:suppressAutoHyphens/>
              <w:kinsoku w:val="0"/>
              <w:spacing w:before="0" w:beforeAutospacing="0" w:after="0" w:afterAutospacing="0" w:line="360" w:lineRule="auto"/>
              <w:ind w:left="0" w:leftChars="0" w:firstLine="0" w:firstLine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A-B*0.7+C*0.5</w:t>
            </w:r>
          </w:p>
        </w:tc>
      </w:tr>
    </w:tbl>
    <w:p>
      <w:pPr>
        <w:pStyle w:val="36"/>
        <w:widowControl w:val="0"/>
        <w:suppressAutoHyphens/>
        <w:kinsoku w:val="0"/>
        <w:spacing w:before="120" w:beforeLines="50" w:beforeAutospacing="0" w:after="120" w:afterLines="50" w:afterAutospacing="0" w:line="360" w:lineRule="auto"/>
        <w:ind w:firstLine="480" w:firstLineChars="200"/>
        <w:jc w:val="both"/>
        <w:rPr>
          <w:rFonts w:hint="eastAsia" w:asciiTheme="minorEastAsia" w:hAnsiTheme="minorEastAsia" w:eastAsiaTheme="minorEastAsia" w:cstheme="minorEastAsia"/>
          <w:kern w:val="2"/>
          <w:sz w:val="24"/>
          <w:szCs w:val="20"/>
          <w:lang w:val="en-US" w:eastAsia="zh-CN" w:bidi="ar-SA"/>
        </w:rPr>
      </w:pPr>
      <w:r>
        <w:rPr>
          <w:rFonts w:hint="eastAsia" w:asciiTheme="minorEastAsia" w:hAnsiTheme="minorEastAsia" w:eastAsiaTheme="minorEastAsia" w:cstheme="minorEastAsia"/>
          <w:kern w:val="2"/>
          <w:sz w:val="24"/>
          <w:szCs w:val="20"/>
          <w:lang w:val="en-US" w:eastAsia="zh-CN" w:bidi="ar-SA"/>
        </w:rPr>
        <w:t>其中：</w:t>
      </w:r>
    </w:p>
    <w:p>
      <w:pPr>
        <w:pStyle w:val="36"/>
        <w:widowControl w:val="0"/>
        <w:suppressAutoHyphens/>
        <w:kinsoku w:val="0"/>
        <w:spacing w:before="120" w:beforeLines="50" w:beforeAutospacing="0" w:after="120" w:afterLines="50" w:afterAutospacing="0" w:line="360" w:lineRule="auto"/>
        <w:jc w:val="both"/>
        <w:rPr>
          <w:rFonts w:hint="eastAsia" w:asciiTheme="minorEastAsia" w:hAnsiTheme="minorEastAsia" w:eastAsiaTheme="minorEastAsia" w:cstheme="minorEastAsia"/>
          <w:kern w:val="2"/>
          <w:sz w:val="24"/>
          <w:szCs w:val="20"/>
          <w:lang w:val="en-US" w:eastAsia="zh-CN" w:bidi="ar-SA"/>
        </w:rPr>
      </w:pPr>
      <w:r>
        <w:rPr>
          <w:rFonts w:hint="eastAsia" w:asciiTheme="minorEastAsia" w:hAnsiTheme="minorEastAsia" w:eastAsiaTheme="minorEastAsia" w:cstheme="minorEastAsia"/>
          <w:kern w:val="2"/>
          <w:sz w:val="24"/>
          <w:szCs w:val="20"/>
          <w:lang w:val="en-US" w:eastAsia="zh-CN" w:bidi="ar-SA"/>
        </w:rPr>
        <w:t>A为当期社会资本方股权价值（由市政府指定机构和社会资本方共同认可的具有相关资质的资产评估机构进行评估后确定的股权价值与社会资本方已实缴的资本金之间的较小值）；股权移交当年的社会资本方的资本金实缴资金以当年社会资本方在项目公司中的帐面实缴资本金金额为准；</w:t>
      </w:r>
    </w:p>
    <w:p>
      <w:pPr>
        <w:pStyle w:val="36"/>
        <w:widowControl w:val="0"/>
        <w:suppressAutoHyphens/>
        <w:kinsoku w:val="0"/>
        <w:spacing w:before="120" w:beforeLines="50" w:beforeAutospacing="0" w:after="120" w:afterLines="50" w:afterAutospacing="0" w:line="360" w:lineRule="auto"/>
        <w:jc w:val="both"/>
        <w:rPr>
          <w:rFonts w:hint="eastAsia" w:asciiTheme="minorEastAsia" w:hAnsiTheme="minorEastAsia" w:eastAsiaTheme="minorEastAsia" w:cstheme="minorEastAsia"/>
          <w:kern w:val="2"/>
          <w:sz w:val="24"/>
          <w:szCs w:val="20"/>
          <w:lang w:val="en-US" w:eastAsia="zh-CN" w:bidi="ar-SA"/>
        </w:rPr>
      </w:pPr>
      <w:r>
        <w:rPr>
          <w:rFonts w:hint="eastAsia" w:asciiTheme="minorEastAsia" w:hAnsiTheme="minorEastAsia" w:eastAsiaTheme="minorEastAsia" w:cstheme="minorEastAsia"/>
          <w:kern w:val="2"/>
          <w:sz w:val="24"/>
          <w:szCs w:val="20"/>
          <w:lang w:val="en-US" w:eastAsia="zh-CN" w:bidi="ar-SA"/>
        </w:rPr>
        <w:t>B为由于违约、政策法律变更或不可抗力等原因，造成的扣除保险赔偿（如有）后的全部损失；</w:t>
      </w:r>
    </w:p>
    <w:p>
      <w:pPr>
        <w:pStyle w:val="36"/>
        <w:widowControl w:val="0"/>
        <w:suppressAutoHyphens/>
        <w:kinsoku w:val="0"/>
        <w:spacing w:before="120" w:beforeLines="50" w:beforeAutospacing="0" w:after="120" w:afterLines="50" w:afterAutospacing="0" w:line="360" w:lineRule="auto"/>
        <w:jc w:val="both"/>
        <w:rPr>
          <w:rFonts w:hint="eastAsia" w:asciiTheme="minorEastAsia" w:hAnsiTheme="minorEastAsia" w:eastAsiaTheme="minorEastAsia" w:cstheme="minorEastAsia"/>
          <w:kern w:val="2"/>
          <w:sz w:val="24"/>
          <w:szCs w:val="20"/>
          <w:lang w:val="en-US" w:eastAsia="zh-CN" w:bidi="ar-SA"/>
        </w:rPr>
      </w:pPr>
      <w:r>
        <w:rPr>
          <w:rFonts w:hint="eastAsia" w:asciiTheme="minorEastAsia" w:hAnsiTheme="minorEastAsia" w:eastAsiaTheme="minorEastAsia" w:cstheme="minorEastAsia"/>
          <w:kern w:val="2"/>
          <w:sz w:val="24"/>
          <w:szCs w:val="20"/>
          <w:lang w:val="en-US" w:eastAsia="zh-CN" w:bidi="ar-SA"/>
        </w:rPr>
        <w:t>C为2年的社会资本方的投资回报（通过采购确定的资本金预期投资回报率*社会资本方已实缴的资本金*2）；如剩余合作期限不足两年，则按照剩余年限计算社会资本方的资本金投资回报（中标的资本金预期投资回报率*社会资本方已实缴的资本金*剩余年限）；社会资本方已实缴的资本金以提前终止当年社会资本方在项目公司中的帐面实缴资本金金额为准；</w:t>
      </w:r>
    </w:p>
    <w:p>
      <w:pPr>
        <w:pStyle w:val="36"/>
        <w:widowControl w:val="0"/>
        <w:suppressAutoHyphens/>
        <w:kinsoku w:val="0"/>
        <w:spacing w:before="120" w:beforeLines="50" w:beforeAutospacing="0" w:after="120" w:afterLines="50" w:afterAutospacing="0" w:line="360" w:lineRule="auto"/>
        <w:jc w:val="both"/>
        <w:rPr>
          <w:rFonts w:hint="eastAsia" w:asciiTheme="minorEastAsia" w:hAnsiTheme="minorEastAsia" w:eastAsiaTheme="minorEastAsia" w:cstheme="minorEastAsia"/>
          <w:kern w:val="2"/>
          <w:sz w:val="24"/>
          <w:szCs w:val="20"/>
          <w:lang w:val="en-US" w:eastAsia="zh-CN" w:bidi="ar-SA"/>
        </w:rPr>
      </w:pPr>
      <w:r>
        <w:rPr>
          <w:rFonts w:hint="eastAsia" w:asciiTheme="minorEastAsia" w:hAnsiTheme="minorEastAsia" w:eastAsiaTheme="minorEastAsia" w:cstheme="minorEastAsia"/>
          <w:kern w:val="2"/>
          <w:sz w:val="24"/>
          <w:szCs w:val="20"/>
          <w:lang w:val="en-US" w:eastAsia="zh-CN" w:bidi="ar-SA"/>
        </w:rPr>
        <w:t>股权移交对价最低为零元。</w:t>
      </w:r>
      <w:bookmarkStart w:id="2109" w:name="_Toc451103360"/>
      <w:bookmarkEnd w:id="2109"/>
      <w:bookmarkStart w:id="2110" w:name="_Toc451103361"/>
      <w:bookmarkEnd w:id="2110"/>
      <w:bookmarkStart w:id="2111" w:name="_Toc451103359"/>
      <w:bookmarkEnd w:id="2111"/>
      <w:bookmarkStart w:id="2112" w:name="_Toc451103358"/>
      <w:bookmarkEnd w:id="2112"/>
      <w:bookmarkStart w:id="2113" w:name="_Toc451103362"/>
      <w:bookmarkEnd w:id="2113"/>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114" w:name="_Toc1408"/>
      <w:bookmarkStart w:id="2115" w:name="_Toc10297"/>
      <w:bookmarkStart w:id="2116" w:name="_Toc10322"/>
      <w:r>
        <w:rPr>
          <w:rFonts w:hint="eastAsia" w:asciiTheme="minorEastAsia" w:hAnsiTheme="minorEastAsia" w:eastAsiaTheme="minorEastAsia" w:cstheme="minorEastAsia"/>
          <w:color w:val="auto"/>
        </w:rPr>
        <w:t>缺陷责任</w:t>
      </w:r>
      <w:bookmarkEnd w:id="2114"/>
      <w:bookmarkEnd w:id="2115"/>
      <w:bookmarkEnd w:id="2116"/>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项目的缺陷责任期为合作期期满后一（1）年。缺陷责任期内，项目公司须按国家规定履行保修义务（因接受移交的单位使用不当造成的损坏除外），修复项目设施的任何部分在合作期内出现的任何缺陷或损坏，并提供满足正常运营维护所需要的咨询服务。</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发现任何上述缺陷或损坏后应及时通知项目公司。在任何情况下，</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必须最迟于缺陷责任期结束前通知项目公司。收到该通知后，项目公司应尽快自费修正缺陷或损坏。</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项目公司应使其提交的项目移交维修独立保函有效期保留至移交后的缺陷责任期届满。如果项目公司在收到上述通知后合理的时间内不能或拒绝修正缺陷，</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有权自行或请第三方修正上述缺陷。在这种情况下，项目公司应为此向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支付合理且必要的费用，否则</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有权从移交履约保函中兑取相应金额以补偿该等费用。</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117" w:name="_Toc454506844"/>
      <w:bookmarkEnd w:id="2117"/>
      <w:bookmarkStart w:id="2118" w:name="_移交程序"/>
      <w:bookmarkEnd w:id="2118"/>
      <w:bookmarkStart w:id="2119" w:name="_责任承担及履约保函的到期"/>
      <w:bookmarkEnd w:id="2119"/>
      <w:bookmarkStart w:id="2120" w:name="_Toc454489484"/>
      <w:bookmarkEnd w:id="2120"/>
      <w:bookmarkStart w:id="2121" w:name="_责任承担及维护保函的到期"/>
      <w:bookmarkEnd w:id="2121"/>
      <w:bookmarkStart w:id="2122" w:name="_对责任的限制"/>
      <w:bookmarkEnd w:id="2122"/>
      <w:bookmarkStart w:id="2123" w:name="_提前移交程序"/>
      <w:bookmarkEnd w:id="2123"/>
      <w:bookmarkStart w:id="2124" w:name="_Toc87620394"/>
      <w:bookmarkEnd w:id="2124"/>
      <w:bookmarkStart w:id="2125" w:name="_Toc87620214"/>
      <w:bookmarkEnd w:id="2125"/>
      <w:bookmarkStart w:id="2126" w:name="_Toc239861134"/>
      <w:bookmarkStart w:id="2127" w:name="_Toc31438"/>
      <w:bookmarkStart w:id="2128" w:name="_Toc9172"/>
      <w:bookmarkStart w:id="2129" w:name="_Toc895"/>
      <w:r>
        <w:rPr>
          <w:rFonts w:hint="eastAsia" w:asciiTheme="minorEastAsia" w:hAnsiTheme="minorEastAsia" w:eastAsiaTheme="minorEastAsia" w:cstheme="minorEastAsia"/>
          <w:color w:val="auto"/>
        </w:rPr>
        <w:t>责任限制</w:t>
      </w:r>
      <w:bookmarkEnd w:id="2126"/>
      <w:bookmarkEnd w:id="2127"/>
      <w:bookmarkEnd w:id="2128"/>
      <w:bookmarkEnd w:id="2129"/>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本合同依据第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_Ref447625387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22.2</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条终止和第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_Ref447625395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22.8</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条移交后，</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不应就上述终止或导致上述终止的任何事件向项目公司承担任何义务。</w:t>
      </w:r>
      <w:bookmarkStart w:id="2130" w:name="_补偿"/>
      <w:bookmarkEnd w:id="2130"/>
    </w:p>
    <w:p>
      <w:pPr>
        <w:pStyle w:val="2"/>
        <w:keepNext w:val="0"/>
        <w:widowControl w:val="0"/>
        <w:spacing w:before="120" w:beforeLines="50" w:afterLines="50" w:line="360" w:lineRule="auto"/>
        <w:rPr>
          <w:rFonts w:hint="eastAsia" w:asciiTheme="minorEastAsia" w:hAnsiTheme="minorEastAsia" w:eastAsiaTheme="minorEastAsia" w:cstheme="minorEastAsia"/>
        </w:rPr>
        <w:sectPr>
          <w:pgSz w:w="11907" w:h="16840"/>
          <w:pgMar w:top="1418" w:right="1418" w:bottom="1418" w:left="1418" w:header="567" w:footer="992" w:gutter="0"/>
          <w:pgNumType w:fmt="decimal"/>
          <w:cols w:space="425" w:num="1"/>
          <w:docGrid w:linePitch="326" w:charSpace="0"/>
        </w:sectPr>
      </w:pPr>
    </w:p>
    <w:bookmarkEnd w:id="1865"/>
    <w:bookmarkEnd w:id="1866"/>
    <w:bookmarkEnd w:id="1867"/>
    <w:bookmarkEnd w:id="1868"/>
    <w:bookmarkEnd w:id="1869"/>
    <w:bookmarkEnd w:id="1870"/>
    <w:bookmarkEnd w:id="1871"/>
    <w:bookmarkEnd w:id="1872"/>
    <w:p>
      <w:pPr>
        <w:pStyle w:val="37"/>
        <w:spacing w:after="120" w:afterLines="50"/>
        <w:rPr>
          <w:rFonts w:hint="eastAsia" w:asciiTheme="minorEastAsia" w:hAnsiTheme="minorEastAsia" w:eastAsiaTheme="minorEastAsia" w:cstheme="minorEastAsia"/>
        </w:rPr>
      </w:pPr>
      <w:bookmarkStart w:id="2131" w:name="_补偿_1"/>
      <w:bookmarkEnd w:id="2131"/>
      <w:bookmarkStart w:id="2132" w:name="_争议的解决_1"/>
      <w:bookmarkEnd w:id="2132"/>
      <w:bookmarkStart w:id="2133" w:name="_提前终止"/>
      <w:bookmarkEnd w:id="2133"/>
      <w:bookmarkStart w:id="2134" w:name="_项目公司股权的转让"/>
      <w:bookmarkEnd w:id="2134"/>
      <w:bookmarkStart w:id="2135" w:name="_Ref490036351"/>
      <w:bookmarkStart w:id="2136" w:name="_Ref490071032"/>
      <w:bookmarkStart w:id="2137" w:name="_Toc51225706"/>
      <w:bookmarkStart w:id="2138" w:name="_Toc50454036"/>
      <w:bookmarkStart w:id="2139" w:name="_Toc50368789"/>
      <w:bookmarkStart w:id="2140" w:name="_Toc239861153"/>
      <w:bookmarkStart w:id="2141" w:name="_Toc50860458"/>
      <w:bookmarkStart w:id="2142" w:name="_Toc50861963"/>
      <w:bookmarkStart w:id="2143" w:name="_Toc51214028"/>
      <w:bookmarkStart w:id="2144" w:name="_Toc50861827"/>
      <w:bookmarkStart w:id="2145" w:name="_Toc24940"/>
      <w:bookmarkStart w:id="2146" w:name="_Toc32327"/>
      <w:bookmarkStart w:id="2147" w:name="_Toc10687"/>
      <w:r>
        <w:rPr>
          <w:rFonts w:hint="eastAsia" w:asciiTheme="minorEastAsia" w:hAnsiTheme="minorEastAsia" w:eastAsiaTheme="minorEastAsia" w:cstheme="minorEastAsia"/>
        </w:rPr>
        <w:t>争议解决</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2148" w:name="_Toc448055820"/>
      <w:bookmarkEnd w:id="2148"/>
      <w:bookmarkStart w:id="2149" w:name="_Toc447632794"/>
      <w:bookmarkEnd w:id="2149"/>
      <w:bookmarkStart w:id="2150" w:name="_Toc491687833"/>
      <w:bookmarkEnd w:id="2150"/>
      <w:bookmarkStart w:id="2151" w:name="_Toc491193751"/>
      <w:bookmarkEnd w:id="2151"/>
      <w:bookmarkStart w:id="2152" w:name="_Toc448056211"/>
      <w:bookmarkEnd w:id="2152"/>
      <w:bookmarkStart w:id="2153" w:name="_Toc448046152"/>
      <w:bookmarkEnd w:id="2153"/>
      <w:bookmarkStart w:id="2154" w:name="_Toc489988548"/>
      <w:bookmarkEnd w:id="2154"/>
      <w:bookmarkStart w:id="2155" w:name="_Toc448073244"/>
      <w:bookmarkEnd w:id="2155"/>
      <w:bookmarkStart w:id="2156" w:name="_Toc490081564"/>
      <w:bookmarkEnd w:id="2156"/>
      <w:bookmarkStart w:id="2157" w:name="_Toc448051553"/>
      <w:bookmarkEnd w:id="2157"/>
      <w:bookmarkStart w:id="2158" w:name="_Toc454489487"/>
      <w:bookmarkEnd w:id="2158"/>
      <w:bookmarkStart w:id="2159" w:name="_Toc493455011"/>
      <w:bookmarkEnd w:id="2159"/>
      <w:bookmarkStart w:id="2160" w:name="_Toc491257879"/>
      <w:bookmarkEnd w:id="2160"/>
      <w:bookmarkStart w:id="2161" w:name="_Toc491680758"/>
      <w:bookmarkEnd w:id="2161"/>
      <w:bookmarkStart w:id="2162" w:name="_Toc447744599"/>
      <w:bookmarkEnd w:id="2162"/>
      <w:bookmarkStart w:id="2163" w:name="_Toc454506847"/>
      <w:bookmarkEnd w:id="2163"/>
      <w:bookmarkStart w:id="2164" w:name="_Toc447847489"/>
      <w:bookmarkEnd w:id="2164"/>
      <w:bookmarkStart w:id="2165" w:name="_Toc447743509"/>
      <w:bookmarkEnd w:id="2165"/>
      <w:bookmarkStart w:id="2166" w:name="_Toc447620543"/>
      <w:bookmarkEnd w:id="2166"/>
      <w:bookmarkStart w:id="2167" w:name="_Toc454572666"/>
      <w:bookmarkEnd w:id="2167"/>
      <w:bookmarkStart w:id="2168" w:name="_双方友好协商解决"/>
      <w:bookmarkEnd w:id="2168"/>
      <w:bookmarkStart w:id="2169" w:name="_Toc489986287"/>
      <w:bookmarkEnd w:id="2169"/>
      <w:bookmarkStart w:id="2170" w:name="_Toc491688029"/>
      <w:bookmarkEnd w:id="2170"/>
      <w:bookmarkStart w:id="2171" w:name="_Toc448051371"/>
      <w:bookmarkEnd w:id="2171"/>
      <w:bookmarkStart w:id="2172" w:name="_Toc447534822"/>
      <w:bookmarkEnd w:id="2172"/>
      <w:bookmarkStart w:id="2173" w:name="_Toc448054816"/>
      <w:bookmarkEnd w:id="2173"/>
      <w:bookmarkStart w:id="2174" w:name="_Toc489977942"/>
      <w:bookmarkEnd w:id="2174"/>
      <w:bookmarkStart w:id="2175" w:name="_Toc490036613"/>
      <w:bookmarkEnd w:id="2175"/>
      <w:bookmarkStart w:id="2176" w:name="_Toc490035223"/>
      <w:bookmarkEnd w:id="2176"/>
      <w:bookmarkStart w:id="2177" w:name="_Toc490090625"/>
      <w:bookmarkEnd w:id="2177"/>
      <w:bookmarkStart w:id="2178" w:name="_Toc454482385"/>
      <w:bookmarkEnd w:id="2178"/>
      <w:bookmarkStart w:id="2179" w:name="_Toc493454051"/>
      <w:bookmarkEnd w:id="2179"/>
      <w:bookmarkStart w:id="2180" w:name="_Toc20422"/>
      <w:bookmarkEnd w:id="2180"/>
      <w:bookmarkStart w:id="2181" w:name="_Toc447850139"/>
      <w:bookmarkEnd w:id="2181"/>
      <w:bookmarkStart w:id="2182" w:name="_Toc447534645"/>
      <w:bookmarkEnd w:id="2182"/>
      <w:bookmarkStart w:id="2183" w:name="_Toc489977761"/>
      <w:bookmarkEnd w:id="2183"/>
      <w:bookmarkStart w:id="2184" w:name="_Toc18090"/>
      <w:bookmarkEnd w:id="2184"/>
      <w:bookmarkStart w:id="2185" w:name="_Toc30610"/>
      <w:bookmarkEnd w:id="2185"/>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186" w:name="_双方友好协商解决_1"/>
      <w:bookmarkEnd w:id="2186"/>
      <w:r>
        <w:rPr>
          <w:rFonts w:hint="eastAsia" w:asciiTheme="minorEastAsia" w:hAnsiTheme="minorEastAsia" w:eastAsiaTheme="minorEastAsia" w:cstheme="minorEastAsia"/>
          <w:color w:val="auto"/>
        </w:rPr>
        <w:t xml:space="preserve"> </w:t>
      </w:r>
      <w:bookmarkStart w:id="2187" w:name="_Toc50861964"/>
      <w:bookmarkStart w:id="2188" w:name="_Toc50860459"/>
      <w:bookmarkStart w:id="2189" w:name="_Toc239861154"/>
      <w:bookmarkStart w:id="2190" w:name="_Toc50861828"/>
      <w:bookmarkStart w:id="2191" w:name="_Ref447625602"/>
      <w:bookmarkStart w:id="2192" w:name="_Toc23539"/>
      <w:bookmarkStart w:id="2193" w:name="_Toc51225707"/>
      <w:bookmarkStart w:id="2194" w:name="_Toc51214029"/>
      <w:bookmarkStart w:id="2195" w:name="_Toc50368790"/>
      <w:bookmarkStart w:id="2196" w:name="_Toc50454037"/>
      <w:bookmarkStart w:id="2197" w:name="_Ref447625447"/>
      <w:bookmarkStart w:id="2198" w:name="_Toc28959"/>
      <w:bookmarkStart w:id="2199" w:name="_Toc29278"/>
      <w:r>
        <w:rPr>
          <w:rFonts w:hint="eastAsia" w:asciiTheme="minorEastAsia" w:hAnsiTheme="minorEastAsia" w:eastAsiaTheme="minorEastAsia" w:cstheme="minorEastAsia"/>
          <w:color w:val="auto"/>
        </w:rPr>
        <w:t>各方友好协商解决</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pPr>
        <w:pStyle w:val="5"/>
        <w:rPr>
          <w:rFonts w:hint="eastAsia" w:asciiTheme="minorEastAsia" w:hAnsiTheme="minorEastAsia" w:eastAsiaTheme="minorEastAsia" w:cstheme="minorEastAsia"/>
          <w:color w:val="auto"/>
        </w:rPr>
      </w:pPr>
      <w:bookmarkStart w:id="2200" w:name="_若双方对于由于本协议条款或与本协议有关的条款的解释，包括关于其存在、有效或终止"/>
      <w:bookmarkEnd w:id="2200"/>
      <w:bookmarkStart w:id="2201" w:name="_Ref447625421"/>
      <w:r>
        <w:rPr>
          <w:rFonts w:hint="eastAsia" w:asciiTheme="minorEastAsia" w:hAnsiTheme="minorEastAsia" w:eastAsiaTheme="minorEastAsia" w:cstheme="minorEastAsia"/>
          <w:color w:val="auto"/>
        </w:rPr>
        <w:t>若各方对于由于本合同条款或与本合同有关的条款的解释或本合同未尽事宜，包括关于其存在、有效或终止的任何问题产生任何争议、分歧或索赔，则应尽力通过协商友好解决该争议、分歧或索赔。</w:t>
      </w:r>
      <w:bookmarkEnd w:id="2201"/>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202" w:name="_Toc31341"/>
      <w:bookmarkStart w:id="2203" w:name="_Toc26323"/>
      <w:bookmarkStart w:id="2204" w:name="_Toc23902"/>
      <w:r>
        <w:rPr>
          <w:rFonts w:hint="eastAsia" w:asciiTheme="minorEastAsia" w:hAnsiTheme="minorEastAsia" w:eastAsiaTheme="minorEastAsia" w:cstheme="minorEastAsia"/>
          <w:color w:val="auto"/>
        </w:rPr>
        <w:t>申请仲裁</w:t>
      </w:r>
      <w:bookmarkEnd w:id="2202"/>
      <w:bookmarkEnd w:id="2203"/>
      <w:bookmarkEnd w:id="2204"/>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除本合同另有规定，若在尝试友好协商解决后三十（30）日内该争议仍未能根据第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_Ref447625421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23.1.1</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条款得到解决；对于其他争议，</w:t>
      </w:r>
      <w:bookmarkStart w:id="2205" w:name="_申请仲裁"/>
      <w:bookmarkEnd w:id="2205"/>
      <w:bookmarkStart w:id="2206" w:name="_指定"/>
      <w:bookmarkEnd w:id="2206"/>
      <w:bookmarkStart w:id="2207" w:name="_专家小组应在收到第20.2.3条款规定的文件后的三十（30）日内，以多数作出决"/>
      <w:bookmarkEnd w:id="2207"/>
      <w:bookmarkStart w:id="2208" w:name="_专家小组的调解"/>
      <w:bookmarkEnd w:id="2208"/>
      <w:bookmarkStart w:id="2209" w:name="_答辩"/>
      <w:bookmarkEnd w:id="2209"/>
      <w:r>
        <w:rPr>
          <w:rFonts w:hint="eastAsia" w:asciiTheme="minorEastAsia" w:hAnsiTheme="minorEastAsia" w:eastAsiaTheme="minorEastAsia" w:cstheme="minorEastAsia"/>
          <w:color w:val="auto"/>
        </w:rPr>
        <w:t>任何一方有权直接向徐州仲裁委员会申请仲裁。仲裁的裁决是终局的，对双方均有约束力。除非仲裁裁决另有规定，败诉的一方应承担并支付胜诉方为仲裁事件所支付的相关费用。</w:t>
      </w:r>
    </w:p>
    <w:p>
      <w:pPr>
        <w:pStyle w:val="5"/>
        <w:rPr>
          <w:rFonts w:hint="eastAsia" w:asciiTheme="minorEastAsia" w:hAnsiTheme="minorEastAsia" w:eastAsiaTheme="minorEastAsia" w:cstheme="minorEastAsia"/>
          <w:color w:val="auto"/>
        </w:rPr>
        <w:sectPr>
          <w:pgSz w:w="11907" w:h="16840"/>
          <w:pgMar w:top="1418" w:right="1418" w:bottom="1418" w:left="1418" w:header="567" w:footer="992" w:gutter="0"/>
          <w:pgNumType w:fmt="decimal"/>
          <w:cols w:space="425" w:num="1"/>
          <w:docGrid w:linePitch="326" w:charSpace="0"/>
        </w:sectPr>
      </w:pPr>
      <w:bookmarkStart w:id="2210" w:name="_Toc51214032"/>
      <w:bookmarkStart w:id="2211" w:name="_Toc50860462"/>
      <w:bookmarkStart w:id="2212" w:name="_Toc50454040"/>
      <w:bookmarkStart w:id="2213" w:name="_Toc50368793"/>
      <w:bookmarkStart w:id="2214" w:name="_Toc50861967"/>
      <w:bookmarkStart w:id="2215" w:name="_Toc50861831"/>
      <w:bookmarkStart w:id="2216" w:name="_Toc51225710"/>
    </w:p>
    <w:p>
      <w:pPr>
        <w:pStyle w:val="37"/>
        <w:spacing w:after="120" w:afterLines="50"/>
        <w:rPr>
          <w:rFonts w:hint="eastAsia" w:asciiTheme="minorEastAsia" w:hAnsiTheme="minorEastAsia" w:eastAsiaTheme="minorEastAsia" w:cstheme="minorEastAsia"/>
        </w:rPr>
      </w:pPr>
      <w:bookmarkStart w:id="2217" w:name="_Toc239861157"/>
      <w:bookmarkStart w:id="2218" w:name="_Toc15341"/>
      <w:bookmarkStart w:id="2219" w:name="_Toc26287"/>
      <w:bookmarkStart w:id="2220" w:name="_Toc12710"/>
      <w:r>
        <w:rPr>
          <w:rFonts w:hint="eastAsia" w:asciiTheme="minorEastAsia" w:hAnsiTheme="minorEastAsia" w:eastAsiaTheme="minorEastAsia" w:cstheme="minorEastAsia"/>
        </w:rPr>
        <w:t>其他</w:t>
      </w:r>
      <w:bookmarkEnd w:id="2210"/>
      <w:bookmarkEnd w:id="2211"/>
      <w:bookmarkEnd w:id="2212"/>
      <w:bookmarkEnd w:id="2213"/>
      <w:bookmarkEnd w:id="2214"/>
      <w:bookmarkEnd w:id="2215"/>
      <w:bookmarkEnd w:id="2216"/>
      <w:bookmarkEnd w:id="2217"/>
      <w:r>
        <w:rPr>
          <w:rFonts w:hint="eastAsia" w:asciiTheme="minorEastAsia" w:hAnsiTheme="minorEastAsia" w:eastAsiaTheme="minorEastAsia" w:cstheme="minorEastAsia"/>
        </w:rPr>
        <w:t>约定</w:t>
      </w:r>
      <w:bookmarkEnd w:id="2218"/>
      <w:bookmarkEnd w:id="2219"/>
      <w:bookmarkEnd w:id="2220"/>
    </w:p>
    <w:p>
      <w:pPr>
        <w:pStyle w:val="66"/>
        <w:numPr>
          <w:ilvl w:val="0"/>
          <w:numId w:val="1"/>
        </w:numPr>
        <w:autoSpaceDE w:val="0"/>
        <w:autoSpaceDN w:val="0"/>
        <w:adjustRightInd w:val="0"/>
        <w:spacing w:before="120" w:after="120" w:afterLines="50"/>
        <w:ind w:right="28" w:firstLineChars="0"/>
        <w:jc w:val="center"/>
        <w:outlineLvl w:val="0"/>
        <w:rPr>
          <w:rFonts w:hint="eastAsia" w:asciiTheme="minorEastAsia" w:hAnsiTheme="minorEastAsia" w:eastAsiaTheme="minorEastAsia" w:cstheme="minorEastAsia"/>
          <w:b/>
          <w:vanish/>
          <w:kern w:val="0"/>
          <w:sz w:val="28"/>
          <w:szCs w:val="20"/>
        </w:rPr>
      </w:pPr>
      <w:bookmarkStart w:id="2221" w:name="_Toc493455015"/>
      <w:bookmarkEnd w:id="2221"/>
      <w:bookmarkStart w:id="2222" w:name="_Toc454572670"/>
      <w:bookmarkEnd w:id="2222"/>
      <w:bookmarkStart w:id="2223" w:name="_Toc448073249"/>
      <w:bookmarkEnd w:id="2223"/>
      <w:bookmarkStart w:id="2224" w:name="_Toc11988"/>
      <w:bookmarkEnd w:id="2224"/>
      <w:bookmarkStart w:id="2225" w:name="_Toc491688033"/>
      <w:bookmarkEnd w:id="2225"/>
      <w:bookmarkStart w:id="2226" w:name="_Toc491257883"/>
      <w:bookmarkEnd w:id="2226"/>
      <w:bookmarkStart w:id="2227" w:name="_Toc448055825"/>
      <w:bookmarkEnd w:id="2227"/>
      <w:bookmarkStart w:id="2228" w:name="_Toc447632799"/>
      <w:bookmarkEnd w:id="2228"/>
      <w:bookmarkStart w:id="2229" w:name="_Toc489986291"/>
      <w:bookmarkEnd w:id="2229"/>
      <w:bookmarkStart w:id="2230" w:name="_Toc447847494"/>
      <w:bookmarkEnd w:id="2230"/>
      <w:bookmarkStart w:id="2231" w:name="_Toc489977946"/>
      <w:bookmarkEnd w:id="2231"/>
      <w:bookmarkStart w:id="2232" w:name="_Toc489977765"/>
      <w:bookmarkEnd w:id="2232"/>
      <w:bookmarkStart w:id="2233" w:name="_Toc454489491"/>
      <w:bookmarkEnd w:id="2233"/>
      <w:bookmarkStart w:id="2234" w:name="_Toc493454055"/>
      <w:bookmarkEnd w:id="2234"/>
      <w:bookmarkStart w:id="2235" w:name="_Toc447744604"/>
      <w:bookmarkEnd w:id="2235"/>
      <w:bookmarkStart w:id="2236" w:name="_Toc454506851"/>
      <w:bookmarkEnd w:id="2236"/>
      <w:bookmarkStart w:id="2237" w:name="_Toc448056216"/>
      <w:bookmarkEnd w:id="2237"/>
      <w:bookmarkStart w:id="2238" w:name="_Toc448051558"/>
      <w:bookmarkEnd w:id="2238"/>
      <w:bookmarkStart w:id="2239" w:name="_Toc448054821"/>
      <w:bookmarkEnd w:id="2239"/>
      <w:bookmarkStart w:id="2240" w:name="_Toc448046157"/>
      <w:bookmarkEnd w:id="2240"/>
      <w:bookmarkStart w:id="2241" w:name="_Toc447534827"/>
      <w:bookmarkEnd w:id="2241"/>
      <w:bookmarkStart w:id="2242" w:name="_Toc491680762"/>
      <w:bookmarkEnd w:id="2242"/>
      <w:bookmarkStart w:id="2243" w:name="_Toc447620548"/>
      <w:bookmarkEnd w:id="2243"/>
      <w:bookmarkStart w:id="2244" w:name="_Toc454482389"/>
      <w:bookmarkEnd w:id="2244"/>
      <w:bookmarkStart w:id="2245" w:name="_Toc447534649"/>
      <w:bookmarkEnd w:id="2245"/>
      <w:bookmarkStart w:id="2246" w:name="_Toc447850144"/>
      <w:bookmarkEnd w:id="2246"/>
      <w:bookmarkStart w:id="2247" w:name="_保密条款"/>
      <w:bookmarkEnd w:id="2247"/>
      <w:bookmarkStart w:id="2248" w:name="_Toc491193755"/>
      <w:bookmarkEnd w:id="2248"/>
      <w:bookmarkStart w:id="2249" w:name="_Toc490090629"/>
      <w:bookmarkEnd w:id="2249"/>
      <w:bookmarkStart w:id="2250" w:name="_Toc447743514"/>
      <w:bookmarkEnd w:id="2250"/>
      <w:bookmarkStart w:id="2251" w:name="_Toc448051376"/>
      <w:bookmarkEnd w:id="2251"/>
      <w:bookmarkStart w:id="2252" w:name="_Toc490035227"/>
      <w:bookmarkEnd w:id="2252"/>
      <w:bookmarkStart w:id="2253" w:name="_Toc489988552"/>
      <w:bookmarkEnd w:id="2253"/>
      <w:bookmarkStart w:id="2254" w:name="_Toc491687837"/>
      <w:bookmarkEnd w:id="2254"/>
      <w:bookmarkStart w:id="2255" w:name="_Toc490036617"/>
      <w:bookmarkEnd w:id="2255"/>
      <w:bookmarkStart w:id="2256" w:name="_Toc490081568"/>
      <w:bookmarkEnd w:id="2256"/>
      <w:bookmarkStart w:id="2257" w:name="_Toc17312"/>
      <w:bookmarkEnd w:id="2257"/>
      <w:bookmarkStart w:id="2258" w:name="_Toc16041"/>
      <w:bookmarkEnd w:id="2258"/>
      <w:bookmarkStart w:id="2259" w:name="_Toc50368794"/>
      <w:bookmarkStart w:id="2260" w:name="_Toc51225711"/>
      <w:bookmarkStart w:id="2261" w:name="_Toc239861158"/>
      <w:bookmarkStart w:id="2262" w:name="_Toc50861968"/>
      <w:bookmarkStart w:id="2263" w:name="_Toc50860463"/>
      <w:bookmarkStart w:id="2264" w:name="_Toc50454041"/>
      <w:bookmarkStart w:id="2265" w:name="_Toc51214033"/>
      <w:bookmarkStart w:id="2266" w:name="_Ref86656854"/>
      <w:bookmarkStart w:id="2267" w:name="_Toc50861832"/>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268" w:name="_Toc493454057"/>
      <w:bookmarkEnd w:id="2268"/>
      <w:bookmarkStart w:id="2269" w:name="_相互保障"/>
      <w:bookmarkEnd w:id="2269"/>
      <w:bookmarkStart w:id="2270" w:name="_Toc493454058"/>
      <w:bookmarkEnd w:id="2270"/>
      <w:bookmarkStart w:id="2271" w:name="_保密条款_1"/>
      <w:bookmarkEnd w:id="2271"/>
      <w:bookmarkStart w:id="2272" w:name="_Toc493455017"/>
      <w:bookmarkEnd w:id="2272"/>
      <w:bookmarkStart w:id="2273" w:name="_环境污染"/>
      <w:bookmarkEnd w:id="2273"/>
      <w:bookmarkStart w:id="2274" w:name="_Toc493455018"/>
      <w:bookmarkEnd w:id="2274"/>
      <w:bookmarkStart w:id="2275" w:name="_Ref447621532"/>
      <w:bookmarkStart w:id="2276" w:name="_Toc17756"/>
      <w:bookmarkStart w:id="2277" w:name="_Ref447625556"/>
      <w:bookmarkStart w:id="2278" w:name="_Toc22769"/>
      <w:bookmarkStart w:id="2279" w:name="_Toc23805"/>
      <w:r>
        <w:rPr>
          <w:rFonts w:hint="eastAsia" w:asciiTheme="minorEastAsia" w:hAnsiTheme="minorEastAsia" w:eastAsiaTheme="minorEastAsia" w:cstheme="minorEastAsia"/>
          <w:color w:val="auto"/>
        </w:rPr>
        <w:t>保密条款</w:t>
      </w:r>
      <w:bookmarkEnd w:id="2259"/>
      <w:bookmarkEnd w:id="2260"/>
      <w:bookmarkEnd w:id="2261"/>
      <w:bookmarkEnd w:id="2262"/>
      <w:bookmarkEnd w:id="2263"/>
      <w:bookmarkEnd w:id="2264"/>
      <w:bookmarkEnd w:id="2265"/>
      <w:bookmarkEnd w:id="2266"/>
      <w:bookmarkEnd w:id="2267"/>
      <w:bookmarkEnd w:id="2275"/>
      <w:bookmarkEnd w:id="2276"/>
      <w:bookmarkEnd w:id="2277"/>
      <w:bookmarkEnd w:id="2278"/>
      <w:bookmarkEnd w:id="2279"/>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双方对本合同及相关文件负有保密责任，但</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为充分满足公共监督要求的情况除外。</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不得将项目公司提供的财务报表和技术资料等内容向第三方公布，但为满足公共监督要求而必须公布的信息以及在本合同终止时向接替的项目设施运营方披露该等信息（并且该等运营方应承担与</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相同的保密义务）除外。各方在本第</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REF _Ref447625556 \r \h  \* MERGEFORMAT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24.2</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t>条项下的义务在合作期和本合同终止之日起三年内持续有效。</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280" w:name="_Toc13245"/>
      <w:bookmarkStart w:id="2281" w:name="_Toc3975"/>
      <w:bookmarkStart w:id="2282" w:name="_Toc18717"/>
      <w:bookmarkStart w:id="2283" w:name="_Toc239861159"/>
      <w:r>
        <w:rPr>
          <w:rFonts w:hint="eastAsia" w:asciiTheme="minorEastAsia" w:hAnsiTheme="minorEastAsia" w:eastAsiaTheme="minorEastAsia" w:cstheme="minorEastAsia"/>
          <w:color w:val="auto"/>
        </w:rPr>
        <w:t>合作、预先警告义务</w:t>
      </w:r>
      <w:bookmarkEnd w:id="2280"/>
      <w:bookmarkEnd w:id="2281"/>
      <w:bookmarkEnd w:id="2282"/>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和项目公司双方应相互合作以达到本合同的目的，并应善意地行使和履行各自在本合同项下的权利和义务。在不限制前一句的总体规定的前提下，</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和项目公司双方同意：</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除本合同另有规定外，当一方要求取得另一方的同意时，被要求方应在十（10）日或其它合理所需的时间内给予同意或批准，而不可以无理拒绝或迟延给予该等同意或批准；及</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如果任何一方获悉的任何以下事件或情形属于：</w:t>
      </w:r>
    </w:p>
    <w:p>
      <w:pPr>
        <w:numPr>
          <w:ilvl w:val="0"/>
          <w:numId w:val="26"/>
        </w:numPr>
        <w:spacing w:before="120" w:after="120" w:afterLines="50"/>
        <w:ind w:left="1560" w:hanging="426"/>
        <w:rPr>
          <w:rFonts w:hint="eastAsia" w:asciiTheme="minorEastAsia" w:hAnsiTheme="minorEastAsia" w:eastAsiaTheme="minorEastAsia" w:cstheme="minorEastAsia"/>
        </w:rPr>
      </w:pPr>
      <w:r>
        <w:rPr>
          <w:rFonts w:hint="eastAsia" w:asciiTheme="minorEastAsia" w:hAnsiTheme="minorEastAsia" w:eastAsiaTheme="minorEastAsia" w:cstheme="minorEastAsia"/>
        </w:rPr>
        <w:t>经该方合理预计将对任何一方履行其本合同项下的义务或实施项目的能力造成重大不利影响的事件或情形；及</w:t>
      </w:r>
    </w:p>
    <w:p>
      <w:pPr>
        <w:numPr>
          <w:ilvl w:val="0"/>
          <w:numId w:val="26"/>
        </w:numPr>
        <w:spacing w:before="120" w:after="120" w:afterLines="50"/>
        <w:ind w:left="1560" w:hanging="426"/>
        <w:rPr>
          <w:rFonts w:hint="eastAsia" w:asciiTheme="minorEastAsia" w:hAnsiTheme="minorEastAsia" w:eastAsiaTheme="minorEastAsia" w:cstheme="minorEastAsia"/>
        </w:rPr>
      </w:pPr>
      <w:r>
        <w:rPr>
          <w:rFonts w:hint="eastAsia" w:asciiTheme="minorEastAsia" w:hAnsiTheme="minorEastAsia" w:eastAsiaTheme="minorEastAsia" w:cstheme="minorEastAsia"/>
        </w:rPr>
        <w:t>合理预计另一方不可能获悉该事件或情形；</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该方应尽快将该事件或情形通知另一方。</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284" w:name="_Toc5017"/>
      <w:bookmarkStart w:id="2285" w:name="_Toc22357"/>
      <w:bookmarkStart w:id="2286" w:name="_Toc10713"/>
      <w:r>
        <w:rPr>
          <w:rFonts w:hint="eastAsia" w:asciiTheme="minorEastAsia" w:hAnsiTheme="minorEastAsia" w:eastAsiaTheme="minorEastAsia" w:cstheme="minorEastAsia"/>
          <w:color w:val="auto"/>
        </w:rPr>
        <w:t>不限制</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法定权力</w:t>
      </w:r>
      <w:bookmarkEnd w:id="2283"/>
      <w:bookmarkEnd w:id="2284"/>
      <w:bookmarkEnd w:id="2285"/>
      <w:bookmarkEnd w:id="2286"/>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本合同不限制</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行使其法定权力。</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287" w:name="_Toc28733"/>
      <w:bookmarkStart w:id="2288" w:name="_Toc4006"/>
      <w:bookmarkStart w:id="2289" w:name="_Toc26878"/>
      <w:r>
        <w:rPr>
          <w:rFonts w:hint="eastAsia" w:asciiTheme="minorEastAsia" w:hAnsiTheme="minorEastAsia" w:eastAsiaTheme="minorEastAsia" w:cstheme="minorEastAsia"/>
          <w:color w:val="auto"/>
        </w:rPr>
        <w:t>合同文件</w:t>
      </w:r>
      <w:bookmarkEnd w:id="2287"/>
      <w:bookmarkEnd w:id="2288"/>
      <w:bookmarkEnd w:id="2289"/>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本合同包括</w:t>
      </w:r>
      <w:r>
        <w:rPr>
          <w:rFonts w:hint="eastAsia" w:asciiTheme="minorEastAsia" w:hAnsiTheme="minorEastAsia" w:eastAsiaTheme="minorEastAsia" w:cstheme="minorEastAsia"/>
          <w:color w:val="auto"/>
          <w:u w:val="single"/>
        </w:rPr>
        <w:t>附件1</w:t>
      </w:r>
      <w:r>
        <w:rPr>
          <w:rFonts w:hint="eastAsia" w:asciiTheme="minorEastAsia" w:hAnsiTheme="minorEastAsia" w:eastAsiaTheme="minorEastAsia" w:cstheme="minorEastAsia"/>
          <w:color w:val="auto"/>
        </w:rPr>
        <w:t>至</w:t>
      </w:r>
      <w:r>
        <w:rPr>
          <w:rFonts w:hint="eastAsia" w:asciiTheme="minorEastAsia" w:hAnsiTheme="minorEastAsia" w:eastAsiaTheme="minorEastAsia" w:cstheme="minorEastAsia"/>
          <w:color w:val="auto"/>
          <w:u w:val="single"/>
        </w:rPr>
        <w:t>附件1</w:t>
      </w:r>
      <w:r>
        <w:rPr>
          <w:rFonts w:hint="eastAsia" w:asciiTheme="minorEastAsia" w:hAnsiTheme="minorEastAsia" w:eastAsiaTheme="minorEastAsia" w:cstheme="minorEastAsia"/>
          <w:color w:val="auto"/>
          <w:u w:val="single"/>
          <w:lang w:val="en-US" w:eastAsia="zh-CN"/>
        </w:rPr>
        <w:t>0</w:t>
      </w:r>
      <w:r>
        <w:rPr>
          <w:rFonts w:hint="eastAsia" w:asciiTheme="minorEastAsia" w:hAnsiTheme="minorEastAsia" w:eastAsiaTheme="minorEastAsia" w:cstheme="minorEastAsia"/>
          <w:color w:val="auto"/>
        </w:rPr>
        <w:t>，每一份附件都应被视为本合同的一部分。</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290" w:name="_Toc418369012"/>
      <w:bookmarkStart w:id="2291" w:name="_Toc391568141"/>
      <w:bookmarkStart w:id="2292" w:name="_Toc88301887"/>
      <w:bookmarkStart w:id="2293" w:name="_Toc11801"/>
      <w:bookmarkStart w:id="2294" w:name="_Toc437946030"/>
      <w:bookmarkStart w:id="2295" w:name="_Toc53"/>
      <w:bookmarkStart w:id="2296" w:name="_Toc21872"/>
      <w:r>
        <w:rPr>
          <w:rFonts w:hint="eastAsia" w:asciiTheme="minorEastAsia" w:hAnsiTheme="minorEastAsia" w:eastAsiaTheme="minorEastAsia" w:cstheme="minorEastAsia"/>
          <w:color w:val="auto"/>
        </w:rPr>
        <w:t>合同变更及修改</w:t>
      </w:r>
      <w:bookmarkEnd w:id="2290"/>
      <w:bookmarkEnd w:id="2291"/>
      <w:bookmarkEnd w:id="2292"/>
      <w:bookmarkEnd w:id="2293"/>
      <w:bookmarkEnd w:id="2294"/>
      <w:bookmarkEnd w:id="2295"/>
      <w:bookmarkEnd w:id="2296"/>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在项目合作期内，如果由于项目边界条件发生重大变化、不可抗力事件、法律变更或其他事项导致本合同无法按照原有内容继续履行，经双方协商一致，并经市政府同意后，可对本合同内容进行变更。</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由于非项目公司的原因导致本合同内容变更，同时该等变更导致项目公司成本或资本性支出显著增加，则项目公司有权从政府方获得一般补偿；如果由于本合同内容变更造成项目公司成本或资本性支出显著节省，政府方有权调减可行性缺口补助的支付金额。</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本合同任何修改、补充或变更只有以书面形式并由</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和项目公司双方法定代表人或授权代表签字并加盖公章，经市政府批准后方可生效并具约束力。</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297" w:name="_Toc476048728"/>
      <w:bookmarkStart w:id="2298" w:name="_Toc24536"/>
      <w:bookmarkStart w:id="2299" w:name="_Toc18422"/>
      <w:bookmarkStart w:id="2300" w:name="_Toc26794"/>
      <w:r>
        <w:rPr>
          <w:rFonts w:hint="eastAsia" w:asciiTheme="minorEastAsia" w:hAnsiTheme="minorEastAsia" w:eastAsiaTheme="minorEastAsia" w:cstheme="minorEastAsia"/>
          <w:color w:val="auto"/>
        </w:rPr>
        <w:t>合同展期</w:t>
      </w:r>
      <w:bookmarkEnd w:id="2297"/>
      <w:bookmarkEnd w:id="2298"/>
      <w:bookmarkEnd w:id="2299"/>
      <w:bookmarkEnd w:id="2300"/>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距合作期正常终止日二十四（24）个月前，如果市政府决定仍采用PPP方式进行本项目设施的运营和维护，则项目公司可向</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发出书面申请，请求</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再次授予其运营和维护本项目设施的权利和义务。</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在同等条件下，项目公司应具有与</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就本项目设施的运营和维护订立新的PPP项目合同的优先权。</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301" w:name="_Toc5269"/>
      <w:bookmarkStart w:id="2302" w:name="_Toc418369013"/>
      <w:bookmarkStart w:id="2303" w:name="_Toc88301888"/>
      <w:bookmarkStart w:id="2304" w:name="_Toc437946031"/>
      <w:bookmarkStart w:id="2305" w:name="_Toc391568142"/>
      <w:bookmarkStart w:id="2306" w:name="_Toc12954"/>
      <w:bookmarkStart w:id="2307" w:name="_Toc25275"/>
      <w:r>
        <w:rPr>
          <w:rFonts w:hint="eastAsia" w:asciiTheme="minorEastAsia" w:hAnsiTheme="minorEastAsia" w:eastAsiaTheme="minorEastAsia" w:cstheme="minorEastAsia"/>
          <w:color w:val="auto"/>
        </w:rPr>
        <w:t>可分割性</w:t>
      </w:r>
      <w:bookmarkEnd w:id="2301"/>
      <w:bookmarkEnd w:id="2302"/>
      <w:bookmarkEnd w:id="2303"/>
      <w:bookmarkEnd w:id="2304"/>
      <w:bookmarkEnd w:id="2305"/>
      <w:bookmarkEnd w:id="2306"/>
      <w:bookmarkEnd w:id="2307"/>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如果本合同任何条款不合法、无效或不能执行，或者被任何有管辖权的仲裁庭或法院宣布为不合法、无效或不能执行，则</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rPr>
        <w:t>其他条款仍然有效和可执行；</w:t>
      </w:r>
    </w:p>
    <w:p>
      <w:pPr>
        <w:pStyle w:val="6"/>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和项目公司双方应商定对不合法、无效或不能执行的条款进行修改或更换，使之合法、有效并可执行，并且这些修改或更改应尽可能平衡</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和项目公司双方之间的利益。</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308" w:name="_保险"/>
      <w:bookmarkEnd w:id="2308"/>
      <w:bookmarkStart w:id="2309" w:name="_Toc13474"/>
      <w:bookmarkStart w:id="2310" w:name="_Toc17001"/>
      <w:bookmarkStart w:id="2311" w:name="_Toc24829"/>
      <w:r>
        <w:rPr>
          <w:rFonts w:hint="eastAsia" w:asciiTheme="minorEastAsia" w:hAnsiTheme="minorEastAsia" w:eastAsiaTheme="minorEastAsia" w:cstheme="minorEastAsia"/>
          <w:color w:val="auto"/>
        </w:rPr>
        <w:t>合同的一致性</w:t>
      </w:r>
      <w:bookmarkEnd w:id="2309"/>
      <w:bookmarkEnd w:id="2310"/>
      <w:bookmarkEnd w:id="2311"/>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本合同相关附件条款的解释应与本合同保持一致。如果本合同相关附件与本合同出现矛盾或不一致的地方，则应以本合同为准。</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312" w:name="_Toc447847504"/>
      <w:bookmarkEnd w:id="2312"/>
      <w:bookmarkStart w:id="2313" w:name="_Toc447850154"/>
      <w:bookmarkEnd w:id="2313"/>
      <w:bookmarkStart w:id="2314" w:name="_Toc239861163"/>
      <w:bookmarkStart w:id="2315" w:name="_Toc1312"/>
      <w:bookmarkStart w:id="2316" w:name="_Toc9080"/>
      <w:bookmarkStart w:id="2317" w:name="_Toc18887"/>
      <w:bookmarkStart w:id="2318" w:name="_Toc50860466"/>
      <w:bookmarkStart w:id="2319" w:name="_Toc50861835"/>
      <w:bookmarkStart w:id="2320" w:name="_Toc50368797"/>
      <w:bookmarkStart w:id="2321" w:name="_Toc51225715"/>
      <w:bookmarkStart w:id="2322" w:name="_Toc50861971"/>
      <w:bookmarkStart w:id="2323" w:name="_Toc51214037"/>
      <w:bookmarkStart w:id="2324" w:name="_Toc50454044"/>
      <w:r>
        <w:rPr>
          <w:rFonts w:hint="eastAsia" w:asciiTheme="minorEastAsia" w:hAnsiTheme="minorEastAsia" w:eastAsiaTheme="minorEastAsia" w:cstheme="minorEastAsia"/>
          <w:color w:val="auto"/>
        </w:rPr>
        <w:t>通知</w:t>
      </w:r>
      <w:bookmarkEnd w:id="2314"/>
      <w:bookmarkEnd w:id="2315"/>
      <w:bookmarkEnd w:id="2316"/>
      <w:bookmarkEnd w:id="2317"/>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根据本合同向本合同任何一方发出的任何通知应书面发出，根据《民事诉讼法》送达的相关规定，发往双方的下述地址（或在本合同日期后任何一方以通知替换的其他地址）：</w:t>
      </w:r>
    </w:p>
    <w:p>
      <w:pPr>
        <w:spacing w:before="120" w:after="120" w:afterLines="50"/>
        <w:ind w:left="703" w:leftChars="293" w:firstLine="2" w:firstLineChars="1"/>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w:t>
      </w:r>
    </w:p>
    <w:p>
      <w:pPr>
        <w:spacing w:before="120" w:after="120" w:afterLines="50"/>
        <w:ind w:left="703" w:leftChars="293" w:firstLine="2" w:firstLineChars="1"/>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根据本合同向本合同任何一方发出的所有通知或其他通信，应在递交时 （如果是由专人递交或邮寄的）或在收到时（如果是传真发出的）视为正式送达或作出。</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在收件地非工作日或非工作时间收到的通知或其他通信，应视为在该地的下一个工作日送达。</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325" w:name="_Toc88301905"/>
      <w:bookmarkStart w:id="2326" w:name="_Toc418369019"/>
      <w:bookmarkStart w:id="2327" w:name="_Toc32619"/>
      <w:bookmarkStart w:id="2328" w:name="_Toc391568160"/>
      <w:bookmarkStart w:id="2329" w:name="_Toc437946035"/>
      <w:bookmarkStart w:id="2330" w:name="_Toc4039"/>
      <w:bookmarkStart w:id="2331" w:name="_Toc10729"/>
      <w:r>
        <w:rPr>
          <w:rFonts w:hint="eastAsia" w:asciiTheme="minorEastAsia" w:hAnsiTheme="minorEastAsia" w:eastAsiaTheme="minorEastAsia" w:cstheme="minorEastAsia"/>
          <w:color w:val="auto"/>
        </w:rPr>
        <w:t>合同文字</w:t>
      </w:r>
      <w:bookmarkEnd w:id="2325"/>
      <w:bookmarkEnd w:id="2326"/>
      <w:bookmarkEnd w:id="2327"/>
      <w:bookmarkEnd w:id="2328"/>
      <w:bookmarkEnd w:id="2329"/>
      <w:bookmarkEnd w:id="2330"/>
      <w:bookmarkEnd w:id="2331"/>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本合同中文正本一式四（4）份，</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和项目公司各执二（2）份。</w:t>
      </w:r>
    </w:p>
    <w:p>
      <w:pPr>
        <w:pStyle w:val="3"/>
        <w:keepNext w:val="0"/>
        <w:widowControl w:val="0"/>
        <w:spacing w:before="120" w:beforeLines="50" w:afterLines="50"/>
        <w:rPr>
          <w:rFonts w:hint="eastAsia" w:asciiTheme="minorEastAsia" w:hAnsiTheme="minorEastAsia" w:eastAsiaTheme="minorEastAsia" w:cstheme="minorEastAsia"/>
          <w:color w:val="auto"/>
        </w:rPr>
      </w:pPr>
      <w:bookmarkStart w:id="2332" w:name="_Toc5162"/>
      <w:bookmarkStart w:id="2333" w:name="_Toc239861164"/>
      <w:bookmarkStart w:id="2334" w:name="_Toc6547"/>
      <w:bookmarkStart w:id="2335" w:name="_Toc10864"/>
      <w:r>
        <w:rPr>
          <w:rFonts w:hint="eastAsia" w:asciiTheme="minorEastAsia" w:hAnsiTheme="minorEastAsia" w:eastAsiaTheme="minorEastAsia" w:cstheme="minorEastAsia"/>
          <w:color w:val="auto"/>
        </w:rPr>
        <w:t>开始生效</w:t>
      </w:r>
      <w:bookmarkEnd w:id="2318"/>
      <w:bookmarkEnd w:id="2319"/>
      <w:bookmarkEnd w:id="2320"/>
      <w:bookmarkEnd w:id="2321"/>
      <w:bookmarkEnd w:id="2322"/>
      <w:bookmarkEnd w:id="2323"/>
      <w:bookmarkEnd w:id="2324"/>
      <w:bookmarkEnd w:id="2332"/>
      <w:bookmarkEnd w:id="2333"/>
      <w:bookmarkEnd w:id="2334"/>
      <w:bookmarkEnd w:id="2335"/>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本合同全部条款以最终获得市政府批复的合同内容为准。</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本合同自合同生效的先决条件全部成就后开始生效；</w:t>
      </w:r>
    </w:p>
    <w:p>
      <w:pPr>
        <w:pStyle w:val="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本合同已由</w:t>
      </w:r>
      <w:r>
        <w:rPr>
          <w:rFonts w:hint="eastAsia" w:asciiTheme="minorEastAsia" w:hAnsiTheme="minorEastAsia" w:eastAsiaTheme="minorEastAsia" w:cstheme="minorEastAsia"/>
          <w:color w:val="auto"/>
          <w:lang w:eastAsia="zh-CN"/>
        </w:rPr>
        <w:t>市城管局</w:t>
      </w:r>
      <w:r>
        <w:rPr>
          <w:rFonts w:hint="eastAsia" w:asciiTheme="minorEastAsia" w:hAnsiTheme="minorEastAsia" w:eastAsiaTheme="minorEastAsia" w:cstheme="minorEastAsia"/>
          <w:color w:val="auto"/>
        </w:rPr>
        <w:t>、项目公司双方加盖公章、各自法定代表人或各自正式授权的代表在本合同的文首注明的日期签署，双方愿受本合同约束。</w:t>
      </w:r>
    </w:p>
    <w:p>
      <w:pPr>
        <w:spacing w:before="120" w:after="120" w:afterLines="50"/>
        <w:rPr>
          <w:rFonts w:hint="eastAsia" w:asciiTheme="minorEastAsia" w:hAnsiTheme="minorEastAsia" w:eastAsiaTheme="minorEastAsia" w:cstheme="minorEastAsia"/>
        </w:rPr>
      </w:pPr>
    </w:p>
    <w:p>
      <w:pPr>
        <w:spacing w:before="120" w:after="120" w:afterLines="50"/>
        <w:jc w:val="center"/>
        <w:rPr>
          <w:rFonts w:hint="eastAsia" w:asciiTheme="minorEastAsia" w:hAnsiTheme="minorEastAsia" w:eastAsiaTheme="minorEastAsia" w:cstheme="minorEastAsia"/>
        </w:rPr>
        <w:sectPr>
          <w:pgSz w:w="11907" w:h="16840"/>
          <w:pgMar w:top="1418" w:right="1418" w:bottom="1418" w:left="1418" w:header="567" w:footer="992" w:gutter="0"/>
          <w:pgNumType w:fmt="decimal"/>
          <w:cols w:space="425" w:num="1"/>
          <w:docGrid w:linePitch="326" w:charSpace="0"/>
        </w:sectPr>
      </w:pPr>
    </w:p>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（此页无正文）</w:t>
      </w:r>
    </w:p>
    <w:p>
      <w:pPr>
        <w:spacing w:before="120" w:after="120" w:afterLines="50"/>
        <w:jc w:val="center"/>
        <w:rPr>
          <w:rFonts w:hint="eastAsia" w:asciiTheme="minorEastAsia" w:hAnsiTheme="minorEastAsia" w:eastAsiaTheme="minorEastAsia" w:cstheme="minorEastAsia"/>
        </w:rPr>
      </w:pPr>
    </w:p>
    <w:p>
      <w:pPr>
        <w:spacing w:before="120" w:after="120" w:afterLines="50"/>
        <w:rPr>
          <w:rFonts w:hint="eastAsia" w:asciiTheme="minorEastAsia" w:hAnsiTheme="minorEastAsia" w:eastAsiaTheme="minorEastAsia" w:cstheme="minorEastAsia"/>
        </w:rPr>
      </w:pPr>
    </w:p>
    <w:tbl>
      <w:tblPr>
        <w:tblStyle w:val="39"/>
        <w:tblW w:w="4503" w:type="dxa"/>
        <w:tblInd w:w="0" w:type="dxa"/>
        <w:tblLayout w:type="fixed"/>
        <w:tblCellMar>
          <w:top w:w="0" w:type="dxa"/>
          <w:left w:w="108" w:type="dxa"/>
          <w:bottom w:w="0" w:type="dxa"/>
          <w:right w:w="108" w:type="dxa"/>
        </w:tblCellMar>
      </w:tblPr>
      <w:tblGrid>
        <w:gridCol w:w="4503"/>
      </w:tblGrid>
      <w:tr>
        <w:tblPrEx>
          <w:tblLayout w:type="fixed"/>
          <w:tblCellMar>
            <w:top w:w="0" w:type="dxa"/>
            <w:left w:w="108" w:type="dxa"/>
            <w:bottom w:w="0" w:type="dxa"/>
            <w:right w:w="108" w:type="dxa"/>
          </w:tblCellMar>
        </w:tblPrEx>
        <w:tc>
          <w:tcPr>
            <w:tcW w:w="4503" w:type="dxa"/>
          </w:tcPr>
          <w:p>
            <w:pPr>
              <w:pStyle w:val="26"/>
              <w:widowControl w:val="0"/>
              <w:tabs>
                <w:tab w:val="clear" w:pos="4153"/>
                <w:tab w:val="clear" w:pos="8306"/>
              </w:tabs>
              <w:spacing w:before="120" w:after="120" w:afterLines="50"/>
              <w:ind w:left="-108" w:leftChars="-45"/>
              <w:rPr>
                <w:rFonts w:hint="eastAsia" w:asciiTheme="minorEastAsia" w:hAnsiTheme="minorEastAsia" w:eastAsiaTheme="minorEastAsia" w:cstheme="minorEastAsia"/>
                <w:bCs/>
                <w:kern w:val="2"/>
                <w:szCs w:val="24"/>
                <w:lang w:val="en-US"/>
              </w:rPr>
            </w:pPr>
            <w:r>
              <w:rPr>
                <w:rFonts w:hint="eastAsia" w:asciiTheme="minorEastAsia" w:hAnsiTheme="minorEastAsia" w:eastAsiaTheme="minorEastAsia" w:cstheme="minorEastAsia"/>
                <w:bCs/>
                <w:kern w:val="2"/>
                <w:szCs w:val="24"/>
                <w:lang w:val="en-US"/>
              </w:rPr>
              <w:t>徐州市</w:t>
            </w:r>
            <w:r>
              <w:rPr>
                <w:rFonts w:hint="eastAsia" w:asciiTheme="minorEastAsia" w:hAnsiTheme="minorEastAsia" w:eastAsiaTheme="minorEastAsia" w:cstheme="minorEastAsia"/>
                <w:bCs/>
                <w:kern w:val="2"/>
                <w:szCs w:val="24"/>
                <w:lang w:val="en-US" w:eastAsia="zh-CN"/>
              </w:rPr>
              <w:t>城市管理</w:t>
            </w:r>
            <w:r>
              <w:rPr>
                <w:rFonts w:hint="eastAsia" w:asciiTheme="minorEastAsia" w:hAnsiTheme="minorEastAsia" w:eastAsiaTheme="minorEastAsia" w:cstheme="minorEastAsia"/>
                <w:bCs/>
                <w:kern w:val="2"/>
                <w:szCs w:val="24"/>
                <w:lang w:val="en-US"/>
              </w:rPr>
              <w:t>局（公章）</w:t>
            </w:r>
          </w:p>
        </w:tc>
      </w:tr>
      <w:tr>
        <w:tblPrEx>
          <w:tblLayout w:type="fixed"/>
          <w:tblCellMar>
            <w:top w:w="0" w:type="dxa"/>
            <w:left w:w="108" w:type="dxa"/>
            <w:bottom w:w="0" w:type="dxa"/>
            <w:right w:w="108" w:type="dxa"/>
          </w:tblCellMar>
        </w:tblPrEx>
        <w:tc>
          <w:tcPr>
            <w:tcW w:w="4503" w:type="dxa"/>
          </w:tcPr>
          <w:p>
            <w:pPr>
              <w:spacing w:before="120" w:after="120" w:afterLines="50"/>
              <w:ind w:left="-108" w:leftChars="-45"/>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法定代表人/授权代表</w:t>
            </w:r>
          </w:p>
          <w:p>
            <w:pPr>
              <w:spacing w:before="120" w:after="120" w:afterLines="50"/>
              <w:ind w:left="-108" w:leftChars="-45"/>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（签</w:t>
            </w:r>
            <w:r>
              <w:rPr>
                <w:rFonts w:hint="eastAsia" w:asciiTheme="minorEastAsia" w:hAnsiTheme="minorEastAsia" w:eastAsiaTheme="minorEastAsia" w:cstheme="minorEastAsia"/>
                <w:bCs/>
                <w:lang w:val="en-US" w:eastAsia="zh-CN"/>
              </w:rPr>
              <w:t>章</w:t>
            </w:r>
            <w:r>
              <w:rPr>
                <w:rFonts w:hint="eastAsia" w:asciiTheme="minorEastAsia" w:hAnsiTheme="minorEastAsia" w:eastAsiaTheme="minorEastAsia" w:cstheme="minorEastAsia"/>
                <w:bCs/>
              </w:rPr>
              <w:t>）</w:t>
            </w:r>
          </w:p>
        </w:tc>
      </w:tr>
      <w:tr>
        <w:tblPrEx>
          <w:tblLayout w:type="fixed"/>
          <w:tblCellMar>
            <w:top w:w="0" w:type="dxa"/>
            <w:left w:w="108" w:type="dxa"/>
            <w:bottom w:w="0" w:type="dxa"/>
            <w:right w:w="108" w:type="dxa"/>
          </w:tblCellMar>
        </w:tblPrEx>
        <w:tc>
          <w:tcPr>
            <w:tcW w:w="4503" w:type="dxa"/>
          </w:tcPr>
          <w:p>
            <w:pPr>
              <w:spacing w:before="120" w:after="120" w:afterLines="50"/>
              <w:ind w:left="-108" w:leftChars="-45"/>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日期</w:t>
            </w:r>
          </w:p>
          <w:p>
            <w:pPr>
              <w:spacing w:before="120" w:after="120" w:afterLines="50"/>
              <w:ind w:left="-108" w:leftChars="-45"/>
              <w:rPr>
                <w:rFonts w:hint="eastAsia" w:asciiTheme="minorEastAsia" w:hAnsiTheme="minorEastAsia" w:eastAsiaTheme="minorEastAsia" w:cstheme="minorEastAsia"/>
                <w:bCs/>
              </w:rPr>
            </w:pPr>
          </w:p>
        </w:tc>
      </w:tr>
    </w:tbl>
    <w:p>
      <w:pPr>
        <w:pStyle w:val="50"/>
        <w:keepNext w:val="0"/>
        <w:widowControl w:val="0"/>
        <w:tabs>
          <w:tab w:val="center" w:pos="4143"/>
        </w:tabs>
        <w:spacing w:before="120" w:beforeLines="50" w:afterLines="50" w:line="360" w:lineRule="auto"/>
        <w:jc w:val="left"/>
        <w:rPr>
          <w:rFonts w:hint="eastAsia" w:asciiTheme="minorEastAsia" w:hAnsiTheme="minorEastAsia" w:eastAsiaTheme="minorEastAsia" w:cstheme="minorEastAsia"/>
        </w:rPr>
      </w:pPr>
    </w:p>
    <w:tbl>
      <w:tblPr>
        <w:tblStyle w:val="39"/>
        <w:tblW w:w="8268" w:type="dxa"/>
        <w:tblInd w:w="0" w:type="dxa"/>
        <w:tblLayout w:type="fixed"/>
        <w:tblCellMar>
          <w:top w:w="0" w:type="dxa"/>
          <w:left w:w="108" w:type="dxa"/>
          <w:bottom w:w="0" w:type="dxa"/>
          <w:right w:w="108" w:type="dxa"/>
        </w:tblCellMar>
      </w:tblPr>
      <w:tblGrid>
        <w:gridCol w:w="8268"/>
      </w:tblGrid>
      <w:tr>
        <w:tblPrEx>
          <w:tblLayout w:type="fixed"/>
          <w:tblCellMar>
            <w:top w:w="0" w:type="dxa"/>
            <w:left w:w="108" w:type="dxa"/>
            <w:bottom w:w="0" w:type="dxa"/>
            <w:right w:w="108" w:type="dxa"/>
          </w:tblCellMar>
        </w:tblPrEx>
        <w:tc>
          <w:tcPr>
            <w:tcW w:w="8268" w:type="dxa"/>
          </w:tcPr>
          <w:p>
            <w:pPr>
              <w:pStyle w:val="26"/>
              <w:spacing w:before="120" w:after="120" w:afterLines="50"/>
              <w:ind w:left="-108" w:leftChars="-45" w:firstLine="2880" w:firstLineChars="1200"/>
              <w:rPr>
                <w:rFonts w:hint="eastAsia" w:asciiTheme="minorEastAsia" w:hAnsiTheme="minorEastAsia" w:eastAsiaTheme="minorEastAsia" w:cstheme="minorEastAsia"/>
                <w:bCs/>
                <w:kern w:val="2"/>
                <w:szCs w:val="24"/>
                <w:lang w:val="en-US"/>
              </w:rPr>
            </w:pPr>
            <w:r>
              <w:rPr>
                <w:rFonts w:hint="eastAsia" w:asciiTheme="minorEastAsia" w:hAnsiTheme="minorEastAsia" w:eastAsiaTheme="minorEastAsia" w:cstheme="minorEastAsia"/>
                <w:bCs/>
                <w:kern w:val="2"/>
                <w:szCs w:val="24"/>
                <w:lang w:val="en-US"/>
              </w:rPr>
              <w:t>（公章）</w:t>
            </w:r>
          </w:p>
        </w:tc>
      </w:tr>
      <w:tr>
        <w:tblPrEx>
          <w:tblLayout w:type="fixed"/>
          <w:tblCellMar>
            <w:top w:w="0" w:type="dxa"/>
            <w:left w:w="108" w:type="dxa"/>
            <w:bottom w:w="0" w:type="dxa"/>
            <w:right w:w="108" w:type="dxa"/>
          </w:tblCellMar>
        </w:tblPrEx>
        <w:tc>
          <w:tcPr>
            <w:tcW w:w="8268" w:type="dxa"/>
          </w:tcPr>
          <w:p>
            <w:pPr>
              <w:spacing w:before="120" w:after="120" w:afterLines="50"/>
              <w:ind w:left="-108" w:leftChars="-45"/>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法定代表人/授权代表</w:t>
            </w:r>
          </w:p>
          <w:p>
            <w:pPr>
              <w:spacing w:before="120" w:after="120" w:afterLines="50"/>
              <w:ind w:left="-108" w:leftChars="-45"/>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（签</w:t>
            </w:r>
            <w:r>
              <w:rPr>
                <w:rFonts w:hint="eastAsia" w:asciiTheme="minorEastAsia" w:hAnsiTheme="minorEastAsia" w:eastAsiaTheme="minorEastAsia" w:cstheme="minorEastAsia"/>
                <w:bCs/>
                <w:lang w:val="en-US" w:eastAsia="zh-CN"/>
              </w:rPr>
              <w:t>章</w:t>
            </w:r>
            <w:r>
              <w:rPr>
                <w:rFonts w:hint="eastAsia" w:asciiTheme="minorEastAsia" w:hAnsiTheme="minorEastAsia" w:eastAsiaTheme="minorEastAsia" w:cstheme="minorEastAsia"/>
                <w:bCs/>
              </w:rPr>
              <w:t>）</w:t>
            </w:r>
          </w:p>
        </w:tc>
      </w:tr>
      <w:tr>
        <w:tblPrEx>
          <w:tblLayout w:type="fixed"/>
          <w:tblCellMar>
            <w:top w:w="0" w:type="dxa"/>
            <w:left w:w="108" w:type="dxa"/>
            <w:bottom w:w="0" w:type="dxa"/>
            <w:right w:w="108" w:type="dxa"/>
          </w:tblCellMar>
        </w:tblPrEx>
        <w:tc>
          <w:tcPr>
            <w:tcW w:w="8268" w:type="dxa"/>
          </w:tcPr>
          <w:p>
            <w:pPr>
              <w:spacing w:before="120" w:after="120" w:afterLines="50"/>
              <w:ind w:left="-108" w:leftChars="-45"/>
              <w:rPr>
                <w:rFonts w:hint="eastAsia" w:asciiTheme="minorEastAsia" w:hAnsiTheme="minorEastAsia" w:eastAsiaTheme="minorEastAsia" w:cstheme="minorEastAsia"/>
                <w:bCs/>
              </w:rPr>
            </w:pPr>
            <w:r>
              <w:rPr>
                <w:rFonts w:hint="eastAsia" w:asciiTheme="minorEastAsia" w:hAnsiTheme="minorEastAsia" w:eastAsiaTheme="minorEastAsia" w:cstheme="minorEastAsia"/>
                <w:bCs/>
              </w:rPr>
              <w:t>日期</w:t>
            </w:r>
          </w:p>
        </w:tc>
      </w:tr>
    </w:tbl>
    <w:p>
      <w:pPr>
        <w:spacing w:before="120" w:after="120" w:afterLines="50"/>
        <w:rPr>
          <w:rFonts w:hint="eastAsia" w:asciiTheme="minorEastAsia" w:hAnsiTheme="minorEastAsia" w:eastAsiaTheme="minorEastAsia" w:cstheme="minorEastAsia"/>
        </w:rPr>
      </w:pPr>
      <w:bookmarkStart w:id="2336" w:name="_Toc50862244"/>
      <w:bookmarkEnd w:id="2336"/>
      <w:bookmarkStart w:id="2337" w:name="_Toc50861974"/>
      <w:bookmarkStart w:id="2338" w:name="_Toc51214038"/>
      <w:bookmarkStart w:id="2339" w:name="_Toc51225716"/>
      <w:bookmarkStart w:id="2340" w:name="_Toc50452616"/>
      <w:bookmarkStart w:id="2341" w:name="_Toc50860468"/>
      <w:bookmarkStart w:id="2342" w:name="_Toc50861838"/>
    </w:p>
    <w:bookmarkEnd w:id="2337"/>
    <w:bookmarkEnd w:id="2338"/>
    <w:bookmarkEnd w:id="2339"/>
    <w:bookmarkEnd w:id="2340"/>
    <w:bookmarkEnd w:id="2341"/>
    <w:bookmarkEnd w:id="2342"/>
    <w:p>
      <w:pPr>
        <w:widowControl/>
        <w:spacing w:before="120" w:after="120" w:afterLines="50"/>
        <w:jc w:val="left"/>
        <w:rPr>
          <w:rFonts w:hint="eastAsia" w:asciiTheme="minorEastAsia" w:hAnsiTheme="minorEastAsia" w:eastAsiaTheme="minorEastAsia" w:cstheme="minorEastAsia"/>
          <w:b/>
          <w:kern w:val="0"/>
          <w:sz w:val="28"/>
          <w:szCs w:val="20"/>
        </w:rPr>
      </w:pPr>
      <w:bookmarkStart w:id="2343" w:name="_附件1_污水处理厂用地及提升泵站四至图"/>
      <w:bookmarkEnd w:id="2343"/>
      <w:bookmarkStart w:id="2344" w:name="_附件1_污水处理厂用地四至图"/>
      <w:bookmarkEnd w:id="2344"/>
      <w:bookmarkStart w:id="2345" w:name="_附件7_调价公式"/>
      <w:bookmarkEnd w:id="2345"/>
      <w:bookmarkStart w:id="2346" w:name="_附件1_污水处理厂用地四至图_1"/>
      <w:bookmarkEnd w:id="2346"/>
      <w:bookmarkStart w:id="2347" w:name="_附件8_调价公式"/>
      <w:bookmarkEnd w:id="2347"/>
      <w:bookmarkStart w:id="2348" w:name="_Toc239861170"/>
      <w:bookmarkStart w:id="2349" w:name="_Toc51214043"/>
      <w:bookmarkStart w:id="2350" w:name="_Toc50860474"/>
      <w:bookmarkStart w:id="2351" w:name="_Toc50861844"/>
      <w:bookmarkStart w:id="2352" w:name="_Toc50452622"/>
      <w:bookmarkStart w:id="2353" w:name="_Toc50861980"/>
      <w:bookmarkStart w:id="2354" w:name="_Toc51225722"/>
      <w:r>
        <w:rPr>
          <w:rFonts w:hint="eastAsia" w:asciiTheme="minorEastAsia" w:hAnsiTheme="minorEastAsia" w:eastAsiaTheme="minorEastAsia" w:cstheme="minorEastAsia"/>
        </w:rPr>
        <w:br w:type="page"/>
      </w:r>
    </w:p>
    <w:bookmarkEnd w:id="2348"/>
    <w:bookmarkEnd w:id="2349"/>
    <w:bookmarkEnd w:id="2350"/>
    <w:bookmarkEnd w:id="2351"/>
    <w:bookmarkEnd w:id="2352"/>
    <w:bookmarkEnd w:id="2353"/>
    <w:bookmarkEnd w:id="2354"/>
    <w:p>
      <w:pPr>
        <w:pStyle w:val="2"/>
        <w:keepNext w:val="0"/>
        <w:widowControl w:val="0"/>
        <w:numPr>
          <w:ilvl w:val="0"/>
          <w:numId w:val="0"/>
        </w:numPr>
        <w:spacing w:before="120" w:beforeLines="50" w:afterLines="50" w:line="360" w:lineRule="auto"/>
        <w:rPr>
          <w:rFonts w:hint="eastAsia" w:asciiTheme="minorEastAsia" w:hAnsiTheme="minorEastAsia" w:eastAsiaTheme="minorEastAsia" w:cstheme="minorEastAsia"/>
        </w:rPr>
      </w:pPr>
      <w:bookmarkStart w:id="2355" w:name="_Toc13883"/>
      <w:bookmarkStart w:id="2356" w:name="_Toc22647"/>
      <w:bookmarkStart w:id="2357" w:name="_Toc13511"/>
      <w:r>
        <w:rPr>
          <w:rFonts w:hint="eastAsia" w:asciiTheme="minorEastAsia" w:hAnsiTheme="minorEastAsia" w:eastAsiaTheme="minorEastAsia" w:cstheme="minorEastAsia"/>
        </w:rPr>
        <w:t xml:space="preserve">附件1 </w:t>
      </w:r>
      <w:r>
        <w:rPr>
          <w:rFonts w:hint="eastAsia" w:asciiTheme="minorEastAsia" w:hAnsiTheme="minorEastAsia" w:eastAsiaTheme="minorEastAsia" w:cstheme="minorEastAsia"/>
          <w:lang w:val="en-US" w:eastAsia="zh-CN"/>
        </w:rPr>
        <w:t>建设管理、</w:t>
      </w:r>
      <w:r>
        <w:rPr>
          <w:rFonts w:hint="eastAsia" w:asciiTheme="minorEastAsia" w:hAnsiTheme="minorEastAsia" w:eastAsiaTheme="minorEastAsia" w:cstheme="minorEastAsia"/>
        </w:rPr>
        <w:t>运营维护绩效考核表</w:t>
      </w:r>
      <w:bookmarkEnd w:id="2355"/>
      <w:bookmarkEnd w:id="2356"/>
      <w:bookmarkEnd w:id="2357"/>
    </w:p>
    <w:p>
      <w:pPr>
        <w:rPr>
          <w:rFonts w:hint="eastAsia" w:asciiTheme="minorEastAsia" w:hAnsiTheme="minorEastAsia" w:eastAsiaTheme="minorEastAsia" w:cstheme="minorEastAsia"/>
        </w:rPr>
      </w:pPr>
    </w:p>
    <w:tbl>
      <w:tblPr>
        <w:tblStyle w:val="39"/>
        <w:tblW w:w="14882" w:type="dxa"/>
        <w:tblInd w:w="119" w:type="dxa"/>
        <w:tblLayout w:type="fixed"/>
        <w:tblCellMar>
          <w:top w:w="0" w:type="dxa"/>
          <w:left w:w="0" w:type="dxa"/>
          <w:bottom w:w="0" w:type="dxa"/>
          <w:right w:w="0" w:type="dxa"/>
        </w:tblCellMar>
      </w:tblPr>
      <w:tblGrid>
        <w:gridCol w:w="1527"/>
        <w:gridCol w:w="737"/>
        <w:gridCol w:w="1277"/>
        <w:gridCol w:w="5386"/>
        <w:gridCol w:w="5955"/>
      </w:tblGrid>
      <w:tr>
        <w:tblPrEx>
          <w:tblLayout w:type="fixed"/>
          <w:tblCellMar>
            <w:top w:w="0" w:type="dxa"/>
            <w:left w:w="0" w:type="dxa"/>
            <w:bottom w:w="0" w:type="dxa"/>
            <w:right w:w="0" w:type="dxa"/>
          </w:tblCellMar>
        </w:tblPrEx>
        <w:tc>
          <w:tcPr>
            <w:tcW w:w="14882" w:type="dxa"/>
            <w:gridSpan w:val="5"/>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建设管理绩效考核表</w:t>
            </w:r>
          </w:p>
        </w:tc>
      </w:tr>
      <w:tr>
        <w:tblPrEx>
          <w:tblLayout w:type="fixed"/>
          <w:tblCellMar>
            <w:top w:w="0" w:type="dxa"/>
            <w:left w:w="0" w:type="dxa"/>
            <w:bottom w:w="0" w:type="dxa"/>
            <w:right w:w="0" w:type="dxa"/>
          </w:tblCellMar>
        </w:tblPrEx>
        <w:tc>
          <w:tcPr>
            <w:tcW w:w="1527"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考核指标</w:t>
            </w:r>
          </w:p>
        </w:tc>
        <w:tc>
          <w:tcPr>
            <w:tcW w:w="737"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分值</w:t>
            </w:r>
          </w:p>
        </w:tc>
        <w:tc>
          <w:tcPr>
            <w:tcW w:w="6663" w:type="dxa"/>
            <w:gridSpan w:val="2"/>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考核标准</w:t>
            </w:r>
          </w:p>
        </w:tc>
        <w:tc>
          <w:tcPr>
            <w:tcW w:w="595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评分细则</w:t>
            </w:r>
          </w:p>
        </w:tc>
      </w:tr>
      <w:tr>
        <w:tblPrEx>
          <w:tblLayout w:type="fixed"/>
          <w:tblCellMar>
            <w:top w:w="0" w:type="dxa"/>
            <w:left w:w="0" w:type="dxa"/>
            <w:bottom w:w="0" w:type="dxa"/>
            <w:right w:w="0" w:type="dxa"/>
          </w:tblCellMar>
        </w:tblPrEx>
        <w:tc>
          <w:tcPr>
            <w:tcW w:w="1527" w:type="dxa"/>
            <w:vMerge w:val="restart"/>
            <w:tcBorders>
              <w:top w:val="single" w:color="F1F1F1" w:sz="4" w:space="0"/>
              <w:left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1、工程质量</w:t>
            </w:r>
          </w:p>
        </w:tc>
        <w:tc>
          <w:tcPr>
            <w:tcW w:w="737" w:type="dxa"/>
            <w:vMerge w:val="restart"/>
            <w:tcBorders>
              <w:top w:val="single" w:color="F1F1F1" w:sz="4" w:space="0"/>
              <w:left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45</w:t>
            </w:r>
          </w:p>
        </w:tc>
        <w:tc>
          <w:tcPr>
            <w:tcW w:w="1277" w:type="dxa"/>
            <w:tcBorders>
              <w:top w:val="single" w:color="F1F1F1"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质量管理</w:t>
            </w:r>
          </w:p>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5386" w:type="dxa"/>
            <w:tcBorders>
              <w:top w:val="single" w:color="F1F1F1"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1.建立工程质量管理体系，加强质量管理；制定质量管理制度，并以正式文件发布。质量管理目标明确，质量控制体系完善，以预防、预控为主。</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2.严格按照施工合同、设计文件和相关施工及验收规范、工程质量检验评定标准等组织施工建设。</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3.材料、设备等进场验收记录齐全，现场检验合格。</w:t>
            </w:r>
          </w:p>
        </w:tc>
        <w:tc>
          <w:tcPr>
            <w:tcW w:w="5955" w:type="dxa"/>
            <w:tcBorders>
              <w:top w:val="single" w:color="F1F1F1"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1.未建立质量管理体系或未制定质量管理制度的，扣5分；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2.质量管理体系、制度内容不完善、责任不明确的，扣3分；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3.未按施工合同、设计文件和相关施工及验收规范、工程质量检验评定标准等组织施工建设的，每一次扣3分；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4.材料、设备进场验收记录缺失的，每一次扣1分；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5.材料、设备现场检验质量不合格的，每一次扣3分。</w:t>
            </w:r>
          </w:p>
        </w:tc>
      </w:tr>
      <w:tr>
        <w:tblPrEx>
          <w:tblLayout w:type="fixed"/>
          <w:tblCellMar>
            <w:top w:w="0" w:type="dxa"/>
            <w:left w:w="0" w:type="dxa"/>
            <w:bottom w:w="0" w:type="dxa"/>
            <w:right w:w="0" w:type="dxa"/>
          </w:tblCellMar>
        </w:tblPrEx>
        <w:tc>
          <w:tcPr>
            <w:tcW w:w="1527" w:type="dxa"/>
            <w:vMerge w:val="continue"/>
            <w:tcBorders>
              <w:left w:val="single" w:color="000000" w:sz="4" w:space="0"/>
              <w:right w:val="single" w:color="000000" w:sz="4" w:space="0"/>
            </w:tcBorders>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p>
        </w:tc>
        <w:tc>
          <w:tcPr>
            <w:tcW w:w="737" w:type="dxa"/>
            <w:vMerge w:val="continue"/>
            <w:tcBorders>
              <w:left w:val="single" w:color="000000" w:sz="4" w:space="0"/>
              <w:right w:val="single" w:color="000000" w:sz="4" w:space="0"/>
            </w:tcBorders>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p>
        </w:tc>
        <w:tc>
          <w:tcPr>
            <w:tcW w:w="127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问题整改</w:t>
            </w:r>
          </w:p>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5386"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对稽察、检查、巡查等发现的问题，制定整改方案，落实整改责任，明确处理标准和时限，建立整改台账，确保整改到位。</w:t>
            </w:r>
          </w:p>
        </w:tc>
        <w:tc>
          <w:tcPr>
            <w:tcW w:w="595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1.未制定整改方案或未落实整改责任，问题整改不到位，敷衍塞责、弄虚作假的，每一起扣3分；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2.整改不及时的，每一起扣2分；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3.未建立整改台账的，扣1分。</w:t>
            </w:r>
          </w:p>
        </w:tc>
      </w:tr>
      <w:tr>
        <w:tblPrEx>
          <w:tblLayout w:type="fixed"/>
          <w:tblCellMar>
            <w:top w:w="0" w:type="dxa"/>
            <w:left w:w="0" w:type="dxa"/>
            <w:bottom w:w="0" w:type="dxa"/>
            <w:right w:w="0" w:type="dxa"/>
          </w:tblCellMar>
        </w:tblPrEx>
        <w:tc>
          <w:tcPr>
            <w:tcW w:w="1527" w:type="dxa"/>
            <w:vMerge w:val="continue"/>
            <w:tcBorders>
              <w:left w:val="single" w:color="000000" w:sz="4" w:space="0"/>
              <w:right w:val="single" w:color="000000" w:sz="4" w:space="0"/>
            </w:tcBorders>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p>
        </w:tc>
        <w:tc>
          <w:tcPr>
            <w:tcW w:w="737" w:type="dxa"/>
            <w:vMerge w:val="continue"/>
            <w:tcBorders>
              <w:left w:val="single" w:color="000000" w:sz="4" w:space="0"/>
              <w:right w:val="single" w:color="000000" w:sz="4" w:space="0"/>
            </w:tcBorders>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p>
        </w:tc>
        <w:tc>
          <w:tcPr>
            <w:tcW w:w="127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质量事故</w:t>
            </w:r>
          </w:p>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5386"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1.制定质量事故防治预案措施，建设期内无质量事故影响工程建设。</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2.发生一般质量事故及时报告，问题处理符合有关规定并且及时有效。</w:t>
            </w:r>
          </w:p>
        </w:tc>
        <w:tc>
          <w:tcPr>
            <w:tcW w:w="595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1.发生质量事故的，每一起扣3分；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2.因质量事故影响工程进度，每一起扣5分。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3.发生质量事故未及时上报、处理不得当的，每一起扣2分。</w:t>
            </w:r>
          </w:p>
        </w:tc>
      </w:tr>
      <w:tr>
        <w:tblPrEx>
          <w:tblLayout w:type="fixed"/>
          <w:tblCellMar>
            <w:top w:w="0" w:type="dxa"/>
            <w:left w:w="0" w:type="dxa"/>
            <w:bottom w:w="0" w:type="dxa"/>
            <w:right w:w="0" w:type="dxa"/>
          </w:tblCellMar>
        </w:tblPrEx>
        <w:tc>
          <w:tcPr>
            <w:tcW w:w="1527" w:type="dxa"/>
            <w:vMerge w:val="continue"/>
            <w:tcBorders>
              <w:left w:val="single" w:color="000000" w:sz="4" w:space="0"/>
              <w:bottom w:val="single" w:color="000000" w:sz="4" w:space="0"/>
              <w:right w:val="single" w:color="000000" w:sz="4" w:space="0"/>
            </w:tcBorders>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p>
        </w:tc>
        <w:tc>
          <w:tcPr>
            <w:tcW w:w="737" w:type="dxa"/>
            <w:vMerge w:val="continue"/>
            <w:tcBorders>
              <w:left w:val="single" w:color="000000" w:sz="4" w:space="0"/>
              <w:bottom w:val="single" w:color="000000" w:sz="4" w:space="0"/>
              <w:right w:val="single" w:color="000000" w:sz="4" w:space="0"/>
            </w:tcBorders>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p>
        </w:tc>
        <w:tc>
          <w:tcPr>
            <w:tcW w:w="127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质量验收</w:t>
            </w:r>
          </w:p>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5386"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工程完工后组织竣工验收，工程质量应符合工程质量符合《建设工程质量管理条例》（国务院令第279号）、《建筑工程施工质量验收统一标准》（GB50300-2013）、《城市工程管线综合规划规范》（GB50289-98）、《地下综合管廊工程技术规范》（GB50838-2015)、《江苏省市政管廊建设指南（试行）》（苏建城〔2010〕452号）、《给水排水管道工程施工及验收规范》（GB50268-2008）、《城镇供热管网工程施工及验收规范》（CJJ28-2004）、《通信管道工程施工及验收规范》（GB50374-2006）、《电力建设施工技术规范第5部分管道及系统》（DL51905-2012）（《供配电系统设计规范》（GB50052-2009）等政策文件和技术规范约定的质量验收标准。</w:t>
            </w:r>
          </w:p>
        </w:tc>
        <w:tc>
          <w:tcPr>
            <w:tcW w:w="595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1.项目专项工程验收未能实现一次性验收合格的，每个专项工程扣3分；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2.项目工程竣工验收未能实现一次性验收合格的，扣5分。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p>
        </w:tc>
      </w:tr>
      <w:tr>
        <w:tblPrEx>
          <w:tblLayout w:type="fixed"/>
          <w:tblCellMar>
            <w:top w:w="0" w:type="dxa"/>
            <w:left w:w="0" w:type="dxa"/>
            <w:bottom w:w="0" w:type="dxa"/>
            <w:right w:w="0" w:type="dxa"/>
          </w:tblCellMar>
        </w:tblPrEx>
        <w:tc>
          <w:tcPr>
            <w:tcW w:w="152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2、建设工期</w:t>
            </w:r>
          </w:p>
        </w:tc>
        <w:tc>
          <w:tcPr>
            <w:tcW w:w="73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6663"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1.编制并及时提交施工总进度计划、年度计划、月度计划，根据工程进度情况适时优化、调整进度计划；</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2.关键节点进度按总进度计划完成；实际进度滞后，采取有效整改措施；</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3.建设工期符合PPP项目合同约定，项目工程按时完成竣工验收，开工期以监理单位下发的开工令为准。</w:t>
            </w:r>
          </w:p>
        </w:tc>
        <w:tc>
          <w:tcPr>
            <w:tcW w:w="595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1.未编制或未按时提交施工总进度计划、年度计划、月度计划的，每一次扣1分；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2.关键节点进度未按总进度计划完成的，每一次扣 2分；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3.项目工期延误的，每一个扣3分；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4.项目工期超过PPP项目合同规定期限的，扣5分；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5.项目公司放弃或视为放弃项目建设的，属于项目公司严重违约，适用于PPP项目合同提前终止条款。</w:t>
            </w:r>
          </w:p>
        </w:tc>
      </w:tr>
      <w:tr>
        <w:tblPrEx>
          <w:tblLayout w:type="fixed"/>
          <w:tblCellMar>
            <w:top w:w="0" w:type="dxa"/>
            <w:left w:w="0" w:type="dxa"/>
            <w:bottom w:w="0" w:type="dxa"/>
            <w:right w:w="0" w:type="dxa"/>
          </w:tblCellMar>
        </w:tblPrEx>
        <w:tc>
          <w:tcPr>
            <w:tcW w:w="1527" w:type="dxa"/>
            <w:vMerge w:val="restart"/>
            <w:tcBorders>
              <w:top w:val="single" w:color="000000" w:sz="4" w:space="0"/>
              <w:left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3、资金使用</w:t>
            </w:r>
          </w:p>
        </w:tc>
        <w:tc>
          <w:tcPr>
            <w:tcW w:w="737" w:type="dxa"/>
            <w:vMerge w:val="restart"/>
            <w:tcBorders>
              <w:top w:val="single" w:color="000000" w:sz="4" w:space="0"/>
              <w:left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w:t>
            </w:r>
          </w:p>
        </w:tc>
        <w:tc>
          <w:tcPr>
            <w:tcW w:w="1277" w:type="dxa"/>
            <w:tcBorders>
              <w:top w:val="single" w:color="000000" w:sz="4" w:space="0"/>
              <w:left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资金管理</w:t>
            </w:r>
          </w:p>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5386"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1.设置建设资金专户，专款专用；资金管理、费用支出等制度健全，并严格执行会计核算制度和支付结算制度，不存在支出依据不合格、虚列项目，不得抽逃、挪用项目资金，不得出现预支、拖欠等现象；</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2.资金及时到位，按规定每月上报资金到位、安排、拨付等情况；</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3.投资控制有力，实际投资不超概算。</w:t>
            </w:r>
          </w:p>
        </w:tc>
        <w:tc>
          <w:tcPr>
            <w:tcW w:w="595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1.资金管理制度不健全，违反会计核算制度或支付结算制度的，每一次扣2分；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2.发现资金抽逃、挪用，每一次扣3分；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3.发现资金预支、拖欠，每一次扣1分；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4.未按规定每月上报资金到位、安排、拨付等情况的，每一次扣1分；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5.投资控制不力导致投资超概算的，实际投资每超概算</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1%，扣1分。</w:t>
            </w:r>
          </w:p>
        </w:tc>
      </w:tr>
      <w:tr>
        <w:tblPrEx>
          <w:tblLayout w:type="fixed"/>
          <w:tblCellMar>
            <w:top w:w="0" w:type="dxa"/>
            <w:left w:w="0" w:type="dxa"/>
            <w:bottom w:w="0" w:type="dxa"/>
            <w:right w:w="0" w:type="dxa"/>
          </w:tblCellMar>
        </w:tblPrEx>
        <w:tc>
          <w:tcPr>
            <w:tcW w:w="1527" w:type="dxa"/>
            <w:vMerge w:val="continue"/>
            <w:tcBorders>
              <w:left w:val="single" w:color="000000" w:sz="4" w:space="0"/>
              <w:bottom w:val="single" w:color="000000" w:sz="4" w:space="0"/>
              <w:right w:val="single" w:color="000000" w:sz="4" w:space="0"/>
            </w:tcBorders>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p>
        </w:tc>
        <w:tc>
          <w:tcPr>
            <w:tcW w:w="737" w:type="dxa"/>
            <w:vMerge w:val="continue"/>
            <w:tcBorders>
              <w:left w:val="single" w:color="000000" w:sz="4" w:space="0"/>
              <w:bottom w:val="single" w:color="000000" w:sz="4" w:space="0"/>
              <w:right w:val="single" w:color="000000" w:sz="4" w:space="0"/>
            </w:tcBorders>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p>
        </w:tc>
        <w:tc>
          <w:tcPr>
            <w:tcW w:w="127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变更控制</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5386"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1.严格控制项目变更，认真履行合同管理，变更事项均应按照相关规定程序报批，经审核同意后方可实施；</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2.变更文件编制符合规定要求。</w:t>
            </w:r>
          </w:p>
        </w:tc>
        <w:tc>
          <w:tcPr>
            <w:tcW w:w="595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1.未经审批擅自实施变更的或将工程变肢解规避审批的，扣5分；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2.变更程序不符合相关规定或PPP项目合同约定的，扣3分；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3.变更文件编制或审批管理不规范的，扣1分。</w:t>
            </w:r>
          </w:p>
        </w:tc>
      </w:tr>
      <w:tr>
        <w:tblPrEx>
          <w:tblLayout w:type="fixed"/>
          <w:tblCellMar>
            <w:top w:w="0" w:type="dxa"/>
            <w:left w:w="0" w:type="dxa"/>
            <w:bottom w:w="0" w:type="dxa"/>
            <w:right w:w="0" w:type="dxa"/>
          </w:tblCellMar>
        </w:tblPrEx>
        <w:tc>
          <w:tcPr>
            <w:tcW w:w="152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4、安全文明</w:t>
            </w:r>
          </w:p>
        </w:tc>
        <w:tc>
          <w:tcPr>
            <w:tcW w:w="73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6663"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1.安全生产资金投入到位，建立安全管理制度及安全生产应急预案，安全责任落实到人；按照规定进行安全检查、培训、警示。</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施工现场安全管理符合《中华人民共和国安全生产法》、《房屋建筑和市政基础设施工程施工安全监督规定》（建质〔2014〕153号）、《建筑施工安全检查标准》（JGJ59-2011）、《建设项目（工程）劳动安全卫生监察规定》（劳动部令第3号）和《建设工程安全生产管理条例》（国务院令第393号）等法律法规和政策文件；</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3.建设期内安全责任事故为零。</w:t>
            </w:r>
          </w:p>
        </w:tc>
        <w:tc>
          <w:tcPr>
            <w:tcW w:w="595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1.未建立安全管理制度及安全生产应急预算，扣2分；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2.施工现场安全管理不达标、被相关行政主管部门处以行政处罚的，扣2分；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3.发生一般事故的，扣3分；发生较大事故、重大事故或特别重大事故的，本项不得分。</w:t>
            </w:r>
          </w:p>
        </w:tc>
      </w:tr>
      <w:tr>
        <w:tblPrEx>
          <w:tblLayout w:type="fixed"/>
          <w:tblCellMar>
            <w:top w:w="0" w:type="dxa"/>
            <w:left w:w="0" w:type="dxa"/>
            <w:bottom w:w="0" w:type="dxa"/>
            <w:right w:w="0" w:type="dxa"/>
          </w:tblCellMar>
        </w:tblPrEx>
        <w:tc>
          <w:tcPr>
            <w:tcW w:w="152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5、环境保护</w:t>
            </w:r>
          </w:p>
        </w:tc>
        <w:tc>
          <w:tcPr>
            <w:tcW w:w="73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6663"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严格遵守《中华人民共和国环境保护法》、《中华人民共和国大气污染防治法》、《中华人民共和国水污染防治法》、《中华人民共和国固体废物污染防治法》、《建设项目环境保护管理条例》、《声环境质量标准》（GB3096-2008）、《建筑施工场界环境噪声排放标准》（GB12523-2011）、《环境空气质量标准》（GB3095-2012）、《大气污染物综合排放标准》（GB16297-1996）、《污水综合排放标准》（GB8978-1996）、等法律法规和技术标准的相关规定，做好施工期内的环境污染防治工作；</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2.施工现场设专人清扫保洁；及时处理建筑垃圾；对废弃物进行分类收集，区别处置；严格控制作业时间，定期进行环保教育。</w:t>
            </w:r>
          </w:p>
        </w:tc>
        <w:tc>
          <w:tcPr>
            <w:tcW w:w="595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1.检查中发现未按环境影响报告书中关于“环境保护对策措施”以及相关政策文件及技术规范执行的，每一次扣1分；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2.因未按相关规定执行被行政主管部门责令整改的，每一次扣2分；被责令停工整顿的，扣5分。</w:t>
            </w:r>
          </w:p>
        </w:tc>
      </w:tr>
      <w:tr>
        <w:tblPrEx>
          <w:tblLayout w:type="fixed"/>
          <w:tblCellMar>
            <w:top w:w="0" w:type="dxa"/>
            <w:left w:w="0" w:type="dxa"/>
            <w:bottom w:w="0" w:type="dxa"/>
            <w:right w:w="0" w:type="dxa"/>
          </w:tblCellMar>
        </w:tblPrEx>
        <w:tc>
          <w:tcPr>
            <w:tcW w:w="152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6、组织管理</w:t>
            </w:r>
          </w:p>
        </w:tc>
        <w:tc>
          <w:tcPr>
            <w:tcW w:w="73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6663"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1.项目公司成立专门的工作领导小组，加强组织领导，完善工作机制，确保工作顺利推进，确保制度落实到人；</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2.建设管理制度、内部财务管理制度、会计核算制度，项目资金管理等制度健全，管理有效；</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3.工作目标明确，政策配套措施具体，项目建设目标、建设内容、工期、维护等信息完备清晰；</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4.建立落实各部门意见协调工作机制，加强参建单位组织协调，建立监管考核指标体系，确保工程建设顺利实施。</w:t>
            </w:r>
          </w:p>
        </w:tc>
        <w:tc>
          <w:tcPr>
            <w:tcW w:w="595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1.未建立管理制度体系，扣2分；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2.管理体系不健全或未落实到人，扣1分；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3.组织协调不力、影响工程进度，每次扣2分。</w:t>
            </w:r>
          </w:p>
        </w:tc>
      </w:tr>
      <w:tr>
        <w:tblPrEx>
          <w:tblLayout w:type="fixed"/>
          <w:tblCellMar>
            <w:top w:w="0" w:type="dxa"/>
            <w:left w:w="0" w:type="dxa"/>
            <w:bottom w:w="0" w:type="dxa"/>
            <w:right w:w="0" w:type="dxa"/>
          </w:tblCellMar>
        </w:tblPrEx>
        <w:tc>
          <w:tcPr>
            <w:tcW w:w="152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7、采购与合同</w:t>
            </w:r>
          </w:p>
        </w:tc>
        <w:tc>
          <w:tcPr>
            <w:tcW w:w="73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6663"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1.按照《招标投标法》等法律法规和 PPP 项目合同约定进行采购；</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2.加强合同管理，有效避免合同纠纷，保障工程建设顺利实施。</w:t>
            </w:r>
          </w:p>
        </w:tc>
        <w:tc>
          <w:tcPr>
            <w:tcW w:w="595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1.采购活动违反法律法规或PPP项目合同约定的，扣4分；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2.未实施有效合同管理，因合同纠纷影响项目实施的，每一起扣1分。</w:t>
            </w:r>
          </w:p>
        </w:tc>
      </w:tr>
      <w:tr>
        <w:tblPrEx>
          <w:tblLayout w:type="fixed"/>
          <w:tblCellMar>
            <w:top w:w="0" w:type="dxa"/>
            <w:left w:w="0" w:type="dxa"/>
            <w:bottom w:w="0" w:type="dxa"/>
            <w:right w:w="0" w:type="dxa"/>
          </w:tblCellMar>
        </w:tblPrEx>
        <w:tc>
          <w:tcPr>
            <w:tcW w:w="152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8、文档资料</w:t>
            </w:r>
          </w:p>
        </w:tc>
        <w:tc>
          <w:tcPr>
            <w:tcW w:w="73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6663"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1.文档资料的归档整理符合《建设工程文件归档整理规范》</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（GB/T50328-2014）要求，工程档案齐全、系统、完整；</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2.按照统一领导，统一管理的原则，管理好基本建设项目的档案资料，档案资金齐全，装订规范；</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3.按照有关规定建立档案管理制度并确保制度落实到位，建立相应的管理机构，设置专人负责文档资料管理；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4.档案资料工作与项目建设进程同步，及时做好档案资料的汇总整理。</w:t>
            </w:r>
          </w:p>
        </w:tc>
        <w:tc>
          <w:tcPr>
            <w:tcW w:w="595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1.未按规定建立档案管理制度或管理制度为落实，扣1分；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2.未设置专人负责文档资料管理，扣1分；</w:t>
            </w:r>
          </w:p>
          <w:p>
            <w:pPr>
              <w:kinsoku w:val="0"/>
              <w:overflowPunct w:val="0"/>
              <w:autoSpaceDE w:val="0"/>
              <w:autoSpaceDN w:val="0"/>
              <w:adjustRightInd w:val="0"/>
              <w:snapToGrid w:val="0"/>
              <w:spacing w:before="120" w:after="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3.文档资料归档整理不规范，扣1分。</w:t>
            </w:r>
          </w:p>
        </w:tc>
      </w:tr>
    </w:tbl>
    <w:p>
      <w:pPr>
        <w:rPr>
          <w:rFonts w:hint="eastAsia" w:asciiTheme="minorEastAsia" w:hAnsiTheme="minorEastAsia" w:eastAsiaTheme="minorEastAsia" w:cstheme="minorEastAsia"/>
        </w:rPr>
      </w:pPr>
    </w:p>
    <w:p>
      <w:pPr>
        <w:widowControl w:val="0"/>
        <w:suppressAutoHyphens/>
        <w:spacing w:after="0"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运营维护管理绩效考核标准表</w:t>
      </w:r>
    </w:p>
    <w:tbl>
      <w:tblPr>
        <w:tblStyle w:val="39"/>
        <w:tblW w:w="14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1155"/>
        <w:gridCol w:w="3490"/>
        <w:gridCol w:w="6746"/>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1" w:type="dxa"/>
            <w:gridSpan w:val="2"/>
            <w:tcBorders>
              <w:bottom w:val="single" w:color="auto" w:sz="4" w:space="0"/>
            </w:tcBorders>
            <w:shd w:val="clear" w:color="auto" w:fill="BEBEBE" w:themeFill="background1" w:themeFillShade="BF"/>
            <w:vAlign w:val="center"/>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指标名称</w:t>
            </w:r>
          </w:p>
        </w:tc>
        <w:tc>
          <w:tcPr>
            <w:tcW w:w="3490" w:type="dxa"/>
            <w:tcBorders>
              <w:bottom w:val="single" w:color="auto" w:sz="4" w:space="0"/>
            </w:tcBorders>
            <w:shd w:val="clear" w:color="auto" w:fill="BEBEBE" w:themeFill="background1" w:themeFillShade="BF"/>
            <w:vAlign w:val="center"/>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指标要求</w:t>
            </w:r>
          </w:p>
        </w:tc>
        <w:tc>
          <w:tcPr>
            <w:tcW w:w="6746" w:type="dxa"/>
            <w:tcBorders>
              <w:bottom w:val="single" w:color="auto" w:sz="4" w:space="0"/>
            </w:tcBorders>
            <w:shd w:val="clear" w:color="auto" w:fill="BEBEBE" w:themeFill="background1" w:themeFillShade="BF"/>
            <w:vAlign w:val="center"/>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不达标扣分方法</w:t>
            </w:r>
          </w:p>
        </w:tc>
        <w:tc>
          <w:tcPr>
            <w:tcW w:w="1533" w:type="dxa"/>
            <w:tcBorders>
              <w:bottom w:val="single" w:color="auto" w:sz="4" w:space="0"/>
            </w:tcBorders>
            <w:shd w:val="clear" w:color="auto" w:fill="BEBEBE" w:themeFill="background1" w:themeFillShade="BF"/>
            <w:vAlign w:val="center"/>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修复要求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20" w:type="dxa"/>
            <w:gridSpan w:val="5"/>
            <w:shd w:val="clear" w:color="auto" w:fill="D8D8D8" w:themeFill="background1" w:themeFillShade="D9"/>
            <w:vAlign w:val="center"/>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综合管廊工程本体及附属设施维护（35分）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9" w:hRule="atLeast"/>
        </w:trPr>
        <w:tc>
          <w:tcPr>
            <w:tcW w:w="2451" w:type="dxa"/>
            <w:gridSpan w:val="2"/>
            <w:vAlign w:val="center"/>
          </w:tcPr>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管廊本体</w:t>
            </w:r>
          </w:p>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（10分）</w:t>
            </w:r>
          </w:p>
        </w:tc>
        <w:tc>
          <w:tcPr>
            <w:tcW w:w="3490"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满足管线的使用和运营维护要求，排水沟、集水坑、潜水泵、沉降缝，变形缝的运行正常，管廊表面无挖掘痕迹，管廊内金属构架无脱落、锈蚀、变形 </w:t>
            </w:r>
          </w:p>
        </w:tc>
        <w:tc>
          <w:tcPr>
            <w:tcW w:w="6746"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现场考核和抽查资料，本项扣分最多10分：</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每500米内每发现一处金属架构脱落、锈蚀或变形，或挖掘痕迹或漏洞，扣2分，最多10分</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排水沟、集水坑、潜水泵、沉降缝、变形缝等发现一处不运行不正常，扣2分，最多10分</w:t>
            </w:r>
          </w:p>
        </w:tc>
        <w:tc>
          <w:tcPr>
            <w:tcW w:w="1533"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3日内修复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1" w:type="dxa"/>
            <w:gridSpan w:val="2"/>
            <w:vAlign w:val="center"/>
          </w:tcPr>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管廊内的环境</w:t>
            </w:r>
          </w:p>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（10分）</w:t>
            </w:r>
          </w:p>
        </w:tc>
        <w:tc>
          <w:tcPr>
            <w:tcW w:w="3490"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满足管线的使用和运营维护要求，保持管廊内干燥、整洁、通风良好、无积水、无淤泥、无粉尘、无异味，管廊运输、检修通道通畅</w:t>
            </w:r>
          </w:p>
        </w:tc>
        <w:tc>
          <w:tcPr>
            <w:tcW w:w="6746" w:type="dxa"/>
            <w:vAlign w:val="center"/>
          </w:tcPr>
          <w:p>
            <w:pPr>
              <w:spacing w:before="120" w:after="120" w:afterLines="50"/>
              <w:ind w:firstLine="31" w:firstLineChars="13"/>
              <w:rPr>
                <w:rFonts w:hint="eastAsia" w:asciiTheme="minorEastAsia" w:hAnsiTheme="minorEastAsia" w:eastAsiaTheme="minorEastAsia" w:cstheme="minorEastAsia"/>
              </w:rPr>
            </w:pPr>
            <w:r>
              <w:rPr>
                <w:rFonts w:hint="eastAsia" w:asciiTheme="minorEastAsia" w:hAnsiTheme="minorEastAsia" w:eastAsiaTheme="minorEastAsia" w:cstheme="minorEastAsia"/>
              </w:rPr>
              <w:t>现场考核和抽查资料，最多扣分10分：</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每500米内每发现一处积水或淤泥扣2分，最多10分 </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管廊粉尘较多、异味较重扣3分</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有轻微的粉尘和异味扣1分</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运输、检修通道不通畅扣3分</w:t>
            </w:r>
          </w:p>
        </w:tc>
        <w:tc>
          <w:tcPr>
            <w:tcW w:w="1533"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1日内修复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6" w:type="dxa"/>
            <w:vMerge w:val="restart"/>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附属设施（15分）</w:t>
            </w:r>
          </w:p>
        </w:tc>
        <w:tc>
          <w:tcPr>
            <w:tcW w:w="1155"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供电系统（5分）</w:t>
            </w:r>
          </w:p>
        </w:tc>
        <w:tc>
          <w:tcPr>
            <w:tcW w:w="3490"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符合地下综合管廊工程相关建设技术规范等的相关要求，电缆、控制线、PLC、应急装置等设备清洁、干燥、无锈蚀、绝缘良好，安全、稳定</w:t>
            </w:r>
          </w:p>
        </w:tc>
        <w:tc>
          <w:tcPr>
            <w:tcW w:w="6746"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现场考核和抽查资料：</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维护水平严重不达标，不清洁、极度潮湿、多处锈蚀严重、存在严重安全隐患等，扣5分</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维护水平中度不达标，不清洁、中度潮湿、出现中度锈蚀等，扣3分</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维护水平轻微不达标，不清洁、潮湿、出现轻微锈蚀等，扣1分。</w:t>
            </w:r>
          </w:p>
        </w:tc>
        <w:tc>
          <w:tcPr>
            <w:tcW w:w="1533"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3日内修复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6" w:type="dxa"/>
            <w:vMerge w:val="continue"/>
            <w:vAlign w:val="center"/>
          </w:tcPr>
          <w:p>
            <w:pPr>
              <w:spacing w:before="120" w:after="120" w:afterLines="50"/>
              <w:rPr>
                <w:rFonts w:hint="eastAsia" w:asciiTheme="minorEastAsia" w:hAnsiTheme="minorEastAsia" w:eastAsiaTheme="minorEastAsia" w:cstheme="minorEastAsia"/>
              </w:rPr>
            </w:pPr>
          </w:p>
        </w:tc>
        <w:tc>
          <w:tcPr>
            <w:tcW w:w="1155" w:type="dxa"/>
            <w:vAlign w:val="center"/>
          </w:tcPr>
          <w:p>
            <w:pPr>
              <w:spacing w:before="120" w:after="120" w:afterLines="5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通风系统（5分）</w:t>
            </w:r>
          </w:p>
        </w:tc>
        <w:tc>
          <w:tcPr>
            <w:tcW w:w="3490" w:type="dxa"/>
            <w:vAlign w:val="center"/>
          </w:tcPr>
          <w:p>
            <w:pPr>
              <w:spacing w:before="120" w:after="120" w:afterLines="5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通风设备完好、无锈蚀、功能正常 </w:t>
            </w:r>
          </w:p>
        </w:tc>
        <w:tc>
          <w:tcPr>
            <w:tcW w:w="6746" w:type="dxa"/>
            <w:vAlign w:val="center"/>
          </w:tcPr>
          <w:p>
            <w:pPr>
              <w:spacing w:before="120" w:after="120" w:afterLines="50"/>
              <w:ind w:firstLine="31" w:firstLineChars="13"/>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现场抽查考核：</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维护严重不达标，通风设备不足，设备锈蚀严重，功能不正常，扣5分</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维护水平中度不达标，通风设备不齐全，设备出现锈蚀，扣3分</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维护水平轻微不达标，通风设备出现轻微的锈蚀，扣1分</w:t>
            </w:r>
          </w:p>
        </w:tc>
        <w:tc>
          <w:tcPr>
            <w:tcW w:w="1533" w:type="dxa"/>
            <w:vAlign w:val="center"/>
          </w:tcPr>
          <w:p>
            <w:pPr>
              <w:spacing w:before="120" w:after="120" w:afterLines="5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3日内修复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96" w:type="dxa"/>
            <w:vMerge w:val="continue"/>
            <w:tcBorders>
              <w:bottom w:val="single" w:color="auto" w:sz="4" w:space="0"/>
            </w:tcBorders>
            <w:vAlign w:val="center"/>
          </w:tcPr>
          <w:p>
            <w:pPr>
              <w:spacing w:before="120" w:after="120" w:afterLines="50"/>
              <w:rPr>
                <w:rFonts w:hint="eastAsia" w:asciiTheme="minorEastAsia" w:hAnsiTheme="minorEastAsia" w:eastAsiaTheme="minorEastAsia" w:cstheme="minorEastAsia"/>
              </w:rPr>
            </w:pPr>
          </w:p>
        </w:tc>
        <w:tc>
          <w:tcPr>
            <w:tcW w:w="1155" w:type="dxa"/>
            <w:tcBorders>
              <w:bottom w:val="single" w:color="auto" w:sz="4" w:space="0"/>
            </w:tcBorders>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控制系统（5分）</w:t>
            </w:r>
          </w:p>
        </w:tc>
        <w:tc>
          <w:tcPr>
            <w:tcW w:w="3490" w:type="dxa"/>
            <w:tcBorders>
              <w:bottom w:val="single" w:color="auto" w:sz="4" w:space="0"/>
            </w:tcBorders>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各种设备运转良好，操作室内干燥、清洁、通风</w:t>
            </w:r>
          </w:p>
        </w:tc>
        <w:tc>
          <w:tcPr>
            <w:tcW w:w="6746" w:type="dxa"/>
            <w:tcBorders>
              <w:bottom w:val="single" w:color="auto" w:sz="4" w:space="0"/>
            </w:tcBorders>
            <w:vAlign w:val="center"/>
          </w:tcPr>
          <w:p>
            <w:pPr>
              <w:spacing w:before="120" w:after="120" w:afterLines="50"/>
              <w:ind w:firstLine="31" w:firstLineChars="13"/>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现场抽查考核：</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维护严重不达标，设备出现故障，控制中心环境潮湿、不干净，扣5分</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维护水平中度不达标，设备出现严重锈蚀，控制中心环境潮湿、不干净，扣3分</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维护水平轻微不达标，设备出现锈蚀，控制中心潮湿、不干净，扣1分</w:t>
            </w:r>
          </w:p>
        </w:tc>
        <w:tc>
          <w:tcPr>
            <w:tcW w:w="1533" w:type="dxa"/>
            <w:tcBorders>
              <w:bottom w:val="single" w:color="auto" w:sz="4" w:space="0"/>
            </w:tcBorders>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3日内修复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20" w:type="dxa"/>
            <w:gridSpan w:val="5"/>
            <w:shd w:val="clear" w:color="auto" w:fill="D8D8D8" w:themeFill="background1" w:themeFillShade="D9"/>
            <w:vAlign w:val="center"/>
          </w:tcPr>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rPr>
              <w:t>安全与应急管理（35分）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1" w:type="dxa"/>
            <w:gridSpan w:val="2"/>
            <w:vAlign w:val="center"/>
          </w:tcPr>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消防系统</w:t>
            </w:r>
          </w:p>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（5分）</w:t>
            </w:r>
          </w:p>
        </w:tc>
        <w:tc>
          <w:tcPr>
            <w:tcW w:w="3490"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消防设备完整、完好</w:t>
            </w:r>
          </w:p>
        </w:tc>
        <w:tc>
          <w:tcPr>
            <w:tcW w:w="6746" w:type="dxa"/>
            <w:vAlign w:val="center"/>
          </w:tcPr>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现场抽查和抽查资料：</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每500米内缺失或者设备功能损坏扣0.5分，最多5分</w:t>
            </w:r>
          </w:p>
        </w:tc>
        <w:tc>
          <w:tcPr>
            <w:tcW w:w="1533"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3日内修复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1" w:type="dxa"/>
            <w:gridSpan w:val="2"/>
            <w:vAlign w:val="center"/>
          </w:tcPr>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监控与报警系统</w:t>
            </w:r>
          </w:p>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（10分）</w:t>
            </w:r>
          </w:p>
        </w:tc>
        <w:tc>
          <w:tcPr>
            <w:tcW w:w="3490"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系统完善，能准确、及时地探测管廊内火情，检测有害气体、空气含氧量、温度、湿度等环境参数，并能及时将信息传递到监控中心</w:t>
            </w:r>
          </w:p>
        </w:tc>
        <w:tc>
          <w:tcPr>
            <w:tcW w:w="6746"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现场考核和抽查资料：</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维护严重不达标，监控与报警系统瘫痪，多个设备出现故障，扣8-10分</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维护水平中度不达标，部分监控与报警设备出现故障，严重锈蚀，酌情扣4-7分</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维护水平轻微不达标，个别设备出现锈蚀，酌情扣0-3分</w:t>
            </w:r>
          </w:p>
        </w:tc>
        <w:tc>
          <w:tcPr>
            <w:tcW w:w="1533"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1日内修复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1" w:type="dxa"/>
            <w:gridSpan w:val="2"/>
            <w:vAlign w:val="center"/>
          </w:tcPr>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标识/志</w:t>
            </w:r>
          </w:p>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（5分）</w:t>
            </w:r>
          </w:p>
        </w:tc>
        <w:tc>
          <w:tcPr>
            <w:tcW w:w="3490"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信息牌必须显眼、干净、清晰并且结构稳定，警示牌显眼、干净、清晰、结构稳定并且在夜间清晰可见</w:t>
            </w:r>
          </w:p>
        </w:tc>
        <w:tc>
          <w:tcPr>
            <w:tcW w:w="6746" w:type="dxa"/>
            <w:vAlign w:val="center"/>
          </w:tcPr>
          <w:p>
            <w:pPr>
              <w:spacing w:before="120" w:after="120" w:afterLines="50"/>
              <w:ind w:firstLine="31" w:firstLineChars="13"/>
              <w:rPr>
                <w:rFonts w:hint="eastAsia" w:asciiTheme="minorEastAsia" w:hAnsiTheme="minorEastAsia" w:eastAsiaTheme="minorEastAsia" w:cstheme="minorEastAsia"/>
              </w:rPr>
            </w:pPr>
            <w:r>
              <w:rPr>
                <w:rFonts w:hint="eastAsia" w:asciiTheme="minorEastAsia" w:hAnsiTheme="minorEastAsia" w:eastAsiaTheme="minorEastAsia" w:cstheme="minorEastAsia"/>
              </w:rPr>
              <w:t>现场抽查和抽查资料：</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每1公里缺失必要的标志、标识，或者存在瑕疵扣0.5分</w:t>
            </w:r>
          </w:p>
        </w:tc>
        <w:tc>
          <w:tcPr>
            <w:tcW w:w="1533"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1日内修复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1" w:type="dxa"/>
            <w:gridSpan w:val="2"/>
            <w:vAlign w:val="center"/>
          </w:tcPr>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照明系统</w:t>
            </w:r>
          </w:p>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（5分）</w:t>
            </w:r>
          </w:p>
        </w:tc>
        <w:tc>
          <w:tcPr>
            <w:tcW w:w="3490"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灯具完好，并无严重锈蚀；灯具下引线绝缘良好、无破皮、绝缘开裂；符合一般照明和应急照明照度的要求 </w:t>
            </w:r>
          </w:p>
        </w:tc>
        <w:tc>
          <w:tcPr>
            <w:tcW w:w="6746" w:type="dxa"/>
            <w:vAlign w:val="center"/>
          </w:tcPr>
          <w:p>
            <w:pPr>
              <w:spacing w:before="120" w:after="120" w:afterLines="50"/>
              <w:ind w:firstLine="31" w:firstLineChars="13"/>
              <w:rPr>
                <w:rFonts w:hint="eastAsia" w:asciiTheme="minorEastAsia" w:hAnsiTheme="minorEastAsia" w:eastAsiaTheme="minorEastAsia" w:cstheme="minorEastAsia"/>
              </w:rPr>
            </w:pPr>
            <w:bookmarkStart w:id="2358" w:name="OLE_LINK14"/>
            <w:bookmarkStart w:id="2359" w:name="OLE_LINK13"/>
            <w:r>
              <w:rPr>
                <w:rFonts w:hint="eastAsia" w:asciiTheme="minorEastAsia" w:hAnsiTheme="minorEastAsia" w:eastAsiaTheme="minorEastAsia" w:cstheme="minorEastAsia"/>
              </w:rPr>
              <w:t>现场抽查和抽查资料：</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每500米照明度不达标或设施不完善或存在安全隐患，每一处扣0.5分</w:t>
            </w:r>
            <w:bookmarkEnd w:id="2358"/>
            <w:bookmarkEnd w:id="2359"/>
          </w:p>
        </w:tc>
        <w:tc>
          <w:tcPr>
            <w:tcW w:w="1533"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3日内修复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1" w:type="dxa"/>
            <w:gridSpan w:val="2"/>
            <w:tcBorders>
              <w:bottom w:val="single" w:color="auto" w:sz="4" w:space="0"/>
            </w:tcBorders>
            <w:vAlign w:val="center"/>
          </w:tcPr>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安全管理与应急机制（10分）</w:t>
            </w:r>
          </w:p>
        </w:tc>
        <w:tc>
          <w:tcPr>
            <w:tcW w:w="3490" w:type="dxa"/>
            <w:tcBorders>
              <w:bottom w:val="single" w:color="auto" w:sz="4" w:space="0"/>
            </w:tcBorders>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制定合理的维护安全管理办法、实施细则及应急预案，并配有必备的设备及训练有素的员工</w:t>
            </w:r>
          </w:p>
        </w:tc>
        <w:tc>
          <w:tcPr>
            <w:tcW w:w="6746" w:type="dxa"/>
            <w:tcBorders>
              <w:bottom w:val="single" w:color="auto" w:sz="4" w:space="0"/>
            </w:tcBorders>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现场考核与抽查资料：</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维护管理办法、实施细则及应急预案缺失，缺少必备的设备和训练有素的员工，酌情扣8-10分；</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维护管理办法、实施细则及应急预案不完善，设备不完备，员工素质有待提高，酌情扣4-7分</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维护管理办法、实施细则及应急预案仍需优化，员工素质仍待进一步提高，酌情扣0-3分</w:t>
            </w:r>
          </w:p>
        </w:tc>
        <w:tc>
          <w:tcPr>
            <w:tcW w:w="1533" w:type="dxa"/>
            <w:tcBorders>
              <w:bottom w:val="single" w:color="auto" w:sz="4" w:space="0"/>
            </w:tcBorders>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7日内修复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 w:hRule="atLeast"/>
        </w:trPr>
        <w:tc>
          <w:tcPr>
            <w:tcW w:w="14220" w:type="dxa"/>
            <w:gridSpan w:val="5"/>
            <w:shd w:val="clear" w:color="auto" w:fill="D8D8D8" w:themeFill="background1" w:themeFillShade="D9"/>
            <w:vAlign w:val="center"/>
          </w:tcPr>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rPr>
              <w:t>环境影响（10分）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1" w:type="dxa"/>
            <w:gridSpan w:val="2"/>
            <w:vAlign w:val="center"/>
          </w:tcPr>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景观绿化</w:t>
            </w:r>
          </w:p>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（2分)）</w:t>
            </w:r>
          </w:p>
        </w:tc>
        <w:tc>
          <w:tcPr>
            <w:tcW w:w="3490"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综合管廊工程与周边环境景观等相关城市基础设施衔接、协调</w:t>
            </w:r>
          </w:p>
        </w:tc>
        <w:tc>
          <w:tcPr>
            <w:tcW w:w="6746" w:type="dxa"/>
            <w:vAlign w:val="center"/>
          </w:tcPr>
          <w:p>
            <w:pPr>
              <w:spacing w:before="120" w:after="120" w:afterLines="50"/>
              <w:ind w:firstLine="31" w:firstLineChars="13"/>
              <w:rPr>
                <w:rFonts w:hint="eastAsia" w:asciiTheme="minorEastAsia" w:hAnsiTheme="minorEastAsia" w:eastAsiaTheme="minorEastAsia" w:cstheme="minorEastAsia"/>
              </w:rPr>
            </w:pPr>
            <w:r>
              <w:rPr>
                <w:rFonts w:hint="eastAsia" w:asciiTheme="minorEastAsia" w:hAnsiTheme="minorEastAsia" w:eastAsiaTheme="minorEastAsia" w:cstheme="minorEastAsia"/>
              </w:rPr>
              <w:t>综合打分，酌情扣减0~2分</w:t>
            </w:r>
          </w:p>
        </w:tc>
        <w:tc>
          <w:tcPr>
            <w:tcW w:w="1533"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30日内修复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1" w:type="dxa"/>
            <w:gridSpan w:val="2"/>
            <w:vAlign w:val="center"/>
          </w:tcPr>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噪音</w:t>
            </w:r>
          </w:p>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(2分)</w:t>
            </w:r>
          </w:p>
        </w:tc>
        <w:tc>
          <w:tcPr>
            <w:tcW w:w="3490"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噪声控制在80分贝</w:t>
            </w:r>
          </w:p>
        </w:tc>
        <w:tc>
          <w:tcPr>
            <w:tcW w:w="6746" w:type="dxa"/>
            <w:vAlign w:val="center"/>
          </w:tcPr>
          <w:p>
            <w:pPr>
              <w:spacing w:before="120" w:after="120" w:afterLines="50"/>
              <w:ind w:firstLine="31" w:firstLineChars="13"/>
              <w:rPr>
                <w:rFonts w:hint="eastAsia" w:asciiTheme="minorEastAsia" w:hAnsiTheme="minorEastAsia" w:eastAsiaTheme="minorEastAsia" w:cstheme="minorEastAsia"/>
              </w:rPr>
            </w:pPr>
            <w:r>
              <w:rPr>
                <w:rFonts w:hint="eastAsia" w:asciiTheme="minorEastAsia" w:hAnsiTheme="minorEastAsia" w:eastAsiaTheme="minorEastAsia" w:cstheme="minorEastAsia"/>
              </w:rPr>
              <w:t>综合打分，酌情扣减0~2分</w:t>
            </w:r>
          </w:p>
        </w:tc>
        <w:tc>
          <w:tcPr>
            <w:tcW w:w="1533"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7日内修复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1" w:type="dxa"/>
            <w:gridSpan w:val="2"/>
            <w:vAlign w:val="center"/>
          </w:tcPr>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废水</w:t>
            </w:r>
          </w:p>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(3分)</w:t>
            </w:r>
          </w:p>
        </w:tc>
        <w:tc>
          <w:tcPr>
            <w:tcW w:w="3490"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符合《江苏省地下综合管廊建设技术导则》的排放标准</w:t>
            </w:r>
          </w:p>
        </w:tc>
        <w:tc>
          <w:tcPr>
            <w:tcW w:w="6746" w:type="dxa"/>
            <w:vAlign w:val="center"/>
          </w:tcPr>
          <w:p>
            <w:pPr>
              <w:spacing w:before="120" w:after="120" w:afterLines="50"/>
              <w:ind w:firstLine="31" w:firstLineChars="13"/>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抽检并综合打分，酌情扣减0~3分</w:t>
            </w:r>
          </w:p>
        </w:tc>
        <w:tc>
          <w:tcPr>
            <w:tcW w:w="1533" w:type="dxa"/>
            <w:vAlign w:val="center"/>
          </w:tcPr>
          <w:p>
            <w:pPr>
              <w:spacing w:before="120" w:after="120" w:afterLines="5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7日内修复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1" w:type="dxa"/>
            <w:gridSpan w:val="2"/>
            <w:tcBorders>
              <w:bottom w:val="single" w:color="auto" w:sz="4" w:space="0"/>
            </w:tcBorders>
            <w:vAlign w:val="center"/>
          </w:tcPr>
          <w:p>
            <w:pPr>
              <w:spacing w:before="120" w:after="120" w:afterLines="50"/>
              <w:contextualSpacing/>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节能</w:t>
            </w:r>
          </w:p>
          <w:p>
            <w:pPr>
              <w:spacing w:before="120" w:after="120" w:afterLines="50"/>
              <w:contextualSpacing/>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（3分）</w:t>
            </w:r>
          </w:p>
        </w:tc>
        <w:tc>
          <w:tcPr>
            <w:tcW w:w="3490" w:type="dxa"/>
            <w:tcBorders>
              <w:bottom w:val="single" w:color="auto" w:sz="4" w:space="0"/>
            </w:tcBorders>
            <w:vAlign w:val="center"/>
          </w:tcPr>
          <w:p>
            <w:pPr>
              <w:spacing w:before="120" w:after="120" w:afterLines="5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用电、用水、能耗符合相关规定</w:t>
            </w:r>
          </w:p>
        </w:tc>
        <w:tc>
          <w:tcPr>
            <w:tcW w:w="6746" w:type="dxa"/>
            <w:tcBorders>
              <w:bottom w:val="single" w:color="auto" w:sz="4" w:space="0"/>
            </w:tcBorders>
            <w:vAlign w:val="center"/>
          </w:tcPr>
          <w:p>
            <w:pPr>
              <w:spacing w:before="120" w:after="120" w:afterLines="50"/>
              <w:ind w:firstLine="31" w:firstLineChars="13"/>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抽检综合打分，视情况酌情扣减0~3分</w:t>
            </w:r>
          </w:p>
        </w:tc>
        <w:tc>
          <w:tcPr>
            <w:tcW w:w="1533" w:type="dxa"/>
            <w:tcBorders>
              <w:bottom w:val="single" w:color="auto" w:sz="4" w:space="0"/>
            </w:tcBorders>
            <w:vAlign w:val="center"/>
          </w:tcPr>
          <w:p>
            <w:pPr>
              <w:spacing w:before="120" w:after="120" w:afterLines="5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15日内修复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trPr>
        <w:tc>
          <w:tcPr>
            <w:tcW w:w="14220" w:type="dxa"/>
            <w:gridSpan w:val="5"/>
            <w:shd w:val="clear" w:color="auto" w:fill="D8D8D8" w:themeFill="background1" w:themeFillShade="D9"/>
            <w:vAlign w:val="center"/>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资料管理（5分）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1" w:type="dxa"/>
            <w:gridSpan w:val="2"/>
            <w:tcBorders>
              <w:bottom w:val="single" w:color="auto" w:sz="4" w:space="0"/>
            </w:tcBorders>
            <w:vAlign w:val="center"/>
          </w:tcPr>
          <w:p>
            <w:pPr>
              <w:spacing w:before="120" w:after="120" w:afterLines="50"/>
              <w:contextualSpacing/>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档案资料管理</w:t>
            </w:r>
          </w:p>
          <w:p>
            <w:pPr>
              <w:spacing w:before="120" w:after="120" w:afterLines="50"/>
              <w:contextualSpacing/>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（5分）</w:t>
            </w:r>
          </w:p>
        </w:tc>
        <w:tc>
          <w:tcPr>
            <w:tcW w:w="3490" w:type="dxa"/>
            <w:tcBorders>
              <w:bottom w:val="single" w:color="auto" w:sz="4" w:space="0"/>
            </w:tcBorders>
            <w:vAlign w:val="center"/>
          </w:tcPr>
          <w:p>
            <w:pPr>
              <w:spacing w:before="120" w:after="120" w:afterLines="5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妥善保存建设期的相关资料，在项目运营期应全面及时记录相关设施设备的维护、维修、更新、更换等信息，资料的收集、整理、归档合理，存放、保管应符合国家现行标准的有关规定</w:t>
            </w:r>
          </w:p>
        </w:tc>
        <w:tc>
          <w:tcPr>
            <w:tcW w:w="6746" w:type="dxa"/>
            <w:tcBorders>
              <w:bottom w:val="single" w:color="auto" w:sz="4" w:space="0"/>
            </w:tcBorders>
            <w:vAlign w:val="center"/>
          </w:tcPr>
          <w:p>
            <w:pPr>
              <w:spacing w:before="120" w:after="120" w:afterLines="50"/>
              <w:ind w:firstLine="31" w:firstLineChars="13"/>
              <w:rPr>
                <w:rFonts w:hint="eastAsia" w:asciiTheme="minorEastAsia" w:hAnsiTheme="minorEastAsia" w:eastAsiaTheme="minorEastAsia" w:cstheme="minorEastAsia"/>
              </w:rPr>
            </w:pPr>
            <w:r>
              <w:rPr>
                <w:rFonts w:hint="eastAsia" w:asciiTheme="minorEastAsia" w:hAnsiTheme="minorEastAsia" w:eastAsiaTheme="minorEastAsia" w:cstheme="minorEastAsia"/>
              </w:rPr>
              <w:t>综合评价：</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信息严重缺失、记录不及时，存放、保管不合理的，酌情扣4-5分</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信息资料部分缺失，存放、保管不合理的，酌情扣2-3分</w:t>
            </w:r>
          </w:p>
          <w:p>
            <w:pPr>
              <w:pStyle w:val="66"/>
              <w:numPr>
                <w:ilvl w:val="0"/>
                <w:numId w:val="27"/>
              </w:numPr>
              <w:tabs>
                <w:tab w:val="left" w:pos="315"/>
              </w:tabs>
              <w:spacing w:before="120" w:after="120" w:afterLines="50"/>
              <w:ind w:left="295" w:leftChars="5" w:hanging="283" w:firstLineChars="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信息资料归档不合理，信息更新不及时，酌情扣0-1分</w:t>
            </w:r>
          </w:p>
        </w:tc>
        <w:tc>
          <w:tcPr>
            <w:tcW w:w="1533" w:type="dxa"/>
            <w:tcBorders>
              <w:bottom w:val="single" w:color="auto" w:sz="4" w:space="0"/>
            </w:tcBorders>
            <w:vAlign w:val="center"/>
          </w:tcPr>
          <w:p>
            <w:pPr>
              <w:spacing w:before="120" w:after="120" w:afterLines="5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7日内完善档案资料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20" w:type="dxa"/>
            <w:gridSpan w:val="5"/>
            <w:shd w:val="clear" w:color="auto" w:fill="D8D8D8" w:themeFill="background1" w:themeFillShade="D9"/>
            <w:vAlign w:val="center"/>
          </w:tcPr>
          <w:p>
            <w:pPr>
              <w:spacing w:before="120" w:after="120" w:afterLines="50"/>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利益相关方满意度（15分）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1" w:type="dxa"/>
            <w:gridSpan w:val="2"/>
            <w:vAlign w:val="center"/>
          </w:tcPr>
          <w:p>
            <w:pPr>
              <w:spacing w:before="120" w:after="120" w:afterLines="50"/>
              <w:contextualSpacing/>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相关政府部门满意度</w:t>
            </w:r>
          </w:p>
          <w:p>
            <w:pPr>
              <w:spacing w:before="120" w:after="120" w:afterLines="50"/>
              <w:contextualSpacing/>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（5分）</w:t>
            </w:r>
          </w:p>
        </w:tc>
        <w:tc>
          <w:tcPr>
            <w:tcW w:w="3490" w:type="dxa"/>
            <w:vAlign w:val="center"/>
          </w:tcPr>
          <w:p>
            <w:pPr>
              <w:spacing w:before="120" w:after="120" w:afterLines="5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政府部门满意度需在80%以上</w:t>
            </w:r>
          </w:p>
        </w:tc>
        <w:tc>
          <w:tcPr>
            <w:tcW w:w="6746" w:type="dxa"/>
            <w:vAlign w:val="center"/>
          </w:tcPr>
          <w:p>
            <w:pPr>
              <w:spacing w:before="120" w:after="120" w:afterLines="50"/>
              <w:ind w:firstLine="31" w:firstLineChars="13"/>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80%及以上为满分，每降低5%，扣2分，最多扣5分</w:t>
            </w:r>
          </w:p>
        </w:tc>
        <w:tc>
          <w:tcPr>
            <w:tcW w:w="1533" w:type="dxa"/>
            <w:vAlign w:val="center"/>
          </w:tcPr>
          <w:p>
            <w:pPr>
              <w:spacing w:before="120" w:after="120" w:afterLines="5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未来两次调查内消除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1" w:type="dxa"/>
            <w:gridSpan w:val="2"/>
            <w:vAlign w:val="center"/>
          </w:tcPr>
          <w:p>
            <w:pPr>
              <w:spacing w:before="120" w:after="120" w:afterLines="50"/>
              <w:contextualSpacing/>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入廊管线单位满意度</w:t>
            </w:r>
          </w:p>
          <w:p>
            <w:pPr>
              <w:spacing w:before="120" w:after="120" w:afterLines="50"/>
              <w:contextualSpacing/>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（5分）</w:t>
            </w:r>
          </w:p>
        </w:tc>
        <w:tc>
          <w:tcPr>
            <w:tcW w:w="3490" w:type="dxa"/>
            <w:vAlign w:val="center"/>
          </w:tcPr>
          <w:p>
            <w:pPr>
              <w:spacing w:before="120" w:after="120" w:afterLines="5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第三方公共调查满意度在80%以上</w:t>
            </w:r>
          </w:p>
        </w:tc>
        <w:tc>
          <w:tcPr>
            <w:tcW w:w="6746" w:type="dxa"/>
            <w:vAlign w:val="center"/>
          </w:tcPr>
          <w:p>
            <w:pPr>
              <w:spacing w:before="120" w:after="120" w:afterLines="50"/>
              <w:ind w:firstLine="31" w:firstLineChars="13"/>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80%及以上为满分，每降低5%，扣2分，最多扣5分</w:t>
            </w:r>
          </w:p>
        </w:tc>
        <w:tc>
          <w:tcPr>
            <w:tcW w:w="1533" w:type="dxa"/>
            <w:vAlign w:val="center"/>
          </w:tcPr>
          <w:p>
            <w:pPr>
              <w:spacing w:before="120" w:after="120" w:afterLines="5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未来两次调查内消除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1" w:type="dxa"/>
            <w:gridSpan w:val="2"/>
            <w:vAlign w:val="center"/>
          </w:tcPr>
          <w:p>
            <w:pPr>
              <w:spacing w:before="120" w:after="120" w:afterLines="50"/>
              <w:contextualSpacing/>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周边居民满意度</w:t>
            </w:r>
          </w:p>
          <w:p>
            <w:pPr>
              <w:spacing w:before="120" w:after="120" w:afterLines="50"/>
              <w:contextualSpacing/>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（5分）</w:t>
            </w:r>
          </w:p>
        </w:tc>
        <w:tc>
          <w:tcPr>
            <w:tcW w:w="3490" w:type="dxa"/>
            <w:vAlign w:val="center"/>
          </w:tcPr>
          <w:p>
            <w:pPr>
              <w:spacing w:before="120" w:after="120" w:afterLines="5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第三方公共调查满意度在80%以上</w:t>
            </w:r>
          </w:p>
        </w:tc>
        <w:tc>
          <w:tcPr>
            <w:tcW w:w="6746" w:type="dxa"/>
            <w:vAlign w:val="center"/>
          </w:tcPr>
          <w:p>
            <w:pPr>
              <w:spacing w:before="120" w:after="120" w:afterLines="50"/>
              <w:ind w:firstLine="31" w:firstLineChars="13"/>
              <w:rPr>
                <w:rFonts w:hint="eastAsia" w:asciiTheme="minorEastAsia" w:hAnsiTheme="minorEastAsia" w:eastAsiaTheme="minorEastAsia" w:cstheme="minorEastAsia"/>
              </w:rPr>
            </w:pPr>
            <w:r>
              <w:rPr>
                <w:rFonts w:hint="eastAsia" w:asciiTheme="minorEastAsia" w:hAnsiTheme="minorEastAsia" w:eastAsiaTheme="minorEastAsia" w:cstheme="minorEastAsia"/>
              </w:rPr>
              <w:t>80%及以上为满分，每降低5%，扣2分，最多扣5分</w:t>
            </w:r>
          </w:p>
        </w:tc>
        <w:tc>
          <w:tcPr>
            <w:tcW w:w="1533" w:type="dxa"/>
            <w:vAlign w:val="center"/>
          </w:tcPr>
          <w:p>
            <w:pPr>
              <w:spacing w:before="120" w:after="120"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未来两次调查内消除</w:t>
            </w:r>
          </w:p>
        </w:tc>
      </w:tr>
    </w:tbl>
    <w:p>
      <w:pPr>
        <w:spacing w:before="120" w:after="120" w:afterLines="50"/>
        <w:rPr>
          <w:rFonts w:hint="eastAsia" w:asciiTheme="minorEastAsia" w:hAnsiTheme="minorEastAsia" w:eastAsiaTheme="minorEastAsia" w:cstheme="minorEastAsia"/>
          <w:i/>
        </w:rPr>
      </w:pPr>
      <w:r>
        <w:rPr>
          <w:rFonts w:hint="eastAsia" w:asciiTheme="minorEastAsia" w:hAnsiTheme="minorEastAsia" w:eastAsiaTheme="minorEastAsia" w:cstheme="minorEastAsia"/>
          <w:i/>
        </w:rPr>
        <w:t>注：以上考核均非计划暂停服务期，扣分以0.5为基数</w:t>
      </w:r>
    </w:p>
    <w:p>
      <w:pPr>
        <w:pStyle w:val="2"/>
        <w:keepNext w:val="0"/>
        <w:widowControl w:val="0"/>
        <w:numPr>
          <w:ilvl w:val="0"/>
          <w:numId w:val="0"/>
        </w:numPr>
        <w:spacing w:before="120" w:beforeLines="50" w:afterLines="50" w:line="360" w:lineRule="auto"/>
        <w:rPr>
          <w:rFonts w:hint="eastAsia" w:asciiTheme="minorEastAsia" w:hAnsiTheme="minorEastAsia" w:eastAsiaTheme="minorEastAsia" w:cstheme="minorEastAsia"/>
        </w:rPr>
        <w:sectPr>
          <w:headerReference r:id="rId16" w:type="default"/>
          <w:pgSz w:w="16840" w:h="11907" w:orient="landscape"/>
          <w:pgMar w:top="1418" w:right="1418" w:bottom="1418" w:left="1418" w:header="567" w:footer="992" w:gutter="0"/>
          <w:pgNumType w:fmt="decimal"/>
          <w:cols w:space="425" w:num="1"/>
          <w:docGrid w:linePitch="326" w:charSpace="0"/>
        </w:sectPr>
      </w:pPr>
    </w:p>
    <w:p>
      <w:pPr>
        <w:pStyle w:val="2"/>
        <w:keepNext w:val="0"/>
        <w:widowControl w:val="0"/>
        <w:numPr>
          <w:ilvl w:val="0"/>
          <w:numId w:val="0"/>
        </w:numPr>
        <w:spacing w:before="120" w:beforeLines="50" w:afterLines="50" w:line="360" w:lineRule="auto"/>
        <w:rPr>
          <w:rFonts w:hint="eastAsia" w:asciiTheme="minorEastAsia" w:hAnsiTheme="minorEastAsia" w:eastAsiaTheme="minorEastAsia" w:cstheme="minorEastAsia"/>
        </w:rPr>
      </w:pPr>
      <w:bookmarkStart w:id="2360" w:name="_附件8_保险"/>
      <w:bookmarkEnd w:id="2360"/>
      <w:bookmarkStart w:id="2361" w:name="_附件7_保险"/>
      <w:bookmarkEnd w:id="2361"/>
      <w:bookmarkStart w:id="2362" w:name="_附件9_保险"/>
      <w:bookmarkEnd w:id="2362"/>
      <w:bookmarkStart w:id="2363" w:name="_Toc11665"/>
      <w:bookmarkStart w:id="2364" w:name="_Toc28063"/>
      <w:bookmarkStart w:id="2365" w:name="_Toc26094"/>
      <w:r>
        <w:rPr>
          <w:rFonts w:hint="eastAsia" w:asciiTheme="minorEastAsia" w:hAnsiTheme="minorEastAsia" w:eastAsiaTheme="minorEastAsia" w:cstheme="minorEastAsia"/>
        </w:rPr>
        <w:t>附件2 调价公式</w:t>
      </w:r>
      <w:bookmarkEnd w:id="2363"/>
      <w:bookmarkEnd w:id="2364"/>
      <w:bookmarkEnd w:id="2365"/>
    </w:p>
    <w:p>
      <w:pPr>
        <w:spacing w:before="120" w:after="120" w:afterLines="50"/>
        <w:rPr>
          <w:rFonts w:hint="eastAsia" w:asciiTheme="minorEastAsia" w:hAnsiTheme="minorEastAsia" w:eastAsiaTheme="minorEastAsia" w:cstheme="minorEastAsia"/>
        </w:rPr>
      </w:pPr>
    </w:p>
    <w:p>
      <w:pPr>
        <w:pStyle w:val="66"/>
        <w:tabs>
          <w:tab w:val="left" w:pos="993"/>
        </w:tabs>
        <w:spacing w:before="120" w:after="120" w:afterLines="50"/>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本项目的投资建设成本在对应的付费期内不作调整，运营维护成本根据运营维护期内的实际变动情况进行调整。</w:t>
      </w:r>
    </w:p>
    <w:p>
      <w:pPr>
        <w:pStyle w:val="66"/>
        <w:tabs>
          <w:tab w:val="left" w:pos="993"/>
        </w:tabs>
        <w:spacing w:before="120" w:after="120" w:afterLines="50"/>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本项目的约定年度运营维护成本（万元/年）根据运营维护期间的通货膨胀情况进行调整，调价周期为三年。具体调价公式如下：</w:t>
      </w:r>
    </w:p>
    <w:p>
      <w:pPr>
        <w:spacing w:before="120" w:after="120" w:afterLines="50"/>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约定年度运营维护成本在第3n个财务年度12月31日进行第n次调价时：</w:t>
      </w:r>
    </w:p>
    <w:p>
      <w:pPr>
        <w:spacing w:before="120" w:after="120" w:afterLines="50"/>
        <w:ind w:firstLine="482" w:firstLineChars="200"/>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P</w:t>
      </w:r>
      <w:r>
        <w:rPr>
          <w:rFonts w:hint="eastAsia" w:asciiTheme="minorEastAsia" w:hAnsiTheme="minorEastAsia" w:eastAsiaTheme="minorEastAsia" w:cstheme="minorEastAsia"/>
          <w:b/>
          <w:vertAlign w:val="subscript"/>
        </w:rPr>
        <w:t>3n</w:t>
      </w:r>
      <w:r>
        <w:rPr>
          <w:rFonts w:hint="eastAsia" w:asciiTheme="minorEastAsia" w:hAnsiTheme="minorEastAsia" w:eastAsiaTheme="minorEastAsia" w:cstheme="minorEastAsia"/>
          <w:b/>
        </w:rPr>
        <w:t>= P</w:t>
      </w:r>
      <w:r>
        <w:rPr>
          <w:rFonts w:hint="eastAsia" w:asciiTheme="minorEastAsia" w:hAnsiTheme="minorEastAsia" w:eastAsiaTheme="minorEastAsia" w:cstheme="minorEastAsia"/>
          <w:b/>
          <w:vertAlign w:val="subscript"/>
        </w:rPr>
        <w:t>3n-3</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b/>
        </w:rPr>
        <w:t>CPI</w:t>
      </w:r>
      <w:r>
        <w:rPr>
          <w:rFonts w:hint="eastAsia" w:asciiTheme="minorEastAsia" w:hAnsiTheme="minorEastAsia" w:eastAsiaTheme="minorEastAsia" w:cstheme="minorEastAsia"/>
          <w:b/>
          <w:vertAlign w:val="subscript"/>
        </w:rPr>
        <w:t>3n-3</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b/>
        </w:rPr>
        <w:t xml:space="preserve"> CPI</w:t>
      </w:r>
      <w:r>
        <w:rPr>
          <w:rFonts w:hint="eastAsia" w:asciiTheme="minorEastAsia" w:hAnsiTheme="minorEastAsia" w:eastAsiaTheme="minorEastAsia" w:cstheme="minorEastAsia"/>
          <w:b/>
          <w:vertAlign w:val="subscript"/>
        </w:rPr>
        <w:t>3n-2</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b/>
        </w:rPr>
        <w:t>CPI</w:t>
      </w:r>
      <w:r>
        <w:rPr>
          <w:rFonts w:hint="eastAsia" w:asciiTheme="minorEastAsia" w:hAnsiTheme="minorEastAsia" w:eastAsiaTheme="minorEastAsia" w:cstheme="minorEastAsia"/>
          <w:b/>
          <w:vertAlign w:val="subscript"/>
        </w:rPr>
        <w:t>3n-1</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b/>
        </w:rPr>
        <w:t>10</w:t>
      </w:r>
      <w:r>
        <w:rPr>
          <w:rFonts w:hint="eastAsia" w:asciiTheme="minorEastAsia" w:hAnsiTheme="minorEastAsia" w:eastAsiaTheme="minorEastAsia" w:cstheme="minorEastAsia"/>
          <w:b/>
          <w:vertAlign w:val="superscript"/>
        </w:rPr>
        <w:t>-6</w:t>
      </w:r>
      <w:r>
        <w:rPr>
          <w:rFonts w:hint="eastAsia" w:asciiTheme="minorEastAsia" w:hAnsiTheme="minorEastAsia" w:eastAsiaTheme="minorEastAsia" w:cstheme="minorEastAsia"/>
          <w:b/>
        </w:rPr>
        <w:t>（n=1,2,3,…）</w:t>
      </w:r>
    </w:p>
    <w:p>
      <w:pPr>
        <w:spacing w:before="120" w:after="120" w:afterLines="50"/>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其中： </w:t>
      </w:r>
    </w:p>
    <w:p>
      <w:pPr>
        <w:spacing w:before="120" w:after="120" w:afterLines="50"/>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本项目在运营维护期前三年适用的约定年度运营维护成本不进行调整； </w:t>
      </w:r>
    </w:p>
    <w:p>
      <w:pPr>
        <w:spacing w:before="120" w:after="120" w:afterLines="50"/>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n为调价次数，约定年度运营维护成本进行第一次调价（即n=1）时，P</w:t>
      </w:r>
      <w:r>
        <w:rPr>
          <w:rFonts w:hint="eastAsia" w:asciiTheme="minorEastAsia" w:hAnsiTheme="minorEastAsia" w:eastAsiaTheme="minorEastAsia" w:cstheme="minorEastAsia"/>
          <w:vertAlign w:val="subscript"/>
        </w:rPr>
        <w:t>3n-3</w:t>
      </w:r>
      <w:r>
        <w:rPr>
          <w:rFonts w:hint="eastAsia" w:asciiTheme="minorEastAsia" w:hAnsiTheme="minorEastAsia" w:eastAsiaTheme="minorEastAsia" w:cstheme="minorEastAsia"/>
        </w:rPr>
        <w:t>=P</w:t>
      </w:r>
      <w:r>
        <w:rPr>
          <w:rFonts w:hint="eastAsia" w:asciiTheme="minorEastAsia" w:hAnsiTheme="minorEastAsia" w:eastAsiaTheme="minorEastAsia" w:cstheme="minorEastAsia"/>
          <w:vertAlign w:val="subscript"/>
        </w:rPr>
        <w:t>0</w:t>
      </w:r>
      <w:r>
        <w:rPr>
          <w:rFonts w:hint="eastAsia" w:asciiTheme="minorEastAsia" w:hAnsiTheme="minorEastAsia" w:eastAsiaTheme="minorEastAsia" w:cstheme="minorEastAsia"/>
        </w:rPr>
        <w:t>，P</w:t>
      </w:r>
      <w:r>
        <w:rPr>
          <w:rFonts w:hint="eastAsia" w:asciiTheme="minorEastAsia" w:hAnsiTheme="minorEastAsia" w:eastAsiaTheme="minorEastAsia" w:cstheme="minorEastAsia"/>
          <w:vertAlign w:val="subscript"/>
        </w:rPr>
        <w:t>0</w:t>
      </w:r>
      <w:r>
        <w:rPr>
          <w:rFonts w:hint="eastAsia" w:asciiTheme="minorEastAsia" w:hAnsiTheme="minorEastAsia" w:eastAsiaTheme="minorEastAsia" w:cstheme="minorEastAsia"/>
        </w:rPr>
        <w:t>为经采购确定的运营维护期初年的约定年度单位运营维护成本，即【    】（万元/年）；</w:t>
      </w:r>
    </w:p>
    <w:p>
      <w:pPr>
        <w:spacing w:before="120" w:after="120" w:afterLines="50"/>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P</w:t>
      </w:r>
      <w:r>
        <w:rPr>
          <w:rFonts w:hint="eastAsia" w:asciiTheme="minorEastAsia" w:hAnsiTheme="minorEastAsia" w:eastAsiaTheme="minorEastAsia" w:cstheme="minorEastAsia"/>
          <w:vertAlign w:val="subscript"/>
        </w:rPr>
        <w:t>3n</w:t>
      </w:r>
      <w:r>
        <w:rPr>
          <w:rFonts w:hint="eastAsia" w:asciiTheme="minorEastAsia" w:hAnsiTheme="minorEastAsia" w:eastAsiaTheme="minorEastAsia" w:cstheme="minorEastAsia"/>
        </w:rPr>
        <w:t xml:space="preserve">为第3n+1个财务年度起适用的约定单位运营维护成本（每三年调价一次）； </w:t>
      </w:r>
    </w:p>
    <w:p>
      <w:pPr>
        <w:spacing w:before="120" w:after="120" w:afterLines="50"/>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CPI</w:t>
      </w:r>
      <w:r>
        <w:rPr>
          <w:rFonts w:hint="eastAsia" w:asciiTheme="minorEastAsia" w:hAnsiTheme="minorEastAsia" w:eastAsiaTheme="minorEastAsia" w:cstheme="minorEastAsia"/>
          <w:vertAlign w:val="subscript"/>
        </w:rPr>
        <w:t>3n-1</w:t>
      </w:r>
      <w:r>
        <w:rPr>
          <w:rFonts w:hint="eastAsia" w:asciiTheme="minorEastAsia" w:hAnsiTheme="minorEastAsia" w:eastAsiaTheme="minorEastAsia" w:cstheme="minorEastAsia"/>
        </w:rPr>
        <w:t>为第3n个财务年度由徐州市统计局公布的第3n-1个财务年度徐州市居民消费物价指数；</w:t>
      </w:r>
    </w:p>
    <w:p>
      <w:pPr>
        <w:spacing w:before="120" w:after="120" w:afterLines="50"/>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CPI</w:t>
      </w:r>
      <w:r>
        <w:rPr>
          <w:rFonts w:hint="eastAsia" w:asciiTheme="minorEastAsia" w:hAnsiTheme="minorEastAsia" w:eastAsiaTheme="minorEastAsia" w:cstheme="minorEastAsia"/>
          <w:vertAlign w:val="subscript"/>
        </w:rPr>
        <w:t>3n-2</w:t>
      </w:r>
      <w:r>
        <w:rPr>
          <w:rFonts w:hint="eastAsia" w:asciiTheme="minorEastAsia" w:hAnsiTheme="minorEastAsia" w:eastAsiaTheme="minorEastAsia" w:cstheme="minorEastAsia"/>
        </w:rPr>
        <w:t>为第3n个财务年度由徐州市统计局公布的第3n-2个财务年度徐州市居民消费物价指数；</w:t>
      </w:r>
    </w:p>
    <w:p>
      <w:pPr>
        <w:spacing w:before="120" w:after="120" w:afterLines="50"/>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CPI</w:t>
      </w:r>
      <w:r>
        <w:rPr>
          <w:rFonts w:hint="eastAsia" w:asciiTheme="minorEastAsia" w:hAnsiTheme="minorEastAsia" w:eastAsiaTheme="minorEastAsia" w:cstheme="minorEastAsia"/>
          <w:vertAlign w:val="subscript"/>
        </w:rPr>
        <w:t>3n-3</w:t>
      </w:r>
      <w:r>
        <w:rPr>
          <w:rFonts w:hint="eastAsia" w:asciiTheme="minorEastAsia" w:hAnsiTheme="minorEastAsia" w:eastAsiaTheme="minorEastAsia" w:cstheme="minorEastAsia"/>
        </w:rPr>
        <w:t>为第3n个财务年度由徐州市统计局公布的第3n-3个财务年度徐州市居民消费物价指数。</w:t>
      </w:r>
    </w:p>
    <w:p>
      <w:pPr>
        <w:widowControl/>
        <w:spacing w:before="0" w:beforeLines="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p>
    <w:p>
      <w:pPr>
        <w:pStyle w:val="2"/>
        <w:keepNext w:val="0"/>
        <w:widowControl w:val="0"/>
        <w:numPr>
          <w:ilvl w:val="0"/>
          <w:numId w:val="0"/>
        </w:numPr>
        <w:spacing w:before="120" w:beforeLines="50" w:afterLines="50" w:line="360" w:lineRule="auto"/>
        <w:rPr>
          <w:rFonts w:hint="eastAsia" w:asciiTheme="minorEastAsia" w:hAnsiTheme="minorEastAsia" w:eastAsiaTheme="minorEastAsia" w:cstheme="minorEastAsia"/>
        </w:rPr>
      </w:pPr>
      <w:bookmarkStart w:id="2366" w:name="_Toc50452623"/>
      <w:bookmarkStart w:id="2367" w:name="_Toc50861981"/>
      <w:bookmarkStart w:id="2368" w:name="_Toc50860475"/>
      <w:bookmarkStart w:id="2369" w:name="_Toc51225723"/>
      <w:bookmarkStart w:id="2370" w:name="_Toc51214044"/>
      <w:bookmarkStart w:id="2371" w:name="_Toc239861171"/>
      <w:bookmarkStart w:id="2372" w:name="_Toc50861845"/>
      <w:bookmarkStart w:id="2373" w:name="_Toc447632816"/>
      <w:bookmarkStart w:id="2374" w:name="_Toc490217024"/>
      <w:bookmarkStart w:id="2375" w:name="_Toc29602"/>
      <w:bookmarkStart w:id="2376" w:name="_Toc17569"/>
      <w:bookmarkStart w:id="2377" w:name="_Toc17958"/>
      <w:r>
        <w:rPr>
          <w:rFonts w:hint="eastAsia" w:asciiTheme="minorEastAsia" w:hAnsiTheme="minorEastAsia" w:eastAsiaTheme="minorEastAsia" w:cstheme="minorEastAsia"/>
        </w:rPr>
        <w:t>附件</w:t>
      </w:r>
      <w:bookmarkEnd w:id="2366"/>
      <w:bookmarkEnd w:id="2367"/>
      <w:bookmarkEnd w:id="2368"/>
      <w:bookmarkEnd w:id="2369"/>
      <w:bookmarkEnd w:id="2370"/>
      <w:bookmarkEnd w:id="2371"/>
      <w:bookmarkEnd w:id="2372"/>
      <w:r>
        <w:rPr>
          <w:rFonts w:hint="eastAsia" w:asciiTheme="minorEastAsia" w:hAnsiTheme="minorEastAsia" w:eastAsiaTheme="minorEastAsia" w:cstheme="minorEastAsia"/>
        </w:rPr>
        <w:t xml:space="preserve">3 </w:t>
      </w:r>
      <w:bookmarkEnd w:id="2373"/>
      <w:bookmarkEnd w:id="2374"/>
      <w:r>
        <w:rPr>
          <w:rFonts w:hint="eastAsia" w:asciiTheme="minorEastAsia" w:hAnsiTheme="minorEastAsia" w:eastAsiaTheme="minorEastAsia" w:cstheme="minorEastAsia"/>
        </w:rPr>
        <w:t>建设履约独立保函</w:t>
      </w:r>
      <w:bookmarkEnd w:id="2375"/>
      <w:bookmarkEnd w:id="2376"/>
      <w:bookmarkEnd w:id="2377"/>
    </w:p>
    <w:p>
      <w:pPr>
        <w:spacing w:before="120" w:after="50"/>
        <w:rPr>
          <w:rFonts w:hint="eastAsia" w:asciiTheme="minorEastAsia" w:hAnsiTheme="minorEastAsia" w:eastAsiaTheme="minorEastAsia" w:cstheme="minorEastAsia"/>
        </w:rPr>
      </w:pPr>
    </w:p>
    <w:p>
      <w:pPr>
        <w:tabs>
          <w:tab w:val="left" w:pos="540"/>
        </w:tabs>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致： </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徐州市</w:t>
      </w:r>
      <w:r>
        <w:rPr>
          <w:rFonts w:hint="eastAsia" w:asciiTheme="minorEastAsia" w:hAnsiTheme="minorEastAsia" w:eastAsiaTheme="minorEastAsia" w:cstheme="minorEastAsia"/>
          <w:lang w:val="en-US" w:eastAsia="zh-CN"/>
        </w:rPr>
        <w:t>城市管理</w:t>
      </w:r>
      <w:r>
        <w:rPr>
          <w:rFonts w:hint="eastAsia" w:asciiTheme="minorEastAsia" w:hAnsiTheme="minorEastAsia" w:eastAsiaTheme="minorEastAsia" w:cstheme="minorEastAsia"/>
        </w:rPr>
        <w:t>局（下称“</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邮政编码：</w:t>
      </w:r>
    </w:p>
    <w:p>
      <w:pPr>
        <w:pStyle w:val="81"/>
        <w:spacing w:before="120" w:after="50"/>
        <w:rPr>
          <w:rFonts w:hint="eastAsia" w:asciiTheme="minorEastAsia" w:hAnsiTheme="minorEastAsia" w:eastAsiaTheme="minorEastAsia" w:cstheme="minorEastAsia"/>
          <w:bCs/>
        </w:rPr>
      </w:pPr>
      <w:r>
        <w:rPr>
          <w:rFonts w:hint="eastAsia" w:asciiTheme="minorEastAsia" w:hAnsiTheme="minorEastAsia" w:eastAsiaTheme="minorEastAsia" w:cstheme="minorEastAsia"/>
        </w:rPr>
        <w:t>鉴于 [</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]（项目公司名称，下称“项目公司”）已承诺根据于</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日签订的</w:t>
      </w:r>
      <w:r>
        <w:rPr>
          <w:rFonts w:hint="eastAsia" w:asciiTheme="minorEastAsia" w:hAnsiTheme="minorEastAsia" w:eastAsiaTheme="minorEastAsia" w:cstheme="minorEastAsia"/>
          <w:bCs/>
        </w:rPr>
        <w:t>PPP项目合同，投资、运营和维护</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bCs/>
        </w:rPr>
        <w:t>（项目名称）。</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应项目公司的要求，我们【银行/金融机构名称】作为担保人，兹开立以</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为受益人，金额为人民币</w:t>
      </w:r>
      <w:r>
        <w:rPr>
          <w:rFonts w:hint="eastAsia" w:asciiTheme="minorEastAsia" w:hAnsiTheme="minorEastAsia" w:eastAsiaTheme="minorEastAsia" w:cstheme="minorEastAsia"/>
          <w:lang w:val="en-US" w:eastAsia="zh-CN"/>
        </w:rPr>
        <w:t>伍</w:t>
      </w:r>
      <w:r>
        <w:rPr>
          <w:rFonts w:hint="eastAsia" w:asciiTheme="minorEastAsia" w:hAnsiTheme="minorEastAsia" w:eastAsiaTheme="minorEastAsia" w:cstheme="minorEastAsia"/>
        </w:rPr>
        <w:t>仟万元（¥</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lang w:eastAsia="zh-CN"/>
        </w:rPr>
        <w:t>0</w:t>
      </w:r>
      <w:r>
        <w:rPr>
          <w:rFonts w:hint="eastAsia" w:asciiTheme="minorEastAsia" w:hAnsiTheme="minorEastAsia" w:eastAsiaTheme="minorEastAsia" w:cstheme="minorEastAsia"/>
        </w:rPr>
        <w:t>,000,000.00）的第【  】号不可撤销的担保函，以不可撤销及无条件的担保项目公司将根据股PPP项目合同的条款和条件，履行</w:t>
      </w:r>
      <w:r>
        <w:rPr>
          <w:rFonts w:hint="eastAsia" w:asciiTheme="minorEastAsia" w:hAnsiTheme="minorEastAsia" w:eastAsiaTheme="minorEastAsia" w:cstheme="minorEastAsia"/>
          <w:lang w:eastAsia="zh-CN"/>
        </w:rPr>
        <w:t>其在</w:t>
      </w:r>
      <w:r>
        <w:rPr>
          <w:rFonts w:hint="eastAsia" w:asciiTheme="minorEastAsia" w:hAnsiTheme="minorEastAsia" w:eastAsiaTheme="minorEastAsia" w:cstheme="minorEastAsia"/>
        </w:rPr>
        <w:t>PPP项目合同项下的投资等相关义务。如项目公司未根据PPP项目合同的条款和条件履行PPP项目合同项下全部或部分义务，担保人将履行在本保函项下的支付义务。</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担保人保证在收到</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在本保函有效期内出具的见索即付的书面要求后的第五个营业日内，即向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支付</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要求的不超过上述金额的款项，而无须要求</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确证该支付要求满足本保函项下的支付要求，</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只需在其书面要求中说明其要求支付的款项是由于项目公司未履行PPP项目合同项下的某一项或某几项义务。我们在此放弃要求</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在向我方提出付款要求之前首先向</w:t>
      </w:r>
      <w:r>
        <w:rPr>
          <w:rFonts w:hint="eastAsia" w:asciiTheme="minorEastAsia" w:hAnsiTheme="minorEastAsia" w:eastAsiaTheme="minorEastAsia" w:cstheme="minorEastAsia"/>
          <w:lang w:eastAsia="zh-CN"/>
        </w:rPr>
        <w:t>项目公司</w:t>
      </w:r>
      <w:r>
        <w:rPr>
          <w:rFonts w:hint="eastAsia" w:asciiTheme="minorEastAsia" w:hAnsiTheme="minorEastAsia" w:eastAsiaTheme="minorEastAsia" w:cstheme="minorEastAsia"/>
        </w:rPr>
        <w:t>提出付款要求或对</w:t>
      </w:r>
      <w:r>
        <w:rPr>
          <w:rFonts w:hint="eastAsia" w:asciiTheme="minorEastAsia" w:hAnsiTheme="minorEastAsia" w:eastAsiaTheme="minorEastAsia" w:cstheme="minorEastAsia"/>
          <w:lang w:eastAsia="zh-CN"/>
        </w:rPr>
        <w:t>项目公司</w:t>
      </w:r>
      <w:r>
        <w:rPr>
          <w:rFonts w:hint="eastAsia" w:asciiTheme="minorEastAsia" w:hAnsiTheme="minorEastAsia" w:eastAsiaTheme="minorEastAsia" w:cstheme="minorEastAsia"/>
        </w:rPr>
        <w:t>提起诉讼或仲裁的要求。</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我们同意，PPP项目合同或任何其它文件的条款</w:t>
      </w:r>
      <w:r>
        <w:rPr>
          <w:rFonts w:hint="eastAsia" w:asciiTheme="minorEastAsia" w:hAnsiTheme="minorEastAsia" w:eastAsiaTheme="minorEastAsia" w:cstheme="minorEastAsia"/>
          <w:lang w:eastAsia="zh-CN"/>
        </w:rPr>
        <w:t>的</w:t>
      </w:r>
      <w:r>
        <w:rPr>
          <w:rFonts w:hint="eastAsia" w:asciiTheme="minorEastAsia" w:hAnsiTheme="minorEastAsia" w:eastAsiaTheme="minorEastAsia" w:cstheme="minorEastAsia"/>
        </w:rPr>
        <w:t>任何更改或补充或任何其它修改，不免除我方在本担保项下应承担的责任，我们在此放弃对此类更改、补充或修改给予通知的要求。</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本保函自</w:t>
      </w:r>
      <w:r>
        <w:rPr>
          <w:rFonts w:hint="eastAsia" w:asciiTheme="minorEastAsia" w:hAnsiTheme="minorEastAsia" w:eastAsiaTheme="minorEastAsia" w:cstheme="minorEastAsia"/>
          <w:lang w:eastAsia="zh-CN"/>
        </w:rPr>
        <w:t>PPP项目合同</w:t>
      </w:r>
      <w:r>
        <w:rPr>
          <w:rFonts w:hint="eastAsia" w:asciiTheme="minorEastAsia" w:hAnsiTheme="minorEastAsia" w:eastAsiaTheme="minorEastAsia" w:cstheme="minorEastAsia"/>
        </w:rPr>
        <w:t>签订之日至根据</w:t>
      </w:r>
      <w:r>
        <w:rPr>
          <w:rFonts w:hint="eastAsia" w:asciiTheme="minorEastAsia" w:hAnsiTheme="minorEastAsia" w:eastAsiaTheme="minorEastAsia" w:cstheme="minorEastAsia"/>
          <w:lang w:eastAsia="zh-CN"/>
        </w:rPr>
        <w:t>PPP项目合同</w:t>
      </w:r>
      <w:r>
        <w:rPr>
          <w:rFonts w:hint="eastAsia" w:asciiTheme="minorEastAsia" w:hAnsiTheme="minorEastAsia" w:eastAsiaTheme="minorEastAsia" w:cstheme="minorEastAsia"/>
        </w:rPr>
        <w:t>的约定解除之日持续有效。</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本保函中使用的所有术语具有PPP项目合同中规定的含义（我们确认已收到PPP项目合同的一份复印件）。</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担保人特此声明：</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1、担保人具有签署及履行本担保函的权利和行为能力，并且担保人已经获得充分有效的授权以签署和履行本担保函。</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2、本担保函对担保人的受让人和承继人均有约束力。</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3、与本担保函有关的各项通知和/或信函，包括但不限于索偿通知等经传真或信件等形式发往担保人的如下地址，即应视为担保人已经收到该等通知和/或信函。</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收件人：</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地址：</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传真：</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电话：</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4、本保函一经担保人法定代表人或负责人或授权代表签字并加盖担保人公章即行生效。</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5、担保人在本保函项下的义务是独立的。</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本保函应适用中国法律并根据中国法律解释。</w:t>
      </w:r>
    </w:p>
    <w:p>
      <w:pPr>
        <w:tabs>
          <w:tab w:val="left" w:pos="3870"/>
          <w:tab w:val="left" w:pos="4230"/>
        </w:tabs>
        <w:spacing w:before="120" w:after="50"/>
        <w:ind w:left="3402"/>
        <w:rPr>
          <w:rFonts w:hint="eastAsia" w:asciiTheme="minorEastAsia" w:hAnsiTheme="minorEastAsia" w:eastAsiaTheme="minorEastAsia" w:cstheme="minorEastAsia"/>
        </w:rPr>
      </w:pPr>
    </w:p>
    <w:p>
      <w:pPr>
        <w:tabs>
          <w:tab w:val="left" w:pos="3870"/>
          <w:tab w:val="left" w:pos="4230"/>
        </w:tabs>
        <w:spacing w:before="120" w:after="50"/>
        <w:ind w:left="3402"/>
        <w:rPr>
          <w:rFonts w:hint="eastAsia" w:asciiTheme="minorEastAsia" w:hAnsiTheme="minorEastAsia" w:eastAsiaTheme="minorEastAsia" w:cstheme="minorEastAsia"/>
        </w:rPr>
      </w:pPr>
    </w:p>
    <w:p>
      <w:pPr>
        <w:tabs>
          <w:tab w:val="left" w:pos="3870"/>
          <w:tab w:val="left" w:pos="4230"/>
        </w:tabs>
        <w:spacing w:before="120" w:after="50"/>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银行/金融机构盖章:_________________</w:t>
      </w:r>
    </w:p>
    <w:p>
      <w:pPr>
        <w:tabs>
          <w:tab w:val="left" w:pos="3870"/>
          <w:tab w:val="left" w:pos="4230"/>
        </w:tabs>
        <w:spacing w:before="120" w:after="50"/>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银行/金融机构名称:_________________</w:t>
      </w:r>
    </w:p>
    <w:p>
      <w:pPr>
        <w:tabs>
          <w:tab w:val="left" w:pos="3870"/>
          <w:tab w:val="left" w:pos="4230"/>
        </w:tabs>
        <w:spacing w:before="120" w:after="50"/>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银行/金融机构地址:_</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______________</w:t>
      </w:r>
    </w:p>
    <w:p>
      <w:pPr>
        <w:tabs>
          <w:tab w:val="left" w:pos="3870"/>
          <w:tab w:val="left" w:pos="4230"/>
        </w:tabs>
        <w:spacing w:before="120" w:after="50"/>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签字: __________________</w:t>
      </w:r>
    </w:p>
    <w:p>
      <w:pPr>
        <w:tabs>
          <w:tab w:val="left" w:pos="3870"/>
          <w:tab w:val="left" w:pos="4230"/>
        </w:tabs>
        <w:spacing w:before="120" w:after="50"/>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姓名: __________________</w:t>
      </w:r>
    </w:p>
    <w:p>
      <w:pPr>
        <w:tabs>
          <w:tab w:val="left" w:pos="3870"/>
          <w:tab w:val="left" w:pos="4230"/>
        </w:tabs>
        <w:spacing w:before="120" w:after="50"/>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职务: __________________</w:t>
      </w:r>
    </w:p>
    <w:p>
      <w:pPr>
        <w:tabs>
          <w:tab w:val="left" w:pos="3870"/>
          <w:tab w:val="left" w:pos="4230"/>
        </w:tabs>
        <w:spacing w:before="120" w:after="50"/>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日期: __________________</w:t>
      </w:r>
    </w:p>
    <w:p>
      <w:pPr>
        <w:pStyle w:val="2"/>
        <w:keepNext w:val="0"/>
        <w:widowControl w:val="0"/>
        <w:numPr>
          <w:ilvl w:val="0"/>
          <w:numId w:val="0"/>
        </w:numPr>
        <w:spacing w:before="120" w:beforeLines="50" w:afterLines="50"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bookmarkStart w:id="2378" w:name="_Toc447632817"/>
      <w:bookmarkStart w:id="2379" w:name="_Toc490217025"/>
      <w:bookmarkStart w:id="2380" w:name="_Toc3875"/>
      <w:bookmarkStart w:id="2381" w:name="_Toc6239"/>
      <w:bookmarkStart w:id="2382" w:name="_Toc24037"/>
      <w:r>
        <w:rPr>
          <w:rFonts w:hint="eastAsia" w:asciiTheme="minorEastAsia" w:hAnsiTheme="minorEastAsia" w:eastAsiaTheme="minorEastAsia" w:cstheme="minorEastAsia"/>
        </w:rPr>
        <w:t xml:space="preserve">附件4 </w:t>
      </w:r>
      <w:bookmarkEnd w:id="2378"/>
      <w:r>
        <w:rPr>
          <w:rFonts w:hint="eastAsia" w:asciiTheme="minorEastAsia" w:hAnsiTheme="minorEastAsia" w:eastAsiaTheme="minorEastAsia" w:cstheme="minorEastAsia"/>
        </w:rPr>
        <w:t>运营维护独立保函/</w:t>
      </w:r>
      <w:bookmarkEnd w:id="2379"/>
      <w:r>
        <w:rPr>
          <w:rFonts w:hint="eastAsia" w:asciiTheme="minorEastAsia" w:hAnsiTheme="minorEastAsia" w:eastAsiaTheme="minorEastAsia" w:cstheme="minorEastAsia"/>
        </w:rPr>
        <w:t>移交维修独立保函</w:t>
      </w:r>
      <w:bookmarkEnd w:id="2380"/>
      <w:bookmarkEnd w:id="2381"/>
      <w:bookmarkEnd w:id="2382"/>
    </w:p>
    <w:p>
      <w:pPr>
        <w:spacing w:before="120" w:after="50"/>
        <w:rPr>
          <w:rFonts w:hint="eastAsia" w:asciiTheme="minorEastAsia" w:hAnsiTheme="minorEastAsia" w:eastAsiaTheme="minorEastAsia" w:cstheme="minorEastAsia"/>
        </w:rPr>
      </w:pPr>
    </w:p>
    <w:p>
      <w:pPr>
        <w:tabs>
          <w:tab w:val="left" w:pos="540"/>
        </w:tabs>
        <w:spacing w:before="120" w:after="50"/>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致：通信地址</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徐州市</w:t>
      </w:r>
      <w:r>
        <w:rPr>
          <w:rFonts w:hint="eastAsia" w:asciiTheme="minorEastAsia" w:hAnsiTheme="minorEastAsia" w:eastAsiaTheme="minorEastAsia" w:cstheme="minorEastAsia"/>
          <w:lang w:val="en-US" w:eastAsia="zh-CN"/>
        </w:rPr>
        <w:t>城市管理</w:t>
      </w:r>
      <w:r>
        <w:rPr>
          <w:rFonts w:hint="eastAsia" w:asciiTheme="minorEastAsia" w:hAnsiTheme="minorEastAsia" w:eastAsiaTheme="minorEastAsia" w:cstheme="minorEastAsia"/>
        </w:rPr>
        <w:t>局（下称“</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邮政编码：</w:t>
      </w:r>
    </w:p>
    <w:p>
      <w:pPr>
        <w:pStyle w:val="81"/>
        <w:spacing w:before="120" w:after="50"/>
        <w:rPr>
          <w:rFonts w:hint="eastAsia" w:asciiTheme="minorEastAsia" w:hAnsiTheme="minorEastAsia" w:eastAsiaTheme="minorEastAsia" w:cstheme="minorEastAsia"/>
          <w:bCs/>
        </w:rPr>
      </w:pPr>
      <w:r>
        <w:rPr>
          <w:rFonts w:hint="eastAsia" w:asciiTheme="minorEastAsia" w:hAnsiTheme="minorEastAsia" w:eastAsiaTheme="minorEastAsia" w:cstheme="minorEastAsia"/>
        </w:rPr>
        <w:t>鉴于 [</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]（项目公司名称，下称“项目公司”）已承诺根据于</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日签订的</w:t>
      </w:r>
      <w:r>
        <w:rPr>
          <w:rFonts w:hint="eastAsia" w:asciiTheme="minorEastAsia" w:hAnsiTheme="minorEastAsia" w:eastAsiaTheme="minorEastAsia" w:cstheme="minorEastAsia"/>
          <w:bCs/>
        </w:rPr>
        <w:t>PPP项目合同，投资、运营和维护</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bCs/>
        </w:rPr>
        <w:t>（项目名称）；</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鉴于</w:t>
      </w:r>
      <w:r>
        <w:rPr>
          <w:rFonts w:hint="eastAsia" w:asciiTheme="minorEastAsia" w:hAnsiTheme="minorEastAsia" w:eastAsiaTheme="minorEastAsia" w:cstheme="minorEastAsia"/>
          <w:lang w:eastAsia="zh-CN"/>
        </w:rPr>
        <w:t>项目公司</w:t>
      </w:r>
      <w:r>
        <w:rPr>
          <w:rFonts w:hint="eastAsia" w:asciiTheme="minorEastAsia" w:hAnsiTheme="minorEastAsia" w:eastAsiaTheme="minorEastAsia" w:cstheme="minorEastAsia"/>
        </w:rPr>
        <w:t>在</w:t>
      </w:r>
      <w:r>
        <w:rPr>
          <w:rFonts w:hint="eastAsia" w:asciiTheme="minorEastAsia" w:hAnsiTheme="minorEastAsia" w:eastAsiaTheme="minorEastAsia" w:cstheme="minorEastAsia"/>
          <w:lang w:eastAsia="zh-CN"/>
        </w:rPr>
        <w:t>PPP项目合同</w:t>
      </w:r>
      <w:r>
        <w:rPr>
          <w:rFonts w:hint="eastAsia" w:asciiTheme="minorEastAsia" w:hAnsiTheme="minorEastAsia" w:eastAsiaTheme="minorEastAsia" w:cstheme="minorEastAsia"/>
        </w:rPr>
        <w:t>中同意，项目公司应向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提交由经</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认可的银行/金融机构出具的首次要求即付的保函，以该保函中所述的金额保证项目公司履行</w:t>
      </w:r>
      <w:r>
        <w:rPr>
          <w:rFonts w:hint="eastAsia" w:asciiTheme="minorEastAsia" w:hAnsiTheme="minorEastAsia" w:eastAsiaTheme="minorEastAsia" w:cstheme="minorEastAsia"/>
          <w:lang w:eastAsia="zh-CN"/>
        </w:rPr>
        <w:t>其</w:t>
      </w:r>
      <w:r>
        <w:rPr>
          <w:rFonts w:hint="eastAsia" w:asciiTheme="minorEastAsia" w:hAnsiTheme="minorEastAsia" w:eastAsiaTheme="minorEastAsia" w:cstheme="minorEastAsia"/>
        </w:rPr>
        <w:t>在PPP项目合同项下有关运营和维护项目设施以</w:t>
      </w:r>
      <w:r>
        <w:rPr>
          <w:rFonts w:hint="eastAsia" w:asciiTheme="minorEastAsia" w:hAnsiTheme="minorEastAsia" w:eastAsiaTheme="minorEastAsia" w:cstheme="minorEastAsia"/>
          <w:spacing w:val="-28"/>
        </w:rPr>
        <w:t>及</w:t>
      </w:r>
      <w:r>
        <w:rPr>
          <w:rFonts w:hint="eastAsia" w:asciiTheme="minorEastAsia" w:hAnsiTheme="minorEastAsia" w:eastAsiaTheme="minorEastAsia" w:cstheme="minorEastAsia"/>
        </w:rPr>
        <w:t>遵守项目公司在PPP项目合同中给予的保证的义务；</w:t>
      </w:r>
    </w:p>
    <w:p>
      <w:pPr>
        <w:spacing w:before="120" w:after="50"/>
        <w:ind w:firstLine="525"/>
        <w:rPr>
          <w:rFonts w:hint="eastAsia" w:asciiTheme="minorEastAsia" w:hAnsiTheme="minorEastAsia" w:eastAsiaTheme="minorEastAsia" w:cstheme="minorEastAsia"/>
        </w:rPr>
      </w:pPr>
      <w:r>
        <w:rPr>
          <w:rFonts w:hint="eastAsia" w:asciiTheme="minorEastAsia" w:hAnsiTheme="minorEastAsia" w:eastAsiaTheme="minorEastAsia" w:cstheme="minorEastAsia"/>
        </w:rPr>
        <w:t>鉴于我们已经同意向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出具上述保函；</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1、我们特此确认，我们作为担保人并代表项目公司向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负责，从正式运营日起至合作期期满终止前一年的期限内</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运营维护独立保函的担保总额为</w:t>
      </w:r>
      <w:r>
        <w:rPr>
          <w:rFonts w:hint="eastAsia" w:asciiTheme="minorEastAsia" w:hAnsiTheme="minorEastAsia" w:eastAsiaTheme="minorEastAsia" w:cstheme="minorEastAsia"/>
          <w:lang w:val="en-US" w:eastAsia="zh-CN"/>
        </w:rPr>
        <w:t>壹</w:t>
      </w:r>
      <w:r>
        <w:rPr>
          <w:rFonts w:hint="eastAsia" w:asciiTheme="minorEastAsia" w:hAnsiTheme="minorEastAsia" w:eastAsiaTheme="minorEastAsia" w:cstheme="minorEastAsia"/>
        </w:rPr>
        <w:t>仟万元（¥</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lang w:eastAsia="zh-CN"/>
        </w:rPr>
        <w:t>0</w:t>
      </w:r>
      <w:r>
        <w:rPr>
          <w:rFonts w:hint="eastAsia" w:asciiTheme="minorEastAsia" w:hAnsiTheme="minorEastAsia" w:eastAsiaTheme="minorEastAsia" w:cstheme="minorEastAsia"/>
        </w:rPr>
        <w:t>,000,000.00），自合作期期满终止的前一年起至缺陷责任期结束为止的期限内，移交维修独立保函的担保总额为</w:t>
      </w:r>
      <w:r>
        <w:rPr>
          <w:rFonts w:hint="eastAsia" w:asciiTheme="minorEastAsia" w:hAnsiTheme="minorEastAsia" w:eastAsiaTheme="minorEastAsia" w:cstheme="minorEastAsia"/>
          <w:lang w:val="en-US" w:eastAsia="zh-CN"/>
        </w:rPr>
        <w:t>贰仟佰</w:t>
      </w:r>
      <w:r>
        <w:rPr>
          <w:rFonts w:hint="eastAsia" w:asciiTheme="minorEastAsia" w:hAnsiTheme="minorEastAsia" w:eastAsiaTheme="minorEastAsia" w:cstheme="minorEastAsia"/>
        </w:rPr>
        <w:t>万元（¥</w:t>
      </w:r>
      <w:r>
        <w:rPr>
          <w:rFonts w:hint="eastAsia" w:asciiTheme="minorEastAsia" w:hAnsiTheme="minorEastAsia" w:eastAsiaTheme="minorEastAsia" w:cstheme="minorEastAsia"/>
          <w:lang w:val="en-US" w:eastAsia="zh-CN"/>
        </w:rPr>
        <w:t>20</w:t>
      </w:r>
      <w:r>
        <w:rPr>
          <w:rFonts w:hint="eastAsia" w:asciiTheme="minorEastAsia" w:hAnsiTheme="minorEastAsia" w:eastAsiaTheme="minorEastAsia" w:cstheme="minorEastAsia"/>
        </w:rPr>
        <w:t>,000,000.00）。我们承诺，除本保函另有规定外，在收到</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第一次书面要求支付后的二十(20)个营业日内，我们将不加挑剔和无可争辩地向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支付上述额度内的任何一笔或数笔款项，并且</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无须出具证明或陈述要求支付款项的原因或理由，但是</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在每份书面要求中应提及如下情况，即其所要求支付的数额是由于项目公司在</w:t>
      </w:r>
      <w:r>
        <w:rPr>
          <w:rFonts w:hint="eastAsia" w:asciiTheme="minorEastAsia" w:hAnsiTheme="minorEastAsia" w:eastAsiaTheme="minorEastAsia" w:cstheme="minorEastAsia"/>
          <w:lang w:eastAsia="zh-CN"/>
        </w:rPr>
        <w:t>其</w:t>
      </w:r>
      <w:r>
        <w:rPr>
          <w:rFonts w:hint="eastAsia" w:asciiTheme="minorEastAsia" w:hAnsiTheme="minorEastAsia" w:eastAsiaTheme="minorEastAsia" w:cstheme="minorEastAsia"/>
        </w:rPr>
        <w:t>履行PPP项目合同项下的义务方面发生违约或违反对有关项目设施的运营和维护服务的保证而导致的到期应付给</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的款项。</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2、除本保函另有规定外，我们在此放弃要求</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在向我方提出付款要求之前首先向</w:t>
      </w:r>
      <w:r>
        <w:rPr>
          <w:rFonts w:hint="eastAsia" w:asciiTheme="minorEastAsia" w:hAnsiTheme="minorEastAsia" w:eastAsiaTheme="minorEastAsia" w:cstheme="minorEastAsia"/>
          <w:lang w:eastAsia="zh-CN"/>
        </w:rPr>
        <w:t>项目公司</w:t>
      </w:r>
      <w:r>
        <w:rPr>
          <w:rFonts w:hint="eastAsia" w:asciiTheme="minorEastAsia" w:hAnsiTheme="minorEastAsia" w:eastAsiaTheme="minorEastAsia" w:cstheme="minorEastAsia"/>
        </w:rPr>
        <w:t>提出付款或对项目公司提起诉讼或仲裁的要求。</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3、我们还同意， PPP项目合同或任何其它文件的条款的任何更改、补充或任何其它修改，绝不免除我方在本担保项下应承担的责任，我们在此放弃对此类更改、补充或修改给予通知的要求。</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6、本保函有效期自</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日起，至本保函生效之日后十二（12）个月结束之日，即</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日止。</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7、</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在本保函项下的书面要求必须在本保函有效期限内送达我们，否则我们在该保函项下的责任自动解除。</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8、在到期日，保函在用于支付到期日前按本保函要求支付的所有款项后，由</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予以解除。</w:t>
      </w:r>
    </w:p>
    <w:p>
      <w:pPr>
        <w:pStyle w:val="81"/>
        <w:spacing w:before="120" w:after="50"/>
        <w:rPr>
          <w:rFonts w:hint="eastAsia" w:asciiTheme="minorEastAsia" w:hAnsiTheme="minorEastAsia" w:eastAsiaTheme="minorEastAsia" w:cstheme="minorEastAsia"/>
          <w:lang w:val="de-DE"/>
        </w:rPr>
      </w:pPr>
      <w:r>
        <w:rPr>
          <w:rFonts w:hint="eastAsia" w:asciiTheme="minorEastAsia" w:hAnsiTheme="minorEastAsia" w:eastAsiaTheme="minorEastAsia" w:cstheme="minorEastAsia"/>
        </w:rPr>
        <w:t>9、如果在本保函到期的三十（30）日前，我们未能向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出具一份用以替换本保函的保函，</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有权兑取本保函届时所剩余的全部金额。</w:t>
      </w:r>
    </w:p>
    <w:p>
      <w:pPr>
        <w:pStyle w:val="81"/>
        <w:spacing w:before="120" w:after="50"/>
        <w:rPr>
          <w:rFonts w:hint="eastAsia" w:asciiTheme="minorEastAsia" w:hAnsiTheme="minorEastAsia" w:eastAsiaTheme="minorEastAsia" w:cstheme="minorEastAsia"/>
          <w:lang w:val="de-DE"/>
        </w:rPr>
      </w:pPr>
      <w:r>
        <w:rPr>
          <w:rFonts w:hint="eastAsia" w:asciiTheme="minorEastAsia" w:hAnsiTheme="minorEastAsia" w:eastAsiaTheme="minorEastAsia" w:cstheme="minorEastAsia"/>
          <w:lang w:val="de-DE"/>
        </w:rPr>
        <w:t>10、本保函不得转让。我们对除</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lang w:val="de-DE"/>
        </w:rPr>
        <w:t>或其继承实体以外的任何组织或个人不承担担保责任。</w:t>
      </w:r>
    </w:p>
    <w:p>
      <w:pPr>
        <w:pStyle w:val="81"/>
        <w:spacing w:before="120" w:after="50"/>
        <w:rPr>
          <w:rFonts w:hint="eastAsia" w:asciiTheme="minorEastAsia" w:hAnsiTheme="minorEastAsia" w:eastAsiaTheme="minorEastAsia" w:cstheme="minorEastAsia"/>
          <w:lang w:val="de-DE"/>
        </w:rPr>
      </w:pPr>
      <w:r>
        <w:rPr>
          <w:rFonts w:hint="eastAsia" w:asciiTheme="minorEastAsia" w:hAnsiTheme="minorEastAsia" w:eastAsiaTheme="minorEastAsia" w:cstheme="minorEastAsia"/>
        </w:rPr>
        <w:t>11、本保函应适用中华人民共和国法律并根据中华人民共和国法律解释。</w:t>
      </w:r>
    </w:p>
    <w:p>
      <w:pPr>
        <w:pStyle w:val="81"/>
        <w:spacing w:before="120" w:after="50"/>
        <w:rPr>
          <w:rFonts w:hint="eastAsia" w:asciiTheme="minorEastAsia" w:hAnsiTheme="minorEastAsia" w:eastAsiaTheme="minorEastAsia" w:cstheme="minorEastAsia"/>
          <w:lang w:val="de-DE"/>
        </w:rPr>
      </w:pPr>
      <w:r>
        <w:rPr>
          <w:rFonts w:hint="eastAsia" w:asciiTheme="minorEastAsia" w:hAnsiTheme="minorEastAsia" w:eastAsiaTheme="minorEastAsia" w:cstheme="minorEastAsia"/>
          <w:lang w:val="de-DE"/>
        </w:rPr>
        <w:t>12、本</w:t>
      </w:r>
      <w:r>
        <w:rPr>
          <w:rFonts w:hint="eastAsia" w:asciiTheme="minorEastAsia" w:hAnsiTheme="minorEastAsia" w:eastAsiaTheme="minorEastAsia" w:cstheme="minorEastAsia"/>
        </w:rPr>
        <w:t>保函超过有效期或我们在本保函项下的担保义务履行完毕，保函即行失效。</w:t>
      </w:r>
    </w:p>
    <w:p>
      <w:pPr>
        <w:pStyle w:val="81"/>
        <w:spacing w:before="120" w:after="50"/>
        <w:rPr>
          <w:rFonts w:hint="eastAsia" w:asciiTheme="minorEastAsia" w:hAnsiTheme="minorEastAsia" w:eastAsiaTheme="minorEastAsia" w:cstheme="minorEastAsia"/>
        </w:rPr>
      </w:pPr>
      <w:r>
        <w:rPr>
          <w:rFonts w:hint="eastAsia" w:asciiTheme="minorEastAsia" w:hAnsiTheme="minorEastAsia" w:eastAsiaTheme="minorEastAsia" w:cstheme="minorEastAsia"/>
        </w:rPr>
        <w:t>13、本保函中使用的所有术语具有据PPP项目合同中规定的含义，我们确认已收到PPP项目合同的一份复印件。</w:t>
      </w:r>
    </w:p>
    <w:p>
      <w:pPr>
        <w:pStyle w:val="81"/>
        <w:spacing w:before="120" w:after="50"/>
        <w:rPr>
          <w:rFonts w:hint="eastAsia" w:asciiTheme="minorEastAsia" w:hAnsiTheme="minorEastAsia" w:eastAsiaTheme="minorEastAsia" w:cstheme="minorEastAsia"/>
        </w:rPr>
      </w:pPr>
    </w:p>
    <w:p>
      <w:pPr>
        <w:tabs>
          <w:tab w:val="left" w:pos="3870"/>
          <w:tab w:val="left" w:pos="4230"/>
        </w:tabs>
        <w:spacing w:before="120" w:after="50"/>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银行/金融机构盖章:_____</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____________</w:t>
      </w:r>
    </w:p>
    <w:p>
      <w:pPr>
        <w:tabs>
          <w:tab w:val="left" w:pos="3870"/>
          <w:tab w:val="left" w:pos="4230"/>
        </w:tabs>
        <w:spacing w:before="120" w:after="50"/>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银行/金融机构名称:____</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_____________</w:t>
      </w:r>
    </w:p>
    <w:p>
      <w:pPr>
        <w:tabs>
          <w:tab w:val="left" w:pos="3870"/>
          <w:tab w:val="left" w:pos="4230"/>
        </w:tabs>
        <w:spacing w:before="120" w:after="50"/>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银行/金融机构地址:_</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_______________</w:t>
      </w:r>
    </w:p>
    <w:p>
      <w:pPr>
        <w:tabs>
          <w:tab w:val="left" w:pos="3870"/>
          <w:tab w:val="left" w:pos="4230"/>
        </w:tabs>
        <w:spacing w:before="120" w:after="50"/>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签字: __________________</w:t>
      </w:r>
    </w:p>
    <w:p>
      <w:pPr>
        <w:tabs>
          <w:tab w:val="left" w:pos="3870"/>
          <w:tab w:val="left" w:pos="4230"/>
        </w:tabs>
        <w:spacing w:before="120" w:after="50"/>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姓名: __________________</w:t>
      </w:r>
    </w:p>
    <w:p>
      <w:pPr>
        <w:tabs>
          <w:tab w:val="left" w:pos="3870"/>
          <w:tab w:val="left" w:pos="4230"/>
        </w:tabs>
        <w:spacing w:before="120" w:after="50"/>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职务: __________________</w:t>
      </w:r>
    </w:p>
    <w:p>
      <w:pPr>
        <w:spacing w:before="120" w:after="50"/>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日期: __________________</w:t>
      </w:r>
    </w:p>
    <w:p>
      <w:pPr>
        <w:spacing w:before="120" w:after="120" w:afterLines="50"/>
        <w:rPr>
          <w:rFonts w:hint="eastAsia" w:asciiTheme="minorEastAsia" w:hAnsiTheme="minorEastAsia" w:eastAsiaTheme="minorEastAsia" w:cstheme="minorEastAsia"/>
        </w:rPr>
      </w:pPr>
    </w:p>
    <w:p>
      <w:pPr>
        <w:pStyle w:val="2"/>
        <w:keepNext w:val="0"/>
        <w:widowControl w:val="0"/>
        <w:numPr>
          <w:ilvl w:val="0"/>
          <w:numId w:val="0"/>
        </w:numPr>
        <w:spacing w:before="120" w:beforeLines="50" w:afterLines="50"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bookmarkStart w:id="2383" w:name="_Toc23987"/>
      <w:bookmarkStart w:id="2384" w:name="_Toc9941"/>
      <w:bookmarkStart w:id="2385" w:name="_Toc29479"/>
      <w:r>
        <w:rPr>
          <w:rFonts w:hint="eastAsia" w:asciiTheme="minorEastAsia" w:hAnsiTheme="minorEastAsia" w:eastAsiaTheme="minorEastAsia" w:cstheme="minorEastAsia"/>
        </w:rPr>
        <w:t>附件5 保险</w:t>
      </w:r>
      <w:bookmarkEnd w:id="2383"/>
      <w:bookmarkEnd w:id="2384"/>
      <w:bookmarkEnd w:id="2385"/>
    </w:p>
    <w:p>
      <w:pPr>
        <w:spacing w:before="120" w:after="120" w:afterLines="50"/>
        <w:ind w:firstLine="480" w:firstLineChars="200"/>
        <w:rPr>
          <w:rFonts w:hint="eastAsia" w:asciiTheme="minorEastAsia" w:hAnsiTheme="minorEastAsia" w:eastAsiaTheme="minorEastAsia" w:cstheme="minorEastAsia"/>
        </w:rPr>
      </w:pPr>
    </w:p>
    <w:p>
      <w:pPr>
        <w:pStyle w:val="16"/>
        <w:widowControl w:val="0"/>
        <w:spacing w:before="120" w:afterLines="50"/>
        <w:ind w:firstLine="480" w:firstLineChars="200"/>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lang w:val="en-US"/>
        </w:rPr>
        <w:t>在整个合作期，项目公司应按本行业的国际惯例办理和维持合理的建设和运营维护保险。</w:t>
      </w:r>
    </w:p>
    <w:p>
      <w:pPr>
        <w:pStyle w:val="16"/>
        <w:widowControl w:val="0"/>
        <w:spacing w:before="120" w:afterLines="50"/>
        <w:ind w:firstLine="480" w:firstLineChars="200"/>
        <w:rPr>
          <w:rFonts w:hint="eastAsia" w:asciiTheme="minorEastAsia" w:hAnsiTheme="minorEastAsia" w:eastAsiaTheme="minorEastAsia" w:cstheme="minorEastAsia"/>
          <w:b/>
          <w:sz w:val="21"/>
        </w:rPr>
      </w:pPr>
      <w:r>
        <w:rPr>
          <w:rFonts w:hint="eastAsia" w:asciiTheme="minorEastAsia" w:hAnsiTheme="minorEastAsia" w:eastAsiaTheme="minorEastAsia" w:cstheme="minorEastAsia"/>
        </w:rPr>
        <w:t>项目公司应按本合同</w:t>
      </w:r>
      <w:r>
        <w:rPr>
          <w:rFonts w:hint="eastAsia" w:asciiTheme="minorEastAsia" w:hAnsiTheme="minorEastAsia" w:eastAsiaTheme="minorEastAsia" w:cstheme="minorEastAsia"/>
          <w:lang w:val="en-US"/>
        </w:rPr>
        <w:t>第</w:t>
      </w:r>
      <w:r>
        <w:rPr>
          <w:rFonts w:hint="eastAsia" w:asciiTheme="minorEastAsia" w:hAnsiTheme="minorEastAsia" w:eastAsiaTheme="minorEastAsia" w:cstheme="minorEastAsia"/>
          <w:lang w:val="en-US"/>
        </w:rPr>
        <w:fldChar w:fldCharType="begin"/>
      </w:r>
      <w:r>
        <w:rPr>
          <w:rFonts w:hint="eastAsia" w:asciiTheme="minorEastAsia" w:hAnsiTheme="minorEastAsia" w:eastAsiaTheme="minorEastAsia" w:cstheme="minorEastAsia"/>
          <w:lang w:val="en-US"/>
        </w:rPr>
        <w:instrText xml:space="preserve"> REF _Ref447625644 \r \h  \* MERGEFORMAT </w:instrText>
      </w:r>
      <w:r>
        <w:rPr>
          <w:rFonts w:hint="eastAsia" w:asciiTheme="minorEastAsia" w:hAnsiTheme="minorEastAsia" w:eastAsiaTheme="minorEastAsia" w:cstheme="minorEastAsia"/>
          <w:lang w:val="en-US"/>
        </w:rPr>
        <w:fldChar w:fldCharType="separate"/>
      </w:r>
      <w:r>
        <w:rPr>
          <w:rFonts w:hint="eastAsia" w:asciiTheme="minorEastAsia" w:hAnsiTheme="minorEastAsia" w:eastAsiaTheme="minorEastAsia" w:cstheme="minorEastAsia"/>
          <w:lang w:val="en-US"/>
        </w:rPr>
        <w:t>17.1</w:t>
      </w:r>
      <w:r>
        <w:rPr>
          <w:rFonts w:hint="eastAsia" w:asciiTheme="minorEastAsia" w:hAnsiTheme="minorEastAsia" w:eastAsiaTheme="minorEastAsia" w:cstheme="minorEastAsia"/>
          <w:lang w:val="en-US"/>
        </w:rPr>
        <w:fldChar w:fldCharType="end"/>
      </w:r>
      <w:r>
        <w:rPr>
          <w:rFonts w:hint="eastAsia" w:asciiTheme="minorEastAsia" w:hAnsiTheme="minorEastAsia" w:eastAsiaTheme="minorEastAsia" w:cstheme="minorEastAsia"/>
          <w:lang w:val="en-US"/>
        </w:rPr>
        <w:t>条、第</w:t>
      </w:r>
      <w:r>
        <w:rPr>
          <w:rFonts w:hint="eastAsia" w:asciiTheme="minorEastAsia" w:hAnsiTheme="minorEastAsia" w:eastAsiaTheme="minorEastAsia" w:cstheme="minorEastAsia"/>
          <w:lang w:val="en-US"/>
        </w:rPr>
        <w:fldChar w:fldCharType="begin"/>
      </w:r>
      <w:r>
        <w:rPr>
          <w:rFonts w:hint="eastAsia" w:asciiTheme="minorEastAsia" w:hAnsiTheme="minorEastAsia" w:eastAsiaTheme="minorEastAsia" w:cstheme="minorEastAsia"/>
          <w:lang w:val="en-US"/>
        </w:rPr>
        <w:instrText xml:space="preserve"> REF _Ref447625649 \r \h  \* MERGEFORMAT </w:instrText>
      </w:r>
      <w:r>
        <w:rPr>
          <w:rFonts w:hint="eastAsia" w:asciiTheme="minorEastAsia" w:hAnsiTheme="minorEastAsia" w:eastAsiaTheme="minorEastAsia" w:cstheme="minorEastAsia"/>
          <w:lang w:val="en-US"/>
        </w:rPr>
        <w:fldChar w:fldCharType="separate"/>
      </w:r>
      <w:r>
        <w:rPr>
          <w:rFonts w:hint="eastAsia" w:asciiTheme="minorEastAsia" w:hAnsiTheme="minorEastAsia" w:eastAsiaTheme="minorEastAsia" w:cstheme="minorEastAsia"/>
          <w:lang w:val="en-US"/>
        </w:rPr>
        <w:t>17.2</w:t>
      </w:r>
      <w:r>
        <w:rPr>
          <w:rFonts w:hint="eastAsia" w:asciiTheme="minorEastAsia" w:hAnsiTheme="minorEastAsia" w:eastAsiaTheme="minorEastAsia" w:cstheme="minorEastAsia"/>
          <w:lang w:val="en-US"/>
        </w:rPr>
        <w:fldChar w:fldCharType="end"/>
      </w:r>
      <w:r>
        <w:rPr>
          <w:rFonts w:hint="eastAsia" w:asciiTheme="minorEastAsia" w:hAnsiTheme="minorEastAsia" w:eastAsiaTheme="minorEastAsia" w:cstheme="minorEastAsia"/>
          <w:lang w:val="en-US"/>
        </w:rPr>
        <w:t>条</w:t>
      </w:r>
      <w:r>
        <w:rPr>
          <w:rFonts w:hint="eastAsia" w:asciiTheme="minorEastAsia" w:hAnsiTheme="minorEastAsia" w:eastAsiaTheme="minorEastAsia" w:cstheme="minorEastAsia"/>
        </w:rPr>
        <w:t xml:space="preserve">和本附件办理保险。项目公司的保险应符合《中华人民共和国保险法》和其他适用法律的要求。 </w:t>
      </w:r>
    </w:p>
    <w:p>
      <w:pPr>
        <w:pStyle w:val="17"/>
        <w:tabs>
          <w:tab w:val="left" w:pos="540"/>
        </w:tabs>
        <w:spacing w:afterLines="50"/>
        <w:ind w:left="579" w:hanging="538" w:hangingChars="255"/>
        <w:rPr>
          <w:rFonts w:hint="eastAsia" w:asciiTheme="minorEastAsia" w:hAnsiTheme="minorEastAsia" w:eastAsiaTheme="minorEastAsia" w:cstheme="minorEastAsia"/>
          <w:b/>
        </w:rPr>
      </w:pPr>
      <w:r>
        <w:rPr>
          <w:rFonts w:hint="eastAsia" w:asciiTheme="minorEastAsia" w:hAnsiTheme="minorEastAsia" w:eastAsiaTheme="minorEastAsia" w:cstheme="minorEastAsia"/>
          <w:b/>
          <w:sz w:val="21"/>
          <w:lang w:val="en-GB"/>
        </w:rPr>
        <w:t>1、</w:t>
      </w:r>
      <w:r>
        <w:rPr>
          <w:rFonts w:hint="eastAsia" w:asciiTheme="minorEastAsia" w:hAnsiTheme="minorEastAsia" w:eastAsiaTheme="minorEastAsia" w:cstheme="minorEastAsia"/>
          <w:b/>
          <w:sz w:val="21"/>
          <w:lang w:val="en-GB"/>
        </w:rPr>
        <w:tab/>
      </w:r>
      <w:r>
        <w:rPr>
          <w:rFonts w:hint="eastAsia" w:asciiTheme="minorEastAsia" w:hAnsiTheme="minorEastAsia" w:eastAsiaTheme="minorEastAsia" w:cstheme="minorEastAsia"/>
          <w:b/>
        </w:rPr>
        <w:t>建设期间的保险</w:t>
      </w:r>
    </w:p>
    <w:p>
      <w:pPr>
        <w:pStyle w:val="17"/>
        <w:spacing w:afterLines="50"/>
        <w:ind w:left="630"/>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应在整个建设期内自费投保并保持下列险种的保险。但是，如果从保险公司处无法获得，或无法以合理的商业条件获得该等保险，则项目公司没有义务获得该等保险，除上述规定外，这种情况不解除或限制项目公司在本合同项下的义务。</w:t>
      </w:r>
    </w:p>
    <w:p>
      <w:pPr>
        <w:pStyle w:val="17"/>
        <w:numPr>
          <w:ilvl w:val="1"/>
          <w:numId w:val="28"/>
        </w:numPr>
        <w:spacing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货物运输险</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责任范围：对于所有材料、设备、机器、零备件和其他物品（施工设备除外）从投保货物离开承包商、分包商或供货商在世界上任一地点的场所之时开始，至到达并卸至项目场地的运输途中的所有一般及惯常的可保风险。</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保险金额：对任一次运输或任一地点，相当于投保财产购买价的110%，但不低于投保财产的全部重置价值，包括运费和保险费。</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保险形式：本保险应以统保的合同为基础进行，并将不签发单独的保险单。</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被保险人：项目公司、建设承包商、分包商、供货商和项目公司可能选择的其他方（条件是该其他方拥有或可获得在此保险项下的可保利益）。</w:t>
      </w:r>
    </w:p>
    <w:p>
      <w:pPr>
        <w:pStyle w:val="17"/>
        <w:numPr>
          <w:ilvl w:val="1"/>
          <w:numId w:val="28"/>
        </w:numPr>
        <w:spacing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建筑安装工程一切险</w:t>
      </w:r>
    </w:p>
    <w:p>
      <w:pPr>
        <w:pStyle w:val="17"/>
        <w:spacing w:afterLines="50"/>
        <w:ind w:left="709" w:hanging="15"/>
        <w:rPr>
          <w:rFonts w:hint="eastAsia" w:asciiTheme="minorEastAsia" w:hAnsiTheme="minorEastAsia" w:eastAsiaTheme="minorEastAsia" w:cstheme="minorEastAsia"/>
        </w:rPr>
      </w:pPr>
      <w:r>
        <w:rPr>
          <w:rFonts w:hint="eastAsia" w:asciiTheme="minorEastAsia" w:hAnsiTheme="minorEastAsia" w:eastAsiaTheme="minorEastAsia" w:cstheme="minorEastAsia"/>
        </w:rPr>
        <w:t>责任范围：在项目建设、安装、运行期间及其后的十二（12）个月期间，就工程、临时工程、材料及其他将包括在项目设施内的物品的灭失或损坏的所有一般及惯常的可保风险，（包括但不限于火灾、雷电、爆炸、暴雨、风暴、台风、水害、水灾、旱灾、倒塌、滑坡、地震、其他事故损失、故意破坏、设计缺陷、工艺缺陷及材料缺陷）。</w:t>
      </w:r>
    </w:p>
    <w:p>
      <w:pPr>
        <w:pStyle w:val="17"/>
        <w:spacing w:afterLines="50"/>
        <w:ind w:left="709" w:hanging="15"/>
        <w:rPr>
          <w:rFonts w:hint="eastAsia" w:asciiTheme="minorEastAsia" w:hAnsiTheme="minorEastAsia" w:eastAsiaTheme="minorEastAsia" w:cstheme="minorEastAsia"/>
        </w:rPr>
      </w:pPr>
      <w:r>
        <w:rPr>
          <w:rFonts w:hint="eastAsia" w:asciiTheme="minorEastAsia" w:hAnsiTheme="minorEastAsia" w:eastAsiaTheme="minorEastAsia" w:cstheme="minorEastAsia"/>
        </w:rPr>
        <w:t>保险金额：工程重置价全额（但不少于建设合同价值）。</w:t>
      </w:r>
    </w:p>
    <w:p>
      <w:pPr>
        <w:pStyle w:val="17"/>
        <w:spacing w:afterLines="50"/>
        <w:ind w:left="709" w:hanging="15"/>
        <w:rPr>
          <w:rFonts w:hint="eastAsia" w:asciiTheme="minorEastAsia" w:hAnsiTheme="minorEastAsia" w:eastAsiaTheme="minorEastAsia" w:cstheme="minorEastAsia"/>
        </w:rPr>
      </w:pPr>
      <w:r>
        <w:rPr>
          <w:rFonts w:hint="eastAsia" w:asciiTheme="minorEastAsia" w:hAnsiTheme="minorEastAsia" w:eastAsiaTheme="minorEastAsia" w:cstheme="minorEastAsia"/>
        </w:rPr>
        <w:t>保险期间：从建设开始之日至最终竣工日及其后的十二（12）个月。</w:t>
      </w:r>
    </w:p>
    <w:p>
      <w:pPr>
        <w:pStyle w:val="17"/>
        <w:spacing w:afterLines="50"/>
        <w:ind w:left="709" w:hanging="15"/>
        <w:rPr>
          <w:rFonts w:hint="eastAsia" w:asciiTheme="minorEastAsia" w:hAnsiTheme="minorEastAsia" w:eastAsiaTheme="minorEastAsia" w:cstheme="minorEastAsia"/>
        </w:rPr>
      </w:pPr>
      <w:r>
        <w:rPr>
          <w:rFonts w:hint="eastAsia" w:asciiTheme="minorEastAsia" w:hAnsiTheme="minorEastAsia" w:eastAsiaTheme="minorEastAsia" w:cstheme="minorEastAsia"/>
        </w:rPr>
        <w:t>被保险人：项目公司、建设承包商、分包商、供应商、顾问（仅限于场地风险）、</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及</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或项目公司选定的其他方（条件是该其它方拥有或可获得此保险项下的可保利益）。</w:t>
      </w:r>
    </w:p>
    <w:p>
      <w:pPr>
        <w:pStyle w:val="17"/>
        <w:numPr>
          <w:ilvl w:val="1"/>
          <w:numId w:val="28"/>
        </w:numPr>
        <w:spacing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第三者责任险</w:t>
      </w:r>
    </w:p>
    <w:p>
      <w:pPr>
        <w:pStyle w:val="17"/>
        <w:spacing w:afterLines="50"/>
        <w:ind w:left="709" w:hanging="15"/>
        <w:rPr>
          <w:rFonts w:hint="eastAsia" w:asciiTheme="minorEastAsia" w:hAnsiTheme="minorEastAsia" w:eastAsiaTheme="minorEastAsia" w:cstheme="minorEastAsia"/>
        </w:rPr>
      </w:pPr>
      <w:r>
        <w:rPr>
          <w:rFonts w:hint="eastAsia" w:asciiTheme="minorEastAsia" w:hAnsiTheme="minorEastAsia" w:eastAsiaTheme="minorEastAsia" w:cstheme="minorEastAsia"/>
        </w:rPr>
        <w:t>责任范围：对在中国境内发生的与建设工程有关的第三者人身伤害或财产损失所应承担的法律责任的保险（但不包括第三者汽车保险）。</w:t>
      </w:r>
    </w:p>
    <w:p>
      <w:pPr>
        <w:pStyle w:val="17"/>
        <w:spacing w:afterLines="50"/>
        <w:ind w:left="709" w:hanging="15"/>
        <w:rPr>
          <w:rFonts w:hint="eastAsia" w:asciiTheme="minorEastAsia" w:hAnsiTheme="minorEastAsia" w:eastAsiaTheme="minorEastAsia" w:cstheme="minorEastAsia"/>
        </w:rPr>
      </w:pPr>
      <w:r>
        <w:rPr>
          <w:rFonts w:hint="eastAsia" w:asciiTheme="minorEastAsia" w:hAnsiTheme="minorEastAsia" w:eastAsiaTheme="minorEastAsia" w:cstheme="minorEastAsia"/>
        </w:rPr>
        <w:t>保险金额：每次事故责任限额</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万元，保险事故次数不限；</w:t>
      </w:r>
    </w:p>
    <w:p>
      <w:pPr>
        <w:pStyle w:val="17"/>
        <w:spacing w:afterLines="50"/>
        <w:ind w:left="709" w:hanging="15"/>
        <w:rPr>
          <w:rFonts w:hint="eastAsia" w:asciiTheme="minorEastAsia" w:hAnsiTheme="minorEastAsia" w:eastAsiaTheme="minorEastAsia" w:cstheme="minorEastAsia"/>
        </w:rPr>
      </w:pPr>
      <w:r>
        <w:rPr>
          <w:rFonts w:hint="eastAsia" w:asciiTheme="minorEastAsia" w:hAnsiTheme="minorEastAsia" w:eastAsiaTheme="minorEastAsia" w:cstheme="minorEastAsia"/>
        </w:rPr>
        <w:t>保险期间：从建设开始之日至最终竣工日以及之后的十二（12）个月。</w:t>
      </w:r>
    </w:p>
    <w:p>
      <w:pPr>
        <w:pStyle w:val="17"/>
        <w:spacing w:afterLines="50"/>
        <w:ind w:left="709" w:hanging="15"/>
        <w:rPr>
          <w:rFonts w:hint="eastAsia" w:asciiTheme="minorEastAsia" w:hAnsiTheme="minorEastAsia" w:eastAsiaTheme="minorEastAsia" w:cstheme="minorEastAsia"/>
        </w:rPr>
      </w:pPr>
      <w:r>
        <w:rPr>
          <w:rFonts w:hint="eastAsia" w:asciiTheme="minorEastAsia" w:hAnsiTheme="minorEastAsia" w:eastAsiaTheme="minorEastAsia" w:cstheme="minorEastAsia"/>
        </w:rPr>
        <w:t>被保险人：项目公司、建设承包商、分包商、供货商和顾问（仅限于场地风险）、</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及</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或项目公司选定的其他方（条件是该其它方拥有或可获得此保险项下的可保利益）。</w:t>
      </w:r>
    </w:p>
    <w:p>
      <w:pPr>
        <w:pStyle w:val="17"/>
        <w:numPr>
          <w:ilvl w:val="1"/>
          <w:numId w:val="28"/>
        </w:numPr>
        <w:spacing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其它险种</w:t>
      </w:r>
    </w:p>
    <w:p>
      <w:pPr>
        <w:pStyle w:val="17"/>
        <w:spacing w:afterLines="50"/>
        <w:ind w:left="709"/>
        <w:rPr>
          <w:rFonts w:hint="eastAsia" w:asciiTheme="minorEastAsia" w:hAnsiTheme="minorEastAsia" w:eastAsiaTheme="minorEastAsia" w:cstheme="minorEastAsia"/>
        </w:rPr>
      </w:pPr>
      <w:r>
        <w:rPr>
          <w:rFonts w:hint="eastAsia" w:asciiTheme="minorEastAsia" w:hAnsiTheme="minorEastAsia" w:eastAsiaTheme="minorEastAsia" w:cstheme="minorEastAsia"/>
        </w:rPr>
        <w:t>其它通常的、合理的或者遵循贷款人及适用法律要求所必需的保险。</w:t>
      </w:r>
    </w:p>
    <w:p>
      <w:pPr>
        <w:pStyle w:val="17"/>
        <w:tabs>
          <w:tab w:val="left" w:pos="630"/>
        </w:tabs>
        <w:spacing w:afterLines="50"/>
        <w:ind w:left="0"/>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2.</w:t>
      </w:r>
      <w:r>
        <w:rPr>
          <w:rFonts w:hint="eastAsia" w:asciiTheme="minorEastAsia" w:hAnsiTheme="minorEastAsia" w:eastAsiaTheme="minorEastAsia" w:cstheme="minorEastAsia"/>
          <w:b/>
        </w:rPr>
        <w:tab/>
      </w:r>
      <w:r>
        <w:rPr>
          <w:rFonts w:hint="eastAsia" w:asciiTheme="minorEastAsia" w:hAnsiTheme="minorEastAsia" w:eastAsiaTheme="minorEastAsia" w:cstheme="minorEastAsia"/>
          <w:b/>
        </w:rPr>
        <w:t>运营维护期间的保险</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应在正式运营日或该日之前自费投保并在整个运营维护期内保持下列险种的保险。但是，如果从保险公司处无法获得，或无法以合理的商业条件获得该等保险，则项目公司没有义务获得该等保险，除上述规定外，这种情况不解除或限制项目公司在本合同项下的义务。</w:t>
      </w:r>
    </w:p>
    <w:p>
      <w:pPr>
        <w:pStyle w:val="17"/>
        <w:numPr>
          <w:ilvl w:val="1"/>
          <w:numId w:val="29"/>
        </w:numPr>
        <w:spacing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财产一切险</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责任范围：对构成项目设施组成部分的、正在使用的并位于项目场地的所有建筑物、构筑物、厂房、设备、机器、化学品、零备件和其它材料和/或不动产所有灭失或损坏的所有一般及惯常的可保风险，（包括但不限于火灾、雷电、爆炸、自燃、风暴、暴雨、台风、洪水、水害、旱灾、恶意破坏、撞击、地震、沉降和倒塌）。</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保险金额：项目设施的全部重置价值。</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保险期间：以年为单位，可续延。</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被保险人：项目公司、</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以及</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或项目公司选定的其他方（条件是该其它方拥有或可获得此保险项下的可保利益）。</w:t>
      </w:r>
    </w:p>
    <w:p>
      <w:pPr>
        <w:pStyle w:val="17"/>
        <w:numPr>
          <w:ilvl w:val="1"/>
          <w:numId w:val="29"/>
        </w:numPr>
        <w:spacing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（财产一切险之）业务中断险</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责任范围：在十二（12）个月的保障期内（投保的中断期间），因财产一切险保险单项下所承保的可保风险造成的业务中断或受到干扰而产生的利息、附加利息及规定的常规费用的损失。</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保险金额：等于十二（12）个月保障期发生的利息、附加利息、计划的本金付款和规定的常规费用的全部金额。</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保险期间：以年为单位，可续延。</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被保险人：项目公司及项目公司选定的其他方（条件是该其它方拥有或可获得此保险项下的可保利益）。</w:t>
      </w:r>
    </w:p>
    <w:p>
      <w:pPr>
        <w:pStyle w:val="17"/>
        <w:numPr>
          <w:ilvl w:val="1"/>
          <w:numId w:val="29"/>
        </w:numPr>
        <w:spacing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机器故障损坏险</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责任范围：对构成项目设施组成部分的任何机器、厂房、辅助设备的突然和不可预见的有形损失或损坏的保险。</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保险金额：所有厂房、机器、设备等的全部重置价值。</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保险期间：以年为单位，可续延。</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被保险人：项目公司、</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以及</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或项目公司选择的其他方（条件是该其它方拥有或可获得此保险项下的可保利益）。</w:t>
      </w:r>
    </w:p>
    <w:p>
      <w:pPr>
        <w:pStyle w:val="17"/>
        <w:numPr>
          <w:ilvl w:val="1"/>
          <w:numId w:val="29"/>
        </w:numPr>
        <w:spacing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（机器故障损坏险之）业务中断险</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责任范围：在十二（12）个月的保障期间（投保的中断期间），由于机器故障损坏险项下所承保的可保风险的损失或损坏所造成的业务中断或受影响而引致的应支付的利息、附加利息和规定的常规费用。</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保险金额：等于十二（12）个月的保障期内发生的利息、附加利息、计划的本金付款和规定的常规费用的全部金额。</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保险期间：以年为单位，可续延。</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被保险人：项目公司及项目公司选择的其他方（条件是该其它方拥有或可获得此项保险项下的可保利益）。</w:t>
      </w:r>
    </w:p>
    <w:p>
      <w:pPr>
        <w:pStyle w:val="17"/>
        <w:numPr>
          <w:ilvl w:val="1"/>
          <w:numId w:val="29"/>
        </w:numPr>
        <w:spacing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第三者责任险</w:t>
      </w:r>
    </w:p>
    <w:p>
      <w:pPr>
        <w:pStyle w:val="17"/>
        <w:spacing w:afterLines="50"/>
        <w:ind w:left="735"/>
        <w:rPr>
          <w:rFonts w:hint="eastAsia" w:asciiTheme="minorEastAsia" w:hAnsiTheme="minorEastAsia" w:eastAsiaTheme="minorEastAsia" w:cstheme="minorEastAsia"/>
        </w:rPr>
      </w:pPr>
      <w:r>
        <w:rPr>
          <w:rFonts w:hint="eastAsia" w:asciiTheme="minorEastAsia" w:hAnsiTheme="minorEastAsia" w:eastAsiaTheme="minorEastAsia" w:cstheme="minorEastAsia"/>
        </w:rPr>
        <w:t>责任范围：因运营和维护项目设施造成的对第三者的人身伤害或财产损失或损坏所应承担的法律责任。</w:t>
      </w:r>
    </w:p>
    <w:p>
      <w:pPr>
        <w:pStyle w:val="17"/>
        <w:spacing w:afterLines="50"/>
        <w:ind w:left="735"/>
        <w:rPr>
          <w:rFonts w:hint="eastAsia" w:asciiTheme="minorEastAsia" w:hAnsiTheme="minorEastAsia" w:eastAsiaTheme="minorEastAsia" w:cstheme="minorEastAsia"/>
        </w:rPr>
      </w:pPr>
      <w:r>
        <w:rPr>
          <w:rFonts w:hint="eastAsia" w:asciiTheme="minorEastAsia" w:hAnsiTheme="minorEastAsia" w:eastAsiaTheme="minorEastAsia" w:cstheme="minorEastAsia"/>
        </w:rPr>
        <w:t>保险金额：每次事故责任限额</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万元，保险事故次数不限。</w:t>
      </w:r>
    </w:p>
    <w:p>
      <w:pPr>
        <w:pStyle w:val="17"/>
        <w:spacing w:afterLines="50"/>
        <w:ind w:left="735"/>
        <w:rPr>
          <w:rFonts w:hint="eastAsia" w:asciiTheme="minorEastAsia" w:hAnsiTheme="minorEastAsia" w:eastAsiaTheme="minorEastAsia" w:cstheme="minorEastAsia"/>
        </w:rPr>
      </w:pPr>
      <w:r>
        <w:rPr>
          <w:rFonts w:hint="eastAsia" w:asciiTheme="minorEastAsia" w:hAnsiTheme="minorEastAsia" w:eastAsiaTheme="minorEastAsia" w:cstheme="minorEastAsia"/>
        </w:rPr>
        <w:t>保险期间：以年为单位，可续延。</w:t>
      </w:r>
    </w:p>
    <w:p>
      <w:pPr>
        <w:pStyle w:val="17"/>
        <w:spacing w:afterLines="50"/>
        <w:ind w:left="735"/>
        <w:rPr>
          <w:rFonts w:hint="eastAsia" w:asciiTheme="minorEastAsia" w:hAnsiTheme="minorEastAsia" w:eastAsiaTheme="minorEastAsia" w:cstheme="minorEastAsia"/>
        </w:rPr>
      </w:pPr>
      <w:r>
        <w:rPr>
          <w:rFonts w:hint="eastAsia" w:asciiTheme="minorEastAsia" w:hAnsiTheme="minorEastAsia" w:eastAsiaTheme="minorEastAsia" w:cstheme="minorEastAsia"/>
        </w:rPr>
        <w:t>被保险人：项目公司、</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及</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或项目公司选择的其他方(条件是该其他方拥有或可获得此保险项下的可保利益)。</w:t>
      </w:r>
    </w:p>
    <w:p>
      <w:pPr>
        <w:pStyle w:val="17"/>
        <w:numPr>
          <w:ilvl w:val="1"/>
          <w:numId w:val="29"/>
        </w:numPr>
        <w:spacing w:afterLines="50"/>
        <w:rPr>
          <w:rFonts w:hint="eastAsia" w:asciiTheme="minorEastAsia" w:hAnsiTheme="minorEastAsia" w:eastAsiaTheme="minorEastAsia" w:cstheme="minorEastAsia"/>
        </w:rPr>
      </w:pPr>
      <w:r>
        <w:rPr>
          <w:rFonts w:hint="eastAsia" w:asciiTheme="minorEastAsia" w:hAnsiTheme="minorEastAsia" w:eastAsiaTheme="minorEastAsia" w:cstheme="minorEastAsia"/>
        </w:rPr>
        <w:t>其它险别</w:t>
      </w:r>
    </w:p>
    <w:p>
      <w:pPr>
        <w:pStyle w:val="17"/>
        <w:spacing w:afterLines="50"/>
        <w:ind w:left="735"/>
        <w:rPr>
          <w:rFonts w:hint="eastAsia" w:asciiTheme="minorEastAsia" w:hAnsiTheme="minorEastAsia" w:eastAsiaTheme="minorEastAsia" w:cstheme="minorEastAsia"/>
        </w:rPr>
      </w:pPr>
      <w:r>
        <w:rPr>
          <w:rFonts w:hint="eastAsia" w:asciiTheme="minorEastAsia" w:hAnsiTheme="minorEastAsia" w:eastAsiaTheme="minorEastAsia" w:cstheme="minorEastAsia"/>
        </w:rPr>
        <w:t>其它通常的、合理的或为遵循贷款人要求或适用法律要求所必需的保险。</w:t>
      </w:r>
    </w:p>
    <w:p>
      <w:pPr>
        <w:pStyle w:val="17"/>
        <w:tabs>
          <w:tab w:val="left" w:pos="630"/>
        </w:tabs>
        <w:spacing w:afterLines="50"/>
        <w:ind w:left="0"/>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3.</w:t>
      </w:r>
      <w:r>
        <w:rPr>
          <w:rFonts w:hint="eastAsia" w:asciiTheme="minorEastAsia" w:hAnsiTheme="minorEastAsia" w:eastAsiaTheme="minorEastAsia" w:cstheme="minorEastAsia"/>
          <w:b/>
        </w:rPr>
        <w:tab/>
      </w:r>
      <w:r>
        <w:rPr>
          <w:rFonts w:hint="eastAsia" w:asciiTheme="minorEastAsia" w:hAnsiTheme="minorEastAsia" w:eastAsiaTheme="minorEastAsia" w:cstheme="minorEastAsia"/>
          <w:b/>
        </w:rPr>
        <w:t>联名保险及赔偿</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应为本附件中所有适当注明的保险项下的被保险人（或被保险人之一）。项目公司应促使保险商放弃在本附件中规定的全部保险项下其可能拥有或获得的对</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的任何及全部代位追偿权，无论</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是否为该等保险项下的被保险人。</w:t>
      </w:r>
    </w:p>
    <w:p>
      <w:pPr>
        <w:pStyle w:val="17"/>
        <w:numPr>
          <w:ilvl w:val="0"/>
          <w:numId w:val="30"/>
        </w:numPr>
        <w:tabs>
          <w:tab w:val="left" w:pos="720"/>
          <w:tab w:val="clear" w:pos="860"/>
        </w:tabs>
        <w:spacing w:afterLines="50"/>
        <w:ind w:left="720" w:hanging="720"/>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保险商及保险单据</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项目公司应在获准在中国经营保险业务的、具有良好信誉并经</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同意的保险商处保持完全有效的保险，并向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提供所有的保险证书，证明项目公司已按照</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要求获得了保险单据，同时向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提供全部保险单据的复印件及保险费已付凭据的复印件。项目公司一旦收到续保证书和保险批单凭据应及时提交给</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保险单应包括保险商就以下各项作出的确认：</w:t>
      </w:r>
    </w:p>
    <w:p>
      <w:pPr>
        <w:pStyle w:val="17"/>
        <w:spacing w:afterLines="50"/>
        <w:ind w:left="840" w:leftChars="100" w:hanging="600" w:hangingChars="250"/>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保险商已经获得充分的信息以便在假设该等信息不存在实质性误导的前提下评估对保单项下所有风险进行承保的风险；</w:t>
      </w:r>
    </w:p>
    <w:p>
      <w:pPr>
        <w:pStyle w:val="17"/>
        <w:spacing w:afterLines="50"/>
        <w:ind w:left="840" w:leftChars="100" w:hanging="600" w:hangingChars="250"/>
        <w:rPr>
          <w:rFonts w:hint="eastAsia" w:asciiTheme="minorEastAsia" w:hAnsiTheme="minorEastAsia" w:eastAsiaTheme="minorEastAsia" w:cstheme="minorEastAsia"/>
        </w:rPr>
      </w:pPr>
      <w:r>
        <w:rPr>
          <w:rFonts w:hint="eastAsia" w:asciiTheme="minorEastAsia" w:hAnsiTheme="minorEastAsia" w:eastAsiaTheme="minorEastAsia" w:cstheme="minorEastAsia"/>
        </w:rPr>
        <w:t>（b）就其同意为</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提供共同保险的决定而言，保险商并未依赖或要求任何信息；</w:t>
      </w:r>
    </w:p>
    <w:p>
      <w:pPr>
        <w:pStyle w:val="17"/>
        <w:spacing w:afterLines="50"/>
        <w:ind w:left="840" w:leftChars="100" w:hanging="600" w:hangingChars="250"/>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没有授权任何人，就</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成为或作为共同被保险人代其作出任何声明。</w:t>
      </w:r>
    </w:p>
    <w:p>
      <w:pPr>
        <w:pStyle w:val="17"/>
        <w:numPr>
          <w:ilvl w:val="0"/>
          <w:numId w:val="30"/>
        </w:numPr>
        <w:tabs>
          <w:tab w:val="left" w:pos="720"/>
          <w:tab w:val="clear" w:pos="860"/>
        </w:tabs>
        <w:spacing w:afterLines="50"/>
        <w:ind w:left="720" w:hanging="720"/>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未能获得和保持保险</w:t>
      </w:r>
    </w:p>
    <w:p>
      <w:pPr>
        <w:pStyle w:val="17"/>
        <w:spacing w:afterLines="50"/>
        <w:ind w:left="720" w:firstLine="15"/>
        <w:rPr>
          <w:rFonts w:hint="eastAsia" w:asciiTheme="minorEastAsia" w:hAnsiTheme="minorEastAsia" w:eastAsiaTheme="minorEastAsia" w:cstheme="minorEastAsia"/>
        </w:rPr>
      </w:pPr>
      <w:r>
        <w:rPr>
          <w:rFonts w:hint="eastAsia" w:asciiTheme="minorEastAsia" w:hAnsiTheme="minorEastAsia" w:eastAsiaTheme="minorEastAsia" w:cstheme="minorEastAsia"/>
        </w:rPr>
        <w:t>如果项目公司未取得或拒绝取得本</w:t>
      </w:r>
      <w:r>
        <w:rPr>
          <w:rFonts w:hint="eastAsia" w:asciiTheme="minorEastAsia" w:hAnsiTheme="minorEastAsia" w:eastAsiaTheme="minorEastAsia" w:cstheme="minorEastAsia"/>
          <w:u w:val="single"/>
        </w:rPr>
        <w:t>附件5</w:t>
      </w:r>
      <w:r>
        <w:rPr>
          <w:rFonts w:hint="eastAsia" w:asciiTheme="minorEastAsia" w:hAnsiTheme="minorEastAsia" w:eastAsiaTheme="minorEastAsia" w:cstheme="minorEastAsia"/>
        </w:rPr>
        <w:t>所述的保险或未向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提供上述第4条所述的保险单、保险费付款凭据、续保证明及保险批单凭据等的复印件，则</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应有权购买这类保险，费用由项目公司承担。在这种情况下，经</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要求，项目公司应及时支付给</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其为购买该类保险支付的款项。项目公司未取得或拒绝取得上述保险并不解除或限制其在本合同项下规定的任何义务和责任。</w:t>
      </w:r>
    </w:p>
    <w:p>
      <w:pPr>
        <w:pStyle w:val="17"/>
        <w:numPr>
          <w:ilvl w:val="0"/>
          <w:numId w:val="30"/>
        </w:numPr>
        <w:tabs>
          <w:tab w:val="left" w:pos="720"/>
          <w:tab w:val="clear" w:pos="860"/>
        </w:tabs>
        <w:spacing w:afterLines="50"/>
        <w:ind w:left="720" w:hanging="720"/>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索赔及协助通知</w:t>
      </w:r>
    </w:p>
    <w:p>
      <w:pPr>
        <w:pStyle w:val="17"/>
        <w:spacing w:afterLines="50"/>
        <w:ind w:left="720"/>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项目公司和</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应遵守对其适用的保险单的条款及条件，并应遵循与保险商订立的索赔管理程序。该索赔管理程序应符合同类项目的合理的和惯常使用的条款。在准备文件及就索赔进行谈判方面，各方均同意向对方提供合理的协助。当本附件中任何保险单项下的任何索赔可能超过</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万元时，项目公司应通知</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并不时向</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提供其合理要求的有关保险单项下索赔的任何信息。</w:t>
      </w:r>
    </w:p>
    <w:p>
      <w:pPr>
        <w:pStyle w:val="17"/>
        <w:numPr>
          <w:ilvl w:val="0"/>
          <w:numId w:val="30"/>
        </w:numPr>
        <w:tabs>
          <w:tab w:val="left" w:pos="720"/>
          <w:tab w:val="clear" w:pos="860"/>
        </w:tabs>
        <w:spacing w:afterLines="50"/>
        <w:ind w:left="720" w:hanging="720"/>
        <w:rPr>
          <w:rFonts w:hint="eastAsia" w:asciiTheme="minorEastAsia" w:hAnsiTheme="minorEastAsia" w:eastAsiaTheme="minorEastAsia" w:cstheme="minorEastAsia"/>
          <w:b/>
          <w:bCs w:val="0"/>
        </w:rPr>
      </w:pPr>
      <w:r>
        <w:rPr>
          <w:rFonts w:hint="eastAsia" w:asciiTheme="minorEastAsia" w:hAnsiTheme="minorEastAsia" w:eastAsiaTheme="minorEastAsia" w:cstheme="minorEastAsia"/>
          <w:b/>
        </w:rPr>
        <w:t>修复及修理，索赔款项</w:t>
      </w:r>
    </w:p>
    <w:p>
      <w:pPr>
        <w:pStyle w:val="17"/>
        <w:spacing w:afterLines="50"/>
        <w:ind w:left="720"/>
        <w:rPr>
          <w:rFonts w:hint="eastAsia" w:asciiTheme="minorEastAsia" w:hAnsiTheme="minorEastAsia" w:eastAsiaTheme="minorEastAsia" w:cstheme="minorEastAsia"/>
        </w:rPr>
      </w:pPr>
      <w:r>
        <w:rPr>
          <w:rFonts w:hint="eastAsia" w:asciiTheme="minorEastAsia" w:hAnsiTheme="minorEastAsia" w:eastAsiaTheme="minorEastAsia" w:cstheme="minorEastAsia"/>
        </w:rPr>
        <w:t>在建筑安装工程一切险、财产一切险及机器故障损坏险项下项目公司可获得的索赔款项应用于对保险标的的灭失或损害进行恢复及修理。业务中断险项下获得的赔款用于偿还贷款及项目公司的规定常规费用。第三者责任险的赔偿款项应支付给有权获得赔偿的个人或组织。未经</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书面同意（</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不得无理拒绝同意），项目公司及保险商不得就超过</w:t>
      </w:r>
      <w:r>
        <w:rPr>
          <w:rFonts w:hint="eastAsia" w:asciiTheme="minorEastAsia" w:hAnsiTheme="minorEastAsia" w:eastAsiaTheme="minorEastAsia" w:cstheme="minorEastAsia"/>
          <w:u w:val="single"/>
        </w:rPr>
        <w:t>200</w:t>
      </w:r>
      <w:r>
        <w:rPr>
          <w:rFonts w:hint="eastAsia" w:asciiTheme="minorEastAsia" w:hAnsiTheme="minorEastAsia" w:eastAsiaTheme="minorEastAsia" w:cstheme="minorEastAsia"/>
        </w:rPr>
        <w:t>万元的任何索赔达成妥协。</w:t>
      </w:r>
    </w:p>
    <w:p>
      <w:pPr>
        <w:pStyle w:val="17"/>
        <w:numPr>
          <w:ilvl w:val="0"/>
          <w:numId w:val="30"/>
        </w:numPr>
        <w:tabs>
          <w:tab w:val="left" w:pos="720"/>
          <w:tab w:val="clear" w:pos="860"/>
        </w:tabs>
        <w:spacing w:afterLines="50"/>
        <w:ind w:left="720" w:hanging="720"/>
        <w:rPr>
          <w:rFonts w:hint="eastAsia" w:asciiTheme="minorEastAsia" w:hAnsiTheme="minorEastAsia" w:eastAsiaTheme="minorEastAsia" w:cstheme="minorEastAsia"/>
          <w:b/>
          <w:bCs w:val="0"/>
        </w:rPr>
      </w:pPr>
      <w:r>
        <w:rPr>
          <w:rFonts w:hint="eastAsia" w:asciiTheme="minorEastAsia" w:hAnsiTheme="minorEastAsia" w:eastAsiaTheme="minorEastAsia" w:cstheme="minorEastAsia"/>
          <w:b/>
        </w:rPr>
        <w:t>通知</w:t>
      </w:r>
      <w:r>
        <w:rPr>
          <w:rFonts w:hint="eastAsia" w:asciiTheme="minorEastAsia" w:hAnsiTheme="minorEastAsia" w:eastAsiaTheme="minorEastAsia" w:cstheme="minorEastAsia"/>
          <w:b/>
          <w:lang w:eastAsia="zh-CN"/>
        </w:rPr>
        <w:t>市城管局</w:t>
      </w:r>
    </w:p>
    <w:p>
      <w:pPr>
        <w:pStyle w:val="17"/>
        <w:spacing w:afterLines="50"/>
        <w:ind w:left="720"/>
        <w:rPr>
          <w:rFonts w:hint="eastAsia" w:asciiTheme="minorEastAsia" w:hAnsiTheme="minorEastAsia" w:eastAsiaTheme="minorEastAsia" w:cstheme="minorEastAsia"/>
        </w:rPr>
      </w:pPr>
      <w:r>
        <w:rPr>
          <w:rFonts w:hint="eastAsia" w:asciiTheme="minorEastAsia" w:hAnsiTheme="minorEastAsia" w:eastAsiaTheme="minorEastAsia" w:cstheme="minorEastAsia"/>
        </w:rPr>
        <w:t>就根据本附件投保的所有保险，项目公司应促使保险商在保险条件中规定，在任何保险责任的取消、终止、期满或中止和/或保险的任何重大改变或保险金额的任何减少或责任限额的任何降低生效之前至少三十（30）日通知</w:t>
      </w:r>
      <w:r>
        <w:rPr>
          <w:rFonts w:hint="eastAsia" w:asciiTheme="minorEastAsia" w:hAnsiTheme="minorEastAsia" w:eastAsiaTheme="minorEastAsia" w:cstheme="minorEastAsia"/>
          <w:lang w:eastAsia="zh-CN"/>
        </w:rPr>
        <w:t>市城管局</w:t>
      </w:r>
      <w:r>
        <w:rPr>
          <w:rFonts w:hint="eastAsia" w:asciiTheme="minorEastAsia" w:hAnsiTheme="minorEastAsia" w:eastAsiaTheme="minorEastAsia" w:cstheme="minorEastAsia"/>
        </w:rPr>
        <w:t>。</w:t>
      </w:r>
      <w:bookmarkStart w:id="2386" w:name="_Toc50860476"/>
      <w:bookmarkStart w:id="2387" w:name="_Toc51225724"/>
      <w:bookmarkStart w:id="2388" w:name="_Toc50861846"/>
      <w:bookmarkStart w:id="2389" w:name="_Toc50452624"/>
      <w:bookmarkStart w:id="2390" w:name="_Toc51214045"/>
      <w:bookmarkStart w:id="2391" w:name="_Toc50861982"/>
    </w:p>
    <w:p>
      <w:pPr>
        <w:pStyle w:val="17"/>
        <w:spacing w:afterLines="50"/>
        <w:ind w:left="720"/>
        <w:rPr>
          <w:rFonts w:hint="eastAsia" w:asciiTheme="minorEastAsia" w:hAnsiTheme="minorEastAsia" w:eastAsiaTheme="minorEastAsia" w:cstheme="minorEastAsia"/>
        </w:rPr>
        <w:sectPr>
          <w:headerReference r:id="rId17" w:type="default"/>
          <w:pgSz w:w="11907" w:h="16840"/>
          <w:pgMar w:top="1418" w:right="1418" w:bottom="1418" w:left="1418" w:header="567" w:footer="992" w:gutter="0"/>
          <w:pgNumType w:fmt="decimal"/>
          <w:cols w:space="425" w:num="1"/>
          <w:docGrid w:linePitch="326" w:charSpace="0"/>
        </w:sectPr>
      </w:pPr>
    </w:p>
    <w:bookmarkEnd w:id="2386"/>
    <w:bookmarkEnd w:id="2387"/>
    <w:bookmarkEnd w:id="2388"/>
    <w:bookmarkEnd w:id="2389"/>
    <w:bookmarkEnd w:id="2390"/>
    <w:bookmarkEnd w:id="2391"/>
    <w:p>
      <w:pPr>
        <w:pStyle w:val="2"/>
        <w:keepNext w:val="0"/>
        <w:widowControl w:val="0"/>
        <w:numPr>
          <w:ilvl w:val="0"/>
          <w:numId w:val="0"/>
        </w:numPr>
        <w:spacing w:before="120" w:beforeLines="50" w:afterLines="50" w:line="360" w:lineRule="auto"/>
        <w:rPr>
          <w:rFonts w:hint="default" w:asciiTheme="minorEastAsia" w:hAnsiTheme="minorEastAsia" w:eastAsiaTheme="minorEastAsia" w:cstheme="minorEastAsia"/>
          <w:lang w:val="en-US" w:eastAsia="zh-CN"/>
        </w:rPr>
      </w:pPr>
      <w:bookmarkStart w:id="2392" w:name="_附件12_履约保函格式"/>
      <w:bookmarkEnd w:id="2392"/>
      <w:bookmarkStart w:id="2393" w:name="_附件8_污水处理厂运营记录报表"/>
      <w:bookmarkEnd w:id="2393"/>
      <w:bookmarkStart w:id="2394" w:name="_附件11_履约保函格式"/>
      <w:bookmarkEnd w:id="2394"/>
      <w:bookmarkStart w:id="2395" w:name="_附件12_维护保函格式"/>
      <w:bookmarkEnd w:id="2395"/>
      <w:bookmarkStart w:id="2396" w:name="_附件12__技术方案"/>
      <w:bookmarkEnd w:id="2396"/>
      <w:bookmarkStart w:id="2397" w:name="_附件14_技术方案"/>
      <w:bookmarkEnd w:id="2397"/>
      <w:bookmarkStart w:id="2398" w:name="_附件13_维护保函格式"/>
      <w:bookmarkEnd w:id="2398"/>
      <w:bookmarkStart w:id="2399" w:name="_Toc239861176"/>
      <w:bookmarkStart w:id="2400" w:name="_Toc4158"/>
      <w:bookmarkStart w:id="2401" w:name="_Toc25931"/>
      <w:bookmarkStart w:id="2402" w:name="_Toc19666"/>
      <w:r>
        <w:rPr>
          <w:rFonts w:hint="eastAsia" w:asciiTheme="minorEastAsia" w:hAnsiTheme="minorEastAsia" w:eastAsiaTheme="minorEastAsia" w:cstheme="minorEastAsia"/>
        </w:rPr>
        <w:t>附件6</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szCs w:val="21"/>
        </w:rPr>
        <w:t>经审定的施工组织设计方案、</w:t>
      </w:r>
      <w:r>
        <w:rPr>
          <w:rFonts w:hint="eastAsia" w:asciiTheme="minorEastAsia" w:hAnsiTheme="minorEastAsia" w:eastAsiaTheme="minorEastAsia" w:cstheme="minorEastAsia"/>
        </w:rPr>
        <w:t>社会资本投标文件</w:t>
      </w:r>
      <w:bookmarkEnd w:id="2399"/>
      <w:bookmarkEnd w:id="2400"/>
      <w:r>
        <w:rPr>
          <w:rFonts w:hint="eastAsia" w:asciiTheme="minorEastAsia" w:hAnsiTheme="minorEastAsia" w:eastAsiaTheme="minorEastAsia" w:cstheme="minorEastAsia"/>
          <w:lang w:val="en-US" w:eastAsia="zh-CN"/>
        </w:rPr>
        <w:t>列明的技术方案</w:t>
      </w:r>
      <w:bookmarkEnd w:id="2401"/>
      <w:bookmarkEnd w:id="2402"/>
    </w:p>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（此文件由社会资本在投标中提供，作为本合同附件）</w:t>
      </w:r>
    </w:p>
    <w:p>
      <w:pPr>
        <w:widowControl/>
        <w:spacing w:before="0" w:beforeLines="0" w:line="240" w:lineRule="auto"/>
        <w:jc w:val="left"/>
        <w:rPr>
          <w:rFonts w:hint="eastAsia" w:asciiTheme="minorEastAsia" w:hAnsiTheme="minorEastAsia" w:eastAsiaTheme="minorEastAsia" w:cstheme="minorEastAsia"/>
          <w:b/>
          <w:kern w:val="0"/>
          <w:sz w:val="28"/>
          <w:szCs w:val="20"/>
        </w:rPr>
      </w:pPr>
      <w:r>
        <w:rPr>
          <w:rFonts w:hint="eastAsia" w:asciiTheme="minorEastAsia" w:hAnsiTheme="minorEastAsia" w:eastAsiaTheme="minorEastAsia" w:cstheme="minorEastAsia"/>
        </w:rPr>
        <w:br w:type="page"/>
      </w:r>
    </w:p>
    <w:p>
      <w:pPr>
        <w:pStyle w:val="2"/>
        <w:keepNext w:val="0"/>
        <w:widowControl w:val="0"/>
        <w:numPr>
          <w:ilvl w:val="0"/>
          <w:numId w:val="0"/>
        </w:numPr>
        <w:spacing w:before="120" w:beforeLines="50" w:afterLines="50" w:line="360" w:lineRule="auto"/>
        <w:rPr>
          <w:rFonts w:hint="eastAsia" w:asciiTheme="minorEastAsia" w:hAnsiTheme="minorEastAsia" w:eastAsiaTheme="minorEastAsia" w:cstheme="minorEastAsia"/>
        </w:rPr>
      </w:pPr>
      <w:bookmarkStart w:id="2403" w:name="_Toc22940"/>
      <w:bookmarkStart w:id="2404" w:name="_Toc27832"/>
      <w:bookmarkStart w:id="2405" w:name="_Toc9897"/>
      <w:r>
        <w:rPr>
          <w:rFonts w:hint="eastAsia" w:asciiTheme="minorEastAsia" w:hAnsiTheme="minorEastAsia" w:eastAsiaTheme="minorEastAsia" w:cstheme="minorEastAsia"/>
        </w:rPr>
        <w:t>附件7 股东协议</w:t>
      </w:r>
      <w:bookmarkEnd w:id="2403"/>
      <w:bookmarkEnd w:id="2404"/>
      <w:bookmarkEnd w:id="2405"/>
    </w:p>
    <w:p>
      <w:pPr>
        <w:pStyle w:val="2"/>
        <w:keepNext w:val="0"/>
        <w:widowControl w:val="0"/>
        <w:numPr>
          <w:ilvl w:val="0"/>
          <w:numId w:val="0"/>
        </w:numPr>
        <w:spacing w:before="120" w:beforeLines="50" w:afterLines="50"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bookmarkStart w:id="2406" w:name="_Toc26486"/>
      <w:bookmarkStart w:id="2407" w:name="_Toc3194"/>
      <w:bookmarkStart w:id="2408" w:name="_Toc2832"/>
      <w:r>
        <w:rPr>
          <w:rFonts w:hint="eastAsia" w:asciiTheme="minorEastAsia" w:hAnsiTheme="minorEastAsia" w:eastAsiaTheme="minorEastAsia" w:cstheme="minorEastAsia"/>
        </w:rPr>
        <w:t>附件8 公司章程</w:t>
      </w:r>
      <w:bookmarkEnd w:id="2406"/>
      <w:bookmarkEnd w:id="2407"/>
      <w:bookmarkEnd w:id="2408"/>
    </w:p>
    <w:p>
      <w:pPr>
        <w:widowControl/>
        <w:spacing w:before="120" w:after="120" w:afterLines="50"/>
        <w:jc w:val="left"/>
        <w:rPr>
          <w:rFonts w:hint="eastAsia" w:asciiTheme="minorEastAsia" w:hAnsiTheme="minorEastAsia" w:eastAsiaTheme="minorEastAsia" w:cstheme="minorEastAsia"/>
          <w:b/>
          <w:kern w:val="0"/>
          <w:sz w:val="28"/>
          <w:szCs w:val="20"/>
        </w:rPr>
      </w:pPr>
      <w:r>
        <w:rPr>
          <w:rFonts w:hint="eastAsia" w:asciiTheme="minorEastAsia" w:hAnsiTheme="minorEastAsia" w:eastAsiaTheme="minorEastAsia" w:cstheme="minorEastAsia"/>
        </w:rPr>
        <w:br w:type="page"/>
      </w:r>
    </w:p>
    <w:p>
      <w:pPr>
        <w:pStyle w:val="2"/>
        <w:keepNext w:val="0"/>
        <w:widowControl w:val="0"/>
        <w:numPr>
          <w:ilvl w:val="0"/>
          <w:numId w:val="0"/>
        </w:numPr>
        <w:spacing w:before="120" w:beforeLines="50" w:afterLines="50" w:line="360" w:lineRule="auto"/>
        <w:rPr>
          <w:rFonts w:hint="eastAsia" w:asciiTheme="minorEastAsia" w:hAnsiTheme="minorEastAsia" w:eastAsiaTheme="minorEastAsia" w:cstheme="minorEastAsia"/>
        </w:rPr>
      </w:pPr>
      <w:bookmarkStart w:id="2409" w:name="_Toc6457"/>
      <w:bookmarkStart w:id="2410" w:name="_Toc20424"/>
      <w:bookmarkStart w:id="2411" w:name="_Toc21705"/>
      <w:r>
        <w:rPr>
          <w:rFonts w:hint="eastAsia" w:asciiTheme="minorEastAsia" w:hAnsiTheme="minorEastAsia" w:eastAsiaTheme="minorEastAsia" w:cstheme="minorEastAsia"/>
        </w:rPr>
        <w:t>附件9 入廊协议</w:t>
      </w:r>
      <w:bookmarkEnd w:id="2409"/>
      <w:bookmarkEnd w:id="2410"/>
      <w:bookmarkEnd w:id="2411"/>
    </w:p>
    <w:p>
      <w:pPr>
        <w:spacing w:before="120" w:after="120" w:afterLines="50"/>
        <w:jc w:val="center"/>
        <w:rPr>
          <w:rFonts w:hint="eastAsia" w:asciiTheme="minorEastAsia" w:hAnsiTheme="minorEastAsia" w:eastAsiaTheme="minorEastAsia" w:cstheme="minorEastAsia"/>
        </w:rPr>
      </w:pPr>
    </w:p>
    <w:p>
      <w:pPr>
        <w:spacing w:before="120" w:after="120" w:afterLines="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（此文件由项目公司与入廊单位签订，作为本合同附件）</w:t>
      </w:r>
    </w:p>
    <w:p>
      <w:pPr>
        <w:widowControl/>
        <w:spacing w:before="0" w:beforeLines="0" w:line="24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p>
    <w:p>
      <w:pPr>
        <w:pStyle w:val="2"/>
        <w:numPr>
          <w:ilvl w:val="0"/>
          <w:numId w:val="0"/>
        </w:numPr>
        <w:spacing w:afterLines="50"/>
        <w:rPr>
          <w:rFonts w:hint="eastAsia" w:asciiTheme="minorEastAsia" w:hAnsiTheme="minorEastAsia" w:eastAsiaTheme="minorEastAsia" w:cstheme="minorEastAsia"/>
        </w:rPr>
      </w:pPr>
      <w:bookmarkStart w:id="2412" w:name="_Toc26218"/>
      <w:bookmarkStart w:id="2413" w:name="_Toc4113"/>
      <w:bookmarkStart w:id="2414" w:name="_Toc27845"/>
      <w:r>
        <w:rPr>
          <w:rFonts w:hint="eastAsia" w:asciiTheme="minorEastAsia" w:hAnsiTheme="minorEastAsia" w:eastAsiaTheme="minorEastAsia" w:cstheme="minorEastAsia"/>
        </w:rPr>
        <w:t xml:space="preserve">附件10 </w:t>
      </w:r>
      <w:r>
        <w:rPr>
          <w:rFonts w:hint="eastAsia" w:asciiTheme="minorEastAsia" w:hAnsiTheme="minorEastAsia" w:eastAsiaTheme="minorEastAsia" w:cstheme="minorEastAsia"/>
          <w:lang w:val="en-US" w:eastAsia="zh-CN"/>
        </w:rPr>
        <w:t>建设工程施工合同</w:t>
      </w:r>
      <w:bookmarkEnd w:id="2412"/>
      <w:bookmarkEnd w:id="2413"/>
      <w:bookmarkEnd w:id="2414"/>
    </w:p>
    <w:p>
      <w:pPr>
        <w:spacing w:before="120"/>
        <w:jc w:val="left"/>
        <w:rPr>
          <w:rFonts w:eastAsia="仿宋_GB2312"/>
          <w:bCs/>
          <w:color w:val="000000"/>
          <w:sz w:val="32"/>
          <w:szCs w:val="32"/>
        </w:rPr>
      </w:pPr>
      <w:r>
        <w:rPr>
          <w:rFonts w:hint="eastAsia" w:asciiTheme="minorEastAsia" w:hAnsiTheme="minorEastAsia" w:eastAsiaTheme="minorEastAsia" w:cstheme="minorEastAsia"/>
        </w:rPr>
        <w:t>本项目为“两标一招”，项目实施过程工程质量、安全文明施工与环境保护、工期与进度、材料与设备、试验与检验、变更、价格调整、合同价格、计量与支付、验收与工程试车、竣工结算、缺陷责任期与保修、违约、不可抗力、保险、争议解决等相关约定参照《建设工程施工合同》（GF-2017-0201)执行。其中下列专用条款中涉及工程质量、安全文明施工与环境保护、工期、材料与设备、试验与检验、变更、价格调整、合同价格、计量等未标明项目公司参考执行的条款，中标社会资本与施工总承包人必须共同遵守。</w:t>
      </w:r>
    </w:p>
    <w:p>
      <w:pPr>
        <w:jc w:val="left"/>
        <w:rPr>
          <w:rFonts w:eastAsia="华文中宋"/>
          <w:b/>
          <w:color w:val="000000"/>
          <w:sz w:val="52"/>
          <w:szCs w:val="52"/>
        </w:rPr>
      </w:pPr>
      <w:r>
        <w:rPr>
          <w:rFonts w:eastAsia="仿宋_GB2312"/>
          <w:bCs/>
          <w:color w:val="000000"/>
          <w:sz w:val="32"/>
          <w:szCs w:val="32"/>
        </w:rPr>
        <w:t>（GF—201</w:t>
      </w:r>
      <w:r>
        <w:rPr>
          <w:rFonts w:hint="eastAsia" w:eastAsia="仿宋_GB2312"/>
          <w:bCs/>
          <w:color w:val="000000"/>
          <w:sz w:val="32"/>
          <w:szCs w:val="32"/>
        </w:rPr>
        <w:t>7</w:t>
      </w:r>
      <w:r>
        <w:rPr>
          <w:rFonts w:eastAsia="仿宋_GB2312"/>
          <w:bCs/>
          <w:color w:val="000000"/>
          <w:sz w:val="32"/>
          <w:szCs w:val="32"/>
        </w:rPr>
        <w:t>—</w:t>
      </w:r>
      <w:r>
        <w:rPr>
          <w:rFonts w:hint="eastAsia" w:eastAsia="仿宋_GB2312"/>
          <w:bCs/>
          <w:color w:val="000000"/>
          <w:sz w:val="32"/>
          <w:szCs w:val="32"/>
        </w:rPr>
        <w:t>0201）</w:t>
      </w:r>
    </w:p>
    <w:p>
      <w:pPr>
        <w:jc w:val="center"/>
        <w:rPr>
          <w:rFonts w:eastAsia="华文中宋"/>
          <w:b/>
          <w:color w:val="000000"/>
          <w:sz w:val="52"/>
          <w:szCs w:val="52"/>
        </w:rPr>
      </w:pPr>
    </w:p>
    <w:p>
      <w:pPr>
        <w:jc w:val="center"/>
        <w:rPr>
          <w:rFonts w:eastAsia="华文中宋"/>
          <w:b/>
          <w:color w:val="000000"/>
          <w:sz w:val="52"/>
          <w:szCs w:val="52"/>
        </w:rPr>
      </w:pPr>
      <w:r>
        <w:rPr>
          <w:rFonts w:eastAsia="华文中宋"/>
          <w:b/>
          <w:color w:val="000000"/>
          <w:sz w:val="72"/>
          <w:szCs w:val="52"/>
        </w:rPr>
        <w:t>建设工程施工合同</w:t>
      </w:r>
      <w:r>
        <w:rPr>
          <w:rFonts w:eastAsia="华文中宋"/>
          <w:b/>
          <w:color w:val="000000"/>
          <w:sz w:val="52"/>
          <w:szCs w:val="52"/>
        </w:rPr>
        <w:br w:type="textWrapping"/>
      </w:r>
    </w:p>
    <w:p>
      <w:pPr>
        <w:jc w:val="center"/>
        <w:rPr>
          <w:rFonts w:eastAsia="华文中宋"/>
          <w:b/>
          <w:color w:val="000000"/>
          <w:sz w:val="52"/>
          <w:szCs w:val="52"/>
        </w:rPr>
      </w:pPr>
      <w:r>
        <w:rPr>
          <w:rFonts w:ascii="宋体" w:hAnsi="宋体"/>
          <w:b/>
          <w:sz w:val="52"/>
          <w:szCs w:val="52"/>
        </w:rPr>
        <w:t>（示范文本）</w:t>
      </w:r>
    </w:p>
    <w:p>
      <w:pPr>
        <w:jc w:val="both"/>
        <w:rPr>
          <w:rFonts w:eastAsia="楷体_GB2312"/>
          <w:b/>
          <w:color w:val="000000"/>
          <w:sz w:val="72"/>
          <w:szCs w:val="72"/>
        </w:rPr>
      </w:pPr>
    </w:p>
    <w:p>
      <w:pPr>
        <w:ind w:right="3108" w:rightChars="1295" w:firstLine="0" w:firstLineChars="0"/>
        <w:jc w:val="center"/>
        <w:rPr>
          <w:b/>
          <w:color w:val="000000"/>
          <w:sz w:val="32"/>
          <w:szCs w:val="28"/>
        </w:rPr>
      </w:pPr>
      <w:r>
        <mc:AlternateContent>
          <mc:Choice Requires="wps">
            <w:drawing>
              <wp:anchor distT="0" distB="0" distL="114300" distR="114300" simplePos="0" relativeHeight="251658240" behindDoc="0" locked="0" layoutInCell="1" allowOverlap="1">
                <wp:simplePos x="0" y="0"/>
                <wp:positionH relativeFrom="column">
                  <wp:posOffset>3970020</wp:posOffset>
                </wp:positionH>
                <wp:positionV relativeFrom="paragraph">
                  <wp:posOffset>120015</wp:posOffset>
                </wp:positionV>
                <wp:extent cx="723900" cy="457200"/>
                <wp:effectExtent l="4445" t="4445" r="8255" b="825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rFonts w:hint="eastAsia"/>
                                <w:b/>
                                <w:bCs/>
                                <w:sz w:val="32"/>
                              </w:rPr>
                            </w:pPr>
                          </w:p>
                        </w:txbxContent>
                      </wps:txbx>
                      <wps:bodyPr upright="1"/>
                    </wps:wsp>
                  </a:graphicData>
                </a:graphic>
              </wp:anchor>
            </w:drawing>
          </mc:Choice>
          <mc:Fallback>
            <w:pict>
              <v:shape id="_x0000_s1026" o:spid="_x0000_s1026" o:spt="202" type="#_x0000_t202" style="position:absolute;left:0pt;margin-left:312.6pt;margin-top:9.45pt;height:36pt;width:57pt;z-index:251658240;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HN&#10;LXHYAAAACQEAAA8AAAAAAAAAAQAgAAAAIgAAAGRycy9kb3ducmV2LnhtbFBLAQIUABQAAAAIAIdO&#10;4kD0ZFzE6gEAAL4DAAAOAAAAAAAAAAEAIAAAACcBAABkcnMvZTJvRG9jLnhtbFBLBQYAAAAABgAG&#10;AFkBAACDBQAAAAA=&#10;">
                <v:fill on="f" focussize="0,0"/>
                <v:stroke color="#FFFFFF" joinstyle="miter"/>
                <v:imagedata o:title=""/>
                <o:lock v:ext="edit" aspectratio="f"/>
                <v:textbox>
                  <w:txbxContent>
                    <w:p>
                      <w:pPr>
                        <w:rPr>
                          <w:rFonts w:hint="eastAsia"/>
                          <w:b/>
                          <w:bCs/>
                          <w:sz w:val="32"/>
                        </w:rPr>
                      </w:pPr>
                    </w:p>
                  </w:txbxContent>
                </v:textbox>
              </v:shape>
            </w:pict>
          </mc:Fallback>
        </mc:AlternateContent>
      </w:r>
      <w:r>
        <w:rPr>
          <w:rFonts w:hint="eastAsia"/>
          <w:b/>
          <w:color w:val="000000"/>
          <w:sz w:val="32"/>
          <w:szCs w:val="28"/>
          <w:lang w:val="en-US" w:eastAsia="zh-CN"/>
        </w:rPr>
        <w:t xml:space="preserve">                </w:t>
      </w:r>
      <w:r>
        <w:rPr>
          <w:b/>
          <w:color w:val="000000"/>
          <w:sz w:val="32"/>
          <w:szCs w:val="28"/>
        </w:rPr>
        <w:t>住房城乡建设部</w:t>
      </w:r>
    </w:p>
    <w:p>
      <w:pPr>
        <w:ind w:right="3108" w:rightChars="1295"/>
        <w:jc w:val="center"/>
        <w:rPr>
          <w:b/>
          <w:color w:val="000000"/>
        </w:rPr>
      </w:pPr>
      <w:r>
        <w:rPr>
          <w:rFonts w:hint="eastAsia"/>
          <w:b/>
          <w:color w:val="000000"/>
          <w:sz w:val="32"/>
          <w:szCs w:val="28"/>
          <w:lang w:val="en-US" w:eastAsia="zh-CN"/>
        </w:rPr>
        <w:t xml:space="preserve">               </w:t>
      </w:r>
      <w:r>
        <w:rPr>
          <w:b/>
          <w:color w:val="000000"/>
          <w:sz w:val="32"/>
          <w:szCs w:val="28"/>
        </w:rPr>
        <w:t>国家工商行政管理总局</w:t>
      </w:r>
    </w:p>
    <w:p>
      <w:pPr>
        <w:ind w:right="3108" w:rightChars="1295" w:firstLine="0" w:firstLineChars="0"/>
        <w:jc w:val="center"/>
        <w:rPr>
          <w:rFonts w:hint="default" w:ascii="Times New Roman" w:eastAsia="宋体"/>
          <w:b/>
          <w:color w:val="000000"/>
          <w:sz w:val="32"/>
          <w:szCs w:val="28"/>
          <w:lang w:val="en-US" w:eastAsia="zh-CN"/>
        </w:rPr>
        <w:sectPr>
          <w:headerReference r:id="rId20" w:type="first"/>
          <w:footerReference r:id="rId23" w:type="first"/>
          <w:headerReference r:id="rId18" w:type="default"/>
          <w:footerReference r:id="rId21" w:type="default"/>
          <w:headerReference r:id="rId19" w:type="even"/>
          <w:footerReference r:id="rId22" w:type="even"/>
          <w:pgSz w:w="11906" w:h="16838"/>
          <w:pgMar w:top="1418" w:right="1555" w:bottom="1418" w:left="1531" w:header="851" w:footer="992" w:gutter="0"/>
          <w:pgNumType w:start="0"/>
          <w:cols w:space="720" w:num="1"/>
          <w:titlePg/>
          <w:docGrid w:type="lines" w:linePitch="312" w:charSpace="0"/>
        </w:sectPr>
      </w:pPr>
      <w:bookmarkStart w:id="2415" w:name="_Toc296890982"/>
      <w:bookmarkStart w:id="2416" w:name="_Toc296503025"/>
      <w:r>
        <w:rPr>
          <w:rFonts w:hint="eastAsia"/>
          <w:b/>
          <w:color w:val="000000"/>
          <w:sz w:val="32"/>
          <w:szCs w:val="28"/>
          <w:lang w:val="en-US" w:eastAsia="zh-CN"/>
        </w:rPr>
        <w:t xml:space="preserve">               </w:t>
      </w:r>
      <w:r>
        <w:rPr>
          <w:rFonts w:hint="default" w:ascii="Times New Roman" w:eastAsia="宋体"/>
          <w:b/>
          <w:color w:val="000000"/>
          <w:sz w:val="32"/>
          <w:szCs w:val="28"/>
          <w:lang w:val="en-US" w:eastAsia="zh-CN"/>
        </w:rPr>
        <w:t>制定</w:t>
      </w:r>
    </w:p>
    <w:bookmarkEnd w:id="2415"/>
    <w:bookmarkEnd w:id="2416"/>
    <w:p>
      <w:pPr>
        <w:pStyle w:val="5"/>
        <w:jc w:val="center"/>
        <w:rPr>
          <w:rFonts w:ascii="宋体" w:hAnsi="宋体"/>
          <w:b w:val="0"/>
          <w:szCs w:val="44"/>
        </w:rPr>
      </w:pPr>
      <w:bookmarkStart w:id="2417" w:name="_Toc497907134"/>
      <w:r>
        <w:rPr>
          <w:rFonts w:hint="eastAsia" w:ascii="宋体" w:hAnsi="宋体"/>
          <w:szCs w:val="44"/>
        </w:rPr>
        <w:t>第一部分 合同协议书</w:t>
      </w:r>
      <w:bookmarkEnd w:id="2417"/>
    </w:p>
    <w:p>
      <w:pPr>
        <w:spacing w:line="360" w:lineRule="auto"/>
        <w:rPr>
          <w:rFonts w:hint="eastAsia" w:ascii="宋体" w:hAnsi="宋体" w:cs="宋体"/>
          <w:b/>
          <w:szCs w:val="30"/>
          <w:u w:val="single"/>
        </w:rPr>
      </w:pPr>
      <w:r>
        <w:rPr>
          <w:rFonts w:hint="eastAsia" w:ascii="宋体" w:hAnsi="宋体"/>
          <w:b/>
          <w:szCs w:val="30"/>
        </w:rPr>
        <w:t>发包人（全称）：</w:t>
      </w:r>
      <w:r>
        <w:rPr>
          <w:rFonts w:hint="eastAsia" w:ascii="宋体" w:hAnsi="宋体" w:cs="宋体"/>
          <w:b/>
          <w:szCs w:val="30"/>
          <w:u w:val="single"/>
        </w:rPr>
        <w:t>                    </w:t>
      </w:r>
    </w:p>
    <w:p>
      <w:pPr>
        <w:spacing w:line="360" w:lineRule="auto"/>
        <w:rPr>
          <w:rFonts w:hint="eastAsia" w:ascii="宋体" w:hAnsi="宋体" w:cs="宋体"/>
          <w:b/>
          <w:szCs w:val="30"/>
          <w:u w:val="single"/>
        </w:rPr>
      </w:pPr>
      <w:r>
        <w:rPr>
          <w:rFonts w:hint="eastAsia" w:ascii="宋体" w:hAnsi="宋体"/>
          <w:b/>
          <w:szCs w:val="30"/>
        </w:rPr>
        <w:t>承包人（全称）：</w:t>
      </w:r>
      <w:r>
        <w:rPr>
          <w:rFonts w:hint="eastAsia" w:ascii="宋体" w:hAnsi="宋体" w:cs="宋体"/>
          <w:b/>
          <w:szCs w:val="30"/>
          <w:u w:val="single"/>
        </w:rPr>
        <w:t>              </w:t>
      </w:r>
    </w:p>
    <w:p>
      <w:pPr>
        <w:spacing w:line="360" w:lineRule="auto"/>
        <w:ind w:firstLine="480" w:firstLineChars="200"/>
        <w:rPr>
          <w:rFonts w:ascii="宋体" w:hAnsi="宋体"/>
          <w:szCs w:val="30"/>
        </w:rPr>
      </w:pPr>
      <w:r>
        <w:rPr>
          <w:rFonts w:hint="eastAsia" w:ascii="宋体" w:hAnsi="宋体"/>
          <w:szCs w:val="30"/>
        </w:rPr>
        <w:t>根据《中华人民共和国合同法》、《中华人民共和国建筑法》及有关法律规定，遵循平等、自愿、公平和诚实信用的原则，双方就</w:t>
      </w:r>
      <w:r>
        <w:rPr>
          <w:rFonts w:hint="eastAsia" w:ascii="宋体" w:hAnsi="宋体"/>
          <w:szCs w:val="30"/>
          <w:u w:val="single"/>
        </w:rPr>
        <w:t xml:space="preserve"> </w:t>
      </w:r>
      <w:r>
        <w:rPr>
          <w:rFonts w:ascii="宋体" w:hAnsi="宋体"/>
          <w:szCs w:val="30"/>
          <w:u w:val="single"/>
        </w:rPr>
        <w:t xml:space="preserve">                </w:t>
      </w:r>
      <w:r>
        <w:rPr>
          <w:rFonts w:hint="eastAsia" w:ascii="宋体" w:hAnsi="宋体"/>
          <w:szCs w:val="30"/>
        </w:rPr>
        <w:t>工程施工及有关事项协商一致，共同达成如下协议：</w:t>
      </w:r>
    </w:p>
    <w:p>
      <w:pPr>
        <w:pStyle w:val="6"/>
        <w:spacing w:before="120" w:after="120"/>
        <w:rPr>
          <w:rFonts w:ascii="宋体" w:hAnsi="宋体"/>
          <w:bCs w:val="0"/>
          <w:szCs w:val="32"/>
        </w:rPr>
      </w:pPr>
      <w:r>
        <w:rPr>
          <w:rFonts w:ascii="宋体" w:hAnsi="宋体"/>
          <w:bCs w:val="0"/>
          <w:szCs w:val="32"/>
        </w:rPr>
        <w:t xml:space="preserve">   </w:t>
      </w:r>
      <w:r>
        <w:rPr>
          <w:rFonts w:ascii="宋体" w:hAnsi="宋体"/>
          <w:b w:val="0"/>
          <w:szCs w:val="32"/>
        </w:rPr>
        <w:t xml:space="preserve"> </w:t>
      </w:r>
      <w:bookmarkStart w:id="2418" w:name="_Toc351203481"/>
      <w:r>
        <w:rPr>
          <w:rFonts w:hint="eastAsia" w:ascii="宋体" w:hAnsi="宋体"/>
          <w:b w:val="0"/>
          <w:szCs w:val="32"/>
        </w:rPr>
        <w:t>一、工程概况</w:t>
      </w:r>
      <w:bookmarkEnd w:id="2418"/>
    </w:p>
    <w:p>
      <w:pPr>
        <w:spacing w:line="360" w:lineRule="auto"/>
        <w:ind w:firstLine="470" w:firstLineChars="196"/>
        <w:rPr>
          <w:rFonts w:ascii="宋体" w:hAnsi="宋体"/>
          <w:szCs w:val="30"/>
          <w:u w:val="single"/>
        </w:rPr>
      </w:pPr>
      <w:r>
        <w:rPr>
          <w:rFonts w:ascii="宋体" w:hAnsi="宋体"/>
          <w:bCs/>
          <w:szCs w:val="30"/>
        </w:rPr>
        <w:t>1.</w:t>
      </w:r>
      <w:r>
        <w:rPr>
          <w:rFonts w:hint="eastAsia" w:ascii="宋体" w:hAnsi="宋体"/>
          <w:bCs/>
          <w:szCs w:val="30"/>
        </w:rPr>
        <w:t>工程名称</w:t>
      </w:r>
      <w:r>
        <w:rPr>
          <w:rFonts w:hint="eastAsia" w:ascii="宋体" w:hAnsi="宋体"/>
          <w:szCs w:val="30"/>
        </w:rPr>
        <w:t>：</w:t>
      </w:r>
      <w:r>
        <w:rPr>
          <w:rFonts w:hint="eastAsia" w:ascii="宋体" w:hAnsi="宋体"/>
          <w:szCs w:val="30"/>
          <w:u w:val="single"/>
        </w:rPr>
        <w:t xml:space="preserve"> </w:t>
      </w:r>
      <w:r>
        <w:rPr>
          <w:rFonts w:ascii="宋体" w:hAnsi="宋体"/>
          <w:szCs w:val="30"/>
          <w:u w:val="single"/>
        </w:rPr>
        <w:t xml:space="preserve">                          </w:t>
      </w:r>
    </w:p>
    <w:p>
      <w:pPr>
        <w:ind w:firstLine="480" w:firstLineChars="200"/>
        <w:rPr>
          <w:rFonts w:ascii="宋体" w:hAnsi="宋体"/>
          <w:szCs w:val="30"/>
          <w:u w:val="single"/>
        </w:rPr>
      </w:pPr>
      <w:r>
        <w:rPr>
          <w:rFonts w:ascii="宋体" w:hAnsi="宋体"/>
          <w:bCs/>
          <w:szCs w:val="30"/>
        </w:rPr>
        <w:t>2.</w:t>
      </w:r>
      <w:r>
        <w:rPr>
          <w:rFonts w:hint="eastAsia" w:ascii="宋体" w:hAnsi="宋体"/>
          <w:bCs/>
          <w:szCs w:val="30"/>
        </w:rPr>
        <w:t>工程地点：</w:t>
      </w:r>
      <w:r>
        <w:rPr>
          <w:rFonts w:hint="eastAsia" w:ascii="宋体" w:hAnsi="宋体"/>
          <w:szCs w:val="30"/>
          <w:u w:val="single"/>
        </w:rPr>
        <w:t xml:space="preserve"> </w:t>
      </w:r>
      <w:r>
        <w:rPr>
          <w:rFonts w:ascii="宋体" w:hAnsi="宋体"/>
          <w:szCs w:val="30"/>
          <w:u w:val="single"/>
        </w:rPr>
        <w:t xml:space="preserve">                          </w:t>
      </w:r>
    </w:p>
    <w:p>
      <w:pPr>
        <w:spacing w:line="360" w:lineRule="auto"/>
        <w:ind w:firstLine="470" w:firstLineChars="196"/>
        <w:rPr>
          <w:rFonts w:ascii="宋体" w:hAnsi="宋体"/>
          <w:bCs/>
          <w:szCs w:val="30"/>
        </w:rPr>
      </w:pPr>
      <w:r>
        <w:rPr>
          <w:rFonts w:ascii="宋体" w:hAnsi="宋体"/>
          <w:bCs/>
          <w:szCs w:val="30"/>
        </w:rPr>
        <w:t>3.</w:t>
      </w:r>
      <w:r>
        <w:rPr>
          <w:rFonts w:hint="eastAsia" w:ascii="宋体" w:hAnsi="宋体"/>
          <w:bCs/>
          <w:szCs w:val="30"/>
        </w:rPr>
        <w:t>工程立项批准文号：</w:t>
      </w:r>
      <w:r>
        <w:rPr>
          <w:rFonts w:hint="eastAsia" w:ascii="宋体" w:hAnsi="宋体" w:cs="宋体"/>
          <w:szCs w:val="30"/>
          <w:u w:val="single"/>
        </w:rPr>
        <w:t></w:t>
      </w:r>
      <w:r>
        <w:rPr>
          <w:rFonts w:hint="eastAsia" w:ascii="宋体" w:hAnsi="宋体"/>
          <w:szCs w:val="30"/>
          <w:u w:val="single"/>
        </w:rPr>
        <w:t xml:space="preserve"> </w:t>
      </w:r>
      <w:r>
        <w:rPr>
          <w:rFonts w:ascii="宋体" w:hAnsi="宋体"/>
          <w:szCs w:val="30"/>
          <w:u w:val="single"/>
        </w:rPr>
        <w:t xml:space="preserve">                </w:t>
      </w:r>
    </w:p>
    <w:p>
      <w:pPr>
        <w:spacing w:line="360" w:lineRule="auto"/>
        <w:ind w:firstLine="470" w:firstLineChars="196"/>
        <w:rPr>
          <w:rFonts w:ascii="宋体" w:hAnsi="宋体"/>
          <w:bCs/>
          <w:szCs w:val="30"/>
        </w:rPr>
      </w:pPr>
      <w:r>
        <w:rPr>
          <w:rFonts w:ascii="宋体" w:hAnsi="宋体"/>
          <w:bCs/>
          <w:szCs w:val="30"/>
        </w:rPr>
        <w:t>4.</w:t>
      </w:r>
      <w:r>
        <w:rPr>
          <w:rFonts w:hint="eastAsia" w:ascii="宋体" w:hAnsi="宋体"/>
          <w:bCs/>
          <w:szCs w:val="30"/>
        </w:rPr>
        <w:t>资金来源：</w:t>
      </w:r>
      <w:r>
        <w:rPr>
          <w:rFonts w:hint="eastAsia" w:ascii="宋体" w:hAnsi="宋体" w:cs="宋体"/>
          <w:szCs w:val="30"/>
          <w:u w:val="single"/>
        </w:rPr>
        <w:t></w:t>
      </w:r>
      <w:r>
        <w:rPr>
          <w:rFonts w:hint="eastAsia" w:ascii="宋体" w:hAnsi="宋体"/>
          <w:szCs w:val="30"/>
          <w:u w:val="single"/>
        </w:rPr>
        <w:t xml:space="preserve"> </w:t>
      </w:r>
      <w:r>
        <w:rPr>
          <w:rFonts w:ascii="宋体" w:hAnsi="宋体"/>
          <w:szCs w:val="30"/>
          <w:u w:val="single"/>
        </w:rPr>
        <w:t xml:space="preserve">                     </w:t>
      </w:r>
    </w:p>
    <w:p>
      <w:pPr>
        <w:spacing w:line="360" w:lineRule="auto"/>
        <w:ind w:firstLine="470" w:firstLineChars="196"/>
        <w:rPr>
          <w:rFonts w:ascii="宋体" w:hAnsi="宋体"/>
          <w:bCs/>
          <w:szCs w:val="30"/>
        </w:rPr>
      </w:pPr>
      <w:r>
        <w:rPr>
          <w:rFonts w:ascii="宋体" w:hAnsi="宋体"/>
          <w:bCs/>
          <w:szCs w:val="30"/>
        </w:rPr>
        <w:t>5.</w:t>
      </w:r>
      <w:r>
        <w:rPr>
          <w:rFonts w:hint="eastAsia" w:ascii="宋体" w:hAnsi="宋体"/>
          <w:bCs/>
          <w:szCs w:val="30"/>
        </w:rPr>
        <w:t>工程内容：</w:t>
      </w:r>
      <w:r>
        <w:rPr>
          <w:rFonts w:hint="eastAsia" w:ascii="宋体" w:hAnsi="宋体" w:cs="宋体"/>
          <w:szCs w:val="30"/>
          <w:u w:val="single"/>
        </w:rPr>
        <w:t>详见</w:t>
      </w:r>
      <w:r>
        <w:rPr>
          <w:rFonts w:hint="eastAsia" w:ascii="宋体" w:hAnsi="宋体"/>
          <w:szCs w:val="30"/>
          <w:u w:val="single"/>
        </w:rPr>
        <w:t>工程量清单及施工图全部内容</w:t>
      </w:r>
      <w:r>
        <w:rPr>
          <w:rFonts w:hint="eastAsia" w:ascii="宋体" w:hAnsi="宋体" w:cs="宋体"/>
          <w:szCs w:val="30"/>
          <w:u w:val="single"/>
        </w:rPr>
        <w:t></w:t>
      </w:r>
      <w:r>
        <w:rPr>
          <w:rFonts w:ascii="宋体" w:hAnsi="宋体"/>
          <w:szCs w:val="30"/>
          <w:u w:val="single"/>
        </w:rPr>
        <w:t xml:space="preserve"> </w:t>
      </w:r>
      <w:r>
        <w:rPr>
          <w:rFonts w:hint="eastAsia" w:ascii="宋体" w:hAnsi="宋体"/>
          <w:bCs/>
          <w:szCs w:val="30"/>
        </w:rPr>
        <w:t>。</w:t>
      </w:r>
    </w:p>
    <w:p>
      <w:pPr>
        <w:spacing w:line="360" w:lineRule="auto"/>
        <w:ind w:firstLine="470" w:firstLineChars="196"/>
        <w:rPr>
          <w:rFonts w:ascii="宋体" w:hAnsi="宋体"/>
          <w:bCs/>
          <w:color w:val="FF0000"/>
          <w:szCs w:val="30"/>
        </w:rPr>
      </w:pPr>
      <w:r>
        <w:rPr>
          <w:rFonts w:hint="eastAsia" w:ascii="宋体" w:hAnsi="宋体"/>
          <w:szCs w:val="32"/>
        </w:rPr>
        <w:t>群体工程应附《承包人承揽工程项目一览表》（附件</w:t>
      </w:r>
      <w:r>
        <w:rPr>
          <w:rFonts w:ascii="宋体" w:hAnsi="宋体"/>
          <w:szCs w:val="32"/>
        </w:rPr>
        <w:t>1</w:t>
      </w:r>
      <w:r>
        <w:rPr>
          <w:rFonts w:hint="eastAsia" w:ascii="宋体" w:hAnsi="宋体"/>
          <w:szCs w:val="32"/>
        </w:rPr>
        <w:t>）。</w:t>
      </w:r>
    </w:p>
    <w:p>
      <w:pPr>
        <w:spacing w:line="360" w:lineRule="auto"/>
        <w:ind w:firstLine="470" w:firstLineChars="196"/>
        <w:rPr>
          <w:rFonts w:ascii="宋体" w:hAnsi="宋体"/>
          <w:bCs/>
          <w:color w:val="000000"/>
          <w:szCs w:val="30"/>
        </w:rPr>
      </w:pPr>
      <w:r>
        <w:rPr>
          <w:rFonts w:ascii="宋体" w:hAnsi="宋体"/>
          <w:bCs/>
          <w:color w:val="000000"/>
          <w:szCs w:val="30"/>
        </w:rPr>
        <w:t>6.</w:t>
      </w:r>
      <w:r>
        <w:rPr>
          <w:rFonts w:hint="eastAsia" w:ascii="宋体" w:hAnsi="宋体"/>
          <w:bCs/>
          <w:color w:val="000000"/>
          <w:szCs w:val="30"/>
        </w:rPr>
        <w:t>工程承包范围：</w:t>
      </w:r>
    </w:p>
    <w:p>
      <w:pPr>
        <w:spacing w:line="360" w:lineRule="auto"/>
        <w:ind w:firstLine="463" w:firstLineChars="193"/>
        <w:rPr>
          <w:rFonts w:ascii="宋体" w:hAnsi="宋体"/>
          <w:szCs w:val="30"/>
        </w:rPr>
      </w:pPr>
      <w:r>
        <w:rPr>
          <w:rFonts w:hint="eastAsia" w:ascii="宋体" w:hAnsi="宋体" w:cs="宋体"/>
          <w:szCs w:val="30"/>
          <w:u w:val="single"/>
        </w:rPr>
        <w:t>   </w:t>
      </w:r>
    </w:p>
    <w:p>
      <w:pPr>
        <w:spacing w:line="360" w:lineRule="auto"/>
        <w:ind w:firstLine="480" w:firstLineChars="200"/>
        <w:rPr>
          <w:rFonts w:ascii="宋体" w:hAnsi="宋体"/>
          <w:szCs w:val="30"/>
        </w:rPr>
      </w:pPr>
      <w:r>
        <w:rPr>
          <w:rFonts w:hint="eastAsia" w:ascii="宋体" w:hAnsi="宋体" w:cs="宋体"/>
          <w:szCs w:val="30"/>
          <w:u w:val="single"/>
        </w:rPr>
        <w:t> </w:t>
      </w:r>
      <w:r>
        <w:rPr>
          <w:rFonts w:hint="eastAsia" w:ascii="宋体" w:hAnsi="宋体"/>
          <w:szCs w:val="30"/>
        </w:rPr>
        <w:t>。</w:t>
      </w:r>
    </w:p>
    <w:p>
      <w:pPr>
        <w:pStyle w:val="6"/>
        <w:spacing w:before="120" w:after="120"/>
        <w:rPr>
          <w:rFonts w:ascii="宋体" w:hAnsi="宋体"/>
          <w:b w:val="0"/>
          <w:szCs w:val="32"/>
        </w:rPr>
      </w:pPr>
      <w:r>
        <w:rPr>
          <w:rFonts w:ascii="宋体" w:hAnsi="宋体"/>
          <w:b w:val="0"/>
          <w:szCs w:val="32"/>
        </w:rPr>
        <w:t xml:space="preserve">   </w:t>
      </w:r>
      <w:bookmarkStart w:id="2419" w:name="_Toc351203482"/>
      <w:r>
        <w:rPr>
          <w:rFonts w:hint="eastAsia" w:ascii="宋体" w:hAnsi="宋体"/>
          <w:b w:val="0"/>
          <w:szCs w:val="32"/>
        </w:rPr>
        <w:t>二、合同工期</w:t>
      </w:r>
      <w:bookmarkEnd w:id="2419"/>
    </w:p>
    <w:p>
      <w:pPr>
        <w:spacing w:line="360" w:lineRule="auto"/>
        <w:ind w:firstLine="459"/>
        <w:rPr>
          <w:rFonts w:ascii="宋体" w:hAnsi="宋体"/>
          <w:szCs w:val="30"/>
        </w:rPr>
      </w:pPr>
      <w:r>
        <w:rPr>
          <w:rFonts w:hint="eastAsia" w:ascii="宋体" w:hAnsi="宋体"/>
          <w:szCs w:val="30"/>
        </w:rPr>
        <w:t>计划开工日期：</w:t>
      </w:r>
      <w:r>
        <w:rPr>
          <w:rFonts w:hint="eastAsia" w:ascii="宋体" w:hAnsi="宋体" w:cs="宋体"/>
          <w:szCs w:val="30"/>
          <w:u w:val="single"/>
        </w:rPr>
        <w:t></w:t>
      </w:r>
      <w:r>
        <w:rPr>
          <w:rFonts w:hint="eastAsia" w:ascii="宋体" w:hAnsi="宋体"/>
          <w:szCs w:val="30"/>
        </w:rPr>
        <w:t>年</w:t>
      </w:r>
      <w:r>
        <w:rPr>
          <w:rFonts w:hint="eastAsia" w:ascii="宋体" w:hAnsi="宋体" w:cs="宋体"/>
          <w:szCs w:val="30"/>
          <w:u w:val="single"/>
        </w:rPr>
        <w:t></w:t>
      </w:r>
      <w:r>
        <w:rPr>
          <w:rFonts w:hint="eastAsia" w:ascii="宋体" w:hAnsi="宋体"/>
          <w:szCs w:val="30"/>
        </w:rPr>
        <w:t>月</w:t>
      </w:r>
      <w:r>
        <w:rPr>
          <w:rFonts w:hint="eastAsia" w:ascii="宋体" w:hAnsi="宋体" w:cs="宋体"/>
          <w:szCs w:val="30"/>
          <w:u w:val="single"/>
        </w:rPr>
        <w:t></w:t>
      </w:r>
      <w:r>
        <w:rPr>
          <w:rFonts w:hint="eastAsia" w:ascii="宋体" w:hAnsi="宋体"/>
          <w:szCs w:val="30"/>
        </w:rPr>
        <w:t>日。</w:t>
      </w:r>
    </w:p>
    <w:p>
      <w:pPr>
        <w:spacing w:line="360" w:lineRule="auto"/>
        <w:ind w:firstLine="459"/>
        <w:rPr>
          <w:rFonts w:ascii="宋体" w:hAnsi="宋体"/>
          <w:szCs w:val="30"/>
        </w:rPr>
      </w:pPr>
      <w:r>
        <w:rPr>
          <w:rFonts w:hint="eastAsia" w:ascii="宋体" w:hAnsi="宋体"/>
          <w:szCs w:val="30"/>
        </w:rPr>
        <w:t>计划竣工日期：</w:t>
      </w:r>
      <w:r>
        <w:rPr>
          <w:rFonts w:hint="eastAsia" w:ascii="宋体" w:hAnsi="宋体" w:cs="宋体"/>
          <w:szCs w:val="30"/>
          <w:u w:val="single"/>
        </w:rPr>
        <w:t></w:t>
      </w:r>
      <w:r>
        <w:rPr>
          <w:rFonts w:hint="eastAsia" w:ascii="宋体" w:hAnsi="宋体"/>
          <w:szCs w:val="30"/>
        </w:rPr>
        <w:t>年</w:t>
      </w:r>
      <w:r>
        <w:rPr>
          <w:rFonts w:hint="eastAsia" w:ascii="宋体" w:hAnsi="宋体" w:cs="宋体"/>
          <w:szCs w:val="30"/>
          <w:u w:val="single"/>
        </w:rPr>
        <w:t></w:t>
      </w:r>
      <w:r>
        <w:rPr>
          <w:rFonts w:hint="eastAsia" w:ascii="宋体" w:hAnsi="宋体"/>
          <w:szCs w:val="30"/>
        </w:rPr>
        <w:t>月</w:t>
      </w:r>
      <w:r>
        <w:rPr>
          <w:rFonts w:hint="eastAsia" w:ascii="宋体" w:hAnsi="宋体" w:cs="宋体"/>
          <w:szCs w:val="30"/>
          <w:u w:val="single"/>
        </w:rPr>
        <w:t></w:t>
      </w:r>
      <w:r>
        <w:rPr>
          <w:rFonts w:hint="eastAsia" w:ascii="宋体" w:hAnsi="宋体"/>
          <w:szCs w:val="30"/>
        </w:rPr>
        <w:t>日。</w:t>
      </w:r>
    </w:p>
    <w:p>
      <w:pPr>
        <w:spacing w:line="360" w:lineRule="auto"/>
        <w:ind w:firstLine="459"/>
        <w:rPr>
          <w:rFonts w:ascii="宋体" w:hAnsi="宋体"/>
          <w:szCs w:val="30"/>
        </w:rPr>
      </w:pPr>
      <w:r>
        <w:rPr>
          <w:rFonts w:hint="eastAsia" w:ascii="宋体" w:hAnsi="宋体"/>
          <w:szCs w:val="30"/>
        </w:rPr>
        <w:t>工期总日历天数：</w:t>
      </w:r>
      <w:r>
        <w:rPr>
          <w:rFonts w:hint="eastAsia" w:ascii="宋体" w:hAnsi="宋体" w:cs="宋体"/>
          <w:szCs w:val="30"/>
          <w:u w:val="single"/>
        </w:rPr>
        <w:t></w:t>
      </w:r>
      <w:r>
        <w:rPr>
          <w:rFonts w:hint="eastAsia" w:ascii="宋体" w:hAnsi="宋体" w:cs="宋体"/>
          <w:color w:val="FF0000"/>
          <w:szCs w:val="30"/>
          <w:u w:val="single"/>
        </w:rPr>
        <w:t>一年</w:t>
      </w:r>
      <w:r>
        <w:rPr>
          <w:rFonts w:hint="eastAsia" w:ascii="宋体" w:hAnsi="宋体"/>
          <w:color w:val="FF0000"/>
          <w:szCs w:val="30"/>
        </w:rPr>
        <w:t>,其中泉润大道管廊为8个月(项目公司参照执行，但不得超过PPP合同相关规定)</w:t>
      </w:r>
      <w:r>
        <w:rPr>
          <w:rFonts w:hint="eastAsia" w:ascii="宋体" w:hAnsi="宋体"/>
          <w:szCs w:val="30"/>
        </w:rPr>
        <w:t>。工期总日历天数与根据前述计划开竣工日期计算的工期天数不一致的，以工期总日历天数为准。</w:t>
      </w:r>
    </w:p>
    <w:p>
      <w:pPr>
        <w:pStyle w:val="6"/>
        <w:spacing w:before="120" w:after="120"/>
        <w:rPr>
          <w:rFonts w:ascii="宋体" w:hAnsi="宋体"/>
          <w:bCs w:val="0"/>
          <w:szCs w:val="32"/>
        </w:rPr>
      </w:pPr>
      <w:r>
        <w:rPr>
          <w:rFonts w:ascii="宋体" w:hAnsi="宋体"/>
          <w:bCs w:val="0"/>
          <w:szCs w:val="32"/>
        </w:rPr>
        <w:t xml:space="preserve">    </w:t>
      </w:r>
      <w:bookmarkStart w:id="2420" w:name="_Toc351203483"/>
      <w:r>
        <w:rPr>
          <w:rFonts w:hint="eastAsia" w:ascii="宋体" w:hAnsi="宋体"/>
          <w:b w:val="0"/>
          <w:szCs w:val="32"/>
        </w:rPr>
        <w:t>三、质量标准</w:t>
      </w:r>
      <w:bookmarkEnd w:id="2420"/>
    </w:p>
    <w:p>
      <w:pPr>
        <w:spacing w:line="360" w:lineRule="auto"/>
        <w:ind w:firstLine="459"/>
        <w:rPr>
          <w:rFonts w:ascii="宋体" w:hAnsi="宋体"/>
          <w:szCs w:val="30"/>
        </w:rPr>
      </w:pPr>
      <w:r>
        <w:rPr>
          <w:rFonts w:hint="eastAsia" w:ascii="宋体" w:hAnsi="宋体"/>
          <w:szCs w:val="30"/>
        </w:rPr>
        <w:t>工程质量符合</w:t>
      </w:r>
      <w:r>
        <w:rPr>
          <w:rFonts w:hint="eastAsia" w:ascii="宋体" w:hAnsi="宋体" w:cs="宋体"/>
          <w:szCs w:val="30"/>
          <w:u w:val="single"/>
        </w:rPr>
        <w:t></w:t>
      </w:r>
      <w:r>
        <w:rPr>
          <w:rFonts w:ascii="宋体" w:hAnsi="宋体"/>
          <w:szCs w:val="30"/>
          <w:u w:val="single"/>
        </w:rPr>
        <w:t>合格</w:t>
      </w:r>
      <w:r>
        <w:rPr>
          <w:rFonts w:hint="eastAsia" w:ascii="宋体" w:hAnsi="宋体" w:cs="宋体"/>
          <w:szCs w:val="30"/>
          <w:u w:val="single"/>
        </w:rPr>
        <w:t></w:t>
      </w:r>
      <w:r>
        <w:rPr>
          <w:rFonts w:hint="eastAsia" w:ascii="宋体" w:hAnsi="宋体"/>
          <w:szCs w:val="30"/>
        </w:rPr>
        <w:t>标准。</w:t>
      </w:r>
    </w:p>
    <w:p>
      <w:pPr>
        <w:pStyle w:val="6"/>
        <w:spacing w:before="120" w:after="120"/>
        <w:rPr>
          <w:rFonts w:ascii="宋体" w:hAnsi="宋体"/>
          <w:bCs w:val="0"/>
          <w:szCs w:val="32"/>
        </w:rPr>
      </w:pPr>
      <w:r>
        <w:rPr>
          <w:rFonts w:ascii="宋体" w:hAnsi="宋体"/>
          <w:bCs w:val="0"/>
          <w:szCs w:val="32"/>
        </w:rPr>
        <w:t xml:space="preserve">   </w:t>
      </w:r>
      <w:r>
        <w:rPr>
          <w:rFonts w:ascii="宋体" w:hAnsi="宋体"/>
          <w:b w:val="0"/>
          <w:szCs w:val="32"/>
        </w:rPr>
        <w:t xml:space="preserve"> </w:t>
      </w:r>
      <w:bookmarkStart w:id="2421" w:name="_Toc351203484"/>
      <w:r>
        <w:rPr>
          <w:rFonts w:hint="eastAsia" w:ascii="宋体" w:hAnsi="宋体"/>
          <w:b w:val="0"/>
          <w:szCs w:val="32"/>
        </w:rPr>
        <w:t>四、签约合同价与合同价格形式</w:t>
      </w:r>
      <w:bookmarkEnd w:id="2421"/>
      <w:r>
        <w:rPr>
          <w:rFonts w:ascii="宋体" w:hAnsi="宋体"/>
          <w:b w:val="0"/>
          <w:szCs w:val="32"/>
        </w:rPr>
        <w:tab/>
      </w:r>
    </w:p>
    <w:p>
      <w:pPr>
        <w:spacing w:line="360" w:lineRule="auto"/>
        <w:ind w:firstLine="480" w:firstLineChars="200"/>
        <w:rPr>
          <w:rFonts w:ascii="宋体" w:hAnsi="宋体"/>
          <w:szCs w:val="30"/>
        </w:rPr>
      </w:pPr>
      <w:r>
        <w:rPr>
          <w:rFonts w:ascii="宋体" w:hAnsi="宋体"/>
          <w:szCs w:val="30"/>
        </w:rPr>
        <w:t>1.</w:t>
      </w:r>
      <w:r>
        <w:rPr>
          <w:rFonts w:hint="eastAsia" w:ascii="宋体" w:hAnsi="宋体"/>
          <w:szCs w:val="30"/>
        </w:rPr>
        <w:t>签约合同价为：</w:t>
      </w:r>
    </w:p>
    <w:p>
      <w:pPr>
        <w:spacing w:line="360" w:lineRule="auto"/>
        <w:ind w:firstLine="600" w:firstLineChars="250"/>
        <w:rPr>
          <w:rFonts w:ascii="宋体" w:hAnsi="宋体"/>
          <w:szCs w:val="30"/>
        </w:rPr>
      </w:pPr>
      <w:r>
        <w:rPr>
          <w:rFonts w:hint="eastAsia" w:ascii="宋体" w:hAnsi="宋体"/>
          <w:szCs w:val="30"/>
        </w:rPr>
        <w:t>人民币（大写）</w:t>
      </w:r>
      <w:r>
        <w:rPr>
          <w:rFonts w:ascii="宋体" w:hAnsi="宋体"/>
          <w:szCs w:val="30"/>
          <w:u w:val="single"/>
        </w:rPr>
        <w:t xml:space="preserve">                 </w:t>
      </w:r>
      <w:r>
        <w:rPr>
          <w:rFonts w:ascii="宋体" w:hAnsi="宋体"/>
          <w:szCs w:val="30"/>
        </w:rPr>
        <w:t>(¥</w:t>
      </w:r>
      <w:r>
        <w:rPr>
          <w:rFonts w:ascii="宋体" w:hAnsi="宋体"/>
          <w:szCs w:val="30"/>
          <w:u w:val="single"/>
        </w:rPr>
        <w:t xml:space="preserve">            </w:t>
      </w:r>
      <w:r>
        <w:rPr>
          <w:rFonts w:hint="eastAsia" w:ascii="宋体" w:hAnsi="宋体"/>
          <w:szCs w:val="30"/>
        </w:rPr>
        <w:t>元</w:t>
      </w:r>
      <w:r>
        <w:rPr>
          <w:rFonts w:ascii="宋体" w:hAnsi="宋体"/>
          <w:szCs w:val="30"/>
        </w:rPr>
        <w:t>)</w:t>
      </w:r>
      <w:r>
        <w:rPr>
          <w:rFonts w:hint="eastAsia" w:ascii="宋体" w:hAnsi="宋体"/>
          <w:szCs w:val="30"/>
        </w:rPr>
        <w:t>；</w:t>
      </w:r>
    </w:p>
    <w:p>
      <w:pPr>
        <w:spacing w:line="360" w:lineRule="auto"/>
        <w:ind w:firstLine="480" w:firstLineChars="200"/>
        <w:rPr>
          <w:rFonts w:ascii="宋体" w:hAnsi="宋体"/>
          <w:szCs w:val="30"/>
        </w:rPr>
      </w:pPr>
      <w:r>
        <w:rPr>
          <w:rFonts w:hint="eastAsia" w:ascii="宋体" w:hAnsi="宋体"/>
          <w:szCs w:val="30"/>
        </w:rPr>
        <w:t>其中：</w:t>
      </w:r>
    </w:p>
    <w:p>
      <w:pPr>
        <w:spacing w:line="360" w:lineRule="auto"/>
        <w:ind w:firstLine="480" w:firstLineChars="200"/>
        <w:rPr>
          <w:rFonts w:ascii="宋体" w:hAnsi="宋体"/>
          <w:szCs w:val="30"/>
        </w:rPr>
      </w:pPr>
      <w:r>
        <w:rPr>
          <w:rFonts w:hint="eastAsia" w:ascii="宋体" w:hAnsi="宋体"/>
          <w:szCs w:val="30"/>
        </w:rPr>
        <w:t>（</w:t>
      </w:r>
      <w:r>
        <w:rPr>
          <w:rFonts w:ascii="宋体" w:hAnsi="宋体"/>
          <w:szCs w:val="30"/>
        </w:rPr>
        <w:t>1</w:t>
      </w:r>
      <w:r>
        <w:rPr>
          <w:rFonts w:hint="eastAsia" w:ascii="宋体" w:hAnsi="宋体"/>
          <w:szCs w:val="30"/>
        </w:rPr>
        <w:t>）安全文明施工费：</w:t>
      </w:r>
    </w:p>
    <w:p>
      <w:pPr>
        <w:spacing w:line="360" w:lineRule="auto"/>
        <w:ind w:firstLine="1080" w:firstLineChars="450"/>
        <w:rPr>
          <w:rFonts w:ascii="宋体" w:hAnsi="宋体"/>
          <w:szCs w:val="30"/>
        </w:rPr>
      </w:pPr>
      <w:r>
        <w:rPr>
          <w:rFonts w:hint="eastAsia" w:ascii="宋体" w:hAnsi="宋体"/>
          <w:szCs w:val="30"/>
        </w:rPr>
        <w:t>人民币（大写）</w:t>
      </w:r>
      <w:r>
        <w:rPr>
          <w:rFonts w:ascii="宋体" w:hAnsi="宋体"/>
          <w:szCs w:val="30"/>
          <w:u w:val="single"/>
        </w:rPr>
        <w:t xml:space="preserve">              </w:t>
      </w:r>
      <w:r>
        <w:rPr>
          <w:rFonts w:ascii="宋体" w:hAnsi="宋体"/>
          <w:szCs w:val="30"/>
        </w:rPr>
        <w:t xml:space="preserve"> (¥</w:t>
      </w:r>
      <w:r>
        <w:rPr>
          <w:rFonts w:ascii="宋体" w:hAnsi="宋体"/>
          <w:szCs w:val="30"/>
          <w:u w:val="single"/>
        </w:rPr>
        <w:t xml:space="preserve">          </w:t>
      </w:r>
      <w:r>
        <w:rPr>
          <w:rFonts w:hint="eastAsia" w:ascii="宋体" w:hAnsi="宋体"/>
          <w:szCs w:val="30"/>
        </w:rPr>
        <w:t>元</w:t>
      </w:r>
      <w:r>
        <w:rPr>
          <w:rFonts w:ascii="宋体" w:hAnsi="宋体"/>
          <w:szCs w:val="30"/>
        </w:rPr>
        <w:t>)</w:t>
      </w:r>
      <w:r>
        <w:rPr>
          <w:rFonts w:hint="eastAsia" w:ascii="宋体" w:hAnsi="宋体"/>
          <w:szCs w:val="30"/>
        </w:rPr>
        <w:t>；</w:t>
      </w:r>
    </w:p>
    <w:p>
      <w:pPr>
        <w:spacing w:line="360" w:lineRule="auto"/>
        <w:ind w:firstLine="480" w:firstLineChars="200"/>
        <w:rPr>
          <w:rFonts w:ascii="宋体" w:hAnsi="宋体"/>
          <w:szCs w:val="30"/>
        </w:rPr>
      </w:pPr>
      <w:r>
        <w:rPr>
          <w:rFonts w:hint="eastAsia" w:ascii="宋体" w:hAnsi="宋体"/>
          <w:szCs w:val="30"/>
        </w:rPr>
        <w:t>（</w:t>
      </w:r>
      <w:r>
        <w:rPr>
          <w:rFonts w:ascii="宋体" w:hAnsi="宋体"/>
          <w:szCs w:val="30"/>
        </w:rPr>
        <w:t>2</w:t>
      </w:r>
      <w:r>
        <w:rPr>
          <w:rFonts w:hint="eastAsia" w:ascii="宋体" w:hAnsi="宋体"/>
          <w:szCs w:val="30"/>
        </w:rPr>
        <w:t>）材料和工程设备暂估价金额：</w:t>
      </w:r>
    </w:p>
    <w:p>
      <w:pPr>
        <w:spacing w:line="360" w:lineRule="auto"/>
        <w:ind w:firstLine="1080" w:firstLineChars="450"/>
        <w:rPr>
          <w:rFonts w:ascii="宋体" w:hAnsi="宋体"/>
          <w:szCs w:val="30"/>
        </w:rPr>
      </w:pPr>
      <w:r>
        <w:rPr>
          <w:rFonts w:hint="eastAsia" w:ascii="宋体" w:hAnsi="宋体"/>
          <w:szCs w:val="30"/>
        </w:rPr>
        <w:t>人民币（大写）</w:t>
      </w:r>
      <w:r>
        <w:rPr>
          <w:rFonts w:ascii="宋体" w:hAnsi="宋体"/>
          <w:szCs w:val="30"/>
          <w:u w:val="single"/>
        </w:rPr>
        <w:t xml:space="preserve">              </w:t>
      </w:r>
      <w:r>
        <w:rPr>
          <w:rFonts w:ascii="宋体" w:hAnsi="宋体"/>
          <w:szCs w:val="30"/>
        </w:rPr>
        <w:t xml:space="preserve"> (¥</w:t>
      </w:r>
      <w:r>
        <w:rPr>
          <w:rFonts w:ascii="宋体" w:hAnsi="宋体"/>
          <w:szCs w:val="30"/>
          <w:u w:val="single"/>
        </w:rPr>
        <w:t xml:space="preserve">          </w:t>
      </w:r>
      <w:r>
        <w:rPr>
          <w:rFonts w:hint="eastAsia" w:ascii="宋体" w:hAnsi="宋体"/>
          <w:szCs w:val="30"/>
        </w:rPr>
        <w:t>元</w:t>
      </w:r>
      <w:r>
        <w:rPr>
          <w:rFonts w:ascii="宋体" w:hAnsi="宋体"/>
          <w:szCs w:val="30"/>
        </w:rPr>
        <w:t>)</w:t>
      </w:r>
      <w:r>
        <w:rPr>
          <w:rFonts w:hint="eastAsia" w:ascii="宋体" w:hAnsi="宋体"/>
          <w:szCs w:val="30"/>
        </w:rPr>
        <w:t>；</w:t>
      </w:r>
    </w:p>
    <w:p>
      <w:pPr>
        <w:spacing w:line="360" w:lineRule="auto"/>
        <w:ind w:firstLine="480" w:firstLineChars="200"/>
        <w:rPr>
          <w:rFonts w:ascii="宋体" w:hAnsi="宋体"/>
          <w:szCs w:val="30"/>
        </w:rPr>
      </w:pPr>
      <w:r>
        <w:rPr>
          <w:rFonts w:hint="eastAsia" w:ascii="宋体" w:hAnsi="宋体"/>
          <w:szCs w:val="30"/>
        </w:rPr>
        <w:t>（</w:t>
      </w:r>
      <w:r>
        <w:rPr>
          <w:rFonts w:ascii="宋体" w:hAnsi="宋体"/>
          <w:szCs w:val="30"/>
        </w:rPr>
        <w:t>3</w:t>
      </w:r>
      <w:r>
        <w:rPr>
          <w:rFonts w:hint="eastAsia" w:ascii="宋体" w:hAnsi="宋体"/>
          <w:szCs w:val="30"/>
        </w:rPr>
        <w:t>）专业工程暂估价金额：</w:t>
      </w:r>
    </w:p>
    <w:p>
      <w:pPr>
        <w:spacing w:line="360" w:lineRule="auto"/>
        <w:ind w:firstLine="1080" w:firstLineChars="450"/>
        <w:rPr>
          <w:rFonts w:ascii="宋体" w:hAnsi="宋体"/>
          <w:szCs w:val="30"/>
        </w:rPr>
      </w:pPr>
      <w:r>
        <w:rPr>
          <w:rFonts w:hint="eastAsia" w:ascii="宋体" w:hAnsi="宋体"/>
          <w:szCs w:val="30"/>
        </w:rPr>
        <w:t>人民币（大写）</w:t>
      </w:r>
      <w:r>
        <w:rPr>
          <w:rFonts w:ascii="宋体" w:hAnsi="宋体"/>
          <w:szCs w:val="30"/>
          <w:u w:val="single"/>
        </w:rPr>
        <w:t xml:space="preserve">              </w:t>
      </w:r>
      <w:r>
        <w:rPr>
          <w:rFonts w:ascii="宋体" w:hAnsi="宋体"/>
          <w:szCs w:val="30"/>
        </w:rPr>
        <w:t xml:space="preserve"> (¥</w:t>
      </w:r>
      <w:r>
        <w:rPr>
          <w:rFonts w:ascii="宋体" w:hAnsi="宋体"/>
          <w:szCs w:val="30"/>
          <w:u w:val="single"/>
        </w:rPr>
        <w:t xml:space="preserve">          </w:t>
      </w:r>
      <w:r>
        <w:rPr>
          <w:rFonts w:hint="eastAsia" w:ascii="宋体" w:hAnsi="宋体"/>
          <w:szCs w:val="30"/>
        </w:rPr>
        <w:t>元</w:t>
      </w:r>
      <w:r>
        <w:rPr>
          <w:rFonts w:ascii="宋体" w:hAnsi="宋体"/>
          <w:szCs w:val="30"/>
        </w:rPr>
        <w:t>)</w:t>
      </w:r>
      <w:r>
        <w:rPr>
          <w:rFonts w:hint="eastAsia" w:ascii="宋体" w:hAnsi="宋体"/>
          <w:szCs w:val="30"/>
        </w:rPr>
        <w:t>；</w:t>
      </w:r>
    </w:p>
    <w:p>
      <w:pPr>
        <w:spacing w:line="360" w:lineRule="auto"/>
        <w:ind w:firstLine="480" w:firstLineChars="200"/>
        <w:rPr>
          <w:rFonts w:ascii="宋体" w:hAnsi="宋体"/>
          <w:szCs w:val="30"/>
        </w:rPr>
      </w:pPr>
      <w:r>
        <w:rPr>
          <w:rFonts w:hint="eastAsia" w:ascii="宋体" w:hAnsi="宋体"/>
          <w:szCs w:val="30"/>
        </w:rPr>
        <w:t>（</w:t>
      </w:r>
      <w:r>
        <w:rPr>
          <w:rFonts w:ascii="宋体" w:hAnsi="宋体"/>
          <w:szCs w:val="30"/>
        </w:rPr>
        <w:t>4</w:t>
      </w:r>
      <w:r>
        <w:rPr>
          <w:rFonts w:hint="eastAsia" w:ascii="宋体" w:hAnsi="宋体"/>
          <w:szCs w:val="30"/>
        </w:rPr>
        <w:t>）暂列金额：</w:t>
      </w:r>
    </w:p>
    <w:p>
      <w:pPr>
        <w:spacing w:line="360" w:lineRule="auto"/>
        <w:ind w:firstLine="1080" w:firstLineChars="450"/>
        <w:rPr>
          <w:rFonts w:ascii="宋体" w:hAnsi="宋体"/>
          <w:szCs w:val="30"/>
        </w:rPr>
      </w:pPr>
      <w:r>
        <w:rPr>
          <w:rFonts w:hint="eastAsia" w:ascii="宋体" w:hAnsi="宋体"/>
          <w:szCs w:val="30"/>
        </w:rPr>
        <w:t>人民币（大写）</w:t>
      </w:r>
      <w:r>
        <w:rPr>
          <w:rFonts w:ascii="宋体" w:hAnsi="宋体"/>
          <w:szCs w:val="30"/>
          <w:u w:val="single"/>
        </w:rPr>
        <w:t xml:space="preserve">              </w:t>
      </w:r>
      <w:r>
        <w:rPr>
          <w:rFonts w:ascii="宋体" w:hAnsi="宋体"/>
          <w:szCs w:val="30"/>
        </w:rPr>
        <w:t xml:space="preserve"> (¥</w:t>
      </w:r>
      <w:r>
        <w:rPr>
          <w:rFonts w:ascii="宋体" w:hAnsi="宋体"/>
          <w:szCs w:val="30"/>
          <w:u w:val="single"/>
        </w:rPr>
        <w:t xml:space="preserve">          </w:t>
      </w:r>
      <w:r>
        <w:rPr>
          <w:rFonts w:hint="eastAsia" w:ascii="宋体" w:hAnsi="宋体"/>
          <w:szCs w:val="30"/>
        </w:rPr>
        <w:t>元</w:t>
      </w:r>
      <w:r>
        <w:rPr>
          <w:rFonts w:ascii="宋体" w:hAnsi="宋体"/>
          <w:szCs w:val="30"/>
        </w:rPr>
        <w:t>)</w:t>
      </w:r>
      <w:r>
        <w:rPr>
          <w:rFonts w:hint="eastAsia" w:ascii="宋体" w:hAnsi="宋体"/>
          <w:szCs w:val="30"/>
        </w:rPr>
        <w:t>。</w:t>
      </w:r>
    </w:p>
    <w:p>
      <w:pPr>
        <w:spacing w:line="360" w:lineRule="auto"/>
        <w:ind w:firstLine="480" w:firstLineChars="200"/>
        <w:rPr>
          <w:rFonts w:ascii="宋体" w:hAnsi="宋体"/>
          <w:szCs w:val="30"/>
        </w:rPr>
      </w:pPr>
      <w:r>
        <w:rPr>
          <w:rFonts w:ascii="宋体" w:hAnsi="宋体"/>
          <w:szCs w:val="30"/>
        </w:rPr>
        <w:t>2.</w:t>
      </w:r>
      <w:r>
        <w:rPr>
          <w:rFonts w:hint="eastAsia" w:ascii="宋体" w:hAnsi="宋体"/>
          <w:szCs w:val="30"/>
        </w:rPr>
        <w:t>合同价格形式：</w:t>
      </w:r>
      <w:r>
        <w:rPr>
          <w:rFonts w:hint="eastAsia" w:ascii="宋体" w:hAnsi="宋体" w:cs="宋体"/>
          <w:szCs w:val="30"/>
          <w:u w:val="single"/>
        </w:rPr>
        <w:t></w:t>
      </w:r>
      <w:r>
        <w:rPr>
          <w:rFonts w:hint="eastAsia" w:ascii="宋体" w:hAnsi="宋体" w:cs="宋体"/>
          <w:color w:val="000000"/>
          <w:sz w:val="24"/>
          <w:u w:val="single"/>
        </w:rPr>
        <w:t xml:space="preserve">固定单价合同 </w:t>
      </w:r>
      <w:r>
        <w:rPr>
          <w:rFonts w:ascii="宋体" w:hAnsi="宋体"/>
          <w:szCs w:val="30"/>
          <w:u w:val="single"/>
        </w:rPr>
        <w:t xml:space="preserve">  </w:t>
      </w:r>
      <w:r>
        <w:rPr>
          <w:rFonts w:hint="eastAsia" w:ascii="宋体" w:hAnsi="宋体" w:cs="宋体"/>
          <w:szCs w:val="30"/>
          <w:u w:val="single"/>
        </w:rPr>
        <w:t></w:t>
      </w:r>
      <w:r>
        <w:rPr>
          <w:rFonts w:hint="eastAsia" w:ascii="宋体" w:hAnsi="宋体"/>
          <w:szCs w:val="30"/>
        </w:rPr>
        <w:t>。</w:t>
      </w:r>
    </w:p>
    <w:p>
      <w:pPr>
        <w:pStyle w:val="6"/>
        <w:spacing w:before="120" w:after="120"/>
        <w:rPr>
          <w:rFonts w:ascii="宋体" w:hAnsi="宋体"/>
          <w:b w:val="0"/>
          <w:szCs w:val="32"/>
        </w:rPr>
      </w:pPr>
      <w:r>
        <w:rPr>
          <w:rFonts w:ascii="宋体" w:hAnsi="宋体"/>
          <w:bCs w:val="0"/>
          <w:szCs w:val="32"/>
        </w:rPr>
        <w:t xml:space="preserve">   </w:t>
      </w:r>
      <w:r>
        <w:rPr>
          <w:rFonts w:ascii="宋体" w:hAnsi="宋体"/>
          <w:b w:val="0"/>
          <w:szCs w:val="32"/>
        </w:rPr>
        <w:t xml:space="preserve"> </w:t>
      </w:r>
      <w:bookmarkStart w:id="2422" w:name="_Toc351203485"/>
      <w:r>
        <w:rPr>
          <w:rFonts w:hint="eastAsia" w:ascii="宋体" w:hAnsi="宋体"/>
          <w:b w:val="0"/>
          <w:szCs w:val="32"/>
        </w:rPr>
        <w:t>五、</w:t>
      </w:r>
      <w:bookmarkEnd w:id="2422"/>
      <w:r>
        <w:rPr>
          <w:rFonts w:hint="eastAsia" w:ascii="宋体" w:hAnsi="宋体"/>
          <w:b w:val="0"/>
          <w:szCs w:val="32"/>
        </w:rPr>
        <w:t>项目经理</w:t>
      </w:r>
    </w:p>
    <w:p>
      <w:pPr>
        <w:spacing w:line="360" w:lineRule="auto"/>
        <w:ind w:firstLine="480" w:firstLineChars="200"/>
        <w:rPr>
          <w:rFonts w:ascii="宋体" w:hAnsi="宋体"/>
          <w:szCs w:val="30"/>
        </w:rPr>
      </w:pPr>
      <w:r>
        <w:rPr>
          <w:rFonts w:hint="eastAsia" w:ascii="宋体" w:hAnsi="宋体"/>
          <w:szCs w:val="30"/>
        </w:rPr>
        <w:t>承包人项目经理：</w:t>
      </w:r>
      <w:r>
        <w:rPr>
          <w:rFonts w:hint="eastAsia" w:ascii="宋体" w:hAnsi="宋体" w:cs="宋体"/>
          <w:szCs w:val="30"/>
          <w:u w:val="single"/>
        </w:rPr>
        <w:t>                     </w:t>
      </w:r>
      <w:r>
        <w:rPr>
          <w:rFonts w:hint="eastAsia" w:ascii="宋体" w:hAnsi="宋体"/>
          <w:szCs w:val="30"/>
        </w:rPr>
        <w:t>。</w:t>
      </w:r>
    </w:p>
    <w:p>
      <w:pPr>
        <w:pStyle w:val="6"/>
        <w:spacing w:before="120" w:after="120"/>
        <w:rPr>
          <w:rFonts w:ascii="宋体" w:hAnsi="宋体"/>
          <w:bCs w:val="0"/>
          <w:szCs w:val="32"/>
        </w:rPr>
      </w:pPr>
      <w:r>
        <w:rPr>
          <w:rFonts w:ascii="宋体" w:hAnsi="宋体"/>
          <w:bCs w:val="0"/>
          <w:szCs w:val="32"/>
        </w:rPr>
        <w:t xml:space="preserve">   </w:t>
      </w:r>
      <w:r>
        <w:rPr>
          <w:rFonts w:ascii="宋体" w:hAnsi="宋体"/>
          <w:b w:val="0"/>
          <w:szCs w:val="32"/>
        </w:rPr>
        <w:t xml:space="preserve"> </w:t>
      </w:r>
      <w:bookmarkStart w:id="2423" w:name="_Toc351203486"/>
      <w:r>
        <w:rPr>
          <w:rFonts w:hint="eastAsia" w:ascii="宋体" w:hAnsi="宋体"/>
          <w:b w:val="0"/>
          <w:szCs w:val="32"/>
        </w:rPr>
        <w:t>六、合同文件构成</w:t>
      </w:r>
      <w:bookmarkEnd w:id="2423"/>
    </w:p>
    <w:p>
      <w:pPr>
        <w:spacing w:line="360" w:lineRule="auto"/>
        <w:ind w:firstLine="480" w:firstLineChars="200"/>
        <w:rPr>
          <w:rFonts w:ascii="宋体" w:hAnsi="宋体"/>
          <w:bCs/>
          <w:szCs w:val="30"/>
        </w:rPr>
      </w:pPr>
      <w:r>
        <w:rPr>
          <w:rFonts w:hint="eastAsia" w:ascii="宋体" w:hAnsi="宋体"/>
          <w:bCs/>
          <w:szCs w:val="30"/>
        </w:rPr>
        <w:t>本协议书与下列文件一起构成合同文件：</w:t>
      </w:r>
    </w:p>
    <w:p>
      <w:pPr>
        <w:autoSpaceDE w:val="0"/>
        <w:autoSpaceDN w:val="0"/>
        <w:adjustRightInd w:val="0"/>
        <w:spacing w:line="360" w:lineRule="auto"/>
        <w:ind w:firstLine="480" w:firstLineChars="200"/>
        <w:jc w:val="left"/>
        <w:rPr>
          <w:rFonts w:ascii="宋体" w:hAnsi="宋体"/>
          <w:szCs w:val="30"/>
        </w:rPr>
      </w:pPr>
      <w:r>
        <w:rPr>
          <w:rFonts w:hint="eastAsia" w:ascii="宋体" w:hAnsi="宋体"/>
          <w:szCs w:val="30"/>
        </w:rPr>
        <w:t>（</w:t>
      </w:r>
      <w:r>
        <w:rPr>
          <w:rFonts w:ascii="宋体" w:hAnsi="宋体"/>
          <w:szCs w:val="30"/>
        </w:rPr>
        <w:t>1</w:t>
      </w:r>
      <w:r>
        <w:rPr>
          <w:rFonts w:hint="eastAsia" w:ascii="宋体" w:hAnsi="宋体"/>
          <w:szCs w:val="30"/>
        </w:rPr>
        <w:t>）中标通知书（如果有）；</w:t>
      </w:r>
    </w:p>
    <w:p>
      <w:pPr>
        <w:autoSpaceDE w:val="0"/>
        <w:autoSpaceDN w:val="0"/>
        <w:adjustRightInd w:val="0"/>
        <w:spacing w:line="360" w:lineRule="auto"/>
        <w:ind w:firstLine="480" w:firstLineChars="200"/>
        <w:jc w:val="left"/>
        <w:rPr>
          <w:rFonts w:ascii="宋体" w:hAnsi="宋体"/>
          <w:szCs w:val="30"/>
        </w:rPr>
      </w:pPr>
      <w:r>
        <w:rPr>
          <w:rFonts w:hint="eastAsia" w:ascii="宋体" w:hAnsi="宋体"/>
          <w:szCs w:val="30"/>
        </w:rPr>
        <w:t>（</w:t>
      </w:r>
      <w:r>
        <w:rPr>
          <w:rFonts w:ascii="宋体" w:hAnsi="宋体"/>
          <w:szCs w:val="30"/>
        </w:rPr>
        <w:t>2</w:t>
      </w:r>
      <w:r>
        <w:rPr>
          <w:rFonts w:hint="eastAsia" w:ascii="宋体" w:hAnsi="宋体"/>
          <w:szCs w:val="30"/>
        </w:rPr>
        <w:t>）投标函及其附录（如果有）；</w:t>
      </w:r>
      <w:r>
        <w:rPr>
          <w:rFonts w:ascii="宋体" w:hAnsi="宋体"/>
          <w:szCs w:val="30"/>
        </w:rPr>
        <w:t xml:space="preserve"> </w:t>
      </w:r>
    </w:p>
    <w:p>
      <w:pPr>
        <w:autoSpaceDE w:val="0"/>
        <w:autoSpaceDN w:val="0"/>
        <w:adjustRightInd w:val="0"/>
        <w:spacing w:line="360" w:lineRule="auto"/>
        <w:ind w:firstLine="480" w:firstLineChars="200"/>
        <w:jc w:val="left"/>
        <w:rPr>
          <w:rFonts w:ascii="宋体" w:hAnsi="宋体"/>
          <w:szCs w:val="30"/>
        </w:rPr>
      </w:pPr>
      <w:r>
        <w:rPr>
          <w:rFonts w:hint="eastAsia" w:ascii="宋体" w:hAnsi="宋体"/>
          <w:szCs w:val="30"/>
        </w:rPr>
        <w:t>（</w:t>
      </w:r>
      <w:r>
        <w:rPr>
          <w:rFonts w:ascii="宋体" w:hAnsi="宋体"/>
          <w:szCs w:val="30"/>
        </w:rPr>
        <w:t>3</w:t>
      </w:r>
      <w:r>
        <w:rPr>
          <w:rFonts w:hint="eastAsia" w:ascii="宋体" w:hAnsi="宋体"/>
          <w:szCs w:val="30"/>
        </w:rPr>
        <w:t>）专用合同条款及其附件；</w:t>
      </w:r>
    </w:p>
    <w:p>
      <w:pPr>
        <w:autoSpaceDE w:val="0"/>
        <w:autoSpaceDN w:val="0"/>
        <w:adjustRightInd w:val="0"/>
        <w:spacing w:line="360" w:lineRule="auto"/>
        <w:ind w:firstLine="480" w:firstLineChars="200"/>
        <w:jc w:val="left"/>
        <w:rPr>
          <w:rFonts w:ascii="宋体" w:hAnsi="宋体"/>
          <w:szCs w:val="30"/>
        </w:rPr>
      </w:pPr>
      <w:r>
        <w:rPr>
          <w:rFonts w:hint="eastAsia" w:ascii="宋体" w:hAnsi="宋体"/>
          <w:szCs w:val="30"/>
        </w:rPr>
        <w:t>（</w:t>
      </w:r>
      <w:r>
        <w:rPr>
          <w:rFonts w:ascii="宋体" w:hAnsi="宋体"/>
          <w:szCs w:val="30"/>
        </w:rPr>
        <w:t>4</w:t>
      </w:r>
      <w:r>
        <w:rPr>
          <w:rFonts w:hint="eastAsia" w:ascii="宋体" w:hAnsi="宋体"/>
          <w:szCs w:val="30"/>
        </w:rPr>
        <w:t>）通用合同条款；</w:t>
      </w:r>
    </w:p>
    <w:p>
      <w:pPr>
        <w:autoSpaceDE w:val="0"/>
        <w:autoSpaceDN w:val="0"/>
        <w:adjustRightInd w:val="0"/>
        <w:spacing w:line="360" w:lineRule="auto"/>
        <w:ind w:firstLine="480" w:firstLineChars="200"/>
        <w:jc w:val="left"/>
        <w:rPr>
          <w:rFonts w:ascii="宋体" w:hAnsi="宋体"/>
          <w:szCs w:val="30"/>
        </w:rPr>
      </w:pPr>
      <w:r>
        <w:rPr>
          <w:rFonts w:hint="eastAsia" w:ascii="宋体" w:hAnsi="宋体"/>
          <w:szCs w:val="30"/>
        </w:rPr>
        <w:t>（</w:t>
      </w:r>
      <w:r>
        <w:rPr>
          <w:rFonts w:ascii="宋体" w:hAnsi="宋体"/>
          <w:szCs w:val="30"/>
        </w:rPr>
        <w:t>5</w:t>
      </w:r>
      <w:r>
        <w:rPr>
          <w:rFonts w:hint="eastAsia" w:ascii="宋体" w:hAnsi="宋体"/>
          <w:szCs w:val="30"/>
        </w:rPr>
        <w:t>）技术标准和要求；</w:t>
      </w:r>
    </w:p>
    <w:p>
      <w:pPr>
        <w:autoSpaceDE w:val="0"/>
        <w:autoSpaceDN w:val="0"/>
        <w:adjustRightInd w:val="0"/>
        <w:spacing w:line="360" w:lineRule="auto"/>
        <w:ind w:firstLine="480" w:firstLineChars="200"/>
        <w:jc w:val="left"/>
        <w:rPr>
          <w:rFonts w:ascii="宋体" w:hAnsi="宋体"/>
          <w:szCs w:val="30"/>
        </w:rPr>
      </w:pPr>
      <w:r>
        <w:rPr>
          <w:rFonts w:hint="eastAsia" w:ascii="宋体" w:hAnsi="宋体"/>
          <w:szCs w:val="30"/>
        </w:rPr>
        <w:t>（</w:t>
      </w:r>
      <w:r>
        <w:rPr>
          <w:rFonts w:ascii="宋体" w:hAnsi="宋体"/>
          <w:szCs w:val="30"/>
        </w:rPr>
        <w:t>6</w:t>
      </w:r>
      <w:r>
        <w:rPr>
          <w:rFonts w:hint="eastAsia" w:ascii="宋体" w:hAnsi="宋体"/>
          <w:szCs w:val="30"/>
        </w:rPr>
        <w:t>）图纸；</w:t>
      </w:r>
    </w:p>
    <w:p>
      <w:pPr>
        <w:autoSpaceDE w:val="0"/>
        <w:autoSpaceDN w:val="0"/>
        <w:adjustRightInd w:val="0"/>
        <w:spacing w:line="360" w:lineRule="auto"/>
        <w:ind w:firstLine="480" w:firstLineChars="200"/>
        <w:jc w:val="left"/>
        <w:rPr>
          <w:rFonts w:ascii="宋体" w:hAnsi="宋体"/>
          <w:szCs w:val="30"/>
        </w:rPr>
      </w:pPr>
      <w:r>
        <w:rPr>
          <w:rFonts w:hint="eastAsia" w:ascii="宋体" w:hAnsi="宋体"/>
          <w:szCs w:val="30"/>
        </w:rPr>
        <w:t>（</w:t>
      </w:r>
      <w:r>
        <w:rPr>
          <w:rFonts w:ascii="宋体" w:hAnsi="宋体"/>
          <w:szCs w:val="30"/>
        </w:rPr>
        <w:t>7</w:t>
      </w:r>
      <w:r>
        <w:rPr>
          <w:rFonts w:hint="eastAsia" w:ascii="宋体" w:hAnsi="宋体"/>
          <w:szCs w:val="30"/>
        </w:rPr>
        <w:t>）已标价工程量清单或预算书；</w:t>
      </w:r>
    </w:p>
    <w:p>
      <w:pPr>
        <w:autoSpaceDE w:val="0"/>
        <w:autoSpaceDN w:val="0"/>
        <w:adjustRightInd w:val="0"/>
        <w:spacing w:line="360" w:lineRule="auto"/>
        <w:ind w:firstLine="480" w:firstLineChars="200"/>
        <w:jc w:val="left"/>
        <w:rPr>
          <w:rFonts w:ascii="宋体" w:hAnsi="宋体"/>
          <w:szCs w:val="30"/>
        </w:rPr>
      </w:pPr>
      <w:r>
        <w:rPr>
          <w:rFonts w:hint="eastAsia" w:ascii="宋体" w:hAnsi="宋体"/>
          <w:szCs w:val="30"/>
        </w:rPr>
        <w:t>（</w:t>
      </w:r>
      <w:r>
        <w:rPr>
          <w:rFonts w:ascii="宋体" w:hAnsi="宋体"/>
          <w:szCs w:val="30"/>
        </w:rPr>
        <w:t>8</w:t>
      </w:r>
      <w:r>
        <w:rPr>
          <w:rFonts w:hint="eastAsia" w:ascii="宋体" w:hAnsi="宋体"/>
          <w:szCs w:val="30"/>
        </w:rPr>
        <w:t>）其他合同文件。</w:t>
      </w:r>
    </w:p>
    <w:p>
      <w:pPr>
        <w:autoSpaceDE w:val="0"/>
        <w:autoSpaceDN w:val="0"/>
        <w:adjustRightInd w:val="0"/>
        <w:spacing w:line="360" w:lineRule="auto"/>
        <w:ind w:firstLine="480" w:firstLineChars="200"/>
        <w:jc w:val="left"/>
        <w:rPr>
          <w:rFonts w:ascii="宋体" w:hAnsi="宋体"/>
          <w:szCs w:val="30"/>
        </w:rPr>
      </w:pPr>
      <w:r>
        <w:rPr>
          <w:rFonts w:hint="eastAsia" w:ascii="宋体" w:hAnsi="宋体"/>
          <w:szCs w:val="30"/>
        </w:rPr>
        <w:t>在合同订立及履行过程中形成的与合同有关的文件均构成合同文件组成部分。</w:t>
      </w:r>
    </w:p>
    <w:p>
      <w:pPr>
        <w:autoSpaceDE w:val="0"/>
        <w:autoSpaceDN w:val="0"/>
        <w:adjustRightInd w:val="0"/>
        <w:spacing w:line="360" w:lineRule="auto"/>
        <w:ind w:firstLine="480" w:firstLineChars="200"/>
        <w:jc w:val="left"/>
        <w:rPr>
          <w:rFonts w:ascii="宋体" w:hAnsi="宋体"/>
          <w:szCs w:val="30"/>
        </w:rPr>
      </w:pPr>
      <w:r>
        <w:rPr>
          <w:rFonts w:hint="eastAsia" w:ascii="宋体" w:hAnsi="宋体"/>
          <w:szCs w:val="30"/>
        </w:rPr>
        <w:t>上述各项合同文件包括合同当事人就该项合同文件所作出的补充和修改，属于同一类内容的文件，应以最新签署的为准。专用合同条款及其附件须经合同当事人签字或盖章。</w:t>
      </w:r>
    </w:p>
    <w:p>
      <w:pPr>
        <w:pStyle w:val="6"/>
        <w:spacing w:before="120" w:after="120"/>
        <w:rPr>
          <w:rFonts w:ascii="宋体" w:hAnsi="宋体"/>
          <w:b w:val="0"/>
          <w:bCs w:val="0"/>
          <w:szCs w:val="32"/>
        </w:rPr>
      </w:pPr>
      <w:r>
        <w:rPr>
          <w:rFonts w:ascii="宋体" w:hAnsi="宋体"/>
          <w:b w:val="0"/>
          <w:bCs w:val="0"/>
          <w:szCs w:val="32"/>
        </w:rPr>
        <w:t xml:space="preserve">   </w:t>
      </w:r>
      <w:r>
        <w:rPr>
          <w:rFonts w:ascii="宋体" w:hAnsi="宋体"/>
          <w:b w:val="0"/>
          <w:szCs w:val="32"/>
        </w:rPr>
        <w:t xml:space="preserve"> </w:t>
      </w:r>
      <w:bookmarkStart w:id="2424" w:name="_Toc351203487"/>
      <w:r>
        <w:rPr>
          <w:rFonts w:hint="eastAsia" w:ascii="宋体" w:hAnsi="宋体"/>
          <w:b w:val="0"/>
          <w:szCs w:val="32"/>
        </w:rPr>
        <w:t>七、承诺</w:t>
      </w:r>
      <w:bookmarkEnd w:id="2424"/>
    </w:p>
    <w:p>
      <w:pPr>
        <w:spacing w:line="360" w:lineRule="auto"/>
        <w:ind w:firstLine="480" w:firstLineChars="200"/>
        <w:rPr>
          <w:rFonts w:ascii="宋体" w:hAnsi="宋体"/>
          <w:bCs/>
          <w:szCs w:val="30"/>
        </w:rPr>
      </w:pPr>
      <w:r>
        <w:rPr>
          <w:rFonts w:ascii="宋体" w:hAnsi="宋体"/>
          <w:bCs/>
          <w:szCs w:val="30"/>
        </w:rPr>
        <w:t>1.</w:t>
      </w:r>
      <w:r>
        <w:rPr>
          <w:rFonts w:hint="eastAsia" w:ascii="宋体" w:hAnsi="宋体"/>
          <w:bCs/>
          <w:szCs w:val="30"/>
        </w:rPr>
        <w:t>发包人承诺按照法律规定履行项目审批手续、筹集工程建设资金并按照合同约定的期限和方式支付合同价款。</w:t>
      </w:r>
    </w:p>
    <w:p>
      <w:pPr>
        <w:spacing w:line="360" w:lineRule="auto"/>
        <w:ind w:firstLine="480" w:firstLineChars="200"/>
        <w:rPr>
          <w:rFonts w:ascii="宋体" w:hAnsi="宋体"/>
          <w:bCs/>
          <w:szCs w:val="30"/>
        </w:rPr>
      </w:pPr>
      <w:r>
        <w:rPr>
          <w:rFonts w:ascii="宋体" w:hAnsi="宋体"/>
          <w:bCs/>
          <w:szCs w:val="30"/>
        </w:rPr>
        <w:t>2.</w:t>
      </w:r>
      <w:r>
        <w:rPr>
          <w:rFonts w:hint="eastAsia" w:ascii="宋体" w:hAnsi="宋体"/>
          <w:bCs/>
          <w:szCs w:val="30"/>
        </w:rPr>
        <w:t>承包人承诺按照法律规定及合同约定组织完成工程施工，确保工程质量和安全，不进行转包及违法分包，并在缺陷责任期及保修期内承担相应的工程维修责任。</w:t>
      </w:r>
    </w:p>
    <w:p>
      <w:pPr>
        <w:spacing w:line="360" w:lineRule="auto"/>
        <w:ind w:firstLine="480" w:firstLineChars="200"/>
        <w:rPr>
          <w:rFonts w:ascii="宋体" w:hAnsi="宋体"/>
          <w:bCs/>
          <w:szCs w:val="30"/>
        </w:rPr>
      </w:pPr>
      <w:r>
        <w:rPr>
          <w:rFonts w:ascii="宋体" w:hAnsi="宋体"/>
          <w:bCs/>
          <w:szCs w:val="30"/>
        </w:rPr>
        <w:t>3.</w:t>
      </w:r>
      <w:r>
        <w:rPr>
          <w:rFonts w:hint="eastAsia" w:ascii="宋体" w:hAnsi="宋体"/>
          <w:bCs/>
          <w:szCs w:val="30"/>
        </w:rPr>
        <w:t>发包人和承包人通过招投标形式签订合同的，双方理解并承诺不再就同一工程另行签订与合同实质性内容相背离的协议。</w:t>
      </w:r>
    </w:p>
    <w:p>
      <w:pPr>
        <w:spacing w:line="360" w:lineRule="auto"/>
        <w:rPr>
          <w:rFonts w:ascii="宋体" w:hAnsi="宋体"/>
          <w:bCs/>
          <w:szCs w:val="32"/>
        </w:rPr>
      </w:pPr>
      <w:bookmarkStart w:id="2425" w:name="_Toc351203488"/>
      <w:r>
        <w:rPr>
          <w:rFonts w:ascii="宋体" w:hAnsi="宋体"/>
          <w:b/>
          <w:szCs w:val="32"/>
        </w:rPr>
        <w:t xml:space="preserve">    </w:t>
      </w:r>
      <w:r>
        <w:rPr>
          <w:rFonts w:hint="eastAsia" w:ascii="宋体" w:hAnsi="宋体"/>
          <w:b/>
          <w:szCs w:val="32"/>
        </w:rPr>
        <w:t>八、词语含义</w:t>
      </w:r>
      <w:bookmarkEnd w:id="2425"/>
    </w:p>
    <w:p>
      <w:pPr>
        <w:spacing w:line="360" w:lineRule="auto"/>
        <w:ind w:firstLine="480" w:firstLineChars="200"/>
        <w:rPr>
          <w:rFonts w:ascii="宋体" w:hAnsi="宋体"/>
          <w:bCs/>
          <w:szCs w:val="30"/>
        </w:rPr>
      </w:pPr>
      <w:r>
        <w:rPr>
          <w:rFonts w:hint="eastAsia" w:ascii="宋体" w:hAnsi="宋体"/>
          <w:bCs/>
          <w:szCs w:val="30"/>
        </w:rPr>
        <w:t>本协议书中词语含义与第二部分通用合同条款中赋予的含义相同。</w:t>
      </w:r>
    </w:p>
    <w:p>
      <w:pPr>
        <w:pStyle w:val="6"/>
        <w:spacing w:before="120" w:after="120"/>
        <w:rPr>
          <w:rFonts w:ascii="宋体" w:hAnsi="宋体"/>
          <w:bCs w:val="0"/>
          <w:szCs w:val="32"/>
        </w:rPr>
      </w:pPr>
      <w:r>
        <w:rPr>
          <w:rFonts w:ascii="宋体" w:hAnsi="宋体"/>
          <w:bCs w:val="0"/>
          <w:szCs w:val="32"/>
        </w:rPr>
        <w:t xml:space="preserve">  </w:t>
      </w:r>
      <w:r>
        <w:rPr>
          <w:rFonts w:ascii="宋体" w:hAnsi="宋体"/>
          <w:b w:val="0"/>
          <w:szCs w:val="32"/>
        </w:rPr>
        <w:t xml:space="preserve">  </w:t>
      </w:r>
      <w:bookmarkStart w:id="2426" w:name="_Toc351203489"/>
      <w:r>
        <w:rPr>
          <w:rFonts w:hint="eastAsia" w:ascii="宋体" w:hAnsi="宋体"/>
          <w:b w:val="0"/>
          <w:szCs w:val="32"/>
        </w:rPr>
        <w:t>九、签订时间</w:t>
      </w:r>
      <w:bookmarkEnd w:id="2426"/>
    </w:p>
    <w:p>
      <w:pPr>
        <w:spacing w:line="360" w:lineRule="auto"/>
        <w:ind w:firstLine="480" w:firstLineChars="200"/>
        <w:rPr>
          <w:rFonts w:ascii="宋体" w:hAnsi="宋体"/>
          <w:bCs/>
          <w:szCs w:val="30"/>
        </w:rPr>
      </w:pPr>
      <w:r>
        <w:rPr>
          <w:rFonts w:hint="eastAsia" w:ascii="宋体" w:hAnsi="宋体"/>
          <w:bCs/>
          <w:szCs w:val="30"/>
        </w:rPr>
        <w:t>本合同于</w:t>
      </w:r>
      <w:r>
        <w:rPr>
          <w:rFonts w:ascii="宋体" w:hAnsi="宋体"/>
          <w:bCs/>
          <w:szCs w:val="30"/>
          <w:u w:val="single"/>
        </w:rPr>
        <w:t xml:space="preserve">         </w:t>
      </w:r>
      <w:r>
        <w:rPr>
          <w:rFonts w:hint="eastAsia" w:ascii="宋体" w:hAnsi="宋体"/>
          <w:bCs/>
          <w:szCs w:val="30"/>
        </w:rPr>
        <w:t>年</w:t>
      </w:r>
      <w:r>
        <w:rPr>
          <w:rFonts w:ascii="宋体" w:hAnsi="宋体"/>
          <w:bCs/>
          <w:szCs w:val="30"/>
          <w:u w:val="single"/>
        </w:rPr>
        <w:t xml:space="preserve">    </w:t>
      </w:r>
      <w:r>
        <w:rPr>
          <w:rFonts w:hint="eastAsia" w:ascii="宋体" w:hAnsi="宋体"/>
          <w:bCs/>
          <w:szCs w:val="30"/>
        </w:rPr>
        <w:t>月</w:t>
      </w:r>
      <w:r>
        <w:rPr>
          <w:rFonts w:ascii="宋体" w:hAnsi="宋体"/>
          <w:bCs/>
          <w:szCs w:val="30"/>
          <w:u w:val="single"/>
        </w:rPr>
        <w:t xml:space="preserve">    </w:t>
      </w:r>
      <w:r>
        <w:rPr>
          <w:rFonts w:hint="eastAsia" w:ascii="宋体" w:hAnsi="宋体"/>
          <w:bCs/>
          <w:szCs w:val="30"/>
        </w:rPr>
        <w:t>日签订。</w:t>
      </w:r>
    </w:p>
    <w:p>
      <w:pPr>
        <w:pStyle w:val="6"/>
        <w:spacing w:before="120" w:after="120"/>
        <w:rPr>
          <w:rFonts w:ascii="宋体" w:hAnsi="宋体"/>
          <w:bCs w:val="0"/>
          <w:szCs w:val="32"/>
        </w:rPr>
      </w:pPr>
      <w:r>
        <w:rPr>
          <w:rFonts w:ascii="宋体" w:hAnsi="宋体"/>
          <w:bCs w:val="0"/>
          <w:szCs w:val="32"/>
        </w:rPr>
        <w:t xml:space="preserve">    </w:t>
      </w:r>
      <w:bookmarkStart w:id="2427" w:name="_Toc351203490"/>
      <w:r>
        <w:rPr>
          <w:rFonts w:hint="eastAsia" w:ascii="宋体" w:hAnsi="宋体"/>
          <w:b w:val="0"/>
          <w:szCs w:val="32"/>
        </w:rPr>
        <w:t>十、签订地点</w:t>
      </w:r>
      <w:bookmarkEnd w:id="2427"/>
    </w:p>
    <w:p>
      <w:pPr>
        <w:spacing w:line="360" w:lineRule="auto"/>
        <w:ind w:firstLine="480" w:firstLineChars="200"/>
        <w:rPr>
          <w:rFonts w:ascii="宋体" w:hAnsi="宋体"/>
          <w:bCs/>
          <w:szCs w:val="30"/>
        </w:rPr>
      </w:pPr>
      <w:r>
        <w:rPr>
          <w:rFonts w:hint="eastAsia" w:ascii="宋体" w:hAnsi="宋体"/>
          <w:bCs/>
          <w:szCs w:val="30"/>
        </w:rPr>
        <w:t>本合同在</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cs="宋体"/>
          <w:bCs/>
          <w:color w:val="000000"/>
          <w:szCs w:val="21"/>
          <w:u w:val="single"/>
        </w:rPr>
        <w:t xml:space="preserve"> </w:t>
      </w:r>
      <w:r>
        <w:rPr>
          <w:rFonts w:ascii="宋体" w:hAnsi="宋体"/>
          <w:bCs/>
          <w:szCs w:val="21"/>
          <w:u w:val="single"/>
        </w:rPr>
        <w:t xml:space="preserve"> </w:t>
      </w:r>
      <w:r>
        <w:rPr>
          <w:rFonts w:ascii="宋体" w:hAnsi="宋体"/>
          <w:bCs/>
          <w:szCs w:val="30"/>
          <w:u w:val="single"/>
        </w:rPr>
        <w:t xml:space="preserve"> </w:t>
      </w:r>
      <w:r>
        <w:rPr>
          <w:rFonts w:hint="eastAsia" w:ascii="宋体" w:hAnsi="宋体"/>
          <w:bCs/>
          <w:szCs w:val="30"/>
        </w:rPr>
        <w:t>签订。</w:t>
      </w:r>
    </w:p>
    <w:p>
      <w:pPr>
        <w:pStyle w:val="6"/>
        <w:spacing w:before="120" w:after="120"/>
        <w:rPr>
          <w:rFonts w:ascii="宋体" w:hAnsi="宋体"/>
          <w:bCs w:val="0"/>
          <w:szCs w:val="32"/>
        </w:rPr>
      </w:pPr>
      <w:r>
        <w:rPr>
          <w:rFonts w:ascii="宋体" w:hAnsi="宋体"/>
          <w:bCs w:val="0"/>
          <w:szCs w:val="32"/>
        </w:rPr>
        <w:t xml:space="preserve">    </w:t>
      </w:r>
      <w:bookmarkStart w:id="2428" w:name="_Toc351203491"/>
      <w:r>
        <w:rPr>
          <w:rFonts w:hint="eastAsia" w:ascii="宋体" w:hAnsi="宋体"/>
          <w:b w:val="0"/>
          <w:szCs w:val="32"/>
        </w:rPr>
        <w:t>十一、补充协议</w:t>
      </w:r>
      <w:bookmarkEnd w:id="2428"/>
    </w:p>
    <w:p>
      <w:pPr>
        <w:spacing w:line="360" w:lineRule="auto"/>
        <w:ind w:firstLine="480" w:firstLineChars="200"/>
        <w:rPr>
          <w:rFonts w:ascii="宋体" w:hAnsi="宋体"/>
          <w:b/>
          <w:bCs/>
          <w:szCs w:val="30"/>
        </w:rPr>
      </w:pPr>
      <w:r>
        <w:rPr>
          <w:rFonts w:hint="eastAsia" w:ascii="宋体" w:hAnsi="宋体"/>
          <w:bCs/>
          <w:szCs w:val="30"/>
        </w:rPr>
        <w:t>合同未尽事宜，合同当事人另行签订补充协议，补充协议是合同的组成部分。</w:t>
      </w:r>
    </w:p>
    <w:p>
      <w:pPr>
        <w:pStyle w:val="6"/>
        <w:spacing w:before="120" w:after="120"/>
        <w:rPr>
          <w:rFonts w:ascii="宋体" w:hAnsi="宋体"/>
          <w:bCs w:val="0"/>
          <w:szCs w:val="32"/>
        </w:rPr>
      </w:pPr>
      <w:r>
        <w:rPr>
          <w:rFonts w:ascii="宋体" w:hAnsi="宋体"/>
          <w:bCs w:val="0"/>
          <w:szCs w:val="32"/>
        </w:rPr>
        <w:t xml:space="preserve">    </w:t>
      </w:r>
      <w:bookmarkStart w:id="2429" w:name="_Toc351203492"/>
      <w:r>
        <w:rPr>
          <w:rFonts w:hint="eastAsia" w:ascii="宋体" w:hAnsi="宋体"/>
          <w:b w:val="0"/>
          <w:szCs w:val="32"/>
        </w:rPr>
        <w:t>十二、合同生效</w:t>
      </w:r>
      <w:bookmarkEnd w:id="2429"/>
    </w:p>
    <w:p>
      <w:pPr>
        <w:spacing w:line="360" w:lineRule="auto"/>
        <w:ind w:firstLine="480" w:firstLineChars="200"/>
        <w:rPr>
          <w:rFonts w:ascii="宋体" w:hAnsi="宋体"/>
          <w:bCs/>
          <w:szCs w:val="30"/>
        </w:rPr>
      </w:pPr>
      <w:r>
        <w:rPr>
          <w:rFonts w:hint="eastAsia" w:ascii="宋体" w:hAnsi="宋体"/>
          <w:bCs/>
          <w:szCs w:val="30"/>
        </w:rPr>
        <w:t>本合同自</w:t>
      </w:r>
      <w:r>
        <w:rPr>
          <w:rFonts w:ascii="宋体" w:hAnsi="宋体"/>
          <w:bCs/>
          <w:szCs w:val="30"/>
          <w:u w:val="single"/>
        </w:rPr>
        <w:t xml:space="preserve">       双方签字盖章后     </w:t>
      </w:r>
      <w:r>
        <w:rPr>
          <w:rFonts w:hint="eastAsia" w:ascii="宋体" w:hAnsi="宋体"/>
          <w:bCs/>
          <w:szCs w:val="30"/>
        </w:rPr>
        <w:t>生效。</w:t>
      </w:r>
    </w:p>
    <w:p>
      <w:pPr>
        <w:pStyle w:val="6"/>
        <w:spacing w:before="120" w:after="120"/>
        <w:rPr>
          <w:rFonts w:ascii="宋体" w:hAnsi="宋体"/>
          <w:bCs w:val="0"/>
          <w:szCs w:val="32"/>
        </w:rPr>
      </w:pPr>
      <w:r>
        <w:rPr>
          <w:rFonts w:ascii="宋体" w:hAnsi="宋体"/>
          <w:bCs w:val="0"/>
          <w:szCs w:val="32"/>
        </w:rPr>
        <w:t xml:space="preserve">    </w:t>
      </w:r>
      <w:bookmarkStart w:id="2430" w:name="_Toc351203493"/>
      <w:r>
        <w:rPr>
          <w:rFonts w:hint="eastAsia" w:ascii="宋体" w:hAnsi="宋体"/>
          <w:b w:val="0"/>
          <w:szCs w:val="32"/>
        </w:rPr>
        <w:t>十三、合同份数</w:t>
      </w:r>
      <w:bookmarkEnd w:id="2430"/>
    </w:p>
    <w:p>
      <w:pPr>
        <w:spacing w:line="360" w:lineRule="auto"/>
        <w:ind w:firstLine="480" w:firstLineChars="200"/>
        <w:rPr>
          <w:rFonts w:ascii="宋体" w:hAnsi="宋体"/>
          <w:bCs/>
          <w:szCs w:val="30"/>
        </w:rPr>
      </w:pPr>
      <w:r>
        <w:rPr>
          <w:rFonts w:hint="eastAsia" w:ascii="宋体" w:hAnsi="宋体"/>
          <w:bCs/>
          <w:szCs w:val="30"/>
        </w:rPr>
        <w:t>本合同一式</w:t>
      </w:r>
      <w:r>
        <w:rPr>
          <w:rFonts w:ascii="宋体" w:hAnsi="宋体"/>
          <w:bCs/>
          <w:szCs w:val="30"/>
          <w:u w:val="single"/>
        </w:rPr>
        <w:t xml:space="preserve">  </w:t>
      </w:r>
      <w:r>
        <w:rPr>
          <w:rFonts w:hint="eastAsia" w:ascii="宋体" w:hAnsi="宋体"/>
          <w:bCs/>
          <w:szCs w:val="30"/>
          <w:u w:val="single"/>
        </w:rPr>
        <w:t>捌</w:t>
      </w:r>
      <w:r>
        <w:rPr>
          <w:rFonts w:ascii="宋体" w:hAnsi="宋体"/>
          <w:bCs/>
          <w:szCs w:val="30"/>
          <w:u w:val="single"/>
        </w:rPr>
        <w:t xml:space="preserve"> </w:t>
      </w:r>
      <w:r>
        <w:rPr>
          <w:rFonts w:hint="eastAsia" w:ascii="宋体" w:hAnsi="宋体"/>
          <w:bCs/>
          <w:szCs w:val="30"/>
        </w:rPr>
        <w:t>份，均具有同等法律效力，发包人执</w:t>
      </w:r>
      <w:r>
        <w:rPr>
          <w:rFonts w:ascii="宋体" w:hAnsi="宋体"/>
          <w:bCs/>
          <w:szCs w:val="30"/>
          <w:u w:val="single"/>
        </w:rPr>
        <w:t xml:space="preserve"> </w:t>
      </w:r>
      <w:r>
        <w:rPr>
          <w:rFonts w:hint="eastAsia" w:ascii="宋体" w:hAnsi="宋体"/>
          <w:bCs/>
          <w:szCs w:val="30"/>
          <w:u w:val="single"/>
        </w:rPr>
        <w:t>肆</w:t>
      </w:r>
      <w:r>
        <w:rPr>
          <w:rFonts w:hint="eastAsia" w:ascii="宋体" w:hAnsi="宋体"/>
          <w:bCs/>
          <w:szCs w:val="30"/>
        </w:rPr>
        <w:t>份，承包人执</w:t>
      </w:r>
      <w:r>
        <w:rPr>
          <w:rFonts w:ascii="宋体" w:hAnsi="宋体"/>
          <w:bCs/>
          <w:szCs w:val="30"/>
          <w:u w:val="single"/>
        </w:rPr>
        <w:t xml:space="preserve"> </w:t>
      </w:r>
      <w:r>
        <w:rPr>
          <w:rFonts w:hint="eastAsia" w:ascii="宋体" w:hAnsi="宋体"/>
          <w:bCs/>
          <w:szCs w:val="30"/>
          <w:u w:val="single"/>
        </w:rPr>
        <w:t>肆</w:t>
      </w:r>
      <w:r>
        <w:rPr>
          <w:rFonts w:ascii="宋体" w:hAnsi="宋体"/>
          <w:bCs/>
          <w:szCs w:val="30"/>
          <w:u w:val="single"/>
        </w:rPr>
        <w:t xml:space="preserve"> </w:t>
      </w:r>
      <w:r>
        <w:rPr>
          <w:rFonts w:hint="eastAsia" w:ascii="宋体" w:hAnsi="宋体"/>
          <w:bCs/>
          <w:szCs w:val="30"/>
        </w:rPr>
        <w:t>份。</w:t>
      </w:r>
    </w:p>
    <w:p>
      <w:pPr>
        <w:spacing w:line="360" w:lineRule="auto"/>
        <w:rPr>
          <w:rFonts w:ascii="宋体" w:hAnsi="宋体"/>
          <w:szCs w:val="30"/>
        </w:rPr>
      </w:pPr>
    </w:p>
    <w:p>
      <w:pPr>
        <w:spacing w:line="360" w:lineRule="auto"/>
        <w:rPr>
          <w:rFonts w:ascii="宋体" w:hAnsi="宋体"/>
          <w:szCs w:val="30"/>
        </w:rPr>
      </w:pPr>
      <w:r>
        <w:rPr>
          <w:rFonts w:hint="eastAsia" w:ascii="宋体" w:hAnsi="宋体"/>
          <w:szCs w:val="30"/>
        </w:rPr>
        <w:t>发包人：</w:t>
      </w:r>
      <w:r>
        <w:rPr>
          <w:rFonts w:ascii="宋体" w:hAnsi="宋体"/>
          <w:szCs w:val="30"/>
        </w:rPr>
        <w:t xml:space="preserve">  (</w:t>
      </w:r>
      <w:r>
        <w:rPr>
          <w:rFonts w:hint="eastAsia" w:ascii="宋体" w:hAnsi="宋体"/>
          <w:szCs w:val="30"/>
        </w:rPr>
        <w:t>公章</w:t>
      </w:r>
      <w:r>
        <w:rPr>
          <w:rFonts w:ascii="宋体" w:hAnsi="宋体"/>
          <w:szCs w:val="30"/>
        </w:rPr>
        <w:t xml:space="preserve">)         </w:t>
      </w:r>
      <w:r>
        <w:rPr>
          <w:rFonts w:hint="eastAsia" w:ascii="宋体" w:hAnsi="宋体"/>
          <w:szCs w:val="30"/>
        </w:rPr>
        <w:t xml:space="preserve">          承包人：</w:t>
      </w:r>
      <w:r>
        <w:rPr>
          <w:rFonts w:ascii="宋体" w:hAnsi="宋体"/>
          <w:szCs w:val="30"/>
        </w:rPr>
        <w:t xml:space="preserve">  (</w:t>
      </w:r>
      <w:r>
        <w:rPr>
          <w:rFonts w:hint="eastAsia" w:ascii="宋体" w:hAnsi="宋体"/>
          <w:szCs w:val="30"/>
        </w:rPr>
        <w:t>公章</w:t>
      </w:r>
      <w:r>
        <w:rPr>
          <w:rFonts w:ascii="宋体" w:hAnsi="宋体"/>
          <w:szCs w:val="30"/>
        </w:rPr>
        <w:t>)</w:t>
      </w:r>
    </w:p>
    <w:p>
      <w:pPr>
        <w:spacing w:line="360" w:lineRule="auto"/>
        <w:rPr>
          <w:rFonts w:ascii="宋体" w:hAnsi="宋体"/>
          <w:szCs w:val="30"/>
        </w:rPr>
      </w:pPr>
      <w:r>
        <w:rPr>
          <w:rFonts w:hint="eastAsia" w:ascii="宋体" w:hAnsi="宋体"/>
          <w:szCs w:val="30"/>
        </w:rPr>
        <w:t>法定代表人或其委托代理人：</w:t>
      </w:r>
      <w:r>
        <w:rPr>
          <w:rFonts w:ascii="宋体" w:hAnsi="宋体"/>
          <w:szCs w:val="30"/>
        </w:rPr>
        <w:t xml:space="preserve">  </w:t>
      </w:r>
      <w:r>
        <w:rPr>
          <w:rFonts w:hint="eastAsia" w:ascii="宋体" w:hAnsi="宋体"/>
          <w:szCs w:val="30"/>
        </w:rPr>
        <w:t xml:space="preserve">       法定代表人或其委托代理人：</w:t>
      </w:r>
    </w:p>
    <w:p>
      <w:pPr>
        <w:spacing w:line="360" w:lineRule="auto"/>
        <w:rPr>
          <w:rFonts w:hint="eastAsia" w:ascii="宋体" w:hAnsi="宋体"/>
          <w:szCs w:val="30"/>
        </w:rPr>
      </w:pPr>
      <w:r>
        <w:rPr>
          <w:rFonts w:hint="eastAsia" w:ascii="宋体" w:hAnsi="宋体"/>
          <w:szCs w:val="30"/>
        </w:rPr>
        <w:t>（签字）</w:t>
      </w:r>
      <w:r>
        <w:rPr>
          <w:rFonts w:ascii="宋体" w:hAnsi="宋体"/>
          <w:szCs w:val="30"/>
        </w:rPr>
        <w:t xml:space="preserve">                    </w:t>
      </w:r>
      <w:r>
        <w:rPr>
          <w:rFonts w:hint="eastAsia" w:ascii="宋体" w:hAnsi="宋体"/>
          <w:szCs w:val="30"/>
        </w:rPr>
        <w:t xml:space="preserve">        （签字）</w:t>
      </w:r>
    </w:p>
    <w:p>
      <w:pPr>
        <w:tabs>
          <w:tab w:val="left" w:pos="4410"/>
        </w:tabs>
        <w:spacing w:line="360" w:lineRule="auto"/>
        <w:rPr>
          <w:rFonts w:ascii="宋体" w:hAnsi="宋体"/>
          <w:szCs w:val="30"/>
        </w:rPr>
      </w:pPr>
      <w:r>
        <w:rPr>
          <w:rFonts w:hint="eastAsia" w:ascii="宋体" w:hAnsi="宋体"/>
          <w:szCs w:val="30"/>
        </w:rPr>
        <w:t>组织机构代码：</w:t>
      </w:r>
      <w:r>
        <w:rPr>
          <w:rFonts w:hint="eastAsia" w:ascii="宋体" w:hAnsi="宋体" w:cs="宋体"/>
          <w:szCs w:val="30"/>
          <w:u w:val="single"/>
        </w:rPr>
        <w:t></w:t>
      </w:r>
      <w:r>
        <w:rPr>
          <w:rFonts w:hint="eastAsia" w:ascii="宋体" w:hAnsi="宋体" w:cs="宋体"/>
          <w:color w:val="000000"/>
          <w:sz w:val="24"/>
          <w:u w:val="single"/>
        </w:rPr>
        <w:t xml:space="preserve"> </w:t>
      </w:r>
      <w:r>
        <w:rPr>
          <w:rFonts w:ascii="宋体" w:hAnsi="宋体"/>
          <w:szCs w:val="30"/>
          <w:u w:val="single"/>
        </w:rPr>
        <w:t xml:space="preserve">     </w:t>
      </w:r>
      <w:r>
        <w:rPr>
          <w:rFonts w:ascii="宋体" w:hAnsi="宋体"/>
          <w:szCs w:val="30"/>
        </w:rPr>
        <w:t xml:space="preserve"> </w:t>
      </w:r>
      <w:r>
        <w:rPr>
          <w:rFonts w:hint="eastAsia" w:ascii="宋体" w:hAnsi="宋体"/>
          <w:szCs w:val="30"/>
        </w:rPr>
        <w:t xml:space="preserve">          组织机构代码：</w:t>
      </w:r>
      <w:r>
        <w:rPr>
          <w:rFonts w:hint="eastAsia" w:ascii="宋体" w:hAnsi="宋体" w:cs="宋体"/>
          <w:szCs w:val="30"/>
          <w:u w:val="single"/>
        </w:rPr>
        <w:t xml:space="preserve">          </w:t>
      </w:r>
      <w:r>
        <w:rPr>
          <w:rFonts w:ascii="宋体" w:hAnsi="宋体"/>
          <w:szCs w:val="30"/>
        </w:rPr>
        <w:t xml:space="preserve"> </w:t>
      </w:r>
    </w:p>
    <w:p>
      <w:pPr>
        <w:spacing w:line="360" w:lineRule="auto"/>
        <w:rPr>
          <w:szCs w:val="30"/>
        </w:rPr>
      </w:pPr>
      <w:r>
        <w:rPr>
          <w:rFonts w:hint="eastAsia" w:ascii="宋体" w:hAnsi="宋体"/>
          <w:szCs w:val="30"/>
        </w:rPr>
        <w:t>地</w:t>
      </w:r>
      <w:r>
        <w:rPr>
          <w:rFonts w:ascii="宋体" w:hAnsi="宋体"/>
          <w:szCs w:val="30"/>
        </w:rPr>
        <w:t xml:space="preserve">  </w:t>
      </w:r>
      <w:r>
        <w:rPr>
          <w:rFonts w:hint="eastAsia" w:ascii="宋体" w:hAnsi="宋体"/>
          <w:szCs w:val="30"/>
        </w:rPr>
        <w:t>址：</w:t>
      </w:r>
      <w:r>
        <w:rPr>
          <w:rFonts w:ascii="宋体" w:hAnsi="宋体"/>
          <w:szCs w:val="30"/>
        </w:rPr>
        <w:t xml:space="preserve"> </w:t>
      </w:r>
      <w:r>
        <w:rPr>
          <w:rFonts w:hint="eastAsia" w:ascii="宋体" w:hAnsi="宋体"/>
          <w:szCs w:val="30"/>
        </w:rPr>
        <w:t xml:space="preserve">                         地</w:t>
      </w:r>
      <w:r>
        <w:rPr>
          <w:rFonts w:ascii="宋体" w:hAnsi="宋体"/>
          <w:szCs w:val="30"/>
        </w:rPr>
        <w:t xml:space="preserve">  </w:t>
      </w:r>
      <w:r>
        <w:rPr>
          <w:rFonts w:hint="eastAsia" w:ascii="宋体" w:hAnsi="宋体"/>
          <w:szCs w:val="30"/>
        </w:rPr>
        <w:t xml:space="preserve">址：     </w:t>
      </w:r>
      <w:r>
        <w:rPr>
          <w:rFonts w:ascii="宋体" w:hAnsi="宋体"/>
          <w:szCs w:val="30"/>
        </w:rPr>
        <w:t xml:space="preserve">   </w:t>
      </w:r>
      <w:r>
        <w:rPr>
          <w:rFonts w:hint="eastAsia" w:ascii="宋体" w:hAnsi="宋体"/>
          <w:szCs w:val="30"/>
        </w:rPr>
        <w:t xml:space="preserve">                   </w:t>
      </w:r>
      <w:r>
        <w:rPr>
          <w:rFonts w:hint="eastAsia" w:ascii="宋体" w:hAnsi="宋体"/>
          <w:szCs w:val="30"/>
          <w:u w:val="single"/>
        </w:rPr>
        <w:t xml:space="preserve"> </w:t>
      </w:r>
      <w:r>
        <w:rPr>
          <w:rFonts w:hint="eastAsia" w:ascii="宋体" w:hAnsi="宋体"/>
          <w:szCs w:val="30"/>
        </w:rPr>
        <w:t xml:space="preserve">   </w:t>
      </w:r>
      <w:r>
        <w:rPr>
          <w:rFonts w:ascii="宋体" w:hAnsi="宋体"/>
          <w:szCs w:val="30"/>
        </w:rPr>
        <w:t xml:space="preserve">   </w:t>
      </w:r>
      <w:r>
        <w:rPr>
          <w:rFonts w:hint="eastAsia" w:ascii="宋体" w:hAnsi="宋体"/>
          <w:szCs w:val="30"/>
        </w:rPr>
        <w:t xml:space="preserve">  </w:t>
      </w:r>
      <w:r>
        <w:rPr>
          <w:rStyle w:val="42"/>
          <w:rFonts w:hint="eastAsia" w:ascii="宋体" w:hAnsi="宋体" w:cs="宋体"/>
          <w:sz w:val="24"/>
        </w:rPr>
        <w:t xml:space="preserve">                        </w:t>
      </w:r>
    </w:p>
    <w:p>
      <w:pPr>
        <w:spacing w:line="360" w:lineRule="exact"/>
        <w:rPr>
          <w:rFonts w:ascii="宋体" w:hAnsi="宋体"/>
          <w:szCs w:val="30"/>
        </w:rPr>
      </w:pPr>
      <w:r>
        <w:rPr>
          <w:rFonts w:hint="eastAsia" w:ascii="宋体" w:hAnsi="宋体"/>
          <w:szCs w:val="30"/>
        </w:rPr>
        <w:t>邮政编码：</w:t>
      </w:r>
      <w:r>
        <w:rPr>
          <w:rFonts w:ascii="宋体" w:hAnsi="宋体"/>
          <w:szCs w:val="30"/>
          <w:u w:val="single"/>
        </w:rPr>
        <w:t xml:space="preserve"> </w:t>
      </w:r>
      <w:r>
        <w:rPr>
          <w:rFonts w:hint="eastAsia" w:ascii="宋体" w:hAnsi="宋体" w:cs="宋体"/>
          <w:szCs w:val="30"/>
          <w:u w:val="single"/>
        </w:rPr>
        <w:t xml:space="preserve">     </w:t>
      </w:r>
      <w:r>
        <w:rPr>
          <w:rFonts w:ascii="宋体" w:hAnsi="宋体"/>
          <w:szCs w:val="30"/>
        </w:rPr>
        <w:t xml:space="preserve"> </w:t>
      </w:r>
      <w:r>
        <w:rPr>
          <w:rFonts w:hint="eastAsia" w:ascii="宋体" w:hAnsi="宋体"/>
          <w:szCs w:val="30"/>
        </w:rPr>
        <w:t xml:space="preserve">          邮政编码：</w:t>
      </w:r>
      <w:r>
        <w:rPr>
          <w:rFonts w:hint="eastAsia" w:ascii="宋体" w:hAnsi="宋体" w:cs="宋体"/>
          <w:szCs w:val="30"/>
          <w:u w:val="single"/>
        </w:rPr>
        <w:t xml:space="preserve">   </w:t>
      </w:r>
    </w:p>
    <w:p>
      <w:pPr>
        <w:spacing w:line="360" w:lineRule="exact"/>
        <w:rPr>
          <w:rFonts w:ascii="宋体" w:hAnsi="宋体"/>
          <w:szCs w:val="30"/>
        </w:rPr>
      </w:pPr>
      <w:r>
        <w:rPr>
          <w:rFonts w:hint="eastAsia" w:ascii="宋体" w:hAnsi="宋体"/>
          <w:szCs w:val="30"/>
        </w:rPr>
        <w:t>法定代表人：</w:t>
      </w:r>
      <w:r>
        <w:rPr>
          <w:rFonts w:hint="eastAsia" w:ascii="宋体" w:hAnsi="宋体" w:cs="宋体"/>
          <w:szCs w:val="30"/>
          <w:u w:val="single"/>
        </w:rPr>
        <w:t xml:space="preserve">           </w:t>
      </w:r>
      <w:r>
        <w:rPr>
          <w:rFonts w:ascii="宋体" w:hAnsi="宋体"/>
          <w:szCs w:val="30"/>
        </w:rPr>
        <w:t xml:space="preserve"> </w:t>
      </w:r>
      <w:r>
        <w:rPr>
          <w:rFonts w:hint="eastAsia" w:ascii="宋体" w:hAnsi="宋体"/>
          <w:szCs w:val="30"/>
        </w:rPr>
        <w:t xml:space="preserve">           法定代表人：</w:t>
      </w:r>
      <w:r>
        <w:rPr>
          <w:rFonts w:hint="eastAsia" w:ascii="宋体" w:hAnsi="宋体" w:cs="宋体"/>
          <w:szCs w:val="30"/>
          <w:u w:val="single"/>
        </w:rPr>
        <w:t xml:space="preserve">             </w:t>
      </w:r>
    </w:p>
    <w:p>
      <w:pPr>
        <w:spacing w:line="360" w:lineRule="exact"/>
        <w:rPr>
          <w:rFonts w:ascii="宋体" w:hAnsi="宋体"/>
          <w:szCs w:val="30"/>
        </w:rPr>
      </w:pPr>
      <w:r>
        <w:rPr>
          <w:rFonts w:hint="eastAsia" w:ascii="宋体" w:hAnsi="宋体"/>
          <w:szCs w:val="30"/>
        </w:rPr>
        <w:t>委托代理人：</w:t>
      </w:r>
      <w:r>
        <w:rPr>
          <w:rFonts w:hint="eastAsia" w:ascii="宋体" w:hAnsi="宋体" w:cs="宋体"/>
          <w:szCs w:val="30"/>
          <w:u w:val="single"/>
        </w:rPr>
        <w:t xml:space="preserve">           </w:t>
      </w:r>
      <w:r>
        <w:rPr>
          <w:rFonts w:ascii="宋体" w:hAnsi="宋体"/>
          <w:szCs w:val="30"/>
        </w:rPr>
        <w:t xml:space="preserve"> </w:t>
      </w:r>
      <w:r>
        <w:rPr>
          <w:rFonts w:hint="eastAsia" w:ascii="宋体" w:hAnsi="宋体"/>
          <w:szCs w:val="30"/>
        </w:rPr>
        <w:t xml:space="preserve">           委托代理人：</w:t>
      </w:r>
      <w:r>
        <w:rPr>
          <w:rFonts w:hint="eastAsia" w:ascii="宋体" w:hAnsi="宋体" w:cs="宋体"/>
          <w:szCs w:val="30"/>
          <w:u w:val="single"/>
        </w:rPr>
        <w:t xml:space="preserve">             </w:t>
      </w:r>
    </w:p>
    <w:p>
      <w:pPr>
        <w:spacing w:line="360" w:lineRule="exact"/>
        <w:rPr>
          <w:rFonts w:ascii="宋体" w:hAnsi="宋体"/>
          <w:szCs w:val="30"/>
        </w:rPr>
      </w:pPr>
      <w:r>
        <w:rPr>
          <w:rFonts w:hint="eastAsia" w:ascii="宋体" w:hAnsi="宋体"/>
          <w:szCs w:val="30"/>
        </w:rPr>
        <w:t>电</w:t>
      </w:r>
      <w:r>
        <w:rPr>
          <w:rFonts w:ascii="宋体" w:hAnsi="宋体"/>
          <w:szCs w:val="30"/>
        </w:rPr>
        <w:t xml:space="preserve">  </w:t>
      </w:r>
      <w:r>
        <w:rPr>
          <w:rFonts w:hint="eastAsia" w:ascii="宋体" w:hAnsi="宋体"/>
          <w:szCs w:val="30"/>
        </w:rPr>
        <w:t>话：</w:t>
      </w:r>
      <w:r>
        <w:rPr>
          <w:rFonts w:hint="eastAsia" w:ascii="宋体" w:hAnsi="宋体" w:cs="宋体"/>
          <w:szCs w:val="30"/>
          <w:u w:val="single"/>
        </w:rPr>
        <w:t></w:t>
      </w:r>
      <w:r>
        <w:rPr>
          <w:rFonts w:ascii="宋体" w:hAnsi="宋体"/>
          <w:szCs w:val="30"/>
          <w:u w:val="single"/>
        </w:rPr>
        <w:t xml:space="preserve">  </w:t>
      </w:r>
      <w:r>
        <w:rPr>
          <w:rFonts w:ascii="宋体" w:hAnsi="宋体"/>
          <w:szCs w:val="30"/>
        </w:rPr>
        <w:t xml:space="preserve">  </w:t>
      </w:r>
      <w:r>
        <w:rPr>
          <w:rFonts w:hint="eastAsia" w:ascii="宋体" w:hAnsi="宋体"/>
          <w:szCs w:val="30"/>
        </w:rPr>
        <w:t xml:space="preserve">                         电</w:t>
      </w:r>
      <w:r>
        <w:rPr>
          <w:rFonts w:ascii="宋体" w:hAnsi="宋体"/>
          <w:szCs w:val="30"/>
        </w:rPr>
        <w:t xml:space="preserve">  </w:t>
      </w:r>
      <w:r>
        <w:rPr>
          <w:rFonts w:hint="eastAsia" w:ascii="宋体" w:hAnsi="宋体"/>
          <w:szCs w:val="30"/>
        </w:rPr>
        <w:t>话：</w:t>
      </w:r>
      <w:r>
        <w:rPr>
          <w:rFonts w:hint="eastAsia" w:ascii="宋体" w:hAnsi="宋体" w:cs="宋体"/>
          <w:szCs w:val="30"/>
          <w:u w:val="single"/>
        </w:rPr>
        <w:t xml:space="preserve">     </w:t>
      </w:r>
    </w:p>
    <w:p>
      <w:pPr>
        <w:spacing w:line="360" w:lineRule="exact"/>
        <w:rPr>
          <w:rFonts w:ascii="宋体" w:hAnsi="宋体"/>
          <w:szCs w:val="30"/>
        </w:rPr>
      </w:pPr>
      <w:r>
        <w:rPr>
          <w:rFonts w:hint="eastAsia" w:ascii="宋体" w:hAnsi="宋体"/>
          <w:szCs w:val="30"/>
        </w:rPr>
        <w:t>传</w:t>
      </w:r>
      <w:r>
        <w:rPr>
          <w:rFonts w:ascii="宋体" w:hAnsi="宋体"/>
          <w:szCs w:val="30"/>
        </w:rPr>
        <w:t xml:space="preserve">  </w:t>
      </w:r>
      <w:r>
        <w:rPr>
          <w:rFonts w:hint="eastAsia" w:ascii="宋体" w:hAnsi="宋体"/>
          <w:szCs w:val="30"/>
        </w:rPr>
        <w:t>真：</w:t>
      </w:r>
      <w:r>
        <w:rPr>
          <w:rFonts w:hint="eastAsia" w:ascii="宋体" w:hAnsi="宋体" w:cs="宋体"/>
          <w:szCs w:val="30"/>
          <w:u w:val="single"/>
        </w:rPr>
        <w:t></w:t>
      </w:r>
      <w:r>
        <w:rPr>
          <w:rFonts w:ascii="宋体" w:hAnsi="宋体"/>
          <w:szCs w:val="30"/>
          <w:u w:val="single"/>
        </w:rPr>
        <w:t xml:space="preserve"> </w:t>
      </w:r>
      <w:r>
        <w:rPr>
          <w:rFonts w:ascii="宋体" w:hAnsi="宋体"/>
          <w:szCs w:val="30"/>
        </w:rPr>
        <w:t xml:space="preserve"> </w:t>
      </w:r>
      <w:r>
        <w:rPr>
          <w:rFonts w:hint="eastAsia" w:ascii="宋体" w:hAnsi="宋体"/>
          <w:szCs w:val="30"/>
        </w:rPr>
        <w:t xml:space="preserve">      </w:t>
      </w:r>
      <w:r>
        <w:rPr>
          <w:rFonts w:ascii="宋体" w:hAnsi="宋体"/>
          <w:szCs w:val="30"/>
        </w:rPr>
        <w:t xml:space="preserve"> </w:t>
      </w:r>
      <w:r>
        <w:rPr>
          <w:rFonts w:hint="eastAsia" w:ascii="宋体" w:hAnsi="宋体"/>
          <w:szCs w:val="30"/>
        </w:rPr>
        <w:t xml:space="preserve">                   传</w:t>
      </w:r>
      <w:r>
        <w:rPr>
          <w:rFonts w:ascii="宋体" w:hAnsi="宋体"/>
          <w:szCs w:val="30"/>
        </w:rPr>
        <w:t xml:space="preserve">  </w:t>
      </w:r>
      <w:r>
        <w:rPr>
          <w:rFonts w:hint="eastAsia" w:ascii="宋体" w:hAnsi="宋体"/>
          <w:szCs w:val="30"/>
        </w:rPr>
        <w:t>真：</w:t>
      </w:r>
      <w:r>
        <w:rPr>
          <w:rFonts w:hint="eastAsia" w:ascii="宋体" w:hAnsi="宋体" w:cs="宋体"/>
          <w:szCs w:val="30"/>
          <w:u w:val="single"/>
        </w:rPr>
        <w:t xml:space="preserve">     </w:t>
      </w:r>
    </w:p>
    <w:p>
      <w:pPr>
        <w:spacing w:line="360" w:lineRule="exact"/>
        <w:rPr>
          <w:rFonts w:ascii="宋体" w:hAnsi="宋体"/>
          <w:szCs w:val="30"/>
        </w:rPr>
      </w:pPr>
      <w:r>
        <w:rPr>
          <w:rFonts w:hint="eastAsia" w:ascii="宋体" w:hAnsi="宋体"/>
          <w:szCs w:val="30"/>
        </w:rPr>
        <w:t>电子信箱：</w:t>
      </w:r>
      <w:r>
        <w:rPr>
          <w:rFonts w:ascii="宋体" w:hAnsi="宋体"/>
          <w:szCs w:val="30"/>
          <w:u w:val="single"/>
        </w:rPr>
        <w:t xml:space="preserve">                 </w:t>
      </w:r>
      <w:r>
        <w:rPr>
          <w:rFonts w:ascii="宋体" w:hAnsi="宋体"/>
          <w:szCs w:val="30"/>
        </w:rPr>
        <w:t xml:space="preserve"> </w:t>
      </w:r>
      <w:r>
        <w:rPr>
          <w:rFonts w:hint="eastAsia" w:ascii="宋体" w:hAnsi="宋体"/>
          <w:szCs w:val="30"/>
        </w:rPr>
        <w:t xml:space="preserve">           电子信箱：</w:t>
      </w:r>
      <w:r>
        <w:rPr>
          <w:rFonts w:hint="eastAsia" w:ascii="宋体" w:hAnsi="宋体" w:cs="宋体"/>
          <w:szCs w:val="30"/>
          <w:u w:val="single"/>
        </w:rPr>
        <w:t xml:space="preserve">   </w:t>
      </w:r>
    </w:p>
    <w:p>
      <w:pPr>
        <w:spacing w:line="360" w:lineRule="exact"/>
        <w:rPr>
          <w:rFonts w:ascii="宋体" w:hAnsi="宋体"/>
          <w:szCs w:val="21"/>
        </w:rPr>
      </w:pPr>
      <w:r>
        <w:rPr>
          <w:rFonts w:hint="eastAsia" w:ascii="宋体" w:hAnsi="宋体"/>
          <w:szCs w:val="30"/>
        </w:rPr>
        <w:t>开户银行：</w:t>
      </w:r>
      <w:r>
        <w:rPr>
          <w:rFonts w:ascii="宋体" w:hAnsi="宋体"/>
          <w:szCs w:val="21"/>
        </w:rPr>
        <w:t xml:space="preserve"> </w:t>
      </w:r>
      <w:r>
        <w:rPr>
          <w:rFonts w:hint="eastAsia" w:ascii="宋体" w:hAnsi="宋体"/>
          <w:szCs w:val="21"/>
        </w:rPr>
        <w:t xml:space="preserve">                            开户银行：</w:t>
      </w:r>
      <w:r>
        <w:rPr>
          <w:rFonts w:hint="eastAsia" w:ascii="宋体" w:hAnsi="宋体" w:cs="宋体"/>
          <w:szCs w:val="21"/>
          <w:u w:val="single"/>
        </w:rPr>
        <w:t xml:space="preserve">   </w:t>
      </w:r>
    </w:p>
    <w:p>
      <w:pPr>
        <w:spacing w:line="360" w:lineRule="exact"/>
        <w:rPr>
          <w:rFonts w:ascii="宋体" w:hAnsi="宋体"/>
          <w:sz w:val="30"/>
          <w:szCs w:val="30"/>
        </w:rPr>
      </w:pPr>
      <w:r>
        <w:rPr>
          <w:rFonts w:hint="eastAsia" w:ascii="宋体" w:hAnsi="宋体"/>
          <w:szCs w:val="21"/>
        </w:rPr>
        <w:t>账</w:t>
      </w:r>
      <w:r>
        <w:rPr>
          <w:rFonts w:ascii="宋体" w:hAnsi="宋体"/>
          <w:szCs w:val="21"/>
        </w:rPr>
        <w:t xml:space="preserve">  </w:t>
      </w:r>
      <w:r>
        <w:rPr>
          <w:rFonts w:hint="eastAsia" w:ascii="宋体" w:hAnsi="宋体"/>
          <w:szCs w:val="21"/>
        </w:rPr>
        <w:t>号：</w:t>
      </w:r>
      <w:r>
        <w:rPr>
          <w:rFonts w:hint="eastAsia" w:ascii="宋体" w:hAnsi="宋体" w:cs="宋体"/>
          <w:szCs w:val="21"/>
          <w:u w:val="single"/>
        </w:rPr>
        <w:t></w:t>
      </w:r>
      <w:r>
        <w:rPr>
          <w:rFonts w:ascii="宋体" w:hAnsi="宋体"/>
          <w:szCs w:val="30"/>
          <w:u w:val="single"/>
        </w:rPr>
        <w:t xml:space="preserve">  </w:t>
      </w:r>
      <w:r>
        <w:rPr>
          <w:rFonts w:ascii="宋体" w:hAnsi="宋体"/>
          <w:szCs w:val="30"/>
        </w:rPr>
        <w:t xml:space="preserve">   </w:t>
      </w:r>
      <w:r>
        <w:rPr>
          <w:rFonts w:hint="eastAsia" w:ascii="宋体" w:hAnsi="宋体"/>
          <w:szCs w:val="30"/>
        </w:rPr>
        <w:t xml:space="preserve">                        账</w:t>
      </w:r>
      <w:r>
        <w:rPr>
          <w:rFonts w:ascii="宋体" w:hAnsi="宋体"/>
          <w:szCs w:val="30"/>
        </w:rPr>
        <w:t xml:space="preserve">  </w:t>
      </w:r>
      <w:r>
        <w:rPr>
          <w:rFonts w:hint="eastAsia" w:ascii="宋体" w:hAnsi="宋体"/>
          <w:szCs w:val="30"/>
        </w:rPr>
        <w:t>号：</w:t>
      </w:r>
      <w:r>
        <w:rPr>
          <w:rFonts w:hint="eastAsia" w:ascii="宋体" w:hAnsi="宋体" w:cs="宋体"/>
          <w:szCs w:val="30"/>
          <w:u w:val="single"/>
        </w:rPr>
        <w:t xml:space="preserve">     </w:t>
      </w:r>
      <w:r>
        <w:rPr>
          <w:rFonts w:ascii="宋体" w:hAnsi="宋体"/>
          <w:highlight w:val="white"/>
        </w:rPr>
        <w:br w:type="page"/>
      </w:r>
      <w:bookmarkStart w:id="2431" w:name="_Toc497907135"/>
      <w:r>
        <w:rPr>
          <w:rFonts w:hint="eastAsia" w:ascii="宋体" w:hAnsi="宋体"/>
          <w:sz w:val="30"/>
          <w:szCs w:val="30"/>
        </w:rPr>
        <w:t>第二部分 通用合同条款</w:t>
      </w:r>
      <w:bookmarkEnd w:id="2431"/>
    </w:p>
    <w:p>
      <w:pPr>
        <w:spacing w:line="360" w:lineRule="auto"/>
        <w:ind w:firstLine="480" w:firstLineChars="200"/>
        <w:rPr>
          <w:rFonts w:ascii="宋体" w:hAnsi="宋体"/>
          <w:kern w:val="0"/>
          <w:szCs w:val="21"/>
        </w:rPr>
      </w:pPr>
    </w:p>
    <w:p>
      <w:pPr>
        <w:spacing w:line="360" w:lineRule="auto"/>
        <w:ind w:firstLine="482" w:firstLineChars="200"/>
        <w:rPr>
          <w:rFonts w:hint="eastAsia" w:ascii="宋体" w:hAnsi="宋体"/>
          <w:b/>
          <w:kern w:val="0"/>
          <w:szCs w:val="21"/>
        </w:rPr>
      </w:pPr>
      <w:r>
        <w:rPr>
          <w:rFonts w:hint="eastAsia" w:ascii="宋体" w:hAnsi="宋体"/>
          <w:b/>
          <w:kern w:val="0"/>
          <w:szCs w:val="21"/>
        </w:rPr>
        <w:t xml:space="preserve">      采用《</w:t>
      </w:r>
      <w:r>
        <w:rPr>
          <w:rFonts w:ascii="宋体" w:hAnsi="宋体"/>
          <w:b/>
          <w:kern w:val="0"/>
          <w:szCs w:val="21"/>
        </w:rPr>
        <w:t>建设工程施工合同（示范文本）</w:t>
      </w:r>
      <w:r>
        <w:rPr>
          <w:rFonts w:hint="eastAsia" w:ascii="宋体" w:hAnsi="宋体"/>
          <w:b/>
          <w:kern w:val="0"/>
          <w:szCs w:val="21"/>
        </w:rPr>
        <w:t>》</w:t>
      </w:r>
      <w:r>
        <w:rPr>
          <w:rFonts w:ascii="宋体" w:hAnsi="宋体"/>
          <w:b/>
          <w:kern w:val="0"/>
          <w:szCs w:val="21"/>
        </w:rPr>
        <w:t>（GF—201</w:t>
      </w:r>
      <w:r>
        <w:rPr>
          <w:rFonts w:hint="eastAsia" w:ascii="宋体" w:hAnsi="宋体"/>
          <w:b/>
          <w:kern w:val="0"/>
          <w:szCs w:val="21"/>
        </w:rPr>
        <w:t>7</w:t>
      </w:r>
      <w:r>
        <w:rPr>
          <w:rFonts w:ascii="宋体" w:hAnsi="宋体"/>
          <w:b/>
          <w:kern w:val="0"/>
          <w:szCs w:val="21"/>
        </w:rPr>
        <w:t>—</w:t>
      </w:r>
      <w:r>
        <w:rPr>
          <w:rFonts w:hint="eastAsia" w:ascii="宋体" w:hAnsi="宋体"/>
          <w:b/>
          <w:kern w:val="0"/>
          <w:szCs w:val="21"/>
        </w:rPr>
        <w:t>0201）。</w:t>
      </w:r>
    </w:p>
    <w:p>
      <w:pPr>
        <w:spacing w:line="620" w:lineRule="exact"/>
        <w:jc w:val="center"/>
        <w:rPr>
          <w:rFonts w:hint="eastAsia" w:ascii="宋体" w:hAnsi="宋体" w:cs="宋体"/>
          <w:b/>
          <w:sz w:val="24"/>
          <w:u w:val="single"/>
        </w:rPr>
      </w:pPr>
      <w:r>
        <w:rPr>
          <w:rFonts w:hint="eastAsia" w:ascii="宋体" w:hAnsi="宋体" w:cs="宋体"/>
          <w:b/>
          <w:sz w:val="24"/>
          <w:u w:val="single"/>
        </w:rPr>
        <w:t>此部分在正式签订合同时应不加修改的、完整的装订在合同中</w:t>
      </w:r>
    </w:p>
    <w:p>
      <w:pPr>
        <w:spacing w:line="620" w:lineRule="exact"/>
        <w:jc w:val="center"/>
        <w:rPr>
          <w:rFonts w:hint="eastAsia" w:ascii="宋体" w:hAnsi="宋体" w:cs="宋体"/>
          <w:b/>
          <w:sz w:val="24"/>
          <w:u w:val="single"/>
        </w:rPr>
      </w:pPr>
    </w:p>
    <w:p>
      <w:pPr>
        <w:pStyle w:val="5"/>
        <w:ind w:firstLine="3000" w:firstLineChars="1000"/>
        <w:rPr>
          <w:rFonts w:hint="eastAsia" w:ascii="宋体" w:hAnsi="宋体" w:cs="宋体"/>
          <w:b w:val="0"/>
          <w:sz w:val="24"/>
          <w:szCs w:val="24"/>
        </w:rPr>
      </w:pPr>
      <w:r>
        <w:rPr>
          <w:rFonts w:hint="eastAsia" w:ascii="宋体" w:hAnsi="宋体" w:cs="宋体"/>
          <w:b w:val="0"/>
          <w:sz w:val="30"/>
          <w:szCs w:val="30"/>
        </w:rPr>
        <w:t>第三部分 专用合同条款</w:t>
      </w:r>
    </w:p>
    <w:p>
      <w:pPr>
        <w:pStyle w:val="6"/>
        <w:spacing w:before="120" w:after="120"/>
        <w:rPr>
          <w:rFonts w:hint="eastAsia" w:ascii="宋体" w:hAnsi="宋体" w:cs="宋体"/>
          <w:b w:val="0"/>
          <w:color w:val="000000"/>
          <w:szCs w:val="21"/>
        </w:rPr>
      </w:pPr>
      <w:bookmarkStart w:id="2432" w:name="_Toc351203633"/>
      <w:r>
        <w:rPr>
          <w:rFonts w:hint="eastAsia" w:ascii="宋体" w:hAnsi="宋体" w:cs="宋体"/>
          <w:b w:val="0"/>
          <w:color w:val="000000"/>
          <w:szCs w:val="21"/>
        </w:rPr>
        <w:t>1</w:t>
      </w:r>
      <w:bookmarkStart w:id="2433" w:name="_Toc296890984"/>
      <w:bookmarkStart w:id="2434" w:name="_Toc296891196"/>
      <w:bookmarkStart w:id="2435" w:name="_Toc296944495"/>
      <w:bookmarkStart w:id="2436" w:name="_Toc296503156"/>
      <w:bookmarkStart w:id="2437" w:name="_Toc296347155"/>
      <w:bookmarkStart w:id="2438" w:name="_Toc292559361"/>
      <w:bookmarkStart w:id="2439" w:name="_Toc292559866"/>
      <w:bookmarkStart w:id="2440" w:name="_Toc296346657"/>
      <w:bookmarkStart w:id="2441" w:name="_Toc297120456"/>
      <w:bookmarkStart w:id="2442" w:name="_Toc297048342"/>
      <w:r>
        <w:rPr>
          <w:rFonts w:hint="eastAsia" w:ascii="宋体" w:hAnsi="宋体" w:cs="宋体"/>
          <w:b w:val="0"/>
          <w:color w:val="000000"/>
          <w:szCs w:val="21"/>
        </w:rPr>
        <w:t>. 一般约定</w:t>
      </w:r>
      <w:bookmarkEnd w:id="2432"/>
    </w:p>
    <w:bookmarkEnd w:id="2433"/>
    <w:bookmarkEnd w:id="2434"/>
    <w:bookmarkEnd w:id="2435"/>
    <w:bookmarkEnd w:id="2436"/>
    <w:bookmarkEnd w:id="2437"/>
    <w:bookmarkEnd w:id="2438"/>
    <w:bookmarkEnd w:id="2439"/>
    <w:bookmarkEnd w:id="2440"/>
    <w:bookmarkEnd w:id="2441"/>
    <w:bookmarkEnd w:id="2442"/>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1.1 词语定义</w:t>
      </w:r>
    </w:p>
    <w:p>
      <w:pPr>
        <w:spacing w:line="360" w:lineRule="auto"/>
        <w:ind w:firstLine="480" w:firstLineChars="200"/>
        <w:rPr>
          <w:rFonts w:hint="eastAsia" w:ascii="宋体" w:hAnsi="宋体" w:cs="宋体"/>
          <w:color w:val="000000"/>
          <w:kern w:val="0"/>
          <w:szCs w:val="21"/>
        </w:rPr>
      </w:pPr>
      <w:r>
        <w:rPr>
          <w:rFonts w:hint="eastAsia" w:ascii="宋体" w:hAnsi="宋体" w:cs="宋体"/>
          <w:color w:val="000000"/>
          <w:kern w:val="0"/>
          <w:szCs w:val="21"/>
        </w:rPr>
        <w:t>1.1.1合同</w:t>
      </w:r>
    </w:p>
    <w:p>
      <w:pPr>
        <w:spacing w:line="360" w:lineRule="auto"/>
        <w:ind w:firstLine="480" w:firstLineChars="200"/>
        <w:rPr>
          <w:rFonts w:hint="eastAsia" w:ascii="宋体" w:hAnsi="宋体" w:cs="宋体"/>
          <w:color w:val="000000"/>
          <w:kern w:val="0"/>
          <w:szCs w:val="21"/>
        </w:rPr>
      </w:pPr>
      <w:r>
        <w:rPr>
          <w:rFonts w:hint="eastAsia" w:ascii="宋体" w:hAnsi="宋体" w:cs="宋体"/>
          <w:color w:val="000000"/>
          <w:kern w:val="0"/>
          <w:szCs w:val="21"/>
        </w:rPr>
        <w:t>1.1.1.10其他合同文件包括：</w:t>
      </w:r>
      <w:r>
        <w:rPr>
          <w:rFonts w:hint="eastAsia" w:ascii="宋体" w:hAnsi="宋体" w:cs="宋体"/>
          <w:color w:val="000000"/>
          <w:szCs w:val="21"/>
          <w:u w:val="single"/>
        </w:rPr>
        <w:t xml:space="preserve">履行合同过程中双方书面确认的会议纪要、签证、设计变更等资料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1.1.2 合同当事人及其他相关方</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1.1.2.4监理人：</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名    称：</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资质类别和等级：</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联系电话：</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电子信箱：</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通信地址：</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1.1.2.5 设计人：</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名    称：</w:t>
      </w:r>
      <w:r>
        <w:rPr>
          <w:rFonts w:hint="eastAsia" w:ascii="宋体" w:hAnsi="宋体" w:cs="宋体"/>
          <w:color w:val="000000"/>
          <w:szCs w:val="21"/>
          <w:u w:val="single"/>
        </w:rPr>
        <w:t xml:space="preserve">                                       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资质类别和等级：</w:t>
      </w:r>
      <w:r>
        <w:rPr>
          <w:rFonts w:hint="eastAsia" w:ascii="宋体" w:hAnsi="宋体" w:cs="宋体"/>
          <w:color w:val="000000"/>
          <w:szCs w:val="21"/>
          <w:u w:val="single"/>
        </w:rPr>
        <w:t xml:space="preserve">                                 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联系电话：</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电子信箱：</w:t>
      </w:r>
      <w:r>
        <w:rPr>
          <w:rFonts w:hint="eastAsia" w:ascii="宋体" w:hAnsi="宋体" w:cs="宋体"/>
          <w:color w:val="000000"/>
          <w:szCs w:val="21"/>
          <w:u w:val="single"/>
        </w:rPr>
        <w:t xml:space="preserve">                                      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通信地址：</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1.1.3 工程和设备</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1.1.3.7 作为施工现场组成部分的其他场所包括：</w:t>
      </w:r>
      <w:r>
        <w:rPr>
          <w:rFonts w:hint="eastAsia" w:ascii="宋体" w:hAnsi="宋体" w:cs="宋体"/>
          <w:color w:val="000000"/>
          <w:szCs w:val="21"/>
          <w:u w:val="single"/>
        </w:rPr>
        <w:t xml:space="preserve">  现场临时办公及施工场地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1.1.3.9 永久占地包括：</w:t>
      </w:r>
      <w:r>
        <w:rPr>
          <w:rFonts w:hint="eastAsia" w:ascii="宋体" w:hAnsi="宋体" w:cs="宋体"/>
          <w:color w:val="000000"/>
          <w:szCs w:val="21"/>
          <w:u w:val="single"/>
        </w:rPr>
        <w:t xml:space="preserve">   按施工图设计确定          </w:t>
      </w:r>
      <w:r>
        <w:rPr>
          <w:rFonts w:hint="eastAsia" w:ascii="宋体" w:hAnsi="宋体" w:cs="宋体"/>
          <w:color w:val="000000"/>
          <w:kern w:val="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kern w:val="0"/>
          <w:szCs w:val="21"/>
        </w:rPr>
        <w:t>1.1.3.10 临时占地包括：</w:t>
      </w:r>
      <w:r>
        <w:rPr>
          <w:rFonts w:hint="eastAsia" w:ascii="宋体" w:hAnsi="宋体" w:cs="宋体"/>
          <w:color w:val="000000"/>
          <w:szCs w:val="21"/>
          <w:u w:val="single"/>
        </w:rPr>
        <w:t xml:space="preserve">  合同履行中确定              </w:t>
      </w:r>
      <w:r>
        <w:rPr>
          <w:rFonts w:hint="eastAsia" w:ascii="宋体" w:hAnsi="宋体" w:cs="宋体"/>
          <w:color w:val="000000"/>
          <w:kern w:val="0"/>
          <w:szCs w:val="21"/>
        </w:rPr>
        <w:t>。</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 xml:space="preserve">1.3法律 </w:t>
      </w:r>
    </w:p>
    <w:p>
      <w:pPr>
        <w:autoSpaceDE w:val="0"/>
        <w:autoSpaceDN w:val="0"/>
        <w:adjustRightInd w:val="0"/>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适用于合同的其他规范性文件：</w:t>
      </w:r>
      <w:r>
        <w:rPr>
          <w:rFonts w:hint="eastAsia" w:ascii="宋体" w:hAnsi="宋体" w:cs="宋体"/>
          <w:color w:val="000000"/>
          <w:szCs w:val="21"/>
          <w:u w:val="single"/>
        </w:rPr>
        <w:t>《中华人民共和国合同法》、《中华人民共和国建筑法》、《中华人民共和国招标投标法》、《中华人民共和国安全生产法》、《建设工程质量管理条例》，及其他有关法律、法规。</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1.4 标准和规范</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1.4.1适用于工程的标准规范包括：</w:t>
      </w:r>
      <w:r>
        <w:rPr>
          <w:rFonts w:hint="eastAsia" w:ascii="宋体" w:hAnsi="宋体" w:cs="宋体"/>
          <w:color w:val="000000"/>
          <w:szCs w:val="21"/>
          <w:u w:val="single"/>
        </w:rPr>
        <w:t>现行国家及江苏省、徐州市的有关标准及其他适用于本工程的技术标准、规范等。</w:t>
      </w:r>
    </w:p>
    <w:p>
      <w:pPr>
        <w:spacing w:line="360" w:lineRule="auto"/>
        <w:rPr>
          <w:rFonts w:hint="eastAsia" w:ascii="宋体" w:hAnsi="宋体" w:cs="宋体"/>
          <w:color w:val="000000"/>
          <w:kern w:val="0"/>
          <w:szCs w:val="21"/>
        </w:rPr>
      </w:pPr>
      <w:r>
        <w:rPr>
          <w:rFonts w:hint="eastAsia" w:ascii="宋体" w:hAnsi="宋体" w:cs="宋体"/>
          <w:color w:val="000000"/>
          <w:kern w:val="0"/>
          <w:szCs w:val="21"/>
        </w:rPr>
        <w:t>1.4.2 发包人提供国外标准、规范的名称：</w:t>
      </w:r>
      <w:r>
        <w:rPr>
          <w:rFonts w:hint="eastAsia" w:ascii="宋体" w:hAnsi="宋体" w:cs="宋体"/>
          <w:color w:val="000000"/>
          <w:kern w:val="0"/>
          <w:szCs w:val="21"/>
          <w:u w:val="single"/>
        </w:rPr>
        <w:t xml:space="preserve">  不采用   </w:t>
      </w:r>
      <w:r>
        <w:rPr>
          <w:rFonts w:hint="eastAsia" w:ascii="宋体" w:hAnsi="宋体" w:cs="宋体"/>
          <w:color w:val="000000"/>
          <w:kern w:val="0"/>
          <w:szCs w:val="21"/>
        </w:rPr>
        <w:t>；</w:t>
      </w:r>
    </w:p>
    <w:p>
      <w:pPr>
        <w:spacing w:line="360" w:lineRule="auto"/>
        <w:ind w:firstLine="480" w:firstLineChars="200"/>
        <w:rPr>
          <w:rFonts w:hint="eastAsia" w:ascii="宋体" w:hAnsi="宋体" w:cs="宋体"/>
          <w:color w:val="000000"/>
          <w:kern w:val="0"/>
          <w:szCs w:val="21"/>
        </w:rPr>
      </w:pPr>
      <w:r>
        <w:rPr>
          <w:rFonts w:hint="eastAsia" w:ascii="宋体" w:hAnsi="宋体" w:cs="宋体"/>
          <w:color w:val="000000"/>
          <w:kern w:val="0"/>
          <w:szCs w:val="21"/>
        </w:rPr>
        <w:t>发包人提供国外标准、规范的份数：</w:t>
      </w:r>
      <w:r>
        <w:rPr>
          <w:rFonts w:hint="eastAsia" w:ascii="宋体" w:hAnsi="宋体" w:cs="宋体"/>
          <w:color w:val="000000"/>
          <w:kern w:val="0"/>
          <w:szCs w:val="21"/>
          <w:u w:val="single"/>
        </w:rPr>
        <w:t xml:space="preserve">    不采用    </w:t>
      </w:r>
      <w:r>
        <w:rPr>
          <w:rFonts w:hint="eastAsia" w:ascii="宋体" w:hAnsi="宋体" w:cs="宋体"/>
          <w:color w:val="000000"/>
          <w:kern w:val="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kern w:val="0"/>
          <w:szCs w:val="21"/>
        </w:rPr>
        <w:t>发包人提供国外标准、规范的名称：</w:t>
      </w:r>
      <w:r>
        <w:rPr>
          <w:rFonts w:hint="eastAsia" w:ascii="宋体" w:hAnsi="宋体" w:cs="宋体"/>
          <w:color w:val="000000"/>
          <w:kern w:val="0"/>
          <w:szCs w:val="21"/>
          <w:u w:val="single"/>
        </w:rPr>
        <w:t xml:space="preserve">    不采用    </w:t>
      </w:r>
      <w:r>
        <w:rPr>
          <w:rFonts w:hint="eastAsia" w:ascii="宋体" w:hAnsi="宋体" w:cs="宋体"/>
          <w:color w:val="000000"/>
          <w:kern w:val="0"/>
          <w:szCs w:val="21"/>
        </w:rPr>
        <w:t>。</w:t>
      </w:r>
    </w:p>
    <w:p>
      <w:pPr>
        <w:spacing w:line="360" w:lineRule="auto"/>
        <w:ind w:left="682" w:leftChars="284"/>
        <w:rPr>
          <w:rFonts w:hint="eastAsia" w:ascii="宋体" w:hAnsi="宋体" w:cs="宋体"/>
          <w:color w:val="000000"/>
          <w:szCs w:val="21"/>
        </w:rPr>
      </w:pPr>
      <w:r>
        <w:rPr>
          <w:rFonts w:hint="eastAsia" w:ascii="宋体" w:hAnsi="宋体" w:cs="宋体"/>
          <w:color w:val="000000"/>
          <w:szCs w:val="21"/>
        </w:rPr>
        <w:t>1.4.3发包人对工程的技术标准和功能要求的特殊要求：</w:t>
      </w:r>
    </w:p>
    <w:p>
      <w:pPr>
        <w:spacing w:line="360" w:lineRule="auto"/>
        <w:rPr>
          <w:rFonts w:hint="eastAsia" w:ascii="宋体" w:hAnsi="宋体" w:cs="宋体"/>
          <w:color w:val="000000"/>
          <w:szCs w:val="21"/>
        </w:rPr>
      </w:pPr>
      <w:r>
        <w:rPr>
          <w:rFonts w:hint="eastAsia" w:ascii="宋体" w:hAnsi="宋体" w:cs="宋体"/>
          <w:color w:val="000000"/>
          <w:szCs w:val="21"/>
          <w:u w:val="single"/>
        </w:rPr>
        <w:t xml:space="preserve">无  </w:t>
      </w:r>
      <w:r>
        <w:rPr>
          <w:rFonts w:hint="eastAsia" w:ascii="宋体" w:hAnsi="宋体" w:cs="宋体"/>
          <w:color w:val="000000"/>
          <w:szCs w:val="21"/>
        </w:rPr>
        <w:t>。</w:t>
      </w:r>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1.5 合同文件的优先顺序</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合同文件组成及优先顺序为：</w:t>
      </w:r>
      <w:r>
        <w:rPr>
          <w:rFonts w:hint="eastAsia" w:ascii="宋体" w:hAnsi="宋体" w:cs="宋体"/>
          <w:color w:val="000000"/>
          <w:szCs w:val="21"/>
          <w:u w:val="single"/>
        </w:rPr>
        <w:t></w:t>
      </w:r>
      <w:r>
        <w:rPr>
          <w:rFonts w:hint="eastAsia" w:ascii="宋体" w:hAnsi="宋体" w:cs="宋体"/>
          <w:color w:val="000000"/>
          <w:kern w:val="0"/>
          <w:szCs w:val="21"/>
          <w:u w:val="single"/>
        </w:rPr>
        <w:t>本合同协议书；中标通知书；投标书及其附件；本合同专用条款；本合同通用条款；标准、规范及有关技术文件；图纸；工程量清单；工程报价单或预算书；其他合同文件。</w:t>
      </w:r>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1.6 图纸和承包人文件</w:t>
      </w:r>
      <w:r>
        <w:rPr>
          <w:rFonts w:hint="eastAsia" w:ascii="宋体" w:hAnsi="宋体" w:cs="宋体"/>
          <w:color w:val="000000"/>
          <w:szCs w:val="21"/>
        </w:rPr>
        <w:tab/>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1.6.1 图纸的提供</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发包人向承包人提供图纸的期限：</w:t>
      </w:r>
      <w:r>
        <w:rPr>
          <w:rFonts w:hint="eastAsia" w:ascii="宋体" w:hAnsi="宋体" w:cs="宋体"/>
          <w:color w:val="000000"/>
          <w:szCs w:val="21"/>
          <w:u w:val="single"/>
        </w:rPr>
        <w:t>开工前5天</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rPr>
        <w:t>发包人向承包人提供图纸的数量：</w:t>
      </w:r>
      <w:r>
        <w:rPr>
          <w:rFonts w:hint="eastAsia" w:ascii="宋体" w:hAnsi="宋体" w:cs="宋体"/>
          <w:color w:val="000000"/>
          <w:szCs w:val="21"/>
          <w:u w:val="single"/>
        </w:rPr>
        <w:t xml:space="preserve">   叁  套，如承包人需增加施工图纸，出图费用由承包人自行承担。设计文件和图纸由发包人统一提供，承包人不得直接接收设计单位提供的设计文件和图纸；</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承包人收到设计文件和图纸后，要根据技术标准、设计规范、标准设计图、通用图和有关规定，对设计文件和图纸认真审查。发现问题及时以书面形式报告发包人。否则，因设计文件和图纸差错造成的损失，由承包人承担。</w:t>
      </w:r>
    </w:p>
    <w:p>
      <w:pPr>
        <w:spacing w:line="360" w:lineRule="auto"/>
        <w:ind w:firstLine="480" w:firstLineChars="200"/>
        <w:rPr>
          <w:rFonts w:hint="eastAsia" w:ascii="宋体" w:hAnsi="宋体" w:cs="宋体"/>
          <w:szCs w:val="21"/>
          <w:u w:val="single"/>
        </w:rPr>
      </w:pPr>
      <w:r>
        <w:rPr>
          <w:rFonts w:hint="eastAsia" w:ascii="宋体" w:hAnsi="宋体" w:cs="宋体"/>
          <w:color w:val="000000"/>
          <w:szCs w:val="21"/>
        </w:rPr>
        <w:t>发包人向承包人提供图纸的内容：</w:t>
      </w:r>
      <w:r>
        <w:rPr>
          <w:rFonts w:hint="eastAsia" w:ascii="宋体" w:hAnsi="宋体" w:cs="宋体"/>
          <w:color w:val="000000"/>
          <w:szCs w:val="21"/>
          <w:u w:val="single"/>
        </w:rPr>
        <w:t>全套施工图纸。</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1.6.4 承包人文件</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rPr>
        <w:t>需要由承包人提供的文件，包括：</w:t>
      </w:r>
      <w:r>
        <w:rPr>
          <w:rFonts w:hint="eastAsia" w:ascii="宋体" w:hAnsi="宋体" w:cs="宋体"/>
          <w:color w:val="000000"/>
          <w:szCs w:val="21"/>
          <w:u w:val="single"/>
        </w:rPr>
        <w:t>①按GB/T50502、本合同第二部分 通用合同条款7.1和7.2编制施工组织设计、施工措</w:t>
      </w:r>
      <w:r>
        <w:rPr>
          <w:rFonts w:hint="eastAsia" w:ascii="宋体" w:hAnsi="宋体" w:cs="宋体"/>
          <w:szCs w:val="21"/>
          <w:u w:val="single"/>
        </w:rPr>
        <w:t>施计划、施工方案、交通导改方案、扬尘污染防止措施报</w:t>
      </w:r>
      <w:r>
        <w:rPr>
          <w:rFonts w:hint="eastAsia" w:ascii="宋体" w:hAnsi="宋体" w:cs="宋体"/>
          <w:color w:val="000000"/>
          <w:szCs w:val="21"/>
          <w:u w:val="single"/>
        </w:rPr>
        <w:t>监理人审核和发包人确认；</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 xml:space="preserve">②由承包人办理的许可和批准的办理结果书面报送监理人审核和发包人确认、留存； </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③拟制施工人员名册（动态），并与为其办理工伤保险的有效证明一起报送监理人审核和发包人确认；</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④承包人项目管理机构、职责及施工现场人员安排的报告（其内容执行通用条款3.3）和主要施工管理人员与承包人之间的劳动关系证明和缴纳社会保险的有效证明，报送监理人审核和发包人确认；</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⑤特殊工种作业人员资格证明报送监理人审核和发包人确认；</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⑥项目经理的姓名、职称、注册建造师的编号、联系方式、授权范围等事项，和与承包人之间的正式聘用劳动合同、承包人为其缴纳社会保险的有效证明，一起报送监理人审核和发包人确认；</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⑦工程质量管理体系及措施文件、质量检查制度、质量控制文件，报送监理人审核和发包人确认；</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⑧工程安全管理体系及措施文件、安全检查制度、安全控制文件，报送监理人审核和发包人确认；</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⑨发包人管理需要的其他文件；</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⑩上述文件如发包人因管理需增加时，承包人有义务按发包人提出的形式、格式、数量、时间等要求提供 ；</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承包人提供的文件的期限为：</w:t>
      </w:r>
      <w:r>
        <w:rPr>
          <w:rFonts w:hint="eastAsia" w:ascii="宋体" w:hAnsi="宋体" w:cs="宋体"/>
          <w:color w:val="000000"/>
          <w:szCs w:val="21"/>
          <w:u w:val="single"/>
        </w:rPr>
        <w:t xml:space="preserve">合同签字后7日内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承包人提供的文件的数量为：</w:t>
      </w:r>
      <w:r>
        <w:rPr>
          <w:rFonts w:hint="eastAsia" w:ascii="宋体" w:hAnsi="宋体" w:cs="宋体"/>
          <w:color w:val="000000"/>
          <w:szCs w:val="21"/>
          <w:u w:val="single"/>
        </w:rPr>
        <w:t>纸质版肆套，电子版一套；</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承包人提供的文件的形式为：</w:t>
      </w:r>
      <w:r>
        <w:rPr>
          <w:rFonts w:hint="eastAsia" w:ascii="宋体" w:hAnsi="宋体" w:cs="宋体"/>
          <w:color w:val="000000"/>
          <w:szCs w:val="21"/>
          <w:u w:val="single"/>
        </w:rPr>
        <w:t xml:space="preserve">纸质版，电子版； </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发包人审批承包人文件的期限：</w:t>
      </w:r>
      <w:r>
        <w:rPr>
          <w:rFonts w:hint="eastAsia" w:ascii="宋体" w:hAnsi="宋体" w:cs="宋体"/>
          <w:color w:val="000000"/>
          <w:szCs w:val="21"/>
          <w:u w:val="single"/>
        </w:rPr>
        <w:t xml:space="preserve"> 7个工作日内。 </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1.6.5 现场图纸准备</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关于现场图纸准备的约定：</w:t>
      </w:r>
      <w:r>
        <w:rPr>
          <w:rFonts w:hint="eastAsia" w:ascii="宋体" w:hAnsi="宋体" w:cs="宋体"/>
          <w:color w:val="000000"/>
          <w:szCs w:val="21"/>
          <w:u w:val="single"/>
        </w:rPr>
        <w:t>执行通用条款 。</w:t>
      </w:r>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1.7 联络</w:t>
      </w:r>
    </w:p>
    <w:p>
      <w:pPr>
        <w:spacing w:line="360" w:lineRule="auto"/>
        <w:ind w:firstLine="480" w:firstLineChars="200"/>
        <w:rPr>
          <w:rFonts w:hint="eastAsia" w:ascii="宋体" w:hAnsi="宋体" w:cs="宋体"/>
          <w:color w:val="000000"/>
          <w:kern w:val="0"/>
          <w:szCs w:val="21"/>
        </w:rPr>
      </w:pPr>
      <w:r>
        <w:rPr>
          <w:rFonts w:hint="eastAsia" w:ascii="宋体" w:hAnsi="宋体" w:cs="宋体"/>
          <w:color w:val="000000"/>
          <w:kern w:val="0"/>
          <w:szCs w:val="21"/>
        </w:rPr>
        <w:t>1.7.1发包人和承包人应当在</w:t>
      </w:r>
      <w:r>
        <w:rPr>
          <w:rFonts w:hint="eastAsia" w:ascii="宋体" w:hAnsi="宋体" w:cs="宋体"/>
          <w:color w:val="000000"/>
          <w:szCs w:val="21"/>
          <w:u w:val="single"/>
        </w:rPr>
        <w:t xml:space="preserve">五 </w:t>
      </w:r>
      <w:r>
        <w:rPr>
          <w:rFonts w:hint="eastAsia" w:ascii="宋体" w:hAnsi="宋体" w:cs="宋体"/>
          <w:color w:val="000000"/>
          <w:kern w:val="0"/>
          <w:szCs w:val="21"/>
        </w:rPr>
        <w:t>天内将与合同有关的通知、批准、证明、证书、指示、指令、要求、请求、同意、意见、确定和决定等书面函件送达对方当事人。</w:t>
      </w:r>
    </w:p>
    <w:p>
      <w:pPr>
        <w:spacing w:line="360" w:lineRule="auto"/>
        <w:ind w:firstLine="480" w:firstLineChars="200"/>
        <w:rPr>
          <w:rFonts w:hint="eastAsia" w:ascii="宋体" w:hAnsi="宋体" w:cs="宋体"/>
          <w:color w:val="000000"/>
          <w:kern w:val="0"/>
          <w:szCs w:val="21"/>
        </w:rPr>
      </w:pPr>
      <w:r>
        <w:rPr>
          <w:rFonts w:hint="eastAsia" w:ascii="宋体" w:hAnsi="宋体" w:cs="宋体"/>
          <w:color w:val="000000"/>
          <w:kern w:val="0"/>
          <w:szCs w:val="21"/>
        </w:rPr>
        <w:t>1.7.2 发包人接收文件的地点：</w:t>
      </w:r>
      <w:r>
        <w:rPr>
          <w:rFonts w:hint="eastAsia" w:ascii="宋体" w:hAnsi="宋体" w:cs="宋体"/>
          <w:color w:val="000000"/>
          <w:szCs w:val="21"/>
          <w:u w:val="single"/>
        </w:rPr>
        <w:t xml:space="preserve"> 发包人指定地点    </w:t>
      </w:r>
      <w:r>
        <w:rPr>
          <w:rFonts w:hint="eastAsia" w:ascii="宋体" w:hAnsi="宋体" w:cs="宋体"/>
          <w:color w:val="000000"/>
          <w:kern w:val="0"/>
          <w:szCs w:val="21"/>
        </w:rPr>
        <w:t>；</w:t>
      </w:r>
    </w:p>
    <w:p>
      <w:pPr>
        <w:spacing w:line="360" w:lineRule="auto"/>
        <w:ind w:firstLine="480" w:firstLineChars="200"/>
        <w:rPr>
          <w:rFonts w:hint="eastAsia" w:ascii="宋体" w:hAnsi="宋体" w:cs="宋体"/>
          <w:color w:val="000000"/>
          <w:kern w:val="0"/>
          <w:szCs w:val="21"/>
        </w:rPr>
      </w:pPr>
      <w:r>
        <w:rPr>
          <w:rFonts w:hint="eastAsia" w:ascii="宋体" w:hAnsi="宋体" w:cs="宋体"/>
          <w:color w:val="000000"/>
          <w:kern w:val="0"/>
          <w:szCs w:val="21"/>
        </w:rPr>
        <w:t>发包人指定的接收人为：</w:t>
      </w:r>
      <w:r>
        <w:rPr>
          <w:rFonts w:hint="eastAsia" w:ascii="宋体" w:hAnsi="宋体" w:cs="宋体"/>
          <w:color w:val="000000"/>
          <w:szCs w:val="21"/>
          <w:u w:val="single"/>
        </w:rPr>
        <w:t>发包人派驻现场代表    </w:t>
      </w:r>
      <w:r>
        <w:rPr>
          <w:rFonts w:hint="eastAsia" w:ascii="宋体" w:hAnsi="宋体" w:cs="宋体"/>
          <w:color w:val="000000"/>
          <w:kern w:val="0"/>
          <w:szCs w:val="21"/>
        </w:rPr>
        <w:t>。</w:t>
      </w:r>
    </w:p>
    <w:p>
      <w:pPr>
        <w:spacing w:line="360" w:lineRule="auto"/>
        <w:ind w:firstLine="480" w:firstLineChars="200"/>
        <w:rPr>
          <w:rFonts w:hint="eastAsia" w:ascii="宋体" w:hAnsi="宋体" w:cs="宋体"/>
          <w:color w:val="000000"/>
          <w:kern w:val="0"/>
          <w:szCs w:val="21"/>
        </w:rPr>
      </w:pPr>
      <w:r>
        <w:rPr>
          <w:rFonts w:hint="eastAsia" w:ascii="宋体" w:hAnsi="宋体" w:cs="宋体"/>
          <w:color w:val="000000"/>
          <w:kern w:val="0"/>
          <w:szCs w:val="21"/>
        </w:rPr>
        <w:t>承包人接收文件的地点：</w:t>
      </w:r>
      <w:r>
        <w:rPr>
          <w:rFonts w:hint="eastAsia" w:ascii="宋体" w:hAnsi="宋体" w:cs="宋体"/>
          <w:color w:val="000000"/>
          <w:szCs w:val="21"/>
          <w:u w:val="single"/>
        </w:rPr>
        <w:t xml:space="preserve">施工现场办公室          </w:t>
      </w:r>
      <w:r>
        <w:rPr>
          <w:rFonts w:hint="eastAsia" w:ascii="宋体" w:hAnsi="宋体" w:cs="宋体"/>
          <w:color w:val="000000"/>
          <w:kern w:val="0"/>
          <w:szCs w:val="21"/>
        </w:rPr>
        <w:t>；</w:t>
      </w:r>
    </w:p>
    <w:p>
      <w:pPr>
        <w:spacing w:line="360" w:lineRule="auto"/>
        <w:ind w:firstLine="480" w:firstLineChars="200"/>
        <w:rPr>
          <w:rFonts w:hint="eastAsia" w:ascii="宋体" w:hAnsi="宋体" w:cs="宋体"/>
          <w:color w:val="000000"/>
          <w:kern w:val="0"/>
          <w:szCs w:val="21"/>
        </w:rPr>
      </w:pPr>
      <w:r>
        <w:rPr>
          <w:rFonts w:hint="eastAsia" w:ascii="宋体" w:hAnsi="宋体" w:cs="宋体"/>
          <w:color w:val="000000"/>
          <w:kern w:val="0"/>
          <w:szCs w:val="21"/>
        </w:rPr>
        <w:t>承包人指定的接收人为：</w:t>
      </w:r>
      <w:r>
        <w:rPr>
          <w:rFonts w:hint="eastAsia" w:ascii="宋体" w:hAnsi="宋体" w:cs="宋体"/>
          <w:color w:val="000000"/>
          <w:szCs w:val="21"/>
          <w:u w:val="single"/>
        </w:rPr>
        <w:t>项目经理            </w:t>
      </w:r>
      <w:r>
        <w:rPr>
          <w:rFonts w:hint="eastAsia" w:ascii="宋体" w:hAnsi="宋体" w:cs="宋体"/>
          <w:color w:val="000000"/>
          <w:kern w:val="0"/>
          <w:szCs w:val="21"/>
        </w:rPr>
        <w:t>。</w:t>
      </w:r>
    </w:p>
    <w:p>
      <w:pPr>
        <w:spacing w:line="360" w:lineRule="auto"/>
        <w:ind w:firstLine="480" w:firstLineChars="200"/>
        <w:rPr>
          <w:rFonts w:hint="eastAsia" w:ascii="宋体" w:hAnsi="宋体" w:cs="宋体"/>
          <w:color w:val="000000"/>
          <w:kern w:val="0"/>
          <w:szCs w:val="21"/>
        </w:rPr>
      </w:pPr>
      <w:r>
        <w:rPr>
          <w:rFonts w:hint="eastAsia" w:ascii="宋体" w:hAnsi="宋体" w:cs="宋体"/>
          <w:color w:val="000000"/>
          <w:kern w:val="0"/>
          <w:szCs w:val="21"/>
        </w:rPr>
        <w:t>监理人接收文件的地点：</w:t>
      </w:r>
      <w:r>
        <w:rPr>
          <w:rFonts w:hint="eastAsia" w:ascii="宋体" w:hAnsi="宋体" w:cs="宋体"/>
          <w:color w:val="000000"/>
          <w:szCs w:val="21"/>
          <w:u w:val="single"/>
        </w:rPr>
        <w:t>监理人施工现场办公室  </w:t>
      </w:r>
      <w:r>
        <w:rPr>
          <w:rFonts w:hint="eastAsia" w:ascii="宋体" w:hAnsi="宋体" w:cs="宋体"/>
          <w:color w:val="000000"/>
          <w:kern w:val="0"/>
          <w:szCs w:val="21"/>
        </w:rPr>
        <w:t>；</w:t>
      </w:r>
    </w:p>
    <w:p>
      <w:pPr>
        <w:spacing w:line="360" w:lineRule="auto"/>
        <w:ind w:firstLine="480" w:firstLineChars="200"/>
        <w:rPr>
          <w:rFonts w:hint="eastAsia" w:ascii="宋体" w:hAnsi="宋体" w:cs="宋体"/>
          <w:color w:val="000000"/>
          <w:kern w:val="0"/>
          <w:szCs w:val="21"/>
        </w:rPr>
      </w:pPr>
      <w:r>
        <w:rPr>
          <w:rFonts w:hint="eastAsia" w:ascii="宋体" w:hAnsi="宋体" w:cs="宋体"/>
          <w:color w:val="000000"/>
          <w:kern w:val="0"/>
          <w:szCs w:val="21"/>
        </w:rPr>
        <w:t>监理人指定的接收人为：</w:t>
      </w:r>
      <w:r>
        <w:rPr>
          <w:rFonts w:hint="eastAsia" w:ascii="宋体" w:hAnsi="宋体" w:cs="宋体"/>
          <w:color w:val="000000"/>
          <w:szCs w:val="21"/>
          <w:u w:val="single"/>
        </w:rPr>
        <w:t>总监或总监代表        </w:t>
      </w:r>
      <w:r>
        <w:rPr>
          <w:rFonts w:hint="eastAsia" w:ascii="宋体" w:hAnsi="宋体" w:cs="宋体"/>
          <w:color w:val="000000"/>
          <w:kern w:val="0"/>
          <w:szCs w:val="21"/>
        </w:rPr>
        <w:t>。</w:t>
      </w:r>
    </w:p>
    <w:p>
      <w:pPr>
        <w:spacing w:after="120" w:line="360" w:lineRule="exact"/>
        <w:ind w:firstLine="480" w:firstLineChars="200"/>
        <w:outlineLvl w:val="0"/>
        <w:rPr>
          <w:rFonts w:hint="eastAsia" w:ascii="宋体" w:hAnsi="宋体" w:cs="宋体"/>
          <w:color w:val="000000"/>
          <w:szCs w:val="21"/>
        </w:rPr>
      </w:pPr>
      <w:r>
        <w:rPr>
          <w:rFonts w:hint="eastAsia" w:ascii="宋体" w:hAnsi="宋体" w:cs="宋体"/>
          <w:color w:val="000000"/>
          <w:szCs w:val="21"/>
        </w:rPr>
        <w:t>1.10 交通运输</w:t>
      </w:r>
    </w:p>
    <w:p>
      <w:pPr>
        <w:spacing w:line="360" w:lineRule="exact"/>
        <w:ind w:firstLine="480" w:firstLineChars="200"/>
        <w:outlineLvl w:val="0"/>
        <w:rPr>
          <w:rFonts w:hint="eastAsia" w:ascii="宋体" w:hAnsi="宋体" w:cs="宋体"/>
          <w:szCs w:val="21"/>
        </w:rPr>
      </w:pPr>
      <w:r>
        <w:rPr>
          <w:rFonts w:hint="eastAsia" w:ascii="宋体" w:hAnsi="宋体" w:cs="宋体"/>
          <w:szCs w:val="21"/>
        </w:rPr>
        <w:t>1</w:t>
      </w:r>
      <w:bookmarkStart w:id="2443" w:name="_Toc304295521"/>
      <w:bookmarkStart w:id="2444" w:name="_Toc318581155"/>
      <w:bookmarkStart w:id="2445" w:name="_Toc303539100"/>
      <w:bookmarkStart w:id="2446" w:name="_Toc300934943"/>
      <w:bookmarkStart w:id="2447" w:name="_Toc312677986"/>
      <w:r>
        <w:rPr>
          <w:rFonts w:hint="eastAsia" w:ascii="宋体" w:hAnsi="宋体" w:cs="宋体"/>
          <w:szCs w:val="21"/>
        </w:rPr>
        <w:t>.10.1 出入现场的权利</w:t>
      </w:r>
    </w:p>
    <w:p>
      <w:pPr>
        <w:spacing w:line="360" w:lineRule="auto"/>
        <w:ind w:firstLine="480" w:firstLineChars="200"/>
        <w:rPr>
          <w:rFonts w:hint="eastAsia" w:ascii="宋体" w:hAnsi="宋体" w:cs="宋体"/>
          <w:szCs w:val="21"/>
        </w:rPr>
      </w:pPr>
      <w:r>
        <w:rPr>
          <w:rFonts w:hint="eastAsia" w:ascii="宋体" w:hAnsi="宋体" w:cs="宋体"/>
          <w:szCs w:val="21"/>
        </w:rPr>
        <w:t>关于出入现场的权利的约定：</w:t>
      </w:r>
      <w:r>
        <w:rPr>
          <w:rFonts w:hint="eastAsia" w:ascii="宋体" w:hAnsi="宋体" w:cs="宋体"/>
          <w:color w:val="000000"/>
          <w:szCs w:val="21"/>
          <w:u w:val="single"/>
        </w:rPr>
        <w:t>由承包人按发包人要求负责取得出入施工现场所需的批准手续和全部权利，以及取得因施工所需修建道路、桥梁以及其他基础设施的权利，并承担相关手续费用和建设费用。</w:t>
      </w:r>
    </w:p>
    <w:bookmarkEnd w:id="2443"/>
    <w:bookmarkEnd w:id="2444"/>
    <w:bookmarkEnd w:id="2445"/>
    <w:bookmarkEnd w:id="2446"/>
    <w:bookmarkEnd w:id="2447"/>
    <w:p>
      <w:pPr>
        <w:spacing w:line="360" w:lineRule="auto"/>
        <w:ind w:firstLine="480" w:firstLineChars="200"/>
        <w:jc w:val="left"/>
        <w:outlineLvl w:val="0"/>
        <w:rPr>
          <w:rFonts w:hint="eastAsia" w:ascii="宋体" w:hAnsi="宋体" w:cs="宋体"/>
          <w:szCs w:val="21"/>
        </w:rPr>
      </w:pPr>
      <w:r>
        <w:rPr>
          <w:rFonts w:hint="eastAsia" w:ascii="宋体" w:hAnsi="宋体" w:cs="宋体"/>
          <w:szCs w:val="21"/>
        </w:rPr>
        <w:t>1</w:t>
      </w:r>
      <w:bookmarkStart w:id="2448" w:name="_Toc300934944"/>
      <w:bookmarkStart w:id="2449" w:name="_Toc304295522"/>
      <w:bookmarkStart w:id="2450" w:name="_Toc312677987"/>
      <w:bookmarkStart w:id="2451" w:name="_Toc318581156"/>
      <w:bookmarkStart w:id="2452" w:name="_Toc303539101"/>
      <w:r>
        <w:rPr>
          <w:rFonts w:hint="eastAsia" w:ascii="宋体" w:hAnsi="宋体" w:cs="宋体"/>
          <w:szCs w:val="21"/>
        </w:rPr>
        <w:t>.10.3 场内交通</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关于场外交通和场内交通的边界的约定：</w:t>
      </w:r>
      <w:r>
        <w:rPr>
          <w:rFonts w:hint="eastAsia" w:ascii="宋体" w:hAnsi="宋体" w:cs="宋体"/>
          <w:color w:val="000000"/>
          <w:szCs w:val="21"/>
          <w:u w:val="single"/>
        </w:rPr>
        <w:t>以现场实际施工条件为准</w:t>
      </w:r>
      <w:r>
        <w:rPr>
          <w:rFonts w:hint="eastAsia" w:ascii="宋体" w:hAnsi="宋体" w:cs="宋体"/>
          <w:szCs w:val="21"/>
        </w:rPr>
        <w:t>。</w:t>
      </w:r>
    </w:p>
    <w:p>
      <w:pPr>
        <w:spacing w:line="360" w:lineRule="auto"/>
        <w:ind w:firstLine="480" w:firstLineChars="200"/>
        <w:jc w:val="left"/>
        <w:rPr>
          <w:rFonts w:hint="eastAsia" w:ascii="宋体" w:hAnsi="宋体" w:cs="宋体"/>
          <w:szCs w:val="21"/>
        </w:rPr>
      </w:pPr>
      <w:r>
        <w:rPr>
          <w:rFonts w:hint="eastAsia" w:ascii="宋体" w:hAnsi="宋体" w:cs="宋体"/>
          <w:szCs w:val="21"/>
        </w:rPr>
        <w:t>关于发包人向承包人免费提供满足工程施工需要的场内道路和交通设施的约定：</w:t>
      </w:r>
      <w:r>
        <w:rPr>
          <w:rFonts w:hint="eastAsia" w:ascii="宋体" w:hAnsi="宋体" w:cs="宋体"/>
          <w:color w:val="000000"/>
          <w:szCs w:val="21"/>
          <w:u w:val="single"/>
        </w:rPr>
        <w:t>以现场实际施工条件为准</w:t>
      </w:r>
      <w:r>
        <w:rPr>
          <w:rFonts w:hint="eastAsia" w:ascii="宋体" w:hAnsi="宋体" w:cs="宋体"/>
          <w:szCs w:val="21"/>
        </w:rPr>
        <w:t>。</w:t>
      </w:r>
      <w:bookmarkEnd w:id="2448"/>
      <w:bookmarkEnd w:id="2449"/>
      <w:bookmarkEnd w:id="2450"/>
      <w:bookmarkEnd w:id="2451"/>
      <w:bookmarkEnd w:id="2452"/>
      <w:r>
        <w:rPr>
          <w:rFonts w:hint="eastAsia" w:ascii="宋体" w:hAnsi="宋体" w:cs="宋体"/>
          <w:szCs w:val="21"/>
        </w:rPr>
        <w:t xml:space="preserve">  </w:t>
      </w:r>
      <w:bookmarkStart w:id="2453" w:name="_Toc318581157"/>
    </w:p>
    <w:p>
      <w:pPr>
        <w:spacing w:line="360" w:lineRule="auto"/>
        <w:ind w:firstLine="480" w:firstLineChars="200"/>
        <w:jc w:val="left"/>
        <w:rPr>
          <w:rFonts w:hint="eastAsia" w:ascii="宋体" w:hAnsi="宋体" w:cs="宋体"/>
          <w:szCs w:val="21"/>
        </w:rPr>
      </w:pPr>
      <w:r>
        <w:rPr>
          <w:rFonts w:hint="eastAsia" w:ascii="宋体" w:hAnsi="宋体" w:cs="宋体"/>
          <w:szCs w:val="21"/>
        </w:rPr>
        <w:t>1.10.4超大件和超重件的运输</w:t>
      </w:r>
    </w:p>
    <w:p>
      <w:pPr>
        <w:spacing w:line="360" w:lineRule="auto"/>
        <w:ind w:firstLine="480" w:firstLineChars="200"/>
        <w:jc w:val="left"/>
        <w:rPr>
          <w:rFonts w:hint="eastAsia" w:ascii="宋体" w:hAnsi="宋体" w:cs="宋体"/>
          <w:szCs w:val="21"/>
        </w:rPr>
      </w:pPr>
      <w:r>
        <w:rPr>
          <w:rFonts w:hint="eastAsia" w:ascii="宋体" w:hAnsi="宋体" w:cs="宋体"/>
          <w:szCs w:val="21"/>
        </w:rPr>
        <w:t>运输超大件或超重件所需的道路和桥梁临时加固改造费用和其他有关费用由</w:t>
      </w:r>
      <w:r>
        <w:rPr>
          <w:rFonts w:hint="eastAsia" w:ascii="宋体" w:hAnsi="宋体" w:cs="宋体"/>
          <w:szCs w:val="21"/>
          <w:u w:val="single"/>
        </w:rPr>
        <w:t xml:space="preserve">   承包人  </w:t>
      </w:r>
      <w:r>
        <w:rPr>
          <w:rFonts w:hint="eastAsia" w:ascii="宋体" w:hAnsi="宋体" w:cs="宋体"/>
          <w:szCs w:val="21"/>
        </w:rPr>
        <w:t>承担。</w:t>
      </w:r>
    </w:p>
    <w:bookmarkEnd w:id="2453"/>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1.11 知识产权</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000000"/>
          <w:szCs w:val="21"/>
          <w:u w:val="single"/>
        </w:rPr>
        <w:t xml:space="preserve">执行通用条款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关于发包人提供的上述文件的使用限制的要求：</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1.11.2 关于承包人为实施工程所编制文件的著作权的归属：</w:t>
      </w:r>
      <w:r>
        <w:rPr>
          <w:rFonts w:hint="eastAsia" w:ascii="宋体" w:hAnsi="宋体" w:cs="宋体"/>
          <w:color w:val="000000"/>
          <w:szCs w:val="21"/>
          <w:u w:val="single"/>
        </w:rPr>
        <w:t xml:space="preserve"> 执行通用条款</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关于承包人提供的上述文件的使用限制的要求：</w:t>
      </w:r>
      <w:r>
        <w:rPr>
          <w:rFonts w:hint="eastAsia" w:ascii="宋体" w:hAnsi="宋体" w:cs="宋体"/>
          <w:color w:val="000000"/>
          <w:szCs w:val="21"/>
          <w:u w:val="single"/>
        </w:rPr>
        <w:t xml:space="preserve">执行通用条款  </w:t>
      </w:r>
      <w:r>
        <w:rPr>
          <w:rFonts w:hint="eastAsia" w:ascii="宋体" w:hAnsi="宋体" w:cs="宋体"/>
          <w:color w:val="000000"/>
          <w:szCs w:val="21"/>
        </w:rPr>
        <w:t>。</w:t>
      </w:r>
    </w:p>
    <w:p>
      <w:pPr>
        <w:spacing w:line="360" w:lineRule="auto"/>
        <w:ind w:firstLine="480" w:firstLineChars="200"/>
        <w:outlineLvl w:val="0"/>
        <w:rPr>
          <w:rFonts w:hint="eastAsia" w:ascii="宋体" w:hAnsi="宋体" w:cs="宋体"/>
          <w:color w:val="000000"/>
          <w:kern w:val="0"/>
          <w:szCs w:val="21"/>
        </w:rPr>
      </w:pPr>
      <w:r>
        <w:rPr>
          <w:rFonts w:hint="eastAsia" w:ascii="宋体" w:hAnsi="宋体" w:cs="宋体"/>
          <w:color w:val="000000"/>
          <w:szCs w:val="21"/>
        </w:rPr>
        <w:t>1.11.4 承包人在施工过程中所采用的专利、专有技术、技术秘密的使用费的承担方式：</w:t>
      </w:r>
      <w:r>
        <w:rPr>
          <w:rFonts w:hint="eastAsia" w:ascii="宋体" w:hAnsi="宋体" w:cs="宋体"/>
          <w:color w:val="000000"/>
          <w:szCs w:val="21"/>
          <w:u w:val="single"/>
        </w:rPr>
        <w:t xml:space="preserve">执行通用条款   </w:t>
      </w:r>
      <w:r>
        <w:rPr>
          <w:rFonts w:hint="eastAsia" w:ascii="宋体" w:hAnsi="宋体" w:cs="宋体"/>
          <w:color w:val="000000"/>
          <w:kern w:val="0"/>
          <w:szCs w:val="21"/>
        </w:rPr>
        <w:t>。</w:t>
      </w:r>
    </w:p>
    <w:p>
      <w:pPr>
        <w:spacing w:after="120" w:line="360" w:lineRule="exact"/>
        <w:ind w:firstLine="480" w:firstLineChars="200"/>
        <w:rPr>
          <w:rFonts w:hint="eastAsia" w:ascii="宋体" w:hAnsi="宋体" w:cs="宋体"/>
          <w:color w:val="000000"/>
          <w:szCs w:val="21"/>
        </w:rPr>
      </w:pPr>
      <w:r>
        <w:rPr>
          <w:rFonts w:hint="eastAsia" w:ascii="宋体" w:hAnsi="宋体" w:cs="宋体"/>
          <w:color w:val="000000"/>
          <w:szCs w:val="21"/>
        </w:rPr>
        <w:t>1.13工程量清单错误的修正</w:t>
      </w:r>
    </w:p>
    <w:p>
      <w:pPr>
        <w:spacing w:line="360" w:lineRule="exact"/>
        <w:ind w:firstLine="480" w:firstLineChars="200"/>
        <w:rPr>
          <w:rFonts w:hint="eastAsia" w:ascii="宋体" w:hAnsi="宋体" w:cs="宋体"/>
          <w:color w:val="000000"/>
          <w:szCs w:val="21"/>
        </w:rPr>
      </w:pPr>
      <w:r>
        <w:rPr>
          <w:rFonts w:hint="eastAsia" w:ascii="宋体" w:hAnsi="宋体" w:cs="宋体"/>
          <w:color w:val="000000"/>
          <w:szCs w:val="21"/>
        </w:rPr>
        <w:t>出现工程量清单错误时，是否调整合同价格：</w:t>
      </w:r>
      <w:r>
        <w:rPr>
          <w:rFonts w:hint="eastAsia" w:ascii="宋体" w:hAnsi="宋体" w:cs="宋体"/>
          <w:color w:val="000000"/>
          <w:szCs w:val="21"/>
          <w:u w:val="single"/>
        </w:rPr>
        <w:t xml:space="preserve"> 执行通用条款  </w:t>
      </w:r>
      <w:r>
        <w:rPr>
          <w:rFonts w:hint="eastAsia" w:ascii="宋体" w:hAnsi="宋体" w:cs="宋体"/>
          <w:color w:val="000000"/>
          <w:kern w:val="0"/>
          <w:szCs w:val="21"/>
        </w:rPr>
        <w:t>。</w:t>
      </w:r>
    </w:p>
    <w:p>
      <w:pPr>
        <w:spacing w:line="360" w:lineRule="auto"/>
        <w:rPr>
          <w:rFonts w:hint="eastAsia" w:ascii="宋体" w:hAnsi="宋体" w:cs="宋体"/>
          <w:color w:val="000000"/>
          <w:szCs w:val="21"/>
          <w:u w:val="single"/>
        </w:rPr>
      </w:pPr>
      <w:r>
        <w:rPr>
          <w:rFonts w:hint="eastAsia" w:ascii="宋体" w:hAnsi="宋体" w:cs="宋体"/>
          <w:color w:val="000000"/>
          <w:szCs w:val="21"/>
        </w:rPr>
        <w:t>允许调整合同价格的工程量偏差范围：</w:t>
      </w:r>
      <w:r>
        <w:rPr>
          <w:rFonts w:hint="eastAsia" w:ascii="宋体" w:hAnsi="宋体" w:cs="宋体"/>
          <w:szCs w:val="21"/>
          <w:u w:val="single"/>
        </w:rPr>
        <w:t>执行“</w:t>
      </w:r>
      <w:r>
        <w:rPr>
          <w:rFonts w:hint="eastAsia" w:ascii="宋体" w:hAnsi="宋体" w:cs="宋体"/>
          <w:b/>
          <w:szCs w:val="21"/>
          <w:u w:val="single"/>
        </w:rPr>
        <w:t>合同价格、计量与支付”相关条款</w:t>
      </w:r>
      <w:r>
        <w:rPr>
          <w:rFonts w:hint="eastAsia" w:ascii="宋体" w:hAnsi="宋体" w:cs="宋体"/>
          <w:szCs w:val="21"/>
          <w:u w:val="single"/>
        </w:rPr>
        <w:t xml:space="preserve"> 。</w:t>
      </w:r>
      <w:r>
        <w:rPr>
          <w:rFonts w:hint="eastAsia" w:ascii="宋体" w:hAnsi="宋体" w:cs="宋体"/>
          <w:color w:val="000000"/>
          <w:szCs w:val="21"/>
          <w:u w:val="single"/>
        </w:rPr>
        <w:t xml:space="preserve"> </w:t>
      </w:r>
    </w:p>
    <w:p>
      <w:pPr>
        <w:pStyle w:val="6"/>
        <w:spacing w:before="120" w:after="120"/>
        <w:rPr>
          <w:rFonts w:hint="eastAsia" w:ascii="宋体" w:hAnsi="宋体" w:cs="宋体"/>
          <w:b w:val="0"/>
          <w:color w:val="000000"/>
          <w:szCs w:val="21"/>
        </w:rPr>
      </w:pPr>
      <w:bookmarkStart w:id="2454" w:name="_Toc351203634"/>
      <w:r>
        <w:rPr>
          <w:rFonts w:hint="eastAsia" w:ascii="宋体" w:hAnsi="宋体" w:cs="宋体"/>
          <w:b w:val="0"/>
          <w:color w:val="000000"/>
          <w:szCs w:val="21"/>
        </w:rPr>
        <w:t>2</w:t>
      </w:r>
      <w:bookmarkStart w:id="2455" w:name="_Toc296503157"/>
      <w:bookmarkStart w:id="2456" w:name="_Toc297048343"/>
      <w:bookmarkStart w:id="2457" w:name="_Toc296891197"/>
      <w:bookmarkStart w:id="2458" w:name="_Toc297120457"/>
      <w:bookmarkStart w:id="2459" w:name="_Toc296890985"/>
      <w:bookmarkStart w:id="2460" w:name="_Toc292559362"/>
      <w:bookmarkStart w:id="2461" w:name="_Toc296347156"/>
      <w:bookmarkStart w:id="2462" w:name="_Toc292559867"/>
      <w:bookmarkStart w:id="2463" w:name="_Toc296346658"/>
      <w:bookmarkStart w:id="2464" w:name="_Toc296944496"/>
      <w:r>
        <w:rPr>
          <w:rFonts w:hint="eastAsia" w:ascii="宋体" w:hAnsi="宋体" w:cs="宋体"/>
          <w:b w:val="0"/>
          <w:color w:val="000000"/>
          <w:szCs w:val="21"/>
        </w:rPr>
        <w:t>. 发包人</w:t>
      </w:r>
      <w:bookmarkEnd w:id="2454"/>
    </w:p>
    <w:bookmarkEnd w:id="2455"/>
    <w:bookmarkEnd w:id="2456"/>
    <w:bookmarkEnd w:id="2457"/>
    <w:bookmarkEnd w:id="2458"/>
    <w:bookmarkEnd w:id="2459"/>
    <w:bookmarkEnd w:id="2460"/>
    <w:bookmarkEnd w:id="2461"/>
    <w:bookmarkEnd w:id="2462"/>
    <w:bookmarkEnd w:id="2463"/>
    <w:bookmarkEnd w:id="2464"/>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2.2 发包人代表</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发包人代表：</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姓    名：</w:t>
      </w:r>
      <w:r>
        <w:rPr>
          <w:rFonts w:hint="eastAsia" w:ascii="宋体" w:hAnsi="宋体" w:cs="宋体"/>
          <w:color w:val="000000"/>
          <w:szCs w:val="21"/>
          <w:u w:val="single"/>
        </w:rPr>
        <w:t xml:space="preserve">                           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身份证号：</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职    务：</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联系电话：</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电子信箱：</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通信地址：</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rPr>
        <w:t>发包人对发包人代表的授权范围如下：</w:t>
      </w:r>
      <w:r>
        <w:rPr>
          <w:rFonts w:hint="eastAsia" w:ascii="宋体" w:hAnsi="宋体" w:cs="宋体"/>
          <w:color w:val="000000"/>
          <w:szCs w:val="21"/>
          <w:u w:val="single"/>
        </w:rPr>
        <w:t>协助外部环境的协调与配合, 主持工程的竣工验收；负责组织工程质量、进度、安全的检查监督；经发包人授权签署与工程投资有关的各种施工技术变更、施工技术方案和图纸会审纪要等；签字确认经监理工程师核准的分项工程量，并报发包人核准。</w:t>
      </w:r>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2.4 施工现场、施工条件和基础资料的提供</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2.4.1 提供施工现场</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color w:val="000000"/>
          <w:szCs w:val="21"/>
        </w:rPr>
        <w:t>关于发包人移交施工现场的期限要求：</w:t>
      </w:r>
      <w:r>
        <w:rPr>
          <w:rFonts w:hint="eastAsia" w:ascii="宋体" w:hAnsi="宋体" w:cs="宋体"/>
          <w:color w:val="000000"/>
          <w:szCs w:val="21"/>
          <w:u w:val="single"/>
        </w:rPr>
        <w:t>开工通知载明的开工日期7日前 。</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2.4.2 提供施工条件</w:t>
      </w:r>
    </w:p>
    <w:p>
      <w:pPr>
        <w:pStyle w:val="85"/>
        <w:spacing w:before="0" w:after="0" w:line="360" w:lineRule="auto"/>
        <w:ind w:left="0" w:right="0" w:firstLine="403"/>
        <w:rPr>
          <w:rFonts w:hint="eastAsia" w:ascii="宋体" w:hAnsi="宋体" w:cs="宋体"/>
          <w:color w:val="000000"/>
          <w:kern w:val="2"/>
          <w:sz w:val="21"/>
          <w:szCs w:val="21"/>
          <w:u w:val="single"/>
        </w:rPr>
      </w:pPr>
      <w:r>
        <w:rPr>
          <w:rFonts w:hint="eastAsia" w:ascii="宋体" w:hAnsi="宋体" w:cs="宋体"/>
          <w:color w:val="000000"/>
          <w:sz w:val="21"/>
          <w:szCs w:val="21"/>
        </w:rPr>
        <w:t>关于发包人应负责提供施工所需要的条件，包括：</w:t>
      </w:r>
      <w:r>
        <w:rPr>
          <w:rFonts w:hint="eastAsia" w:ascii="宋体" w:hAnsi="宋体" w:cs="宋体"/>
          <w:color w:val="000000"/>
          <w:sz w:val="21"/>
          <w:szCs w:val="21"/>
          <w:u w:val="single"/>
        </w:rPr>
        <w:t xml:space="preserve"> </w:t>
      </w:r>
      <w:r>
        <w:rPr>
          <w:rFonts w:hint="eastAsia" w:ascii="宋体" w:hAnsi="宋体" w:cs="宋体"/>
          <w:color w:val="000000"/>
          <w:kern w:val="2"/>
          <w:sz w:val="21"/>
          <w:szCs w:val="21"/>
          <w:u w:val="single"/>
        </w:rPr>
        <w:t>发包人负责提供电源接入点，由承包人从接点接入施工现场。从发包人提供的电源至施工用电设备线路的安装由承包人负责实施，安装费、线路、设备购置费及施工过程中发生的所有电费，无论承包人是否在投标报价中单独列支，发包人均认为此项费用包含在投标报价中 。</w:t>
      </w:r>
    </w:p>
    <w:p>
      <w:pPr>
        <w:pStyle w:val="85"/>
        <w:spacing w:before="0" w:after="0" w:line="360" w:lineRule="auto"/>
        <w:ind w:left="0" w:right="0" w:firstLine="403"/>
        <w:rPr>
          <w:rFonts w:hint="eastAsia" w:ascii="宋体" w:hAnsi="宋体" w:cs="宋体"/>
          <w:color w:val="000000"/>
          <w:sz w:val="21"/>
          <w:szCs w:val="21"/>
          <w:u w:val="single"/>
        </w:rPr>
      </w:pPr>
      <w:r>
        <w:rPr>
          <w:rFonts w:hint="eastAsia" w:ascii="宋体" w:hAnsi="宋体" w:cs="宋体"/>
          <w:color w:val="000000"/>
          <w:kern w:val="2"/>
          <w:sz w:val="21"/>
          <w:szCs w:val="21"/>
          <w:u w:val="single"/>
        </w:rPr>
        <w:t>发包人负责提供水源接入点，由承包人从接点接入施工现场。从发包人提供的水源至施工各用水点的管路安装、布置由承包人负责实施，其安装费、管材、设备购置费及施工过程中发生的所有水费，无论承包人是否在投标报价中单独列支，发包人均认为此项费用包含在投标报价中。</w:t>
      </w:r>
    </w:p>
    <w:p>
      <w:pPr>
        <w:spacing w:after="120" w:line="360" w:lineRule="auto"/>
        <w:ind w:firstLine="480" w:firstLineChars="200"/>
        <w:rPr>
          <w:rFonts w:hint="eastAsia" w:ascii="宋体" w:hAnsi="宋体" w:cs="宋体"/>
          <w:szCs w:val="21"/>
          <w:u w:val="single"/>
        </w:rPr>
      </w:pPr>
      <w:r>
        <w:rPr>
          <w:rFonts w:hint="eastAsia" w:ascii="宋体" w:hAnsi="宋体" w:cs="宋体"/>
          <w:szCs w:val="21"/>
        </w:rPr>
        <w:t>2.4.3</w:t>
      </w:r>
      <w:r>
        <w:rPr>
          <w:rFonts w:hint="eastAsia" w:ascii="宋体" w:hAnsi="宋体" w:cs="宋体"/>
          <w:szCs w:val="21"/>
          <w:u w:val="single"/>
        </w:rPr>
        <w:t>提供基础资料</w:t>
      </w:r>
    </w:p>
    <w:p>
      <w:pPr>
        <w:spacing w:after="120" w:line="360" w:lineRule="auto"/>
        <w:ind w:firstLine="480" w:firstLineChars="200"/>
        <w:outlineLvl w:val="0"/>
        <w:rPr>
          <w:rFonts w:hint="eastAsia" w:ascii="宋体" w:hAnsi="宋体" w:cs="宋体"/>
          <w:szCs w:val="21"/>
        </w:rPr>
      </w:pPr>
      <w:r>
        <w:rPr>
          <w:rFonts w:hint="eastAsia" w:ascii="宋体" w:hAnsi="宋体" w:cs="宋体"/>
          <w:szCs w:val="21"/>
          <w:u w:val="single"/>
        </w:rPr>
        <w:t>在办理施工安全技术措施审查前，组织工程监理单位、施工总承包单位共同拟定文明施工现场创建目标、规划和措施。工程项目开工前，建设单位、监理单位、施工单位应在办理安全技术措施审查的同时，签署工程文明施工管理目标</w:t>
      </w:r>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2.5 资金来源证明及支付担保</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发包人提供资金来源证明的期限要求：</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发包人是否提供支付担保：</w:t>
      </w:r>
      <w:r>
        <w:rPr>
          <w:rFonts w:hint="eastAsia" w:ascii="宋体" w:hAnsi="宋体" w:cs="宋体"/>
          <w:color w:val="000000"/>
          <w:szCs w:val="21"/>
          <w:u w:val="single"/>
        </w:rPr>
        <w:t xml:space="preserve">否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rPr>
        <w:t>发包人提供支付担保的形式：</w:t>
      </w:r>
      <w:r>
        <w:rPr>
          <w:rFonts w:hint="eastAsia" w:ascii="宋体" w:hAnsi="宋体" w:cs="宋体"/>
          <w:color w:val="000000"/>
          <w:szCs w:val="21"/>
          <w:u w:val="single"/>
        </w:rPr>
        <w:t> /</w:t>
      </w:r>
      <w:r>
        <w:rPr>
          <w:rFonts w:hint="eastAsia" w:ascii="宋体" w:hAnsi="宋体" w:cs="宋体"/>
          <w:color w:val="000000"/>
          <w:szCs w:val="21"/>
        </w:rPr>
        <w:t>。</w:t>
      </w:r>
    </w:p>
    <w:p>
      <w:pPr>
        <w:pStyle w:val="6"/>
        <w:spacing w:before="120" w:after="120"/>
        <w:rPr>
          <w:rFonts w:hint="eastAsia" w:ascii="宋体" w:hAnsi="宋体" w:cs="宋体"/>
          <w:b w:val="0"/>
          <w:color w:val="000000"/>
          <w:szCs w:val="21"/>
        </w:rPr>
      </w:pPr>
      <w:bookmarkStart w:id="2465" w:name="_Toc351203635"/>
      <w:r>
        <w:rPr>
          <w:rFonts w:hint="eastAsia" w:ascii="宋体" w:hAnsi="宋体" w:cs="宋体"/>
          <w:b w:val="0"/>
          <w:color w:val="000000"/>
          <w:szCs w:val="21"/>
        </w:rPr>
        <w:t>3</w:t>
      </w:r>
      <w:bookmarkStart w:id="2466" w:name="_Toc292559363"/>
      <w:bookmarkStart w:id="2467" w:name="_Toc292559868"/>
      <w:bookmarkStart w:id="2468" w:name="_Toc296347157"/>
      <w:bookmarkStart w:id="2469" w:name="_Toc296346659"/>
      <w:bookmarkStart w:id="2470" w:name="_Toc297120458"/>
      <w:bookmarkStart w:id="2471" w:name="_Toc296891198"/>
      <w:bookmarkStart w:id="2472" w:name="_Toc296503158"/>
      <w:bookmarkStart w:id="2473" w:name="_Toc296944497"/>
      <w:bookmarkStart w:id="2474" w:name="_Toc296890986"/>
      <w:bookmarkStart w:id="2475" w:name="_Toc297048344"/>
      <w:r>
        <w:rPr>
          <w:rFonts w:hint="eastAsia" w:ascii="宋体" w:hAnsi="宋体" w:cs="宋体"/>
          <w:b w:val="0"/>
          <w:color w:val="000000"/>
          <w:szCs w:val="21"/>
        </w:rPr>
        <w:t>. 承包人</w:t>
      </w:r>
      <w:bookmarkEnd w:id="2465"/>
      <w:r>
        <w:rPr>
          <w:rFonts w:hint="eastAsia" w:ascii="宋体" w:hAnsi="宋体" w:cs="宋体"/>
          <w:b w:val="0"/>
          <w:color w:val="FF0000"/>
          <w:szCs w:val="21"/>
        </w:rPr>
        <w:t>（项目公司参考执行）</w:t>
      </w:r>
    </w:p>
    <w:bookmarkEnd w:id="2466"/>
    <w:bookmarkEnd w:id="2467"/>
    <w:bookmarkEnd w:id="2468"/>
    <w:bookmarkEnd w:id="2469"/>
    <w:bookmarkEnd w:id="2470"/>
    <w:bookmarkEnd w:id="2471"/>
    <w:bookmarkEnd w:id="2472"/>
    <w:bookmarkEnd w:id="2473"/>
    <w:bookmarkEnd w:id="2474"/>
    <w:bookmarkEnd w:id="2475"/>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3.1 承包人的一般义务</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kern w:val="0"/>
          <w:szCs w:val="21"/>
        </w:rPr>
        <w:t>（9）</w:t>
      </w:r>
      <w:r>
        <w:rPr>
          <w:rFonts w:hint="eastAsia" w:ascii="宋体" w:hAnsi="宋体" w:cs="宋体"/>
          <w:color w:val="000000"/>
          <w:szCs w:val="21"/>
        </w:rPr>
        <w:t>承包人提交的竣工资料的内容：</w:t>
      </w:r>
      <w:r>
        <w:rPr>
          <w:rFonts w:hint="eastAsia" w:ascii="宋体" w:hAnsi="宋体" w:cs="宋体"/>
          <w:color w:val="000000"/>
          <w:szCs w:val="21"/>
          <w:u w:val="single"/>
        </w:rPr>
        <w:t xml:space="preserve">  承包人按照《建设工程文件归档整理规范》及江苏省相关法规、规范标准及本合同要求绘制竣工图及完整的工程技术档案、工程质量保修书、及有关工程使用、维护的说明。</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承包人需要提交的竣工资料套数：</w:t>
      </w:r>
      <w:r>
        <w:rPr>
          <w:rFonts w:hint="eastAsia" w:ascii="宋体" w:hAnsi="宋体" w:cs="宋体"/>
          <w:color w:val="000000"/>
          <w:szCs w:val="21"/>
          <w:u w:val="single"/>
        </w:rPr>
        <w:t xml:space="preserve">   一式三套   </w:t>
      </w:r>
      <w:r>
        <w:rPr>
          <w:rFonts w:hint="eastAsia" w:ascii="宋体" w:hAnsi="宋体" w:cs="宋体"/>
          <w:color w:val="000000"/>
          <w:szCs w:val="21"/>
        </w:rPr>
        <w:t>。</w:t>
      </w:r>
    </w:p>
    <w:p>
      <w:pPr>
        <w:spacing w:line="360" w:lineRule="auto"/>
        <w:ind w:left="730" w:leftChars="304"/>
        <w:jc w:val="left"/>
        <w:rPr>
          <w:rFonts w:hint="eastAsia" w:ascii="宋体" w:hAnsi="宋体" w:cs="宋体"/>
          <w:color w:val="000000"/>
          <w:szCs w:val="21"/>
        </w:rPr>
      </w:pPr>
      <w:r>
        <w:rPr>
          <w:rFonts w:hint="eastAsia" w:ascii="宋体" w:hAnsi="宋体" w:cs="宋体"/>
          <w:color w:val="000000"/>
          <w:szCs w:val="21"/>
        </w:rPr>
        <w:t>承包人提交的竣工资料的费用承担：</w:t>
      </w:r>
      <w:r>
        <w:rPr>
          <w:rFonts w:hint="eastAsia" w:ascii="宋体" w:hAnsi="宋体" w:cs="宋体"/>
          <w:color w:val="000000"/>
          <w:szCs w:val="21"/>
          <w:u w:val="single"/>
        </w:rPr>
        <w:t xml:space="preserve">   由承包人承担   </w:t>
      </w:r>
      <w:r>
        <w:rPr>
          <w:rFonts w:hint="eastAsia" w:ascii="宋体" w:hAnsi="宋体" w:cs="宋体"/>
          <w:color w:val="000000"/>
          <w:szCs w:val="21"/>
        </w:rPr>
        <w:t>。</w:t>
      </w:r>
    </w:p>
    <w:p>
      <w:pPr>
        <w:spacing w:line="360" w:lineRule="auto"/>
        <w:ind w:left="730" w:leftChars="304"/>
        <w:jc w:val="left"/>
        <w:rPr>
          <w:rFonts w:hint="eastAsia" w:ascii="宋体" w:hAnsi="宋体" w:cs="宋体"/>
          <w:color w:val="000000"/>
          <w:szCs w:val="21"/>
        </w:rPr>
      </w:pPr>
      <w:r>
        <w:rPr>
          <w:rFonts w:hint="eastAsia" w:ascii="宋体" w:hAnsi="宋体" w:cs="宋体"/>
          <w:color w:val="000000"/>
          <w:szCs w:val="21"/>
        </w:rPr>
        <w:t>承包人提交的竣工资料移交时间：</w:t>
      </w:r>
      <w:r>
        <w:rPr>
          <w:rFonts w:hint="eastAsia" w:ascii="宋体" w:hAnsi="宋体" w:cs="宋体"/>
          <w:color w:val="000000"/>
          <w:szCs w:val="21"/>
          <w:u w:val="single"/>
        </w:rPr>
        <w:t xml:space="preserve">   竣工验收合格后30日内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承包人提交的竣工资料形式要求：</w:t>
      </w:r>
      <w:r>
        <w:rPr>
          <w:rFonts w:hint="eastAsia" w:ascii="宋体" w:hAnsi="宋体" w:cs="宋体"/>
          <w:color w:val="000000"/>
          <w:szCs w:val="21"/>
          <w:u w:val="single"/>
        </w:rPr>
        <w:t xml:space="preserve">  书面方式（立卷、装订成册的纸质文档）  </w:t>
      </w:r>
      <w:r>
        <w:rPr>
          <w:rFonts w:hint="eastAsia" w:ascii="宋体" w:hAnsi="宋体" w:cs="宋体"/>
          <w:color w:val="000000"/>
          <w:szCs w:val="21"/>
        </w:rPr>
        <w:t>。</w:t>
      </w:r>
    </w:p>
    <w:p>
      <w:pPr>
        <w:numPr>
          <w:ilvl w:val="0"/>
          <w:numId w:val="31"/>
        </w:numPr>
        <w:spacing w:line="360" w:lineRule="auto"/>
        <w:ind w:firstLine="480" w:firstLineChars="200"/>
        <w:rPr>
          <w:rFonts w:hint="eastAsia" w:ascii="宋体" w:hAnsi="宋体" w:cs="宋体"/>
          <w:color w:val="000000"/>
          <w:szCs w:val="21"/>
          <w:u w:val="single"/>
        </w:rPr>
      </w:pPr>
      <w:r>
        <w:rPr>
          <w:rFonts w:hint="eastAsia" w:ascii="宋体" w:hAnsi="宋体" w:cs="宋体"/>
          <w:color w:val="000000"/>
          <w:kern w:val="0"/>
          <w:szCs w:val="21"/>
        </w:rPr>
        <w:t>承包人应履行的其他义务：</w:t>
      </w:r>
      <w:r>
        <w:rPr>
          <w:rFonts w:hint="eastAsia" w:ascii="宋体" w:hAnsi="宋体" w:cs="宋体"/>
          <w:color w:val="000000"/>
          <w:szCs w:val="21"/>
          <w:u w:val="single"/>
        </w:rPr>
        <w:t>负责工地安全保卫，维护工地治安，协调与周边环境的劳务纠纷，杜绝施工人员在工地斗殴。如承包人未履行上述义务造成工程财产、人身伤害等，由承包人承担全部责任。承包人必须对工程现场施工人员全部实行实名制考勤管理，签订劳动合同，设立工资存储专户，按照工程进度和工人实名制登记信息，按月足额由银行代发工资。</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3.2 项目经理</w:t>
      </w:r>
    </w:p>
    <w:p>
      <w:pPr>
        <w:spacing w:line="360" w:lineRule="auto"/>
        <w:ind w:firstLine="480" w:firstLineChars="200"/>
        <w:rPr>
          <w:rFonts w:hint="eastAsia" w:ascii="宋体" w:hAnsi="宋体" w:cs="宋体"/>
          <w:color w:val="000000"/>
          <w:szCs w:val="21"/>
        </w:rPr>
      </w:pPr>
      <w:r>
        <w:rPr>
          <w:rFonts w:hint="eastAsia" w:ascii="宋体" w:hAnsi="宋体" w:cs="宋体"/>
          <w:color w:val="000000"/>
          <w:kern w:val="0"/>
          <w:szCs w:val="21"/>
        </w:rPr>
        <w:t xml:space="preserve">3.2.1 </w:t>
      </w:r>
      <w:r>
        <w:rPr>
          <w:rFonts w:hint="eastAsia" w:ascii="宋体" w:hAnsi="宋体" w:cs="宋体"/>
          <w:color w:val="000000"/>
          <w:szCs w:val="21"/>
        </w:rPr>
        <w:t>项目经理：</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姓    名：</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身份证号：</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建造师执业资格等级：</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建造师注册证书号：</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建造师执业印章号：</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安全生产考核合格证书号：</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联系电话：</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电子信箱：</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通信地址：</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承包人对项目经理的授权范围如下：</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1.领导、决策，调集企业所属各单位、各部门为项目进行全面服务和控制。</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2.代表承包人履行对业主的合约，并受业主委托行使对项目所有分包商统一指挥、协调、管理权；</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3.负责组织编制与审批工程总体进度</w:t>
      </w:r>
      <w:r>
        <w:rPr>
          <w:rFonts w:hint="eastAsia" w:ascii="宋体" w:hAnsi="宋体" w:cs="宋体"/>
          <w:color w:val="000000"/>
          <w:szCs w:val="21"/>
          <w:u w:val="single"/>
        </w:rPr>
        <w:fldChar w:fldCharType="begin"/>
      </w:r>
      <w:r>
        <w:rPr>
          <w:rFonts w:hint="eastAsia" w:ascii="宋体" w:hAnsi="宋体" w:cs="宋体"/>
          <w:color w:val="000000"/>
          <w:szCs w:val="21"/>
          <w:u w:val="single"/>
        </w:rPr>
        <w:instrText xml:space="preserve"> HYPERLINK "http://www.fdcew.com/gw/List_203.html" </w:instrText>
      </w:r>
      <w:r>
        <w:rPr>
          <w:rFonts w:hint="eastAsia" w:ascii="宋体" w:hAnsi="宋体" w:cs="宋体"/>
          <w:color w:val="000000"/>
          <w:szCs w:val="21"/>
          <w:u w:val="single"/>
        </w:rPr>
        <w:fldChar w:fldCharType="separate"/>
      </w:r>
      <w:r>
        <w:rPr>
          <w:rFonts w:hint="eastAsia" w:ascii="宋体" w:hAnsi="宋体" w:cs="宋体"/>
          <w:color w:val="000000"/>
          <w:szCs w:val="21"/>
          <w:u w:val="single"/>
        </w:rPr>
        <w:t>计划</w:t>
      </w:r>
      <w:r>
        <w:rPr>
          <w:rFonts w:hint="eastAsia" w:ascii="宋体" w:hAnsi="宋体" w:cs="宋体"/>
          <w:color w:val="000000"/>
          <w:szCs w:val="21"/>
          <w:u w:val="single"/>
        </w:rPr>
        <w:fldChar w:fldCharType="end"/>
      </w:r>
      <w:r>
        <w:rPr>
          <w:rFonts w:hint="eastAsia" w:ascii="宋体" w:hAnsi="宋体" w:cs="宋体"/>
          <w:color w:val="000000"/>
          <w:szCs w:val="21"/>
          <w:u w:val="single"/>
        </w:rPr>
        <w:t>及其修订与调整；</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4.负责组织编制与审批质量保证计划及其修订与调整；</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5.负责组织编制与审批主要物资供应与采购计划及其修订与调整；</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6.负责组织编制与审批工程分包计划及其修订与调整；</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7.组织工程成本的分析、预测及控制，对项目资金管理与</w:t>
      </w:r>
      <w:r>
        <w:rPr>
          <w:rFonts w:hint="eastAsia" w:ascii="宋体" w:hAnsi="宋体" w:cs="宋体"/>
          <w:color w:val="000000"/>
          <w:szCs w:val="21"/>
          <w:u w:val="single"/>
        </w:rPr>
        <w:fldChar w:fldCharType="begin"/>
      </w:r>
      <w:r>
        <w:rPr>
          <w:rFonts w:hint="eastAsia" w:ascii="宋体" w:hAnsi="宋体" w:cs="宋体"/>
          <w:color w:val="000000"/>
          <w:szCs w:val="21"/>
          <w:u w:val="single"/>
        </w:rPr>
        <w:instrText xml:space="preserve"> HYPERLINK "http://www.fdcew.com/hypx/List_192.html" </w:instrText>
      </w:r>
      <w:r>
        <w:rPr>
          <w:rFonts w:hint="eastAsia" w:ascii="宋体" w:hAnsi="宋体" w:cs="宋体"/>
          <w:color w:val="000000"/>
          <w:szCs w:val="21"/>
          <w:u w:val="single"/>
        </w:rPr>
        <w:fldChar w:fldCharType="separate"/>
      </w:r>
      <w:r>
        <w:rPr>
          <w:rFonts w:hint="eastAsia" w:ascii="宋体" w:hAnsi="宋体" w:cs="宋体"/>
          <w:color w:val="000000"/>
          <w:szCs w:val="21"/>
          <w:u w:val="single"/>
        </w:rPr>
        <w:t>财务</w:t>
      </w:r>
      <w:r>
        <w:rPr>
          <w:rFonts w:hint="eastAsia" w:ascii="宋体" w:hAnsi="宋体" w:cs="宋体"/>
          <w:color w:val="000000"/>
          <w:szCs w:val="21"/>
          <w:u w:val="single"/>
        </w:rPr>
        <w:fldChar w:fldCharType="end"/>
      </w:r>
      <w:r>
        <w:rPr>
          <w:rFonts w:hint="eastAsia" w:ascii="宋体" w:hAnsi="宋体" w:cs="宋体"/>
          <w:color w:val="000000"/>
          <w:szCs w:val="21"/>
          <w:u w:val="single"/>
        </w:rPr>
        <w:t>运作负责；</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8.与业主、监理保持经常沟通，了解业主需求，解决随时出现的问题，替业主排忧解难，保护业主利益；</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u w:val="single"/>
        </w:rPr>
        <w:t>9.负责组织人力资源调配、内部和外部关系协调；遵照</w:t>
      </w:r>
      <w:r>
        <w:rPr>
          <w:rFonts w:hint="eastAsia" w:ascii="宋体" w:hAnsi="宋体" w:cs="宋体"/>
          <w:color w:val="000000"/>
          <w:szCs w:val="21"/>
          <w:u w:val="single"/>
        </w:rPr>
        <w:fldChar w:fldCharType="begin"/>
      </w:r>
      <w:r>
        <w:rPr>
          <w:rFonts w:hint="eastAsia" w:ascii="宋体" w:hAnsi="宋体" w:cs="宋体"/>
          <w:color w:val="000000"/>
          <w:szCs w:val="21"/>
          <w:u w:val="single"/>
        </w:rPr>
        <w:instrText xml:space="preserve"> HYPERLINK "http://www.fdcew.com/gw/List_211.html" </w:instrText>
      </w:r>
      <w:r>
        <w:rPr>
          <w:rFonts w:hint="eastAsia" w:ascii="宋体" w:hAnsi="宋体" w:cs="宋体"/>
          <w:color w:val="000000"/>
          <w:szCs w:val="21"/>
          <w:u w:val="single"/>
        </w:rPr>
        <w:fldChar w:fldCharType="separate"/>
      </w:r>
      <w:r>
        <w:rPr>
          <w:rFonts w:hint="eastAsia" w:ascii="宋体" w:hAnsi="宋体" w:cs="宋体"/>
          <w:color w:val="000000"/>
          <w:szCs w:val="21"/>
          <w:u w:val="single"/>
        </w:rPr>
        <w:t>合同</w:t>
      </w:r>
      <w:r>
        <w:rPr>
          <w:rFonts w:hint="eastAsia" w:ascii="宋体" w:hAnsi="宋体" w:cs="宋体"/>
          <w:color w:val="000000"/>
          <w:szCs w:val="21"/>
          <w:u w:val="single"/>
        </w:rPr>
        <w:fldChar w:fldCharType="end"/>
      </w:r>
      <w:r>
        <w:rPr>
          <w:rFonts w:hint="eastAsia" w:ascii="宋体" w:hAnsi="宋体" w:cs="宋体"/>
          <w:color w:val="000000"/>
          <w:szCs w:val="21"/>
          <w:u w:val="single"/>
        </w:rPr>
        <w:t>约定及施工组织设计中的内容实施于工程，当超出实施范围应向上级决策机构申报。</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关于项目经理每月在施工现场的时间要求：</w:t>
      </w:r>
      <w:r>
        <w:rPr>
          <w:rFonts w:hint="eastAsia" w:ascii="宋体" w:hAnsi="宋体" w:cs="宋体"/>
          <w:color w:val="000000"/>
          <w:szCs w:val="21"/>
          <w:u w:val="single"/>
        </w:rPr>
        <w:t xml:space="preserve"> 项目经理必须亲临施工现场组织本工程项目的施工，必须严格遵循现行的有关法律、法规，切实履行自己的权利和义务。项目实施期间，项目经理应全程驻守，现场办公，离开施工现场应向发包人驻工地代表请假。项目经理每月驻守工地时间不得低于24天，每天不低于4小时，项目经理擅离职守，每发现一次，将向发包人支付3000元违约金</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kern w:val="0"/>
          <w:szCs w:val="21"/>
        </w:rPr>
        <w:t>项目经理未经批准，擅自离开施工现场的违约责任：</w:t>
      </w:r>
      <w:r>
        <w:rPr>
          <w:rFonts w:hint="eastAsia" w:ascii="宋体" w:hAnsi="宋体" w:cs="宋体"/>
          <w:color w:val="000000"/>
          <w:szCs w:val="21"/>
          <w:u w:val="single"/>
        </w:rPr>
        <w:t xml:space="preserve"> </w:t>
      </w:r>
      <w:r>
        <w:rPr>
          <w:rFonts w:hint="eastAsia" w:ascii="宋体" w:hAnsi="宋体" w:cs="宋体"/>
          <w:szCs w:val="21"/>
          <w:u w:val="single"/>
        </w:rPr>
        <w:t xml:space="preserve"> </w:t>
      </w:r>
      <w:r>
        <w:rPr>
          <w:rFonts w:hint="eastAsia" w:ascii="宋体" w:hAnsi="宋体" w:cs="宋体"/>
          <w:color w:val="000000"/>
          <w:szCs w:val="21"/>
          <w:u w:val="single"/>
        </w:rPr>
        <w:t>项目经理擅离职守，每发现一次，将向发包人支付3000元违约金。</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3.2.3 承包人擅自更换项目经理的违约责任：</w:t>
      </w:r>
      <w:r>
        <w:rPr>
          <w:rFonts w:hint="eastAsia" w:ascii="宋体" w:hAnsi="宋体" w:cs="宋体"/>
          <w:color w:val="000000"/>
          <w:szCs w:val="21"/>
          <w:u w:val="single"/>
        </w:rPr>
        <w:t xml:space="preserve">  </w:t>
      </w:r>
      <w:r>
        <w:rPr>
          <w:rFonts w:hint="eastAsia" w:ascii="宋体" w:hAnsi="宋体" w:cs="宋体"/>
          <w:szCs w:val="21"/>
          <w:u w:val="single"/>
        </w:rPr>
        <w:t>项目经理及项目部其他主要组成人员（施工员、质量员、安全员等）应与承包人承诺的名单一致，并保持稳定，不应无故不到位或被替换。以上人员的变更，必须经发包人同意。未征得发包人同意撤换项目经理，需向发包人支付签约合同价0.4%违约金 ，且发包人有权单方面取消或终止合同，由此造成的一切损失均由承包人承担</w:t>
      </w:r>
      <w:r>
        <w:rPr>
          <w:rFonts w:hint="eastAsia" w:ascii="宋体" w:hAnsi="宋体" w:cs="宋体"/>
          <w:color w:val="000000"/>
          <w:szCs w:val="21"/>
        </w:rPr>
        <w:t>。</w:t>
      </w:r>
    </w:p>
    <w:p>
      <w:pPr>
        <w:spacing w:line="360" w:lineRule="auto"/>
        <w:ind w:firstLine="480" w:firstLineChars="200"/>
        <w:jc w:val="left"/>
        <w:rPr>
          <w:rFonts w:hint="eastAsia" w:ascii="宋体" w:hAnsi="宋体" w:cs="宋体"/>
          <w:szCs w:val="21"/>
          <w:u w:val="single"/>
        </w:rPr>
      </w:pPr>
      <w:r>
        <w:rPr>
          <w:rFonts w:hint="eastAsia" w:ascii="宋体" w:hAnsi="宋体" w:cs="宋体"/>
          <w:color w:val="000000"/>
          <w:szCs w:val="21"/>
        </w:rPr>
        <w:t>3.2.4 承包人无正当理由拒绝更换项目经理的违约责任：</w:t>
      </w:r>
      <w:r>
        <w:rPr>
          <w:rFonts w:hint="eastAsia" w:ascii="宋体" w:hAnsi="宋体" w:cs="宋体"/>
          <w:color w:val="000000"/>
          <w:szCs w:val="21"/>
          <w:u w:val="single"/>
        </w:rPr>
        <w:t xml:space="preserve"> </w:t>
      </w:r>
      <w:r>
        <w:rPr>
          <w:rFonts w:hint="eastAsia" w:ascii="宋体" w:hAnsi="宋体" w:cs="宋体"/>
          <w:szCs w:val="21"/>
          <w:u w:val="single"/>
        </w:rPr>
        <w:t>发包人要求撤换不能胜任本职工作、行为不端或玩忽职守的承包人项目经理，承包人应予以撤换，同时委派经发包人与监理人同意的新的项目经理。承包人无正当理由拒绝更换项目经理，向发包人支付3万元违约，并承担由此给发包人造成的一切损失。</w:t>
      </w:r>
    </w:p>
    <w:p>
      <w:pPr>
        <w:spacing w:line="360" w:lineRule="auto"/>
        <w:ind w:firstLine="480" w:firstLineChars="200"/>
        <w:jc w:val="left"/>
        <w:rPr>
          <w:rFonts w:hint="eastAsia" w:ascii="宋体" w:hAnsi="宋体" w:cs="宋体"/>
          <w:szCs w:val="21"/>
          <w:u w:val="single"/>
        </w:rPr>
      </w:pPr>
      <w:r>
        <w:rPr>
          <w:rFonts w:hint="eastAsia" w:ascii="宋体" w:hAnsi="宋体" w:cs="宋体"/>
          <w:szCs w:val="21"/>
          <w:u w:val="single"/>
        </w:rPr>
        <w:t>如承包人拒绝执行发包人的合理指令，发包人有权另行委托第三方执行指令，视情节轻，承包人向发包人支付1000-3000元/次的违约金，且执行指令的费用由承包人支付；若承包人拒绝支付，则发包人有权从承包人工程款中扣除。</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3.3 承包人人员</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3.3.1 承包人提交项目管理机构及施工现场管理人员安排报告的期限：</w:t>
      </w:r>
      <w:r>
        <w:rPr>
          <w:rFonts w:hint="eastAsia" w:ascii="宋体" w:hAnsi="宋体" w:cs="宋体"/>
          <w:color w:val="000000"/>
          <w:szCs w:val="21"/>
          <w:u w:val="single"/>
        </w:rPr>
        <w:t xml:space="preserve"> </w:t>
      </w:r>
      <w:r>
        <w:rPr>
          <w:rFonts w:hint="eastAsia" w:ascii="宋体" w:hAnsi="宋体" w:cs="宋体"/>
          <w:szCs w:val="21"/>
          <w:u w:val="single"/>
        </w:rPr>
        <w:t xml:space="preserve">开工前7日内，递交工程开工报告之前 </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3.3.3 承包人无正当理由拒绝撤换主要施工管理人员的违约责任：</w:t>
      </w:r>
      <w:r>
        <w:rPr>
          <w:rFonts w:hint="eastAsia" w:ascii="宋体" w:hAnsi="宋体" w:cs="宋体"/>
          <w:color w:val="000000"/>
          <w:szCs w:val="21"/>
          <w:u w:val="single"/>
        </w:rPr>
        <w:t xml:space="preserve">  </w:t>
      </w:r>
      <w:r>
        <w:rPr>
          <w:rFonts w:hint="eastAsia" w:ascii="宋体" w:hAnsi="宋体" w:cs="宋体"/>
          <w:szCs w:val="21"/>
          <w:u w:val="single"/>
        </w:rPr>
        <w:t>发包人要求撤换不能胜任本职工作、行为不端或玩忽职守的承包人技术负责人、质量负责人、安全负责人等其他项目部主要成员，承包人应予以撤换，同时委派经发包人与监理人同意的新的技术负责人、质量负责人、安全负责人等其他项目部主要成员。承包人无正当理由拒绝更换的，向发包人支付1万元违约，并承担由此给发包人造成的一切损失。</w:t>
      </w:r>
    </w:p>
    <w:p>
      <w:pPr>
        <w:spacing w:line="360" w:lineRule="auto"/>
        <w:ind w:firstLine="480" w:firstLineChars="200"/>
        <w:rPr>
          <w:rFonts w:hint="eastAsia" w:ascii="宋体" w:hAnsi="宋体" w:cs="宋体"/>
          <w:color w:val="000000"/>
          <w:szCs w:val="21"/>
          <w:u w:val="single"/>
        </w:rPr>
      </w:pPr>
      <w:r>
        <w:rPr>
          <w:rFonts w:hint="eastAsia" w:ascii="宋体" w:hAnsi="宋体" w:cs="宋体"/>
          <w:color w:val="000000"/>
          <w:szCs w:val="21"/>
        </w:rPr>
        <w:t>3.3.4 承包人主要施工管理人员离开施工现场的批准要求：</w:t>
      </w:r>
      <w:r>
        <w:rPr>
          <w:rFonts w:hint="eastAsia" w:ascii="宋体" w:hAnsi="宋体" w:cs="宋体"/>
          <w:color w:val="000000"/>
          <w:szCs w:val="21"/>
          <w:u w:val="single"/>
        </w:rPr>
        <w:t xml:space="preserve">主要施工管理人员，必须严格遵循现行的有关法律、法规，切实履行自己的权利和义务。项目实施期间，应全程驻守，现场办公，离开施工现场应向发包人驻工地代表请假。 </w:t>
      </w:r>
      <w:r>
        <w:rPr>
          <w:rFonts w:hint="eastAsia" w:ascii="宋体" w:hAnsi="宋体" w:cs="宋体"/>
          <w:szCs w:val="21"/>
          <w:u w:val="single"/>
        </w:rPr>
        <w:t>施工管理人员擅自离开施工现场，每人次向发包人支付1000元违约金 。</w:t>
      </w:r>
    </w:p>
    <w:p>
      <w:pPr>
        <w:spacing w:line="360" w:lineRule="auto"/>
        <w:ind w:firstLine="480" w:firstLineChars="200"/>
        <w:jc w:val="left"/>
        <w:rPr>
          <w:rFonts w:hint="eastAsia" w:ascii="宋体" w:hAnsi="宋体" w:cs="宋体"/>
          <w:szCs w:val="21"/>
        </w:rPr>
      </w:pPr>
      <w:r>
        <w:rPr>
          <w:rFonts w:hint="eastAsia" w:ascii="宋体" w:hAnsi="宋体" w:cs="宋体"/>
          <w:szCs w:val="21"/>
        </w:rPr>
        <w:t>3.3.5承包人擅自更换主要施工管理人员的违约责任：</w:t>
      </w:r>
      <w:r>
        <w:rPr>
          <w:rFonts w:hint="eastAsia" w:ascii="宋体" w:hAnsi="宋体" w:cs="宋体"/>
          <w:szCs w:val="21"/>
          <w:u w:val="single"/>
        </w:rPr>
        <w:t>擅自</w:t>
      </w:r>
      <w:r>
        <w:rPr>
          <w:rFonts w:hint="eastAsia" w:ascii="宋体" w:hAnsi="宋体" w:cs="宋体"/>
          <w:bCs/>
          <w:szCs w:val="21"/>
          <w:u w:val="single"/>
        </w:rPr>
        <w:t>撤换技术负责人、质量负责人、安全负责人等其他项目部主要成员每人次向发包人支付签约合同价0.1%违约金。</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3</w:t>
      </w:r>
      <w:bookmarkStart w:id="2476" w:name="_Toc304295523"/>
      <w:bookmarkStart w:id="2477" w:name="_Toc292559364"/>
      <w:bookmarkStart w:id="2478" w:name="_Toc296944498"/>
      <w:bookmarkStart w:id="2479" w:name="_Toc296347158"/>
      <w:bookmarkStart w:id="2480" w:name="_Toc297120459"/>
      <w:bookmarkStart w:id="2481" w:name="_Toc300934945"/>
      <w:bookmarkStart w:id="2482" w:name="_Toc296890987"/>
      <w:bookmarkStart w:id="2483" w:name="_Toc312677988"/>
      <w:bookmarkStart w:id="2484" w:name="_Toc292559869"/>
      <w:bookmarkStart w:id="2485" w:name="_Toc297048345"/>
      <w:bookmarkStart w:id="2486" w:name="_Toc297216151"/>
      <w:bookmarkStart w:id="2487" w:name="_Toc296503159"/>
      <w:bookmarkStart w:id="2488" w:name="_Toc296346660"/>
      <w:bookmarkStart w:id="2489" w:name="_Toc296891199"/>
      <w:bookmarkStart w:id="2490" w:name="_Toc297123492"/>
      <w:bookmarkStart w:id="2491" w:name="_Toc303539102"/>
      <w:r>
        <w:rPr>
          <w:rFonts w:hint="eastAsia" w:ascii="宋体" w:hAnsi="宋体" w:cs="宋体"/>
          <w:color w:val="000000"/>
          <w:szCs w:val="21"/>
        </w:rPr>
        <w:t>.5 分包</w:t>
      </w:r>
    </w:p>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Pr>
        <w:spacing w:line="360" w:lineRule="auto"/>
        <w:ind w:firstLine="480" w:firstLineChars="200"/>
        <w:rPr>
          <w:rFonts w:hint="eastAsia" w:ascii="宋体" w:hAnsi="宋体" w:cs="宋体"/>
          <w:szCs w:val="21"/>
        </w:rPr>
      </w:pPr>
      <w:r>
        <w:rPr>
          <w:rFonts w:hint="eastAsia" w:ascii="宋体" w:hAnsi="宋体" w:cs="宋体"/>
          <w:szCs w:val="21"/>
        </w:rPr>
        <w:t>3</w:t>
      </w:r>
      <w:bookmarkStart w:id="2492" w:name="_Toc292559870"/>
      <w:bookmarkStart w:id="2493" w:name="_Toc292559365"/>
      <w:bookmarkStart w:id="2494" w:name="_Toc304295524"/>
      <w:bookmarkStart w:id="2495" w:name="_Toc297123493"/>
      <w:bookmarkStart w:id="2496" w:name="_Toc296347159"/>
      <w:bookmarkStart w:id="2497" w:name="_Toc297216152"/>
      <w:bookmarkStart w:id="2498" w:name="_Toc296890988"/>
      <w:bookmarkStart w:id="2499" w:name="_Toc297048346"/>
      <w:bookmarkStart w:id="2500" w:name="_Toc297120460"/>
      <w:bookmarkStart w:id="2501" w:name="_Toc296944499"/>
      <w:bookmarkStart w:id="2502" w:name="_Toc303539103"/>
      <w:bookmarkStart w:id="2503" w:name="_Toc296891200"/>
      <w:bookmarkStart w:id="2504" w:name="_Toc296346661"/>
      <w:bookmarkStart w:id="2505" w:name="_Toc300934946"/>
      <w:bookmarkStart w:id="2506" w:name="_Toc296503160"/>
      <w:bookmarkStart w:id="2507" w:name="_Toc312677989"/>
      <w:bookmarkStart w:id="2508" w:name="_Toc318581158"/>
      <w:r>
        <w:rPr>
          <w:rFonts w:hint="eastAsia" w:ascii="宋体" w:hAnsi="宋体" w:cs="宋体"/>
          <w:szCs w:val="21"/>
        </w:rPr>
        <w:t>.5.1 分包的一般约定</w:t>
      </w:r>
    </w:p>
    <w:p>
      <w:pPr>
        <w:spacing w:line="360" w:lineRule="auto"/>
        <w:ind w:firstLine="480" w:firstLineChars="200"/>
        <w:jc w:val="left"/>
        <w:rPr>
          <w:rFonts w:hint="eastAsia" w:ascii="宋体" w:hAnsi="宋体" w:cs="宋体"/>
          <w:color w:val="FF0000"/>
          <w:szCs w:val="21"/>
        </w:rPr>
      </w:pPr>
      <w:r>
        <w:rPr>
          <w:rFonts w:hint="eastAsia" w:ascii="宋体" w:hAnsi="宋体" w:cs="宋体"/>
          <w:szCs w:val="21"/>
        </w:rPr>
        <w:t>禁止分包的工程包括：</w:t>
      </w:r>
      <w:r>
        <w:rPr>
          <w:rFonts w:hint="eastAsia" w:ascii="宋体" w:hAnsi="宋体" w:cs="宋体"/>
          <w:szCs w:val="21"/>
          <w:u w:val="single"/>
        </w:rPr>
        <w:t xml:space="preserve">主体结构关键性工程禁止分包  </w:t>
      </w:r>
      <w:r>
        <w:rPr>
          <w:rFonts w:hint="eastAsia" w:ascii="宋体" w:hAnsi="宋体" w:cs="宋体"/>
          <w:szCs w:val="21"/>
        </w:rPr>
        <w:t>。</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szCs w:val="21"/>
        </w:rPr>
        <w:t>主体结构、关键性工作的范围：</w:t>
      </w:r>
      <w:r>
        <w:rPr>
          <w:rFonts w:hint="eastAsia" w:ascii="宋体" w:hAnsi="宋体" w:cs="宋体"/>
          <w:color w:val="000000"/>
          <w:szCs w:val="21"/>
          <w:u w:val="single"/>
        </w:rPr>
        <w:t></w:t>
      </w:r>
      <w:r>
        <w:rPr>
          <w:rFonts w:hint="eastAsia" w:ascii="宋体" w:hAnsi="宋体" w:cs="宋体"/>
          <w:szCs w:val="21"/>
          <w:u w:val="single"/>
        </w:rPr>
        <w:t xml:space="preserve">执行国家相关法律、法规规定 </w:t>
      </w:r>
      <w:r>
        <w:rPr>
          <w:rFonts w:hint="eastAsia" w:ascii="宋体" w:hAnsi="宋体" w:cs="宋体"/>
          <w:color w:val="000000"/>
          <w:szCs w:val="21"/>
          <w:u w:val="single"/>
        </w:rPr>
        <w:t xml:space="preserve"> </w:t>
      </w:r>
      <w:r>
        <w:rPr>
          <w:rFonts w:hint="eastAsia" w:ascii="宋体" w:hAnsi="宋体" w:cs="宋体"/>
          <w:color w:val="000000"/>
          <w:szCs w:val="21"/>
        </w:rPr>
        <w:t>。</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Start w:id="2509" w:name="_Toc297120461"/>
      <w:bookmarkStart w:id="2510" w:name="_Toc303539104"/>
      <w:bookmarkStart w:id="2511" w:name="_Toc296503161"/>
      <w:bookmarkStart w:id="2512" w:name="_Toc297123494"/>
      <w:bookmarkStart w:id="2513" w:name="_Toc296347160"/>
      <w:bookmarkStart w:id="2514" w:name="_Toc297048347"/>
      <w:bookmarkStart w:id="2515" w:name="_Toc296346662"/>
      <w:bookmarkStart w:id="2516" w:name="_Toc296890989"/>
      <w:bookmarkStart w:id="2517" w:name="_Toc297216153"/>
      <w:bookmarkStart w:id="2518" w:name="_Toc296891201"/>
      <w:bookmarkStart w:id="2519" w:name="_Toc300934947"/>
      <w:bookmarkStart w:id="2520" w:name="_Toc296944500"/>
      <w:bookmarkStart w:id="2521" w:name="_Toc304295525"/>
    </w:p>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Pr>
        <w:spacing w:line="360" w:lineRule="auto"/>
        <w:rPr>
          <w:rFonts w:hint="eastAsia" w:ascii="宋体" w:hAnsi="宋体" w:cs="宋体"/>
          <w:szCs w:val="21"/>
        </w:rPr>
      </w:pPr>
      <w:r>
        <w:rPr>
          <w:rFonts w:hint="eastAsia" w:ascii="宋体" w:hAnsi="宋体" w:cs="宋体"/>
          <w:szCs w:val="21"/>
        </w:rPr>
        <w:t xml:space="preserve">    3</w:t>
      </w:r>
      <w:bookmarkStart w:id="2522" w:name="_Toc318581159"/>
      <w:bookmarkStart w:id="2523" w:name="_Toc312677990"/>
      <w:r>
        <w:rPr>
          <w:rFonts w:hint="eastAsia" w:ascii="宋体" w:hAnsi="宋体" w:cs="宋体"/>
          <w:szCs w:val="21"/>
        </w:rPr>
        <w:t>.5.2分包的确定</w:t>
      </w:r>
    </w:p>
    <w:p>
      <w:pPr>
        <w:spacing w:line="360" w:lineRule="auto"/>
        <w:ind w:firstLine="480" w:firstLineChars="200"/>
        <w:rPr>
          <w:rFonts w:hint="eastAsia" w:ascii="宋体" w:hAnsi="宋体" w:cs="宋体"/>
          <w:color w:val="000000"/>
          <w:szCs w:val="21"/>
          <w:u w:val="single"/>
        </w:rPr>
      </w:pPr>
      <w:r>
        <w:rPr>
          <w:rFonts w:hint="eastAsia" w:ascii="宋体" w:hAnsi="宋体" w:cs="宋体"/>
          <w:szCs w:val="21"/>
        </w:rPr>
        <w:t>允许分包的专业工程包括：</w:t>
      </w:r>
      <w:r>
        <w:rPr>
          <w:rFonts w:hint="eastAsia" w:ascii="宋体" w:hAnsi="宋体" w:cs="宋体"/>
          <w:color w:val="000000"/>
          <w:szCs w:val="21"/>
          <w:u w:val="single"/>
        </w:rPr>
        <w:t></w:t>
      </w:r>
      <w:r>
        <w:rPr>
          <w:rFonts w:hint="eastAsia" w:ascii="宋体" w:hAnsi="宋体" w:cs="宋体"/>
          <w:szCs w:val="21"/>
          <w:u w:val="single"/>
        </w:rPr>
        <w:t xml:space="preserve">执行国家相关法律、法规规定 </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szCs w:val="21"/>
          <w:u w:val="single"/>
        </w:rPr>
      </w:pPr>
      <w:r>
        <w:rPr>
          <w:rFonts w:hint="eastAsia" w:ascii="宋体" w:hAnsi="宋体" w:cs="宋体"/>
          <w:color w:val="000000"/>
          <w:szCs w:val="21"/>
        </w:rPr>
        <w:t>其他关于分包的约定：</w:t>
      </w:r>
      <w:r>
        <w:rPr>
          <w:rFonts w:hint="eastAsia" w:ascii="宋体" w:hAnsi="宋体" w:cs="宋体"/>
          <w:color w:val="000000"/>
          <w:szCs w:val="21"/>
          <w:u w:val="single"/>
        </w:rPr>
        <w:t xml:space="preserve"> </w:t>
      </w:r>
      <w:r>
        <w:rPr>
          <w:rFonts w:hint="eastAsia" w:ascii="宋体" w:hAnsi="宋体" w:cs="宋体"/>
          <w:szCs w:val="21"/>
          <w:u w:val="single"/>
        </w:rPr>
        <w:t>除通用合同条款的约定外，分包还应遵循以下约定：</w:t>
      </w:r>
    </w:p>
    <w:p>
      <w:pPr>
        <w:spacing w:line="360" w:lineRule="auto"/>
        <w:ind w:firstLine="480" w:firstLineChars="200"/>
        <w:rPr>
          <w:rFonts w:hint="eastAsia" w:ascii="宋体" w:hAnsi="宋体" w:cs="宋体"/>
          <w:szCs w:val="21"/>
          <w:u w:val="single"/>
        </w:rPr>
      </w:pPr>
      <w:r>
        <w:rPr>
          <w:rFonts w:hint="eastAsia" w:ascii="宋体" w:hAnsi="宋体" w:cs="宋体"/>
          <w:szCs w:val="21"/>
          <w:u w:val="single"/>
        </w:rPr>
        <w:t>(1)未经发包人和监理人同意，承包人不得将其他非主体、非关键性工作分包给第三人；未经发包人和监理人审批同意的分包工程和分包人，发包人有权拒绝验收分包工程和支付相应款项，由此引起的费用增加和(或)延误的工期由承包人承担。</w:t>
      </w:r>
    </w:p>
    <w:p>
      <w:pPr>
        <w:spacing w:line="360" w:lineRule="auto"/>
        <w:ind w:firstLine="480" w:firstLineChars="200"/>
        <w:rPr>
          <w:rFonts w:hint="eastAsia" w:ascii="宋体" w:hAnsi="宋体" w:cs="宋体"/>
          <w:szCs w:val="21"/>
          <w:u w:val="single"/>
        </w:rPr>
      </w:pPr>
      <w:r>
        <w:rPr>
          <w:rFonts w:hint="eastAsia" w:ascii="宋体" w:hAnsi="宋体" w:cs="宋体"/>
          <w:szCs w:val="21"/>
          <w:u w:val="single"/>
        </w:rPr>
        <w:t>(2)发包人在工程量清单中给定暂估价的专业工程，包括从暂列金额开支的专业工程，由发包人和承包人根据现行法律、法规规定的招标方式确定专业分包人。</w:t>
      </w:r>
    </w:p>
    <w:p>
      <w:pPr>
        <w:spacing w:line="360" w:lineRule="auto"/>
        <w:ind w:firstLine="480" w:firstLineChars="200"/>
        <w:rPr>
          <w:rFonts w:hint="eastAsia" w:ascii="宋体" w:hAnsi="宋体" w:cs="宋体"/>
          <w:szCs w:val="21"/>
        </w:rPr>
      </w:pPr>
      <w:r>
        <w:rPr>
          <w:rFonts w:hint="eastAsia" w:ascii="宋体" w:hAnsi="宋体" w:cs="宋体"/>
          <w:szCs w:val="21"/>
          <w:u w:val="single"/>
        </w:rPr>
        <w:t>(3)承包人应保障分包工作不得再次分包。</w:t>
      </w:r>
    </w:p>
    <w:p>
      <w:pPr>
        <w:spacing w:line="360" w:lineRule="auto"/>
        <w:ind w:firstLine="480" w:firstLineChars="200"/>
        <w:rPr>
          <w:rFonts w:hint="eastAsia" w:ascii="宋体" w:hAnsi="宋体" w:cs="宋体"/>
          <w:szCs w:val="21"/>
        </w:rPr>
      </w:pPr>
    </w:p>
    <w:p>
      <w:pPr>
        <w:spacing w:line="360" w:lineRule="auto"/>
        <w:ind w:firstLine="480" w:firstLineChars="200"/>
        <w:rPr>
          <w:rFonts w:hint="eastAsia" w:ascii="宋体" w:hAnsi="宋体" w:cs="宋体"/>
          <w:szCs w:val="21"/>
        </w:rPr>
      </w:pPr>
      <w:r>
        <w:rPr>
          <w:rFonts w:hint="eastAsia" w:ascii="宋体" w:hAnsi="宋体" w:cs="宋体"/>
          <w:szCs w:val="21"/>
        </w:rPr>
        <w:t>3.5.4 分包合同价款</w:t>
      </w:r>
    </w:p>
    <w:p>
      <w:pPr>
        <w:spacing w:line="360" w:lineRule="auto"/>
        <w:ind w:firstLine="480" w:firstLineChars="200"/>
        <w:rPr>
          <w:rFonts w:hint="eastAsia" w:ascii="宋体" w:hAnsi="宋体" w:cs="宋体"/>
          <w:szCs w:val="21"/>
          <w:u w:val="single"/>
        </w:rPr>
      </w:pPr>
      <w:r>
        <w:rPr>
          <w:rFonts w:hint="eastAsia" w:ascii="宋体" w:hAnsi="宋体" w:cs="宋体"/>
          <w:szCs w:val="21"/>
        </w:rPr>
        <w:t>关于分包合同价款支付的约定：</w:t>
      </w:r>
      <w:r>
        <w:rPr>
          <w:rFonts w:hint="eastAsia" w:ascii="宋体" w:hAnsi="宋体" w:cs="宋体"/>
          <w:color w:val="000000"/>
          <w:szCs w:val="21"/>
          <w:u w:val="single"/>
        </w:rPr>
        <w:t></w:t>
      </w:r>
      <w:r>
        <w:rPr>
          <w:rFonts w:hint="eastAsia" w:ascii="宋体" w:hAnsi="宋体" w:cs="宋体"/>
          <w:szCs w:val="21"/>
          <w:u w:val="single"/>
        </w:rPr>
        <w:t>原则上由总承包人支付，特殊情况下双方商议后以补充协议方式确定。</w:t>
      </w:r>
    </w:p>
    <w:p>
      <w:pPr>
        <w:spacing w:line="360" w:lineRule="auto"/>
        <w:ind w:firstLine="480" w:firstLineChars="200"/>
        <w:rPr>
          <w:rFonts w:hint="eastAsia" w:ascii="宋体" w:hAnsi="宋体" w:cs="宋体"/>
          <w:szCs w:val="21"/>
        </w:rPr>
      </w:pPr>
      <w:r>
        <w:rPr>
          <w:rFonts w:hint="eastAsia" w:ascii="宋体" w:hAnsi="宋体" w:cs="宋体"/>
          <w:szCs w:val="21"/>
        </w:rPr>
        <w:t>总承包服务费：按专业工程合同价的3%计取。总包服务范围：总承包人为配合、协调建设单位进行的专业工程发包，对建设单位自行采购的材料、工程设备等进行保管以及施工现场管理、竣工资料汇总整理等服务所需的费用。</w:t>
      </w:r>
    </w:p>
    <w:bookmarkEnd w:id="2522"/>
    <w:bookmarkEnd w:id="2523"/>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3.6 工程照管与成品、半成品保护</w:t>
      </w:r>
    </w:p>
    <w:p>
      <w:pPr>
        <w:spacing w:before="120" w:after="120" w:line="360" w:lineRule="auto"/>
        <w:ind w:firstLine="480" w:firstLineChars="200"/>
        <w:rPr>
          <w:rFonts w:hint="eastAsia" w:ascii="宋体" w:hAnsi="宋体" w:cs="宋体"/>
          <w:color w:val="000000"/>
          <w:kern w:val="0"/>
          <w:szCs w:val="21"/>
          <w:u w:val="single"/>
        </w:rPr>
      </w:pPr>
      <w:r>
        <w:rPr>
          <w:rFonts w:hint="eastAsia" w:ascii="宋体" w:hAnsi="宋体" w:cs="宋体"/>
          <w:color w:val="000000"/>
          <w:kern w:val="0"/>
          <w:szCs w:val="21"/>
        </w:rPr>
        <w:t>承包人负责照管工程及工程相关的材料、工程设备的起始时间：</w:t>
      </w:r>
      <w:r>
        <w:rPr>
          <w:rFonts w:hint="eastAsia" w:ascii="宋体" w:hAnsi="宋体" w:cs="宋体"/>
          <w:color w:val="000000"/>
          <w:kern w:val="0"/>
          <w:szCs w:val="21"/>
          <w:u w:val="single"/>
        </w:rPr>
        <w:t xml:space="preserve">  </w:t>
      </w:r>
      <w:r>
        <w:rPr>
          <w:rFonts w:hint="eastAsia" w:ascii="宋体" w:hAnsi="宋体" w:cs="宋体"/>
          <w:szCs w:val="21"/>
          <w:u w:val="single"/>
        </w:rPr>
        <w:t>工程施工开始至竣工验收合格并办理完工程移交手续止 。</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3.7 履约担保</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承包人是否提供履约担保：</w:t>
      </w:r>
      <w:r>
        <w:rPr>
          <w:rFonts w:hint="eastAsia" w:ascii="宋体" w:hAnsi="宋体" w:cs="宋体"/>
          <w:color w:val="000000"/>
          <w:szCs w:val="21"/>
          <w:u w:val="single"/>
        </w:rPr>
        <w:t>否。</w:t>
      </w:r>
    </w:p>
    <w:p>
      <w:pPr>
        <w:pStyle w:val="6"/>
        <w:spacing w:before="120" w:after="120"/>
        <w:ind w:firstLine="480" w:firstLineChars="200"/>
        <w:rPr>
          <w:rFonts w:hint="eastAsia" w:ascii="宋体" w:hAnsi="宋体" w:cs="宋体"/>
          <w:b w:val="0"/>
          <w:color w:val="000000"/>
          <w:szCs w:val="21"/>
        </w:rPr>
      </w:pPr>
      <w:bookmarkStart w:id="2524" w:name="_Toc351203636"/>
      <w:r>
        <w:rPr>
          <w:rFonts w:hint="eastAsia" w:ascii="宋体" w:hAnsi="宋体" w:cs="宋体"/>
          <w:b w:val="0"/>
          <w:color w:val="000000"/>
          <w:szCs w:val="21"/>
        </w:rPr>
        <w:t>4</w:t>
      </w:r>
      <w:bookmarkStart w:id="2525" w:name="_Toc292559366"/>
      <w:bookmarkStart w:id="2526" w:name="_Toc292559871"/>
      <w:bookmarkStart w:id="2527" w:name="_Toc267251413"/>
      <w:bookmarkStart w:id="2528" w:name="_Toc296890990"/>
      <w:bookmarkStart w:id="2529" w:name="_Toc296346663"/>
      <w:bookmarkStart w:id="2530" w:name="_Toc296944501"/>
      <w:bookmarkStart w:id="2531" w:name="_Toc296891202"/>
      <w:bookmarkStart w:id="2532" w:name="_Toc297048348"/>
      <w:bookmarkStart w:id="2533" w:name="_Toc297120462"/>
      <w:bookmarkStart w:id="2534" w:name="_Toc296503162"/>
      <w:bookmarkStart w:id="2535" w:name="_Toc296347161"/>
      <w:r>
        <w:rPr>
          <w:rFonts w:hint="eastAsia" w:ascii="宋体" w:hAnsi="宋体" w:cs="宋体"/>
          <w:b w:val="0"/>
          <w:color w:val="000000"/>
          <w:szCs w:val="21"/>
        </w:rPr>
        <w:t>. 监</w:t>
      </w:r>
      <w:bookmarkEnd w:id="2525"/>
      <w:bookmarkEnd w:id="2526"/>
      <w:bookmarkEnd w:id="2527"/>
      <w:bookmarkEnd w:id="2528"/>
      <w:bookmarkEnd w:id="2529"/>
      <w:bookmarkEnd w:id="2530"/>
      <w:bookmarkEnd w:id="2531"/>
      <w:bookmarkEnd w:id="2532"/>
      <w:bookmarkEnd w:id="2533"/>
      <w:bookmarkEnd w:id="2534"/>
      <w:bookmarkEnd w:id="2535"/>
      <w:r>
        <w:rPr>
          <w:rFonts w:hint="eastAsia" w:ascii="宋体" w:hAnsi="宋体" w:cs="宋体"/>
          <w:b w:val="0"/>
          <w:color w:val="000000"/>
          <w:szCs w:val="21"/>
        </w:rPr>
        <w:t>理人</w:t>
      </w:r>
      <w:bookmarkEnd w:id="2524"/>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4.1监理人的一般规定</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color w:val="000000"/>
          <w:szCs w:val="21"/>
        </w:rPr>
        <w:t>关于监理人的监理内容：</w:t>
      </w:r>
      <w:r>
        <w:rPr>
          <w:rFonts w:hint="eastAsia" w:ascii="宋体" w:hAnsi="宋体" w:cs="宋体"/>
          <w:color w:val="000000"/>
          <w:szCs w:val="21"/>
          <w:u w:val="single"/>
        </w:rPr>
        <w:t xml:space="preserve"> </w:t>
      </w:r>
      <w:r>
        <w:rPr>
          <w:rFonts w:hint="eastAsia" w:ascii="宋体" w:hAnsi="宋体" w:cs="宋体"/>
          <w:szCs w:val="21"/>
          <w:u w:val="single"/>
        </w:rPr>
        <w:t>施工图设计范围内（含变更）工程施工的安全、质量、进度</w:t>
      </w:r>
      <w:r>
        <w:rPr>
          <w:rFonts w:hint="eastAsia" w:ascii="宋体" w:hAnsi="宋体" w:cs="宋体"/>
          <w:color w:val="000000"/>
          <w:szCs w:val="21"/>
          <w:u w:val="single"/>
        </w:rPr>
        <w:t>、文明施工、扬尘防治、成本控制。</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关于监理人的监理权限：</w:t>
      </w:r>
      <w:r>
        <w:rPr>
          <w:rFonts w:hint="eastAsia" w:ascii="宋体" w:hAnsi="宋体" w:cs="宋体"/>
          <w:szCs w:val="21"/>
          <w:u w:val="single"/>
        </w:rPr>
        <w:t xml:space="preserve">对工程建设实施全面监督和管理，但不得修改本施工合同、减轻或免除合同约定的承包人的任何责任与义务，任何增加工程造价的签证均需获得发包人同意。 </w:t>
      </w:r>
      <w:r>
        <w:rPr>
          <w:rFonts w:hint="eastAsia" w:ascii="宋体" w:hAnsi="宋体" w:cs="宋体"/>
          <w:color w:val="000000"/>
          <w:szCs w:val="21"/>
        </w:rPr>
        <w:t xml:space="preserve"> </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关于监理人在施工现场的办公场所、生活场所的提供和费用承担的约定：</w:t>
      </w:r>
      <w:r>
        <w:rPr>
          <w:rFonts w:hint="eastAsia" w:ascii="宋体" w:hAnsi="宋体" w:cs="宋体"/>
          <w:color w:val="000000"/>
          <w:szCs w:val="21"/>
          <w:u w:val="single"/>
        </w:rPr>
        <w:t xml:space="preserve"> 监理人在施工现场的办公场所、生活场所的提供和费用由监理人自行承担 </w:t>
      </w:r>
      <w:r>
        <w:rPr>
          <w:rFonts w:hint="eastAsia" w:ascii="宋体" w:hAnsi="宋体" w:cs="宋体"/>
          <w:color w:val="000000"/>
          <w:szCs w:val="21"/>
        </w:rPr>
        <w:t>。</w:t>
      </w:r>
    </w:p>
    <w:p>
      <w:pPr>
        <w:spacing w:line="360" w:lineRule="auto"/>
        <w:ind w:firstLine="480" w:firstLineChars="200"/>
        <w:rPr>
          <w:rFonts w:hint="eastAsia" w:ascii="宋体" w:hAnsi="宋体" w:cs="宋体"/>
          <w:szCs w:val="21"/>
        </w:rPr>
      </w:pPr>
      <w:r>
        <w:rPr>
          <w:rFonts w:hint="eastAsia" w:ascii="宋体" w:hAnsi="宋体" w:cs="宋体"/>
          <w:szCs w:val="21"/>
        </w:rPr>
        <w:t>（1）职责范围</w:t>
      </w:r>
    </w:p>
    <w:p>
      <w:pPr>
        <w:spacing w:line="360" w:lineRule="auto"/>
        <w:ind w:firstLine="480" w:firstLineChars="200"/>
        <w:rPr>
          <w:rFonts w:hint="eastAsia" w:ascii="宋体" w:hAnsi="宋体" w:cs="宋体"/>
          <w:szCs w:val="21"/>
          <w:u w:val="single"/>
        </w:rPr>
      </w:pPr>
      <w:r>
        <w:rPr>
          <w:rFonts w:hint="eastAsia" w:ascii="宋体" w:hAnsi="宋体" w:cs="宋体"/>
          <w:szCs w:val="21"/>
          <w:u w:val="single"/>
        </w:rPr>
        <w:t>施工全过程监理，包括“三控二管一协调以及安全管理”，即施工过程中的质量、进度、投资控制，合同、信息等方面</w:t>
      </w:r>
      <w:r>
        <w:rPr>
          <w:rFonts w:hint="eastAsia" w:ascii="宋体" w:hAnsi="宋体" w:cs="宋体"/>
          <w:color w:val="000000"/>
          <w:szCs w:val="21"/>
          <w:u w:val="single"/>
        </w:rPr>
        <w:t>的管理及安全文明生产管理 ；协调各</w:t>
      </w:r>
      <w:r>
        <w:rPr>
          <w:rFonts w:hint="eastAsia" w:ascii="宋体" w:hAnsi="宋体" w:cs="宋体"/>
          <w:szCs w:val="21"/>
          <w:u w:val="single"/>
        </w:rPr>
        <w:t xml:space="preserve">方面与工程有关的关系；负责施工组织设计、单项施工技术方案的审核和图纸会审纪要的签发；负责主持分部分项工程验收及工程竣工预验收，定期的现场施工调度会；参加发包人主持的竣工验收工作；竣工后保修阶段的服务以及发包人赋予的其他有关权利。 </w:t>
      </w:r>
    </w:p>
    <w:p>
      <w:pPr>
        <w:spacing w:line="360" w:lineRule="auto"/>
        <w:ind w:left="-408" w:leftChars="-170" w:right="-578" w:rightChars="-241" w:firstLine="720" w:firstLineChars="300"/>
        <w:rPr>
          <w:rFonts w:hint="eastAsia" w:ascii="宋体" w:hAnsi="宋体" w:cs="宋体"/>
          <w:szCs w:val="21"/>
        </w:rPr>
      </w:pPr>
      <w:r>
        <w:rPr>
          <w:rFonts w:hint="eastAsia" w:ascii="宋体" w:hAnsi="宋体" w:cs="宋体"/>
          <w:szCs w:val="21"/>
        </w:rPr>
        <w:t>（2）工程变更和签证授权</w:t>
      </w:r>
    </w:p>
    <w:p>
      <w:pPr>
        <w:spacing w:line="360" w:lineRule="auto"/>
        <w:ind w:firstLine="480" w:firstLineChars="200"/>
        <w:rPr>
          <w:rFonts w:hint="eastAsia" w:ascii="宋体" w:hAnsi="宋体" w:cs="宋体"/>
          <w:szCs w:val="21"/>
          <w:u w:val="single"/>
        </w:rPr>
      </w:pPr>
      <w:r>
        <w:rPr>
          <w:rFonts w:hint="eastAsia" w:ascii="宋体" w:hAnsi="宋体" w:cs="宋体"/>
          <w:szCs w:val="21"/>
          <w:u w:val="single"/>
        </w:rPr>
        <w:t>涉及设计变更和签证单的签字，监理人的总监工程师签字后应在24小时内送交委托人工地代表核准。其中，涉及到费用增加的签证单，监理人应在签字前通知委托人的工地代表，确认是否需要征得委托人同意，否则，因监理人签证所发生的增加费用，委托人将不予认可。</w:t>
      </w:r>
    </w:p>
    <w:p>
      <w:pPr>
        <w:spacing w:line="360" w:lineRule="auto"/>
        <w:ind w:firstLine="480" w:firstLineChars="200"/>
        <w:rPr>
          <w:rFonts w:hint="eastAsia" w:ascii="宋体" w:hAnsi="宋体" w:cs="宋体"/>
          <w:szCs w:val="21"/>
          <w:u w:val="single"/>
        </w:rPr>
      </w:pPr>
      <w:r>
        <w:rPr>
          <w:rFonts w:hint="eastAsia" w:ascii="宋体" w:hAnsi="宋体" w:cs="宋体"/>
          <w:szCs w:val="21"/>
          <w:u w:val="single"/>
        </w:rPr>
        <w:t xml:space="preserve">（3）监理人在征得委托人代表同意的前提下，有权要求承包人调换其人员。 </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4.2 监理人员</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总监理工程师：</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姓    名：</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职    务：</w:t>
      </w:r>
      <w:r>
        <w:rPr>
          <w:rFonts w:hint="eastAsia" w:ascii="宋体" w:hAnsi="宋体" w:cs="宋体"/>
          <w:color w:val="000000"/>
          <w:szCs w:val="21"/>
          <w:u w:val="single"/>
        </w:rPr>
        <w:t>   总监理工程师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监理工程师执业资格证书号：</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联系电话：</w:t>
      </w:r>
      <w:r>
        <w:rPr>
          <w:rFonts w:hint="eastAsia" w:ascii="宋体" w:hAnsi="宋体" w:cs="宋体"/>
          <w:color w:val="000000"/>
          <w:szCs w:val="21"/>
          <w:u w:val="single"/>
        </w:rPr>
        <w:t xml:space="preserve">                         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电子信箱：</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通信地址：</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关于监理人的其他约定：</w:t>
      </w:r>
      <w:r>
        <w:rPr>
          <w:rFonts w:hint="eastAsia" w:ascii="宋体" w:hAnsi="宋体" w:cs="宋体"/>
          <w:color w:val="000000"/>
          <w:szCs w:val="21"/>
          <w:u w:val="single"/>
        </w:rPr>
        <w:t>详见本工程监理合同</w:t>
      </w:r>
      <w:r>
        <w:rPr>
          <w:rFonts w:hint="eastAsia" w:ascii="宋体" w:hAnsi="宋体" w:cs="宋体"/>
          <w:color w:val="000000"/>
          <w:szCs w:val="21"/>
        </w:rPr>
        <w:t>。</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4.4 商定或确定</w:t>
      </w:r>
    </w:p>
    <w:p>
      <w:pPr>
        <w:spacing w:line="360" w:lineRule="auto"/>
        <w:ind w:firstLine="480" w:firstLineChars="200"/>
        <w:rPr>
          <w:rFonts w:hint="eastAsia" w:ascii="宋体" w:hAnsi="宋体" w:cs="宋体"/>
          <w:szCs w:val="21"/>
        </w:rPr>
      </w:pPr>
      <w:bookmarkStart w:id="2536" w:name="_Toc267251418"/>
      <w:r>
        <w:rPr>
          <w:rFonts w:hint="eastAsia" w:ascii="宋体" w:hAnsi="宋体" w:cs="宋体"/>
          <w:szCs w:val="21"/>
        </w:rPr>
        <w:t>在发包人和承包人不能通过协商达成一致意见时，发包人授权监理人对以下事项进行确定：</w:t>
      </w:r>
    </w:p>
    <w:p>
      <w:pPr>
        <w:autoSpaceDE w:val="0"/>
        <w:autoSpaceDN w:val="0"/>
        <w:adjustRightInd w:val="0"/>
        <w:spacing w:line="360" w:lineRule="auto"/>
        <w:ind w:firstLine="480" w:firstLineChars="200"/>
        <w:jc w:val="left"/>
        <w:rPr>
          <w:rFonts w:hint="eastAsia" w:ascii="宋体" w:hAnsi="宋体" w:cs="宋体"/>
          <w:kern w:val="0"/>
          <w:szCs w:val="21"/>
        </w:rPr>
      </w:pPr>
      <w:r>
        <w:rPr>
          <w:rFonts w:hint="eastAsia" w:ascii="宋体" w:hAnsi="宋体" w:cs="宋体"/>
          <w:kern w:val="0"/>
          <w:szCs w:val="21"/>
        </w:rPr>
        <w:t>（1）</w:t>
      </w:r>
      <w:r>
        <w:rPr>
          <w:rFonts w:hint="eastAsia" w:ascii="宋体" w:hAnsi="宋体" w:cs="宋体"/>
          <w:szCs w:val="21"/>
          <w:u w:val="single"/>
        </w:rPr>
        <w:t xml:space="preserve">     无      </w:t>
      </w:r>
      <w:r>
        <w:rPr>
          <w:rFonts w:hint="eastAsia" w:ascii="宋体" w:hAnsi="宋体" w:cs="宋体"/>
          <w:szCs w:val="21"/>
        </w:rPr>
        <w:t>。</w:t>
      </w:r>
    </w:p>
    <w:p>
      <w:pPr>
        <w:pStyle w:val="6"/>
        <w:spacing w:before="120" w:after="120"/>
        <w:rPr>
          <w:rFonts w:hint="eastAsia" w:ascii="宋体" w:hAnsi="宋体" w:cs="宋体"/>
          <w:b w:val="0"/>
          <w:color w:val="000000"/>
          <w:szCs w:val="21"/>
        </w:rPr>
      </w:pPr>
      <w:bookmarkStart w:id="2537" w:name="_Toc351203637"/>
      <w:r>
        <w:rPr>
          <w:rFonts w:hint="eastAsia" w:ascii="宋体" w:hAnsi="宋体" w:cs="宋体"/>
          <w:b w:val="0"/>
          <w:color w:val="000000"/>
          <w:szCs w:val="21"/>
        </w:rPr>
        <w:t>5</w:t>
      </w:r>
      <w:bookmarkEnd w:id="2536"/>
      <w:bookmarkStart w:id="2538" w:name="_Toc292559367"/>
      <w:bookmarkStart w:id="2539" w:name="_Toc296347162"/>
      <w:bookmarkStart w:id="2540" w:name="_Toc297120463"/>
      <w:bookmarkStart w:id="2541" w:name="_Toc296890991"/>
      <w:bookmarkStart w:id="2542" w:name="_Toc296503163"/>
      <w:bookmarkStart w:id="2543" w:name="_Toc296944502"/>
      <w:bookmarkStart w:id="2544" w:name="_Toc296346664"/>
      <w:bookmarkStart w:id="2545" w:name="_Toc296891203"/>
      <w:bookmarkStart w:id="2546" w:name="_Toc297048349"/>
      <w:bookmarkStart w:id="2547" w:name="_Toc292559872"/>
      <w:r>
        <w:rPr>
          <w:rFonts w:hint="eastAsia" w:ascii="宋体" w:hAnsi="宋体" w:cs="宋体"/>
          <w:b w:val="0"/>
          <w:color w:val="000000"/>
          <w:szCs w:val="21"/>
        </w:rPr>
        <w:t>. 工程质量</w:t>
      </w:r>
      <w:bookmarkEnd w:id="2537"/>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5.1 质量要求</w:t>
      </w:r>
    </w:p>
    <w:p>
      <w:pPr>
        <w:autoSpaceDE w:val="0"/>
        <w:autoSpaceDN w:val="0"/>
        <w:adjustRightInd w:val="0"/>
        <w:spacing w:line="360" w:lineRule="auto"/>
        <w:ind w:firstLine="480" w:firstLineChars="200"/>
        <w:jc w:val="left"/>
        <w:rPr>
          <w:rFonts w:hint="eastAsia" w:ascii="宋体" w:hAnsi="宋体" w:cs="宋体"/>
          <w:szCs w:val="21"/>
          <w:u w:val="single"/>
        </w:rPr>
      </w:pPr>
      <w:r>
        <w:rPr>
          <w:rFonts w:hint="eastAsia" w:ascii="宋体" w:hAnsi="宋体" w:cs="宋体"/>
          <w:szCs w:val="21"/>
        </w:rPr>
        <w:t>5</w:t>
      </w:r>
      <w:bookmarkStart w:id="2548" w:name="_Toc303539106"/>
      <w:bookmarkStart w:id="2549" w:name="_Toc304295527"/>
      <w:bookmarkStart w:id="2550" w:name="_Toc297216155"/>
      <w:bookmarkStart w:id="2551" w:name="_Toc318581164"/>
      <w:bookmarkStart w:id="2552" w:name="_Toc297123496"/>
      <w:bookmarkStart w:id="2553" w:name="_Toc300934949"/>
      <w:bookmarkStart w:id="2554" w:name="_Toc312677997"/>
      <w:r>
        <w:rPr>
          <w:rFonts w:hint="eastAsia" w:ascii="宋体" w:hAnsi="宋体" w:cs="宋体"/>
          <w:color w:val="000000"/>
          <w:szCs w:val="21"/>
        </w:rPr>
        <w:t>.1 特殊质量标准和要求：</w:t>
      </w:r>
      <w:r>
        <w:rPr>
          <w:rFonts w:hint="eastAsia" w:ascii="宋体" w:hAnsi="宋体" w:cs="宋体"/>
          <w:szCs w:val="21"/>
          <w:u w:val="single"/>
        </w:rPr>
        <w:t>执行《徐州市城市管理局施工现场履约考核办法》；通过钻芯取样检测、满足设计技术标准。</w:t>
      </w:r>
      <w:r>
        <w:rPr>
          <w:rFonts w:hint="eastAsia" w:ascii="宋体" w:hAnsi="宋体" w:cs="宋体"/>
          <w:kern w:val="0"/>
          <w:szCs w:val="21"/>
          <w:u w:val="single"/>
        </w:rPr>
        <w:t>本工程主要材料进场</w:t>
      </w:r>
      <w:r>
        <w:rPr>
          <w:rFonts w:hint="eastAsia" w:ascii="宋体" w:hAnsi="宋体" w:cs="宋体"/>
          <w:szCs w:val="21"/>
          <w:u w:val="single"/>
        </w:rPr>
        <w:t xml:space="preserve">必须经发包人认可 </w:t>
      </w:r>
      <w:r>
        <w:rPr>
          <w:rFonts w:hint="eastAsia" w:ascii="宋体" w:hAnsi="宋体" w:cs="宋体"/>
          <w:szCs w:val="21"/>
        </w:rPr>
        <w:t>。</w:t>
      </w:r>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5.2 隐蔽工程检查</w:t>
      </w:r>
    </w:p>
    <w:p>
      <w:pPr>
        <w:spacing w:line="360" w:lineRule="auto"/>
        <w:ind w:firstLine="480" w:firstLineChars="200"/>
        <w:jc w:val="left"/>
        <w:rPr>
          <w:rFonts w:hint="eastAsia" w:ascii="宋体" w:hAnsi="宋体" w:cs="宋体"/>
          <w:szCs w:val="21"/>
        </w:rPr>
      </w:pPr>
      <w:r>
        <w:rPr>
          <w:rFonts w:hint="eastAsia" w:ascii="宋体" w:hAnsi="宋体" w:cs="宋体"/>
          <w:szCs w:val="21"/>
        </w:rPr>
        <w:t>承包人提前通知监理人隐蔽工程检查的期限的约定：</w:t>
      </w:r>
      <w:r>
        <w:rPr>
          <w:rFonts w:hint="eastAsia" w:ascii="宋体" w:hAnsi="宋体" w:cs="宋体"/>
          <w:szCs w:val="21"/>
          <w:u w:val="single"/>
        </w:rPr>
        <w:t xml:space="preserve">  </w:t>
      </w:r>
      <w:r>
        <w:rPr>
          <w:rFonts w:hint="eastAsia" w:ascii="宋体" w:hAnsi="宋体" w:cs="宋体"/>
          <w:color w:val="000000"/>
          <w:szCs w:val="21"/>
          <w:u w:val="single"/>
        </w:rPr>
        <w:t xml:space="preserve">执行通用条款   </w:t>
      </w:r>
      <w:r>
        <w:rPr>
          <w:rFonts w:hint="eastAsia" w:ascii="宋体" w:hAnsi="宋体" w:cs="宋体"/>
          <w:szCs w:val="21"/>
          <w:u w:val="single"/>
        </w:rPr>
        <w:t xml:space="preserve"> </w:t>
      </w:r>
      <w:r>
        <w:rPr>
          <w:rFonts w:hint="eastAsia" w:ascii="宋体" w:hAnsi="宋体" w:cs="宋体"/>
          <w:szCs w:val="21"/>
        </w:rPr>
        <w:t>。</w:t>
      </w:r>
    </w:p>
    <w:p>
      <w:pPr>
        <w:spacing w:line="360" w:lineRule="auto"/>
        <w:ind w:firstLine="480" w:firstLineChars="200"/>
        <w:jc w:val="left"/>
        <w:rPr>
          <w:rFonts w:hint="eastAsia" w:ascii="宋体" w:hAnsi="宋体" w:cs="宋体"/>
          <w:szCs w:val="21"/>
        </w:rPr>
      </w:pPr>
      <w:r>
        <w:rPr>
          <w:rFonts w:hint="eastAsia" w:ascii="宋体" w:hAnsi="宋体" w:cs="宋体"/>
          <w:szCs w:val="21"/>
        </w:rPr>
        <w:t>监理人不能按时进行检查时，应提前</w:t>
      </w:r>
      <w:r>
        <w:rPr>
          <w:rFonts w:hint="eastAsia" w:ascii="宋体" w:hAnsi="宋体" w:cs="宋体"/>
          <w:szCs w:val="21"/>
          <w:u w:val="single"/>
        </w:rPr>
        <w:t xml:space="preserve">  8  </w:t>
      </w:r>
      <w:r>
        <w:rPr>
          <w:rFonts w:hint="eastAsia" w:ascii="宋体" w:hAnsi="宋体" w:cs="宋体"/>
          <w:szCs w:val="21"/>
        </w:rPr>
        <w:t>小时提交书面延期要求。关于延期最长不得超过：</w:t>
      </w:r>
      <w:r>
        <w:rPr>
          <w:rFonts w:hint="eastAsia" w:ascii="宋体" w:hAnsi="宋体" w:cs="宋体"/>
          <w:szCs w:val="21"/>
          <w:u w:val="single"/>
        </w:rPr>
        <w:t xml:space="preserve">  24  </w:t>
      </w:r>
      <w:r>
        <w:rPr>
          <w:rFonts w:hint="eastAsia" w:ascii="宋体" w:hAnsi="宋体" w:cs="宋体"/>
          <w:szCs w:val="21"/>
        </w:rPr>
        <w:t>小时。</w:t>
      </w:r>
    </w:p>
    <w:p>
      <w:pPr>
        <w:pStyle w:val="6"/>
        <w:spacing w:before="120" w:after="120"/>
        <w:rPr>
          <w:rFonts w:hint="eastAsia" w:ascii="宋体" w:hAnsi="宋体" w:cs="宋体"/>
          <w:b w:val="0"/>
          <w:color w:val="000000"/>
          <w:szCs w:val="21"/>
        </w:rPr>
      </w:pPr>
      <w:bookmarkStart w:id="2555" w:name="_Toc351203638"/>
      <w:r>
        <w:rPr>
          <w:rFonts w:hint="eastAsia" w:ascii="宋体" w:hAnsi="宋体" w:cs="宋体"/>
          <w:b w:val="0"/>
          <w:color w:val="000000"/>
          <w:szCs w:val="21"/>
        </w:rPr>
        <w:t>6. 安全文明施工与环境保护</w:t>
      </w:r>
      <w:bookmarkEnd w:id="2555"/>
    </w:p>
    <w:p>
      <w:pPr>
        <w:spacing w:after="120" w:line="360" w:lineRule="auto"/>
        <w:ind w:firstLine="480" w:firstLineChars="200"/>
        <w:rPr>
          <w:rFonts w:ascii="宋体" w:hAnsi="宋体" w:cs="宋体"/>
          <w:color w:val="000000"/>
          <w:szCs w:val="21"/>
        </w:rPr>
      </w:pPr>
      <w:r>
        <w:rPr>
          <w:rFonts w:hint="eastAsia" w:ascii="宋体" w:hAnsi="宋体" w:cs="宋体"/>
          <w:color w:val="000000"/>
          <w:szCs w:val="21"/>
        </w:rPr>
        <w:t>6.1安全文明施工</w:t>
      </w:r>
    </w:p>
    <w:p>
      <w:pPr>
        <w:spacing w:after="120" w:line="360" w:lineRule="auto"/>
        <w:ind w:firstLine="480" w:firstLineChars="200"/>
        <w:rPr>
          <w:rFonts w:hint="eastAsia" w:ascii="宋体" w:hAnsi="宋体" w:cs="宋体"/>
          <w:color w:val="000000"/>
          <w:szCs w:val="21"/>
          <w:u w:val="single"/>
        </w:rPr>
      </w:pPr>
      <w:r>
        <w:rPr>
          <w:rFonts w:hint="eastAsia" w:ascii="宋体" w:hAnsi="宋体" w:cs="宋体"/>
          <w:color w:val="000000"/>
          <w:szCs w:val="21"/>
          <w:u w:val="single"/>
        </w:rPr>
        <w:t>扬尘治理费按江苏省相关文件计取。</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szCs w:val="21"/>
        </w:rPr>
        <w:t>6.1.1</w:t>
      </w:r>
      <w:r>
        <w:rPr>
          <w:rFonts w:hint="eastAsia" w:ascii="宋体" w:hAnsi="宋体" w:cs="宋体"/>
          <w:color w:val="000000"/>
          <w:szCs w:val="21"/>
        </w:rPr>
        <w:t xml:space="preserve"> 项目安全生产的达标目标及相应事项的约定：</w:t>
      </w:r>
      <w:r>
        <w:rPr>
          <w:rFonts w:hint="eastAsia" w:ascii="宋体" w:hAnsi="宋体" w:cs="宋体"/>
          <w:szCs w:val="21"/>
          <w:u w:val="single"/>
        </w:rPr>
        <w:t xml:space="preserve"> </w:t>
      </w:r>
      <w:r>
        <w:rPr>
          <w:rFonts w:ascii="宋体" w:hAnsi="宋体" w:cs="宋体"/>
          <w:color w:val="000000"/>
          <w:szCs w:val="21"/>
          <w:u w:val="single"/>
        </w:rPr>
        <w:fldChar w:fldCharType="begin"/>
      </w:r>
      <w:r>
        <w:rPr>
          <w:rFonts w:ascii="宋体" w:hAnsi="宋体" w:cs="宋体"/>
          <w:color w:val="000000"/>
          <w:szCs w:val="21"/>
          <w:u w:val="single"/>
        </w:rPr>
        <w:instrText xml:space="preserve"> </w:instrText>
      </w:r>
      <w:r>
        <w:rPr>
          <w:rFonts w:hint="eastAsia" w:ascii="宋体" w:hAnsi="宋体" w:cs="宋体"/>
          <w:color w:val="000000"/>
          <w:szCs w:val="21"/>
          <w:u w:val="single"/>
        </w:rPr>
        <w:instrText xml:space="preserve">= 1 \* GB3</w:instrText>
      </w:r>
      <w:r>
        <w:rPr>
          <w:rFonts w:ascii="宋体" w:hAnsi="宋体" w:cs="宋体"/>
          <w:color w:val="000000"/>
          <w:szCs w:val="21"/>
          <w:u w:val="single"/>
        </w:rPr>
        <w:instrText xml:space="preserve"> </w:instrText>
      </w:r>
      <w:r>
        <w:rPr>
          <w:rFonts w:ascii="宋体" w:hAnsi="宋体" w:cs="宋体"/>
          <w:color w:val="000000"/>
          <w:szCs w:val="21"/>
          <w:u w:val="single"/>
        </w:rPr>
        <w:fldChar w:fldCharType="separate"/>
      </w:r>
      <w:r>
        <w:rPr>
          <w:rFonts w:hint="eastAsia" w:ascii="宋体" w:hAnsi="宋体" w:cs="宋体"/>
          <w:color w:val="000000"/>
          <w:szCs w:val="21"/>
          <w:u w:val="single"/>
        </w:rPr>
        <w:t>①</w:t>
      </w:r>
      <w:r>
        <w:rPr>
          <w:rFonts w:ascii="宋体" w:hAnsi="宋体" w:cs="宋体"/>
          <w:color w:val="000000"/>
          <w:szCs w:val="21"/>
          <w:u w:val="single"/>
        </w:rPr>
        <w:fldChar w:fldCharType="end"/>
      </w:r>
      <w:r>
        <w:rPr>
          <w:rFonts w:hint="eastAsia" w:ascii="宋体" w:hAnsi="宋体" w:cs="宋体"/>
          <w:color w:val="000000"/>
          <w:szCs w:val="21"/>
          <w:u w:val="single"/>
        </w:rPr>
        <w:t>在本合同实施过程中，承包人应对现场施工人员及现场其他第三人的安全、现场施工秩序、工程保护、环境保护、消防、用电安全等负责，并就工地照明、防护标志和警示信号设置、门卫人员配置等作出具体安排，充分考虑施工的特殊性，确保安全生产无事故，并承担相关的责任和损失。</w:t>
      </w:r>
      <w:r>
        <w:rPr>
          <w:rFonts w:ascii="宋体" w:hAnsi="宋体" w:cs="宋体"/>
          <w:color w:val="000000"/>
          <w:szCs w:val="21"/>
          <w:u w:val="single"/>
        </w:rPr>
        <w:fldChar w:fldCharType="begin"/>
      </w:r>
      <w:r>
        <w:rPr>
          <w:rFonts w:ascii="宋体" w:hAnsi="宋体" w:cs="宋体"/>
          <w:color w:val="000000"/>
          <w:szCs w:val="21"/>
          <w:u w:val="single"/>
        </w:rPr>
        <w:instrText xml:space="preserve"> </w:instrText>
      </w:r>
      <w:r>
        <w:rPr>
          <w:rFonts w:hint="eastAsia" w:ascii="宋体" w:hAnsi="宋体" w:cs="宋体"/>
          <w:color w:val="000000"/>
          <w:szCs w:val="21"/>
          <w:u w:val="single"/>
        </w:rPr>
        <w:instrText xml:space="preserve">= 2 \* GB3</w:instrText>
      </w:r>
      <w:r>
        <w:rPr>
          <w:rFonts w:ascii="宋体" w:hAnsi="宋体" w:cs="宋体"/>
          <w:color w:val="000000"/>
          <w:szCs w:val="21"/>
          <w:u w:val="single"/>
        </w:rPr>
        <w:instrText xml:space="preserve"> </w:instrText>
      </w:r>
      <w:r>
        <w:rPr>
          <w:rFonts w:ascii="宋体" w:hAnsi="宋体" w:cs="宋体"/>
          <w:color w:val="000000"/>
          <w:szCs w:val="21"/>
          <w:u w:val="single"/>
        </w:rPr>
        <w:fldChar w:fldCharType="separate"/>
      </w:r>
      <w:r>
        <w:rPr>
          <w:rFonts w:hint="eastAsia" w:ascii="宋体" w:hAnsi="宋体" w:cs="宋体"/>
          <w:color w:val="000000"/>
          <w:szCs w:val="21"/>
          <w:u w:val="single"/>
        </w:rPr>
        <w:t>②</w:t>
      </w:r>
      <w:r>
        <w:rPr>
          <w:rFonts w:ascii="宋体" w:hAnsi="宋体" w:cs="宋体"/>
          <w:color w:val="000000"/>
          <w:szCs w:val="21"/>
          <w:u w:val="single"/>
        </w:rPr>
        <w:fldChar w:fldCharType="end"/>
      </w:r>
      <w:r>
        <w:rPr>
          <w:rFonts w:hint="eastAsia" w:ascii="宋体" w:hAnsi="宋体" w:cs="宋体"/>
          <w:color w:val="000000"/>
          <w:szCs w:val="21"/>
          <w:u w:val="single"/>
        </w:rPr>
        <w:t>施工过程中的排污、环卫、市容、城建、城管、治安、人口管理等相关手续由承包人按规定负责办理，对临近居民和行人的影响由承包人负责处理并承担相应费用。</w:t>
      </w:r>
      <w:r>
        <w:rPr>
          <w:rFonts w:ascii="宋体" w:hAnsi="宋体" w:cs="宋体"/>
          <w:color w:val="000000"/>
          <w:szCs w:val="21"/>
          <w:u w:val="single"/>
        </w:rPr>
        <w:fldChar w:fldCharType="begin"/>
      </w:r>
      <w:r>
        <w:rPr>
          <w:rFonts w:ascii="宋体" w:hAnsi="宋体" w:cs="宋体"/>
          <w:color w:val="000000"/>
          <w:szCs w:val="21"/>
          <w:u w:val="single"/>
        </w:rPr>
        <w:instrText xml:space="preserve"> </w:instrText>
      </w:r>
      <w:r>
        <w:rPr>
          <w:rFonts w:hint="eastAsia" w:ascii="宋体" w:hAnsi="宋体" w:cs="宋体"/>
          <w:color w:val="000000"/>
          <w:szCs w:val="21"/>
          <w:u w:val="single"/>
        </w:rPr>
        <w:instrText xml:space="preserve">= 3 \* GB3</w:instrText>
      </w:r>
      <w:r>
        <w:rPr>
          <w:rFonts w:ascii="宋体" w:hAnsi="宋体" w:cs="宋体"/>
          <w:color w:val="000000"/>
          <w:szCs w:val="21"/>
          <w:u w:val="single"/>
        </w:rPr>
        <w:instrText xml:space="preserve"> </w:instrText>
      </w:r>
      <w:r>
        <w:rPr>
          <w:rFonts w:ascii="宋体" w:hAnsi="宋体" w:cs="宋体"/>
          <w:color w:val="000000"/>
          <w:szCs w:val="21"/>
          <w:u w:val="single"/>
        </w:rPr>
        <w:fldChar w:fldCharType="separate"/>
      </w:r>
      <w:r>
        <w:rPr>
          <w:rFonts w:hint="eastAsia" w:ascii="宋体" w:hAnsi="宋体" w:cs="宋体"/>
          <w:color w:val="000000"/>
          <w:szCs w:val="21"/>
          <w:u w:val="single"/>
        </w:rPr>
        <w:t>③</w:t>
      </w:r>
      <w:r>
        <w:rPr>
          <w:rFonts w:ascii="宋体" w:hAnsi="宋体" w:cs="宋体"/>
          <w:color w:val="000000"/>
          <w:szCs w:val="21"/>
          <w:u w:val="single"/>
        </w:rPr>
        <w:fldChar w:fldCharType="end"/>
      </w:r>
      <w:r>
        <w:rPr>
          <w:rFonts w:hint="eastAsia" w:ascii="宋体" w:hAnsi="宋体" w:cs="宋体"/>
          <w:color w:val="000000"/>
          <w:szCs w:val="21"/>
          <w:u w:val="single"/>
        </w:rPr>
        <w:t>承包人负责采取有效措施对已完成工程成品的保护，费用由承包人承担。保护期间发生的损坏承包人自费予以修理。损坏其他单位所承担的施工内容，由承包人负责赔偿，并承担修复费用。</w:t>
      </w:r>
      <w:r>
        <w:rPr>
          <w:rFonts w:ascii="宋体" w:hAnsi="宋体" w:cs="宋体"/>
          <w:color w:val="000000"/>
          <w:szCs w:val="21"/>
          <w:u w:val="single"/>
        </w:rPr>
        <w:fldChar w:fldCharType="begin"/>
      </w:r>
      <w:r>
        <w:rPr>
          <w:rFonts w:ascii="宋体" w:hAnsi="宋体" w:cs="宋体"/>
          <w:color w:val="000000"/>
          <w:szCs w:val="21"/>
          <w:u w:val="single"/>
        </w:rPr>
        <w:instrText xml:space="preserve"> </w:instrText>
      </w:r>
      <w:r>
        <w:rPr>
          <w:rFonts w:hint="eastAsia" w:ascii="宋体" w:hAnsi="宋体" w:cs="宋体"/>
          <w:color w:val="000000"/>
          <w:szCs w:val="21"/>
          <w:u w:val="single"/>
        </w:rPr>
        <w:instrText xml:space="preserve">= 4 \* GB3</w:instrText>
      </w:r>
      <w:r>
        <w:rPr>
          <w:rFonts w:ascii="宋体" w:hAnsi="宋体" w:cs="宋体"/>
          <w:color w:val="000000"/>
          <w:szCs w:val="21"/>
          <w:u w:val="single"/>
        </w:rPr>
        <w:instrText xml:space="preserve"> </w:instrText>
      </w:r>
      <w:r>
        <w:rPr>
          <w:rFonts w:ascii="宋体" w:hAnsi="宋体" w:cs="宋体"/>
          <w:color w:val="000000"/>
          <w:szCs w:val="21"/>
          <w:u w:val="single"/>
        </w:rPr>
        <w:fldChar w:fldCharType="separate"/>
      </w:r>
      <w:r>
        <w:rPr>
          <w:rFonts w:hint="eastAsia" w:ascii="宋体" w:hAnsi="宋体" w:cs="宋体"/>
          <w:color w:val="000000"/>
          <w:szCs w:val="21"/>
          <w:u w:val="single"/>
        </w:rPr>
        <w:t>④</w:t>
      </w:r>
      <w:r>
        <w:rPr>
          <w:rFonts w:ascii="宋体" w:hAnsi="宋体" w:cs="宋体"/>
          <w:color w:val="000000"/>
          <w:szCs w:val="21"/>
          <w:u w:val="single"/>
        </w:rPr>
        <w:fldChar w:fldCharType="end"/>
      </w:r>
      <w:r>
        <w:rPr>
          <w:rFonts w:hint="eastAsia" w:ascii="宋体" w:hAnsi="宋体" w:cs="宋体"/>
          <w:color w:val="000000"/>
          <w:szCs w:val="21"/>
          <w:u w:val="single"/>
        </w:rPr>
        <w:t>承包人按规定做好施工场地周围地下管线和邻近建筑物的保护。</w:t>
      </w:r>
      <w:r>
        <w:rPr>
          <w:rFonts w:hint="eastAsia" w:ascii="宋体" w:hAnsi="宋体" w:cs="宋体"/>
          <w:color w:val="000000"/>
          <w:szCs w:val="21"/>
          <w:u w:val="single"/>
        </w:rPr>
        <w:fldChar w:fldCharType="begin"/>
      </w:r>
      <w:r>
        <w:rPr>
          <w:rFonts w:hint="eastAsia" w:ascii="宋体" w:hAnsi="宋体" w:cs="宋体"/>
          <w:color w:val="000000"/>
          <w:szCs w:val="21"/>
          <w:u w:val="single"/>
        </w:rPr>
        <w:instrText xml:space="preserve"> = 5 \* GB3 </w:instrText>
      </w:r>
      <w:r>
        <w:rPr>
          <w:rFonts w:hint="eastAsia" w:ascii="宋体" w:hAnsi="宋体" w:cs="宋体"/>
          <w:color w:val="000000"/>
          <w:szCs w:val="21"/>
          <w:u w:val="single"/>
        </w:rPr>
        <w:fldChar w:fldCharType="separate"/>
      </w:r>
      <w:r>
        <w:rPr>
          <w:rFonts w:hint="eastAsia" w:ascii="宋体" w:hAnsi="宋体" w:cs="宋体"/>
          <w:color w:val="000000"/>
          <w:szCs w:val="21"/>
          <w:u w:val="single"/>
        </w:rPr>
        <w:t>⑤</w:t>
      </w:r>
      <w:r>
        <w:rPr>
          <w:rFonts w:hint="eastAsia" w:ascii="宋体" w:hAnsi="宋体" w:cs="宋体"/>
          <w:color w:val="000000"/>
          <w:szCs w:val="21"/>
          <w:u w:val="single"/>
        </w:rPr>
        <w:fldChar w:fldCharType="end"/>
      </w:r>
      <w:r>
        <w:rPr>
          <w:rFonts w:hint="eastAsia" w:ascii="宋体" w:hAnsi="宋体" w:cs="宋体"/>
          <w:color w:val="000000"/>
          <w:szCs w:val="21"/>
          <w:u w:val="single"/>
        </w:rPr>
        <w:t>其安全文明施工费已经含在合同价款（即中标价）内。</w:t>
      </w:r>
    </w:p>
    <w:p>
      <w:pPr>
        <w:spacing w:line="360" w:lineRule="auto"/>
        <w:ind w:firstLine="480" w:firstLineChars="200"/>
        <w:jc w:val="left"/>
        <w:rPr>
          <w:rFonts w:hint="eastAsia" w:ascii="宋体" w:hAnsi="宋体" w:cs="宋体"/>
          <w:szCs w:val="21"/>
        </w:rPr>
      </w:pPr>
      <w:r>
        <w:rPr>
          <w:rFonts w:hint="eastAsia" w:ascii="宋体" w:hAnsi="宋体" w:cs="宋体"/>
          <w:szCs w:val="21"/>
        </w:rPr>
        <w:t>6.1.2 关于治安保卫的特别约定：</w:t>
      </w:r>
      <w:r>
        <w:rPr>
          <w:rFonts w:hint="eastAsia" w:ascii="宋体" w:hAnsi="宋体" w:cs="宋体"/>
          <w:szCs w:val="21"/>
          <w:u w:val="single"/>
        </w:rPr>
        <w:t xml:space="preserve">  </w:t>
      </w:r>
      <w:r>
        <w:rPr>
          <w:rFonts w:hint="eastAsia" w:ascii="宋体" w:hAnsi="宋体" w:cs="宋体"/>
          <w:color w:val="000000"/>
          <w:szCs w:val="21"/>
          <w:u w:val="single"/>
        </w:rPr>
        <w:t xml:space="preserve">执行通用条款   </w:t>
      </w:r>
      <w:r>
        <w:rPr>
          <w:rFonts w:hint="eastAsia" w:ascii="宋体" w:hAnsi="宋体" w:cs="宋体"/>
          <w:szCs w:val="21"/>
        </w:rPr>
        <w:t>。</w:t>
      </w:r>
    </w:p>
    <w:p>
      <w:pPr>
        <w:spacing w:line="360" w:lineRule="auto"/>
        <w:ind w:firstLine="480" w:firstLineChars="200"/>
        <w:jc w:val="left"/>
        <w:rPr>
          <w:rFonts w:hint="eastAsia" w:ascii="宋体" w:hAnsi="宋体" w:cs="宋体"/>
          <w:szCs w:val="21"/>
        </w:rPr>
      </w:pPr>
      <w:r>
        <w:rPr>
          <w:rFonts w:hint="eastAsia" w:ascii="宋体" w:hAnsi="宋体" w:cs="宋体"/>
          <w:szCs w:val="21"/>
        </w:rPr>
        <w:t>关于编制施工场地治安管理计划的约定：</w:t>
      </w:r>
      <w:r>
        <w:rPr>
          <w:rFonts w:hint="eastAsia" w:ascii="宋体" w:hAnsi="宋体" w:cs="宋体"/>
          <w:szCs w:val="21"/>
          <w:u w:val="single"/>
        </w:rPr>
        <w:t xml:space="preserve"> </w:t>
      </w:r>
      <w:r>
        <w:rPr>
          <w:rFonts w:hint="eastAsia" w:ascii="宋体" w:hAnsi="宋体" w:cs="宋体"/>
          <w:color w:val="000000"/>
          <w:szCs w:val="21"/>
          <w:u w:val="single"/>
        </w:rPr>
        <w:t xml:space="preserve"> 开工通知载明的开工日期7天前提交施工场地治安管理计划</w:t>
      </w:r>
      <w:r>
        <w:rPr>
          <w:rFonts w:hint="eastAsia" w:ascii="宋体" w:hAnsi="宋体" w:cs="宋体"/>
          <w:szCs w:val="21"/>
          <w:u w:val="single"/>
        </w:rPr>
        <w:t xml:space="preserve">  </w:t>
      </w:r>
      <w:r>
        <w:rPr>
          <w:rFonts w:hint="eastAsia" w:ascii="宋体" w:hAnsi="宋体" w:cs="宋体"/>
          <w:szCs w:val="21"/>
        </w:rPr>
        <w:t>。</w:t>
      </w:r>
    </w:p>
    <w:p>
      <w:pPr>
        <w:spacing w:line="360" w:lineRule="auto"/>
        <w:ind w:firstLine="480" w:firstLineChars="200"/>
        <w:jc w:val="left"/>
        <w:rPr>
          <w:rFonts w:hint="eastAsia" w:ascii="宋体" w:hAnsi="宋体" w:cs="宋体"/>
          <w:szCs w:val="21"/>
        </w:rPr>
      </w:pPr>
      <w:r>
        <w:rPr>
          <w:rFonts w:hint="eastAsia" w:ascii="宋体" w:hAnsi="宋体" w:cs="宋体"/>
          <w:szCs w:val="21"/>
        </w:rPr>
        <w:t>6.1.3 文明施工</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szCs w:val="21"/>
        </w:rPr>
        <w:t>合同当事人对文明施工的要求：</w:t>
      </w:r>
      <w:r>
        <w:rPr>
          <w:rFonts w:hint="eastAsia" w:ascii="宋体" w:hAnsi="宋体" w:cs="宋体"/>
          <w:szCs w:val="21"/>
          <w:u w:val="single"/>
        </w:rPr>
        <w:t xml:space="preserve"> </w:t>
      </w:r>
      <w:r>
        <w:rPr>
          <w:rFonts w:hint="eastAsia" w:ascii="宋体" w:hAnsi="宋体" w:cs="宋体"/>
          <w:color w:val="000000"/>
          <w:szCs w:val="21"/>
          <w:u w:val="single"/>
        </w:rPr>
        <w:t>符合徐州市有关部门规定的标准化施工现场要求，同时应满足市政、市容等相关主管部门的有关规定  。</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color w:val="000000"/>
          <w:szCs w:val="21"/>
          <w:u w:val="single"/>
        </w:rPr>
        <w:t>按照《徐州市市区工地扬尘污染防治管理规范》的要求，制定并落实扬尘污染防治措施；开工前15日内向项目所在地环境保护行政主管部门进行排污申报；道路施工工地一律实行封闭施工、施工便道硬化、防尘网覆盖、定时洒水等控制扬尘污染措施；扬尘污染防治设施应当保持完好、正常运行，不得擅自拆除和闲置；确需拆除和闲置的，应当报经环境保护行政主管部门批准；拆除、开挖后的建筑垃圾必须当日清除，并且覆盖运输，如因建筑垃圾未及时清理或运输不当，造成工地周边扬尘及其他给发包人带来不利影响的事件，每查实一次向发包人支付3000元违约金；造成损失的，由承包人承担。</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color w:val="000000"/>
          <w:szCs w:val="21"/>
          <w:u w:val="single"/>
        </w:rPr>
        <w:t>承包人应负责修建、维修、养护和管理施工所需的临时道路和交通设施，并承担相应费用；承包人修建的临时道路和交通设施应免费提供给发包人、监理人和其他承包人使用。</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color w:val="000000"/>
          <w:szCs w:val="21"/>
          <w:u w:val="single"/>
        </w:rPr>
        <w:t>本工程位于市区，承包人必须充分考虑道路施工涉及的地方关系、交通协调等情况，及时与交通、公安部门协商，采取足够的交通疏导措施，保持施工期间交通通行，不得全封闭交通，并按要求设置围挡和安全标识；制定运输计划时，应充分考虑现有道路承运能力，避开高峰时段；施工机械设备不得停放在通行道路上。</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color w:val="000000"/>
          <w:szCs w:val="21"/>
          <w:u w:val="single"/>
        </w:rPr>
        <w:t>本工程要求在施工现场出、入口位置安装在线视频监控，包括视频设备的安装、调试、维护、平台租用及购买费用由承包人自理，包含在合同价中。</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color w:val="000000"/>
          <w:szCs w:val="21"/>
          <w:u w:val="single"/>
        </w:rPr>
        <w:t>承包人不得以现场增加投入、赶工等借口拖延工期或申请追加合同金额，否则视为违约。</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color w:val="000000"/>
          <w:szCs w:val="21"/>
          <w:u w:val="single"/>
        </w:rPr>
        <w:t>交工后一周内彻底清洁完毕撤离现场。</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szCs w:val="21"/>
        </w:rPr>
        <w:t>6.1.6 关于安全文明施工费支付比例和支付期限的约定：</w:t>
      </w:r>
      <w:r>
        <w:rPr>
          <w:rFonts w:hint="eastAsia" w:ascii="宋体" w:hAnsi="宋体" w:cs="宋体"/>
          <w:color w:val="000000"/>
          <w:szCs w:val="21"/>
          <w:u w:val="single"/>
        </w:rPr>
        <w:t xml:space="preserve"> 合同价款中已含，与合同价款同期支付。</w:t>
      </w:r>
    </w:p>
    <w:bookmarkEnd w:id="2548"/>
    <w:bookmarkEnd w:id="2549"/>
    <w:bookmarkEnd w:id="2550"/>
    <w:bookmarkEnd w:id="2551"/>
    <w:bookmarkEnd w:id="2552"/>
    <w:bookmarkEnd w:id="2553"/>
    <w:bookmarkEnd w:id="2554"/>
    <w:p>
      <w:pPr>
        <w:pStyle w:val="6"/>
        <w:spacing w:before="120" w:after="120"/>
        <w:rPr>
          <w:rFonts w:hint="eastAsia" w:ascii="宋体" w:hAnsi="宋体" w:cs="宋体"/>
          <w:b w:val="0"/>
          <w:color w:val="000000"/>
          <w:szCs w:val="21"/>
        </w:rPr>
      </w:pPr>
      <w:bookmarkStart w:id="2556" w:name="_Toc351203639"/>
      <w:r>
        <w:rPr>
          <w:rFonts w:hint="eastAsia" w:ascii="宋体" w:hAnsi="宋体" w:cs="宋体"/>
          <w:b w:val="0"/>
          <w:color w:val="000000"/>
          <w:szCs w:val="21"/>
        </w:rPr>
        <w:t>7. 工期和进度</w:t>
      </w:r>
      <w:bookmarkEnd w:id="2556"/>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7.1 施工组织设计</w:t>
      </w:r>
    </w:p>
    <w:p>
      <w:pPr>
        <w:autoSpaceDE w:val="0"/>
        <w:autoSpaceDN w:val="0"/>
        <w:adjustRightInd w:val="0"/>
        <w:spacing w:line="360" w:lineRule="auto"/>
        <w:ind w:firstLine="480" w:firstLineChars="200"/>
        <w:jc w:val="left"/>
        <w:rPr>
          <w:rFonts w:hint="eastAsia" w:ascii="宋体" w:hAnsi="宋体" w:cs="宋体"/>
          <w:color w:val="000000"/>
          <w:szCs w:val="21"/>
          <w:u w:val="single"/>
        </w:rPr>
      </w:pPr>
      <w:r>
        <w:rPr>
          <w:rFonts w:hint="eastAsia" w:ascii="宋体" w:hAnsi="宋体" w:cs="宋体"/>
          <w:szCs w:val="21"/>
        </w:rPr>
        <w:t xml:space="preserve">7.1.1 </w:t>
      </w:r>
      <w:r>
        <w:rPr>
          <w:rFonts w:hint="eastAsia" w:ascii="宋体" w:hAnsi="宋体" w:cs="宋体"/>
          <w:color w:val="000000"/>
          <w:szCs w:val="21"/>
        </w:rPr>
        <w:t>合</w:t>
      </w:r>
      <w:r>
        <w:rPr>
          <w:rFonts w:hint="eastAsia" w:ascii="宋体" w:hAnsi="宋体" w:cs="宋体"/>
          <w:color w:val="000000"/>
          <w:kern w:val="0"/>
          <w:szCs w:val="21"/>
        </w:rPr>
        <w:t>同当事人约定的施工组织设计应包括的其他内容：</w:t>
      </w:r>
      <w:r>
        <w:rPr>
          <w:rFonts w:hint="eastAsia" w:ascii="宋体" w:hAnsi="宋体" w:cs="宋体"/>
          <w:szCs w:val="21"/>
          <w:u w:val="single"/>
        </w:rPr>
        <w:t xml:space="preserve"> </w:t>
      </w:r>
      <w:r>
        <w:rPr>
          <w:rFonts w:hint="eastAsia" w:ascii="宋体" w:hAnsi="宋体" w:cs="宋体"/>
          <w:color w:val="000000"/>
          <w:szCs w:val="21"/>
          <w:u w:val="single"/>
        </w:rPr>
        <w:t>执行通用条款 。</w:t>
      </w:r>
    </w:p>
    <w:p>
      <w:pPr>
        <w:autoSpaceDE w:val="0"/>
        <w:autoSpaceDN w:val="0"/>
        <w:adjustRightInd w:val="0"/>
        <w:spacing w:line="360" w:lineRule="auto"/>
        <w:ind w:firstLine="480" w:firstLineChars="200"/>
        <w:jc w:val="left"/>
        <w:rPr>
          <w:rFonts w:hint="eastAsia" w:ascii="宋体" w:hAnsi="宋体" w:cs="宋体"/>
          <w:color w:val="000000"/>
          <w:kern w:val="0"/>
          <w:szCs w:val="21"/>
        </w:rPr>
      </w:pPr>
      <w:r>
        <w:rPr>
          <w:rFonts w:hint="eastAsia" w:ascii="宋体" w:hAnsi="宋体" w:cs="宋体"/>
          <w:szCs w:val="21"/>
        </w:rPr>
        <w:t>7.1.2</w:t>
      </w:r>
      <w:r>
        <w:rPr>
          <w:rFonts w:hint="eastAsia" w:ascii="宋体" w:hAnsi="宋体" w:cs="宋体"/>
          <w:color w:val="000000"/>
          <w:szCs w:val="21"/>
        </w:rPr>
        <w:t xml:space="preserve"> </w:t>
      </w:r>
      <w:r>
        <w:rPr>
          <w:rFonts w:hint="eastAsia" w:ascii="宋体" w:hAnsi="宋体" w:cs="宋体"/>
          <w:color w:val="000000"/>
          <w:kern w:val="0"/>
          <w:szCs w:val="21"/>
        </w:rPr>
        <w:t>施工组织设计的提交和修改</w:t>
      </w:r>
    </w:p>
    <w:p>
      <w:pPr>
        <w:autoSpaceDE w:val="0"/>
        <w:autoSpaceDN w:val="0"/>
        <w:adjustRightInd w:val="0"/>
        <w:spacing w:line="360" w:lineRule="auto"/>
        <w:ind w:firstLine="480" w:firstLineChars="200"/>
        <w:jc w:val="left"/>
        <w:rPr>
          <w:rFonts w:hint="eastAsia" w:ascii="宋体" w:hAnsi="宋体" w:cs="宋体"/>
          <w:color w:val="000000"/>
          <w:szCs w:val="21"/>
          <w:u w:val="single"/>
        </w:rPr>
      </w:pPr>
      <w:r>
        <w:rPr>
          <w:rFonts w:hint="eastAsia" w:ascii="宋体" w:hAnsi="宋体" w:cs="宋体"/>
          <w:color w:val="000000"/>
          <w:kern w:val="0"/>
          <w:szCs w:val="21"/>
        </w:rPr>
        <w:t>承包人提交详细施工组织设计的期限的约定：</w:t>
      </w:r>
      <w:r>
        <w:rPr>
          <w:rFonts w:hint="eastAsia" w:ascii="宋体" w:hAnsi="宋体" w:cs="宋体"/>
          <w:szCs w:val="21"/>
          <w:u w:val="single"/>
        </w:rPr>
        <w:t xml:space="preserve"> </w:t>
      </w:r>
      <w:r>
        <w:rPr>
          <w:rFonts w:hint="eastAsia" w:ascii="宋体" w:hAnsi="宋体" w:cs="宋体"/>
          <w:color w:val="000000"/>
          <w:szCs w:val="21"/>
          <w:u w:val="single"/>
        </w:rPr>
        <w:t>开工通知载明的开工日期7天前。</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发包人和监理人在收到详细的施工组织设计后确认或提出修改意见的期限：</w:t>
      </w:r>
      <w:r>
        <w:rPr>
          <w:rFonts w:hint="eastAsia" w:ascii="宋体" w:hAnsi="宋体" w:cs="宋体"/>
          <w:szCs w:val="21"/>
          <w:u w:val="single"/>
        </w:rPr>
        <w:t xml:space="preserve">  </w:t>
      </w:r>
      <w:r>
        <w:rPr>
          <w:rFonts w:hint="eastAsia" w:ascii="宋体" w:hAnsi="宋体" w:cs="宋体"/>
          <w:color w:val="000000"/>
          <w:szCs w:val="21"/>
          <w:u w:val="single"/>
        </w:rPr>
        <w:t xml:space="preserve">收到后7天内  </w:t>
      </w:r>
      <w:r>
        <w:rPr>
          <w:rFonts w:hint="eastAsia" w:ascii="宋体" w:hAnsi="宋体" w:cs="宋体"/>
          <w:szCs w:val="21"/>
        </w:rPr>
        <w:t>。</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7</w:t>
      </w:r>
      <w:bookmarkStart w:id="2557" w:name="_Toc312678005"/>
      <w:bookmarkStart w:id="2558" w:name="_Toc300934966"/>
      <w:bookmarkStart w:id="2559" w:name="_Toc304295541"/>
      <w:bookmarkStart w:id="2560" w:name="_Toc303539123"/>
      <w:bookmarkStart w:id="2561" w:name="_Toc297123514"/>
      <w:bookmarkStart w:id="2562" w:name="_Toc312677479"/>
      <w:bookmarkStart w:id="2563" w:name="_Toc297216173"/>
      <w:r>
        <w:rPr>
          <w:rFonts w:hint="eastAsia" w:ascii="宋体" w:hAnsi="宋体" w:cs="宋体"/>
          <w:color w:val="000000"/>
          <w:szCs w:val="21"/>
        </w:rPr>
        <w:t>.2 施工进度计划</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7.2.2 施工进度计划的修订</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color w:val="000000"/>
          <w:szCs w:val="21"/>
        </w:rPr>
        <w:t>发包人和监理人在收到修订的施工进度计划后确认或提出修改意见的期限：</w:t>
      </w:r>
      <w:r>
        <w:rPr>
          <w:rFonts w:hint="eastAsia" w:ascii="宋体" w:hAnsi="宋体" w:cs="宋体"/>
          <w:szCs w:val="21"/>
          <w:u w:val="single"/>
        </w:rPr>
        <w:t xml:space="preserve"> </w:t>
      </w:r>
      <w:r>
        <w:rPr>
          <w:rFonts w:hint="eastAsia" w:ascii="宋体" w:hAnsi="宋体" w:cs="宋体"/>
          <w:color w:val="000000"/>
          <w:szCs w:val="21"/>
          <w:u w:val="single"/>
        </w:rPr>
        <w:t xml:space="preserve">收到后7天内。 </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u w:val="single"/>
        </w:rPr>
        <w:t>施工期间，承包人每月25日前向监理工程师报送下月的“月度工程进度计划表”，经监理工程师审核和发包人代表确认后，应于3日内返回承包人；“月度工程进度计划表”如需修改时，应于当日发回承包人修改，承包人须于次日报送修改稿。</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7.3 开工</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7.3.1 开工准备</w:t>
      </w:r>
    </w:p>
    <w:p>
      <w:pPr>
        <w:spacing w:line="360" w:lineRule="auto"/>
        <w:ind w:firstLine="645"/>
        <w:jc w:val="left"/>
        <w:rPr>
          <w:rFonts w:hint="eastAsia" w:ascii="宋体" w:hAnsi="宋体" w:cs="宋体"/>
          <w:szCs w:val="21"/>
          <w:u w:val="single"/>
        </w:rPr>
      </w:pPr>
      <w:r>
        <w:rPr>
          <w:rFonts w:hint="eastAsia" w:ascii="宋体" w:hAnsi="宋体" w:cs="宋体"/>
          <w:color w:val="000000"/>
          <w:szCs w:val="21"/>
        </w:rPr>
        <w:t>关于承包人提交</w:t>
      </w:r>
      <w:r>
        <w:rPr>
          <w:rFonts w:hint="eastAsia" w:ascii="宋体" w:hAnsi="宋体" w:cs="宋体"/>
          <w:color w:val="000000"/>
          <w:kern w:val="0"/>
          <w:szCs w:val="21"/>
        </w:rPr>
        <w:t>工程开工报审表的期限：</w:t>
      </w:r>
      <w:r>
        <w:rPr>
          <w:rFonts w:hint="eastAsia" w:ascii="宋体" w:hAnsi="宋体" w:cs="宋体"/>
          <w:szCs w:val="21"/>
          <w:u w:val="single"/>
        </w:rPr>
        <w:t xml:space="preserve"> </w:t>
      </w:r>
      <w:r>
        <w:rPr>
          <w:rFonts w:hint="eastAsia" w:ascii="宋体" w:hAnsi="宋体" w:cs="宋体"/>
          <w:color w:val="000000"/>
          <w:szCs w:val="21"/>
          <w:u w:val="single"/>
        </w:rPr>
        <w:t>合同签订后、开工前。</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关于发包人应完成的其他开工准备工作及期限：</w:t>
      </w:r>
      <w:r>
        <w:rPr>
          <w:rFonts w:hint="eastAsia" w:ascii="宋体" w:hAnsi="宋体" w:cs="宋体"/>
          <w:szCs w:val="21"/>
          <w:u w:val="single"/>
        </w:rPr>
        <w:t xml:space="preserve"> </w:t>
      </w:r>
      <w:r>
        <w:rPr>
          <w:rFonts w:hint="eastAsia" w:ascii="宋体" w:hAnsi="宋体" w:cs="宋体"/>
          <w:color w:val="000000"/>
          <w:szCs w:val="21"/>
          <w:u w:val="single"/>
        </w:rPr>
        <w:t xml:space="preserve">执行通用条款 </w:t>
      </w:r>
      <w:r>
        <w:rPr>
          <w:rFonts w:hint="eastAsia" w:ascii="宋体" w:hAnsi="宋体" w:cs="宋体"/>
          <w:szCs w:val="21"/>
        </w:rPr>
        <w:t>。</w:t>
      </w:r>
    </w:p>
    <w:p>
      <w:pPr>
        <w:spacing w:line="360" w:lineRule="auto"/>
        <w:ind w:firstLine="480" w:firstLineChars="200"/>
        <w:jc w:val="left"/>
        <w:rPr>
          <w:rFonts w:hint="eastAsia" w:ascii="宋体" w:hAnsi="宋体" w:cs="宋体"/>
          <w:szCs w:val="21"/>
        </w:rPr>
      </w:pPr>
      <w:r>
        <w:rPr>
          <w:rFonts w:hint="eastAsia" w:ascii="宋体" w:hAnsi="宋体" w:cs="宋体"/>
          <w:color w:val="000000"/>
          <w:szCs w:val="21"/>
        </w:rPr>
        <w:t>关于承包人应完成的其他开工准备工作及期限：</w:t>
      </w:r>
      <w:r>
        <w:rPr>
          <w:rFonts w:hint="eastAsia" w:ascii="宋体" w:hAnsi="宋体" w:cs="宋体"/>
          <w:szCs w:val="21"/>
          <w:u w:val="single"/>
        </w:rPr>
        <w:t xml:space="preserve">  </w:t>
      </w:r>
      <w:r>
        <w:rPr>
          <w:rFonts w:hint="eastAsia" w:ascii="宋体" w:hAnsi="宋体" w:cs="宋体"/>
          <w:color w:val="000000"/>
          <w:szCs w:val="21"/>
          <w:u w:val="single"/>
        </w:rPr>
        <w:t>执行通用条款</w:t>
      </w:r>
      <w:r>
        <w:rPr>
          <w:rFonts w:hint="eastAsia" w:ascii="宋体" w:hAnsi="宋体" w:cs="宋体"/>
          <w:szCs w:val="21"/>
          <w:u w:val="single"/>
        </w:rPr>
        <w:t xml:space="preserve"> </w:t>
      </w:r>
      <w:r>
        <w:rPr>
          <w:rFonts w:hint="eastAsia" w:ascii="宋体" w:hAnsi="宋体" w:cs="宋体"/>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7.3.2开工通知</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因发包人原因造成监理人未能在计划开工日期之日起</w:t>
      </w:r>
      <w:r>
        <w:rPr>
          <w:rFonts w:hint="eastAsia" w:ascii="宋体" w:hAnsi="宋体" w:cs="宋体"/>
          <w:szCs w:val="21"/>
          <w:u w:val="single"/>
        </w:rPr>
        <w:t xml:space="preserve"> 30 </w:t>
      </w:r>
      <w:r>
        <w:rPr>
          <w:rFonts w:hint="eastAsia" w:ascii="宋体" w:hAnsi="宋体" w:cs="宋体"/>
          <w:color w:val="000000"/>
          <w:szCs w:val="21"/>
        </w:rPr>
        <w:t>天内发出开工通知的，承包人有权提出价格调整要求，或者解除合同。</w:t>
      </w:r>
    </w:p>
    <w:bookmarkEnd w:id="2557"/>
    <w:bookmarkEnd w:id="2558"/>
    <w:bookmarkEnd w:id="2559"/>
    <w:bookmarkEnd w:id="2560"/>
    <w:bookmarkEnd w:id="2561"/>
    <w:bookmarkEnd w:id="2562"/>
    <w:bookmarkEnd w:id="2563"/>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7.4 测量放线</w:t>
      </w:r>
    </w:p>
    <w:p>
      <w:pPr>
        <w:spacing w:line="360" w:lineRule="auto"/>
        <w:ind w:firstLine="480" w:firstLineChars="200"/>
        <w:jc w:val="left"/>
        <w:rPr>
          <w:rFonts w:hint="eastAsia" w:ascii="宋体" w:hAnsi="宋体" w:cs="宋体"/>
          <w:szCs w:val="21"/>
          <w:u w:val="single"/>
        </w:rPr>
      </w:pPr>
      <w:r>
        <w:rPr>
          <w:rFonts w:hint="eastAsia" w:ascii="宋体" w:hAnsi="宋体" w:cs="宋体"/>
          <w:szCs w:val="21"/>
        </w:rPr>
        <w:t>7.4.1发包人通过监理人向承包人提供测量基准点、基准线和水准点及其书面资料的期限：</w:t>
      </w:r>
      <w:r>
        <w:rPr>
          <w:rFonts w:hint="eastAsia" w:ascii="宋体" w:hAnsi="宋体" w:cs="宋体"/>
          <w:szCs w:val="21"/>
          <w:u w:val="single"/>
        </w:rPr>
        <w:t xml:space="preserve">  </w:t>
      </w:r>
      <w:r>
        <w:rPr>
          <w:rFonts w:hint="eastAsia" w:ascii="宋体" w:hAnsi="宋体" w:cs="宋体"/>
          <w:color w:val="000000"/>
          <w:szCs w:val="21"/>
          <w:u w:val="single"/>
        </w:rPr>
        <w:t xml:space="preserve">执行通用条款 </w:t>
      </w:r>
      <w:r>
        <w:rPr>
          <w:rFonts w:hint="eastAsia" w:ascii="宋体" w:hAnsi="宋体" w:cs="宋体"/>
          <w:szCs w:val="21"/>
          <w:u w:val="single"/>
        </w:rPr>
        <w:t xml:space="preserve"> </w:t>
      </w:r>
      <w:r>
        <w:rPr>
          <w:rFonts w:hint="eastAsia" w:ascii="宋体" w:hAnsi="宋体" w:cs="宋体"/>
          <w:szCs w:val="21"/>
        </w:rPr>
        <w:t>。</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7</w:t>
      </w:r>
      <w:bookmarkStart w:id="2564" w:name="_Toc297216175"/>
      <w:bookmarkStart w:id="2565" w:name="_Toc312678010"/>
      <w:bookmarkStart w:id="2566" w:name="_Toc303539125"/>
      <w:bookmarkStart w:id="2567" w:name="_Toc304295546"/>
      <w:bookmarkStart w:id="2568" w:name="_Toc297123516"/>
      <w:bookmarkStart w:id="2569" w:name="_Toc312677484"/>
      <w:bookmarkStart w:id="2570" w:name="_Toc300934968"/>
      <w:r>
        <w:rPr>
          <w:rFonts w:hint="eastAsia" w:ascii="宋体" w:hAnsi="宋体" w:cs="宋体"/>
          <w:color w:val="000000"/>
          <w:szCs w:val="21"/>
        </w:rPr>
        <w:t>.5 工期延误</w:t>
      </w:r>
    </w:p>
    <w:bookmarkEnd w:id="2564"/>
    <w:bookmarkEnd w:id="2565"/>
    <w:bookmarkEnd w:id="2566"/>
    <w:bookmarkEnd w:id="2567"/>
    <w:bookmarkEnd w:id="2568"/>
    <w:bookmarkEnd w:id="2569"/>
    <w:bookmarkEnd w:id="2570"/>
    <w:p>
      <w:pPr>
        <w:spacing w:line="360" w:lineRule="auto"/>
        <w:ind w:firstLine="480" w:firstLineChars="200"/>
        <w:jc w:val="left"/>
        <w:rPr>
          <w:rFonts w:hint="eastAsia" w:ascii="宋体" w:hAnsi="宋体" w:cs="宋体"/>
          <w:szCs w:val="21"/>
        </w:rPr>
      </w:pPr>
      <w:r>
        <w:rPr>
          <w:rFonts w:hint="eastAsia" w:ascii="宋体" w:hAnsi="宋体" w:cs="宋体"/>
          <w:szCs w:val="21"/>
        </w:rPr>
        <w:t>7.5.1 因发包人原因导致工期延误</w:t>
      </w:r>
    </w:p>
    <w:p>
      <w:pPr>
        <w:spacing w:line="360" w:lineRule="auto"/>
        <w:ind w:firstLine="480" w:firstLineChars="200"/>
        <w:jc w:val="left"/>
        <w:rPr>
          <w:rFonts w:hint="eastAsia" w:ascii="宋体" w:hAnsi="宋体" w:cs="宋体"/>
          <w:szCs w:val="21"/>
        </w:rPr>
      </w:pPr>
      <w:r>
        <w:rPr>
          <w:rFonts w:hint="eastAsia" w:ascii="宋体" w:hAnsi="宋体" w:cs="宋体"/>
          <w:szCs w:val="21"/>
        </w:rPr>
        <w:t>因发包人原因导致工期延误的其他情形：</w:t>
      </w:r>
      <w:r>
        <w:rPr>
          <w:rFonts w:hint="eastAsia" w:ascii="宋体" w:hAnsi="宋体" w:cs="宋体"/>
          <w:szCs w:val="21"/>
          <w:u w:val="single"/>
        </w:rPr>
        <w:t xml:space="preserve">  </w:t>
      </w:r>
      <w:r>
        <w:rPr>
          <w:rFonts w:hint="eastAsia" w:ascii="宋体" w:hAnsi="宋体" w:cs="宋体"/>
          <w:color w:val="000000"/>
          <w:szCs w:val="21"/>
          <w:u w:val="single"/>
        </w:rPr>
        <w:t xml:space="preserve">执行通用条款 </w:t>
      </w:r>
      <w:r>
        <w:rPr>
          <w:rFonts w:hint="eastAsia" w:ascii="宋体" w:hAnsi="宋体" w:cs="宋体"/>
          <w:szCs w:val="21"/>
          <w:u w:val="single"/>
        </w:rPr>
        <w:t xml:space="preserve"> </w:t>
      </w:r>
      <w:r>
        <w:rPr>
          <w:rFonts w:hint="eastAsia" w:ascii="宋体" w:hAnsi="宋体" w:cs="宋体"/>
          <w:szCs w:val="21"/>
        </w:rPr>
        <w:t>。</w:t>
      </w:r>
    </w:p>
    <w:p>
      <w:pPr>
        <w:spacing w:line="360" w:lineRule="auto"/>
        <w:ind w:firstLine="480" w:firstLineChars="200"/>
        <w:jc w:val="left"/>
        <w:rPr>
          <w:rFonts w:hint="eastAsia" w:ascii="宋体" w:hAnsi="宋体" w:cs="宋体"/>
          <w:szCs w:val="21"/>
        </w:rPr>
      </w:pPr>
      <w:r>
        <w:rPr>
          <w:rFonts w:hint="eastAsia" w:ascii="宋体" w:hAnsi="宋体" w:cs="宋体"/>
          <w:szCs w:val="21"/>
        </w:rPr>
        <w:t>7</w:t>
      </w:r>
      <w:bookmarkStart w:id="2571" w:name="_Toc312677486"/>
      <w:bookmarkStart w:id="2572" w:name="_Toc318581169"/>
      <w:bookmarkStart w:id="2573" w:name="_Toc312678012"/>
      <w:bookmarkStart w:id="2574" w:name="_Toc303539127"/>
      <w:bookmarkStart w:id="2575" w:name="_Toc300934970"/>
      <w:bookmarkStart w:id="2576" w:name="_Toc304295548"/>
      <w:bookmarkStart w:id="2577" w:name="_Toc297123518"/>
      <w:bookmarkStart w:id="2578" w:name="_Toc297216177"/>
      <w:r>
        <w:rPr>
          <w:rFonts w:hint="eastAsia" w:ascii="宋体" w:hAnsi="宋体" w:cs="宋体"/>
          <w:szCs w:val="21"/>
        </w:rPr>
        <w:t>.5.2 因承包人原因导致工期延误</w:t>
      </w:r>
    </w:p>
    <w:bookmarkEnd w:id="2571"/>
    <w:bookmarkEnd w:id="2572"/>
    <w:bookmarkEnd w:id="2573"/>
    <w:p>
      <w:pPr>
        <w:spacing w:line="360" w:lineRule="auto"/>
        <w:ind w:firstLine="480" w:firstLineChars="200"/>
        <w:jc w:val="left"/>
        <w:rPr>
          <w:rFonts w:hint="eastAsia" w:ascii="宋体" w:hAnsi="宋体" w:cs="宋体"/>
          <w:szCs w:val="21"/>
          <w:u w:val="single"/>
        </w:rPr>
      </w:pPr>
      <w:r>
        <w:rPr>
          <w:rFonts w:hint="eastAsia" w:ascii="宋体" w:hAnsi="宋体" w:cs="宋体"/>
          <w:szCs w:val="21"/>
        </w:rPr>
        <w:t>因</w:t>
      </w:r>
      <w:bookmarkStart w:id="2579" w:name="_Toc312678013"/>
      <w:bookmarkStart w:id="2580" w:name="_Toc312677487"/>
      <w:bookmarkStart w:id="2581" w:name="_Toc318581170"/>
      <w:r>
        <w:rPr>
          <w:rFonts w:hint="eastAsia" w:ascii="宋体" w:hAnsi="宋体" w:cs="宋体"/>
          <w:szCs w:val="21"/>
        </w:rPr>
        <w:t>承包人原因造成工期延误，逾期竣工违约金的计算方法为：</w:t>
      </w:r>
    </w:p>
    <w:p>
      <w:pPr>
        <w:spacing w:line="360" w:lineRule="auto"/>
        <w:jc w:val="left"/>
        <w:rPr>
          <w:rFonts w:hint="eastAsia" w:ascii="宋体" w:hAnsi="宋体" w:cs="宋体"/>
          <w:szCs w:val="21"/>
        </w:rPr>
      </w:pPr>
      <w:r>
        <w:rPr>
          <w:rFonts w:hint="eastAsia" w:ascii="宋体" w:hAnsi="宋体" w:cs="宋体"/>
          <w:szCs w:val="21"/>
          <w:u w:val="single"/>
        </w:rPr>
        <w:t xml:space="preserve"> </w:t>
      </w:r>
      <w:r>
        <w:rPr>
          <w:rFonts w:hint="eastAsia" w:ascii="宋体" w:hAnsi="宋体" w:cs="宋体"/>
          <w:color w:val="000000"/>
          <w:szCs w:val="21"/>
          <w:u w:val="single"/>
        </w:rPr>
        <w:t xml:space="preserve">每延误一天，由承包人向发包人按3000元/天支付违约金 ，发包人有权采取任何补救措施来弥补该延误，由此增加的费用由承包人承担 </w:t>
      </w:r>
      <w:r>
        <w:rPr>
          <w:rFonts w:hint="eastAsia" w:ascii="宋体" w:hAnsi="宋体" w:cs="宋体"/>
          <w:szCs w:val="21"/>
        </w:rPr>
        <w:t>。</w:t>
      </w:r>
      <w:bookmarkEnd w:id="2574"/>
      <w:bookmarkEnd w:id="2575"/>
      <w:bookmarkEnd w:id="2576"/>
      <w:bookmarkEnd w:id="2577"/>
      <w:bookmarkEnd w:id="2578"/>
      <w:bookmarkEnd w:id="2579"/>
      <w:bookmarkEnd w:id="2580"/>
    </w:p>
    <w:bookmarkEnd w:id="2581"/>
    <w:p>
      <w:pPr>
        <w:spacing w:line="360" w:lineRule="auto"/>
        <w:ind w:firstLine="480" w:firstLineChars="200"/>
        <w:jc w:val="left"/>
        <w:rPr>
          <w:rFonts w:hint="eastAsia" w:ascii="宋体" w:hAnsi="宋体" w:cs="宋体"/>
          <w:szCs w:val="21"/>
        </w:rPr>
      </w:pPr>
      <w:r>
        <w:rPr>
          <w:rFonts w:hint="eastAsia" w:ascii="宋体" w:hAnsi="宋体" w:cs="宋体"/>
          <w:szCs w:val="21"/>
        </w:rPr>
        <w:t>因承包人原因造成工期延误，逾</w:t>
      </w:r>
      <w:bookmarkStart w:id="2582" w:name="_Toc318581171"/>
      <w:bookmarkStart w:id="2583" w:name="_Toc312678014"/>
      <w:r>
        <w:rPr>
          <w:rFonts w:hint="eastAsia" w:ascii="宋体" w:hAnsi="宋体" w:cs="宋体"/>
          <w:szCs w:val="21"/>
        </w:rPr>
        <w:t>期竣工违约金的上限：</w:t>
      </w:r>
      <w:r>
        <w:rPr>
          <w:rFonts w:hint="eastAsia" w:ascii="宋体" w:hAnsi="宋体" w:cs="宋体"/>
          <w:szCs w:val="21"/>
          <w:u w:val="single"/>
        </w:rPr>
        <w:t xml:space="preserve"> </w:t>
      </w:r>
      <w:r>
        <w:rPr>
          <w:rFonts w:hint="eastAsia" w:ascii="宋体" w:hAnsi="宋体" w:cs="宋体"/>
          <w:color w:val="000000"/>
          <w:szCs w:val="21"/>
          <w:u w:val="single"/>
        </w:rPr>
        <w:t>合同价款的2%</w:t>
      </w:r>
      <w:r>
        <w:rPr>
          <w:rFonts w:hint="eastAsia" w:ascii="宋体" w:hAnsi="宋体" w:cs="宋体"/>
          <w:szCs w:val="21"/>
          <w:u w:val="single"/>
        </w:rPr>
        <w:t xml:space="preserve">  </w:t>
      </w:r>
      <w:r>
        <w:rPr>
          <w:rFonts w:hint="eastAsia" w:ascii="宋体" w:hAnsi="宋体" w:cs="宋体"/>
          <w:szCs w:val="21"/>
        </w:rPr>
        <w:t>。</w:t>
      </w:r>
    </w:p>
    <w:bookmarkEnd w:id="2582"/>
    <w:bookmarkEnd w:id="2583"/>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7</w:t>
      </w:r>
      <w:bookmarkStart w:id="2584" w:name="_Toc304295549"/>
      <w:bookmarkStart w:id="2585" w:name="_Toc303539128"/>
      <w:bookmarkStart w:id="2586" w:name="_Toc297216178"/>
      <w:bookmarkStart w:id="2587" w:name="_Toc300934971"/>
      <w:bookmarkStart w:id="2588" w:name="_Toc312678015"/>
      <w:bookmarkStart w:id="2589" w:name="_Toc297123519"/>
      <w:r>
        <w:rPr>
          <w:rFonts w:hint="eastAsia" w:ascii="宋体" w:hAnsi="宋体" w:cs="宋体"/>
          <w:color w:val="000000"/>
          <w:szCs w:val="21"/>
        </w:rPr>
        <w:t>.6 不</w:t>
      </w:r>
      <w:bookmarkEnd w:id="2584"/>
      <w:bookmarkEnd w:id="2585"/>
      <w:bookmarkEnd w:id="2586"/>
      <w:bookmarkEnd w:id="2587"/>
      <w:bookmarkEnd w:id="2588"/>
      <w:bookmarkEnd w:id="2589"/>
      <w:r>
        <w:rPr>
          <w:rFonts w:hint="eastAsia" w:ascii="宋体" w:hAnsi="宋体" w:cs="宋体"/>
          <w:color w:val="000000"/>
          <w:szCs w:val="21"/>
        </w:rPr>
        <w:t>利物质条件</w:t>
      </w:r>
    </w:p>
    <w:p>
      <w:pPr>
        <w:spacing w:line="360" w:lineRule="auto"/>
        <w:ind w:firstLine="480" w:firstLineChars="200"/>
        <w:jc w:val="left"/>
        <w:rPr>
          <w:rFonts w:hint="eastAsia" w:ascii="宋体" w:hAnsi="宋体" w:cs="宋体"/>
          <w:szCs w:val="21"/>
        </w:rPr>
      </w:pPr>
      <w:bookmarkStart w:id="2590" w:name="_Toc297216179"/>
      <w:bookmarkStart w:id="2591" w:name="_Toc318581172"/>
      <w:bookmarkStart w:id="2592" w:name="_Toc304295550"/>
      <w:bookmarkStart w:id="2593" w:name="_Toc312678016"/>
      <w:bookmarkStart w:id="2594" w:name="_Toc303539129"/>
      <w:bookmarkStart w:id="2595" w:name="_Toc300934972"/>
      <w:bookmarkStart w:id="2596" w:name="_Toc297123520"/>
      <w:r>
        <w:rPr>
          <w:rFonts w:hint="eastAsia" w:ascii="宋体" w:hAnsi="宋体" w:cs="宋体"/>
          <w:szCs w:val="21"/>
        </w:rPr>
        <w:t>不利物质条件的其他情形和有关约定：</w:t>
      </w:r>
      <w:r>
        <w:rPr>
          <w:rFonts w:hint="eastAsia" w:ascii="宋体" w:hAnsi="宋体" w:cs="宋体"/>
          <w:szCs w:val="21"/>
          <w:u w:val="single"/>
        </w:rPr>
        <w:t xml:space="preserve">   </w:t>
      </w:r>
      <w:r>
        <w:rPr>
          <w:rFonts w:hint="eastAsia" w:ascii="宋体" w:hAnsi="宋体" w:cs="宋体"/>
          <w:color w:val="000000"/>
          <w:szCs w:val="21"/>
          <w:u w:val="single"/>
        </w:rPr>
        <w:t xml:space="preserve">执行通用条款 </w:t>
      </w:r>
      <w:r>
        <w:rPr>
          <w:rFonts w:hint="eastAsia" w:ascii="宋体" w:hAnsi="宋体" w:cs="宋体"/>
          <w:szCs w:val="21"/>
          <w:u w:val="single"/>
        </w:rPr>
        <w:t xml:space="preserve">  </w:t>
      </w:r>
      <w:r>
        <w:rPr>
          <w:rFonts w:hint="eastAsia" w:ascii="宋体" w:hAnsi="宋体" w:cs="宋体"/>
          <w:szCs w:val="21"/>
        </w:rPr>
        <w:t>。</w:t>
      </w:r>
    </w:p>
    <w:bookmarkEnd w:id="2590"/>
    <w:bookmarkEnd w:id="2591"/>
    <w:bookmarkEnd w:id="2592"/>
    <w:bookmarkEnd w:id="2593"/>
    <w:bookmarkEnd w:id="2594"/>
    <w:bookmarkEnd w:id="2595"/>
    <w:bookmarkEnd w:id="2596"/>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7</w:t>
      </w:r>
      <w:bookmarkStart w:id="2597" w:name="_Toc300934973"/>
      <w:bookmarkStart w:id="2598" w:name="_Toc297216180"/>
      <w:bookmarkStart w:id="2599" w:name="_Toc304295551"/>
      <w:bookmarkStart w:id="2600" w:name="_Toc297123521"/>
      <w:bookmarkStart w:id="2601" w:name="_Toc312678017"/>
      <w:bookmarkStart w:id="2602" w:name="_Toc303539130"/>
      <w:r>
        <w:rPr>
          <w:rFonts w:hint="eastAsia" w:ascii="宋体" w:hAnsi="宋体" w:cs="宋体"/>
          <w:color w:val="000000"/>
          <w:szCs w:val="21"/>
        </w:rPr>
        <w:t>.7异常恶劣的气候条件</w:t>
      </w:r>
    </w:p>
    <w:bookmarkEnd w:id="2597"/>
    <w:bookmarkEnd w:id="2598"/>
    <w:bookmarkEnd w:id="2599"/>
    <w:bookmarkEnd w:id="2600"/>
    <w:bookmarkEnd w:id="2601"/>
    <w:bookmarkEnd w:id="2602"/>
    <w:p>
      <w:pPr>
        <w:spacing w:line="360" w:lineRule="auto"/>
        <w:ind w:firstLine="480" w:firstLineChars="200"/>
        <w:jc w:val="left"/>
        <w:rPr>
          <w:rFonts w:hint="eastAsia" w:ascii="宋体" w:hAnsi="宋体" w:cs="宋体"/>
          <w:szCs w:val="21"/>
        </w:rPr>
      </w:pPr>
      <w:r>
        <w:rPr>
          <w:rFonts w:hint="eastAsia" w:ascii="宋体" w:hAnsi="宋体" w:cs="宋体"/>
          <w:szCs w:val="21"/>
        </w:rPr>
        <w:t>发包人和承包人同意以下情形视为异常恶劣的气候条件：</w:t>
      </w:r>
    </w:p>
    <w:p>
      <w:pPr>
        <w:spacing w:line="360" w:lineRule="auto"/>
        <w:ind w:firstLine="480" w:firstLineChars="200"/>
        <w:jc w:val="left"/>
        <w:rPr>
          <w:rFonts w:hint="eastAsia" w:ascii="宋体" w:hAnsi="宋体" w:cs="宋体"/>
          <w:szCs w:val="21"/>
        </w:rPr>
      </w:pPr>
      <w:r>
        <w:rPr>
          <w:rFonts w:hint="eastAsia" w:ascii="宋体" w:hAnsi="宋体" w:cs="宋体"/>
          <w:szCs w:val="21"/>
        </w:rPr>
        <w:t>（1）</w:t>
      </w:r>
      <w:r>
        <w:rPr>
          <w:rFonts w:hint="eastAsia" w:ascii="宋体" w:hAnsi="宋体" w:cs="宋体"/>
          <w:szCs w:val="21"/>
          <w:u w:val="single"/>
        </w:rPr>
        <w:t xml:space="preserve">     另行协商     </w:t>
      </w:r>
      <w:r>
        <w:rPr>
          <w:rFonts w:hint="eastAsia" w:ascii="宋体" w:hAnsi="宋体" w:cs="宋体"/>
          <w:szCs w:val="21"/>
        </w:rPr>
        <w:t>。</w:t>
      </w:r>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7.9 提前竣工的奖励</w:t>
      </w:r>
    </w:p>
    <w:p>
      <w:pPr>
        <w:spacing w:line="360" w:lineRule="auto"/>
        <w:ind w:firstLine="480" w:firstLineChars="200"/>
        <w:jc w:val="left"/>
        <w:rPr>
          <w:rFonts w:hint="eastAsia" w:ascii="宋体" w:hAnsi="宋体" w:cs="宋体"/>
          <w:szCs w:val="21"/>
        </w:rPr>
      </w:pPr>
      <w:r>
        <w:rPr>
          <w:rFonts w:hint="eastAsia" w:ascii="宋体" w:hAnsi="宋体" w:cs="宋体"/>
          <w:szCs w:val="21"/>
        </w:rPr>
        <w:t>7.9.2提前竣工的奖励：</w:t>
      </w:r>
      <w:r>
        <w:rPr>
          <w:rFonts w:hint="eastAsia" w:ascii="宋体" w:hAnsi="宋体" w:cs="宋体"/>
          <w:szCs w:val="21"/>
          <w:u w:val="single"/>
        </w:rPr>
        <w:t xml:space="preserve">   另行协商   </w:t>
      </w:r>
      <w:r>
        <w:rPr>
          <w:rFonts w:hint="eastAsia" w:ascii="宋体" w:hAnsi="宋体" w:cs="宋体"/>
          <w:szCs w:val="21"/>
        </w:rPr>
        <w:t>。</w:t>
      </w:r>
    </w:p>
    <w:p>
      <w:pPr>
        <w:pStyle w:val="6"/>
        <w:spacing w:before="120" w:after="120"/>
        <w:rPr>
          <w:rFonts w:hint="eastAsia" w:ascii="宋体" w:hAnsi="宋体" w:cs="宋体"/>
          <w:b w:val="0"/>
          <w:color w:val="000000"/>
          <w:szCs w:val="21"/>
        </w:rPr>
      </w:pPr>
      <w:bookmarkStart w:id="2603" w:name="_Toc351203640"/>
      <w:r>
        <w:rPr>
          <w:rFonts w:hint="eastAsia" w:ascii="宋体" w:hAnsi="宋体" w:cs="宋体"/>
          <w:b w:val="0"/>
          <w:color w:val="000000"/>
          <w:szCs w:val="21"/>
        </w:rPr>
        <w:t>8. 材料与设备</w:t>
      </w:r>
      <w:bookmarkEnd w:id="2603"/>
    </w:p>
    <w:bookmarkEnd w:id="2538"/>
    <w:bookmarkEnd w:id="2539"/>
    <w:bookmarkEnd w:id="2540"/>
    <w:bookmarkEnd w:id="2541"/>
    <w:bookmarkEnd w:id="2542"/>
    <w:bookmarkEnd w:id="2543"/>
    <w:bookmarkEnd w:id="2544"/>
    <w:bookmarkEnd w:id="2545"/>
    <w:bookmarkEnd w:id="2546"/>
    <w:bookmarkEnd w:id="2547"/>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8</w:t>
      </w:r>
      <w:bookmarkStart w:id="2604" w:name="_Toc296890995"/>
      <w:bookmarkStart w:id="2605" w:name="_Toc280868654"/>
      <w:bookmarkStart w:id="2606" w:name="_Toc292559877"/>
      <w:bookmarkStart w:id="2607" w:name="_Toc296503167"/>
      <w:bookmarkStart w:id="2608" w:name="_Toc296347166"/>
      <w:bookmarkStart w:id="2609" w:name="_Toc296944506"/>
      <w:bookmarkStart w:id="2610" w:name="_Toc292559372"/>
      <w:bookmarkStart w:id="2611" w:name="_Toc296891207"/>
      <w:bookmarkStart w:id="2612" w:name="_Toc297048353"/>
      <w:bookmarkStart w:id="2613" w:name="_Toc296346668"/>
      <w:bookmarkStart w:id="2614" w:name="_Toc297216186"/>
      <w:bookmarkStart w:id="2615" w:name="_Toc297123527"/>
      <w:bookmarkStart w:id="2616" w:name="_Toc297120467"/>
      <w:bookmarkStart w:id="2617" w:name="_Toc300934979"/>
      <w:bookmarkStart w:id="2618" w:name="_Toc303539136"/>
      <w:bookmarkStart w:id="2619" w:name="_Toc304295556"/>
      <w:bookmarkStart w:id="2620" w:name="_Toc312678019"/>
      <w:bookmarkStart w:id="2621" w:name="_Toc312677493"/>
      <w:bookmarkStart w:id="2622" w:name="_Toc280868655"/>
      <w:bookmarkStart w:id="2623" w:name="_Toc267251424"/>
      <w:bookmarkStart w:id="2624" w:name="_Toc280868656"/>
      <w:r>
        <w:rPr>
          <w:rFonts w:hint="eastAsia" w:ascii="宋体" w:hAnsi="宋体" w:cs="宋体"/>
          <w:color w:val="000000"/>
          <w:szCs w:val="21"/>
        </w:rPr>
        <w:t>.4材料与工程设备的保管与使用</w:t>
      </w:r>
    </w:p>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Pr>
        <w:spacing w:line="360" w:lineRule="auto"/>
        <w:ind w:firstLine="480" w:firstLineChars="200"/>
        <w:jc w:val="left"/>
        <w:rPr>
          <w:rFonts w:hint="eastAsia" w:ascii="宋体" w:hAnsi="宋体" w:cs="宋体"/>
          <w:szCs w:val="21"/>
        </w:rPr>
      </w:pPr>
      <w:r>
        <w:rPr>
          <w:rFonts w:hint="eastAsia" w:ascii="宋体" w:hAnsi="宋体" w:cs="宋体"/>
          <w:szCs w:val="21"/>
        </w:rPr>
        <w:t>8</w:t>
      </w:r>
      <w:bookmarkStart w:id="2625" w:name="_Toc292559878"/>
      <w:bookmarkStart w:id="2626" w:name="_Toc292559373"/>
      <w:bookmarkStart w:id="2627" w:name="_Toc318581173"/>
      <w:bookmarkStart w:id="2628" w:name="_Toc296346669"/>
      <w:bookmarkStart w:id="2629" w:name="_Toc296347167"/>
      <w:bookmarkStart w:id="2630" w:name="_Toc296890996"/>
      <w:bookmarkStart w:id="2631" w:name="_Toc296503168"/>
      <w:bookmarkStart w:id="2632" w:name="_Toc297048354"/>
      <w:bookmarkStart w:id="2633" w:name="_Toc296944507"/>
      <w:bookmarkStart w:id="2634" w:name="_Toc312677494"/>
      <w:bookmarkStart w:id="2635" w:name="_Toc312678020"/>
      <w:bookmarkStart w:id="2636" w:name="_Toc297123528"/>
      <w:bookmarkStart w:id="2637" w:name="_Toc296891208"/>
      <w:bookmarkStart w:id="2638" w:name="_Toc297120468"/>
      <w:bookmarkStart w:id="2639" w:name="_Toc300934980"/>
      <w:bookmarkStart w:id="2640" w:name="_Toc297216187"/>
      <w:bookmarkStart w:id="2641" w:name="_Toc304295557"/>
      <w:bookmarkStart w:id="2642" w:name="_Toc303539137"/>
      <w:r>
        <w:rPr>
          <w:rFonts w:hint="eastAsia" w:ascii="宋体" w:hAnsi="宋体" w:cs="宋体"/>
          <w:szCs w:val="21"/>
        </w:rPr>
        <w:t>.4.1发包人供应的材料设备的保管费用的承担：</w:t>
      </w:r>
      <w:r>
        <w:rPr>
          <w:rFonts w:hint="eastAsia" w:ascii="宋体" w:hAnsi="宋体" w:cs="宋体"/>
          <w:szCs w:val="21"/>
          <w:u w:val="single"/>
        </w:rPr>
        <w:t xml:space="preserve">  另行协商  </w:t>
      </w:r>
      <w:r>
        <w:rPr>
          <w:rFonts w:hint="eastAsia" w:ascii="宋体" w:hAnsi="宋体" w:cs="宋体"/>
          <w:szCs w:val="21"/>
        </w:rPr>
        <w:t>。</w:t>
      </w:r>
      <w:bookmarkEnd w:id="2625"/>
      <w:bookmarkEnd w:id="2626"/>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8.6 样品</w:t>
      </w:r>
    </w:p>
    <w:p>
      <w:pPr>
        <w:autoSpaceDE w:val="0"/>
        <w:autoSpaceDN w:val="0"/>
        <w:adjustRightInd w:val="0"/>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8.6.1</w:t>
      </w:r>
      <w:r>
        <w:rPr>
          <w:rFonts w:hint="eastAsia" w:ascii="宋体" w:hAnsi="宋体" w:cs="宋体"/>
          <w:color w:val="000000"/>
          <w:kern w:val="0"/>
          <w:szCs w:val="21"/>
        </w:rPr>
        <w:tab/>
      </w:r>
      <w:r>
        <w:rPr>
          <w:rFonts w:hint="eastAsia" w:ascii="宋体" w:hAnsi="宋体" w:cs="宋体"/>
          <w:color w:val="000000"/>
          <w:kern w:val="0"/>
          <w:szCs w:val="21"/>
        </w:rPr>
        <w:t>样品的报送与封存</w:t>
      </w:r>
    </w:p>
    <w:p>
      <w:pPr>
        <w:autoSpaceDE w:val="0"/>
        <w:autoSpaceDN w:val="0"/>
        <w:adjustRightInd w:val="0"/>
        <w:spacing w:line="360" w:lineRule="auto"/>
        <w:ind w:firstLine="480" w:firstLineChars="200"/>
        <w:jc w:val="left"/>
        <w:rPr>
          <w:rFonts w:hint="eastAsia" w:ascii="宋体" w:hAnsi="宋体" w:cs="宋体"/>
          <w:szCs w:val="21"/>
        </w:rPr>
      </w:pPr>
      <w:r>
        <w:rPr>
          <w:rFonts w:hint="eastAsia" w:ascii="宋体" w:hAnsi="宋体" w:cs="宋体"/>
          <w:color w:val="000000"/>
          <w:kern w:val="0"/>
          <w:szCs w:val="21"/>
        </w:rPr>
        <w:t>需要承包人报送样品的材料或工程设备，样品的种类、名称、规格、数量要求：</w:t>
      </w:r>
      <w:bookmarkStart w:id="2643" w:name="_Hlk535154118"/>
      <w:r>
        <w:rPr>
          <w:rFonts w:hint="eastAsia" w:ascii="宋体" w:hAnsi="宋体" w:cs="宋体"/>
          <w:kern w:val="0"/>
          <w:szCs w:val="21"/>
          <w:u w:val="single"/>
        </w:rPr>
        <w:t>本工程主要材料均需报送样品，</w:t>
      </w:r>
      <w:r>
        <w:rPr>
          <w:rFonts w:hint="eastAsia" w:ascii="宋体" w:hAnsi="宋体" w:cs="宋体"/>
          <w:szCs w:val="21"/>
          <w:u w:val="single"/>
        </w:rPr>
        <w:t xml:space="preserve">具体以监理通知为准 </w:t>
      </w:r>
      <w:r>
        <w:rPr>
          <w:rFonts w:hint="eastAsia" w:ascii="宋体" w:hAnsi="宋体" w:cs="宋体"/>
          <w:szCs w:val="21"/>
        </w:rPr>
        <w:t>。</w:t>
      </w:r>
    </w:p>
    <w:bookmarkEnd w:id="2643"/>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8.8 施工设备和临时设施</w:t>
      </w:r>
    </w:p>
    <w:p>
      <w:pPr>
        <w:autoSpaceDE w:val="0"/>
        <w:autoSpaceDN w:val="0"/>
        <w:adjustRightInd w:val="0"/>
        <w:spacing w:line="360" w:lineRule="auto"/>
        <w:ind w:firstLine="480" w:firstLineChars="200"/>
        <w:jc w:val="left"/>
        <w:rPr>
          <w:rFonts w:hint="eastAsia" w:ascii="宋体" w:hAnsi="宋体" w:cs="宋体"/>
          <w:szCs w:val="21"/>
        </w:rPr>
      </w:pPr>
      <w:r>
        <w:rPr>
          <w:rFonts w:hint="eastAsia" w:ascii="宋体" w:hAnsi="宋体" w:cs="宋体"/>
          <w:szCs w:val="21"/>
        </w:rPr>
        <w:t>8.8.1 承包人提供的施工设备和临时设施</w:t>
      </w:r>
    </w:p>
    <w:p>
      <w:pPr>
        <w:autoSpaceDE w:val="0"/>
        <w:autoSpaceDN w:val="0"/>
        <w:adjustRightInd w:val="0"/>
        <w:spacing w:line="360" w:lineRule="auto"/>
        <w:ind w:firstLine="480" w:firstLineChars="200"/>
        <w:jc w:val="left"/>
        <w:rPr>
          <w:rFonts w:hint="eastAsia" w:ascii="宋体" w:hAnsi="宋体" w:cs="宋体"/>
          <w:szCs w:val="21"/>
        </w:rPr>
      </w:pPr>
      <w:r>
        <w:rPr>
          <w:rFonts w:hint="eastAsia" w:ascii="宋体" w:hAnsi="宋体" w:cs="宋体"/>
          <w:szCs w:val="21"/>
        </w:rPr>
        <w:t>关于修建临时设施费用承担的约定：</w:t>
      </w:r>
      <w:r>
        <w:rPr>
          <w:rFonts w:hint="eastAsia" w:ascii="宋体" w:hAnsi="宋体" w:cs="宋体"/>
          <w:szCs w:val="21"/>
          <w:u w:val="single"/>
        </w:rPr>
        <w:t>除法律规定由发包人承担的内容外，承包人自行承担修建临时设施和使用施工设备的费用</w:t>
      </w:r>
      <w:r>
        <w:rPr>
          <w:rFonts w:hint="eastAsia" w:ascii="宋体" w:hAnsi="宋体" w:cs="宋体"/>
          <w:szCs w:val="21"/>
        </w:rPr>
        <w:t>。</w:t>
      </w:r>
    </w:p>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Pr>
        <w:pStyle w:val="6"/>
        <w:spacing w:before="120" w:after="120"/>
        <w:rPr>
          <w:rFonts w:hint="eastAsia" w:ascii="宋体" w:hAnsi="宋体" w:cs="宋体"/>
          <w:b w:val="0"/>
          <w:color w:val="000000"/>
          <w:szCs w:val="21"/>
        </w:rPr>
      </w:pPr>
      <w:bookmarkStart w:id="2644" w:name="_Toc351203641"/>
      <w:r>
        <w:rPr>
          <w:rFonts w:hint="eastAsia" w:ascii="宋体" w:hAnsi="宋体" w:cs="宋体"/>
          <w:b w:val="0"/>
          <w:color w:val="000000"/>
          <w:szCs w:val="21"/>
        </w:rPr>
        <w:t>9</w:t>
      </w:r>
      <w:bookmarkEnd w:id="2622"/>
      <w:bookmarkEnd w:id="2623"/>
      <w:bookmarkEnd w:id="2624"/>
      <w:bookmarkStart w:id="2645" w:name="_Toc300934982"/>
      <w:bookmarkStart w:id="2646" w:name="_Toc304295559"/>
      <w:bookmarkStart w:id="2647" w:name="_Toc297216192"/>
      <w:bookmarkStart w:id="2648" w:name="_Toc303539139"/>
      <w:bookmarkStart w:id="2649" w:name="_Toc312677495"/>
      <w:bookmarkStart w:id="2650" w:name="_Toc312678021"/>
      <w:bookmarkStart w:id="2651" w:name="_Toc297123533"/>
      <w:bookmarkStart w:id="2652" w:name="_Toc292559883"/>
      <w:bookmarkStart w:id="2653" w:name="_Toc296503173"/>
      <w:bookmarkStart w:id="2654" w:name="_Toc296347172"/>
      <w:bookmarkStart w:id="2655" w:name="_Toc267251428"/>
      <w:bookmarkStart w:id="2656" w:name="_Toc296891213"/>
      <w:bookmarkStart w:id="2657" w:name="_Toc296944512"/>
      <w:bookmarkStart w:id="2658" w:name="_Toc297120473"/>
      <w:bookmarkStart w:id="2659" w:name="_Toc267251427"/>
      <w:bookmarkStart w:id="2660" w:name="_Toc296891001"/>
      <w:bookmarkStart w:id="2661" w:name="_Toc296346674"/>
      <w:bookmarkStart w:id="2662" w:name="_Toc297048359"/>
      <w:bookmarkStart w:id="2663" w:name="_Toc292559378"/>
      <w:r>
        <w:rPr>
          <w:rFonts w:hint="eastAsia" w:ascii="宋体" w:hAnsi="宋体" w:cs="宋体"/>
          <w:b w:val="0"/>
          <w:color w:val="000000"/>
          <w:szCs w:val="21"/>
        </w:rPr>
        <w:t>. 试验与检验</w:t>
      </w:r>
      <w:bookmarkEnd w:id="2644"/>
    </w:p>
    <w:bookmarkEnd w:id="2645"/>
    <w:bookmarkEnd w:id="2646"/>
    <w:bookmarkEnd w:id="2647"/>
    <w:bookmarkEnd w:id="2648"/>
    <w:bookmarkEnd w:id="2649"/>
    <w:bookmarkEnd w:id="2650"/>
    <w:bookmarkEnd w:id="2651"/>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9</w:t>
      </w:r>
      <w:bookmarkStart w:id="2664" w:name="_Toc300934983"/>
      <w:bookmarkStart w:id="2665" w:name="_Toc312677496"/>
      <w:bookmarkStart w:id="2666" w:name="_Toc304295560"/>
      <w:bookmarkStart w:id="2667" w:name="_Toc297216193"/>
      <w:bookmarkStart w:id="2668" w:name="_Toc297123534"/>
      <w:bookmarkStart w:id="2669" w:name="_Toc303539140"/>
      <w:bookmarkStart w:id="2670" w:name="_Toc312678022"/>
      <w:r>
        <w:rPr>
          <w:rFonts w:hint="eastAsia" w:ascii="宋体" w:hAnsi="宋体" w:cs="宋体"/>
          <w:color w:val="000000"/>
          <w:szCs w:val="21"/>
        </w:rPr>
        <w:t>.1试验设备与试验人员</w:t>
      </w:r>
    </w:p>
    <w:bookmarkEnd w:id="2664"/>
    <w:bookmarkEnd w:id="2665"/>
    <w:bookmarkEnd w:id="2666"/>
    <w:bookmarkEnd w:id="2667"/>
    <w:bookmarkEnd w:id="2668"/>
    <w:bookmarkEnd w:id="2669"/>
    <w:bookmarkEnd w:id="2670"/>
    <w:p>
      <w:pPr>
        <w:spacing w:line="360" w:lineRule="auto"/>
        <w:ind w:firstLine="480" w:firstLineChars="200"/>
        <w:jc w:val="left"/>
        <w:rPr>
          <w:rFonts w:hint="eastAsia" w:ascii="宋体" w:hAnsi="宋体" w:cs="宋体"/>
          <w:szCs w:val="21"/>
        </w:rPr>
      </w:pPr>
      <w:r>
        <w:rPr>
          <w:rFonts w:hint="eastAsia" w:ascii="宋体" w:hAnsi="宋体" w:cs="宋体"/>
          <w:szCs w:val="21"/>
        </w:rPr>
        <w:t>9</w:t>
      </w:r>
      <w:bookmarkStart w:id="2671" w:name="_Toc297123535"/>
      <w:bookmarkStart w:id="2672" w:name="_Toc312678023"/>
      <w:bookmarkStart w:id="2673" w:name="_Toc312677497"/>
      <w:bookmarkStart w:id="2674" w:name="_Toc300934984"/>
      <w:bookmarkStart w:id="2675" w:name="_Toc303539141"/>
      <w:bookmarkStart w:id="2676" w:name="_Toc304295561"/>
      <w:bookmarkStart w:id="2677" w:name="_Toc297216194"/>
      <w:bookmarkStart w:id="2678" w:name="_Toc318581174"/>
      <w:r>
        <w:rPr>
          <w:rFonts w:hint="eastAsia" w:ascii="宋体" w:hAnsi="宋体" w:cs="宋体"/>
          <w:szCs w:val="21"/>
        </w:rPr>
        <w:t>.1.2 试验设备</w:t>
      </w:r>
    </w:p>
    <w:p>
      <w:pPr>
        <w:spacing w:line="360" w:lineRule="auto"/>
        <w:ind w:firstLine="480" w:firstLineChars="200"/>
        <w:jc w:val="left"/>
        <w:rPr>
          <w:rFonts w:hint="eastAsia" w:ascii="宋体" w:hAnsi="宋体" w:cs="宋体"/>
          <w:szCs w:val="21"/>
          <w:u w:val="single"/>
        </w:rPr>
      </w:pPr>
      <w:r>
        <w:rPr>
          <w:rFonts w:hint="eastAsia" w:ascii="宋体" w:hAnsi="宋体" w:cs="宋体"/>
          <w:szCs w:val="21"/>
        </w:rPr>
        <w:t>施工现场需要配置的试验场所：</w:t>
      </w:r>
      <w:bookmarkEnd w:id="2671"/>
      <w:bookmarkEnd w:id="2672"/>
      <w:bookmarkEnd w:id="2673"/>
      <w:bookmarkEnd w:id="2674"/>
      <w:bookmarkEnd w:id="2675"/>
      <w:bookmarkEnd w:id="2676"/>
      <w:bookmarkEnd w:id="2677"/>
      <w:bookmarkStart w:id="2679" w:name="_Toc312677498"/>
      <w:bookmarkStart w:id="2680" w:name="_Toc304295562"/>
      <w:bookmarkStart w:id="2681" w:name="_Toc303539142"/>
      <w:bookmarkStart w:id="2682" w:name="_Toc300934985"/>
      <w:bookmarkStart w:id="2683" w:name="_Toc297216195"/>
      <w:bookmarkStart w:id="2684" w:name="_Toc312678024"/>
      <w:bookmarkStart w:id="2685" w:name="_Toc297123536"/>
      <w:r>
        <w:rPr>
          <w:rFonts w:hint="eastAsia" w:ascii="宋体" w:hAnsi="宋体" w:cs="宋体"/>
          <w:szCs w:val="21"/>
          <w:u w:val="single"/>
        </w:rPr>
        <w:t xml:space="preserve"> 承包人必须设立独立的试验室，配备合格的实验检测设备、人员，或委托有资质的试验单位对进场材料及施工工序进行自检；承包人委托的试验单位不得与发包人进行平行检测或抽检的试验单位重复，其资质资料在签订合同前报发包人审核；自检费用由承包人承担。 </w:t>
      </w:r>
    </w:p>
    <w:p>
      <w:pPr>
        <w:spacing w:line="360" w:lineRule="auto"/>
        <w:ind w:firstLine="480" w:firstLineChars="200"/>
        <w:jc w:val="left"/>
        <w:rPr>
          <w:rFonts w:hint="eastAsia" w:ascii="宋体" w:hAnsi="宋体" w:cs="宋体"/>
          <w:szCs w:val="21"/>
          <w:u w:val="single"/>
        </w:rPr>
      </w:pPr>
      <w:r>
        <w:rPr>
          <w:rFonts w:hint="eastAsia" w:ascii="宋体" w:hAnsi="宋体" w:cs="宋体"/>
          <w:szCs w:val="21"/>
        </w:rPr>
        <w:t>施工现场需要配备的试验设备：</w:t>
      </w:r>
      <w:r>
        <w:rPr>
          <w:rFonts w:hint="eastAsia" w:ascii="宋体" w:hAnsi="宋体" w:cs="宋体"/>
          <w:szCs w:val="21"/>
          <w:u w:val="single"/>
        </w:rPr>
        <w:t xml:space="preserve"> 符合相关规范规定，满足施工材料、施工工序自检需要。</w:t>
      </w:r>
    </w:p>
    <w:p>
      <w:pPr>
        <w:spacing w:line="360" w:lineRule="auto"/>
        <w:ind w:firstLine="480" w:firstLineChars="200"/>
        <w:jc w:val="left"/>
        <w:rPr>
          <w:rFonts w:hint="eastAsia" w:ascii="宋体" w:hAnsi="宋体" w:cs="宋体"/>
          <w:szCs w:val="21"/>
        </w:rPr>
      </w:pPr>
      <w:r>
        <w:rPr>
          <w:rFonts w:hint="eastAsia" w:ascii="宋体" w:hAnsi="宋体" w:cs="宋体"/>
          <w:szCs w:val="21"/>
        </w:rPr>
        <w:t>施工现场需要具备的其他试验条件：</w:t>
      </w:r>
      <w:r>
        <w:rPr>
          <w:rFonts w:hint="eastAsia" w:ascii="宋体" w:hAnsi="宋体" w:cs="宋体"/>
          <w:szCs w:val="21"/>
          <w:u w:val="single"/>
        </w:rPr>
        <w:t xml:space="preserve"> 符合相关规范规定，满足施工材料、施工工序自检需要。</w:t>
      </w:r>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 xml:space="preserve">9.4 现场工艺试验 </w:t>
      </w:r>
    </w:p>
    <w:p>
      <w:pPr>
        <w:spacing w:line="360" w:lineRule="auto"/>
        <w:ind w:firstLine="480" w:firstLineChars="200"/>
        <w:jc w:val="left"/>
        <w:rPr>
          <w:rFonts w:hint="eastAsia" w:ascii="宋体" w:hAnsi="宋体" w:cs="宋体"/>
          <w:szCs w:val="21"/>
        </w:rPr>
      </w:pPr>
      <w:r>
        <w:rPr>
          <w:rFonts w:hint="eastAsia" w:ascii="宋体" w:hAnsi="宋体" w:cs="宋体"/>
          <w:szCs w:val="21"/>
        </w:rPr>
        <w:t>现场工艺试验的有关约定：</w:t>
      </w:r>
      <w:r>
        <w:rPr>
          <w:rFonts w:hint="eastAsia" w:ascii="宋体" w:hAnsi="宋体" w:cs="宋体"/>
          <w:szCs w:val="21"/>
          <w:u w:val="single"/>
        </w:rPr>
        <w:t xml:space="preserve">   按现场监理通知执行   </w:t>
      </w:r>
      <w:r>
        <w:rPr>
          <w:rFonts w:hint="eastAsia" w:ascii="宋体" w:hAnsi="宋体" w:cs="宋体"/>
          <w:szCs w:val="21"/>
        </w:rPr>
        <w:t>。</w:t>
      </w:r>
    </w:p>
    <w:bookmarkEnd w:id="2678"/>
    <w:bookmarkEnd w:id="2679"/>
    <w:bookmarkEnd w:id="2680"/>
    <w:bookmarkEnd w:id="2681"/>
    <w:bookmarkEnd w:id="2682"/>
    <w:bookmarkEnd w:id="2683"/>
    <w:bookmarkEnd w:id="2684"/>
    <w:bookmarkEnd w:id="2685"/>
    <w:p>
      <w:pPr>
        <w:pStyle w:val="6"/>
        <w:spacing w:before="120" w:after="120"/>
        <w:rPr>
          <w:rFonts w:hint="eastAsia" w:ascii="宋体" w:hAnsi="宋体" w:cs="宋体"/>
          <w:b w:val="0"/>
          <w:color w:val="000000"/>
          <w:szCs w:val="21"/>
        </w:rPr>
      </w:pPr>
      <w:bookmarkStart w:id="2686" w:name="_Toc351203642"/>
      <w:r>
        <w:rPr>
          <w:rFonts w:hint="eastAsia" w:ascii="宋体" w:hAnsi="宋体" w:cs="宋体"/>
          <w:b w:val="0"/>
          <w:color w:val="000000"/>
          <w:szCs w:val="21"/>
        </w:rPr>
        <w:t>1</w:t>
      </w:r>
      <w:bookmarkEnd w:id="2652"/>
      <w:bookmarkEnd w:id="2653"/>
      <w:bookmarkEnd w:id="2654"/>
      <w:bookmarkEnd w:id="2655"/>
      <w:bookmarkEnd w:id="2656"/>
      <w:bookmarkEnd w:id="2657"/>
      <w:bookmarkEnd w:id="2658"/>
      <w:bookmarkEnd w:id="2659"/>
      <w:bookmarkEnd w:id="2660"/>
      <w:bookmarkEnd w:id="2661"/>
      <w:bookmarkEnd w:id="2662"/>
      <w:bookmarkEnd w:id="2663"/>
      <w:bookmarkStart w:id="2687" w:name="_Toc296347192"/>
      <w:bookmarkStart w:id="2688" w:name="_Toc297120493"/>
      <w:bookmarkStart w:id="2689" w:name="_Toc304295566"/>
      <w:bookmarkStart w:id="2690" w:name="_Toc296503193"/>
      <w:bookmarkStart w:id="2691" w:name="_Toc292559398"/>
      <w:bookmarkStart w:id="2692" w:name="_Toc296944532"/>
      <w:bookmarkStart w:id="2693" w:name="_Toc297216199"/>
      <w:bookmarkStart w:id="2694" w:name="_Toc296891021"/>
      <w:bookmarkStart w:id="2695" w:name="_Toc292559903"/>
      <w:bookmarkStart w:id="2696" w:name="_Toc303539146"/>
      <w:bookmarkStart w:id="2697" w:name="_Toc296346694"/>
      <w:bookmarkStart w:id="2698" w:name="_Toc297048379"/>
      <w:bookmarkStart w:id="2699" w:name="_Toc300934989"/>
      <w:bookmarkStart w:id="2700" w:name="_Toc297123540"/>
      <w:bookmarkStart w:id="2701" w:name="_Toc296891233"/>
      <w:bookmarkStart w:id="2702" w:name="_Toc312678025"/>
      <w:bookmarkStart w:id="2703" w:name="_Toc312677499"/>
      <w:bookmarkStart w:id="2704" w:name="_Toc267251439"/>
      <w:bookmarkStart w:id="2705" w:name="_Toc267251440"/>
      <w:bookmarkStart w:id="2706" w:name="_Toc267251435"/>
      <w:bookmarkStart w:id="2707" w:name="_Toc267251433"/>
      <w:bookmarkStart w:id="2708" w:name="_Toc267251437"/>
      <w:bookmarkStart w:id="2709" w:name="_Toc267251441"/>
      <w:bookmarkStart w:id="2710" w:name="_Toc267251442"/>
      <w:r>
        <w:rPr>
          <w:rFonts w:hint="eastAsia" w:ascii="宋体" w:hAnsi="宋体" w:cs="宋体"/>
          <w:b w:val="0"/>
          <w:color w:val="000000"/>
          <w:szCs w:val="21"/>
        </w:rPr>
        <w:t>0. 变更</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bookmarkEnd w:id="2702"/>
    <w:bookmarkEnd w:id="2703"/>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1</w:t>
      </w:r>
      <w:bookmarkStart w:id="2711" w:name="_Toc296944533"/>
      <w:bookmarkStart w:id="2712" w:name="_Toc296503194"/>
      <w:bookmarkStart w:id="2713" w:name="_Toc296891022"/>
      <w:bookmarkStart w:id="2714" w:name="_Toc292559399"/>
      <w:bookmarkStart w:id="2715" w:name="_Toc296891234"/>
      <w:bookmarkStart w:id="2716" w:name="_Toc304295567"/>
      <w:bookmarkStart w:id="2717" w:name="_Toc296347193"/>
      <w:bookmarkStart w:id="2718" w:name="_Toc297123541"/>
      <w:bookmarkStart w:id="2719" w:name="_Toc312677500"/>
      <w:bookmarkStart w:id="2720" w:name="_Toc297120494"/>
      <w:bookmarkStart w:id="2721" w:name="_Toc312678026"/>
      <w:bookmarkStart w:id="2722" w:name="_Toc297048380"/>
      <w:bookmarkStart w:id="2723" w:name="_Toc297216200"/>
      <w:bookmarkStart w:id="2724" w:name="_Toc300934990"/>
      <w:bookmarkStart w:id="2725" w:name="_Toc296346695"/>
      <w:bookmarkStart w:id="2726" w:name="_Toc303539147"/>
      <w:bookmarkStart w:id="2727" w:name="_Toc292559904"/>
      <w:r>
        <w:rPr>
          <w:rFonts w:hint="eastAsia" w:ascii="宋体" w:hAnsi="宋体" w:cs="宋体"/>
          <w:color w:val="000000"/>
          <w:szCs w:val="21"/>
        </w:rPr>
        <w:t>0.1变更的范围</w:t>
      </w:r>
    </w:p>
    <w:p>
      <w:pPr>
        <w:spacing w:line="360" w:lineRule="auto"/>
        <w:ind w:firstLine="480" w:firstLineChars="200"/>
        <w:jc w:val="left"/>
        <w:rPr>
          <w:rFonts w:hint="eastAsia" w:ascii="宋体" w:hAnsi="宋体" w:cs="宋体"/>
          <w:szCs w:val="21"/>
          <w:u w:val="single"/>
        </w:rPr>
      </w:pPr>
      <w:r>
        <w:rPr>
          <w:rFonts w:hint="eastAsia" w:ascii="宋体" w:hAnsi="宋体" w:cs="宋体"/>
          <w:color w:val="000000"/>
          <w:szCs w:val="21"/>
        </w:rPr>
        <w:t>关于变更的范围的约定：</w:t>
      </w:r>
      <w:r>
        <w:rPr>
          <w:rFonts w:hint="eastAsia" w:ascii="宋体" w:hAnsi="宋体" w:cs="宋体"/>
          <w:color w:val="000000"/>
          <w:szCs w:val="21"/>
          <w:u w:val="single"/>
        </w:rPr>
        <w:t xml:space="preserve"> </w:t>
      </w:r>
      <w:r>
        <w:rPr>
          <w:rFonts w:hint="eastAsia" w:ascii="宋体" w:hAnsi="宋体" w:cs="宋体"/>
          <w:szCs w:val="21"/>
          <w:u w:val="single"/>
        </w:rPr>
        <w:t xml:space="preserve">执行通用条款  </w:t>
      </w:r>
    </w:p>
    <w:p>
      <w:pPr>
        <w:spacing w:line="360" w:lineRule="auto"/>
        <w:ind w:firstLine="480" w:firstLineChars="200"/>
        <w:jc w:val="left"/>
        <w:rPr>
          <w:rFonts w:hint="eastAsia" w:ascii="宋体" w:hAnsi="宋体" w:cs="宋体"/>
          <w:color w:val="000000"/>
          <w:szCs w:val="21"/>
        </w:rPr>
      </w:pPr>
      <w:r>
        <w:rPr>
          <w:rFonts w:hint="eastAsia" w:ascii="宋体" w:hAnsi="宋体" w:cs="宋体"/>
          <w:szCs w:val="21"/>
          <w:u w:val="single"/>
        </w:rPr>
        <w:t xml:space="preserve">承包人根据发包人书面确认的变更文件予以变更。变更文件中须明确原做法、变更后做法及工艺、材料名称、规格、品牌、尺寸等，标注要清晰 </w:t>
      </w:r>
      <w:r>
        <w:rPr>
          <w:rFonts w:hint="eastAsia" w:ascii="宋体" w:hAnsi="宋体" w:cs="宋体"/>
          <w:color w:val="000000"/>
          <w:szCs w:val="21"/>
        </w:rPr>
        <w:t>。</w:t>
      </w:r>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10.2 变更估价</w:t>
      </w:r>
    </w:p>
    <w:p>
      <w:pPr>
        <w:spacing w:line="360" w:lineRule="auto"/>
        <w:ind w:firstLine="480" w:firstLineChars="200"/>
        <w:jc w:val="left"/>
        <w:rPr>
          <w:rFonts w:hint="eastAsia" w:ascii="宋体" w:hAnsi="宋体" w:cs="宋体"/>
          <w:szCs w:val="21"/>
        </w:rPr>
      </w:pPr>
      <w:r>
        <w:rPr>
          <w:rFonts w:hint="eastAsia" w:ascii="宋体" w:hAnsi="宋体" w:cs="宋体"/>
          <w:szCs w:val="21"/>
        </w:rPr>
        <w:t>10.2.1 变更估价原则</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 xml:space="preserve">关于变更估价的约定: </w:t>
      </w:r>
    </w:p>
    <w:p>
      <w:pPr>
        <w:spacing w:line="360" w:lineRule="auto"/>
        <w:ind w:firstLine="480" w:firstLineChars="200"/>
        <w:jc w:val="left"/>
        <w:rPr>
          <w:rFonts w:hint="eastAsia" w:ascii="宋体" w:hAnsi="宋体"/>
          <w:highlight w:val="white"/>
          <w:u w:val="single"/>
        </w:rPr>
      </w:pPr>
      <w:r>
        <w:rPr>
          <w:rFonts w:hint="eastAsia" w:ascii="宋体" w:hAnsi="宋体" w:cs="宋体"/>
          <w:szCs w:val="21"/>
          <w:u w:val="single"/>
        </w:rPr>
        <w:t>10.2.1.1</w:t>
      </w:r>
      <w:r>
        <w:rPr>
          <w:rFonts w:hint="eastAsia" w:ascii="宋体" w:hAnsi="宋体"/>
          <w:highlight w:val="white"/>
          <w:u w:val="single"/>
        </w:rPr>
        <w:t>设计变更引起新增工程量清单项目，其相应综合单价</w:t>
      </w:r>
      <w:r>
        <w:rPr>
          <w:rFonts w:hint="eastAsia" w:ascii="宋体" w:hAnsi="宋体"/>
          <w:b/>
          <w:color w:val="FF0000"/>
          <w:highlight w:val="white"/>
          <w:u w:val="single"/>
        </w:rPr>
        <w:t>按本预算价（招标控制价）计价编制办法及依据计算</w:t>
      </w:r>
      <w:r>
        <w:rPr>
          <w:rFonts w:hint="eastAsia" w:ascii="宋体" w:hAnsi="宋体"/>
          <w:highlight w:val="white"/>
          <w:u w:val="single"/>
        </w:rPr>
        <w:t>，再乘以中标价（扣除暂列金和暂估价后）</w:t>
      </w:r>
      <w:r>
        <w:rPr>
          <w:rFonts w:hint="eastAsia" w:ascii="宋体" w:hAnsi="宋体"/>
          <w:b/>
          <w:color w:val="FF0000"/>
          <w:highlight w:val="white"/>
          <w:u w:val="single"/>
        </w:rPr>
        <w:t>与招标控制价（扣除暂列金和暂估价后）相比的浮动比率后作为综合单价进行结算。</w:t>
      </w:r>
      <w:r>
        <w:rPr>
          <w:rFonts w:hint="eastAsia" w:ascii="宋体" w:hAnsi="宋体"/>
          <w:highlight w:val="white"/>
          <w:u w:val="single"/>
        </w:rPr>
        <w:t>以上变更及工程量签证，必须由发、承包双方、现场监理工程师共同确认。</w:t>
      </w:r>
    </w:p>
    <w:p>
      <w:pPr>
        <w:spacing w:line="360" w:lineRule="auto"/>
        <w:ind w:firstLine="480" w:firstLineChars="200"/>
        <w:jc w:val="left"/>
        <w:rPr>
          <w:rFonts w:hint="eastAsia" w:ascii="宋体" w:hAnsi="宋体"/>
          <w:b/>
          <w:color w:val="FF0000"/>
          <w:highlight w:val="white"/>
          <w:u w:val="single"/>
        </w:rPr>
      </w:pPr>
      <w:r>
        <w:rPr>
          <w:rFonts w:hint="eastAsia" w:ascii="宋体" w:hAnsi="宋体" w:cs="宋体"/>
          <w:szCs w:val="21"/>
        </w:rPr>
        <w:t>10.2.1.2</w:t>
      </w:r>
      <w:r>
        <w:rPr>
          <w:rFonts w:hint="eastAsia" w:ascii="宋体" w:hAnsi="宋体" w:cs="宋体"/>
          <w:b/>
          <w:color w:val="FF0000"/>
          <w:szCs w:val="21"/>
          <w:u w:val="single"/>
        </w:rPr>
        <w:t>工程量增减，其相应综合单价执行投标报价的综合单价，但不得高于预算价的综合单价。</w:t>
      </w:r>
    </w:p>
    <w:p>
      <w:pPr>
        <w:spacing w:line="360" w:lineRule="auto"/>
        <w:ind w:firstLine="480" w:firstLineChars="200"/>
        <w:jc w:val="left"/>
        <w:rPr>
          <w:rFonts w:hint="eastAsia" w:ascii="宋体" w:hAnsi="宋体"/>
          <w:highlight w:val="white"/>
          <w:u w:val="single"/>
        </w:rPr>
      </w:pPr>
      <w:r>
        <w:rPr>
          <w:rFonts w:hint="eastAsia" w:ascii="宋体" w:hAnsi="宋体" w:cs="宋体"/>
          <w:szCs w:val="21"/>
        </w:rPr>
        <w:t>10.2.1.3</w:t>
      </w:r>
      <w:r>
        <w:rPr>
          <w:rFonts w:hint="eastAsia" w:ascii="宋体" w:hAnsi="宋体"/>
          <w:highlight w:val="white"/>
          <w:u w:val="single"/>
        </w:rPr>
        <w:t>清单项目中特征描述不全的工序，如图纸已明确或已指明引用的规范、图集等或是常规工艺必须的工序，应包括在报价中。</w:t>
      </w:r>
    </w:p>
    <w:p>
      <w:pPr>
        <w:spacing w:line="360" w:lineRule="auto"/>
        <w:ind w:firstLine="480" w:firstLineChars="200"/>
        <w:jc w:val="left"/>
        <w:rPr>
          <w:rFonts w:hint="eastAsia" w:ascii="宋体" w:hAnsi="宋体"/>
          <w:highlight w:val="white"/>
          <w:u w:val="single"/>
        </w:rPr>
      </w:pPr>
      <w:r>
        <w:rPr>
          <w:rFonts w:hint="eastAsia" w:ascii="宋体" w:hAnsi="宋体" w:cs="宋体"/>
          <w:szCs w:val="21"/>
        </w:rPr>
        <w:t>10.2.1.4</w:t>
      </w:r>
      <w:r>
        <w:rPr>
          <w:rFonts w:hint="eastAsia" w:ascii="宋体" w:hAnsi="宋体"/>
          <w:highlight w:val="white"/>
          <w:u w:val="single"/>
        </w:rPr>
        <w:t>价款调整按照以下方法处理：</w:t>
      </w:r>
    </w:p>
    <w:p>
      <w:pPr>
        <w:spacing w:line="360" w:lineRule="auto"/>
        <w:ind w:firstLine="480" w:firstLineChars="200"/>
        <w:jc w:val="left"/>
        <w:rPr>
          <w:rFonts w:hint="eastAsia" w:ascii="宋体" w:hAnsi="宋体"/>
          <w:highlight w:val="white"/>
          <w:u w:val="single"/>
        </w:rPr>
      </w:pPr>
      <w:r>
        <w:rPr>
          <w:rFonts w:hint="eastAsia" w:ascii="宋体" w:hAnsi="宋体"/>
          <w:highlight w:val="white"/>
          <w:u w:val="single"/>
        </w:rPr>
        <w:t>（1）有类似单价的，参照类似单价；</w:t>
      </w:r>
    </w:p>
    <w:p>
      <w:pPr>
        <w:spacing w:line="360" w:lineRule="auto"/>
        <w:ind w:firstLine="480" w:firstLineChars="200"/>
        <w:jc w:val="left"/>
        <w:rPr>
          <w:rFonts w:hint="eastAsia" w:ascii="宋体" w:hAnsi="宋体"/>
          <w:highlight w:val="white"/>
          <w:u w:val="single"/>
        </w:rPr>
      </w:pPr>
      <w:r>
        <w:rPr>
          <w:rFonts w:hint="eastAsia" w:ascii="宋体" w:hAnsi="宋体"/>
          <w:highlight w:val="white"/>
          <w:u w:val="single"/>
        </w:rPr>
        <w:t>（2）没有类似单价的，按照变更发生前一个月的《徐州工程造价信息》中相应的材料价格和相应的定额计价，同时按照中标价（扣除暂列金和暂估价后）与招标控制价（扣除暂列金和暂估价后）的整体下浮比率下浮；</w:t>
      </w:r>
    </w:p>
    <w:p>
      <w:pPr>
        <w:spacing w:line="360" w:lineRule="auto"/>
        <w:ind w:firstLine="480" w:firstLineChars="200"/>
        <w:jc w:val="left"/>
        <w:rPr>
          <w:rFonts w:hint="eastAsia" w:ascii="宋体" w:hAnsi="宋体" w:cs="宋体"/>
          <w:szCs w:val="21"/>
          <w:u w:val="single"/>
        </w:rPr>
      </w:pPr>
      <w:r>
        <w:rPr>
          <w:rFonts w:hint="eastAsia" w:ascii="宋体" w:hAnsi="宋体"/>
          <w:highlight w:val="white"/>
          <w:u w:val="single"/>
        </w:rPr>
        <w:t>（3）</w:t>
      </w:r>
      <w:r>
        <w:rPr>
          <w:rStyle w:val="86"/>
          <w:rFonts w:hint="eastAsia" w:ascii="宋体" w:hAnsi="宋体" w:cs="宋体"/>
          <w:shd w:val="clear" w:color="auto" w:fill="FFFF00"/>
          <w:lang w:val="zh-TW" w:eastAsia="zh-TW"/>
        </w:rPr>
        <w:t>《徐州工程造价信息》缺项的材料、设备价格按市场行情，由</w:t>
      </w:r>
      <w:r>
        <w:rPr>
          <w:rStyle w:val="86"/>
          <w:rFonts w:hint="eastAsia" w:ascii="宋体" w:hAnsi="宋体" w:cs="宋体"/>
          <w:shd w:val="clear" w:color="auto" w:fill="FFFF00"/>
          <w:lang w:val="zh-TW"/>
        </w:rPr>
        <w:t>实施机构</w:t>
      </w:r>
      <w:r>
        <w:rPr>
          <w:rStyle w:val="86"/>
          <w:rFonts w:hint="eastAsia" w:ascii="宋体" w:hAnsi="宋体" w:cs="宋体"/>
          <w:shd w:val="clear" w:color="auto" w:fill="FFFF00"/>
          <w:lang w:val="zh-TW" w:eastAsia="zh-TW"/>
        </w:rPr>
        <w:t>代表、项目公司代表、监理</w:t>
      </w:r>
      <w:r>
        <w:rPr>
          <w:rStyle w:val="86"/>
          <w:rFonts w:hint="eastAsia" w:ascii="宋体" w:hAnsi="宋体" w:cs="宋体"/>
          <w:shd w:val="clear" w:color="auto" w:fill="FFFF00"/>
          <w:lang w:val="zh-TW"/>
        </w:rPr>
        <w:t>人</w:t>
      </w:r>
      <w:r>
        <w:rPr>
          <w:rStyle w:val="86"/>
          <w:rFonts w:hint="eastAsia" w:ascii="宋体" w:hAnsi="宋体" w:cs="宋体"/>
          <w:shd w:val="clear" w:color="auto" w:fill="FFFF00"/>
          <w:lang w:val="zh-TW" w:eastAsia="zh-TW"/>
        </w:rPr>
        <w:t>（或全过程咨询</w:t>
      </w:r>
      <w:r>
        <w:rPr>
          <w:rStyle w:val="86"/>
          <w:rFonts w:hint="eastAsia" w:ascii="宋体" w:hAnsi="宋体" w:cs="宋体"/>
          <w:shd w:val="clear" w:color="auto" w:fill="FFFF00"/>
          <w:lang w:val="zh-TW"/>
        </w:rPr>
        <w:t>人</w:t>
      </w:r>
      <w:r>
        <w:rPr>
          <w:rStyle w:val="86"/>
          <w:rFonts w:hint="eastAsia" w:ascii="宋体" w:hAnsi="宋体" w:cs="宋体"/>
          <w:shd w:val="clear" w:color="auto" w:fill="FFFF00"/>
          <w:lang w:val="zh-TW" w:eastAsia="zh-TW"/>
        </w:rPr>
        <w:t>）代表</w:t>
      </w:r>
      <w:r>
        <w:rPr>
          <w:rStyle w:val="86"/>
          <w:rFonts w:hint="eastAsia" w:ascii="宋体" w:hAnsi="宋体" w:cs="宋体"/>
          <w:shd w:val="clear" w:color="auto" w:fill="FFFF00"/>
          <w:lang w:val="zh-TW"/>
        </w:rPr>
        <w:t>、有关专家</w:t>
      </w:r>
      <w:r>
        <w:rPr>
          <w:rStyle w:val="86"/>
          <w:rFonts w:hint="eastAsia" w:ascii="宋体" w:hAnsi="宋体" w:cs="宋体"/>
          <w:shd w:val="clear" w:color="auto" w:fill="FFFF00"/>
          <w:lang w:val="zh-TW" w:eastAsia="zh-TW"/>
        </w:rPr>
        <w:t>等共同组成评审小组，通过公开询价或二次招标确定。</w:t>
      </w:r>
      <w:r>
        <w:rPr>
          <w:rFonts w:hint="eastAsia" w:ascii="宋体" w:hAnsi="宋体" w:cs="宋体"/>
          <w:szCs w:val="21"/>
          <w:u w:val="single"/>
        </w:rPr>
        <w:t>比价采购或者经招标确定价格后，计入相应的定额计价，但该部分材料价格不再参与下浮，其余部分按照</w:t>
      </w:r>
      <w:r>
        <w:rPr>
          <w:rFonts w:hint="eastAsia" w:ascii="宋体" w:hAnsi="宋体"/>
          <w:highlight w:val="white"/>
          <w:u w:val="single"/>
        </w:rPr>
        <w:t>中标价</w:t>
      </w:r>
      <w:r>
        <w:rPr>
          <w:rFonts w:hint="eastAsia" w:ascii="宋体" w:hAnsi="宋体" w:cs="宋体"/>
          <w:szCs w:val="21"/>
          <w:u w:val="single"/>
        </w:rPr>
        <w:t>（扣除暂列金和暂估价后）与招标控制价（扣除暂列金和暂估价后）的整体下浮比率下浮。</w:t>
      </w:r>
    </w:p>
    <w:p>
      <w:pPr>
        <w:spacing w:line="360" w:lineRule="auto"/>
        <w:ind w:firstLine="480" w:firstLineChars="200"/>
        <w:jc w:val="left"/>
        <w:rPr>
          <w:rFonts w:hint="eastAsia" w:ascii="宋体" w:hAnsi="宋体" w:cs="宋体"/>
          <w:szCs w:val="21"/>
          <w:u w:val="single"/>
        </w:rPr>
      </w:pPr>
      <w:r>
        <w:rPr>
          <w:rFonts w:hint="eastAsia" w:ascii="宋体" w:hAnsi="宋体" w:cs="宋体"/>
          <w:szCs w:val="21"/>
        </w:rPr>
        <w:t>10.2.1.5</w:t>
      </w:r>
      <w:r>
        <w:rPr>
          <w:rFonts w:hint="eastAsia" w:ascii="宋体" w:hAnsi="宋体" w:cs="宋体"/>
          <w:szCs w:val="21"/>
          <w:u w:val="single"/>
        </w:rPr>
        <w:t>因分部分项工程量清单漏项、数量调整或非承包人原因的工程变更，造成施工组织设计或施工方案变更，引起措施项目发生变化时，在结算按照以下规定调整：</w:t>
      </w:r>
    </w:p>
    <w:p>
      <w:pPr>
        <w:adjustRightInd w:val="0"/>
        <w:spacing w:line="360" w:lineRule="auto"/>
        <w:ind w:firstLine="480" w:firstLineChars="200"/>
        <w:rPr>
          <w:rFonts w:hint="eastAsia" w:ascii="宋体" w:hAnsi="宋体"/>
          <w:highlight w:val="white"/>
          <w:u w:val="single"/>
        </w:rPr>
      </w:pPr>
      <w:r>
        <w:rPr>
          <w:rFonts w:hint="eastAsia" w:ascii="宋体" w:hAnsi="宋体"/>
          <w:highlight w:val="white"/>
          <w:u w:val="single"/>
        </w:rPr>
        <w:t>（1）总价措施措施费仍按投标时费率进行调整（其中安全文明增加费及按质论价费的费率按实调整）。</w:t>
      </w:r>
    </w:p>
    <w:p>
      <w:pPr>
        <w:adjustRightInd w:val="0"/>
        <w:spacing w:line="360" w:lineRule="auto"/>
        <w:ind w:firstLine="480" w:firstLineChars="200"/>
        <w:rPr>
          <w:rFonts w:hint="eastAsia" w:ascii="宋体" w:hAnsi="宋体"/>
          <w:highlight w:val="white"/>
          <w:u w:val="single"/>
        </w:rPr>
      </w:pPr>
      <w:r>
        <w:rPr>
          <w:rFonts w:hint="eastAsia" w:ascii="宋体" w:hAnsi="宋体"/>
          <w:highlight w:val="white"/>
          <w:u w:val="single"/>
        </w:rPr>
        <w:t>（2）单价措施（排水、降水、脚手架、围堰、便桥、封底混凝土、便道、围挡）的措施费按照单价措施项目清单投标单价，结算按实调整（除由设计变更引起的单价措施工程量调整外，结算工程量不得超过投标清单工程量）。</w:t>
      </w:r>
    </w:p>
    <w:p>
      <w:pPr>
        <w:adjustRightInd w:val="0"/>
        <w:spacing w:line="360" w:lineRule="auto"/>
        <w:ind w:firstLine="480" w:firstLineChars="200"/>
        <w:rPr>
          <w:rFonts w:hint="eastAsia" w:ascii="宋体" w:hAnsi="宋体"/>
          <w:highlight w:val="white"/>
          <w:u w:val="single"/>
        </w:rPr>
      </w:pPr>
      <w:r>
        <w:rPr>
          <w:rFonts w:hint="eastAsia" w:ascii="宋体" w:hAnsi="宋体"/>
          <w:highlight w:val="white"/>
          <w:u w:val="single"/>
        </w:rPr>
        <w:t>（3）因设计变更引起的原措施费中没有的单价措施项目，由承包人根据措施项目变更情况，提出适当的措施费变更要求，经发包人确认后调整。</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1</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Start w:id="2728" w:name="_Toc296347196"/>
      <w:bookmarkStart w:id="2729" w:name="_Toc296891237"/>
      <w:bookmarkStart w:id="2730" w:name="_Toc292559402"/>
      <w:bookmarkStart w:id="2731" w:name="_Toc303539150"/>
      <w:bookmarkStart w:id="2732" w:name="_Toc297123544"/>
      <w:bookmarkStart w:id="2733" w:name="_Toc292559907"/>
      <w:bookmarkStart w:id="2734" w:name="_Toc296944536"/>
      <w:bookmarkStart w:id="2735" w:name="_Toc296346698"/>
      <w:bookmarkStart w:id="2736" w:name="_Toc296503197"/>
      <w:bookmarkStart w:id="2737" w:name="_Toc296891025"/>
      <w:bookmarkStart w:id="2738" w:name="_Toc297216203"/>
      <w:bookmarkStart w:id="2739" w:name="_Toc300934993"/>
      <w:bookmarkStart w:id="2740" w:name="_Toc297120497"/>
      <w:bookmarkStart w:id="2741" w:name="_Toc297048383"/>
      <w:bookmarkStart w:id="2742" w:name="_Toc312677503"/>
      <w:bookmarkStart w:id="2743" w:name="_Toc304295570"/>
      <w:bookmarkStart w:id="2744" w:name="_Toc312678029"/>
      <w:r>
        <w:rPr>
          <w:rFonts w:hint="eastAsia" w:ascii="宋体" w:hAnsi="宋体" w:cs="宋体"/>
          <w:color w:val="000000"/>
          <w:szCs w:val="21"/>
        </w:rPr>
        <w:t>0.3承</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Start w:id="2745" w:name="_Toc296891031"/>
      <w:bookmarkStart w:id="2746" w:name="_Toc297216204"/>
      <w:bookmarkStart w:id="2747" w:name="_Toc296503203"/>
      <w:bookmarkStart w:id="2748" w:name="_Toc297120503"/>
      <w:bookmarkStart w:id="2749" w:name="_Toc297123545"/>
      <w:bookmarkStart w:id="2750" w:name="_Toc296347202"/>
      <w:bookmarkStart w:id="2751" w:name="_Toc300934994"/>
      <w:bookmarkStart w:id="2752" w:name="_Toc296944542"/>
      <w:bookmarkStart w:id="2753" w:name="_Toc292559913"/>
      <w:bookmarkStart w:id="2754" w:name="_Toc297048389"/>
      <w:bookmarkStart w:id="2755" w:name="_Toc296346704"/>
      <w:bookmarkStart w:id="2756" w:name="_Toc296891243"/>
      <w:bookmarkStart w:id="2757" w:name="_Toc292559408"/>
      <w:bookmarkStart w:id="2758" w:name="_Toc303539151"/>
      <w:r>
        <w:rPr>
          <w:rFonts w:hint="eastAsia" w:ascii="宋体" w:hAnsi="宋体" w:cs="宋体"/>
          <w:color w:val="000000"/>
          <w:szCs w:val="21"/>
        </w:rPr>
        <w:t>包人的合理化建议</w:t>
      </w:r>
    </w:p>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Pr>
        <w:spacing w:line="360" w:lineRule="auto"/>
        <w:ind w:firstLine="480" w:firstLineChars="200"/>
        <w:jc w:val="left"/>
        <w:rPr>
          <w:rFonts w:hint="eastAsia" w:ascii="宋体" w:hAnsi="宋体" w:cs="宋体"/>
          <w:szCs w:val="21"/>
        </w:rPr>
      </w:pPr>
      <w:r>
        <w:rPr>
          <w:rFonts w:hint="eastAsia" w:ascii="宋体" w:hAnsi="宋体" w:cs="宋体"/>
          <w:szCs w:val="21"/>
        </w:rPr>
        <w:t>监理人审查承包人合理化建议的期限：</w:t>
      </w:r>
      <w:r>
        <w:rPr>
          <w:rFonts w:hint="eastAsia" w:ascii="宋体" w:hAnsi="宋体" w:cs="宋体"/>
          <w:szCs w:val="21"/>
          <w:u w:val="single"/>
        </w:rPr>
        <w:t xml:space="preserve">   无  </w:t>
      </w:r>
      <w:r>
        <w:rPr>
          <w:rFonts w:hint="eastAsia" w:ascii="宋体" w:hAnsi="宋体" w:cs="宋体"/>
          <w:szCs w:val="21"/>
        </w:rPr>
        <w:t>。</w:t>
      </w:r>
    </w:p>
    <w:p>
      <w:pPr>
        <w:spacing w:line="360" w:lineRule="auto"/>
        <w:ind w:firstLine="480" w:firstLineChars="200"/>
        <w:jc w:val="left"/>
        <w:rPr>
          <w:rFonts w:hint="eastAsia" w:ascii="宋体" w:hAnsi="宋体" w:cs="宋体"/>
          <w:szCs w:val="21"/>
        </w:rPr>
      </w:pPr>
      <w:r>
        <w:rPr>
          <w:rFonts w:hint="eastAsia" w:ascii="宋体" w:hAnsi="宋体" w:cs="宋体"/>
          <w:szCs w:val="21"/>
        </w:rPr>
        <w:t>发包人审批承包人合理化建议的期限：</w:t>
      </w:r>
      <w:r>
        <w:rPr>
          <w:rFonts w:hint="eastAsia" w:ascii="宋体" w:hAnsi="宋体" w:cs="宋体"/>
          <w:szCs w:val="21"/>
          <w:u w:val="single"/>
        </w:rPr>
        <w:t xml:space="preserve">   无  </w:t>
      </w:r>
      <w:r>
        <w:rPr>
          <w:rFonts w:hint="eastAsia" w:ascii="宋体" w:hAnsi="宋体" w:cs="宋体"/>
          <w:szCs w:val="21"/>
        </w:rPr>
        <w:t>。</w:t>
      </w:r>
    </w:p>
    <w:p>
      <w:pPr>
        <w:spacing w:line="360" w:lineRule="auto"/>
        <w:ind w:firstLine="480" w:firstLineChars="200"/>
        <w:jc w:val="left"/>
        <w:rPr>
          <w:rFonts w:hint="eastAsia" w:ascii="宋体" w:hAnsi="宋体" w:cs="宋体"/>
          <w:szCs w:val="21"/>
          <w:u w:val="single"/>
        </w:rPr>
      </w:pPr>
      <w:r>
        <w:rPr>
          <w:rFonts w:hint="eastAsia" w:ascii="宋体" w:hAnsi="宋体" w:cs="宋体"/>
          <w:szCs w:val="21"/>
        </w:rPr>
        <w:t>承</w:t>
      </w:r>
      <w:bookmarkStart w:id="2759" w:name="_Toc300934995"/>
      <w:bookmarkStart w:id="2760" w:name="_Toc292559914"/>
      <w:bookmarkStart w:id="2761" w:name="_Toc297120504"/>
      <w:bookmarkStart w:id="2762" w:name="_Toc296891032"/>
      <w:bookmarkStart w:id="2763" w:name="_Toc304295571"/>
      <w:bookmarkStart w:id="2764" w:name="_Toc303539152"/>
      <w:bookmarkStart w:id="2765" w:name="_Toc297216205"/>
      <w:bookmarkStart w:id="2766" w:name="_Toc292559409"/>
      <w:bookmarkStart w:id="2767" w:name="_Toc296944543"/>
      <w:bookmarkStart w:id="2768" w:name="_Toc296347203"/>
      <w:bookmarkStart w:id="2769" w:name="_Toc296346705"/>
      <w:bookmarkStart w:id="2770" w:name="_Toc297123546"/>
      <w:bookmarkStart w:id="2771" w:name="_Toc312678030"/>
      <w:bookmarkStart w:id="2772" w:name="_Toc312677504"/>
      <w:bookmarkStart w:id="2773" w:name="_Toc296503204"/>
      <w:bookmarkStart w:id="2774" w:name="_Toc297048390"/>
      <w:bookmarkStart w:id="2775" w:name="_Toc296891244"/>
      <w:bookmarkStart w:id="2776" w:name="_Toc318581175"/>
      <w:r>
        <w:rPr>
          <w:rFonts w:hint="eastAsia" w:ascii="宋体" w:hAnsi="宋体" w:cs="宋体"/>
          <w:szCs w:val="21"/>
        </w:rPr>
        <w:t>包人提出的合理化建议降低了合同价格或者提高了工程经济效益的奖励的方法和金额为：</w:t>
      </w:r>
      <w:r>
        <w:rPr>
          <w:rFonts w:hint="eastAsia" w:ascii="宋体" w:hAnsi="宋体" w:cs="宋体"/>
          <w:szCs w:val="21"/>
          <w:u w:val="single"/>
        </w:rPr>
        <w:t xml:space="preserve">    另行协商                 </w:t>
      </w:r>
      <w:r>
        <w:rPr>
          <w:rFonts w:hint="eastAsia" w:ascii="宋体" w:hAnsi="宋体" w:cs="宋体"/>
          <w:szCs w:val="21"/>
        </w:rPr>
        <w:t>。</w:t>
      </w:r>
    </w:p>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1</w:t>
      </w:r>
      <w:bookmarkStart w:id="2777" w:name="_Toc304295574"/>
      <w:bookmarkStart w:id="2778" w:name="_Toc303539154"/>
      <w:bookmarkStart w:id="2779" w:name="_Toc296347198"/>
      <w:bookmarkStart w:id="2780" w:name="_Toc292559404"/>
      <w:bookmarkStart w:id="2781" w:name="_Toc296346700"/>
      <w:bookmarkStart w:id="2782" w:name="_Toc300934997"/>
      <w:bookmarkStart w:id="2783" w:name="_Toc292559909"/>
      <w:bookmarkStart w:id="2784" w:name="_Toc296891027"/>
      <w:bookmarkStart w:id="2785" w:name="_Toc296503199"/>
      <w:bookmarkStart w:id="2786" w:name="_Toc296944538"/>
      <w:bookmarkStart w:id="2787" w:name="_Toc297048385"/>
      <w:bookmarkStart w:id="2788" w:name="_Toc312677507"/>
      <w:bookmarkStart w:id="2789" w:name="_Toc296891239"/>
      <w:bookmarkStart w:id="2790" w:name="_Toc312678033"/>
      <w:bookmarkStart w:id="2791" w:name="_Toc297123548"/>
      <w:bookmarkStart w:id="2792" w:name="_Toc297120499"/>
      <w:bookmarkStart w:id="2793" w:name="_Toc297216207"/>
      <w:r>
        <w:rPr>
          <w:rFonts w:hint="eastAsia" w:ascii="宋体" w:hAnsi="宋体" w:cs="宋体"/>
          <w:color w:val="000000"/>
          <w:szCs w:val="21"/>
        </w:rPr>
        <w:t>0.7 暂估价</w:t>
      </w:r>
    </w:p>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Pr>
        <w:spacing w:line="360" w:lineRule="auto"/>
        <w:ind w:firstLine="480" w:firstLineChars="200"/>
        <w:jc w:val="left"/>
        <w:rPr>
          <w:rFonts w:hint="eastAsia" w:ascii="宋体" w:hAnsi="宋体" w:cs="宋体"/>
          <w:szCs w:val="21"/>
          <w:u w:val="single"/>
        </w:rPr>
      </w:pPr>
      <w:r>
        <w:rPr>
          <w:rFonts w:hint="eastAsia" w:ascii="宋体" w:hAnsi="宋体" w:cs="宋体"/>
          <w:kern w:val="0"/>
          <w:szCs w:val="21"/>
        </w:rPr>
        <w:t>暂</w:t>
      </w:r>
      <w:bookmarkStart w:id="2794" w:name="_Toc312677508"/>
      <w:bookmarkStart w:id="2795" w:name="_Toc318581176"/>
      <w:bookmarkStart w:id="2796" w:name="_Toc312678034"/>
      <w:r>
        <w:rPr>
          <w:rFonts w:hint="eastAsia" w:ascii="宋体" w:hAnsi="宋体" w:cs="宋体"/>
          <w:kern w:val="0"/>
          <w:szCs w:val="21"/>
        </w:rPr>
        <w:t>估价材料和工程设备的明细详见附件11：</w:t>
      </w:r>
      <w:r>
        <w:rPr>
          <w:rFonts w:hint="eastAsia" w:ascii="宋体" w:hAnsi="宋体" w:cs="宋体"/>
          <w:szCs w:val="21"/>
          <w:u w:val="single"/>
        </w:rPr>
        <w:t>详见工程量清单及  《暂估价一览表》。</w:t>
      </w:r>
    </w:p>
    <w:bookmarkEnd w:id="2794"/>
    <w:bookmarkEnd w:id="2795"/>
    <w:bookmarkEnd w:id="2796"/>
    <w:p>
      <w:pPr>
        <w:spacing w:line="360" w:lineRule="auto"/>
        <w:ind w:firstLine="480" w:firstLineChars="200"/>
        <w:jc w:val="left"/>
        <w:rPr>
          <w:rFonts w:hint="eastAsia" w:ascii="宋体" w:hAnsi="宋体" w:cs="宋体"/>
          <w:szCs w:val="21"/>
        </w:rPr>
      </w:pPr>
      <w:r>
        <w:rPr>
          <w:rFonts w:hint="eastAsia" w:ascii="宋体" w:hAnsi="宋体" w:cs="宋体"/>
          <w:szCs w:val="21"/>
        </w:rPr>
        <w:t>1</w:t>
      </w:r>
      <w:bookmarkStart w:id="2797" w:name="_Toc312678035"/>
      <w:bookmarkStart w:id="2798" w:name="_Toc318581177"/>
      <w:bookmarkStart w:id="2799" w:name="_Toc312677509"/>
      <w:r>
        <w:rPr>
          <w:rFonts w:hint="eastAsia" w:ascii="宋体" w:hAnsi="宋体" w:cs="宋体"/>
          <w:szCs w:val="21"/>
        </w:rPr>
        <w:t>0.7.1 依法必须招标的暂估价项目</w:t>
      </w:r>
    </w:p>
    <w:bookmarkEnd w:id="2797"/>
    <w:bookmarkEnd w:id="2798"/>
    <w:bookmarkEnd w:id="2799"/>
    <w:p>
      <w:pPr>
        <w:spacing w:line="360" w:lineRule="auto"/>
        <w:ind w:firstLine="480" w:firstLineChars="200"/>
        <w:jc w:val="left"/>
        <w:rPr>
          <w:rFonts w:hint="eastAsia" w:ascii="宋体" w:hAnsi="宋体" w:cs="宋体"/>
          <w:szCs w:val="21"/>
        </w:rPr>
      </w:pPr>
      <w:r>
        <w:rPr>
          <w:rFonts w:hint="eastAsia" w:ascii="宋体" w:hAnsi="宋体" w:cs="宋体"/>
          <w:szCs w:val="21"/>
        </w:rPr>
        <w:t>对于依法必须招标的暂估价项目的确认和批准采取通用条款</w:t>
      </w:r>
      <w:r>
        <w:rPr>
          <w:rFonts w:ascii="宋体" w:hAnsi="宋体" w:cs="宋体"/>
          <w:szCs w:val="21"/>
        </w:rPr>
        <w:t>第10.7.1</w:t>
      </w:r>
      <w:r>
        <w:rPr>
          <w:rFonts w:hint="eastAsia" w:ascii="宋体" w:hAnsi="宋体" w:cs="宋体"/>
          <w:szCs w:val="21"/>
        </w:rPr>
        <w:t>第</w:t>
      </w:r>
      <w:r>
        <w:rPr>
          <w:rFonts w:hint="eastAsia" w:ascii="宋体" w:hAnsi="宋体" w:cs="宋体"/>
          <w:szCs w:val="21"/>
          <w:u w:val="single"/>
        </w:rPr>
        <w:t xml:space="preserve"> 2 </w:t>
      </w:r>
      <w:r>
        <w:rPr>
          <w:rFonts w:hint="eastAsia" w:ascii="宋体" w:hAnsi="宋体" w:cs="宋体"/>
          <w:szCs w:val="21"/>
        </w:rPr>
        <w:t>种方式确定。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pPr>
        <w:spacing w:line="360" w:lineRule="auto"/>
        <w:ind w:firstLine="480" w:firstLineChars="200"/>
        <w:jc w:val="left"/>
        <w:rPr>
          <w:rFonts w:hint="eastAsia" w:ascii="宋体" w:hAnsi="宋体" w:cs="宋体"/>
          <w:szCs w:val="21"/>
        </w:rPr>
      </w:pPr>
      <w:r>
        <w:rPr>
          <w:rFonts w:hint="eastAsia" w:ascii="宋体" w:hAnsi="宋体" w:cs="宋体"/>
          <w:szCs w:val="21"/>
        </w:rPr>
        <w:t>10.7.2 不属于依法必须招标的暂估价项目</w:t>
      </w:r>
    </w:p>
    <w:p>
      <w:pPr>
        <w:spacing w:line="360" w:lineRule="auto"/>
        <w:ind w:firstLine="480" w:firstLineChars="200"/>
        <w:jc w:val="left"/>
        <w:rPr>
          <w:rFonts w:hint="eastAsia" w:ascii="宋体" w:hAnsi="宋体" w:cs="宋体"/>
          <w:szCs w:val="21"/>
        </w:rPr>
      </w:pPr>
      <w:r>
        <w:rPr>
          <w:rFonts w:hint="eastAsia" w:ascii="宋体" w:hAnsi="宋体" w:cs="宋体"/>
          <w:szCs w:val="21"/>
        </w:rPr>
        <w:t>对于不属于依法必须招标的暂估价项目的确认和批准采取通用条款</w:t>
      </w:r>
      <w:r>
        <w:rPr>
          <w:rFonts w:ascii="宋体" w:hAnsi="宋体" w:cs="宋体"/>
          <w:szCs w:val="21"/>
        </w:rPr>
        <w:t>第10.7.2</w:t>
      </w:r>
      <w:r>
        <w:rPr>
          <w:rFonts w:hint="eastAsia" w:ascii="宋体" w:hAnsi="宋体" w:cs="宋体"/>
          <w:szCs w:val="21"/>
        </w:rPr>
        <w:t>第</w:t>
      </w:r>
      <w:r>
        <w:rPr>
          <w:rFonts w:hint="eastAsia" w:ascii="宋体" w:hAnsi="宋体" w:cs="宋体"/>
          <w:szCs w:val="21"/>
          <w:u w:val="single"/>
        </w:rPr>
        <w:t xml:space="preserve"> 2 </w:t>
      </w:r>
      <w:r>
        <w:rPr>
          <w:rFonts w:hint="eastAsia" w:ascii="宋体" w:hAnsi="宋体" w:cs="宋体"/>
          <w:szCs w:val="21"/>
        </w:rPr>
        <w:t>种或第</w:t>
      </w:r>
      <w:r>
        <w:rPr>
          <w:rFonts w:hint="eastAsia" w:ascii="宋体" w:hAnsi="宋体" w:cs="宋体"/>
          <w:szCs w:val="21"/>
          <w:u w:val="single"/>
        </w:rPr>
        <w:t>3</w:t>
      </w:r>
      <w:r>
        <w:rPr>
          <w:rFonts w:hint="eastAsia" w:ascii="宋体" w:hAnsi="宋体" w:cs="宋体"/>
          <w:szCs w:val="21"/>
        </w:rPr>
        <w:t>方式确定。</w:t>
      </w:r>
    </w:p>
    <w:p>
      <w:pPr>
        <w:spacing w:line="360" w:lineRule="auto"/>
        <w:ind w:firstLine="480" w:firstLineChars="200"/>
        <w:jc w:val="left"/>
        <w:rPr>
          <w:rFonts w:ascii="宋体" w:hAnsi="宋体" w:cs="宋体"/>
          <w:szCs w:val="21"/>
        </w:rPr>
      </w:pPr>
      <w:r>
        <w:rPr>
          <w:rFonts w:ascii="宋体" w:hAnsi="宋体" w:cs="宋体"/>
          <w:szCs w:val="21"/>
        </w:rPr>
        <w:t>第2种方式：承包人按照</w:t>
      </w:r>
      <w:r>
        <w:rPr>
          <w:rFonts w:hint="eastAsia" w:ascii="宋体" w:hAnsi="宋体" w:cs="宋体"/>
          <w:szCs w:val="21"/>
        </w:rPr>
        <w:t>通用条款</w:t>
      </w:r>
      <w:r>
        <w:rPr>
          <w:rFonts w:ascii="宋体" w:hAnsi="宋体" w:cs="宋体"/>
          <w:szCs w:val="21"/>
        </w:rPr>
        <w:t>第10.7.1项</w:t>
      </w:r>
      <w:r>
        <w:rPr>
          <w:rFonts w:hint="eastAsia" w:ascii="宋体" w:hAnsi="宋体" w:cs="宋体"/>
          <w:szCs w:val="21"/>
        </w:rPr>
        <w:t>〔</w:t>
      </w:r>
      <w:r>
        <w:rPr>
          <w:rFonts w:ascii="宋体" w:hAnsi="宋体" w:cs="宋体"/>
          <w:szCs w:val="21"/>
        </w:rPr>
        <w:t>依法必须招标的暂估价项目</w:t>
      </w:r>
      <w:r>
        <w:rPr>
          <w:rFonts w:hint="eastAsia" w:ascii="宋体" w:hAnsi="宋体" w:cs="宋体"/>
          <w:szCs w:val="21"/>
        </w:rPr>
        <w:t>〕</w:t>
      </w:r>
      <w:r>
        <w:rPr>
          <w:rFonts w:ascii="宋体" w:hAnsi="宋体" w:cs="宋体"/>
          <w:szCs w:val="21"/>
        </w:rPr>
        <w:t>约定的第1种方式确定暂估价项目。</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szCs w:val="21"/>
        </w:rPr>
        <w:t>第3种方式：</w:t>
      </w:r>
      <w:r>
        <w:rPr>
          <w:rFonts w:hint="eastAsia" w:ascii="宋体" w:hAnsi="宋体" w:cs="宋体"/>
          <w:color w:val="000000"/>
          <w:kern w:val="0"/>
          <w:szCs w:val="21"/>
        </w:rPr>
        <w:t>承包人直接实施的暂估价项目</w:t>
      </w:r>
    </w:p>
    <w:p>
      <w:pPr>
        <w:spacing w:line="360" w:lineRule="auto"/>
        <w:ind w:firstLine="480" w:firstLineChars="200"/>
        <w:jc w:val="left"/>
        <w:rPr>
          <w:rFonts w:hint="eastAsia" w:ascii="宋体" w:hAnsi="宋体" w:cs="宋体"/>
          <w:szCs w:val="21"/>
        </w:rPr>
      </w:pPr>
      <w:r>
        <w:rPr>
          <w:rFonts w:hint="eastAsia" w:ascii="宋体" w:hAnsi="宋体" w:cs="宋体"/>
          <w:szCs w:val="21"/>
        </w:rPr>
        <w:t>承包人直接实施的暂估价项目的约定：</w:t>
      </w:r>
      <w:r>
        <w:rPr>
          <w:rFonts w:hint="eastAsia" w:ascii="宋体" w:hAnsi="宋体" w:cs="宋体"/>
          <w:szCs w:val="21"/>
          <w:u w:val="single"/>
        </w:rPr>
        <w:t xml:space="preserve"> （1）承包人采购材料设备，其供应商、品牌、规格、质量（等级）、产地、价格须经发包人认可后，方可采购。结算时，按发包人签字认可的实际价格进行结算；（2）承包人实施工程，其申报程序、价格确定原则参照工程变更执行。</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10.8 暂列金额</w:t>
      </w:r>
    </w:p>
    <w:p>
      <w:pPr>
        <w:autoSpaceDE w:val="0"/>
        <w:autoSpaceDN w:val="0"/>
        <w:adjustRightInd w:val="0"/>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合同当事人关于暂列金额使用的约定：</w:t>
      </w:r>
      <w:r>
        <w:rPr>
          <w:rFonts w:hint="eastAsia" w:ascii="宋体" w:hAnsi="宋体" w:cs="宋体"/>
          <w:szCs w:val="21"/>
          <w:u w:val="single"/>
        </w:rPr>
        <w:t xml:space="preserve">  按照监理通知执行  </w:t>
      </w:r>
      <w:r>
        <w:rPr>
          <w:rFonts w:hint="eastAsia" w:ascii="宋体" w:hAnsi="宋体" w:cs="宋体"/>
          <w:color w:val="000000"/>
          <w:kern w:val="0"/>
          <w:szCs w:val="21"/>
        </w:rPr>
        <w:t>。</w:t>
      </w:r>
    </w:p>
    <w:p>
      <w:pPr>
        <w:pStyle w:val="6"/>
        <w:spacing w:before="120" w:after="120"/>
        <w:rPr>
          <w:rFonts w:hint="eastAsia" w:ascii="宋体" w:hAnsi="宋体" w:cs="宋体"/>
          <w:b w:val="0"/>
          <w:color w:val="000000"/>
          <w:szCs w:val="21"/>
        </w:rPr>
      </w:pPr>
      <w:bookmarkStart w:id="2800" w:name="_Toc351203643"/>
      <w:r>
        <w:rPr>
          <w:rFonts w:hint="eastAsia" w:ascii="宋体" w:hAnsi="宋体" w:cs="宋体"/>
          <w:b w:val="0"/>
          <w:color w:val="000000"/>
          <w:szCs w:val="21"/>
        </w:rPr>
        <w:t>11. 价格调整</w:t>
      </w:r>
      <w:bookmarkEnd w:id="2800"/>
    </w:p>
    <w:p>
      <w:pPr>
        <w:spacing w:after="120" w:line="360" w:lineRule="auto"/>
        <w:ind w:firstLine="480" w:firstLineChars="200"/>
        <w:rPr>
          <w:rFonts w:hint="eastAsia" w:ascii="宋体" w:hAnsi="宋体" w:cs="宋体"/>
          <w:color w:val="000000"/>
          <w:szCs w:val="21"/>
        </w:rPr>
      </w:pPr>
      <w:bookmarkStart w:id="2801" w:name="_Toc312678039"/>
      <w:bookmarkStart w:id="2802" w:name="_Toc296891029"/>
      <w:bookmarkStart w:id="2803" w:name="_Toc303539157"/>
      <w:bookmarkStart w:id="2804" w:name="_Toc296347200"/>
      <w:bookmarkStart w:id="2805" w:name="_Toc292559406"/>
      <w:bookmarkStart w:id="2806" w:name="_Toc297048387"/>
      <w:bookmarkStart w:id="2807" w:name="_Toc296503201"/>
      <w:bookmarkStart w:id="2808" w:name="_Toc297123550"/>
      <w:bookmarkStart w:id="2809" w:name="_Toc296944540"/>
      <w:bookmarkStart w:id="2810" w:name="_Toc292559911"/>
      <w:bookmarkStart w:id="2811" w:name="_Toc296346702"/>
      <w:bookmarkStart w:id="2812" w:name="_Toc296891241"/>
      <w:bookmarkStart w:id="2813" w:name="_Toc297216209"/>
      <w:bookmarkStart w:id="2814" w:name="_Toc304295577"/>
      <w:bookmarkStart w:id="2815" w:name="_Toc297120501"/>
      <w:bookmarkStart w:id="2816" w:name="_Toc300935000"/>
      <w:r>
        <w:rPr>
          <w:rFonts w:hint="eastAsia" w:ascii="宋体" w:hAnsi="宋体" w:cs="宋体"/>
          <w:color w:val="000000"/>
          <w:szCs w:val="21"/>
        </w:rPr>
        <w:t>11.1 市场价格波动引起的调整</w:t>
      </w:r>
    </w:p>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Pr>
        <w:spacing w:line="360" w:lineRule="auto"/>
        <w:ind w:firstLine="480" w:firstLineChars="200"/>
        <w:jc w:val="left"/>
        <w:rPr>
          <w:rFonts w:hint="eastAsia" w:ascii="宋体" w:hAnsi="宋体" w:cs="宋体"/>
          <w:szCs w:val="21"/>
        </w:rPr>
      </w:pPr>
      <w:r>
        <w:rPr>
          <w:rFonts w:hint="eastAsia" w:ascii="宋体" w:hAnsi="宋体" w:cs="宋体"/>
          <w:color w:val="000000"/>
          <w:kern w:val="0"/>
          <w:szCs w:val="21"/>
        </w:rPr>
        <w:t>市场价格波动是否调整合同价格的约定</w:t>
      </w:r>
      <w:r>
        <w:rPr>
          <w:rFonts w:hint="eastAsia" w:ascii="宋体" w:hAnsi="宋体" w:cs="宋体"/>
          <w:kern w:val="0"/>
          <w:szCs w:val="21"/>
        </w:rPr>
        <w:t>：</w:t>
      </w:r>
      <w:r>
        <w:rPr>
          <w:rFonts w:hint="eastAsia" w:ascii="宋体" w:hAnsi="宋体" w:cs="宋体"/>
          <w:szCs w:val="21"/>
          <w:u w:val="single"/>
        </w:rPr>
        <w:t xml:space="preserve">  </w:t>
      </w:r>
      <w:r>
        <w:rPr>
          <w:rFonts w:hint="eastAsia" w:ascii="宋体" w:hAnsi="宋体" w:cs="宋体"/>
          <w:b/>
          <w:szCs w:val="21"/>
          <w:u w:val="single"/>
        </w:rPr>
        <w:t xml:space="preserve"> 按如下约定调整 </w:t>
      </w:r>
      <w:r>
        <w:rPr>
          <w:rFonts w:hint="eastAsia" w:ascii="宋体" w:hAnsi="宋体" w:cs="宋体"/>
          <w:szCs w:val="21"/>
          <w:u w:val="single"/>
        </w:rPr>
        <w:t xml:space="preserve"> </w:t>
      </w:r>
      <w:r>
        <w:rPr>
          <w:rFonts w:hint="eastAsia" w:ascii="宋体" w:hAnsi="宋体" w:cs="宋体"/>
          <w:szCs w:val="21"/>
        </w:rPr>
        <w:t>。</w:t>
      </w:r>
    </w:p>
    <w:p>
      <w:pPr>
        <w:spacing w:line="360" w:lineRule="auto"/>
        <w:ind w:firstLine="480" w:firstLineChars="200"/>
        <w:jc w:val="left"/>
        <w:rPr>
          <w:rFonts w:hint="eastAsia" w:ascii="宋体" w:hAnsi="宋体" w:cs="宋体"/>
          <w:szCs w:val="21"/>
        </w:rPr>
      </w:pPr>
      <w:r>
        <w:rPr>
          <w:rFonts w:hint="eastAsia" w:ascii="宋体" w:hAnsi="宋体" w:cs="宋体"/>
          <w:szCs w:val="21"/>
        </w:rPr>
        <w:t>因市场价格波动调整合同价格，采用以下第</w:t>
      </w:r>
      <w:r>
        <w:rPr>
          <w:rFonts w:hint="eastAsia" w:ascii="宋体" w:hAnsi="宋体" w:cs="宋体"/>
          <w:szCs w:val="21"/>
          <w:u w:val="single"/>
        </w:rPr>
        <w:t xml:space="preserve">  2 </w:t>
      </w:r>
      <w:r>
        <w:rPr>
          <w:rFonts w:hint="eastAsia" w:ascii="宋体" w:hAnsi="宋体" w:cs="宋体"/>
          <w:szCs w:val="21"/>
        </w:rPr>
        <w:t>种方式对合同价格进行调整：</w:t>
      </w:r>
    </w:p>
    <w:p>
      <w:pPr>
        <w:spacing w:line="360" w:lineRule="auto"/>
        <w:ind w:firstLine="480" w:firstLineChars="200"/>
        <w:jc w:val="left"/>
        <w:rPr>
          <w:rFonts w:hint="eastAsia" w:ascii="宋体" w:hAnsi="宋体" w:cs="宋体"/>
          <w:szCs w:val="21"/>
        </w:rPr>
      </w:pPr>
      <w:r>
        <w:rPr>
          <w:rFonts w:hint="eastAsia" w:ascii="宋体" w:hAnsi="宋体" w:cs="宋体"/>
          <w:szCs w:val="21"/>
        </w:rPr>
        <w:t>第1种方式：采用价格指数进行价格调整。</w:t>
      </w:r>
    </w:p>
    <w:p>
      <w:pPr>
        <w:spacing w:line="360" w:lineRule="auto"/>
        <w:ind w:firstLine="480" w:firstLineChars="200"/>
        <w:jc w:val="left"/>
        <w:rPr>
          <w:rFonts w:hint="eastAsia" w:ascii="宋体" w:hAnsi="宋体" w:cs="宋体"/>
          <w:szCs w:val="21"/>
          <w:u w:val="single"/>
        </w:rPr>
      </w:pPr>
      <w:r>
        <w:rPr>
          <w:rFonts w:hint="eastAsia" w:ascii="宋体" w:hAnsi="宋体" w:cs="宋体"/>
          <w:szCs w:val="21"/>
        </w:rPr>
        <w:t>关于各可调因子、定值和变值权重，以及基本价格指数及其来源的约定：</w:t>
      </w:r>
      <w:r>
        <w:rPr>
          <w:rFonts w:hint="eastAsia" w:ascii="宋体" w:hAnsi="宋体" w:cs="宋体"/>
          <w:szCs w:val="21"/>
          <w:u w:val="single"/>
        </w:rPr>
        <w:t xml:space="preserve">  /   </w:t>
      </w:r>
      <w:r>
        <w:rPr>
          <w:rFonts w:hint="eastAsia" w:ascii="宋体" w:hAnsi="宋体" w:cs="宋体"/>
          <w:szCs w:val="21"/>
        </w:rPr>
        <w:t xml:space="preserve">；  </w:t>
      </w:r>
    </w:p>
    <w:p>
      <w:pPr>
        <w:spacing w:line="360" w:lineRule="auto"/>
        <w:ind w:firstLine="480" w:firstLineChars="200"/>
        <w:jc w:val="left"/>
        <w:rPr>
          <w:rFonts w:hint="eastAsia" w:ascii="宋体" w:hAnsi="宋体" w:cs="宋体"/>
          <w:szCs w:val="21"/>
        </w:rPr>
      </w:pPr>
      <w:r>
        <w:rPr>
          <w:rFonts w:hint="eastAsia" w:ascii="宋体" w:hAnsi="宋体" w:cs="宋体"/>
          <w:szCs w:val="21"/>
        </w:rPr>
        <w:t>第2种方式：采用造价信息进行价格调整。</w:t>
      </w:r>
    </w:p>
    <w:p>
      <w:pPr>
        <w:spacing w:line="360" w:lineRule="auto"/>
        <w:ind w:firstLine="480" w:firstLineChars="200"/>
        <w:jc w:val="left"/>
        <w:rPr>
          <w:rFonts w:hint="eastAsia" w:ascii="宋体" w:hAnsi="宋体" w:cs="宋体"/>
          <w:color w:val="000000"/>
          <w:szCs w:val="21"/>
        </w:rPr>
      </w:pPr>
      <w:r>
        <w:rPr>
          <w:rFonts w:hint="eastAsia" w:ascii="宋体" w:hAnsi="宋体" w:cs="宋体"/>
          <w:szCs w:val="21"/>
        </w:rPr>
        <w:t>本工程以下主要建筑材料：钢材、水泥、管材、沥青、石材、商品混凝</w:t>
      </w:r>
      <w:r>
        <w:rPr>
          <w:rFonts w:hint="eastAsia" w:ascii="宋体" w:hAnsi="宋体" w:cs="宋体"/>
          <w:color w:val="000000"/>
          <w:szCs w:val="21"/>
        </w:rPr>
        <w:t>土、沥青混凝土、水泥稳定碎石、二灰碎石、碎石、黄沙、石灰、电线电缆、防水材料，价格按以下方式调整：</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（1）承包人投标报价中材料单价低于基准单价：施工期间材料单价涨幅以基准单价为基础超过5%，或材料单价跌幅以投标报价为基础超过5%时，其超过部分按实调整。</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（2）承包人投标报价中材料单价高于基准单价：施工期间材料单价跌幅以基准单价为基础超过5%，或材料单价涨幅以投标报价为基础超过5%时，其超过部分按实调整。</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（3）承包人投标报价中材料单价等于基准单价：施工期间材料单价涨、跌幅均以基准单价为基础，涨幅超过5%和跌幅超过5%，其超过部分按实调整。</w:t>
      </w:r>
    </w:p>
    <w:p>
      <w:pPr>
        <w:spacing w:line="360" w:lineRule="auto"/>
        <w:ind w:firstLine="480" w:firstLineChars="200"/>
        <w:rPr>
          <w:rFonts w:hint="eastAsia" w:ascii="宋体" w:hAnsi="宋体" w:cs="宋体"/>
          <w:szCs w:val="21"/>
        </w:rPr>
      </w:pPr>
      <w:r>
        <w:rPr>
          <w:rFonts w:hint="eastAsia" w:ascii="宋体" w:hAnsi="宋体" w:cs="宋体"/>
          <w:szCs w:val="21"/>
        </w:rPr>
        <w:t>材料价格调整费用仅计取材料差价及其税金，不再计取其他相关费用。</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第3种方式：其他价格调整方式：</w:t>
      </w:r>
      <w:r>
        <w:rPr>
          <w:rFonts w:hint="eastAsia" w:ascii="宋体" w:hAnsi="宋体" w:cs="宋体"/>
          <w:color w:val="000000"/>
          <w:szCs w:val="21"/>
          <w:u w:val="single"/>
        </w:rPr>
        <w:t xml:space="preserve">     /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11.2 对于法律、法规、规章或有关政策出台导致工程税金、规费等发生变化的，应按照有关规定执行。</w:t>
      </w:r>
    </w:p>
    <w:p>
      <w:pPr>
        <w:pStyle w:val="14"/>
        <w:spacing w:line="360" w:lineRule="auto"/>
        <w:ind w:firstLine="480" w:firstLineChars="200"/>
        <w:rPr>
          <w:rFonts w:hint="eastAsia" w:ascii="宋体" w:hAnsi="宋体" w:cs="宋体"/>
          <w:szCs w:val="21"/>
          <w:u w:val="single"/>
        </w:rPr>
      </w:pPr>
      <w:r>
        <w:rPr>
          <w:rFonts w:hint="eastAsia" w:ascii="宋体" w:hAnsi="宋体" w:cs="宋体"/>
          <w:color w:val="000000"/>
          <w:szCs w:val="21"/>
        </w:rPr>
        <w:t>11.3关于基准价格的约定：</w:t>
      </w:r>
      <w:r>
        <w:rPr>
          <w:rFonts w:hint="eastAsia" w:ascii="宋体" w:hAnsi="宋体" w:cs="宋体"/>
          <w:color w:val="000000"/>
          <w:szCs w:val="21"/>
          <w:u w:val="single"/>
        </w:rPr>
        <w:t>材料价格以</w:t>
      </w:r>
      <w:r>
        <w:rPr>
          <w:rFonts w:ascii="宋体" w:hAnsi="宋体" w:cs="宋体"/>
          <w:color w:val="000000"/>
          <w:szCs w:val="21"/>
          <w:u w:val="single"/>
        </w:rPr>
        <w:t>201</w:t>
      </w:r>
      <w:r>
        <w:rPr>
          <w:rFonts w:hint="eastAsia" w:ascii="宋体" w:hAnsi="宋体" w:cs="宋体"/>
          <w:color w:val="000000"/>
          <w:szCs w:val="21"/>
          <w:u w:val="single"/>
        </w:rPr>
        <w:t>9年6月《徐州工程造价信息》为准，信息价没有标明的材料价格</w:t>
      </w:r>
      <w:r>
        <w:rPr>
          <w:rFonts w:hint="eastAsia" w:ascii="宋体" w:hAnsi="宋体" w:cs="宋体"/>
          <w:szCs w:val="21"/>
          <w:u w:val="single"/>
        </w:rPr>
        <w:t>以该项目招标控制价中的材料价格为准；</w:t>
      </w:r>
      <w:r>
        <w:rPr>
          <w:rFonts w:hint="eastAsia" w:ascii="宋体" w:hAnsi="宋体" w:cs="宋体"/>
          <w:b/>
          <w:color w:val="FF0000"/>
          <w:szCs w:val="21"/>
          <w:u w:val="single"/>
        </w:rPr>
        <w:t>人工费执行苏建函价(2019)142号文。</w:t>
      </w:r>
      <w:r>
        <w:rPr>
          <w:rFonts w:hint="eastAsia" w:ascii="宋体" w:hAnsi="宋体" w:cs="宋体"/>
          <w:szCs w:val="21"/>
          <w:u w:val="single"/>
        </w:rPr>
        <w:t>如遇政策调整，执行苏建价[2012]633号文件。</w:t>
      </w:r>
    </w:p>
    <w:bookmarkEnd w:id="2704"/>
    <w:bookmarkEnd w:id="2705"/>
    <w:bookmarkEnd w:id="2706"/>
    <w:bookmarkEnd w:id="2707"/>
    <w:bookmarkEnd w:id="2708"/>
    <w:bookmarkEnd w:id="2709"/>
    <w:p>
      <w:pPr>
        <w:pStyle w:val="6"/>
        <w:spacing w:before="120" w:after="120"/>
        <w:rPr>
          <w:rFonts w:hint="eastAsia" w:ascii="宋体" w:hAnsi="宋体" w:cs="宋体"/>
          <w:b w:val="0"/>
          <w:color w:val="000000"/>
          <w:szCs w:val="21"/>
        </w:rPr>
      </w:pPr>
      <w:bookmarkStart w:id="2817" w:name="_Toc296347204"/>
      <w:bookmarkStart w:id="2818" w:name="_Toc296891033"/>
      <w:bookmarkStart w:id="2819" w:name="_Toc292559915"/>
      <w:bookmarkStart w:id="2820" w:name="_Toc296346706"/>
      <w:bookmarkStart w:id="2821" w:name="_Toc292559410"/>
      <w:bookmarkStart w:id="2822" w:name="_Toc296503205"/>
      <w:bookmarkStart w:id="2823" w:name="_Toc297120505"/>
      <w:bookmarkStart w:id="2824" w:name="_Toc296891245"/>
      <w:bookmarkStart w:id="2825" w:name="_Toc297048391"/>
      <w:bookmarkStart w:id="2826" w:name="_Toc296944544"/>
      <w:bookmarkStart w:id="2827" w:name="_Toc351203644"/>
      <w:bookmarkStart w:id="2828" w:name="_Toc297216211"/>
      <w:bookmarkStart w:id="2829" w:name="_Toc312678040"/>
      <w:bookmarkStart w:id="2830" w:name="_Toc297123552"/>
      <w:bookmarkStart w:id="2831" w:name="_Toc303539159"/>
      <w:bookmarkStart w:id="2832" w:name="_Toc304295579"/>
      <w:bookmarkStart w:id="2833" w:name="_Toc300935002"/>
      <w:r>
        <w:rPr>
          <w:rFonts w:hint="eastAsia" w:ascii="宋体" w:hAnsi="宋体" w:cs="宋体"/>
          <w:b w:val="0"/>
          <w:color w:val="000000"/>
          <w:szCs w:val="21"/>
        </w:rPr>
        <w:t xml:space="preserve">12. </w:t>
      </w:r>
      <w:bookmarkEnd w:id="2817"/>
      <w:bookmarkEnd w:id="2818"/>
      <w:bookmarkEnd w:id="2819"/>
      <w:bookmarkEnd w:id="2820"/>
      <w:bookmarkEnd w:id="2821"/>
      <w:bookmarkEnd w:id="2822"/>
      <w:bookmarkEnd w:id="2823"/>
      <w:bookmarkEnd w:id="2824"/>
      <w:bookmarkEnd w:id="2825"/>
      <w:bookmarkEnd w:id="2826"/>
      <w:r>
        <w:rPr>
          <w:rFonts w:hint="eastAsia" w:ascii="宋体" w:hAnsi="宋体" w:cs="宋体"/>
          <w:b w:val="0"/>
          <w:color w:val="000000"/>
          <w:szCs w:val="21"/>
        </w:rPr>
        <w:t>合同价格、计量与支付</w:t>
      </w:r>
      <w:bookmarkEnd w:id="2827"/>
    </w:p>
    <w:bookmarkEnd w:id="2828"/>
    <w:bookmarkEnd w:id="2829"/>
    <w:bookmarkEnd w:id="2830"/>
    <w:bookmarkEnd w:id="2831"/>
    <w:bookmarkEnd w:id="2832"/>
    <w:bookmarkEnd w:id="2833"/>
    <w:p>
      <w:pPr>
        <w:spacing w:after="120" w:line="360" w:lineRule="auto"/>
        <w:ind w:firstLine="480" w:firstLineChars="200"/>
        <w:rPr>
          <w:rFonts w:hint="eastAsia" w:ascii="宋体" w:hAnsi="宋体" w:cs="宋体"/>
          <w:color w:val="000000"/>
          <w:szCs w:val="21"/>
        </w:rPr>
      </w:pPr>
      <w:bookmarkStart w:id="2834" w:name="_Toc267251461"/>
      <w:bookmarkStart w:id="2835" w:name="_Toc292559411"/>
      <w:bookmarkStart w:id="2836" w:name="_Toc292559916"/>
      <w:bookmarkStart w:id="2837" w:name="_Toc296944545"/>
      <w:bookmarkStart w:id="2838" w:name="_Toc296347205"/>
      <w:bookmarkStart w:id="2839" w:name="_Toc296891034"/>
      <w:bookmarkStart w:id="2840" w:name="_Toc297048392"/>
      <w:bookmarkStart w:id="2841" w:name="_Toc296503206"/>
      <w:bookmarkStart w:id="2842" w:name="_Toc296346707"/>
      <w:bookmarkStart w:id="2843" w:name="_Toc297120506"/>
      <w:bookmarkStart w:id="2844" w:name="_Toc296891246"/>
      <w:bookmarkStart w:id="2845" w:name="_Toc297123553"/>
      <w:bookmarkStart w:id="2846" w:name="_Toc303539160"/>
      <w:bookmarkStart w:id="2847" w:name="_Toc312678041"/>
      <w:bookmarkStart w:id="2848" w:name="_Toc300935003"/>
      <w:bookmarkStart w:id="2849" w:name="_Toc297216212"/>
      <w:bookmarkStart w:id="2850" w:name="_Toc304295580"/>
      <w:r>
        <w:rPr>
          <w:rFonts w:hint="eastAsia" w:ascii="宋体" w:hAnsi="宋体" w:cs="宋体"/>
          <w:color w:val="000000"/>
          <w:szCs w:val="21"/>
        </w:rPr>
        <w:t>12.1 合</w:t>
      </w:r>
      <w:bookmarkEnd w:id="2834"/>
      <w:bookmarkEnd w:id="2835"/>
      <w:bookmarkEnd w:id="2836"/>
      <w:r>
        <w:rPr>
          <w:rFonts w:hint="eastAsia" w:ascii="宋体" w:hAnsi="宋体" w:cs="宋体"/>
          <w:color w:val="000000"/>
          <w:szCs w:val="21"/>
        </w:rPr>
        <w:t>同价</w:t>
      </w:r>
      <w:bookmarkEnd w:id="2837"/>
      <w:bookmarkEnd w:id="2838"/>
      <w:bookmarkEnd w:id="2839"/>
      <w:bookmarkEnd w:id="2840"/>
      <w:bookmarkEnd w:id="2841"/>
      <w:bookmarkEnd w:id="2842"/>
      <w:bookmarkEnd w:id="2843"/>
      <w:bookmarkEnd w:id="2844"/>
      <w:r>
        <w:rPr>
          <w:rFonts w:hint="eastAsia" w:ascii="宋体" w:hAnsi="宋体" w:cs="宋体"/>
          <w:color w:val="000000"/>
          <w:szCs w:val="21"/>
        </w:rPr>
        <w:t>格形式</w:t>
      </w:r>
    </w:p>
    <w:bookmarkEnd w:id="2845"/>
    <w:bookmarkEnd w:id="2846"/>
    <w:bookmarkEnd w:id="2847"/>
    <w:bookmarkEnd w:id="2848"/>
    <w:bookmarkEnd w:id="2849"/>
    <w:bookmarkEnd w:id="2850"/>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1、单价合同。</w:t>
      </w:r>
      <w:r>
        <w:rPr>
          <w:rFonts w:hint="eastAsia" w:ascii="宋体" w:hAnsi="宋体" w:cs="宋体"/>
          <w:color w:val="000000"/>
          <w:szCs w:val="21"/>
          <w:u w:val="single"/>
        </w:rPr>
        <w:t>本工程综合单价在约定的风险范围内固定。</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综合单价包含的风险范围、风险费用的计算方法、风险范围以外合同价格的调整方法约定如下：</w:t>
      </w:r>
    </w:p>
    <w:p>
      <w:pPr>
        <w:spacing w:line="360" w:lineRule="auto"/>
        <w:ind w:firstLine="240" w:firstLineChars="100"/>
        <w:jc w:val="left"/>
        <w:rPr>
          <w:rFonts w:hint="eastAsia" w:ascii="宋体" w:hAnsi="宋体" w:cs="宋体"/>
          <w:color w:val="000000"/>
          <w:szCs w:val="21"/>
          <w:u w:val="single"/>
        </w:rPr>
      </w:pPr>
      <w:r>
        <w:rPr>
          <w:rFonts w:hint="eastAsia" w:ascii="宋体" w:hAnsi="宋体" w:cs="宋体"/>
          <w:color w:val="000000"/>
          <w:szCs w:val="21"/>
        </w:rPr>
        <w:t>（1）</w:t>
      </w:r>
      <w:r>
        <w:rPr>
          <w:rFonts w:hint="eastAsia" w:ascii="宋体" w:hAnsi="宋体" w:cs="宋体"/>
          <w:color w:val="000000"/>
          <w:szCs w:val="21"/>
          <w:u w:val="single"/>
        </w:rPr>
        <w:t>因市场价格波动引起的调整按第11.1款，因法律、政策引起的调整按第11.2款约定执行；人工费调整执行苏建价[2012]633号文件，人工单价按照施工期间对应的人工工资指导价进行调整，并扣除原投标报价中人工单价相对基准日人工工资指导价的让利部分。</w:t>
      </w:r>
    </w:p>
    <w:p>
      <w:pPr>
        <w:adjustRightInd w:val="0"/>
        <w:spacing w:line="360" w:lineRule="auto"/>
        <w:ind w:left="240" w:leftChars="100" w:firstLine="171" w:firstLineChars="71"/>
        <w:rPr>
          <w:rFonts w:hint="eastAsia" w:ascii="宋体" w:hAnsi="宋体"/>
          <w:b/>
          <w:color w:val="FF0000"/>
          <w:highlight w:val="white"/>
          <w:u w:val="single"/>
        </w:rPr>
      </w:pPr>
      <w:r>
        <w:rPr>
          <w:rFonts w:hint="eastAsia" w:ascii="宋体" w:hAnsi="宋体"/>
          <w:b/>
          <w:color w:val="FF0000"/>
          <w:highlight w:val="white"/>
          <w:u w:val="single"/>
        </w:rPr>
        <w:t>（2）当结算工程量小于或等于投标清单工程量的115%时，其相应综合单价仍按投标单价进行结算。</w:t>
      </w:r>
    </w:p>
    <w:p>
      <w:pPr>
        <w:adjustRightInd w:val="0"/>
        <w:spacing w:line="360" w:lineRule="auto"/>
        <w:ind w:firstLine="240" w:firstLineChars="100"/>
        <w:rPr>
          <w:rFonts w:hint="eastAsia" w:ascii="宋体" w:hAnsi="宋体"/>
          <w:highlight w:val="white"/>
          <w:u w:val="single"/>
        </w:rPr>
      </w:pPr>
      <w:r>
        <w:rPr>
          <w:rFonts w:hint="eastAsia" w:ascii="宋体" w:hAnsi="宋体" w:cs="宋体"/>
          <w:color w:val="000000"/>
          <w:szCs w:val="21"/>
        </w:rPr>
        <w:t>（3）</w:t>
      </w:r>
      <w:r>
        <w:rPr>
          <w:rFonts w:hint="eastAsia" w:ascii="宋体" w:hAnsi="宋体"/>
          <w:b/>
          <w:color w:val="FF0000"/>
          <w:highlight w:val="white"/>
          <w:u w:val="single"/>
        </w:rPr>
        <w:t>当结算工程量大于投标清单工程量的115%以上时，对超出部分的工程量其相应综合单价执行招标控制价中对应的清单单价再乘以中标价（扣除暂列金和暂估价后）与招标控制价（扣除暂列金和暂估价后）相比的浮动比率后作为综合单价进行结算。</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2、总价合同。</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总价包含的风险范围：</w:t>
      </w:r>
      <w:r>
        <w:rPr>
          <w:rFonts w:hint="eastAsia" w:ascii="宋体" w:hAnsi="宋体" w:cs="宋体"/>
          <w:color w:val="000000"/>
          <w:szCs w:val="21"/>
          <w:u w:val="single"/>
        </w:rPr>
        <w:t xml:space="preserve">    /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风险费用的计算方法：</w:t>
      </w:r>
      <w:r>
        <w:rPr>
          <w:rFonts w:hint="eastAsia" w:ascii="宋体" w:hAnsi="宋体" w:cs="宋体"/>
          <w:color w:val="000000"/>
          <w:szCs w:val="21"/>
          <w:u w:val="single"/>
        </w:rPr>
        <w:t xml:space="preserve">     /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风险范围以外合同价格的调整方法：</w:t>
      </w:r>
      <w:r>
        <w:rPr>
          <w:rFonts w:hint="eastAsia" w:ascii="宋体" w:hAnsi="宋体" w:cs="宋体"/>
          <w:color w:val="000000"/>
          <w:szCs w:val="21"/>
          <w:u w:val="single"/>
        </w:rPr>
        <w:t xml:space="preserve">   /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3、其他价格方式：</w:t>
      </w:r>
      <w:r>
        <w:rPr>
          <w:rFonts w:hint="eastAsia" w:ascii="宋体" w:hAnsi="宋体" w:cs="宋体"/>
          <w:color w:val="000000"/>
          <w:szCs w:val="21"/>
          <w:u w:val="single"/>
        </w:rPr>
        <w:t xml:space="preserve">     /    </w:t>
      </w:r>
      <w:r>
        <w:rPr>
          <w:rFonts w:hint="eastAsia" w:ascii="宋体" w:hAnsi="宋体" w:cs="宋体"/>
          <w:color w:val="000000"/>
          <w:szCs w:val="21"/>
        </w:rPr>
        <w:t>。</w:t>
      </w:r>
    </w:p>
    <w:p>
      <w:pPr>
        <w:spacing w:after="120" w:line="360" w:lineRule="auto"/>
        <w:ind w:firstLine="480" w:firstLineChars="200"/>
        <w:rPr>
          <w:rFonts w:hint="eastAsia" w:ascii="宋体" w:hAnsi="宋体" w:cs="宋体"/>
          <w:color w:val="000000"/>
          <w:szCs w:val="21"/>
        </w:rPr>
      </w:pPr>
      <w:bookmarkStart w:id="2851" w:name="_Toc304295581"/>
      <w:bookmarkStart w:id="2852" w:name="_Toc303539161"/>
      <w:bookmarkStart w:id="2853" w:name="_Toc312678042"/>
      <w:bookmarkStart w:id="2854" w:name="_Toc297123554"/>
      <w:bookmarkStart w:id="2855" w:name="_Toc297216213"/>
      <w:bookmarkStart w:id="2856" w:name="_Toc300935004"/>
      <w:bookmarkStart w:id="2857" w:name="_Toc296346708"/>
      <w:bookmarkStart w:id="2858" w:name="_Toc292559917"/>
      <w:bookmarkStart w:id="2859" w:name="_Toc296347206"/>
      <w:bookmarkStart w:id="2860" w:name="_Toc296891247"/>
      <w:bookmarkStart w:id="2861" w:name="_Toc296944546"/>
      <w:bookmarkStart w:id="2862" w:name="_Toc292559412"/>
      <w:bookmarkStart w:id="2863" w:name="_Toc297120507"/>
      <w:bookmarkStart w:id="2864" w:name="_Toc296891035"/>
      <w:bookmarkStart w:id="2865" w:name="_Toc297048393"/>
      <w:bookmarkStart w:id="2866" w:name="_Toc296503207"/>
      <w:r>
        <w:rPr>
          <w:rFonts w:hint="eastAsia" w:ascii="宋体" w:hAnsi="宋体" w:cs="宋体"/>
          <w:color w:val="000000"/>
          <w:szCs w:val="21"/>
        </w:rPr>
        <w:t>12.2 预付款</w:t>
      </w:r>
      <w:r>
        <w:rPr>
          <w:rFonts w:hint="eastAsia" w:ascii="宋体" w:hAnsi="宋体" w:cs="宋体"/>
          <w:b/>
          <w:color w:val="FF0000"/>
          <w:szCs w:val="21"/>
        </w:rPr>
        <w:t>（项目公司参考执行）</w:t>
      </w:r>
    </w:p>
    <w:bookmarkEnd w:id="2851"/>
    <w:bookmarkEnd w:id="2852"/>
    <w:bookmarkEnd w:id="2853"/>
    <w:bookmarkEnd w:id="2854"/>
    <w:bookmarkEnd w:id="2855"/>
    <w:bookmarkEnd w:id="2856"/>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12.2.1 预付款的支付</w:t>
      </w:r>
    </w:p>
    <w:p>
      <w:pPr>
        <w:spacing w:line="360" w:lineRule="auto"/>
        <w:ind w:firstLine="480" w:firstLineChars="200"/>
        <w:jc w:val="left"/>
        <w:rPr>
          <w:rFonts w:hint="eastAsia" w:ascii="宋体" w:hAnsi="宋体" w:cs="宋体"/>
          <w:szCs w:val="21"/>
        </w:rPr>
      </w:pPr>
      <w:r>
        <w:rPr>
          <w:rFonts w:hint="eastAsia" w:ascii="宋体" w:hAnsi="宋体" w:cs="宋体"/>
          <w:color w:val="000000"/>
          <w:szCs w:val="21"/>
        </w:rPr>
        <w:t>预付款支付比例或金额：</w:t>
      </w:r>
      <w:r>
        <w:rPr>
          <w:rFonts w:hint="eastAsia" w:ascii="宋体" w:hAnsi="宋体" w:cs="宋体"/>
          <w:szCs w:val="21"/>
          <w:u w:val="single"/>
        </w:rPr>
        <w:t xml:space="preserve">    支付工程价款的25%    </w:t>
      </w:r>
      <w:r>
        <w:rPr>
          <w:rFonts w:hint="eastAsia" w:ascii="宋体" w:hAnsi="宋体" w:cs="宋体"/>
          <w:szCs w:val="21"/>
        </w:rPr>
        <w:t>。</w:t>
      </w:r>
    </w:p>
    <w:p>
      <w:pPr>
        <w:spacing w:line="360" w:lineRule="auto"/>
        <w:ind w:firstLine="480" w:firstLineChars="200"/>
        <w:jc w:val="left"/>
        <w:rPr>
          <w:rFonts w:hint="eastAsia" w:ascii="宋体" w:hAnsi="宋体" w:cs="宋体"/>
          <w:szCs w:val="21"/>
        </w:rPr>
      </w:pPr>
      <w:r>
        <w:rPr>
          <w:rFonts w:hint="eastAsia" w:ascii="宋体" w:hAnsi="宋体" w:cs="宋体"/>
          <w:szCs w:val="21"/>
        </w:rPr>
        <w:t>预付款支付期限：</w:t>
      </w:r>
      <w:r>
        <w:rPr>
          <w:rFonts w:hint="eastAsia" w:ascii="宋体" w:hAnsi="宋体" w:cs="宋体"/>
          <w:szCs w:val="21"/>
          <w:u w:val="single"/>
        </w:rPr>
        <w:t xml:space="preserve">     合同签订且施工人员、机械进场后28日内  </w:t>
      </w:r>
      <w:r>
        <w:rPr>
          <w:rFonts w:hint="eastAsia" w:ascii="宋体" w:hAnsi="宋体" w:cs="宋体"/>
          <w:szCs w:val="21"/>
        </w:rPr>
        <w:t>。</w:t>
      </w:r>
    </w:p>
    <w:p>
      <w:pPr>
        <w:spacing w:line="360" w:lineRule="auto"/>
        <w:ind w:firstLine="480" w:firstLineChars="200"/>
        <w:jc w:val="left"/>
        <w:rPr>
          <w:rFonts w:hint="eastAsia" w:ascii="宋体" w:hAnsi="宋体" w:cs="宋体"/>
          <w:szCs w:val="21"/>
        </w:rPr>
      </w:pPr>
      <w:r>
        <w:rPr>
          <w:rFonts w:hint="eastAsia" w:ascii="宋体" w:hAnsi="宋体" w:cs="宋体"/>
          <w:szCs w:val="21"/>
        </w:rPr>
        <w:t>预付款扣回的方式：</w:t>
      </w:r>
      <w:r>
        <w:rPr>
          <w:rFonts w:hint="eastAsia" w:ascii="宋体" w:hAnsi="宋体" w:cs="宋体"/>
          <w:szCs w:val="21"/>
          <w:u w:val="single"/>
        </w:rPr>
        <w:t xml:space="preserve">   从第一次工程进度款中扣除；当工程进度款总计付至合同</w:t>
      </w:r>
      <w:r>
        <w:rPr>
          <w:rFonts w:hint="eastAsia" w:ascii="宋体" w:hAnsi="宋体" w:cs="宋体"/>
          <w:color w:val="FF0000"/>
          <w:szCs w:val="21"/>
          <w:u w:val="single"/>
        </w:rPr>
        <w:t>价的</w:t>
      </w:r>
      <w:r>
        <w:rPr>
          <w:rFonts w:hint="eastAsia" w:ascii="宋体" w:hAnsi="宋体" w:cs="宋体"/>
          <w:b/>
          <w:color w:val="FF0000"/>
          <w:szCs w:val="21"/>
          <w:u w:val="single"/>
        </w:rPr>
        <w:t>80%时</w:t>
      </w:r>
      <w:r>
        <w:rPr>
          <w:rFonts w:hint="eastAsia" w:ascii="宋体" w:hAnsi="宋体" w:cs="宋体"/>
          <w:szCs w:val="21"/>
          <w:u w:val="single"/>
        </w:rPr>
        <w:t xml:space="preserve">，工程款待决算经财政审计后支付 </w:t>
      </w:r>
      <w:r>
        <w:rPr>
          <w:rFonts w:hint="eastAsia" w:ascii="宋体" w:hAnsi="宋体" w:cs="宋体"/>
          <w:szCs w:val="21"/>
        </w:rPr>
        <w:t>。</w:t>
      </w:r>
    </w:p>
    <w:p>
      <w:pPr>
        <w:spacing w:line="360" w:lineRule="auto"/>
        <w:ind w:firstLine="480" w:firstLineChars="200"/>
        <w:jc w:val="left"/>
        <w:rPr>
          <w:rFonts w:hint="eastAsia" w:ascii="宋体" w:hAnsi="宋体" w:cs="宋体"/>
          <w:szCs w:val="21"/>
        </w:rPr>
      </w:pPr>
      <w:r>
        <w:rPr>
          <w:rFonts w:hint="eastAsia" w:ascii="宋体" w:hAnsi="宋体" w:cs="宋体"/>
          <w:szCs w:val="21"/>
        </w:rPr>
        <w:t>12.2.2 预付款担保</w:t>
      </w:r>
    </w:p>
    <w:p>
      <w:pPr>
        <w:spacing w:line="360" w:lineRule="auto"/>
        <w:ind w:firstLine="480" w:firstLineChars="200"/>
        <w:jc w:val="left"/>
        <w:rPr>
          <w:rFonts w:hint="eastAsia" w:ascii="宋体" w:hAnsi="宋体" w:cs="宋体"/>
          <w:b/>
          <w:color w:val="000000"/>
          <w:szCs w:val="21"/>
        </w:rPr>
      </w:pPr>
      <w:r>
        <w:rPr>
          <w:rFonts w:hint="eastAsia" w:ascii="宋体" w:hAnsi="宋体" w:cs="宋体"/>
          <w:color w:val="000000"/>
          <w:szCs w:val="21"/>
        </w:rPr>
        <w:t>承包人提交预付款担保的期限：</w:t>
      </w:r>
      <w:r>
        <w:rPr>
          <w:rFonts w:hint="eastAsia" w:ascii="宋体" w:hAnsi="宋体" w:cs="宋体"/>
          <w:color w:val="000000"/>
          <w:szCs w:val="21"/>
          <w:u w:val="single"/>
        </w:rPr>
        <w:t xml:space="preserve">  </w:t>
      </w:r>
      <w:r>
        <w:rPr>
          <w:rFonts w:hint="eastAsia" w:ascii="宋体" w:hAnsi="宋体" w:cs="宋体"/>
          <w:b/>
          <w:szCs w:val="21"/>
          <w:u w:val="single"/>
        </w:rPr>
        <w:t>支付预付款前</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预付款担保的形式为：</w:t>
      </w:r>
      <w:r>
        <w:rPr>
          <w:rFonts w:hint="eastAsia" w:ascii="宋体" w:hAnsi="宋体" w:cs="宋体"/>
          <w:color w:val="000000"/>
          <w:szCs w:val="21"/>
          <w:u w:val="single"/>
        </w:rPr>
        <w:t xml:space="preserve">  </w:t>
      </w:r>
      <w:r>
        <w:rPr>
          <w:rFonts w:hint="eastAsia" w:ascii="宋体" w:hAnsi="宋体" w:cs="宋体"/>
          <w:b/>
          <w:szCs w:val="21"/>
          <w:u w:val="single"/>
        </w:rPr>
        <w:t xml:space="preserve"> 现金或支票或银行保函 </w:t>
      </w:r>
      <w:r>
        <w:rPr>
          <w:rFonts w:hint="eastAsia" w:ascii="宋体" w:hAnsi="宋体" w:cs="宋体"/>
          <w:color w:val="000000"/>
          <w:szCs w:val="21"/>
          <w:u w:val="single"/>
        </w:rPr>
        <w:t xml:space="preserve">  </w:t>
      </w:r>
      <w:r>
        <w:rPr>
          <w:rFonts w:hint="eastAsia" w:ascii="宋体" w:hAnsi="宋体" w:cs="宋体"/>
          <w:color w:val="000000"/>
          <w:szCs w:val="21"/>
        </w:rPr>
        <w:t>。</w:t>
      </w:r>
    </w:p>
    <w:bookmarkEnd w:id="2857"/>
    <w:bookmarkEnd w:id="2858"/>
    <w:bookmarkEnd w:id="2859"/>
    <w:bookmarkEnd w:id="2860"/>
    <w:bookmarkEnd w:id="2861"/>
    <w:bookmarkEnd w:id="2862"/>
    <w:bookmarkEnd w:id="2863"/>
    <w:bookmarkEnd w:id="2864"/>
    <w:bookmarkEnd w:id="2865"/>
    <w:bookmarkEnd w:id="2866"/>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12.3 计量</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12.3.1 计量原则</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color w:val="000000"/>
          <w:szCs w:val="21"/>
          <w:u w:val="single"/>
        </w:rPr>
        <w:t>本工程采用工程量清单方式计价，竣工结算的工程量按发承包双方在合同中约定应予计量且实际完成的工程量确定，完成发包人要求的合同以外的零星工作或发生非承包人责任事件的工程量按现场签证确定。</w:t>
      </w:r>
    </w:p>
    <w:p>
      <w:pPr>
        <w:spacing w:line="360" w:lineRule="auto"/>
        <w:ind w:firstLine="480" w:firstLineChars="200"/>
        <w:jc w:val="left"/>
        <w:rPr>
          <w:rFonts w:hint="eastAsia" w:ascii="宋体" w:hAnsi="宋体" w:cs="宋体"/>
          <w:szCs w:val="21"/>
          <w:u w:val="single"/>
        </w:rPr>
      </w:pPr>
      <w:r>
        <w:rPr>
          <w:rFonts w:hint="eastAsia" w:ascii="宋体" w:hAnsi="宋体" w:cs="宋体"/>
          <w:color w:val="000000"/>
          <w:szCs w:val="21"/>
        </w:rPr>
        <w:t>工程量计算规则：</w:t>
      </w:r>
      <w:r>
        <w:rPr>
          <w:rFonts w:hint="eastAsia" w:ascii="宋体" w:hAnsi="宋体" w:cs="宋体"/>
          <w:color w:val="000000"/>
          <w:szCs w:val="21"/>
          <w:u w:val="single"/>
        </w:rPr>
        <w:t xml:space="preserve">  </w:t>
      </w:r>
      <w:r>
        <w:rPr>
          <w:rFonts w:hint="eastAsia" w:ascii="宋体" w:hAnsi="宋体" w:cs="宋体"/>
          <w:szCs w:val="21"/>
          <w:u w:val="single"/>
        </w:rPr>
        <w:t>执行《建设工程工程量清单计价规范》GB50500-2013，《市政工程工程量计算规范》GB50857-2013，《园林绿化工程工程量计算规范》GB50858-2013，《通用安装工程工程量计算规范》GB50856-2013、《构筑物工程工程量计算规范》GB50860-2013等现行相关规范。</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12.3.2 计量周期</w:t>
      </w:r>
      <w:r>
        <w:rPr>
          <w:rFonts w:hint="eastAsia" w:ascii="宋体" w:hAnsi="宋体" w:cs="宋体"/>
          <w:b/>
          <w:color w:val="FF0000"/>
          <w:szCs w:val="21"/>
        </w:rPr>
        <w:t>（项目公司参考执行）</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关于计量周期的约定：</w:t>
      </w:r>
      <w:r>
        <w:rPr>
          <w:rFonts w:hint="eastAsia" w:ascii="宋体" w:hAnsi="宋体" w:cs="宋体"/>
          <w:color w:val="000000"/>
          <w:szCs w:val="21"/>
          <w:u w:val="single"/>
        </w:rPr>
        <w:t xml:space="preserve">   按月进行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12.3.3 单价合同的计量</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关于单价合同计量的约定：</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12.3.4 总价合同的计量</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关于总价合同计量的约定：</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12.3.5总价合同采用支付分解表计量支付的，是否适用第</w:t>
      </w:r>
      <w:r>
        <w:rPr>
          <w:rFonts w:hint="eastAsia" w:ascii="宋体" w:hAnsi="宋体" w:cs="宋体"/>
          <w:color w:val="000000"/>
          <w:kern w:val="0"/>
          <w:szCs w:val="21"/>
        </w:rPr>
        <w:t xml:space="preserve">12.3.4 </w:t>
      </w:r>
      <w:r>
        <w:rPr>
          <w:rFonts w:hint="eastAsia" w:ascii="宋体" w:hAnsi="宋体" w:cs="宋体"/>
          <w:color w:val="000000"/>
          <w:szCs w:val="21"/>
        </w:rPr>
        <w:t>项</w:t>
      </w:r>
      <w:r>
        <w:rPr>
          <w:rFonts w:hint="eastAsia" w:ascii="宋体" w:hAnsi="宋体" w:cs="宋体"/>
          <w:color w:val="000000"/>
          <w:kern w:val="0"/>
          <w:szCs w:val="21"/>
        </w:rPr>
        <w:t>〔总价合同的计量〕</w:t>
      </w:r>
      <w:r>
        <w:rPr>
          <w:rFonts w:hint="eastAsia" w:ascii="宋体" w:hAnsi="宋体" w:cs="宋体"/>
          <w:color w:val="000000"/>
          <w:szCs w:val="21"/>
        </w:rPr>
        <w:t>约定进行计量：</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12.3.6 其他价格形式合同的计量</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其他价格形式的计量方式和程序：</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12.4 工程进度款支付</w:t>
      </w:r>
      <w:r>
        <w:rPr>
          <w:rFonts w:hint="eastAsia" w:ascii="宋体" w:hAnsi="宋体" w:cs="宋体"/>
          <w:b/>
          <w:color w:val="FF0000"/>
          <w:szCs w:val="21"/>
        </w:rPr>
        <w:t>（项目公司参考执行）</w:t>
      </w:r>
    </w:p>
    <w:p>
      <w:pPr>
        <w:spacing w:line="360" w:lineRule="auto"/>
        <w:ind w:firstLine="480" w:firstLineChars="200"/>
        <w:jc w:val="left"/>
        <w:rPr>
          <w:rFonts w:hint="eastAsia" w:ascii="宋体" w:hAnsi="宋体" w:cs="宋体"/>
          <w:color w:val="000000"/>
          <w:szCs w:val="21"/>
        </w:rPr>
      </w:pPr>
      <w:bookmarkStart w:id="2867" w:name="_Toc297120511"/>
      <w:bookmarkStart w:id="2868" w:name="_Toc297123556"/>
      <w:bookmarkStart w:id="2869" w:name="_Toc297216215"/>
      <w:bookmarkStart w:id="2870" w:name="_Toc300935006"/>
      <w:bookmarkStart w:id="2871" w:name="_Toc297048397"/>
      <w:bookmarkStart w:id="2872" w:name="_Toc292559921"/>
      <w:bookmarkStart w:id="2873" w:name="_Toc296891039"/>
      <w:bookmarkStart w:id="2874" w:name="_Toc296503211"/>
      <w:bookmarkStart w:id="2875" w:name="_Toc296891251"/>
      <w:bookmarkStart w:id="2876" w:name="_Toc296944550"/>
      <w:bookmarkStart w:id="2877" w:name="_Toc296347210"/>
      <w:bookmarkStart w:id="2878" w:name="_Toc303539163"/>
      <w:bookmarkStart w:id="2879" w:name="_Toc292559416"/>
      <w:bookmarkStart w:id="2880" w:name="_Toc296346712"/>
      <w:r>
        <w:rPr>
          <w:rFonts w:hint="eastAsia" w:ascii="宋体" w:hAnsi="宋体" w:cs="宋体"/>
          <w:color w:val="000000"/>
          <w:szCs w:val="21"/>
        </w:rPr>
        <w:t>12.4.1 付款周期</w:t>
      </w:r>
    </w:p>
    <w:p>
      <w:pPr>
        <w:spacing w:line="360" w:lineRule="auto"/>
        <w:ind w:firstLine="480" w:firstLineChars="200"/>
        <w:jc w:val="left"/>
        <w:rPr>
          <w:rFonts w:hint="eastAsia" w:ascii="宋体" w:hAnsi="宋体" w:cs="宋体"/>
          <w:b/>
          <w:color w:val="000000"/>
          <w:szCs w:val="21"/>
          <w:u w:val="single"/>
        </w:rPr>
      </w:pPr>
      <w:r>
        <w:rPr>
          <w:rFonts w:hint="eastAsia" w:ascii="宋体" w:hAnsi="宋体" w:cs="宋体"/>
          <w:color w:val="000000"/>
          <w:szCs w:val="21"/>
        </w:rPr>
        <w:t>关于付款周期的约定：</w:t>
      </w:r>
      <w:r>
        <w:rPr>
          <w:rFonts w:hint="eastAsia" w:ascii="宋体" w:hAnsi="宋体" w:cs="宋体"/>
          <w:color w:val="000000"/>
          <w:szCs w:val="21"/>
          <w:u w:val="single"/>
        </w:rPr>
        <w:t xml:space="preserve">   </w:t>
      </w:r>
      <w:r>
        <w:rPr>
          <w:rFonts w:hint="eastAsia" w:ascii="宋体" w:hAnsi="宋体" w:cs="宋体"/>
          <w:b/>
          <w:color w:val="000000"/>
          <w:szCs w:val="21"/>
          <w:u w:val="single"/>
        </w:rPr>
        <w:t>按工程形象进度支付工程款项，以乙方月报、监理及甲方签证为准，56天内支付上月完成工程量的70%；竣工验收合格后56天内支付至完成工程量的80%；结算资料报发包人，经必要的审计程序完成后，扣除3%的质保金，余款在56天内付清；质保金自竣工验收合格之日起两年后56天内一次支付。。</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12.4.2 进度付款申请单的编制</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关于进度付款申请单编制的约定：</w:t>
      </w:r>
      <w:r>
        <w:rPr>
          <w:rFonts w:hint="eastAsia" w:ascii="宋体" w:hAnsi="宋体" w:cs="宋体"/>
          <w:color w:val="000000"/>
          <w:szCs w:val="21"/>
          <w:u w:val="single"/>
        </w:rPr>
        <w:t xml:space="preserve">    执行通用条款</w:t>
      </w:r>
      <w:r>
        <w:rPr>
          <w:rFonts w:hint="eastAsia" w:ascii="宋体" w:hAnsi="宋体" w:cs="宋体"/>
          <w:szCs w:val="21"/>
          <w:u w:val="single"/>
        </w:rPr>
        <w:t xml:space="preserve"> </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r>
        <w:rPr>
          <w:rFonts w:hint="eastAsia" w:ascii="宋体" w:hAnsi="宋体" w:cs="宋体"/>
          <w:color w:val="000000"/>
          <w:szCs w:val="21"/>
        </w:rPr>
        <w:t>2.4.3 进度付款申请单的提交</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（1）单价合同进度付款申请单提交的约定：</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（2）总价合同进度付款申请单提交的约定：</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（3）其他价格形式合同进度付款申请单提交的约定：</w:t>
      </w:r>
      <w:r>
        <w:rPr>
          <w:rFonts w:hint="eastAsia" w:ascii="宋体" w:hAnsi="宋体" w:cs="宋体"/>
          <w:color w:val="000000"/>
          <w:szCs w:val="21"/>
          <w:u w:val="single"/>
        </w:rPr>
        <w:t xml:space="preserve">   /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12.4.4 进度款审核和支付</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color w:val="000000"/>
          <w:szCs w:val="21"/>
        </w:rPr>
        <w:t>（1）监理人审查并报送发包人的期限：</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发包人完成审批并签发进度款支付证书的期限：</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color w:val="000000"/>
          <w:szCs w:val="21"/>
        </w:rPr>
        <w:t>（2）发包人支付进度款的期限：</w:t>
      </w:r>
      <w:r>
        <w:rPr>
          <w:rFonts w:hint="eastAsia" w:ascii="宋体" w:hAnsi="宋体" w:cs="宋体"/>
          <w:color w:val="000000"/>
          <w:szCs w:val="21"/>
          <w:u w:val="single"/>
        </w:rPr>
        <w:t xml:space="preserve">  遵循徐州市城建重点工程付款程序，无息。</w:t>
      </w:r>
    </w:p>
    <w:p>
      <w:pPr>
        <w:spacing w:line="360" w:lineRule="auto"/>
        <w:ind w:firstLine="600" w:firstLineChars="250"/>
        <w:jc w:val="left"/>
        <w:rPr>
          <w:rFonts w:hint="eastAsia" w:ascii="宋体" w:hAnsi="宋体" w:cs="宋体"/>
          <w:color w:val="000000"/>
          <w:szCs w:val="21"/>
        </w:rPr>
      </w:pPr>
      <w:r>
        <w:rPr>
          <w:rFonts w:hint="eastAsia" w:ascii="宋体" w:hAnsi="宋体" w:cs="宋体"/>
          <w:color w:val="000000"/>
          <w:szCs w:val="21"/>
        </w:rPr>
        <w:t>12.4.6 支付分解表的编制</w:t>
      </w:r>
    </w:p>
    <w:p>
      <w:pPr>
        <w:spacing w:line="360" w:lineRule="auto"/>
        <w:ind w:left="5002" w:leftChars="284" w:hanging="4320" w:hangingChars="1800"/>
        <w:jc w:val="left"/>
        <w:rPr>
          <w:rFonts w:hint="eastAsia" w:ascii="宋体" w:hAnsi="宋体" w:cs="宋体"/>
          <w:color w:val="000000"/>
          <w:szCs w:val="21"/>
        </w:rPr>
      </w:pPr>
      <w:r>
        <w:rPr>
          <w:rFonts w:hint="eastAsia" w:ascii="宋体" w:hAnsi="宋体" w:cs="宋体"/>
          <w:color w:val="000000"/>
          <w:szCs w:val="21"/>
        </w:rPr>
        <w:t>2、总价合同支付分解表的编制与审批：</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3、单价合同的总价项目支付分解表的编制与审批：</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bookmarkEnd w:id="2710"/>
    <w:p>
      <w:pPr>
        <w:pStyle w:val="6"/>
        <w:spacing w:before="120" w:after="120"/>
        <w:rPr>
          <w:rFonts w:hint="eastAsia" w:ascii="宋体" w:hAnsi="宋体" w:cs="宋体"/>
          <w:b w:val="0"/>
          <w:color w:val="000000"/>
          <w:szCs w:val="21"/>
        </w:rPr>
      </w:pPr>
      <w:bookmarkStart w:id="2881" w:name="_Toc351203645"/>
      <w:bookmarkStart w:id="2882" w:name="_Toc297120519"/>
      <w:bookmarkStart w:id="2883" w:name="_Toc297123564"/>
      <w:bookmarkStart w:id="2884" w:name="_Toc296944558"/>
      <w:bookmarkStart w:id="2885" w:name="_Toc296347218"/>
      <w:bookmarkStart w:id="2886" w:name="_Toc304295593"/>
      <w:bookmarkStart w:id="2887" w:name="_Toc296891047"/>
      <w:bookmarkStart w:id="2888" w:name="_Toc297048405"/>
      <w:bookmarkStart w:id="2889" w:name="_Toc297216223"/>
      <w:bookmarkStart w:id="2890" w:name="_Toc303539172"/>
      <w:bookmarkStart w:id="2891" w:name="_Toc296503219"/>
      <w:bookmarkStart w:id="2892" w:name="_Toc300935015"/>
      <w:bookmarkStart w:id="2893" w:name="_Toc292559929"/>
      <w:bookmarkStart w:id="2894" w:name="_Toc292559424"/>
      <w:bookmarkStart w:id="2895" w:name="_Toc296346720"/>
      <w:bookmarkStart w:id="2896" w:name="_Toc312678053"/>
      <w:bookmarkStart w:id="2897" w:name="_Toc296891259"/>
      <w:r>
        <w:rPr>
          <w:rFonts w:hint="eastAsia" w:ascii="宋体" w:hAnsi="宋体" w:cs="宋体"/>
          <w:b w:val="0"/>
          <w:color w:val="000000"/>
          <w:szCs w:val="21"/>
        </w:rPr>
        <w:t>13. 验收和工程试车</w:t>
      </w:r>
      <w:bookmarkEnd w:id="2881"/>
    </w:p>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13.1 分部分项工程验收</w:t>
      </w:r>
    </w:p>
    <w:p>
      <w:pPr>
        <w:spacing w:line="360" w:lineRule="auto"/>
        <w:ind w:firstLine="480" w:firstLineChars="200"/>
        <w:jc w:val="left"/>
        <w:rPr>
          <w:rFonts w:hint="eastAsia" w:ascii="宋体" w:hAnsi="宋体" w:cs="宋体"/>
          <w:szCs w:val="21"/>
        </w:rPr>
      </w:pPr>
      <w:r>
        <w:rPr>
          <w:rFonts w:hint="eastAsia" w:ascii="宋体" w:hAnsi="宋体" w:cs="宋体"/>
          <w:szCs w:val="21"/>
        </w:rPr>
        <w:t>13.1.2监理人不能按时进行验收时，应提前</w:t>
      </w:r>
      <w:r>
        <w:rPr>
          <w:rFonts w:hint="eastAsia" w:ascii="宋体" w:hAnsi="宋体" w:cs="宋体"/>
          <w:szCs w:val="21"/>
          <w:u w:val="single"/>
        </w:rPr>
        <w:t xml:space="preserve"> </w:t>
      </w:r>
      <w:r>
        <w:rPr>
          <w:rFonts w:hint="eastAsia" w:ascii="宋体" w:hAnsi="宋体" w:cs="宋体"/>
          <w:color w:val="000000"/>
          <w:szCs w:val="21"/>
          <w:u w:val="single"/>
        </w:rPr>
        <w:t>执行通用条款</w:t>
      </w:r>
      <w:r>
        <w:rPr>
          <w:rFonts w:hint="eastAsia" w:ascii="宋体" w:hAnsi="宋体" w:cs="宋体"/>
          <w:szCs w:val="21"/>
          <w:u w:val="single"/>
        </w:rPr>
        <w:t xml:space="preserve"> </w:t>
      </w:r>
      <w:r>
        <w:rPr>
          <w:rFonts w:hint="eastAsia" w:ascii="宋体" w:hAnsi="宋体" w:cs="宋体"/>
          <w:szCs w:val="21"/>
        </w:rPr>
        <w:t>小时提交书面延期要求。</w:t>
      </w:r>
    </w:p>
    <w:p>
      <w:pPr>
        <w:spacing w:line="360" w:lineRule="auto"/>
        <w:ind w:firstLine="480" w:firstLineChars="200"/>
        <w:jc w:val="left"/>
        <w:rPr>
          <w:rFonts w:hint="eastAsia" w:ascii="宋体" w:hAnsi="宋体" w:cs="宋体"/>
          <w:b/>
          <w:color w:val="000000"/>
          <w:szCs w:val="21"/>
        </w:rPr>
      </w:pPr>
      <w:r>
        <w:rPr>
          <w:rFonts w:hint="eastAsia" w:ascii="宋体" w:hAnsi="宋体" w:cs="宋体"/>
          <w:szCs w:val="21"/>
        </w:rPr>
        <w:t>关于延期最长不得超过：</w:t>
      </w:r>
      <w:r>
        <w:rPr>
          <w:rFonts w:hint="eastAsia" w:ascii="宋体" w:hAnsi="宋体" w:cs="宋体"/>
          <w:szCs w:val="21"/>
          <w:u w:val="single"/>
        </w:rPr>
        <w:t xml:space="preserve">  </w:t>
      </w:r>
      <w:r>
        <w:rPr>
          <w:rFonts w:hint="eastAsia" w:ascii="宋体" w:hAnsi="宋体" w:cs="宋体"/>
          <w:color w:val="000000"/>
          <w:szCs w:val="21"/>
          <w:u w:val="single"/>
        </w:rPr>
        <w:t>执行通用条款</w:t>
      </w:r>
      <w:r>
        <w:rPr>
          <w:rFonts w:hint="eastAsia" w:ascii="宋体" w:hAnsi="宋体" w:cs="宋体"/>
          <w:szCs w:val="21"/>
          <w:u w:val="single"/>
        </w:rPr>
        <w:t xml:space="preserve"> </w:t>
      </w:r>
      <w:r>
        <w:rPr>
          <w:rFonts w:hint="eastAsia" w:ascii="宋体" w:hAnsi="宋体" w:cs="宋体"/>
          <w:szCs w:val="21"/>
        </w:rPr>
        <w:t>小时。</w:t>
      </w:r>
    </w:p>
    <w:p>
      <w:pPr>
        <w:spacing w:after="120" w:line="360" w:lineRule="auto"/>
        <w:ind w:firstLine="480" w:firstLineChars="200"/>
        <w:rPr>
          <w:rFonts w:hint="eastAsia" w:ascii="宋体" w:hAnsi="宋体" w:cs="宋体"/>
          <w:color w:val="000000"/>
          <w:szCs w:val="21"/>
        </w:rPr>
      </w:pPr>
      <w:bookmarkStart w:id="2898" w:name="_Toc296346724"/>
      <w:bookmarkStart w:id="2899" w:name="_Toc296944562"/>
      <w:bookmarkStart w:id="2900" w:name="_Toc292559428"/>
      <w:bookmarkStart w:id="2901" w:name="_Toc312678056"/>
      <w:bookmarkStart w:id="2902" w:name="_Toc296503223"/>
      <w:bookmarkStart w:id="2903" w:name="_Toc297123565"/>
      <w:bookmarkStart w:id="2904" w:name="_Toc296891263"/>
      <w:bookmarkStart w:id="2905" w:name="_Toc292559933"/>
      <w:bookmarkStart w:id="2906" w:name="_Toc296891051"/>
      <w:bookmarkStart w:id="2907" w:name="_Toc296347222"/>
      <w:bookmarkStart w:id="2908" w:name="_Toc297120523"/>
      <w:bookmarkStart w:id="2909" w:name="_Toc300935016"/>
      <w:bookmarkStart w:id="2910" w:name="_Toc303539173"/>
      <w:bookmarkStart w:id="2911" w:name="_Toc297216224"/>
      <w:bookmarkStart w:id="2912" w:name="_Toc297048409"/>
      <w:bookmarkStart w:id="2913" w:name="_Toc304295596"/>
      <w:bookmarkStart w:id="2914" w:name="_Toc267251475"/>
      <w:bookmarkStart w:id="2915" w:name="_Toc267251476"/>
      <w:bookmarkStart w:id="2916" w:name="_Toc267251473"/>
      <w:bookmarkStart w:id="2917" w:name="_Toc267251470"/>
      <w:bookmarkStart w:id="2918" w:name="_Toc267251474"/>
      <w:bookmarkStart w:id="2919" w:name="_Toc267251472"/>
      <w:bookmarkStart w:id="2920" w:name="_Toc267251471"/>
      <w:r>
        <w:rPr>
          <w:rFonts w:hint="eastAsia" w:ascii="宋体" w:hAnsi="宋体" w:cs="宋体"/>
          <w:color w:val="000000"/>
          <w:szCs w:val="21"/>
        </w:rPr>
        <w:t>13.2 竣工验收</w:t>
      </w:r>
    </w:p>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Pr>
        <w:spacing w:line="360" w:lineRule="auto"/>
        <w:ind w:firstLine="480" w:firstLineChars="200"/>
        <w:jc w:val="left"/>
        <w:rPr>
          <w:rFonts w:hint="eastAsia" w:ascii="宋体" w:hAnsi="宋体" w:cs="宋体"/>
          <w:color w:val="000000"/>
          <w:szCs w:val="21"/>
        </w:rPr>
      </w:pPr>
      <w:bookmarkStart w:id="2921" w:name="_Toc280868704"/>
      <w:bookmarkStart w:id="2922" w:name="_Toc280868705"/>
      <w:bookmarkStart w:id="2923" w:name="_Toc280868706"/>
      <w:bookmarkStart w:id="2924" w:name="_Toc280868707"/>
      <w:bookmarkStart w:id="2925" w:name="_Toc280868708"/>
      <w:bookmarkStart w:id="2926" w:name="_Toc280868709"/>
      <w:r>
        <w:rPr>
          <w:rFonts w:hint="eastAsia" w:ascii="宋体" w:hAnsi="宋体" w:cs="宋体"/>
          <w:color w:val="000000"/>
          <w:szCs w:val="21"/>
        </w:rPr>
        <w:t>13.2.2竣工验收程序</w:t>
      </w:r>
    </w:p>
    <w:bookmarkEnd w:id="2921"/>
    <w:p>
      <w:pPr>
        <w:spacing w:line="360" w:lineRule="auto"/>
        <w:ind w:left="5002" w:leftChars="284" w:hanging="4320" w:hangingChars="1800"/>
        <w:jc w:val="left"/>
        <w:rPr>
          <w:rFonts w:hint="eastAsia" w:ascii="宋体" w:hAnsi="宋体" w:cs="宋体"/>
          <w:color w:val="000000"/>
          <w:szCs w:val="21"/>
        </w:rPr>
      </w:pPr>
      <w:r>
        <w:rPr>
          <w:rFonts w:hint="eastAsia" w:ascii="宋体" w:hAnsi="宋体" w:cs="宋体"/>
          <w:color w:val="000000"/>
          <w:kern w:val="0"/>
          <w:szCs w:val="21"/>
        </w:rPr>
        <w:t>关于竣工验收程序的约定：</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p>
      <w:pPr>
        <w:spacing w:line="360" w:lineRule="auto"/>
        <w:jc w:val="left"/>
        <w:rPr>
          <w:rFonts w:hint="eastAsia" w:ascii="宋体" w:hAnsi="宋体" w:cs="宋体"/>
          <w:color w:val="000000"/>
          <w:szCs w:val="21"/>
        </w:rPr>
      </w:pPr>
      <w:r>
        <w:rPr>
          <w:rFonts w:hint="eastAsia" w:ascii="宋体" w:hAnsi="宋体" w:cs="宋体"/>
          <w:color w:val="000000"/>
          <w:kern w:val="0"/>
          <w:szCs w:val="21"/>
        </w:rPr>
        <w:t>发包人不按照本项约定组织竣工验收、颁发工程接收证书的违约金的计算方法：</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bookmarkEnd w:id="2922"/>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13.2.5移交、接收全部与部分工程</w:t>
      </w:r>
    </w:p>
    <w:bookmarkEnd w:id="2923"/>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承包人向发包人移交工程的期限：</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bookmarkEnd w:id="2924"/>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13.3 工程试车</w:t>
      </w:r>
    </w:p>
    <w:bookmarkEnd w:id="2925"/>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13.3.1 试车程序</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工程试车内容：</w:t>
      </w:r>
      <w:r>
        <w:rPr>
          <w:rFonts w:hint="eastAsia" w:ascii="宋体" w:hAnsi="宋体" w:cs="宋体"/>
          <w:color w:val="000000"/>
          <w:szCs w:val="21"/>
          <w:u w:val="single"/>
        </w:rPr>
        <w:t xml:space="preserve">   以监理通知为准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（1）单机无负荷试车费用由</w:t>
      </w:r>
      <w:r>
        <w:rPr>
          <w:rFonts w:hint="eastAsia" w:ascii="宋体" w:hAnsi="宋体" w:cs="宋体"/>
          <w:color w:val="000000"/>
          <w:szCs w:val="21"/>
          <w:u w:val="single"/>
        </w:rPr>
        <w:t xml:space="preserve">   执行通用条款  </w:t>
      </w:r>
      <w:r>
        <w:rPr>
          <w:rFonts w:hint="eastAsia" w:ascii="宋体" w:hAnsi="宋体" w:cs="宋体"/>
          <w:color w:val="000000"/>
          <w:kern w:val="0"/>
          <w:szCs w:val="21"/>
        </w:rPr>
        <w:t>承担；</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（2）无负荷联动试车费用由</w:t>
      </w:r>
      <w:r>
        <w:rPr>
          <w:rFonts w:hint="eastAsia" w:ascii="宋体" w:hAnsi="宋体" w:cs="宋体"/>
          <w:color w:val="000000"/>
          <w:szCs w:val="21"/>
          <w:u w:val="single"/>
        </w:rPr>
        <w:t xml:space="preserve">  执行通用条款  </w:t>
      </w:r>
      <w:r>
        <w:rPr>
          <w:rFonts w:hint="eastAsia" w:ascii="宋体" w:hAnsi="宋体" w:cs="宋体"/>
          <w:color w:val="000000"/>
          <w:kern w:val="0"/>
          <w:szCs w:val="21"/>
        </w:rPr>
        <w:t>承担。</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13.3.3 投料试车</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关于投料试车相关事项的约定：</w:t>
      </w:r>
      <w:r>
        <w:rPr>
          <w:rFonts w:hint="eastAsia" w:ascii="宋体" w:hAnsi="宋体" w:cs="宋体"/>
          <w:color w:val="000000"/>
          <w:szCs w:val="21"/>
          <w:u w:val="single"/>
        </w:rPr>
        <w:t xml:space="preserve">  /   </w:t>
      </w:r>
      <w:r>
        <w:rPr>
          <w:rFonts w:hint="eastAsia" w:ascii="宋体" w:hAnsi="宋体" w:cs="宋体"/>
          <w:color w:val="000000"/>
          <w:szCs w:val="21"/>
        </w:rPr>
        <w:t>。</w:t>
      </w:r>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13.6 竣工退场</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13.6.1 竣工退场</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承包人完成竣工退场的期限：</w:t>
      </w:r>
      <w:r>
        <w:rPr>
          <w:rFonts w:hint="eastAsia" w:ascii="宋体" w:hAnsi="宋体" w:cs="宋体"/>
          <w:color w:val="000000"/>
          <w:szCs w:val="21"/>
          <w:u w:val="single"/>
        </w:rPr>
        <w:t xml:space="preserve">   以监理通知为准   </w:t>
      </w:r>
      <w:r>
        <w:rPr>
          <w:rFonts w:hint="eastAsia" w:ascii="宋体" w:hAnsi="宋体" w:cs="宋体"/>
          <w:color w:val="000000"/>
          <w:kern w:val="0"/>
          <w:szCs w:val="21"/>
        </w:rPr>
        <w:t>。</w:t>
      </w:r>
    </w:p>
    <w:p>
      <w:pPr>
        <w:pStyle w:val="6"/>
        <w:spacing w:before="120" w:after="120"/>
        <w:rPr>
          <w:rFonts w:hint="eastAsia" w:ascii="宋体" w:hAnsi="宋体" w:cs="宋体"/>
          <w:b w:val="0"/>
          <w:color w:val="000000"/>
          <w:szCs w:val="21"/>
        </w:rPr>
      </w:pPr>
      <w:bookmarkStart w:id="2927" w:name="_Toc351203646"/>
      <w:r>
        <w:rPr>
          <w:rFonts w:hint="eastAsia" w:ascii="宋体" w:hAnsi="宋体" w:cs="宋体"/>
          <w:b w:val="0"/>
          <w:color w:val="000000"/>
          <w:szCs w:val="21"/>
        </w:rPr>
        <w:t>14. 竣工结算</w:t>
      </w:r>
      <w:bookmarkEnd w:id="2927"/>
      <w:r>
        <w:rPr>
          <w:rFonts w:hint="eastAsia" w:ascii="宋体" w:hAnsi="宋体" w:cs="宋体"/>
          <w:b w:val="0"/>
          <w:color w:val="FF0000"/>
          <w:szCs w:val="21"/>
        </w:rPr>
        <w:t>（项目公司参考执行）</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14.1 竣工结算申请</w:t>
      </w:r>
    </w:p>
    <w:p>
      <w:pPr>
        <w:spacing w:line="360" w:lineRule="auto"/>
        <w:ind w:firstLine="480" w:firstLineChars="200"/>
        <w:jc w:val="left"/>
        <w:rPr>
          <w:rFonts w:hint="eastAsia" w:ascii="宋体" w:hAnsi="宋体" w:cs="宋体"/>
          <w:color w:val="000000"/>
          <w:szCs w:val="21"/>
        </w:rPr>
      </w:pPr>
      <w:r>
        <w:rPr>
          <w:rFonts w:hint="eastAsia" w:ascii="宋体" w:hAnsi="宋体" w:cs="宋体"/>
          <w:szCs w:val="21"/>
        </w:rPr>
        <w:t>承包人提交竣工结算申请单的期限：</w:t>
      </w:r>
      <w:r>
        <w:rPr>
          <w:rFonts w:hint="eastAsia" w:ascii="宋体" w:hAnsi="宋体" w:cs="宋体"/>
          <w:color w:val="000000"/>
          <w:szCs w:val="21"/>
          <w:u w:val="single"/>
        </w:rPr>
        <w:t xml:space="preserve"> 工程竣工验收合格后30天内 </w:t>
      </w:r>
      <w:r>
        <w:rPr>
          <w:rFonts w:hint="eastAsia" w:ascii="宋体" w:hAnsi="宋体" w:cs="宋体"/>
          <w:color w:val="000000"/>
          <w:szCs w:val="21"/>
        </w:rPr>
        <w:t>。</w:t>
      </w:r>
    </w:p>
    <w:p>
      <w:pPr>
        <w:pStyle w:val="85"/>
        <w:spacing w:before="0" w:after="0" w:line="360" w:lineRule="auto"/>
        <w:ind w:left="0" w:right="0" w:firstLine="315" w:firstLineChars="150"/>
        <w:jc w:val="both"/>
        <w:rPr>
          <w:rFonts w:hint="eastAsia" w:ascii="宋体" w:hAnsi="宋体" w:eastAsia="宋体" w:cs="宋体"/>
          <w:color w:val="000000"/>
          <w:kern w:val="2"/>
          <w:sz w:val="21"/>
          <w:szCs w:val="21"/>
          <w:u w:val="single"/>
        </w:rPr>
      </w:pPr>
      <w:r>
        <w:rPr>
          <w:rFonts w:hint="eastAsia" w:ascii="宋体" w:hAnsi="宋体" w:cs="宋体"/>
          <w:color w:val="000000"/>
          <w:sz w:val="21"/>
          <w:szCs w:val="21"/>
        </w:rPr>
        <w:t>竣工结算申请单应包括的内容：</w:t>
      </w:r>
      <w:r>
        <w:rPr>
          <w:rFonts w:hint="eastAsia" w:ascii="宋体" w:hAnsi="宋体" w:cs="宋体"/>
          <w:color w:val="000000"/>
          <w:sz w:val="21"/>
          <w:szCs w:val="21"/>
          <w:u w:val="single"/>
        </w:rPr>
        <w:t xml:space="preserve"> </w:t>
      </w:r>
      <w:r>
        <w:rPr>
          <w:rFonts w:hint="eastAsia" w:ascii="宋体" w:hAnsi="宋体" w:cs="宋体"/>
          <w:color w:val="000000"/>
          <w:kern w:val="2"/>
          <w:sz w:val="21"/>
          <w:szCs w:val="21"/>
          <w:u w:val="single"/>
        </w:rPr>
        <w:t xml:space="preserve"> 除通用条款要求外，还应包括工程验收合格证书、工程移交单、工程竣工图（施工、设计、监理等单位签字盖章）、工程结算书（含现场签证）、接收甲供材料数量一览表并附相关凭证（含供货单位、</w:t>
      </w:r>
      <w:r>
        <w:rPr>
          <w:rFonts w:hint="eastAsia" w:ascii="宋体" w:hAnsi="宋体" w:eastAsia="宋体" w:cs="宋体"/>
          <w:color w:val="000000"/>
          <w:kern w:val="2"/>
          <w:sz w:val="21"/>
          <w:szCs w:val="21"/>
          <w:u w:val="single"/>
        </w:rPr>
        <w:t>发包人</w:t>
      </w:r>
      <w:r>
        <w:rPr>
          <w:rFonts w:hint="eastAsia" w:ascii="宋体" w:hAnsi="宋体" w:cs="宋体"/>
          <w:color w:val="000000"/>
          <w:kern w:val="2"/>
          <w:sz w:val="21"/>
          <w:szCs w:val="21"/>
          <w:u w:val="single"/>
        </w:rPr>
        <w:t>、</w:t>
      </w:r>
      <w:r>
        <w:rPr>
          <w:rFonts w:hint="eastAsia" w:ascii="宋体" w:hAnsi="宋体" w:eastAsia="宋体" w:cs="宋体"/>
          <w:color w:val="000000"/>
          <w:kern w:val="2"/>
          <w:sz w:val="21"/>
          <w:szCs w:val="21"/>
          <w:u w:val="single"/>
        </w:rPr>
        <w:t>承包人</w:t>
      </w:r>
      <w:r>
        <w:rPr>
          <w:rFonts w:hint="eastAsia" w:ascii="宋体" w:hAnsi="宋体" w:cs="宋体"/>
          <w:color w:val="000000"/>
          <w:kern w:val="2"/>
          <w:sz w:val="21"/>
          <w:szCs w:val="21"/>
          <w:u w:val="single"/>
        </w:rPr>
        <w:t>、监理单位签字盖章）、工程中标通知书（复印件）、工程投标书及其附件和其它报财政评审需要的资料，一式两份。</w:t>
      </w:r>
    </w:p>
    <w:p>
      <w:pPr>
        <w:pStyle w:val="85"/>
        <w:spacing w:before="0" w:after="0" w:line="360" w:lineRule="auto"/>
        <w:ind w:left="120" w:leftChars="50" w:firstLine="308" w:firstLineChars="147"/>
        <w:jc w:val="both"/>
        <w:rPr>
          <w:rFonts w:hint="eastAsia" w:ascii="宋体" w:hAnsi="宋体" w:cs="宋体"/>
          <w:sz w:val="21"/>
          <w:szCs w:val="21"/>
        </w:rPr>
      </w:pPr>
      <w:r>
        <w:rPr>
          <w:rFonts w:hint="eastAsia" w:ascii="宋体" w:hAnsi="宋体" w:cs="宋体"/>
          <w:color w:val="000000"/>
          <w:kern w:val="2"/>
          <w:sz w:val="21"/>
          <w:szCs w:val="21"/>
          <w:u w:val="single"/>
        </w:rPr>
        <w:t xml:space="preserve">为防止工程结算高估冒算，承包人应认真核对所报结算，工程造价最终审减额若超过送审额的7%以上（不含7%），承包人须按审减额超出部分的5%支付罚款。 </w:t>
      </w:r>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14.2 竣工结算审核</w:t>
      </w:r>
      <w:r>
        <w:rPr>
          <w:rFonts w:hint="eastAsia" w:ascii="宋体" w:hAnsi="宋体" w:cs="宋体"/>
          <w:b/>
          <w:color w:val="FF0000"/>
          <w:szCs w:val="21"/>
        </w:rPr>
        <w:t>（项目公司参考执行）</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szCs w:val="21"/>
        </w:rPr>
        <w:t>发包人审批竣工付款申请单的期限：</w:t>
      </w:r>
      <w:r>
        <w:rPr>
          <w:rFonts w:hint="eastAsia" w:ascii="宋体" w:hAnsi="宋体" w:cs="宋体"/>
          <w:color w:val="000000"/>
          <w:szCs w:val="21"/>
          <w:u w:val="single"/>
        </w:rPr>
        <w:t xml:space="preserve">  收到完整的竣工结算资料56天内，并遵循徐州市城建重点工程付款程序。</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szCs w:val="21"/>
        </w:rPr>
        <w:t>发包人完成竣工付款的期限：</w:t>
      </w:r>
      <w:r>
        <w:rPr>
          <w:rFonts w:hint="eastAsia" w:ascii="宋体" w:hAnsi="宋体" w:cs="宋体"/>
          <w:color w:val="000000"/>
          <w:szCs w:val="21"/>
          <w:u w:val="single"/>
        </w:rPr>
        <w:t xml:space="preserve"> 出具完整的审计报告56天内，并遵循徐州市城建重点工程付款程序。</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color w:val="000000"/>
          <w:szCs w:val="21"/>
        </w:rPr>
        <w:t>关于竣工付款证书异议部分复核的方式和程序：</w:t>
      </w:r>
      <w:r>
        <w:rPr>
          <w:rFonts w:hint="eastAsia" w:ascii="宋体" w:hAnsi="宋体" w:cs="宋体"/>
          <w:color w:val="000000"/>
          <w:szCs w:val="21"/>
          <w:u w:val="single"/>
        </w:rPr>
        <w:t xml:space="preserve">  执行通用条款 。</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14.4 最终结清</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14.4.1 最终结清申请单</w:t>
      </w:r>
      <w:r>
        <w:rPr>
          <w:rFonts w:hint="eastAsia" w:ascii="宋体" w:hAnsi="宋体" w:cs="宋体"/>
          <w:b/>
          <w:color w:val="FF0000"/>
          <w:szCs w:val="21"/>
        </w:rPr>
        <w:t>（项目公司参考执行）</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承包人提交最终结清申请单的份数：</w:t>
      </w:r>
      <w:r>
        <w:rPr>
          <w:rFonts w:hint="eastAsia" w:ascii="宋体" w:hAnsi="宋体" w:cs="宋体"/>
          <w:color w:val="000000"/>
          <w:szCs w:val="21"/>
          <w:u w:val="single"/>
        </w:rPr>
        <w:t xml:space="preserve">  一式四份  </w:t>
      </w:r>
      <w:r>
        <w:rPr>
          <w:rFonts w:hint="eastAsia" w:ascii="宋体" w:hAnsi="宋体" w:cs="宋体"/>
          <w:color w:val="000000"/>
          <w:szCs w:val="21"/>
        </w:rPr>
        <w:t>。</w:t>
      </w:r>
    </w:p>
    <w:p>
      <w:pPr>
        <w:spacing w:line="360" w:lineRule="auto"/>
        <w:ind w:firstLine="480" w:firstLineChars="200"/>
        <w:jc w:val="left"/>
        <w:rPr>
          <w:rFonts w:hint="eastAsia" w:ascii="宋体" w:hAnsi="宋体" w:cs="宋体"/>
          <w:szCs w:val="21"/>
        </w:rPr>
      </w:pPr>
      <w:r>
        <w:rPr>
          <w:rFonts w:hint="eastAsia" w:ascii="宋体" w:hAnsi="宋体" w:cs="宋体"/>
          <w:color w:val="000000"/>
          <w:kern w:val="0"/>
          <w:szCs w:val="21"/>
        </w:rPr>
        <w:t>承包人提交最终结算申请单的期限：</w:t>
      </w:r>
      <w:r>
        <w:rPr>
          <w:rFonts w:hint="eastAsia" w:ascii="宋体" w:hAnsi="宋体" w:cs="宋体"/>
          <w:color w:val="000000"/>
          <w:szCs w:val="21"/>
          <w:u w:val="single"/>
        </w:rPr>
        <w:t xml:space="preserve">   执行通用条款  </w:t>
      </w:r>
      <w:r>
        <w:rPr>
          <w:rFonts w:hint="eastAsia" w:ascii="宋体" w:hAnsi="宋体" w:cs="宋体"/>
          <w:color w:val="000000"/>
          <w:szCs w:val="21"/>
        </w:rPr>
        <w:t>。</w:t>
      </w:r>
      <w:r>
        <w:rPr>
          <w:rFonts w:hint="eastAsia" w:ascii="宋体" w:hAnsi="宋体" w:cs="宋体"/>
          <w:szCs w:val="21"/>
        </w:rPr>
        <w:t xml:space="preserve"> </w:t>
      </w:r>
    </w:p>
    <w:p>
      <w:pPr>
        <w:spacing w:line="360" w:lineRule="auto"/>
        <w:ind w:firstLine="480" w:firstLineChars="200"/>
        <w:jc w:val="left"/>
        <w:rPr>
          <w:rFonts w:hint="eastAsia" w:ascii="宋体" w:hAnsi="宋体" w:cs="宋体"/>
          <w:szCs w:val="21"/>
        </w:rPr>
      </w:pPr>
      <w:r>
        <w:rPr>
          <w:rFonts w:hint="eastAsia" w:ascii="宋体" w:hAnsi="宋体" w:cs="宋体"/>
          <w:szCs w:val="21"/>
        </w:rPr>
        <w:t>14.4.2 最终结清证书和支付</w:t>
      </w:r>
      <w:r>
        <w:rPr>
          <w:rFonts w:hint="eastAsia" w:ascii="宋体" w:hAnsi="宋体" w:cs="宋体"/>
          <w:b/>
          <w:color w:val="FF0000"/>
          <w:szCs w:val="21"/>
        </w:rPr>
        <w:t>（项目公司参考执行）</w:t>
      </w:r>
    </w:p>
    <w:p>
      <w:pPr>
        <w:spacing w:line="360" w:lineRule="auto"/>
        <w:ind w:firstLine="480" w:firstLineChars="200"/>
        <w:jc w:val="left"/>
        <w:rPr>
          <w:rFonts w:hint="eastAsia" w:ascii="宋体" w:hAnsi="宋体" w:cs="宋体"/>
          <w:szCs w:val="21"/>
        </w:rPr>
      </w:pPr>
      <w:r>
        <w:rPr>
          <w:rFonts w:hint="eastAsia" w:ascii="宋体" w:hAnsi="宋体" w:cs="宋体"/>
          <w:szCs w:val="21"/>
        </w:rPr>
        <w:t>（1）发包人完成最终结清申请单的审批并颁发最终结清证书的期限：</w:t>
      </w:r>
      <w:r>
        <w:rPr>
          <w:rFonts w:hint="eastAsia" w:ascii="宋体" w:hAnsi="宋体" w:cs="宋体"/>
          <w:color w:val="000000"/>
          <w:szCs w:val="21"/>
          <w:u w:val="single"/>
        </w:rPr>
        <w:t xml:space="preserve"> 收到承包人提交的最终结清申请单后56天内</w:t>
      </w:r>
      <w:r>
        <w:rPr>
          <w:rFonts w:hint="eastAsia" w:ascii="宋体" w:hAnsi="宋体" w:cs="宋体"/>
          <w:color w:val="000000"/>
          <w:szCs w:val="21"/>
        </w:rPr>
        <w:t>。</w:t>
      </w:r>
    </w:p>
    <w:p>
      <w:pPr>
        <w:spacing w:line="360" w:lineRule="auto"/>
        <w:ind w:firstLine="480" w:firstLineChars="200"/>
        <w:jc w:val="left"/>
        <w:rPr>
          <w:rFonts w:hint="eastAsia" w:ascii="宋体" w:hAnsi="宋体" w:cs="宋体"/>
          <w:szCs w:val="21"/>
        </w:rPr>
      </w:pPr>
      <w:r>
        <w:rPr>
          <w:rFonts w:hint="eastAsia" w:ascii="宋体" w:hAnsi="宋体" w:cs="宋体"/>
          <w:szCs w:val="21"/>
        </w:rPr>
        <w:t>（2）发包人完成支付的期限：</w:t>
      </w:r>
      <w:r>
        <w:rPr>
          <w:rFonts w:hint="eastAsia" w:ascii="宋体" w:hAnsi="宋体" w:cs="宋体"/>
          <w:color w:val="000000"/>
          <w:szCs w:val="21"/>
          <w:u w:val="single"/>
        </w:rPr>
        <w:t xml:space="preserve">  颁发最终结清证书后56天内</w:t>
      </w:r>
      <w:r>
        <w:rPr>
          <w:rFonts w:hint="eastAsia" w:ascii="宋体" w:hAnsi="宋体" w:cs="宋体"/>
          <w:szCs w:val="21"/>
          <w:u w:val="single"/>
        </w:rPr>
        <w:t xml:space="preserve"> </w:t>
      </w:r>
      <w:r>
        <w:rPr>
          <w:rFonts w:hint="eastAsia" w:ascii="宋体" w:hAnsi="宋体" w:cs="宋体"/>
          <w:color w:val="000000"/>
          <w:szCs w:val="21"/>
          <w:u w:val="single"/>
        </w:rPr>
        <w:t xml:space="preserve"> </w:t>
      </w:r>
      <w:r>
        <w:rPr>
          <w:rFonts w:hint="eastAsia" w:ascii="宋体" w:hAnsi="宋体" w:cs="宋体"/>
          <w:color w:val="000000"/>
          <w:szCs w:val="21"/>
        </w:rPr>
        <w:t>。</w:t>
      </w:r>
    </w:p>
    <w:bookmarkEnd w:id="2914"/>
    <w:bookmarkEnd w:id="2915"/>
    <w:bookmarkEnd w:id="2916"/>
    <w:bookmarkEnd w:id="2917"/>
    <w:bookmarkEnd w:id="2918"/>
    <w:bookmarkEnd w:id="2919"/>
    <w:bookmarkEnd w:id="2920"/>
    <w:bookmarkEnd w:id="2926"/>
    <w:p>
      <w:pPr>
        <w:pStyle w:val="6"/>
        <w:spacing w:before="120" w:after="120"/>
        <w:rPr>
          <w:rFonts w:hint="eastAsia" w:ascii="宋体" w:hAnsi="宋体" w:cs="宋体"/>
          <w:b w:val="0"/>
          <w:color w:val="000000"/>
          <w:szCs w:val="21"/>
        </w:rPr>
      </w:pPr>
      <w:bookmarkStart w:id="2928" w:name="_Toc351203647"/>
      <w:bookmarkStart w:id="2929" w:name="_Toc267251483"/>
      <w:bookmarkStart w:id="2930" w:name="_Toc267251482"/>
      <w:bookmarkStart w:id="2931" w:name="_Toc267251484"/>
      <w:bookmarkStart w:id="2932" w:name="_Toc267251485"/>
      <w:bookmarkStart w:id="2933" w:name="_Toc267251490"/>
      <w:bookmarkStart w:id="2934" w:name="_Toc267251489"/>
      <w:bookmarkStart w:id="2935" w:name="_Toc267251488"/>
      <w:bookmarkStart w:id="2936" w:name="_Toc267251486"/>
      <w:bookmarkStart w:id="2937" w:name="_Toc267251502"/>
      <w:bookmarkStart w:id="2938" w:name="_Toc267251496"/>
      <w:bookmarkStart w:id="2939" w:name="_Toc267251501"/>
      <w:bookmarkStart w:id="2940" w:name="_Toc267251492"/>
      <w:bookmarkStart w:id="2941" w:name="_Toc267251491"/>
      <w:bookmarkStart w:id="2942" w:name="_Toc267251493"/>
      <w:bookmarkStart w:id="2943" w:name="_Toc267251495"/>
      <w:bookmarkStart w:id="2944" w:name="_Toc267251494"/>
      <w:bookmarkStart w:id="2945" w:name="_Toc267251499"/>
      <w:bookmarkStart w:id="2946" w:name="_Toc267251497"/>
      <w:bookmarkStart w:id="2947" w:name="_Toc267251498"/>
      <w:bookmarkStart w:id="2948" w:name="_Toc267251503"/>
      <w:bookmarkStart w:id="2949" w:name="_Toc267251506"/>
      <w:bookmarkStart w:id="2950" w:name="_Toc267251504"/>
      <w:bookmarkStart w:id="2951" w:name="_Toc267251507"/>
      <w:bookmarkStart w:id="2952" w:name="_Toc267251508"/>
      <w:bookmarkStart w:id="2953" w:name="_Toc267251515"/>
      <w:bookmarkStart w:id="2954" w:name="_Toc267251511"/>
      <w:bookmarkStart w:id="2955" w:name="_Toc267251510"/>
      <w:bookmarkStart w:id="2956" w:name="_Toc267251509"/>
      <w:bookmarkStart w:id="2957" w:name="_Toc267251514"/>
      <w:bookmarkStart w:id="2958" w:name="_Toc267251513"/>
      <w:r>
        <w:rPr>
          <w:rFonts w:hint="eastAsia" w:ascii="宋体" w:hAnsi="宋体" w:cs="宋体"/>
          <w:b w:val="0"/>
          <w:color w:val="000000"/>
          <w:szCs w:val="21"/>
        </w:rPr>
        <w:t>15. 缺陷责任期与保修</w:t>
      </w:r>
      <w:bookmarkEnd w:id="2928"/>
      <w:r>
        <w:rPr>
          <w:rFonts w:hint="eastAsia" w:ascii="宋体" w:hAnsi="宋体" w:cs="宋体"/>
          <w:b w:val="0"/>
          <w:color w:val="FF0000"/>
          <w:szCs w:val="21"/>
        </w:rPr>
        <w:t>（项目公司参考执行）</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15.2缺陷责任期</w:t>
      </w:r>
      <w:bookmarkEnd w:id="2929"/>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缺陷责任期的具体期限：</w:t>
      </w:r>
      <w:r>
        <w:rPr>
          <w:rFonts w:hint="eastAsia" w:ascii="宋体" w:hAnsi="宋体" w:cs="宋体"/>
          <w:color w:val="000000"/>
          <w:szCs w:val="21"/>
          <w:u w:val="single"/>
        </w:rPr>
        <w:t xml:space="preserve"> 自竣工验收合格之日起24个月 。</w:t>
      </w:r>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15.3 质量保证金</w:t>
      </w:r>
    </w:p>
    <w:p>
      <w:pPr>
        <w:spacing w:line="360" w:lineRule="auto"/>
        <w:ind w:firstLine="480" w:firstLineChars="200"/>
        <w:jc w:val="left"/>
        <w:outlineLvl w:val="0"/>
        <w:rPr>
          <w:rFonts w:hint="eastAsia" w:ascii="宋体" w:hAnsi="宋体" w:cs="宋体"/>
          <w:szCs w:val="21"/>
          <w:u w:val="single"/>
        </w:rPr>
      </w:pPr>
      <w:r>
        <w:rPr>
          <w:rFonts w:hint="eastAsia" w:ascii="宋体" w:hAnsi="宋体" w:cs="宋体"/>
          <w:color w:val="000000"/>
          <w:szCs w:val="21"/>
        </w:rPr>
        <w:t>关于是否扣留质量保证金的约定：</w:t>
      </w:r>
      <w:r>
        <w:rPr>
          <w:rFonts w:hint="eastAsia" w:ascii="宋体" w:hAnsi="宋体" w:cs="宋体"/>
          <w:szCs w:val="21"/>
          <w:u w:val="single"/>
        </w:rPr>
        <w:t>竣工结算报告及结算资料报送发包人审计后，除留3%的工程保修金外，余款在</w:t>
      </w:r>
      <w:r>
        <w:rPr>
          <w:rFonts w:hint="eastAsia" w:ascii="宋体" w:hAnsi="宋体" w:cs="宋体"/>
          <w:b/>
          <w:szCs w:val="21"/>
          <w:u w:val="single"/>
        </w:rPr>
        <w:t>56天</w:t>
      </w:r>
      <w:r>
        <w:rPr>
          <w:rFonts w:hint="eastAsia" w:ascii="宋体" w:hAnsi="宋体" w:cs="宋体"/>
          <w:szCs w:val="21"/>
          <w:u w:val="single"/>
        </w:rPr>
        <w:t>内一次性付清。</w:t>
      </w:r>
    </w:p>
    <w:p>
      <w:pPr>
        <w:spacing w:line="360" w:lineRule="auto"/>
        <w:ind w:firstLine="480" w:firstLineChars="200"/>
        <w:jc w:val="left"/>
        <w:outlineLvl w:val="0"/>
        <w:rPr>
          <w:rFonts w:hint="eastAsia" w:ascii="宋体" w:hAnsi="宋体" w:cs="宋体"/>
          <w:color w:val="000000"/>
          <w:szCs w:val="21"/>
        </w:rPr>
      </w:pPr>
      <w:r>
        <w:rPr>
          <w:rFonts w:hint="eastAsia" w:ascii="宋体" w:hAnsi="宋体" w:cs="宋体"/>
          <w:color w:val="000000"/>
          <w:szCs w:val="21"/>
        </w:rPr>
        <w:t>在工程项目竣工前，承包人按专用合同条款第3.7条提供履约担保的，发包人不得同时预留工程质量保证金。</w:t>
      </w:r>
    </w:p>
    <w:p>
      <w:pPr>
        <w:spacing w:line="360" w:lineRule="auto"/>
        <w:ind w:firstLine="480" w:firstLineChars="200"/>
        <w:jc w:val="left"/>
        <w:outlineLvl w:val="0"/>
        <w:rPr>
          <w:rFonts w:hint="eastAsia" w:ascii="宋体" w:hAnsi="宋体" w:cs="宋体"/>
          <w:color w:val="000000"/>
          <w:szCs w:val="21"/>
        </w:rPr>
      </w:pPr>
      <w:r>
        <w:rPr>
          <w:rFonts w:hint="eastAsia" w:ascii="宋体" w:hAnsi="宋体" w:cs="宋体"/>
          <w:color w:val="000000"/>
          <w:szCs w:val="21"/>
        </w:rPr>
        <w:t>15.3.1 承包人提供质量保证金的方式</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质量保证金采用以下第</w:t>
      </w:r>
      <w:r>
        <w:rPr>
          <w:rFonts w:hint="eastAsia" w:ascii="宋体" w:hAnsi="宋体" w:cs="宋体"/>
          <w:color w:val="000000"/>
          <w:szCs w:val="21"/>
          <w:u w:val="single"/>
        </w:rPr>
        <w:t xml:space="preserve"> （2） </w:t>
      </w:r>
      <w:r>
        <w:rPr>
          <w:rFonts w:hint="eastAsia" w:ascii="宋体" w:hAnsi="宋体" w:cs="宋体"/>
          <w:color w:val="000000"/>
          <w:szCs w:val="21"/>
        </w:rPr>
        <w:t>种方式：</w:t>
      </w:r>
    </w:p>
    <w:p>
      <w:pPr>
        <w:autoSpaceDE w:val="0"/>
        <w:autoSpaceDN w:val="0"/>
        <w:adjustRightInd w:val="0"/>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（1）质量保证金保函，保证金额为：</w:t>
      </w:r>
      <w:r>
        <w:rPr>
          <w:rFonts w:hint="eastAsia" w:ascii="宋体" w:hAnsi="宋体" w:cs="宋体"/>
          <w:color w:val="000000"/>
          <w:kern w:val="0"/>
          <w:szCs w:val="21"/>
          <w:u w:val="single"/>
        </w:rPr>
        <w:t xml:space="preserve">         </w:t>
      </w:r>
      <w:r>
        <w:rPr>
          <w:rFonts w:hint="eastAsia" w:ascii="宋体" w:hAnsi="宋体" w:cs="宋体"/>
          <w:kern w:val="0"/>
          <w:szCs w:val="21"/>
          <w:u w:val="single"/>
        </w:rPr>
        <w:t>/</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w:t>
      </w:r>
    </w:p>
    <w:p>
      <w:pPr>
        <w:autoSpaceDE w:val="0"/>
        <w:autoSpaceDN w:val="0"/>
        <w:adjustRightInd w:val="0"/>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（2）</w:t>
      </w:r>
      <w:r>
        <w:rPr>
          <w:rFonts w:hint="eastAsia" w:ascii="宋体" w:hAnsi="宋体" w:cs="宋体"/>
          <w:color w:val="000000"/>
          <w:kern w:val="0"/>
          <w:szCs w:val="21"/>
          <w:u w:val="single"/>
        </w:rPr>
        <w:t xml:space="preserve">   3   </w:t>
      </w:r>
      <w:r>
        <w:rPr>
          <w:rFonts w:hint="eastAsia" w:ascii="宋体" w:hAnsi="宋体" w:cs="宋体"/>
          <w:color w:val="000000"/>
          <w:kern w:val="0"/>
          <w:szCs w:val="21"/>
        </w:rPr>
        <w:t>%的工程款；</w:t>
      </w:r>
    </w:p>
    <w:p>
      <w:pPr>
        <w:autoSpaceDE w:val="0"/>
        <w:autoSpaceDN w:val="0"/>
        <w:adjustRightInd w:val="0"/>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（3）其他方式:</w:t>
      </w:r>
      <w:r>
        <w:rPr>
          <w:rFonts w:hint="eastAsia" w:ascii="宋体" w:hAnsi="宋体" w:cs="宋体"/>
          <w:color w:val="000000"/>
          <w:kern w:val="0"/>
          <w:szCs w:val="21"/>
          <w:u w:val="single"/>
        </w:rPr>
        <w:t xml:space="preserve">                 </w:t>
      </w:r>
      <w:r>
        <w:rPr>
          <w:rFonts w:hint="eastAsia" w:ascii="宋体" w:hAnsi="宋体" w:cs="宋体"/>
          <w:kern w:val="0"/>
          <w:szCs w:val="21"/>
          <w:u w:val="single"/>
        </w:rPr>
        <w:t>/</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p>
      <w:pPr>
        <w:spacing w:line="360" w:lineRule="auto"/>
        <w:ind w:firstLine="480" w:firstLineChars="200"/>
        <w:jc w:val="left"/>
        <w:outlineLvl w:val="0"/>
        <w:rPr>
          <w:rFonts w:hint="eastAsia" w:ascii="宋体" w:hAnsi="宋体" w:cs="宋体"/>
          <w:color w:val="000000"/>
          <w:szCs w:val="21"/>
        </w:rPr>
      </w:pPr>
      <w:r>
        <w:rPr>
          <w:rFonts w:hint="eastAsia" w:ascii="宋体" w:hAnsi="宋体" w:cs="宋体"/>
          <w:color w:val="000000"/>
          <w:szCs w:val="21"/>
        </w:rPr>
        <w:t xml:space="preserve">15.3.2 质量保证金的扣留 </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质量保证金的扣留采取以下第</w:t>
      </w:r>
      <w:r>
        <w:rPr>
          <w:rFonts w:hint="eastAsia" w:ascii="宋体" w:hAnsi="宋体" w:cs="宋体"/>
          <w:color w:val="000000"/>
          <w:szCs w:val="21"/>
          <w:u w:val="single"/>
        </w:rPr>
        <w:t xml:space="preserve">  （2）  </w:t>
      </w:r>
      <w:r>
        <w:rPr>
          <w:rFonts w:hint="eastAsia" w:ascii="宋体" w:hAnsi="宋体" w:cs="宋体"/>
          <w:color w:val="000000"/>
          <w:szCs w:val="21"/>
        </w:rPr>
        <w:t>种方式：</w:t>
      </w:r>
    </w:p>
    <w:p>
      <w:pPr>
        <w:autoSpaceDE w:val="0"/>
        <w:autoSpaceDN w:val="0"/>
        <w:adjustRightInd w:val="0"/>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（1）在支付工程进度款时逐次扣留，在此情形下，质量保证金的计算基数不包括预付款的支付、扣回以及价格调整的金额；</w:t>
      </w:r>
    </w:p>
    <w:p>
      <w:pPr>
        <w:autoSpaceDE w:val="0"/>
        <w:autoSpaceDN w:val="0"/>
        <w:adjustRightInd w:val="0"/>
        <w:spacing w:line="360" w:lineRule="auto"/>
        <w:ind w:firstLine="480" w:firstLineChars="200"/>
        <w:jc w:val="left"/>
        <w:outlineLvl w:val="0"/>
        <w:rPr>
          <w:rFonts w:hint="eastAsia" w:ascii="宋体" w:hAnsi="宋体" w:cs="宋体"/>
          <w:color w:val="000000"/>
          <w:kern w:val="0"/>
          <w:szCs w:val="21"/>
        </w:rPr>
      </w:pPr>
      <w:r>
        <w:rPr>
          <w:rFonts w:hint="eastAsia" w:ascii="宋体" w:hAnsi="宋体" w:cs="宋体"/>
          <w:color w:val="000000"/>
          <w:kern w:val="0"/>
          <w:szCs w:val="21"/>
        </w:rPr>
        <w:t>（2）工程竣工结算时一次性扣留质量保证金；</w:t>
      </w:r>
    </w:p>
    <w:p>
      <w:pPr>
        <w:autoSpaceDE w:val="0"/>
        <w:autoSpaceDN w:val="0"/>
        <w:adjustRightInd w:val="0"/>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（3）其他扣留方式:</w:t>
      </w:r>
      <w:r>
        <w:rPr>
          <w:rFonts w:hint="eastAsia" w:ascii="宋体" w:hAnsi="宋体" w:cs="宋体"/>
          <w:color w:val="000000"/>
          <w:kern w:val="0"/>
          <w:szCs w:val="21"/>
          <w:u w:val="single"/>
        </w:rPr>
        <w:t xml:space="preserve">                 </w:t>
      </w:r>
      <w:r>
        <w:rPr>
          <w:rFonts w:hint="eastAsia" w:ascii="宋体" w:hAnsi="宋体" w:cs="宋体"/>
          <w:kern w:val="0"/>
          <w:szCs w:val="21"/>
          <w:u w:val="single"/>
        </w:rPr>
        <w:t>/</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关于质量保证金的补充约定：</w:t>
      </w:r>
      <w:r>
        <w:rPr>
          <w:rFonts w:hint="eastAsia" w:ascii="宋体" w:hAnsi="宋体" w:cs="宋体"/>
          <w:color w:val="000000"/>
          <w:kern w:val="0"/>
          <w:szCs w:val="21"/>
          <w:u w:val="single"/>
        </w:rPr>
        <w:t xml:space="preserve">               </w:t>
      </w:r>
      <w:r>
        <w:rPr>
          <w:rFonts w:hint="eastAsia" w:ascii="宋体" w:hAnsi="宋体" w:cs="宋体"/>
          <w:kern w:val="0"/>
          <w:szCs w:val="21"/>
          <w:u w:val="single"/>
        </w:rPr>
        <w:t>/</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bookmarkEnd w:id="2930"/>
    <w:bookmarkEnd w:id="2931"/>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15.4保修</w:t>
      </w:r>
    </w:p>
    <w:bookmarkEnd w:id="2932"/>
    <w:p>
      <w:pPr>
        <w:spacing w:line="360" w:lineRule="auto"/>
        <w:ind w:firstLine="468" w:firstLineChars="195"/>
        <w:jc w:val="left"/>
        <w:rPr>
          <w:rFonts w:hint="eastAsia" w:ascii="宋体" w:hAnsi="宋体" w:cs="宋体"/>
          <w:color w:val="000000"/>
          <w:szCs w:val="21"/>
        </w:rPr>
      </w:pPr>
      <w:r>
        <w:rPr>
          <w:rFonts w:hint="eastAsia" w:ascii="宋体" w:hAnsi="宋体" w:cs="宋体"/>
          <w:color w:val="000000"/>
          <w:szCs w:val="21"/>
        </w:rPr>
        <w:t>15.4.1 保修责任</w:t>
      </w:r>
    </w:p>
    <w:p>
      <w:pPr>
        <w:spacing w:line="360" w:lineRule="auto"/>
        <w:ind w:firstLine="480" w:firstLineChars="200"/>
        <w:jc w:val="left"/>
        <w:rPr>
          <w:rFonts w:hint="eastAsia" w:ascii="宋体" w:hAnsi="宋体" w:cs="宋体"/>
          <w:kern w:val="0"/>
          <w:szCs w:val="21"/>
        </w:rPr>
      </w:pPr>
      <w:r>
        <w:rPr>
          <w:rFonts w:hint="eastAsia" w:ascii="宋体" w:hAnsi="宋体" w:cs="宋体"/>
          <w:color w:val="000000"/>
          <w:szCs w:val="21"/>
        </w:rPr>
        <w:t>工程保修期为：</w:t>
      </w:r>
      <w:r>
        <w:rPr>
          <w:rFonts w:hint="eastAsia" w:ascii="宋体" w:hAnsi="宋体" w:cs="宋体"/>
          <w:kern w:val="0"/>
          <w:szCs w:val="21"/>
          <w:u w:val="single"/>
        </w:rPr>
        <w:t>基础设施工程等</w:t>
      </w:r>
      <w:r>
        <w:rPr>
          <w:rFonts w:hint="eastAsia" w:ascii="宋体" w:hAnsi="宋体" w:cs="宋体"/>
          <w:kern w:val="0"/>
          <w:szCs w:val="21"/>
          <w:u w:val="single"/>
        </w:rPr>
        <w:fldChar w:fldCharType="begin"/>
      </w:r>
      <w:r>
        <w:rPr>
          <w:rFonts w:hint="eastAsia" w:ascii="宋体" w:hAnsi="宋体" w:cs="宋体"/>
          <w:kern w:val="0"/>
          <w:szCs w:val="21"/>
          <w:u w:val="single"/>
        </w:rPr>
        <w:instrText xml:space="preserve"> HYPERLINK "http://baike.baidu.com/view/3930570.htm" \t "_blank" </w:instrText>
      </w:r>
      <w:r>
        <w:rPr>
          <w:rFonts w:hint="eastAsia" w:ascii="宋体" w:hAnsi="宋体" w:cs="宋体"/>
          <w:kern w:val="0"/>
          <w:szCs w:val="21"/>
          <w:u w:val="single"/>
        </w:rPr>
        <w:fldChar w:fldCharType="separate"/>
      </w:r>
      <w:r>
        <w:rPr>
          <w:rFonts w:hint="eastAsia" w:ascii="宋体" w:hAnsi="宋体" w:cs="宋体"/>
          <w:kern w:val="0"/>
          <w:szCs w:val="21"/>
          <w:u w:val="single"/>
        </w:rPr>
        <w:t>主体结构工程</w:t>
      </w:r>
      <w:r>
        <w:rPr>
          <w:rFonts w:hint="eastAsia" w:ascii="宋体" w:hAnsi="宋体" w:cs="宋体"/>
          <w:kern w:val="0"/>
          <w:szCs w:val="21"/>
          <w:u w:val="single"/>
        </w:rPr>
        <w:fldChar w:fldCharType="end"/>
      </w:r>
      <w:r>
        <w:rPr>
          <w:rFonts w:hint="eastAsia" w:ascii="宋体" w:hAnsi="宋体" w:cs="宋体"/>
          <w:kern w:val="0"/>
          <w:szCs w:val="21"/>
          <w:u w:val="single"/>
        </w:rPr>
        <w:t xml:space="preserve">，为设计文件规定的该工程的合理使用年限；防水工程、墙面防渗漏，为5年；其他附属设施，为两年 </w:t>
      </w:r>
      <w:r>
        <w:rPr>
          <w:rFonts w:hint="eastAsia" w:ascii="宋体" w:hAnsi="宋体" w:cs="宋体"/>
          <w:kern w:val="0"/>
          <w:szCs w:val="21"/>
        </w:rPr>
        <w:t>。</w:t>
      </w:r>
    </w:p>
    <w:p>
      <w:pPr>
        <w:spacing w:line="360" w:lineRule="auto"/>
        <w:ind w:firstLine="468" w:firstLineChars="195"/>
        <w:jc w:val="left"/>
        <w:rPr>
          <w:rFonts w:hint="eastAsia" w:ascii="宋体" w:hAnsi="宋体" w:cs="宋体"/>
          <w:color w:val="000000"/>
          <w:szCs w:val="21"/>
        </w:rPr>
      </w:pPr>
      <w:r>
        <w:rPr>
          <w:rFonts w:hint="eastAsia" w:ascii="宋体" w:hAnsi="宋体" w:cs="宋体"/>
          <w:color w:val="000000"/>
          <w:szCs w:val="21"/>
        </w:rPr>
        <w:t>15.4.3 修复通知</w:t>
      </w:r>
    </w:p>
    <w:p>
      <w:pPr>
        <w:spacing w:line="360" w:lineRule="auto"/>
        <w:jc w:val="left"/>
        <w:rPr>
          <w:rFonts w:hint="eastAsia" w:ascii="宋体" w:hAnsi="宋体" w:cs="宋体"/>
          <w:color w:val="000000"/>
          <w:kern w:val="0"/>
          <w:szCs w:val="21"/>
        </w:rPr>
      </w:pPr>
      <w:r>
        <w:rPr>
          <w:rFonts w:hint="eastAsia" w:ascii="宋体" w:hAnsi="宋体" w:cs="宋体"/>
          <w:color w:val="000000"/>
          <w:kern w:val="0"/>
          <w:szCs w:val="21"/>
        </w:rPr>
        <w:t>承包人收到保修通知并到达工程现场的合理时间：</w:t>
      </w:r>
      <w:r>
        <w:rPr>
          <w:rFonts w:hint="eastAsia" w:ascii="宋体" w:hAnsi="宋体" w:cs="宋体"/>
          <w:color w:val="000000"/>
          <w:kern w:val="0"/>
          <w:szCs w:val="21"/>
          <w:u w:val="single"/>
        </w:rPr>
        <w:t xml:space="preserve">   </w:t>
      </w:r>
      <w:r>
        <w:rPr>
          <w:rFonts w:hint="eastAsia" w:ascii="宋体" w:hAnsi="宋体" w:cs="宋体"/>
          <w:kern w:val="0"/>
          <w:szCs w:val="21"/>
          <w:u w:val="single"/>
        </w:rPr>
        <w:t>24小时内</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bookmarkEnd w:id="2933"/>
    <w:bookmarkEnd w:id="2934"/>
    <w:bookmarkEnd w:id="2935"/>
    <w:bookmarkEnd w:id="2936"/>
    <w:p>
      <w:pPr>
        <w:pStyle w:val="6"/>
        <w:spacing w:before="120" w:after="120"/>
        <w:rPr>
          <w:rFonts w:hint="eastAsia" w:ascii="宋体" w:hAnsi="宋体" w:cs="宋体"/>
          <w:b w:val="0"/>
          <w:color w:val="000000"/>
          <w:szCs w:val="21"/>
        </w:rPr>
      </w:pPr>
      <w:bookmarkStart w:id="2959" w:name="_Toc351203648"/>
      <w:bookmarkStart w:id="2960" w:name="_Toc280868717"/>
      <w:bookmarkStart w:id="2961" w:name="_Toc280868718"/>
      <w:r>
        <w:rPr>
          <w:rFonts w:hint="eastAsia" w:ascii="宋体" w:hAnsi="宋体" w:cs="宋体"/>
          <w:b w:val="0"/>
          <w:color w:val="000000"/>
          <w:szCs w:val="21"/>
        </w:rPr>
        <w:t>16. 违约</w:t>
      </w:r>
      <w:bookmarkEnd w:id="2959"/>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16.1 发包人违约</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16.1.1发包人违约的情形</w:t>
      </w:r>
    </w:p>
    <w:p>
      <w:pPr>
        <w:spacing w:line="360" w:lineRule="auto"/>
        <w:ind w:left="1402" w:leftChars="284" w:hanging="720" w:hangingChars="300"/>
        <w:jc w:val="left"/>
        <w:rPr>
          <w:rFonts w:hint="eastAsia" w:ascii="宋体" w:hAnsi="宋体" w:cs="宋体"/>
          <w:color w:val="000000"/>
          <w:kern w:val="0"/>
          <w:szCs w:val="21"/>
        </w:rPr>
      </w:pPr>
      <w:r>
        <w:rPr>
          <w:rFonts w:hint="eastAsia" w:ascii="宋体" w:hAnsi="宋体" w:cs="宋体"/>
          <w:color w:val="000000"/>
          <w:kern w:val="0"/>
          <w:szCs w:val="21"/>
        </w:rPr>
        <w:t>发包人违约的其他情形：</w:t>
      </w:r>
      <w:r>
        <w:rPr>
          <w:rFonts w:hint="eastAsia" w:ascii="宋体" w:hAnsi="宋体" w:cs="宋体"/>
          <w:color w:val="000000"/>
          <w:kern w:val="0"/>
          <w:szCs w:val="21"/>
          <w:u w:val="single"/>
        </w:rPr>
        <w:t xml:space="preserve">            </w:t>
      </w:r>
      <w:r>
        <w:rPr>
          <w:rFonts w:hint="eastAsia" w:ascii="宋体" w:hAnsi="宋体" w:cs="宋体"/>
          <w:kern w:val="0"/>
          <w:szCs w:val="21"/>
          <w:u w:val="single"/>
        </w:rPr>
        <w:t>/</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p>
      <w:pPr>
        <w:spacing w:line="360" w:lineRule="auto"/>
        <w:ind w:left="1050" w:hanging="1200" w:hangingChars="500"/>
        <w:jc w:val="left"/>
        <w:rPr>
          <w:rFonts w:hint="eastAsia" w:ascii="宋体" w:hAnsi="宋体" w:cs="宋体"/>
          <w:color w:val="000000"/>
          <w:kern w:val="0"/>
          <w:szCs w:val="21"/>
        </w:rPr>
      </w:pPr>
      <w:r>
        <w:rPr>
          <w:rFonts w:hint="eastAsia" w:ascii="宋体" w:hAnsi="宋体" w:cs="宋体"/>
          <w:color w:val="000000"/>
          <w:kern w:val="0"/>
          <w:szCs w:val="21"/>
        </w:rPr>
        <w:t xml:space="preserve">    16.1.2 发包人违约的责任</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发包人违约责任的承担方式和计算方法：</w:t>
      </w:r>
    </w:p>
    <w:p>
      <w:pPr>
        <w:spacing w:line="360" w:lineRule="auto"/>
        <w:ind w:firstLine="480" w:firstLineChars="200"/>
        <w:jc w:val="left"/>
        <w:rPr>
          <w:rFonts w:hint="eastAsia" w:ascii="宋体" w:hAnsi="宋体" w:cs="宋体"/>
          <w:color w:val="000000"/>
          <w:kern w:val="0"/>
          <w:szCs w:val="21"/>
          <w:u w:val="single"/>
        </w:rPr>
      </w:pPr>
      <w:r>
        <w:rPr>
          <w:rFonts w:hint="eastAsia" w:ascii="宋体" w:hAnsi="宋体" w:cs="宋体"/>
          <w:color w:val="000000"/>
          <w:kern w:val="0"/>
          <w:szCs w:val="21"/>
        </w:rPr>
        <w:t>（1）因发包人原因未能在计划开工日期前7天内下达开工通知的违约责任：</w:t>
      </w:r>
      <w:r>
        <w:rPr>
          <w:rFonts w:hint="eastAsia" w:ascii="宋体" w:hAnsi="宋体" w:cs="宋体"/>
          <w:color w:val="000000"/>
          <w:kern w:val="0"/>
          <w:szCs w:val="21"/>
          <w:u w:val="single"/>
        </w:rPr>
        <w:t xml:space="preserve">  </w:t>
      </w:r>
      <w:r>
        <w:rPr>
          <w:rFonts w:hint="eastAsia" w:ascii="宋体" w:hAnsi="宋体" w:cs="宋体"/>
          <w:kern w:val="0"/>
          <w:szCs w:val="21"/>
          <w:u w:val="single"/>
        </w:rPr>
        <w:t>执行通用条款</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（2）因发包人原因未能按合同约定支付合同价款的违约责任：</w:t>
      </w:r>
      <w:r>
        <w:rPr>
          <w:rFonts w:hint="eastAsia" w:ascii="宋体" w:hAnsi="宋体" w:cs="宋体"/>
          <w:color w:val="000000"/>
          <w:kern w:val="0"/>
          <w:szCs w:val="21"/>
          <w:u w:val="single"/>
        </w:rPr>
        <w:t xml:space="preserve">  </w:t>
      </w:r>
      <w:r>
        <w:rPr>
          <w:rFonts w:hint="eastAsia" w:ascii="宋体" w:hAnsi="宋体" w:cs="宋体"/>
          <w:kern w:val="0"/>
          <w:szCs w:val="21"/>
          <w:u w:val="single"/>
        </w:rPr>
        <w:t>执行通用条款</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（3）发包人违反第10.1款〔变更的范围〕第（2）项约定，自行实施被取消的工作或转由他人实施的违约责任：</w:t>
      </w:r>
      <w:r>
        <w:rPr>
          <w:rFonts w:hint="eastAsia" w:ascii="宋体" w:hAnsi="宋体" w:cs="宋体"/>
          <w:color w:val="000000"/>
          <w:kern w:val="0"/>
          <w:szCs w:val="21"/>
          <w:u w:val="single"/>
        </w:rPr>
        <w:t xml:space="preserve"> </w:t>
      </w:r>
      <w:r>
        <w:rPr>
          <w:rFonts w:hint="eastAsia" w:ascii="宋体" w:hAnsi="宋体" w:cs="宋体"/>
          <w:kern w:val="0"/>
          <w:szCs w:val="21"/>
          <w:u w:val="single"/>
        </w:rPr>
        <w:t>执行通用条款</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（4）发包人提供的材料、工程设备的规格、数量或质量不符合合同约定，或因发包人原因导致交货日期延误或交货地点变更等情况的违约责任：</w:t>
      </w:r>
      <w:r>
        <w:rPr>
          <w:rFonts w:hint="eastAsia" w:ascii="宋体" w:hAnsi="宋体" w:cs="宋体"/>
          <w:color w:val="000000"/>
          <w:kern w:val="0"/>
          <w:szCs w:val="21"/>
          <w:u w:val="single"/>
        </w:rPr>
        <w:t xml:space="preserve">  </w:t>
      </w:r>
      <w:r>
        <w:rPr>
          <w:rFonts w:hint="eastAsia" w:ascii="宋体" w:hAnsi="宋体" w:cs="宋体"/>
          <w:kern w:val="0"/>
          <w:szCs w:val="21"/>
          <w:u w:val="single"/>
        </w:rPr>
        <w:t>执行通用条款</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（5）因发包人违反合同约定造成暂停施工的违约责任：</w:t>
      </w:r>
      <w:r>
        <w:rPr>
          <w:rFonts w:hint="eastAsia" w:ascii="宋体" w:hAnsi="宋体" w:cs="宋体"/>
          <w:color w:val="000000"/>
          <w:kern w:val="0"/>
          <w:szCs w:val="21"/>
          <w:u w:val="single"/>
        </w:rPr>
        <w:t xml:space="preserve"> </w:t>
      </w:r>
      <w:r>
        <w:rPr>
          <w:rFonts w:hint="eastAsia" w:ascii="宋体" w:hAnsi="宋体" w:cs="宋体"/>
          <w:kern w:val="0"/>
          <w:szCs w:val="21"/>
          <w:u w:val="single"/>
        </w:rPr>
        <w:t>执行通用条款</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（6）发包人无正当理由没有在约定期限内发出复工指示，导致承包人无法复工的违约责任：</w:t>
      </w:r>
      <w:r>
        <w:rPr>
          <w:rFonts w:hint="eastAsia" w:ascii="宋体" w:hAnsi="宋体" w:cs="宋体"/>
          <w:color w:val="000000"/>
          <w:kern w:val="0"/>
          <w:szCs w:val="21"/>
          <w:u w:val="single"/>
        </w:rPr>
        <w:t xml:space="preserve">  </w:t>
      </w:r>
      <w:r>
        <w:rPr>
          <w:rFonts w:hint="eastAsia" w:ascii="宋体" w:hAnsi="宋体" w:cs="宋体"/>
          <w:kern w:val="0"/>
          <w:szCs w:val="21"/>
          <w:u w:val="single"/>
        </w:rPr>
        <w:t>执行通用条款</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（7）其他：</w:t>
      </w:r>
      <w:r>
        <w:rPr>
          <w:rFonts w:hint="eastAsia" w:ascii="宋体" w:hAnsi="宋体" w:cs="宋体"/>
          <w:color w:val="000000"/>
          <w:kern w:val="0"/>
          <w:szCs w:val="21"/>
          <w:u w:val="single"/>
        </w:rPr>
        <w:t xml:space="preserve">    /   </w:t>
      </w:r>
      <w:r>
        <w:rPr>
          <w:rFonts w:hint="eastAsia" w:ascii="宋体" w:hAnsi="宋体" w:cs="宋体"/>
          <w:color w:val="000000"/>
          <w:kern w:val="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16.1.3 因发包人违约解除合同</w:t>
      </w:r>
    </w:p>
    <w:p>
      <w:pPr>
        <w:autoSpaceDE w:val="0"/>
        <w:autoSpaceDN w:val="0"/>
        <w:adjustRightInd w:val="0"/>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承包人按16.1.1项〔发包人违约的情形〕约定暂停施工满</w:t>
      </w:r>
      <w:r>
        <w:rPr>
          <w:rFonts w:hint="eastAsia" w:ascii="宋体" w:hAnsi="宋体" w:cs="宋体"/>
          <w:color w:val="000000"/>
          <w:kern w:val="0"/>
          <w:szCs w:val="21"/>
          <w:u w:val="single"/>
        </w:rPr>
        <w:t xml:space="preserve">    /   </w:t>
      </w:r>
      <w:r>
        <w:rPr>
          <w:rFonts w:hint="eastAsia" w:ascii="宋体" w:hAnsi="宋体" w:cs="宋体"/>
          <w:color w:val="000000"/>
          <w:kern w:val="0"/>
          <w:szCs w:val="21"/>
        </w:rPr>
        <w:t>天后发包人仍不纠正其违约行为并致使合同目的不能实现的，承包人有权解除合同。</w:t>
      </w:r>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16.2 承包人违约</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16.2.1 承包人违约的情形</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承包人违约的其他情形：</w:t>
      </w:r>
      <w:r>
        <w:rPr>
          <w:rFonts w:hint="eastAsia" w:ascii="宋体" w:hAnsi="宋体" w:cs="宋体"/>
          <w:color w:val="000000"/>
          <w:kern w:val="0"/>
          <w:szCs w:val="21"/>
          <w:u w:val="single"/>
        </w:rPr>
        <w:t xml:space="preserve">   </w:t>
      </w:r>
      <w:r>
        <w:rPr>
          <w:rFonts w:hint="eastAsia" w:ascii="宋体" w:hAnsi="宋体" w:cs="宋体"/>
          <w:kern w:val="0"/>
          <w:szCs w:val="21"/>
          <w:u w:val="single"/>
        </w:rPr>
        <w:t>/</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kern w:val="0"/>
          <w:szCs w:val="21"/>
        </w:rPr>
        <w:t>16.2.2承包人违约的责任</w:t>
      </w:r>
    </w:p>
    <w:p>
      <w:pPr>
        <w:spacing w:line="360" w:lineRule="auto"/>
        <w:ind w:left="1402" w:leftChars="284" w:hanging="720" w:hangingChars="300"/>
        <w:jc w:val="left"/>
        <w:rPr>
          <w:rFonts w:hint="eastAsia" w:ascii="宋体" w:hAnsi="宋体" w:cs="宋体"/>
          <w:color w:val="000000"/>
          <w:kern w:val="0"/>
          <w:szCs w:val="21"/>
          <w:u w:val="single"/>
        </w:rPr>
      </w:pPr>
      <w:r>
        <w:rPr>
          <w:rFonts w:hint="eastAsia" w:ascii="宋体" w:hAnsi="宋体" w:cs="宋体"/>
          <w:color w:val="000000"/>
          <w:kern w:val="0"/>
          <w:szCs w:val="21"/>
        </w:rPr>
        <w:t>承包人违约责任的承担方式和计算方法：</w:t>
      </w:r>
      <w:r>
        <w:rPr>
          <w:rFonts w:hint="eastAsia" w:ascii="宋体" w:hAnsi="宋体" w:cs="宋体"/>
          <w:color w:val="000000"/>
          <w:kern w:val="0"/>
          <w:szCs w:val="21"/>
          <w:u w:val="single"/>
        </w:rPr>
        <w:t xml:space="preserve">  </w:t>
      </w:r>
      <w:r>
        <w:rPr>
          <w:rFonts w:hint="eastAsia" w:ascii="宋体" w:hAnsi="宋体" w:cs="宋体"/>
          <w:kern w:val="0"/>
          <w:szCs w:val="21"/>
          <w:u w:val="single"/>
        </w:rPr>
        <w:t xml:space="preserve">执行通用条款 </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r>
        <w:rPr>
          <w:rFonts w:hint="eastAsia" w:ascii="宋体" w:hAnsi="宋体" w:cs="宋体"/>
          <w:color w:val="000000"/>
          <w:szCs w:val="21"/>
        </w:rPr>
        <w:t xml:space="preserve">    </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16.2.3 因承包人违约解除合同</w:t>
      </w:r>
    </w:p>
    <w:p>
      <w:pPr>
        <w:spacing w:before="120" w:after="120" w:line="360" w:lineRule="auto"/>
        <w:ind w:firstLine="480" w:firstLineChars="200"/>
        <w:rPr>
          <w:rFonts w:hint="eastAsia" w:ascii="宋体" w:hAnsi="宋体" w:cs="宋体"/>
          <w:color w:val="000000"/>
          <w:kern w:val="0"/>
          <w:szCs w:val="21"/>
        </w:rPr>
      </w:pPr>
      <w:r>
        <w:rPr>
          <w:rFonts w:hint="eastAsia" w:ascii="宋体" w:hAnsi="宋体" w:cs="宋体"/>
          <w:color w:val="000000"/>
          <w:kern w:val="0"/>
          <w:szCs w:val="21"/>
        </w:rPr>
        <w:t>关于承包人违约解除合同的特别约定：</w:t>
      </w:r>
      <w:r>
        <w:rPr>
          <w:rFonts w:hint="eastAsia" w:ascii="宋体" w:hAnsi="宋体" w:cs="宋体"/>
          <w:color w:val="000000"/>
          <w:kern w:val="0"/>
          <w:szCs w:val="21"/>
          <w:u w:val="single"/>
        </w:rPr>
        <w:t xml:space="preserve">  </w:t>
      </w:r>
      <w:r>
        <w:rPr>
          <w:rFonts w:hint="eastAsia" w:ascii="宋体" w:hAnsi="宋体" w:cs="宋体"/>
          <w:kern w:val="0"/>
          <w:szCs w:val="21"/>
          <w:u w:val="single"/>
        </w:rPr>
        <w:t>/</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p>
      <w:pPr>
        <w:spacing w:before="120" w:after="120" w:line="360" w:lineRule="auto"/>
        <w:ind w:firstLine="480" w:firstLineChars="200"/>
        <w:rPr>
          <w:rFonts w:hint="eastAsia" w:ascii="宋体" w:hAnsi="宋体" w:cs="宋体"/>
          <w:color w:val="000000"/>
          <w:kern w:val="0"/>
          <w:szCs w:val="21"/>
        </w:rPr>
      </w:pPr>
      <w:r>
        <w:rPr>
          <w:rFonts w:hint="eastAsia" w:ascii="宋体" w:hAnsi="宋体" w:cs="宋体"/>
          <w:color w:val="000000"/>
          <w:kern w:val="0"/>
          <w:szCs w:val="21"/>
        </w:rPr>
        <w:t>发包人继续使用承包人在施工现场的材料、设备、临时工程、承包人文件和由承包人或以其名义编制的其他文件的费用承担方式：</w:t>
      </w:r>
      <w:r>
        <w:rPr>
          <w:rFonts w:hint="eastAsia" w:ascii="宋体" w:hAnsi="宋体" w:cs="宋体"/>
          <w:color w:val="000000"/>
          <w:kern w:val="0"/>
          <w:szCs w:val="21"/>
          <w:u w:val="single"/>
        </w:rPr>
        <w:t xml:space="preserve">   </w:t>
      </w:r>
      <w:r>
        <w:rPr>
          <w:rFonts w:hint="eastAsia" w:ascii="宋体" w:hAnsi="宋体" w:cs="宋体"/>
          <w:szCs w:val="21"/>
          <w:u w:val="single"/>
        </w:rPr>
        <w:t>由承包人承担</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p>
      <w:pPr>
        <w:pStyle w:val="6"/>
        <w:spacing w:before="120" w:after="120"/>
        <w:rPr>
          <w:rFonts w:hint="eastAsia" w:ascii="宋体" w:hAnsi="宋体" w:cs="宋体"/>
          <w:b w:val="0"/>
          <w:color w:val="000000"/>
          <w:szCs w:val="21"/>
        </w:rPr>
      </w:pPr>
      <w:bookmarkStart w:id="2962" w:name="_Toc351203649"/>
      <w:r>
        <w:rPr>
          <w:rFonts w:hint="eastAsia" w:ascii="宋体" w:hAnsi="宋体" w:cs="宋体"/>
          <w:b w:val="0"/>
          <w:color w:val="000000"/>
          <w:szCs w:val="21"/>
        </w:rPr>
        <w:t>17. 不可抗力</w:t>
      </w:r>
      <w:bookmarkEnd w:id="2962"/>
      <w:r>
        <w:rPr>
          <w:rFonts w:hint="eastAsia" w:ascii="宋体" w:hAnsi="宋体" w:cs="宋体"/>
          <w:b w:val="0"/>
          <w:color w:val="000000"/>
          <w:szCs w:val="21"/>
        </w:rPr>
        <w:t xml:space="preserve"> </w:t>
      </w:r>
      <w:bookmarkEnd w:id="2960"/>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17.1 不可抗力的确认</w:t>
      </w:r>
    </w:p>
    <w:p>
      <w:pPr>
        <w:spacing w:line="360" w:lineRule="auto"/>
        <w:ind w:firstLine="480" w:firstLineChars="200"/>
        <w:jc w:val="left"/>
        <w:rPr>
          <w:rFonts w:hint="eastAsia" w:ascii="宋体" w:hAnsi="宋体" w:cs="宋体"/>
          <w:color w:val="000000"/>
          <w:kern w:val="0"/>
          <w:szCs w:val="21"/>
          <w:u w:val="single"/>
        </w:rPr>
      </w:pPr>
      <w:r>
        <w:rPr>
          <w:rFonts w:hint="eastAsia" w:ascii="宋体" w:hAnsi="宋体" w:cs="宋体"/>
          <w:color w:val="000000"/>
          <w:szCs w:val="21"/>
        </w:rPr>
        <w:t xml:space="preserve">除通用合同条款约定的不可抗力事件之外，视为不可抗力的其他情形： </w:t>
      </w:r>
      <w:r>
        <w:rPr>
          <w:rFonts w:hint="eastAsia" w:ascii="宋体" w:hAnsi="宋体" w:cs="宋体"/>
          <w:color w:val="000000"/>
          <w:kern w:val="0"/>
          <w:szCs w:val="21"/>
          <w:u w:val="single"/>
        </w:rPr>
        <w:t xml:space="preserve"> </w:t>
      </w:r>
      <w:r>
        <w:rPr>
          <w:rFonts w:hint="eastAsia" w:ascii="宋体" w:hAnsi="宋体" w:cs="宋体"/>
          <w:szCs w:val="21"/>
          <w:u w:val="single"/>
        </w:rPr>
        <w:t>政策调整，取消全部或部分工程内容</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17.4 因不可抗力解除合同</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合同解除后，发包人应在商定或确定发包人应支付款项后</w:t>
      </w:r>
      <w:r>
        <w:rPr>
          <w:rFonts w:hint="eastAsia" w:ascii="宋体" w:hAnsi="宋体" w:cs="宋体"/>
          <w:color w:val="000000"/>
          <w:szCs w:val="21"/>
          <w:u w:val="single"/>
        </w:rPr>
        <w:t xml:space="preserve"> 56 </w:t>
      </w:r>
      <w:r>
        <w:rPr>
          <w:rFonts w:hint="eastAsia" w:ascii="宋体" w:hAnsi="宋体" w:cs="宋体"/>
          <w:color w:val="000000"/>
          <w:szCs w:val="21"/>
        </w:rPr>
        <w:t>天内完成款项的支付。</w:t>
      </w:r>
    </w:p>
    <w:p>
      <w:pPr>
        <w:pStyle w:val="6"/>
        <w:spacing w:before="120" w:after="120"/>
        <w:rPr>
          <w:rFonts w:hint="eastAsia" w:ascii="宋体" w:hAnsi="宋体" w:cs="宋体"/>
          <w:b w:val="0"/>
          <w:color w:val="000000"/>
          <w:szCs w:val="21"/>
        </w:rPr>
      </w:pPr>
      <w:bookmarkStart w:id="2963" w:name="_Toc351203650"/>
      <w:r>
        <w:rPr>
          <w:rFonts w:hint="eastAsia" w:ascii="宋体" w:hAnsi="宋体" w:cs="宋体"/>
          <w:b w:val="0"/>
          <w:color w:val="000000"/>
          <w:szCs w:val="21"/>
        </w:rPr>
        <w:t>18. 保险</w:t>
      </w:r>
      <w:bookmarkEnd w:id="2963"/>
      <w:r>
        <w:rPr>
          <w:rFonts w:hint="eastAsia" w:ascii="宋体" w:hAnsi="宋体" w:cs="宋体"/>
          <w:b w:val="0"/>
          <w:color w:val="FF0000"/>
          <w:szCs w:val="21"/>
        </w:rPr>
        <w:t>（项目公司参考执行）</w:t>
      </w:r>
    </w:p>
    <w:bookmarkEnd w:id="2961"/>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18.1 工程保险</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关于工程保险的特别约定：</w:t>
      </w:r>
      <w:r>
        <w:rPr>
          <w:rFonts w:hint="eastAsia" w:ascii="宋体" w:hAnsi="宋体" w:cs="宋体"/>
          <w:color w:val="000000"/>
          <w:kern w:val="0"/>
          <w:szCs w:val="21"/>
          <w:u w:val="single"/>
        </w:rPr>
        <w:t xml:space="preserve">              /               </w:t>
      </w:r>
      <w:r>
        <w:rPr>
          <w:rFonts w:hint="eastAsia" w:ascii="宋体" w:hAnsi="宋体" w:cs="宋体"/>
          <w:color w:val="000000"/>
          <w:kern w:val="0"/>
          <w:szCs w:val="21"/>
        </w:rPr>
        <w:t>。</w:t>
      </w:r>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18.3 其他保险</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szCs w:val="21"/>
        </w:rPr>
        <w:t>关于其他保险的约定：</w:t>
      </w:r>
      <w:r>
        <w:rPr>
          <w:rFonts w:hint="eastAsia" w:ascii="宋体" w:hAnsi="宋体" w:cs="宋体"/>
          <w:color w:val="000000"/>
          <w:kern w:val="0"/>
          <w:szCs w:val="21"/>
          <w:u w:val="single"/>
        </w:rPr>
        <w:t xml:space="preserve">                /                 </w:t>
      </w:r>
      <w:r>
        <w:rPr>
          <w:rFonts w:hint="eastAsia" w:ascii="宋体" w:hAnsi="宋体" w:cs="宋体"/>
          <w:color w:val="000000"/>
          <w:kern w:val="0"/>
          <w:szCs w:val="21"/>
        </w:rPr>
        <w:t>。</w:t>
      </w:r>
    </w:p>
    <w:p>
      <w:pPr>
        <w:spacing w:line="360" w:lineRule="auto"/>
        <w:ind w:firstLine="480" w:firstLineChars="200"/>
        <w:jc w:val="left"/>
        <w:rPr>
          <w:rFonts w:hint="eastAsia" w:ascii="宋体" w:hAnsi="宋体" w:cs="宋体"/>
          <w:color w:val="000000"/>
          <w:kern w:val="0"/>
          <w:szCs w:val="21"/>
        </w:rPr>
      </w:pPr>
      <w:r>
        <w:rPr>
          <w:rFonts w:hint="eastAsia" w:ascii="宋体" w:hAnsi="宋体" w:cs="宋体"/>
          <w:color w:val="000000"/>
          <w:szCs w:val="21"/>
        </w:rPr>
        <w:t>承包人是否应为其施工设备等办理财产保险：</w:t>
      </w:r>
      <w:r>
        <w:rPr>
          <w:rFonts w:hint="eastAsia" w:ascii="宋体" w:hAnsi="宋体" w:cs="宋体"/>
          <w:color w:val="000000"/>
          <w:szCs w:val="21"/>
          <w:u w:val="single"/>
        </w:rPr>
        <w:t xml:space="preserve">  是  </w:t>
      </w:r>
      <w:r>
        <w:rPr>
          <w:rFonts w:hint="eastAsia" w:ascii="宋体" w:hAnsi="宋体" w:cs="宋体"/>
          <w:color w:val="000000"/>
          <w:szCs w:val="21"/>
        </w:rPr>
        <w:t>。</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18.7 通知义务</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kern w:val="0"/>
          <w:szCs w:val="21"/>
        </w:rPr>
        <w:t>关于变更保险合同时的通知义务的约定：</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bookmarkEnd w:id="2937"/>
    <w:bookmarkEnd w:id="2938"/>
    <w:bookmarkEnd w:id="2939"/>
    <w:bookmarkEnd w:id="2940"/>
    <w:bookmarkEnd w:id="2941"/>
    <w:bookmarkEnd w:id="2942"/>
    <w:bookmarkEnd w:id="2943"/>
    <w:bookmarkEnd w:id="2944"/>
    <w:bookmarkEnd w:id="2945"/>
    <w:bookmarkEnd w:id="2946"/>
    <w:bookmarkEnd w:id="2947"/>
    <w:bookmarkEnd w:id="2948"/>
    <w:p>
      <w:pPr>
        <w:pStyle w:val="6"/>
        <w:spacing w:before="120" w:after="120"/>
        <w:rPr>
          <w:rFonts w:hint="eastAsia" w:ascii="宋体" w:hAnsi="宋体" w:cs="宋体"/>
          <w:b w:val="0"/>
          <w:color w:val="000000"/>
          <w:szCs w:val="21"/>
        </w:rPr>
      </w:pPr>
      <w:bookmarkStart w:id="2964" w:name="_Toc351203651"/>
      <w:r>
        <w:rPr>
          <w:rFonts w:hint="eastAsia" w:ascii="宋体" w:hAnsi="宋体" w:cs="宋体"/>
          <w:b w:val="0"/>
          <w:color w:val="000000"/>
          <w:szCs w:val="21"/>
        </w:rPr>
        <w:t>20. 争议解决</w:t>
      </w:r>
      <w:bookmarkEnd w:id="2964"/>
      <w:r>
        <w:rPr>
          <w:rFonts w:hint="eastAsia" w:ascii="宋体" w:hAnsi="宋体" w:cs="宋体"/>
          <w:b w:val="0"/>
          <w:color w:val="FF0000"/>
          <w:szCs w:val="21"/>
        </w:rPr>
        <w:t>（项目公司参考执行）</w:t>
      </w:r>
    </w:p>
    <w:bookmarkEnd w:id="2949"/>
    <w:bookmarkEnd w:id="2950"/>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20.3 争</w:t>
      </w:r>
      <w:bookmarkEnd w:id="2951"/>
      <w:r>
        <w:rPr>
          <w:rFonts w:hint="eastAsia" w:ascii="宋体" w:hAnsi="宋体" w:cs="宋体"/>
          <w:color w:val="000000"/>
          <w:szCs w:val="21"/>
        </w:rPr>
        <w:t>议评审</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合同当事人是否同意将工程争议提交争议评审小组决定：</w:t>
      </w:r>
      <w:r>
        <w:rPr>
          <w:rFonts w:hint="eastAsia" w:ascii="宋体" w:hAnsi="宋体" w:cs="宋体"/>
          <w:color w:val="000000"/>
          <w:szCs w:val="21"/>
          <w:u w:val="single"/>
        </w:rPr>
        <w:t xml:space="preserve"> 执行通用条款 </w:t>
      </w:r>
      <w:r>
        <w:rPr>
          <w:rFonts w:hint="eastAsia" w:ascii="宋体" w:hAnsi="宋体" w:cs="宋体"/>
          <w:color w:val="000000"/>
          <w:szCs w:val="21"/>
        </w:rPr>
        <w:t xml:space="preserve">。  </w:t>
      </w:r>
    </w:p>
    <w:p>
      <w:pPr>
        <w:spacing w:line="360" w:lineRule="auto"/>
        <w:ind w:firstLine="480" w:firstLineChars="200"/>
        <w:jc w:val="left"/>
        <w:outlineLvl w:val="0"/>
        <w:rPr>
          <w:rFonts w:hint="eastAsia" w:ascii="宋体" w:hAnsi="宋体" w:cs="宋体"/>
          <w:color w:val="000000"/>
          <w:szCs w:val="21"/>
        </w:rPr>
      </w:pPr>
      <w:r>
        <w:rPr>
          <w:rFonts w:hint="eastAsia" w:ascii="宋体" w:hAnsi="宋体" w:cs="宋体"/>
          <w:color w:val="000000"/>
          <w:szCs w:val="21"/>
        </w:rPr>
        <w:t>20.3.1 争议评审小组的确定</w:t>
      </w:r>
    </w:p>
    <w:p>
      <w:pPr>
        <w:spacing w:line="360" w:lineRule="auto"/>
        <w:ind w:firstLine="480" w:firstLineChars="200"/>
        <w:jc w:val="left"/>
        <w:rPr>
          <w:rFonts w:hint="eastAsia" w:ascii="宋体" w:hAnsi="宋体" w:cs="宋体"/>
          <w:color w:val="000000"/>
          <w:szCs w:val="21"/>
          <w:u w:val="single"/>
        </w:rPr>
      </w:pPr>
      <w:r>
        <w:rPr>
          <w:rFonts w:hint="eastAsia" w:ascii="宋体" w:hAnsi="宋体" w:cs="宋体"/>
          <w:color w:val="000000"/>
          <w:szCs w:val="21"/>
        </w:rPr>
        <w:t>争议评审小组成员的确定：</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选定争议评审员的期限：</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争议评审小组成员的报酬承担方式：</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其他事项的约定：</w:t>
      </w:r>
      <w:r>
        <w:rPr>
          <w:rFonts w:hint="eastAsia" w:ascii="宋体" w:hAnsi="宋体" w:cs="宋体"/>
          <w:color w:val="000000"/>
          <w:szCs w:val="21"/>
          <w:u w:val="single"/>
        </w:rPr>
        <w:t xml:space="preserve">              /                </w:t>
      </w:r>
      <w:r>
        <w:rPr>
          <w:rFonts w:hint="eastAsia" w:ascii="宋体" w:hAnsi="宋体" w:cs="宋体"/>
          <w:color w:val="000000"/>
          <w:szCs w:val="21"/>
        </w:rPr>
        <w:t>。</w:t>
      </w:r>
    </w:p>
    <w:p>
      <w:pPr>
        <w:autoSpaceDE w:val="0"/>
        <w:autoSpaceDN w:val="0"/>
        <w:adjustRightInd w:val="0"/>
        <w:spacing w:line="360" w:lineRule="auto"/>
        <w:ind w:firstLine="480" w:firstLineChars="200"/>
        <w:jc w:val="left"/>
        <w:outlineLvl w:val="0"/>
        <w:rPr>
          <w:rFonts w:hint="eastAsia" w:ascii="宋体" w:hAnsi="宋体" w:cs="宋体"/>
          <w:color w:val="000000"/>
          <w:kern w:val="0"/>
          <w:szCs w:val="21"/>
        </w:rPr>
      </w:pPr>
      <w:r>
        <w:rPr>
          <w:rFonts w:hint="eastAsia" w:ascii="宋体" w:hAnsi="宋体" w:cs="宋体"/>
          <w:color w:val="000000"/>
          <w:kern w:val="0"/>
          <w:szCs w:val="21"/>
        </w:rPr>
        <w:t>20.3.2 争议评审小组的决定</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合同当事人关于本项的约定：</w:t>
      </w:r>
      <w:r>
        <w:rPr>
          <w:rFonts w:hint="eastAsia" w:ascii="宋体" w:hAnsi="宋体" w:cs="宋体"/>
          <w:color w:val="000000"/>
          <w:szCs w:val="21"/>
          <w:u w:val="single"/>
        </w:rPr>
        <w:t xml:space="preserve">   执行通用条款   </w:t>
      </w:r>
      <w:r>
        <w:rPr>
          <w:rFonts w:hint="eastAsia" w:ascii="宋体" w:hAnsi="宋体" w:cs="宋体"/>
          <w:color w:val="000000"/>
          <w:szCs w:val="21"/>
        </w:rPr>
        <w:t>。</w:t>
      </w:r>
    </w:p>
    <w:p>
      <w:pPr>
        <w:spacing w:after="120"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20.4仲裁或诉讼</w:t>
      </w:r>
      <w:bookmarkEnd w:id="2952"/>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因合同及合同有关事项发生的争议，按下列第</w:t>
      </w:r>
      <w:r>
        <w:rPr>
          <w:rFonts w:hint="eastAsia" w:ascii="宋体" w:hAnsi="宋体" w:cs="宋体"/>
          <w:color w:val="000000"/>
          <w:szCs w:val="21"/>
          <w:u w:val="single"/>
        </w:rPr>
        <w:t xml:space="preserve">  2  </w:t>
      </w:r>
      <w:r>
        <w:rPr>
          <w:rFonts w:hint="eastAsia" w:ascii="宋体" w:hAnsi="宋体" w:cs="宋体"/>
          <w:color w:val="000000"/>
          <w:szCs w:val="21"/>
        </w:rPr>
        <w:t>种方式解决：</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（1）向</w:t>
      </w:r>
      <w:r>
        <w:rPr>
          <w:rFonts w:hint="eastAsia" w:ascii="宋体" w:hAnsi="宋体" w:cs="宋体"/>
          <w:color w:val="000000"/>
          <w:szCs w:val="21"/>
          <w:u w:val="single"/>
        </w:rPr>
        <w:t xml:space="preserve">          /           </w:t>
      </w:r>
      <w:r>
        <w:rPr>
          <w:rFonts w:hint="eastAsia" w:ascii="宋体" w:hAnsi="宋体" w:cs="宋体"/>
          <w:color w:val="000000"/>
          <w:szCs w:val="21"/>
        </w:rPr>
        <w:t>仲裁委员会申请仲裁；</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（2）向</w:t>
      </w:r>
      <w:r>
        <w:rPr>
          <w:rFonts w:hint="eastAsia" w:ascii="宋体" w:hAnsi="宋体" w:cs="宋体"/>
          <w:color w:val="000000"/>
          <w:szCs w:val="21"/>
          <w:u w:val="single"/>
        </w:rPr>
        <w:t xml:space="preserve">       工程所在地     </w:t>
      </w:r>
      <w:r>
        <w:rPr>
          <w:rFonts w:hint="eastAsia" w:ascii="宋体" w:hAnsi="宋体" w:cs="宋体"/>
          <w:color w:val="000000"/>
          <w:szCs w:val="21"/>
        </w:rPr>
        <w:t>人民法院起诉。</w:t>
      </w:r>
      <w:bookmarkEnd w:id="2953"/>
      <w:bookmarkEnd w:id="2954"/>
      <w:bookmarkEnd w:id="2955"/>
      <w:bookmarkEnd w:id="2956"/>
      <w:bookmarkEnd w:id="2957"/>
      <w:bookmarkEnd w:id="2958"/>
    </w:p>
    <w:p>
      <w:pPr>
        <w:spacing w:line="360" w:lineRule="auto"/>
        <w:jc w:val="left"/>
        <w:rPr>
          <w:rFonts w:hint="eastAsia" w:ascii="宋体" w:hAnsi="宋体" w:cs="宋体"/>
          <w:b/>
          <w:color w:val="000000"/>
          <w:sz w:val="24"/>
        </w:rPr>
      </w:pPr>
      <w:bookmarkStart w:id="2965" w:name="_Toc351203652"/>
    </w:p>
    <w:p>
      <w:pPr>
        <w:spacing w:line="360" w:lineRule="auto"/>
        <w:jc w:val="left"/>
        <w:rPr>
          <w:rFonts w:hint="eastAsia" w:ascii="宋体" w:hAnsi="宋体" w:cs="宋体"/>
          <w:b/>
          <w:color w:val="000000"/>
          <w:sz w:val="24"/>
        </w:rPr>
      </w:pPr>
    </w:p>
    <w:p>
      <w:pPr>
        <w:spacing w:line="360" w:lineRule="auto"/>
        <w:jc w:val="left"/>
        <w:rPr>
          <w:rFonts w:hint="eastAsia" w:ascii="宋体" w:hAnsi="宋体" w:cs="宋体"/>
          <w:b/>
          <w:color w:val="000000"/>
          <w:sz w:val="24"/>
        </w:rPr>
      </w:pPr>
    </w:p>
    <w:p>
      <w:pPr>
        <w:spacing w:line="360" w:lineRule="auto"/>
        <w:jc w:val="left"/>
        <w:rPr>
          <w:rFonts w:hint="eastAsia" w:ascii="宋体" w:hAnsi="宋体" w:cs="宋体"/>
          <w:b/>
          <w:color w:val="000000"/>
          <w:sz w:val="24"/>
        </w:rPr>
      </w:pPr>
    </w:p>
    <w:p>
      <w:pPr>
        <w:spacing w:line="360" w:lineRule="auto"/>
        <w:jc w:val="left"/>
        <w:rPr>
          <w:rFonts w:hint="eastAsia" w:ascii="宋体" w:hAnsi="宋体" w:cs="宋体"/>
          <w:b/>
          <w:color w:val="000000"/>
          <w:sz w:val="24"/>
        </w:rPr>
      </w:pPr>
    </w:p>
    <w:p>
      <w:pPr>
        <w:spacing w:line="360" w:lineRule="auto"/>
        <w:jc w:val="left"/>
        <w:rPr>
          <w:rFonts w:hint="eastAsia" w:ascii="宋体" w:hAnsi="宋体" w:cs="宋体"/>
          <w:b/>
          <w:color w:val="000000"/>
          <w:sz w:val="24"/>
        </w:rPr>
      </w:pPr>
    </w:p>
    <w:p>
      <w:pPr>
        <w:spacing w:line="360" w:lineRule="auto"/>
        <w:jc w:val="left"/>
        <w:rPr>
          <w:rFonts w:hint="eastAsia" w:ascii="宋体" w:hAnsi="宋体" w:cs="宋体"/>
          <w:b/>
          <w:color w:val="000000"/>
          <w:sz w:val="24"/>
        </w:rPr>
      </w:pPr>
    </w:p>
    <w:p>
      <w:pPr>
        <w:spacing w:line="360" w:lineRule="auto"/>
        <w:jc w:val="left"/>
        <w:rPr>
          <w:rFonts w:hint="eastAsia" w:ascii="宋体" w:hAnsi="宋体" w:cs="宋体"/>
          <w:b/>
          <w:color w:val="000000"/>
          <w:sz w:val="24"/>
        </w:rPr>
      </w:pPr>
    </w:p>
    <w:p>
      <w:pPr>
        <w:spacing w:line="360" w:lineRule="auto"/>
        <w:jc w:val="left"/>
        <w:rPr>
          <w:rFonts w:hint="eastAsia" w:ascii="宋体" w:hAnsi="宋体" w:cs="宋体"/>
          <w:b/>
          <w:color w:val="000000"/>
          <w:sz w:val="24"/>
        </w:rPr>
      </w:pPr>
    </w:p>
    <w:p>
      <w:pPr>
        <w:spacing w:line="360" w:lineRule="auto"/>
        <w:jc w:val="left"/>
        <w:rPr>
          <w:rFonts w:hint="eastAsia" w:ascii="宋体" w:hAnsi="宋体" w:cs="宋体"/>
          <w:b/>
          <w:color w:val="000000"/>
          <w:sz w:val="24"/>
        </w:rPr>
      </w:pPr>
    </w:p>
    <w:p>
      <w:pPr>
        <w:spacing w:line="360" w:lineRule="auto"/>
        <w:jc w:val="left"/>
        <w:rPr>
          <w:rFonts w:hint="eastAsia" w:ascii="宋体" w:hAnsi="宋体" w:cs="宋体"/>
          <w:b/>
          <w:color w:val="000000"/>
          <w:sz w:val="24"/>
        </w:rPr>
      </w:pPr>
    </w:p>
    <w:p>
      <w:pPr>
        <w:spacing w:line="360" w:lineRule="auto"/>
        <w:jc w:val="left"/>
        <w:rPr>
          <w:rFonts w:hint="eastAsia" w:ascii="宋体" w:hAnsi="宋体" w:cs="宋体"/>
          <w:b/>
          <w:color w:val="000000"/>
          <w:sz w:val="24"/>
        </w:rPr>
      </w:pPr>
    </w:p>
    <w:p>
      <w:pPr>
        <w:spacing w:line="360" w:lineRule="auto"/>
        <w:jc w:val="left"/>
        <w:rPr>
          <w:rFonts w:hint="eastAsia" w:ascii="宋体" w:hAnsi="宋体" w:cs="宋体"/>
          <w:b/>
          <w:color w:val="000000"/>
          <w:sz w:val="24"/>
        </w:rPr>
      </w:pPr>
    </w:p>
    <w:p>
      <w:pPr>
        <w:spacing w:line="360" w:lineRule="auto"/>
        <w:jc w:val="left"/>
        <w:rPr>
          <w:rFonts w:hint="eastAsia" w:ascii="宋体" w:hAnsi="宋体" w:cs="宋体"/>
          <w:b/>
          <w:color w:val="000000"/>
          <w:sz w:val="24"/>
        </w:rPr>
      </w:pPr>
    </w:p>
    <w:p>
      <w:pPr>
        <w:spacing w:line="360" w:lineRule="auto"/>
        <w:jc w:val="left"/>
        <w:rPr>
          <w:rFonts w:hint="eastAsia" w:ascii="宋体" w:hAnsi="宋体" w:cs="宋体"/>
          <w:b/>
          <w:color w:val="000000"/>
          <w:sz w:val="24"/>
        </w:rPr>
      </w:pPr>
    </w:p>
    <w:p>
      <w:pPr>
        <w:spacing w:line="360" w:lineRule="auto"/>
        <w:jc w:val="left"/>
        <w:rPr>
          <w:rFonts w:hint="eastAsia" w:ascii="宋体" w:hAnsi="宋体" w:cs="宋体"/>
          <w:b/>
          <w:color w:val="000000"/>
          <w:sz w:val="24"/>
        </w:rPr>
      </w:pPr>
    </w:p>
    <w:p>
      <w:pPr>
        <w:spacing w:line="360" w:lineRule="auto"/>
        <w:jc w:val="left"/>
        <w:rPr>
          <w:rFonts w:hint="eastAsia" w:ascii="宋体" w:hAnsi="宋体" w:cs="宋体"/>
          <w:b/>
          <w:color w:val="000000"/>
          <w:sz w:val="24"/>
        </w:rPr>
      </w:pPr>
    </w:p>
    <w:p>
      <w:pPr>
        <w:spacing w:line="360" w:lineRule="auto"/>
        <w:jc w:val="left"/>
        <w:rPr>
          <w:rFonts w:hint="eastAsia" w:ascii="宋体" w:hAnsi="宋体" w:cs="宋体"/>
          <w:b/>
          <w:color w:val="000000"/>
          <w:sz w:val="24"/>
        </w:rPr>
      </w:pPr>
    </w:p>
    <w:p>
      <w:pPr>
        <w:spacing w:line="360" w:lineRule="auto"/>
        <w:jc w:val="left"/>
        <w:rPr>
          <w:rFonts w:hint="eastAsia" w:ascii="宋体" w:hAnsi="宋体" w:cs="宋体"/>
          <w:b/>
          <w:color w:val="000000"/>
          <w:szCs w:val="21"/>
        </w:rPr>
      </w:pPr>
    </w:p>
    <w:p>
      <w:pPr>
        <w:spacing w:line="360" w:lineRule="auto"/>
        <w:jc w:val="left"/>
        <w:rPr>
          <w:rFonts w:hint="eastAsia" w:ascii="宋体" w:hAnsi="宋体" w:cs="宋体"/>
          <w:b/>
          <w:color w:val="000000"/>
          <w:szCs w:val="21"/>
        </w:rPr>
      </w:pPr>
    </w:p>
    <w:p>
      <w:pPr>
        <w:spacing w:line="360" w:lineRule="auto"/>
        <w:jc w:val="left"/>
        <w:rPr>
          <w:rFonts w:hint="eastAsia" w:ascii="宋体" w:hAnsi="宋体" w:cs="宋体"/>
          <w:b/>
          <w:color w:val="000000"/>
          <w:szCs w:val="21"/>
        </w:rPr>
      </w:pPr>
    </w:p>
    <w:p>
      <w:pPr>
        <w:spacing w:line="360" w:lineRule="auto"/>
        <w:jc w:val="left"/>
        <w:rPr>
          <w:rFonts w:ascii="宋体" w:hAnsi="宋体" w:cs="宋体"/>
          <w:b/>
          <w:color w:val="000000"/>
          <w:szCs w:val="21"/>
        </w:rPr>
      </w:pPr>
    </w:p>
    <w:p>
      <w:pPr>
        <w:spacing w:line="360" w:lineRule="auto"/>
        <w:jc w:val="left"/>
        <w:rPr>
          <w:rFonts w:ascii="宋体" w:hAnsi="宋体" w:cs="宋体"/>
          <w:b/>
          <w:color w:val="000000"/>
          <w:szCs w:val="21"/>
        </w:rPr>
      </w:pPr>
    </w:p>
    <w:p>
      <w:pPr>
        <w:spacing w:line="360" w:lineRule="auto"/>
        <w:jc w:val="left"/>
        <w:rPr>
          <w:rFonts w:hint="eastAsia" w:ascii="宋体" w:hAnsi="宋体" w:cs="宋体"/>
          <w:b/>
          <w:color w:val="000000"/>
          <w:szCs w:val="21"/>
        </w:rPr>
      </w:pPr>
    </w:p>
    <w:p>
      <w:pPr>
        <w:spacing w:line="360" w:lineRule="auto"/>
        <w:jc w:val="left"/>
        <w:rPr>
          <w:rFonts w:hint="eastAsia" w:ascii="宋体" w:hAnsi="宋体" w:cs="宋体"/>
          <w:b/>
          <w:color w:val="000000"/>
          <w:szCs w:val="21"/>
        </w:rPr>
      </w:pPr>
    </w:p>
    <w:p>
      <w:pPr>
        <w:spacing w:line="360" w:lineRule="auto"/>
        <w:jc w:val="left"/>
        <w:rPr>
          <w:rFonts w:hint="eastAsia" w:ascii="宋体" w:hAnsi="宋体" w:cs="宋体"/>
          <w:b/>
          <w:color w:val="000000"/>
          <w:szCs w:val="21"/>
        </w:rPr>
      </w:pPr>
      <w:r>
        <w:rPr>
          <w:rFonts w:hint="eastAsia" w:ascii="宋体" w:hAnsi="宋体" w:cs="宋体"/>
          <w:b/>
          <w:color w:val="000000"/>
          <w:szCs w:val="21"/>
        </w:rPr>
        <w:t>附件</w:t>
      </w:r>
      <w:bookmarkEnd w:id="2965"/>
    </w:p>
    <w:p>
      <w:pPr>
        <w:spacing w:line="360" w:lineRule="auto"/>
        <w:jc w:val="left"/>
        <w:rPr>
          <w:rFonts w:hint="eastAsia" w:ascii="宋体" w:hAnsi="宋体" w:cs="宋体"/>
          <w:color w:val="000000"/>
          <w:szCs w:val="21"/>
        </w:rPr>
      </w:pPr>
      <w:r>
        <w:rPr>
          <w:rFonts w:hint="eastAsia" w:ascii="宋体" w:hAnsi="宋体" w:cs="宋体"/>
          <w:color w:val="000000"/>
          <w:szCs w:val="21"/>
        </w:rPr>
        <w:t>协议书附件：</w:t>
      </w:r>
    </w:p>
    <w:p>
      <w:pPr>
        <w:spacing w:line="360" w:lineRule="auto"/>
        <w:jc w:val="left"/>
        <w:rPr>
          <w:rFonts w:hint="eastAsia" w:ascii="宋体" w:hAnsi="宋体" w:cs="宋体"/>
          <w:color w:val="000000"/>
          <w:szCs w:val="21"/>
        </w:rPr>
      </w:pPr>
      <w:r>
        <w:rPr>
          <w:rFonts w:hint="eastAsia" w:ascii="宋体" w:hAnsi="宋体" w:cs="宋体"/>
          <w:color w:val="000000"/>
          <w:szCs w:val="21"/>
        </w:rPr>
        <w:t>附件1：承包人承揽工程项目一览表</w:t>
      </w:r>
    </w:p>
    <w:p>
      <w:pPr>
        <w:spacing w:line="360" w:lineRule="auto"/>
        <w:jc w:val="left"/>
        <w:rPr>
          <w:rFonts w:hint="eastAsia" w:ascii="宋体" w:hAnsi="宋体" w:cs="宋体"/>
          <w:color w:val="000000"/>
          <w:szCs w:val="21"/>
        </w:rPr>
      </w:pPr>
      <w:r>
        <w:rPr>
          <w:rFonts w:hint="eastAsia" w:ascii="宋体" w:hAnsi="宋体" w:cs="宋体"/>
          <w:color w:val="000000"/>
          <w:szCs w:val="21"/>
        </w:rPr>
        <w:t>专用合同条款附件：</w:t>
      </w:r>
    </w:p>
    <w:p>
      <w:pPr>
        <w:spacing w:line="360" w:lineRule="auto"/>
        <w:jc w:val="left"/>
        <w:rPr>
          <w:rFonts w:hint="eastAsia" w:ascii="宋体" w:hAnsi="宋体" w:cs="宋体"/>
          <w:color w:val="000000"/>
          <w:szCs w:val="21"/>
        </w:rPr>
      </w:pPr>
      <w:r>
        <w:rPr>
          <w:rFonts w:hint="eastAsia" w:ascii="宋体" w:hAnsi="宋体" w:cs="宋体"/>
          <w:color w:val="000000"/>
          <w:szCs w:val="21"/>
        </w:rPr>
        <w:t>附件2：发包人供应材料设备一览表</w:t>
      </w:r>
    </w:p>
    <w:p>
      <w:pPr>
        <w:spacing w:line="360" w:lineRule="auto"/>
        <w:jc w:val="left"/>
        <w:rPr>
          <w:rFonts w:hint="eastAsia" w:ascii="宋体" w:hAnsi="宋体" w:cs="宋体"/>
          <w:color w:val="000000"/>
          <w:szCs w:val="21"/>
        </w:rPr>
      </w:pPr>
      <w:r>
        <w:rPr>
          <w:rFonts w:hint="eastAsia" w:ascii="宋体" w:hAnsi="宋体" w:cs="宋体"/>
          <w:color w:val="000000"/>
          <w:szCs w:val="21"/>
        </w:rPr>
        <w:t>附件3：工程质量保修书</w:t>
      </w:r>
    </w:p>
    <w:p>
      <w:pPr>
        <w:spacing w:line="360" w:lineRule="auto"/>
        <w:jc w:val="left"/>
        <w:rPr>
          <w:rFonts w:hint="eastAsia" w:ascii="宋体" w:hAnsi="宋体" w:cs="宋体"/>
          <w:color w:val="000000"/>
          <w:szCs w:val="21"/>
        </w:rPr>
      </w:pPr>
      <w:r>
        <w:rPr>
          <w:rFonts w:hint="eastAsia" w:ascii="宋体" w:hAnsi="宋体" w:cs="宋体"/>
          <w:color w:val="000000"/>
          <w:szCs w:val="21"/>
        </w:rPr>
        <w:t>附件4：主要建设工程文件目录</w:t>
      </w:r>
    </w:p>
    <w:p>
      <w:pPr>
        <w:spacing w:line="360" w:lineRule="auto"/>
        <w:jc w:val="left"/>
        <w:rPr>
          <w:rFonts w:hint="eastAsia" w:ascii="宋体" w:hAnsi="宋体" w:cs="宋体"/>
          <w:color w:val="000000"/>
          <w:szCs w:val="21"/>
        </w:rPr>
      </w:pPr>
      <w:r>
        <w:rPr>
          <w:rFonts w:hint="eastAsia" w:ascii="宋体" w:hAnsi="宋体" w:cs="宋体"/>
          <w:color w:val="000000"/>
          <w:szCs w:val="21"/>
        </w:rPr>
        <w:t>附件5：承包人用于本工程施工的机械设备表</w:t>
      </w:r>
    </w:p>
    <w:p>
      <w:pPr>
        <w:spacing w:line="360" w:lineRule="auto"/>
        <w:jc w:val="left"/>
        <w:rPr>
          <w:rFonts w:hint="eastAsia" w:ascii="宋体" w:hAnsi="宋体" w:cs="宋体"/>
          <w:color w:val="000000"/>
          <w:szCs w:val="21"/>
        </w:rPr>
      </w:pPr>
      <w:r>
        <w:rPr>
          <w:rFonts w:hint="eastAsia" w:ascii="宋体" w:hAnsi="宋体" w:cs="宋体"/>
          <w:color w:val="000000"/>
          <w:szCs w:val="21"/>
        </w:rPr>
        <w:t>附件6：承包人主要施工管理人员表</w:t>
      </w:r>
    </w:p>
    <w:p>
      <w:pPr>
        <w:spacing w:line="360" w:lineRule="auto"/>
        <w:jc w:val="left"/>
        <w:rPr>
          <w:rFonts w:hint="eastAsia" w:ascii="宋体" w:hAnsi="宋体" w:cs="宋体"/>
          <w:color w:val="000000"/>
          <w:szCs w:val="21"/>
        </w:rPr>
      </w:pPr>
      <w:r>
        <w:rPr>
          <w:rFonts w:hint="eastAsia" w:ascii="宋体" w:hAnsi="宋体" w:cs="宋体"/>
          <w:color w:val="000000"/>
          <w:szCs w:val="21"/>
        </w:rPr>
        <w:t>附件7：分包人主要施工管理人员表</w:t>
      </w:r>
    </w:p>
    <w:p>
      <w:pPr>
        <w:spacing w:line="360" w:lineRule="auto"/>
        <w:jc w:val="left"/>
        <w:rPr>
          <w:rFonts w:hint="eastAsia" w:ascii="宋体" w:hAnsi="宋体" w:cs="宋体"/>
          <w:color w:val="000000"/>
          <w:szCs w:val="21"/>
        </w:rPr>
      </w:pPr>
      <w:r>
        <w:rPr>
          <w:rFonts w:hint="eastAsia" w:ascii="宋体" w:hAnsi="宋体" w:cs="宋体"/>
          <w:color w:val="000000"/>
          <w:szCs w:val="21"/>
        </w:rPr>
        <w:t>附件8：履约担保格式</w:t>
      </w:r>
    </w:p>
    <w:p>
      <w:pPr>
        <w:spacing w:line="360" w:lineRule="auto"/>
        <w:jc w:val="left"/>
        <w:rPr>
          <w:rFonts w:hint="eastAsia" w:ascii="宋体" w:hAnsi="宋体" w:cs="宋体"/>
          <w:color w:val="000000"/>
          <w:szCs w:val="21"/>
        </w:rPr>
      </w:pPr>
      <w:r>
        <w:rPr>
          <w:rFonts w:hint="eastAsia" w:ascii="宋体" w:hAnsi="宋体" w:cs="宋体"/>
          <w:color w:val="000000"/>
          <w:szCs w:val="21"/>
        </w:rPr>
        <w:t>附件9：预付款担保格式</w:t>
      </w:r>
    </w:p>
    <w:p>
      <w:pPr>
        <w:spacing w:line="360" w:lineRule="auto"/>
        <w:jc w:val="left"/>
        <w:rPr>
          <w:rFonts w:hint="eastAsia" w:ascii="宋体" w:hAnsi="宋体" w:cs="宋体"/>
          <w:color w:val="000000"/>
          <w:szCs w:val="21"/>
        </w:rPr>
      </w:pPr>
      <w:r>
        <w:rPr>
          <w:rFonts w:hint="eastAsia" w:ascii="宋体" w:hAnsi="宋体" w:cs="宋体"/>
          <w:color w:val="000000"/>
          <w:szCs w:val="21"/>
        </w:rPr>
        <w:t>附件10：支付担保格式</w:t>
      </w:r>
    </w:p>
    <w:p>
      <w:pPr>
        <w:spacing w:line="360" w:lineRule="auto"/>
        <w:jc w:val="left"/>
        <w:rPr>
          <w:rFonts w:hint="eastAsia" w:ascii="宋体" w:hAnsi="宋体" w:cs="宋体"/>
          <w:color w:val="000000"/>
          <w:szCs w:val="21"/>
        </w:rPr>
        <w:sectPr>
          <w:footerReference r:id="rId26" w:type="first"/>
          <w:headerReference r:id="rId24" w:type="default"/>
          <w:footerReference r:id="rId25" w:type="default"/>
          <w:pgSz w:w="11906" w:h="16838"/>
          <w:pgMar w:top="1418" w:right="1555" w:bottom="1418" w:left="1531" w:header="851" w:footer="992" w:gutter="0"/>
          <w:cols w:space="720" w:num="1"/>
          <w:titlePg/>
          <w:docGrid w:type="lines" w:linePitch="312" w:charSpace="0"/>
        </w:sectPr>
      </w:pPr>
      <w:r>
        <w:rPr>
          <w:rFonts w:hint="eastAsia" w:ascii="宋体" w:hAnsi="宋体" w:cs="宋体"/>
          <w:color w:val="000000"/>
          <w:szCs w:val="21"/>
        </w:rPr>
        <w:t>附件11：暂估价一览表</w:t>
      </w:r>
    </w:p>
    <w:p>
      <w:pPr>
        <w:spacing w:before="156" w:beforeLines="50" w:after="156" w:afterLines="50" w:line="440" w:lineRule="exact"/>
        <w:jc w:val="left"/>
        <w:rPr>
          <w:rFonts w:hint="eastAsia" w:ascii="宋体" w:hAnsi="宋体" w:cs="宋体"/>
          <w:color w:val="000000"/>
          <w:szCs w:val="21"/>
        </w:rPr>
      </w:pPr>
      <w:r>
        <w:rPr>
          <w:rFonts w:hint="eastAsia" w:ascii="宋体" w:hAnsi="宋体" w:cs="宋体"/>
          <w:color w:val="000000"/>
          <w:szCs w:val="21"/>
        </w:rPr>
        <w:t>附件1：承包人承揽工程项目一览表</w:t>
      </w:r>
    </w:p>
    <w:tbl>
      <w:tblPr>
        <w:tblStyle w:val="39"/>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单位工程名称</w:t>
            </w:r>
          </w:p>
        </w:tc>
        <w:tc>
          <w:tcPr>
            <w:tcW w:w="1843"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建设规模</w:t>
            </w:r>
          </w:p>
        </w:tc>
        <w:tc>
          <w:tcPr>
            <w:tcW w:w="1417"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建筑面积(平方米)</w:t>
            </w:r>
          </w:p>
        </w:tc>
        <w:tc>
          <w:tcPr>
            <w:tcW w:w="2410"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结构形式</w:t>
            </w:r>
          </w:p>
        </w:tc>
        <w:tc>
          <w:tcPr>
            <w:tcW w:w="850"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层数</w:t>
            </w:r>
          </w:p>
        </w:tc>
        <w:tc>
          <w:tcPr>
            <w:tcW w:w="1560"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生产能力</w:t>
            </w:r>
          </w:p>
        </w:tc>
        <w:tc>
          <w:tcPr>
            <w:tcW w:w="2126"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设备安装内容</w:t>
            </w:r>
          </w:p>
        </w:tc>
        <w:tc>
          <w:tcPr>
            <w:tcW w:w="1417"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合同价格（元）</w:t>
            </w:r>
          </w:p>
        </w:tc>
        <w:tc>
          <w:tcPr>
            <w:tcW w:w="851"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开工日期</w:t>
            </w:r>
          </w:p>
        </w:tc>
        <w:tc>
          <w:tcPr>
            <w:tcW w:w="850"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1843"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1417"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2410"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850"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1560"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2126"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1417"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851"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850"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843"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41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241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56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2126"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41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1"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843"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41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241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56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2126"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41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1"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trPr>
        <w:tc>
          <w:tcPr>
            <w:tcW w:w="1277" w:type="dxa"/>
            <w:noWrap w:val="0"/>
            <w:vAlign w:val="center"/>
          </w:tcPr>
          <w:p>
            <w:pPr>
              <w:pStyle w:val="16"/>
              <w:keepNext/>
              <w:spacing w:line="440" w:lineRule="exact"/>
              <w:ind w:left="63" w:right="63"/>
              <w:rPr>
                <w:rFonts w:hint="eastAsia" w:ascii="宋体" w:hAnsi="宋体" w:cs="宋体"/>
                <w:color w:val="000000"/>
                <w:szCs w:val="21"/>
              </w:rPr>
            </w:pPr>
          </w:p>
        </w:tc>
        <w:tc>
          <w:tcPr>
            <w:tcW w:w="1843" w:type="dxa"/>
            <w:noWrap w:val="0"/>
            <w:vAlign w:val="center"/>
          </w:tcPr>
          <w:p>
            <w:pPr>
              <w:pStyle w:val="16"/>
              <w:keepNext/>
              <w:spacing w:line="440" w:lineRule="exact"/>
              <w:ind w:left="63" w:right="63"/>
              <w:rPr>
                <w:rFonts w:hint="eastAsia" w:ascii="宋体" w:hAnsi="宋体" w:cs="宋体"/>
                <w:color w:val="000000"/>
                <w:szCs w:val="21"/>
              </w:rPr>
            </w:pPr>
          </w:p>
        </w:tc>
        <w:tc>
          <w:tcPr>
            <w:tcW w:w="1417" w:type="dxa"/>
            <w:noWrap w:val="0"/>
            <w:vAlign w:val="center"/>
          </w:tcPr>
          <w:p>
            <w:pPr>
              <w:pStyle w:val="16"/>
              <w:keepNext/>
              <w:spacing w:line="440" w:lineRule="exact"/>
              <w:ind w:left="63" w:right="63"/>
              <w:rPr>
                <w:rFonts w:hint="eastAsia" w:ascii="宋体" w:hAnsi="宋体" w:cs="宋体"/>
                <w:color w:val="000000"/>
                <w:szCs w:val="21"/>
              </w:rPr>
            </w:pPr>
          </w:p>
        </w:tc>
        <w:tc>
          <w:tcPr>
            <w:tcW w:w="2410" w:type="dxa"/>
            <w:noWrap w:val="0"/>
            <w:vAlign w:val="center"/>
          </w:tcPr>
          <w:p>
            <w:pPr>
              <w:pStyle w:val="16"/>
              <w:keepNext/>
              <w:spacing w:line="440" w:lineRule="exact"/>
              <w:ind w:left="63" w:right="63"/>
              <w:rPr>
                <w:rFonts w:hint="eastAsia" w:ascii="宋体" w:hAnsi="宋体" w:cs="宋体"/>
                <w:color w:val="000000"/>
                <w:szCs w:val="21"/>
              </w:rPr>
            </w:pPr>
          </w:p>
        </w:tc>
        <w:tc>
          <w:tcPr>
            <w:tcW w:w="850" w:type="dxa"/>
            <w:noWrap w:val="0"/>
            <w:vAlign w:val="center"/>
          </w:tcPr>
          <w:p>
            <w:pPr>
              <w:pStyle w:val="16"/>
              <w:keepNext/>
              <w:spacing w:line="440" w:lineRule="exact"/>
              <w:ind w:left="63" w:right="63"/>
              <w:rPr>
                <w:rFonts w:hint="eastAsia" w:ascii="宋体" w:hAnsi="宋体" w:cs="宋体"/>
                <w:color w:val="000000"/>
                <w:szCs w:val="21"/>
              </w:rPr>
            </w:pPr>
          </w:p>
        </w:tc>
        <w:tc>
          <w:tcPr>
            <w:tcW w:w="1560" w:type="dxa"/>
            <w:noWrap w:val="0"/>
            <w:vAlign w:val="center"/>
          </w:tcPr>
          <w:p>
            <w:pPr>
              <w:pStyle w:val="16"/>
              <w:keepNext/>
              <w:spacing w:line="440" w:lineRule="exact"/>
              <w:ind w:left="63" w:right="63"/>
              <w:rPr>
                <w:rFonts w:hint="eastAsia" w:ascii="宋体" w:hAnsi="宋体" w:cs="宋体"/>
                <w:color w:val="000000"/>
                <w:szCs w:val="21"/>
              </w:rPr>
            </w:pPr>
          </w:p>
        </w:tc>
        <w:tc>
          <w:tcPr>
            <w:tcW w:w="2126" w:type="dxa"/>
            <w:noWrap w:val="0"/>
            <w:vAlign w:val="center"/>
          </w:tcPr>
          <w:p>
            <w:pPr>
              <w:pStyle w:val="16"/>
              <w:keepNext/>
              <w:spacing w:line="440" w:lineRule="exact"/>
              <w:ind w:left="63" w:right="63"/>
              <w:rPr>
                <w:rFonts w:hint="eastAsia" w:ascii="宋体" w:hAnsi="宋体" w:cs="宋体"/>
                <w:color w:val="000000"/>
                <w:szCs w:val="21"/>
              </w:rPr>
            </w:pPr>
          </w:p>
        </w:tc>
        <w:tc>
          <w:tcPr>
            <w:tcW w:w="1417" w:type="dxa"/>
            <w:noWrap w:val="0"/>
            <w:vAlign w:val="center"/>
          </w:tcPr>
          <w:p>
            <w:pPr>
              <w:pStyle w:val="16"/>
              <w:keepNext/>
              <w:spacing w:line="440" w:lineRule="exact"/>
              <w:ind w:left="63" w:right="63"/>
              <w:rPr>
                <w:rFonts w:hint="eastAsia" w:ascii="宋体" w:hAnsi="宋体" w:cs="宋体"/>
                <w:color w:val="000000"/>
                <w:szCs w:val="21"/>
              </w:rPr>
            </w:pPr>
          </w:p>
        </w:tc>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850"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843"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41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241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56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2126"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41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1"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trPr>
        <w:tc>
          <w:tcPr>
            <w:tcW w:w="1277" w:type="dxa"/>
            <w:noWrap w:val="0"/>
            <w:vAlign w:val="center"/>
          </w:tcPr>
          <w:p>
            <w:pPr>
              <w:pStyle w:val="16"/>
              <w:keepNext/>
              <w:spacing w:line="440" w:lineRule="exact"/>
              <w:ind w:left="63" w:right="63"/>
              <w:rPr>
                <w:rFonts w:hint="eastAsia" w:ascii="宋体" w:hAnsi="宋体" w:cs="宋体"/>
                <w:color w:val="000000"/>
                <w:szCs w:val="21"/>
              </w:rPr>
            </w:pPr>
          </w:p>
        </w:tc>
        <w:tc>
          <w:tcPr>
            <w:tcW w:w="1843" w:type="dxa"/>
            <w:noWrap w:val="0"/>
            <w:vAlign w:val="center"/>
          </w:tcPr>
          <w:p>
            <w:pPr>
              <w:pStyle w:val="16"/>
              <w:keepNext/>
              <w:spacing w:line="440" w:lineRule="exact"/>
              <w:ind w:left="63" w:right="63"/>
              <w:rPr>
                <w:rFonts w:hint="eastAsia" w:ascii="宋体" w:hAnsi="宋体" w:cs="宋体"/>
                <w:color w:val="000000"/>
                <w:szCs w:val="21"/>
              </w:rPr>
            </w:pPr>
          </w:p>
        </w:tc>
        <w:tc>
          <w:tcPr>
            <w:tcW w:w="1417" w:type="dxa"/>
            <w:noWrap w:val="0"/>
            <w:vAlign w:val="center"/>
          </w:tcPr>
          <w:p>
            <w:pPr>
              <w:pStyle w:val="16"/>
              <w:keepNext/>
              <w:spacing w:line="440" w:lineRule="exact"/>
              <w:ind w:left="63" w:right="63"/>
              <w:rPr>
                <w:rFonts w:hint="eastAsia" w:ascii="宋体" w:hAnsi="宋体" w:cs="宋体"/>
                <w:color w:val="000000"/>
                <w:szCs w:val="21"/>
              </w:rPr>
            </w:pPr>
          </w:p>
        </w:tc>
        <w:tc>
          <w:tcPr>
            <w:tcW w:w="2410" w:type="dxa"/>
            <w:noWrap w:val="0"/>
            <w:vAlign w:val="center"/>
          </w:tcPr>
          <w:p>
            <w:pPr>
              <w:pStyle w:val="16"/>
              <w:keepNext/>
              <w:spacing w:line="440" w:lineRule="exact"/>
              <w:ind w:left="63" w:right="63"/>
              <w:rPr>
                <w:rFonts w:hint="eastAsia" w:ascii="宋体" w:hAnsi="宋体" w:cs="宋体"/>
                <w:color w:val="000000"/>
                <w:szCs w:val="21"/>
              </w:rPr>
            </w:pPr>
          </w:p>
        </w:tc>
        <w:tc>
          <w:tcPr>
            <w:tcW w:w="850" w:type="dxa"/>
            <w:noWrap w:val="0"/>
            <w:vAlign w:val="center"/>
          </w:tcPr>
          <w:p>
            <w:pPr>
              <w:pStyle w:val="16"/>
              <w:keepNext/>
              <w:spacing w:line="440" w:lineRule="exact"/>
              <w:ind w:left="63" w:right="63"/>
              <w:rPr>
                <w:rFonts w:hint="eastAsia" w:ascii="宋体" w:hAnsi="宋体" w:cs="宋体"/>
                <w:color w:val="000000"/>
                <w:szCs w:val="21"/>
              </w:rPr>
            </w:pPr>
          </w:p>
        </w:tc>
        <w:tc>
          <w:tcPr>
            <w:tcW w:w="1560" w:type="dxa"/>
            <w:noWrap w:val="0"/>
            <w:vAlign w:val="center"/>
          </w:tcPr>
          <w:p>
            <w:pPr>
              <w:pStyle w:val="16"/>
              <w:keepNext/>
              <w:spacing w:line="440" w:lineRule="exact"/>
              <w:ind w:left="63" w:right="63"/>
              <w:rPr>
                <w:rFonts w:hint="eastAsia" w:ascii="宋体" w:hAnsi="宋体" w:cs="宋体"/>
                <w:color w:val="000000"/>
                <w:szCs w:val="21"/>
              </w:rPr>
            </w:pPr>
          </w:p>
        </w:tc>
        <w:tc>
          <w:tcPr>
            <w:tcW w:w="2126" w:type="dxa"/>
            <w:noWrap w:val="0"/>
            <w:vAlign w:val="center"/>
          </w:tcPr>
          <w:p>
            <w:pPr>
              <w:pStyle w:val="16"/>
              <w:keepNext/>
              <w:spacing w:line="440" w:lineRule="exact"/>
              <w:ind w:left="63" w:right="63"/>
              <w:rPr>
                <w:rFonts w:hint="eastAsia" w:ascii="宋体" w:hAnsi="宋体" w:cs="宋体"/>
                <w:color w:val="000000"/>
                <w:szCs w:val="21"/>
              </w:rPr>
            </w:pPr>
          </w:p>
        </w:tc>
        <w:tc>
          <w:tcPr>
            <w:tcW w:w="1417" w:type="dxa"/>
            <w:noWrap w:val="0"/>
            <w:vAlign w:val="center"/>
          </w:tcPr>
          <w:p>
            <w:pPr>
              <w:pStyle w:val="16"/>
              <w:keepNext/>
              <w:spacing w:line="440" w:lineRule="exact"/>
              <w:ind w:left="63" w:right="63"/>
              <w:rPr>
                <w:rFonts w:hint="eastAsia" w:ascii="宋体" w:hAnsi="宋体" w:cs="宋体"/>
                <w:color w:val="000000"/>
                <w:szCs w:val="21"/>
              </w:rPr>
            </w:pPr>
          </w:p>
        </w:tc>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850"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843"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41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241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56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2126"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41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1"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843"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41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241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56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2126"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41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1"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trPr>
        <w:tc>
          <w:tcPr>
            <w:tcW w:w="1277" w:type="dxa"/>
            <w:noWrap w:val="0"/>
            <w:vAlign w:val="center"/>
          </w:tcPr>
          <w:p>
            <w:pPr>
              <w:pStyle w:val="16"/>
              <w:keepNext/>
              <w:spacing w:line="440" w:lineRule="exact"/>
              <w:ind w:left="63" w:right="63"/>
              <w:rPr>
                <w:rFonts w:hint="eastAsia" w:ascii="宋体" w:hAnsi="宋体" w:cs="宋体"/>
                <w:color w:val="000000"/>
                <w:szCs w:val="21"/>
              </w:rPr>
            </w:pPr>
          </w:p>
        </w:tc>
        <w:tc>
          <w:tcPr>
            <w:tcW w:w="1843" w:type="dxa"/>
            <w:noWrap w:val="0"/>
            <w:vAlign w:val="center"/>
          </w:tcPr>
          <w:p>
            <w:pPr>
              <w:pStyle w:val="16"/>
              <w:keepNext/>
              <w:spacing w:line="440" w:lineRule="exact"/>
              <w:ind w:left="63" w:right="63"/>
              <w:rPr>
                <w:rFonts w:hint="eastAsia" w:ascii="宋体" w:hAnsi="宋体" w:cs="宋体"/>
                <w:color w:val="000000"/>
                <w:szCs w:val="21"/>
              </w:rPr>
            </w:pPr>
          </w:p>
        </w:tc>
        <w:tc>
          <w:tcPr>
            <w:tcW w:w="1417" w:type="dxa"/>
            <w:noWrap w:val="0"/>
            <w:vAlign w:val="center"/>
          </w:tcPr>
          <w:p>
            <w:pPr>
              <w:pStyle w:val="16"/>
              <w:keepNext/>
              <w:spacing w:line="440" w:lineRule="exact"/>
              <w:ind w:left="63" w:right="63"/>
              <w:rPr>
                <w:rFonts w:hint="eastAsia" w:ascii="宋体" w:hAnsi="宋体" w:cs="宋体"/>
                <w:color w:val="000000"/>
                <w:szCs w:val="21"/>
              </w:rPr>
            </w:pPr>
          </w:p>
        </w:tc>
        <w:tc>
          <w:tcPr>
            <w:tcW w:w="2410" w:type="dxa"/>
            <w:noWrap w:val="0"/>
            <w:vAlign w:val="center"/>
          </w:tcPr>
          <w:p>
            <w:pPr>
              <w:pStyle w:val="16"/>
              <w:keepNext/>
              <w:spacing w:line="440" w:lineRule="exact"/>
              <w:ind w:left="63" w:right="63"/>
              <w:rPr>
                <w:rFonts w:hint="eastAsia" w:ascii="宋体" w:hAnsi="宋体" w:cs="宋体"/>
                <w:color w:val="000000"/>
                <w:szCs w:val="21"/>
              </w:rPr>
            </w:pPr>
          </w:p>
        </w:tc>
        <w:tc>
          <w:tcPr>
            <w:tcW w:w="850" w:type="dxa"/>
            <w:noWrap w:val="0"/>
            <w:vAlign w:val="center"/>
          </w:tcPr>
          <w:p>
            <w:pPr>
              <w:pStyle w:val="16"/>
              <w:keepNext/>
              <w:spacing w:line="440" w:lineRule="exact"/>
              <w:ind w:left="63" w:right="63"/>
              <w:rPr>
                <w:rFonts w:hint="eastAsia" w:ascii="宋体" w:hAnsi="宋体" w:cs="宋体"/>
                <w:color w:val="000000"/>
                <w:szCs w:val="21"/>
              </w:rPr>
            </w:pPr>
          </w:p>
        </w:tc>
        <w:tc>
          <w:tcPr>
            <w:tcW w:w="1560" w:type="dxa"/>
            <w:noWrap w:val="0"/>
            <w:vAlign w:val="center"/>
          </w:tcPr>
          <w:p>
            <w:pPr>
              <w:pStyle w:val="16"/>
              <w:keepNext/>
              <w:spacing w:line="440" w:lineRule="exact"/>
              <w:ind w:left="63" w:right="63"/>
              <w:rPr>
                <w:rFonts w:hint="eastAsia" w:ascii="宋体" w:hAnsi="宋体" w:cs="宋体"/>
                <w:color w:val="000000"/>
                <w:szCs w:val="21"/>
              </w:rPr>
            </w:pPr>
          </w:p>
        </w:tc>
        <w:tc>
          <w:tcPr>
            <w:tcW w:w="2126" w:type="dxa"/>
            <w:noWrap w:val="0"/>
            <w:vAlign w:val="center"/>
          </w:tcPr>
          <w:p>
            <w:pPr>
              <w:pStyle w:val="16"/>
              <w:keepNext/>
              <w:spacing w:line="440" w:lineRule="exact"/>
              <w:ind w:left="63" w:right="63"/>
              <w:rPr>
                <w:rFonts w:hint="eastAsia" w:ascii="宋体" w:hAnsi="宋体" w:cs="宋体"/>
                <w:color w:val="000000"/>
                <w:szCs w:val="21"/>
              </w:rPr>
            </w:pPr>
          </w:p>
        </w:tc>
        <w:tc>
          <w:tcPr>
            <w:tcW w:w="1417" w:type="dxa"/>
            <w:noWrap w:val="0"/>
            <w:vAlign w:val="center"/>
          </w:tcPr>
          <w:p>
            <w:pPr>
              <w:pStyle w:val="16"/>
              <w:keepNext/>
              <w:spacing w:line="440" w:lineRule="exact"/>
              <w:ind w:left="63" w:right="63"/>
              <w:rPr>
                <w:rFonts w:hint="eastAsia" w:ascii="宋体" w:hAnsi="宋体" w:cs="宋体"/>
                <w:color w:val="000000"/>
                <w:szCs w:val="21"/>
              </w:rPr>
            </w:pPr>
          </w:p>
        </w:tc>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850"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843"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41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241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56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2126"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41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1"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trPr>
        <w:tc>
          <w:tcPr>
            <w:tcW w:w="1277" w:type="dxa"/>
            <w:noWrap w:val="0"/>
            <w:vAlign w:val="center"/>
          </w:tcPr>
          <w:p>
            <w:pPr>
              <w:pStyle w:val="16"/>
              <w:keepNext/>
              <w:spacing w:line="440" w:lineRule="exact"/>
              <w:ind w:left="63" w:right="63"/>
              <w:rPr>
                <w:rFonts w:hint="eastAsia" w:ascii="宋体" w:hAnsi="宋体" w:cs="宋体"/>
                <w:color w:val="000000"/>
                <w:szCs w:val="21"/>
              </w:rPr>
            </w:pPr>
          </w:p>
        </w:tc>
        <w:tc>
          <w:tcPr>
            <w:tcW w:w="1843" w:type="dxa"/>
            <w:noWrap w:val="0"/>
            <w:vAlign w:val="center"/>
          </w:tcPr>
          <w:p>
            <w:pPr>
              <w:pStyle w:val="16"/>
              <w:keepNext/>
              <w:spacing w:line="440" w:lineRule="exact"/>
              <w:ind w:left="63" w:right="63"/>
              <w:rPr>
                <w:rFonts w:hint="eastAsia" w:ascii="宋体" w:hAnsi="宋体" w:cs="宋体"/>
                <w:color w:val="000000"/>
                <w:szCs w:val="21"/>
              </w:rPr>
            </w:pPr>
          </w:p>
        </w:tc>
        <w:tc>
          <w:tcPr>
            <w:tcW w:w="1417" w:type="dxa"/>
            <w:noWrap w:val="0"/>
            <w:vAlign w:val="center"/>
          </w:tcPr>
          <w:p>
            <w:pPr>
              <w:pStyle w:val="16"/>
              <w:keepNext/>
              <w:spacing w:line="440" w:lineRule="exact"/>
              <w:ind w:left="63" w:right="63"/>
              <w:rPr>
                <w:rFonts w:hint="eastAsia" w:ascii="宋体" w:hAnsi="宋体" w:cs="宋体"/>
                <w:color w:val="000000"/>
                <w:szCs w:val="21"/>
              </w:rPr>
            </w:pPr>
          </w:p>
        </w:tc>
        <w:tc>
          <w:tcPr>
            <w:tcW w:w="2410" w:type="dxa"/>
            <w:noWrap w:val="0"/>
            <w:vAlign w:val="center"/>
          </w:tcPr>
          <w:p>
            <w:pPr>
              <w:pStyle w:val="16"/>
              <w:keepNext/>
              <w:spacing w:line="440" w:lineRule="exact"/>
              <w:ind w:left="63" w:right="63"/>
              <w:rPr>
                <w:rFonts w:hint="eastAsia" w:ascii="宋体" w:hAnsi="宋体" w:cs="宋体"/>
                <w:color w:val="000000"/>
                <w:szCs w:val="21"/>
              </w:rPr>
            </w:pPr>
          </w:p>
        </w:tc>
        <w:tc>
          <w:tcPr>
            <w:tcW w:w="850" w:type="dxa"/>
            <w:noWrap w:val="0"/>
            <w:vAlign w:val="center"/>
          </w:tcPr>
          <w:p>
            <w:pPr>
              <w:pStyle w:val="16"/>
              <w:keepNext/>
              <w:spacing w:line="440" w:lineRule="exact"/>
              <w:ind w:left="63" w:right="63"/>
              <w:rPr>
                <w:rFonts w:hint="eastAsia" w:ascii="宋体" w:hAnsi="宋体" w:cs="宋体"/>
                <w:color w:val="000000"/>
                <w:szCs w:val="21"/>
              </w:rPr>
            </w:pPr>
          </w:p>
        </w:tc>
        <w:tc>
          <w:tcPr>
            <w:tcW w:w="1560" w:type="dxa"/>
            <w:noWrap w:val="0"/>
            <w:vAlign w:val="center"/>
          </w:tcPr>
          <w:p>
            <w:pPr>
              <w:pStyle w:val="16"/>
              <w:keepNext/>
              <w:spacing w:line="440" w:lineRule="exact"/>
              <w:ind w:left="63" w:right="63"/>
              <w:rPr>
                <w:rFonts w:hint="eastAsia" w:ascii="宋体" w:hAnsi="宋体" w:cs="宋体"/>
                <w:color w:val="000000"/>
                <w:szCs w:val="21"/>
              </w:rPr>
            </w:pPr>
          </w:p>
        </w:tc>
        <w:tc>
          <w:tcPr>
            <w:tcW w:w="2126" w:type="dxa"/>
            <w:noWrap w:val="0"/>
            <w:vAlign w:val="center"/>
          </w:tcPr>
          <w:p>
            <w:pPr>
              <w:pStyle w:val="16"/>
              <w:keepNext/>
              <w:spacing w:line="440" w:lineRule="exact"/>
              <w:ind w:left="63" w:right="63"/>
              <w:rPr>
                <w:rFonts w:hint="eastAsia" w:ascii="宋体" w:hAnsi="宋体" w:cs="宋体"/>
                <w:color w:val="000000"/>
                <w:szCs w:val="21"/>
              </w:rPr>
            </w:pPr>
          </w:p>
        </w:tc>
        <w:tc>
          <w:tcPr>
            <w:tcW w:w="1417" w:type="dxa"/>
            <w:noWrap w:val="0"/>
            <w:vAlign w:val="center"/>
          </w:tcPr>
          <w:p>
            <w:pPr>
              <w:pStyle w:val="16"/>
              <w:keepNext/>
              <w:spacing w:line="440" w:lineRule="exact"/>
              <w:ind w:left="63" w:right="63"/>
              <w:rPr>
                <w:rFonts w:hint="eastAsia" w:ascii="宋体" w:hAnsi="宋体" w:cs="宋体"/>
                <w:color w:val="000000"/>
                <w:szCs w:val="21"/>
              </w:rPr>
            </w:pPr>
          </w:p>
        </w:tc>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850" w:type="dxa"/>
            <w:noWrap w:val="0"/>
            <w:vAlign w:val="center"/>
          </w:tcPr>
          <w:p>
            <w:pPr>
              <w:pStyle w:val="16"/>
              <w:keepNext/>
              <w:spacing w:line="440" w:lineRule="exact"/>
              <w:ind w:left="63" w:right="63"/>
              <w:rPr>
                <w:rFonts w:hint="eastAsia" w:ascii="宋体" w:hAnsi="宋体" w:cs="宋体"/>
                <w:color w:val="000000"/>
                <w:szCs w:val="21"/>
              </w:rPr>
            </w:pPr>
          </w:p>
        </w:tc>
      </w:tr>
    </w:tbl>
    <w:p>
      <w:pPr>
        <w:spacing w:line="440" w:lineRule="exact"/>
        <w:rPr>
          <w:rFonts w:hint="eastAsia" w:ascii="宋体" w:hAnsi="宋体" w:cs="宋体"/>
          <w:b/>
          <w:color w:val="000000"/>
          <w:szCs w:val="21"/>
        </w:rPr>
        <w:sectPr>
          <w:pgSz w:w="16838" w:h="11906" w:orient="landscape"/>
          <w:pgMar w:top="1554" w:right="1418" w:bottom="1531" w:left="1418" w:header="851" w:footer="992" w:gutter="0"/>
          <w:cols w:space="720" w:num="1"/>
          <w:titlePg/>
          <w:docGrid w:type="linesAndChars" w:linePitch="312" w:charSpace="0"/>
        </w:sectPr>
      </w:pPr>
    </w:p>
    <w:p>
      <w:pPr>
        <w:spacing w:line="440" w:lineRule="exact"/>
        <w:rPr>
          <w:rFonts w:hint="eastAsia" w:ascii="宋体" w:hAnsi="宋体" w:cs="宋体"/>
          <w:color w:val="000000"/>
          <w:szCs w:val="21"/>
        </w:rPr>
      </w:pPr>
      <w:r>
        <w:rPr>
          <w:rFonts w:hint="eastAsia" w:ascii="宋体" w:hAnsi="宋体" w:cs="宋体"/>
          <w:color w:val="000000"/>
          <w:szCs w:val="21"/>
        </w:rPr>
        <w:t>附</w:t>
      </w:r>
      <w:bookmarkStart w:id="2966" w:name="_Toc296503225"/>
      <w:bookmarkStart w:id="2967" w:name="_Toc296944564"/>
      <w:bookmarkStart w:id="2968" w:name="_Toc296347224"/>
      <w:bookmarkStart w:id="2969" w:name="_Toc267261692"/>
      <w:bookmarkStart w:id="2970" w:name="_Toc296891053"/>
      <w:bookmarkStart w:id="2971" w:name="_Toc296346726"/>
      <w:bookmarkStart w:id="2972" w:name="_Toc296891265"/>
      <w:r>
        <w:rPr>
          <w:rFonts w:hint="eastAsia" w:ascii="宋体" w:hAnsi="宋体" w:cs="宋体"/>
          <w:color w:val="000000"/>
          <w:szCs w:val="21"/>
        </w:rPr>
        <w:t>件2：</w:t>
      </w:r>
    </w:p>
    <w:bookmarkEnd w:id="2966"/>
    <w:bookmarkEnd w:id="2967"/>
    <w:bookmarkEnd w:id="2968"/>
    <w:bookmarkEnd w:id="2969"/>
    <w:bookmarkEnd w:id="2970"/>
    <w:bookmarkEnd w:id="2971"/>
    <w:bookmarkEnd w:id="2972"/>
    <w:p>
      <w:pPr>
        <w:tabs>
          <w:tab w:val="center" w:pos="4410"/>
          <w:tab w:val="left" w:pos="7075"/>
        </w:tabs>
        <w:spacing w:before="156" w:beforeLines="50" w:after="156" w:afterLines="50" w:line="440" w:lineRule="exact"/>
        <w:jc w:val="left"/>
        <w:rPr>
          <w:rFonts w:hint="eastAsia" w:ascii="宋体" w:hAnsi="宋体" w:cs="宋体"/>
          <w:color w:val="000000"/>
          <w:szCs w:val="21"/>
        </w:rPr>
      </w:pPr>
      <w:r>
        <w:rPr>
          <w:rFonts w:ascii="宋体" w:hAnsi="宋体" w:cs="宋体"/>
          <w:color w:val="000000"/>
          <w:szCs w:val="21"/>
        </w:rPr>
        <w:tab/>
      </w:r>
      <w:r>
        <w:rPr>
          <w:rFonts w:hint="eastAsia" w:ascii="宋体" w:hAnsi="宋体" w:cs="宋体"/>
          <w:color w:val="000000"/>
          <w:szCs w:val="21"/>
        </w:rPr>
        <w:t>发包人供应材料设备一览表</w:t>
      </w:r>
      <w:r>
        <w:rPr>
          <w:rFonts w:ascii="宋体" w:hAnsi="宋体" w:cs="宋体"/>
          <w:color w:val="000000"/>
          <w:szCs w:val="21"/>
        </w:rPr>
        <w:tab/>
      </w:r>
    </w:p>
    <w:tbl>
      <w:tblPr>
        <w:tblStyle w:val="39"/>
        <w:tblW w:w="1070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序号</w:t>
            </w:r>
          </w:p>
        </w:tc>
        <w:tc>
          <w:tcPr>
            <w:tcW w:w="1276"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 xml:space="preserve">  材料、</w:t>
            </w:r>
          </w:p>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设备品种</w:t>
            </w:r>
          </w:p>
        </w:tc>
        <w:tc>
          <w:tcPr>
            <w:tcW w:w="1418"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规格型号</w:t>
            </w:r>
          </w:p>
        </w:tc>
        <w:tc>
          <w:tcPr>
            <w:tcW w:w="940"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单位</w:t>
            </w:r>
          </w:p>
        </w:tc>
        <w:tc>
          <w:tcPr>
            <w:tcW w:w="851"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数量</w:t>
            </w:r>
          </w:p>
        </w:tc>
        <w:tc>
          <w:tcPr>
            <w:tcW w:w="1044"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单价（元）</w:t>
            </w:r>
          </w:p>
        </w:tc>
        <w:tc>
          <w:tcPr>
            <w:tcW w:w="992"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质量等级</w:t>
            </w:r>
          </w:p>
        </w:tc>
        <w:tc>
          <w:tcPr>
            <w:tcW w:w="851"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供应时间</w:t>
            </w:r>
          </w:p>
        </w:tc>
        <w:tc>
          <w:tcPr>
            <w:tcW w:w="1487"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送达地点</w:t>
            </w:r>
          </w:p>
        </w:tc>
        <w:tc>
          <w:tcPr>
            <w:tcW w:w="992"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1</w:t>
            </w:r>
          </w:p>
        </w:tc>
        <w:tc>
          <w:tcPr>
            <w:tcW w:w="1276"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FF0000"/>
                <w:szCs w:val="21"/>
              </w:rPr>
            </w:pPr>
          </w:p>
        </w:tc>
        <w:tc>
          <w:tcPr>
            <w:tcW w:w="1418"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FF0000"/>
                <w:szCs w:val="21"/>
              </w:rPr>
            </w:pPr>
          </w:p>
        </w:tc>
        <w:tc>
          <w:tcPr>
            <w:tcW w:w="940"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851"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1044"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992"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851"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1487"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992"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276" w:type="dxa"/>
            <w:tcBorders>
              <w:top w:val="nil"/>
            </w:tcBorders>
            <w:noWrap w:val="0"/>
            <w:vAlign w:val="center"/>
          </w:tcPr>
          <w:p>
            <w:pPr>
              <w:pStyle w:val="16"/>
              <w:keepNext/>
              <w:spacing w:line="440" w:lineRule="exact"/>
              <w:ind w:left="63" w:right="63"/>
              <w:rPr>
                <w:rFonts w:hint="eastAsia" w:ascii="宋体" w:hAnsi="宋体" w:cs="宋体"/>
                <w:color w:val="FF0000"/>
                <w:szCs w:val="21"/>
              </w:rPr>
            </w:pPr>
          </w:p>
        </w:tc>
        <w:tc>
          <w:tcPr>
            <w:tcW w:w="1418" w:type="dxa"/>
            <w:tcBorders>
              <w:top w:val="nil"/>
            </w:tcBorders>
            <w:noWrap w:val="0"/>
            <w:vAlign w:val="center"/>
          </w:tcPr>
          <w:p>
            <w:pPr>
              <w:pStyle w:val="16"/>
              <w:keepNext/>
              <w:spacing w:line="440" w:lineRule="exact"/>
              <w:ind w:left="63" w:right="63"/>
              <w:rPr>
                <w:rFonts w:hint="eastAsia" w:ascii="宋体" w:hAnsi="宋体" w:cs="宋体"/>
                <w:color w:val="FF0000"/>
                <w:szCs w:val="21"/>
              </w:rPr>
            </w:pPr>
          </w:p>
        </w:tc>
        <w:tc>
          <w:tcPr>
            <w:tcW w:w="94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1"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044"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992"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1"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48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992"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276" w:type="dxa"/>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940" w:type="dxa"/>
            <w:noWrap w:val="0"/>
            <w:vAlign w:val="center"/>
          </w:tcPr>
          <w:p>
            <w:pPr>
              <w:pStyle w:val="16"/>
              <w:keepNext/>
              <w:spacing w:line="440" w:lineRule="exact"/>
              <w:ind w:left="63" w:right="63"/>
              <w:rPr>
                <w:rFonts w:hint="eastAsia" w:ascii="宋体" w:hAnsi="宋体" w:cs="宋体"/>
                <w:color w:val="000000"/>
                <w:szCs w:val="21"/>
              </w:rPr>
            </w:pPr>
          </w:p>
        </w:tc>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044" w:type="dxa"/>
            <w:noWrap w:val="0"/>
            <w:vAlign w:val="center"/>
          </w:tcPr>
          <w:p>
            <w:pPr>
              <w:pStyle w:val="16"/>
              <w:keepNext/>
              <w:spacing w:line="440" w:lineRule="exact"/>
              <w:ind w:left="63" w:right="63"/>
              <w:rPr>
                <w:rFonts w:hint="eastAsia" w:ascii="宋体" w:hAnsi="宋体" w:cs="宋体"/>
                <w:color w:val="000000"/>
                <w:szCs w:val="21"/>
              </w:rPr>
            </w:pPr>
          </w:p>
        </w:tc>
        <w:tc>
          <w:tcPr>
            <w:tcW w:w="992" w:type="dxa"/>
            <w:noWrap w:val="0"/>
            <w:vAlign w:val="center"/>
          </w:tcPr>
          <w:p>
            <w:pPr>
              <w:pStyle w:val="16"/>
              <w:keepNext/>
              <w:spacing w:line="440" w:lineRule="exact"/>
              <w:ind w:left="63" w:right="63"/>
              <w:rPr>
                <w:rFonts w:hint="eastAsia" w:ascii="宋体" w:hAnsi="宋体" w:cs="宋体"/>
                <w:color w:val="000000"/>
                <w:szCs w:val="21"/>
              </w:rPr>
            </w:pPr>
          </w:p>
        </w:tc>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487" w:type="dxa"/>
            <w:noWrap w:val="0"/>
            <w:vAlign w:val="center"/>
          </w:tcPr>
          <w:p>
            <w:pPr>
              <w:pStyle w:val="16"/>
              <w:keepNext/>
              <w:spacing w:line="440" w:lineRule="exact"/>
              <w:ind w:left="63" w:right="63"/>
              <w:rPr>
                <w:rFonts w:hint="eastAsia" w:ascii="宋体" w:hAnsi="宋体" w:cs="宋体"/>
                <w:color w:val="000000"/>
                <w:szCs w:val="21"/>
              </w:rPr>
            </w:pPr>
          </w:p>
        </w:tc>
        <w:tc>
          <w:tcPr>
            <w:tcW w:w="99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276" w:type="dxa"/>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940" w:type="dxa"/>
            <w:noWrap w:val="0"/>
            <w:vAlign w:val="center"/>
          </w:tcPr>
          <w:p>
            <w:pPr>
              <w:pStyle w:val="16"/>
              <w:keepNext/>
              <w:spacing w:line="440" w:lineRule="exact"/>
              <w:ind w:left="63" w:right="63"/>
              <w:rPr>
                <w:rFonts w:hint="eastAsia" w:ascii="宋体" w:hAnsi="宋体" w:cs="宋体"/>
                <w:color w:val="000000"/>
                <w:szCs w:val="21"/>
              </w:rPr>
            </w:pPr>
          </w:p>
        </w:tc>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044" w:type="dxa"/>
            <w:noWrap w:val="0"/>
            <w:vAlign w:val="center"/>
          </w:tcPr>
          <w:p>
            <w:pPr>
              <w:pStyle w:val="16"/>
              <w:keepNext/>
              <w:spacing w:line="440" w:lineRule="exact"/>
              <w:ind w:left="63" w:right="63"/>
              <w:rPr>
                <w:rFonts w:hint="eastAsia" w:ascii="宋体" w:hAnsi="宋体" w:cs="宋体"/>
                <w:color w:val="000000"/>
                <w:szCs w:val="21"/>
              </w:rPr>
            </w:pPr>
          </w:p>
        </w:tc>
        <w:tc>
          <w:tcPr>
            <w:tcW w:w="992" w:type="dxa"/>
            <w:noWrap w:val="0"/>
            <w:vAlign w:val="center"/>
          </w:tcPr>
          <w:p>
            <w:pPr>
              <w:pStyle w:val="16"/>
              <w:keepNext/>
              <w:spacing w:line="440" w:lineRule="exact"/>
              <w:ind w:left="63" w:right="63"/>
              <w:rPr>
                <w:rFonts w:hint="eastAsia" w:ascii="宋体" w:hAnsi="宋体" w:cs="宋体"/>
                <w:color w:val="000000"/>
                <w:szCs w:val="21"/>
              </w:rPr>
            </w:pPr>
          </w:p>
        </w:tc>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487" w:type="dxa"/>
            <w:noWrap w:val="0"/>
            <w:vAlign w:val="center"/>
          </w:tcPr>
          <w:p>
            <w:pPr>
              <w:pStyle w:val="16"/>
              <w:keepNext/>
              <w:spacing w:line="440" w:lineRule="exact"/>
              <w:ind w:left="63" w:right="63"/>
              <w:rPr>
                <w:rFonts w:hint="eastAsia" w:ascii="宋体" w:hAnsi="宋体" w:cs="宋体"/>
                <w:color w:val="000000"/>
                <w:szCs w:val="21"/>
              </w:rPr>
            </w:pPr>
          </w:p>
        </w:tc>
        <w:tc>
          <w:tcPr>
            <w:tcW w:w="99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276" w:type="dxa"/>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940" w:type="dxa"/>
            <w:noWrap w:val="0"/>
            <w:vAlign w:val="center"/>
          </w:tcPr>
          <w:p>
            <w:pPr>
              <w:pStyle w:val="16"/>
              <w:keepNext/>
              <w:spacing w:line="440" w:lineRule="exact"/>
              <w:ind w:left="63" w:right="63"/>
              <w:rPr>
                <w:rFonts w:hint="eastAsia" w:ascii="宋体" w:hAnsi="宋体" w:cs="宋体"/>
                <w:color w:val="000000"/>
                <w:szCs w:val="21"/>
              </w:rPr>
            </w:pPr>
          </w:p>
        </w:tc>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044" w:type="dxa"/>
            <w:noWrap w:val="0"/>
            <w:vAlign w:val="center"/>
          </w:tcPr>
          <w:p>
            <w:pPr>
              <w:pStyle w:val="16"/>
              <w:keepNext/>
              <w:spacing w:line="440" w:lineRule="exact"/>
              <w:ind w:left="63" w:right="63"/>
              <w:rPr>
                <w:rFonts w:hint="eastAsia" w:ascii="宋体" w:hAnsi="宋体" w:cs="宋体"/>
                <w:color w:val="000000"/>
                <w:szCs w:val="21"/>
              </w:rPr>
            </w:pPr>
          </w:p>
        </w:tc>
        <w:tc>
          <w:tcPr>
            <w:tcW w:w="992" w:type="dxa"/>
            <w:noWrap w:val="0"/>
            <w:vAlign w:val="center"/>
          </w:tcPr>
          <w:p>
            <w:pPr>
              <w:pStyle w:val="16"/>
              <w:keepNext/>
              <w:spacing w:line="440" w:lineRule="exact"/>
              <w:ind w:left="63" w:right="63"/>
              <w:rPr>
                <w:rFonts w:hint="eastAsia" w:ascii="宋体" w:hAnsi="宋体" w:cs="宋体"/>
                <w:color w:val="000000"/>
                <w:szCs w:val="21"/>
              </w:rPr>
            </w:pPr>
          </w:p>
        </w:tc>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487" w:type="dxa"/>
            <w:noWrap w:val="0"/>
            <w:vAlign w:val="center"/>
          </w:tcPr>
          <w:p>
            <w:pPr>
              <w:pStyle w:val="16"/>
              <w:keepNext/>
              <w:spacing w:line="440" w:lineRule="exact"/>
              <w:ind w:left="63" w:right="63"/>
              <w:rPr>
                <w:rFonts w:hint="eastAsia" w:ascii="宋体" w:hAnsi="宋体" w:cs="宋体"/>
                <w:color w:val="000000"/>
                <w:szCs w:val="21"/>
              </w:rPr>
            </w:pPr>
          </w:p>
        </w:tc>
        <w:tc>
          <w:tcPr>
            <w:tcW w:w="99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276" w:type="dxa"/>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940" w:type="dxa"/>
            <w:noWrap w:val="0"/>
            <w:vAlign w:val="center"/>
          </w:tcPr>
          <w:p>
            <w:pPr>
              <w:pStyle w:val="16"/>
              <w:keepNext/>
              <w:spacing w:line="440" w:lineRule="exact"/>
              <w:ind w:left="63" w:right="63"/>
              <w:rPr>
                <w:rFonts w:hint="eastAsia" w:ascii="宋体" w:hAnsi="宋体" w:cs="宋体"/>
                <w:color w:val="000000"/>
                <w:szCs w:val="21"/>
              </w:rPr>
            </w:pPr>
          </w:p>
        </w:tc>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044" w:type="dxa"/>
            <w:noWrap w:val="0"/>
            <w:vAlign w:val="center"/>
          </w:tcPr>
          <w:p>
            <w:pPr>
              <w:pStyle w:val="16"/>
              <w:keepNext/>
              <w:spacing w:line="440" w:lineRule="exact"/>
              <w:ind w:left="63" w:right="63"/>
              <w:rPr>
                <w:rFonts w:hint="eastAsia" w:ascii="宋体" w:hAnsi="宋体" w:cs="宋体"/>
                <w:color w:val="000000"/>
                <w:szCs w:val="21"/>
              </w:rPr>
            </w:pPr>
          </w:p>
        </w:tc>
        <w:tc>
          <w:tcPr>
            <w:tcW w:w="992" w:type="dxa"/>
            <w:noWrap w:val="0"/>
            <w:vAlign w:val="center"/>
          </w:tcPr>
          <w:p>
            <w:pPr>
              <w:pStyle w:val="16"/>
              <w:keepNext/>
              <w:spacing w:line="440" w:lineRule="exact"/>
              <w:ind w:left="63" w:right="63"/>
              <w:rPr>
                <w:rFonts w:hint="eastAsia" w:ascii="宋体" w:hAnsi="宋体" w:cs="宋体"/>
                <w:color w:val="000000"/>
                <w:szCs w:val="21"/>
              </w:rPr>
            </w:pPr>
          </w:p>
        </w:tc>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487" w:type="dxa"/>
            <w:noWrap w:val="0"/>
            <w:vAlign w:val="center"/>
          </w:tcPr>
          <w:p>
            <w:pPr>
              <w:pStyle w:val="16"/>
              <w:keepNext/>
              <w:spacing w:line="440" w:lineRule="exact"/>
              <w:ind w:left="63" w:right="63"/>
              <w:rPr>
                <w:rFonts w:hint="eastAsia" w:ascii="宋体" w:hAnsi="宋体" w:cs="宋体"/>
                <w:color w:val="000000"/>
                <w:szCs w:val="21"/>
              </w:rPr>
            </w:pPr>
          </w:p>
        </w:tc>
        <w:tc>
          <w:tcPr>
            <w:tcW w:w="99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276" w:type="dxa"/>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940" w:type="dxa"/>
            <w:noWrap w:val="0"/>
            <w:vAlign w:val="center"/>
          </w:tcPr>
          <w:p>
            <w:pPr>
              <w:pStyle w:val="16"/>
              <w:keepNext/>
              <w:spacing w:line="440" w:lineRule="exact"/>
              <w:ind w:left="63" w:right="63"/>
              <w:rPr>
                <w:rFonts w:hint="eastAsia" w:ascii="宋体" w:hAnsi="宋体" w:cs="宋体"/>
                <w:color w:val="000000"/>
                <w:szCs w:val="21"/>
              </w:rPr>
            </w:pPr>
          </w:p>
        </w:tc>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044" w:type="dxa"/>
            <w:noWrap w:val="0"/>
            <w:vAlign w:val="center"/>
          </w:tcPr>
          <w:p>
            <w:pPr>
              <w:pStyle w:val="16"/>
              <w:keepNext/>
              <w:spacing w:line="440" w:lineRule="exact"/>
              <w:ind w:left="63" w:right="63"/>
              <w:rPr>
                <w:rFonts w:hint="eastAsia" w:ascii="宋体" w:hAnsi="宋体" w:cs="宋体"/>
                <w:color w:val="000000"/>
                <w:szCs w:val="21"/>
              </w:rPr>
            </w:pPr>
          </w:p>
        </w:tc>
        <w:tc>
          <w:tcPr>
            <w:tcW w:w="992" w:type="dxa"/>
            <w:noWrap w:val="0"/>
            <w:vAlign w:val="center"/>
          </w:tcPr>
          <w:p>
            <w:pPr>
              <w:pStyle w:val="16"/>
              <w:keepNext/>
              <w:spacing w:line="440" w:lineRule="exact"/>
              <w:ind w:left="63" w:right="63"/>
              <w:rPr>
                <w:rFonts w:hint="eastAsia" w:ascii="宋体" w:hAnsi="宋体" w:cs="宋体"/>
                <w:color w:val="000000"/>
                <w:szCs w:val="21"/>
              </w:rPr>
            </w:pPr>
          </w:p>
        </w:tc>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487" w:type="dxa"/>
            <w:noWrap w:val="0"/>
            <w:vAlign w:val="center"/>
          </w:tcPr>
          <w:p>
            <w:pPr>
              <w:pStyle w:val="16"/>
              <w:keepNext/>
              <w:spacing w:line="440" w:lineRule="exact"/>
              <w:ind w:left="63" w:right="63"/>
              <w:rPr>
                <w:rFonts w:hint="eastAsia" w:ascii="宋体" w:hAnsi="宋体" w:cs="宋体"/>
                <w:color w:val="000000"/>
                <w:szCs w:val="21"/>
              </w:rPr>
            </w:pPr>
          </w:p>
        </w:tc>
        <w:tc>
          <w:tcPr>
            <w:tcW w:w="99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276" w:type="dxa"/>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940" w:type="dxa"/>
            <w:noWrap w:val="0"/>
            <w:vAlign w:val="center"/>
          </w:tcPr>
          <w:p>
            <w:pPr>
              <w:pStyle w:val="16"/>
              <w:keepNext/>
              <w:spacing w:line="440" w:lineRule="exact"/>
              <w:ind w:left="63" w:right="63"/>
              <w:rPr>
                <w:rFonts w:hint="eastAsia" w:ascii="宋体" w:hAnsi="宋体" w:cs="宋体"/>
                <w:color w:val="000000"/>
                <w:szCs w:val="21"/>
              </w:rPr>
            </w:pPr>
          </w:p>
        </w:tc>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044" w:type="dxa"/>
            <w:noWrap w:val="0"/>
            <w:vAlign w:val="center"/>
          </w:tcPr>
          <w:p>
            <w:pPr>
              <w:pStyle w:val="16"/>
              <w:keepNext/>
              <w:spacing w:line="440" w:lineRule="exact"/>
              <w:ind w:left="63" w:right="63"/>
              <w:rPr>
                <w:rFonts w:hint="eastAsia" w:ascii="宋体" w:hAnsi="宋体" w:cs="宋体"/>
                <w:color w:val="000000"/>
                <w:szCs w:val="21"/>
              </w:rPr>
            </w:pPr>
          </w:p>
        </w:tc>
        <w:tc>
          <w:tcPr>
            <w:tcW w:w="992" w:type="dxa"/>
            <w:noWrap w:val="0"/>
            <w:vAlign w:val="center"/>
          </w:tcPr>
          <w:p>
            <w:pPr>
              <w:pStyle w:val="16"/>
              <w:keepNext/>
              <w:spacing w:line="440" w:lineRule="exact"/>
              <w:ind w:left="63" w:right="63"/>
              <w:rPr>
                <w:rFonts w:hint="eastAsia" w:ascii="宋体" w:hAnsi="宋体" w:cs="宋体"/>
                <w:color w:val="000000"/>
                <w:szCs w:val="21"/>
              </w:rPr>
            </w:pPr>
          </w:p>
        </w:tc>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487" w:type="dxa"/>
            <w:noWrap w:val="0"/>
            <w:vAlign w:val="center"/>
          </w:tcPr>
          <w:p>
            <w:pPr>
              <w:pStyle w:val="16"/>
              <w:keepNext/>
              <w:spacing w:line="440" w:lineRule="exact"/>
              <w:ind w:left="63" w:right="63"/>
              <w:rPr>
                <w:rFonts w:hint="eastAsia" w:ascii="宋体" w:hAnsi="宋体" w:cs="宋体"/>
                <w:color w:val="000000"/>
                <w:szCs w:val="21"/>
              </w:rPr>
            </w:pPr>
          </w:p>
        </w:tc>
        <w:tc>
          <w:tcPr>
            <w:tcW w:w="99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851" w:type="dxa"/>
            <w:noWrap w:val="0"/>
            <w:vAlign w:val="center"/>
          </w:tcPr>
          <w:p>
            <w:pPr>
              <w:jc w:val="center"/>
              <w:rPr>
                <w:rFonts w:hint="eastAsia" w:ascii="宋体" w:hAnsi="宋体" w:cs="宋体"/>
                <w:color w:val="000000"/>
                <w:szCs w:val="21"/>
              </w:rPr>
            </w:pPr>
          </w:p>
        </w:tc>
        <w:tc>
          <w:tcPr>
            <w:tcW w:w="1276" w:type="dxa"/>
            <w:noWrap w:val="0"/>
            <w:vAlign w:val="center"/>
          </w:tcPr>
          <w:p>
            <w:pPr>
              <w:jc w:val="center"/>
              <w:rPr>
                <w:rFonts w:hint="eastAsia" w:ascii="宋体" w:hAnsi="宋体" w:cs="宋体"/>
                <w:color w:val="000000"/>
                <w:szCs w:val="21"/>
              </w:rPr>
            </w:pPr>
          </w:p>
        </w:tc>
        <w:tc>
          <w:tcPr>
            <w:tcW w:w="1418" w:type="dxa"/>
            <w:noWrap w:val="0"/>
            <w:vAlign w:val="center"/>
          </w:tcPr>
          <w:p>
            <w:pPr>
              <w:jc w:val="center"/>
              <w:rPr>
                <w:rFonts w:hint="eastAsia" w:ascii="宋体" w:hAnsi="宋体" w:cs="宋体"/>
                <w:color w:val="000000"/>
                <w:szCs w:val="21"/>
              </w:rPr>
            </w:pPr>
          </w:p>
        </w:tc>
        <w:tc>
          <w:tcPr>
            <w:tcW w:w="940" w:type="dxa"/>
            <w:noWrap w:val="0"/>
            <w:vAlign w:val="center"/>
          </w:tcPr>
          <w:p>
            <w:pPr>
              <w:jc w:val="center"/>
              <w:rPr>
                <w:rFonts w:hint="eastAsia" w:ascii="宋体" w:hAnsi="宋体" w:cs="宋体"/>
                <w:color w:val="000000"/>
                <w:szCs w:val="21"/>
              </w:rPr>
            </w:pPr>
          </w:p>
        </w:tc>
        <w:tc>
          <w:tcPr>
            <w:tcW w:w="851" w:type="dxa"/>
            <w:noWrap w:val="0"/>
            <w:vAlign w:val="center"/>
          </w:tcPr>
          <w:p>
            <w:pPr>
              <w:jc w:val="center"/>
              <w:rPr>
                <w:rFonts w:hint="eastAsia" w:ascii="宋体" w:hAnsi="宋体" w:cs="宋体"/>
                <w:color w:val="000000"/>
                <w:szCs w:val="21"/>
              </w:rPr>
            </w:pPr>
          </w:p>
        </w:tc>
        <w:tc>
          <w:tcPr>
            <w:tcW w:w="1044" w:type="dxa"/>
            <w:noWrap w:val="0"/>
            <w:vAlign w:val="center"/>
          </w:tcPr>
          <w:p>
            <w:pPr>
              <w:jc w:val="center"/>
              <w:rPr>
                <w:rFonts w:hint="eastAsia" w:ascii="宋体" w:hAnsi="宋体" w:cs="宋体"/>
                <w:color w:val="000000"/>
                <w:szCs w:val="21"/>
              </w:rPr>
            </w:pPr>
          </w:p>
        </w:tc>
        <w:tc>
          <w:tcPr>
            <w:tcW w:w="992" w:type="dxa"/>
            <w:noWrap w:val="0"/>
            <w:vAlign w:val="center"/>
          </w:tcPr>
          <w:p>
            <w:pPr>
              <w:jc w:val="center"/>
              <w:rPr>
                <w:rFonts w:hint="eastAsia" w:ascii="宋体" w:hAnsi="宋体" w:cs="宋体"/>
                <w:color w:val="000000"/>
                <w:szCs w:val="21"/>
              </w:rPr>
            </w:pPr>
          </w:p>
        </w:tc>
        <w:tc>
          <w:tcPr>
            <w:tcW w:w="851" w:type="dxa"/>
            <w:noWrap w:val="0"/>
            <w:vAlign w:val="center"/>
          </w:tcPr>
          <w:p>
            <w:pPr>
              <w:jc w:val="center"/>
              <w:rPr>
                <w:rFonts w:hint="eastAsia" w:ascii="宋体" w:hAnsi="宋体" w:cs="宋体"/>
                <w:color w:val="000000"/>
                <w:szCs w:val="21"/>
              </w:rPr>
            </w:pPr>
          </w:p>
        </w:tc>
        <w:tc>
          <w:tcPr>
            <w:tcW w:w="1487" w:type="dxa"/>
            <w:noWrap w:val="0"/>
            <w:vAlign w:val="center"/>
          </w:tcPr>
          <w:p>
            <w:pPr>
              <w:jc w:val="center"/>
              <w:rPr>
                <w:rFonts w:hint="eastAsia" w:ascii="宋体" w:hAnsi="宋体" w:cs="宋体"/>
                <w:color w:val="000000"/>
                <w:szCs w:val="21"/>
              </w:rPr>
            </w:pPr>
          </w:p>
        </w:tc>
        <w:tc>
          <w:tcPr>
            <w:tcW w:w="992" w:type="dxa"/>
            <w:noWrap w:val="0"/>
            <w:vAlign w:val="center"/>
          </w:tcPr>
          <w:p>
            <w:pPr>
              <w:jc w:val="cente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276" w:type="dxa"/>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940" w:type="dxa"/>
            <w:noWrap w:val="0"/>
            <w:vAlign w:val="center"/>
          </w:tcPr>
          <w:p>
            <w:pPr>
              <w:pStyle w:val="16"/>
              <w:keepNext/>
              <w:spacing w:line="440" w:lineRule="exact"/>
              <w:ind w:left="63" w:right="63"/>
              <w:rPr>
                <w:rFonts w:hint="eastAsia" w:ascii="宋体" w:hAnsi="宋体" w:cs="宋体"/>
                <w:color w:val="000000"/>
                <w:szCs w:val="21"/>
              </w:rPr>
            </w:pPr>
          </w:p>
        </w:tc>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044" w:type="dxa"/>
            <w:noWrap w:val="0"/>
            <w:vAlign w:val="center"/>
          </w:tcPr>
          <w:p>
            <w:pPr>
              <w:pStyle w:val="16"/>
              <w:keepNext/>
              <w:spacing w:line="440" w:lineRule="exact"/>
              <w:ind w:left="63" w:right="63"/>
              <w:rPr>
                <w:rFonts w:hint="eastAsia" w:ascii="宋体" w:hAnsi="宋体" w:cs="宋体"/>
                <w:color w:val="000000"/>
                <w:szCs w:val="21"/>
              </w:rPr>
            </w:pPr>
          </w:p>
        </w:tc>
        <w:tc>
          <w:tcPr>
            <w:tcW w:w="992" w:type="dxa"/>
            <w:noWrap w:val="0"/>
            <w:vAlign w:val="center"/>
          </w:tcPr>
          <w:p>
            <w:pPr>
              <w:pStyle w:val="16"/>
              <w:keepNext/>
              <w:spacing w:line="440" w:lineRule="exact"/>
              <w:ind w:left="63" w:right="63"/>
              <w:rPr>
                <w:rFonts w:hint="eastAsia" w:ascii="宋体" w:hAnsi="宋体" w:cs="宋体"/>
                <w:color w:val="000000"/>
                <w:szCs w:val="21"/>
              </w:rPr>
            </w:pPr>
          </w:p>
        </w:tc>
        <w:tc>
          <w:tcPr>
            <w:tcW w:w="851" w:type="dxa"/>
            <w:noWrap w:val="0"/>
            <w:vAlign w:val="center"/>
          </w:tcPr>
          <w:p>
            <w:pPr>
              <w:pStyle w:val="16"/>
              <w:keepNext/>
              <w:spacing w:line="440" w:lineRule="exact"/>
              <w:ind w:left="63" w:right="63"/>
              <w:rPr>
                <w:rFonts w:hint="eastAsia" w:ascii="宋体" w:hAnsi="宋体" w:cs="宋体"/>
                <w:color w:val="000000"/>
                <w:szCs w:val="21"/>
              </w:rPr>
            </w:pPr>
          </w:p>
        </w:tc>
        <w:tc>
          <w:tcPr>
            <w:tcW w:w="1487" w:type="dxa"/>
            <w:noWrap w:val="0"/>
            <w:vAlign w:val="center"/>
          </w:tcPr>
          <w:p>
            <w:pPr>
              <w:pStyle w:val="16"/>
              <w:keepNext/>
              <w:spacing w:line="440" w:lineRule="exact"/>
              <w:ind w:left="63" w:right="63"/>
              <w:rPr>
                <w:rFonts w:hint="eastAsia" w:ascii="宋体" w:hAnsi="宋体" w:cs="宋体"/>
                <w:color w:val="000000"/>
                <w:szCs w:val="21"/>
              </w:rPr>
            </w:pPr>
          </w:p>
        </w:tc>
        <w:tc>
          <w:tcPr>
            <w:tcW w:w="99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851" w:type="dxa"/>
            <w:noWrap w:val="0"/>
            <w:vAlign w:val="center"/>
          </w:tcPr>
          <w:p>
            <w:pPr>
              <w:jc w:val="center"/>
              <w:rPr>
                <w:rFonts w:hint="eastAsia" w:ascii="宋体" w:hAnsi="宋体" w:cs="宋体"/>
                <w:color w:val="000000"/>
                <w:szCs w:val="21"/>
              </w:rPr>
            </w:pPr>
          </w:p>
        </w:tc>
        <w:tc>
          <w:tcPr>
            <w:tcW w:w="1276" w:type="dxa"/>
            <w:noWrap w:val="0"/>
            <w:vAlign w:val="center"/>
          </w:tcPr>
          <w:p>
            <w:pPr>
              <w:jc w:val="center"/>
              <w:rPr>
                <w:rFonts w:hint="eastAsia" w:ascii="宋体" w:hAnsi="宋体" w:cs="宋体"/>
                <w:color w:val="000000"/>
                <w:szCs w:val="21"/>
              </w:rPr>
            </w:pPr>
          </w:p>
        </w:tc>
        <w:tc>
          <w:tcPr>
            <w:tcW w:w="1418" w:type="dxa"/>
            <w:noWrap w:val="0"/>
            <w:vAlign w:val="center"/>
          </w:tcPr>
          <w:p>
            <w:pPr>
              <w:jc w:val="center"/>
              <w:rPr>
                <w:rFonts w:hint="eastAsia" w:ascii="宋体" w:hAnsi="宋体" w:cs="宋体"/>
                <w:color w:val="000000"/>
                <w:szCs w:val="21"/>
              </w:rPr>
            </w:pPr>
          </w:p>
        </w:tc>
        <w:tc>
          <w:tcPr>
            <w:tcW w:w="940" w:type="dxa"/>
            <w:noWrap w:val="0"/>
            <w:vAlign w:val="center"/>
          </w:tcPr>
          <w:p>
            <w:pPr>
              <w:jc w:val="center"/>
              <w:rPr>
                <w:rFonts w:hint="eastAsia" w:ascii="宋体" w:hAnsi="宋体" w:cs="宋体"/>
                <w:color w:val="000000"/>
                <w:szCs w:val="21"/>
              </w:rPr>
            </w:pPr>
          </w:p>
        </w:tc>
        <w:tc>
          <w:tcPr>
            <w:tcW w:w="851" w:type="dxa"/>
            <w:noWrap w:val="0"/>
            <w:vAlign w:val="center"/>
          </w:tcPr>
          <w:p>
            <w:pPr>
              <w:jc w:val="center"/>
              <w:rPr>
                <w:rFonts w:hint="eastAsia" w:ascii="宋体" w:hAnsi="宋体" w:cs="宋体"/>
                <w:color w:val="000000"/>
                <w:szCs w:val="21"/>
              </w:rPr>
            </w:pPr>
          </w:p>
        </w:tc>
        <w:tc>
          <w:tcPr>
            <w:tcW w:w="1044" w:type="dxa"/>
            <w:noWrap w:val="0"/>
            <w:vAlign w:val="center"/>
          </w:tcPr>
          <w:p>
            <w:pPr>
              <w:jc w:val="center"/>
              <w:rPr>
                <w:rFonts w:hint="eastAsia" w:ascii="宋体" w:hAnsi="宋体" w:cs="宋体"/>
                <w:color w:val="000000"/>
                <w:szCs w:val="21"/>
              </w:rPr>
            </w:pPr>
          </w:p>
        </w:tc>
        <w:tc>
          <w:tcPr>
            <w:tcW w:w="992" w:type="dxa"/>
            <w:noWrap w:val="0"/>
            <w:vAlign w:val="center"/>
          </w:tcPr>
          <w:p>
            <w:pPr>
              <w:jc w:val="center"/>
              <w:rPr>
                <w:rFonts w:hint="eastAsia" w:ascii="宋体" w:hAnsi="宋体" w:cs="宋体"/>
                <w:color w:val="000000"/>
                <w:szCs w:val="21"/>
              </w:rPr>
            </w:pPr>
          </w:p>
        </w:tc>
        <w:tc>
          <w:tcPr>
            <w:tcW w:w="851" w:type="dxa"/>
            <w:noWrap w:val="0"/>
            <w:vAlign w:val="center"/>
          </w:tcPr>
          <w:p>
            <w:pPr>
              <w:jc w:val="center"/>
              <w:rPr>
                <w:rFonts w:hint="eastAsia" w:ascii="宋体" w:hAnsi="宋体" w:cs="宋体"/>
                <w:color w:val="000000"/>
                <w:szCs w:val="21"/>
              </w:rPr>
            </w:pPr>
          </w:p>
        </w:tc>
        <w:tc>
          <w:tcPr>
            <w:tcW w:w="1487" w:type="dxa"/>
            <w:noWrap w:val="0"/>
            <w:vAlign w:val="center"/>
          </w:tcPr>
          <w:p>
            <w:pPr>
              <w:jc w:val="center"/>
              <w:rPr>
                <w:rFonts w:hint="eastAsia" w:ascii="宋体" w:hAnsi="宋体" w:cs="宋体"/>
                <w:color w:val="000000"/>
                <w:szCs w:val="21"/>
              </w:rPr>
            </w:pPr>
          </w:p>
        </w:tc>
        <w:tc>
          <w:tcPr>
            <w:tcW w:w="992" w:type="dxa"/>
            <w:noWrap w:val="0"/>
            <w:vAlign w:val="center"/>
          </w:tcPr>
          <w:p>
            <w:pPr>
              <w:jc w:val="cente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851" w:type="dxa"/>
            <w:noWrap w:val="0"/>
            <w:vAlign w:val="center"/>
          </w:tcPr>
          <w:p>
            <w:pPr>
              <w:jc w:val="center"/>
              <w:rPr>
                <w:rFonts w:hint="eastAsia" w:ascii="宋体" w:hAnsi="宋体" w:cs="宋体"/>
                <w:color w:val="000000"/>
                <w:szCs w:val="21"/>
              </w:rPr>
            </w:pPr>
          </w:p>
        </w:tc>
        <w:tc>
          <w:tcPr>
            <w:tcW w:w="1276" w:type="dxa"/>
            <w:noWrap w:val="0"/>
            <w:vAlign w:val="center"/>
          </w:tcPr>
          <w:p>
            <w:pPr>
              <w:jc w:val="center"/>
              <w:rPr>
                <w:rFonts w:hint="eastAsia" w:ascii="宋体" w:hAnsi="宋体" w:cs="宋体"/>
                <w:color w:val="000000"/>
                <w:szCs w:val="21"/>
              </w:rPr>
            </w:pPr>
          </w:p>
        </w:tc>
        <w:tc>
          <w:tcPr>
            <w:tcW w:w="1418" w:type="dxa"/>
            <w:noWrap w:val="0"/>
            <w:vAlign w:val="center"/>
          </w:tcPr>
          <w:p>
            <w:pPr>
              <w:jc w:val="center"/>
              <w:rPr>
                <w:rFonts w:hint="eastAsia" w:ascii="宋体" w:hAnsi="宋体" w:cs="宋体"/>
                <w:color w:val="000000"/>
                <w:szCs w:val="21"/>
              </w:rPr>
            </w:pPr>
          </w:p>
        </w:tc>
        <w:tc>
          <w:tcPr>
            <w:tcW w:w="940" w:type="dxa"/>
            <w:noWrap w:val="0"/>
            <w:vAlign w:val="center"/>
          </w:tcPr>
          <w:p>
            <w:pPr>
              <w:jc w:val="center"/>
              <w:rPr>
                <w:rFonts w:hint="eastAsia" w:ascii="宋体" w:hAnsi="宋体" w:cs="宋体"/>
                <w:color w:val="000000"/>
                <w:szCs w:val="21"/>
              </w:rPr>
            </w:pPr>
          </w:p>
        </w:tc>
        <w:tc>
          <w:tcPr>
            <w:tcW w:w="851" w:type="dxa"/>
            <w:noWrap w:val="0"/>
            <w:vAlign w:val="center"/>
          </w:tcPr>
          <w:p>
            <w:pPr>
              <w:jc w:val="center"/>
              <w:rPr>
                <w:rFonts w:hint="eastAsia" w:ascii="宋体" w:hAnsi="宋体" w:cs="宋体"/>
                <w:color w:val="000000"/>
                <w:szCs w:val="21"/>
              </w:rPr>
            </w:pPr>
          </w:p>
        </w:tc>
        <w:tc>
          <w:tcPr>
            <w:tcW w:w="1044" w:type="dxa"/>
            <w:noWrap w:val="0"/>
            <w:vAlign w:val="center"/>
          </w:tcPr>
          <w:p>
            <w:pPr>
              <w:jc w:val="center"/>
              <w:rPr>
                <w:rFonts w:hint="eastAsia" w:ascii="宋体" w:hAnsi="宋体" w:cs="宋体"/>
                <w:color w:val="000000"/>
                <w:szCs w:val="21"/>
              </w:rPr>
            </w:pPr>
          </w:p>
        </w:tc>
        <w:tc>
          <w:tcPr>
            <w:tcW w:w="992" w:type="dxa"/>
            <w:noWrap w:val="0"/>
            <w:vAlign w:val="center"/>
          </w:tcPr>
          <w:p>
            <w:pPr>
              <w:jc w:val="center"/>
              <w:rPr>
                <w:rFonts w:hint="eastAsia" w:ascii="宋体" w:hAnsi="宋体" w:cs="宋体"/>
                <w:color w:val="000000"/>
                <w:szCs w:val="21"/>
              </w:rPr>
            </w:pPr>
          </w:p>
        </w:tc>
        <w:tc>
          <w:tcPr>
            <w:tcW w:w="851" w:type="dxa"/>
            <w:noWrap w:val="0"/>
            <w:vAlign w:val="center"/>
          </w:tcPr>
          <w:p>
            <w:pPr>
              <w:jc w:val="center"/>
              <w:rPr>
                <w:rFonts w:hint="eastAsia" w:ascii="宋体" w:hAnsi="宋体" w:cs="宋体"/>
                <w:color w:val="000000"/>
                <w:szCs w:val="21"/>
              </w:rPr>
            </w:pPr>
          </w:p>
        </w:tc>
        <w:tc>
          <w:tcPr>
            <w:tcW w:w="1487" w:type="dxa"/>
            <w:noWrap w:val="0"/>
            <w:vAlign w:val="center"/>
          </w:tcPr>
          <w:p>
            <w:pPr>
              <w:jc w:val="center"/>
              <w:rPr>
                <w:rFonts w:hint="eastAsia" w:ascii="宋体" w:hAnsi="宋体" w:cs="宋体"/>
                <w:color w:val="000000"/>
                <w:szCs w:val="21"/>
              </w:rPr>
            </w:pPr>
          </w:p>
        </w:tc>
        <w:tc>
          <w:tcPr>
            <w:tcW w:w="992" w:type="dxa"/>
            <w:noWrap w:val="0"/>
            <w:vAlign w:val="center"/>
          </w:tcPr>
          <w:p>
            <w:pPr>
              <w:jc w:val="cente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851" w:type="dxa"/>
            <w:noWrap w:val="0"/>
            <w:vAlign w:val="center"/>
          </w:tcPr>
          <w:p>
            <w:pPr>
              <w:jc w:val="center"/>
              <w:rPr>
                <w:rFonts w:hint="eastAsia" w:ascii="宋体" w:hAnsi="宋体" w:cs="宋体"/>
                <w:color w:val="000000"/>
                <w:szCs w:val="21"/>
              </w:rPr>
            </w:pPr>
          </w:p>
        </w:tc>
        <w:tc>
          <w:tcPr>
            <w:tcW w:w="1276" w:type="dxa"/>
            <w:noWrap w:val="0"/>
            <w:vAlign w:val="center"/>
          </w:tcPr>
          <w:p>
            <w:pPr>
              <w:jc w:val="center"/>
              <w:rPr>
                <w:rFonts w:hint="eastAsia" w:ascii="宋体" w:hAnsi="宋体" w:cs="宋体"/>
                <w:color w:val="000000"/>
                <w:szCs w:val="21"/>
              </w:rPr>
            </w:pPr>
          </w:p>
        </w:tc>
        <w:tc>
          <w:tcPr>
            <w:tcW w:w="1418" w:type="dxa"/>
            <w:noWrap w:val="0"/>
            <w:vAlign w:val="center"/>
          </w:tcPr>
          <w:p>
            <w:pPr>
              <w:jc w:val="center"/>
              <w:rPr>
                <w:rFonts w:hint="eastAsia" w:ascii="宋体" w:hAnsi="宋体" w:cs="宋体"/>
                <w:color w:val="000000"/>
                <w:szCs w:val="21"/>
              </w:rPr>
            </w:pPr>
          </w:p>
        </w:tc>
        <w:tc>
          <w:tcPr>
            <w:tcW w:w="940" w:type="dxa"/>
            <w:noWrap w:val="0"/>
            <w:vAlign w:val="center"/>
          </w:tcPr>
          <w:p>
            <w:pPr>
              <w:jc w:val="center"/>
              <w:rPr>
                <w:rFonts w:hint="eastAsia" w:ascii="宋体" w:hAnsi="宋体" w:cs="宋体"/>
                <w:color w:val="000000"/>
                <w:szCs w:val="21"/>
              </w:rPr>
            </w:pPr>
          </w:p>
        </w:tc>
        <w:tc>
          <w:tcPr>
            <w:tcW w:w="851" w:type="dxa"/>
            <w:noWrap w:val="0"/>
            <w:vAlign w:val="center"/>
          </w:tcPr>
          <w:p>
            <w:pPr>
              <w:jc w:val="center"/>
              <w:rPr>
                <w:rFonts w:hint="eastAsia" w:ascii="宋体" w:hAnsi="宋体" w:cs="宋体"/>
                <w:color w:val="000000"/>
                <w:szCs w:val="21"/>
              </w:rPr>
            </w:pPr>
          </w:p>
        </w:tc>
        <w:tc>
          <w:tcPr>
            <w:tcW w:w="1044" w:type="dxa"/>
            <w:noWrap w:val="0"/>
            <w:vAlign w:val="center"/>
          </w:tcPr>
          <w:p>
            <w:pPr>
              <w:jc w:val="center"/>
              <w:rPr>
                <w:rFonts w:hint="eastAsia" w:ascii="宋体" w:hAnsi="宋体" w:cs="宋体"/>
                <w:color w:val="000000"/>
                <w:szCs w:val="21"/>
              </w:rPr>
            </w:pPr>
          </w:p>
        </w:tc>
        <w:tc>
          <w:tcPr>
            <w:tcW w:w="992" w:type="dxa"/>
            <w:noWrap w:val="0"/>
            <w:vAlign w:val="center"/>
          </w:tcPr>
          <w:p>
            <w:pPr>
              <w:jc w:val="center"/>
              <w:rPr>
                <w:rFonts w:hint="eastAsia" w:ascii="宋体" w:hAnsi="宋体" w:cs="宋体"/>
                <w:color w:val="000000"/>
                <w:szCs w:val="21"/>
              </w:rPr>
            </w:pPr>
          </w:p>
        </w:tc>
        <w:tc>
          <w:tcPr>
            <w:tcW w:w="851" w:type="dxa"/>
            <w:noWrap w:val="0"/>
            <w:vAlign w:val="center"/>
          </w:tcPr>
          <w:p>
            <w:pPr>
              <w:jc w:val="center"/>
              <w:rPr>
                <w:rFonts w:hint="eastAsia" w:ascii="宋体" w:hAnsi="宋体" w:cs="宋体"/>
                <w:color w:val="000000"/>
                <w:szCs w:val="21"/>
              </w:rPr>
            </w:pPr>
          </w:p>
        </w:tc>
        <w:tc>
          <w:tcPr>
            <w:tcW w:w="1487" w:type="dxa"/>
            <w:noWrap w:val="0"/>
            <w:vAlign w:val="center"/>
          </w:tcPr>
          <w:p>
            <w:pPr>
              <w:jc w:val="center"/>
              <w:rPr>
                <w:rFonts w:hint="eastAsia" w:ascii="宋体" w:hAnsi="宋体" w:cs="宋体"/>
                <w:color w:val="000000"/>
                <w:szCs w:val="21"/>
              </w:rPr>
            </w:pPr>
          </w:p>
        </w:tc>
        <w:tc>
          <w:tcPr>
            <w:tcW w:w="992" w:type="dxa"/>
            <w:noWrap w:val="0"/>
            <w:vAlign w:val="center"/>
          </w:tcPr>
          <w:p>
            <w:pPr>
              <w:jc w:val="cente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851" w:type="dxa"/>
            <w:noWrap w:val="0"/>
            <w:vAlign w:val="center"/>
          </w:tcPr>
          <w:p>
            <w:pPr>
              <w:jc w:val="center"/>
              <w:rPr>
                <w:rFonts w:hint="eastAsia" w:ascii="宋体" w:hAnsi="宋体" w:cs="宋体"/>
                <w:color w:val="000000"/>
                <w:szCs w:val="21"/>
              </w:rPr>
            </w:pPr>
          </w:p>
        </w:tc>
        <w:tc>
          <w:tcPr>
            <w:tcW w:w="1276" w:type="dxa"/>
            <w:noWrap w:val="0"/>
            <w:vAlign w:val="center"/>
          </w:tcPr>
          <w:p>
            <w:pPr>
              <w:jc w:val="center"/>
              <w:rPr>
                <w:rFonts w:hint="eastAsia" w:ascii="宋体" w:hAnsi="宋体" w:cs="宋体"/>
                <w:color w:val="000000"/>
                <w:szCs w:val="21"/>
              </w:rPr>
            </w:pPr>
          </w:p>
        </w:tc>
        <w:tc>
          <w:tcPr>
            <w:tcW w:w="1418" w:type="dxa"/>
            <w:noWrap w:val="0"/>
            <w:vAlign w:val="center"/>
          </w:tcPr>
          <w:p>
            <w:pPr>
              <w:jc w:val="center"/>
              <w:rPr>
                <w:rFonts w:hint="eastAsia" w:ascii="宋体" w:hAnsi="宋体" w:cs="宋体"/>
                <w:color w:val="000000"/>
                <w:szCs w:val="21"/>
              </w:rPr>
            </w:pPr>
          </w:p>
        </w:tc>
        <w:tc>
          <w:tcPr>
            <w:tcW w:w="940" w:type="dxa"/>
            <w:noWrap w:val="0"/>
            <w:vAlign w:val="center"/>
          </w:tcPr>
          <w:p>
            <w:pPr>
              <w:jc w:val="center"/>
              <w:rPr>
                <w:rFonts w:hint="eastAsia" w:ascii="宋体" w:hAnsi="宋体" w:cs="宋体"/>
                <w:color w:val="000000"/>
                <w:szCs w:val="21"/>
              </w:rPr>
            </w:pPr>
          </w:p>
        </w:tc>
        <w:tc>
          <w:tcPr>
            <w:tcW w:w="851" w:type="dxa"/>
            <w:noWrap w:val="0"/>
            <w:vAlign w:val="center"/>
          </w:tcPr>
          <w:p>
            <w:pPr>
              <w:jc w:val="center"/>
              <w:rPr>
                <w:rFonts w:hint="eastAsia" w:ascii="宋体" w:hAnsi="宋体" w:cs="宋体"/>
                <w:color w:val="000000"/>
                <w:szCs w:val="21"/>
              </w:rPr>
            </w:pPr>
          </w:p>
        </w:tc>
        <w:tc>
          <w:tcPr>
            <w:tcW w:w="1044" w:type="dxa"/>
            <w:noWrap w:val="0"/>
            <w:vAlign w:val="center"/>
          </w:tcPr>
          <w:p>
            <w:pPr>
              <w:jc w:val="center"/>
              <w:rPr>
                <w:rFonts w:hint="eastAsia" w:ascii="宋体" w:hAnsi="宋体" w:cs="宋体"/>
                <w:color w:val="000000"/>
                <w:szCs w:val="21"/>
              </w:rPr>
            </w:pPr>
          </w:p>
        </w:tc>
        <w:tc>
          <w:tcPr>
            <w:tcW w:w="992" w:type="dxa"/>
            <w:noWrap w:val="0"/>
            <w:vAlign w:val="center"/>
          </w:tcPr>
          <w:p>
            <w:pPr>
              <w:jc w:val="center"/>
              <w:rPr>
                <w:rFonts w:hint="eastAsia" w:ascii="宋体" w:hAnsi="宋体" w:cs="宋体"/>
                <w:color w:val="000000"/>
                <w:szCs w:val="21"/>
              </w:rPr>
            </w:pPr>
          </w:p>
        </w:tc>
        <w:tc>
          <w:tcPr>
            <w:tcW w:w="851" w:type="dxa"/>
            <w:noWrap w:val="0"/>
            <w:vAlign w:val="center"/>
          </w:tcPr>
          <w:p>
            <w:pPr>
              <w:jc w:val="center"/>
              <w:rPr>
                <w:rFonts w:hint="eastAsia" w:ascii="宋体" w:hAnsi="宋体" w:cs="宋体"/>
                <w:color w:val="000000"/>
                <w:szCs w:val="21"/>
              </w:rPr>
            </w:pPr>
          </w:p>
        </w:tc>
        <w:tc>
          <w:tcPr>
            <w:tcW w:w="1487" w:type="dxa"/>
            <w:noWrap w:val="0"/>
            <w:vAlign w:val="center"/>
          </w:tcPr>
          <w:p>
            <w:pPr>
              <w:jc w:val="center"/>
              <w:rPr>
                <w:rFonts w:hint="eastAsia" w:ascii="宋体" w:hAnsi="宋体" w:cs="宋体"/>
                <w:color w:val="000000"/>
                <w:szCs w:val="21"/>
              </w:rPr>
            </w:pPr>
          </w:p>
        </w:tc>
        <w:tc>
          <w:tcPr>
            <w:tcW w:w="992" w:type="dxa"/>
            <w:noWrap w:val="0"/>
            <w:vAlign w:val="center"/>
          </w:tcPr>
          <w:p>
            <w:pPr>
              <w:jc w:val="cente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851" w:type="dxa"/>
            <w:noWrap w:val="0"/>
            <w:vAlign w:val="center"/>
          </w:tcPr>
          <w:p>
            <w:pPr>
              <w:jc w:val="center"/>
              <w:rPr>
                <w:rFonts w:hint="eastAsia" w:ascii="宋体" w:hAnsi="宋体" w:cs="宋体"/>
                <w:color w:val="000000"/>
                <w:szCs w:val="21"/>
              </w:rPr>
            </w:pPr>
          </w:p>
        </w:tc>
        <w:tc>
          <w:tcPr>
            <w:tcW w:w="1276" w:type="dxa"/>
            <w:noWrap w:val="0"/>
            <w:vAlign w:val="center"/>
          </w:tcPr>
          <w:p>
            <w:pPr>
              <w:jc w:val="center"/>
              <w:rPr>
                <w:rFonts w:hint="eastAsia" w:ascii="宋体" w:hAnsi="宋体" w:cs="宋体"/>
                <w:color w:val="000000"/>
                <w:szCs w:val="21"/>
              </w:rPr>
            </w:pPr>
          </w:p>
        </w:tc>
        <w:tc>
          <w:tcPr>
            <w:tcW w:w="1418" w:type="dxa"/>
            <w:noWrap w:val="0"/>
            <w:vAlign w:val="center"/>
          </w:tcPr>
          <w:p>
            <w:pPr>
              <w:jc w:val="center"/>
              <w:rPr>
                <w:rFonts w:hint="eastAsia" w:ascii="宋体" w:hAnsi="宋体" w:cs="宋体"/>
                <w:color w:val="000000"/>
                <w:szCs w:val="21"/>
              </w:rPr>
            </w:pPr>
          </w:p>
        </w:tc>
        <w:tc>
          <w:tcPr>
            <w:tcW w:w="940" w:type="dxa"/>
            <w:noWrap w:val="0"/>
            <w:vAlign w:val="center"/>
          </w:tcPr>
          <w:p>
            <w:pPr>
              <w:jc w:val="center"/>
              <w:rPr>
                <w:rFonts w:hint="eastAsia" w:ascii="宋体" w:hAnsi="宋体" w:cs="宋体"/>
                <w:color w:val="000000"/>
                <w:szCs w:val="21"/>
              </w:rPr>
            </w:pPr>
          </w:p>
        </w:tc>
        <w:tc>
          <w:tcPr>
            <w:tcW w:w="851" w:type="dxa"/>
            <w:noWrap w:val="0"/>
            <w:vAlign w:val="center"/>
          </w:tcPr>
          <w:p>
            <w:pPr>
              <w:jc w:val="center"/>
              <w:rPr>
                <w:rFonts w:hint="eastAsia" w:ascii="宋体" w:hAnsi="宋体" w:cs="宋体"/>
                <w:color w:val="000000"/>
                <w:szCs w:val="21"/>
              </w:rPr>
            </w:pPr>
          </w:p>
        </w:tc>
        <w:tc>
          <w:tcPr>
            <w:tcW w:w="1044" w:type="dxa"/>
            <w:noWrap w:val="0"/>
            <w:vAlign w:val="center"/>
          </w:tcPr>
          <w:p>
            <w:pPr>
              <w:jc w:val="center"/>
              <w:rPr>
                <w:rFonts w:hint="eastAsia" w:ascii="宋体" w:hAnsi="宋体" w:cs="宋体"/>
                <w:color w:val="000000"/>
                <w:szCs w:val="21"/>
              </w:rPr>
            </w:pPr>
          </w:p>
        </w:tc>
        <w:tc>
          <w:tcPr>
            <w:tcW w:w="992" w:type="dxa"/>
            <w:noWrap w:val="0"/>
            <w:vAlign w:val="center"/>
          </w:tcPr>
          <w:p>
            <w:pPr>
              <w:jc w:val="center"/>
              <w:rPr>
                <w:rFonts w:hint="eastAsia" w:ascii="宋体" w:hAnsi="宋体" w:cs="宋体"/>
                <w:color w:val="000000"/>
                <w:szCs w:val="21"/>
              </w:rPr>
            </w:pPr>
          </w:p>
        </w:tc>
        <w:tc>
          <w:tcPr>
            <w:tcW w:w="851" w:type="dxa"/>
            <w:noWrap w:val="0"/>
            <w:vAlign w:val="center"/>
          </w:tcPr>
          <w:p>
            <w:pPr>
              <w:jc w:val="center"/>
              <w:rPr>
                <w:rFonts w:hint="eastAsia" w:ascii="宋体" w:hAnsi="宋体" w:cs="宋体"/>
                <w:color w:val="000000"/>
                <w:szCs w:val="21"/>
              </w:rPr>
            </w:pPr>
          </w:p>
        </w:tc>
        <w:tc>
          <w:tcPr>
            <w:tcW w:w="1487" w:type="dxa"/>
            <w:noWrap w:val="0"/>
            <w:vAlign w:val="center"/>
          </w:tcPr>
          <w:p>
            <w:pPr>
              <w:jc w:val="center"/>
              <w:rPr>
                <w:rFonts w:hint="eastAsia" w:ascii="宋体" w:hAnsi="宋体" w:cs="宋体"/>
                <w:color w:val="000000"/>
                <w:szCs w:val="21"/>
              </w:rPr>
            </w:pPr>
          </w:p>
        </w:tc>
        <w:tc>
          <w:tcPr>
            <w:tcW w:w="992" w:type="dxa"/>
            <w:noWrap w:val="0"/>
            <w:vAlign w:val="center"/>
          </w:tcPr>
          <w:p>
            <w:pPr>
              <w:jc w:val="cente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851" w:type="dxa"/>
            <w:noWrap w:val="0"/>
            <w:vAlign w:val="center"/>
          </w:tcPr>
          <w:p>
            <w:pPr>
              <w:jc w:val="center"/>
              <w:rPr>
                <w:rFonts w:hint="eastAsia" w:ascii="宋体" w:hAnsi="宋体" w:cs="宋体"/>
                <w:color w:val="000000"/>
                <w:szCs w:val="21"/>
              </w:rPr>
            </w:pPr>
          </w:p>
        </w:tc>
        <w:tc>
          <w:tcPr>
            <w:tcW w:w="1276" w:type="dxa"/>
            <w:noWrap w:val="0"/>
            <w:vAlign w:val="center"/>
          </w:tcPr>
          <w:p>
            <w:pPr>
              <w:jc w:val="center"/>
              <w:rPr>
                <w:rFonts w:hint="eastAsia" w:ascii="宋体" w:hAnsi="宋体" w:cs="宋体"/>
                <w:color w:val="000000"/>
                <w:szCs w:val="21"/>
              </w:rPr>
            </w:pPr>
          </w:p>
        </w:tc>
        <w:tc>
          <w:tcPr>
            <w:tcW w:w="1418" w:type="dxa"/>
            <w:noWrap w:val="0"/>
            <w:vAlign w:val="center"/>
          </w:tcPr>
          <w:p>
            <w:pPr>
              <w:jc w:val="center"/>
              <w:rPr>
                <w:rFonts w:hint="eastAsia" w:ascii="宋体" w:hAnsi="宋体" w:cs="宋体"/>
                <w:color w:val="000000"/>
                <w:szCs w:val="21"/>
              </w:rPr>
            </w:pPr>
          </w:p>
        </w:tc>
        <w:tc>
          <w:tcPr>
            <w:tcW w:w="940" w:type="dxa"/>
            <w:noWrap w:val="0"/>
            <w:vAlign w:val="center"/>
          </w:tcPr>
          <w:p>
            <w:pPr>
              <w:jc w:val="center"/>
              <w:rPr>
                <w:rFonts w:hint="eastAsia" w:ascii="宋体" w:hAnsi="宋体" w:cs="宋体"/>
                <w:color w:val="000000"/>
                <w:szCs w:val="21"/>
              </w:rPr>
            </w:pPr>
          </w:p>
        </w:tc>
        <w:tc>
          <w:tcPr>
            <w:tcW w:w="851" w:type="dxa"/>
            <w:noWrap w:val="0"/>
            <w:vAlign w:val="center"/>
          </w:tcPr>
          <w:p>
            <w:pPr>
              <w:jc w:val="center"/>
              <w:rPr>
                <w:rFonts w:hint="eastAsia" w:ascii="宋体" w:hAnsi="宋体" w:cs="宋体"/>
                <w:color w:val="000000"/>
                <w:szCs w:val="21"/>
              </w:rPr>
            </w:pPr>
          </w:p>
        </w:tc>
        <w:tc>
          <w:tcPr>
            <w:tcW w:w="1044" w:type="dxa"/>
            <w:noWrap w:val="0"/>
            <w:vAlign w:val="center"/>
          </w:tcPr>
          <w:p>
            <w:pPr>
              <w:jc w:val="center"/>
              <w:rPr>
                <w:rFonts w:hint="eastAsia" w:ascii="宋体" w:hAnsi="宋体" w:cs="宋体"/>
                <w:color w:val="000000"/>
                <w:szCs w:val="21"/>
              </w:rPr>
            </w:pPr>
          </w:p>
        </w:tc>
        <w:tc>
          <w:tcPr>
            <w:tcW w:w="992" w:type="dxa"/>
            <w:noWrap w:val="0"/>
            <w:vAlign w:val="center"/>
          </w:tcPr>
          <w:p>
            <w:pPr>
              <w:jc w:val="center"/>
              <w:rPr>
                <w:rFonts w:hint="eastAsia" w:ascii="宋体" w:hAnsi="宋体" w:cs="宋体"/>
                <w:color w:val="000000"/>
                <w:szCs w:val="21"/>
              </w:rPr>
            </w:pPr>
          </w:p>
        </w:tc>
        <w:tc>
          <w:tcPr>
            <w:tcW w:w="851" w:type="dxa"/>
            <w:noWrap w:val="0"/>
            <w:vAlign w:val="center"/>
          </w:tcPr>
          <w:p>
            <w:pPr>
              <w:jc w:val="center"/>
              <w:rPr>
                <w:rFonts w:hint="eastAsia" w:ascii="宋体" w:hAnsi="宋体" w:cs="宋体"/>
                <w:color w:val="000000"/>
                <w:szCs w:val="21"/>
              </w:rPr>
            </w:pPr>
          </w:p>
        </w:tc>
        <w:tc>
          <w:tcPr>
            <w:tcW w:w="1487" w:type="dxa"/>
            <w:noWrap w:val="0"/>
            <w:vAlign w:val="center"/>
          </w:tcPr>
          <w:p>
            <w:pPr>
              <w:jc w:val="center"/>
              <w:rPr>
                <w:rFonts w:hint="eastAsia" w:ascii="宋体" w:hAnsi="宋体" w:cs="宋体"/>
                <w:color w:val="000000"/>
                <w:szCs w:val="21"/>
              </w:rPr>
            </w:pPr>
          </w:p>
        </w:tc>
        <w:tc>
          <w:tcPr>
            <w:tcW w:w="992" w:type="dxa"/>
            <w:noWrap w:val="0"/>
            <w:vAlign w:val="center"/>
          </w:tcPr>
          <w:p>
            <w:pPr>
              <w:jc w:val="cente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851" w:type="dxa"/>
            <w:noWrap w:val="0"/>
            <w:vAlign w:val="center"/>
          </w:tcPr>
          <w:p>
            <w:pPr>
              <w:jc w:val="center"/>
              <w:rPr>
                <w:rFonts w:hint="eastAsia" w:ascii="宋体" w:hAnsi="宋体" w:cs="宋体"/>
                <w:color w:val="000000"/>
                <w:szCs w:val="21"/>
              </w:rPr>
            </w:pPr>
          </w:p>
        </w:tc>
        <w:tc>
          <w:tcPr>
            <w:tcW w:w="1276" w:type="dxa"/>
            <w:noWrap w:val="0"/>
            <w:vAlign w:val="center"/>
          </w:tcPr>
          <w:p>
            <w:pPr>
              <w:jc w:val="center"/>
              <w:rPr>
                <w:rFonts w:hint="eastAsia" w:ascii="宋体" w:hAnsi="宋体" w:cs="宋体"/>
                <w:color w:val="000000"/>
                <w:szCs w:val="21"/>
              </w:rPr>
            </w:pPr>
          </w:p>
        </w:tc>
        <w:tc>
          <w:tcPr>
            <w:tcW w:w="1418" w:type="dxa"/>
            <w:noWrap w:val="0"/>
            <w:vAlign w:val="center"/>
          </w:tcPr>
          <w:p>
            <w:pPr>
              <w:jc w:val="center"/>
              <w:rPr>
                <w:rFonts w:hint="eastAsia" w:ascii="宋体" w:hAnsi="宋体" w:cs="宋体"/>
                <w:color w:val="000000"/>
                <w:szCs w:val="21"/>
              </w:rPr>
            </w:pPr>
          </w:p>
        </w:tc>
        <w:tc>
          <w:tcPr>
            <w:tcW w:w="940" w:type="dxa"/>
            <w:noWrap w:val="0"/>
            <w:vAlign w:val="center"/>
          </w:tcPr>
          <w:p>
            <w:pPr>
              <w:jc w:val="center"/>
              <w:rPr>
                <w:rFonts w:hint="eastAsia" w:ascii="宋体" w:hAnsi="宋体" w:cs="宋体"/>
                <w:color w:val="000000"/>
                <w:szCs w:val="21"/>
              </w:rPr>
            </w:pPr>
          </w:p>
        </w:tc>
        <w:tc>
          <w:tcPr>
            <w:tcW w:w="851" w:type="dxa"/>
            <w:noWrap w:val="0"/>
            <w:vAlign w:val="center"/>
          </w:tcPr>
          <w:p>
            <w:pPr>
              <w:jc w:val="center"/>
              <w:rPr>
                <w:rFonts w:hint="eastAsia" w:ascii="宋体" w:hAnsi="宋体" w:cs="宋体"/>
                <w:color w:val="000000"/>
                <w:szCs w:val="21"/>
              </w:rPr>
            </w:pPr>
          </w:p>
        </w:tc>
        <w:tc>
          <w:tcPr>
            <w:tcW w:w="1044" w:type="dxa"/>
            <w:noWrap w:val="0"/>
            <w:vAlign w:val="center"/>
          </w:tcPr>
          <w:p>
            <w:pPr>
              <w:jc w:val="center"/>
              <w:rPr>
                <w:rFonts w:hint="eastAsia" w:ascii="宋体" w:hAnsi="宋体" w:cs="宋体"/>
                <w:color w:val="000000"/>
                <w:szCs w:val="21"/>
              </w:rPr>
            </w:pPr>
          </w:p>
        </w:tc>
        <w:tc>
          <w:tcPr>
            <w:tcW w:w="992" w:type="dxa"/>
            <w:noWrap w:val="0"/>
            <w:vAlign w:val="center"/>
          </w:tcPr>
          <w:p>
            <w:pPr>
              <w:jc w:val="center"/>
              <w:rPr>
                <w:rFonts w:hint="eastAsia" w:ascii="宋体" w:hAnsi="宋体" w:cs="宋体"/>
                <w:color w:val="000000"/>
                <w:szCs w:val="21"/>
              </w:rPr>
            </w:pPr>
          </w:p>
        </w:tc>
        <w:tc>
          <w:tcPr>
            <w:tcW w:w="851" w:type="dxa"/>
            <w:noWrap w:val="0"/>
            <w:vAlign w:val="center"/>
          </w:tcPr>
          <w:p>
            <w:pPr>
              <w:jc w:val="center"/>
              <w:rPr>
                <w:rFonts w:hint="eastAsia" w:ascii="宋体" w:hAnsi="宋体" w:cs="宋体"/>
                <w:color w:val="000000"/>
                <w:szCs w:val="21"/>
              </w:rPr>
            </w:pPr>
          </w:p>
        </w:tc>
        <w:tc>
          <w:tcPr>
            <w:tcW w:w="1487" w:type="dxa"/>
            <w:noWrap w:val="0"/>
            <w:vAlign w:val="center"/>
          </w:tcPr>
          <w:p>
            <w:pPr>
              <w:jc w:val="center"/>
              <w:rPr>
                <w:rFonts w:hint="eastAsia" w:ascii="宋体" w:hAnsi="宋体" w:cs="宋体"/>
                <w:color w:val="000000"/>
                <w:szCs w:val="21"/>
              </w:rPr>
            </w:pPr>
          </w:p>
        </w:tc>
        <w:tc>
          <w:tcPr>
            <w:tcW w:w="992" w:type="dxa"/>
            <w:noWrap w:val="0"/>
            <w:vAlign w:val="center"/>
          </w:tcPr>
          <w:p>
            <w:pPr>
              <w:jc w:val="cente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851" w:type="dxa"/>
            <w:noWrap w:val="0"/>
            <w:vAlign w:val="center"/>
          </w:tcPr>
          <w:p>
            <w:pPr>
              <w:jc w:val="center"/>
              <w:rPr>
                <w:rFonts w:hint="eastAsia" w:ascii="宋体" w:hAnsi="宋体" w:cs="宋体"/>
                <w:color w:val="000000"/>
                <w:szCs w:val="21"/>
              </w:rPr>
            </w:pPr>
          </w:p>
        </w:tc>
        <w:tc>
          <w:tcPr>
            <w:tcW w:w="1276" w:type="dxa"/>
            <w:noWrap w:val="0"/>
            <w:vAlign w:val="center"/>
          </w:tcPr>
          <w:p>
            <w:pPr>
              <w:jc w:val="center"/>
              <w:rPr>
                <w:rFonts w:hint="eastAsia" w:ascii="宋体" w:hAnsi="宋体" w:cs="宋体"/>
                <w:color w:val="000000"/>
                <w:szCs w:val="21"/>
              </w:rPr>
            </w:pPr>
          </w:p>
        </w:tc>
        <w:tc>
          <w:tcPr>
            <w:tcW w:w="1418" w:type="dxa"/>
            <w:noWrap w:val="0"/>
            <w:vAlign w:val="center"/>
          </w:tcPr>
          <w:p>
            <w:pPr>
              <w:jc w:val="center"/>
              <w:rPr>
                <w:rFonts w:hint="eastAsia" w:ascii="宋体" w:hAnsi="宋体" w:cs="宋体"/>
                <w:color w:val="000000"/>
                <w:szCs w:val="21"/>
              </w:rPr>
            </w:pPr>
          </w:p>
        </w:tc>
        <w:tc>
          <w:tcPr>
            <w:tcW w:w="940" w:type="dxa"/>
            <w:noWrap w:val="0"/>
            <w:vAlign w:val="center"/>
          </w:tcPr>
          <w:p>
            <w:pPr>
              <w:jc w:val="center"/>
              <w:rPr>
                <w:rFonts w:hint="eastAsia" w:ascii="宋体" w:hAnsi="宋体" w:cs="宋体"/>
                <w:color w:val="000000"/>
                <w:szCs w:val="21"/>
              </w:rPr>
            </w:pPr>
          </w:p>
        </w:tc>
        <w:tc>
          <w:tcPr>
            <w:tcW w:w="851" w:type="dxa"/>
            <w:noWrap w:val="0"/>
            <w:vAlign w:val="center"/>
          </w:tcPr>
          <w:p>
            <w:pPr>
              <w:jc w:val="center"/>
              <w:rPr>
                <w:rFonts w:hint="eastAsia" w:ascii="宋体" w:hAnsi="宋体" w:cs="宋体"/>
                <w:color w:val="000000"/>
                <w:szCs w:val="21"/>
              </w:rPr>
            </w:pPr>
          </w:p>
        </w:tc>
        <w:tc>
          <w:tcPr>
            <w:tcW w:w="1044" w:type="dxa"/>
            <w:noWrap w:val="0"/>
            <w:vAlign w:val="center"/>
          </w:tcPr>
          <w:p>
            <w:pPr>
              <w:jc w:val="center"/>
              <w:rPr>
                <w:rFonts w:hint="eastAsia" w:ascii="宋体" w:hAnsi="宋体" w:cs="宋体"/>
                <w:color w:val="000000"/>
                <w:szCs w:val="21"/>
              </w:rPr>
            </w:pPr>
          </w:p>
        </w:tc>
        <w:tc>
          <w:tcPr>
            <w:tcW w:w="992" w:type="dxa"/>
            <w:noWrap w:val="0"/>
            <w:vAlign w:val="center"/>
          </w:tcPr>
          <w:p>
            <w:pPr>
              <w:jc w:val="center"/>
              <w:rPr>
                <w:rFonts w:hint="eastAsia" w:ascii="宋体" w:hAnsi="宋体" w:cs="宋体"/>
                <w:color w:val="000000"/>
                <w:szCs w:val="21"/>
              </w:rPr>
            </w:pPr>
          </w:p>
        </w:tc>
        <w:tc>
          <w:tcPr>
            <w:tcW w:w="851" w:type="dxa"/>
            <w:noWrap w:val="0"/>
            <w:vAlign w:val="center"/>
          </w:tcPr>
          <w:p>
            <w:pPr>
              <w:jc w:val="center"/>
              <w:rPr>
                <w:rFonts w:hint="eastAsia" w:ascii="宋体" w:hAnsi="宋体" w:cs="宋体"/>
                <w:color w:val="000000"/>
                <w:szCs w:val="21"/>
              </w:rPr>
            </w:pPr>
          </w:p>
        </w:tc>
        <w:tc>
          <w:tcPr>
            <w:tcW w:w="1487" w:type="dxa"/>
            <w:noWrap w:val="0"/>
            <w:vAlign w:val="center"/>
          </w:tcPr>
          <w:p>
            <w:pPr>
              <w:jc w:val="center"/>
              <w:rPr>
                <w:rFonts w:hint="eastAsia" w:ascii="宋体" w:hAnsi="宋体" w:cs="宋体"/>
                <w:color w:val="000000"/>
                <w:szCs w:val="21"/>
              </w:rPr>
            </w:pPr>
          </w:p>
        </w:tc>
        <w:tc>
          <w:tcPr>
            <w:tcW w:w="992" w:type="dxa"/>
            <w:noWrap w:val="0"/>
            <w:vAlign w:val="center"/>
          </w:tcPr>
          <w:p>
            <w:pPr>
              <w:jc w:val="center"/>
              <w:rPr>
                <w:rFonts w:hint="eastAsia" w:ascii="宋体" w:hAnsi="宋体" w:cs="宋体"/>
                <w:color w:val="000000"/>
                <w:szCs w:val="21"/>
              </w:rPr>
            </w:pPr>
          </w:p>
        </w:tc>
      </w:tr>
    </w:tbl>
    <w:p>
      <w:pPr>
        <w:spacing w:line="440" w:lineRule="exact"/>
        <w:rPr>
          <w:rFonts w:hint="eastAsia" w:ascii="宋体" w:hAnsi="宋体" w:cs="宋体"/>
          <w:color w:val="000000"/>
          <w:szCs w:val="21"/>
        </w:rPr>
      </w:pPr>
    </w:p>
    <w:p>
      <w:pPr>
        <w:spacing w:line="440" w:lineRule="exact"/>
        <w:rPr>
          <w:rFonts w:hint="eastAsia" w:ascii="宋体" w:hAnsi="宋体" w:cs="宋体"/>
          <w:color w:val="000000"/>
          <w:szCs w:val="21"/>
        </w:rPr>
      </w:pPr>
    </w:p>
    <w:p>
      <w:pPr>
        <w:spacing w:line="440" w:lineRule="exact"/>
        <w:rPr>
          <w:rFonts w:hint="eastAsia" w:ascii="宋体" w:hAnsi="宋体" w:cs="宋体"/>
          <w:color w:val="000000"/>
          <w:szCs w:val="21"/>
        </w:rPr>
      </w:pPr>
    </w:p>
    <w:p>
      <w:pPr>
        <w:spacing w:line="440" w:lineRule="exact"/>
        <w:rPr>
          <w:rFonts w:hint="eastAsia" w:ascii="宋体" w:hAnsi="宋体" w:cs="宋体"/>
          <w:color w:val="000000"/>
          <w:szCs w:val="21"/>
        </w:rPr>
      </w:pPr>
      <w:r>
        <w:rPr>
          <w:rFonts w:hint="eastAsia" w:ascii="宋体" w:hAnsi="宋体" w:cs="宋体"/>
          <w:color w:val="000000"/>
          <w:szCs w:val="21"/>
        </w:rPr>
        <w:t>附</w:t>
      </w:r>
      <w:bookmarkStart w:id="2973" w:name="_Toc296891054"/>
      <w:bookmarkStart w:id="2974" w:name="_Toc267261693"/>
      <w:bookmarkStart w:id="2975" w:name="_Toc296891266"/>
      <w:bookmarkStart w:id="2976" w:name="_Toc296347225"/>
      <w:bookmarkStart w:id="2977" w:name="_Toc296346727"/>
      <w:bookmarkStart w:id="2978" w:name="_Toc296503226"/>
      <w:bookmarkStart w:id="2979" w:name="_Toc296944565"/>
      <w:r>
        <w:rPr>
          <w:rFonts w:hint="eastAsia" w:ascii="宋体" w:hAnsi="宋体" w:cs="宋体"/>
          <w:color w:val="000000"/>
          <w:szCs w:val="21"/>
        </w:rPr>
        <w:t>件3：</w:t>
      </w:r>
      <w:bookmarkEnd w:id="2973"/>
      <w:bookmarkEnd w:id="2974"/>
      <w:bookmarkEnd w:id="2975"/>
      <w:bookmarkEnd w:id="2976"/>
      <w:bookmarkEnd w:id="2977"/>
      <w:bookmarkEnd w:id="2978"/>
      <w:bookmarkEnd w:id="2979"/>
      <w:r>
        <w:rPr>
          <w:rFonts w:hint="eastAsia" w:ascii="宋体" w:hAnsi="宋体" w:cs="宋体"/>
          <w:color w:val="000000"/>
          <w:szCs w:val="21"/>
        </w:rPr>
        <w:t xml:space="preserve">    </w:t>
      </w:r>
    </w:p>
    <w:p>
      <w:pPr>
        <w:spacing w:before="156" w:beforeLines="50" w:after="156" w:afterLines="50" w:line="440" w:lineRule="exact"/>
        <w:jc w:val="center"/>
        <w:rPr>
          <w:rFonts w:hint="eastAsia" w:ascii="宋体" w:hAnsi="宋体" w:cs="宋体"/>
          <w:color w:val="000000"/>
          <w:szCs w:val="21"/>
        </w:rPr>
      </w:pPr>
      <w:r>
        <w:rPr>
          <w:rFonts w:hint="eastAsia" w:ascii="宋体" w:hAnsi="宋体" w:cs="宋体"/>
          <w:color w:val="000000"/>
          <w:szCs w:val="21"/>
        </w:rPr>
        <w:t>工程质量保修书</w:t>
      </w:r>
      <w:r>
        <w:rPr>
          <w:rFonts w:hint="eastAsia" w:cs="Arial Unicode MS"/>
          <w:lang w:val="zh-CN"/>
        </w:rPr>
        <w:t>（项目公司参考执行）</w:t>
      </w:r>
    </w:p>
    <w:p>
      <w:pPr>
        <w:spacing w:line="440" w:lineRule="exact"/>
        <w:ind w:firstLine="480" w:firstLineChars="200"/>
        <w:rPr>
          <w:rFonts w:hint="eastAsia" w:ascii="宋体" w:hAnsi="宋体" w:cs="宋体"/>
          <w:color w:val="000000"/>
          <w:szCs w:val="21"/>
        </w:rPr>
      </w:pPr>
      <w:r>
        <w:rPr>
          <w:rFonts w:hint="eastAsia" w:ascii="宋体" w:hAnsi="宋体" w:cs="宋体"/>
          <w:color w:val="000000"/>
          <w:szCs w:val="21"/>
        </w:rPr>
        <w:t>发包人（全称）：</w:t>
      </w:r>
      <w:r>
        <w:rPr>
          <w:rFonts w:hint="eastAsia" w:ascii="宋体" w:hAnsi="宋体" w:cs="宋体"/>
          <w:color w:val="000000"/>
          <w:szCs w:val="21"/>
          <w:u w:val="single"/>
        </w:rPr>
        <w:t xml:space="preserve">                      </w:t>
      </w:r>
      <w:r>
        <w:rPr>
          <w:rFonts w:hint="eastAsia" w:ascii="宋体" w:hAnsi="宋体" w:cs="宋体"/>
          <w:color w:val="000000"/>
          <w:szCs w:val="21"/>
        </w:rPr>
        <w:t xml:space="preserve"> </w:t>
      </w:r>
    </w:p>
    <w:p>
      <w:pPr>
        <w:spacing w:line="440" w:lineRule="exact"/>
        <w:rPr>
          <w:rFonts w:hint="eastAsia" w:ascii="宋体" w:hAnsi="宋体" w:cs="宋体"/>
          <w:color w:val="000000"/>
          <w:szCs w:val="21"/>
        </w:rPr>
      </w:pPr>
      <w:r>
        <w:rPr>
          <w:rFonts w:hint="eastAsia" w:ascii="宋体" w:hAnsi="宋体" w:cs="宋体"/>
          <w:color w:val="000000"/>
          <w:szCs w:val="21"/>
        </w:rPr>
        <w:t>　　承包人（全称）：</w:t>
      </w:r>
      <w:r>
        <w:rPr>
          <w:rFonts w:hint="eastAsia" w:ascii="宋体" w:hAnsi="宋体" w:cs="宋体"/>
          <w:color w:val="000000"/>
          <w:szCs w:val="21"/>
          <w:u w:val="single"/>
        </w:rPr>
        <w:t xml:space="preserve">                        </w:t>
      </w:r>
      <w:r>
        <w:rPr>
          <w:rFonts w:hint="eastAsia" w:ascii="宋体" w:hAnsi="宋体" w:cs="宋体"/>
          <w:color w:val="000000"/>
          <w:szCs w:val="21"/>
        </w:rPr>
        <w:t xml:space="preserve"> </w:t>
      </w:r>
    </w:p>
    <w:p>
      <w:pPr>
        <w:spacing w:line="440" w:lineRule="exact"/>
        <w:rPr>
          <w:rFonts w:hint="eastAsia" w:ascii="宋体" w:hAnsi="宋体" w:cs="宋体"/>
          <w:color w:val="000000"/>
          <w:szCs w:val="21"/>
        </w:rPr>
      </w:pPr>
    </w:p>
    <w:p>
      <w:pPr>
        <w:spacing w:line="360" w:lineRule="auto"/>
        <w:rPr>
          <w:rFonts w:hint="eastAsia" w:ascii="宋体" w:hAnsi="宋体" w:cs="宋体"/>
          <w:color w:val="000000"/>
          <w:szCs w:val="21"/>
        </w:rPr>
      </w:pPr>
      <w:r>
        <w:rPr>
          <w:rFonts w:hint="eastAsia" w:ascii="宋体" w:hAnsi="宋体" w:cs="宋体"/>
          <w:color w:val="000000"/>
          <w:szCs w:val="21"/>
        </w:rPr>
        <w:t>　　发包人和承包人根据《中华人民共和国建筑法》和《建设工程质量管理条例》，经协商一致就</w:t>
      </w:r>
      <w:r>
        <w:rPr>
          <w:rFonts w:hint="eastAsia" w:ascii="宋体" w:hAnsi="宋体" w:cs="宋体"/>
          <w:color w:val="000000"/>
          <w:szCs w:val="21"/>
          <w:u w:val="single"/>
        </w:rPr>
        <w:t xml:space="preserve">                </w:t>
      </w:r>
      <w:r>
        <w:rPr>
          <w:rFonts w:hint="eastAsia" w:ascii="宋体" w:hAnsi="宋体" w:cs="宋体"/>
          <w:color w:val="000000"/>
          <w:szCs w:val="21"/>
        </w:rPr>
        <w:t>（工程全称）签订工程质量保修书。</w:t>
      </w:r>
    </w:p>
    <w:p>
      <w:pPr>
        <w:spacing w:line="360" w:lineRule="auto"/>
        <w:outlineLvl w:val="0"/>
        <w:rPr>
          <w:rFonts w:hint="eastAsia" w:ascii="宋体" w:hAnsi="宋体" w:cs="宋体"/>
          <w:color w:val="000000"/>
          <w:szCs w:val="21"/>
        </w:rPr>
      </w:pPr>
      <w:r>
        <w:rPr>
          <w:rFonts w:hint="eastAsia" w:ascii="宋体" w:hAnsi="宋体" w:cs="宋体"/>
          <w:color w:val="000000"/>
          <w:szCs w:val="21"/>
        </w:rPr>
        <w:t>　　一、工程质量保修范围和内容</w:t>
      </w:r>
    </w:p>
    <w:p>
      <w:pPr>
        <w:spacing w:line="360" w:lineRule="auto"/>
        <w:rPr>
          <w:rFonts w:hint="eastAsia" w:ascii="宋体" w:hAnsi="宋体" w:cs="宋体"/>
          <w:color w:val="000000"/>
          <w:szCs w:val="21"/>
        </w:rPr>
      </w:pPr>
      <w:r>
        <w:rPr>
          <w:rFonts w:hint="eastAsia" w:ascii="宋体" w:hAnsi="宋体" w:cs="宋体"/>
          <w:color w:val="000000"/>
          <w:szCs w:val="21"/>
        </w:rPr>
        <w:t>　　承包人在质量保修期内，按照有关法律规定和合同约定，承担工程质量保修责任。</w:t>
      </w:r>
    </w:p>
    <w:p>
      <w:pPr>
        <w:spacing w:line="360" w:lineRule="auto"/>
        <w:rPr>
          <w:rFonts w:hint="eastAsia" w:ascii="宋体" w:hAnsi="宋体" w:cs="宋体"/>
          <w:color w:val="000000"/>
          <w:szCs w:val="21"/>
        </w:rPr>
      </w:pPr>
      <w:r>
        <w:rPr>
          <w:rFonts w:hint="eastAsia" w:ascii="宋体" w:hAnsi="宋体" w:cs="宋体"/>
          <w:color w:val="000000"/>
          <w:szCs w:val="21"/>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360" w:lineRule="auto"/>
        <w:rPr>
          <w:rFonts w:hint="eastAsia" w:ascii="宋体" w:hAnsi="宋体" w:cs="宋体"/>
          <w:color w:val="000000"/>
          <w:szCs w:val="21"/>
        </w:rPr>
      </w:pPr>
      <w:r>
        <w:rPr>
          <w:rFonts w:hint="eastAsia" w:ascii="宋体" w:hAnsi="宋体" w:cs="宋体"/>
          <w:color w:val="000000"/>
          <w:szCs w:val="21"/>
        </w:rPr>
        <w:t>　　</w:t>
      </w:r>
      <w:r>
        <w:rPr>
          <w:rFonts w:hint="eastAsia" w:ascii="宋体" w:hAnsi="宋体" w:cs="宋体"/>
          <w:color w:val="000000"/>
          <w:szCs w:val="21"/>
          <w:u w:val="single"/>
        </w:rPr>
        <w:t xml:space="preserve">  </w:t>
      </w:r>
      <w:r>
        <w:rPr>
          <w:rFonts w:hint="eastAsia" w:ascii="宋体" w:hAnsi="宋体" w:cs="宋体"/>
          <w:b/>
          <w:bCs/>
          <w:color w:val="000000"/>
          <w:kern w:val="0"/>
          <w:szCs w:val="21"/>
          <w:u w:val="single"/>
        </w:rPr>
        <w:t>施工图设计及变更范围内全部内容</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outlineLvl w:val="0"/>
        <w:rPr>
          <w:rFonts w:hint="eastAsia" w:ascii="宋体" w:hAnsi="宋体" w:cs="宋体"/>
          <w:color w:val="000000"/>
          <w:szCs w:val="21"/>
        </w:rPr>
      </w:pPr>
      <w:r>
        <w:rPr>
          <w:rFonts w:hint="eastAsia" w:ascii="宋体" w:hAnsi="宋体" w:cs="宋体"/>
          <w:b/>
          <w:color w:val="000000"/>
          <w:szCs w:val="21"/>
        </w:rPr>
        <w:t>　　</w:t>
      </w:r>
      <w:r>
        <w:rPr>
          <w:rFonts w:hint="eastAsia" w:ascii="宋体" w:hAnsi="宋体" w:cs="宋体"/>
          <w:color w:val="000000"/>
          <w:szCs w:val="21"/>
        </w:rPr>
        <w:t>二、质量保修期</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根据《建设工程质量管理条例》及有关规定，工程的质量保修期如下：</w:t>
      </w:r>
    </w:p>
    <w:p>
      <w:pPr>
        <w:ind w:firstLine="480" w:firstLineChars="200"/>
        <w:rPr>
          <w:rFonts w:hint="eastAsia" w:ascii="宋体" w:hAnsi="宋体" w:cs="宋体"/>
          <w:szCs w:val="21"/>
        </w:rPr>
      </w:pPr>
      <w:r>
        <w:rPr>
          <w:rFonts w:hint="eastAsia" w:ascii="宋体" w:hAnsi="宋体" w:cs="宋体"/>
          <w:szCs w:val="21"/>
        </w:rPr>
        <w:t>1</w:t>
      </w:r>
      <w:r>
        <w:rPr>
          <w:rFonts w:hint="eastAsia" w:ascii="宋体" w:hAnsi="宋体" w:cs="宋体"/>
          <w:color w:val="000000"/>
          <w:szCs w:val="21"/>
        </w:rPr>
        <w:t>．</w:t>
      </w:r>
      <w:r>
        <w:rPr>
          <w:rFonts w:hint="eastAsia" w:ascii="宋体" w:hAnsi="宋体" w:cs="宋体"/>
          <w:szCs w:val="21"/>
        </w:rPr>
        <w:t>地基基础工程和主体结构工程为设计文件规定的工程合理使用年限；</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2</w:t>
      </w:r>
      <w:r>
        <w:rPr>
          <w:rFonts w:hint="eastAsia" w:ascii="宋体" w:hAnsi="宋体" w:cs="宋体"/>
          <w:szCs w:val="21"/>
        </w:rPr>
        <w:t>．</w:t>
      </w:r>
      <w:r>
        <w:rPr>
          <w:rFonts w:hint="eastAsia" w:ascii="宋体" w:hAnsi="宋体" w:cs="宋体"/>
          <w:color w:val="000000"/>
          <w:szCs w:val="21"/>
        </w:rPr>
        <w:t>屋面防水工程、有防水要求的卫生间、房间和外墙面的防渗为</w:t>
      </w:r>
      <w:r>
        <w:rPr>
          <w:rFonts w:hint="eastAsia" w:ascii="宋体" w:hAnsi="宋体" w:cs="宋体"/>
          <w:color w:val="000000"/>
          <w:szCs w:val="21"/>
          <w:u w:val="single"/>
        </w:rPr>
        <w:t xml:space="preserve">   5   </w:t>
      </w:r>
      <w:r>
        <w:rPr>
          <w:rFonts w:hint="eastAsia" w:ascii="宋体" w:hAnsi="宋体" w:cs="宋体"/>
          <w:color w:val="000000"/>
          <w:szCs w:val="21"/>
        </w:rPr>
        <w:t>年；</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3</w:t>
      </w:r>
      <w:r>
        <w:rPr>
          <w:rFonts w:hint="eastAsia" w:ascii="宋体" w:hAnsi="宋体" w:cs="宋体"/>
          <w:szCs w:val="21"/>
        </w:rPr>
        <w:t>．</w:t>
      </w:r>
      <w:r>
        <w:rPr>
          <w:rFonts w:hint="eastAsia" w:ascii="宋体" w:hAnsi="宋体" w:cs="宋体"/>
          <w:color w:val="000000"/>
          <w:szCs w:val="21"/>
        </w:rPr>
        <w:t>装修工程为</w:t>
      </w:r>
      <w:r>
        <w:rPr>
          <w:rFonts w:hint="eastAsia" w:ascii="宋体" w:hAnsi="宋体" w:cs="宋体"/>
          <w:color w:val="000000"/>
          <w:szCs w:val="21"/>
          <w:u w:val="single"/>
        </w:rPr>
        <w:t xml:space="preserve">   2   </w:t>
      </w:r>
      <w:r>
        <w:rPr>
          <w:rFonts w:hint="eastAsia" w:ascii="宋体" w:hAnsi="宋体" w:cs="宋体"/>
          <w:color w:val="000000"/>
          <w:szCs w:val="21"/>
        </w:rPr>
        <w:t>年；</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4</w:t>
      </w:r>
      <w:r>
        <w:rPr>
          <w:rFonts w:hint="eastAsia" w:ascii="宋体" w:hAnsi="宋体" w:cs="宋体"/>
          <w:szCs w:val="21"/>
        </w:rPr>
        <w:t>．</w:t>
      </w:r>
      <w:r>
        <w:rPr>
          <w:rFonts w:hint="eastAsia" w:ascii="宋体" w:hAnsi="宋体" w:cs="宋体"/>
          <w:color w:val="000000"/>
          <w:szCs w:val="21"/>
        </w:rPr>
        <w:t>电气管线、给排水管道、设备安装工程为</w:t>
      </w:r>
      <w:r>
        <w:rPr>
          <w:rFonts w:hint="eastAsia" w:ascii="宋体" w:hAnsi="宋体" w:cs="宋体"/>
          <w:color w:val="000000"/>
          <w:szCs w:val="21"/>
          <w:u w:val="single"/>
        </w:rPr>
        <w:t xml:space="preserve">    2    </w:t>
      </w:r>
      <w:r>
        <w:rPr>
          <w:rFonts w:hint="eastAsia" w:ascii="宋体" w:hAnsi="宋体" w:cs="宋体"/>
          <w:color w:val="000000"/>
          <w:szCs w:val="21"/>
        </w:rPr>
        <w:t>年；</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5</w:t>
      </w:r>
      <w:r>
        <w:rPr>
          <w:rFonts w:hint="eastAsia" w:ascii="宋体" w:hAnsi="宋体" w:cs="宋体"/>
          <w:szCs w:val="21"/>
        </w:rPr>
        <w:t>．</w:t>
      </w:r>
      <w:r>
        <w:rPr>
          <w:rFonts w:hint="eastAsia" w:ascii="宋体" w:hAnsi="宋体" w:cs="宋体"/>
          <w:color w:val="000000"/>
          <w:szCs w:val="21"/>
        </w:rPr>
        <w:t>供热与供冷系统为</w:t>
      </w:r>
      <w:r>
        <w:rPr>
          <w:rFonts w:hint="eastAsia" w:ascii="宋体" w:hAnsi="宋体" w:cs="宋体"/>
          <w:color w:val="000000"/>
          <w:szCs w:val="21"/>
          <w:u w:val="single"/>
        </w:rPr>
        <w:t xml:space="preserve">    2    </w:t>
      </w:r>
      <w:r>
        <w:rPr>
          <w:rFonts w:hint="eastAsia" w:ascii="宋体" w:hAnsi="宋体" w:cs="宋体"/>
          <w:color w:val="000000"/>
          <w:szCs w:val="21"/>
        </w:rPr>
        <w:t>个采暖期、供冷期；</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6</w:t>
      </w:r>
      <w:r>
        <w:rPr>
          <w:rFonts w:hint="eastAsia" w:ascii="宋体" w:hAnsi="宋体" w:cs="宋体"/>
          <w:szCs w:val="21"/>
        </w:rPr>
        <w:t>．</w:t>
      </w:r>
      <w:r>
        <w:rPr>
          <w:rFonts w:hint="eastAsia" w:ascii="宋体" w:hAnsi="宋体" w:cs="宋体"/>
          <w:color w:val="000000"/>
          <w:szCs w:val="21"/>
        </w:rPr>
        <w:t>住宅小区内的给排水设施、道路等配套工程为</w:t>
      </w:r>
      <w:r>
        <w:rPr>
          <w:rFonts w:hint="eastAsia" w:ascii="宋体" w:hAnsi="宋体" w:cs="宋体"/>
          <w:color w:val="000000"/>
          <w:szCs w:val="21"/>
          <w:u w:val="single"/>
        </w:rPr>
        <w:t xml:space="preserve">    2    </w:t>
      </w:r>
      <w:r>
        <w:rPr>
          <w:rFonts w:hint="eastAsia" w:ascii="宋体" w:hAnsi="宋体" w:cs="宋体"/>
          <w:color w:val="000000"/>
          <w:szCs w:val="21"/>
        </w:rPr>
        <w:t>年；</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7</w:t>
      </w:r>
      <w:r>
        <w:rPr>
          <w:rFonts w:hint="eastAsia" w:ascii="宋体" w:hAnsi="宋体" w:cs="宋体"/>
          <w:szCs w:val="21"/>
        </w:rPr>
        <w:t>．</w:t>
      </w:r>
      <w:r>
        <w:rPr>
          <w:rFonts w:hint="eastAsia" w:ascii="宋体" w:hAnsi="宋体" w:cs="宋体"/>
          <w:color w:val="000000"/>
          <w:szCs w:val="21"/>
        </w:rPr>
        <w:t>其他项目保修期限约定如下：</w:t>
      </w:r>
    </w:p>
    <w:p>
      <w:pPr>
        <w:spacing w:line="360" w:lineRule="auto"/>
        <w:ind w:firstLine="482" w:firstLineChars="200"/>
        <w:jc w:val="left"/>
        <w:rPr>
          <w:rFonts w:hint="eastAsia" w:ascii="宋体" w:hAnsi="宋体" w:cs="宋体"/>
          <w:b/>
          <w:kern w:val="0"/>
          <w:szCs w:val="21"/>
          <w:u w:val="single"/>
        </w:rPr>
      </w:pPr>
      <w:r>
        <w:rPr>
          <w:rFonts w:hint="eastAsia" w:ascii="宋体" w:hAnsi="宋体" w:cs="宋体"/>
          <w:b/>
          <w:kern w:val="0"/>
          <w:szCs w:val="21"/>
          <w:u w:val="single"/>
        </w:rPr>
        <w:t>基础设施工程、</w:t>
      </w:r>
      <w:r>
        <w:rPr>
          <w:rFonts w:hint="eastAsia" w:ascii="宋体" w:hAnsi="宋体" w:cs="宋体"/>
          <w:b/>
          <w:kern w:val="0"/>
          <w:szCs w:val="21"/>
          <w:u w:val="single"/>
        </w:rPr>
        <w:fldChar w:fldCharType="begin"/>
      </w:r>
      <w:r>
        <w:rPr>
          <w:rFonts w:hint="eastAsia" w:ascii="宋体" w:hAnsi="宋体" w:cs="宋体"/>
          <w:b/>
          <w:kern w:val="0"/>
          <w:szCs w:val="21"/>
          <w:u w:val="single"/>
        </w:rPr>
        <w:instrText xml:space="preserve"> HYPERLINK "http://baike.baidu.com/view/2267867.htm" \t "_blank" </w:instrText>
      </w:r>
      <w:r>
        <w:rPr>
          <w:rFonts w:hint="eastAsia" w:ascii="宋体" w:hAnsi="宋体" w:cs="宋体"/>
          <w:b/>
          <w:kern w:val="0"/>
          <w:szCs w:val="21"/>
          <w:u w:val="single"/>
        </w:rPr>
        <w:fldChar w:fldCharType="separate"/>
      </w:r>
      <w:r>
        <w:rPr>
          <w:rFonts w:hint="eastAsia" w:ascii="宋体" w:hAnsi="宋体" w:cs="宋体"/>
          <w:b/>
          <w:kern w:val="0"/>
          <w:szCs w:val="21"/>
          <w:u w:val="single"/>
        </w:rPr>
        <w:t>地基基础工程</w:t>
      </w:r>
      <w:r>
        <w:rPr>
          <w:rFonts w:hint="eastAsia" w:ascii="宋体" w:hAnsi="宋体" w:cs="宋体"/>
          <w:b/>
          <w:kern w:val="0"/>
          <w:szCs w:val="21"/>
          <w:u w:val="single"/>
        </w:rPr>
        <w:fldChar w:fldCharType="end"/>
      </w:r>
      <w:r>
        <w:rPr>
          <w:rFonts w:hint="eastAsia" w:ascii="宋体" w:hAnsi="宋体" w:cs="宋体"/>
          <w:b/>
          <w:kern w:val="0"/>
          <w:szCs w:val="21"/>
          <w:u w:val="single"/>
        </w:rPr>
        <w:t>和道路、路灯、管道、桥梁、隧道</w:t>
      </w:r>
      <w:r>
        <w:rPr>
          <w:rFonts w:hint="eastAsia" w:ascii="宋体" w:hAnsi="宋体" w:cs="宋体"/>
          <w:b/>
          <w:kern w:val="0"/>
          <w:szCs w:val="21"/>
          <w:u w:val="single"/>
        </w:rPr>
        <w:fldChar w:fldCharType="begin"/>
      </w:r>
      <w:r>
        <w:rPr>
          <w:rFonts w:hint="eastAsia" w:ascii="宋体" w:hAnsi="宋体" w:cs="宋体"/>
          <w:b/>
          <w:kern w:val="0"/>
          <w:szCs w:val="21"/>
          <w:u w:val="single"/>
        </w:rPr>
        <w:instrText xml:space="preserve"> HYPERLINK "http://baike.baidu.com/view/3930570.htm" \t "_blank" </w:instrText>
      </w:r>
      <w:r>
        <w:rPr>
          <w:rFonts w:hint="eastAsia" w:ascii="宋体" w:hAnsi="宋体" w:cs="宋体"/>
          <w:b/>
          <w:kern w:val="0"/>
          <w:szCs w:val="21"/>
          <w:u w:val="single"/>
        </w:rPr>
        <w:fldChar w:fldCharType="separate"/>
      </w:r>
      <w:r>
        <w:rPr>
          <w:rFonts w:hint="eastAsia" w:ascii="宋体" w:hAnsi="宋体" w:cs="宋体"/>
          <w:b/>
          <w:kern w:val="0"/>
          <w:szCs w:val="21"/>
          <w:u w:val="single"/>
        </w:rPr>
        <w:t>主体结构工程</w:t>
      </w:r>
      <w:r>
        <w:rPr>
          <w:rFonts w:hint="eastAsia" w:ascii="宋体" w:hAnsi="宋体" w:cs="宋体"/>
          <w:b/>
          <w:kern w:val="0"/>
          <w:szCs w:val="21"/>
          <w:u w:val="single"/>
        </w:rPr>
        <w:fldChar w:fldCharType="end"/>
      </w:r>
      <w:r>
        <w:rPr>
          <w:rFonts w:hint="eastAsia" w:ascii="宋体" w:hAnsi="宋体" w:cs="宋体"/>
          <w:b/>
          <w:kern w:val="0"/>
          <w:szCs w:val="21"/>
          <w:u w:val="single"/>
        </w:rPr>
        <w:t xml:space="preserve">，为设计文件规定的该工程的合理使用年限；防水工程、墙面防渗漏为5年；道路及其附属设施为两年 。上述未列入的其他工程保修期均为 2 年  </w:t>
      </w:r>
      <w:r>
        <w:rPr>
          <w:rFonts w:hint="eastAsia" w:ascii="宋体" w:hAnsi="宋体" w:cs="宋体"/>
          <w:b/>
          <w:kern w:val="0"/>
          <w:szCs w:val="21"/>
        </w:rPr>
        <w:t>。</w:t>
      </w:r>
    </w:p>
    <w:p>
      <w:pPr>
        <w:spacing w:line="360" w:lineRule="auto"/>
        <w:rPr>
          <w:rFonts w:hint="eastAsia" w:ascii="宋体" w:hAnsi="宋体" w:cs="宋体"/>
          <w:color w:val="000000"/>
          <w:szCs w:val="21"/>
        </w:rPr>
      </w:pPr>
      <w:r>
        <w:rPr>
          <w:rFonts w:hint="eastAsia" w:ascii="宋体" w:hAnsi="宋体" w:cs="宋体"/>
          <w:color w:val="000000"/>
          <w:szCs w:val="21"/>
        </w:rPr>
        <w:t>　　质量保修期自工程竣工验收合格之日起计算。</w:t>
      </w:r>
    </w:p>
    <w:p>
      <w:pPr>
        <w:spacing w:line="360" w:lineRule="auto"/>
        <w:ind w:firstLine="480" w:firstLineChars="200"/>
        <w:outlineLvl w:val="0"/>
        <w:rPr>
          <w:rFonts w:hint="eastAsia" w:ascii="宋体" w:hAnsi="宋体" w:cs="宋体"/>
          <w:color w:val="000000"/>
          <w:szCs w:val="21"/>
        </w:rPr>
      </w:pPr>
      <w:r>
        <w:rPr>
          <w:rFonts w:hint="eastAsia" w:ascii="宋体" w:hAnsi="宋体" w:cs="宋体"/>
          <w:color w:val="000000"/>
          <w:szCs w:val="21"/>
        </w:rPr>
        <w:t>三、缺陷责任期</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工程缺陷责任期为</w:t>
      </w:r>
      <w:r>
        <w:rPr>
          <w:rFonts w:hint="eastAsia" w:ascii="宋体" w:hAnsi="宋体" w:cs="宋体"/>
          <w:color w:val="000000"/>
          <w:szCs w:val="21"/>
          <w:u w:val="single"/>
        </w:rPr>
        <w:t xml:space="preserve">   24   </w:t>
      </w:r>
      <w:r>
        <w:rPr>
          <w:rFonts w:hint="eastAsia" w:ascii="宋体" w:hAnsi="宋体" w:cs="宋体"/>
          <w:color w:val="000000"/>
          <w:szCs w:val="21"/>
        </w:rPr>
        <w:t>个月，缺陷责任期自工程通过竣工验收之日起计算。单位工程先于全部工程进行验收，单位工程缺陷责任期自单位工程验收合格之日起算。</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缺陷责任期终止后，发包人应退还剩余的质量保证金。</w:t>
      </w:r>
    </w:p>
    <w:p>
      <w:pPr>
        <w:spacing w:line="360" w:lineRule="auto"/>
        <w:outlineLvl w:val="0"/>
        <w:rPr>
          <w:rFonts w:hint="eastAsia" w:ascii="宋体" w:hAnsi="宋体" w:cs="宋体"/>
          <w:color w:val="000000"/>
          <w:szCs w:val="21"/>
        </w:rPr>
      </w:pPr>
      <w:r>
        <w:rPr>
          <w:rFonts w:hint="eastAsia" w:ascii="宋体" w:hAnsi="宋体" w:cs="宋体"/>
          <w:color w:val="000000"/>
          <w:szCs w:val="21"/>
        </w:rPr>
        <w:t xml:space="preserve">    四、质量保修责任</w:t>
      </w:r>
    </w:p>
    <w:p>
      <w:pPr>
        <w:spacing w:line="360" w:lineRule="auto"/>
        <w:ind w:left="120" w:leftChars="50" w:firstLine="491" w:firstLineChars="205"/>
        <w:rPr>
          <w:rFonts w:hint="eastAsia" w:ascii="宋体" w:hAnsi="宋体" w:cs="宋体"/>
          <w:color w:val="000000"/>
          <w:szCs w:val="21"/>
        </w:rPr>
      </w:pPr>
      <w:r>
        <w:rPr>
          <w:rFonts w:hint="eastAsia" w:ascii="宋体" w:hAnsi="宋体" w:cs="宋体"/>
          <w:color w:val="000000"/>
          <w:szCs w:val="21"/>
        </w:rPr>
        <w:t>1</w:t>
      </w:r>
      <w:r>
        <w:rPr>
          <w:rFonts w:hint="eastAsia" w:ascii="宋体" w:hAnsi="宋体" w:cs="宋体"/>
          <w:szCs w:val="21"/>
        </w:rPr>
        <w:t>．</w:t>
      </w:r>
      <w:r>
        <w:rPr>
          <w:rFonts w:hint="eastAsia" w:ascii="宋体" w:hAnsi="宋体" w:cs="宋体"/>
          <w:color w:val="000000"/>
          <w:szCs w:val="21"/>
        </w:rPr>
        <w:t>属于保修范围、内容的项目，承包人应当在接到保修通知之日起7天内派人保修。承包人不在约定期限内派人保修的，发包人可以委托他人修理。</w:t>
      </w:r>
    </w:p>
    <w:p>
      <w:pPr>
        <w:spacing w:line="360" w:lineRule="auto"/>
        <w:ind w:left="120" w:leftChars="50" w:firstLine="491" w:firstLineChars="205"/>
        <w:rPr>
          <w:rFonts w:hint="eastAsia" w:ascii="宋体" w:hAnsi="宋体" w:cs="宋体"/>
          <w:color w:val="000000"/>
          <w:szCs w:val="21"/>
        </w:rPr>
      </w:pPr>
      <w:r>
        <w:rPr>
          <w:rFonts w:hint="eastAsia" w:ascii="宋体" w:hAnsi="宋体" w:cs="宋体"/>
          <w:color w:val="000000"/>
          <w:szCs w:val="21"/>
        </w:rPr>
        <w:t>2</w:t>
      </w:r>
      <w:r>
        <w:rPr>
          <w:rFonts w:hint="eastAsia" w:ascii="宋体" w:hAnsi="宋体" w:cs="宋体"/>
          <w:szCs w:val="21"/>
        </w:rPr>
        <w:t>．</w:t>
      </w:r>
      <w:r>
        <w:rPr>
          <w:rFonts w:hint="eastAsia" w:ascii="宋体" w:hAnsi="宋体" w:cs="宋体"/>
          <w:color w:val="000000"/>
          <w:szCs w:val="21"/>
        </w:rPr>
        <w:t>发生紧急事故需抢修的，承包人在接到事故通知后，应当立即到达事故现场抢修。</w:t>
      </w:r>
    </w:p>
    <w:p>
      <w:pPr>
        <w:spacing w:line="360" w:lineRule="auto"/>
        <w:ind w:left="120" w:leftChars="50" w:firstLine="491" w:firstLineChars="205"/>
        <w:rPr>
          <w:rFonts w:hint="eastAsia" w:ascii="宋体" w:hAnsi="宋体" w:cs="宋体"/>
          <w:color w:val="000000"/>
          <w:szCs w:val="21"/>
        </w:rPr>
      </w:pPr>
      <w:r>
        <w:rPr>
          <w:rFonts w:hint="eastAsia" w:ascii="宋体" w:hAnsi="宋体" w:cs="宋体"/>
          <w:color w:val="000000"/>
          <w:szCs w:val="21"/>
        </w:rPr>
        <w:t>3</w:t>
      </w:r>
      <w:r>
        <w:rPr>
          <w:rFonts w:hint="eastAsia" w:ascii="宋体" w:hAnsi="宋体" w:cs="宋体"/>
          <w:szCs w:val="21"/>
        </w:rPr>
        <w:t>．</w:t>
      </w:r>
      <w:r>
        <w:rPr>
          <w:rFonts w:hint="eastAsia" w:ascii="宋体" w:hAnsi="宋体" w:cs="宋体"/>
          <w:color w:val="000000"/>
          <w:szCs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left="480" w:leftChars="200" w:firstLine="120" w:firstLineChars="50"/>
        <w:rPr>
          <w:rFonts w:hint="eastAsia" w:ascii="宋体" w:hAnsi="宋体" w:cs="宋体"/>
          <w:color w:val="000000"/>
          <w:szCs w:val="21"/>
        </w:rPr>
      </w:pPr>
      <w:r>
        <w:rPr>
          <w:rFonts w:hint="eastAsia" w:ascii="宋体" w:hAnsi="宋体" w:cs="宋体"/>
          <w:color w:val="000000"/>
          <w:szCs w:val="21"/>
        </w:rPr>
        <w:t>4</w:t>
      </w:r>
      <w:r>
        <w:rPr>
          <w:rFonts w:hint="eastAsia" w:ascii="宋体" w:hAnsi="宋体" w:cs="宋体"/>
          <w:szCs w:val="21"/>
        </w:rPr>
        <w:t>．</w:t>
      </w:r>
      <w:r>
        <w:rPr>
          <w:rFonts w:hint="eastAsia" w:ascii="宋体" w:hAnsi="宋体" w:cs="宋体"/>
          <w:color w:val="000000"/>
          <w:szCs w:val="21"/>
        </w:rPr>
        <w:t>质量保修完成后，由发包人组织验收。</w:t>
      </w:r>
    </w:p>
    <w:p>
      <w:pPr>
        <w:spacing w:line="360" w:lineRule="auto"/>
        <w:outlineLvl w:val="0"/>
        <w:rPr>
          <w:rFonts w:hint="eastAsia" w:ascii="宋体" w:hAnsi="宋体" w:cs="宋体"/>
          <w:color w:val="000000"/>
          <w:szCs w:val="21"/>
        </w:rPr>
      </w:pPr>
      <w:r>
        <w:rPr>
          <w:rFonts w:hint="eastAsia" w:ascii="宋体" w:hAnsi="宋体" w:cs="宋体"/>
          <w:color w:val="000000"/>
          <w:szCs w:val="21"/>
        </w:rPr>
        <w:t>　　五、保修费用</w:t>
      </w:r>
    </w:p>
    <w:p>
      <w:pPr>
        <w:spacing w:line="360" w:lineRule="auto"/>
        <w:rPr>
          <w:rFonts w:hint="eastAsia" w:ascii="宋体" w:hAnsi="宋体" w:cs="宋体"/>
          <w:color w:val="000000"/>
          <w:szCs w:val="21"/>
        </w:rPr>
      </w:pPr>
      <w:r>
        <w:rPr>
          <w:rFonts w:hint="eastAsia" w:ascii="宋体" w:hAnsi="宋体" w:cs="宋体"/>
          <w:color w:val="000000"/>
          <w:szCs w:val="21"/>
        </w:rPr>
        <w:t>　　保修费用由造成质量缺陷的责任方承担。</w:t>
      </w:r>
    </w:p>
    <w:p>
      <w:pPr>
        <w:spacing w:line="360" w:lineRule="auto"/>
        <w:ind w:firstLine="482" w:firstLineChars="200"/>
        <w:jc w:val="left"/>
        <w:rPr>
          <w:rFonts w:hint="eastAsia" w:ascii="宋体" w:hAnsi="宋体" w:cs="宋体"/>
          <w:szCs w:val="21"/>
        </w:rPr>
      </w:pPr>
      <w:r>
        <w:rPr>
          <w:rFonts w:hint="eastAsia" w:ascii="宋体" w:hAnsi="宋体" w:cs="宋体"/>
          <w:b/>
          <w:color w:val="000000"/>
          <w:szCs w:val="21"/>
        </w:rPr>
        <w:t>六</w:t>
      </w:r>
      <w:r>
        <w:rPr>
          <w:rFonts w:hint="eastAsia" w:ascii="宋体" w:hAnsi="宋体" w:cs="宋体"/>
          <w:color w:val="000000"/>
          <w:szCs w:val="21"/>
        </w:rPr>
        <w:t>、双方约定的其他工程质量保修事项：</w:t>
      </w:r>
      <w:r>
        <w:rPr>
          <w:rFonts w:hint="eastAsia" w:ascii="宋体" w:hAnsi="宋体" w:cs="宋体"/>
          <w:szCs w:val="21"/>
          <w:u w:val="single"/>
        </w:rPr>
        <w:t xml:space="preserve">  本工程约定的工程质量保修金为工程审计价的3%  </w:t>
      </w:r>
      <w:r>
        <w:rPr>
          <w:rFonts w:hint="eastAsia" w:ascii="宋体" w:hAnsi="宋体" w:cs="宋体"/>
          <w:szCs w:val="21"/>
        </w:rPr>
        <w:t>。</w:t>
      </w:r>
    </w:p>
    <w:p>
      <w:pPr>
        <w:spacing w:line="360" w:lineRule="auto"/>
        <w:ind w:firstLine="456" w:firstLineChars="190"/>
        <w:rPr>
          <w:rFonts w:hint="eastAsia" w:ascii="宋体" w:hAnsi="宋体" w:cs="宋体"/>
          <w:color w:val="000000"/>
          <w:szCs w:val="21"/>
        </w:rPr>
      </w:pPr>
      <w:r>
        <w:rPr>
          <w:rFonts w:hint="eastAsia" w:ascii="宋体" w:hAnsi="宋体" w:cs="宋体"/>
          <w:color w:val="000000"/>
          <w:szCs w:val="21"/>
        </w:rPr>
        <w:t>工程质量保修书由发包人、承包人在工程竣工验收前共同签署，作为施工合同附件，其有效期限至保修期满。</w:t>
      </w:r>
    </w:p>
    <w:p>
      <w:pPr>
        <w:spacing w:line="360" w:lineRule="auto"/>
        <w:ind w:firstLine="420"/>
        <w:rPr>
          <w:rFonts w:hint="eastAsia" w:ascii="宋体" w:hAnsi="宋体" w:cs="宋体"/>
          <w:color w:val="000000"/>
          <w:szCs w:val="21"/>
        </w:rPr>
      </w:pPr>
    </w:p>
    <w:p>
      <w:pPr>
        <w:spacing w:line="360" w:lineRule="auto"/>
        <w:rPr>
          <w:rFonts w:hint="eastAsia" w:ascii="宋体" w:hAnsi="宋体" w:cs="宋体"/>
          <w:color w:val="000000"/>
          <w:szCs w:val="21"/>
        </w:rPr>
      </w:pPr>
      <w:r>
        <w:rPr>
          <w:rFonts w:hint="eastAsia" w:ascii="宋体" w:hAnsi="宋体" w:cs="宋体"/>
          <w:color w:val="000000"/>
          <w:szCs w:val="21"/>
        </w:rPr>
        <w:t>发包人(公章)：</w:t>
      </w:r>
      <w:r>
        <w:rPr>
          <w:rFonts w:hint="eastAsia" w:ascii="宋体" w:hAnsi="宋体" w:cs="宋体"/>
          <w:color w:val="000000"/>
          <w:szCs w:val="21"/>
          <w:u w:val="single"/>
        </w:rPr>
        <w:t xml:space="preserve">           </w:t>
      </w:r>
      <w:r>
        <w:rPr>
          <w:rFonts w:hint="eastAsia" w:ascii="宋体" w:hAnsi="宋体" w:cs="宋体"/>
          <w:color w:val="000000"/>
          <w:szCs w:val="21"/>
        </w:rPr>
        <w:t xml:space="preserve">   承包人(公章)：</w:t>
      </w:r>
      <w:r>
        <w:rPr>
          <w:rFonts w:hint="eastAsia" w:ascii="宋体" w:hAnsi="宋体" w:cs="宋体"/>
          <w:color w:val="000000"/>
          <w:szCs w:val="21"/>
          <w:u w:val="single"/>
        </w:rPr>
        <w:t xml:space="preserve">           </w:t>
      </w:r>
    </w:p>
    <w:p>
      <w:pPr>
        <w:spacing w:line="360" w:lineRule="auto"/>
        <w:rPr>
          <w:rStyle w:val="42"/>
          <w:rFonts w:hint="eastAsia" w:ascii="宋体" w:hAnsi="宋体" w:cs="宋体"/>
          <w:szCs w:val="21"/>
          <w:u w:val="single"/>
        </w:rPr>
      </w:pPr>
      <w:r>
        <w:rPr>
          <w:rFonts w:hint="eastAsia" w:ascii="宋体" w:hAnsi="宋体" w:cs="宋体"/>
          <w:color w:val="000000"/>
          <w:szCs w:val="21"/>
        </w:rPr>
        <w:t>地  址：</w:t>
      </w:r>
      <w:r>
        <w:rPr>
          <w:rFonts w:hint="eastAsia" w:ascii="宋体" w:hAnsi="宋体" w:cs="宋体"/>
          <w:color w:val="000000"/>
          <w:szCs w:val="21"/>
          <w:u w:val="single"/>
        </w:rPr>
        <w:t xml:space="preserve">  </w:t>
      </w:r>
      <w:r>
        <w:rPr>
          <w:rStyle w:val="42"/>
          <w:rFonts w:hint="eastAsia" w:ascii="宋体" w:hAnsi="宋体" w:cs="宋体"/>
          <w:szCs w:val="21"/>
        </w:rPr>
        <w:t xml:space="preserve">                        地址：</w:t>
      </w:r>
      <w:r>
        <w:rPr>
          <w:rStyle w:val="42"/>
          <w:rFonts w:hint="eastAsia" w:ascii="宋体" w:hAnsi="宋体" w:cs="宋体"/>
          <w:szCs w:val="21"/>
          <w:u w:val="single"/>
        </w:rPr>
        <w:t xml:space="preserve">                       </w:t>
      </w:r>
    </w:p>
    <w:p>
      <w:pPr>
        <w:spacing w:line="360" w:lineRule="auto"/>
        <w:rPr>
          <w:rFonts w:hint="eastAsia" w:ascii="宋体" w:hAnsi="宋体" w:cs="宋体"/>
          <w:color w:val="000000"/>
          <w:szCs w:val="21"/>
        </w:rPr>
      </w:pPr>
      <w:r>
        <w:rPr>
          <w:rFonts w:hint="eastAsia" w:ascii="宋体" w:hAnsi="宋体" w:cs="宋体"/>
          <w:color w:val="000000"/>
          <w:szCs w:val="21"/>
        </w:rPr>
        <w:t>法定代表人(签字)：</w:t>
      </w:r>
      <w:r>
        <w:rPr>
          <w:rFonts w:hint="eastAsia" w:ascii="宋体" w:hAnsi="宋体" w:cs="宋体"/>
          <w:color w:val="000000"/>
          <w:szCs w:val="21"/>
          <w:u w:val="single"/>
        </w:rPr>
        <w:t xml:space="preserve">          </w:t>
      </w:r>
      <w:r>
        <w:rPr>
          <w:rFonts w:hint="eastAsia" w:ascii="宋体" w:hAnsi="宋体" w:cs="宋体"/>
          <w:color w:val="000000"/>
          <w:szCs w:val="21"/>
        </w:rPr>
        <w:t xml:space="preserve">  法定代表人(签字)：</w:t>
      </w:r>
      <w:r>
        <w:rPr>
          <w:rFonts w:hint="eastAsia" w:ascii="宋体" w:hAnsi="宋体" w:cs="宋体"/>
          <w:color w:val="000000"/>
          <w:szCs w:val="21"/>
          <w:u w:val="single"/>
        </w:rPr>
        <w:t xml:space="preserve">               </w:t>
      </w:r>
    </w:p>
    <w:p>
      <w:pPr>
        <w:spacing w:line="360" w:lineRule="auto"/>
        <w:rPr>
          <w:rFonts w:hint="eastAsia" w:ascii="宋体" w:hAnsi="宋体" w:cs="宋体"/>
          <w:color w:val="000000"/>
          <w:szCs w:val="21"/>
        </w:rPr>
      </w:pPr>
      <w:r>
        <w:rPr>
          <w:rFonts w:hint="eastAsia" w:ascii="宋体" w:hAnsi="宋体" w:cs="宋体"/>
          <w:color w:val="000000"/>
          <w:szCs w:val="21"/>
        </w:rPr>
        <w:t>委托代理人(签字)：</w:t>
      </w:r>
      <w:r>
        <w:rPr>
          <w:rFonts w:hint="eastAsia" w:ascii="宋体" w:hAnsi="宋体" w:cs="宋体"/>
          <w:color w:val="000000"/>
          <w:szCs w:val="21"/>
          <w:u w:val="single"/>
        </w:rPr>
        <w:t xml:space="preserve">          </w:t>
      </w:r>
      <w:r>
        <w:rPr>
          <w:rFonts w:hint="eastAsia" w:ascii="宋体" w:hAnsi="宋体" w:cs="宋体"/>
          <w:color w:val="000000"/>
          <w:szCs w:val="21"/>
        </w:rPr>
        <w:t xml:space="preserve">  委托代理人(签字)：</w:t>
      </w:r>
      <w:r>
        <w:rPr>
          <w:rFonts w:hint="eastAsia" w:ascii="宋体" w:hAnsi="宋体" w:cs="宋体"/>
          <w:color w:val="000000"/>
          <w:szCs w:val="21"/>
          <w:u w:val="single"/>
        </w:rPr>
        <w:t xml:space="preserve">       </w:t>
      </w:r>
    </w:p>
    <w:p>
      <w:pPr>
        <w:spacing w:line="360" w:lineRule="auto"/>
        <w:rPr>
          <w:rFonts w:hint="eastAsia" w:ascii="宋体" w:hAnsi="宋体" w:cs="宋体"/>
          <w:color w:val="000000"/>
          <w:szCs w:val="21"/>
        </w:rPr>
      </w:pPr>
      <w:r>
        <w:rPr>
          <w:rFonts w:hint="eastAsia" w:ascii="宋体" w:hAnsi="宋体" w:cs="宋体"/>
          <w:color w:val="000000"/>
          <w:szCs w:val="21"/>
        </w:rPr>
        <w:t>电  话：</w:t>
      </w:r>
      <w:r>
        <w:rPr>
          <w:rFonts w:hint="eastAsia" w:ascii="宋体" w:hAnsi="宋体" w:cs="宋体"/>
          <w:color w:val="000000"/>
          <w:szCs w:val="21"/>
          <w:u w:val="single"/>
        </w:rPr>
        <w:t xml:space="preserve">                  </w:t>
      </w:r>
      <w:r>
        <w:rPr>
          <w:rFonts w:hint="eastAsia" w:ascii="宋体" w:hAnsi="宋体" w:cs="宋体"/>
          <w:color w:val="000000"/>
          <w:szCs w:val="21"/>
        </w:rPr>
        <w:t xml:space="preserve">     电  话：</w:t>
      </w:r>
      <w:r>
        <w:rPr>
          <w:rFonts w:hint="eastAsia" w:ascii="宋体" w:hAnsi="宋体" w:cs="宋体"/>
          <w:color w:val="000000"/>
          <w:szCs w:val="21"/>
          <w:u w:val="single"/>
        </w:rPr>
        <w:t xml:space="preserve">     </w:t>
      </w:r>
    </w:p>
    <w:p>
      <w:pPr>
        <w:spacing w:line="360" w:lineRule="auto"/>
        <w:rPr>
          <w:rFonts w:hint="eastAsia" w:ascii="宋体" w:hAnsi="宋体" w:cs="宋体"/>
          <w:color w:val="000000"/>
          <w:szCs w:val="21"/>
        </w:rPr>
      </w:pPr>
      <w:r>
        <w:rPr>
          <w:rFonts w:hint="eastAsia" w:ascii="宋体" w:hAnsi="宋体" w:cs="宋体"/>
          <w:color w:val="000000"/>
          <w:szCs w:val="21"/>
        </w:rPr>
        <w:t>传  真：</w:t>
      </w:r>
      <w:r>
        <w:rPr>
          <w:rFonts w:hint="eastAsia" w:ascii="宋体" w:hAnsi="宋体" w:cs="宋体"/>
          <w:color w:val="000000"/>
          <w:szCs w:val="21"/>
          <w:u w:val="single"/>
        </w:rPr>
        <w:t xml:space="preserve">                </w:t>
      </w:r>
      <w:r>
        <w:rPr>
          <w:rStyle w:val="42"/>
          <w:rFonts w:hint="eastAsia" w:ascii="宋体" w:hAnsi="宋体" w:cs="宋体"/>
          <w:szCs w:val="21"/>
          <w:u w:val="single"/>
        </w:rPr>
        <w:t xml:space="preserve"> </w:t>
      </w:r>
      <w:r>
        <w:rPr>
          <w:rFonts w:hint="eastAsia" w:ascii="宋体" w:hAnsi="宋体" w:cs="宋体"/>
          <w:color w:val="000000"/>
          <w:szCs w:val="21"/>
          <w:u w:val="single"/>
        </w:rPr>
        <w:t xml:space="preserve"> </w:t>
      </w:r>
      <w:r>
        <w:rPr>
          <w:rFonts w:hint="eastAsia" w:ascii="宋体" w:hAnsi="宋体" w:cs="宋体"/>
          <w:color w:val="000000"/>
          <w:szCs w:val="21"/>
        </w:rPr>
        <w:t xml:space="preserve">     传  真：</w:t>
      </w:r>
      <w:r>
        <w:rPr>
          <w:rFonts w:hint="eastAsia" w:ascii="宋体" w:hAnsi="宋体" w:cs="宋体"/>
          <w:color w:val="000000"/>
          <w:szCs w:val="21"/>
          <w:u w:val="single"/>
        </w:rPr>
        <w:t xml:space="preserve">     </w:t>
      </w:r>
    </w:p>
    <w:p>
      <w:pPr>
        <w:spacing w:line="360" w:lineRule="auto"/>
        <w:rPr>
          <w:rFonts w:hint="eastAsia" w:ascii="宋体" w:hAnsi="宋体" w:cs="宋体"/>
          <w:color w:val="000000"/>
          <w:szCs w:val="21"/>
        </w:rPr>
      </w:pPr>
      <w:r>
        <w:rPr>
          <w:rFonts w:hint="eastAsia" w:ascii="宋体" w:hAnsi="宋体" w:cs="宋体"/>
          <w:color w:val="000000"/>
          <w:szCs w:val="21"/>
        </w:rPr>
        <w:t>开户银行：                       开户银行：</w:t>
      </w:r>
      <w:r>
        <w:rPr>
          <w:rFonts w:hint="eastAsia" w:ascii="宋体" w:hAnsi="宋体" w:cs="宋体"/>
          <w:color w:val="000000"/>
          <w:szCs w:val="21"/>
          <w:u w:val="single"/>
        </w:rPr>
        <w:t xml:space="preserve">   </w:t>
      </w:r>
    </w:p>
    <w:p>
      <w:pPr>
        <w:spacing w:line="360" w:lineRule="auto"/>
        <w:rPr>
          <w:rFonts w:hint="eastAsia" w:ascii="宋体" w:hAnsi="宋体" w:cs="宋体"/>
          <w:color w:val="000000"/>
          <w:szCs w:val="21"/>
        </w:rPr>
      </w:pPr>
      <w:r>
        <w:rPr>
          <w:rFonts w:hint="eastAsia" w:ascii="宋体" w:hAnsi="宋体" w:cs="宋体"/>
          <w:color w:val="000000"/>
          <w:szCs w:val="21"/>
        </w:rPr>
        <w:t>账  号：</w:t>
      </w:r>
      <w:r>
        <w:rPr>
          <w:rFonts w:hint="eastAsia" w:ascii="宋体" w:hAnsi="宋体" w:cs="宋体"/>
          <w:color w:val="000000"/>
          <w:szCs w:val="21"/>
          <w:u w:val="single"/>
        </w:rPr>
        <w:t xml:space="preserve">                 </w:t>
      </w:r>
      <w:r>
        <w:rPr>
          <w:rStyle w:val="42"/>
          <w:rFonts w:hint="eastAsia" w:ascii="宋体" w:hAnsi="宋体" w:cs="宋体"/>
          <w:szCs w:val="21"/>
          <w:u w:val="single"/>
        </w:rPr>
        <w:t xml:space="preserve"> </w:t>
      </w:r>
      <w:r>
        <w:rPr>
          <w:rFonts w:hint="eastAsia" w:ascii="宋体" w:hAnsi="宋体" w:cs="宋体"/>
          <w:color w:val="000000"/>
          <w:szCs w:val="21"/>
          <w:u w:val="single"/>
        </w:rPr>
        <w:t xml:space="preserve">  </w:t>
      </w:r>
      <w:r>
        <w:rPr>
          <w:rFonts w:hint="eastAsia" w:ascii="宋体" w:hAnsi="宋体" w:cs="宋体"/>
          <w:color w:val="000000"/>
          <w:szCs w:val="21"/>
        </w:rPr>
        <w:t xml:space="preserve">    账  号：</w:t>
      </w:r>
      <w:r>
        <w:rPr>
          <w:rFonts w:hint="eastAsia" w:ascii="宋体" w:hAnsi="宋体" w:cs="宋体"/>
          <w:color w:val="000000"/>
          <w:szCs w:val="21"/>
          <w:u w:val="single"/>
        </w:rPr>
        <w:t xml:space="preserve">     </w:t>
      </w:r>
    </w:p>
    <w:p>
      <w:pPr>
        <w:spacing w:line="360" w:lineRule="auto"/>
        <w:rPr>
          <w:rFonts w:hint="eastAsia" w:ascii="宋体" w:hAnsi="宋体" w:cs="宋体"/>
          <w:color w:val="000000"/>
          <w:szCs w:val="21"/>
        </w:rPr>
      </w:pPr>
      <w:r>
        <w:rPr>
          <w:rFonts w:hint="eastAsia" w:ascii="宋体" w:hAnsi="宋体" w:cs="宋体"/>
          <w:color w:val="000000"/>
          <w:szCs w:val="21"/>
        </w:rPr>
        <w:t>邮政编码：</w:t>
      </w:r>
      <w:r>
        <w:rPr>
          <w:rFonts w:hint="eastAsia" w:ascii="宋体" w:hAnsi="宋体" w:cs="宋体"/>
          <w:color w:val="000000"/>
          <w:szCs w:val="21"/>
          <w:u w:val="single"/>
        </w:rPr>
        <w:t xml:space="preserve">     </w:t>
      </w:r>
      <w:r>
        <w:rPr>
          <w:rStyle w:val="42"/>
          <w:rFonts w:hint="eastAsia" w:ascii="宋体" w:hAnsi="宋体" w:cs="宋体"/>
          <w:szCs w:val="21"/>
          <w:u w:val="single"/>
        </w:rPr>
        <w:t xml:space="preserve">         </w:t>
      </w:r>
      <w:r>
        <w:rPr>
          <w:rFonts w:hint="eastAsia" w:ascii="宋体" w:hAnsi="宋体" w:cs="宋体"/>
          <w:color w:val="000000"/>
          <w:szCs w:val="21"/>
          <w:u w:val="single"/>
        </w:rPr>
        <w:t xml:space="preserve">    </w:t>
      </w:r>
      <w:r>
        <w:rPr>
          <w:rFonts w:hint="eastAsia" w:ascii="宋体" w:hAnsi="宋体" w:cs="宋体"/>
          <w:color w:val="000000"/>
          <w:szCs w:val="21"/>
        </w:rPr>
        <w:t xml:space="preserve">    邮政编码：</w:t>
      </w:r>
      <w:r>
        <w:rPr>
          <w:rFonts w:hint="eastAsia" w:ascii="宋体" w:hAnsi="宋体" w:cs="宋体"/>
          <w:color w:val="000000"/>
          <w:szCs w:val="21"/>
          <w:u w:val="single"/>
        </w:rPr>
        <w:t xml:space="preserve">   </w:t>
      </w:r>
    </w:p>
    <w:p>
      <w:pPr>
        <w:spacing w:line="440" w:lineRule="exact"/>
        <w:rPr>
          <w:rFonts w:hint="eastAsia" w:ascii="宋体" w:hAnsi="宋体" w:cs="宋体"/>
          <w:color w:val="000000"/>
          <w:szCs w:val="21"/>
        </w:rPr>
      </w:pPr>
      <w:r>
        <w:rPr>
          <w:rFonts w:hint="eastAsia" w:ascii="宋体" w:hAnsi="宋体" w:cs="宋体"/>
          <w:b/>
          <w:color w:val="000000"/>
          <w:szCs w:val="21"/>
        </w:rPr>
        <w:br w:type="page"/>
      </w:r>
      <w:r>
        <w:rPr>
          <w:rFonts w:hint="eastAsia" w:ascii="宋体" w:hAnsi="宋体" w:cs="宋体"/>
          <w:color w:val="000000"/>
          <w:szCs w:val="21"/>
        </w:rPr>
        <w:t>附件4：</w:t>
      </w:r>
    </w:p>
    <w:p>
      <w:pPr>
        <w:spacing w:before="156" w:beforeLines="50" w:after="156" w:afterLines="50" w:line="440" w:lineRule="exact"/>
        <w:jc w:val="center"/>
        <w:rPr>
          <w:rFonts w:hint="eastAsia" w:ascii="宋体" w:hAnsi="宋体" w:cs="宋体"/>
          <w:color w:val="000000"/>
          <w:szCs w:val="21"/>
        </w:rPr>
      </w:pPr>
      <w:r>
        <w:rPr>
          <w:rFonts w:hint="eastAsia" w:ascii="宋体" w:hAnsi="宋体" w:cs="宋体"/>
          <w:color w:val="000000"/>
          <w:szCs w:val="21"/>
        </w:rPr>
        <w:t>主要建设工程文件目录</w:t>
      </w:r>
    </w:p>
    <w:tbl>
      <w:tblPr>
        <w:tblStyle w:val="39"/>
        <w:tblW w:w="9039"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文件名称</w:t>
            </w:r>
          </w:p>
        </w:tc>
        <w:tc>
          <w:tcPr>
            <w:tcW w:w="1276"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套数</w:t>
            </w:r>
          </w:p>
        </w:tc>
        <w:tc>
          <w:tcPr>
            <w:tcW w:w="1450"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费用（元）</w:t>
            </w:r>
          </w:p>
        </w:tc>
        <w:tc>
          <w:tcPr>
            <w:tcW w:w="1243"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质量</w:t>
            </w:r>
          </w:p>
        </w:tc>
        <w:tc>
          <w:tcPr>
            <w:tcW w:w="1450" w:type="dxa"/>
            <w:tcBorders>
              <w:top w:val="single" w:color="auto" w:sz="12" w:space="0"/>
              <w:bottom w:val="double" w:color="auto" w:sz="6" w:space="0"/>
            </w:tcBorders>
            <w:noWrap w:val="0"/>
            <w:vAlign w:val="top"/>
          </w:tcPr>
          <w:p>
            <w:pPr>
              <w:spacing w:line="440" w:lineRule="exact"/>
              <w:jc w:val="center"/>
              <w:rPr>
                <w:rFonts w:hint="eastAsia" w:ascii="宋体" w:hAnsi="宋体" w:cs="宋体"/>
                <w:color w:val="000000"/>
                <w:szCs w:val="21"/>
              </w:rPr>
            </w:pPr>
            <w:r>
              <w:rPr>
                <w:rFonts w:hint="eastAsia" w:ascii="宋体" w:hAnsi="宋体" w:cs="宋体"/>
                <w:color w:val="000000"/>
                <w:szCs w:val="21"/>
              </w:rPr>
              <w:t>移交时间</w:t>
            </w:r>
          </w:p>
        </w:tc>
        <w:tc>
          <w:tcPr>
            <w:tcW w:w="1667" w:type="dxa"/>
            <w:tcBorders>
              <w:top w:val="single" w:color="auto" w:sz="12" w:space="0"/>
              <w:bottom w:val="double" w:color="auto" w:sz="6" w:space="0"/>
            </w:tcBorders>
            <w:noWrap w:val="0"/>
            <w:vAlign w:val="top"/>
          </w:tcPr>
          <w:p>
            <w:pPr>
              <w:spacing w:line="440" w:lineRule="exact"/>
              <w:jc w:val="center"/>
              <w:rPr>
                <w:rFonts w:hint="eastAsia" w:ascii="宋体" w:hAnsi="宋体" w:cs="宋体"/>
                <w:color w:val="000000"/>
                <w:szCs w:val="21"/>
              </w:rPr>
            </w:pPr>
            <w:r>
              <w:rPr>
                <w:rFonts w:hint="eastAsia" w:ascii="宋体" w:hAnsi="宋体" w:cs="宋体"/>
                <w:color w:val="000000"/>
                <w:szCs w:val="21"/>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1276"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1450"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1243"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1450"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1667"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276"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45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243"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45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667"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noWrap w:val="0"/>
            <w:vAlign w:val="center"/>
          </w:tcPr>
          <w:p>
            <w:pPr>
              <w:pStyle w:val="16"/>
              <w:keepNext/>
              <w:spacing w:line="440" w:lineRule="exact"/>
              <w:ind w:left="63" w:right="63"/>
              <w:rPr>
                <w:rFonts w:hint="eastAsia" w:ascii="宋体" w:hAnsi="宋体" w:cs="宋体"/>
                <w:color w:val="000000"/>
                <w:szCs w:val="21"/>
              </w:rPr>
            </w:pPr>
          </w:p>
        </w:tc>
        <w:tc>
          <w:tcPr>
            <w:tcW w:w="1276" w:type="dxa"/>
            <w:noWrap w:val="0"/>
            <w:vAlign w:val="center"/>
          </w:tcPr>
          <w:p>
            <w:pPr>
              <w:pStyle w:val="16"/>
              <w:keepNext/>
              <w:spacing w:line="440" w:lineRule="exact"/>
              <w:ind w:left="63" w:right="63"/>
              <w:rPr>
                <w:rFonts w:hint="eastAsia" w:ascii="宋体" w:hAnsi="宋体" w:cs="宋体"/>
                <w:color w:val="000000"/>
                <w:szCs w:val="21"/>
              </w:rPr>
            </w:pPr>
          </w:p>
        </w:tc>
        <w:tc>
          <w:tcPr>
            <w:tcW w:w="1450" w:type="dxa"/>
            <w:noWrap w:val="0"/>
            <w:vAlign w:val="center"/>
          </w:tcPr>
          <w:p>
            <w:pPr>
              <w:pStyle w:val="16"/>
              <w:keepNext/>
              <w:spacing w:line="440" w:lineRule="exact"/>
              <w:ind w:left="63" w:right="63"/>
              <w:rPr>
                <w:rFonts w:hint="eastAsia" w:ascii="宋体" w:hAnsi="宋体" w:cs="宋体"/>
                <w:color w:val="000000"/>
                <w:szCs w:val="21"/>
              </w:rPr>
            </w:pPr>
          </w:p>
        </w:tc>
        <w:tc>
          <w:tcPr>
            <w:tcW w:w="1243" w:type="dxa"/>
            <w:noWrap w:val="0"/>
            <w:vAlign w:val="center"/>
          </w:tcPr>
          <w:p>
            <w:pPr>
              <w:pStyle w:val="16"/>
              <w:keepNext/>
              <w:spacing w:line="440" w:lineRule="exact"/>
              <w:ind w:left="63" w:right="63"/>
              <w:rPr>
                <w:rFonts w:hint="eastAsia" w:ascii="宋体" w:hAnsi="宋体" w:cs="宋体"/>
                <w:color w:val="000000"/>
                <w:szCs w:val="21"/>
              </w:rPr>
            </w:pPr>
          </w:p>
        </w:tc>
        <w:tc>
          <w:tcPr>
            <w:tcW w:w="1450" w:type="dxa"/>
            <w:noWrap w:val="0"/>
            <w:vAlign w:val="center"/>
          </w:tcPr>
          <w:p>
            <w:pPr>
              <w:pStyle w:val="16"/>
              <w:keepNext/>
              <w:spacing w:line="440" w:lineRule="exact"/>
              <w:ind w:left="63" w:right="63"/>
              <w:rPr>
                <w:rFonts w:hint="eastAsia" w:ascii="宋体" w:hAnsi="宋体" w:cs="宋体"/>
                <w:color w:val="000000"/>
                <w:szCs w:val="21"/>
              </w:rPr>
            </w:pPr>
          </w:p>
        </w:tc>
        <w:tc>
          <w:tcPr>
            <w:tcW w:w="1667"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noWrap w:val="0"/>
            <w:vAlign w:val="center"/>
          </w:tcPr>
          <w:p>
            <w:pPr>
              <w:pStyle w:val="16"/>
              <w:keepNext/>
              <w:spacing w:line="440" w:lineRule="exact"/>
              <w:ind w:left="63" w:right="63"/>
              <w:rPr>
                <w:rFonts w:hint="eastAsia" w:ascii="宋体" w:hAnsi="宋体" w:cs="宋体"/>
                <w:color w:val="000000"/>
                <w:szCs w:val="21"/>
              </w:rPr>
            </w:pPr>
          </w:p>
        </w:tc>
        <w:tc>
          <w:tcPr>
            <w:tcW w:w="1276" w:type="dxa"/>
            <w:noWrap w:val="0"/>
            <w:vAlign w:val="center"/>
          </w:tcPr>
          <w:p>
            <w:pPr>
              <w:pStyle w:val="16"/>
              <w:keepNext/>
              <w:spacing w:line="440" w:lineRule="exact"/>
              <w:ind w:left="63" w:right="63"/>
              <w:rPr>
                <w:rFonts w:hint="eastAsia" w:ascii="宋体" w:hAnsi="宋体" w:cs="宋体"/>
                <w:color w:val="000000"/>
                <w:szCs w:val="21"/>
              </w:rPr>
            </w:pPr>
          </w:p>
        </w:tc>
        <w:tc>
          <w:tcPr>
            <w:tcW w:w="1450" w:type="dxa"/>
            <w:noWrap w:val="0"/>
            <w:vAlign w:val="center"/>
          </w:tcPr>
          <w:p>
            <w:pPr>
              <w:pStyle w:val="16"/>
              <w:keepNext/>
              <w:spacing w:line="440" w:lineRule="exact"/>
              <w:ind w:left="63" w:right="63"/>
              <w:rPr>
                <w:rFonts w:hint="eastAsia" w:ascii="宋体" w:hAnsi="宋体" w:cs="宋体"/>
                <w:color w:val="000000"/>
                <w:szCs w:val="21"/>
              </w:rPr>
            </w:pPr>
          </w:p>
        </w:tc>
        <w:tc>
          <w:tcPr>
            <w:tcW w:w="1243" w:type="dxa"/>
            <w:noWrap w:val="0"/>
            <w:vAlign w:val="center"/>
          </w:tcPr>
          <w:p>
            <w:pPr>
              <w:pStyle w:val="16"/>
              <w:keepNext/>
              <w:spacing w:line="440" w:lineRule="exact"/>
              <w:ind w:left="63" w:right="63"/>
              <w:rPr>
                <w:rFonts w:hint="eastAsia" w:ascii="宋体" w:hAnsi="宋体" w:cs="宋体"/>
                <w:color w:val="000000"/>
                <w:szCs w:val="21"/>
              </w:rPr>
            </w:pPr>
          </w:p>
        </w:tc>
        <w:tc>
          <w:tcPr>
            <w:tcW w:w="1450" w:type="dxa"/>
            <w:noWrap w:val="0"/>
            <w:vAlign w:val="center"/>
          </w:tcPr>
          <w:p>
            <w:pPr>
              <w:pStyle w:val="16"/>
              <w:keepNext/>
              <w:spacing w:line="440" w:lineRule="exact"/>
              <w:ind w:left="63" w:right="63"/>
              <w:rPr>
                <w:rFonts w:hint="eastAsia" w:ascii="宋体" w:hAnsi="宋体" w:cs="宋体"/>
                <w:color w:val="000000"/>
                <w:szCs w:val="21"/>
              </w:rPr>
            </w:pPr>
          </w:p>
        </w:tc>
        <w:tc>
          <w:tcPr>
            <w:tcW w:w="1667"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noWrap w:val="0"/>
            <w:vAlign w:val="center"/>
          </w:tcPr>
          <w:p>
            <w:pPr>
              <w:pStyle w:val="16"/>
              <w:keepNext/>
              <w:spacing w:line="440" w:lineRule="exact"/>
              <w:ind w:left="63" w:right="63"/>
              <w:rPr>
                <w:rFonts w:hint="eastAsia" w:ascii="宋体" w:hAnsi="宋体" w:cs="宋体"/>
                <w:color w:val="000000"/>
                <w:szCs w:val="21"/>
              </w:rPr>
            </w:pPr>
          </w:p>
        </w:tc>
        <w:tc>
          <w:tcPr>
            <w:tcW w:w="1276" w:type="dxa"/>
            <w:noWrap w:val="0"/>
            <w:vAlign w:val="center"/>
          </w:tcPr>
          <w:p>
            <w:pPr>
              <w:pStyle w:val="16"/>
              <w:keepNext/>
              <w:spacing w:line="440" w:lineRule="exact"/>
              <w:ind w:left="63" w:right="63"/>
              <w:rPr>
                <w:rFonts w:hint="eastAsia" w:ascii="宋体" w:hAnsi="宋体" w:cs="宋体"/>
                <w:color w:val="000000"/>
                <w:szCs w:val="21"/>
              </w:rPr>
            </w:pPr>
          </w:p>
        </w:tc>
        <w:tc>
          <w:tcPr>
            <w:tcW w:w="1450" w:type="dxa"/>
            <w:noWrap w:val="0"/>
            <w:vAlign w:val="center"/>
          </w:tcPr>
          <w:p>
            <w:pPr>
              <w:pStyle w:val="16"/>
              <w:keepNext/>
              <w:spacing w:line="440" w:lineRule="exact"/>
              <w:ind w:left="63" w:right="63"/>
              <w:rPr>
                <w:rFonts w:hint="eastAsia" w:ascii="宋体" w:hAnsi="宋体" w:cs="宋体"/>
                <w:color w:val="000000"/>
                <w:szCs w:val="21"/>
              </w:rPr>
            </w:pPr>
          </w:p>
        </w:tc>
        <w:tc>
          <w:tcPr>
            <w:tcW w:w="1243" w:type="dxa"/>
            <w:noWrap w:val="0"/>
            <w:vAlign w:val="center"/>
          </w:tcPr>
          <w:p>
            <w:pPr>
              <w:pStyle w:val="16"/>
              <w:keepNext/>
              <w:spacing w:line="440" w:lineRule="exact"/>
              <w:ind w:left="63" w:right="63"/>
              <w:rPr>
                <w:rFonts w:hint="eastAsia" w:ascii="宋体" w:hAnsi="宋体" w:cs="宋体"/>
                <w:color w:val="000000"/>
                <w:szCs w:val="21"/>
              </w:rPr>
            </w:pPr>
          </w:p>
        </w:tc>
        <w:tc>
          <w:tcPr>
            <w:tcW w:w="1450" w:type="dxa"/>
            <w:noWrap w:val="0"/>
            <w:vAlign w:val="center"/>
          </w:tcPr>
          <w:p>
            <w:pPr>
              <w:pStyle w:val="16"/>
              <w:keepNext/>
              <w:spacing w:line="440" w:lineRule="exact"/>
              <w:ind w:left="63" w:right="63"/>
              <w:rPr>
                <w:rFonts w:hint="eastAsia" w:ascii="宋体" w:hAnsi="宋体" w:cs="宋体"/>
                <w:color w:val="000000"/>
                <w:szCs w:val="21"/>
              </w:rPr>
            </w:pPr>
          </w:p>
        </w:tc>
        <w:tc>
          <w:tcPr>
            <w:tcW w:w="1667"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noWrap w:val="0"/>
            <w:vAlign w:val="center"/>
          </w:tcPr>
          <w:p>
            <w:pPr>
              <w:pStyle w:val="16"/>
              <w:keepNext/>
              <w:spacing w:line="440" w:lineRule="exact"/>
              <w:ind w:left="63" w:right="63"/>
              <w:rPr>
                <w:rFonts w:hint="eastAsia" w:ascii="宋体" w:hAnsi="宋体" w:cs="宋体"/>
                <w:color w:val="000000"/>
                <w:szCs w:val="21"/>
              </w:rPr>
            </w:pPr>
          </w:p>
        </w:tc>
        <w:tc>
          <w:tcPr>
            <w:tcW w:w="1276" w:type="dxa"/>
            <w:noWrap w:val="0"/>
            <w:vAlign w:val="center"/>
          </w:tcPr>
          <w:p>
            <w:pPr>
              <w:pStyle w:val="16"/>
              <w:keepNext/>
              <w:spacing w:line="440" w:lineRule="exact"/>
              <w:ind w:left="63" w:right="63"/>
              <w:rPr>
                <w:rFonts w:hint="eastAsia" w:ascii="宋体" w:hAnsi="宋体" w:cs="宋体"/>
                <w:color w:val="000000"/>
                <w:szCs w:val="21"/>
              </w:rPr>
            </w:pPr>
          </w:p>
        </w:tc>
        <w:tc>
          <w:tcPr>
            <w:tcW w:w="1450" w:type="dxa"/>
            <w:noWrap w:val="0"/>
            <w:vAlign w:val="center"/>
          </w:tcPr>
          <w:p>
            <w:pPr>
              <w:pStyle w:val="16"/>
              <w:keepNext/>
              <w:spacing w:line="440" w:lineRule="exact"/>
              <w:ind w:left="63" w:right="63"/>
              <w:rPr>
                <w:rFonts w:hint="eastAsia" w:ascii="宋体" w:hAnsi="宋体" w:cs="宋体"/>
                <w:color w:val="000000"/>
                <w:szCs w:val="21"/>
              </w:rPr>
            </w:pPr>
          </w:p>
        </w:tc>
        <w:tc>
          <w:tcPr>
            <w:tcW w:w="1243" w:type="dxa"/>
            <w:noWrap w:val="0"/>
            <w:vAlign w:val="center"/>
          </w:tcPr>
          <w:p>
            <w:pPr>
              <w:pStyle w:val="16"/>
              <w:keepNext/>
              <w:spacing w:line="440" w:lineRule="exact"/>
              <w:ind w:left="63" w:right="63"/>
              <w:rPr>
                <w:rFonts w:hint="eastAsia" w:ascii="宋体" w:hAnsi="宋体" w:cs="宋体"/>
                <w:color w:val="000000"/>
                <w:szCs w:val="21"/>
              </w:rPr>
            </w:pPr>
          </w:p>
        </w:tc>
        <w:tc>
          <w:tcPr>
            <w:tcW w:w="1450" w:type="dxa"/>
            <w:noWrap w:val="0"/>
            <w:vAlign w:val="center"/>
          </w:tcPr>
          <w:p>
            <w:pPr>
              <w:pStyle w:val="16"/>
              <w:keepNext/>
              <w:spacing w:line="440" w:lineRule="exact"/>
              <w:ind w:left="63" w:right="63"/>
              <w:rPr>
                <w:rFonts w:hint="eastAsia" w:ascii="宋体" w:hAnsi="宋体" w:cs="宋体"/>
                <w:color w:val="000000"/>
                <w:szCs w:val="21"/>
              </w:rPr>
            </w:pPr>
          </w:p>
        </w:tc>
        <w:tc>
          <w:tcPr>
            <w:tcW w:w="1667"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noWrap w:val="0"/>
            <w:vAlign w:val="center"/>
          </w:tcPr>
          <w:p>
            <w:pPr>
              <w:pStyle w:val="16"/>
              <w:keepNext/>
              <w:spacing w:line="440" w:lineRule="exact"/>
              <w:ind w:left="63" w:right="63"/>
              <w:rPr>
                <w:rFonts w:hint="eastAsia" w:ascii="宋体" w:hAnsi="宋体" w:cs="宋体"/>
                <w:color w:val="000000"/>
                <w:szCs w:val="21"/>
              </w:rPr>
            </w:pPr>
          </w:p>
        </w:tc>
        <w:tc>
          <w:tcPr>
            <w:tcW w:w="1276" w:type="dxa"/>
            <w:noWrap w:val="0"/>
            <w:vAlign w:val="center"/>
          </w:tcPr>
          <w:p>
            <w:pPr>
              <w:pStyle w:val="16"/>
              <w:keepNext/>
              <w:spacing w:line="440" w:lineRule="exact"/>
              <w:ind w:left="63" w:right="63"/>
              <w:rPr>
                <w:rFonts w:hint="eastAsia" w:ascii="宋体" w:hAnsi="宋体" w:cs="宋体"/>
                <w:color w:val="000000"/>
                <w:szCs w:val="21"/>
              </w:rPr>
            </w:pPr>
          </w:p>
        </w:tc>
        <w:tc>
          <w:tcPr>
            <w:tcW w:w="1450" w:type="dxa"/>
            <w:noWrap w:val="0"/>
            <w:vAlign w:val="center"/>
          </w:tcPr>
          <w:p>
            <w:pPr>
              <w:pStyle w:val="16"/>
              <w:keepNext/>
              <w:spacing w:line="440" w:lineRule="exact"/>
              <w:ind w:left="63" w:right="63"/>
              <w:rPr>
                <w:rFonts w:hint="eastAsia" w:ascii="宋体" w:hAnsi="宋体" w:cs="宋体"/>
                <w:color w:val="000000"/>
                <w:szCs w:val="21"/>
              </w:rPr>
            </w:pPr>
          </w:p>
        </w:tc>
        <w:tc>
          <w:tcPr>
            <w:tcW w:w="1243" w:type="dxa"/>
            <w:noWrap w:val="0"/>
            <w:vAlign w:val="center"/>
          </w:tcPr>
          <w:p>
            <w:pPr>
              <w:pStyle w:val="16"/>
              <w:keepNext/>
              <w:spacing w:line="440" w:lineRule="exact"/>
              <w:ind w:left="63" w:right="63"/>
              <w:rPr>
                <w:rFonts w:hint="eastAsia" w:ascii="宋体" w:hAnsi="宋体" w:cs="宋体"/>
                <w:color w:val="000000"/>
                <w:szCs w:val="21"/>
              </w:rPr>
            </w:pPr>
          </w:p>
        </w:tc>
        <w:tc>
          <w:tcPr>
            <w:tcW w:w="1450" w:type="dxa"/>
            <w:noWrap w:val="0"/>
            <w:vAlign w:val="center"/>
          </w:tcPr>
          <w:p>
            <w:pPr>
              <w:pStyle w:val="16"/>
              <w:keepNext/>
              <w:spacing w:line="440" w:lineRule="exact"/>
              <w:ind w:left="63" w:right="63"/>
              <w:rPr>
                <w:rFonts w:hint="eastAsia" w:ascii="宋体" w:hAnsi="宋体" w:cs="宋体"/>
                <w:color w:val="000000"/>
                <w:szCs w:val="21"/>
              </w:rPr>
            </w:pPr>
          </w:p>
        </w:tc>
        <w:tc>
          <w:tcPr>
            <w:tcW w:w="1667"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noWrap w:val="0"/>
            <w:vAlign w:val="center"/>
          </w:tcPr>
          <w:p>
            <w:pPr>
              <w:pStyle w:val="16"/>
              <w:keepNext/>
              <w:spacing w:line="440" w:lineRule="exact"/>
              <w:ind w:left="63" w:right="63"/>
              <w:rPr>
                <w:rFonts w:hint="eastAsia" w:ascii="宋体" w:hAnsi="宋体" w:cs="宋体"/>
                <w:color w:val="000000"/>
                <w:szCs w:val="21"/>
              </w:rPr>
            </w:pPr>
          </w:p>
        </w:tc>
        <w:tc>
          <w:tcPr>
            <w:tcW w:w="1276" w:type="dxa"/>
            <w:noWrap w:val="0"/>
            <w:vAlign w:val="center"/>
          </w:tcPr>
          <w:p>
            <w:pPr>
              <w:pStyle w:val="16"/>
              <w:keepNext/>
              <w:spacing w:line="440" w:lineRule="exact"/>
              <w:ind w:left="63" w:right="63"/>
              <w:rPr>
                <w:rFonts w:hint="eastAsia" w:ascii="宋体" w:hAnsi="宋体" w:cs="宋体"/>
                <w:color w:val="000000"/>
                <w:szCs w:val="21"/>
              </w:rPr>
            </w:pPr>
          </w:p>
        </w:tc>
        <w:tc>
          <w:tcPr>
            <w:tcW w:w="1450" w:type="dxa"/>
            <w:noWrap w:val="0"/>
            <w:vAlign w:val="center"/>
          </w:tcPr>
          <w:p>
            <w:pPr>
              <w:pStyle w:val="16"/>
              <w:keepNext/>
              <w:spacing w:line="440" w:lineRule="exact"/>
              <w:ind w:left="63" w:right="63"/>
              <w:rPr>
                <w:rFonts w:hint="eastAsia" w:ascii="宋体" w:hAnsi="宋体" w:cs="宋体"/>
                <w:color w:val="000000"/>
                <w:szCs w:val="21"/>
              </w:rPr>
            </w:pPr>
          </w:p>
        </w:tc>
        <w:tc>
          <w:tcPr>
            <w:tcW w:w="1243" w:type="dxa"/>
            <w:noWrap w:val="0"/>
            <w:vAlign w:val="center"/>
          </w:tcPr>
          <w:p>
            <w:pPr>
              <w:pStyle w:val="16"/>
              <w:keepNext/>
              <w:spacing w:line="440" w:lineRule="exact"/>
              <w:ind w:left="63" w:right="63"/>
              <w:rPr>
                <w:rFonts w:hint="eastAsia" w:ascii="宋体" w:hAnsi="宋体" w:cs="宋体"/>
                <w:color w:val="000000"/>
                <w:szCs w:val="21"/>
              </w:rPr>
            </w:pPr>
          </w:p>
        </w:tc>
        <w:tc>
          <w:tcPr>
            <w:tcW w:w="1450" w:type="dxa"/>
            <w:noWrap w:val="0"/>
            <w:vAlign w:val="center"/>
          </w:tcPr>
          <w:p>
            <w:pPr>
              <w:pStyle w:val="16"/>
              <w:keepNext/>
              <w:spacing w:line="440" w:lineRule="exact"/>
              <w:ind w:left="63" w:right="63"/>
              <w:rPr>
                <w:rFonts w:hint="eastAsia" w:ascii="宋体" w:hAnsi="宋体" w:cs="宋体"/>
                <w:color w:val="000000"/>
                <w:szCs w:val="21"/>
              </w:rPr>
            </w:pPr>
          </w:p>
        </w:tc>
        <w:tc>
          <w:tcPr>
            <w:tcW w:w="1667"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宋体" w:hAnsi="宋体" w:cs="宋体"/>
                <w:color w:val="000000"/>
                <w:szCs w:val="21"/>
              </w:rPr>
            </w:pPr>
          </w:p>
        </w:tc>
        <w:tc>
          <w:tcPr>
            <w:tcW w:w="1276"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243"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667" w:type="dxa"/>
            <w:noWrap w:val="0"/>
            <w:vAlign w:val="top"/>
          </w:tcPr>
          <w:p>
            <w:pP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noWrap w:val="0"/>
            <w:vAlign w:val="center"/>
          </w:tcPr>
          <w:p>
            <w:pPr>
              <w:pStyle w:val="16"/>
              <w:keepNext/>
              <w:spacing w:line="440" w:lineRule="exact"/>
              <w:ind w:left="63" w:right="63"/>
              <w:rPr>
                <w:rFonts w:hint="eastAsia" w:ascii="宋体" w:hAnsi="宋体" w:cs="宋体"/>
                <w:color w:val="000000"/>
                <w:szCs w:val="21"/>
              </w:rPr>
            </w:pPr>
          </w:p>
        </w:tc>
        <w:tc>
          <w:tcPr>
            <w:tcW w:w="1276" w:type="dxa"/>
            <w:noWrap w:val="0"/>
            <w:vAlign w:val="center"/>
          </w:tcPr>
          <w:p>
            <w:pPr>
              <w:pStyle w:val="16"/>
              <w:keepNext/>
              <w:spacing w:line="440" w:lineRule="exact"/>
              <w:ind w:left="63" w:right="63"/>
              <w:rPr>
                <w:rFonts w:hint="eastAsia" w:ascii="宋体" w:hAnsi="宋体" w:cs="宋体"/>
                <w:color w:val="000000"/>
                <w:szCs w:val="21"/>
              </w:rPr>
            </w:pPr>
          </w:p>
        </w:tc>
        <w:tc>
          <w:tcPr>
            <w:tcW w:w="1450" w:type="dxa"/>
            <w:noWrap w:val="0"/>
            <w:vAlign w:val="center"/>
          </w:tcPr>
          <w:p>
            <w:pPr>
              <w:pStyle w:val="16"/>
              <w:keepNext/>
              <w:spacing w:line="440" w:lineRule="exact"/>
              <w:ind w:left="63" w:right="63"/>
              <w:rPr>
                <w:rFonts w:hint="eastAsia" w:ascii="宋体" w:hAnsi="宋体" w:cs="宋体"/>
                <w:color w:val="000000"/>
                <w:szCs w:val="21"/>
              </w:rPr>
            </w:pPr>
          </w:p>
        </w:tc>
        <w:tc>
          <w:tcPr>
            <w:tcW w:w="1243" w:type="dxa"/>
            <w:noWrap w:val="0"/>
            <w:vAlign w:val="center"/>
          </w:tcPr>
          <w:p>
            <w:pPr>
              <w:pStyle w:val="16"/>
              <w:keepNext/>
              <w:spacing w:line="440" w:lineRule="exact"/>
              <w:ind w:left="63" w:right="63"/>
              <w:rPr>
                <w:rFonts w:hint="eastAsia" w:ascii="宋体" w:hAnsi="宋体" w:cs="宋体"/>
                <w:color w:val="000000"/>
                <w:szCs w:val="21"/>
              </w:rPr>
            </w:pPr>
          </w:p>
        </w:tc>
        <w:tc>
          <w:tcPr>
            <w:tcW w:w="1450" w:type="dxa"/>
            <w:noWrap w:val="0"/>
            <w:vAlign w:val="center"/>
          </w:tcPr>
          <w:p>
            <w:pPr>
              <w:pStyle w:val="16"/>
              <w:keepNext/>
              <w:spacing w:line="440" w:lineRule="exact"/>
              <w:ind w:left="63" w:right="63"/>
              <w:rPr>
                <w:rFonts w:hint="eastAsia" w:ascii="宋体" w:hAnsi="宋体" w:cs="宋体"/>
                <w:color w:val="000000"/>
                <w:szCs w:val="21"/>
              </w:rPr>
            </w:pPr>
          </w:p>
        </w:tc>
        <w:tc>
          <w:tcPr>
            <w:tcW w:w="1667"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宋体" w:hAnsi="宋体" w:cs="宋体"/>
                <w:color w:val="000000"/>
                <w:szCs w:val="21"/>
              </w:rPr>
            </w:pPr>
          </w:p>
        </w:tc>
        <w:tc>
          <w:tcPr>
            <w:tcW w:w="1276"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243"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667" w:type="dxa"/>
            <w:noWrap w:val="0"/>
            <w:vAlign w:val="top"/>
          </w:tcPr>
          <w:p>
            <w:pP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宋体" w:hAnsi="宋体" w:cs="宋体"/>
                <w:color w:val="000000"/>
                <w:szCs w:val="21"/>
              </w:rPr>
            </w:pPr>
          </w:p>
        </w:tc>
        <w:tc>
          <w:tcPr>
            <w:tcW w:w="1276"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243"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667" w:type="dxa"/>
            <w:noWrap w:val="0"/>
            <w:vAlign w:val="top"/>
          </w:tcPr>
          <w:p>
            <w:pP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宋体" w:hAnsi="宋体" w:cs="宋体"/>
                <w:color w:val="000000"/>
                <w:szCs w:val="21"/>
              </w:rPr>
            </w:pPr>
          </w:p>
        </w:tc>
        <w:tc>
          <w:tcPr>
            <w:tcW w:w="1276"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243"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667" w:type="dxa"/>
            <w:noWrap w:val="0"/>
            <w:vAlign w:val="top"/>
          </w:tcPr>
          <w:p>
            <w:pP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宋体" w:hAnsi="宋体" w:cs="宋体"/>
                <w:color w:val="000000"/>
                <w:szCs w:val="21"/>
              </w:rPr>
            </w:pPr>
          </w:p>
        </w:tc>
        <w:tc>
          <w:tcPr>
            <w:tcW w:w="1276"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243"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667" w:type="dxa"/>
            <w:noWrap w:val="0"/>
            <w:vAlign w:val="top"/>
          </w:tcPr>
          <w:p>
            <w:pP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宋体" w:hAnsi="宋体" w:cs="宋体"/>
                <w:color w:val="000000"/>
                <w:szCs w:val="21"/>
              </w:rPr>
            </w:pPr>
          </w:p>
        </w:tc>
        <w:tc>
          <w:tcPr>
            <w:tcW w:w="1276"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243"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667" w:type="dxa"/>
            <w:noWrap w:val="0"/>
            <w:vAlign w:val="top"/>
          </w:tcPr>
          <w:p>
            <w:pP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宋体" w:hAnsi="宋体" w:cs="宋体"/>
                <w:color w:val="000000"/>
                <w:szCs w:val="21"/>
              </w:rPr>
            </w:pPr>
          </w:p>
        </w:tc>
        <w:tc>
          <w:tcPr>
            <w:tcW w:w="1276"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243"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667" w:type="dxa"/>
            <w:noWrap w:val="0"/>
            <w:vAlign w:val="top"/>
          </w:tcPr>
          <w:p>
            <w:pP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宋体" w:hAnsi="宋体" w:cs="宋体"/>
                <w:color w:val="000000"/>
                <w:szCs w:val="21"/>
              </w:rPr>
            </w:pPr>
          </w:p>
        </w:tc>
        <w:tc>
          <w:tcPr>
            <w:tcW w:w="1276"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243"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667" w:type="dxa"/>
            <w:noWrap w:val="0"/>
            <w:vAlign w:val="top"/>
          </w:tcPr>
          <w:p>
            <w:pP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宋体" w:hAnsi="宋体" w:cs="宋体"/>
                <w:color w:val="000000"/>
                <w:szCs w:val="21"/>
              </w:rPr>
            </w:pPr>
          </w:p>
        </w:tc>
        <w:tc>
          <w:tcPr>
            <w:tcW w:w="1276"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243"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667" w:type="dxa"/>
            <w:noWrap w:val="0"/>
            <w:vAlign w:val="top"/>
          </w:tcPr>
          <w:p>
            <w:pP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宋体" w:hAnsi="宋体" w:cs="宋体"/>
                <w:color w:val="000000"/>
                <w:szCs w:val="21"/>
              </w:rPr>
            </w:pPr>
          </w:p>
        </w:tc>
        <w:tc>
          <w:tcPr>
            <w:tcW w:w="1276"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243" w:type="dxa"/>
            <w:noWrap w:val="0"/>
            <w:vAlign w:val="top"/>
          </w:tcPr>
          <w:p>
            <w:pPr>
              <w:rPr>
                <w:rFonts w:hint="eastAsia" w:ascii="宋体" w:hAnsi="宋体" w:cs="宋体"/>
                <w:color w:val="000000"/>
                <w:szCs w:val="21"/>
              </w:rPr>
            </w:pPr>
          </w:p>
        </w:tc>
        <w:tc>
          <w:tcPr>
            <w:tcW w:w="1450" w:type="dxa"/>
            <w:noWrap w:val="0"/>
            <w:vAlign w:val="top"/>
          </w:tcPr>
          <w:p>
            <w:pPr>
              <w:rPr>
                <w:rFonts w:hint="eastAsia" w:ascii="宋体" w:hAnsi="宋体" w:cs="宋体"/>
                <w:color w:val="000000"/>
                <w:szCs w:val="21"/>
              </w:rPr>
            </w:pPr>
          </w:p>
        </w:tc>
        <w:tc>
          <w:tcPr>
            <w:tcW w:w="1667" w:type="dxa"/>
            <w:noWrap w:val="0"/>
            <w:vAlign w:val="top"/>
          </w:tcPr>
          <w:p>
            <w:pPr>
              <w:rPr>
                <w:rFonts w:hint="eastAsia" w:ascii="宋体" w:hAnsi="宋体" w:cs="宋体"/>
                <w:color w:val="000000"/>
                <w:szCs w:val="21"/>
              </w:rPr>
            </w:pPr>
          </w:p>
        </w:tc>
      </w:tr>
    </w:tbl>
    <w:p>
      <w:pPr>
        <w:spacing w:line="440" w:lineRule="exact"/>
        <w:rPr>
          <w:rFonts w:hint="eastAsia" w:ascii="宋体" w:hAnsi="宋体" w:cs="宋体"/>
          <w:color w:val="000000"/>
          <w:szCs w:val="21"/>
        </w:rPr>
      </w:pPr>
    </w:p>
    <w:p>
      <w:pPr>
        <w:spacing w:line="440" w:lineRule="exact"/>
        <w:rPr>
          <w:rFonts w:hint="eastAsia" w:ascii="宋体" w:hAnsi="宋体" w:cs="宋体"/>
          <w:color w:val="000000"/>
          <w:szCs w:val="21"/>
        </w:rPr>
      </w:pPr>
      <w:r>
        <w:rPr>
          <w:rFonts w:hint="eastAsia" w:ascii="宋体" w:hAnsi="宋体" w:cs="宋体"/>
          <w:color w:val="000000"/>
          <w:szCs w:val="21"/>
        </w:rPr>
        <w:br w:type="page"/>
      </w:r>
      <w:r>
        <w:rPr>
          <w:rFonts w:hint="eastAsia" w:ascii="宋体" w:hAnsi="宋体" w:cs="宋体"/>
          <w:color w:val="000000"/>
          <w:szCs w:val="21"/>
        </w:rPr>
        <w:t>附</w:t>
      </w:r>
      <w:bookmarkStart w:id="2980" w:name="_Toc296503227"/>
      <w:bookmarkStart w:id="2981" w:name="_Toc296944566"/>
      <w:bookmarkStart w:id="2982" w:name="_Toc296346728"/>
      <w:bookmarkStart w:id="2983" w:name="_Toc296891055"/>
      <w:bookmarkStart w:id="2984" w:name="_Toc296891267"/>
      <w:bookmarkStart w:id="2985" w:name="_Toc296347226"/>
      <w:bookmarkStart w:id="2986" w:name="_Toc267261698"/>
      <w:r>
        <w:rPr>
          <w:rFonts w:hint="eastAsia" w:ascii="宋体" w:hAnsi="宋体" w:cs="宋体"/>
          <w:color w:val="000000"/>
          <w:szCs w:val="21"/>
        </w:rPr>
        <w:t>件5：</w:t>
      </w:r>
    </w:p>
    <w:bookmarkEnd w:id="2980"/>
    <w:bookmarkEnd w:id="2981"/>
    <w:bookmarkEnd w:id="2982"/>
    <w:bookmarkEnd w:id="2983"/>
    <w:bookmarkEnd w:id="2984"/>
    <w:bookmarkEnd w:id="2985"/>
    <w:bookmarkEnd w:id="2986"/>
    <w:p>
      <w:pPr>
        <w:spacing w:before="156" w:beforeLines="50" w:after="156" w:afterLines="50" w:line="440" w:lineRule="exact"/>
        <w:jc w:val="center"/>
        <w:rPr>
          <w:rFonts w:hint="eastAsia" w:ascii="宋体" w:hAnsi="宋体" w:cs="宋体"/>
          <w:color w:val="000000"/>
          <w:szCs w:val="21"/>
        </w:rPr>
      </w:pPr>
      <w:r>
        <w:rPr>
          <w:rFonts w:hint="eastAsia" w:ascii="宋体" w:hAnsi="宋体" w:cs="宋体"/>
          <w:color w:val="000000"/>
          <w:szCs w:val="21"/>
        </w:rPr>
        <w:t>承包人用于本工程施工的机械设备表</w:t>
      </w:r>
    </w:p>
    <w:tbl>
      <w:tblPr>
        <w:tblStyle w:val="39"/>
        <w:tblW w:w="9809"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序号</w:t>
            </w:r>
          </w:p>
        </w:tc>
        <w:tc>
          <w:tcPr>
            <w:tcW w:w="1418"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机械或设备名称</w:t>
            </w:r>
          </w:p>
        </w:tc>
        <w:tc>
          <w:tcPr>
            <w:tcW w:w="850"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规格型号</w:t>
            </w:r>
          </w:p>
        </w:tc>
        <w:tc>
          <w:tcPr>
            <w:tcW w:w="1058"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数量</w:t>
            </w:r>
          </w:p>
        </w:tc>
        <w:tc>
          <w:tcPr>
            <w:tcW w:w="880"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产地</w:t>
            </w:r>
          </w:p>
        </w:tc>
        <w:tc>
          <w:tcPr>
            <w:tcW w:w="1020"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制造年份</w:t>
            </w:r>
          </w:p>
        </w:tc>
        <w:tc>
          <w:tcPr>
            <w:tcW w:w="1480"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额定功率(kW)</w:t>
            </w:r>
          </w:p>
        </w:tc>
        <w:tc>
          <w:tcPr>
            <w:tcW w:w="1020"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生产能力</w:t>
            </w:r>
          </w:p>
        </w:tc>
        <w:tc>
          <w:tcPr>
            <w:tcW w:w="921"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1418"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850"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1058"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880"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1020"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1480"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1020"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c>
          <w:tcPr>
            <w:tcW w:w="921" w:type="dxa"/>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418"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5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058"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88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02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48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020"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921"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850" w:type="dxa"/>
            <w:noWrap w:val="0"/>
            <w:vAlign w:val="center"/>
          </w:tcPr>
          <w:p>
            <w:pPr>
              <w:pStyle w:val="16"/>
              <w:keepNext/>
              <w:spacing w:line="440" w:lineRule="exact"/>
              <w:ind w:left="63" w:right="63"/>
              <w:rPr>
                <w:rFonts w:hint="eastAsia" w:ascii="宋体" w:hAnsi="宋体" w:cs="宋体"/>
                <w:color w:val="000000"/>
                <w:szCs w:val="21"/>
              </w:rPr>
            </w:pPr>
          </w:p>
        </w:tc>
        <w:tc>
          <w:tcPr>
            <w:tcW w:w="1058" w:type="dxa"/>
            <w:noWrap w:val="0"/>
            <w:vAlign w:val="center"/>
          </w:tcPr>
          <w:p>
            <w:pPr>
              <w:pStyle w:val="16"/>
              <w:keepNext/>
              <w:spacing w:line="440" w:lineRule="exact"/>
              <w:ind w:left="63" w:right="63"/>
              <w:rPr>
                <w:rFonts w:hint="eastAsia" w:ascii="宋体" w:hAnsi="宋体" w:cs="宋体"/>
                <w:color w:val="000000"/>
                <w:szCs w:val="21"/>
              </w:rPr>
            </w:pPr>
          </w:p>
        </w:tc>
        <w:tc>
          <w:tcPr>
            <w:tcW w:w="880" w:type="dxa"/>
            <w:noWrap w:val="0"/>
            <w:vAlign w:val="center"/>
          </w:tcPr>
          <w:p>
            <w:pPr>
              <w:pStyle w:val="16"/>
              <w:keepNext/>
              <w:spacing w:line="440" w:lineRule="exact"/>
              <w:ind w:left="63" w:right="63"/>
              <w:rPr>
                <w:rFonts w:hint="eastAsia" w:ascii="宋体" w:hAnsi="宋体" w:cs="宋体"/>
                <w:color w:val="000000"/>
                <w:szCs w:val="21"/>
              </w:rPr>
            </w:pPr>
          </w:p>
        </w:tc>
        <w:tc>
          <w:tcPr>
            <w:tcW w:w="1020" w:type="dxa"/>
            <w:noWrap w:val="0"/>
            <w:vAlign w:val="center"/>
          </w:tcPr>
          <w:p>
            <w:pPr>
              <w:pStyle w:val="16"/>
              <w:keepNext/>
              <w:spacing w:line="440" w:lineRule="exact"/>
              <w:ind w:left="63" w:right="63"/>
              <w:rPr>
                <w:rFonts w:hint="eastAsia" w:ascii="宋体" w:hAnsi="宋体" w:cs="宋体"/>
                <w:color w:val="000000"/>
                <w:szCs w:val="21"/>
              </w:rPr>
            </w:pPr>
          </w:p>
        </w:tc>
        <w:tc>
          <w:tcPr>
            <w:tcW w:w="1480" w:type="dxa"/>
            <w:noWrap w:val="0"/>
            <w:vAlign w:val="center"/>
          </w:tcPr>
          <w:p>
            <w:pPr>
              <w:pStyle w:val="16"/>
              <w:keepNext/>
              <w:spacing w:line="440" w:lineRule="exact"/>
              <w:ind w:left="63" w:right="63"/>
              <w:rPr>
                <w:rFonts w:hint="eastAsia" w:ascii="宋体" w:hAnsi="宋体" w:cs="宋体"/>
                <w:color w:val="000000"/>
                <w:szCs w:val="21"/>
              </w:rPr>
            </w:pPr>
          </w:p>
        </w:tc>
        <w:tc>
          <w:tcPr>
            <w:tcW w:w="1020" w:type="dxa"/>
            <w:noWrap w:val="0"/>
            <w:vAlign w:val="center"/>
          </w:tcPr>
          <w:p>
            <w:pPr>
              <w:pStyle w:val="16"/>
              <w:keepNext/>
              <w:spacing w:line="440" w:lineRule="exact"/>
              <w:ind w:left="63" w:right="63"/>
              <w:rPr>
                <w:rFonts w:hint="eastAsia" w:ascii="宋体" w:hAnsi="宋体" w:cs="宋体"/>
                <w:color w:val="000000"/>
                <w:szCs w:val="21"/>
              </w:rPr>
            </w:pPr>
          </w:p>
        </w:tc>
        <w:tc>
          <w:tcPr>
            <w:tcW w:w="921"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850" w:type="dxa"/>
            <w:noWrap w:val="0"/>
            <w:vAlign w:val="center"/>
          </w:tcPr>
          <w:p>
            <w:pPr>
              <w:pStyle w:val="16"/>
              <w:keepNext/>
              <w:spacing w:line="440" w:lineRule="exact"/>
              <w:ind w:left="63" w:right="63"/>
              <w:rPr>
                <w:rFonts w:hint="eastAsia" w:ascii="宋体" w:hAnsi="宋体" w:cs="宋体"/>
                <w:color w:val="000000"/>
                <w:szCs w:val="21"/>
              </w:rPr>
            </w:pPr>
          </w:p>
        </w:tc>
        <w:tc>
          <w:tcPr>
            <w:tcW w:w="1058" w:type="dxa"/>
            <w:noWrap w:val="0"/>
            <w:vAlign w:val="center"/>
          </w:tcPr>
          <w:p>
            <w:pPr>
              <w:pStyle w:val="16"/>
              <w:keepNext/>
              <w:spacing w:line="440" w:lineRule="exact"/>
              <w:ind w:left="63" w:right="63"/>
              <w:rPr>
                <w:rFonts w:hint="eastAsia" w:ascii="宋体" w:hAnsi="宋体" w:cs="宋体"/>
                <w:color w:val="000000"/>
                <w:szCs w:val="21"/>
              </w:rPr>
            </w:pPr>
          </w:p>
        </w:tc>
        <w:tc>
          <w:tcPr>
            <w:tcW w:w="880" w:type="dxa"/>
            <w:noWrap w:val="0"/>
            <w:vAlign w:val="center"/>
          </w:tcPr>
          <w:p>
            <w:pPr>
              <w:pStyle w:val="16"/>
              <w:keepNext/>
              <w:spacing w:line="440" w:lineRule="exact"/>
              <w:ind w:left="63" w:right="63"/>
              <w:rPr>
                <w:rFonts w:hint="eastAsia" w:ascii="宋体" w:hAnsi="宋体" w:cs="宋体"/>
                <w:color w:val="000000"/>
                <w:szCs w:val="21"/>
              </w:rPr>
            </w:pPr>
          </w:p>
        </w:tc>
        <w:tc>
          <w:tcPr>
            <w:tcW w:w="1020" w:type="dxa"/>
            <w:noWrap w:val="0"/>
            <w:vAlign w:val="center"/>
          </w:tcPr>
          <w:p>
            <w:pPr>
              <w:pStyle w:val="16"/>
              <w:keepNext/>
              <w:spacing w:line="440" w:lineRule="exact"/>
              <w:ind w:left="63" w:right="63"/>
              <w:rPr>
                <w:rFonts w:hint="eastAsia" w:ascii="宋体" w:hAnsi="宋体" w:cs="宋体"/>
                <w:color w:val="000000"/>
                <w:szCs w:val="21"/>
              </w:rPr>
            </w:pPr>
          </w:p>
        </w:tc>
        <w:tc>
          <w:tcPr>
            <w:tcW w:w="1480" w:type="dxa"/>
            <w:noWrap w:val="0"/>
            <w:vAlign w:val="center"/>
          </w:tcPr>
          <w:p>
            <w:pPr>
              <w:pStyle w:val="16"/>
              <w:keepNext/>
              <w:spacing w:line="440" w:lineRule="exact"/>
              <w:ind w:left="63" w:right="63"/>
              <w:rPr>
                <w:rFonts w:hint="eastAsia" w:ascii="宋体" w:hAnsi="宋体" w:cs="宋体"/>
                <w:color w:val="000000"/>
                <w:szCs w:val="21"/>
              </w:rPr>
            </w:pPr>
          </w:p>
        </w:tc>
        <w:tc>
          <w:tcPr>
            <w:tcW w:w="1020" w:type="dxa"/>
            <w:noWrap w:val="0"/>
            <w:vAlign w:val="center"/>
          </w:tcPr>
          <w:p>
            <w:pPr>
              <w:pStyle w:val="16"/>
              <w:keepNext/>
              <w:spacing w:line="440" w:lineRule="exact"/>
              <w:ind w:left="63" w:right="63"/>
              <w:rPr>
                <w:rFonts w:hint="eastAsia" w:ascii="宋体" w:hAnsi="宋体" w:cs="宋体"/>
                <w:color w:val="000000"/>
                <w:szCs w:val="21"/>
              </w:rPr>
            </w:pPr>
          </w:p>
        </w:tc>
        <w:tc>
          <w:tcPr>
            <w:tcW w:w="921"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850" w:type="dxa"/>
            <w:noWrap w:val="0"/>
            <w:vAlign w:val="center"/>
          </w:tcPr>
          <w:p>
            <w:pPr>
              <w:pStyle w:val="16"/>
              <w:keepNext/>
              <w:spacing w:line="440" w:lineRule="exact"/>
              <w:ind w:left="63" w:right="63"/>
              <w:rPr>
                <w:rFonts w:hint="eastAsia" w:ascii="宋体" w:hAnsi="宋体" w:cs="宋体"/>
                <w:color w:val="000000"/>
                <w:szCs w:val="21"/>
              </w:rPr>
            </w:pPr>
          </w:p>
        </w:tc>
        <w:tc>
          <w:tcPr>
            <w:tcW w:w="1058" w:type="dxa"/>
            <w:noWrap w:val="0"/>
            <w:vAlign w:val="center"/>
          </w:tcPr>
          <w:p>
            <w:pPr>
              <w:pStyle w:val="16"/>
              <w:keepNext/>
              <w:spacing w:line="440" w:lineRule="exact"/>
              <w:ind w:left="63" w:right="63"/>
              <w:rPr>
                <w:rFonts w:hint="eastAsia" w:ascii="宋体" w:hAnsi="宋体" w:cs="宋体"/>
                <w:color w:val="000000"/>
                <w:szCs w:val="21"/>
              </w:rPr>
            </w:pPr>
          </w:p>
        </w:tc>
        <w:tc>
          <w:tcPr>
            <w:tcW w:w="880" w:type="dxa"/>
            <w:noWrap w:val="0"/>
            <w:vAlign w:val="center"/>
          </w:tcPr>
          <w:p>
            <w:pPr>
              <w:pStyle w:val="16"/>
              <w:keepNext/>
              <w:spacing w:line="440" w:lineRule="exact"/>
              <w:ind w:left="63" w:right="63"/>
              <w:rPr>
                <w:rFonts w:hint="eastAsia" w:ascii="宋体" w:hAnsi="宋体" w:cs="宋体"/>
                <w:color w:val="000000"/>
                <w:szCs w:val="21"/>
              </w:rPr>
            </w:pPr>
          </w:p>
        </w:tc>
        <w:tc>
          <w:tcPr>
            <w:tcW w:w="1020" w:type="dxa"/>
            <w:noWrap w:val="0"/>
            <w:vAlign w:val="center"/>
          </w:tcPr>
          <w:p>
            <w:pPr>
              <w:pStyle w:val="16"/>
              <w:keepNext/>
              <w:spacing w:line="440" w:lineRule="exact"/>
              <w:ind w:left="63" w:right="63"/>
              <w:rPr>
                <w:rFonts w:hint="eastAsia" w:ascii="宋体" w:hAnsi="宋体" w:cs="宋体"/>
                <w:color w:val="000000"/>
                <w:szCs w:val="21"/>
              </w:rPr>
            </w:pPr>
          </w:p>
        </w:tc>
        <w:tc>
          <w:tcPr>
            <w:tcW w:w="1480" w:type="dxa"/>
            <w:noWrap w:val="0"/>
            <w:vAlign w:val="center"/>
          </w:tcPr>
          <w:p>
            <w:pPr>
              <w:pStyle w:val="16"/>
              <w:keepNext/>
              <w:spacing w:line="440" w:lineRule="exact"/>
              <w:ind w:left="63" w:right="63"/>
              <w:rPr>
                <w:rFonts w:hint="eastAsia" w:ascii="宋体" w:hAnsi="宋体" w:cs="宋体"/>
                <w:color w:val="000000"/>
                <w:szCs w:val="21"/>
              </w:rPr>
            </w:pPr>
          </w:p>
        </w:tc>
        <w:tc>
          <w:tcPr>
            <w:tcW w:w="1020" w:type="dxa"/>
            <w:noWrap w:val="0"/>
            <w:vAlign w:val="center"/>
          </w:tcPr>
          <w:p>
            <w:pPr>
              <w:pStyle w:val="16"/>
              <w:keepNext/>
              <w:spacing w:line="440" w:lineRule="exact"/>
              <w:ind w:left="63" w:right="63"/>
              <w:rPr>
                <w:rFonts w:hint="eastAsia" w:ascii="宋体" w:hAnsi="宋体" w:cs="宋体"/>
                <w:color w:val="000000"/>
                <w:szCs w:val="21"/>
              </w:rPr>
            </w:pPr>
          </w:p>
        </w:tc>
        <w:tc>
          <w:tcPr>
            <w:tcW w:w="921"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850" w:type="dxa"/>
            <w:noWrap w:val="0"/>
            <w:vAlign w:val="center"/>
          </w:tcPr>
          <w:p>
            <w:pPr>
              <w:pStyle w:val="16"/>
              <w:keepNext/>
              <w:spacing w:line="440" w:lineRule="exact"/>
              <w:ind w:left="63" w:right="63"/>
              <w:rPr>
                <w:rFonts w:hint="eastAsia" w:ascii="宋体" w:hAnsi="宋体" w:cs="宋体"/>
                <w:color w:val="000000"/>
                <w:szCs w:val="21"/>
              </w:rPr>
            </w:pPr>
          </w:p>
        </w:tc>
        <w:tc>
          <w:tcPr>
            <w:tcW w:w="1058" w:type="dxa"/>
            <w:noWrap w:val="0"/>
            <w:vAlign w:val="center"/>
          </w:tcPr>
          <w:p>
            <w:pPr>
              <w:pStyle w:val="16"/>
              <w:keepNext/>
              <w:spacing w:line="440" w:lineRule="exact"/>
              <w:ind w:left="63" w:right="63"/>
              <w:rPr>
                <w:rFonts w:hint="eastAsia" w:ascii="宋体" w:hAnsi="宋体" w:cs="宋体"/>
                <w:color w:val="000000"/>
                <w:szCs w:val="21"/>
              </w:rPr>
            </w:pPr>
          </w:p>
        </w:tc>
        <w:tc>
          <w:tcPr>
            <w:tcW w:w="880" w:type="dxa"/>
            <w:noWrap w:val="0"/>
            <w:vAlign w:val="center"/>
          </w:tcPr>
          <w:p>
            <w:pPr>
              <w:pStyle w:val="16"/>
              <w:keepNext/>
              <w:spacing w:line="440" w:lineRule="exact"/>
              <w:ind w:left="63" w:right="63"/>
              <w:rPr>
                <w:rFonts w:hint="eastAsia" w:ascii="宋体" w:hAnsi="宋体" w:cs="宋体"/>
                <w:color w:val="000000"/>
                <w:szCs w:val="21"/>
              </w:rPr>
            </w:pPr>
          </w:p>
        </w:tc>
        <w:tc>
          <w:tcPr>
            <w:tcW w:w="1020" w:type="dxa"/>
            <w:noWrap w:val="0"/>
            <w:vAlign w:val="center"/>
          </w:tcPr>
          <w:p>
            <w:pPr>
              <w:pStyle w:val="16"/>
              <w:keepNext/>
              <w:spacing w:line="440" w:lineRule="exact"/>
              <w:ind w:left="63" w:right="63"/>
              <w:rPr>
                <w:rFonts w:hint="eastAsia" w:ascii="宋体" w:hAnsi="宋体" w:cs="宋体"/>
                <w:color w:val="000000"/>
                <w:szCs w:val="21"/>
              </w:rPr>
            </w:pPr>
          </w:p>
        </w:tc>
        <w:tc>
          <w:tcPr>
            <w:tcW w:w="1480" w:type="dxa"/>
            <w:noWrap w:val="0"/>
            <w:vAlign w:val="center"/>
          </w:tcPr>
          <w:p>
            <w:pPr>
              <w:pStyle w:val="16"/>
              <w:keepNext/>
              <w:spacing w:line="440" w:lineRule="exact"/>
              <w:ind w:left="63" w:right="63"/>
              <w:rPr>
                <w:rFonts w:hint="eastAsia" w:ascii="宋体" w:hAnsi="宋体" w:cs="宋体"/>
                <w:color w:val="000000"/>
                <w:szCs w:val="21"/>
              </w:rPr>
            </w:pPr>
          </w:p>
        </w:tc>
        <w:tc>
          <w:tcPr>
            <w:tcW w:w="1020" w:type="dxa"/>
            <w:noWrap w:val="0"/>
            <w:vAlign w:val="center"/>
          </w:tcPr>
          <w:p>
            <w:pPr>
              <w:pStyle w:val="16"/>
              <w:keepNext/>
              <w:spacing w:line="440" w:lineRule="exact"/>
              <w:ind w:left="63" w:right="63"/>
              <w:rPr>
                <w:rFonts w:hint="eastAsia" w:ascii="宋体" w:hAnsi="宋体" w:cs="宋体"/>
                <w:color w:val="000000"/>
                <w:szCs w:val="21"/>
              </w:rPr>
            </w:pPr>
          </w:p>
        </w:tc>
        <w:tc>
          <w:tcPr>
            <w:tcW w:w="921"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850" w:type="dxa"/>
            <w:noWrap w:val="0"/>
            <w:vAlign w:val="center"/>
          </w:tcPr>
          <w:p>
            <w:pPr>
              <w:pStyle w:val="16"/>
              <w:keepNext/>
              <w:spacing w:line="440" w:lineRule="exact"/>
              <w:ind w:left="63" w:right="63"/>
              <w:rPr>
                <w:rFonts w:hint="eastAsia" w:ascii="宋体" w:hAnsi="宋体" w:cs="宋体"/>
                <w:color w:val="000000"/>
                <w:szCs w:val="21"/>
              </w:rPr>
            </w:pPr>
          </w:p>
        </w:tc>
        <w:tc>
          <w:tcPr>
            <w:tcW w:w="1058" w:type="dxa"/>
            <w:noWrap w:val="0"/>
            <w:vAlign w:val="center"/>
          </w:tcPr>
          <w:p>
            <w:pPr>
              <w:pStyle w:val="16"/>
              <w:keepNext/>
              <w:spacing w:line="440" w:lineRule="exact"/>
              <w:ind w:left="63" w:right="63"/>
              <w:rPr>
                <w:rFonts w:hint="eastAsia" w:ascii="宋体" w:hAnsi="宋体" w:cs="宋体"/>
                <w:color w:val="000000"/>
                <w:szCs w:val="21"/>
              </w:rPr>
            </w:pPr>
          </w:p>
        </w:tc>
        <w:tc>
          <w:tcPr>
            <w:tcW w:w="880" w:type="dxa"/>
            <w:noWrap w:val="0"/>
            <w:vAlign w:val="center"/>
          </w:tcPr>
          <w:p>
            <w:pPr>
              <w:pStyle w:val="16"/>
              <w:keepNext/>
              <w:spacing w:line="440" w:lineRule="exact"/>
              <w:ind w:left="63" w:right="63"/>
              <w:rPr>
                <w:rFonts w:hint="eastAsia" w:ascii="宋体" w:hAnsi="宋体" w:cs="宋体"/>
                <w:color w:val="000000"/>
                <w:szCs w:val="21"/>
              </w:rPr>
            </w:pPr>
          </w:p>
        </w:tc>
        <w:tc>
          <w:tcPr>
            <w:tcW w:w="1020" w:type="dxa"/>
            <w:noWrap w:val="0"/>
            <w:vAlign w:val="center"/>
          </w:tcPr>
          <w:p>
            <w:pPr>
              <w:pStyle w:val="16"/>
              <w:keepNext/>
              <w:spacing w:line="440" w:lineRule="exact"/>
              <w:ind w:left="63" w:right="63"/>
              <w:rPr>
                <w:rFonts w:hint="eastAsia" w:ascii="宋体" w:hAnsi="宋体" w:cs="宋体"/>
                <w:color w:val="000000"/>
                <w:szCs w:val="21"/>
              </w:rPr>
            </w:pPr>
          </w:p>
        </w:tc>
        <w:tc>
          <w:tcPr>
            <w:tcW w:w="1480" w:type="dxa"/>
            <w:noWrap w:val="0"/>
            <w:vAlign w:val="center"/>
          </w:tcPr>
          <w:p>
            <w:pPr>
              <w:pStyle w:val="16"/>
              <w:keepNext/>
              <w:spacing w:line="440" w:lineRule="exact"/>
              <w:ind w:left="63" w:right="63"/>
              <w:rPr>
                <w:rFonts w:hint="eastAsia" w:ascii="宋体" w:hAnsi="宋体" w:cs="宋体"/>
                <w:color w:val="000000"/>
                <w:szCs w:val="21"/>
              </w:rPr>
            </w:pPr>
          </w:p>
        </w:tc>
        <w:tc>
          <w:tcPr>
            <w:tcW w:w="1020" w:type="dxa"/>
            <w:noWrap w:val="0"/>
            <w:vAlign w:val="center"/>
          </w:tcPr>
          <w:p>
            <w:pPr>
              <w:pStyle w:val="16"/>
              <w:keepNext/>
              <w:spacing w:line="440" w:lineRule="exact"/>
              <w:ind w:left="63" w:right="63"/>
              <w:rPr>
                <w:rFonts w:hint="eastAsia" w:ascii="宋体" w:hAnsi="宋体" w:cs="宋体"/>
                <w:color w:val="000000"/>
                <w:szCs w:val="21"/>
              </w:rPr>
            </w:pPr>
          </w:p>
        </w:tc>
        <w:tc>
          <w:tcPr>
            <w:tcW w:w="921"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850" w:type="dxa"/>
            <w:noWrap w:val="0"/>
            <w:vAlign w:val="center"/>
          </w:tcPr>
          <w:p>
            <w:pPr>
              <w:pStyle w:val="16"/>
              <w:keepNext/>
              <w:spacing w:line="440" w:lineRule="exact"/>
              <w:ind w:left="63" w:right="63"/>
              <w:rPr>
                <w:rFonts w:hint="eastAsia" w:ascii="宋体" w:hAnsi="宋体" w:cs="宋体"/>
                <w:color w:val="000000"/>
                <w:szCs w:val="21"/>
              </w:rPr>
            </w:pPr>
          </w:p>
        </w:tc>
        <w:tc>
          <w:tcPr>
            <w:tcW w:w="1058" w:type="dxa"/>
            <w:noWrap w:val="0"/>
            <w:vAlign w:val="center"/>
          </w:tcPr>
          <w:p>
            <w:pPr>
              <w:pStyle w:val="16"/>
              <w:keepNext/>
              <w:spacing w:line="440" w:lineRule="exact"/>
              <w:ind w:left="63" w:right="63"/>
              <w:rPr>
                <w:rFonts w:hint="eastAsia" w:ascii="宋体" w:hAnsi="宋体" w:cs="宋体"/>
                <w:color w:val="000000"/>
                <w:szCs w:val="21"/>
              </w:rPr>
            </w:pPr>
          </w:p>
        </w:tc>
        <w:tc>
          <w:tcPr>
            <w:tcW w:w="880" w:type="dxa"/>
            <w:noWrap w:val="0"/>
            <w:vAlign w:val="center"/>
          </w:tcPr>
          <w:p>
            <w:pPr>
              <w:pStyle w:val="16"/>
              <w:keepNext/>
              <w:spacing w:line="440" w:lineRule="exact"/>
              <w:ind w:left="63" w:right="63"/>
              <w:rPr>
                <w:rFonts w:hint="eastAsia" w:ascii="宋体" w:hAnsi="宋体" w:cs="宋体"/>
                <w:color w:val="000000"/>
                <w:szCs w:val="21"/>
              </w:rPr>
            </w:pPr>
          </w:p>
        </w:tc>
        <w:tc>
          <w:tcPr>
            <w:tcW w:w="1020" w:type="dxa"/>
            <w:noWrap w:val="0"/>
            <w:vAlign w:val="center"/>
          </w:tcPr>
          <w:p>
            <w:pPr>
              <w:pStyle w:val="16"/>
              <w:keepNext/>
              <w:spacing w:line="440" w:lineRule="exact"/>
              <w:ind w:left="63" w:right="63"/>
              <w:rPr>
                <w:rFonts w:hint="eastAsia" w:ascii="宋体" w:hAnsi="宋体" w:cs="宋体"/>
                <w:color w:val="000000"/>
                <w:szCs w:val="21"/>
              </w:rPr>
            </w:pPr>
          </w:p>
        </w:tc>
        <w:tc>
          <w:tcPr>
            <w:tcW w:w="1480" w:type="dxa"/>
            <w:noWrap w:val="0"/>
            <w:vAlign w:val="center"/>
          </w:tcPr>
          <w:p>
            <w:pPr>
              <w:pStyle w:val="16"/>
              <w:keepNext/>
              <w:spacing w:line="440" w:lineRule="exact"/>
              <w:ind w:left="63" w:right="63"/>
              <w:rPr>
                <w:rFonts w:hint="eastAsia" w:ascii="宋体" w:hAnsi="宋体" w:cs="宋体"/>
                <w:color w:val="000000"/>
                <w:szCs w:val="21"/>
              </w:rPr>
            </w:pPr>
          </w:p>
        </w:tc>
        <w:tc>
          <w:tcPr>
            <w:tcW w:w="1020" w:type="dxa"/>
            <w:noWrap w:val="0"/>
            <w:vAlign w:val="center"/>
          </w:tcPr>
          <w:p>
            <w:pPr>
              <w:pStyle w:val="16"/>
              <w:keepNext/>
              <w:spacing w:line="440" w:lineRule="exact"/>
              <w:ind w:left="63" w:right="63"/>
              <w:rPr>
                <w:rFonts w:hint="eastAsia" w:ascii="宋体" w:hAnsi="宋体" w:cs="宋体"/>
                <w:color w:val="000000"/>
                <w:szCs w:val="21"/>
              </w:rPr>
            </w:pPr>
          </w:p>
        </w:tc>
        <w:tc>
          <w:tcPr>
            <w:tcW w:w="921"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宋体" w:hAnsi="宋体" w:cs="宋体"/>
                <w:color w:val="000000"/>
                <w:szCs w:val="21"/>
              </w:rPr>
            </w:pPr>
          </w:p>
        </w:tc>
        <w:tc>
          <w:tcPr>
            <w:tcW w:w="1418" w:type="dxa"/>
            <w:noWrap w:val="0"/>
            <w:vAlign w:val="top"/>
          </w:tcPr>
          <w:p>
            <w:pPr>
              <w:rPr>
                <w:rFonts w:hint="eastAsia" w:ascii="宋体" w:hAnsi="宋体" w:cs="宋体"/>
                <w:color w:val="000000"/>
                <w:szCs w:val="21"/>
              </w:rPr>
            </w:pPr>
          </w:p>
        </w:tc>
        <w:tc>
          <w:tcPr>
            <w:tcW w:w="850" w:type="dxa"/>
            <w:noWrap w:val="0"/>
            <w:vAlign w:val="top"/>
          </w:tcPr>
          <w:p>
            <w:pPr>
              <w:rPr>
                <w:rFonts w:hint="eastAsia" w:ascii="宋体" w:hAnsi="宋体" w:cs="宋体"/>
                <w:color w:val="000000"/>
                <w:szCs w:val="21"/>
              </w:rPr>
            </w:pPr>
          </w:p>
        </w:tc>
        <w:tc>
          <w:tcPr>
            <w:tcW w:w="1058" w:type="dxa"/>
            <w:noWrap w:val="0"/>
            <w:vAlign w:val="top"/>
          </w:tcPr>
          <w:p>
            <w:pPr>
              <w:rPr>
                <w:rFonts w:hint="eastAsia" w:ascii="宋体" w:hAnsi="宋体" w:cs="宋体"/>
                <w:color w:val="000000"/>
                <w:szCs w:val="21"/>
              </w:rPr>
            </w:pPr>
          </w:p>
        </w:tc>
        <w:tc>
          <w:tcPr>
            <w:tcW w:w="8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14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921" w:type="dxa"/>
            <w:noWrap w:val="0"/>
            <w:vAlign w:val="top"/>
          </w:tcPr>
          <w:p>
            <w:pP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850" w:type="dxa"/>
            <w:noWrap w:val="0"/>
            <w:vAlign w:val="center"/>
          </w:tcPr>
          <w:p>
            <w:pPr>
              <w:pStyle w:val="16"/>
              <w:keepNext/>
              <w:spacing w:line="440" w:lineRule="exact"/>
              <w:ind w:left="63" w:right="63"/>
              <w:rPr>
                <w:rFonts w:hint="eastAsia" w:ascii="宋体" w:hAnsi="宋体" w:cs="宋体"/>
                <w:color w:val="000000"/>
                <w:szCs w:val="21"/>
              </w:rPr>
            </w:pPr>
          </w:p>
        </w:tc>
        <w:tc>
          <w:tcPr>
            <w:tcW w:w="1058" w:type="dxa"/>
            <w:noWrap w:val="0"/>
            <w:vAlign w:val="center"/>
          </w:tcPr>
          <w:p>
            <w:pPr>
              <w:pStyle w:val="16"/>
              <w:keepNext/>
              <w:spacing w:line="440" w:lineRule="exact"/>
              <w:ind w:left="63" w:right="63"/>
              <w:rPr>
                <w:rFonts w:hint="eastAsia" w:ascii="宋体" w:hAnsi="宋体" w:cs="宋体"/>
                <w:color w:val="000000"/>
                <w:szCs w:val="21"/>
              </w:rPr>
            </w:pPr>
          </w:p>
        </w:tc>
        <w:tc>
          <w:tcPr>
            <w:tcW w:w="880" w:type="dxa"/>
            <w:noWrap w:val="0"/>
            <w:vAlign w:val="center"/>
          </w:tcPr>
          <w:p>
            <w:pPr>
              <w:pStyle w:val="16"/>
              <w:keepNext/>
              <w:spacing w:line="440" w:lineRule="exact"/>
              <w:ind w:left="63" w:right="63"/>
              <w:rPr>
                <w:rFonts w:hint="eastAsia" w:ascii="宋体" w:hAnsi="宋体" w:cs="宋体"/>
                <w:color w:val="000000"/>
                <w:szCs w:val="21"/>
              </w:rPr>
            </w:pPr>
          </w:p>
        </w:tc>
        <w:tc>
          <w:tcPr>
            <w:tcW w:w="1020" w:type="dxa"/>
            <w:noWrap w:val="0"/>
            <w:vAlign w:val="center"/>
          </w:tcPr>
          <w:p>
            <w:pPr>
              <w:pStyle w:val="16"/>
              <w:keepNext/>
              <w:spacing w:line="440" w:lineRule="exact"/>
              <w:ind w:left="63" w:right="63"/>
              <w:rPr>
                <w:rFonts w:hint="eastAsia" w:ascii="宋体" w:hAnsi="宋体" w:cs="宋体"/>
                <w:color w:val="000000"/>
                <w:szCs w:val="21"/>
              </w:rPr>
            </w:pPr>
          </w:p>
        </w:tc>
        <w:tc>
          <w:tcPr>
            <w:tcW w:w="1480" w:type="dxa"/>
            <w:noWrap w:val="0"/>
            <w:vAlign w:val="center"/>
          </w:tcPr>
          <w:p>
            <w:pPr>
              <w:pStyle w:val="16"/>
              <w:keepNext/>
              <w:spacing w:line="440" w:lineRule="exact"/>
              <w:ind w:left="63" w:right="63"/>
              <w:rPr>
                <w:rFonts w:hint="eastAsia" w:ascii="宋体" w:hAnsi="宋体" w:cs="宋体"/>
                <w:color w:val="000000"/>
                <w:szCs w:val="21"/>
              </w:rPr>
            </w:pPr>
          </w:p>
        </w:tc>
        <w:tc>
          <w:tcPr>
            <w:tcW w:w="1020" w:type="dxa"/>
            <w:noWrap w:val="0"/>
            <w:vAlign w:val="center"/>
          </w:tcPr>
          <w:p>
            <w:pPr>
              <w:pStyle w:val="16"/>
              <w:keepNext/>
              <w:spacing w:line="440" w:lineRule="exact"/>
              <w:ind w:left="63" w:right="63"/>
              <w:rPr>
                <w:rFonts w:hint="eastAsia" w:ascii="宋体" w:hAnsi="宋体" w:cs="宋体"/>
                <w:color w:val="000000"/>
                <w:szCs w:val="21"/>
              </w:rPr>
            </w:pPr>
          </w:p>
        </w:tc>
        <w:tc>
          <w:tcPr>
            <w:tcW w:w="921"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宋体" w:hAnsi="宋体" w:cs="宋体"/>
                <w:color w:val="000000"/>
                <w:szCs w:val="21"/>
              </w:rPr>
            </w:pPr>
          </w:p>
        </w:tc>
        <w:tc>
          <w:tcPr>
            <w:tcW w:w="1418" w:type="dxa"/>
            <w:noWrap w:val="0"/>
            <w:vAlign w:val="top"/>
          </w:tcPr>
          <w:p>
            <w:pPr>
              <w:rPr>
                <w:rFonts w:hint="eastAsia" w:ascii="宋体" w:hAnsi="宋体" w:cs="宋体"/>
                <w:color w:val="000000"/>
                <w:szCs w:val="21"/>
              </w:rPr>
            </w:pPr>
          </w:p>
        </w:tc>
        <w:tc>
          <w:tcPr>
            <w:tcW w:w="850" w:type="dxa"/>
            <w:noWrap w:val="0"/>
            <w:vAlign w:val="top"/>
          </w:tcPr>
          <w:p>
            <w:pPr>
              <w:rPr>
                <w:rFonts w:hint="eastAsia" w:ascii="宋体" w:hAnsi="宋体" w:cs="宋体"/>
                <w:color w:val="000000"/>
                <w:szCs w:val="21"/>
              </w:rPr>
            </w:pPr>
          </w:p>
        </w:tc>
        <w:tc>
          <w:tcPr>
            <w:tcW w:w="1058" w:type="dxa"/>
            <w:noWrap w:val="0"/>
            <w:vAlign w:val="top"/>
          </w:tcPr>
          <w:p>
            <w:pPr>
              <w:rPr>
                <w:rFonts w:hint="eastAsia" w:ascii="宋体" w:hAnsi="宋体" w:cs="宋体"/>
                <w:color w:val="000000"/>
                <w:szCs w:val="21"/>
              </w:rPr>
            </w:pPr>
          </w:p>
        </w:tc>
        <w:tc>
          <w:tcPr>
            <w:tcW w:w="8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14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921" w:type="dxa"/>
            <w:noWrap w:val="0"/>
            <w:vAlign w:val="top"/>
          </w:tcPr>
          <w:p>
            <w:pP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宋体" w:hAnsi="宋体" w:cs="宋体"/>
                <w:color w:val="000000"/>
                <w:szCs w:val="21"/>
              </w:rPr>
            </w:pPr>
          </w:p>
        </w:tc>
        <w:tc>
          <w:tcPr>
            <w:tcW w:w="1418" w:type="dxa"/>
            <w:noWrap w:val="0"/>
            <w:vAlign w:val="top"/>
          </w:tcPr>
          <w:p>
            <w:pPr>
              <w:rPr>
                <w:rFonts w:hint="eastAsia" w:ascii="宋体" w:hAnsi="宋体" w:cs="宋体"/>
                <w:color w:val="000000"/>
                <w:szCs w:val="21"/>
              </w:rPr>
            </w:pPr>
          </w:p>
        </w:tc>
        <w:tc>
          <w:tcPr>
            <w:tcW w:w="850" w:type="dxa"/>
            <w:noWrap w:val="0"/>
            <w:vAlign w:val="top"/>
          </w:tcPr>
          <w:p>
            <w:pPr>
              <w:rPr>
                <w:rFonts w:hint="eastAsia" w:ascii="宋体" w:hAnsi="宋体" w:cs="宋体"/>
                <w:color w:val="000000"/>
                <w:szCs w:val="21"/>
              </w:rPr>
            </w:pPr>
          </w:p>
        </w:tc>
        <w:tc>
          <w:tcPr>
            <w:tcW w:w="1058" w:type="dxa"/>
            <w:noWrap w:val="0"/>
            <w:vAlign w:val="top"/>
          </w:tcPr>
          <w:p>
            <w:pPr>
              <w:rPr>
                <w:rFonts w:hint="eastAsia" w:ascii="宋体" w:hAnsi="宋体" w:cs="宋体"/>
                <w:color w:val="000000"/>
                <w:szCs w:val="21"/>
              </w:rPr>
            </w:pPr>
          </w:p>
        </w:tc>
        <w:tc>
          <w:tcPr>
            <w:tcW w:w="8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14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921" w:type="dxa"/>
            <w:noWrap w:val="0"/>
            <w:vAlign w:val="top"/>
          </w:tcPr>
          <w:p>
            <w:pP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宋体" w:hAnsi="宋体" w:cs="宋体"/>
                <w:color w:val="000000"/>
                <w:szCs w:val="21"/>
              </w:rPr>
            </w:pPr>
          </w:p>
        </w:tc>
        <w:tc>
          <w:tcPr>
            <w:tcW w:w="1418" w:type="dxa"/>
            <w:noWrap w:val="0"/>
            <w:vAlign w:val="top"/>
          </w:tcPr>
          <w:p>
            <w:pPr>
              <w:rPr>
                <w:rFonts w:hint="eastAsia" w:ascii="宋体" w:hAnsi="宋体" w:cs="宋体"/>
                <w:color w:val="000000"/>
                <w:szCs w:val="21"/>
              </w:rPr>
            </w:pPr>
          </w:p>
        </w:tc>
        <w:tc>
          <w:tcPr>
            <w:tcW w:w="850" w:type="dxa"/>
            <w:noWrap w:val="0"/>
            <w:vAlign w:val="top"/>
          </w:tcPr>
          <w:p>
            <w:pPr>
              <w:rPr>
                <w:rFonts w:hint="eastAsia" w:ascii="宋体" w:hAnsi="宋体" w:cs="宋体"/>
                <w:color w:val="000000"/>
                <w:szCs w:val="21"/>
              </w:rPr>
            </w:pPr>
          </w:p>
        </w:tc>
        <w:tc>
          <w:tcPr>
            <w:tcW w:w="1058" w:type="dxa"/>
            <w:noWrap w:val="0"/>
            <w:vAlign w:val="top"/>
          </w:tcPr>
          <w:p>
            <w:pPr>
              <w:rPr>
                <w:rFonts w:hint="eastAsia" w:ascii="宋体" w:hAnsi="宋体" w:cs="宋体"/>
                <w:color w:val="000000"/>
                <w:szCs w:val="21"/>
              </w:rPr>
            </w:pPr>
          </w:p>
        </w:tc>
        <w:tc>
          <w:tcPr>
            <w:tcW w:w="8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14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921" w:type="dxa"/>
            <w:noWrap w:val="0"/>
            <w:vAlign w:val="top"/>
          </w:tcPr>
          <w:p>
            <w:pP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宋体" w:hAnsi="宋体" w:cs="宋体"/>
                <w:color w:val="000000"/>
                <w:szCs w:val="21"/>
              </w:rPr>
            </w:pPr>
          </w:p>
        </w:tc>
        <w:tc>
          <w:tcPr>
            <w:tcW w:w="1418" w:type="dxa"/>
            <w:noWrap w:val="0"/>
            <w:vAlign w:val="top"/>
          </w:tcPr>
          <w:p>
            <w:pPr>
              <w:rPr>
                <w:rFonts w:hint="eastAsia" w:ascii="宋体" w:hAnsi="宋体" w:cs="宋体"/>
                <w:color w:val="000000"/>
                <w:szCs w:val="21"/>
              </w:rPr>
            </w:pPr>
          </w:p>
        </w:tc>
        <w:tc>
          <w:tcPr>
            <w:tcW w:w="850" w:type="dxa"/>
            <w:noWrap w:val="0"/>
            <w:vAlign w:val="top"/>
          </w:tcPr>
          <w:p>
            <w:pPr>
              <w:rPr>
                <w:rFonts w:hint="eastAsia" w:ascii="宋体" w:hAnsi="宋体" w:cs="宋体"/>
                <w:color w:val="000000"/>
                <w:szCs w:val="21"/>
              </w:rPr>
            </w:pPr>
          </w:p>
        </w:tc>
        <w:tc>
          <w:tcPr>
            <w:tcW w:w="1058" w:type="dxa"/>
            <w:noWrap w:val="0"/>
            <w:vAlign w:val="top"/>
          </w:tcPr>
          <w:p>
            <w:pPr>
              <w:rPr>
                <w:rFonts w:hint="eastAsia" w:ascii="宋体" w:hAnsi="宋体" w:cs="宋体"/>
                <w:color w:val="000000"/>
                <w:szCs w:val="21"/>
              </w:rPr>
            </w:pPr>
          </w:p>
        </w:tc>
        <w:tc>
          <w:tcPr>
            <w:tcW w:w="8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14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921" w:type="dxa"/>
            <w:noWrap w:val="0"/>
            <w:vAlign w:val="top"/>
          </w:tcPr>
          <w:p>
            <w:pP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宋体" w:hAnsi="宋体" w:cs="宋体"/>
                <w:color w:val="000000"/>
                <w:szCs w:val="21"/>
              </w:rPr>
            </w:pPr>
          </w:p>
        </w:tc>
        <w:tc>
          <w:tcPr>
            <w:tcW w:w="1418" w:type="dxa"/>
            <w:noWrap w:val="0"/>
            <w:vAlign w:val="top"/>
          </w:tcPr>
          <w:p>
            <w:pPr>
              <w:rPr>
                <w:rFonts w:hint="eastAsia" w:ascii="宋体" w:hAnsi="宋体" w:cs="宋体"/>
                <w:color w:val="000000"/>
                <w:szCs w:val="21"/>
              </w:rPr>
            </w:pPr>
          </w:p>
        </w:tc>
        <w:tc>
          <w:tcPr>
            <w:tcW w:w="850" w:type="dxa"/>
            <w:noWrap w:val="0"/>
            <w:vAlign w:val="top"/>
          </w:tcPr>
          <w:p>
            <w:pPr>
              <w:rPr>
                <w:rFonts w:hint="eastAsia" w:ascii="宋体" w:hAnsi="宋体" w:cs="宋体"/>
                <w:color w:val="000000"/>
                <w:szCs w:val="21"/>
              </w:rPr>
            </w:pPr>
          </w:p>
        </w:tc>
        <w:tc>
          <w:tcPr>
            <w:tcW w:w="1058" w:type="dxa"/>
            <w:noWrap w:val="0"/>
            <w:vAlign w:val="top"/>
          </w:tcPr>
          <w:p>
            <w:pPr>
              <w:rPr>
                <w:rFonts w:hint="eastAsia" w:ascii="宋体" w:hAnsi="宋体" w:cs="宋体"/>
                <w:color w:val="000000"/>
                <w:szCs w:val="21"/>
              </w:rPr>
            </w:pPr>
          </w:p>
        </w:tc>
        <w:tc>
          <w:tcPr>
            <w:tcW w:w="8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14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921" w:type="dxa"/>
            <w:noWrap w:val="0"/>
            <w:vAlign w:val="top"/>
          </w:tcPr>
          <w:p>
            <w:pP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宋体" w:hAnsi="宋体" w:cs="宋体"/>
                <w:color w:val="000000"/>
                <w:szCs w:val="21"/>
              </w:rPr>
            </w:pPr>
          </w:p>
        </w:tc>
        <w:tc>
          <w:tcPr>
            <w:tcW w:w="1418" w:type="dxa"/>
            <w:noWrap w:val="0"/>
            <w:vAlign w:val="top"/>
          </w:tcPr>
          <w:p>
            <w:pPr>
              <w:rPr>
                <w:rFonts w:hint="eastAsia" w:ascii="宋体" w:hAnsi="宋体" w:cs="宋体"/>
                <w:color w:val="000000"/>
                <w:szCs w:val="21"/>
              </w:rPr>
            </w:pPr>
          </w:p>
        </w:tc>
        <w:tc>
          <w:tcPr>
            <w:tcW w:w="850" w:type="dxa"/>
            <w:noWrap w:val="0"/>
            <w:vAlign w:val="top"/>
          </w:tcPr>
          <w:p>
            <w:pPr>
              <w:rPr>
                <w:rFonts w:hint="eastAsia" w:ascii="宋体" w:hAnsi="宋体" w:cs="宋体"/>
                <w:color w:val="000000"/>
                <w:szCs w:val="21"/>
              </w:rPr>
            </w:pPr>
          </w:p>
        </w:tc>
        <w:tc>
          <w:tcPr>
            <w:tcW w:w="1058" w:type="dxa"/>
            <w:noWrap w:val="0"/>
            <w:vAlign w:val="top"/>
          </w:tcPr>
          <w:p>
            <w:pPr>
              <w:rPr>
                <w:rFonts w:hint="eastAsia" w:ascii="宋体" w:hAnsi="宋体" w:cs="宋体"/>
                <w:color w:val="000000"/>
                <w:szCs w:val="21"/>
              </w:rPr>
            </w:pPr>
          </w:p>
        </w:tc>
        <w:tc>
          <w:tcPr>
            <w:tcW w:w="8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14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921" w:type="dxa"/>
            <w:noWrap w:val="0"/>
            <w:vAlign w:val="top"/>
          </w:tcPr>
          <w:p>
            <w:pP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宋体" w:hAnsi="宋体" w:cs="宋体"/>
                <w:color w:val="000000"/>
                <w:szCs w:val="21"/>
              </w:rPr>
            </w:pPr>
          </w:p>
        </w:tc>
        <w:tc>
          <w:tcPr>
            <w:tcW w:w="1418" w:type="dxa"/>
            <w:noWrap w:val="0"/>
            <w:vAlign w:val="top"/>
          </w:tcPr>
          <w:p>
            <w:pPr>
              <w:rPr>
                <w:rFonts w:hint="eastAsia" w:ascii="宋体" w:hAnsi="宋体" w:cs="宋体"/>
                <w:color w:val="000000"/>
                <w:szCs w:val="21"/>
              </w:rPr>
            </w:pPr>
          </w:p>
        </w:tc>
        <w:tc>
          <w:tcPr>
            <w:tcW w:w="850" w:type="dxa"/>
            <w:noWrap w:val="0"/>
            <w:vAlign w:val="top"/>
          </w:tcPr>
          <w:p>
            <w:pPr>
              <w:rPr>
                <w:rFonts w:hint="eastAsia" w:ascii="宋体" w:hAnsi="宋体" w:cs="宋体"/>
                <w:color w:val="000000"/>
                <w:szCs w:val="21"/>
              </w:rPr>
            </w:pPr>
          </w:p>
        </w:tc>
        <w:tc>
          <w:tcPr>
            <w:tcW w:w="1058" w:type="dxa"/>
            <w:noWrap w:val="0"/>
            <w:vAlign w:val="top"/>
          </w:tcPr>
          <w:p>
            <w:pPr>
              <w:rPr>
                <w:rFonts w:hint="eastAsia" w:ascii="宋体" w:hAnsi="宋体" w:cs="宋体"/>
                <w:color w:val="000000"/>
                <w:szCs w:val="21"/>
              </w:rPr>
            </w:pPr>
          </w:p>
        </w:tc>
        <w:tc>
          <w:tcPr>
            <w:tcW w:w="8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14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921" w:type="dxa"/>
            <w:noWrap w:val="0"/>
            <w:vAlign w:val="top"/>
          </w:tcPr>
          <w:p>
            <w:pP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宋体" w:hAnsi="宋体" w:cs="宋体"/>
                <w:color w:val="000000"/>
                <w:szCs w:val="21"/>
              </w:rPr>
            </w:pPr>
          </w:p>
        </w:tc>
        <w:tc>
          <w:tcPr>
            <w:tcW w:w="1418" w:type="dxa"/>
            <w:noWrap w:val="0"/>
            <w:vAlign w:val="top"/>
          </w:tcPr>
          <w:p>
            <w:pPr>
              <w:rPr>
                <w:rFonts w:hint="eastAsia" w:ascii="宋体" w:hAnsi="宋体" w:cs="宋体"/>
                <w:color w:val="000000"/>
                <w:szCs w:val="21"/>
              </w:rPr>
            </w:pPr>
          </w:p>
        </w:tc>
        <w:tc>
          <w:tcPr>
            <w:tcW w:w="850" w:type="dxa"/>
            <w:noWrap w:val="0"/>
            <w:vAlign w:val="top"/>
          </w:tcPr>
          <w:p>
            <w:pPr>
              <w:rPr>
                <w:rFonts w:hint="eastAsia" w:ascii="宋体" w:hAnsi="宋体" w:cs="宋体"/>
                <w:color w:val="000000"/>
                <w:szCs w:val="21"/>
              </w:rPr>
            </w:pPr>
          </w:p>
        </w:tc>
        <w:tc>
          <w:tcPr>
            <w:tcW w:w="1058" w:type="dxa"/>
            <w:noWrap w:val="0"/>
            <w:vAlign w:val="top"/>
          </w:tcPr>
          <w:p>
            <w:pPr>
              <w:rPr>
                <w:rFonts w:hint="eastAsia" w:ascii="宋体" w:hAnsi="宋体" w:cs="宋体"/>
                <w:color w:val="000000"/>
                <w:szCs w:val="21"/>
              </w:rPr>
            </w:pPr>
          </w:p>
        </w:tc>
        <w:tc>
          <w:tcPr>
            <w:tcW w:w="8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14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921" w:type="dxa"/>
            <w:noWrap w:val="0"/>
            <w:vAlign w:val="top"/>
          </w:tcPr>
          <w:p>
            <w:pPr>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宋体" w:hAnsi="宋体" w:cs="宋体"/>
                <w:color w:val="000000"/>
                <w:szCs w:val="21"/>
              </w:rPr>
            </w:pPr>
          </w:p>
        </w:tc>
        <w:tc>
          <w:tcPr>
            <w:tcW w:w="1418" w:type="dxa"/>
            <w:noWrap w:val="0"/>
            <w:vAlign w:val="top"/>
          </w:tcPr>
          <w:p>
            <w:pPr>
              <w:rPr>
                <w:rFonts w:hint="eastAsia" w:ascii="宋体" w:hAnsi="宋体" w:cs="宋体"/>
                <w:color w:val="000000"/>
                <w:szCs w:val="21"/>
              </w:rPr>
            </w:pPr>
          </w:p>
        </w:tc>
        <w:tc>
          <w:tcPr>
            <w:tcW w:w="850" w:type="dxa"/>
            <w:noWrap w:val="0"/>
            <w:vAlign w:val="top"/>
          </w:tcPr>
          <w:p>
            <w:pPr>
              <w:rPr>
                <w:rFonts w:hint="eastAsia" w:ascii="宋体" w:hAnsi="宋体" w:cs="宋体"/>
                <w:color w:val="000000"/>
                <w:szCs w:val="21"/>
              </w:rPr>
            </w:pPr>
          </w:p>
        </w:tc>
        <w:tc>
          <w:tcPr>
            <w:tcW w:w="1058" w:type="dxa"/>
            <w:noWrap w:val="0"/>
            <w:vAlign w:val="top"/>
          </w:tcPr>
          <w:p>
            <w:pPr>
              <w:rPr>
                <w:rFonts w:hint="eastAsia" w:ascii="宋体" w:hAnsi="宋体" w:cs="宋体"/>
                <w:color w:val="000000"/>
                <w:szCs w:val="21"/>
              </w:rPr>
            </w:pPr>
          </w:p>
        </w:tc>
        <w:tc>
          <w:tcPr>
            <w:tcW w:w="8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1480" w:type="dxa"/>
            <w:noWrap w:val="0"/>
            <w:vAlign w:val="top"/>
          </w:tcPr>
          <w:p>
            <w:pPr>
              <w:rPr>
                <w:rFonts w:hint="eastAsia" w:ascii="宋体" w:hAnsi="宋体" w:cs="宋体"/>
                <w:color w:val="000000"/>
                <w:szCs w:val="21"/>
              </w:rPr>
            </w:pPr>
          </w:p>
        </w:tc>
        <w:tc>
          <w:tcPr>
            <w:tcW w:w="1020" w:type="dxa"/>
            <w:noWrap w:val="0"/>
            <w:vAlign w:val="top"/>
          </w:tcPr>
          <w:p>
            <w:pPr>
              <w:rPr>
                <w:rFonts w:hint="eastAsia" w:ascii="宋体" w:hAnsi="宋体" w:cs="宋体"/>
                <w:color w:val="000000"/>
                <w:szCs w:val="21"/>
              </w:rPr>
            </w:pPr>
          </w:p>
        </w:tc>
        <w:tc>
          <w:tcPr>
            <w:tcW w:w="921" w:type="dxa"/>
            <w:noWrap w:val="0"/>
            <w:vAlign w:val="top"/>
          </w:tcPr>
          <w:p>
            <w:pPr>
              <w:rPr>
                <w:rFonts w:hint="eastAsia" w:ascii="宋体" w:hAnsi="宋体" w:cs="宋体"/>
                <w:color w:val="000000"/>
                <w:szCs w:val="21"/>
              </w:rPr>
            </w:pPr>
          </w:p>
        </w:tc>
      </w:tr>
    </w:tbl>
    <w:p>
      <w:pPr>
        <w:spacing w:line="440" w:lineRule="exact"/>
        <w:rPr>
          <w:rFonts w:hint="eastAsia" w:ascii="宋体" w:hAnsi="宋体" w:cs="宋体"/>
          <w:color w:val="000000"/>
          <w:szCs w:val="21"/>
        </w:rPr>
      </w:pPr>
    </w:p>
    <w:p>
      <w:pPr>
        <w:spacing w:line="440" w:lineRule="exact"/>
        <w:rPr>
          <w:rFonts w:hint="eastAsia" w:ascii="宋体" w:hAnsi="宋体" w:cs="宋体"/>
          <w:color w:val="000000"/>
          <w:szCs w:val="21"/>
        </w:rPr>
      </w:pPr>
      <w:r>
        <w:rPr>
          <w:rFonts w:hint="eastAsia" w:ascii="宋体" w:hAnsi="宋体" w:cs="宋体"/>
          <w:color w:val="000000"/>
          <w:szCs w:val="21"/>
        </w:rPr>
        <w:t>附</w:t>
      </w:r>
      <w:bookmarkStart w:id="2987" w:name="_Toc296891056"/>
      <w:bookmarkStart w:id="2988" w:name="_Toc296891268"/>
      <w:bookmarkStart w:id="2989" w:name="_Toc296944567"/>
      <w:bookmarkStart w:id="2990" w:name="_Toc296503228"/>
      <w:bookmarkStart w:id="2991" w:name="_Toc296346729"/>
      <w:bookmarkStart w:id="2992" w:name="_Toc267261699"/>
      <w:bookmarkStart w:id="2993" w:name="_Toc296347227"/>
      <w:r>
        <w:rPr>
          <w:rFonts w:hint="eastAsia" w:ascii="宋体" w:hAnsi="宋体" w:cs="宋体"/>
          <w:color w:val="000000"/>
          <w:szCs w:val="21"/>
        </w:rPr>
        <w:t>件6：</w:t>
      </w:r>
    </w:p>
    <w:bookmarkEnd w:id="2987"/>
    <w:bookmarkEnd w:id="2988"/>
    <w:bookmarkEnd w:id="2989"/>
    <w:bookmarkEnd w:id="2990"/>
    <w:bookmarkEnd w:id="2991"/>
    <w:bookmarkEnd w:id="2992"/>
    <w:bookmarkEnd w:id="2993"/>
    <w:p>
      <w:pPr>
        <w:spacing w:before="156" w:beforeLines="50" w:after="156" w:afterLines="50" w:line="440" w:lineRule="exact"/>
        <w:jc w:val="center"/>
        <w:rPr>
          <w:rFonts w:hint="eastAsia" w:ascii="宋体" w:hAnsi="宋体" w:cs="宋体"/>
          <w:color w:val="000000"/>
          <w:szCs w:val="21"/>
        </w:rPr>
      </w:pPr>
      <w:r>
        <w:rPr>
          <w:rFonts w:hint="eastAsia" w:ascii="宋体" w:hAnsi="宋体" w:cs="宋体"/>
          <w:color w:val="000000"/>
          <w:szCs w:val="21"/>
        </w:rPr>
        <w:t>承包人主要施工管理人员表</w:t>
      </w:r>
    </w:p>
    <w:tbl>
      <w:tblPr>
        <w:tblStyle w:val="39"/>
        <w:tblW w:w="9809"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名    称</w:t>
            </w:r>
          </w:p>
        </w:tc>
        <w:tc>
          <w:tcPr>
            <w:tcW w:w="1418"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姓名</w:t>
            </w:r>
          </w:p>
        </w:tc>
        <w:tc>
          <w:tcPr>
            <w:tcW w:w="1134"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职务</w:t>
            </w:r>
          </w:p>
        </w:tc>
        <w:tc>
          <w:tcPr>
            <w:tcW w:w="1134"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职称</w:t>
            </w:r>
          </w:p>
        </w:tc>
        <w:tc>
          <w:tcPr>
            <w:tcW w:w="4252"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项目主管</w:t>
            </w:r>
          </w:p>
        </w:tc>
        <w:tc>
          <w:tcPr>
            <w:tcW w:w="1418"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134"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134"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4252"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其他人员</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项目经理</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项目副经理</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技术负责人</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造价管理</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质量管理</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材料管理</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计划管理</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安全管理</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其他人员</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noWrap w:val="0"/>
            <w:vAlign w:val="center"/>
          </w:tcPr>
          <w:p>
            <w:pPr>
              <w:pStyle w:val="16"/>
              <w:keepNext/>
              <w:spacing w:line="440" w:lineRule="exact"/>
              <w:ind w:left="63" w:right="63"/>
              <w:rPr>
                <w:rFonts w:hint="eastAsia" w:ascii="宋体" w:hAnsi="宋体" w:cs="宋体"/>
                <w:color w:val="000000"/>
                <w:szCs w:val="21"/>
              </w:rPr>
            </w:pPr>
          </w:p>
        </w:tc>
        <w:tc>
          <w:tcPr>
            <w:tcW w:w="1418" w:type="dxa"/>
            <w:tcBorders>
              <w:bottom w:val="nil"/>
            </w:tcBorders>
            <w:noWrap w:val="0"/>
            <w:vAlign w:val="center"/>
          </w:tcPr>
          <w:p>
            <w:pPr>
              <w:pStyle w:val="16"/>
              <w:keepNext/>
              <w:spacing w:line="440" w:lineRule="exact"/>
              <w:ind w:left="63" w:right="63"/>
              <w:rPr>
                <w:rFonts w:hint="eastAsia" w:ascii="宋体" w:hAnsi="宋体" w:cs="宋体"/>
                <w:color w:val="000000"/>
                <w:szCs w:val="21"/>
              </w:rPr>
            </w:pPr>
          </w:p>
        </w:tc>
        <w:tc>
          <w:tcPr>
            <w:tcW w:w="1134" w:type="dxa"/>
            <w:tcBorders>
              <w:bottom w:val="nil"/>
            </w:tcBorders>
            <w:noWrap w:val="0"/>
            <w:vAlign w:val="center"/>
          </w:tcPr>
          <w:p>
            <w:pPr>
              <w:pStyle w:val="16"/>
              <w:keepNext/>
              <w:spacing w:line="440" w:lineRule="exact"/>
              <w:ind w:left="63" w:right="63"/>
              <w:rPr>
                <w:rFonts w:hint="eastAsia" w:ascii="宋体" w:hAnsi="宋体" w:cs="宋体"/>
                <w:color w:val="000000"/>
                <w:szCs w:val="21"/>
              </w:rPr>
            </w:pPr>
          </w:p>
        </w:tc>
        <w:tc>
          <w:tcPr>
            <w:tcW w:w="1134" w:type="dxa"/>
            <w:tcBorders>
              <w:bottom w:val="nil"/>
            </w:tcBorders>
            <w:noWrap w:val="0"/>
            <w:vAlign w:val="center"/>
          </w:tcPr>
          <w:p>
            <w:pPr>
              <w:pStyle w:val="16"/>
              <w:keepNext/>
              <w:spacing w:line="440" w:lineRule="exact"/>
              <w:ind w:left="63" w:right="63"/>
              <w:rPr>
                <w:rFonts w:hint="eastAsia" w:ascii="宋体" w:hAnsi="宋体" w:cs="宋体"/>
                <w:color w:val="000000"/>
                <w:szCs w:val="21"/>
              </w:rPr>
            </w:pPr>
          </w:p>
        </w:tc>
        <w:tc>
          <w:tcPr>
            <w:tcW w:w="4252" w:type="dxa"/>
            <w:tcBorders>
              <w:bottom w:val="nil"/>
            </w:tcBorders>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pPr>
              <w:pStyle w:val="16"/>
              <w:keepNext/>
              <w:spacing w:line="440" w:lineRule="exact"/>
              <w:ind w:left="63" w:right="63"/>
              <w:rPr>
                <w:rFonts w:hint="eastAsia" w:ascii="宋体" w:hAnsi="宋体" w:cs="宋体"/>
                <w:color w:val="000000"/>
                <w:szCs w:val="21"/>
              </w:rPr>
            </w:pPr>
          </w:p>
        </w:tc>
        <w:tc>
          <w:tcPr>
            <w:tcW w:w="1418" w:type="dxa"/>
            <w:tcBorders>
              <w:bottom w:val="single" w:color="auto" w:sz="12" w:space="0"/>
            </w:tcBorders>
            <w:noWrap w:val="0"/>
            <w:vAlign w:val="center"/>
          </w:tcPr>
          <w:p>
            <w:pPr>
              <w:pStyle w:val="16"/>
              <w:keepNext/>
              <w:spacing w:line="440" w:lineRule="exact"/>
              <w:ind w:left="63" w:right="63"/>
              <w:rPr>
                <w:rFonts w:hint="eastAsia" w:ascii="宋体" w:hAnsi="宋体" w:cs="宋体"/>
                <w:color w:val="000000"/>
                <w:szCs w:val="21"/>
              </w:rPr>
            </w:pPr>
          </w:p>
        </w:tc>
        <w:tc>
          <w:tcPr>
            <w:tcW w:w="1134" w:type="dxa"/>
            <w:tcBorders>
              <w:bottom w:val="single" w:color="auto" w:sz="12" w:space="0"/>
            </w:tcBorders>
            <w:noWrap w:val="0"/>
            <w:vAlign w:val="center"/>
          </w:tcPr>
          <w:p>
            <w:pPr>
              <w:pStyle w:val="16"/>
              <w:keepNext/>
              <w:spacing w:line="440" w:lineRule="exact"/>
              <w:ind w:left="63" w:right="63"/>
              <w:rPr>
                <w:rFonts w:hint="eastAsia" w:ascii="宋体" w:hAnsi="宋体" w:cs="宋体"/>
                <w:color w:val="000000"/>
                <w:szCs w:val="21"/>
              </w:rPr>
            </w:pPr>
          </w:p>
        </w:tc>
        <w:tc>
          <w:tcPr>
            <w:tcW w:w="1134" w:type="dxa"/>
            <w:tcBorders>
              <w:bottom w:val="single" w:color="auto" w:sz="12" w:space="0"/>
            </w:tcBorders>
            <w:noWrap w:val="0"/>
            <w:vAlign w:val="center"/>
          </w:tcPr>
          <w:p>
            <w:pPr>
              <w:pStyle w:val="16"/>
              <w:keepNext/>
              <w:spacing w:line="440" w:lineRule="exact"/>
              <w:ind w:left="63" w:right="63"/>
              <w:rPr>
                <w:rFonts w:hint="eastAsia" w:ascii="宋体" w:hAnsi="宋体" w:cs="宋体"/>
                <w:color w:val="000000"/>
                <w:szCs w:val="21"/>
              </w:rPr>
            </w:pPr>
          </w:p>
        </w:tc>
        <w:tc>
          <w:tcPr>
            <w:tcW w:w="4252" w:type="dxa"/>
            <w:tcBorders>
              <w:bottom w:val="single" w:color="auto" w:sz="12" w:space="0"/>
            </w:tcBorders>
            <w:noWrap w:val="0"/>
            <w:vAlign w:val="center"/>
          </w:tcPr>
          <w:p>
            <w:pPr>
              <w:pStyle w:val="16"/>
              <w:keepNext/>
              <w:spacing w:line="440" w:lineRule="exact"/>
              <w:ind w:left="63" w:right="63"/>
              <w:rPr>
                <w:rFonts w:hint="eastAsia" w:ascii="宋体" w:hAnsi="宋体" w:cs="宋体"/>
                <w:color w:val="000000"/>
                <w:szCs w:val="21"/>
              </w:rPr>
            </w:pPr>
          </w:p>
        </w:tc>
      </w:tr>
    </w:tbl>
    <w:p>
      <w:pPr>
        <w:spacing w:line="440" w:lineRule="exact"/>
        <w:rPr>
          <w:rFonts w:hint="eastAsia" w:ascii="宋体" w:hAnsi="宋体" w:cs="宋体"/>
          <w:color w:val="000000"/>
          <w:szCs w:val="21"/>
        </w:rPr>
      </w:pPr>
      <w:r>
        <w:rPr>
          <w:rFonts w:hint="eastAsia" w:ascii="宋体" w:hAnsi="宋体" w:cs="宋体"/>
          <w:color w:val="000000"/>
          <w:szCs w:val="21"/>
        </w:rPr>
        <w:br w:type="page"/>
      </w:r>
      <w:r>
        <w:rPr>
          <w:rFonts w:hint="eastAsia" w:ascii="宋体" w:hAnsi="宋体" w:cs="宋体"/>
          <w:color w:val="000000"/>
          <w:szCs w:val="21"/>
        </w:rPr>
        <w:t>附</w:t>
      </w:r>
      <w:bookmarkStart w:id="2994" w:name="_Toc296503229"/>
      <w:bookmarkStart w:id="2995" w:name="_Toc296891057"/>
      <w:bookmarkStart w:id="2996" w:name="_Toc296346730"/>
      <w:bookmarkStart w:id="2997" w:name="_Toc296944568"/>
      <w:bookmarkStart w:id="2998" w:name="_Toc296891269"/>
      <w:bookmarkStart w:id="2999" w:name="_Toc296347228"/>
      <w:r>
        <w:rPr>
          <w:rFonts w:hint="eastAsia" w:ascii="宋体" w:hAnsi="宋体" w:cs="宋体"/>
          <w:color w:val="000000"/>
          <w:szCs w:val="21"/>
        </w:rPr>
        <w:t>件7：</w:t>
      </w:r>
    </w:p>
    <w:bookmarkEnd w:id="2994"/>
    <w:bookmarkEnd w:id="2995"/>
    <w:bookmarkEnd w:id="2996"/>
    <w:bookmarkEnd w:id="2997"/>
    <w:bookmarkEnd w:id="2998"/>
    <w:bookmarkEnd w:id="2999"/>
    <w:p>
      <w:pPr>
        <w:spacing w:before="156" w:beforeLines="50" w:after="156" w:afterLines="50" w:line="440" w:lineRule="exact"/>
        <w:jc w:val="center"/>
        <w:rPr>
          <w:rFonts w:hint="eastAsia" w:ascii="宋体" w:hAnsi="宋体" w:cs="宋体"/>
          <w:color w:val="000000"/>
          <w:szCs w:val="21"/>
        </w:rPr>
      </w:pPr>
      <w:r>
        <w:rPr>
          <w:rFonts w:hint="eastAsia" w:ascii="宋体" w:hAnsi="宋体" w:cs="宋体"/>
          <w:color w:val="000000"/>
          <w:szCs w:val="21"/>
        </w:rPr>
        <w:t>分包人主要施工管理人员表</w:t>
      </w:r>
    </w:p>
    <w:tbl>
      <w:tblPr>
        <w:tblStyle w:val="39"/>
        <w:tblW w:w="9809"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Layout w:type="fixed"/>
          <w:tblCellMar>
            <w:top w:w="0" w:type="dxa"/>
            <w:left w:w="28" w:type="dxa"/>
            <w:bottom w:w="0" w:type="dxa"/>
            <w:right w:w="28" w:type="dxa"/>
          </w:tblCellMar>
        </w:tblPrEx>
        <w:trPr>
          <w:trHeight w:val="605" w:hRule="atLeast"/>
          <w:jc w:val="center"/>
        </w:trPr>
        <w:tc>
          <w:tcPr>
            <w:tcW w:w="1871"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名    称</w:t>
            </w:r>
          </w:p>
        </w:tc>
        <w:tc>
          <w:tcPr>
            <w:tcW w:w="1418"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姓名</w:t>
            </w:r>
          </w:p>
        </w:tc>
        <w:tc>
          <w:tcPr>
            <w:tcW w:w="1134"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职务</w:t>
            </w:r>
          </w:p>
        </w:tc>
        <w:tc>
          <w:tcPr>
            <w:tcW w:w="1134"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职称</w:t>
            </w:r>
          </w:p>
        </w:tc>
        <w:tc>
          <w:tcPr>
            <w:tcW w:w="4252" w:type="dxa"/>
            <w:tcBorders>
              <w:top w:val="single" w:color="auto" w:sz="12" w:space="0"/>
              <w:bottom w:val="doub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90" w:hRule="atLeast"/>
          <w:jc w:val="center"/>
        </w:trPr>
        <w:tc>
          <w:tcPr>
            <w:tcW w:w="9809" w:type="dxa"/>
            <w:gridSpan w:val="5"/>
            <w:tcBorders>
              <w:top w:val="doub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620" w:hRule="atLeast"/>
          <w:jc w:val="center"/>
        </w:trPr>
        <w:tc>
          <w:tcPr>
            <w:tcW w:w="1871" w:type="dxa"/>
            <w:tcBorders>
              <w:top w:val="nil"/>
              <w:bottom w:val="nil"/>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项目主管</w:t>
            </w:r>
          </w:p>
        </w:tc>
        <w:tc>
          <w:tcPr>
            <w:tcW w:w="1418"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134"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1134"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c>
          <w:tcPr>
            <w:tcW w:w="4252" w:type="dxa"/>
            <w:tcBorders>
              <w:top w:val="nil"/>
            </w:tcBorders>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90" w:hRule="atLeast"/>
          <w:jc w:val="center"/>
        </w:trPr>
        <w:tc>
          <w:tcPr>
            <w:tcW w:w="1871" w:type="dxa"/>
            <w:tcBorders>
              <w:top w:val="single" w:color="auto" w:sz="6" w:space="0"/>
              <w:bottom w:val="nil"/>
            </w:tcBorders>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650" w:hRule="atLeast"/>
          <w:jc w:val="center"/>
        </w:trPr>
        <w:tc>
          <w:tcPr>
            <w:tcW w:w="1871" w:type="dxa"/>
            <w:tcBorders>
              <w:top w:val="nil"/>
              <w:bottom w:val="nil"/>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其他人员</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620" w:hRule="atLeast"/>
          <w:jc w:val="center"/>
        </w:trPr>
        <w:tc>
          <w:tcPr>
            <w:tcW w:w="9809" w:type="dxa"/>
            <w:gridSpan w:val="5"/>
            <w:tcBorders>
              <w:top w:val="sing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75" w:hRule="atLeast"/>
          <w:jc w:val="center"/>
        </w:trPr>
        <w:tc>
          <w:tcPr>
            <w:tcW w:w="1871" w:type="dxa"/>
            <w:tcBorders>
              <w:top w:val="sing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项目经理</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30" w:hRule="atLeast"/>
          <w:jc w:val="center"/>
        </w:trPr>
        <w:tc>
          <w:tcPr>
            <w:tcW w:w="1871" w:type="dxa"/>
            <w:tcBorders>
              <w:top w:val="sing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项目副经理</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15" w:hRule="atLeast"/>
          <w:jc w:val="center"/>
        </w:trPr>
        <w:tc>
          <w:tcPr>
            <w:tcW w:w="1871" w:type="dxa"/>
            <w:tcBorders>
              <w:top w:val="sing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技术负责人</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00" w:hRule="atLeast"/>
          <w:jc w:val="center"/>
        </w:trPr>
        <w:tc>
          <w:tcPr>
            <w:tcW w:w="1871" w:type="dxa"/>
            <w:tcBorders>
              <w:top w:val="sing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造价管理</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15" w:hRule="atLeast"/>
          <w:jc w:val="center"/>
        </w:trPr>
        <w:tc>
          <w:tcPr>
            <w:tcW w:w="1871" w:type="dxa"/>
            <w:tcBorders>
              <w:top w:val="sing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质量管理</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85" w:hRule="atLeast"/>
          <w:jc w:val="center"/>
        </w:trPr>
        <w:tc>
          <w:tcPr>
            <w:tcW w:w="1871" w:type="dxa"/>
            <w:tcBorders>
              <w:top w:val="sing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材料管理</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15" w:hRule="atLeast"/>
          <w:jc w:val="center"/>
        </w:trPr>
        <w:tc>
          <w:tcPr>
            <w:tcW w:w="1871" w:type="dxa"/>
            <w:tcBorders>
              <w:top w:val="sing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计划管理</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560" w:hRule="atLeast"/>
          <w:jc w:val="center"/>
        </w:trPr>
        <w:tc>
          <w:tcPr>
            <w:tcW w:w="1871" w:type="dxa"/>
            <w:tcBorders>
              <w:top w:val="single" w:color="auto" w:sz="6" w:space="0"/>
              <w:bottom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安全管理</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其他人员</w:t>
            </w: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noWrap w:val="0"/>
            <w:vAlign w:val="center"/>
          </w:tcPr>
          <w:p>
            <w:pPr>
              <w:pStyle w:val="16"/>
              <w:keepNext/>
              <w:spacing w:line="440" w:lineRule="exact"/>
              <w:ind w:left="63" w:right="63"/>
              <w:rPr>
                <w:rFonts w:hint="eastAsia" w:ascii="宋体" w:hAnsi="宋体" w:cs="宋体"/>
                <w:color w:val="000000"/>
                <w:szCs w:val="21"/>
              </w:rPr>
            </w:pPr>
          </w:p>
        </w:tc>
        <w:tc>
          <w:tcPr>
            <w:tcW w:w="1418" w:type="dxa"/>
            <w:tcBorders>
              <w:bottom w:val="nil"/>
            </w:tcBorders>
            <w:noWrap w:val="0"/>
            <w:vAlign w:val="center"/>
          </w:tcPr>
          <w:p>
            <w:pPr>
              <w:pStyle w:val="16"/>
              <w:keepNext/>
              <w:spacing w:line="440" w:lineRule="exact"/>
              <w:ind w:left="63" w:right="63"/>
              <w:rPr>
                <w:rFonts w:hint="eastAsia" w:ascii="宋体" w:hAnsi="宋体" w:cs="宋体"/>
                <w:color w:val="000000"/>
                <w:szCs w:val="21"/>
              </w:rPr>
            </w:pPr>
          </w:p>
        </w:tc>
        <w:tc>
          <w:tcPr>
            <w:tcW w:w="1134" w:type="dxa"/>
            <w:tcBorders>
              <w:bottom w:val="nil"/>
            </w:tcBorders>
            <w:noWrap w:val="0"/>
            <w:vAlign w:val="center"/>
          </w:tcPr>
          <w:p>
            <w:pPr>
              <w:pStyle w:val="16"/>
              <w:keepNext/>
              <w:spacing w:line="440" w:lineRule="exact"/>
              <w:ind w:left="63" w:right="63"/>
              <w:rPr>
                <w:rFonts w:hint="eastAsia" w:ascii="宋体" w:hAnsi="宋体" w:cs="宋体"/>
                <w:color w:val="000000"/>
                <w:szCs w:val="21"/>
              </w:rPr>
            </w:pPr>
          </w:p>
        </w:tc>
        <w:tc>
          <w:tcPr>
            <w:tcW w:w="1134" w:type="dxa"/>
            <w:tcBorders>
              <w:bottom w:val="nil"/>
            </w:tcBorders>
            <w:noWrap w:val="0"/>
            <w:vAlign w:val="center"/>
          </w:tcPr>
          <w:p>
            <w:pPr>
              <w:pStyle w:val="16"/>
              <w:keepNext/>
              <w:spacing w:line="440" w:lineRule="exact"/>
              <w:ind w:left="63" w:right="63"/>
              <w:rPr>
                <w:rFonts w:hint="eastAsia" w:ascii="宋体" w:hAnsi="宋体" w:cs="宋体"/>
                <w:color w:val="000000"/>
                <w:szCs w:val="21"/>
              </w:rPr>
            </w:pPr>
          </w:p>
        </w:tc>
        <w:tc>
          <w:tcPr>
            <w:tcW w:w="4252" w:type="dxa"/>
            <w:tcBorders>
              <w:bottom w:val="nil"/>
            </w:tcBorders>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noWrap w:val="0"/>
            <w:vAlign w:val="center"/>
          </w:tcPr>
          <w:p>
            <w:pPr>
              <w:pStyle w:val="16"/>
              <w:keepNext/>
              <w:spacing w:line="440" w:lineRule="exact"/>
              <w:ind w:left="63" w:right="63"/>
              <w:rPr>
                <w:rFonts w:hint="eastAsia" w:ascii="宋体" w:hAnsi="宋体" w:cs="宋体"/>
                <w:color w:val="000000"/>
                <w:szCs w:val="21"/>
              </w:rPr>
            </w:pPr>
          </w:p>
        </w:tc>
        <w:tc>
          <w:tcPr>
            <w:tcW w:w="1418"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1134" w:type="dxa"/>
            <w:noWrap w:val="0"/>
            <w:vAlign w:val="center"/>
          </w:tcPr>
          <w:p>
            <w:pPr>
              <w:pStyle w:val="16"/>
              <w:keepNext/>
              <w:spacing w:line="440" w:lineRule="exact"/>
              <w:ind w:left="63" w:right="63"/>
              <w:rPr>
                <w:rFonts w:hint="eastAsia" w:ascii="宋体" w:hAnsi="宋体" w:cs="宋体"/>
                <w:color w:val="000000"/>
                <w:szCs w:val="21"/>
              </w:rPr>
            </w:pPr>
          </w:p>
        </w:tc>
        <w:tc>
          <w:tcPr>
            <w:tcW w:w="4252" w:type="dxa"/>
            <w:noWrap w:val="0"/>
            <w:vAlign w:val="center"/>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pPr>
              <w:pStyle w:val="16"/>
              <w:keepNext/>
              <w:spacing w:line="440" w:lineRule="exact"/>
              <w:ind w:left="63" w:right="63"/>
              <w:rPr>
                <w:rFonts w:hint="eastAsia" w:ascii="宋体" w:hAnsi="宋体" w:cs="宋体"/>
                <w:color w:val="000000"/>
                <w:szCs w:val="21"/>
              </w:rPr>
            </w:pPr>
          </w:p>
        </w:tc>
        <w:tc>
          <w:tcPr>
            <w:tcW w:w="1418" w:type="dxa"/>
            <w:tcBorders>
              <w:bottom w:val="single" w:color="auto" w:sz="12" w:space="0"/>
            </w:tcBorders>
            <w:noWrap w:val="0"/>
            <w:vAlign w:val="center"/>
          </w:tcPr>
          <w:p>
            <w:pPr>
              <w:pStyle w:val="16"/>
              <w:keepNext/>
              <w:spacing w:line="440" w:lineRule="exact"/>
              <w:ind w:left="63" w:right="63"/>
              <w:rPr>
                <w:rFonts w:hint="eastAsia" w:ascii="宋体" w:hAnsi="宋体" w:cs="宋体"/>
                <w:color w:val="000000"/>
                <w:szCs w:val="21"/>
              </w:rPr>
            </w:pPr>
          </w:p>
        </w:tc>
        <w:tc>
          <w:tcPr>
            <w:tcW w:w="1134" w:type="dxa"/>
            <w:tcBorders>
              <w:bottom w:val="single" w:color="auto" w:sz="12" w:space="0"/>
            </w:tcBorders>
            <w:noWrap w:val="0"/>
            <w:vAlign w:val="center"/>
          </w:tcPr>
          <w:p>
            <w:pPr>
              <w:pStyle w:val="16"/>
              <w:keepNext/>
              <w:spacing w:line="440" w:lineRule="exact"/>
              <w:ind w:left="63" w:right="63"/>
              <w:rPr>
                <w:rFonts w:hint="eastAsia" w:ascii="宋体" w:hAnsi="宋体" w:cs="宋体"/>
                <w:color w:val="000000"/>
                <w:szCs w:val="21"/>
              </w:rPr>
            </w:pPr>
          </w:p>
        </w:tc>
        <w:tc>
          <w:tcPr>
            <w:tcW w:w="1134" w:type="dxa"/>
            <w:tcBorders>
              <w:bottom w:val="single" w:color="auto" w:sz="12" w:space="0"/>
            </w:tcBorders>
            <w:noWrap w:val="0"/>
            <w:vAlign w:val="center"/>
          </w:tcPr>
          <w:p>
            <w:pPr>
              <w:pStyle w:val="16"/>
              <w:keepNext/>
              <w:spacing w:line="440" w:lineRule="exact"/>
              <w:ind w:left="63" w:right="63"/>
              <w:rPr>
                <w:rFonts w:hint="eastAsia" w:ascii="宋体" w:hAnsi="宋体" w:cs="宋体"/>
                <w:color w:val="000000"/>
                <w:szCs w:val="21"/>
              </w:rPr>
            </w:pPr>
          </w:p>
        </w:tc>
        <w:tc>
          <w:tcPr>
            <w:tcW w:w="4252" w:type="dxa"/>
            <w:tcBorders>
              <w:bottom w:val="single" w:color="auto" w:sz="12" w:space="0"/>
            </w:tcBorders>
            <w:noWrap w:val="0"/>
            <w:vAlign w:val="center"/>
          </w:tcPr>
          <w:p>
            <w:pPr>
              <w:pStyle w:val="16"/>
              <w:keepNext/>
              <w:spacing w:line="440" w:lineRule="exact"/>
              <w:ind w:left="63" w:right="63"/>
              <w:rPr>
                <w:rFonts w:hint="eastAsia" w:ascii="宋体" w:hAnsi="宋体" w:cs="宋体"/>
                <w:color w:val="000000"/>
                <w:szCs w:val="21"/>
              </w:rPr>
            </w:pPr>
          </w:p>
        </w:tc>
      </w:tr>
    </w:tbl>
    <w:p>
      <w:pPr>
        <w:spacing w:line="440" w:lineRule="exact"/>
        <w:rPr>
          <w:rFonts w:hint="eastAsia" w:ascii="宋体" w:hAnsi="宋体" w:cs="宋体"/>
          <w:color w:val="000000"/>
          <w:szCs w:val="21"/>
        </w:rPr>
      </w:pPr>
      <w:r>
        <w:rPr>
          <w:rFonts w:hint="eastAsia" w:ascii="宋体" w:hAnsi="宋体" w:cs="宋体"/>
          <w:color w:val="000000"/>
          <w:szCs w:val="21"/>
        </w:rPr>
        <w:br w:type="page"/>
      </w:r>
      <w:bookmarkStart w:id="3000" w:name="_Toc267261701"/>
    </w:p>
    <w:p>
      <w:pPr>
        <w:spacing w:line="440" w:lineRule="exact"/>
        <w:rPr>
          <w:rFonts w:hint="eastAsia" w:ascii="宋体" w:hAnsi="宋体" w:cs="宋体"/>
          <w:color w:val="000000"/>
          <w:szCs w:val="21"/>
        </w:rPr>
      </w:pPr>
      <w:r>
        <w:rPr>
          <w:rFonts w:hint="eastAsia" w:ascii="宋体" w:hAnsi="宋体" w:cs="宋体"/>
          <w:color w:val="000000"/>
          <w:szCs w:val="21"/>
        </w:rPr>
        <w:t>附</w:t>
      </w:r>
      <w:bookmarkStart w:id="3001" w:name="_Toc296503231"/>
      <w:bookmarkStart w:id="3002" w:name="_Toc296347230"/>
      <w:bookmarkStart w:id="3003" w:name="_Toc296891059"/>
      <w:bookmarkStart w:id="3004" w:name="_Toc296891271"/>
      <w:bookmarkStart w:id="3005" w:name="_Toc296944570"/>
      <w:bookmarkStart w:id="3006" w:name="_Toc296346732"/>
      <w:r>
        <w:rPr>
          <w:rFonts w:hint="eastAsia" w:ascii="宋体" w:hAnsi="宋体" w:cs="宋体"/>
          <w:color w:val="000000"/>
          <w:szCs w:val="21"/>
        </w:rPr>
        <w:t>件8：</w:t>
      </w:r>
    </w:p>
    <w:bookmarkEnd w:id="3000"/>
    <w:bookmarkEnd w:id="3001"/>
    <w:bookmarkEnd w:id="3002"/>
    <w:bookmarkEnd w:id="3003"/>
    <w:bookmarkEnd w:id="3004"/>
    <w:bookmarkEnd w:id="3005"/>
    <w:bookmarkEnd w:id="3006"/>
    <w:p>
      <w:pPr>
        <w:spacing w:before="156" w:beforeLines="50" w:after="156" w:afterLines="50" w:line="440" w:lineRule="exact"/>
        <w:jc w:val="center"/>
        <w:rPr>
          <w:rFonts w:hint="eastAsia" w:ascii="宋体" w:hAnsi="宋体" w:cs="宋体"/>
          <w:color w:val="000000"/>
          <w:szCs w:val="21"/>
        </w:rPr>
      </w:pPr>
      <w:r>
        <w:rPr>
          <w:rFonts w:hint="eastAsia" w:ascii="宋体" w:hAnsi="宋体" w:cs="宋体"/>
          <w:color w:val="000000"/>
          <w:szCs w:val="21"/>
        </w:rPr>
        <w:t>履约担保</w:t>
      </w:r>
    </w:p>
    <w:p>
      <w:pPr>
        <w:spacing w:line="440" w:lineRule="exact"/>
        <w:rPr>
          <w:rFonts w:hint="eastAsia" w:ascii="宋体" w:hAnsi="宋体" w:cs="宋体"/>
          <w:color w:val="000000"/>
          <w:szCs w:val="21"/>
        </w:rPr>
      </w:pPr>
      <w:r>
        <w:rPr>
          <w:rFonts w:hint="eastAsia" w:ascii="宋体" w:hAnsi="宋体" w:cs="宋体"/>
          <w:color w:val="000000"/>
          <w:szCs w:val="21"/>
          <w:u w:val="single"/>
        </w:rPr>
        <w:t xml:space="preserve">     /      </w:t>
      </w:r>
      <w:r>
        <w:rPr>
          <w:rFonts w:hint="eastAsia" w:ascii="宋体" w:hAnsi="宋体" w:cs="宋体"/>
          <w:color w:val="000000"/>
          <w:szCs w:val="21"/>
          <w:u w:val="single"/>
        </w:rPr>
        <w:tab/>
      </w:r>
      <w:r>
        <w:rPr>
          <w:rFonts w:hint="eastAsia" w:ascii="宋体" w:hAnsi="宋体" w:cs="宋体"/>
          <w:color w:val="000000"/>
          <w:szCs w:val="21"/>
        </w:rPr>
        <w:t>（发包人名称）：</w:t>
      </w:r>
    </w:p>
    <w:p>
      <w:pPr>
        <w:spacing w:line="440" w:lineRule="exact"/>
        <w:rPr>
          <w:rFonts w:hint="eastAsia" w:ascii="宋体" w:hAnsi="宋体" w:cs="宋体"/>
          <w:color w:val="000000"/>
          <w:szCs w:val="21"/>
        </w:rPr>
      </w:pP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鉴于</w:t>
      </w:r>
      <w:r>
        <w:rPr>
          <w:rFonts w:hint="eastAsia" w:ascii="宋体" w:hAnsi="宋体" w:cs="宋体"/>
          <w:color w:val="000000"/>
          <w:szCs w:val="21"/>
          <w:u w:val="single"/>
        </w:rPr>
        <w:t xml:space="preserve">       /      </w:t>
      </w:r>
      <w:r>
        <w:rPr>
          <w:rFonts w:hint="eastAsia" w:ascii="宋体" w:hAnsi="宋体" w:cs="宋体"/>
          <w:color w:val="000000"/>
          <w:szCs w:val="21"/>
        </w:rPr>
        <w:t>（发包人名称，以下简称“发包人”）与</w:t>
      </w:r>
    </w:p>
    <w:p>
      <w:pPr>
        <w:spacing w:line="360" w:lineRule="auto"/>
        <w:rPr>
          <w:rFonts w:hint="eastAsia"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u w:val="single"/>
        </w:rPr>
        <w:t xml:space="preserve">         /             </w:t>
      </w:r>
      <w:r>
        <w:rPr>
          <w:rFonts w:hint="eastAsia" w:ascii="宋体" w:hAnsi="宋体" w:cs="宋体"/>
          <w:color w:val="000000"/>
          <w:szCs w:val="21"/>
        </w:rPr>
        <w:t>（承包人名称）（以下称“承包人”）于</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  </w:t>
      </w:r>
      <w:r>
        <w:rPr>
          <w:rFonts w:hint="eastAsia" w:ascii="宋体" w:hAnsi="宋体" w:cs="宋体"/>
          <w:color w:val="000000"/>
          <w:szCs w:val="21"/>
        </w:rPr>
        <w:t>月</w:t>
      </w:r>
      <w:r>
        <w:rPr>
          <w:rFonts w:hint="eastAsia" w:ascii="宋体" w:hAnsi="宋体" w:cs="宋体"/>
          <w:color w:val="000000"/>
          <w:szCs w:val="21"/>
          <w:u w:val="single"/>
        </w:rPr>
        <w:t xml:space="preserve">  /  </w:t>
      </w:r>
      <w:r>
        <w:rPr>
          <w:rFonts w:hint="eastAsia" w:ascii="宋体" w:hAnsi="宋体" w:cs="宋体"/>
          <w:color w:val="000000"/>
          <w:szCs w:val="21"/>
        </w:rPr>
        <w:t>日就</w:t>
      </w:r>
      <w:r>
        <w:rPr>
          <w:rFonts w:hint="eastAsia" w:ascii="宋体" w:hAnsi="宋体" w:cs="宋体"/>
          <w:color w:val="000000"/>
          <w:szCs w:val="21"/>
          <w:u w:val="single"/>
        </w:rPr>
        <w:t xml:space="preserve">        /      </w:t>
      </w:r>
      <w:r>
        <w:rPr>
          <w:rFonts w:hint="eastAsia" w:ascii="宋体" w:hAnsi="宋体" w:cs="宋体"/>
          <w:color w:val="000000"/>
          <w:szCs w:val="21"/>
        </w:rPr>
        <w:t xml:space="preserve">（工程名称）施工及有关事项协商一致共同签订《建设工程施工合同》。我方愿意无条件地、不可撤销地就承包人履行与你方签订的合同，向你方提供连带责任担保。 </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1. 担保金额人民币（大写）</w:t>
      </w:r>
      <w:r>
        <w:rPr>
          <w:rFonts w:hint="eastAsia" w:ascii="宋体" w:hAnsi="宋体" w:cs="宋体"/>
          <w:color w:val="000000"/>
          <w:szCs w:val="21"/>
          <w:u w:val="single"/>
        </w:rPr>
        <w:t xml:space="preserve">    /    </w:t>
      </w:r>
      <w:r>
        <w:rPr>
          <w:rFonts w:hint="eastAsia" w:ascii="宋体" w:hAnsi="宋体" w:cs="宋体"/>
          <w:color w:val="000000"/>
          <w:szCs w:val="21"/>
        </w:rPr>
        <w:t>元（¥</w:t>
      </w:r>
      <w:r>
        <w:rPr>
          <w:rFonts w:hint="eastAsia" w:ascii="宋体" w:hAnsi="宋体" w:cs="宋体"/>
          <w:color w:val="000000"/>
          <w:szCs w:val="21"/>
          <w:u w:val="single"/>
        </w:rPr>
        <w:t xml:space="preserve">    /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2. 担保有效期自你方与承包人签订的合同生效之日起至你方签发或应签发工程接收证书之日止。</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3. 在本担保有效期内，因承包人违反合同约定的义务给你方造成经济损失时，我方在收到你方以书面形式提出的在担保金额内的赔偿要求后，在7天内无条件支付。</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4. 你方和承包人按合同约定变更合同时，我方承担本担保规定的义务不变。</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5. 因本保函发生的纠纷，可由双方协商解决，协商不成的，任何一方均可提请</w:t>
      </w:r>
      <w:r>
        <w:rPr>
          <w:rFonts w:hint="eastAsia" w:ascii="宋体" w:hAnsi="宋体" w:cs="宋体"/>
          <w:color w:val="000000"/>
          <w:szCs w:val="21"/>
          <w:u w:val="single"/>
        </w:rPr>
        <w:t xml:space="preserve">    /    </w:t>
      </w:r>
      <w:r>
        <w:rPr>
          <w:rFonts w:hint="eastAsia" w:ascii="宋体" w:hAnsi="宋体" w:cs="宋体"/>
          <w:color w:val="000000"/>
          <w:szCs w:val="21"/>
        </w:rPr>
        <w:t>仲裁委员会仲裁。</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6. 本保函自我方法定代表人（或其授权代理人）签字并加盖公章之日起生效。</w:t>
      </w:r>
    </w:p>
    <w:p>
      <w:pPr>
        <w:spacing w:line="360" w:lineRule="auto"/>
        <w:rPr>
          <w:rFonts w:hint="eastAsia" w:ascii="宋体" w:hAnsi="宋体" w:cs="宋体"/>
          <w:color w:val="000000"/>
          <w:szCs w:val="21"/>
        </w:rPr>
      </w:pPr>
    </w:p>
    <w:p>
      <w:pPr>
        <w:spacing w:line="360" w:lineRule="auto"/>
        <w:rPr>
          <w:rFonts w:hint="eastAsia" w:ascii="宋体" w:hAnsi="宋体" w:cs="宋体"/>
          <w:color w:val="000000"/>
          <w:szCs w:val="21"/>
        </w:rPr>
      </w:pPr>
      <w:r>
        <w:rPr>
          <w:rFonts w:hint="eastAsia" w:ascii="宋体" w:hAnsi="宋体" w:cs="宋体"/>
          <w:color w:val="000000"/>
          <w:szCs w:val="21"/>
        </w:rPr>
        <w:t>担 保 人：</w:t>
      </w:r>
      <w:r>
        <w:rPr>
          <w:rFonts w:hint="eastAsia" w:ascii="宋体" w:hAnsi="宋体" w:cs="宋体"/>
          <w:color w:val="000000"/>
          <w:szCs w:val="21"/>
          <w:u w:val="single"/>
        </w:rPr>
        <w:t xml:space="preserve">        /         </w:t>
      </w:r>
      <w:r>
        <w:rPr>
          <w:rFonts w:hint="eastAsia" w:ascii="宋体" w:hAnsi="宋体" w:cs="宋体"/>
          <w:color w:val="000000"/>
          <w:szCs w:val="21"/>
        </w:rPr>
        <w:t>（盖单位章）</w:t>
      </w:r>
    </w:p>
    <w:p>
      <w:pPr>
        <w:spacing w:line="360" w:lineRule="auto"/>
        <w:rPr>
          <w:rFonts w:hint="eastAsia" w:ascii="宋体" w:hAnsi="宋体" w:cs="宋体"/>
          <w:color w:val="000000"/>
          <w:szCs w:val="21"/>
        </w:rPr>
      </w:pPr>
      <w:r>
        <w:rPr>
          <w:rFonts w:hint="eastAsia" w:ascii="宋体" w:hAnsi="宋体" w:cs="宋体"/>
          <w:color w:val="000000"/>
          <w:szCs w:val="21"/>
        </w:rPr>
        <w:t>法定代表人或其委托代理人：</w:t>
      </w:r>
      <w:r>
        <w:rPr>
          <w:rFonts w:hint="eastAsia" w:ascii="宋体" w:hAnsi="宋体" w:cs="宋体"/>
          <w:color w:val="000000"/>
          <w:szCs w:val="21"/>
          <w:u w:val="single"/>
        </w:rPr>
        <w:t xml:space="preserve">      /     </w:t>
      </w:r>
      <w:r>
        <w:rPr>
          <w:rFonts w:hint="eastAsia" w:ascii="宋体" w:hAnsi="宋体" w:cs="宋体"/>
          <w:color w:val="000000"/>
          <w:szCs w:val="21"/>
        </w:rPr>
        <w:t>（签字）</w:t>
      </w:r>
    </w:p>
    <w:p>
      <w:pPr>
        <w:spacing w:line="360" w:lineRule="auto"/>
        <w:rPr>
          <w:rFonts w:hint="eastAsia" w:ascii="宋体" w:hAnsi="宋体" w:cs="宋体"/>
          <w:color w:val="000000"/>
          <w:szCs w:val="21"/>
        </w:rPr>
      </w:pPr>
      <w:r>
        <w:rPr>
          <w:rFonts w:hint="eastAsia" w:ascii="宋体" w:hAnsi="宋体" w:cs="宋体"/>
          <w:color w:val="000000"/>
          <w:szCs w:val="21"/>
        </w:rPr>
        <w:t>地    址：</w:t>
      </w:r>
      <w:r>
        <w:rPr>
          <w:rFonts w:hint="eastAsia" w:ascii="宋体" w:hAnsi="宋体" w:cs="宋体"/>
          <w:color w:val="000000"/>
          <w:szCs w:val="21"/>
          <w:u w:val="single"/>
        </w:rPr>
        <w:t xml:space="preserve">        /          </w:t>
      </w:r>
    </w:p>
    <w:p>
      <w:pPr>
        <w:spacing w:line="360" w:lineRule="auto"/>
        <w:rPr>
          <w:rFonts w:hint="eastAsia" w:ascii="宋体" w:hAnsi="宋体" w:cs="宋体"/>
          <w:color w:val="000000"/>
          <w:szCs w:val="21"/>
        </w:rPr>
      </w:pPr>
      <w:r>
        <w:rPr>
          <w:rFonts w:hint="eastAsia" w:ascii="宋体" w:hAnsi="宋体" w:cs="宋体"/>
          <w:color w:val="000000"/>
          <w:szCs w:val="21"/>
        </w:rPr>
        <w:t>邮政编码：</w:t>
      </w:r>
      <w:r>
        <w:rPr>
          <w:rFonts w:hint="eastAsia" w:ascii="宋体" w:hAnsi="宋体" w:cs="宋体"/>
          <w:color w:val="000000"/>
          <w:szCs w:val="21"/>
          <w:u w:val="single"/>
        </w:rPr>
        <w:t xml:space="preserve">        /          </w:t>
      </w:r>
    </w:p>
    <w:p>
      <w:pPr>
        <w:spacing w:line="360" w:lineRule="auto"/>
        <w:rPr>
          <w:rFonts w:hint="eastAsia" w:ascii="宋体" w:hAnsi="宋体" w:cs="宋体"/>
          <w:color w:val="000000"/>
          <w:szCs w:val="21"/>
          <w:u w:val="single"/>
        </w:rPr>
      </w:pPr>
      <w:r>
        <w:rPr>
          <w:rFonts w:hint="eastAsia" w:ascii="宋体" w:hAnsi="宋体" w:cs="宋体"/>
          <w:color w:val="000000"/>
          <w:szCs w:val="21"/>
        </w:rPr>
        <w:t>电    话：</w:t>
      </w:r>
      <w:r>
        <w:rPr>
          <w:rFonts w:hint="eastAsia" w:ascii="宋体" w:hAnsi="宋体" w:cs="宋体"/>
          <w:color w:val="000000"/>
          <w:szCs w:val="21"/>
          <w:u w:val="single"/>
        </w:rPr>
        <w:t xml:space="preserve">        /          </w:t>
      </w:r>
    </w:p>
    <w:p>
      <w:pPr>
        <w:spacing w:line="360" w:lineRule="auto"/>
        <w:rPr>
          <w:rFonts w:hint="eastAsia" w:ascii="宋体" w:hAnsi="宋体" w:cs="宋体"/>
          <w:color w:val="000000"/>
          <w:szCs w:val="21"/>
        </w:rPr>
      </w:pPr>
      <w:r>
        <w:rPr>
          <w:rFonts w:hint="eastAsia" w:ascii="宋体" w:hAnsi="宋体" w:cs="宋体"/>
          <w:color w:val="000000"/>
          <w:szCs w:val="21"/>
        </w:rPr>
        <w:t>传    真：</w:t>
      </w:r>
      <w:r>
        <w:rPr>
          <w:rFonts w:hint="eastAsia" w:ascii="宋体" w:hAnsi="宋体" w:cs="宋体"/>
          <w:color w:val="000000"/>
          <w:szCs w:val="21"/>
          <w:u w:val="single"/>
        </w:rPr>
        <w:t xml:space="preserve">        /          </w:t>
      </w:r>
    </w:p>
    <w:p>
      <w:pPr>
        <w:spacing w:line="360" w:lineRule="auto"/>
        <w:jc w:val="left"/>
        <w:rPr>
          <w:rFonts w:hint="eastAsia" w:ascii="宋体" w:hAnsi="宋体" w:cs="宋体"/>
          <w:color w:val="000000"/>
          <w:szCs w:val="21"/>
          <w:u w:val="single"/>
        </w:rPr>
      </w:pPr>
    </w:p>
    <w:p>
      <w:pPr>
        <w:spacing w:line="360" w:lineRule="auto"/>
        <w:ind w:left="1329" w:hanging="1519" w:hangingChars="633"/>
        <w:rPr>
          <w:rFonts w:hint="eastAsia"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u w:val="single"/>
        </w:rPr>
        <w:t xml:space="preserve">     /     </w:t>
      </w:r>
      <w:r>
        <w:rPr>
          <w:rFonts w:hint="eastAsia" w:ascii="宋体" w:hAnsi="宋体" w:cs="宋体"/>
          <w:color w:val="000000"/>
          <w:szCs w:val="21"/>
        </w:rPr>
        <w:t>年</w:t>
      </w:r>
      <w:r>
        <w:rPr>
          <w:rFonts w:hint="eastAsia" w:ascii="宋体" w:hAnsi="宋体" w:cs="宋体"/>
          <w:color w:val="000000"/>
          <w:szCs w:val="21"/>
          <w:u w:val="single"/>
        </w:rPr>
        <w:t xml:space="preserve">    /    </w:t>
      </w:r>
      <w:r>
        <w:rPr>
          <w:rFonts w:hint="eastAsia" w:ascii="宋体" w:hAnsi="宋体" w:cs="宋体"/>
          <w:color w:val="000000"/>
          <w:szCs w:val="21"/>
        </w:rPr>
        <w:t>月</w:t>
      </w:r>
      <w:r>
        <w:rPr>
          <w:rFonts w:hint="eastAsia" w:ascii="宋体" w:hAnsi="宋体" w:cs="宋体"/>
          <w:color w:val="000000"/>
          <w:szCs w:val="21"/>
          <w:u w:val="single"/>
        </w:rPr>
        <w:t xml:space="preserve">    /    </w:t>
      </w:r>
      <w:r>
        <w:rPr>
          <w:rFonts w:hint="eastAsia" w:ascii="宋体" w:hAnsi="宋体" w:cs="宋体"/>
          <w:color w:val="000000"/>
          <w:szCs w:val="21"/>
        </w:rPr>
        <w:t>日</w:t>
      </w:r>
    </w:p>
    <w:p>
      <w:pPr>
        <w:spacing w:line="360" w:lineRule="auto"/>
        <w:ind w:left="1329" w:hanging="1519" w:hangingChars="633"/>
        <w:rPr>
          <w:rFonts w:hint="eastAsia" w:ascii="宋体" w:hAnsi="宋体" w:cs="宋体"/>
          <w:color w:val="000000"/>
          <w:szCs w:val="21"/>
        </w:rPr>
      </w:pPr>
    </w:p>
    <w:p>
      <w:pPr>
        <w:spacing w:line="360" w:lineRule="auto"/>
        <w:ind w:left="1329" w:hanging="1519" w:hangingChars="633"/>
        <w:rPr>
          <w:rFonts w:hint="eastAsia" w:ascii="宋体" w:hAnsi="宋体" w:cs="宋体"/>
          <w:color w:val="000000"/>
          <w:szCs w:val="21"/>
        </w:rPr>
      </w:pPr>
    </w:p>
    <w:p>
      <w:pPr>
        <w:spacing w:line="360" w:lineRule="auto"/>
        <w:rPr>
          <w:rFonts w:hint="eastAsia" w:ascii="宋体" w:hAnsi="宋体" w:cs="宋体"/>
          <w:color w:val="000000"/>
          <w:szCs w:val="21"/>
        </w:rPr>
      </w:pPr>
      <w:r>
        <w:rPr>
          <w:rFonts w:hint="eastAsia" w:ascii="宋体" w:hAnsi="宋体" w:cs="宋体"/>
          <w:color w:val="000000"/>
          <w:szCs w:val="21"/>
        </w:rPr>
        <w:t>附</w:t>
      </w:r>
      <w:bookmarkStart w:id="3007" w:name="_Toc296503232"/>
      <w:bookmarkStart w:id="3008" w:name="_Toc296891272"/>
      <w:bookmarkStart w:id="3009" w:name="_Toc296891060"/>
      <w:bookmarkStart w:id="3010" w:name="_Toc267261702"/>
      <w:bookmarkStart w:id="3011" w:name="_Toc296944571"/>
      <w:bookmarkStart w:id="3012" w:name="_Toc296346733"/>
      <w:bookmarkStart w:id="3013" w:name="_Toc296347231"/>
      <w:r>
        <w:rPr>
          <w:rFonts w:hint="eastAsia" w:ascii="宋体" w:hAnsi="宋体" w:cs="宋体"/>
          <w:color w:val="000000"/>
          <w:szCs w:val="21"/>
        </w:rPr>
        <w:t>件9 ：</w:t>
      </w:r>
    </w:p>
    <w:bookmarkEnd w:id="3007"/>
    <w:bookmarkEnd w:id="3008"/>
    <w:bookmarkEnd w:id="3009"/>
    <w:bookmarkEnd w:id="3010"/>
    <w:bookmarkEnd w:id="3011"/>
    <w:bookmarkEnd w:id="3012"/>
    <w:bookmarkEnd w:id="3013"/>
    <w:p>
      <w:pPr>
        <w:spacing w:before="156" w:beforeLines="50" w:after="156" w:afterLines="50" w:line="440" w:lineRule="exact"/>
        <w:jc w:val="center"/>
        <w:rPr>
          <w:rFonts w:hint="eastAsia" w:ascii="宋体" w:hAnsi="宋体" w:cs="宋体"/>
          <w:color w:val="000000"/>
          <w:szCs w:val="21"/>
        </w:rPr>
      </w:pPr>
      <w:r>
        <w:rPr>
          <w:rFonts w:hint="eastAsia" w:ascii="宋体" w:hAnsi="宋体" w:cs="宋体"/>
          <w:color w:val="000000"/>
          <w:szCs w:val="21"/>
        </w:rPr>
        <w:t>预付款担保</w:t>
      </w:r>
    </w:p>
    <w:p>
      <w:pPr>
        <w:spacing w:line="360" w:lineRule="auto"/>
        <w:rPr>
          <w:rFonts w:hint="eastAsia" w:ascii="宋体" w:hAnsi="宋体" w:cs="宋体"/>
          <w:color w:val="000000"/>
          <w:szCs w:val="21"/>
        </w:rPr>
      </w:pPr>
      <w:r>
        <w:rPr>
          <w:rFonts w:hint="eastAsia" w:ascii="宋体" w:hAnsi="宋体" w:cs="宋体"/>
          <w:color w:val="000000"/>
          <w:szCs w:val="21"/>
          <w:u w:val="single"/>
        </w:rPr>
        <w:t xml:space="preserve">             </w:t>
      </w:r>
      <w:r>
        <w:rPr>
          <w:rFonts w:hint="eastAsia" w:ascii="宋体" w:hAnsi="宋体" w:cs="宋体"/>
          <w:color w:val="000000"/>
          <w:szCs w:val="21"/>
          <w:u w:val="single"/>
        </w:rPr>
        <w:tab/>
      </w:r>
      <w:r>
        <w:rPr>
          <w:rFonts w:hint="eastAsia" w:ascii="宋体" w:hAnsi="宋体" w:cs="宋体"/>
          <w:color w:val="000000"/>
          <w:szCs w:val="21"/>
          <w:u w:val="single"/>
        </w:rPr>
        <w:tab/>
      </w:r>
      <w:r>
        <w:rPr>
          <w:rFonts w:hint="eastAsia" w:ascii="宋体" w:hAnsi="宋体" w:cs="宋体"/>
          <w:color w:val="000000"/>
          <w:szCs w:val="21"/>
          <w:u w:val="single"/>
        </w:rPr>
        <w:t xml:space="preserve"> </w:t>
      </w:r>
      <w:r>
        <w:rPr>
          <w:rFonts w:hint="eastAsia" w:ascii="宋体" w:hAnsi="宋体" w:cs="宋体"/>
          <w:color w:val="000000"/>
          <w:szCs w:val="21"/>
        </w:rPr>
        <w:t xml:space="preserve"> （发包人名称）：</w:t>
      </w:r>
    </w:p>
    <w:p>
      <w:pPr>
        <w:spacing w:line="360" w:lineRule="auto"/>
        <w:rPr>
          <w:rFonts w:hint="eastAsia" w:ascii="宋体" w:hAnsi="宋体" w:cs="宋体"/>
          <w:color w:val="000000"/>
          <w:szCs w:val="21"/>
        </w:rPr>
      </w:pP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根据</w:t>
      </w:r>
      <w:r>
        <w:rPr>
          <w:rFonts w:hint="eastAsia" w:ascii="宋体" w:hAnsi="宋体" w:cs="宋体"/>
          <w:color w:val="000000"/>
          <w:szCs w:val="21"/>
          <w:u w:val="single"/>
        </w:rPr>
        <w:t xml:space="preserve">               </w:t>
      </w:r>
      <w:r>
        <w:rPr>
          <w:rFonts w:hint="eastAsia" w:ascii="宋体" w:hAnsi="宋体" w:cs="宋体"/>
          <w:color w:val="000000"/>
          <w:szCs w:val="21"/>
        </w:rPr>
        <w:t>（承包人名称）（以下称“承包人”）与</w:t>
      </w:r>
    </w:p>
    <w:p>
      <w:pPr>
        <w:spacing w:line="360" w:lineRule="auto"/>
        <w:outlineLvl w:val="0"/>
        <w:rPr>
          <w:rFonts w:hint="eastAsia" w:ascii="宋体" w:hAnsi="宋体" w:cs="宋体"/>
          <w:color w:val="000000"/>
          <w:szCs w:val="21"/>
        </w:rPr>
      </w:pPr>
      <w:r>
        <w:rPr>
          <w:rFonts w:hint="eastAsia" w:ascii="宋体" w:hAnsi="宋体" w:cs="宋体"/>
          <w:color w:val="000000"/>
          <w:szCs w:val="21"/>
          <w:u w:val="single"/>
        </w:rPr>
        <w:t xml:space="preserve">                  </w:t>
      </w:r>
      <w:r>
        <w:rPr>
          <w:rFonts w:hint="eastAsia" w:ascii="宋体" w:hAnsi="宋体" w:cs="宋体"/>
          <w:color w:val="000000"/>
          <w:szCs w:val="21"/>
        </w:rPr>
        <w:t>（发包人名称）（以下简称“发包人”）</w:t>
      </w:r>
    </w:p>
    <w:p>
      <w:pPr>
        <w:spacing w:line="360" w:lineRule="auto"/>
        <w:rPr>
          <w:rFonts w:hint="eastAsia" w:ascii="宋体" w:hAnsi="宋体" w:cs="宋体"/>
          <w:color w:val="000000"/>
          <w:szCs w:val="21"/>
        </w:rPr>
      </w:pPr>
      <w:r>
        <w:rPr>
          <w:rFonts w:hint="eastAsia" w:ascii="宋体" w:hAnsi="宋体" w:cs="宋体"/>
          <w:color w:val="000000"/>
          <w:szCs w:val="21"/>
        </w:rPr>
        <w:t>于</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日签订的</w:t>
      </w:r>
      <w:r>
        <w:rPr>
          <w:rFonts w:hint="eastAsia" w:ascii="宋体" w:hAnsi="宋体" w:cs="宋体"/>
          <w:color w:val="000000"/>
          <w:szCs w:val="21"/>
          <w:u w:val="single"/>
        </w:rPr>
        <w:t xml:space="preserve">           </w:t>
      </w:r>
      <w:r>
        <w:rPr>
          <w:rFonts w:hint="eastAsia" w:ascii="宋体" w:hAnsi="宋体" w:cs="宋体"/>
          <w:color w:val="000000"/>
          <w:szCs w:val="21"/>
        </w:rPr>
        <w:t>（工程名称）《建设工程施工合同》，承包人按约定的金额向你方提交一份预付款担保，即有权得到你方支付相等金额的预付款。我方愿意就你方提供给承包人的预付款为承包人提供连带责任担保。</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1. 担保金额人民币（大写）</w:t>
      </w:r>
      <w:r>
        <w:rPr>
          <w:rFonts w:hint="eastAsia" w:ascii="宋体" w:hAnsi="宋体" w:cs="宋体"/>
          <w:color w:val="000000"/>
          <w:szCs w:val="21"/>
          <w:u w:val="single"/>
        </w:rPr>
        <w:t xml:space="preserve">           </w:t>
      </w:r>
      <w:r>
        <w:rPr>
          <w:rFonts w:hint="eastAsia" w:ascii="宋体" w:hAnsi="宋体" w:cs="宋体"/>
          <w:color w:val="000000"/>
          <w:szCs w:val="21"/>
        </w:rPr>
        <w:t>元（¥</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2. 担保有效期自预付款支付给承包人起生效，至你方签发的进度款支付证书说明已完全扣清止。</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pPr>
        <w:spacing w:line="360" w:lineRule="auto"/>
        <w:ind w:firstLine="480" w:firstLineChars="200"/>
        <w:rPr>
          <w:rFonts w:hint="eastAsia" w:ascii="宋体" w:hAnsi="宋体" w:cs="宋体"/>
          <w:color w:val="000000"/>
          <w:szCs w:val="21"/>
        </w:rPr>
      </w:pPr>
      <w:r>
        <w:rPr>
          <w:rFonts w:hint="eastAsia" w:ascii="宋体" w:hAnsi="宋体" w:cs="宋体"/>
          <w:color w:val="000000"/>
          <w:szCs w:val="21"/>
        </w:rPr>
        <w:t>4. 你方和承包人按合同约定变更合同时，我方承担本保函规定的义务不变。</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5. 因本保函发生的纠纷，可由双方协商解决，协商不成的，任何一方均可提请</w:t>
      </w:r>
      <w:r>
        <w:rPr>
          <w:rFonts w:hint="eastAsia" w:ascii="宋体" w:hAnsi="宋体" w:cs="宋体"/>
          <w:color w:val="000000"/>
          <w:szCs w:val="21"/>
          <w:u w:val="single"/>
        </w:rPr>
        <w:t xml:space="preserve">        </w:t>
      </w:r>
      <w:r>
        <w:rPr>
          <w:rFonts w:hint="eastAsia" w:ascii="宋体" w:hAnsi="宋体" w:cs="宋体"/>
          <w:color w:val="000000"/>
          <w:szCs w:val="21"/>
        </w:rPr>
        <w:t>仲裁委员会仲裁。</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6. 本保函自我方法定代表人（或其授权代理人）签字并加盖公章之日起生效。</w:t>
      </w:r>
    </w:p>
    <w:p>
      <w:pPr>
        <w:spacing w:line="360" w:lineRule="auto"/>
        <w:rPr>
          <w:rFonts w:hint="eastAsia" w:ascii="宋体" w:hAnsi="宋体" w:cs="宋体"/>
          <w:color w:val="000000"/>
          <w:szCs w:val="21"/>
        </w:rPr>
      </w:pPr>
    </w:p>
    <w:p>
      <w:pPr>
        <w:spacing w:line="360" w:lineRule="auto"/>
        <w:rPr>
          <w:rFonts w:hint="eastAsia" w:ascii="宋体" w:hAnsi="宋体" w:cs="宋体"/>
          <w:color w:val="000000"/>
          <w:szCs w:val="21"/>
        </w:rPr>
      </w:pPr>
    </w:p>
    <w:p>
      <w:pPr>
        <w:spacing w:line="360" w:lineRule="auto"/>
        <w:rPr>
          <w:rFonts w:hint="eastAsia" w:ascii="宋体" w:hAnsi="宋体" w:cs="宋体"/>
          <w:color w:val="000000"/>
          <w:szCs w:val="21"/>
        </w:rPr>
      </w:pPr>
      <w:r>
        <w:rPr>
          <w:rFonts w:hint="eastAsia" w:ascii="宋体" w:hAnsi="宋体" w:cs="宋体"/>
          <w:color w:val="000000"/>
          <w:szCs w:val="21"/>
        </w:rPr>
        <w:t>担保人：</w:t>
      </w:r>
      <w:r>
        <w:rPr>
          <w:rFonts w:hint="eastAsia" w:ascii="宋体" w:hAnsi="宋体" w:cs="宋体"/>
          <w:color w:val="000000"/>
          <w:szCs w:val="21"/>
          <w:u w:val="single"/>
        </w:rPr>
        <w:t xml:space="preserve">                </w:t>
      </w:r>
      <w:r>
        <w:rPr>
          <w:rFonts w:hint="eastAsia" w:ascii="宋体" w:hAnsi="宋体" w:cs="宋体"/>
          <w:color w:val="000000"/>
          <w:szCs w:val="21"/>
        </w:rPr>
        <w:t>（盖单位章）</w:t>
      </w:r>
    </w:p>
    <w:p>
      <w:pPr>
        <w:spacing w:line="360" w:lineRule="auto"/>
        <w:rPr>
          <w:rFonts w:hint="eastAsia" w:ascii="宋体" w:hAnsi="宋体" w:cs="宋体"/>
          <w:color w:val="000000"/>
          <w:szCs w:val="21"/>
        </w:rPr>
      </w:pPr>
      <w:r>
        <w:rPr>
          <w:rFonts w:hint="eastAsia" w:ascii="宋体" w:hAnsi="宋体" w:cs="宋体"/>
          <w:color w:val="000000"/>
          <w:szCs w:val="21"/>
        </w:rPr>
        <w:t>法定代表人或其委托代理人：</w:t>
      </w:r>
      <w:r>
        <w:rPr>
          <w:rFonts w:hint="eastAsia" w:ascii="宋体" w:hAnsi="宋体" w:cs="宋体"/>
          <w:color w:val="000000"/>
          <w:szCs w:val="21"/>
          <w:u w:val="single"/>
        </w:rPr>
        <w:t xml:space="preserve">          </w:t>
      </w:r>
      <w:r>
        <w:rPr>
          <w:rFonts w:hint="eastAsia" w:ascii="宋体" w:hAnsi="宋体" w:cs="宋体"/>
          <w:color w:val="000000"/>
          <w:szCs w:val="21"/>
        </w:rPr>
        <w:t>（签字）</w:t>
      </w:r>
    </w:p>
    <w:p>
      <w:pPr>
        <w:spacing w:line="360" w:lineRule="auto"/>
        <w:rPr>
          <w:rFonts w:hint="eastAsia" w:ascii="宋体" w:hAnsi="宋体" w:cs="宋体"/>
          <w:color w:val="000000"/>
          <w:szCs w:val="21"/>
        </w:rPr>
      </w:pPr>
      <w:r>
        <w:rPr>
          <w:rFonts w:hint="eastAsia" w:ascii="宋体" w:hAnsi="宋体" w:cs="宋体"/>
          <w:color w:val="000000"/>
          <w:szCs w:val="21"/>
        </w:rPr>
        <w:t>地    址：</w:t>
      </w:r>
      <w:r>
        <w:rPr>
          <w:rFonts w:hint="eastAsia" w:ascii="宋体" w:hAnsi="宋体" w:cs="宋体"/>
          <w:color w:val="000000"/>
          <w:szCs w:val="21"/>
          <w:u w:val="single"/>
        </w:rPr>
        <w:tab/>
      </w:r>
      <w:r>
        <w:rPr>
          <w:rFonts w:hint="eastAsia" w:ascii="宋体" w:hAnsi="宋体" w:cs="宋体"/>
          <w:color w:val="000000"/>
          <w:szCs w:val="21"/>
          <w:u w:val="single"/>
        </w:rPr>
        <w:tab/>
      </w:r>
      <w:r>
        <w:rPr>
          <w:rFonts w:hint="eastAsia" w:ascii="宋体" w:hAnsi="宋体" w:cs="宋体"/>
          <w:color w:val="000000"/>
          <w:szCs w:val="21"/>
          <w:u w:val="single"/>
        </w:rPr>
        <w:t xml:space="preserve">  </w:t>
      </w:r>
      <w:r>
        <w:rPr>
          <w:rFonts w:hint="eastAsia" w:ascii="宋体" w:hAnsi="宋体" w:cs="宋体"/>
          <w:color w:val="000000"/>
          <w:szCs w:val="21"/>
          <w:u w:val="single"/>
        </w:rPr>
        <w:tab/>
      </w:r>
      <w:r>
        <w:rPr>
          <w:rFonts w:hint="eastAsia" w:ascii="宋体" w:hAnsi="宋体" w:cs="宋体"/>
          <w:color w:val="000000"/>
          <w:szCs w:val="21"/>
          <w:u w:val="single"/>
        </w:rPr>
        <w:tab/>
      </w:r>
      <w:r>
        <w:rPr>
          <w:rFonts w:hint="eastAsia" w:ascii="宋体" w:hAnsi="宋体" w:cs="宋体"/>
          <w:color w:val="000000"/>
          <w:szCs w:val="21"/>
          <w:u w:val="single"/>
        </w:rPr>
        <w:t xml:space="preserve">                    </w:t>
      </w:r>
      <w:r>
        <w:rPr>
          <w:rFonts w:hint="eastAsia" w:ascii="宋体" w:hAnsi="宋体" w:cs="宋体"/>
          <w:color w:val="000000"/>
          <w:szCs w:val="21"/>
          <w:u w:val="single"/>
        </w:rPr>
        <w:tab/>
      </w:r>
      <w:r>
        <w:rPr>
          <w:rFonts w:hint="eastAsia" w:ascii="宋体" w:hAnsi="宋体" w:cs="宋体"/>
          <w:color w:val="000000"/>
          <w:szCs w:val="21"/>
          <w:u w:val="single"/>
        </w:rPr>
        <w:tab/>
      </w:r>
      <w:r>
        <w:rPr>
          <w:rFonts w:hint="eastAsia" w:ascii="宋体" w:hAnsi="宋体" w:cs="宋体"/>
          <w:color w:val="000000"/>
          <w:szCs w:val="21"/>
          <w:u w:val="single"/>
        </w:rPr>
        <w:tab/>
      </w:r>
    </w:p>
    <w:p>
      <w:pPr>
        <w:spacing w:line="360" w:lineRule="auto"/>
        <w:rPr>
          <w:rFonts w:hint="eastAsia" w:ascii="宋体" w:hAnsi="宋体" w:cs="宋体"/>
          <w:color w:val="000000"/>
          <w:szCs w:val="21"/>
          <w:u w:val="single"/>
        </w:rPr>
      </w:pPr>
      <w:r>
        <w:rPr>
          <w:rFonts w:hint="eastAsia" w:ascii="宋体" w:hAnsi="宋体" w:cs="宋体"/>
          <w:color w:val="000000"/>
          <w:szCs w:val="21"/>
        </w:rPr>
        <w:t>邮政编码：</w:t>
      </w:r>
      <w:r>
        <w:rPr>
          <w:rFonts w:hint="eastAsia" w:ascii="宋体" w:hAnsi="宋体" w:cs="宋体"/>
          <w:color w:val="000000"/>
          <w:szCs w:val="21"/>
          <w:u w:val="single"/>
        </w:rPr>
        <w:tab/>
      </w:r>
      <w:r>
        <w:rPr>
          <w:rFonts w:hint="eastAsia" w:ascii="宋体" w:hAnsi="宋体" w:cs="宋体"/>
          <w:color w:val="000000"/>
          <w:szCs w:val="21"/>
          <w:u w:val="single"/>
        </w:rPr>
        <w:tab/>
      </w:r>
      <w:r>
        <w:rPr>
          <w:rFonts w:hint="eastAsia" w:ascii="宋体" w:hAnsi="宋体" w:cs="宋体"/>
          <w:color w:val="000000"/>
          <w:szCs w:val="21"/>
          <w:u w:val="single"/>
        </w:rPr>
        <w:t xml:space="preserve">  </w:t>
      </w:r>
      <w:r>
        <w:rPr>
          <w:rFonts w:hint="eastAsia" w:ascii="宋体" w:hAnsi="宋体" w:cs="宋体"/>
          <w:color w:val="000000"/>
          <w:szCs w:val="21"/>
          <w:u w:val="single"/>
        </w:rPr>
        <w:tab/>
      </w:r>
      <w:r>
        <w:rPr>
          <w:rFonts w:hint="eastAsia" w:ascii="宋体" w:hAnsi="宋体" w:cs="宋体"/>
          <w:color w:val="000000"/>
          <w:szCs w:val="21"/>
          <w:u w:val="single"/>
        </w:rPr>
        <w:tab/>
      </w:r>
      <w:r>
        <w:rPr>
          <w:rFonts w:hint="eastAsia" w:ascii="宋体" w:hAnsi="宋体" w:cs="宋体"/>
          <w:color w:val="000000"/>
          <w:szCs w:val="21"/>
          <w:u w:val="single"/>
        </w:rPr>
        <w:t xml:space="preserve">          </w:t>
      </w:r>
      <w:r>
        <w:rPr>
          <w:rFonts w:ascii="宋体" w:hAnsi="宋体" w:cs="宋体"/>
          <w:color w:val="000000"/>
          <w:szCs w:val="21"/>
          <w:u w:val="single"/>
        </w:rPr>
        <w:t xml:space="preserve">  </w:t>
      </w:r>
      <w:r>
        <w:rPr>
          <w:rFonts w:hint="eastAsia" w:ascii="宋体" w:hAnsi="宋体" w:cs="宋体"/>
          <w:color w:val="000000"/>
          <w:szCs w:val="21"/>
          <w:u w:val="single"/>
        </w:rPr>
        <w:t xml:space="preserve">         </w:t>
      </w:r>
      <w:r>
        <w:rPr>
          <w:rFonts w:hint="eastAsia" w:ascii="宋体" w:hAnsi="宋体" w:cs="宋体"/>
          <w:color w:val="000000"/>
          <w:szCs w:val="21"/>
          <w:u w:val="single"/>
        </w:rPr>
        <w:tab/>
      </w:r>
      <w:r>
        <w:rPr>
          <w:rFonts w:hint="eastAsia" w:ascii="宋体" w:hAnsi="宋体" w:cs="宋体"/>
          <w:color w:val="000000"/>
          <w:szCs w:val="21"/>
          <w:u w:val="single"/>
        </w:rPr>
        <w:tab/>
      </w:r>
      <w:r>
        <w:rPr>
          <w:rFonts w:hint="eastAsia" w:ascii="宋体" w:hAnsi="宋体" w:cs="宋体"/>
          <w:color w:val="000000"/>
          <w:szCs w:val="21"/>
          <w:u w:val="single"/>
        </w:rPr>
        <w:tab/>
      </w:r>
    </w:p>
    <w:p>
      <w:pPr>
        <w:spacing w:line="360" w:lineRule="auto"/>
        <w:rPr>
          <w:rFonts w:hint="eastAsia" w:ascii="宋体" w:hAnsi="宋体" w:cs="宋体"/>
          <w:color w:val="000000"/>
          <w:szCs w:val="21"/>
          <w:u w:val="single"/>
        </w:rPr>
      </w:pPr>
      <w:r>
        <w:rPr>
          <w:rFonts w:hint="eastAsia" w:ascii="宋体" w:hAnsi="宋体" w:cs="宋体"/>
          <w:color w:val="000000"/>
          <w:szCs w:val="21"/>
        </w:rPr>
        <w:t>电    话：</w:t>
      </w:r>
      <w:r>
        <w:rPr>
          <w:rFonts w:hint="eastAsia" w:ascii="宋体" w:hAnsi="宋体" w:cs="宋体"/>
          <w:color w:val="000000"/>
          <w:szCs w:val="21"/>
          <w:u w:val="single"/>
        </w:rPr>
        <w:tab/>
      </w:r>
      <w:r>
        <w:rPr>
          <w:rFonts w:hint="eastAsia" w:ascii="宋体" w:hAnsi="宋体" w:cs="宋体"/>
          <w:color w:val="000000"/>
          <w:szCs w:val="21"/>
          <w:u w:val="single"/>
        </w:rPr>
        <w:tab/>
      </w:r>
      <w:r>
        <w:rPr>
          <w:rFonts w:hint="eastAsia" w:ascii="宋体" w:hAnsi="宋体" w:cs="宋体"/>
          <w:color w:val="000000"/>
          <w:szCs w:val="21"/>
          <w:u w:val="single"/>
        </w:rPr>
        <w:t xml:space="preserve">  </w:t>
      </w:r>
      <w:r>
        <w:rPr>
          <w:rFonts w:hint="eastAsia" w:ascii="宋体" w:hAnsi="宋体" w:cs="宋体"/>
          <w:color w:val="000000"/>
          <w:szCs w:val="21"/>
          <w:u w:val="single"/>
        </w:rPr>
        <w:tab/>
      </w:r>
      <w:r>
        <w:rPr>
          <w:rFonts w:hint="eastAsia" w:ascii="宋体" w:hAnsi="宋体" w:cs="宋体"/>
          <w:color w:val="000000"/>
          <w:szCs w:val="21"/>
          <w:u w:val="single"/>
        </w:rPr>
        <w:tab/>
      </w:r>
      <w:r>
        <w:rPr>
          <w:rFonts w:hint="eastAsia" w:ascii="宋体" w:hAnsi="宋体" w:cs="宋体"/>
          <w:color w:val="000000"/>
          <w:szCs w:val="21"/>
          <w:u w:val="single"/>
        </w:rPr>
        <w:t xml:space="preserve">                    </w:t>
      </w:r>
      <w:r>
        <w:rPr>
          <w:rFonts w:hint="eastAsia" w:ascii="宋体" w:hAnsi="宋体" w:cs="宋体"/>
          <w:color w:val="000000"/>
          <w:szCs w:val="21"/>
          <w:u w:val="single"/>
        </w:rPr>
        <w:tab/>
      </w:r>
      <w:r>
        <w:rPr>
          <w:rFonts w:hint="eastAsia" w:ascii="宋体" w:hAnsi="宋体" w:cs="宋体"/>
          <w:color w:val="000000"/>
          <w:szCs w:val="21"/>
          <w:u w:val="single"/>
        </w:rPr>
        <w:tab/>
      </w:r>
      <w:r>
        <w:rPr>
          <w:rFonts w:hint="eastAsia" w:ascii="宋体" w:hAnsi="宋体" w:cs="宋体"/>
          <w:color w:val="000000"/>
          <w:szCs w:val="21"/>
          <w:u w:val="single"/>
        </w:rPr>
        <w:tab/>
      </w:r>
    </w:p>
    <w:p>
      <w:pPr>
        <w:spacing w:line="360" w:lineRule="auto"/>
        <w:rPr>
          <w:rFonts w:hint="eastAsia" w:ascii="宋体" w:hAnsi="宋体" w:cs="宋体"/>
          <w:color w:val="000000"/>
          <w:szCs w:val="21"/>
          <w:u w:val="single"/>
        </w:rPr>
      </w:pPr>
      <w:r>
        <w:rPr>
          <w:rFonts w:hint="eastAsia" w:ascii="宋体" w:hAnsi="宋体" w:cs="宋体"/>
          <w:color w:val="000000"/>
          <w:szCs w:val="21"/>
        </w:rPr>
        <w:t>传    真：</w:t>
      </w:r>
      <w:r>
        <w:rPr>
          <w:rFonts w:hint="eastAsia" w:ascii="宋体" w:hAnsi="宋体" w:cs="宋体"/>
          <w:color w:val="000000"/>
          <w:szCs w:val="21"/>
          <w:u w:val="single"/>
        </w:rPr>
        <w:tab/>
      </w:r>
      <w:r>
        <w:rPr>
          <w:rFonts w:hint="eastAsia" w:ascii="宋体" w:hAnsi="宋体" w:cs="宋体"/>
          <w:color w:val="000000"/>
          <w:szCs w:val="21"/>
          <w:u w:val="single"/>
        </w:rPr>
        <w:tab/>
      </w:r>
      <w:r>
        <w:rPr>
          <w:rFonts w:hint="eastAsia" w:ascii="宋体" w:hAnsi="宋体" w:cs="宋体"/>
          <w:color w:val="000000"/>
          <w:szCs w:val="21"/>
          <w:u w:val="single"/>
        </w:rPr>
        <w:t xml:space="preserve">  </w:t>
      </w:r>
      <w:r>
        <w:rPr>
          <w:rFonts w:hint="eastAsia" w:ascii="宋体" w:hAnsi="宋体" w:cs="宋体"/>
          <w:color w:val="000000"/>
          <w:szCs w:val="21"/>
          <w:u w:val="single"/>
        </w:rPr>
        <w:tab/>
      </w:r>
      <w:r>
        <w:rPr>
          <w:rFonts w:hint="eastAsia" w:ascii="宋体" w:hAnsi="宋体" w:cs="宋体"/>
          <w:color w:val="000000"/>
          <w:szCs w:val="21"/>
          <w:u w:val="single"/>
        </w:rPr>
        <w:tab/>
      </w:r>
      <w:r>
        <w:rPr>
          <w:rFonts w:hint="eastAsia" w:ascii="宋体" w:hAnsi="宋体" w:cs="宋体"/>
          <w:color w:val="000000"/>
          <w:szCs w:val="21"/>
          <w:u w:val="single"/>
        </w:rPr>
        <w:t xml:space="preserve">                    </w:t>
      </w:r>
      <w:r>
        <w:rPr>
          <w:rFonts w:hint="eastAsia" w:ascii="宋体" w:hAnsi="宋体" w:cs="宋体"/>
          <w:color w:val="000000"/>
          <w:szCs w:val="21"/>
          <w:u w:val="single"/>
        </w:rPr>
        <w:tab/>
      </w:r>
      <w:r>
        <w:rPr>
          <w:rFonts w:hint="eastAsia" w:ascii="宋体" w:hAnsi="宋体" w:cs="宋体"/>
          <w:color w:val="000000"/>
          <w:szCs w:val="21"/>
          <w:u w:val="single"/>
        </w:rPr>
        <w:tab/>
      </w:r>
      <w:r>
        <w:rPr>
          <w:rFonts w:hint="eastAsia" w:ascii="宋体" w:hAnsi="宋体" w:cs="宋体"/>
          <w:color w:val="000000"/>
          <w:szCs w:val="21"/>
          <w:u w:val="single"/>
        </w:rPr>
        <w:tab/>
      </w:r>
    </w:p>
    <w:p>
      <w:pPr>
        <w:spacing w:line="360" w:lineRule="auto"/>
        <w:ind w:firstLine="4320" w:firstLineChars="1800"/>
        <w:rPr>
          <w:rFonts w:hint="eastAsia" w:ascii="宋体" w:hAnsi="宋体" w:cs="宋体"/>
          <w:color w:val="000000"/>
          <w:szCs w:val="21"/>
        </w:rPr>
      </w:pP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pPr>
        <w:spacing w:line="440" w:lineRule="exact"/>
        <w:rPr>
          <w:rFonts w:hint="eastAsia" w:ascii="宋体" w:hAnsi="宋体" w:cs="宋体"/>
          <w:color w:val="000000"/>
          <w:szCs w:val="21"/>
        </w:rPr>
      </w:pPr>
      <w:r>
        <w:rPr>
          <w:rFonts w:hint="eastAsia" w:ascii="宋体" w:hAnsi="宋体" w:cs="宋体"/>
          <w:b/>
          <w:color w:val="000000"/>
          <w:szCs w:val="21"/>
        </w:rPr>
        <w:br w:type="page"/>
      </w:r>
      <w:r>
        <w:rPr>
          <w:rFonts w:hint="eastAsia" w:ascii="宋体" w:hAnsi="宋体" w:cs="宋体"/>
          <w:color w:val="000000"/>
          <w:szCs w:val="21"/>
        </w:rPr>
        <w:t>附</w:t>
      </w:r>
      <w:bookmarkStart w:id="3014" w:name="_Toc296891061"/>
      <w:bookmarkStart w:id="3015" w:name="_Toc296503233"/>
      <w:bookmarkStart w:id="3016" w:name="_Toc296891273"/>
      <w:bookmarkStart w:id="3017" w:name="_Toc296347232"/>
      <w:bookmarkStart w:id="3018" w:name="_Toc296944572"/>
      <w:bookmarkStart w:id="3019" w:name="_Toc296346734"/>
      <w:r>
        <w:rPr>
          <w:rFonts w:hint="eastAsia" w:ascii="宋体" w:hAnsi="宋体" w:cs="宋体"/>
          <w:color w:val="000000"/>
          <w:szCs w:val="21"/>
        </w:rPr>
        <w:t xml:space="preserve">件10:  </w:t>
      </w:r>
    </w:p>
    <w:bookmarkEnd w:id="3014"/>
    <w:bookmarkEnd w:id="3015"/>
    <w:bookmarkEnd w:id="3016"/>
    <w:bookmarkEnd w:id="3017"/>
    <w:bookmarkEnd w:id="3018"/>
    <w:bookmarkEnd w:id="3019"/>
    <w:p>
      <w:pPr>
        <w:spacing w:before="156" w:beforeLines="50" w:after="156" w:afterLines="50" w:line="440" w:lineRule="exact"/>
        <w:jc w:val="center"/>
        <w:rPr>
          <w:rFonts w:hint="eastAsia" w:ascii="宋体" w:hAnsi="宋体" w:cs="宋体"/>
          <w:color w:val="000000"/>
          <w:szCs w:val="21"/>
        </w:rPr>
      </w:pPr>
      <w:r>
        <w:rPr>
          <w:rFonts w:hint="eastAsia" w:ascii="宋体" w:hAnsi="宋体" w:cs="宋体"/>
          <w:color w:val="000000"/>
          <w:szCs w:val="21"/>
        </w:rPr>
        <w:t>支付担保</w:t>
      </w:r>
    </w:p>
    <w:p>
      <w:pPr>
        <w:spacing w:line="440" w:lineRule="exact"/>
        <w:jc w:val="left"/>
        <w:rPr>
          <w:rFonts w:hint="eastAsia" w:ascii="宋体" w:hAnsi="宋体" w:cs="宋体"/>
          <w:color w:val="000000"/>
          <w:szCs w:val="21"/>
        </w:rPr>
      </w:pPr>
      <w:r>
        <w:rPr>
          <w:rFonts w:hint="eastAsia" w:ascii="宋体" w:hAnsi="宋体" w:cs="宋体"/>
          <w:color w:val="000000"/>
          <w:szCs w:val="21"/>
          <w:u w:val="single"/>
        </w:rPr>
        <w:t xml:space="preserve">       /     </w:t>
      </w:r>
      <w:r>
        <w:rPr>
          <w:rFonts w:hint="eastAsia" w:ascii="宋体" w:hAnsi="宋体" w:cs="宋体"/>
          <w:color w:val="000000"/>
          <w:szCs w:val="21"/>
        </w:rPr>
        <w:t>（承包人）：</w:t>
      </w:r>
    </w:p>
    <w:p>
      <w:pPr>
        <w:spacing w:line="440" w:lineRule="exact"/>
        <w:jc w:val="left"/>
        <w:rPr>
          <w:rFonts w:hint="eastAsia" w:ascii="宋体" w:hAnsi="宋体" w:cs="宋体"/>
          <w:color w:val="000000"/>
          <w:szCs w:val="21"/>
        </w:rPr>
      </w:pP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鉴于你方作为承包人已经与</w:t>
      </w:r>
      <w:r>
        <w:rPr>
          <w:rFonts w:hint="eastAsia" w:ascii="宋体" w:hAnsi="宋体" w:cs="宋体"/>
          <w:color w:val="000000"/>
          <w:szCs w:val="21"/>
          <w:u w:val="single"/>
        </w:rPr>
        <w:t xml:space="preserve">      /      </w:t>
      </w:r>
      <w:r>
        <w:rPr>
          <w:rFonts w:hint="eastAsia" w:ascii="宋体" w:hAnsi="宋体" w:cs="宋体"/>
          <w:color w:val="000000"/>
          <w:szCs w:val="21"/>
        </w:rPr>
        <w:t>（发包人名称）（以下称“发包人”）于</w:t>
      </w:r>
      <w:r>
        <w:rPr>
          <w:rFonts w:hint="eastAsia" w:ascii="宋体" w:hAnsi="宋体" w:cs="宋体"/>
          <w:color w:val="000000"/>
          <w:szCs w:val="21"/>
          <w:u w:val="single"/>
        </w:rPr>
        <w:t xml:space="preserve"> / </w:t>
      </w:r>
      <w:r>
        <w:rPr>
          <w:rFonts w:hint="eastAsia" w:ascii="宋体" w:hAnsi="宋体" w:cs="宋体"/>
          <w:color w:val="000000"/>
          <w:szCs w:val="21"/>
        </w:rPr>
        <w:t>年</w:t>
      </w:r>
      <w:r>
        <w:rPr>
          <w:rFonts w:hint="eastAsia" w:ascii="宋体" w:hAnsi="宋体" w:cs="宋体"/>
          <w:color w:val="000000"/>
          <w:szCs w:val="21"/>
          <w:u w:val="single"/>
        </w:rPr>
        <w:t xml:space="preserve"> / </w:t>
      </w:r>
      <w:r>
        <w:rPr>
          <w:rFonts w:hint="eastAsia" w:ascii="宋体" w:hAnsi="宋体" w:cs="宋体"/>
          <w:color w:val="000000"/>
          <w:szCs w:val="21"/>
        </w:rPr>
        <w:t>月</w:t>
      </w:r>
      <w:r>
        <w:rPr>
          <w:rFonts w:hint="eastAsia" w:ascii="宋体" w:hAnsi="宋体" w:cs="宋体"/>
          <w:color w:val="000000"/>
          <w:szCs w:val="21"/>
          <w:u w:val="single"/>
        </w:rPr>
        <w:t xml:space="preserve">  / </w:t>
      </w:r>
      <w:r>
        <w:rPr>
          <w:rFonts w:hint="eastAsia" w:ascii="宋体" w:hAnsi="宋体" w:cs="宋体"/>
          <w:color w:val="000000"/>
          <w:szCs w:val="21"/>
        </w:rPr>
        <w:t>日签订了</w:t>
      </w:r>
      <w:r>
        <w:rPr>
          <w:rFonts w:hint="eastAsia" w:ascii="宋体" w:hAnsi="宋体" w:cs="宋体"/>
          <w:color w:val="000000"/>
          <w:szCs w:val="21"/>
          <w:u w:val="single"/>
        </w:rPr>
        <w:t xml:space="preserve">      /       </w:t>
      </w:r>
      <w:r>
        <w:rPr>
          <w:rFonts w:hint="eastAsia" w:ascii="宋体" w:hAnsi="宋体" w:cs="宋体"/>
          <w:color w:val="000000"/>
          <w:szCs w:val="21"/>
        </w:rPr>
        <w:t>（工程名称）《建设工程施工合同》（以下称“主合同”），应发包人的申请，我方愿就发包人履行主合同约定的工程款支付义务以保证的方式向你方提供如下担保：</w:t>
      </w:r>
    </w:p>
    <w:p>
      <w:pPr>
        <w:spacing w:line="360" w:lineRule="auto"/>
        <w:ind w:firstLine="480" w:firstLineChars="200"/>
        <w:jc w:val="left"/>
        <w:outlineLvl w:val="0"/>
        <w:rPr>
          <w:rFonts w:hint="eastAsia" w:ascii="宋体" w:hAnsi="宋体" w:cs="宋体"/>
          <w:color w:val="000000"/>
          <w:szCs w:val="21"/>
        </w:rPr>
      </w:pPr>
      <w:r>
        <w:rPr>
          <w:rFonts w:hint="eastAsia" w:ascii="宋体" w:hAnsi="宋体" w:cs="宋体"/>
          <w:color w:val="000000"/>
          <w:szCs w:val="21"/>
        </w:rPr>
        <w:t>一、保证的范围及保证金额</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 我方的保证范围是主合同约定的工程款。</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2. 本保函所称主合同约定的工程款是指主合同约定的除工程质量保证金以外的合同价款。</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3. 我方保证的金额是主合同约定的工程款的</w:t>
      </w:r>
      <w:r>
        <w:rPr>
          <w:rFonts w:hint="eastAsia" w:ascii="宋体" w:hAnsi="宋体" w:cs="宋体"/>
          <w:color w:val="000000"/>
          <w:szCs w:val="21"/>
          <w:u w:val="single"/>
        </w:rPr>
        <w:t xml:space="preserve">   /   </w:t>
      </w:r>
      <w:r>
        <w:rPr>
          <w:rFonts w:hint="eastAsia" w:ascii="宋体" w:hAnsi="宋体" w:cs="宋体"/>
          <w:color w:val="000000"/>
          <w:szCs w:val="21"/>
        </w:rPr>
        <w:t>%，数额最高不超过人民币元（大写：</w:t>
      </w:r>
      <w:r>
        <w:rPr>
          <w:rFonts w:hint="eastAsia" w:ascii="宋体" w:hAnsi="宋体" w:cs="宋体"/>
          <w:color w:val="000000"/>
          <w:szCs w:val="21"/>
          <w:u w:val="single"/>
        </w:rPr>
        <w:t xml:space="preserve">   /     </w:t>
      </w:r>
      <w:r>
        <w:rPr>
          <w:rFonts w:hint="eastAsia" w:ascii="宋体" w:hAnsi="宋体" w:cs="宋体"/>
          <w:color w:val="000000"/>
          <w:szCs w:val="21"/>
        </w:rPr>
        <w:t>）。</w:t>
      </w:r>
    </w:p>
    <w:p>
      <w:pPr>
        <w:spacing w:line="360" w:lineRule="auto"/>
        <w:ind w:firstLine="480" w:firstLineChars="200"/>
        <w:jc w:val="left"/>
        <w:outlineLvl w:val="0"/>
        <w:rPr>
          <w:rFonts w:hint="eastAsia" w:ascii="宋体" w:hAnsi="宋体" w:cs="宋体"/>
          <w:color w:val="000000"/>
          <w:szCs w:val="21"/>
        </w:rPr>
      </w:pPr>
      <w:r>
        <w:rPr>
          <w:rFonts w:hint="eastAsia" w:ascii="宋体" w:hAnsi="宋体" w:cs="宋体"/>
          <w:color w:val="000000"/>
          <w:szCs w:val="21"/>
        </w:rPr>
        <w:t>二、保证的方式及保证期间</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 我方保证的方式为：连带责任保证。</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2. 我方保证的期间为：自本合同生效之日起至主合同约定的工程款支付完毕之日后</w:t>
      </w:r>
      <w:r>
        <w:rPr>
          <w:rFonts w:hint="eastAsia" w:ascii="宋体" w:hAnsi="宋体" w:cs="宋体"/>
          <w:color w:val="000000"/>
          <w:szCs w:val="21"/>
          <w:u w:val="single"/>
        </w:rPr>
        <w:t xml:space="preserve">  /  </w:t>
      </w:r>
      <w:r>
        <w:rPr>
          <w:rFonts w:hint="eastAsia" w:ascii="宋体" w:hAnsi="宋体" w:cs="宋体"/>
          <w:color w:val="000000"/>
          <w:szCs w:val="21"/>
        </w:rPr>
        <w:t>日内。</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3. 你方与发包人协议变更工程款支付日期的，经我方书面同意后，保证期间按照变更后的支付日期做相应调整。</w:t>
      </w:r>
    </w:p>
    <w:p>
      <w:pPr>
        <w:spacing w:line="360" w:lineRule="auto"/>
        <w:ind w:firstLine="480" w:firstLineChars="200"/>
        <w:jc w:val="left"/>
        <w:outlineLvl w:val="0"/>
        <w:rPr>
          <w:rFonts w:hint="eastAsia" w:ascii="宋体" w:hAnsi="宋体" w:cs="宋体"/>
          <w:color w:val="000000"/>
          <w:szCs w:val="21"/>
        </w:rPr>
      </w:pPr>
      <w:r>
        <w:rPr>
          <w:rFonts w:hint="eastAsia" w:ascii="宋体" w:hAnsi="宋体" w:cs="宋体"/>
          <w:color w:val="000000"/>
          <w:szCs w:val="21"/>
        </w:rPr>
        <w:t>三、承担保证责任的形式</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我方承担保证责任的形式是代为支付。发包人未按主合同约定向你方支付工程款的，由我方在保证金额内代为支付。</w:t>
      </w:r>
    </w:p>
    <w:p>
      <w:pPr>
        <w:spacing w:line="360" w:lineRule="auto"/>
        <w:ind w:firstLine="480" w:firstLineChars="200"/>
        <w:jc w:val="left"/>
        <w:outlineLvl w:val="0"/>
        <w:rPr>
          <w:rFonts w:hint="eastAsia" w:ascii="宋体" w:hAnsi="宋体" w:cs="宋体"/>
          <w:color w:val="000000"/>
          <w:szCs w:val="21"/>
        </w:rPr>
      </w:pPr>
      <w:r>
        <w:rPr>
          <w:rFonts w:hint="eastAsia" w:ascii="宋体" w:hAnsi="宋体" w:cs="宋体"/>
          <w:color w:val="000000"/>
          <w:szCs w:val="21"/>
        </w:rPr>
        <w:t>四、代偿的安排</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 你方要求保证我方承担责任的，应向我方发出书面索赔通知及发包人未支付主合同约定工程款的证明材料。索赔通知应写明要求索赔的金额，支付款项应到达的账号。</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2. 在出现你方与发包人因工程质量发生争议，发包人拒绝向你方支付工程款的情形时，你方要求我方履行保证责任代为支付的，需提供符合相应条件要求的工程质量检测机构出具的质量说明材料。</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3. 我方收到你方的书面索赔通知及相应的证明材料后７天内无条件支付。</w:t>
      </w:r>
    </w:p>
    <w:p>
      <w:pPr>
        <w:spacing w:line="360" w:lineRule="auto"/>
        <w:ind w:firstLine="480" w:firstLineChars="200"/>
        <w:jc w:val="left"/>
        <w:outlineLvl w:val="0"/>
        <w:rPr>
          <w:rFonts w:hint="eastAsia" w:ascii="宋体" w:hAnsi="宋体" w:cs="宋体"/>
          <w:color w:val="000000"/>
          <w:szCs w:val="21"/>
        </w:rPr>
      </w:pPr>
      <w:r>
        <w:rPr>
          <w:rFonts w:hint="eastAsia" w:ascii="宋体" w:hAnsi="宋体" w:cs="宋体"/>
          <w:color w:val="000000"/>
          <w:szCs w:val="21"/>
        </w:rPr>
        <w:t>五、保证责任的解除</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 在本保函承诺的保证期间内，你方未书面向我方主张保证责任的，自保证期间届满次日起，我方保证责任解除。</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2. 发包人按主合同约定履行了工程款的全部支付义务的，自本保函承诺的保证期间届满次日起，我方保证责任解除。</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3. 我方按照本保函向你方履行保证责任所支付金额达到本保函保证金额时，自我方向你方支付（支付款项从我方账户划出）之日起，保证责任即解除。</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4. 按照法律法规的规定或出现应解除我方保证责任的其他情形的，我方在本保函项下的保证责任亦解除。</w:t>
      </w:r>
    </w:p>
    <w:p>
      <w:pPr>
        <w:spacing w:line="360" w:lineRule="auto"/>
        <w:jc w:val="left"/>
        <w:rPr>
          <w:rFonts w:hint="eastAsia" w:ascii="宋体" w:hAnsi="宋体" w:cs="宋体"/>
          <w:color w:val="000000"/>
          <w:szCs w:val="21"/>
        </w:rPr>
      </w:pP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5. 我方解除保证责任后，你方应自我方保证责任解除之日起</w:t>
      </w:r>
      <w:r>
        <w:rPr>
          <w:rFonts w:hint="eastAsia" w:ascii="宋体" w:hAnsi="宋体" w:cs="宋体"/>
          <w:color w:val="000000"/>
          <w:szCs w:val="21"/>
          <w:u w:val="single"/>
        </w:rPr>
        <w:t xml:space="preserve"> / </w:t>
      </w:r>
      <w:r>
        <w:rPr>
          <w:rFonts w:hint="eastAsia" w:ascii="宋体" w:hAnsi="宋体" w:cs="宋体"/>
          <w:color w:val="000000"/>
          <w:szCs w:val="21"/>
        </w:rPr>
        <w:t>个工作日内，将本保函原件返还我方。</w:t>
      </w:r>
    </w:p>
    <w:p>
      <w:pPr>
        <w:spacing w:line="360" w:lineRule="auto"/>
        <w:ind w:firstLine="480" w:firstLineChars="200"/>
        <w:jc w:val="left"/>
        <w:outlineLvl w:val="0"/>
        <w:rPr>
          <w:rFonts w:hint="eastAsia" w:ascii="宋体" w:hAnsi="宋体" w:cs="宋体"/>
          <w:color w:val="000000"/>
          <w:szCs w:val="21"/>
        </w:rPr>
      </w:pPr>
      <w:r>
        <w:rPr>
          <w:rFonts w:hint="eastAsia" w:ascii="宋体" w:hAnsi="宋体" w:cs="宋体"/>
          <w:color w:val="000000"/>
          <w:szCs w:val="21"/>
        </w:rPr>
        <w:t>六、免责条款</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 因你方违约致使发包人不能履行义务的，我方不承担保证责任。</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2. 依照法律法规的规定或你方与发包人的另行约定，免除发包人部分或全部义务的，我方亦免除其相应的保证责任。</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3. 你方与发包人协议变更主合同的，如加重发包人责任致使我方保证责任加重的，需征得我方书面同意，否则我方不再承担因此而加重部分的保证责任，但主合同第10条〔变更〕约定的变更不受本款限制。</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4. 因不可抗力造成发包人不能履行义务的，我方不承担保证责任。</w:t>
      </w:r>
    </w:p>
    <w:p>
      <w:pPr>
        <w:spacing w:line="360" w:lineRule="auto"/>
        <w:ind w:firstLine="480" w:firstLineChars="200"/>
        <w:jc w:val="left"/>
        <w:outlineLvl w:val="0"/>
        <w:rPr>
          <w:rFonts w:hint="eastAsia" w:ascii="宋体" w:hAnsi="宋体" w:cs="宋体"/>
          <w:color w:val="000000"/>
          <w:szCs w:val="21"/>
        </w:rPr>
      </w:pPr>
      <w:r>
        <w:rPr>
          <w:rFonts w:hint="eastAsia" w:ascii="宋体" w:hAnsi="宋体" w:cs="宋体"/>
          <w:color w:val="000000"/>
          <w:szCs w:val="21"/>
        </w:rPr>
        <w:t>七、争议解决</w:t>
      </w:r>
    </w:p>
    <w:p>
      <w:pPr>
        <w:spacing w:after="120" w:line="360" w:lineRule="auto"/>
        <w:ind w:firstLine="480" w:firstLineChars="200"/>
        <w:rPr>
          <w:rFonts w:hint="eastAsia" w:ascii="宋体" w:hAnsi="宋体" w:cs="宋体"/>
          <w:color w:val="000000"/>
          <w:szCs w:val="21"/>
        </w:rPr>
      </w:pPr>
      <w:r>
        <w:rPr>
          <w:rFonts w:hint="eastAsia" w:ascii="宋体" w:hAnsi="宋体" w:cs="宋体"/>
          <w:color w:val="000000"/>
          <w:szCs w:val="21"/>
        </w:rPr>
        <w:t>因本保函或本保函相关事项发生的纠纷，可由双方协商解决，协商不成的，按下列第</w:t>
      </w:r>
      <w:r>
        <w:rPr>
          <w:rFonts w:hint="eastAsia" w:ascii="宋体" w:hAnsi="宋体" w:cs="宋体"/>
          <w:color w:val="000000"/>
          <w:szCs w:val="21"/>
          <w:u w:val="single"/>
        </w:rPr>
        <w:t xml:space="preserve">  /   </w:t>
      </w:r>
      <w:r>
        <w:rPr>
          <w:rFonts w:hint="eastAsia" w:ascii="宋体" w:hAnsi="宋体" w:cs="宋体"/>
          <w:color w:val="000000"/>
          <w:szCs w:val="21"/>
        </w:rPr>
        <w:t>种方式解决：</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（1）向</w:t>
      </w:r>
      <w:r>
        <w:rPr>
          <w:rFonts w:hint="eastAsia" w:ascii="宋体" w:hAnsi="宋体" w:cs="宋体"/>
          <w:color w:val="000000"/>
          <w:szCs w:val="21"/>
          <w:u w:val="single"/>
        </w:rPr>
        <w:t xml:space="preserve">        /         </w:t>
      </w:r>
      <w:r>
        <w:rPr>
          <w:rFonts w:hint="eastAsia" w:ascii="宋体" w:hAnsi="宋体" w:cs="宋体"/>
          <w:color w:val="000000"/>
          <w:szCs w:val="21"/>
        </w:rPr>
        <w:t>仲裁委员会申请仲裁；</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（2）向</w:t>
      </w:r>
      <w:r>
        <w:rPr>
          <w:rFonts w:hint="eastAsia" w:ascii="宋体" w:hAnsi="宋体" w:cs="宋体"/>
          <w:color w:val="000000"/>
          <w:szCs w:val="21"/>
          <w:u w:val="single"/>
        </w:rPr>
        <w:t xml:space="preserve">         /        </w:t>
      </w:r>
      <w:r>
        <w:rPr>
          <w:rFonts w:hint="eastAsia" w:ascii="宋体" w:hAnsi="宋体" w:cs="宋体"/>
          <w:color w:val="000000"/>
          <w:szCs w:val="21"/>
        </w:rPr>
        <w:t>人民法院起诉。</w:t>
      </w:r>
    </w:p>
    <w:p>
      <w:pPr>
        <w:spacing w:line="360" w:lineRule="auto"/>
        <w:ind w:firstLine="480" w:firstLineChars="200"/>
        <w:jc w:val="left"/>
        <w:outlineLvl w:val="0"/>
        <w:rPr>
          <w:rFonts w:hint="eastAsia" w:ascii="宋体" w:hAnsi="宋体" w:cs="宋体"/>
          <w:color w:val="000000"/>
          <w:szCs w:val="21"/>
        </w:rPr>
      </w:pPr>
      <w:r>
        <w:rPr>
          <w:rFonts w:hint="eastAsia" w:ascii="宋体" w:hAnsi="宋体" w:cs="宋体"/>
          <w:color w:val="000000"/>
          <w:szCs w:val="21"/>
        </w:rPr>
        <w:t>八、保函的生效</w:t>
      </w:r>
    </w:p>
    <w:p>
      <w:pPr>
        <w:spacing w:line="360" w:lineRule="auto"/>
        <w:ind w:firstLine="480" w:firstLineChars="200"/>
        <w:jc w:val="left"/>
        <w:rPr>
          <w:rFonts w:hint="eastAsia" w:ascii="宋体" w:hAnsi="宋体" w:cs="宋体"/>
          <w:color w:val="000000"/>
          <w:szCs w:val="21"/>
        </w:rPr>
      </w:pPr>
      <w:r>
        <w:rPr>
          <w:rFonts w:hint="eastAsia" w:ascii="宋体" w:hAnsi="宋体" w:cs="宋体"/>
          <w:color w:val="000000"/>
          <w:szCs w:val="21"/>
        </w:rPr>
        <w:t>本保函自我方法定代表人（或其授权代理人）签字并加盖公章之日起生效。</w:t>
      </w:r>
    </w:p>
    <w:p>
      <w:pPr>
        <w:spacing w:line="360" w:lineRule="auto"/>
        <w:ind w:firstLine="480" w:firstLineChars="200"/>
        <w:jc w:val="left"/>
        <w:rPr>
          <w:rFonts w:hint="eastAsia" w:ascii="宋体" w:hAnsi="宋体" w:cs="宋体"/>
          <w:color w:val="000000"/>
          <w:szCs w:val="21"/>
        </w:rPr>
      </w:pPr>
    </w:p>
    <w:p>
      <w:pPr>
        <w:spacing w:line="360" w:lineRule="auto"/>
        <w:ind w:right="600"/>
        <w:jc w:val="left"/>
        <w:rPr>
          <w:rFonts w:hint="eastAsia" w:ascii="宋体" w:hAnsi="宋体" w:cs="宋体"/>
          <w:color w:val="000000"/>
          <w:szCs w:val="21"/>
        </w:rPr>
      </w:pPr>
    </w:p>
    <w:p>
      <w:pPr>
        <w:spacing w:line="360" w:lineRule="auto"/>
        <w:ind w:right="600"/>
        <w:jc w:val="left"/>
        <w:rPr>
          <w:rFonts w:hint="eastAsia" w:ascii="宋体" w:hAnsi="宋体" w:cs="宋体"/>
          <w:color w:val="000000"/>
          <w:szCs w:val="21"/>
        </w:rPr>
      </w:pPr>
      <w:r>
        <w:rPr>
          <w:rFonts w:hint="eastAsia" w:ascii="宋体" w:hAnsi="宋体" w:cs="宋体"/>
          <w:color w:val="000000"/>
          <w:szCs w:val="21"/>
        </w:rPr>
        <w:t>担保人：</w:t>
      </w:r>
      <w:r>
        <w:rPr>
          <w:rFonts w:hint="eastAsia" w:ascii="宋体" w:hAnsi="宋体" w:cs="宋体"/>
          <w:color w:val="000000"/>
          <w:szCs w:val="21"/>
          <w:u w:val="single"/>
        </w:rPr>
        <w:t xml:space="preserve">                 /                  </w:t>
      </w:r>
      <w:r>
        <w:rPr>
          <w:rFonts w:hint="eastAsia" w:ascii="宋体" w:hAnsi="宋体" w:cs="宋体"/>
          <w:color w:val="000000"/>
          <w:szCs w:val="21"/>
        </w:rPr>
        <w:t>（盖章）</w:t>
      </w:r>
    </w:p>
    <w:p>
      <w:pPr>
        <w:spacing w:line="360" w:lineRule="auto"/>
        <w:ind w:right="1200"/>
        <w:rPr>
          <w:rFonts w:hint="eastAsia" w:ascii="宋体" w:hAnsi="宋体" w:cs="宋体"/>
          <w:color w:val="000000"/>
          <w:szCs w:val="21"/>
        </w:rPr>
      </w:pPr>
      <w:r>
        <w:rPr>
          <w:rFonts w:hint="eastAsia" w:ascii="宋体" w:hAnsi="宋体" w:cs="宋体"/>
          <w:color w:val="000000"/>
          <w:szCs w:val="21"/>
        </w:rPr>
        <w:t>法定代表人或委托代理人：</w:t>
      </w:r>
      <w:r>
        <w:rPr>
          <w:rFonts w:hint="eastAsia" w:ascii="宋体" w:hAnsi="宋体" w:cs="宋体"/>
          <w:color w:val="000000"/>
          <w:szCs w:val="21"/>
          <w:u w:val="single"/>
        </w:rPr>
        <w:t xml:space="preserve">         /          </w:t>
      </w:r>
      <w:r>
        <w:rPr>
          <w:rFonts w:hint="eastAsia" w:ascii="宋体" w:hAnsi="宋体" w:cs="宋体"/>
          <w:color w:val="000000"/>
          <w:szCs w:val="21"/>
        </w:rPr>
        <w:t>（签字）</w:t>
      </w:r>
    </w:p>
    <w:p>
      <w:pPr>
        <w:spacing w:line="360" w:lineRule="auto"/>
        <w:jc w:val="left"/>
        <w:rPr>
          <w:rFonts w:hint="eastAsia" w:ascii="宋体" w:hAnsi="宋体" w:cs="宋体"/>
          <w:color w:val="000000"/>
          <w:szCs w:val="21"/>
        </w:rPr>
      </w:pPr>
      <w:r>
        <w:rPr>
          <w:rFonts w:hint="eastAsia" w:ascii="宋体" w:hAnsi="宋体" w:cs="宋体"/>
          <w:color w:val="000000"/>
          <w:szCs w:val="21"/>
        </w:rPr>
        <w:t>地    址：</w:t>
      </w:r>
      <w:r>
        <w:rPr>
          <w:rFonts w:hint="eastAsia" w:ascii="宋体" w:hAnsi="宋体" w:cs="宋体"/>
          <w:color w:val="000000"/>
          <w:szCs w:val="21"/>
          <w:u w:val="single"/>
        </w:rPr>
        <w:t xml:space="preserve">                    /                    </w:t>
      </w:r>
    </w:p>
    <w:p>
      <w:pPr>
        <w:spacing w:line="360" w:lineRule="auto"/>
        <w:jc w:val="left"/>
        <w:rPr>
          <w:rFonts w:hint="eastAsia" w:ascii="宋体" w:hAnsi="宋体" w:cs="宋体"/>
          <w:color w:val="000000"/>
          <w:szCs w:val="21"/>
        </w:rPr>
      </w:pPr>
      <w:r>
        <w:rPr>
          <w:rFonts w:hint="eastAsia" w:ascii="宋体" w:hAnsi="宋体" w:cs="宋体"/>
          <w:color w:val="000000"/>
          <w:szCs w:val="21"/>
        </w:rPr>
        <w:t>邮政编码：</w:t>
      </w:r>
      <w:r>
        <w:rPr>
          <w:rFonts w:hint="eastAsia" w:ascii="宋体" w:hAnsi="宋体" w:cs="宋体"/>
          <w:color w:val="000000"/>
          <w:szCs w:val="21"/>
          <w:u w:val="single"/>
        </w:rPr>
        <w:t xml:space="preserve">                    /                    </w:t>
      </w:r>
    </w:p>
    <w:p>
      <w:pPr>
        <w:spacing w:line="360" w:lineRule="auto"/>
        <w:jc w:val="left"/>
        <w:rPr>
          <w:rFonts w:hint="eastAsia" w:ascii="宋体" w:hAnsi="宋体" w:cs="宋体"/>
          <w:color w:val="000000"/>
          <w:szCs w:val="21"/>
        </w:rPr>
      </w:pPr>
      <w:r>
        <w:rPr>
          <w:rFonts w:hint="eastAsia" w:ascii="宋体" w:hAnsi="宋体" w:cs="宋体"/>
          <w:color w:val="000000"/>
          <w:szCs w:val="21"/>
        </w:rPr>
        <w:t>传    真：</w:t>
      </w:r>
      <w:r>
        <w:rPr>
          <w:rFonts w:hint="eastAsia" w:ascii="宋体" w:hAnsi="宋体" w:cs="宋体"/>
          <w:color w:val="000000"/>
          <w:szCs w:val="21"/>
          <w:u w:val="single"/>
        </w:rPr>
        <w:t xml:space="preserve">                    /                    </w:t>
      </w:r>
    </w:p>
    <w:p>
      <w:pPr>
        <w:spacing w:line="360" w:lineRule="auto"/>
        <w:ind w:right="150" w:firstLine="480" w:firstLineChars="200"/>
        <w:jc w:val="left"/>
        <w:rPr>
          <w:rFonts w:hint="eastAsia" w:ascii="宋体" w:hAnsi="宋体" w:cs="宋体"/>
          <w:color w:val="000000"/>
          <w:szCs w:val="21"/>
          <w:u w:val="single"/>
        </w:rPr>
      </w:pPr>
    </w:p>
    <w:p>
      <w:pPr>
        <w:spacing w:line="360" w:lineRule="auto"/>
        <w:ind w:right="150" w:firstLine="480" w:firstLineChars="200"/>
        <w:jc w:val="left"/>
        <w:rPr>
          <w:rFonts w:hint="eastAsia"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u w:val="single"/>
        </w:rPr>
        <w:t xml:space="preserve">        /       </w:t>
      </w:r>
      <w:r>
        <w:rPr>
          <w:rFonts w:hint="eastAsia" w:ascii="宋体" w:hAnsi="宋体" w:cs="宋体"/>
          <w:color w:val="000000"/>
          <w:szCs w:val="21"/>
        </w:rPr>
        <w:t>年</w:t>
      </w:r>
      <w:r>
        <w:rPr>
          <w:rFonts w:hint="eastAsia" w:ascii="宋体" w:hAnsi="宋体" w:cs="宋体"/>
          <w:color w:val="000000"/>
          <w:szCs w:val="21"/>
          <w:u w:val="single"/>
        </w:rPr>
        <w:t xml:space="preserve">    /   </w:t>
      </w:r>
      <w:r>
        <w:rPr>
          <w:rFonts w:hint="eastAsia" w:ascii="宋体" w:hAnsi="宋体" w:cs="宋体"/>
          <w:color w:val="000000"/>
          <w:szCs w:val="21"/>
        </w:rPr>
        <w:t>月</w:t>
      </w:r>
      <w:r>
        <w:rPr>
          <w:rFonts w:hint="eastAsia" w:ascii="宋体" w:hAnsi="宋体" w:cs="宋体"/>
          <w:color w:val="000000"/>
          <w:szCs w:val="21"/>
          <w:u w:val="single"/>
        </w:rPr>
        <w:t xml:space="preserve">   /   </w:t>
      </w:r>
      <w:r>
        <w:rPr>
          <w:rFonts w:hint="eastAsia" w:ascii="宋体" w:hAnsi="宋体" w:cs="宋体"/>
          <w:color w:val="000000"/>
          <w:szCs w:val="21"/>
        </w:rPr>
        <w:t>日</w:t>
      </w:r>
    </w:p>
    <w:p>
      <w:pPr>
        <w:spacing w:line="440" w:lineRule="exact"/>
        <w:rPr>
          <w:rFonts w:hint="eastAsia" w:ascii="宋体" w:hAnsi="宋体" w:cs="宋体"/>
          <w:color w:val="000000"/>
          <w:szCs w:val="21"/>
        </w:rPr>
      </w:pPr>
      <w:r>
        <w:rPr>
          <w:rFonts w:hint="eastAsia" w:ascii="宋体" w:hAnsi="宋体" w:cs="宋体"/>
          <w:color w:val="000000"/>
          <w:szCs w:val="21"/>
        </w:rPr>
        <w:br w:type="page"/>
      </w:r>
      <w:r>
        <w:rPr>
          <w:rFonts w:hint="eastAsia" w:ascii="宋体" w:hAnsi="宋体" w:cs="宋体"/>
          <w:color w:val="000000"/>
          <w:szCs w:val="21"/>
        </w:rPr>
        <w:t xml:space="preserve">附件11： </w:t>
      </w:r>
    </w:p>
    <w:p>
      <w:pPr>
        <w:spacing w:line="440" w:lineRule="exact"/>
        <w:ind w:firstLine="3240" w:firstLineChars="1350"/>
        <w:rPr>
          <w:rFonts w:hint="eastAsia" w:ascii="宋体" w:hAnsi="宋体" w:cs="宋体"/>
          <w:color w:val="000000"/>
          <w:szCs w:val="21"/>
        </w:rPr>
      </w:pPr>
      <w:r>
        <w:rPr>
          <w:rFonts w:hint="eastAsia" w:ascii="宋体" w:hAnsi="宋体" w:cs="宋体"/>
          <w:color w:val="000000"/>
          <w:szCs w:val="21"/>
        </w:rPr>
        <w:t>11-1：材料暂估价表</w:t>
      </w:r>
    </w:p>
    <w:tbl>
      <w:tblPr>
        <w:tblStyle w:val="39"/>
        <w:tblpPr w:leftFromText="180" w:rightFromText="180" w:horzAnchor="margin" w:tblpY="975"/>
        <w:tblW w:w="907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序号</w:t>
            </w:r>
          </w:p>
        </w:tc>
        <w:tc>
          <w:tcPr>
            <w:tcW w:w="1984" w:type="dxa"/>
            <w:tcBorders>
              <w:top w:val="single" w:color="auto" w:sz="12" w:space="0"/>
              <w:bottom w:val="double" w:color="auto" w:sz="6" w:space="0"/>
            </w:tcBorders>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名称</w:t>
            </w:r>
          </w:p>
        </w:tc>
        <w:tc>
          <w:tcPr>
            <w:tcW w:w="851" w:type="dxa"/>
            <w:tcBorders>
              <w:top w:val="single" w:color="auto" w:sz="12" w:space="0"/>
              <w:bottom w:val="double" w:color="auto" w:sz="6" w:space="0"/>
            </w:tcBorders>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单位</w:t>
            </w:r>
          </w:p>
        </w:tc>
        <w:tc>
          <w:tcPr>
            <w:tcW w:w="774" w:type="dxa"/>
            <w:tcBorders>
              <w:top w:val="single" w:color="auto" w:sz="12" w:space="0"/>
              <w:bottom w:val="double" w:color="auto" w:sz="6" w:space="0"/>
            </w:tcBorders>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数量</w:t>
            </w:r>
          </w:p>
        </w:tc>
        <w:tc>
          <w:tcPr>
            <w:tcW w:w="1352" w:type="dxa"/>
            <w:tcBorders>
              <w:top w:val="single" w:color="auto" w:sz="12" w:space="0"/>
              <w:bottom w:val="double" w:color="auto" w:sz="6" w:space="0"/>
            </w:tcBorders>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单价（元）</w:t>
            </w:r>
          </w:p>
        </w:tc>
        <w:tc>
          <w:tcPr>
            <w:tcW w:w="1418" w:type="dxa"/>
            <w:tcBorders>
              <w:top w:val="single" w:color="auto" w:sz="12" w:space="0"/>
              <w:bottom w:val="double" w:color="auto" w:sz="6" w:space="0"/>
            </w:tcBorders>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合价（元）</w:t>
            </w:r>
          </w:p>
        </w:tc>
        <w:tc>
          <w:tcPr>
            <w:tcW w:w="1701" w:type="dxa"/>
            <w:tcBorders>
              <w:top w:val="single" w:color="auto" w:sz="12" w:space="0"/>
              <w:bottom w:val="double" w:color="auto" w:sz="6" w:space="0"/>
            </w:tcBorders>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pPr>
              <w:pStyle w:val="16"/>
              <w:keepNext/>
              <w:spacing w:line="440" w:lineRule="exact"/>
              <w:ind w:left="63" w:right="63"/>
              <w:rPr>
                <w:rFonts w:hint="eastAsia" w:ascii="宋体" w:hAnsi="宋体" w:cs="宋体"/>
                <w:color w:val="000000"/>
                <w:szCs w:val="21"/>
              </w:rPr>
            </w:pPr>
          </w:p>
        </w:tc>
        <w:tc>
          <w:tcPr>
            <w:tcW w:w="1984" w:type="dxa"/>
            <w:tcBorders>
              <w:top w:val="double" w:color="auto" w:sz="6" w:space="0"/>
              <w:bottom w:val="single" w:color="auto" w:sz="6" w:space="0"/>
            </w:tcBorders>
            <w:noWrap w:val="0"/>
            <w:vAlign w:val="top"/>
          </w:tcPr>
          <w:p>
            <w:pPr>
              <w:pStyle w:val="16"/>
              <w:keepNext/>
              <w:spacing w:line="440" w:lineRule="exact"/>
              <w:ind w:left="63" w:right="63"/>
              <w:rPr>
                <w:rFonts w:hint="eastAsia" w:ascii="宋体" w:hAnsi="宋体" w:cs="宋体"/>
                <w:color w:val="000000"/>
                <w:szCs w:val="21"/>
              </w:rPr>
            </w:pPr>
          </w:p>
        </w:tc>
        <w:tc>
          <w:tcPr>
            <w:tcW w:w="851" w:type="dxa"/>
            <w:tcBorders>
              <w:top w:val="double" w:color="auto" w:sz="6" w:space="0"/>
              <w:bottom w:val="single" w:color="auto" w:sz="6" w:space="0"/>
            </w:tcBorders>
            <w:noWrap w:val="0"/>
            <w:vAlign w:val="top"/>
          </w:tcPr>
          <w:p>
            <w:pPr>
              <w:pStyle w:val="16"/>
              <w:keepNext/>
              <w:spacing w:line="440" w:lineRule="exact"/>
              <w:ind w:left="63" w:right="63"/>
              <w:rPr>
                <w:rFonts w:hint="eastAsia" w:ascii="宋体" w:hAnsi="宋体" w:cs="宋体"/>
                <w:color w:val="000000"/>
                <w:szCs w:val="21"/>
              </w:rPr>
            </w:pPr>
          </w:p>
        </w:tc>
        <w:tc>
          <w:tcPr>
            <w:tcW w:w="774" w:type="dxa"/>
            <w:tcBorders>
              <w:top w:val="double" w:color="auto" w:sz="6" w:space="0"/>
              <w:bottom w:val="single" w:color="auto" w:sz="6" w:space="0"/>
            </w:tcBorders>
            <w:noWrap w:val="0"/>
            <w:vAlign w:val="top"/>
          </w:tcPr>
          <w:p>
            <w:pPr>
              <w:pStyle w:val="16"/>
              <w:keepNext/>
              <w:spacing w:line="440" w:lineRule="exact"/>
              <w:ind w:left="63" w:right="63"/>
              <w:rPr>
                <w:rFonts w:hint="eastAsia" w:ascii="宋体" w:hAnsi="宋体" w:cs="宋体"/>
                <w:color w:val="000000"/>
                <w:szCs w:val="21"/>
              </w:rPr>
            </w:pPr>
          </w:p>
        </w:tc>
        <w:tc>
          <w:tcPr>
            <w:tcW w:w="1352" w:type="dxa"/>
            <w:tcBorders>
              <w:top w:val="double" w:color="auto" w:sz="6" w:space="0"/>
              <w:bottom w:val="single" w:color="auto" w:sz="6" w:space="0"/>
            </w:tcBorders>
            <w:noWrap w:val="0"/>
            <w:vAlign w:val="top"/>
          </w:tcPr>
          <w:p>
            <w:pPr>
              <w:pStyle w:val="16"/>
              <w:keepNext/>
              <w:spacing w:line="440" w:lineRule="exact"/>
              <w:ind w:left="63" w:right="63"/>
              <w:rPr>
                <w:rFonts w:hint="eastAsia" w:ascii="宋体" w:hAnsi="宋体" w:cs="宋体"/>
                <w:color w:val="000000"/>
                <w:szCs w:val="21"/>
              </w:rPr>
            </w:pPr>
          </w:p>
        </w:tc>
        <w:tc>
          <w:tcPr>
            <w:tcW w:w="1418" w:type="dxa"/>
            <w:tcBorders>
              <w:top w:val="double" w:color="auto" w:sz="6" w:space="0"/>
              <w:bottom w:val="single" w:color="auto" w:sz="6" w:space="0"/>
            </w:tcBorders>
            <w:noWrap w:val="0"/>
            <w:vAlign w:val="top"/>
          </w:tcPr>
          <w:p>
            <w:pPr>
              <w:pStyle w:val="16"/>
              <w:keepNext/>
              <w:spacing w:line="440" w:lineRule="exact"/>
              <w:ind w:left="63" w:right="63"/>
              <w:rPr>
                <w:rFonts w:hint="eastAsia" w:ascii="宋体" w:hAnsi="宋体" w:cs="宋体"/>
                <w:color w:val="000000"/>
                <w:szCs w:val="21"/>
              </w:rPr>
            </w:pPr>
          </w:p>
        </w:tc>
        <w:tc>
          <w:tcPr>
            <w:tcW w:w="1701" w:type="dxa"/>
            <w:tcBorders>
              <w:top w:val="double" w:color="auto" w:sz="6" w:space="0"/>
              <w:bottom w:val="single" w:color="auto" w:sz="6" w:space="0"/>
            </w:tcBorders>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c>
          <w:tcPr>
            <w:tcW w:w="1984"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c>
          <w:tcPr>
            <w:tcW w:w="851"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c>
          <w:tcPr>
            <w:tcW w:w="774"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c>
          <w:tcPr>
            <w:tcW w:w="1352"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c>
          <w:tcPr>
            <w:tcW w:w="1418"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c>
          <w:tcPr>
            <w:tcW w:w="1701"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993"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bl>
    <w:p>
      <w:pPr>
        <w:rPr>
          <w:vanish/>
        </w:rPr>
      </w:pPr>
    </w:p>
    <w:tbl>
      <w:tblPr>
        <w:tblStyle w:val="39"/>
        <w:tblpPr w:leftFromText="180" w:rightFromText="180" w:vertAnchor="page" w:horzAnchor="margin" w:tblpY="2071"/>
        <w:tblW w:w="932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49"/>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tcBorders>
              <w:top w:val="single" w:color="auto" w:sz="12" w:space="0"/>
              <w:bottom w:val="double" w:color="auto" w:sz="6" w:space="0"/>
            </w:tcBorders>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序号</w:t>
            </w:r>
          </w:p>
        </w:tc>
        <w:tc>
          <w:tcPr>
            <w:tcW w:w="1984" w:type="dxa"/>
            <w:tcBorders>
              <w:top w:val="single" w:color="auto" w:sz="12" w:space="0"/>
              <w:bottom w:val="double" w:color="auto" w:sz="6" w:space="0"/>
            </w:tcBorders>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名称</w:t>
            </w:r>
          </w:p>
        </w:tc>
        <w:tc>
          <w:tcPr>
            <w:tcW w:w="851" w:type="dxa"/>
            <w:tcBorders>
              <w:top w:val="single" w:color="auto" w:sz="12" w:space="0"/>
              <w:bottom w:val="double" w:color="auto" w:sz="6" w:space="0"/>
            </w:tcBorders>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单位</w:t>
            </w:r>
          </w:p>
        </w:tc>
        <w:tc>
          <w:tcPr>
            <w:tcW w:w="774" w:type="dxa"/>
            <w:tcBorders>
              <w:top w:val="single" w:color="auto" w:sz="12" w:space="0"/>
              <w:bottom w:val="double" w:color="auto" w:sz="6" w:space="0"/>
            </w:tcBorders>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数量</w:t>
            </w:r>
          </w:p>
        </w:tc>
        <w:tc>
          <w:tcPr>
            <w:tcW w:w="1352" w:type="dxa"/>
            <w:tcBorders>
              <w:top w:val="single" w:color="auto" w:sz="12" w:space="0"/>
              <w:bottom w:val="double" w:color="auto" w:sz="6" w:space="0"/>
            </w:tcBorders>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单价（元）</w:t>
            </w:r>
          </w:p>
        </w:tc>
        <w:tc>
          <w:tcPr>
            <w:tcW w:w="1418" w:type="dxa"/>
            <w:tcBorders>
              <w:top w:val="single" w:color="auto" w:sz="12" w:space="0"/>
              <w:bottom w:val="double" w:color="auto" w:sz="6" w:space="0"/>
            </w:tcBorders>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合价（元）</w:t>
            </w:r>
          </w:p>
        </w:tc>
        <w:tc>
          <w:tcPr>
            <w:tcW w:w="1701" w:type="dxa"/>
            <w:tcBorders>
              <w:top w:val="single" w:color="auto" w:sz="12" w:space="0"/>
              <w:bottom w:val="double" w:color="auto" w:sz="6" w:space="0"/>
            </w:tcBorders>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tcBorders>
              <w:top w:val="double" w:color="auto" w:sz="6" w:space="0"/>
              <w:bottom w:val="single" w:color="auto" w:sz="6" w:space="0"/>
            </w:tcBorders>
            <w:noWrap w:val="0"/>
            <w:vAlign w:val="top"/>
          </w:tcPr>
          <w:p>
            <w:pPr>
              <w:pStyle w:val="16"/>
              <w:keepNext/>
              <w:spacing w:line="440" w:lineRule="exact"/>
              <w:ind w:left="63" w:right="63"/>
              <w:rPr>
                <w:rFonts w:hint="eastAsia" w:ascii="宋体" w:hAnsi="宋体" w:cs="宋体"/>
                <w:color w:val="000000"/>
                <w:szCs w:val="21"/>
              </w:rPr>
            </w:pPr>
          </w:p>
        </w:tc>
        <w:tc>
          <w:tcPr>
            <w:tcW w:w="1984" w:type="dxa"/>
            <w:tcBorders>
              <w:top w:val="double" w:color="auto" w:sz="6" w:space="0"/>
              <w:bottom w:val="single" w:color="auto" w:sz="6" w:space="0"/>
            </w:tcBorders>
            <w:noWrap w:val="0"/>
            <w:vAlign w:val="top"/>
          </w:tcPr>
          <w:p>
            <w:pPr>
              <w:pStyle w:val="16"/>
              <w:keepNext/>
              <w:spacing w:line="440" w:lineRule="exact"/>
              <w:ind w:left="63" w:right="63"/>
              <w:rPr>
                <w:rFonts w:hint="eastAsia" w:ascii="宋体" w:hAnsi="宋体" w:cs="宋体"/>
                <w:color w:val="000000"/>
                <w:szCs w:val="21"/>
              </w:rPr>
            </w:pPr>
          </w:p>
        </w:tc>
        <w:tc>
          <w:tcPr>
            <w:tcW w:w="851" w:type="dxa"/>
            <w:tcBorders>
              <w:top w:val="double" w:color="auto" w:sz="6" w:space="0"/>
              <w:bottom w:val="single" w:color="auto" w:sz="6" w:space="0"/>
            </w:tcBorders>
            <w:noWrap w:val="0"/>
            <w:vAlign w:val="top"/>
          </w:tcPr>
          <w:p>
            <w:pPr>
              <w:pStyle w:val="16"/>
              <w:keepNext/>
              <w:spacing w:line="440" w:lineRule="exact"/>
              <w:ind w:left="63" w:right="63"/>
              <w:rPr>
                <w:rFonts w:hint="eastAsia" w:ascii="宋体" w:hAnsi="宋体" w:cs="宋体"/>
                <w:color w:val="000000"/>
                <w:szCs w:val="21"/>
              </w:rPr>
            </w:pPr>
          </w:p>
        </w:tc>
        <w:tc>
          <w:tcPr>
            <w:tcW w:w="774" w:type="dxa"/>
            <w:tcBorders>
              <w:top w:val="double" w:color="auto" w:sz="6" w:space="0"/>
              <w:bottom w:val="single" w:color="auto" w:sz="6" w:space="0"/>
            </w:tcBorders>
            <w:noWrap w:val="0"/>
            <w:vAlign w:val="top"/>
          </w:tcPr>
          <w:p>
            <w:pPr>
              <w:pStyle w:val="16"/>
              <w:keepNext/>
              <w:spacing w:line="440" w:lineRule="exact"/>
              <w:ind w:left="63" w:right="63"/>
              <w:rPr>
                <w:rFonts w:hint="eastAsia" w:ascii="宋体" w:hAnsi="宋体" w:cs="宋体"/>
                <w:color w:val="000000"/>
                <w:szCs w:val="21"/>
              </w:rPr>
            </w:pPr>
          </w:p>
        </w:tc>
        <w:tc>
          <w:tcPr>
            <w:tcW w:w="1352" w:type="dxa"/>
            <w:tcBorders>
              <w:top w:val="double" w:color="auto" w:sz="6" w:space="0"/>
              <w:bottom w:val="single" w:color="auto" w:sz="6" w:space="0"/>
            </w:tcBorders>
            <w:noWrap w:val="0"/>
            <w:vAlign w:val="top"/>
          </w:tcPr>
          <w:p>
            <w:pPr>
              <w:pStyle w:val="16"/>
              <w:keepNext/>
              <w:spacing w:line="440" w:lineRule="exact"/>
              <w:ind w:left="63" w:right="63"/>
              <w:rPr>
                <w:rFonts w:hint="eastAsia" w:ascii="宋体" w:hAnsi="宋体" w:cs="宋体"/>
                <w:color w:val="000000"/>
                <w:szCs w:val="21"/>
              </w:rPr>
            </w:pPr>
          </w:p>
        </w:tc>
        <w:tc>
          <w:tcPr>
            <w:tcW w:w="1418" w:type="dxa"/>
            <w:tcBorders>
              <w:top w:val="double" w:color="auto" w:sz="6" w:space="0"/>
              <w:bottom w:val="single" w:color="auto" w:sz="6" w:space="0"/>
            </w:tcBorders>
            <w:noWrap w:val="0"/>
            <w:vAlign w:val="top"/>
          </w:tcPr>
          <w:p>
            <w:pPr>
              <w:pStyle w:val="16"/>
              <w:keepNext/>
              <w:spacing w:line="440" w:lineRule="exact"/>
              <w:ind w:left="63" w:right="63"/>
              <w:rPr>
                <w:rFonts w:hint="eastAsia" w:ascii="宋体" w:hAnsi="宋体" w:cs="宋体"/>
                <w:color w:val="000000"/>
                <w:szCs w:val="21"/>
              </w:rPr>
            </w:pPr>
          </w:p>
        </w:tc>
        <w:tc>
          <w:tcPr>
            <w:tcW w:w="1701" w:type="dxa"/>
            <w:tcBorders>
              <w:top w:val="double" w:color="auto" w:sz="6" w:space="0"/>
              <w:bottom w:val="single" w:color="auto" w:sz="6" w:space="0"/>
            </w:tcBorders>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c>
          <w:tcPr>
            <w:tcW w:w="1984"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c>
          <w:tcPr>
            <w:tcW w:w="851"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c>
          <w:tcPr>
            <w:tcW w:w="774"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c>
          <w:tcPr>
            <w:tcW w:w="1352"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c>
          <w:tcPr>
            <w:tcW w:w="1418"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c>
          <w:tcPr>
            <w:tcW w:w="1701"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124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851" w:type="dxa"/>
            <w:noWrap w:val="0"/>
            <w:vAlign w:val="top"/>
          </w:tcPr>
          <w:p>
            <w:pPr>
              <w:pStyle w:val="16"/>
              <w:keepNext/>
              <w:spacing w:line="440" w:lineRule="exact"/>
              <w:ind w:left="63" w:right="63"/>
              <w:rPr>
                <w:rFonts w:hint="eastAsia" w:ascii="宋体" w:hAnsi="宋体" w:cs="宋体"/>
                <w:color w:val="000000"/>
                <w:szCs w:val="21"/>
              </w:rPr>
            </w:pPr>
          </w:p>
        </w:tc>
        <w:tc>
          <w:tcPr>
            <w:tcW w:w="774" w:type="dxa"/>
            <w:noWrap w:val="0"/>
            <w:vAlign w:val="top"/>
          </w:tcPr>
          <w:p>
            <w:pPr>
              <w:pStyle w:val="16"/>
              <w:keepNext/>
              <w:spacing w:line="440" w:lineRule="exact"/>
              <w:ind w:left="63" w:right="63"/>
              <w:rPr>
                <w:rFonts w:hint="eastAsia" w:ascii="宋体" w:hAnsi="宋体" w:cs="宋体"/>
                <w:color w:val="000000"/>
                <w:szCs w:val="21"/>
              </w:rPr>
            </w:pPr>
          </w:p>
        </w:tc>
        <w:tc>
          <w:tcPr>
            <w:tcW w:w="1352" w:type="dxa"/>
            <w:noWrap w:val="0"/>
            <w:vAlign w:val="top"/>
          </w:tcPr>
          <w:p>
            <w:pPr>
              <w:pStyle w:val="16"/>
              <w:keepNext/>
              <w:spacing w:line="440" w:lineRule="exact"/>
              <w:ind w:left="63" w:right="63"/>
              <w:rPr>
                <w:rFonts w:hint="eastAsia" w:ascii="宋体" w:hAnsi="宋体" w:cs="宋体"/>
                <w:color w:val="000000"/>
                <w:szCs w:val="21"/>
              </w:rPr>
            </w:pPr>
          </w:p>
        </w:tc>
        <w:tc>
          <w:tcPr>
            <w:tcW w:w="1418" w:type="dxa"/>
            <w:noWrap w:val="0"/>
            <w:vAlign w:val="top"/>
          </w:tcPr>
          <w:p>
            <w:pPr>
              <w:pStyle w:val="16"/>
              <w:keepNext/>
              <w:spacing w:line="440" w:lineRule="exact"/>
              <w:ind w:left="63" w:right="63"/>
              <w:rPr>
                <w:rFonts w:hint="eastAsia" w:ascii="宋体" w:hAnsi="宋体" w:cs="宋体"/>
                <w:color w:val="000000"/>
                <w:szCs w:val="21"/>
              </w:rPr>
            </w:pPr>
          </w:p>
        </w:tc>
        <w:tc>
          <w:tcPr>
            <w:tcW w:w="1701" w:type="dxa"/>
            <w:noWrap w:val="0"/>
            <w:vAlign w:val="top"/>
          </w:tcPr>
          <w:p>
            <w:pPr>
              <w:pStyle w:val="16"/>
              <w:keepNext/>
              <w:spacing w:line="440" w:lineRule="exact"/>
              <w:ind w:left="63" w:right="63"/>
              <w:rPr>
                <w:rFonts w:hint="eastAsia" w:ascii="宋体" w:hAnsi="宋体" w:cs="宋体"/>
                <w:color w:val="000000"/>
                <w:szCs w:val="21"/>
              </w:rPr>
            </w:pPr>
          </w:p>
        </w:tc>
      </w:tr>
    </w:tbl>
    <w:p>
      <w:pPr>
        <w:spacing w:before="156" w:beforeLines="50" w:after="156" w:afterLines="50" w:line="440" w:lineRule="exact"/>
        <w:jc w:val="center"/>
        <w:rPr>
          <w:rFonts w:hint="eastAsia" w:ascii="宋体" w:hAnsi="宋体" w:cs="宋体"/>
          <w:color w:val="000000"/>
          <w:szCs w:val="21"/>
        </w:rPr>
      </w:pPr>
      <w:r>
        <w:rPr>
          <w:rFonts w:hint="eastAsia" w:ascii="宋体" w:hAnsi="宋体" w:cs="宋体"/>
          <w:color w:val="000000"/>
          <w:szCs w:val="21"/>
        </w:rPr>
        <w:t xml:space="preserve"> 11-2：工程设备暂估价表</w:t>
      </w:r>
    </w:p>
    <w:p>
      <w:pPr>
        <w:spacing w:before="156" w:beforeLines="50" w:after="156" w:afterLines="50" w:line="440" w:lineRule="exact"/>
        <w:jc w:val="center"/>
        <w:rPr>
          <w:rFonts w:hint="eastAsia" w:ascii="宋体" w:hAnsi="宋体" w:cs="宋体"/>
          <w:color w:val="000000"/>
          <w:szCs w:val="21"/>
        </w:rPr>
      </w:pPr>
      <w:r>
        <w:rPr>
          <w:rFonts w:hint="eastAsia" w:ascii="宋体" w:hAnsi="宋体" w:cs="宋体"/>
          <w:color w:val="000000"/>
          <w:szCs w:val="21"/>
        </w:rPr>
        <w:t xml:space="preserve"> 11-3：专业工程暂估价表</w:t>
      </w:r>
    </w:p>
    <w:tbl>
      <w:tblPr>
        <w:tblStyle w:val="39"/>
        <w:tblpPr w:leftFromText="180" w:rightFromText="180" w:horzAnchor="margin" w:tblpY="1035"/>
        <w:tblW w:w="881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序号</w:t>
            </w:r>
          </w:p>
        </w:tc>
        <w:tc>
          <w:tcPr>
            <w:tcW w:w="1984" w:type="dxa"/>
            <w:tcBorders>
              <w:top w:val="single" w:color="auto" w:sz="12" w:space="0"/>
              <w:bottom w:val="double" w:color="auto" w:sz="6" w:space="0"/>
            </w:tcBorders>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专业工程名称</w:t>
            </w:r>
          </w:p>
        </w:tc>
        <w:tc>
          <w:tcPr>
            <w:tcW w:w="4678" w:type="dxa"/>
            <w:tcBorders>
              <w:top w:val="single" w:color="auto" w:sz="12" w:space="0"/>
              <w:bottom w:val="double" w:color="auto" w:sz="6" w:space="0"/>
            </w:tcBorders>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工程内容</w:t>
            </w:r>
          </w:p>
        </w:tc>
        <w:tc>
          <w:tcPr>
            <w:tcW w:w="1276" w:type="dxa"/>
            <w:tcBorders>
              <w:top w:val="single" w:color="auto" w:sz="12" w:space="0"/>
              <w:bottom w:val="double" w:color="auto" w:sz="6" w:space="0"/>
            </w:tcBorders>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金额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pPr>
              <w:pStyle w:val="16"/>
              <w:keepNext/>
              <w:spacing w:line="440" w:lineRule="exact"/>
              <w:ind w:left="63" w:right="63"/>
              <w:rPr>
                <w:rFonts w:hint="eastAsia" w:ascii="宋体" w:hAnsi="宋体" w:cs="宋体"/>
                <w:color w:val="000000"/>
                <w:szCs w:val="21"/>
              </w:rPr>
            </w:pPr>
          </w:p>
        </w:tc>
        <w:tc>
          <w:tcPr>
            <w:tcW w:w="1984" w:type="dxa"/>
            <w:tcBorders>
              <w:top w:val="double" w:color="auto" w:sz="6" w:space="0"/>
              <w:bottom w:val="single" w:color="auto" w:sz="6" w:space="0"/>
            </w:tcBorders>
            <w:noWrap w:val="0"/>
            <w:vAlign w:val="top"/>
          </w:tcPr>
          <w:p>
            <w:pPr>
              <w:pStyle w:val="16"/>
              <w:keepNext/>
              <w:spacing w:line="440" w:lineRule="exact"/>
              <w:ind w:left="63" w:right="63"/>
              <w:rPr>
                <w:rFonts w:hint="eastAsia" w:ascii="宋体" w:hAnsi="宋体" w:cs="宋体"/>
                <w:color w:val="000000"/>
                <w:szCs w:val="21"/>
              </w:rPr>
            </w:pPr>
          </w:p>
        </w:tc>
        <w:tc>
          <w:tcPr>
            <w:tcW w:w="4678" w:type="dxa"/>
            <w:tcBorders>
              <w:top w:val="double" w:color="auto" w:sz="6" w:space="0"/>
              <w:bottom w:val="single" w:color="auto" w:sz="6" w:space="0"/>
            </w:tcBorders>
            <w:noWrap w:val="0"/>
            <w:vAlign w:val="top"/>
          </w:tcPr>
          <w:p>
            <w:pPr>
              <w:pStyle w:val="16"/>
              <w:keepNext/>
              <w:spacing w:line="440" w:lineRule="exact"/>
              <w:ind w:left="63" w:right="63"/>
              <w:rPr>
                <w:rFonts w:hint="eastAsia" w:ascii="宋体" w:hAnsi="宋体" w:cs="宋体"/>
                <w:color w:val="000000"/>
                <w:szCs w:val="21"/>
              </w:rPr>
            </w:pPr>
          </w:p>
        </w:tc>
        <w:tc>
          <w:tcPr>
            <w:tcW w:w="1276" w:type="dxa"/>
            <w:tcBorders>
              <w:top w:val="double" w:color="auto" w:sz="6" w:space="0"/>
              <w:bottom w:val="single" w:color="auto" w:sz="6" w:space="0"/>
            </w:tcBorders>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c>
          <w:tcPr>
            <w:tcW w:w="1984"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c>
          <w:tcPr>
            <w:tcW w:w="4678"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c>
          <w:tcPr>
            <w:tcW w:w="1276"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c>
          <w:tcPr>
            <w:tcW w:w="1984"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c>
          <w:tcPr>
            <w:tcW w:w="4678"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c>
          <w:tcPr>
            <w:tcW w:w="1276" w:type="dxa"/>
            <w:tcBorders>
              <w:top w:val="nil"/>
            </w:tcBorders>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79" w:type="dxa"/>
            <w:noWrap w:val="0"/>
            <w:vAlign w:val="top"/>
          </w:tcPr>
          <w:p>
            <w:pPr>
              <w:pStyle w:val="16"/>
              <w:keepNext/>
              <w:spacing w:line="440" w:lineRule="exact"/>
              <w:ind w:left="63" w:right="63"/>
              <w:rPr>
                <w:rFonts w:hint="eastAsia" w:ascii="宋体" w:hAnsi="宋体" w:cs="宋体"/>
                <w:color w:val="000000"/>
                <w:szCs w:val="21"/>
              </w:rPr>
            </w:pPr>
          </w:p>
        </w:tc>
        <w:tc>
          <w:tcPr>
            <w:tcW w:w="1984" w:type="dxa"/>
            <w:noWrap w:val="0"/>
            <w:vAlign w:val="top"/>
          </w:tcPr>
          <w:p>
            <w:pPr>
              <w:pStyle w:val="16"/>
              <w:keepNext/>
              <w:spacing w:line="440" w:lineRule="exact"/>
              <w:ind w:left="63" w:right="63"/>
              <w:rPr>
                <w:rFonts w:hint="eastAsia" w:ascii="宋体" w:hAnsi="宋体" w:cs="宋体"/>
                <w:color w:val="000000"/>
                <w:szCs w:val="21"/>
              </w:rPr>
            </w:pPr>
          </w:p>
        </w:tc>
        <w:tc>
          <w:tcPr>
            <w:tcW w:w="4678" w:type="dxa"/>
            <w:noWrap w:val="0"/>
            <w:vAlign w:val="top"/>
          </w:tcPr>
          <w:p>
            <w:pPr>
              <w:pStyle w:val="16"/>
              <w:keepNext/>
              <w:spacing w:line="440" w:lineRule="exact"/>
              <w:ind w:left="63" w:right="63"/>
              <w:rPr>
                <w:rFonts w:hint="eastAsia" w:ascii="宋体" w:hAnsi="宋体" w:cs="宋体"/>
                <w:color w:val="000000"/>
                <w:szCs w:val="21"/>
              </w:rPr>
            </w:pPr>
          </w:p>
        </w:tc>
        <w:tc>
          <w:tcPr>
            <w:tcW w:w="1276" w:type="dxa"/>
            <w:noWrap w:val="0"/>
            <w:vAlign w:val="top"/>
          </w:tcPr>
          <w:p>
            <w:pPr>
              <w:pStyle w:val="16"/>
              <w:keepNext/>
              <w:spacing w:line="440" w:lineRule="exact"/>
              <w:ind w:left="63" w:right="63"/>
              <w:rPr>
                <w:rFonts w:hint="eastAsia"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c>
          <w:tcPr>
            <w:tcW w:w="8817" w:type="dxa"/>
            <w:gridSpan w:val="4"/>
            <w:noWrap w:val="0"/>
            <w:vAlign w:val="top"/>
          </w:tcPr>
          <w:p>
            <w:pPr>
              <w:pStyle w:val="16"/>
              <w:keepNext/>
              <w:spacing w:line="440" w:lineRule="exact"/>
              <w:ind w:left="63" w:right="63"/>
              <w:rPr>
                <w:rFonts w:hint="eastAsia" w:ascii="宋体" w:hAnsi="宋体" w:cs="宋体"/>
                <w:color w:val="000000"/>
                <w:szCs w:val="21"/>
              </w:rPr>
            </w:pPr>
            <w:r>
              <w:rPr>
                <w:rFonts w:hint="eastAsia" w:ascii="宋体" w:hAnsi="宋体" w:cs="宋体"/>
                <w:color w:val="000000"/>
                <w:szCs w:val="21"/>
              </w:rPr>
              <w:t>小计：</w:t>
            </w:r>
          </w:p>
        </w:tc>
      </w:tr>
    </w:tbl>
    <w:p>
      <w:pPr>
        <w:spacing w:line="360" w:lineRule="auto"/>
        <w:jc w:val="left"/>
        <w:rPr>
          <w:rFonts w:hint="eastAsia" w:ascii="宋体" w:hAnsi="宋体" w:cs="宋体"/>
          <w:color w:val="000000"/>
          <w:sz w:val="24"/>
        </w:rPr>
        <w:sectPr>
          <w:footerReference r:id="rId29" w:type="first"/>
          <w:headerReference r:id="rId27" w:type="default"/>
          <w:footerReference r:id="rId28" w:type="default"/>
          <w:pgSz w:w="11906" w:h="16838"/>
          <w:pgMar w:top="1418" w:right="1555" w:bottom="1418" w:left="1531" w:header="851" w:footer="992" w:gutter="0"/>
          <w:cols w:space="720" w:num="1"/>
          <w:titlePg/>
          <w:docGrid w:type="lines" w:linePitch="312" w:charSpace="0"/>
        </w:sectPr>
      </w:pPr>
    </w:p>
    <w:p>
      <w:pPr>
        <w:pStyle w:val="2"/>
        <w:numPr>
          <w:ilvl w:val="-1"/>
          <w:numId w:val="0"/>
        </w:numPr>
        <w:ind w:left="2520" w:firstLine="0"/>
        <w:jc w:val="both"/>
        <w:rPr>
          <w:rFonts w:hint="default"/>
          <w:lang w:val="en-US" w:eastAsia="zh-CN"/>
        </w:rPr>
      </w:pPr>
      <w:bookmarkStart w:id="3020" w:name="_Toc30602"/>
      <w:r>
        <w:rPr>
          <w:rFonts w:hint="eastAsia"/>
          <w:lang w:val="en-US" w:eastAsia="zh-CN"/>
        </w:rPr>
        <w:t>附件11 中标社会资本投标文件</w:t>
      </w:r>
      <w:bookmarkEnd w:id="3020"/>
    </w:p>
    <w:sectPr>
      <w:pgSz w:w="11907" w:h="16840"/>
      <w:pgMar w:top="1418" w:right="1418" w:bottom="1418" w:left="1418" w:header="567" w:footer="992" w:gutter="0"/>
      <w:pgNumType w:fmt="decimal"/>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G Times">
    <w:altName w:val="Times New Roman"/>
    <w:panose1 w:val="00000000000000000000"/>
    <w:charset w:val="00"/>
    <w:family w:val="roman"/>
    <w:pitch w:val="default"/>
    <w:sig w:usb0="00000000" w:usb1="00000000" w:usb2="00000000" w:usb3="00000000" w:csb0="00000093" w:csb1="00000000"/>
  </w:font>
  <w:font w:name="Tahoma">
    <w:panose1 w:val="020B0604030504040204"/>
    <w:charset w:val="00"/>
    <w:family w:val="auto"/>
    <w:pitch w:val="default"/>
    <w:sig w:usb0="E1002EFF" w:usb1="C000605B" w:usb2="00000029" w:usb3="00000000" w:csb0="200101FF" w:csb1="20280000"/>
  </w:font>
  <w:font w:name="仿宋体">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before="120"/>
      <w:jc w:val="center"/>
    </w:pPr>
    <w:r>
      <w:fldChar w:fldCharType="begin"/>
    </w:r>
    <w:r>
      <w:instrText xml:space="preserve">PAGE   \* MERGEFORMAT</w:instrText>
    </w:r>
    <w:r>
      <w:fldChar w:fldCharType="separate"/>
    </w:r>
    <w:r>
      <w:rPr>
        <w:lang w:val="zh-CN"/>
      </w:rPr>
      <w:t>II</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 PAGE   \* MERGEFORMAT </w:instrText>
    </w:r>
    <w:r>
      <w:fldChar w:fldCharType="separate"/>
    </w:r>
    <w:r>
      <w:rPr>
        <w:lang w:val="zh-CN"/>
      </w:rPr>
      <w:t>21</w:t>
    </w:r>
    <w:r>
      <w:fldChar w:fldCharType="end"/>
    </w:r>
  </w:p>
  <w:p>
    <w:pPr>
      <w:pStyle w:val="26"/>
      <w:jc w:val="center"/>
      <w:rPr>
        <w:rFonts w:eastAsia="仿宋_GB2312"/>
        <w:sz w:val="24"/>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 PAGE   \* MERGEFORMAT </w:instrText>
    </w:r>
    <w:r>
      <w:fldChar w:fldCharType="separate"/>
    </w:r>
    <w:r>
      <w:rPr>
        <w:lang w:val="zh-CN"/>
      </w:rPr>
      <w:t>32</w:t>
    </w:r>
    <w:r>
      <w:fldChar w:fldCharType="end"/>
    </w:r>
  </w:p>
  <w:p>
    <w:pPr>
      <w:pStyle w:val="26"/>
      <w:jc w:val="center"/>
      <w:rPr>
        <w:rFonts w:eastAsia="仿宋_GB2312"/>
        <w:sz w:val="24"/>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spacing w:before="120"/>
      <w:rPr>
        <w:rStyle w:val="42"/>
      </w:rPr>
    </w:pPr>
    <w:r>
      <w:rPr>
        <w:rStyle w:val="42"/>
      </w:rPr>
      <w:fldChar w:fldCharType="begin"/>
    </w:r>
    <w:r>
      <w:rPr>
        <w:rStyle w:val="42"/>
      </w:rPr>
      <w:instrText xml:space="preserve">PAGE  </w:instrText>
    </w:r>
    <w:r>
      <w:rPr>
        <w:rStyle w:val="42"/>
      </w:rPr>
      <w:fldChar w:fldCharType="end"/>
    </w:r>
  </w:p>
  <w:p>
    <w:pPr>
      <w:pStyle w:val="26"/>
      <w:pBdr>
        <w:top w:val="single" w:color="auto" w:sz="4" w:space="1"/>
      </w:pBdr>
      <w:spacing w:before="120"/>
      <w:ind w:right="-32"/>
      <w:rPr>
        <w:sz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before="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before="120"/>
      <w:jc w:val="center"/>
    </w:pPr>
    <w:r>
      <w:fldChar w:fldCharType="begin"/>
    </w:r>
    <w:r>
      <w:instrText xml:space="preserve">PAGE   \* MERGEFORMAT</w:instrText>
    </w:r>
    <w:r>
      <w:fldChar w:fldCharType="separate"/>
    </w:r>
    <w:r>
      <w:rPr>
        <w:lang w:val="zh-CN"/>
      </w:rPr>
      <w:t>VII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spacing w:before="120"/>
      <w:rPr>
        <w:rStyle w:val="42"/>
      </w:rPr>
    </w:pPr>
    <w:r>
      <w:rPr>
        <w:rStyle w:val="42"/>
      </w:rPr>
      <w:fldChar w:fldCharType="begin"/>
    </w:r>
    <w:r>
      <w:rPr>
        <w:rStyle w:val="42"/>
      </w:rPr>
      <w:instrText xml:space="preserve">PAGE  </w:instrText>
    </w:r>
    <w:r>
      <w:rPr>
        <w:rStyle w:val="42"/>
      </w:rPr>
      <w:fldChar w:fldCharType="end"/>
    </w:r>
  </w:p>
  <w:p>
    <w:pPr>
      <w:pStyle w:val="26"/>
      <w:pBdr>
        <w:top w:val="single" w:color="auto" w:sz="4" w:space="1"/>
      </w:pBdr>
      <w:spacing w:before="120"/>
      <w:ind w:right="-32"/>
      <w:rPr>
        <w:sz w:val="2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before="12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before="120"/>
      <w:jc w:val="center"/>
    </w:pPr>
    <w:r>
      <w:rPr>
        <w:sz w:val="24"/>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spacing w:before="120"/>
                            <w:jc w:val="center"/>
                          </w:pPr>
                          <w:r>
                            <w:fldChar w:fldCharType="begin"/>
                          </w:r>
                          <w:r>
                            <w:instrText xml:space="preserve">PAGE   \* MERGEFORMAT</w:instrText>
                          </w:r>
                          <w:r>
                            <w:fldChar w:fldCharType="separate"/>
                          </w:r>
                          <w:r>
                            <w:rPr>
                              <w:lang w:val="zh-CN"/>
                            </w:rPr>
                            <w:t>77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6"/>
                      <w:spacing w:before="120"/>
                      <w:jc w:val="center"/>
                    </w:pPr>
                    <w:r>
                      <w:fldChar w:fldCharType="begin"/>
                    </w:r>
                    <w:r>
                      <w:instrText xml:space="preserve">PAGE   \* MERGEFORMAT</w:instrText>
                    </w:r>
                    <w:r>
                      <w:fldChar w:fldCharType="separate"/>
                    </w:r>
                    <w:r>
                      <w:rPr>
                        <w:lang w:val="zh-CN"/>
                      </w:rPr>
                      <w:t>77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9</w:t>
    </w:r>
    <w:r>
      <w:rPr>
        <w:rFonts w:eastAsia="仿宋_GB2312"/>
        <w:sz w:val="24"/>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spacing w:before="120" w:line="240" w:lineRule="auto"/>
      <w:jc w:val="left"/>
    </w:pPr>
    <w:r>
      <w:rPr>
        <w:rFonts w:hint="eastAsia"/>
      </w:rPr>
      <w:t>徐州市城区地下综合管廊政府与社会资本合作（PPP）项目 第</w:t>
    </w:r>
    <w:r>
      <w:t>2</w:t>
    </w:r>
    <w:r>
      <w:rPr>
        <w:rFonts w:hint="eastAsia"/>
      </w:rPr>
      <w:t>标段</w:t>
    </w:r>
    <w:r>
      <w:br w:type="textWrapping"/>
    </w:r>
    <w:r>
      <w:rPr>
        <w:rFonts w:hint="eastAsia"/>
      </w:rPr>
      <w:t xml:space="preserve">徐州市南部新城芳草街综合管廊及市政基础设施工程（丙四十七路-甲二路）  </w:t>
    </w:r>
    <w:r>
      <w:t xml:space="preserve">      </w:t>
    </w:r>
    <w:r>
      <w:rPr>
        <w:rFonts w:hint="eastAsia"/>
      </w:rPr>
      <w:t xml:space="preserve">            </w:t>
    </w:r>
    <w:r>
      <w:t xml:space="preserve">      </w:t>
    </w:r>
    <w:r>
      <w:rPr>
        <w:rFonts w:hint="eastAsia"/>
      </w:rPr>
      <w:t>PPP协议</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single" w:color="auto" w:sz="6" w:space="1"/>
      </w:pBdr>
      <w:tabs>
        <w:tab w:val="left" w:pos="3465"/>
      </w:tabs>
      <w:jc w:val="both"/>
    </w:pPr>
    <w:r>
      <w:rPr>
        <w:rFonts w:hint="eastAsia"/>
        <w:sz w:val="21"/>
      </w:rPr>
      <w:t>徐州市汪仁污水处理工程项目</w:t>
    </w:r>
    <w:r>
      <w:rPr>
        <w:rFonts w:hint="eastAsia"/>
        <w:sz w:val="21"/>
      </w:rPr>
      <w:tab/>
    </w:r>
    <w:r>
      <w:rPr>
        <w:rFonts w:hint="eastAsia"/>
        <w:sz w:val="21"/>
      </w:rPr>
      <w:t xml:space="preserve">       </w:t>
    </w:r>
    <w:r>
      <w:rPr>
        <w:sz w:val="21"/>
      </w:rPr>
      <w:t xml:space="preserve">  </w:t>
    </w:r>
    <w:r>
      <w:rPr>
        <w:rFonts w:hint="eastAsia"/>
        <w:sz w:val="21"/>
      </w:rPr>
      <w:t xml:space="preserve">                    特许经营合同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spacing w:before="1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spacing w:before="120"/>
    </w:pPr>
    <w:r>
      <w:rPr>
        <w:rFonts w:hint="eastAsia"/>
      </w:rPr>
      <w:t>招标文件附件一：徐州市建国东路、泉润大道（老徐萧路）和五山公园综合管廊PPP项目合同</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single" w:color="auto" w:sz="6" w:space="1"/>
      </w:pBdr>
      <w:tabs>
        <w:tab w:val="left" w:pos="3465"/>
      </w:tabs>
      <w:jc w:val="both"/>
    </w:pPr>
    <w:r>
      <w:rPr>
        <w:rFonts w:hint="eastAsia"/>
        <w:sz w:val="21"/>
      </w:rPr>
      <w:t>徐州市汪仁污水处理工程项目</w:t>
    </w:r>
    <w:r>
      <w:rPr>
        <w:rFonts w:hint="eastAsia"/>
        <w:sz w:val="21"/>
      </w:rPr>
      <w:tab/>
    </w:r>
    <w:r>
      <w:rPr>
        <w:rFonts w:hint="eastAsia"/>
        <w:sz w:val="21"/>
      </w:rPr>
      <w:t xml:space="preserve">       </w:t>
    </w:r>
    <w:r>
      <w:rPr>
        <w:sz w:val="21"/>
      </w:rPr>
      <w:t xml:space="preserve">  </w:t>
    </w:r>
    <w:r>
      <w:rPr>
        <w:rFonts w:hint="eastAsia"/>
        <w:sz w:val="21"/>
      </w:rPr>
      <w:t xml:space="preserve">                    特许经营合同</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spacing w:before="12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spacing w:before="120" w:line="240" w:lineRule="auto"/>
    </w:pPr>
    <w:r>
      <w:rPr>
        <w:rFonts w:hint="eastAsia"/>
      </w:rPr>
      <w:t>招标文件附件一：徐州市城东大道综合管廊工程PPP项目合同（草案）</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spacing w:before="120" w:line="240" w:lineRule="auto"/>
    </w:pPr>
    <w:r>
      <w:rPr>
        <w:rFonts w:hint="eastAsia"/>
      </w:rPr>
      <w:t>招标文件附件一：徐州市城东大道综合管廊工程PPP项目合同（草案）</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6ACCD9"/>
    <w:multiLevelType w:val="singleLevel"/>
    <w:tmpl w:val="976ACCD9"/>
    <w:lvl w:ilvl="0" w:tentative="0">
      <w:start w:val="1"/>
      <w:numFmt w:val="decimal"/>
      <w:suff w:val="nothing"/>
      <w:lvlText w:val="%1．"/>
      <w:lvlJc w:val="left"/>
      <w:pPr>
        <w:ind w:left="0" w:firstLine="400"/>
      </w:pPr>
      <w:rPr>
        <w:rFonts w:hint="default"/>
      </w:rPr>
    </w:lvl>
  </w:abstractNum>
  <w:abstractNum w:abstractNumId="1">
    <w:nsid w:val="A13F17FC"/>
    <w:multiLevelType w:val="singleLevel"/>
    <w:tmpl w:val="A13F17FC"/>
    <w:lvl w:ilvl="0" w:tentative="0">
      <w:start w:val="2"/>
      <w:numFmt w:val="decimal"/>
      <w:suff w:val="space"/>
      <w:lvlText w:val="%1."/>
      <w:lvlJc w:val="left"/>
    </w:lvl>
  </w:abstractNum>
  <w:abstractNum w:abstractNumId="2">
    <w:nsid w:val="E96FBDCB"/>
    <w:multiLevelType w:val="singleLevel"/>
    <w:tmpl w:val="E96FBDCB"/>
    <w:lvl w:ilvl="0" w:tentative="0">
      <w:start w:val="1"/>
      <w:numFmt w:val="decimal"/>
      <w:suff w:val="nothing"/>
      <w:lvlText w:val="%1．"/>
      <w:lvlJc w:val="left"/>
      <w:pPr>
        <w:ind w:left="0" w:firstLine="400"/>
      </w:pPr>
      <w:rPr>
        <w:rFonts w:hint="default"/>
      </w:rPr>
    </w:lvl>
  </w:abstractNum>
  <w:abstractNum w:abstractNumId="3">
    <w:nsid w:val="F54F4805"/>
    <w:multiLevelType w:val="singleLevel"/>
    <w:tmpl w:val="F54F4805"/>
    <w:lvl w:ilvl="0" w:tentative="0">
      <w:start w:val="1"/>
      <w:numFmt w:val="decimal"/>
      <w:suff w:val="nothing"/>
      <w:lvlText w:val="%1．"/>
      <w:lvlJc w:val="left"/>
      <w:pPr>
        <w:ind w:left="0" w:firstLine="400"/>
      </w:pPr>
      <w:rPr>
        <w:rFonts w:hint="default"/>
      </w:rPr>
    </w:lvl>
  </w:abstractNum>
  <w:abstractNum w:abstractNumId="4">
    <w:nsid w:val="F75C38BF"/>
    <w:multiLevelType w:val="singleLevel"/>
    <w:tmpl w:val="F75C38BF"/>
    <w:lvl w:ilvl="0" w:tentative="0">
      <w:start w:val="10"/>
      <w:numFmt w:val="decimal"/>
      <w:suff w:val="nothing"/>
      <w:lvlText w:val="（%1）"/>
      <w:lvlJc w:val="left"/>
    </w:lvl>
  </w:abstractNum>
  <w:abstractNum w:abstractNumId="5">
    <w:nsid w:val="01FBE07A"/>
    <w:multiLevelType w:val="singleLevel"/>
    <w:tmpl w:val="01FBE07A"/>
    <w:lvl w:ilvl="0" w:tentative="0">
      <w:start w:val="1"/>
      <w:numFmt w:val="lowerLetter"/>
      <w:suff w:val="space"/>
      <w:lvlText w:val="%1."/>
      <w:lvlJc w:val="left"/>
    </w:lvl>
  </w:abstractNum>
  <w:abstractNum w:abstractNumId="6">
    <w:nsid w:val="03EE74DD"/>
    <w:multiLevelType w:val="multilevel"/>
    <w:tmpl w:val="03EE74DD"/>
    <w:lvl w:ilvl="0" w:tentative="0">
      <w:start w:val="1"/>
      <w:numFmt w:val="lowerRoman"/>
      <w:lvlText w:val="(%1)"/>
      <w:lvlJc w:val="left"/>
      <w:pPr>
        <w:ind w:left="492" w:hanging="420"/>
      </w:pPr>
      <w:rPr>
        <w:rFonts w:hint="eastAsia"/>
      </w:rPr>
    </w:lvl>
    <w:lvl w:ilvl="1" w:tentative="0">
      <w:start w:val="1"/>
      <w:numFmt w:val="lowerLetter"/>
      <w:lvlText w:val="%2)"/>
      <w:lvlJc w:val="left"/>
      <w:pPr>
        <w:ind w:left="912" w:hanging="420"/>
      </w:pPr>
    </w:lvl>
    <w:lvl w:ilvl="2" w:tentative="0">
      <w:start w:val="1"/>
      <w:numFmt w:val="lowerRoman"/>
      <w:lvlText w:val="%3."/>
      <w:lvlJc w:val="right"/>
      <w:pPr>
        <w:ind w:left="1332" w:hanging="420"/>
      </w:pPr>
    </w:lvl>
    <w:lvl w:ilvl="3" w:tentative="0">
      <w:start w:val="1"/>
      <w:numFmt w:val="decimal"/>
      <w:lvlText w:val="%4."/>
      <w:lvlJc w:val="left"/>
      <w:pPr>
        <w:ind w:left="1752" w:hanging="420"/>
      </w:pPr>
    </w:lvl>
    <w:lvl w:ilvl="4" w:tentative="0">
      <w:start w:val="1"/>
      <w:numFmt w:val="lowerLetter"/>
      <w:lvlText w:val="%5)"/>
      <w:lvlJc w:val="left"/>
      <w:pPr>
        <w:ind w:left="2172" w:hanging="420"/>
      </w:pPr>
    </w:lvl>
    <w:lvl w:ilvl="5" w:tentative="0">
      <w:start w:val="1"/>
      <w:numFmt w:val="lowerRoman"/>
      <w:lvlText w:val="%6."/>
      <w:lvlJc w:val="right"/>
      <w:pPr>
        <w:ind w:left="2592" w:hanging="420"/>
      </w:pPr>
    </w:lvl>
    <w:lvl w:ilvl="6" w:tentative="0">
      <w:start w:val="1"/>
      <w:numFmt w:val="decimal"/>
      <w:lvlText w:val="%7."/>
      <w:lvlJc w:val="left"/>
      <w:pPr>
        <w:ind w:left="3012" w:hanging="420"/>
      </w:pPr>
    </w:lvl>
    <w:lvl w:ilvl="7" w:tentative="0">
      <w:start w:val="1"/>
      <w:numFmt w:val="lowerLetter"/>
      <w:lvlText w:val="%8)"/>
      <w:lvlJc w:val="left"/>
      <w:pPr>
        <w:ind w:left="3432" w:hanging="420"/>
      </w:pPr>
    </w:lvl>
    <w:lvl w:ilvl="8" w:tentative="0">
      <w:start w:val="1"/>
      <w:numFmt w:val="lowerRoman"/>
      <w:lvlText w:val="%9."/>
      <w:lvlJc w:val="right"/>
      <w:pPr>
        <w:ind w:left="3852" w:hanging="420"/>
      </w:pPr>
    </w:lvl>
  </w:abstractNum>
  <w:abstractNum w:abstractNumId="7">
    <w:nsid w:val="07FA3681"/>
    <w:multiLevelType w:val="singleLevel"/>
    <w:tmpl w:val="07FA3681"/>
    <w:lvl w:ilvl="0" w:tentative="0">
      <w:start w:val="4"/>
      <w:numFmt w:val="decimal"/>
      <w:lvlText w:val="%1."/>
      <w:lvlJc w:val="left"/>
      <w:pPr>
        <w:tabs>
          <w:tab w:val="left" w:pos="860"/>
        </w:tabs>
        <w:ind w:left="860" w:hanging="435"/>
      </w:pPr>
      <w:rPr>
        <w:rFonts w:hint="default"/>
      </w:rPr>
    </w:lvl>
  </w:abstractNum>
  <w:abstractNum w:abstractNumId="8">
    <w:nsid w:val="08916661"/>
    <w:multiLevelType w:val="multilevel"/>
    <w:tmpl w:val="08916661"/>
    <w:lvl w:ilvl="0" w:tentative="0">
      <w:start w:val="1"/>
      <w:numFmt w:val="decimal"/>
      <w:lvlText w:val="第 %1 条"/>
      <w:lvlJc w:val="center"/>
      <w:pPr>
        <w:tabs>
          <w:tab w:val="left" w:pos="3240"/>
        </w:tabs>
        <w:ind w:left="2401" w:firstLine="119"/>
      </w:pPr>
      <w:rPr>
        <w:rFonts w:hint="default" w:ascii="Times New Roman" w:hAnsi="Times New Roman" w:eastAsia="宋体"/>
        <w:b/>
        <w:i w:val="0"/>
        <w:sz w:val="30"/>
      </w:rPr>
    </w:lvl>
    <w:lvl w:ilvl="1" w:tentative="0">
      <w:start w:val="1"/>
      <w:numFmt w:val="decimal"/>
      <w:lvlText w:val="%1.%2"/>
      <w:lvlJc w:val="left"/>
      <w:pPr>
        <w:tabs>
          <w:tab w:val="left" w:pos="624"/>
        </w:tabs>
        <w:ind w:left="624" w:hanging="624"/>
      </w:pPr>
      <w:rPr>
        <w:rFonts w:hint="default" w:ascii="Times New Roman" w:hAnsi="Times New Roman" w:eastAsia="宋体"/>
        <w:b/>
        <w:i w:val="0"/>
        <w:sz w:val="28"/>
      </w:rPr>
    </w:lvl>
    <w:lvl w:ilvl="2" w:tentative="0">
      <w:start w:val="1"/>
      <w:numFmt w:val="decimal"/>
      <w:lvlText w:val="%1.%2.%3"/>
      <w:lvlJc w:val="left"/>
      <w:pPr>
        <w:tabs>
          <w:tab w:val="left" w:pos="680"/>
        </w:tabs>
        <w:ind w:left="680" w:hanging="680"/>
      </w:pPr>
      <w:rPr>
        <w:rFonts w:hint="default" w:ascii="Times New Roman" w:hAnsi="Times New Roman" w:eastAsia="宋体"/>
        <w:b w:val="0"/>
        <w:i w:val="0"/>
        <w:sz w:val="21"/>
      </w:rPr>
    </w:lvl>
    <w:lvl w:ilvl="3" w:tentative="0">
      <w:start w:val="1"/>
      <w:numFmt w:val="lowerRoman"/>
      <w:lvlText w:val="(%4)"/>
      <w:lvlJc w:val="left"/>
      <w:pPr>
        <w:tabs>
          <w:tab w:val="left" w:pos="1464"/>
        </w:tabs>
        <w:ind w:left="1464" w:hanging="864"/>
      </w:pPr>
      <w:rPr>
        <w:rFonts w:hint="eastAsia"/>
        <w:lang w:val="en-US"/>
      </w:rPr>
    </w:lvl>
    <w:lvl w:ilvl="4" w:tentative="0">
      <w:start w:val="1"/>
      <w:numFmt w:val="lowerRoman"/>
      <w:lvlText w:val="（%5）"/>
      <w:lvlJc w:val="left"/>
      <w:pPr>
        <w:tabs>
          <w:tab w:val="left" w:pos="720"/>
        </w:tabs>
        <w:ind w:left="720" w:hanging="1008"/>
      </w:pPr>
      <w:rPr>
        <w:rFonts w:hint="eastAsia"/>
        <w:color w:val="auto"/>
      </w:rPr>
    </w:lvl>
    <w:lvl w:ilvl="5" w:tentative="0">
      <w:start w:val="1"/>
      <w:numFmt w:val="decimal"/>
      <w:lvlText w:val="%1.%2.%3.%4.%5.%6"/>
      <w:lvlJc w:val="left"/>
      <w:pPr>
        <w:tabs>
          <w:tab w:val="left" w:pos="864"/>
        </w:tabs>
        <w:ind w:left="864" w:hanging="1152"/>
      </w:pPr>
      <w:rPr>
        <w:rFonts w:hint="eastAsia"/>
      </w:rPr>
    </w:lvl>
    <w:lvl w:ilvl="6" w:tentative="0">
      <w:start w:val="1"/>
      <w:numFmt w:val="decimal"/>
      <w:lvlText w:val="%1.%2.%3.%4.%5.%6.%7"/>
      <w:lvlJc w:val="left"/>
      <w:pPr>
        <w:tabs>
          <w:tab w:val="left" w:pos="1008"/>
        </w:tabs>
        <w:ind w:left="1008" w:hanging="1296"/>
      </w:pPr>
      <w:rPr>
        <w:rFonts w:hint="eastAsia"/>
      </w:rPr>
    </w:lvl>
    <w:lvl w:ilvl="7" w:tentative="0">
      <w:start w:val="1"/>
      <w:numFmt w:val="decimal"/>
      <w:lvlText w:val="%1.%2.%3.%4.%5.%6.%7.%8"/>
      <w:lvlJc w:val="left"/>
      <w:pPr>
        <w:tabs>
          <w:tab w:val="left" w:pos="1152"/>
        </w:tabs>
        <w:ind w:left="1152" w:hanging="1440"/>
      </w:pPr>
      <w:rPr>
        <w:rFonts w:hint="eastAsia"/>
      </w:rPr>
    </w:lvl>
    <w:lvl w:ilvl="8" w:tentative="0">
      <w:start w:val="1"/>
      <w:numFmt w:val="decimal"/>
      <w:lvlText w:val="%1.%2.%3.%4.%5.%6.%7.%8.%9"/>
      <w:lvlJc w:val="left"/>
      <w:pPr>
        <w:tabs>
          <w:tab w:val="left" w:pos="1296"/>
        </w:tabs>
        <w:ind w:left="1296" w:hanging="1584"/>
      </w:pPr>
      <w:rPr>
        <w:rFonts w:hint="eastAsia"/>
      </w:rPr>
    </w:lvl>
  </w:abstractNum>
  <w:abstractNum w:abstractNumId="9">
    <w:nsid w:val="15656B90"/>
    <w:multiLevelType w:val="singleLevel"/>
    <w:tmpl w:val="15656B90"/>
    <w:lvl w:ilvl="0" w:tentative="0">
      <w:start w:val="1"/>
      <w:numFmt w:val="decimal"/>
      <w:suff w:val="nothing"/>
      <w:lvlText w:val="（%1）"/>
      <w:lvlJc w:val="left"/>
    </w:lvl>
  </w:abstractNum>
  <w:abstractNum w:abstractNumId="10">
    <w:nsid w:val="1DA216F0"/>
    <w:multiLevelType w:val="multilevel"/>
    <w:tmpl w:val="1DA216F0"/>
    <w:lvl w:ilvl="0" w:tentative="0">
      <w:start w:val="1"/>
      <w:numFmt w:val="chineseCountingThousand"/>
      <w:pStyle w:val="37"/>
      <w:lvlText w:val="第%1章　"/>
      <w:lvlJc w:val="left"/>
      <w:pPr>
        <w:tabs>
          <w:tab w:val="left" w:pos="1440"/>
        </w:tabs>
        <w:ind w:left="720" w:hanging="720"/>
      </w:pPr>
      <w:rPr>
        <w:rFonts w:hint="eastAsia"/>
        <w:sz w:val="28"/>
        <w:szCs w:val="28"/>
      </w:rPr>
    </w:lvl>
    <w:lvl w:ilvl="1" w:tentative="0">
      <w:start w:val="1"/>
      <w:numFmt w:val="lowerLetter"/>
      <w:lvlText w:val="(%2)"/>
      <w:lvlJc w:val="left"/>
      <w:pPr>
        <w:tabs>
          <w:tab w:val="left" w:pos="1140"/>
        </w:tabs>
        <w:ind w:left="1140" w:hanging="720"/>
      </w:pPr>
      <w:rPr>
        <w:rFonts w:hint="default"/>
      </w:rPr>
    </w:lvl>
    <w:lvl w:ilvl="2" w:tentative="0">
      <w:start w:val="1"/>
      <w:numFmt w:val="lowerLetter"/>
      <w:lvlText w:val="(%3)"/>
      <w:lvlJc w:val="left"/>
      <w:pPr>
        <w:tabs>
          <w:tab w:val="left" w:pos="1335"/>
        </w:tabs>
        <w:ind w:left="1335" w:hanging="495"/>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E403F10"/>
    <w:multiLevelType w:val="multilevel"/>
    <w:tmpl w:val="1E403F10"/>
    <w:lvl w:ilvl="0" w:tentative="0">
      <w:start w:val="1"/>
      <w:numFmt w:val="lowerRoman"/>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232C1645"/>
    <w:multiLevelType w:val="multilevel"/>
    <w:tmpl w:val="232C1645"/>
    <w:lvl w:ilvl="0" w:tentative="0">
      <w:start w:val="1"/>
      <w:numFmt w:val="decimal"/>
      <w:lvlText w:val="第 %1 条"/>
      <w:lvlJc w:val="center"/>
      <w:pPr>
        <w:tabs>
          <w:tab w:val="left" w:pos="3240"/>
        </w:tabs>
        <w:ind w:left="2401" w:firstLine="119"/>
      </w:pPr>
      <w:rPr>
        <w:rFonts w:hint="default" w:ascii="Times New Roman" w:hAnsi="Times New Roman" w:eastAsia="宋体"/>
        <w:b/>
        <w:i w:val="0"/>
        <w:sz w:val="30"/>
      </w:rPr>
    </w:lvl>
    <w:lvl w:ilvl="1" w:tentative="0">
      <w:start w:val="1"/>
      <w:numFmt w:val="decimal"/>
      <w:lvlText w:val="%1.%2"/>
      <w:lvlJc w:val="left"/>
      <w:pPr>
        <w:tabs>
          <w:tab w:val="left" w:pos="624"/>
        </w:tabs>
        <w:ind w:left="624" w:hanging="624"/>
      </w:pPr>
      <w:rPr>
        <w:rFonts w:hint="default" w:ascii="Times New Roman" w:hAnsi="Times New Roman" w:eastAsia="宋体"/>
        <w:b/>
        <w:i w:val="0"/>
        <w:sz w:val="28"/>
      </w:rPr>
    </w:lvl>
    <w:lvl w:ilvl="2" w:tentative="0">
      <w:start w:val="1"/>
      <w:numFmt w:val="decimal"/>
      <w:lvlText w:val="%1.%2.%3"/>
      <w:lvlJc w:val="left"/>
      <w:pPr>
        <w:tabs>
          <w:tab w:val="left" w:pos="680"/>
        </w:tabs>
        <w:ind w:left="680" w:hanging="680"/>
      </w:pPr>
      <w:rPr>
        <w:rFonts w:hint="default" w:ascii="Times New Roman" w:hAnsi="Times New Roman" w:eastAsia="宋体"/>
        <w:b w:val="0"/>
        <w:i w:val="0"/>
        <w:sz w:val="21"/>
      </w:rPr>
    </w:lvl>
    <w:lvl w:ilvl="3" w:tentative="0">
      <w:start w:val="1"/>
      <w:numFmt w:val="lowerRoman"/>
      <w:lvlText w:val="(%4)"/>
      <w:lvlJc w:val="left"/>
      <w:pPr>
        <w:tabs>
          <w:tab w:val="left" w:pos="1464"/>
        </w:tabs>
        <w:ind w:left="1464" w:hanging="864"/>
      </w:pPr>
      <w:rPr>
        <w:rFonts w:hint="eastAsia"/>
        <w:lang w:val="en-US"/>
      </w:rPr>
    </w:lvl>
    <w:lvl w:ilvl="4" w:tentative="0">
      <w:start w:val="1"/>
      <w:numFmt w:val="lowerRoman"/>
      <w:lvlText w:val="（%5）"/>
      <w:lvlJc w:val="left"/>
      <w:pPr>
        <w:tabs>
          <w:tab w:val="left" w:pos="720"/>
        </w:tabs>
        <w:ind w:left="720" w:hanging="1008"/>
      </w:pPr>
      <w:rPr>
        <w:rFonts w:hint="eastAsia"/>
        <w:color w:val="auto"/>
      </w:rPr>
    </w:lvl>
    <w:lvl w:ilvl="5" w:tentative="0">
      <w:start w:val="1"/>
      <w:numFmt w:val="decimal"/>
      <w:lvlText w:val="%1.%2.%3.%4.%5.%6"/>
      <w:lvlJc w:val="left"/>
      <w:pPr>
        <w:tabs>
          <w:tab w:val="left" w:pos="864"/>
        </w:tabs>
        <w:ind w:left="864" w:hanging="1152"/>
      </w:pPr>
      <w:rPr>
        <w:rFonts w:hint="eastAsia"/>
      </w:rPr>
    </w:lvl>
    <w:lvl w:ilvl="6" w:tentative="0">
      <w:start w:val="1"/>
      <w:numFmt w:val="decimal"/>
      <w:lvlText w:val="%1.%2.%3.%4.%5.%6.%7"/>
      <w:lvlJc w:val="left"/>
      <w:pPr>
        <w:tabs>
          <w:tab w:val="left" w:pos="1008"/>
        </w:tabs>
        <w:ind w:left="1008" w:hanging="1296"/>
      </w:pPr>
      <w:rPr>
        <w:rFonts w:hint="eastAsia"/>
      </w:rPr>
    </w:lvl>
    <w:lvl w:ilvl="7" w:tentative="0">
      <w:start w:val="1"/>
      <w:numFmt w:val="decimal"/>
      <w:lvlText w:val="%1.%2.%3.%4.%5.%6.%7.%8"/>
      <w:lvlJc w:val="left"/>
      <w:pPr>
        <w:tabs>
          <w:tab w:val="left" w:pos="1152"/>
        </w:tabs>
        <w:ind w:left="1152" w:hanging="1440"/>
      </w:pPr>
      <w:rPr>
        <w:rFonts w:hint="eastAsia"/>
      </w:rPr>
    </w:lvl>
    <w:lvl w:ilvl="8" w:tentative="0">
      <w:start w:val="1"/>
      <w:numFmt w:val="decimal"/>
      <w:lvlText w:val="%1.%2.%3.%4.%5.%6.%7.%8.%9"/>
      <w:lvlJc w:val="left"/>
      <w:pPr>
        <w:tabs>
          <w:tab w:val="left" w:pos="1296"/>
        </w:tabs>
        <w:ind w:left="1296" w:hanging="1584"/>
      </w:pPr>
      <w:rPr>
        <w:rFonts w:hint="eastAsia"/>
      </w:rPr>
    </w:lvl>
  </w:abstractNum>
  <w:abstractNum w:abstractNumId="13">
    <w:nsid w:val="25EE565E"/>
    <w:multiLevelType w:val="multilevel"/>
    <w:tmpl w:val="25EE565E"/>
    <w:lvl w:ilvl="0" w:tentative="0">
      <w:start w:val="1"/>
      <w:numFmt w:val="decimal"/>
      <w:lvlText w:val="%1 "/>
      <w:lvlJc w:val="center"/>
      <w:pPr>
        <w:tabs>
          <w:tab w:val="left" w:pos="479"/>
        </w:tabs>
        <w:ind w:left="0" w:firstLine="119"/>
      </w:pPr>
      <w:rPr>
        <w:rFonts w:hint="default" w:ascii="Times New Roman" w:hAnsi="Times New Roman" w:eastAsia="宋体"/>
        <w:b/>
        <w:i w:val="0"/>
        <w:sz w:val="28"/>
      </w:rPr>
    </w:lvl>
    <w:lvl w:ilvl="1" w:tentative="0">
      <w:start w:val="1"/>
      <w:numFmt w:val="decimal"/>
      <w:lvlText w:val="2.%2"/>
      <w:lvlJc w:val="left"/>
      <w:pPr>
        <w:tabs>
          <w:tab w:val="left" w:pos="743"/>
        </w:tabs>
        <w:ind w:left="743" w:hanging="624"/>
      </w:pPr>
      <w:rPr>
        <w:rFonts w:hint="default" w:ascii="Times New Roman" w:hAnsi="Times New Roman" w:eastAsia="宋体"/>
        <w:b/>
        <w:i w:val="0"/>
        <w:sz w:val="21"/>
      </w:rPr>
    </w:lvl>
    <w:lvl w:ilvl="2" w:tentative="0">
      <w:start w:val="1"/>
      <w:numFmt w:val="decimal"/>
      <w:lvlText w:val="%1.%2.%3"/>
      <w:lvlJc w:val="left"/>
      <w:pPr>
        <w:tabs>
          <w:tab w:val="left" w:pos="965"/>
        </w:tabs>
        <w:ind w:left="965" w:hanging="680"/>
      </w:pPr>
      <w:rPr>
        <w:rFonts w:hint="default" w:ascii="Times New Roman" w:hAnsi="Times New Roman" w:eastAsia="宋体"/>
        <w:b w:val="0"/>
        <w:i w:val="0"/>
        <w:sz w:val="21"/>
      </w:rPr>
    </w:lvl>
    <w:lvl w:ilvl="3" w:tentative="0">
      <w:start w:val="1"/>
      <w:numFmt w:val="lowerLetter"/>
      <w:lvlText w:val="（%4）"/>
      <w:lvlJc w:val="left"/>
      <w:pPr>
        <w:tabs>
          <w:tab w:val="left" w:pos="695"/>
        </w:tabs>
        <w:ind w:left="695" w:hanging="864"/>
      </w:pPr>
      <w:rPr>
        <w:rFonts w:hint="eastAsia"/>
      </w:rPr>
    </w:lvl>
    <w:lvl w:ilvl="4" w:tentative="0">
      <w:start w:val="1"/>
      <w:numFmt w:val="lowerRoman"/>
      <w:lvlText w:val="（%5）"/>
      <w:lvlJc w:val="left"/>
      <w:pPr>
        <w:tabs>
          <w:tab w:val="left" w:pos="839"/>
        </w:tabs>
        <w:ind w:left="839" w:hanging="1008"/>
      </w:pPr>
      <w:rPr>
        <w:rFonts w:hint="eastAsia"/>
        <w:color w:val="auto"/>
      </w:rPr>
    </w:lvl>
    <w:lvl w:ilvl="5" w:tentative="0">
      <w:start w:val="1"/>
      <w:numFmt w:val="decimal"/>
      <w:lvlText w:val="%1.%2.%3.%4.%5.%6"/>
      <w:lvlJc w:val="left"/>
      <w:pPr>
        <w:tabs>
          <w:tab w:val="left" w:pos="983"/>
        </w:tabs>
        <w:ind w:left="983" w:hanging="1152"/>
      </w:pPr>
      <w:rPr>
        <w:rFonts w:hint="eastAsia"/>
      </w:rPr>
    </w:lvl>
    <w:lvl w:ilvl="6" w:tentative="0">
      <w:start w:val="1"/>
      <w:numFmt w:val="decimal"/>
      <w:lvlText w:val="%1.%2.%3.%4.%5.%6.%7"/>
      <w:lvlJc w:val="left"/>
      <w:pPr>
        <w:tabs>
          <w:tab w:val="left" w:pos="1127"/>
        </w:tabs>
        <w:ind w:left="1127" w:hanging="1296"/>
      </w:pPr>
      <w:rPr>
        <w:rFonts w:hint="eastAsia"/>
      </w:rPr>
    </w:lvl>
    <w:lvl w:ilvl="7" w:tentative="0">
      <w:start w:val="1"/>
      <w:numFmt w:val="decimal"/>
      <w:lvlText w:val="%1.%2.%3.%4.%5.%6.%7.%8"/>
      <w:lvlJc w:val="left"/>
      <w:pPr>
        <w:tabs>
          <w:tab w:val="left" w:pos="1271"/>
        </w:tabs>
        <w:ind w:left="1271" w:hanging="1440"/>
      </w:pPr>
      <w:rPr>
        <w:rFonts w:hint="eastAsia"/>
      </w:rPr>
    </w:lvl>
    <w:lvl w:ilvl="8" w:tentative="0">
      <w:start w:val="1"/>
      <w:numFmt w:val="decimal"/>
      <w:lvlText w:val="%1.%2.%3.%4.%5.%6.%7.%8.%9"/>
      <w:lvlJc w:val="left"/>
      <w:pPr>
        <w:tabs>
          <w:tab w:val="left" w:pos="1415"/>
        </w:tabs>
        <w:ind w:left="1415" w:hanging="1584"/>
      </w:pPr>
      <w:rPr>
        <w:rFonts w:hint="eastAsia"/>
      </w:rPr>
    </w:lvl>
  </w:abstractNum>
  <w:abstractNum w:abstractNumId="14">
    <w:nsid w:val="2C225968"/>
    <w:multiLevelType w:val="multilevel"/>
    <w:tmpl w:val="2C225968"/>
    <w:lvl w:ilvl="0" w:tentative="0">
      <w:start w:val="1"/>
      <w:numFmt w:val="lowerRoman"/>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09D3A80"/>
    <w:multiLevelType w:val="multilevel"/>
    <w:tmpl w:val="309D3A80"/>
    <w:lvl w:ilvl="0" w:tentative="0">
      <w:start w:val="1"/>
      <w:numFmt w:val="lowerRoman"/>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8763F38"/>
    <w:multiLevelType w:val="multilevel"/>
    <w:tmpl w:val="38763F38"/>
    <w:lvl w:ilvl="0" w:tentative="0">
      <w:start w:val="1"/>
      <w:numFmt w:val="bullet"/>
      <w:lvlText w:val=""/>
      <w:lvlJc w:val="left"/>
      <w:pPr>
        <w:ind w:left="905" w:hanging="420"/>
      </w:pPr>
      <w:rPr>
        <w:rFonts w:hint="default" w:ascii="Wingdings" w:hAnsi="Wingdings"/>
        <w:sz w:val="13"/>
      </w:rPr>
    </w:lvl>
    <w:lvl w:ilvl="1" w:tentative="0">
      <w:start w:val="1"/>
      <w:numFmt w:val="bullet"/>
      <w:lvlText w:val=""/>
      <w:lvlJc w:val="left"/>
      <w:pPr>
        <w:ind w:left="1325" w:hanging="420"/>
      </w:pPr>
      <w:rPr>
        <w:rFonts w:hint="default" w:ascii="Wingdings" w:hAnsi="Wingdings"/>
      </w:rPr>
    </w:lvl>
    <w:lvl w:ilvl="2" w:tentative="0">
      <w:start w:val="1"/>
      <w:numFmt w:val="bullet"/>
      <w:lvlText w:val=""/>
      <w:lvlJc w:val="left"/>
      <w:pPr>
        <w:ind w:left="1745" w:hanging="420"/>
      </w:pPr>
      <w:rPr>
        <w:rFonts w:hint="default" w:ascii="Wingdings" w:hAnsi="Wingdings"/>
      </w:rPr>
    </w:lvl>
    <w:lvl w:ilvl="3" w:tentative="0">
      <w:start w:val="1"/>
      <w:numFmt w:val="bullet"/>
      <w:lvlText w:val=""/>
      <w:lvlJc w:val="left"/>
      <w:pPr>
        <w:ind w:left="2165" w:hanging="420"/>
      </w:pPr>
      <w:rPr>
        <w:rFonts w:hint="default" w:ascii="Wingdings" w:hAnsi="Wingdings"/>
      </w:rPr>
    </w:lvl>
    <w:lvl w:ilvl="4" w:tentative="0">
      <w:start w:val="1"/>
      <w:numFmt w:val="bullet"/>
      <w:lvlText w:val=""/>
      <w:lvlJc w:val="left"/>
      <w:pPr>
        <w:ind w:left="2585" w:hanging="420"/>
      </w:pPr>
      <w:rPr>
        <w:rFonts w:hint="default" w:ascii="Wingdings" w:hAnsi="Wingdings"/>
      </w:rPr>
    </w:lvl>
    <w:lvl w:ilvl="5" w:tentative="0">
      <w:start w:val="1"/>
      <w:numFmt w:val="bullet"/>
      <w:lvlText w:val=""/>
      <w:lvlJc w:val="left"/>
      <w:pPr>
        <w:ind w:left="3005" w:hanging="420"/>
      </w:pPr>
      <w:rPr>
        <w:rFonts w:hint="default" w:ascii="Wingdings" w:hAnsi="Wingdings"/>
      </w:rPr>
    </w:lvl>
    <w:lvl w:ilvl="6" w:tentative="0">
      <w:start w:val="1"/>
      <w:numFmt w:val="bullet"/>
      <w:lvlText w:val=""/>
      <w:lvlJc w:val="left"/>
      <w:pPr>
        <w:ind w:left="3425" w:hanging="420"/>
      </w:pPr>
      <w:rPr>
        <w:rFonts w:hint="default" w:ascii="Wingdings" w:hAnsi="Wingdings"/>
      </w:rPr>
    </w:lvl>
    <w:lvl w:ilvl="7" w:tentative="0">
      <w:start w:val="1"/>
      <w:numFmt w:val="bullet"/>
      <w:lvlText w:val=""/>
      <w:lvlJc w:val="left"/>
      <w:pPr>
        <w:ind w:left="3845" w:hanging="420"/>
      </w:pPr>
      <w:rPr>
        <w:rFonts w:hint="default" w:ascii="Wingdings" w:hAnsi="Wingdings"/>
      </w:rPr>
    </w:lvl>
    <w:lvl w:ilvl="8" w:tentative="0">
      <w:start w:val="1"/>
      <w:numFmt w:val="bullet"/>
      <w:lvlText w:val=""/>
      <w:lvlJc w:val="left"/>
      <w:pPr>
        <w:ind w:left="4265" w:hanging="420"/>
      </w:pPr>
      <w:rPr>
        <w:rFonts w:hint="default" w:ascii="Wingdings" w:hAnsi="Wingdings"/>
      </w:rPr>
    </w:lvl>
  </w:abstractNum>
  <w:abstractNum w:abstractNumId="17">
    <w:nsid w:val="40705AEB"/>
    <w:multiLevelType w:val="multilevel"/>
    <w:tmpl w:val="40705AEB"/>
    <w:lvl w:ilvl="0" w:tentative="0">
      <w:start w:val="1"/>
      <w:numFmt w:val="lowerRoman"/>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42876C58"/>
    <w:multiLevelType w:val="singleLevel"/>
    <w:tmpl w:val="42876C58"/>
    <w:lvl w:ilvl="0" w:tentative="0">
      <w:start w:val="1"/>
      <w:numFmt w:val="upperLetter"/>
      <w:pStyle w:val="52"/>
      <w:lvlText w:val="(%1)"/>
      <w:lvlJc w:val="left"/>
      <w:pPr>
        <w:tabs>
          <w:tab w:val="left" w:pos="720"/>
        </w:tabs>
        <w:ind w:left="720" w:hanging="720"/>
      </w:pPr>
      <w:rPr>
        <w:rFonts w:hint="default" w:ascii="Times New Roman" w:hAnsi="Times New Roman"/>
        <w:b w:val="0"/>
        <w:i w:val="0"/>
        <w:sz w:val="24"/>
      </w:rPr>
    </w:lvl>
  </w:abstractNum>
  <w:abstractNum w:abstractNumId="19">
    <w:nsid w:val="440C4F7B"/>
    <w:multiLevelType w:val="multilevel"/>
    <w:tmpl w:val="440C4F7B"/>
    <w:lvl w:ilvl="0" w:tentative="0">
      <w:start w:val="1"/>
      <w:numFmt w:val="decimal"/>
      <w:lvlText w:val="第 %1 条"/>
      <w:lvlJc w:val="center"/>
      <w:pPr>
        <w:tabs>
          <w:tab w:val="left" w:pos="3240"/>
        </w:tabs>
        <w:ind w:left="2401" w:firstLine="119"/>
      </w:pPr>
      <w:rPr>
        <w:rFonts w:hint="default" w:ascii="Times New Roman" w:hAnsi="Times New Roman" w:eastAsia="宋体"/>
        <w:b/>
        <w:i w:val="0"/>
        <w:sz w:val="30"/>
      </w:rPr>
    </w:lvl>
    <w:lvl w:ilvl="1" w:tentative="0">
      <w:start w:val="1"/>
      <w:numFmt w:val="decimal"/>
      <w:lvlText w:val="%1.%2"/>
      <w:lvlJc w:val="left"/>
      <w:pPr>
        <w:tabs>
          <w:tab w:val="left" w:pos="624"/>
        </w:tabs>
        <w:ind w:left="624" w:hanging="624"/>
      </w:pPr>
      <w:rPr>
        <w:rFonts w:hint="default" w:ascii="Times New Roman" w:hAnsi="Times New Roman" w:eastAsia="宋体"/>
        <w:b/>
        <w:i w:val="0"/>
        <w:sz w:val="28"/>
      </w:rPr>
    </w:lvl>
    <w:lvl w:ilvl="2" w:tentative="0">
      <w:start w:val="1"/>
      <w:numFmt w:val="decimal"/>
      <w:lvlText w:val="%1.%2.%3"/>
      <w:lvlJc w:val="left"/>
      <w:pPr>
        <w:tabs>
          <w:tab w:val="left" w:pos="680"/>
        </w:tabs>
        <w:ind w:left="680" w:hanging="680"/>
      </w:pPr>
      <w:rPr>
        <w:rFonts w:hint="default" w:ascii="Times New Roman" w:hAnsi="Times New Roman" w:eastAsia="宋体"/>
        <w:b w:val="0"/>
        <w:i w:val="0"/>
        <w:sz w:val="21"/>
      </w:rPr>
    </w:lvl>
    <w:lvl w:ilvl="3" w:tentative="0">
      <w:start w:val="1"/>
      <w:numFmt w:val="lowerRoman"/>
      <w:lvlText w:val="(%4)"/>
      <w:lvlJc w:val="left"/>
      <w:pPr>
        <w:tabs>
          <w:tab w:val="left" w:pos="1464"/>
        </w:tabs>
        <w:ind w:left="1464" w:hanging="864"/>
      </w:pPr>
      <w:rPr>
        <w:rFonts w:hint="eastAsia"/>
        <w:lang w:val="en-US"/>
      </w:rPr>
    </w:lvl>
    <w:lvl w:ilvl="4" w:tentative="0">
      <w:start w:val="1"/>
      <w:numFmt w:val="lowerRoman"/>
      <w:lvlText w:val="（%5）"/>
      <w:lvlJc w:val="left"/>
      <w:pPr>
        <w:tabs>
          <w:tab w:val="left" w:pos="720"/>
        </w:tabs>
        <w:ind w:left="720" w:hanging="1008"/>
      </w:pPr>
      <w:rPr>
        <w:rFonts w:hint="eastAsia"/>
        <w:color w:val="auto"/>
      </w:rPr>
    </w:lvl>
    <w:lvl w:ilvl="5" w:tentative="0">
      <w:start w:val="1"/>
      <w:numFmt w:val="decimal"/>
      <w:lvlText w:val="%1.%2.%3.%4.%5.%6"/>
      <w:lvlJc w:val="left"/>
      <w:pPr>
        <w:tabs>
          <w:tab w:val="left" w:pos="864"/>
        </w:tabs>
        <w:ind w:left="864" w:hanging="1152"/>
      </w:pPr>
      <w:rPr>
        <w:rFonts w:hint="eastAsia"/>
      </w:rPr>
    </w:lvl>
    <w:lvl w:ilvl="6" w:tentative="0">
      <w:start w:val="1"/>
      <w:numFmt w:val="decimal"/>
      <w:lvlText w:val="%1.%2.%3.%4.%5.%6.%7"/>
      <w:lvlJc w:val="left"/>
      <w:pPr>
        <w:tabs>
          <w:tab w:val="left" w:pos="1008"/>
        </w:tabs>
        <w:ind w:left="1008" w:hanging="1296"/>
      </w:pPr>
      <w:rPr>
        <w:rFonts w:hint="eastAsia"/>
      </w:rPr>
    </w:lvl>
    <w:lvl w:ilvl="7" w:tentative="0">
      <w:start w:val="1"/>
      <w:numFmt w:val="decimal"/>
      <w:lvlText w:val="%1.%2.%3.%4.%5.%6.%7.%8"/>
      <w:lvlJc w:val="left"/>
      <w:pPr>
        <w:tabs>
          <w:tab w:val="left" w:pos="1152"/>
        </w:tabs>
        <w:ind w:left="1152" w:hanging="1440"/>
      </w:pPr>
      <w:rPr>
        <w:rFonts w:hint="eastAsia"/>
      </w:rPr>
    </w:lvl>
    <w:lvl w:ilvl="8" w:tentative="0">
      <w:start w:val="1"/>
      <w:numFmt w:val="decimal"/>
      <w:lvlText w:val="%1.%2.%3.%4.%5.%6.%7.%8.%9"/>
      <w:lvlJc w:val="left"/>
      <w:pPr>
        <w:tabs>
          <w:tab w:val="left" w:pos="1296"/>
        </w:tabs>
        <w:ind w:left="1296" w:hanging="1584"/>
      </w:pPr>
      <w:rPr>
        <w:rFonts w:hint="eastAsia"/>
      </w:rPr>
    </w:lvl>
  </w:abstractNum>
  <w:abstractNum w:abstractNumId="20">
    <w:nsid w:val="445D6048"/>
    <w:multiLevelType w:val="multilevel"/>
    <w:tmpl w:val="445D6048"/>
    <w:lvl w:ilvl="0" w:tentative="0">
      <w:start w:val="1"/>
      <w:numFmt w:val="decimal"/>
      <w:lvlText w:val="第 %1 条"/>
      <w:lvlJc w:val="center"/>
      <w:pPr>
        <w:tabs>
          <w:tab w:val="left" w:pos="3240"/>
        </w:tabs>
        <w:ind w:left="2401" w:firstLine="119"/>
      </w:pPr>
      <w:rPr>
        <w:rFonts w:hint="default" w:ascii="Times New Roman" w:hAnsi="Times New Roman" w:eastAsia="宋体"/>
        <w:b/>
        <w:i w:val="0"/>
        <w:sz w:val="30"/>
      </w:rPr>
    </w:lvl>
    <w:lvl w:ilvl="1" w:tentative="0">
      <w:start w:val="1"/>
      <w:numFmt w:val="decimal"/>
      <w:lvlText w:val="%1.%2"/>
      <w:lvlJc w:val="left"/>
      <w:pPr>
        <w:tabs>
          <w:tab w:val="left" w:pos="624"/>
        </w:tabs>
        <w:ind w:left="624" w:hanging="624"/>
      </w:pPr>
      <w:rPr>
        <w:rFonts w:hint="default" w:ascii="Times New Roman" w:hAnsi="Times New Roman" w:eastAsia="宋体"/>
        <w:b/>
        <w:i w:val="0"/>
        <w:sz w:val="28"/>
      </w:rPr>
    </w:lvl>
    <w:lvl w:ilvl="2" w:tentative="0">
      <w:start w:val="1"/>
      <w:numFmt w:val="decimal"/>
      <w:lvlText w:val="%1.%2.%3"/>
      <w:lvlJc w:val="left"/>
      <w:pPr>
        <w:tabs>
          <w:tab w:val="left" w:pos="680"/>
        </w:tabs>
        <w:ind w:left="680" w:hanging="680"/>
      </w:pPr>
      <w:rPr>
        <w:rFonts w:hint="default" w:ascii="Times New Roman" w:hAnsi="Times New Roman" w:eastAsia="宋体"/>
        <w:b w:val="0"/>
        <w:i w:val="0"/>
        <w:sz w:val="21"/>
      </w:rPr>
    </w:lvl>
    <w:lvl w:ilvl="3" w:tentative="0">
      <w:start w:val="1"/>
      <w:numFmt w:val="lowerRoman"/>
      <w:lvlText w:val="(%4)"/>
      <w:lvlJc w:val="left"/>
      <w:pPr>
        <w:tabs>
          <w:tab w:val="left" w:pos="1464"/>
        </w:tabs>
        <w:ind w:left="1464" w:hanging="864"/>
      </w:pPr>
      <w:rPr>
        <w:rFonts w:hint="eastAsia"/>
        <w:lang w:val="en-US"/>
      </w:rPr>
    </w:lvl>
    <w:lvl w:ilvl="4" w:tentative="0">
      <w:start w:val="1"/>
      <w:numFmt w:val="lowerRoman"/>
      <w:lvlText w:val="（%5）"/>
      <w:lvlJc w:val="left"/>
      <w:pPr>
        <w:tabs>
          <w:tab w:val="left" w:pos="720"/>
        </w:tabs>
        <w:ind w:left="720" w:hanging="1008"/>
      </w:pPr>
      <w:rPr>
        <w:rFonts w:hint="eastAsia"/>
        <w:color w:val="auto"/>
      </w:rPr>
    </w:lvl>
    <w:lvl w:ilvl="5" w:tentative="0">
      <w:start w:val="1"/>
      <w:numFmt w:val="decimal"/>
      <w:lvlText w:val="%1.%2.%3.%4.%5.%6"/>
      <w:lvlJc w:val="left"/>
      <w:pPr>
        <w:tabs>
          <w:tab w:val="left" w:pos="864"/>
        </w:tabs>
        <w:ind w:left="864" w:hanging="1152"/>
      </w:pPr>
      <w:rPr>
        <w:rFonts w:hint="eastAsia"/>
      </w:rPr>
    </w:lvl>
    <w:lvl w:ilvl="6" w:tentative="0">
      <w:start w:val="1"/>
      <w:numFmt w:val="decimal"/>
      <w:lvlText w:val="%1.%2.%3.%4.%5.%6.%7"/>
      <w:lvlJc w:val="left"/>
      <w:pPr>
        <w:tabs>
          <w:tab w:val="left" w:pos="1008"/>
        </w:tabs>
        <w:ind w:left="1008" w:hanging="1296"/>
      </w:pPr>
      <w:rPr>
        <w:rFonts w:hint="eastAsia"/>
      </w:rPr>
    </w:lvl>
    <w:lvl w:ilvl="7" w:tentative="0">
      <w:start w:val="1"/>
      <w:numFmt w:val="decimal"/>
      <w:lvlText w:val="%1.%2.%3.%4.%5.%6.%7.%8"/>
      <w:lvlJc w:val="left"/>
      <w:pPr>
        <w:tabs>
          <w:tab w:val="left" w:pos="1152"/>
        </w:tabs>
        <w:ind w:left="1152" w:hanging="1440"/>
      </w:pPr>
      <w:rPr>
        <w:rFonts w:hint="eastAsia"/>
      </w:rPr>
    </w:lvl>
    <w:lvl w:ilvl="8" w:tentative="0">
      <w:start w:val="1"/>
      <w:numFmt w:val="decimal"/>
      <w:lvlText w:val="%1.%2.%3.%4.%5.%6.%7.%8.%9"/>
      <w:lvlJc w:val="left"/>
      <w:pPr>
        <w:tabs>
          <w:tab w:val="left" w:pos="1296"/>
        </w:tabs>
        <w:ind w:left="1296" w:hanging="1584"/>
      </w:pPr>
      <w:rPr>
        <w:rFonts w:hint="eastAsia"/>
      </w:rPr>
    </w:lvl>
  </w:abstractNum>
  <w:abstractNum w:abstractNumId="21">
    <w:nsid w:val="47147DE3"/>
    <w:multiLevelType w:val="multilevel"/>
    <w:tmpl w:val="47147DE3"/>
    <w:lvl w:ilvl="0" w:tentative="0">
      <w:start w:val="1"/>
      <w:numFmt w:val="lowerRoman"/>
      <w:lvlText w:val="(%1)"/>
      <w:lvlJc w:val="left"/>
      <w:pPr>
        <w:ind w:left="492" w:hanging="420"/>
      </w:pPr>
      <w:rPr>
        <w:rFonts w:hint="eastAsia"/>
      </w:rPr>
    </w:lvl>
    <w:lvl w:ilvl="1" w:tentative="0">
      <w:start w:val="1"/>
      <w:numFmt w:val="lowerLetter"/>
      <w:lvlText w:val="%2)"/>
      <w:lvlJc w:val="left"/>
      <w:pPr>
        <w:ind w:left="912" w:hanging="420"/>
      </w:pPr>
    </w:lvl>
    <w:lvl w:ilvl="2" w:tentative="0">
      <w:start w:val="1"/>
      <w:numFmt w:val="lowerRoman"/>
      <w:lvlText w:val="%3."/>
      <w:lvlJc w:val="right"/>
      <w:pPr>
        <w:ind w:left="1332" w:hanging="420"/>
      </w:pPr>
    </w:lvl>
    <w:lvl w:ilvl="3" w:tentative="0">
      <w:start w:val="1"/>
      <w:numFmt w:val="decimal"/>
      <w:lvlText w:val="%4."/>
      <w:lvlJc w:val="left"/>
      <w:pPr>
        <w:ind w:left="1752" w:hanging="420"/>
      </w:pPr>
    </w:lvl>
    <w:lvl w:ilvl="4" w:tentative="0">
      <w:start w:val="1"/>
      <w:numFmt w:val="lowerLetter"/>
      <w:lvlText w:val="%5)"/>
      <w:lvlJc w:val="left"/>
      <w:pPr>
        <w:ind w:left="2172" w:hanging="420"/>
      </w:pPr>
    </w:lvl>
    <w:lvl w:ilvl="5" w:tentative="0">
      <w:start w:val="1"/>
      <w:numFmt w:val="lowerRoman"/>
      <w:lvlText w:val="%6."/>
      <w:lvlJc w:val="right"/>
      <w:pPr>
        <w:ind w:left="2592" w:hanging="420"/>
      </w:pPr>
    </w:lvl>
    <w:lvl w:ilvl="6" w:tentative="0">
      <w:start w:val="1"/>
      <w:numFmt w:val="decimal"/>
      <w:lvlText w:val="%7."/>
      <w:lvlJc w:val="left"/>
      <w:pPr>
        <w:ind w:left="3012" w:hanging="420"/>
      </w:pPr>
    </w:lvl>
    <w:lvl w:ilvl="7" w:tentative="0">
      <w:start w:val="1"/>
      <w:numFmt w:val="lowerLetter"/>
      <w:lvlText w:val="%8)"/>
      <w:lvlJc w:val="left"/>
      <w:pPr>
        <w:ind w:left="3432" w:hanging="420"/>
      </w:pPr>
    </w:lvl>
    <w:lvl w:ilvl="8" w:tentative="0">
      <w:start w:val="1"/>
      <w:numFmt w:val="lowerRoman"/>
      <w:lvlText w:val="%9."/>
      <w:lvlJc w:val="right"/>
      <w:pPr>
        <w:ind w:left="3852" w:hanging="420"/>
      </w:pPr>
    </w:lvl>
  </w:abstractNum>
  <w:abstractNum w:abstractNumId="22">
    <w:nsid w:val="475B3203"/>
    <w:multiLevelType w:val="multilevel"/>
    <w:tmpl w:val="475B3203"/>
    <w:lvl w:ilvl="0" w:tentative="0">
      <w:start w:val="1"/>
      <w:numFmt w:val="none"/>
      <w:pStyle w:val="72"/>
      <w:suff w:val="nothing"/>
      <w:lvlText w:val=""/>
      <w:lvlJc w:val="left"/>
      <w:pPr>
        <w:ind w:left="0" w:firstLine="0"/>
      </w:pPr>
    </w:lvl>
    <w:lvl w:ilvl="1" w:tentative="0">
      <w:start w:val="1"/>
      <w:numFmt w:val="none"/>
      <w:pStyle w:val="73"/>
      <w:suff w:val="nothing"/>
      <w:lvlText w:val=""/>
      <w:lvlJc w:val="left"/>
      <w:pPr>
        <w:ind w:left="720" w:firstLine="0"/>
      </w:pPr>
    </w:lvl>
    <w:lvl w:ilvl="2" w:tentative="0">
      <w:start w:val="1"/>
      <w:numFmt w:val="none"/>
      <w:pStyle w:val="74"/>
      <w:suff w:val="nothing"/>
      <w:lvlText w:val=""/>
      <w:lvlJc w:val="left"/>
      <w:pPr>
        <w:ind w:left="1440" w:firstLine="0"/>
      </w:pPr>
    </w:lvl>
    <w:lvl w:ilvl="3" w:tentative="0">
      <w:start w:val="1"/>
      <w:numFmt w:val="none"/>
      <w:pStyle w:val="75"/>
      <w:suff w:val="nothing"/>
      <w:lvlText w:val=""/>
      <w:lvlJc w:val="left"/>
      <w:pPr>
        <w:ind w:left="2160" w:firstLine="0"/>
      </w:pPr>
    </w:lvl>
    <w:lvl w:ilvl="4" w:tentative="0">
      <w:start w:val="1"/>
      <w:numFmt w:val="none"/>
      <w:pStyle w:val="76"/>
      <w:suff w:val="nothing"/>
      <w:lvlText w:val=""/>
      <w:lvlJc w:val="left"/>
      <w:pPr>
        <w:ind w:left="2880" w:firstLine="0"/>
      </w:pPr>
    </w:lvl>
    <w:lvl w:ilvl="5" w:tentative="0">
      <w:start w:val="1"/>
      <w:numFmt w:val="none"/>
      <w:pStyle w:val="77"/>
      <w:suff w:val="nothing"/>
      <w:lvlText w:val=""/>
      <w:lvlJc w:val="left"/>
      <w:pPr>
        <w:ind w:left="3600" w:firstLine="0"/>
      </w:pPr>
    </w:lvl>
    <w:lvl w:ilvl="6" w:tentative="0">
      <w:start w:val="1"/>
      <w:numFmt w:val="none"/>
      <w:pStyle w:val="78"/>
      <w:suff w:val="nothing"/>
      <w:lvlText w:val=""/>
      <w:lvlJc w:val="left"/>
      <w:pPr>
        <w:ind w:left="4320" w:firstLine="0"/>
      </w:pPr>
    </w:lvl>
    <w:lvl w:ilvl="7" w:tentative="0">
      <w:start w:val="1"/>
      <w:numFmt w:val="none"/>
      <w:pStyle w:val="79"/>
      <w:suff w:val="nothing"/>
      <w:lvlText w:val=""/>
      <w:lvlJc w:val="left"/>
      <w:pPr>
        <w:ind w:left="5040" w:firstLine="0"/>
      </w:pPr>
    </w:lvl>
    <w:lvl w:ilvl="8" w:tentative="0">
      <w:start w:val="1"/>
      <w:numFmt w:val="none"/>
      <w:pStyle w:val="80"/>
      <w:suff w:val="nothing"/>
      <w:lvlText w:val=""/>
      <w:lvlJc w:val="left"/>
      <w:pPr>
        <w:ind w:left="5760" w:firstLine="0"/>
      </w:pPr>
    </w:lvl>
  </w:abstractNum>
  <w:abstractNum w:abstractNumId="23">
    <w:nsid w:val="4C702AA7"/>
    <w:multiLevelType w:val="multilevel"/>
    <w:tmpl w:val="4C702AA7"/>
    <w:lvl w:ilvl="0" w:tentative="0">
      <w:start w:val="1"/>
      <w:numFmt w:val="decimal"/>
      <w:lvlText w:val="第 %1 条"/>
      <w:lvlJc w:val="center"/>
      <w:pPr>
        <w:tabs>
          <w:tab w:val="left" w:pos="3240"/>
        </w:tabs>
        <w:ind w:left="2401" w:firstLine="119"/>
      </w:pPr>
      <w:rPr>
        <w:rFonts w:hint="default" w:ascii="Times New Roman" w:hAnsi="Times New Roman" w:eastAsia="宋体"/>
        <w:b/>
        <w:i w:val="0"/>
        <w:sz w:val="30"/>
      </w:rPr>
    </w:lvl>
    <w:lvl w:ilvl="1" w:tentative="0">
      <w:start w:val="1"/>
      <w:numFmt w:val="decimal"/>
      <w:lvlText w:val="%1.%2"/>
      <w:lvlJc w:val="left"/>
      <w:pPr>
        <w:tabs>
          <w:tab w:val="left" w:pos="624"/>
        </w:tabs>
        <w:ind w:left="624" w:hanging="624"/>
      </w:pPr>
      <w:rPr>
        <w:rFonts w:hint="default" w:ascii="Times New Roman" w:hAnsi="Times New Roman" w:eastAsia="宋体"/>
        <w:b/>
        <w:i w:val="0"/>
        <w:sz w:val="28"/>
      </w:rPr>
    </w:lvl>
    <w:lvl w:ilvl="2" w:tentative="0">
      <w:start w:val="1"/>
      <w:numFmt w:val="decimal"/>
      <w:lvlText w:val="%1.%2.%3"/>
      <w:lvlJc w:val="left"/>
      <w:pPr>
        <w:tabs>
          <w:tab w:val="left" w:pos="680"/>
        </w:tabs>
        <w:ind w:left="680" w:hanging="680"/>
      </w:pPr>
      <w:rPr>
        <w:rFonts w:hint="default" w:ascii="Times New Roman" w:hAnsi="Times New Roman" w:eastAsia="宋体"/>
        <w:b w:val="0"/>
        <w:i w:val="0"/>
        <w:sz w:val="21"/>
      </w:rPr>
    </w:lvl>
    <w:lvl w:ilvl="3" w:tentative="0">
      <w:start w:val="1"/>
      <w:numFmt w:val="lowerRoman"/>
      <w:lvlText w:val="(%4)"/>
      <w:lvlJc w:val="left"/>
      <w:pPr>
        <w:tabs>
          <w:tab w:val="left" w:pos="1464"/>
        </w:tabs>
        <w:ind w:left="1464" w:hanging="864"/>
      </w:pPr>
      <w:rPr>
        <w:rFonts w:hint="eastAsia"/>
        <w:lang w:val="en-US"/>
      </w:rPr>
    </w:lvl>
    <w:lvl w:ilvl="4" w:tentative="0">
      <w:start w:val="1"/>
      <w:numFmt w:val="lowerRoman"/>
      <w:lvlText w:val="（%5）"/>
      <w:lvlJc w:val="left"/>
      <w:pPr>
        <w:tabs>
          <w:tab w:val="left" w:pos="720"/>
        </w:tabs>
        <w:ind w:left="720" w:hanging="1008"/>
      </w:pPr>
      <w:rPr>
        <w:rFonts w:hint="eastAsia"/>
        <w:color w:val="auto"/>
      </w:rPr>
    </w:lvl>
    <w:lvl w:ilvl="5" w:tentative="0">
      <w:start w:val="1"/>
      <w:numFmt w:val="decimal"/>
      <w:lvlText w:val="%1.%2.%3.%4.%5.%6"/>
      <w:lvlJc w:val="left"/>
      <w:pPr>
        <w:tabs>
          <w:tab w:val="left" w:pos="864"/>
        </w:tabs>
        <w:ind w:left="864" w:hanging="1152"/>
      </w:pPr>
      <w:rPr>
        <w:rFonts w:hint="eastAsia"/>
      </w:rPr>
    </w:lvl>
    <w:lvl w:ilvl="6" w:tentative="0">
      <w:start w:val="1"/>
      <w:numFmt w:val="decimal"/>
      <w:lvlText w:val="%1.%2.%3.%4.%5.%6.%7"/>
      <w:lvlJc w:val="left"/>
      <w:pPr>
        <w:tabs>
          <w:tab w:val="left" w:pos="1008"/>
        </w:tabs>
        <w:ind w:left="1008" w:hanging="1296"/>
      </w:pPr>
      <w:rPr>
        <w:rFonts w:hint="eastAsia"/>
      </w:rPr>
    </w:lvl>
    <w:lvl w:ilvl="7" w:tentative="0">
      <w:start w:val="1"/>
      <w:numFmt w:val="decimal"/>
      <w:lvlText w:val="%1.%2.%3.%4.%5.%6.%7.%8"/>
      <w:lvlJc w:val="left"/>
      <w:pPr>
        <w:tabs>
          <w:tab w:val="left" w:pos="1152"/>
        </w:tabs>
        <w:ind w:left="1152" w:hanging="1440"/>
      </w:pPr>
      <w:rPr>
        <w:rFonts w:hint="eastAsia"/>
      </w:rPr>
    </w:lvl>
    <w:lvl w:ilvl="8" w:tentative="0">
      <w:start w:val="1"/>
      <w:numFmt w:val="decimal"/>
      <w:lvlText w:val="%1.%2.%3.%4.%5.%6.%7.%8.%9"/>
      <w:lvlJc w:val="left"/>
      <w:pPr>
        <w:tabs>
          <w:tab w:val="left" w:pos="1296"/>
        </w:tabs>
        <w:ind w:left="1296" w:hanging="1584"/>
      </w:pPr>
      <w:rPr>
        <w:rFonts w:hint="eastAsia"/>
      </w:rPr>
    </w:lvl>
  </w:abstractNum>
  <w:abstractNum w:abstractNumId="24">
    <w:nsid w:val="4F292EE4"/>
    <w:multiLevelType w:val="multilevel"/>
    <w:tmpl w:val="4F292EE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5D13EA25"/>
    <w:multiLevelType w:val="singleLevel"/>
    <w:tmpl w:val="5D13EA25"/>
    <w:lvl w:ilvl="0" w:tentative="0">
      <w:start w:val="1"/>
      <w:numFmt w:val="decimal"/>
      <w:suff w:val="nothing"/>
      <w:lvlText w:val="%1．"/>
      <w:lvlJc w:val="left"/>
      <w:pPr>
        <w:ind w:left="0" w:firstLine="400"/>
      </w:pPr>
      <w:rPr>
        <w:rFonts w:hint="default"/>
      </w:rPr>
    </w:lvl>
  </w:abstractNum>
  <w:abstractNum w:abstractNumId="26">
    <w:nsid w:val="60B54535"/>
    <w:multiLevelType w:val="multilevel"/>
    <w:tmpl w:val="60B54535"/>
    <w:lvl w:ilvl="0" w:tentative="0">
      <w:start w:val="1"/>
      <w:numFmt w:val="lowerRoman"/>
      <w:pStyle w:val="7"/>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0E74FFB"/>
    <w:multiLevelType w:val="multilevel"/>
    <w:tmpl w:val="60E74FFB"/>
    <w:lvl w:ilvl="0" w:tentative="0">
      <w:start w:val="1"/>
      <w:numFmt w:val="lowerRoman"/>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4F37FCD"/>
    <w:multiLevelType w:val="multilevel"/>
    <w:tmpl w:val="64F37FCD"/>
    <w:lvl w:ilvl="0" w:tentative="0">
      <w:start w:val="1"/>
      <w:numFmt w:val="decimal"/>
      <w:lvlText w:val="%1 "/>
      <w:lvlJc w:val="center"/>
      <w:pPr>
        <w:tabs>
          <w:tab w:val="left" w:pos="479"/>
        </w:tabs>
        <w:ind w:left="0" w:firstLine="119"/>
      </w:pPr>
      <w:rPr>
        <w:rFonts w:hint="default" w:ascii="Times New Roman" w:hAnsi="Times New Roman" w:eastAsia="宋体"/>
        <w:b/>
        <w:i w:val="0"/>
        <w:sz w:val="28"/>
      </w:rPr>
    </w:lvl>
    <w:lvl w:ilvl="1" w:tentative="0">
      <w:start w:val="1"/>
      <w:numFmt w:val="decimal"/>
      <w:lvlText w:val="%1.%2"/>
      <w:lvlJc w:val="left"/>
      <w:pPr>
        <w:tabs>
          <w:tab w:val="left" w:pos="743"/>
        </w:tabs>
        <w:ind w:left="743" w:hanging="624"/>
      </w:pPr>
      <w:rPr>
        <w:rFonts w:hint="default" w:ascii="Times New Roman" w:hAnsi="Times New Roman" w:eastAsia="宋体"/>
        <w:b/>
        <w:i w:val="0"/>
        <w:sz w:val="21"/>
      </w:rPr>
    </w:lvl>
    <w:lvl w:ilvl="2" w:tentative="0">
      <w:start w:val="1"/>
      <w:numFmt w:val="decimal"/>
      <w:lvlText w:val="%1.%2.%3"/>
      <w:lvlJc w:val="left"/>
      <w:pPr>
        <w:tabs>
          <w:tab w:val="left" w:pos="965"/>
        </w:tabs>
        <w:ind w:left="965" w:hanging="680"/>
      </w:pPr>
      <w:rPr>
        <w:rFonts w:hint="default" w:ascii="Times New Roman" w:hAnsi="Times New Roman" w:eastAsia="宋体"/>
        <w:b w:val="0"/>
        <w:i w:val="0"/>
        <w:sz w:val="21"/>
      </w:rPr>
    </w:lvl>
    <w:lvl w:ilvl="3" w:tentative="0">
      <w:start w:val="1"/>
      <w:numFmt w:val="lowerLetter"/>
      <w:lvlText w:val="（%4）"/>
      <w:lvlJc w:val="left"/>
      <w:pPr>
        <w:tabs>
          <w:tab w:val="left" w:pos="695"/>
        </w:tabs>
        <w:ind w:left="695" w:hanging="864"/>
      </w:pPr>
      <w:rPr>
        <w:rFonts w:hint="eastAsia"/>
      </w:rPr>
    </w:lvl>
    <w:lvl w:ilvl="4" w:tentative="0">
      <w:start w:val="1"/>
      <w:numFmt w:val="lowerRoman"/>
      <w:lvlText w:val="（%5）"/>
      <w:lvlJc w:val="left"/>
      <w:pPr>
        <w:tabs>
          <w:tab w:val="left" w:pos="839"/>
        </w:tabs>
        <w:ind w:left="839" w:hanging="1008"/>
      </w:pPr>
      <w:rPr>
        <w:rFonts w:hint="eastAsia"/>
        <w:color w:val="auto"/>
      </w:rPr>
    </w:lvl>
    <w:lvl w:ilvl="5" w:tentative="0">
      <w:start w:val="1"/>
      <w:numFmt w:val="decimal"/>
      <w:lvlText w:val="%1.%2.%3.%4.%5.%6"/>
      <w:lvlJc w:val="left"/>
      <w:pPr>
        <w:tabs>
          <w:tab w:val="left" w:pos="983"/>
        </w:tabs>
        <w:ind w:left="983" w:hanging="1152"/>
      </w:pPr>
      <w:rPr>
        <w:rFonts w:hint="eastAsia"/>
      </w:rPr>
    </w:lvl>
    <w:lvl w:ilvl="6" w:tentative="0">
      <w:start w:val="1"/>
      <w:numFmt w:val="decimal"/>
      <w:lvlText w:val="%1.%2.%3.%4.%5.%6.%7"/>
      <w:lvlJc w:val="left"/>
      <w:pPr>
        <w:tabs>
          <w:tab w:val="left" w:pos="1127"/>
        </w:tabs>
        <w:ind w:left="1127" w:hanging="1296"/>
      </w:pPr>
      <w:rPr>
        <w:rFonts w:hint="eastAsia"/>
      </w:rPr>
    </w:lvl>
    <w:lvl w:ilvl="7" w:tentative="0">
      <w:start w:val="1"/>
      <w:numFmt w:val="decimal"/>
      <w:lvlText w:val="%1.%2.%3.%4.%5.%6.%7.%8"/>
      <w:lvlJc w:val="left"/>
      <w:pPr>
        <w:tabs>
          <w:tab w:val="left" w:pos="1271"/>
        </w:tabs>
        <w:ind w:left="1271" w:hanging="1440"/>
      </w:pPr>
      <w:rPr>
        <w:rFonts w:hint="eastAsia"/>
      </w:rPr>
    </w:lvl>
    <w:lvl w:ilvl="8" w:tentative="0">
      <w:start w:val="1"/>
      <w:numFmt w:val="decimal"/>
      <w:lvlText w:val="%1.%2.%3.%4.%5.%6.%7.%8.%9"/>
      <w:lvlJc w:val="left"/>
      <w:pPr>
        <w:tabs>
          <w:tab w:val="left" w:pos="1415"/>
        </w:tabs>
        <w:ind w:left="1415" w:hanging="1584"/>
      </w:pPr>
      <w:rPr>
        <w:rFonts w:hint="eastAsia"/>
      </w:rPr>
    </w:lvl>
  </w:abstractNum>
  <w:abstractNum w:abstractNumId="29">
    <w:nsid w:val="67D110D3"/>
    <w:multiLevelType w:val="multilevel"/>
    <w:tmpl w:val="67D110D3"/>
    <w:lvl w:ilvl="0" w:tentative="0">
      <w:start w:val="1"/>
      <w:numFmt w:val="decimal"/>
      <w:lvlText w:val="第 %1 条"/>
      <w:lvlJc w:val="center"/>
      <w:pPr>
        <w:tabs>
          <w:tab w:val="left" w:pos="3240"/>
        </w:tabs>
        <w:ind w:left="2401" w:firstLine="119"/>
      </w:pPr>
      <w:rPr>
        <w:rFonts w:hint="default" w:ascii="Times New Roman" w:hAnsi="Times New Roman" w:eastAsia="宋体"/>
        <w:b/>
        <w:i w:val="0"/>
        <w:sz w:val="30"/>
      </w:rPr>
    </w:lvl>
    <w:lvl w:ilvl="1" w:tentative="0">
      <w:start w:val="1"/>
      <w:numFmt w:val="decimal"/>
      <w:lvlText w:val="%1.%2"/>
      <w:lvlJc w:val="left"/>
      <w:pPr>
        <w:tabs>
          <w:tab w:val="left" w:pos="624"/>
        </w:tabs>
        <w:ind w:left="624" w:hanging="624"/>
      </w:pPr>
      <w:rPr>
        <w:rFonts w:hint="default" w:ascii="Times New Roman" w:hAnsi="Times New Roman" w:eastAsia="宋体"/>
        <w:b/>
        <w:i w:val="0"/>
        <w:sz w:val="28"/>
      </w:rPr>
    </w:lvl>
    <w:lvl w:ilvl="2" w:tentative="0">
      <w:start w:val="1"/>
      <w:numFmt w:val="decimal"/>
      <w:lvlText w:val="%1.%2.%3"/>
      <w:lvlJc w:val="left"/>
      <w:pPr>
        <w:tabs>
          <w:tab w:val="left" w:pos="680"/>
        </w:tabs>
        <w:ind w:left="680" w:hanging="680"/>
      </w:pPr>
      <w:rPr>
        <w:rFonts w:hint="default" w:ascii="Times New Roman" w:hAnsi="Times New Roman" w:eastAsia="宋体"/>
        <w:b w:val="0"/>
        <w:i w:val="0"/>
        <w:sz w:val="21"/>
      </w:rPr>
    </w:lvl>
    <w:lvl w:ilvl="3" w:tentative="0">
      <w:start w:val="1"/>
      <w:numFmt w:val="lowerRoman"/>
      <w:lvlText w:val="(%4)"/>
      <w:lvlJc w:val="left"/>
      <w:pPr>
        <w:tabs>
          <w:tab w:val="left" w:pos="1464"/>
        </w:tabs>
        <w:ind w:left="1464" w:hanging="864"/>
      </w:pPr>
      <w:rPr>
        <w:rFonts w:hint="eastAsia"/>
        <w:lang w:val="en-US"/>
      </w:rPr>
    </w:lvl>
    <w:lvl w:ilvl="4" w:tentative="0">
      <w:start w:val="1"/>
      <w:numFmt w:val="lowerRoman"/>
      <w:lvlText w:val="（%5）"/>
      <w:lvlJc w:val="left"/>
      <w:pPr>
        <w:tabs>
          <w:tab w:val="left" w:pos="720"/>
        </w:tabs>
        <w:ind w:left="720" w:hanging="1008"/>
      </w:pPr>
      <w:rPr>
        <w:rFonts w:hint="eastAsia"/>
        <w:color w:val="auto"/>
      </w:rPr>
    </w:lvl>
    <w:lvl w:ilvl="5" w:tentative="0">
      <w:start w:val="1"/>
      <w:numFmt w:val="decimal"/>
      <w:lvlText w:val="%1.%2.%3.%4.%5.%6"/>
      <w:lvlJc w:val="left"/>
      <w:pPr>
        <w:tabs>
          <w:tab w:val="left" w:pos="864"/>
        </w:tabs>
        <w:ind w:left="864" w:hanging="1152"/>
      </w:pPr>
      <w:rPr>
        <w:rFonts w:hint="eastAsia"/>
      </w:rPr>
    </w:lvl>
    <w:lvl w:ilvl="6" w:tentative="0">
      <w:start w:val="1"/>
      <w:numFmt w:val="decimal"/>
      <w:lvlText w:val="%1.%2.%3.%4.%5.%6.%7"/>
      <w:lvlJc w:val="left"/>
      <w:pPr>
        <w:tabs>
          <w:tab w:val="left" w:pos="1008"/>
        </w:tabs>
        <w:ind w:left="1008" w:hanging="1296"/>
      </w:pPr>
      <w:rPr>
        <w:rFonts w:hint="eastAsia"/>
      </w:rPr>
    </w:lvl>
    <w:lvl w:ilvl="7" w:tentative="0">
      <w:start w:val="1"/>
      <w:numFmt w:val="decimal"/>
      <w:lvlText w:val="%1.%2.%3.%4.%5.%6.%7.%8"/>
      <w:lvlJc w:val="left"/>
      <w:pPr>
        <w:tabs>
          <w:tab w:val="left" w:pos="1152"/>
        </w:tabs>
        <w:ind w:left="1152" w:hanging="1440"/>
      </w:pPr>
      <w:rPr>
        <w:rFonts w:hint="eastAsia"/>
      </w:rPr>
    </w:lvl>
    <w:lvl w:ilvl="8" w:tentative="0">
      <w:start w:val="1"/>
      <w:numFmt w:val="decimal"/>
      <w:lvlText w:val="%1.%2.%3.%4.%5.%6.%7.%8.%9"/>
      <w:lvlJc w:val="left"/>
      <w:pPr>
        <w:tabs>
          <w:tab w:val="left" w:pos="1296"/>
        </w:tabs>
        <w:ind w:left="1296" w:hanging="1584"/>
      </w:pPr>
      <w:rPr>
        <w:rFonts w:hint="eastAsia"/>
      </w:rPr>
    </w:lvl>
  </w:abstractNum>
  <w:abstractNum w:abstractNumId="30">
    <w:nsid w:val="7F6053CB"/>
    <w:multiLevelType w:val="multilevel"/>
    <w:tmpl w:val="7F6053CB"/>
    <w:lvl w:ilvl="0" w:tentative="0">
      <w:start w:val="1"/>
      <w:numFmt w:val="decimal"/>
      <w:pStyle w:val="2"/>
      <w:lvlText w:val="第 %1 条"/>
      <w:lvlJc w:val="center"/>
      <w:pPr>
        <w:tabs>
          <w:tab w:val="left" w:pos="720"/>
        </w:tabs>
        <w:ind w:left="-119" w:firstLine="119"/>
      </w:pPr>
      <w:rPr>
        <w:rFonts w:hint="default" w:ascii="Times New Roman" w:hAnsi="Times New Roman" w:eastAsia="宋体"/>
        <w:b/>
        <w:i w:val="0"/>
        <w:sz w:val="30"/>
      </w:rPr>
    </w:lvl>
    <w:lvl w:ilvl="1" w:tentative="0">
      <w:start w:val="1"/>
      <w:numFmt w:val="decimal"/>
      <w:pStyle w:val="3"/>
      <w:lvlText w:val="%1.%2"/>
      <w:lvlJc w:val="left"/>
      <w:pPr>
        <w:tabs>
          <w:tab w:val="left" w:pos="624"/>
        </w:tabs>
        <w:ind w:left="624" w:hanging="624"/>
      </w:pPr>
      <w:rPr>
        <w:rFonts w:hint="default" w:ascii="Times New Roman" w:hAnsi="Times New Roman" w:eastAsia="宋体"/>
        <w:b/>
        <w:i w:val="0"/>
        <w:sz w:val="28"/>
      </w:rPr>
    </w:lvl>
    <w:lvl w:ilvl="2" w:tentative="0">
      <w:start w:val="1"/>
      <w:numFmt w:val="decimal"/>
      <w:pStyle w:val="5"/>
      <w:lvlText w:val="%1.%2.%3"/>
      <w:lvlJc w:val="left"/>
      <w:pPr>
        <w:tabs>
          <w:tab w:val="left" w:pos="680"/>
        </w:tabs>
        <w:ind w:left="680" w:hanging="680"/>
      </w:pPr>
      <w:rPr>
        <w:rFonts w:hint="default" w:ascii="Times New Roman" w:hAnsi="Times New Roman" w:eastAsia="宋体"/>
        <w:b w:val="0"/>
        <w:i w:val="0"/>
        <w:sz w:val="24"/>
      </w:rPr>
    </w:lvl>
    <w:lvl w:ilvl="3" w:tentative="0">
      <w:start w:val="1"/>
      <w:numFmt w:val="lowerLetter"/>
      <w:pStyle w:val="6"/>
      <w:lvlText w:val="（%4）"/>
      <w:lvlJc w:val="left"/>
      <w:pPr>
        <w:tabs>
          <w:tab w:val="left" w:pos="1464"/>
        </w:tabs>
        <w:ind w:left="1464" w:hanging="864"/>
      </w:pPr>
      <w:rPr>
        <w:rFonts w:hint="eastAsia" w:ascii="宋体" w:hAnsi="宋体" w:eastAsia="宋体"/>
        <w:b w:val="0"/>
        <w:lang w:val="en-US"/>
      </w:rPr>
    </w:lvl>
    <w:lvl w:ilvl="4" w:tentative="0">
      <w:start w:val="1"/>
      <w:numFmt w:val="lowerRoman"/>
      <w:lvlText w:val="（%5）"/>
      <w:lvlJc w:val="left"/>
      <w:pPr>
        <w:tabs>
          <w:tab w:val="left" w:pos="1008"/>
        </w:tabs>
        <w:ind w:left="1008" w:hanging="1008"/>
      </w:pPr>
      <w:rPr>
        <w:rFonts w:hint="eastAsia"/>
        <w:color w:val="auto"/>
      </w:rPr>
    </w:lvl>
    <w:lvl w:ilvl="5" w:tentative="0">
      <w:start w:val="1"/>
      <w:numFmt w:val="decimal"/>
      <w:pStyle w:val="8"/>
      <w:lvlText w:val="%1.%2.%3.%4.%5.%6"/>
      <w:lvlJc w:val="left"/>
      <w:pPr>
        <w:tabs>
          <w:tab w:val="left" w:pos="864"/>
        </w:tabs>
        <w:ind w:left="864" w:hanging="1152"/>
      </w:pPr>
      <w:rPr>
        <w:rFonts w:hint="eastAsia"/>
      </w:rPr>
    </w:lvl>
    <w:lvl w:ilvl="6" w:tentative="0">
      <w:start w:val="1"/>
      <w:numFmt w:val="decimal"/>
      <w:pStyle w:val="9"/>
      <w:lvlText w:val="%1.%2.%3.%4.%5.%6.%7"/>
      <w:lvlJc w:val="left"/>
      <w:pPr>
        <w:tabs>
          <w:tab w:val="left" w:pos="1008"/>
        </w:tabs>
        <w:ind w:left="1008" w:hanging="1296"/>
      </w:pPr>
      <w:rPr>
        <w:rFonts w:hint="eastAsia"/>
      </w:rPr>
    </w:lvl>
    <w:lvl w:ilvl="7" w:tentative="0">
      <w:start w:val="1"/>
      <w:numFmt w:val="decimal"/>
      <w:pStyle w:val="10"/>
      <w:lvlText w:val="%1.%2.%3.%4.%5.%6.%7.%8"/>
      <w:lvlJc w:val="left"/>
      <w:pPr>
        <w:tabs>
          <w:tab w:val="left" w:pos="1152"/>
        </w:tabs>
        <w:ind w:left="1152" w:hanging="1440"/>
      </w:pPr>
      <w:rPr>
        <w:rFonts w:hint="eastAsia"/>
      </w:rPr>
    </w:lvl>
    <w:lvl w:ilvl="8" w:tentative="0">
      <w:start w:val="1"/>
      <w:numFmt w:val="decimal"/>
      <w:pStyle w:val="11"/>
      <w:lvlText w:val="%1.%2.%3.%4.%5.%6.%7.%8.%9"/>
      <w:lvlJc w:val="left"/>
      <w:pPr>
        <w:tabs>
          <w:tab w:val="left" w:pos="1296"/>
        </w:tabs>
        <w:ind w:left="1296" w:hanging="1584"/>
      </w:pPr>
      <w:rPr>
        <w:rFonts w:hint="eastAsia"/>
      </w:rPr>
    </w:lvl>
  </w:abstractNum>
  <w:num w:numId="1">
    <w:abstractNumId w:val="30"/>
  </w:num>
  <w:num w:numId="2">
    <w:abstractNumId w:val="26"/>
  </w:num>
  <w:num w:numId="3">
    <w:abstractNumId w:val="10"/>
  </w:num>
  <w:num w:numId="4">
    <w:abstractNumId w:val="18"/>
  </w:num>
  <w:num w:numId="5">
    <w:abstractNumId w:val="22"/>
  </w:num>
  <w:num w:numId="6">
    <w:abstractNumId w:val="16"/>
  </w:num>
  <w:num w:numId="7">
    <w:abstractNumId w:val="21"/>
  </w:num>
  <w:num w:numId="8">
    <w:abstractNumId w:val="6"/>
  </w:num>
  <w:num w:numId="9">
    <w:abstractNumId w:val="23"/>
  </w:num>
  <w:num w:numId="10">
    <w:abstractNumId w:val="20"/>
  </w:num>
  <w:num w:numId="11">
    <w:abstractNumId w:val="8"/>
  </w:num>
  <w:num w:numId="12">
    <w:abstractNumId w:val="29"/>
  </w:num>
  <w:num w:numId="13">
    <w:abstractNumId w:val="3"/>
  </w:num>
  <w:num w:numId="14">
    <w:abstractNumId w:val="12"/>
  </w:num>
  <w:num w:numId="15">
    <w:abstractNumId w:val="19"/>
  </w:num>
  <w:num w:numId="16">
    <w:abstractNumId w:val="5"/>
  </w:num>
  <w:num w:numId="17">
    <w:abstractNumId w:val="25"/>
  </w:num>
  <w:num w:numId="18">
    <w:abstractNumId w:val="0"/>
  </w:num>
  <w:num w:numId="19">
    <w:abstractNumId w:val="2"/>
  </w:num>
  <w:num w:numId="20">
    <w:abstractNumId w:val="1"/>
  </w:num>
  <w:num w:numId="21">
    <w:abstractNumId w:val="14"/>
  </w:num>
  <w:num w:numId="22">
    <w:abstractNumId w:val="11"/>
  </w:num>
  <w:num w:numId="23">
    <w:abstractNumId w:val="27"/>
  </w:num>
  <w:num w:numId="24">
    <w:abstractNumId w:val="15"/>
  </w:num>
  <w:num w:numId="25">
    <w:abstractNumId w:val="9"/>
  </w:num>
  <w:num w:numId="26">
    <w:abstractNumId w:val="17"/>
  </w:num>
  <w:num w:numId="27">
    <w:abstractNumId w:val="24"/>
  </w:num>
  <w:num w:numId="28">
    <w:abstractNumId w:val="28"/>
  </w:num>
  <w:num w:numId="29">
    <w:abstractNumId w:val="13"/>
  </w:num>
  <w:num w:numId="30">
    <w:abstractNumId w:val="7"/>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D99"/>
    <w:rsid w:val="00000218"/>
    <w:rsid w:val="000006FC"/>
    <w:rsid w:val="00000957"/>
    <w:rsid w:val="000012DA"/>
    <w:rsid w:val="00001392"/>
    <w:rsid w:val="0000277D"/>
    <w:rsid w:val="00003838"/>
    <w:rsid w:val="000043AC"/>
    <w:rsid w:val="00004BDA"/>
    <w:rsid w:val="00005445"/>
    <w:rsid w:val="00005523"/>
    <w:rsid w:val="0000580A"/>
    <w:rsid w:val="0000633A"/>
    <w:rsid w:val="00006B21"/>
    <w:rsid w:val="000074AC"/>
    <w:rsid w:val="00007C4D"/>
    <w:rsid w:val="00010237"/>
    <w:rsid w:val="000102BC"/>
    <w:rsid w:val="00010A20"/>
    <w:rsid w:val="00010FEB"/>
    <w:rsid w:val="000120FF"/>
    <w:rsid w:val="0001251E"/>
    <w:rsid w:val="000130EA"/>
    <w:rsid w:val="0001359C"/>
    <w:rsid w:val="00013F7D"/>
    <w:rsid w:val="00014D73"/>
    <w:rsid w:val="00014E3D"/>
    <w:rsid w:val="00015316"/>
    <w:rsid w:val="000155D6"/>
    <w:rsid w:val="00015F96"/>
    <w:rsid w:val="00016466"/>
    <w:rsid w:val="000164D8"/>
    <w:rsid w:val="00016E18"/>
    <w:rsid w:val="00017AE6"/>
    <w:rsid w:val="00017FDB"/>
    <w:rsid w:val="0002140C"/>
    <w:rsid w:val="000217AB"/>
    <w:rsid w:val="00021C2D"/>
    <w:rsid w:val="00021C7D"/>
    <w:rsid w:val="000221E0"/>
    <w:rsid w:val="00023AA5"/>
    <w:rsid w:val="000247C8"/>
    <w:rsid w:val="00025B6A"/>
    <w:rsid w:val="000271DB"/>
    <w:rsid w:val="000273FC"/>
    <w:rsid w:val="00027A13"/>
    <w:rsid w:val="00027A5A"/>
    <w:rsid w:val="00027D6A"/>
    <w:rsid w:val="00030793"/>
    <w:rsid w:val="00030FE3"/>
    <w:rsid w:val="00031B86"/>
    <w:rsid w:val="00032BC9"/>
    <w:rsid w:val="00032C7D"/>
    <w:rsid w:val="00033581"/>
    <w:rsid w:val="00033789"/>
    <w:rsid w:val="00033C23"/>
    <w:rsid w:val="00033E01"/>
    <w:rsid w:val="00035559"/>
    <w:rsid w:val="00035BD1"/>
    <w:rsid w:val="00036675"/>
    <w:rsid w:val="00036B30"/>
    <w:rsid w:val="00037094"/>
    <w:rsid w:val="00037115"/>
    <w:rsid w:val="00037761"/>
    <w:rsid w:val="00040F15"/>
    <w:rsid w:val="00041441"/>
    <w:rsid w:val="0004168C"/>
    <w:rsid w:val="0004298E"/>
    <w:rsid w:val="00042CC6"/>
    <w:rsid w:val="0004359A"/>
    <w:rsid w:val="000437E5"/>
    <w:rsid w:val="00043A15"/>
    <w:rsid w:val="00044078"/>
    <w:rsid w:val="000458E9"/>
    <w:rsid w:val="00045EBD"/>
    <w:rsid w:val="00046634"/>
    <w:rsid w:val="0005003F"/>
    <w:rsid w:val="00050C25"/>
    <w:rsid w:val="000513B2"/>
    <w:rsid w:val="00051B0C"/>
    <w:rsid w:val="0005211D"/>
    <w:rsid w:val="00052D04"/>
    <w:rsid w:val="0005369C"/>
    <w:rsid w:val="000537C7"/>
    <w:rsid w:val="00053C34"/>
    <w:rsid w:val="0005409A"/>
    <w:rsid w:val="000540CA"/>
    <w:rsid w:val="0005456D"/>
    <w:rsid w:val="000547FB"/>
    <w:rsid w:val="00054D7E"/>
    <w:rsid w:val="00054D9D"/>
    <w:rsid w:val="00056EB9"/>
    <w:rsid w:val="00057E61"/>
    <w:rsid w:val="000629FB"/>
    <w:rsid w:val="00063B66"/>
    <w:rsid w:val="00063C2C"/>
    <w:rsid w:val="00063DBD"/>
    <w:rsid w:val="00065510"/>
    <w:rsid w:val="00065612"/>
    <w:rsid w:val="00065700"/>
    <w:rsid w:val="00065A08"/>
    <w:rsid w:val="00065F56"/>
    <w:rsid w:val="000661B9"/>
    <w:rsid w:val="000666A7"/>
    <w:rsid w:val="00066C0F"/>
    <w:rsid w:val="00067156"/>
    <w:rsid w:val="000671F4"/>
    <w:rsid w:val="00070683"/>
    <w:rsid w:val="00070E69"/>
    <w:rsid w:val="00072BCC"/>
    <w:rsid w:val="00073BF5"/>
    <w:rsid w:val="00074410"/>
    <w:rsid w:val="000745BF"/>
    <w:rsid w:val="00074652"/>
    <w:rsid w:val="00076075"/>
    <w:rsid w:val="0007738B"/>
    <w:rsid w:val="00077D4A"/>
    <w:rsid w:val="000806D7"/>
    <w:rsid w:val="00081C8C"/>
    <w:rsid w:val="000825DE"/>
    <w:rsid w:val="000833F0"/>
    <w:rsid w:val="00083BA1"/>
    <w:rsid w:val="000843BD"/>
    <w:rsid w:val="000844C3"/>
    <w:rsid w:val="00084B83"/>
    <w:rsid w:val="00084DE1"/>
    <w:rsid w:val="00084F02"/>
    <w:rsid w:val="00085A9B"/>
    <w:rsid w:val="00085FD4"/>
    <w:rsid w:val="000861EC"/>
    <w:rsid w:val="0008649B"/>
    <w:rsid w:val="00086794"/>
    <w:rsid w:val="00086C84"/>
    <w:rsid w:val="00086CA4"/>
    <w:rsid w:val="00087A8A"/>
    <w:rsid w:val="00087C0B"/>
    <w:rsid w:val="00087DA0"/>
    <w:rsid w:val="00090B40"/>
    <w:rsid w:val="00091451"/>
    <w:rsid w:val="00091F09"/>
    <w:rsid w:val="00092D5A"/>
    <w:rsid w:val="00092F24"/>
    <w:rsid w:val="00092FC1"/>
    <w:rsid w:val="00093185"/>
    <w:rsid w:val="00093FC1"/>
    <w:rsid w:val="00094018"/>
    <w:rsid w:val="000943B3"/>
    <w:rsid w:val="0009528F"/>
    <w:rsid w:val="0009530D"/>
    <w:rsid w:val="0009555F"/>
    <w:rsid w:val="000959C3"/>
    <w:rsid w:val="00096242"/>
    <w:rsid w:val="00096736"/>
    <w:rsid w:val="000967AE"/>
    <w:rsid w:val="00096C30"/>
    <w:rsid w:val="000A01D2"/>
    <w:rsid w:val="000A0E4D"/>
    <w:rsid w:val="000A0F8E"/>
    <w:rsid w:val="000A2848"/>
    <w:rsid w:val="000A2E4C"/>
    <w:rsid w:val="000A3577"/>
    <w:rsid w:val="000A3D4D"/>
    <w:rsid w:val="000A5E9E"/>
    <w:rsid w:val="000A66BA"/>
    <w:rsid w:val="000A6C1C"/>
    <w:rsid w:val="000A6E40"/>
    <w:rsid w:val="000A711D"/>
    <w:rsid w:val="000B02F2"/>
    <w:rsid w:val="000B0BCC"/>
    <w:rsid w:val="000B3830"/>
    <w:rsid w:val="000B49AD"/>
    <w:rsid w:val="000B4E7A"/>
    <w:rsid w:val="000B56C7"/>
    <w:rsid w:val="000B6695"/>
    <w:rsid w:val="000B69E6"/>
    <w:rsid w:val="000B798A"/>
    <w:rsid w:val="000C07FC"/>
    <w:rsid w:val="000C0AFF"/>
    <w:rsid w:val="000C10F7"/>
    <w:rsid w:val="000C15EB"/>
    <w:rsid w:val="000C23F2"/>
    <w:rsid w:val="000C2A43"/>
    <w:rsid w:val="000C2B73"/>
    <w:rsid w:val="000C3719"/>
    <w:rsid w:val="000C4E45"/>
    <w:rsid w:val="000C5268"/>
    <w:rsid w:val="000C5296"/>
    <w:rsid w:val="000C56EF"/>
    <w:rsid w:val="000C7D79"/>
    <w:rsid w:val="000C7ECB"/>
    <w:rsid w:val="000D05D1"/>
    <w:rsid w:val="000D10FB"/>
    <w:rsid w:val="000D1107"/>
    <w:rsid w:val="000D2078"/>
    <w:rsid w:val="000D38BA"/>
    <w:rsid w:val="000D3A3E"/>
    <w:rsid w:val="000D508C"/>
    <w:rsid w:val="000D6E4B"/>
    <w:rsid w:val="000D753C"/>
    <w:rsid w:val="000E00E7"/>
    <w:rsid w:val="000E0DD9"/>
    <w:rsid w:val="000E10E1"/>
    <w:rsid w:val="000E1CF2"/>
    <w:rsid w:val="000E1F95"/>
    <w:rsid w:val="000E2CCB"/>
    <w:rsid w:val="000E375B"/>
    <w:rsid w:val="000E4251"/>
    <w:rsid w:val="000E5186"/>
    <w:rsid w:val="000E567D"/>
    <w:rsid w:val="000E5AD8"/>
    <w:rsid w:val="000E5F2F"/>
    <w:rsid w:val="000E615D"/>
    <w:rsid w:val="000E69ED"/>
    <w:rsid w:val="000E6C4E"/>
    <w:rsid w:val="000E6D33"/>
    <w:rsid w:val="000E7545"/>
    <w:rsid w:val="000E7FB2"/>
    <w:rsid w:val="000F0A17"/>
    <w:rsid w:val="000F1628"/>
    <w:rsid w:val="000F1919"/>
    <w:rsid w:val="000F207F"/>
    <w:rsid w:val="000F22CC"/>
    <w:rsid w:val="000F267A"/>
    <w:rsid w:val="000F2FB3"/>
    <w:rsid w:val="000F3603"/>
    <w:rsid w:val="000F42B3"/>
    <w:rsid w:val="000F4ABC"/>
    <w:rsid w:val="000F5635"/>
    <w:rsid w:val="000F71A5"/>
    <w:rsid w:val="000F7B07"/>
    <w:rsid w:val="001004E0"/>
    <w:rsid w:val="0010217A"/>
    <w:rsid w:val="00102F4E"/>
    <w:rsid w:val="00104340"/>
    <w:rsid w:val="00104917"/>
    <w:rsid w:val="00105B67"/>
    <w:rsid w:val="00105D31"/>
    <w:rsid w:val="0010604B"/>
    <w:rsid w:val="001060D7"/>
    <w:rsid w:val="00106117"/>
    <w:rsid w:val="00106329"/>
    <w:rsid w:val="001067AE"/>
    <w:rsid w:val="001068D8"/>
    <w:rsid w:val="00106C40"/>
    <w:rsid w:val="0011093E"/>
    <w:rsid w:val="001110AC"/>
    <w:rsid w:val="001115A7"/>
    <w:rsid w:val="00111992"/>
    <w:rsid w:val="00111DF5"/>
    <w:rsid w:val="00111F47"/>
    <w:rsid w:val="001122EF"/>
    <w:rsid w:val="001128D4"/>
    <w:rsid w:val="00112E7A"/>
    <w:rsid w:val="001130D1"/>
    <w:rsid w:val="0011323D"/>
    <w:rsid w:val="00113E05"/>
    <w:rsid w:val="00114584"/>
    <w:rsid w:val="001152FA"/>
    <w:rsid w:val="00115431"/>
    <w:rsid w:val="00116090"/>
    <w:rsid w:val="00116CE2"/>
    <w:rsid w:val="001173E5"/>
    <w:rsid w:val="001200BA"/>
    <w:rsid w:val="00120387"/>
    <w:rsid w:val="001205AF"/>
    <w:rsid w:val="00120D20"/>
    <w:rsid w:val="0012126B"/>
    <w:rsid w:val="00121B0B"/>
    <w:rsid w:val="00122181"/>
    <w:rsid w:val="00122B0E"/>
    <w:rsid w:val="001237B3"/>
    <w:rsid w:val="00123944"/>
    <w:rsid w:val="00124433"/>
    <w:rsid w:val="00124D3D"/>
    <w:rsid w:val="00124F96"/>
    <w:rsid w:val="00125BA8"/>
    <w:rsid w:val="001275AA"/>
    <w:rsid w:val="00127CD5"/>
    <w:rsid w:val="001339BC"/>
    <w:rsid w:val="001342B5"/>
    <w:rsid w:val="00135B2B"/>
    <w:rsid w:val="00136601"/>
    <w:rsid w:val="00136E72"/>
    <w:rsid w:val="00136F13"/>
    <w:rsid w:val="001373D1"/>
    <w:rsid w:val="00137C28"/>
    <w:rsid w:val="00140052"/>
    <w:rsid w:val="00140E30"/>
    <w:rsid w:val="001411B1"/>
    <w:rsid w:val="00141323"/>
    <w:rsid w:val="00141324"/>
    <w:rsid w:val="001417A7"/>
    <w:rsid w:val="00142AD8"/>
    <w:rsid w:val="00142FCD"/>
    <w:rsid w:val="00144DDC"/>
    <w:rsid w:val="00145C76"/>
    <w:rsid w:val="00146A68"/>
    <w:rsid w:val="00150441"/>
    <w:rsid w:val="00150A32"/>
    <w:rsid w:val="00150FDC"/>
    <w:rsid w:val="001513E9"/>
    <w:rsid w:val="00151B67"/>
    <w:rsid w:val="00152777"/>
    <w:rsid w:val="00152AB2"/>
    <w:rsid w:val="0015383A"/>
    <w:rsid w:val="0015524C"/>
    <w:rsid w:val="00156B1F"/>
    <w:rsid w:val="0015712F"/>
    <w:rsid w:val="00157332"/>
    <w:rsid w:val="00157790"/>
    <w:rsid w:val="0015789A"/>
    <w:rsid w:val="00157C66"/>
    <w:rsid w:val="00160185"/>
    <w:rsid w:val="0016055B"/>
    <w:rsid w:val="00160C3A"/>
    <w:rsid w:val="0016218A"/>
    <w:rsid w:val="0016286E"/>
    <w:rsid w:val="00162A02"/>
    <w:rsid w:val="00162D80"/>
    <w:rsid w:val="0016313B"/>
    <w:rsid w:val="0016423E"/>
    <w:rsid w:val="00164A62"/>
    <w:rsid w:val="001655F5"/>
    <w:rsid w:val="00165662"/>
    <w:rsid w:val="001657F2"/>
    <w:rsid w:val="00166E0D"/>
    <w:rsid w:val="00167302"/>
    <w:rsid w:val="001673A9"/>
    <w:rsid w:val="00167798"/>
    <w:rsid w:val="00167AA2"/>
    <w:rsid w:val="0017042C"/>
    <w:rsid w:val="00171918"/>
    <w:rsid w:val="00171CF3"/>
    <w:rsid w:val="001721F0"/>
    <w:rsid w:val="00172B73"/>
    <w:rsid w:val="00172F58"/>
    <w:rsid w:val="00174F36"/>
    <w:rsid w:val="00175A4F"/>
    <w:rsid w:val="00176041"/>
    <w:rsid w:val="001762B4"/>
    <w:rsid w:val="001763EF"/>
    <w:rsid w:val="0017713B"/>
    <w:rsid w:val="00177F8A"/>
    <w:rsid w:val="0018055E"/>
    <w:rsid w:val="001815E7"/>
    <w:rsid w:val="001818E3"/>
    <w:rsid w:val="001843E4"/>
    <w:rsid w:val="00184695"/>
    <w:rsid w:val="001849B1"/>
    <w:rsid w:val="001852D2"/>
    <w:rsid w:val="00185483"/>
    <w:rsid w:val="001855E5"/>
    <w:rsid w:val="00185AD1"/>
    <w:rsid w:val="00185D07"/>
    <w:rsid w:val="00185F8B"/>
    <w:rsid w:val="001869B5"/>
    <w:rsid w:val="001910A7"/>
    <w:rsid w:val="001910E7"/>
    <w:rsid w:val="001920B6"/>
    <w:rsid w:val="0019317C"/>
    <w:rsid w:val="00193989"/>
    <w:rsid w:val="00194B5A"/>
    <w:rsid w:val="00195956"/>
    <w:rsid w:val="00195D64"/>
    <w:rsid w:val="001961AF"/>
    <w:rsid w:val="0019653C"/>
    <w:rsid w:val="001966B8"/>
    <w:rsid w:val="00196CA7"/>
    <w:rsid w:val="00197056"/>
    <w:rsid w:val="001A03E6"/>
    <w:rsid w:val="001A0B6D"/>
    <w:rsid w:val="001A10A3"/>
    <w:rsid w:val="001A12CB"/>
    <w:rsid w:val="001A292D"/>
    <w:rsid w:val="001A2C6C"/>
    <w:rsid w:val="001A35C8"/>
    <w:rsid w:val="001A39F5"/>
    <w:rsid w:val="001A3B24"/>
    <w:rsid w:val="001A4652"/>
    <w:rsid w:val="001A4B26"/>
    <w:rsid w:val="001A6A26"/>
    <w:rsid w:val="001A6FBB"/>
    <w:rsid w:val="001A7637"/>
    <w:rsid w:val="001A7CC6"/>
    <w:rsid w:val="001A7D7D"/>
    <w:rsid w:val="001A7EF8"/>
    <w:rsid w:val="001B03DE"/>
    <w:rsid w:val="001B0D2A"/>
    <w:rsid w:val="001B1B34"/>
    <w:rsid w:val="001B260E"/>
    <w:rsid w:val="001B3312"/>
    <w:rsid w:val="001B3954"/>
    <w:rsid w:val="001B39B7"/>
    <w:rsid w:val="001B42A4"/>
    <w:rsid w:val="001B5579"/>
    <w:rsid w:val="001B5588"/>
    <w:rsid w:val="001B5C11"/>
    <w:rsid w:val="001B6DB2"/>
    <w:rsid w:val="001B76F6"/>
    <w:rsid w:val="001B7CA9"/>
    <w:rsid w:val="001C170D"/>
    <w:rsid w:val="001C1ACC"/>
    <w:rsid w:val="001C25AC"/>
    <w:rsid w:val="001C2888"/>
    <w:rsid w:val="001C2B5F"/>
    <w:rsid w:val="001C38B1"/>
    <w:rsid w:val="001C3E6D"/>
    <w:rsid w:val="001C5B05"/>
    <w:rsid w:val="001C5D06"/>
    <w:rsid w:val="001C5E93"/>
    <w:rsid w:val="001C7BF1"/>
    <w:rsid w:val="001C7D7C"/>
    <w:rsid w:val="001D0DC4"/>
    <w:rsid w:val="001D0E78"/>
    <w:rsid w:val="001D1199"/>
    <w:rsid w:val="001D2883"/>
    <w:rsid w:val="001D2AAA"/>
    <w:rsid w:val="001D2D76"/>
    <w:rsid w:val="001D47AF"/>
    <w:rsid w:val="001D4992"/>
    <w:rsid w:val="001D4C30"/>
    <w:rsid w:val="001D5BB6"/>
    <w:rsid w:val="001D5D66"/>
    <w:rsid w:val="001D68B2"/>
    <w:rsid w:val="001D6F95"/>
    <w:rsid w:val="001D74FA"/>
    <w:rsid w:val="001D7EE6"/>
    <w:rsid w:val="001E0E1A"/>
    <w:rsid w:val="001E0EDD"/>
    <w:rsid w:val="001E169C"/>
    <w:rsid w:val="001E1A0D"/>
    <w:rsid w:val="001E1B35"/>
    <w:rsid w:val="001E1E15"/>
    <w:rsid w:val="001E214F"/>
    <w:rsid w:val="001E253A"/>
    <w:rsid w:val="001E4020"/>
    <w:rsid w:val="001E455B"/>
    <w:rsid w:val="001E57CF"/>
    <w:rsid w:val="001E6A69"/>
    <w:rsid w:val="001E768F"/>
    <w:rsid w:val="001F00B0"/>
    <w:rsid w:val="001F1940"/>
    <w:rsid w:val="001F1D49"/>
    <w:rsid w:val="001F4017"/>
    <w:rsid w:val="001F6143"/>
    <w:rsid w:val="001F7A87"/>
    <w:rsid w:val="001F7B9A"/>
    <w:rsid w:val="001F7BD8"/>
    <w:rsid w:val="002001CB"/>
    <w:rsid w:val="00200280"/>
    <w:rsid w:val="00200494"/>
    <w:rsid w:val="0020072A"/>
    <w:rsid w:val="00201E49"/>
    <w:rsid w:val="00202046"/>
    <w:rsid w:val="002023B9"/>
    <w:rsid w:val="002034C1"/>
    <w:rsid w:val="00204113"/>
    <w:rsid w:val="0020544D"/>
    <w:rsid w:val="00205C2A"/>
    <w:rsid w:val="00205FF3"/>
    <w:rsid w:val="00207330"/>
    <w:rsid w:val="00210CFE"/>
    <w:rsid w:val="0021132D"/>
    <w:rsid w:val="00211A34"/>
    <w:rsid w:val="00211BCB"/>
    <w:rsid w:val="0021614F"/>
    <w:rsid w:val="0021686C"/>
    <w:rsid w:val="00216C22"/>
    <w:rsid w:val="00216F96"/>
    <w:rsid w:val="00217A2F"/>
    <w:rsid w:val="002200FC"/>
    <w:rsid w:val="0022118F"/>
    <w:rsid w:val="00222181"/>
    <w:rsid w:val="00223212"/>
    <w:rsid w:val="002237C8"/>
    <w:rsid w:val="00225A8D"/>
    <w:rsid w:val="00225D9E"/>
    <w:rsid w:val="002279C0"/>
    <w:rsid w:val="00227D12"/>
    <w:rsid w:val="002303A5"/>
    <w:rsid w:val="0023040B"/>
    <w:rsid w:val="002311C9"/>
    <w:rsid w:val="0023121A"/>
    <w:rsid w:val="002312F0"/>
    <w:rsid w:val="0023284A"/>
    <w:rsid w:val="00232CE9"/>
    <w:rsid w:val="00232F8D"/>
    <w:rsid w:val="002330F3"/>
    <w:rsid w:val="002342CD"/>
    <w:rsid w:val="0023451A"/>
    <w:rsid w:val="00234528"/>
    <w:rsid w:val="002346BC"/>
    <w:rsid w:val="002348A7"/>
    <w:rsid w:val="00235095"/>
    <w:rsid w:val="00235C25"/>
    <w:rsid w:val="0023641B"/>
    <w:rsid w:val="002403F0"/>
    <w:rsid w:val="00241CDC"/>
    <w:rsid w:val="002427DB"/>
    <w:rsid w:val="00242836"/>
    <w:rsid w:val="00242876"/>
    <w:rsid w:val="002434D9"/>
    <w:rsid w:val="00245A24"/>
    <w:rsid w:val="00246FA6"/>
    <w:rsid w:val="00247099"/>
    <w:rsid w:val="00247EF5"/>
    <w:rsid w:val="00250D10"/>
    <w:rsid w:val="00250D85"/>
    <w:rsid w:val="00251397"/>
    <w:rsid w:val="00251998"/>
    <w:rsid w:val="00251BEF"/>
    <w:rsid w:val="002533B9"/>
    <w:rsid w:val="002549EC"/>
    <w:rsid w:val="002553B5"/>
    <w:rsid w:val="002556C0"/>
    <w:rsid w:val="00256F8B"/>
    <w:rsid w:val="002578D2"/>
    <w:rsid w:val="00260137"/>
    <w:rsid w:val="0026018B"/>
    <w:rsid w:val="002603BC"/>
    <w:rsid w:val="002606D6"/>
    <w:rsid w:val="002608E8"/>
    <w:rsid w:val="00261111"/>
    <w:rsid w:val="00261585"/>
    <w:rsid w:val="00261909"/>
    <w:rsid w:val="00262DE8"/>
    <w:rsid w:val="00262F89"/>
    <w:rsid w:val="00263BE3"/>
    <w:rsid w:val="00263CF5"/>
    <w:rsid w:val="00264D01"/>
    <w:rsid w:val="00265F43"/>
    <w:rsid w:val="00266017"/>
    <w:rsid w:val="00266676"/>
    <w:rsid w:val="00266CBD"/>
    <w:rsid w:val="00267111"/>
    <w:rsid w:val="00267C55"/>
    <w:rsid w:val="002719BD"/>
    <w:rsid w:val="00271B62"/>
    <w:rsid w:val="002725F1"/>
    <w:rsid w:val="0027483C"/>
    <w:rsid w:val="00274A42"/>
    <w:rsid w:val="00275817"/>
    <w:rsid w:val="00275948"/>
    <w:rsid w:val="00275A79"/>
    <w:rsid w:val="002767F6"/>
    <w:rsid w:val="00280632"/>
    <w:rsid w:val="00280BC8"/>
    <w:rsid w:val="00281D0C"/>
    <w:rsid w:val="00281FF6"/>
    <w:rsid w:val="00283122"/>
    <w:rsid w:val="00283563"/>
    <w:rsid w:val="00283E57"/>
    <w:rsid w:val="00285FDD"/>
    <w:rsid w:val="002867AF"/>
    <w:rsid w:val="00286A56"/>
    <w:rsid w:val="00287518"/>
    <w:rsid w:val="002911AB"/>
    <w:rsid w:val="0029365D"/>
    <w:rsid w:val="0029370F"/>
    <w:rsid w:val="00294676"/>
    <w:rsid w:val="0029491A"/>
    <w:rsid w:val="002954B8"/>
    <w:rsid w:val="00295A8D"/>
    <w:rsid w:val="00297073"/>
    <w:rsid w:val="0029713F"/>
    <w:rsid w:val="002971EA"/>
    <w:rsid w:val="002A0860"/>
    <w:rsid w:val="002A2DCE"/>
    <w:rsid w:val="002A3381"/>
    <w:rsid w:val="002A5BBF"/>
    <w:rsid w:val="002A6659"/>
    <w:rsid w:val="002A6C7E"/>
    <w:rsid w:val="002A7E6C"/>
    <w:rsid w:val="002A7F8A"/>
    <w:rsid w:val="002B07E6"/>
    <w:rsid w:val="002B0F03"/>
    <w:rsid w:val="002B1784"/>
    <w:rsid w:val="002B2757"/>
    <w:rsid w:val="002B3650"/>
    <w:rsid w:val="002B62A3"/>
    <w:rsid w:val="002B6CA8"/>
    <w:rsid w:val="002B7110"/>
    <w:rsid w:val="002B7188"/>
    <w:rsid w:val="002B7F37"/>
    <w:rsid w:val="002C0C6B"/>
    <w:rsid w:val="002C1EF2"/>
    <w:rsid w:val="002C2463"/>
    <w:rsid w:val="002C2F85"/>
    <w:rsid w:val="002C30C8"/>
    <w:rsid w:val="002C342F"/>
    <w:rsid w:val="002C3F84"/>
    <w:rsid w:val="002C6BBA"/>
    <w:rsid w:val="002C7763"/>
    <w:rsid w:val="002D0E87"/>
    <w:rsid w:val="002D29A0"/>
    <w:rsid w:val="002D2B1F"/>
    <w:rsid w:val="002D31A3"/>
    <w:rsid w:val="002D37F6"/>
    <w:rsid w:val="002D4B54"/>
    <w:rsid w:val="002D6429"/>
    <w:rsid w:val="002D6739"/>
    <w:rsid w:val="002D6A9B"/>
    <w:rsid w:val="002D6C48"/>
    <w:rsid w:val="002E0B56"/>
    <w:rsid w:val="002E1798"/>
    <w:rsid w:val="002E247D"/>
    <w:rsid w:val="002E26C5"/>
    <w:rsid w:val="002E2E0E"/>
    <w:rsid w:val="002E2FC8"/>
    <w:rsid w:val="002E32F0"/>
    <w:rsid w:val="002E351F"/>
    <w:rsid w:val="002E397A"/>
    <w:rsid w:val="002E4A2F"/>
    <w:rsid w:val="002E4C82"/>
    <w:rsid w:val="002E5C1A"/>
    <w:rsid w:val="002E68EC"/>
    <w:rsid w:val="002E750C"/>
    <w:rsid w:val="002F10EA"/>
    <w:rsid w:val="002F1920"/>
    <w:rsid w:val="002F1965"/>
    <w:rsid w:val="002F1A9F"/>
    <w:rsid w:val="002F21D5"/>
    <w:rsid w:val="002F2D5C"/>
    <w:rsid w:val="002F3897"/>
    <w:rsid w:val="002F47C9"/>
    <w:rsid w:val="002F4D0D"/>
    <w:rsid w:val="002F50AB"/>
    <w:rsid w:val="002F51A2"/>
    <w:rsid w:val="002F5F99"/>
    <w:rsid w:val="002F6A55"/>
    <w:rsid w:val="003008EA"/>
    <w:rsid w:val="003008EE"/>
    <w:rsid w:val="00301927"/>
    <w:rsid w:val="00303CAB"/>
    <w:rsid w:val="00303E48"/>
    <w:rsid w:val="003048ED"/>
    <w:rsid w:val="00304AAD"/>
    <w:rsid w:val="00305D7F"/>
    <w:rsid w:val="00306298"/>
    <w:rsid w:val="003063D0"/>
    <w:rsid w:val="00306F5D"/>
    <w:rsid w:val="00307C71"/>
    <w:rsid w:val="00307D78"/>
    <w:rsid w:val="00310E1D"/>
    <w:rsid w:val="003119BD"/>
    <w:rsid w:val="00311CF4"/>
    <w:rsid w:val="00312070"/>
    <w:rsid w:val="00313AB2"/>
    <w:rsid w:val="00315430"/>
    <w:rsid w:val="0031551F"/>
    <w:rsid w:val="0031581F"/>
    <w:rsid w:val="00316A14"/>
    <w:rsid w:val="0031784A"/>
    <w:rsid w:val="00320A00"/>
    <w:rsid w:val="00320D22"/>
    <w:rsid w:val="00321497"/>
    <w:rsid w:val="00321A8A"/>
    <w:rsid w:val="00321E08"/>
    <w:rsid w:val="0032294F"/>
    <w:rsid w:val="00322CF7"/>
    <w:rsid w:val="00322E8E"/>
    <w:rsid w:val="00323AC4"/>
    <w:rsid w:val="00324C7A"/>
    <w:rsid w:val="00325084"/>
    <w:rsid w:val="00325AA9"/>
    <w:rsid w:val="00327764"/>
    <w:rsid w:val="00327BBF"/>
    <w:rsid w:val="00330A1E"/>
    <w:rsid w:val="003315AB"/>
    <w:rsid w:val="003316C7"/>
    <w:rsid w:val="00332452"/>
    <w:rsid w:val="003333C9"/>
    <w:rsid w:val="00333E65"/>
    <w:rsid w:val="00334A30"/>
    <w:rsid w:val="00334E79"/>
    <w:rsid w:val="00334FB5"/>
    <w:rsid w:val="00335433"/>
    <w:rsid w:val="00335BE1"/>
    <w:rsid w:val="003364BF"/>
    <w:rsid w:val="00337777"/>
    <w:rsid w:val="0034067A"/>
    <w:rsid w:val="003410A4"/>
    <w:rsid w:val="003419C8"/>
    <w:rsid w:val="00341BFA"/>
    <w:rsid w:val="00343962"/>
    <w:rsid w:val="00343C7B"/>
    <w:rsid w:val="00343E07"/>
    <w:rsid w:val="003442E7"/>
    <w:rsid w:val="00344420"/>
    <w:rsid w:val="003453EC"/>
    <w:rsid w:val="00345B3B"/>
    <w:rsid w:val="003468F7"/>
    <w:rsid w:val="00346CF2"/>
    <w:rsid w:val="00347135"/>
    <w:rsid w:val="003475E2"/>
    <w:rsid w:val="00347FB6"/>
    <w:rsid w:val="00350864"/>
    <w:rsid w:val="00350BAB"/>
    <w:rsid w:val="00351272"/>
    <w:rsid w:val="00351943"/>
    <w:rsid w:val="00351A57"/>
    <w:rsid w:val="00351DBE"/>
    <w:rsid w:val="00351E03"/>
    <w:rsid w:val="00353395"/>
    <w:rsid w:val="00353454"/>
    <w:rsid w:val="00353EE0"/>
    <w:rsid w:val="00354211"/>
    <w:rsid w:val="003542EC"/>
    <w:rsid w:val="00355F99"/>
    <w:rsid w:val="003575E1"/>
    <w:rsid w:val="003578B0"/>
    <w:rsid w:val="00357987"/>
    <w:rsid w:val="003601A6"/>
    <w:rsid w:val="00360B49"/>
    <w:rsid w:val="00360B4F"/>
    <w:rsid w:val="0036107B"/>
    <w:rsid w:val="003612D1"/>
    <w:rsid w:val="00361E7D"/>
    <w:rsid w:val="00361FB6"/>
    <w:rsid w:val="0036260B"/>
    <w:rsid w:val="003634B1"/>
    <w:rsid w:val="00363E2C"/>
    <w:rsid w:val="00363FFF"/>
    <w:rsid w:val="00364363"/>
    <w:rsid w:val="0036505E"/>
    <w:rsid w:val="003651A1"/>
    <w:rsid w:val="003656F4"/>
    <w:rsid w:val="00366212"/>
    <w:rsid w:val="00366BC6"/>
    <w:rsid w:val="00367032"/>
    <w:rsid w:val="003671E2"/>
    <w:rsid w:val="003674F0"/>
    <w:rsid w:val="00367A7C"/>
    <w:rsid w:val="00375A10"/>
    <w:rsid w:val="00376776"/>
    <w:rsid w:val="00376D92"/>
    <w:rsid w:val="003803FB"/>
    <w:rsid w:val="00380585"/>
    <w:rsid w:val="003811D2"/>
    <w:rsid w:val="00382570"/>
    <w:rsid w:val="00383109"/>
    <w:rsid w:val="00383206"/>
    <w:rsid w:val="00383571"/>
    <w:rsid w:val="0038465D"/>
    <w:rsid w:val="00384886"/>
    <w:rsid w:val="00384C25"/>
    <w:rsid w:val="003853C7"/>
    <w:rsid w:val="0038645F"/>
    <w:rsid w:val="0039025A"/>
    <w:rsid w:val="00390A24"/>
    <w:rsid w:val="00390B5B"/>
    <w:rsid w:val="00390E9F"/>
    <w:rsid w:val="00391F8A"/>
    <w:rsid w:val="0039244A"/>
    <w:rsid w:val="003927AD"/>
    <w:rsid w:val="0039348C"/>
    <w:rsid w:val="00393870"/>
    <w:rsid w:val="00393B8A"/>
    <w:rsid w:val="00394A3F"/>
    <w:rsid w:val="003959A0"/>
    <w:rsid w:val="003960D8"/>
    <w:rsid w:val="0039714B"/>
    <w:rsid w:val="00397220"/>
    <w:rsid w:val="0039731A"/>
    <w:rsid w:val="00397896"/>
    <w:rsid w:val="00397ACC"/>
    <w:rsid w:val="003A0CAD"/>
    <w:rsid w:val="003A1C9B"/>
    <w:rsid w:val="003A2BEA"/>
    <w:rsid w:val="003A2F6A"/>
    <w:rsid w:val="003A31E7"/>
    <w:rsid w:val="003A34EA"/>
    <w:rsid w:val="003A5448"/>
    <w:rsid w:val="003A5ADA"/>
    <w:rsid w:val="003A610C"/>
    <w:rsid w:val="003A6790"/>
    <w:rsid w:val="003A7B54"/>
    <w:rsid w:val="003B0573"/>
    <w:rsid w:val="003B21A3"/>
    <w:rsid w:val="003B2680"/>
    <w:rsid w:val="003B3AC8"/>
    <w:rsid w:val="003B4855"/>
    <w:rsid w:val="003B5616"/>
    <w:rsid w:val="003B5C0C"/>
    <w:rsid w:val="003B5C2F"/>
    <w:rsid w:val="003B6AEA"/>
    <w:rsid w:val="003B6E60"/>
    <w:rsid w:val="003C05C7"/>
    <w:rsid w:val="003C08EA"/>
    <w:rsid w:val="003C1309"/>
    <w:rsid w:val="003C1465"/>
    <w:rsid w:val="003C22BD"/>
    <w:rsid w:val="003C240D"/>
    <w:rsid w:val="003C30D1"/>
    <w:rsid w:val="003C3934"/>
    <w:rsid w:val="003C3E07"/>
    <w:rsid w:val="003C45BB"/>
    <w:rsid w:val="003C47AF"/>
    <w:rsid w:val="003C4BB0"/>
    <w:rsid w:val="003C4F0B"/>
    <w:rsid w:val="003C5E32"/>
    <w:rsid w:val="003C6555"/>
    <w:rsid w:val="003C657F"/>
    <w:rsid w:val="003C663F"/>
    <w:rsid w:val="003C6794"/>
    <w:rsid w:val="003C696C"/>
    <w:rsid w:val="003C6A65"/>
    <w:rsid w:val="003C6C0C"/>
    <w:rsid w:val="003C7CB7"/>
    <w:rsid w:val="003C7F89"/>
    <w:rsid w:val="003D016F"/>
    <w:rsid w:val="003D02A5"/>
    <w:rsid w:val="003D09D4"/>
    <w:rsid w:val="003D0C67"/>
    <w:rsid w:val="003D1C95"/>
    <w:rsid w:val="003D1F67"/>
    <w:rsid w:val="003D2DFC"/>
    <w:rsid w:val="003D3CFE"/>
    <w:rsid w:val="003D4776"/>
    <w:rsid w:val="003D4C03"/>
    <w:rsid w:val="003D5042"/>
    <w:rsid w:val="003D6702"/>
    <w:rsid w:val="003D67DF"/>
    <w:rsid w:val="003D68A8"/>
    <w:rsid w:val="003D70D0"/>
    <w:rsid w:val="003D715E"/>
    <w:rsid w:val="003D73F3"/>
    <w:rsid w:val="003D7C35"/>
    <w:rsid w:val="003E07E4"/>
    <w:rsid w:val="003E1507"/>
    <w:rsid w:val="003E1776"/>
    <w:rsid w:val="003E1807"/>
    <w:rsid w:val="003E3262"/>
    <w:rsid w:val="003E40D4"/>
    <w:rsid w:val="003E47C9"/>
    <w:rsid w:val="003E52D6"/>
    <w:rsid w:val="003E576E"/>
    <w:rsid w:val="003E5A95"/>
    <w:rsid w:val="003E6476"/>
    <w:rsid w:val="003E7238"/>
    <w:rsid w:val="003F007A"/>
    <w:rsid w:val="003F02F4"/>
    <w:rsid w:val="003F036D"/>
    <w:rsid w:val="003F0904"/>
    <w:rsid w:val="003F1638"/>
    <w:rsid w:val="003F165D"/>
    <w:rsid w:val="003F1AE0"/>
    <w:rsid w:val="003F1B13"/>
    <w:rsid w:val="003F24FA"/>
    <w:rsid w:val="003F2BC5"/>
    <w:rsid w:val="003F3838"/>
    <w:rsid w:val="003F5E5B"/>
    <w:rsid w:val="003F6436"/>
    <w:rsid w:val="003F649B"/>
    <w:rsid w:val="003F7949"/>
    <w:rsid w:val="003F7F11"/>
    <w:rsid w:val="004002B5"/>
    <w:rsid w:val="00400ACD"/>
    <w:rsid w:val="00400E60"/>
    <w:rsid w:val="00401AEF"/>
    <w:rsid w:val="00401C55"/>
    <w:rsid w:val="00401CDF"/>
    <w:rsid w:val="0040221E"/>
    <w:rsid w:val="00402660"/>
    <w:rsid w:val="00402B80"/>
    <w:rsid w:val="00402CF6"/>
    <w:rsid w:val="00403143"/>
    <w:rsid w:val="00403223"/>
    <w:rsid w:val="004032EC"/>
    <w:rsid w:val="004033CC"/>
    <w:rsid w:val="00403751"/>
    <w:rsid w:val="00403850"/>
    <w:rsid w:val="004038F4"/>
    <w:rsid w:val="00404111"/>
    <w:rsid w:val="0040478B"/>
    <w:rsid w:val="00404EB8"/>
    <w:rsid w:val="00406920"/>
    <w:rsid w:val="00406E01"/>
    <w:rsid w:val="004072F9"/>
    <w:rsid w:val="004073CD"/>
    <w:rsid w:val="0040758C"/>
    <w:rsid w:val="0041020A"/>
    <w:rsid w:val="00410274"/>
    <w:rsid w:val="00410AEE"/>
    <w:rsid w:val="00410B8C"/>
    <w:rsid w:val="00410D76"/>
    <w:rsid w:val="004118DA"/>
    <w:rsid w:val="00412F90"/>
    <w:rsid w:val="00413917"/>
    <w:rsid w:val="0041412E"/>
    <w:rsid w:val="004142F1"/>
    <w:rsid w:val="0041450D"/>
    <w:rsid w:val="00414545"/>
    <w:rsid w:val="004147EB"/>
    <w:rsid w:val="00414EF2"/>
    <w:rsid w:val="004166EE"/>
    <w:rsid w:val="00416937"/>
    <w:rsid w:val="00416DEE"/>
    <w:rsid w:val="00417AD5"/>
    <w:rsid w:val="00417B7C"/>
    <w:rsid w:val="00420B5F"/>
    <w:rsid w:val="00420EC6"/>
    <w:rsid w:val="00421061"/>
    <w:rsid w:val="00421AED"/>
    <w:rsid w:val="00422856"/>
    <w:rsid w:val="004232BE"/>
    <w:rsid w:val="00423321"/>
    <w:rsid w:val="00423B3B"/>
    <w:rsid w:val="00424182"/>
    <w:rsid w:val="00424864"/>
    <w:rsid w:val="00424A6E"/>
    <w:rsid w:val="00425AE4"/>
    <w:rsid w:val="00425E77"/>
    <w:rsid w:val="00426701"/>
    <w:rsid w:val="0042681F"/>
    <w:rsid w:val="00431E8C"/>
    <w:rsid w:val="00433F71"/>
    <w:rsid w:val="00435060"/>
    <w:rsid w:val="00435982"/>
    <w:rsid w:val="00435B89"/>
    <w:rsid w:val="004361A4"/>
    <w:rsid w:val="00436ADA"/>
    <w:rsid w:val="00440445"/>
    <w:rsid w:val="00440492"/>
    <w:rsid w:val="00440ACE"/>
    <w:rsid w:val="00442BFB"/>
    <w:rsid w:val="00442D13"/>
    <w:rsid w:val="004443D6"/>
    <w:rsid w:val="0044637C"/>
    <w:rsid w:val="00447560"/>
    <w:rsid w:val="00447D83"/>
    <w:rsid w:val="00450876"/>
    <w:rsid w:val="0045091F"/>
    <w:rsid w:val="00450F3D"/>
    <w:rsid w:val="00452591"/>
    <w:rsid w:val="00453571"/>
    <w:rsid w:val="00454979"/>
    <w:rsid w:val="00454DEF"/>
    <w:rsid w:val="00456987"/>
    <w:rsid w:val="00456EB0"/>
    <w:rsid w:val="00457F35"/>
    <w:rsid w:val="0046042D"/>
    <w:rsid w:val="004604C8"/>
    <w:rsid w:val="00460B63"/>
    <w:rsid w:val="00460FB4"/>
    <w:rsid w:val="00461A8B"/>
    <w:rsid w:val="00461B70"/>
    <w:rsid w:val="00463767"/>
    <w:rsid w:val="004649FD"/>
    <w:rsid w:val="00464E55"/>
    <w:rsid w:val="00465870"/>
    <w:rsid w:val="004658C2"/>
    <w:rsid w:val="00466057"/>
    <w:rsid w:val="004665AA"/>
    <w:rsid w:val="00466CAE"/>
    <w:rsid w:val="00470459"/>
    <w:rsid w:val="00471161"/>
    <w:rsid w:val="00471759"/>
    <w:rsid w:val="00472FB9"/>
    <w:rsid w:val="00473375"/>
    <w:rsid w:val="0047411D"/>
    <w:rsid w:val="004752AC"/>
    <w:rsid w:val="004758E0"/>
    <w:rsid w:val="0047692F"/>
    <w:rsid w:val="00477CF6"/>
    <w:rsid w:val="00477DEA"/>
    <w:rsid w:val="00477E61"/>
    <w:rsid w:val="0048019E"/>
    <w:rsid w:val="00480635"/>
    <w:rsid w:val="00480AE6"/>
    <w:rsid w:val="00481647"/>
    <w:rsid w:val="004819A5"/>
    <w:rsid w:val="004821EF"/>
    <w:rsid w:val="004826AC"/>
    <w:rsid w:val="00482734"/>
    <w:rsid w:val="00482C41"/>
    <w:rsid w:val="00483209"/>
    <w:rsid w:val="00483ACC"/>
    <w:rsid w:val="00484076"/>
    <w:rsid w:val="004844A3"/>
    <w:rsid w:val="00484B5A"/>
    <w:rsid w:val="00485272"/>
    <w:rsid w:val="00486F8E"/>
    <w:rsid w:val="004875AC"/>
    <w:rsid w:val="004900B7"/>
    <w:rsid w:val="004908E7"/>
    <w:rsid w:val="004912F1"/>
    <w:rsid w:val="004925DA"/>
    <w:rsid w:val="004932D2"/>
    <w:rsid w:val="004934A2"/>
    <w:rsid w:val="0049429E"/>
    <w:rsid w:val="004951AB"/>
    <w:rsid w:val="00495EFA"/>
    <w:rsid w:val="004960A7"/>
    <w:rsid w:val="0049621C"/>
    <w:rsid w:val="00496940"/>
    <w:rsid w:val="00496CE4"/>
    <w:rsid w:val="00497411"/>
    <w:rsid w:val="0049763F"/>
    <w:rsid w:val="00497E4B"/>
    <w:rsid w:val="004A000D"/>
    <w:rsid w:val="004A0C1C"/>
    <w:rsid w:val="004A115D"/>
    <w:rsid w:val="004A12ED"/>
    <w:rsid w:val="004A1329"/>
    <w:rsid w:val="004A16DD"/>
    <w:rsid w:val="004A190F"/>
    <w:rsid w:val="004A1E77"/>
    <w:rsid w:val="004A2065"/>
    <w:rsid w:val="004A2473"/>
    <w:rsid w:val="004A2E6F"/>
    <w:rsid w:val="004A2FE0"/>
    <w:rsid w:val="004A5198"/>
    <w:rsid w:val="004A53E8"/>
    <w:rsid w:val="004A6543"/>
    <w:rsid w:val="004A68DB"/>
    <w:rsid w:val="004A69D7"/>
    <w:rsid w:val="004A6B74"/>
    <w:rsid w:val="004B0E0E"/>
    <w:rsid w:val="004B17A3"/>
    <w:rsid w:val="004B182F"/>
    <w:rsid w:val="004B2956"/>
    <w:rsid w:val="004B3983"/>
    <w:rsid w:val="004B562C"/>
    <w:rsid w:val="004B5632"/>
    <w:rsid w:val="004B5CC5"/>
    <w:rsid w:val="004B5CFD"/>
    <w:rsid w:val="004B7C5A"/>
    <w:rsid w:val="004B7CC6"/>
    <w:rsid w:val="004C0041"/>
    <w:rsid w:val="004C097B"/>
    <w:rsid w:val="004C13F4"/>
    <w:rsid w:val="004C1514"/>
    <w:rsid w:val="004C187A"/>
    <w:rsid w:val="004C222C"/>
    <w:rsid w:val="004C236A"/>
    <w:rsid w:val="004C24D1"/>
    <w:rsid w:val="004C2D4B"/>
    <w:rsid w:val="004C463F"/>
    <w:rsid w:val="004C4A73"/>
    <w:rsid w:val="004C5C89"/>
    <w:rsid w:val="004C688F"/>
    <w:rsid w:val="004C758B"/>
    <w:rsid w:val="004C7A3A"/>
    <w:rsid w:val="004C7C68"/>
    <w:rsid w:val="004D0252"/>
    <w:rsid w:val="004D0A5D"/>
    <w:rsid w:val="004D1FD2"/>
    <w:rsid w:val="004D269A"/>
    <w:rsid w:val="004D3097"/>
    <w:rsid w:val="004D311A"/>
    <w:rsid w:val="004D312C"/>
    <w:rsid w:val="004D3EE9"/>
    <w:rsid w:val="004D48FB"/>
    <w:rsid w:val="004D509F"/>
    <w:rsid w:val="004D746C"/>
    <w:rsid w:val="004D75FE"/>
    <w:rsid w:val="004D77CC"/>
    <w:rsid w:val="004E168F"/>
    <w:rsid w:val="004E25D9"/>
    <w:rsid w:val="004E2AE8"/>
    <w:rsid w:val="004E2B1E"/>
    <w:rsid w:val="004E39CA"/>
    <w:rsid w:val="004E3DC4"/>
    <w:rsid w:val="004E47B2"/>
    <w:rsid w:val="004E4E62"/>
    <w:rsid w:val="004E657C"/>
    <w:rsid w:val="004E75D5"/>
    <w:rsid w:val="004E77F5"/>
    <w:rsid w:val="004F00CC"/>
    <w:rsid w:val="004F2312"/>
    <w:rsid w:val="004F27F0"/>
    <w:rsid w:val="004F3A12"/>
    <w:rsid w:val="004F46AF"/>
    <w:rsid w:val="004F5873"/>
    <w:rsid w:val="004F5977"/>
    <w:rsid w:val="004F638D"/>
    <w:rsid w:val="004F6FE0"/>
    <w:rsid w:val="00501A38"/>
    <w:rsid w:val="00501F72"/>
    <w:rsid w:val="005024AB"/>
    <w:rsid w:val="00502540"/>
    <w:rsid w:val="00502D7C"/>
    <w:rsid w:val="0050531E"/>
    <w:rsid w:val="0050696F"/>
    <w:rsid w:val="00506FD4"/>
    <w:rsid w:val="00510439"/>
    <w:rsid w:val="00510549"/>
    <w:rsid w:val="005106F8"/>
    <w:rsid w:val="00510A4E"/>
    <w:rsid w:val="00510CB3"/>
    <w:rsid w:val="00511838"/>
    <w:rsid w:val="005124E5"/>
    <w:rsid w:val="005130B7"/>
    <w:rsid w:val="00513400"/>
    <w:rsid w:val="00513813"/>
    <w:rsid w:val="00513A68"/>
    <w:rsid w:val="00514335"/>
    <w:rsid w:val="00514DD4"/>
    <w:rsid w:val="00515174"/>
    <w:rsid w:val="00515419"/>
    <w:rsid w:val="00515ABF"/>
    <w:rsid w:val="00515EBA"/>
    <w:rsid w:val="00516447"/>
    <w:rsid w:val="00517DD7"/>
    <w:rsid w:val="0052205A"/>
    <w:rsid w:val="0052213A"/>
    <w:rsid w:val="005229A4"/>
    <w:rsid w:val="005244A3"/>
    <w:rsid w:val="00524760"/>
    <w:rsid w:val="00524BD8"/>
    <w:rsid w:val="005264F3"/>
    <w:rsid w:val="0052675B"/>
    <w:rsid w:val="00526B13"/>
    <w:rsid w:val="005270D5"/>
    <w:rsid w:val="00527128"/>
    <w:rsid w:val="00527935"/>
    <w:rsid w:val="00530229"/>
    <w:rsid w:val="0053128B"/>
    <w:rsid w:val="005319B5"/>
    <w:rsid w:val="00531FBE"/>
    <w:rsid w:val="00532489"/>
    <w:rsid w:val="005338C1"/>
    <w:rsid w:val="00534A56"/>
    <w:rsid w:val="00535568"/>
    <w:rsid w:val="00537193"/>
    <w:rsid w:val="005375F7"/>
    <w:rsid w:val="00537E3F"/>
    <w:rsid w:val="00540261"/>
    <w:rsid w:val="0054030B"/>
    <w:rsid w:val="005404C9"/>
    <w:rsid w:val="00540D76"/>
    <w:rsid w:val="00541783"/>
    <w:rsid w:val="005417E5"/>
    <w:rsid w:val="005423C3"/>
    <w:rsid w:val="005436E2"/>
    <w:rsid w:val="00543A7C"/>
    <w:rsid w:val="005446EC"/>
    <w:rsid w:val="00545082"/>
    <w:rsid w:val="0054543D"/>
    <w:rsid w:val="0054547C"/>
    <w:rsid w:val="00545547"/>
    <w:rsid w:val="00545CF0"/>
    <w:rsid w:val="00546B70"/>
    <w:rsid w:val="00547FA3"/>
    <w:rsid w:val="00551405"/>
    <w:rsid w:val="00551531"/>
    <w:rsid w:val="005519CF"/>
    <w:rsid w:val="00551BC2"/>
    <w:rsid w:val="005520DD"/>
    <w:rsid w:val="005536DA"/>
    <w:rsid w:val="0055392F"/>
    <w:rsid w:val="00553963"/>
    <w:rsid w:val="005540D1"/>
    <w:rsid w:val="00554449"/>
    <w:rsid w:val="00554A7F"/>
    <w:rsid w:val="00554F65"/>
    <w:rsid w:val="00555EB1"/>
    <w:rsid w:val="005566E6"/>
    <w:rsid w:val="00556CE7"/>
    <w:rsid w:val="00560AC5"/>
    <w:rsid w:val="00560EF8"/>
    <w:rsid w:val="0056140A"/>
    <w:rsid w:val="005618B4"/>
    <w:rsid w:val="0056263A"/>
    <w:rsid w:val="005629C9"/>
    <w:rsid w:val="00562E4E"/>
    <w:rsid w:val="00563008"/>
    <w:rsid w:val="00563263"/>
    <w:rsid w:val="00563424"/>
    <w:rsid w:val="005636C5"/>
    <w:rsid w:val="005645EE"/>
    <w:rsid w:val="00564611"/>
    <w:rsid w:val="00564704"/>
    <w:rsid w:val="0056497F"/>
    <w:rsid w:val="00565A99"/>
    <w:rsid w:val="00565E09"/>
    <w:rsid w:val="0056676A"/>
    <w:rsid w:val="005667B2"/>
    <w:rsid w:val="00566DB8"/>
    <w:rsid w:val="00567587"/>
    <w:rsid w:val="00567F1C"/>
    <w:rsid w:val="00571329"/>
    <w:rsid w:val="00572295"/>
    <w:rsid w:val="00573A93"/>
    <w:rsid w:val="00573EE0"/>
    <w:rsid w:val="005758A9"/>
    <w:rsid w:val="00575EF1"/>
    <w:rsid w:val="00575FD5"/>
    <w:rsid w:val="005762C4"/>
    <w:rsid w:val="00576338"/>
    <w:rsid w:val="00576943"/>
    <w:rsid w:val="00576B5A"/>
    <w:rsid w:val="00576C36"/>
    <w:rsid w:val="00576D06"/>
    <w:rsid w:val="00576F39"/>
    <w:rsid w:val="005771EF"/>
    <w:rsid w:val="00580354"/>
    <w:rsid w:val="00580D54"/>
    <w:rsid w:val="00582737"/>
    <w:rsid w:val="00583096"/>
    <w:rsid w:val="00585218"/>
    <w:rsid w:val="00585E02"/>
    <w:rsid w:val="005863B0"/>
    <w:rsid w:val="00586AB6"/>
    <w:rsid w:val="00587002"/>
    <w:rsid w:val="005873B2"/>
    <w:rsid w:val="005878E1"/>
    <w:rsid w:val="0058793D"/>
    <w:rsid w:val="00587F49"/>
    <w:rsid w:val="005904BA"/>
    <w:rsid w:val="00591792"/>
    <w:rsid w:val="005933CA"/>
    <w:rsid w:val="00594A4D"/>
    <w:rsid w:val="00595DD8"/>
    <w:rsid w:val="00597C57"/>
    <w:rsid w:val="005A0510"/>
    <w:rsid w:val="005A0E33"/>
    <w:rsid w:val="005A0F00"/>
    <w:rsid w:val="005A0FC5"/>
    <w:rsid w:val="005A182D"/>
    <w:rsid w:val="005A1A49"/>
    <w:rsid w:val="005A24E2"/>
    <w:rsid w:val="005A2D21"/>
    <w:rsid w:val="005A2FC6"/>
    <w:rsid w:val="005A3B1B"/>
    <w:rsid w:val="005A5FC5"/>
    <w:rsid w:val="005A6493"/>
    <w:rsid w:val="005A73E9"/>
    <w:rsid w:val="005A7759"/>
    <w:rsid w:val="005A7B5A"/>
    <w:rsid w:val="005A7B7A"/>
    <w:rsid w:val="005B0570"/>
    <w:rsid w:val="005B0862"/>
    <w:rsid w:val="005B137C"/>
    <w:rsid w:val="005B13B0"/>
    <w:rsid w:val="005B13E8"/>
    <w:rsid w:val="005B1535"/>
    <w:rsid w:val="005B370D"/>
    <w:rsid w:val="005B376D"/>
    <w:rsid w:val="005B3956"/>
    <w:rsid w:val="005B3E4F"/>
    <w:rsid w:val="005B4266"/>
    <w:rsid w:val="005B517A"/>
    <w:rsid w:val="005B55D7"/>
    <w:rsid w:val="005B635F"/>
    <w:rsid w:val="005B70F7"/>
    <w:rsid w:val="005B7744"/>
    <w:rsid w:val="005C0A96"/>
    <w:rsid w:val="005C0F27"/>
    <w:rsid w:val="005C289E"/>
    <w:rsid w:val="005C2C65"/>
    <w:rsid w:val="005C37A7"/>
    <w:rsid w:val="005C3F3E"/>
    <w:rsid w:val="005C494E"/>
    <w:rsid w:val="005C6EFA"/>
    <w:rsid w:val="005D2418"/>
    <w:rsid w:val="005D2ACE"/>
    <w:rsid w:val="005D3E38"/>
    <w:rsid w:val="005D5553"/>
    <w:rsid w:val="005D632C"/>
    <w:rsid w:val="005D6548"/>
    <w:rsid w:val="005D6BB9"/>
    <w:rsid w:val="005D7D82"/>
    <w:rsid w:val="005D7DE9"/>
    <w:rsid w:val="005D7F17"/>
    <w:rsid w:val="005E0D5C"/>
    <w:rsid w:val="005E0D98"/>
    <w:rsid w:val="005E0FE5"/>
    <w:rsid w:val="005E1846"/>
    <w:rsid w:val="005E253E"/>
    <w:rsid w:val="005E28B2"/>
    <w:rsid w:val="005E2BD2"/>
    <w:rsid w:val="005E3592"/>
    <w:rsid w:val="005E44BF"/>
    <w:rsid w:val="005E5276"/>
    <w:rsid w:val="005E53C2"/>
    <w:rsid w:val="005E5817"/>
    <w:rsid w:val="005E63C1"/>
    <w:rsid w:val="005E6F5E"/>
    <w:rsid w:val="005E72F2"/>
    <w:rsid w:val="005F02BD"/>
    <w:rsid w:val="005F1332"/>
    <w:rsid w:val="005F14FE"/>
    <w:rsid w:val="005F16B4"/>
    <w:rsid w:val="005F1D33"/>
    <w:rsid w:val="005F50CF"/>
    <w:rsid w:val="005F53B6"/>
    <w:rsid w:val="005F6F6F"/>
    <w:rsid w:val="005F71DD"/>
    <w:rsid w:val="005F7A09"/>
    <w:rsid w:val="00600877"/>
    <w:rsid w:val="00600EB4"/>
    <w:rsid w:val="00603729"/>
    <w:rsid w:val="00604553"/>
    <w:rsid w:val="006049F5"/>
    <w:rsid w:val="006055C5"/>
    <w:rsid w:val="00605F33"/>
    <w:rsid w:val="00606192"/>
    <w:rsid w:val="00610053"/>
    <w:rsid w:val="00610909"/>
    <w:rsid w:val="00610B8B"/>
    <w:rsid w:val="00610C25"/>
    <w:rsid w:val="00610DCF"/>
    <w:rsid w:val="00611616"/>
    <w:rsid w:val="00611945"/>
    <w:rsid w:val="00611D94"/>
    <w:rsid w:val="006121E5"/>
    <w:rsid w:val="00612457"/>
    <w:rsid w:val="006124B8"/>
    <w:rsid w:val="0061298A"/>
    <w:rsid w:val="00612A7A"/>
    <w:rsid w:val="00612EBF"/>
    <w:rsid w:val="0061317A"/>
    <w:rsid w:val="00614CAA"/>
    <w:rsid w:val="006175C1"/>
    <w:rsid w:val="00622809"/>
    <w:rsid w:val="00622F35"/>
    <w:rsid w:val="00623938"/>
    <w:rsid w:val="00623B35"/>
    <w:rsid w:val="00623DD1"/>
    <w:rsid w:val="00624846"/>
    <w:rsid w:val="00624D64"/>
    <w:rsid w:val="00624F5D"/>
    <w:rsid w:val="0062781F"/>
    <w:rsid w:val="006305A1"/>
    <w:rsid w:val="00630B20"/>
    <w:rsid w:val="00630E62"/>
    <w:rsid w:val="00632C63"/>
    <w:rsid w:val="006338DE"/>
    <w:rsid w:val="00634704"/>
    <w:rsid w:val="0063472D"/>
    <w:rsid w:val="00634F1E"/>
    <w:rsid w:val="00635601"/>
    <w:rsid w:val="00635757"/>
    <w:rsid w:val="0063684C"/>
    <w:rsid w:val="00636BF7"/>
    <w:rsid w:val="00636DDD"/>
    <w:rsid w:val="00636F41"/>
    <w:rsid w:val="0063731D"/>
    <w:rsid w:val="0064036D"/>
    <w:rsid w:val="006404E5"/>
    <w:rsid w:val="00640604"/>
    <w:rsid w:val="0064066B"/>
    <w:rsid w:val="00640952"/>
    <w:rsid w:val="00641006"/>
    <w:rsid w:val="006411BC"/>
    <w:rsid w:val="00643649"/>
    <w:rsid w:val="00643940"/>
    <w:rsid w:val="00643B9B"/>
    <w:rsid w:val="006440C2"/>
    <w:rsid w:val="00644653"/>
    <w:rsid w:val="0064484D"/>
    <w:rsid w:val="006452A4"/>
    <w:rsid w:val="0064665E"/>
    <w:rsid w:val="00647D70"/>
    <w:rsid w:val="006500D6"/>
    <w:rsid w:val="006505F9"/>
    <w:rsid w:val="00650856"/>
    <w:rsid w:val="00650AF9"/>
    <w:rsid w:val="006515B4"/>
    <w:rsid w:val="00653330"/>
    <w:rsid w:val="0065353A"/>
    <w:rsid w:val="006537AD"/>
    <w:rsid w:val="0065387D"/>
    <w:rsid w:val="00653F81"/>
    <w:rsid w:val="00653FB3"/>
    <w:rsid w:val="006545A8"/>
    <w:rsid w:val="00654D62"/>
    <w:rsid w:val="00655AF3"/>
    <w:rsid w:val="00656092"/>
    <w:rsid w:val="00656538"/>
    <w:rsid w:val="00657FB1"/>
    <w:rsid w:val="006600E7"/>
    <w:rsid w:val="00660FD8"/>
    <w:rsid w:val="0066267A"/>
    <w:rsid w:val="00662A18"/>
    <w:rsid w:val="00662C84"/>
    <w:rsid w:val="00662FB7"/>
    <w:rsid w:val="00662FCE"/>
    <w:rsid w:val="00663A7F"/>
    <w:rsid w:val="00664350"/>
    <w:rsid w:val="006645E5"/>
    <w:rsid w:val="006646C8"/>
    <w:rsid w:val="0066489B"/>
    <w:rsid w:val="00664953"/>
    <w:rsid w:val="00665833"/>
    <w:rsid w:val="006666CD"/>
    <w:rsid w:val="006703D8"/>
    <w:rsid w:val="006704B5"/>
    <w:rsid w:val="00671247"/>
    <w:rsid w:val="00672598"/>
    <w:rsid w:val="00673523"/>
    <w:rsid w:val="00673CEE"/>
    <w:rsid w:val="0067457E"/>
    <w:rsid w:val="00675435"/>
    <w:rsid w:val="0067628F"/>
    <w:rsid w:val="00676BB8"/>
    <w:rsid w:val="00677411"/>
    <w:rsid w:val="00680716"/>
    <w:rsid w:val="00680A97"/>
    <w:rsid w:val="00680C2E"/>
    <w:rsid w:val="0068109A"/>
    <w:rsid w:val="006815DF"/>
    <w:rsid w:val="00681732"/>
    <w:rsid w:val="006839E3"/>
    <w:rsid w:val="00684054"/>
    <w:rsid w:val="00684250"/>
    <w:rsid w:val="00685275"/>
    <w:rsid w:val="00685ACC"/>
    <w:rsid w:val="0068673C"/>
    <w:rsid w:val="0068733E"/>
    <w:rsid w:val="00687BDC"/>
    <w:rsid w:val="006908F3"/>
    <w:rsid w:val="00690CBD"/>
    <w:rsid w:val="006919BE"/>
    <w:rsid w:val="00691CDA"/>
    <w:rsid w:val="00693318"/>
    <w:rsid w:val="00694945"/>
    <w:rsid w:val="006953B4"/>
    <w:rsid w:val="00695C0F"/>
    <w:rsid w:val="006963E4"/>
    <w:rsid w:val="0069671F"/>
    <w:rsid w:val="00696B82"/>
    <w:rsid w:val="00696DCA"/>
    <w:rsid w:val="006A09D4"/>
    <w:rsid w:val="006A1081"/>
    <w:rsid w:val="006A1AB4"/>
    <w:rsid w:val="006A26AF"/>
    <w:rsid w:val="006A3704"/>
    <w:rsid w:val="006A38D0"/>
    <w:rsid w:val="006A399E"/>
    <w:rsid w:val="006A6038"/>
    <w:rsid w:val="006B0027"/>
    <w:rsid w:val="006B06B6"/>
    <w:rsid w:val="006B1472"/>
    <w:rsid w:val="006B1BA6"/>
    <w:rsid w:val="006B2EA5"/>
    <w:rsid w:val="006B2F2F"/>
    <w:rsid w:val="006B2FB5"/>
    <w:rsid w:val="006B3D79"/>
    <w:rsid w:val="006B427B"/>
    <w:rsid w:val="006B47B4"/>
    <w:rsid w:val="006B4D47"/>
    <w:rsid w:val="006B566C"/>
    <w:rsid w:val="006B5B9A"/>
    <w:rsid w:val="006B647D"/>
    <w:rsid w:val="006C0045"/>
    <w:rsid w:val="006C0764"/>
    <w:rsid w:val="006C09D1"/>
    <w:rsid w:val="006C273F"/>
    <w:rsid w:val="006C2EC7"/>
    <w:rsid w:val="006C3A7B"/>
    <w:rsid w:val="006C43D7"/>
    <w:rsid w:val="006C4407"/>
    <w:rsid w:val="006C4B54"/>
    <w:rsid w:val="006C4CB4"/>
    <w:rsid w:val="006C546B"/>
    <w:rsid w:val="006C7420"/>
    <w:rsid w:val="006C79F3"/>
    <w:rsid w:val="006D03FB"/>
    <w:rsid w:val="006D140B"/>
    <w:rsid w:val="006D1788"/>
    <w:rsid w:val="006D1B28"/>
    <w:rsid w:val="006D263A"/>
    <w:rsid w:val="006D3284"/>
    <w:rsid w:val="006D43A6"/>
    <w:rsid w:val="006D4DCD"/>
    <w:rsid w:val="006D56F4"/>
    <w:rsid w:val="006D5A09"/>
    <w:rsid w:val="006D67E5"/>
    <w:rsid w:val="006D6AAD"/>
    <w:rsid w:val="006D6BE2"/>
    <w:rsid w:val="006D6C14"/>
    <w:rsid w:val="006D785A"/>
    <w:rsid w:val="006D7C0E"/>
    <w:rsid w:val="006E08D4"/>
    <w:rsid w:val="006E0DC4"/>
    <w:rsid w:val="006E0DC9"/>
    <w:rsid w:val="006E1196"/>
    <w:rsid w:val="006E132A"/>
    <w:rsid w:val="006E1923"/>
    <w:rsid w:val="006E20B2"/>
    <w:rsid w:val="006E276A"/>
    <w:rsid w:val="006E4D30"/>
    <w:rsid w:val="006E55B7"/>
    <w:rsid w:val="006E570C"/>
    <w:rsid w:val="006E6421"/>
    <w:rsid w:val="006E6698"/>
    <w:rsid w:val="006E7F29"/>
    <w:rsid w:val="006F0009"/>
    <w:rsid w:val="006F0A89"/>
    <w:rsid w:val="006F1374"/>
    <w:rsid w:val="006F18C2"/>
    <w:rsid w:val="006F33F4"/>
    <w:rsid w:val="006F4450"/>
    <w:rsid w:val="006F4AB5"/>
    <w:rsid w:val="006F51FF"/>
    <w:rsid w:val="006F54A8"/>
    <w:rsid w:val="006F5DA5"/>
    <w:rsid w:val="006F7217"/>
    <w:rsid w:val="006F74AF"/>
    <w:rsid w:val="006F78BF"/>
    <w:rsid w:val="00701209"/>
    <w:rsid w:val="00701B91"/>
    <w:rsid w:val="007028B0"/>
    <w:rsid w:val="00702FF2"/>
    <w:rsid w:val="00703EC5"/>
    <w:rsid w:val="00704DC3"/>
    <w:rsid w:val="007053F0"/>
    <w:rsid w:val="007064EE"/>
    <w:rsid w:val="007069F2"/>
    <w:rsid w:val="00706F5D"/>
    <w:rsid w:val="00707844"/>
    <w:rsid w:val="00710A94"/>
    <w:rsid w:val="00711760"/>
    <w:rsid w:val="00711E6B"/>
    <w:rsid w:val="00713896"/>
    <w:rsid w:val="007140AD"/>
    <w:rsid w:val="00715289"/>
    <w:rsid w:val="007156FC"/>
    <w:rsid w:val="00715737"/>
    <w:rsid w:val="0071573B"/>
    <w:rsid w:val="007162BF"/>
    <w:rsid w:val="00716365"/>
    <w:rsid w:val="00717793"/>
    <w:rsid w:val="00717882"/>
    <w:rsid w:val="00717916"/>
    <w:rsid w:val="007179BC"/>
    <w:rsid w:val="00720EE0"/>
    <w:rsid w:val="00721D26"/>
    <w:rsid w:val="007224A9"/>
    <w:rsid w:val="00722612"/>
    <w:rsid w:val="00722C5F"/>
    <w:rsid w:val="00722E31"/>
    <w:rsid w:val="0072372B"/>
    <w:rsid w:val="007240BC"/>
    <w:rsid w:val="00725759"/>
    <w:rsid w:val="00725BDD"/>
    <w:rsid w:val="00727A46"/>
    <w:rsid w:val="0073106E"/>
    <w:rsid w:val="007310B1"/>
    <w:rsid w:val="00731C2B"/>
    <w:rsid w:val="00733089"/>
    <w:rsid w:val="00734713"/>
    <w:rsid w:val="0073593D"/>
    <w:rsid w:val="00740967"/>
    <w:rsid w:val="0074117F"/>
    <w:rsid w:val="007413C9"/>
    <w:rsid w:val="00741A7B"/>
    <w:rsid w:val="00741FAF"/>
    <w:rsid w:val="00742EBE"/>
    <w:rsid w:val="007433DA"/>
    <w:rsid w:val="007459ED"/>
    <w:rsid w:val="00745AAD"/>
    <w:rsid w:val="007463A2"/>
    <w:rsid w:val="0074726A"/>
    <w:rsid w:val="0074799D"/>
    <w:rsid w:val="0075043F"/>
    <w:rsid w:val="00750E32"/>
    <w:rsid w:val="00751047"/>
    <w:rsid w:val="007524E9"/>
    <w:rsid w:val="00753862"/>
    <w:rsid w:val="007543A9"/>
    <w:rsid w:val="0075481A"/>
    <w:rsid w:val="00754A44"/>
    <w:rsid w:val="007552EF"/>
    <w:rsid w:val="007555FB"/>
    <w:rsid w:val="00756CCF"/>
    <w:rsid w:val="00756F5B"/>
    <w:rsid w:val="00757799"/>
    <w:rsid w:val="00757A5A"/>
    <w:rsid w:val="0076041B"/>
    <w:rsid w:val="00760B8B"/>
    <w:rsid w:val="00762C04"/>
    <w:rsid w:val="00762EF2"/>
    <w:rsid w:val="00763065"/>
    <w:rsid w:val="00763758"/>
    <w:rsid w:val="00763789"/>
    <w:rsid w:val="00763A27"/>
    <w:rsid w:val="007641DA"/>
    <w:rsid w:val="00764CD2"/>
    <w:rsid w:val="00764E8D"/>
    <w:rsid w:val="007657D2"/>
    <w:rsid w:val="00765869"/>
    <w:rsid w:val="00766473"/>
    <w:rsid w:val="007675F5"/>
    <w:rsid w:val="007700A8"/>
    <w:rsid w:val="007704D1"/>
    <w:rsid w:val="00770906"/>
    <w:rsid w:val="00770A38"/>
    <w:rsid w:val="007717AA"/>
    <w:rsid w:val="007719B0"/>
    <w:rsid w:val="00772FE7"/>
    <w:rsid w:val="00773403"/>
    <w:rsid w:val="00773B97"/>
    <w:rsid w:val="00774BCA"/>
    <w:rsid w:val="00775209"/>
    <w:rsid w:val="00775572"/>
    <w:rsid w:val="00775FC7"/>
    <w:rsid w:val="0077651C"/>
    <w:rsid w:val="00776945"/>
    <w:rsid w:val="0077742D"/>
    <w:rsid w:val="00777881"/>
    <w:rsid w:val="0078065D"/>
    <w:rsid w:val="00780AB3"/>
    <w:rsid w:val="00781F45"/>
    <w:rsid w:val="00782685"/>
    <w:rsid w:val="00782EC4"/>
    <w:rsid w:val="00783448"/>
    <w:rsid w:val="00784ED8"/>
    <w:rsid w:val="007877B0"/>
    <w:rsid w:val="0079017C"/>
    <w:rsid w:val="007901CE"/>
    <w:rsid w:val="00790FCD"/>
    <w:rsid w:val="007916C9"/>
    <w:rsid w:val="007922A7"/>
    <w:rsid w:val="00792465"/>
    <w:rsid w:val="00792A50"/>
    <w:rsid w:val="00793AEC"/>
    <w:rsid w:val="007943E7"/>
    <w:rsid w:val="00794842"/>
    <w:rsid w:val="00794E18"/>
    <w:rsid w:val="0079517B"/>
    <w:rsid w:val="007951F2"/>
    <w:rsid w:val="00795E57"/>
    <w:rsid w:val="00796FCF"/>
    <w:rsid w:val="00797B8B"/>
    <w:rsid w:val="007A03FF"/>
    <w:rsid w:val="007A0863"/>
    <w:rsid w:val="007A125A"/>
    <w:rsid w:val="007A16E2"/>
    <w:rsid w:val="007A1C3D"/>
    <w:rsid w:val="007A25E3"/>
    <w:rsid w:val="007A3FD4"/>
    <w:rsid w:val="007A470B"/>
    <w:rsid w:val="007A4A3F"/>
    <w:rsid w:val="007A50DF"/>
    <w:rsid w:val="007A55C9"/>
    <w:rsid w:val="007A58F5"/>
    <w:rsid w:val="007A5C95"/>
    <w:rsid w:val="007A65A6"/>
    <w:rsid w:val="007A6830"/>
    <w:rsid w:val="007A7EDD"/>
    <w:rsid w:val="007B00B0"/>
    <w:rsid w:val="007B11FD"/>
    <w:rsid w:val="007B1493"/>
    <w:rsid w:val="007B388D"/>
    <w:rsid w:val="007B3ADD"/>
    <w:rsid w:val="007B473D"/>
    <w:rsid w:val="007B5562"/>
    <w:rsid w:val="007B5AFE"/>
    <w:rsid w:val="007B7587"/>
    <w:rsid w:val="007C0A3C"/>
    <w:rsid w:val="007C161E"/>
    <w:rsid w:val="007C16C6"/>
    <w:rsid w:val="007C1790"/>
    <w:rsid w:val="007C2240"/>
    <w:rsid w:val="007C24C5"/>
    <w:rsid w:val="007C36AE"/>
    <w:rsid w:val="007C41E4"/>
    <w:rsid w:val="007C4273"/>
    <w:rsid w:val="007C4745"/>
    <w:rsid w:val="007C518F"/>
    <w:rsid w:val="007C6DC8"/>
    <w:rsid w:val="007C7CCA"/>
    <w:rsid w:val="007C7E65"/>
    <w:rsid w:val="007D1AD3"/>
    <w:rsid w:val="007D2CED"/>
    <w:rsid w:val="007D4103"/>
    <w:rsid w:val="007D4B0F"/>
    <w:rsid w:val="007D5678"/>
    <w:rsid w:val="007D5955"/>
    <w:rsid w:val="007D71C1"/>
    <w:rsid w:val="007E062C"/>
    <w:rsid w:val="007E0A6D"/>
    <w:rsid w:val="007E0F41"/>
    <w:rsid w:val="007E0FAC"/>
    <w:rsid w:val="007E1451"/>
    <w:rsid w:val="007E17E9"/>
    <w:rsid w:val="007E2E8C"/>
    <w:rsid w:val="007E3335"/>
    <w:rsid w:val="007E3551"/>
    <w:rsid w:val="007E39AE"/>
    <w:rsid w:val="007E425E"/>
    <w:rsid w:val="007E43BD"/>
    <w:rsid w:val="007E4939"/>
    <w:rsid w:val="007E4A1B"/>
    <w:rsid w:val="007E4BF6"/>
    <w:rsid w:val="007E504D"/>
    <w:rsid w:val="007E5100"/>
    <w:rsid w:val="007E5303"/>
    <w:rsid w:val="007E538C"/>
    <w:rsid w:val="007E5706"/>
    <w:rsid w:val="007E5B72"/>
    <w:rsid w:val="007E5ED1"/>
    <w:rsid w:val="007E6144"/>
    <w:rsid w:val="007E6999"/>
    <w:rsid w:val="007E735C"/>
    <w:rsid w:val="007E79EB"/>
    <w:rsid w:val="007F0A73"/>
    <w:rsid w:val="007F12BC"/>
    <w:rsid w:val="007F1EA4"/>
    <w:rsid w:val="007F3AA8"/>
    <w:rsid w:val="007F4858"/>
    <w:rsid w:val="007F49E9"/>
    <w:rsid w:val="007F5D46"/>
    <w:rsid w:val="007F66DD"/>
    <w:rsid w:val="008001BA"/>
    <w:rsid w:val="008001C7"/>
    <w:rsid w:val="0080040F"/>
    <w:rsid w:val="00800630"/>
    <w:rsid w:val="00801113"/>
    <w:rsid w:val="008013CA"/>
    <w:rsid w:val="00803157"/>
    <w:rsid w:val="00803306"/>
    <w:rsid w:val="00805845"/>
    <w:rsid w:val="00805CE2"/>
    <w:rsid w:val="00810553"/>
    <w:rsid w:val="00811610"/>
    <w:rsid w:val="00812396"/>
    <w:rsid w:val="008127AE"/>
    <w:rsid w:val="00812CB3"/>
    <w:rsid w:val="00813610"/>
    <w:rsid w:val="00813778"/>
    <w:rsid w:val="00813A66"/>
    <w:rsid w:val="00816C29"/>
    <w:rsid w:val="00816F8C"/>
    <w:rsid w:val="00816FBA"/>
    <w:rsid w:val="008214A8"/>
    <w:rsid w:val="00822720"/>
    <w:rsid w:val="00822952"/>
    <w:rsid w:val="00822AC3"/>
    <w:rsid w:val="008235D6"/>
    <w:rsid w:val="00823F31"/>
    <w:rsid w:val="008244B2"/>
    <w:rsid w:val="008246A9"/>
    <w:rsid w:val="00825231"/>
    <w:rsid w:val="0082610E"/>
    <w:rsid w:val="00826250"/>
    <w:rsid w:val="0082686E"/>
    <w:rsid w:val="0082744F"/>
    <w:rsid w:val="0083081D"/>
    <w:rsid w:val="008313D5"/>
    <w:rsid w:val="00833469"/>
    <w:rsid w:val="00833B77"/>
    <w:rsid w:val="0083454F"/>
    <w:rsid w:val="00834BFA"/>
    <w:rsid w:val="00835081"/>
    <w:rsid w:val="00835171"/>
    <w:rsid w:val="00835D7D"/>
    <w:rsid w:val="00836344"/>
    <w:rsid w:val="00837A2A"/>
    <w:rsid w:val="0084067C"/>
    <w:rsid w:val="0084069C"/>
    <w:rsid w:val="00840A41"/>
    <w:rsid w:val="0084216D"/>
    <w:rsid w:val="00842D9B"/>
    <w:rsid w:val="00842E6D"/>
    <w:rsid w:val="00843ECD"/>
    <w:rsid w:val="0084448B"/>
    <w:rsid w:val="00844641"/>
    <w:rsid w:val="008452EA"/>
    <w:rsid w:val="0084546C"/>
    <w:rsid w:val="0084582E"/>
    <w:rsid w:val="00845A17"/>
    <w:rsid w:val="00846375"/>
    <w:rsid w:val="00846629"/>
    <w:rsid w:val="00847235"/>
    <w:rsid w:val="00850D45"/>
    <w:rsid w:val="00852751"/>
    <w:rsid w:val="00852992"/>
    <w:rsid w:val="00852AB9"/>
    <w:rsid w:val="00852C3F"/>
    <w:rsid w:val="00852FFF"/>
    <w:rsid w:val="0085305F"/>
    <w:rsid w:val="008540A5"/>
    <w:rsid w:val="008545C8"/>
    <w:rsid w:val="008548B2"/>
    <w:rsid w:val="00854B1D"/>
    <w:rsid w:val="00854FF9"/>
    <w:rsid w:val="00855B20"/>
    <w:rsid w:val="00856310"/>
    <w:rsid w:val="00856AB0"/>
    <w:rsid w:val="00860816"/>
    <w:rsid w:val="0086085C"/>
    <w:rsid w:val="00862FA7"/>
    <w:rsid w:val="00863177"/>
    <w:rsid w:val="00863E32"/>
    <w:rsid w:val="00865A02"/>
    <w:rsid w:val="008663B5"/>
    <w:rsid w:val="00866D08"/>
    <w:rsid w:val="00866F9E"/>
    <w:rsid w:val="008708EE"/>
    <w:rsid w:val="00870AEE"/>
    <w:rsid w:val="00871823"/>
    <w:rsid w:val="0087195B"/>
    <w:rsid w:val="00871B36"/>
    <w:rsid w:val="00872556"/>
    <w:rsid w:val="00873DF7"/>
    <w:rsid w:val="00875484"/>
    <w:rsid w:val="00875C40"/>
    <w:rsid w:val="008762C6"/>
    <w:rsid w:val="008767A8"/>
    <w:rsid w:val="00880363"/>
    <w:rsid w:val="0088079A"/>
    <w:rsid w:val="008822BA"/>
    <w:rsid w:val="008838A2"/>
    <w:rsid w:val="00884347"/>
    <w:rsid w:val="00884A38"/>
    <w:rsid w:val="00885206"/>
    <w:rsid w:val="00886F0A"/>
    <w:rsid w:val="008914A2"/>
    <w:rsid w:val="008914B1"/>
    <w:rsid w:val="008926B3"/>
    <w:rsid w:val="00893169"/>
    <w:rsid w:val="00894244"/>
    <w:rsid w:val="0089559D"/>
    <w:rsid w:val="00895B06"/>
    <w:rsid w:val="008961B0"/>
    <w:rsid w:val="0089646B"/>
    <w:rsid w:val="0089655E"/>
    <w:rsid w:val="008A0281"/>
    <w:rsid w:val="008A02DE"/>
    <w:rsid w:val="008A0935"/>
    <w:rsid w:val="008A190C"/>
    <w:rsid w:val="008A1917"/>
    <w:rsid w:val="008A287F"/>
    <w:rsid w:val="008A344C"/>
    <w:rsid w:val="008A3B29"/>
    <w:rsid w:val="008A3FA0"/>
    <w:rsid w:val="008A412F"/>
    <w:rsid w:val="008A4C7A"/>
    <w:rsid w:val="008A59AD"/>
    <w:rsid w:val="008A604E"/>
    <w:rsid w:val="008A6570"/>
    <w:rsid w:val="008A70B7"/>
    <w:rsid w:val="008A7542"/>
    <w:rsid w:val="008A763A"/>
    <w:rsid w:val="008A7ECE"/>
    <w:rsid w:val="008B0D85"/>
    <w:rsid w:val="008B14C5"/>
    <w:rsid w:val="008B18B0"/>
    <w:rsid w:val="008B1E68"/>
    <w:rsid w:val="008B297D"/>
    <w:rsid w:val="008B424C"/>
    <w:rsid w:val="008B4DDB"/>
    <w:rsid w:val="008B6579"/>
    <w:rsid w:val="008B6B93"/>
    <w:rsid w:val="008C0488"/>
    <w:rsid w:val="008C0621"/>
    <w:rsid w:val="008C0AE9"/>
    <w:rsid w:val="008C1675"/>
    <w:rsid w:val="008C2AE2"/>
    <w:rsid w:val="008C3032"/>
    <w:rsid w:val="008C35E4"/>
    <w:rsid w:val="008C3773"/>
    <w:rsid w:val="008C3946"/>
    <w:rsid w:val="008C3B17"/>
    <w:rsid w:val="008C6000"/>
    <w:rsid w:val="008C7CA1"/>
    <w:rsid w:val="008C7D08"/>
    <w:rsid w:val="008C7F32"/>
    <w:rsid w:val="008D039C"/>
    <w:rsid w:val="008D15E7"/>
    <w:rsid w:val="008D2427"/>
    <w:rsid w:val="008D2C8D"/>
    <w:rsid w:val="008D36BF"/>
    <w:rsid w:val="008D36DF"/>
    <w:rsid w:val="008D3FF9"/>
    <w:rsid w:val="008D60A0"/>
    <w:rsid w:val="008D790E"/>
    <w:rsid w:val="008D7FC0"/>
    <w:rsid w:val="008E01B9"/>
    <w:rsid w:val="008E0200"/>
    <w:rsid w:val="008E09E6"/>
    <w:rsid w:val="008E12D6"/>
    <w:rsid w:val="008E21AB"/>
    <w:rsid w:val="008E2825"/>
    <w:rsid w:val="008E3879"/>
    <w:rsid w:val="008E3B8A"/>
    <w:rsid w:val="008E598F"/>
    <w:rsid w:val="008E59FE"/>
    <w:rsid w:val="008E627E"/>
    <w:rsid w:val="008E6456"/>
    <w:rsid w:val="008E6569"/>
    <w:rsid w:val="008E6B59"/>
    <w:rsid w:val="008E6F5F"/>
    <w:rsid w:val="008F0376"/>
    <w:rsid w:val="008F1366"/>
    <w:rsid w:val="008F1C89"/>
    <w:rsid w:val="008F25CF"/>
    <w:rsid w:val="008F29BB"/>
    <w:rsid w:val="008F3473"/>
    <w:rsid w:val="008F6310"/>
    <w:rsid w:val="008F6332"/>
    <w:rsid w:val="0090019B"/>
    <w:rsid w:val="00900D78"/>
    <w:rsid w:val="00900F7B"/>
    <w:rsid w:val="00901011"/>
    <w:rsid w:val="009015A5"/>
    <w:rsid w:val="0090192A"/>
    <w:rsid w:val="00901D26"/>
    <w:rsid w:val="00901EB1"/>
    <w:rsid w:val="00902175"/>
    <w:rsid w:val="00903513"/>
    <w:rsid w:val="00905532"/>
    <w:rsid w:val="00906B7C"/>
    <w:rsid w:val="009070DE"/>
    <w:rsid w:val="00907181"/>
    <w:rsid w:val="00910321"/>
    <w:rsid w:val="009111E5"/>
    <w:rsid w:val="009113F8"/>
    <w:rsid w:val="00911914"/>
    <w:rsid w:val="00911E64"/>
    <w:rsid w:val="0091264F"/>
    <w:rsid w:val="00912B12"/>
    <w:rsid w:val="00912E57"/>
    <w:rsid w:val="00913896"/>
    <w:rsid w:val="009143AA"/>
    <w:rsid w:val="009147F0"/>
    <w:rsid w:val="00915086"/>
    <w:rsid w:val="00915174"/>
    <w:rsid w:val="00915ED7"/>
    <w:rsid w:val="00916532"/>
    <w:rsid w:val="009169FC"/>
    <w:rsid w:val="00916D6E"/>
    <w:rsid w:val="0091707E"/>
    <w:rsid w:val="0092039C"/>
    <w:rsid w:val="009204E2"/>
    <w:rsid w:val="009205E4"/>
    <w:rsid w:val="00921454"/>
    <w:rsid w:val="009216C5"/>
    <w:rsid w:val="00921CEF"/>
    <w:rsid w:val="00921D1A"/>
    <w:rsid w:val="00922223"/>
    <w:rsid w:val="009222E1"/>
    <w:rsid w:val="00922998"/>
    <w:rsid w:val="0092584C"/>
    <w:rsid w:val="00926187"/>
    <w:rsid w:val="00926F53"/>
    <w:rsid w:val="009276DF"/>
    <w:rsid w:val="00930050"/>
    <w:rsid w:val="00930394"/>
    <w:rsid w:val="0093061F"/>
    <w:rsid w:val="00931BAD"/>
    <w:rsid w:val="00932E0C"/>
    <w:rsid w:val="00932FE7"/>
    <w:rsid w:val="009340D1"/>
    <w:rsid w:val="00934CE1"/>
    <w:rsid w:val="00934EA4"/>
    <w:rsid w:val="0093531B"/>
    <w:rsid w:val="00935634"/>
    <w:rsid w:val="00936B0E"/>
    <w:rsid w:val="00936FAE"/>
    <w:rsid w:val="00937903"/>
    <w:rsid w:val="00937C34"/>
    <w:rsid w:val="00937FBF"/>
    <w:rsid w:val="009402C9"/>
    <w:rsid w:val="00940655"/>
    <w:rsid w:val="00940CFC"/>
    <w:rsid w:val="00941B53"/>
    <w:rsid w:val="00941BB0"/>
    <w:rsid w:val="0094302E"/>
    <w:rsid w:val="0094624B"/>
    <w:rsid w:val="00946BBD"/>
    <w:rsid w:val="00947276"/>
    <w:rsid w:val="00947479"/>
    <w:rsid w:val="0094784C"/>
    <w:rsid w:val="00947908"/>
    <w:rsid w:val="009507C6"/>
    <w:rsid w:val="00950CF4"/>
    <w:rsid w:val="0095156B"/>
    <w:rsid w:val="00951E61"/>
    <w:rsid w:val="00952388"/>
    <w:rsid w:val="009531E4"/>
    <w:rsid w:val="0095444A"/>
    <w:rsid w:val="009549C9"/>
    <w:rsid w:val="00955AA4"/>
    <w:rsid w:val="00956BDA"/>
    <w:rsid w:val="00957EE3"/>
    <w:rsid w:val="009603B2"/>
    <w:rsid w:val="009615D7"/>
    <w:rsid w:val="00963B68"/>
    <w:rsid w:val="00963C22"/>
    <w:rsid w:val="0096598B"/>
    <w:rsid w:val="00966468"/>
    <w:rsid w:val="009668E4"/>
    <w:rsid w:val="0096717D"/>
    <w:rsid w:val="009671A0"/>
    <w:rsid w:val="009716F0"/>
    <w:rsid w:val="00972B66"/>
    <w:rsid w:val="00973053"/>
    <w:rsid w:val="009734AC"/>
    <w:rsid w:val="009740A1"/>
    <w:rsid w:val="0097474E"/>
    <w:rsid w:val="00975B16"/>
    <w:rsid w:val="00975F8C"/>
    <w:rsid w:val="00977B72"/>
    <w:rsid w:val="00977FF8"/>
    <w:rsid w:val="00980AC0"/>
    <w:rsid w:val="00984566"/>
    <w:rsid w:val="009845C5"/>
    <w:rsid w:val="0098556A"/>
    <w:rsid w:val="0098563A"/>
    <w:rsid w:val="00986815"/>
    <w:rsid w:val="00990760"/>
    <w:rsid w:val="009915B5"/>
    <w:rsid w:val="00993532"/>
    <w:rsid w:val="009948CA"/>
    <w:rsid w:val="00995125"/>
    <w:rsid w:val="00996E35"/>
    <w:rsid w:val="009971E0"/>
    <w:rsid w:val="00997272"/>
    <w:rsid w:val="00997B1C"/>
    <w:rsid w:val="009A0334"/>
    <w:rsid w:val="009A15E1"/>
    <w:rsid w:val="009A2EFF"/>
    <w:rsid w:val="009A3792"/>
    <w:rsid w:val="009A423C"/>
    <w:rsid w:val="009A42C8"/>
    <w:rsid w:val="009A5B1F"/>
    <w:rsid w:val="009A6446"/>
    <w:rsid w:val="009B0284"/>
    <w:rsid w:val="009B1612"/>
    <w:rsid w:val="009B1AC6"/>
    <w:rsid w:val="009B211F"/>
    <w:rsid w:val="009B4349"/>
    <w:rsid w:val="009B47AE"/>
    <w:rsid w:val="009B54D3"/>
    <w:rsid w:val="009B5D92"/>
    <w:rsid w:val="009B67C4"/>
    <w:rsid w:val="009B7283"/>
    <w:rsid w:val="009B78E7"/>
    <w:rsid w:val="009C0761"/>
    <w:rsid w:val="009C14CB"/>
    <w:rsid w:val="009C2002"/>
    <w:rsid w:val="009C316F"/>
    <w:rsid w:val="009C3A03"/>
    <w:rsid w:val="009C3C33"/>
    <w:rsid w:val="009C51B8"/>
    <w:rsid w:val="009C5A7F"/>
    <w:rsid w:val="009C5CA5"/>
    <w:rsid w:val="009C5DD2"/>
    <w:rsid w:val="009C67CF"/>
    <w:rsid w:val="009C67DB"/>
    <w:rsid w:val="009C6C4C"/>
    <w:rsid w:val="009D0BC9"/>
    <w:rsid w:val="009D21F2"/>
    <w:rsid w:val="009D2619"/>
    <w:rsid w:val="009D2AB8"/>
    <w:rsid w:val="009D43B4"/>
    <w:rsid w:val="009D44D2"/>
    <w:rsid w:val="009D467F"/>
    <w:rsid w:val="009D5D4B"/>
    <w:rsid w:val="009D68F7"/>
    <w:rsid w:val="009D6FBF"/>
    <w:rsid w:val="009D77B2"/>
    <w:rsid w:val="009E0697"/>
    <w:rsid w:val="009E08BC"/>
    <w:rsid w:val="009E1428"/>
    <w:rsid w:val="009E18F3"/>
    <w:rsid w:val="009E1AD8"/>
    <w:rsid w:val="009E1E35"/>
    <w:rsid w:val="009E5610"/>
    <w:rsid w:val="009E5979"/>
    <w:rsid w:val="009E6231"/>
    <w:rsid w:val="009E638C"/>
    <w:rsid w:val="009E6BAA"/>
    <w:rsid w:val="009E6D36"/>
    <w:rsid w:val="009E7307"/>
    <w:rsid w:val="009F0567"/>
    <w:rsid w:val="009F13F0"/>
    <w:rsid w:val="009F1FF1"/>
    <w:rsid w:val="009F3CE8"/>
    <w:rsid w:val="009F3EF3"/>
    <w:rsid w:val="009F499C"/>
    <w:rsid w:val="009F5318"/>
    <w:rsid w:val="009F5C15"/>
    <w:rsid w:val="009F6AD1"/>
    <w:rsid w:val="009F6CE1"/>
    <w:rsid w:val="00A00AE2"/>
    <w:rsid w:val="00A00E31"/>
    <w:rsid w:val="00A02804"/>
    <w:rsid w:val="00A04A6A"/>
    <w:rsid w:val="00A0517A"/>
    <w:rsid w:val="00A05B26"/>
    <w:rsid w:val="00A063C3"/>
    <w:rsid w:val="00A06AF1"/>
    <w:rsid w:val="00A06BC8"/>
    <w:rsid w:val="00A1026F"/>
    <w:rsid w:val="00A107CB"/>
    <w:rsid w:val="00A109FD"/>
    <w:rsid w:val="00A10A82"/>
    <w:rsid w:val="00A11BF4"/>
    <w:rsid w:val="00A12005"/>
    <w:rsid w:val="00A128A4"/>
    <w:rsid w:val="00A12B7C"/>
    <w:rsid w:val="00A1340F"/>
    <w:rsid w:val="00A1365E"/>
    <w:rsid w:val="00A148F3"/>
    <w:rsid w:val="00A15A1E"/>
    <w:rsid w:val="00A1682B"/>
    <w:rsid w:val="00A172A0"/>
    <w:rsid w:val="00A2062C"/>
    <w:rsid w:val="00A20BF7"/>
    <w:rsid w:val="00A213D0"/>
    <w:rsid w:val="00A2164B"/>
    <w:rsid w:val="00A21920"/>
    <w:rsid w:val="00A23CED"/>
    <w:rsid w:val="00A240CC"/>
    <w:rsid w:val="00A2489E"/>
    <w:rsid w:val="00A26614"/>
    <w:rsid w:val="00A272AE"/>
    <w:rsid w:val="00A2762B"/>
    <w:rsid w:val="00A2773A"/>
    <w:rsid w:val="00A27900"/>
    <w:rsid w:val="00A27F05"/>
    <w:rsid w:val="00A27F9F"/>
    <w:rsid w:val="00A301B4"/>
    <w:rsid w:val="00A305A6"/>
    <w:rsid w:val="00A3218B"/>
    <w:rsid w:val="00A32CA9"/>
    <w:rsid w:val="00A3403C"/>
    <w:rsid w:val="00A344B7"/>
    <w:rsid w:val="00A35444"/>
    <w:rsid w:val="00A35650"/>
    <w:rsid w:val="00A35C77"/>
    <w:rsid w:val="00A4041F"/>
    <w:rsid w:val="00A41041"/>
    <w:rsid w:val="00A41749"/>
    <w:rsid w:val="00A4263C"/>
    <w:rsid w:val="00A42740"/>
    <w:rsid w:val="00A4494E"/>
    <w:rsid w:val="00A44A03"/>
    <w:rsid w:val="00A44BD0"/>
    <w:rsid w:val="00A45AB5"/>
    <w:rsid w:val="00A475ED"/>
    <w:rsid w:val="00A50D1E"/>
    <w:rsid w:val="00A52CEE"/>
    <w:rsid w:val="00A53268"/>
    <w:rsid w:val="00A53B06"/>
    <w:rsid w:val="00A54E03"/>
    <w:rsid w:val="00A559AB"/>
    <w:rsid w:val="00A55A36"/>
    <w:rsid w:val="00A57AC9"/>
    <w:rsid w:val="00A60360"/>
    <w:rsid w:val="00A62EA1"/>
    <w:rsid w:val="00A6313D"/>
    <w:rsid w:val="00A634EE"/>
    <w:rsid w:val="00A6356A"/>
    <w:rsid w:val="00A635DF"/>
    <w:rsid w:val="00A639FB"/>
    <w:rsid w:val="00A64664"/>
    <w:rsid w:val="00A646E5"/>
    <w:rsid w:val="00A64EC0"/>
    <w:rsid w:val="00A6565B"/>
    <w:rsid w:val="00A6613A"/>
    <w:rsid w:val="00A6788E"/>
    <w:rsid w:val="00A70513"/>
    <w:rsid w:val="00A752CA"/>
    <w:rsid w:val="00A75377"/>
    <w:rsid w:val="00A7566E"/>
    <w:rsid w:val="00A75D99"/>
    <w:rsid w:val="00A76E3F"/>
    <w:rsid w:val="00A77109"/>
    <w:rsid w:val="00A776A6"/>
    <w:rsid w:val="00A803CB"/>
    <w:rsid w:val="00A8061B"/>
    <w:rsid w:val="00A80F2D"/>
    <w:rsid w:val="00A81643"/>
    <w:rsid w:val="00A81E45"/>
    <w:rsid w:val="00A83993"/>
    <w:rsid w:val="00A83E6E"/>
    <w:rsid w:val="00A84A4B"/>
    <w:rsid w:val="00A852D0"/>
    <w:rsid w:val="00A8560D"/>
    <w:rsid w:val="00A85933"/>
    <w:rsid w:val="00A85F10"/>
    <w:rsid w:val="00A905D5"/>
    <w:rsid w:val="00A90BF9"/>
    <w:rsid w:val="00A91482"/>
    <w:rsid w:val="00A91DCA"/>
    <w:rsid w:val="00A93003"/>
    <w:rsid w:val="00A93477"/>
    <w:rsid w:val="00A938C5"/>
    <w:rsid w:val="00A95301"/>
    <w:rsid w:val="00A97F23"/>
    <w:rsid w:val="00AA01D1"/>
    <w:rsid w:val="00AA175D"/>
    <w:rsid w:val="00AA17CB"/>
    <w:rsid w:val="00AA1831"/>
    <w:rsid w:val="00AA1E59"/>
    <w:rsid w:val="00AA22C5"/>
    <w:rsid w:val="00AA2768"/>
    <w:rsid w:val="00AA2896"/>
    <w:rsid w:val="00AA2C72"/>
    <w:rsid w:val="00AA4C75"/>
    <w:rsid w:val="00AA5BAE"/>
    <w:rsid w:val="00AA6F1E"/>
    <w:rsid w:val="00AA762D"/>
    <w:rsid w:val="00AA7A90"/>
    <w:rsid w:val="00AB01EB"/>
    <w:rsid w:val="00AB10CD"/>
    <w:rsid w:val="00AB1431"/>
    <w:rsid w:val="00AB1A46"/>
    <w:rsid w:val="00AB2E45"/>
    <w:rsid w:val="00AB2F6D"/>
    <w:rsid w:val="00AB3932"/>
    <w:rsid w:val="00AB3DCE"/>
    <w:rsid w:val="00AB3E79"/>
    <w:rsid w:val="00AB4528"/>
    <w:rsid w:val="00AB47F6"/>
    <w:rsid w:val="00AB5C5F"/>
    <w:rsid w:val="00AC0CB3"/>
    <w:rsid w:val="00AC141B"/>
    <w:rsid w:val="00AC14A8"/>
    <w:rsid w:val="00AC27BC"/>
    <w:rsid w:val="00AC3991"/>
    <w:rsid w:val="00AC3ECD"/>
    <w:rsid w:val="00AC3F73"/>
    <w:rsid w:val="00AC43DF"/>
    <w:rsid w:val="00AC45AC"/>
    <w:rsid w:val="00AC45F7"/>
    <w:rsid w:val="00AC4E28"/>
    <w:rsid w:val="00AC5C29"/>
    <w:rsid w:val="00AD0B20"/>
    <w:rsid w:val="00AD0DBD"/>
    <w:rsid w:val="00AD1236"/>
    <w:rsid w:val="00AD1B83"/>
    <w:rsid w:val="00AD1CAE"/>
    <w:rsid w:val="00AD239D"/>
    <w:rsid w:val="00AD355D"/>
    <w:rsid w:val="00AD3660"/>
    <w:rsid w:val="00AD375A"/>
    <w:rsid w:val="00AD3811"/>
    <w:rsid w:val="00AD3920"/>
    <w:rsid w:val="00AD3D23"/>
    <w:rsid w:val="00AD4D1A"/>
    <w:rsid w:val="00AD5623"/>
    <w:rsid w:val="00AD5961"/>
    <w:rsid w:val="00AD6262"/>
    <w:rsid w:val="00AD68BE"/>
    <w:rsid w:val="00AD6E3E"/>
    <w:rsid w:val="00AD71E2"/>
    <w:rsid w:val="00AD777B"/>
    <w:rsid w:val="00AD78B5"/>
    <w:rsid w:val="00AD7F3C"/>
    <w:rsid w:val="00AE03E2"/>
    <w:rsid w:val="00AE1A12"/>
    <w:rsid w:val="00AE21E7"/>
    <w:rsid w:val="00AE252A"/>
    <w:rsid w:val="00AE321A"/>
    <w:rsid w:val="00AE37DF"/>
    <w:rsid w:val="00AE4D1B"/>
    <w:rsid w:val="00AE5074"/>
    <w:rsid w:val="00AE52EF"/>
    <w:rsid w:val="00AE5866"/>
    <w:rsid w:val="00AE6DAD"/>
    <w:rsid w:val="00AF03B7"/>
    <w:rsid w:val="00AF0AE8"/>
    <w:rsid w:val="00AF0C75"/>
    <w:rsid w:val="00AF268E"/>
    <w:rsid w:val="00AF29AB"/>
    <w:rsid w:val="00AF2E25"/>
    <w:rsid w:val="00AF3BDD"/>
    <w:rsid w:val="00AF4907"/>
    <w:rsid w:val="00AF4F93"/>
    <w:rsid w:val="00AF5EEA"/>
    <w:rsid w:val="00B0040A"/>
    <w:rsid w:val="00B006C0"/>
    <w:rsid w:val="00B0070B"/>
    <w:rsid w:val="00B0113F"/>
    <w:rsid w:val="00B04DE5"/>
    <w:rsid w:val="00B05118"/>
    <w:rsid w:val="00B05183"/>
    <w:rsid w:val="00B05289"/>
    <w:rsid w:val="00B0731B"/>
    <w:rsid w:val="00B073DC"/>
    <w:rsid w:val="00B07B6B"/>
    <w:rsid w:val="00B11295"/>
    <w:rsid w:val="00B12648"/>
    <w:rsid w:val="00B1285B"/>
    <w:rsid w:val="00B12E59"/>
    <w:rsid w:val="00B12E62"/>
    <w:rsid w:val="00B13332"/>
    <w:rsid w:val="00B139F1"/>
    <w:rsid w:val="00B14290"/>
    <w:rsid w:val="00B1472C"/>
    <w:rsid w:val="00B14B66"/>
    <w:rsid w:val="00B15C0C"/>
    <w:rsid w:val="00B1628C"/>
    <w:rsid w:val="00B1646D"/>
    <w:rsid w:val="00B16BA5"/>
    <w:rsid w:val="00B16BD3"/>
    <w:rsid w:val="00B16D92"/>
    <w:rsid w:val="00B17A85"/>
    <w:rsid w:val="00B17BFD"/>
    <w:rsid w:val="00B20043"/>
    <w:rsid w:val="00B21DD5"/>
    <w:rsid w:val="00B22915"/>
    <w:rsid w:val="00B234E1"/>
    <w:rsid w:val="00B2358C"/>
    <w:rsid w:val="00B2378A"/>
    <w:rsid w:val="00B23E27"/>
    <w:rsid w:val="00B244CB"/>
    <w:rsid w:val="00B24D33"/>
    <w:rsid w:val="00B24F54"/>
    <w:rsid w:val="00B2529C"/>
    <w:rsid w:val="00B261CF"/>
    <w:rsid w:val="00B263D4"/>
    <w:rsid w:val="00B2683C"/>
    <w:rsid w:val="00B26DB1"/>
    <w:rsid w:val="00B27AE1"/>
    <w:rsid w:val="00B27EC6"/>
    <w:rsid w:val="00B30297"/>
    <w:rsid w:val="00B30352"/>
    <w:rsid w:val="00B30959"/>
    <w:rsid w:val="00B31D85"/>
    <w:rsid w:val="00B31EF3"/>
    <w:rsid w:val="00B324A0"/>
    <w:rsid w:val="00B34CCC"/>
    <w:rsid w:val="00B3528B"/>
    <w:rsid w:val="00B35803"/>
    <w:rsid w:val="00B362B8"/>
    <w:rsid w:val="00B36B5B"/>
    <w:rsid w:val="00B370E3"/>
    <w:rsid w:val="00B373E9"/>
    <w:rsid w:val="00B40742"/>
    <w:rsid w:val="00B40C47"/>
    <w:rsid w:val="00B4150A"/>
    <w:rsid w:val="00B4244C"/>
    <w:rsid w:val="00B42CE5"/>
    <w:rsid w:val="00B445EB"/>
    <w:rsid w:val="00B4476E"/>
    <w:rsid w:val="00B45152"/>
    <w:rsid w:val="00B454C0"/>
    <w:rsid w:val="00B46B8A"/>
    <w:rsid w:val="00B52697"/>
    <w:rsid w:val="00B52E97"/>
    <w:rsid w:val="00B539E3"/>
    <w:rsid w:val="00B53AA4"/>
    <w:rsid w:val="00B5405D"/>
    <w:rsid w:val="00B54981"/>
    <w:rsid w:val="00B54D13"/>
    <w:rsid w:val="00B56378"/>
    <w:rsid w:val="00B56C21"/>
    <w:rsid w:val="00B571E0"/>
    <w:rsid w:val="00B57843"/>
    <w:rsid w:val="00B57D0A"/>
    <w:rsid w:val="00B57EEB"/>
    <w:rsid w:val="00B6155C"/>
    <w:rsid w:val="00B61FBC"/>
    <w:rsid w:val="00B62131"/>
    <w:rsid w:val="00B62795"/>
    <w:rsid w:val="00B62825"/>
    <w:rsid w:val="00B62931"/>
    <w:rsid w:val="00B62AA0"/>
    <w:rsid w:val="00B636B1"/>
    <w:rsid w:val="00B638EB"/>
    <w:rsid w:val="00B64BC8"/>
    <w:rsid w:val="00B65688"/>
    <w:rsid w:val="00B669BD"/>
    <w:rsid w:val="00B70409"/>
    <w:rsid w:val="00B7081D"/>
    <w:rsid w:val="00B72A50"/>
    <w:rsid w:val="00B750B4"/>
    <w:rsid w:val="00B754B5"/>
    <w:rsid w:val="00B75B88"/>
    <w:rsid w:val="00B7672C"/>
    <w:rsid w:val="00B76E7A"/>
    <w:rsid w:val="00B7703E"/>
    <w:rsid w:val="00B77F02"/>
    <w:rsid w:val="00B80CA2"/>
    <w:rsid w:val="00B8110E"/>
    <w:rsid w:val="00B814B0"/>
    <w:rsid w:val="00B82EBC"/>
    <w:rsid w:val="00B830CC"/>
    <w:rsid w:val="00B83B35"/>
    <w:rsid w:val="00B84C70"/>
    <w:rsid w:val="00B85187"/>
    <w:rsid w:val="00B85718"/>
    <w:rsid w:val="00B8590E"/>
    <w:rsid w:val="00B85A01"/>
    <w:rsid w:val="00B85B59"/>
    <w:rsid w:val="00B86798"/>
    <w:rsid w:val="00B86A4C"/>
    <w:rsid w:val="00B86D10"/>
    <w:rsid w:val="00B87B1C"/>
    <w:rsid w:val="00B87E46"/>
    <w:rsid w:val="00B87E80"/>
    <w:rsid w:val="00B92687"/>
    <w:rsid w:val="00B9288F"/>
    <w:rsid w:val="00B928C7"/>
    <w:rsid w:val="00B92C16"/>
    <w:rsid w:val="00B93142"/>
    <w:rsid w:val="00B94D95"/>
    <w:rsid w:val="00B95442"/>
    <w:rsid w:val="00B977E1"/>
    <w:rsid w:val="00BA0591"/>
    <w:rsid w:val="00BA060B"/>
    <w:rsid w:val="00BA09F4"/>
    <w:rsid w:val="00BA11F4"/>
    <w:rsid w:val="00BA15E7"/>
    <w:rsid w:val="00BA2190"/>
    <w:rsid w:val="00BA2C1A"/>
    <w:rsid w:val="00BA4064"/>
    <w:rsid w:val="00BA525D"/>
    <w:rsid w:val="00BA58D4"/>
    <w:rsid w:val="00BA5CB5"/>
    <w:rsid w:val="00BA62B9"/>
    <w:rsid w:val="00BA76D9"/>
    <w:rsid w:val="00BA772F"/>
    <w:rsid w:val="00BA7A91"/>
    <w:rsid w:val="00BA7BC8"/>
    <w:rsid w:val="00BB25EF"/>
    <w:rsid w:val="00BB3B2F"/>
    <w:rsid w:val="00BB53CD"/>
    <w:rsid w:val="00BB577C"/>
    <w:rsid w:val="00BB6ECB"/>
    <w:rsid w:val="00BB7DB8"/>
    <w:rsid w:val="00BC00AF"/>
    <w:rsid w:val="00BC1E06"/>
    <w:rsid w:val="00BC1FA5"/>
    <w:rsid w:val="00BC276E"/>
    <w:rsid w:val="00BC2B17"/>
    <w:rsid w:val="00BC3112"/>
    <w:rsid w:val="00BC34F7"/>
    <w:rsid w:val="00BC3582"/>
    <w:rsid w:val="00BC469C"/>
    <w:rsid w:val="00BC521F"/>
    <w:rsid w:val="00BC5761"/>
    <w:rsid w:val="00BC5CBE"/>
    <w:rsid w:val="00BC6432"/>
    <w:rsid w:val="00BC6846"/>
    <w:rsid w:val="00BD05C9"/>
    <w:rsid w:val="00BD1C75"/>
    <w:rsid w:val="00BD2EB2"/>
    <w:rsid w:val="00BD333B"/>
    <w:rsid w:val="00BD3775"/>
    <w:rsid w:val="00BD3962"/>
    <w:rsid w:val="00BD3B09"/>
    <w:rsid w:val="00BD52C2"/>
    <w:rsid w:val="00BD6272"/>
    <w:rsid w:val="00BD650F"/>
    <w:rsid w:val="00BD71DB"/>
    <w:rsid w:val="00BD7CFF"/>
    <w:rsid w:val="00BE0354"/>
    <w:rsid w:val="00BE0CB3"/>
    <w:rsid w:val="00BE1105"/>
    <w:rsid w:val="00BE1A43"/>
    <w:rsid w:val="00BE1AE5"/>
    <w:rsid w:val="00BE1B54"/>
    <w:rsid w:val="00BE1F8C"/>
    <w:rsid w:val="00BE1FFC"/>
    <w:rsid w:val="00BE2A34"/>
    <w:rsid w:val="00BE33B1"/>
    <w:rsid w:val="00BE4636"/>
    <w:rsid w:val="00BE486D"/>
    <w:rsid w:val="00BE4C74"/>
    <w:rsid w:val="00BE51C3"/>
    <w:rsid w:val="00BE554F"/>
    <w:rsid w:val="00BE58B9"/>
    <w:rsid w:val="00BE58D9"/>
    <w:rsid w:val="00BE5B90"/>
    <w:rsid w:val="00BE60FA"/>
    <w:rsid w:val="00BE7015"/>
    <w:rsid w:val="00BE76A2"/>
    <w:rsid w:val="00BE7BE0"/>
    <w:rsid w:val="00BE7C57"/>
    <w:rsid w:val="00BE7CAD"/>
    <w:rsid w:val="00BF022B"/>
    <w:rsid w:val="00BF0476"/>
    <w:rsid w:val="00BF0BBE"/>
    <w:rsid w:val="00BF0EF9"/>
    <w:rsid w:val="00BF159C"/>
    <w:rsid w:val="00BF1642"/>
    <w:rsid w:val="00BF1BA8"/>
    <w:rsid w:val="00BF1D11"/>
    <w:rsid w:val="00BF1EB1"/>
    <w:rsid w:val="00BF2BCE"/>
    <w:rsid w:val="00BF303B"/>
    <w:rsid w:val="00BF4832"/>
    <w:rsid w:val="00BF7051"/>
    <w:rsid w:val="00BF7243"/>
    <w:rsid w:val="00BF769F"/>
    <w:rsid w:val="00BF7711"/>
    <w:rsid w:val="00C012C2"/>
    <w:rsid w:val="00C01683"/>
    <w:rsid w:val="00C01742"/>
    <w:rsid w:val="00C0187E"/>
    <w:rsid w:val="00C01950"/>
    <w:rsid w:val="00C029B8"/>
    <w:rsid w:val="00C02AE5"/>
    <w:rsid w:val="00C03928"/>
    <w:rsid w:val="00C03D24"/>
    <w:rsid w:val="00C05104"/>
    <w:rsid w:val="00C05970"/>
    <w:rsid w:val="00C059D8"/>
    <w:rsid w:val="00C05D85"/>
    <w:rsid w:val="00C063A9"/>
    <w:rsid w:val="00C065CA"/>
    <w:rsid w:val="00C065D0"/>
    <w:rsid w:val="00C073AF"/>
    <w:rsid w:val="00C1242F"/>
    <w:rsid w:val="00C124B1"/>
    <w:rsid w:val="00C1467D"/>
    <w:rsid w:val="00C1491D"/>
    <w:rsid w:val="00C14FCB"/>
    <w:rsid w:val="00C151D5"/>
    <w:rsid w:val="00C154BB"/>
    <w:rsid w:val="00C15504"/>
    <w:rsid w:val="00C158D8"/>
    <w:rsid w:val="00C1597E"/>
    <w:rsid w:val="00C15FCB"/>
    <w:rsid w:val="00C16600"/>
    <w:rsid w:val="00C166E1"/>
    <w:rsid w:val="00C17222"/>
    <w:rsid w:val="00C1722B"/>
    <w:rsid w:val="00C179C1"/>
    <w:rsid w:val="00C17C69"/>
    <w:rsid w:val="00C17D7D"/>
    <w:rsid w:val="00C2018A"/>
    <w:rsid w:val="00C2063D"/>
    <w:rsid w:val="00C21494"/>
    <w:rsid w:val="00C21D99"/>
    <w:rsid w:val="00C22EB2"/>
    <w:rsid w:val="00C230C1"/>
    <w:rsid w:val="00C23506"/>
    <w:rsid w:val="00C23CC2"/>
    <w:rsid w:val="00C2477F"/>
    <w:rsid w:val="00C247C9"/>
    <w:rsid w:val="00C24F29"/>
    <w:rsid w:val="00C24FC5"/>
    <w:rsid w:val="00C250BD"/>
    <w:rsid w:val="00C2568B"/>
    <w:rsid w:val="00C260F6"/>
    <w:rsid w:val="00C27605"/>
    <w:rsid w:val="00C32555"/>
    <w:rsid w:val="00C330BA"/>
    <w:rsid w:val="00C344CD"/>
    <w:rsid w:val="00C345E3"/>
    <w:rsid w:val="00C34D38"/>
    <w:rsid w:val="00C355E3"/>
    <w:rsid w:val="00C35C96"/>
    <w:rsid w:val="00C35CAF"/>
    <w:rsid w:val="00C367D1"/>
    <w:rsid w:val="00C36E40"/>
    <w:rsid w:val="00C3743E"/>
    <w:rsid w:val="00C37675"/>
    <w:rsid w:val="00C379A0"/>
    <w:rsid w:val="00C37CE4"/>
    <w:rsid w:val="00C40D3E"/>
    <w:rsid w:val="00C43C19"/>
    <w:rsid w:val="00C452ED"/>
    <w:rsid w:val="00C45B75"/>
    <w:rsid w:val="00C45FB8"/>
    <w:rsid w:val="00C466FA"/>
    <w:rsid w:val="00C46A80"/>
    <w:rsid w:val="00C471A3"/>
    <w:rsid w:val="00C50F90"/>
    <w:rsid w:val="00C5129D"/>
    <w:rsid w:val="00C515E0"/>
    <w:rsid w:val="00C51604"/>
    <w:rsid w:val="00C51C14"/>
    <w:rsid w:val="00C52E19"/>
    <w:rsid w:val="00C53A9C"/>
    <w:rsid w:val="00C54253"/>
    <w:rsid w:val="00C54C78"/>
    <w:rsid w:val="00C5536F"/>
    <w:rsid w:val="00C5562A"/>
    <w:rsid w:val="00C55CA5"/>
    <w:rsid w:val="00C57450"/>
    <w:rsid w:val="00C57CBD"/>
    <w:rsid w:val="00C57E5C"/>
    <w:rsid w:val="00C60270"/>
    <w:rsid w:val="00C618CA"/>
    <w:rsid w:val="00C63384"/>
    <w:rsid w:val="00C64227"/>
    <w:rsid w:val="00C65406"/>
    <w:rsid w:val="00C664BF"/>
    <w:rsid w:val="00C66CFC"/>
    <w:rsid w:val="00C67473"/>
    <w:rsid w:val="00C70102"/>
    <w:rsid w:val="00C7080F"/>
    <w:rsid w:val="00C70E0F"/>
    <w:rsid w:val="00C7128E"/>
    <w:rsid w:val="00C7305C"/>
    <w:rsid w:val="00C757A0"/>
    <w:rsid w:val="00C76019"/>
    <w:rsid w:val="00C7631A"/>
    <w:rsid w:val="00C768BB"/>
    <w:rsid w:val="00C76F35"/>
    <w:rsid w:val="00C76F9B"/>
    <w:rsid w:val="00C80873"/>
    <w:rsid w:val="00C808C8"/>
    <w:rsid w:val="00C80E0F"/>
    <w:rsid w:val="00C81911"/>
    <w:rsid w:val="00C82A83"/>
    <w:rsid w:val="00C82BC0"/>
    <w:rsid w:val="00C83D9E"/>
    <w:rsid w:val="00C84A4D"/>
    <w:rsid w:val="00C85843"/>
    <w:rsid w:val="00C8697B"/>
    <w:rsid w:val="00C86AEE"/>
    <w:rsid w:val="00C86F49"/>
    <w:rsid w:val="00C87541"/>
    <w:rsid w:val="00C8798A"/>
    <w:rsid w:val="00C90810"/>
    <w:rsid w:val="00C90956"/>
    <w:rsid w:val="00C9359B"/>
    <w:rsid w:val="00C93A45"/>
    <w:rsid w:val="00C95110"/>
    <w:rsid w:val="00C95454"/>
    <w:rsid w:val="00C956EC"/>
    <w:rsid w:val="00C95784"/>
    <w:rsid w:val="00C965E1"/>
    <w:rsid w:val="00C96BD6"/>
    <w:rsid w:val="00C96ECF"/>
    <w:rsid w:val="00C972FB"/>
    <w:rsid w:val="00CA04AF"/>
    <w:rsid w:val="00CA0876"/>
    <w:rsid w:val="00CA0CD2"/>
    <w:rsid w:val="00CA1044"/>
    <w:rsid w:val="00CA17BE"/>
    <w:rsid w:val="00CA1E24"/>
    <w:rsid w:val="00CA2CDE"/>
    <w:rsid w:val="00CA365C"/>
    <w:rsid w:val="00CA39C9"/>
    <w:rsid w:val="00CA3A96"/>
    <w:rsid w:val="00CA3AB9"/>
    <w:rsid w:val="00CA3D2D"/>
    <w:rsid w:val="00CA4F49"/>
    <w:rsid w:val="00CA5400"/>
    <w:rsid w:val="00CA5A41"/>
    <w:rsid w:val="00CA64E8"/>
    <w:rsid w:val="00CA6507"/>
    <w:rsid w:val="00CB0157"/>
    <w:rsid w:val="00CB0BA2"/>
    <w:rsid w:val="00CB18A4"/>
    <w:rsid w:val="00CB232C"/>
    <w:rsid w:val="00CB312C"/>
    <w:rsid w:val="00CB38D2"/>
    <w:rsid w:val="00CB4650"/>
    <w:rsid w:val="00CB5262"/>
    <w:rsid w:val="00CB561B"/>
    <w:rsid w:val="00CB58CA"/>
    <w:rsid w:val="00CB6B33"/>
    <w:rsid w:val="00CB7F2E"/>
    <w:rsid w:val="00CC05D9"/>
    <w:rsid w:val="00CC0928"/>
    <w:rsid w:val="00CC0EDA"/>
    <w:rsid w:val="00CC201B"/>
    <w:rsid w:val="00CC266C"/>
    <w:rsid w:val="00CC2DDB"/>
    <w:rsid w:val="00CC32EE"/>
    <w:rsid w:val="00CC38D3"/>
    <w:rsid w:val="00CC4524"/>
    <w:rsid w:val="00CC48F2"/>
    <w:rsid w:val="00CC4E66"/>
    <w:rsid w:val="00CC4F7C"/>
    <w:rsid w:val="00CC54CF"/>
    <w:rsid w:val="00CC5B91"/>
    <w:rsid w:val="00CC7570"/>
    <w:rsid w:val="00CD0D40"/>
    <w:rsid w:val="00CD1720"/>
    <w:rsid w:val="00CD2120"/>
    <w:rsid w:val="00CD2C0E"/>
    <w:rsid w:val="00CD3014"/>
    <w:rsid w:val="00CD3287"/>
    <w:rsid w:val="00CD3516"/>
    <w:rsid w:val="00CD546A"/>
    <w:rsid w:val="00CD5CB3"/>
    <w:rsid w:val="00CD6003"/>
    <w:rsid w:val="00CD665F"/>
    <w:rsid w:val="00CD6D2C"/>
    <w:rsid w:val="00CD6F1A"/>
    <w:rsid w:val="00CD7DE0"/>
    <w:rsid w:val="00CE0613"/>
    <w:rsid w:val="00CE0C8A"/>
    <w:rsid w:val="00CE0E49"/>
    <w:rsid w:val="00CE1CDB"/>
    <w:rsid w:val="00CE3210"/>
    <w:rsid w:val="00CE362D"/>
    <w:rsid w:val="00CE382F"/>
    <w:rsid w:val="00CE3940"/>
    <w:rsid w:val="00CE454F"/>
    <w:rsid w:val="00CE5769"/>
    <w:rsid w:val="00CE6B2F"/>
    <w:rsid w:val="00CE73AA"/>
    <w:rsid w:val="00CE7B96"/>
    <w:rsid w:val="00CF0E5B"/>
    <w:rsid w:val="00CF2353"/>
    <w:rsid w:val="00CF2606"/>
    <w:rsid w:val="00CF2C2B"/>
    <w:rsid w:val="00CF2D10"/>
    <w:rsid w:val="00CF3226"/>
    <w:rsid w:val="00CF395C"/>
    <w:rsid w:val="00CF3D60"/>
    <w:rsid w:val="00CF3F92"/>
    <w:rsid w:val="00CF3FA3"/>
    <w:rsid w:val="00CF4097"/>
    <w:rsid w:val="00CF416F"/>
    <w:rsid w:val="00CF4B73"/>
    <w:rsid w:val="00CF52CE"/>
    <w:rsid w:val="00CF58FD"/>
    <w:rsid w:val="00CF5E0D"/>
    <w:rsid w:val="00CF68CE"/>
    <w:rsid w:val="00CF76BD"/>
    <w:rsid w:val="00CF7A2A"/>
    <w:rsid w:val="00CF7C30"/>
    <w:rsid w:val="00D00155"/>
    <w:rsid w:val="00D026FA"/>
    <w:rsid w:val="00D05897"/>
    <w:rsid w:val="00D05CCF"/>
    <w:rsid w:val="00D05CF0"/>
    <w:rsid w:val="00D0652E"/>
    <w:rsid w:val="00D0793D"/>
    <w:rsid w:val="00D10307"/>
    <w:rsid w:val="00D10841"/>
    <w:rsid w:val="00D10D52"/>
    <w:rsid w:val="00D11139"/>
    <w:rsid w:val="00D11434"/>
    <w:rsid w:val="00D12EFF"/>
    <w:rsid w:val="00D13055"/>
    <w:rsid w:val="00D136EF"/>
    <w:rsid w:val="00D13F67"/>
    <w:rsid w:val="00D141FD"/>
    <w:rsid w:val="00D14CB5"/>
    <w:rsid w:val="00D15446"/>
    <w:rsid w:val="00D157B1"/>
    <w:rsid w:val="00D15B10"/>
    <w:rsid w:val="00D169B4"/>
    <w:rsid w:val="00D16BE1"/>
    <w:rsid w:val="00D17391"/>
    <w:rsid w:val="00D17886"/>
    <w:rsid w:val="00D201B0"/>
    <w:rsid w:val="00D2027C"/>
    <w:rsid w:val="00D219F5"/>
    <w:rsid w:val="00D21B2D"/>
    <w:rsid w:val="00D22622"/>
    <w:rsid w:val="00D24143"/>
    <w:rsid w:val="00D24588"/>
    <w:rsid w:val="00D25EA7"/>
    <w:rsid w:val="00D26CDD"/>
    <w:rsid w:val="00D26FFC"/>
    <w:rsid w:val="00D275E7"/>
    <w:rsid w:val="00D302C9"/>
    <w:rsid w:val="00D3091B"/>
    <w:rsid w:val="00D31886"/>
    <w:rsid w:val="00D32B70"/>
    <w:rsid w:val="00D33377"/>
    <w:rsid w:val="00D33B2E"/>
    <w:rsid w:val="00D352CF"/>
    <w:rsid w:val="00D354A4"/>
    <w:rsid w:val="00D36AB7"/>
    <w:rsid w:val="00D36DA2"/>
    <w:rsid w:val="00D36E65"/>
    <w:rsid w:val="00D37024"/>
    <w:rsid w:val="00D37EF2"/>
    <w:rsid w:val="00D4013A"/>
    <w:rsid w:val="00D403B1"/>
    <w:rsid w:val="00D41181"/>
    <w:rsid w:val="00D42F49"/>
    <w:rsid w:val="00D43195"/>
    <w:rsid w:val="00D43343"/>
    <w:rsid w:val="00D437F4"/>
    <w:rsid w:val="00D449DD"/>
    <w:rsid w:val="00D45F9C"/>
    <w:rsid w:val="00D46539"/>
    <w:rsid w:val="00D46FEA"/>
    <w:rsid w:val="00D50E8D"/>
    <w:rsid w:val="00D51A3E"/>
    <w:rsid w:val="00D52A80"/>
    <w:rsid w:val="00D52E84"/>
    <w:rsid w:val="00D53CCE"/>
    <w:rsid w:val="00D5576C"/>
    <w:rsid w:val="00D55863"/>
    <w:rsid w:val="00D55999"/>
    <w:rsid w:val="00D56077"/>
    <w:rsid w:val="00D56392"/>
    <w:rsid w:val="00D57221"/>
    <w:rsid w:val="00D57861"/>
    <w:rsid w:val="00D60807"/>
    <w:rsid w:val="00D60AC5"/>
    <w:rsid w:val="00D61E6E"/>
    <w:rsid w:val="00D625A4"/>
    <w:rsid w:val="00D62AF7"/>
    <w:rsid w:val="00D62B74"/>
    <w:rsid w:val="00D62EBE"/>
    <w:rsid w:val="00D632E2"/>
    <w:rsid w:val="00D632EE"/>
    <w:rsid w:val="00D6383C"/>
    <w:rsid w:val="00D648C8"/>
    <w:rsid w:val="00D65BA9"/>
    <w:rsid w:val="00D65C37"/>
    <w:rsid w:val="00D65FED"/>
    <w:rsid w:val="00D665F1"/>
    <w:rsid w:val="00D66C83"/>
    <w:rsid w:val="00D67A83"/>
    <w:rsid w:val="00D67DEE"/>
    <w:rsid w:val="00D67E23"/>
    <w:rsid w:val="00D70228"/>
    <w:rsid w:val="00D710B7"/>
    <w:rsid w:val="00D7111A"/>
    <w:rsid w:val="00D7119E"/>
    <w:rsid w:val="00D7134F"/>
    <w:rsid w:val="00D72D13"/>
    <w:rsid w:val="00D742FA"/>
    <w:rsid w:val="00D74FA5"/>
    <w:rsid w:val="00D7513E"/>
    <w:rsid w:val="00D75FF7"/>
    <w:rsid w:val="00D76AEA"/>
    <w:rsid w:val="00D77003"/>
    <w:rsid w:val="00D81445"/>
    <w:rsid w:val="00D81C8F"/>
    <w:rsid w:val="00D82046"/>
    <w:rsid w:val="00D82638"/>
    <w:rsid w:val="00D84903"/>
    <w:rsid w:val="00D850A2"/>
    <w:rsid w:val="00D8764A"/>
    <w:rsid w:val="00D87D0F"/>
    <w:rsid w:val="00D905EA"/>
    <w:rsid w:val="00D90DAE"/>
    <w:rsid w:val="00D91096"/>
    <w:rsid w:val="00D91853"/>
    <w:rsid w:val="00D927B3"/>
    <w:rsid w:val="00D92EEE"/>
    <w:rsid w:val="00D93755"/>
    <w:rsid w:val="00D94156"/>
    <w:rsid w:val="00D94243"/>
    <w:rsid w:val="00D952E3"/>
    <w:rsid w:val="00D959C3"/>
    <w:rsid w:val="00D961DB"/>
    <w:rsid w:val="00D96D6F"/>
    <w:rsid w:val="00D972AF"/>
    <w:rsid w:val="00D97B98"/>
    <w:rsid w:val="00D97F4F"/>
    <w:rsid w:val="00DA0F7C"/>
    <w:rsid w:val="00DA1C08"/>
    <w:rsid w:val="00DA2221"/>
    <w:rsid w:val="00DA230E"/>
    <w:rsid w:val="00DA238F"/>
    <w:rsid w:val="00DA32D1"/>
    <w:rsid w:val="00DA34A1"/>
    <w:rsid w:val="00DA3BDE"/>
    <w:rsid w:val="00DA452D"/>
    <w:rsid w:val="00DA5CCD"/>
    <w:rsid w:val="00DA6C70"/>
    <w:rsid w:val="00DA6F69"/>
    <w:rsid w:val="00DA7963"/>
    <w:rsid w:val="00DA79CD"/>
    <w:rsid w:val="00DB0365"/>
    <w:rsid w:val="00DB0A20"/>
    <w:rsid w:val="00DB3D9F"/>
    <w:rsid w:val="00DB449C"/>
    <w:rsid w:val="00DB47A4"/>
    <w:rsid w:val="00DB49B7"/>
    <w:rsid w:val="00DB4A57"/>
    <w:rsid w:val="00DB6899"/>
    <w:rsid w:val="00DB7C8B"/>
    <w:rsid w:val="00DB7C8D"/>
    <w:rsid w:val="00DC056A"/>
    <w:rsid w:val="00DC0875"/>
    <w:rsid w:val="00DC1A8A"/>
    <w:rsid w:val="00DC2095"/>
    <w:rsid w:val="00DC29FE"/>
    <w:rsid w:val="00DC3D30"/>
    <w:rsid w:val="00DC3E2B"/>
    <w:rsid w:val="00DC4075"/>
    <w:rsid w:val="00DC4397"/>
    <w:rsid w:val="00DC5DDD"/>
    <w:rsid w:val="00DC7014"/>
    <w:rsid w:val="00DD0194"/>
    <w:rsid w:val="00DD02B3"/>
    <w:rsid w:val="00DD0787"/>
    <w:rsid w:val="00DD2A0C"/>
    <w:rsid w:val="00DD2A39"/>
    <w:rsid w:val="00DD2FB0"/>
    <w:rsid w:val="00DD33CB"/>
    <w:rsid w:val="00DD3F57"/>
    <w:rsid w:val="00DD4230"/>
    <w:rsid w:val="00DD5446"/>
    <w:rsid w:val="00DD5856"/>
    <w:rsid w:val="00DD5F7C"/>
    <w:rsid w:val="00DD77A1"/>
    <w:rsid w:val="00DD786C"/>
    <w:rsid w:val="00DD793F"/>
    <w:rsid w:val="00DE01F9"/>
    <w:rsid w:val="00DE047C"/>
    <w:rsid w:val="00DE167A"/>
    <w:rsid w:val="00DE3339"/>
    <w:rsid w:val="00DE4BAD"/>
    <w:rsid w:val="00DE5355"/>
    <w:rsid w:val="00DE5B0B"/>
    <w:rsid w:val="00DE61F9"/>
    <w:rsid w:val="00DE70D3"/>
    <w:rsid w:val="00DE7A04"/>
    <w:rsid w:val="00DF074C"/>
    <w:rsid w:val="00DF0952"/>
    <w:rsid w:val="00DF0CAA"/>
    <w:rsid w:val="00DF0CD1"/>
    <w:rsid w:val="00DF13B7"/>
    <w:rsid w:val="00DF23B1"/>
    <w:rsid w:val="00DF24D2"/>
    <w:rsid w:val="00DF3F55"/>
    <w:rsid w:val="00DF420C"/>
    <w:rsid w:val="00DF49C4"/>
    <w:rsid w:val="00DF4C9D"/>
    <w:rsid w:val="00DF51B3"/>
    <w:rsid w:val="00E01A5C"/>
    <w:rsid w:val="00E02537"/>
    <w:rsid w:val="00E02959"/>
    <w:rsid w:val="00E02D2A"/>
    <w:rsid w:val="00E030C3"/>
    <w:rsid w:val="00E03331"/>
    <w:rsid w:val="00E048BB"/>
    <w:rsid w:val="00E056E7"/>
    <w:rsid w:val="00E06468"/>
    <w:rsid w:val="00E077F2"/>
    <w:rsid w:val="00E10A8E"/>
    <w:rsid w:val="00E10B9D"/>
    <w:rsid w:val="00E10CA1"/>
    <w:rsid w:val="00E11C60"/>
    <w:rsid w:val="00E12544"/>
    <w:rsid w:val="00E14187"/>
    <w:rsid w:val="00E16210"/>
    <w:rsid w:val="00E20F96"/>
    <w:rsid w:val="00E21A35"/>
    <w:rsid w:val="00E21CC8"/>
    <w:rsid w:val="00E22BD4"/>
    <w:rsid w:val="00E2504B"/>
    <w:rsid w:val="00E26AD4"/>
    <w:rsid w:val="00E2751E"/>
    <w:rsid w:val="00E2785D"/>
    <w:rsid w:val="00E30FC4"/>
    <w:rsid w:val="00E31078"/>
    <w:rsid w:val="00E3208F"/>
    <w:rsid w:val="00E321B5"/>
    <w:rsid w:val="00E32688"/>
    <w:rsid w:val="00E33324"/>
    <w:rsid w:val="00E3361E"/>
    <w:rsid w:val="00E33769"/>
    <w:rsid w:val="00E33B55"/>
    <w:rsid w:val="00E33BAD"/>
    <w:rsid w:val="00E33FFE"/>
    <w:rsid w:val="00E34FDC"/>
    <w:rsid w:val="00E3514D"/>
    <w:rsid w:val="00E353FB"/>
    <w:rsid w:val="00E36375"/>
    <w:rsid w:val="00E36B0E"/>
    <w:rsid w:val="00E37034"/>
    <w:rsid w:val="00E37294"/>
    <w:rsid w:val="00E4000C"/>
    <w:rsid w:val="00E403BA"/>
    <w:rsid w:val="00E40805"/>
    <w:rsid w:val="00E41E74"/>
    <w:rsid w:val="00E42085"/>
    <w:rsid w:val="00E426BF"/>
    <w:rsid w:val="00E42780"/>
    <w:rsid w:val="00E42783"/>
    <w:rsid w:val="00E42D1E"/>
    <w:rsid w:val="00E43307"/>
    <w:rsid w:val="00E43C9F"/>
    <w:rsid w:val="00E4559D"/>
    <w:rsid w:val="00E45C73"/>
    <w:rsid w:val="00E46278"/>
    <w:rsid w:val="00E46F00"/>
    <w:rsid w:val="00E47614"/>
    <w:rsid w:val="00E47AC8"/>
    <w:rsid w:val="00E47D1D"/>
    <w:rsid w:val="00E47F6E"/>
    <w:rsid w:val="00E50CFA"/>
    <w:rsid w:val="00E51433"/>
    <w:rsid w:val="00E51AE6"/>
    <w:rsid w:val="00E52742"/>
    <w:rsid w:val="00E527FA"/>
    <w:rsid w:val="00E53510"/>
    <w:rsid w:val="00E53651"/>
    <w:rsid w:val="00E54264"/>
    <w:rsid w:val="00E5430C"/>
    <w:rsid w:val="00E545E5"/>
    <w:rsid w:val="00E54AFD"/>
    <w:rsid w:val="00E5534F"/>
    <w:rsid w:val="00E55D19"/>
    <w:rsid w:val="00E60A0E"/>
    <w:rsid w:val="00E60B77"/>
    <w:rsid w:val="00E60F8F"/>
    <w:rsid w:val="00E61B8F"/>
    <w:rsid w:val="00E62DA5"/>
    <w:rsid w:val="00E63439"/>
    <w:rsid w:val="00E63C48"/>
    <w:rsid w:val="00E6457A"/>
    <w:rsid w:val="00E64D73"/>
    <w:rsid w:val="00E65516"/>
    <w:rsid w:val="00E669F4"/>
    <w:rsid w:val="00E67111"/>
    <w:rsid w:val="00E679B7"/>
    <w:rsid w:val="00E701F1"/>
    <w:rsid w:val="00E7039D"/>
    <w:rsid w:val="00E71334"/>
    <w:rsid w:val="00E71A2A"/>
    <w:rsid w:val="00E72DD4"/>
    <w:rsid w:val="00E72F14"/>
    <w:rsid w:val="00E72FFE"/>
    <w:rsid w:val="00E74235"/>
    <w:rsid w:val="00E74558"/>
    <w:rsid w:val="00E74CC0"/>
    <w:rsid w:val="00E75CF9"/>
    <w:rsid w:val="00E76DC3"/>
    <w:rsid w:val="00E81E4C"/>
    <w:rsid w:val="00E820A3"/>
    <w:rsid w:val="00E82345"/>
    <w:rsid w:val="00E82695"/>
    <w:rsid w:val="00E84844"/>
    <w:rsid w:val="00E85319"/>
    <w:rsid w:val="00E8531E"/>
    <w:rsid w:val="00E85841"/>
    <w:rsid w:val="00E85BE9"/>
    <w:rsid w:val="00E86424"/>
    <w:rsid w:val="00E864BB"/>
    <w:rsid w:val="00E86507"/>
    <w:rsid w:val="00E86A94"/>
    <w:rsid w:val="00E87A80"/>
    <w:rsid w:val="00E9124E"/>
    <w:rsid w:val="00E91D95"/>
    <w:rsid w:val="00E9220A"/>
    <w:rsid w:val="00E92C6D"/>
    <w:rsid w:val="00E92F40"/>
    <w:rsid w:val="00E9319C"/>
    <w:rsid w:val="00E94858"/>
    <w:rsid w:val="00E94FD2"/>
    <w:rsid w:val="00E958C1"/>
    <w:rsid w:val="00E95E3A"/>
    <w:rsid w:val="00E96009"/>
    <w:rsid w:val="00E9628E"/>
    <w:rsid w:val="00E97581"/>
    <w:rsid w:val="00E97F5D"/>
    <w:rsid w:val="00EA0117"/>
    <w:rsid w:val="00EA04CE"/>
    <w:rsid w:val="00EA0878"/>
    <w:rsid w:val="00EA1E00"/>
    <w:rsid w:val="00EA2246"/>
    <w:rsid w:val="00EA266E"/>
    <w:rsid w:val="00EA2BFA"/>
    <w:rsid w:val="00EA418B"/>
    <w:rsid w:val="00EA5335"/>
    <w:rsid w:val="00EA6606"/>
    <w:rsid w:val="00EA681B"/>
    <w:rsid w:val="00EA6B77"/>
    <w:rsid w:val="00EB0D04"/>
    <w:rsid w:val="00EB0D9C"/>
    <w:rsid w:val="00EB2526"/>
    <w:rsid w:val="00EB28F9"/>
    <w:rsid w:val="00EB3456"/>
    <w:rsid w:val="00EB3B72"/>
    <w:rsid w:val="00EB7826"/>
    <w:rsid w:val="00EB7E2A"/>
    <w:rsid w:val="00EB7FFE"/>
    <w:rsid w:val="00EC0905"/>
    <w:rsid w:val="00EC0C71"/>
    <w:rsid w:val="00EC24AE"/>
    <w:rsid w:val="00EC2B74"/>
    <w:rsid w:val="00EC4151"/>
    <w:rsid w:val="00EC41A3"/>
    <w:rsid w:val="00EC504E"/>
    <w:rsid w:val="00EC5337"/>
    <w:rsid w:val="00EC5351"/>
    <w:rsid w:val="00EC5A81"/>
    <w:rsid w:val="00EC674B"/>
    <w:rsid w:val="00EC68ED"/>
    <w:rsid w:val="00EC6D6E"/>
    <w:rsid w:val="00EC6DE0"/>
    <w:rsid w:val="00EC717D"/>
    <w:rsid w:val="00EC77FF"/>
    <w:rsid w:val="00EC7D55"/>
    <w:rsid w:val="00ED017D"/>
    <w:rsid w:val="00ED0C5E"/>
    <w:rsid w:val="00ED1A3A"/>
    <w:rsid w:val="00ED1E18"/>
    <w:rsid w:val="00ED294F"/>
    <w:rsid w:val="00ED2964"/>
    <w:rsid w:val="00ED3101"/>
    <w:rsid w:val="00ED3744"/>
    <w:rsid w:val="00ED3F51"/>
    <w:rsid w:val="00ED4166"/>
    <w:rsid w:val="00ED4A2B"/>
    <w:rsid w:val="00ED4B09"/>
    <w:rsid w:val="00ED6316"/>
    <w:rsid w:val="00ED6FEF"/>
    <w:rsid w:val="00ED7A92"/>
    <w:rsid w:val="00ED7B13"/>
    <w:rsid w:val="00EE080D"/>
    <w:rsid w:val="00EE11B5"/>
    <w:rsid w:val="00EE1EB4"/>
    <w:rsid w:val="00EE4135"/>
    <w:rsid w:val="00EE4869"/>
    <w:rsid w:val="00EE55A3"/>
    <w:rsid w:val="00EE5D94"/>
    <w:rsid w:val="00EE6C4B"/>
    <w:rsid w:val="00EE6EB6"/>
    <w:rsid w:val="00EE6EC4"/>
    <w:rsid w:val="00EF1594"/>
    <w:rsid w:val="00EF2CDC"/>
    <w:rsid w:val="00EF4BDE"/>
    <w:rsid w:val="00EF4DCC"/>
    <w:rsid w:val="00EF56E7"/>
    <w:rsid w:val="00EF6578"/>
    <w:rsid w:val="00EF6B03"/>
    <w:rsid w:val="00EF6E44"/>
    <w:rsid w:val="00F008B6"/>
    <w:rsid w:val="00F008C8"/>
    <w:rsid w:val="00F01061"/>
    <w:rsid w:val="00F01574"/>
    <w:rsid w:val="00F024B0"/>
    <w:rsid w:val="00F026B2"/>
    <w:rsid w:val="00F029B4"/>
    <w:rsid w:val="00F02CD4"/>
    <w:rsid w:val="00F03219"/>
    <w:rsid w:val="00F033E3"/>
    <w:rsid w:val="00F03DB3"/>
    <w:rsid w:val="00F04982"/>
    <w:rsid w:val="00F04B10"/>
    <w:rsid w:val="00F05075"/>
    <w:rsid w:val="00F06990"/>
    <w:rsid w:val="00F06AEA"/>
    <w:rsid w:val="00F076E1"/>
    <w:rsid w:val="00F079B8"/>
    <w:rsid w:val="00F106BB"/>
    <w:rsid w:val="00F10B0A"/>
    <w:rsid w:val="00F13936"/>
    <w:rsid w:val="00F13EC2"/>
    <w:rsid w:val="00F141EB"/>
    <w:rsid w:val="00F156B4"/>
    <w:rsid w:val="00F15BD4"/>
    <w:rsid w:val="00F16AF2"/>
    <w:rsid w:val="00F2017B"/>
    <w:rsid w:val="00F20CE9"/>
    <w:rsid w:val="00F2616B"/>
    <w:rsid w:val="00F2762E"/>
    <w:rsid w:val="00F276A2"/>
    <w:rsid w:val="00F27915"/>
    <w:rsid w:val="00F27D5C"/>
    <w:rsid w:val="00F305E1"/>
    <w:rsid w:val="00F310F1"/>
    <w:rsid w:val="00F322EA"/>
    <w:rsid w:val="00F326AC"/>
    <w:rsid w:val="00F32DB8"/>
    <w:rsid w:val="00F32FB0"/>
    <w:rsid w:val="00F34586"/>
    <w:rsid w:val="00F3491E"/>
    <w:rsid w:val="00F35354"/>
    <w:rsid w:val="00F35DE7"/>
    <w:rsid w:val="00F36641"/>
    <w:rsid w:val="00F36876"/>
    <w:rsid w:val="00F37820"/>
    <w:rsid w:val="00F40435"/>
    <w:rsid w:val="00F40F1C"/>
    <w:rsid w:val="00F41092"/>
    <w:rsid w:val="00F41C73"/>
    <w:rsid w:val="00F41F71"/>
    <w:rsid w:val="00F42FEC"/>
    <w:rsid w:val="00F43462"/>
    <w:rsid w:val="00F43602"/>
    <w:rsid w:val="00F43769"/>
    <w:rsid w:val="00F4469B"/>
    <w:rsid w:val="00F44AC9"/>
    <w:rsid w:val="00F45299"/>
    <w:rsid w:val="00F45314"/>
    <w:rsid w:val="00F456C0"/>
    <w:rsid w:val="00F457BD"/>
    <w:rsid w:val="00F46832"/>
    <w:rsid w:val="00F46948"/>
    <w:rsid w:val="00F50457"/>
    <w:rsid w:val="00F508A0"/>
    <w:rsid w:val="00F50949"/>
    <w:rsid w:val="00F50BD2"/>
    <w:rsid w:val="00F51210"/>
    <w:rsid w:val="00F53C40"/>
    <w:rsid w:val="00F54B42"/>
    <w:rsid w:val="00F54E53"/>
    <w:rsid w:val="00F556AB"/>
    <w:rsid w:val="00F5739D"/>
    <w:rsid w:val="00F575EC"/>
    <w:rsid w:val="00F60434"/>
    <w:rsid w:val="00F605BC"/>
    <w:rsid w:val="00F60A60"/>
    <w:rsid w:val="00F6175E"/>
    <w:rsid w:val="00F61780"/>
    <w:rsid w:val="00F61C1E"/>
    <w:rsid w:val="00F61C8D"/>
    <w:rsid w:val="00F622AE"/>
    <w:rsid w:val="00F62512"/>
    <w:rsid w:val="00F62DBA"/>
    <w:rsid w:val="00F63916"/>
    <w:rsid w:val="00F64B38"/>
    <w:rsid w:val="00F6651D"/>
    <w:rsid w:val="00F66FDC"/>
    <w:rsid w:val="00F67479"/>
    <w:rsid w:val="00F67702"/>
    <w:rsid w:val="00F67B12"/>
    <w:rsid w:val="00F70842"/>
    <w:rsid w:val="00F70C3E"/>
    <w:rsid w:val="00F712A6"/>
    <w:rsid w:val="00F716F1"/>
    <w:rsid w:val="00F71CD4"/>
    <w:rsid w:val="00F72CDC"/>
    <w:rsid w:val="00F72EEF"/>
    <w:rsid w:val="00F72F7F"/>
    <w:rsid w:val="00F73734"/>
    <w:rsid w:val="00F73A9E"/>
    <w:rsid w:val="00F73B19"/>
    <w:rsid w:val="00F73CC4"/>
    <w:rsid w:val="00F73CC9"/>
    <w:rsid w:val="00F73F26"/>
    <w:rsid w:val="00F75186"/>
    <w:rsid w:val="00F77BE0"/>
    <w:rsid w:val="00F805DC"/>
    <w:rsid w:val="00F807B3"/>
    <w:rsid w:val="00F82A7C"/>
    <w:rsid w:val="00F83B6A"/>
    <w:rsid w:val="00F83B9A"/>
    <w:rsid w:val="00F84483"/>
    <w:rsid w:val="00F8485B"/>
    <w:rsid w:val="00F85CCB"/>
    <w:rsid w:val="00F86E6A"/>
    <w:rsid w:val="00F90186"/>
    <w:rsid w:val="00F90E93"/>
    <w:rsid w:val="00F91033"/>
    <w:rsid w:val="00F9176C"/>
    <w:rsid w:val="00F92A6E"/>
    <w:rsid w:val="00F94046"/>
    <w:rsid w:val="00F949A7"/>
    <w:rsid w:val="00F94B48"/>
    <w:rsid w:val="00F95383"/>
    <w:rsid w:val="00F958BB"/>
    <w:rsid w:val="00F96071"/>
    <w:rsid w:val="00F96530"/>
    <w:rsid w:val="00F965B3"/>
    <w:rsid w:val="00F97DE6"/>
    <w:rsid w:val="00FA14A3"/>
    <w:rsid w:val="00FA1C24"/>
    <w:rsid w:val="00FA2B08"/>
    <w:rsid w:val="00FA3C65"/>
    <w:rsid w:val="00FA3DDB"/>
    <w:rsid w:val="00FA44F2"/>
    <w:rsid w:val="00FA5428"/>
    <w:rsid w:val="00FA565E"/>
    <w:rsid w:val="00FA5D71"/>
    <w:rsid w:val="00FA61D9"/>
    <w:rsid w:val="00FA6717"/>
    <w:rsid w:val="00FA6BB8"/>
    <w:rsid w:val="00FA6BD8"/>
    <w:rsid w:val="00FA7F03"/>
    <w:rsid w:val="00FB08BB"/>
    <w:rsid w:val="00FB1942"/>
    <w:rsid w:val="00FB1CDD"/>
    <w:rsid w:val="00FB2321"/>
    <w:rsid w:val="00FB3723"/>
    <w:rsid w:val="00FB3863"/>
    <w:rsid w:val="00FB3BB9"/>
    <w:rsid w:val="00FB4031"/>
    <w:rsid w:val="00FB4782"/>
    <w:rsid w:val="00FB4D95"/>
    <w:rsid w:val="00FB61FB"/>
    <w:rsid w:val="00FB699B"/>
    <w:rsid w:val="00FB6BDA"/>
    <w:rsid w:val="00FC094C"/>
    <w:rsid w:val="00FC09A1"/>
    <w:rsid w:val="00FC0E90"/>
    <w:rsid w:val="00FC29D9"/>
    <w:rsid w:val="00FC4919"/>
    <w:rsid w:val="00FC4F21"/>
    <w:rsid w:val="00FD0009"/>
    <w:rsid w:val="00FD01CC"/>
    <w:rsid w:val="00FD0B1D"/>
    <w:rsid w:val="00FD0C28"/>
    <w:rsid w:val="00FD15CF"/>
    <w:rsid w:val="00FD200F"/>
    <w:rsid w:val="00FD204A"/>
    <w:rsid w:val="00FD33B6"/>
    <w:rsid w:val="00FD3CDB"/>
    <w:rsid w:val="00FD4449"/>
    <w:rsid w:val="00FD4DAC"/>
    <w:rsid w:val="00FD6910"/>
    <w:rsid w:val="00FD6A57"/>
    <w:rsid w:val="00FD7616"/>
    <w:rsid w:val="00FD7723"/>
    <w:rsid w:val="00FD7D85"/>
    <w:rsid w:val="00FD7E35"/>
    <w:rsid w:val="00FE04A5"/>
    <w:rsid w:val="00FE107F"/>
    <w:rsid w:val="00FE1935"/>
    <w:rsid w:val="00FE256D"/>
    <w:rsid w:val="00FE36C3"/>
    <w:rsid w:val="00FE409D"/>
    <w:rsid w:val="00FE451C"/>
    <w:rsid w:val="00FE4873"/>
    <w:rsid w:val="00FE5441"/>
    <w:rsid w:val="00FE67E5"/>
    <w:rsid w:val="00FE7F23"/>
    <w:rsid w:val="00FF009C"/>
    <w:rsid w:val="00FF0930"/>
    <w:rsid w:val="00FF2374"/>
    <w:rsid w:val="00FF296D"/>
    <w:rsid w:val="00FF2A4A"/>
    <w:rsid w:val="00FF2E18"/>
    <w:rsid w:val="00FF426C"/>
    <w:rsid w:val="00FF4622"/>
    <w:rsid w:val="00FF4B85"/>
    <w:rsid w:val="00FF55F9"/>
    <w:rsid w:val="00FF61E4"/>
    <w:rsid w:val="00FF6D16"/>
    <w:rsid w:val="00FF6F61"/>
    <w:rsid w:val="00FF7008"/>
    <w:rsid w:val="00FF7313"/>
    <w:rsid w:val="00FF79F7"/>
    <w:rsid w:val="025F680B"/>
    <w:rsid w:val="037C58C7"/>
    <w:rsid w:val="03F60D1F"/>
    <w:rsid w:val="05810708"/>
    <w:rsid w:val="058225AD"/>
    <w:rsid w:val="058267AF"/>
    <w:rsid w:val="0587368E"/>
    <w:rsid w:val="05A0459D"/>
    <w:rsid w:val="060F0619"/>
    <w:rsid w:val="0873367F"/>
    <w:rsid w:val="087E3AD0"/>
    <w:rsid w:val="08B01C83"/>
    <w:rsid w:val="09826A27"/>
    <w:rsid w:val="0CB0102E"/>
    <w:rsid w:val="0D736B0E"/>
    <w:rsid w:val="0EC55DE7"/>
    <w:rsid w:val="10AE1416"/>
    <w:rsid w:val="10E46253"/>
    <w:rsid w:val="10F10718"/>
    <w:rsid w:val="116228D8"/>
    <w:rsid w:val="16BE3B41"/>
    <w:rsid w:val="18E62683"/>
    <w:rsid w:val="18E72139"/>
    <w:rsid w:val="1CFB2AE6"/>
    <w:rsid w:val="1DAB57A0"/>
    <w:rsid w:val="1DE34686"/>
    <w:rsid w:val="1E321CF6"/>
    <w:rsid w:val="1E571F15"/>
    <w:rsid w:val="1F166815"/>
    <w:rsid w:val="1FA93343"/>
    <w:rsid w:val="1FC03E10"/>
    <w:rsid w:val="217B1A72"/>
    <w:rsid w:val="226743F2"/>
    <w:rsid w:val="23D221DD"/>
    <w:rsid w:val="23F30213"/>
    <w:rsid w:val="24250A45"/>
    <w:rsid w:val="255317E9"/>
    <w:rsid w:val="25BC07EA"/>
    <w:rsid w:val="29326B3A"/>
    <w:rsid w:val="2991091E"/>
    <w:rsid w:val="2B3C0616"/>
    <w:rsid w:val="2BF276CB"/>
    <w:rsid w:val="2D92033F"/>
    <w:rsid w:val="2FED2C84"/>
    <w:rsid w:val="31397CFC"/>
    <w:rsid w:val="31D529A8"/>
    <w:rsid w:val="328E2E1D"/>
    <w:rsid w:val="33376BA3"/>
    <w:rsid w:val="34655E70"/>
    <w:rsid w:val="348B7E2D"/>
    <w:rsid w:val="34C34577"/>
    <w:rsid w:val="34FB37E2"/>
    <w:rsid w:val="36372D12"/>
    <w:rsid w:val="3A5E430D"/>
    <w:rsid w:val="3C254083"/>
    <w:rsid w:val="3DB243F2"/>
    <w:rsid w:val="3DFD47C4"/>
    <w:rsid w:val="3E696707"/>
    <w:rsid w:val="3E8474B9"/>
    <w:rsid w:val="3FF77773"/>
    <w:rsid w:val="43260E41"/>
    <w:rsid w:val="43477AF3"/>
    <w:rsid w:val="437333F7"/>
    <w:rsid w:val="460C2FAD"/>
    <w:rsid w:val="468D2AE3"/>
    <w:rsid w:val="483F540E"/>
    <w:rsid w:val="4A0D447A"/>
    <w:rsid w:val="4BAE4DD0"/>
    <w:rsid w:val="4BB125AA"/>
    <w:rsid w:val="4BC7729A"/>
    <w:rsid w:val="50CF5943"/>
    <w:rsid w:val="52A26B88"/>
    <w:rsid w:val="544B6408"/>
    <w:rsid w:val="557C7756"/>
    <w:rsid w:val="558E5319"/>
    <w:rsid w:val="56B21D33"/>
    <w:rsid w:val="584134B3"/>
    <w:rsid w:val="5850642C"/>
    <w:rsid w:val="58BE0EDB"/>
    <w:rsid w:val="5ABC780E"/>
    <w:rsid w:val="5AD33812"/>
    <w:rsid w:val="5B4B016D"/>
    <w:rsid w:val="5CA13BA0"/>
    <w:rsid w:val="60002BB9"/>
    <w:rsid w:val="608E24ED"/>
    <w:rsid w:val="64412931"/>
    <w:rsid w:val="64C12E10"/>
    <w:rsid w:val="6562360B"/>
    <w:rsid w:val="65874914"/>
    <w:rsid w:val="65C562AE"/>
    <w:rsid w:val="662F36CB"/>
    <w:rsid w:val="682D088F"/>
    <w:rsid w:val="68711B0A"/>
    <w:rsid w:val="6C0B7765"/>
    <w:rsid w:val="6C853FAC"/>
    <w:rsid w:val="6CFE581D"/>
    <w:rsid w:val="6E595583"/>
    <w:rsid w:val="6FF05462"/>
    <w:rsid w:val="6FF87BD9"/>
    <w:rsid w:val="70315B84"/>
    <w:rsid w:val="72E70D6C"/>
    <w:rsid w:val="75133F0F"/>
    <w:rsid w:val="759C31B3"/>
    <w:rsid w:val="75EB0AC0"/>
    <w:rsid w:val="761101BF"/>
    <w:rsid w:val="767666EE"/>
    <w:rsid w:val="776465ED"/>
    <w:rsid w:val="785840FA"/>
    <w:rsid w:val="78E21719"/>
    <w:rsid w:val="790F78F7"/>
    <w:rsid w:val="7A3753B7"/>
    <w:rsid w:val="7B223B0B"/>
    <w:rsid w:val="7C7361AF"/>
    <w:rsid w:val="7D180EB4"/>
    <w:rsid w:val="7D2668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69"/>
    <w:qFormat/>
    <w:uiPriority w:val="0"/>
    <w:pPr>
      <w:keepNext/>
      <w:widowControl/>
      <w:numPr>
        <w:ilvl w:val="0"/>
        <w:numId w:val="1"/>
      </w:numPr>
      <w:tabs>
        <w:tab w:val="left" w:pos="3240"/>
        <w:tab w:val="clear" w:pos="720"/>
      </w:tabs>
      <w:autoSpaceDE w:val="0"/>
      <w:autoSpaceDN w:val="0"/>
      <w:adjustRightInd w:val="0"/>
      <w:spacing w:before="468" w:beforeLines="150" w:after="120" w:line="480" w:lineRule="exact"/>
      <w:ind w:left="2401" w:right="28"/>
      <w:jc w:val="center"/>
      <w:outlineLvl w:val="0"/>
    </w:pPr>
    <w:rPr>
      <w:rFonts w:ascii="CG Times" w:hAnsi="CG Times"/>
      <w:b/>
      <w:kern w:val="0"/>
      <w:sz w:val="28"/>
      <w:szCs w:val="20"/>
    </w:rPr>
  </w:style>
  <w:style w:type="paragraph" w:styleId="3">
    <w:name w:val="heading 2"/>
    <w:basedOn w:val="1"/>
    <w:next w:val="4"/>
    <w:qFormat/>
    <w:uiPriority w:val="0"/>
    <w:pPr>
      <w:keepNext/>
      <w:widowControl/>
      <w:numPr>
        <w:ilvl w:val="1"/>
        <w:numId w:val="1"/>
      </w:numPr>
      <w:autoSpaceDE w:val="0"/>
      <w:autoSpaceDN w:val="0"/>
      <w:adjustRightInd w:val="0"/>
      <w:spacing w:before="360" w:beforeLines="150" w:after="120"/>
      <w:jc w:val="left"/>
      <w:outlineLvl w:val="1"/>
    </w:pPr>
    <w:rPr>
      <w:rFonts w:ascii="CG Times" w:hAnsi="CG Times"/>
      <w:b/>
      <w:color w:val="000000"/>
      <w:kern w:val="0"/>
      <w:sz w:val="28"/>
      <w:szCs w:val="20"/>
    </w:rPr>
  </w:style>
  <w:style w:type="paragraph" w:styleId="5">
    <w:name w:val="heading 3"/>
    <w:basedOn w:val="1"/>
    <w:next w:val="1"/>
    <w:link w:val="68"/>
    <w:qFormat/>
    <w:uiPriority w:val="0"/>
    <w:pPr>
      <w:numPr>
        <w:ilvl w:val="2"/>
        <w:numId w:val="1"/>
      </w:numPr>
      <w:autoSpaceDE w:val="0"/>
      <w:autoSpaceDN w:val="0"/>
      <w:adjustRightInd w:val="0"/>
      <w:spacing w:before="120" w:after="120" w:afterLines="50"/>
      <w:outlineLvl w:val="2"/>
    </w:pPr>
    <w:rPr>
      <w:rFonts w:ascii="CG Times" w:hAnsi="CG Times"/>
      <w:color w:val="000000"/>
      <w:kern w:val="0"/>
      <w:szCs w:val="20"/>
    </w:rPr>
  </w:style>
  <w:style w:type="paragraph" w:styleId="6">
    <w:name w:val="heading 4"/>
    <w:basedOn w:val="1"/>
    <w:next w:val="1"/>
    <w:qFormat/>
    <w:uiPriority w:val="0"/>
    <w:pPr>
      <w:numPr>
        <w:ilvl w:val="3"/>
        <w:numId w:val="1"/>
      </w:numPr>
      <w:autoSpaceDE w:val="0"/>
      <w:autoSpaceDN w:val="0"/>
      <w:adjustRightInd w:val="0"/>
      <w:spacing w:before="120" w:after="120" w:afterLines="50"/>
      <w:outlineLvl w:val="3"/>
    </w:pPr>
    <w:rPr>
      <w:rFonts w:ascii="CG Times" w:hAnsi="CG Times"/>
      <w:bCs/>
      <w:kern w:val="0"/>
      <w:szCs w:val="20"/>
    </w:rPr>
  </w:style>
  <w:style w:type="paragraph" w:styleId="7">
    <w:name w:val="heading 5"/>
    <w:basedOn w:val="1"/>
    <w:next w:val="1"/>
    <w:qFormat/>
    <w:uiPriority w:val="0"/>
    <w:pPr>
      <w:numPr>
        <w:ilvl w:val="0"/>
        <w:numId w:val="2"/>
      </w:numPr>
      <w:autoSpaceDE w:val="0"/>
      <w:autoSpaceDN w:val="0"/>
      <w:adjustRightInd w:val="0"/>
      <w:snapToGrid w:val="0"/>
      <w:spacing w:before="120" w:after="120" w:afterLines="50"/>
      <w:outlineLvl w:val="4"/>
    </w:pPr>
    <w:rPr>
      <w:rFonts w:ascii="CG Times" w:hAnsi="CG Times"/>
      <w:color w:val="000000"/>
      <w:kern w:val="0"/>
      <w:szCs w:val="20"/>
    </w:rPr>
  </w:style>
  <w:style w:type="paragraph" w:styleId="8">
    <w:name w:val="heading 6"/>
    <w:basedOn w:val="1"/>
    <w:next w:val="1"/>
    <w:qFormat/>
    <w:uiPriority w:val="0"/>
    <w:pPr>
      <w:widowControl/>
      <w:numPr>
        <w:ilvl w:val="5"/>
        <w:numId w:val="1"/>
      </w:numPr>
      <w:autoSpaceDE w:val="0"/>
      <w:autoSpaceDN w:val="0"/>
      <w:adjustRightInd w:val="0"/>
      <w:spacing w:before="240" w:after="60" w:line="480" w:lineRule="exact"/>
      <w:ind w:right="389"/>
      <w:outlineLvl w:val="5"/>
    </w:pPr>
    <w:rPr>
      <w:rFonts w:ascii="CG Times" w:hAnsi="CG Times"/>
      <w:b/>
      <w:kern w:val="0"/>
      <w:sz w:val="22"/>
      <w:szCs w:val="20"/>
    </w:rPr>
  </w:style>
  <w:style w:type="paragraph" w:styleId="9">
    <w:name w:val="heading 7"/>
    <w:basedOn w:val="1"/>
    <w:next w:val="1"/>
    <w:qFormat/>
    <w:uiPriority w:val="0"/>
    <w:pPr>
      <w:widowControl/>
      <w:numPr>
        <w:ilvl w:val="6"/>
        <w:numId w:val="1"/>
      </w:numPr>
      <w:autoSpaceDE w:val="0"/>
      <w:autoSpaceDN w:val="0"/>
      <w:adjustRightInd w:val="0"/>
      <w:spacing w:before="240" w:after="60" w:line="480" w:lineRule="exact"/>
      <w:ind w:right="389"/>
      <w:outlineLvl w:val="6"/>
    </w:pPr>
    <w:rPr>
      <w:rFonts w:ascii="CG Times" w:hAnsi="CG Times"/>
      <w:kern w:val="0"/>
      <w:szCs w:val="20"/>
    </w:rPr>
  </w:style>
  <w:style w:type="paragraph" w:styleId="10">
    <w:name w:val="heading 8"/>
    <w:basedOn w:val="1"/>
    <w:next w:val="1"/>
    <w:qFormat/>
    <w:uiPriority w:val="0"/>
    <w:pPr>
      <w:widowControl/>
      <w:numPr>
        <w:ilvl w:val="7"/>
        <w:numId w:val="1"/>
      </w:numPr>
      <w:autoSpaceDE w:val="0"/>
      <w:autoSpaceDN w:val="0"/>
      <w:adjustRightInd w:val="0"/>
      <w:spacing w:before="240" w:after="60" w:line="480" w:lineRule="exact"/>
      <w:ind w:right="389"/>
      <w:outlineLvl w:val="7"/>
    </w:pPr>
    <w:rPr>
      <w:rFonts w:ascii="CG Times" w:hAnsi="CG Times"/>
      <w:i/>
      <w:kern w:val="0"/>
      <w:szCs w:val="20"/>
    </w:rPr>
  </w:style>
  <w:style w:type="paragraph" w:styleId="11">
    <w:name w:val="heading 9"/>
    <w:basedOn w:val="1"/>
    <w:next w:val="1"/>
    <w:qFormat/>
    <w:uiPriority w:val="0"/>
    <w:pPr>
      <w:widowControl/>
      <w:numPr>
        <w:ilvl w:val="8"/>
        <w:numId w:val="1"/>
      </w:numPr>
      <w:autoSpaceDE w:val="0"/>
      <w:autoSpaceDN w:val="0"/>
      <w:adjustRightInd w:val="0"/>
      <w:spacing w:before="240" w:after="60" w:line="480" w:lineRule="exact"/>
      <w:ind w:right="389"/>
      <w:outlineLvl w:val="8"/>
    </w:pPr>
    <w:rPr>
      <w:rFonts w:ascii="Arial" w:hAnsi="Arial"/>
      <w:kern w:val="0"/>
      <w:sz w:val="22"/>
      <w:szCs w:val="20"/>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Layout w:type="fixed"/>
      <w:tblCellMar>
        <w:top w:w="0" w:type="dxa"/>
        <w:left w:w="108" w:type="dxa"/>
        <w:bottom w:w="0" w:type="dxa"/>
        <w:right w:w="108" w:type="dxa"/>
      </w:tblCellMar>
    </w:tblPr>
  </w:style>
  <w:style w:type="paragraph" w:styleId="4">
    <w:name w:val="Normal Indent"/>
    <w:basedOn w:val="1"/>
    <w:qFormat/>
    <w:uiPriority w:val="0"/>
    <w:pPr>
      <w:spacing w:before="120"/>
      <w:ind w:firstLine="720" w:firstLineChars="300"/>
    </w:pPr>
    <w:rPr>
      <w:rFonts w:ascii="CG Times" w:hAnsi="CG Times"/>
      <w:bCs/>
    </w:rPr>
  </w:style>
  <w:style w:type="paragraph" w:styleId="12">
    <w:name w:val="toc 7"/>
    <w:basedOn w:val="1"/>
    <w:next w:val="1"/>
    <w:qFormat/>
    <w:uiPriority w:val="39"/>
    <w:pPr>
      <w:spacing w:before="0"/>
      <w:ind w:left="1440"/>
      <w:jc w:val="left"/>
    </w:pPr>
    <w:rPr>
      <w:szCs w:val="21"/>
    </w:rPr>
  </w:style>
  <w:style w:type="paragraph" w:styleId="13">
    <w:name w:val="Document Map"/>
    <w:basedOn w:val="1"/>
    <w:semiHidden/>
    <w:qFormat/>
    <w:uiPriority w:val="0"/>
    <w:pPr>
      <w:shd w:val="clear" w:color="auto" w:fill="000080"/>
    </w:pPr>
  </w:style>
  <w:style w:type="paragraph" w:styleId="14">
    <w:name w:val="annotation text"/>
    <w:basedOn w:val="1"/>
    <w:semiHidden/>
    <w:qFormat/>
    <w:uiPriority w:val="0"/>
    <w:pPr>
      <w:widowControl/>
      <w:autoSpaceDE w:val="0"/>
      <w:autoSpaceDN w:val="0"/>
      <w:adjustRightInd w:val="0"/>
      <w:spacing w:before="120" w:after="120" w:line="480" w:lineRule="exact"/>
      <w:ind w:left="1610" w:right="-12" w:firstLine="14"/>
      <w:jc w:val="left"/>
    </w:pPr>
    <w:rPr>
      <w:rFonts w:ascii="宋体" w:hAnsi="CG Times"/>
      <w:kern w:val="0"/>
      <w:szCs w:val="20"/>
    </w:rPr>
  </w:style>
  <w:style w:type="paragraph" w:styleId="15">
    <w:name w:val="Body Text 3"/>
    <w:basedOn w:val="1"/>
    <w:qFormat/>
    <w:uiPriority w:val="0"/>
    <w:rPr>
      <w:i/>
      <w:iCs/>
      <w:lang w:val="en-GB"/>
    </w:rPr>
  </w:style>
  <w:style w:type="paragraph" w:styleId="16">
    <w:name w:val="Body Text"/>
    <w:basedOn w:val="1"/>
    <w:qFormat/>
    <w:uiPriority w:val="0"/>
    <w:pPr>
      <w:widowControl/>
      <w:spacing w:after="120"/>
    </w:pPr>
    <w:rPr>
      <w:rFonts w:eastAsia="Times New Roman"/>
      <w:kern w:val="0"/>
      <w:szCs w:val="20"/>
      <w:lang w:val="en-GB"/>
    </w:rPr>
  </w:style>
  <w:style w:type="paragraph" w:styleId="17">
    <w:name w:val="Body Text Indent"/>
    <w:basedOn w:val="1"/>
    <w:qFormat/>
    <w:uiPriority w:val="0"/>
    <w:pPr>
      <w:spacing w:before="120" w:after="120"/>
      <w:ind w:left="2205"/>
    </w:pPr>
    <w:rPr>
      <w:rFonts w:ascii="宋体"/>
      <w:bCs/>
      <w:szCs w:val="20"/>
    </w:rPr>
  </w:style>
  <w:style w:type="paragraph" w:styleId="18">
    <w:name w:val="Block Text"/>
    <w:basedOn w:val="1"/>
    <w:qFormat/>
    <w:uiPriority w:val="0"/>
    <w:pPr>
      <w:spacing w:before="24" w:beforeLines="10" w:after="24" w:afterLines="10"/>
      <w:ind w:left="-107" w:leftChars="-175" w:right="18" w:hanging="313" w:hangingChars="87"/>
      <w:jc w:val="center"/>
    </w:pPr>
    <w:rPr>
      <w:rFonts w:ascii="CG Times" w:hAnsi="CG Times" w:eastAsia="黑体"/>
      <w:sz w:val="36"/>
    </w:rPr>
  </w:style>
  <w:style w:type="paragraph" w:styleId="19">
    <w:name w:val="toc 5"/>
    <w:basedOn w:val="1"/>
    <w:next w:val="1"/>
    <w:qFormat/>
    <w:uiPriority w:val="39"/>
    <w:pPr>
      <w:spacing w:before="0"/>
      <w:ind w:left="960"/>
      <w:jc w:val="left"/>
    </w:pPr>
    <w:rPr>
      <w:szCs w:val="21"/>
    </w:rPr>
  </w:style>
  <w:style w:type="paragraph" w:styleId="20">
    <w:name w:val="toc 3"/>
    <w:basedOn w:val="1"/>
    <w:next w:val="1"/>
    <w:qFormat/>
    <w:uiPriority w:val="39"/>
    <w:pPr>
      <w:spacing w:before="0"/>
      <w:ind w:left="480"/>
      <w:jc w:val="left"/>
    </w:pPr>
    <w:rPr>
      <w:i/>
      <w:iCs/>
    </w:rPr>
  </w:style>
  <w:style w:type="paragraph" w:styleId="21">
    <w:name w:val="Plain Text"/>
    <w:basedOn w:val="1"/>
    <w:qFormat/>
    <w:uiPriority w:val="0"/>
    <w:pPr>
      <w:spacing w:before="0" w:beforeLines="0" w:after="50" w:afterLines="50" w:line="312" w:lineRule="auto"/>
      <w:ind w:firstLine="200" w:firstLineChars="200"/>
    </w:pPr>
    <w:rPr>
      <w:rFonts w:cs="Courier New"/>
      <w:sz w:val="21"/>
      <w:szCs w:val="21"/>
    </w:rPr>
  </w:style>
  <w:style w:type="paragraph" w:styleId="22">
    <w:name w:val="toc 8"/>
    <w:basedOn w:val="1"/>
    <w:next w:val="1"/>
    <w:qFormat/>
    <w:uiPriority w:val="39"/>
    <w:pPr>
      <w:spacing w:before="0"/>
      <w:ind w:left="1680"/>
      <w:jc w:val="left"/>
    </w:pPr>
    <w:rPr>
      <w:szCs w:val="21"/>
    </w:rPr>
  </w:style>
  <w:style w:type="paragraph" w:styleId="23">
    <w:name w:val="Date"/>
    <w:basedOn w:val="1"/>
    <w:next w:val="1"/>
    <w:qFormat/>
    <w:uiPriority w:val="0"/>
    <w:pPr>
      <w:widowControl/>
      <w:autoSpaceDE w:val="0"/>
      <w:autoSpaceDN w:val="0"/>
      <w:adjustRightInd w:val="0"/>
      <w:spacing w:before="120" w:after="120" w:line="480" w:lineRule="exact"/>
      <w:ind w:left="1610" w:right="-12" w:firstLine="14"/>
    </w:pPr>
    <w:rPr>
      <w:rFonts w:ascii="CG Times" w:hAnsi="CG Times"/>
      <w:kern w:val="0"/>
      <w:szCs w:val="20"/>
    </w:rPr>
  </w:style>
  <w:style w:type="paragraph" w:styleId="24">
    <w:name w:val="Body Text Indent 2"/>
    <w:basedOn w:val="1"/>
    <w:qFormat/>
    <w:uiPriority w:val="0"/>
    <w:pPr>
      <w:ind w:left="720"/>
    </w:pPr>
    <w:rPr>
      <w:kern w:val="0"/>
      <w:szCs w:val="20"/>
      <w:lang w:val="en-GB"/>
    </w:rPr>
  </w:style>
  <w:style w:type="paragraph" w:styleId="25">
    <w:name w:val="Balloon Text"/>
    <w:basedOn w:val="1"/>
    <w:semiHidden/>
    <w:qFormat/>
    <w:uiPriority w:val="0"/>
    <w:rPr>
      <w:rFonts w:ascii="Tahoma" w:hAnsi="Tahoma" w:cs="Tahoma"/>
      <w:sz w:val="16"/>
      <w:szCs w:val="16"/>
    </w:rPr>
  </w:style>
  <w:style w:type="paragraph" w:styleId="26">
    <w:name w:val="footer"/>
    <w:basedOn w:val="1"/>
    <w:qFormat/>
    <w:uiPriority w:val="0"/>
    <w:pPr>
      <w:widowControl/>
      <w:tabs>
        <w:tab w:val="center" w:pos="4153"/>
        <w:tab w:val="right" w:pos="8306"/>
      </w:tabs>
    </w:pPr>
    <w:rPr>
      <w:kern w:val="0"/>
      <w:szCs w:val="20"/>
      <w:lang w:val="en-GB"/>
    </w:rPr>
  </w:style>
  <w:style w:type="paragraph" w:styleId="27">
    <w:name w:val="header"/>
    <w:basedOn w:val="1"/>
    <w:link w:val="64"/>
    <w:qFormat/>
    <w:uiPriority w:val="99"/>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1200"/>
        <w:tab w:val="right" w:leader="dot" w:pos="9071"/>
      </w:tabs>
      <w:spacing w:before="120" w:after="120"/>
      <w:jc w:val="left"/>
    </w:pPr>
    <w:rPr>
      <w:b/>
      <w:bCs/>
      <w:caps/>
    </w:rPr>
  </w:style>
  <w:style w:type="paragraph" w:styleId="29">
    <w:name w:val="toc 4"/>
    <w:basedOn w:val="1"/>
    <w:next w:val="1"/>
    <w:qFormat/>
    <w:uiPriority w:val="39"/>
    <w:pPr>
      <w:spacing w:before="0"/>
      <w:ind w:left="720"/>
      <w:jc w:val="left"/>
    </w:pPr>
    <w:rPr>
      <w:szCs w:val="21"/>
    </w:rPr>
  </w:style>
  <w:style w:type="paragraph" w:styleId="30">
    <w:name w:val="footnote text"/>
    <w:basedOn w:val="1"/>
    <w:semiHidden/>
    <w:qFormat/>
    <w:uiPriority w:val="0"/>
    <w:pPr>
      <w:autoSpaceDE w:val="0"/>
      <w:autoSpaceDN w:val="0"/>
      <w:adjustRightInd w:val="0"/>
      <w:spacing w:before="0" w:beforeLines="0" w:line="315" w:lineRule="atLeast"/>
      <w:jc w:val="left"/>
    </w:pPr>
    <w:rPr>
      <w:rFonts w:ascii="宋体"/>
      <w:kern w:val="0"/>
      <w:sz w:val="18"/>
      <w:szCs w:val="20"/>
    </w:rPr>
  </w:style>
  <w:style w:type="paragraph" w:styleId="31">
    <w:name w:val="toc 6"/>
    <w:basedOn w:val="1"/>
    <w:next w:val="1"/>
    <w:qFormat/>
    <w:uiPriority w:val="39"/>
    <w:pPr>
      <w:spacing w:before="0"/>
      <w:ind w:left="1200"/>
      <w:jc w:val="left"/>
    </w:pPr>
    <w:rPr>
      <w:szCs w:val="21"/>
    </w:rPr>
  </w:style>
  <w:style w:type="paragraph" w:styleId="32">
    <w:name w:val="Body Text Indent 3"/>
    <w:basedOn w:val="1"/>
    <w:qFormat/>
    <w:uiPriority w:val="0"/>
    <w:pPr>
      <w:tabs>
        <w:tab w:val="left" w:pos="851"/>
      </w:tabs>
      <w:adjustRightInd w:val="0"/>
      <w:spacing w:before="120" w:after="120"/>
      <w:ind w:left="420" w:leftChars="200"/>
      <w:jc w:val="left"/>
    </w:pPr>
    <w:rPr>
      <w:sz w:val="16"/>
      <w:szCs w:val="16"/>
    </w:rPr>
  </w:style>
  <w:style w:type="paragraph" w:styleId="33">
    <w:name w:val="toc 2"/>
    <w:basedOn w:val="1"/>
    <w:next w:val="1"/>
    <w:qFormat/>
    <w:uiPriority w:val="39"/>
    <w:pPr>
      <w:tabs>
        <w:tab w:val="left" w:pos="1276"/>
        <w:tab w:val="right" w:leader="dot" w:pos="9071"/>
      </w:tabs>
      <w:spacing w:before="120" w:line="264" w:lineRule="auto"/>
      <w:ind w:left="238"/>
      <w:jc w:val="left"/>
    </w:pPr>
    <w:rPr>
      <w:smallCaps/>
      <w:kern w:val="0"/>
    </w:rPr>
  </w:style>
  <w:style w:type="paragraph" w:styleId="34">
    <w:name w:val="toc 9"/>
    <w:basedOn w:val="1"/>
    <w:next w:val="1"/>
    <w:qFormat/>
    <w:uiPriority w:val="39"/>
    <w:pPr>
      <w:spacing w:before="0"/>
      <w:ind w:left="1920"/>
      <w:jc w:val="left"/>
    </w:pPr>
    <w:rPr>
      <w:szCs w:val="21"/>
    </w:rPr>
  </w:style>
  <w:style w:type="paragraph" w:styleId="35">
    <w:name w:val="Body Text 2"/>
    <w:basedOn w:val="1"/>
    <w:qFormat/>
    <w:uiPriority w:val="0"/>
    <w:pPr>
      <w:widowControl/>
      <w:spacing w:before="360" w:line="336" w:lineRule="auto"/>
      <w:jc w:val="left"/>
    </w:pPr>
    <w:rPr>
      <w:rFonts w:eastAsia="黑体"/>
      <w:kern w:val="0"/>
      <w:szCs w:val="20"/>
      <w:lang w:val="en-GB"/>
    </w:rPr>
  </w:style>
  <w:style w:type="paragraph" w:styleId="36">
    <w:name w:val="Normal (Web)"/>
    <w:basedOn w:val="1"/>
    <w:qFormat/>
    <w:uiPriority w:val="99"/>
    <w:pPr>
      <w:widowControl/>
      <w:spacing w:before="0" w:beforeLines="0" w:after="50" w:afterLines="50" w:line="312" w:lineRule="auto"/>
      <w:ind w:firstLine="200" w:firstLineChars="200"/>
      <w:jc w:val="left"/>
    </w:pPr>
    <w:rPr>
      <w:rFonts w:ascii="宋体" w:hAnsi="宋体"/>
      <w:kern w:val="0"/>
      <w:sz w:val="21"/>
    </w:rPr>
  </w:style>
  <w:style w:type="paragraph" w:styleId="37">
    <w:name w:val="Title"/>
    <w:basedOn w:val="1"/>
    <w:link w:val="70"/>
    <w:qFormat/>
    <w:uiPriority w:val="0"/>
    <w:pPr>
      <w:numPr>
        <w:ilvl w:val="0"/>
        <w:numId w:val="3"/>
      </w:numPr>
      <w:spacing w:before="120" w:after="60"/>
      <w:jc w:val="center"/>
      <w:outlineLvl w:val="0"/>
    </w:pPr>
    <w:rPr>
      <w:rFonts w:ascii="Arial" w:hAnsi="Arial" w:cs="Arial"/>
      <w:b/>
      <w:bCs/>
      <w:sz w:val="28"/>
      <w:szCs w:val="28"/>
    </w:rPr>
  </w:style>
  <w:style w:type="paragraph" w:styleId="38">
    <w:name w:val="annotation subject"/>
    <w:basedOn w:val="14"/>
    <w:next w:val="14"/>
    <w:semiHidden/>
    <w:qFormat/>
    <w:uiPriority w:val="0"/>
    <w:pPr>
      <w:widowControl w:val="0"/>
      <w:autoSpaceDE/>
      <w:autoSpaceDN/>
      <w:adjustRightInd/>
      <w:spacing w:before="50" w:after="0" w:line="360" w:lineRule="auto"/>
      <w:ind w:left="0" w:right="0" w:firstLine="0"/>
      <w:jc w:val="both"/>
    </w:pPr>
    <w:rPr>
      <w:rFonts w:ascii="Times New Roman" w:hAnsi="Times New Roman"/>
      <w:b/>
      <w:bCs/>
      <w:kern w:val="2"/>
      <w:sz w:val="20"/>
    </w:rPr>
  </w:style>
  <w:style w:type="table" w:styleId="40">
    <w:name w:val="Table Grid"/>
    <w:basedOn w:val="3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2">
    <w:name w:val="page number"/>
    <w:basedOn w:val="41"/>
    <w:qFormat/>
    <w:uiPriority w:val="0"/>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styleId="45">
    <w:name w:val="annotation reference"/>
    <w:semiHidden/>
    <w:qFormat/>
    <w:uiPriority w:val="0"/>
    <w:rPr>
      <w:sz w:val="21"/>
    </w:rPr>
  </w:style>
  <w:style w:type="character" w:styleId="46">
    <w:name w:val="footnote reference"/>
    <w:semiHidden/>
    <w:qFormat/>
    <w:uiPriority w:val="0"/>
    <w:rPr>
      <w:vertAlign w:val="superscript"/>
    </w:rPr>
  </w:style>
  <w:style w:type="paragraph" w:customStyle="1" w:styleId="47">
    <w:name w:val="正文一级"/>
    <w:basedOn w:val="1"/>
    <w:qFormat/>
    <w:uiPriority w:val="0"/>
    <w:pPr>
      <w:widowControl/>
      <w:autoSpaceDE w:val="0"/>
      <w:autoSpaceDN w:val="0"/>
      <w:adjustRightInd w:val="0"/>
      <w:spacing w:before="120" w:after="120"/>
      <w:ind w:left="567" w:right="-11"/>
    </w:pPr>
    <w:rPr>
      <w:rFonts w:ascii="宋体" w:hAnsi="CG Times"/>
      <w:kern w:val="0"/>
      <w:szCs w:val="20"/>
    </w:rPr>
  </w:style>
  <w:style w:type="paragraph" w:customStyle="1" w:styleId="48">
    <w:name w:val="正文二级"/>
    <w:basedOn w:val="1"/>
    <w:qFormat/>
    <w:uiPriority w:val="0"/>
    <w:pPr>
      <w:spacing w:before="120" w:after="120" w:afterLines="50"/>
      <w:ind w:left="600" w:leftChars="250"/>
    </w:pPr>
    <w:rPr>
      <w:rFonts w:ascii="CG Times" w:hAnsi="CG Times"/>
      <w:szCs w:val="20"/>
    </w:rPr>
  </w:style>
  <w:style w:type="paragraph" w:customStyle="1" w:styleId="49">
    <w:name w:val="s19qjli960sb120sa120sl36"/>
    <w:qFormat/>
    <w:uiPriority w:val="0"/>
    <w:pPr>
      <w:widowControl w:val="0"/>
      <w:autoSpaceDE w:val="0"/>
      <w:autoSpaceDN w:val="0"/>
      <w:adjustRightInd w:val="0"/>
    </w:pPr>
    <w:rPr>
      <w:rFonts w:ascii="仿宋体" w:hAnsi="Times New Roman" w:eastAsia="仿宋体" w:cs="Times New Roman"/>
      <w:lang w:val="en-US" w:eastAsia="zh-CN" w:bidi="ar-SA"/>
    </w:rPr>
  </w:style>
  <w:style w:type="paragraph" w:customStyle="1" w:styleId="50">
    <w:name w:val="Style1"/>
    <w:basedOn w:val="2"/>
    <w:qFormat/>
    <w:uiPriority w:val="0"/>
    <w:pPr>
      <w:numPr>
        <w:numId w:val="0"/>
      </w:numPr>
      <w:tabs>
        <w:tab w:val="left" w:pos="2506"/>
      </w:tabs>
      <w:outlineLvl w:val="9"/>
    </w:pPr>
  </w:style>
  <w:style w:type="paragraph" w:customStyle="1" w:styleId="51">
    <w:name w:val="正文三级"/>
    <w:basedOn w:val="1"/>
    <w:qFormat/>
    <w:uiPriority w:val="0"/>
    <w:pPr>
      <w:widowControl/>
      <w:autoSpaceDE w:val="0"/>
      <w:autoSpaceDN w:val="0"/>
      <w:adjustRightInd w:val="0"/>
      <w:spacing w:before="120" w:after="120" w:afterLines="50"/>
      <w:ind w:left="958" w:right="-11"/>
    </w:pPr>
    <w:rPr>
      <w:rFonts w:ascii="CG Times" w:hAnsi="CG Times"/>
      <w:color w:val="000000"/>
      <w:kern w:val="0"/>
      <w:szCs w:val="20"/>
    </w:rPr>
  </w:style>
  <w:style w:type="paragraph" w:customStyle="1" w:styleId="52">
    <w:name w:val="alpha 3"/>
    <w:basedOn w:val="1"/>
    <w:qFormat/>
    <w:uiPriority w:val="0"/>
    <w:pPr>
      <w:widowControl/>
      <w:numPr>
        <w:ilvl w:val="0"/>
        <w:numId w:val="4"/>
      </w:numPr>
    </w:pPr>
    <w:rPr>
      <w:kern w:val="0"/>
      <w:szCs w:val="20"/>
      <w:lang w:val="en-GB"/>
    </w:rPr>
  </w:style>
  <w:style w:type="paragraph" w:customStyle="1" w:styleId="53">
    <w:name w:val="正文四级"/>
    <w:basedOn w:val="1"/>
    <w:qFormat/>
    <w:uiPriority w:val="0"/>
    <w:pPr>
      <w:widowControl/>
      <w:autoSpaceDE w:val="0"/>
      <w:autoSpaceDN w:val="0"/>
      <w:adjustRightInd w:val="0"/>
      <w:spacing w:before="156" w:after="156" w:afterLines="50" w:line="480" w:lineRule="exact"/>
      <w:ind w:left="1980" w:right="-12"/>
    </w:pPr>
    <w:rPr>
      <w:rFonts w:ascii="CG Times" w:hAnsi="CG Times"/>
      <w:bCs/>
      <w:kern w:val="0"/>
      <w:szCs w:val="20"/>
    </w:rPr>
  </w:style>
  <w:style w:type="paragraph" w:customStyle="1" w:styleId="54">
    <w:name w:val="正文五级"/>
    <w:basedOn w:val="53"/>
    <w:qFormat/>
    <w:uiPriority w:val="0"/>
    <w:pPr>
      <w:ind w:left="1440" w:leftChars="300" w:hanging="720" w:hangingChars="300"/>
    </w:pPr>
    <w:rPr>
      <w:b/>
      <w:bCs w:val="0"/>
    </w:rPr>
  </w:style>
  <w:style w:type="paragraph" w:customStyle="1" w:styleId="55">
    <w:name w:val="(1)"/>
    <w:basedOn w:val="1"/>
    <w:qFormat/>
    <w:uiPriority w:val="0"/>
    <w:pPr>
      <w:widowControl/>
      <w:tabs>
        <w:tab w:val="left" w:pos="851"/>
      </w:tabs>
      <w:overflowPunct w:val="0"/>
      <w:autoSpaceDE w:val="0"/>
      <w:autoSpaceDN w:val="0"/>
      <w:adjustRightInd w:val="0"/>
      <w:spacing w:before="120" w:after="120"/>
      <w:jc w:val="left"/>
      <w:textAlignment w:val="baseline"/>
    </w:pPr>
    <w:rPr>
      <w:rFonts w:ascii="宋体"/>
      <w:kern w:val="0"/>
      <w:szCs w:val="20"/>
    </w:rPr>
  </w:style>
  <w:style w:type="paragraph" w:customStyle="1" w:styleId="56">
    <w:name w:val="标准段"/>
    <w:basedOn w:val="1"/>
    <w:qFormat/>
    <w:uiPriority w:val="0"/>
    <w:pPr>
      <w:widowControl/>
      <w:overflowPunct w:val="0"/>
      <w:autoSpaceDE w:val="0"/>
      <w:adjustRightInd w:val="0"/>
      <w:snapToGrid w:val="0"/>
      <w:spacing w:before="100" w:beforeAutospacing="1" w:after="100" w:afterAutospacing="1"/>
      <w:ind w:left="718" w:leftChars="342" w:right="26"/>
      <w:textAlignment w:val="baseline"/>
    </w:pPr>
    <w:rPr>
      <w:bCs/>
      <w:color w:val="000000"/>
      <w:kern w:val="0"/>
      <w:szCs w:val="20"/>
    </w:rPr>
  </w:style>
  <w:style w:type="paragraph" w:customStyle="1" w:styleId="57">
    <w:name w:val="p"/>
    <w:basedOn w:val="1"/>
    <w:qFormat/>
    <w:uiPriority w:val="0"/>
    <w:pPr>
      <w:widowControl/>
      <w:overflowPunct w:val="0"/>
      <w:autoSpaceDE w:val="0"/>
      <w:autoSpaceDN w:val="0"/>
      <w:adjustRightInd w:val="0"/>
      <w:spacing w:before="120" w:line="264" w:lineRule="auto"/>
      <w:ind w:right="-57"/>
      <w:textAlignment w:val="baseline"/>
    </w:pPr>
    <w:rPr>
      <w:rFonts w:ascii="宋体"/>
      <w:kern w:val="0"/>
      <w:szCs w:val="20"/>
    </w:rPr>
  </w:style>
  <w:style w:type="paragraph" w:customStyle="1" w:styleId="58">
    <w:name w:val="1"/>
    <w:basedOn w:val="1"/>
    <w:next w:val="32"/>
    <w:qFormat/>
    <w:uiPriority w:val="0"/>
    <w:pPr>
      <w:spacing w:before="240" w:beforeLines="100"/>
      <w:ind w:left="840" w:leftChars="400"/>
    </w:pPr>
    <w:rPr>
      <w:spacing w:val="-10"/>
    </w:rPr>
  </w:style>
  <w:style w:type="paragraph" w:customStyle="1" w:styleId="59">
    <w:name w:val="Body Text 21"/>
    <w:basedOn w:val="1"/>
    <w:qFormat/>
    <w:uiPriority w:val="0"/>
    <w:pPr>
      <w:spacing w:before="120"/>
    </w:pPr>
    <w:rPr>
      <w:rFonts w:ascii="Arial" w:hAnsi="Arial"/>
      <w:kern w:val="0"/>
      <w:szCs w:val="20"/>
    </w:rPr>
  </w:style>
  <w:style w:type="paragraph" w:customStyle="1" w:styleId="60">
    <w:name w:val="批注框文本1"/>
    <w:basedOn w:val="1"/>
    <w:semiHidden/>
    <w:qFormat/>
    <w:uiPriority w:val="0"/>
    <w:rPr>
      <w:sz w:val="18"/>
      <w:szCs w:val="18"/>
    </w:rPr>
  </w:style>
  <w:style w:type="paragraph" w:customStyle="1" w:styleId="61">
    <w:name w:val="标准"/>
    <w:basedOn w:val="1"/>
    <w:qFormat/>
    <w:uiPriority w:val="0"/>
    <w:pPr>
      <w:adjustRightInd w:val="0"/>
      <w:spacing w:before="0" w:beforeLines="0" w:line="312" w:lineRule="atLeast"/>
      <w:textAlignment w:val="baseline"/>
    </w:pPr>
    <w:rPr>
      <w:rFonts w:ascii="宋体"/>
      <w:kern w:val="0"/>
      <w:sz w:val="28"/>
      <w:szCs w:val="20"/>
    </w:rPr>
  </w:style>
  <w:style w:type="paragraph" w:customStyle="1" w:styleId="62">
    <w:name w:val="样式 左侧:  1.27 厘米 段前: 6 磅 段后: 7.8 磅"/>
    <w:basedOn w:val="1"/>
    <w:qFormat/>
    <w:uiPriority w:val="0"/>
    <w:pPr>
      <w:spacing w:before="120" w:beforeLines="0" w:after="156" w:line="240" w:lineRule="auto"/>
      <w:ind w:left="720"/>
    </w:pPr>
    <w:rPr>
      <w:rFonts w:cs="宋体"/>
      <w:szCs w:val="20"/>
    </w:rPr>
  </w:style>
  <w:style w:type="paragraph" w:customStyle="1" w:styleId="63">
    <w:name w:val="样式 标题 3 + 段前: 0.5 行 段后: 0.5 行"/>
    <w:basedOn w:val="5"/>
    <w:qFormat/>
    <w:uiPriority w:val="0"/>
    <w:pPr>
      <w:keepNext/>
      <w:keepLines/>
      <w:numPr>
        <w:ilvl w:val="0"/>
        <w:numId w:val="0"/>
      </w:numPr>
      <w:tabs>
        <w:tab w:val="left" w:pos="1080"/>
      </w:tabs>
      <w:autoSpaceDE/>
      <w:autoSpaceDN/>
      <w:adjustRightInd/>
      <w:spacing w:before="298" w:after="149" w:afterLines="25" w:line="400" w:lineRule="exact"/>
      <w:ind w:left="709" w:hanging="709"/>
    </w:pPr>
    <w:rPr>
      <w:rFonts w:ascii="Times New Roman" w:hAnsi="Times New Roman" w:eastAsia="黑体"/>
      <w:b/>
      <w:bCs/>
      <w:color w:val="auto"/>
      <w:spacing w:val="10"/>
      <w:kern w:val="2"/>
      <w:sz w:val="30"/>
    </w:rPr>
  </w:style>
  <w:style w:type="character" w:customStyle="1" w:styleId="64">
    <w:name w:val="页眉字符"/>
    <w:link w:val="27"/>
    <w:qFormat/>
    <w:uiPriority w:val="99"/>
    <w:rPr>
      <w:kern w:val="2"/>
      <w:sz w:val="18"/>
      <w:szCs w:val="18"/>
    </w:rPr>
  </w:style>
  <w:style w:type="character" w:styleId="65">
    <w:name w:val="Placeholder Text"/>
    <w:semiHidden/>
    <w:qFormat/>
    <w:uiPriority w:val="99"/>
    <w:rPr>
      <w:color w:val="808080"/>
    </w:rPr>
  </w:style>
  <w:style w:type="paragraph" w:styleId="66">
    <w:name w:val="List Paragraph"/>
    <w:basedOn w:val="1"/>
    <w:link w:val="71"/>
    <w:qFormat/>
    <w:uiPriority w:val="34"/>
    <w:pPr>
      <w:ind w:firstLine="420" w:firstLineChars="200"/>
    </w:pPr>
  </w:style>
  <w:style w:type="paragraph" w:customStyle="1" w:styleId="67">
    <w:name w:val="List Paragraph2"/>
    <w:basedOn w:val="1"/>
    <w:qFormat/>
    <w:uiPriority w:val="0"/>
    <w:pPr>
      <w:spacing w:before="0" w:beforeLines="0"/>
      <w:ind w:firstLine="420" w:firstLineChars="200"/>
    </w:pPr>
    <w:rPr>
      <w:sz w:val="21"/>
      <w:szCs w:val="22"/>
    </w:rPr>
  </w:style>
  <w:style w:type="character" w:customStyle="1" w:styleId="68">
    <w:name w:val="标题 3字符"/>
    <w:link w:val="5"/>
    <w:qFormat/>
    <w:uiPriority w:val="0"/>
    <w:rPr>
      <w:rFonts w:ascii="CG Times" w:hAnsi="CG Times"/>
      <w:color w:val="000000"/>
      <w:sz w:val="24"/>
    </w:rPr>
  </w:style>
  <w:style w:type="character" w:customStyle="1" w:styleId="69">
    <w:name w:val="标题 1字符"/>
    <w:link w:val="2"/>
    <w:qFormat/>
    <w:uiPriority w:val="0"/>
    <w:rPr>
      <w:rFonts w:ascii="CG Times" w:hAnsi="CG Times"/>
      <w:b/>
      <w:sz w:val="28"/>
    </w:rPr>
  </w:style>
  <w:style w:type="character" w:customStyle="1" w:styleId="70">
    <w:name w:val="标题字符"/>
    <w:link w:val="37"/>
    <w:qFormat/>
    <w:locked/>
    <w:uiPriority w:val="0"/>
    <w:rPr>
      <w:rFonts w:ascii="Arial" w:hAnsi="Arial" w:cs="Arial"/>
      <w:b/>
      <w:bCs/>
      <w:kern w:val="2"/>
      <w:sz w:val="28"/>
      <w:szCs w:val="28"/>
    </w:rPr>
  </w:style>
  <w:style w:type="character" w:customStyle="1" w:styleId="71">
    <w:name w:val="列出段落字符"/>
    <w:link w:val="66"/>
    <w:qFormat/>
    <w:uiPriority w:val="34"/>
    <w:rPr>
      <w:kern w:val="2"/>
      <w:sz w:val="24"/>
      <w:szCs w:val="24"/>
    </w:rPr>
  </w:style>
  <w:style w:type="paragraph" w:customStyle="1" w:styleId="72">
    <w:name w:val="AODocTxt"/>
    <w:basedOn w:val="1"/>
    <w:qFormat/>
    <w:uiPriority w:val="0"/>
    <w:pPr>
      <w:widowControl/>
      <w:numPr>
        <w:ilvl w:val="0"/>
        <w:numId w:val="5"/>
      </w:numPr>
      <w:spacing w:before="240" w:line="260" w:lineRule="atLeast"/>
    </w:pPr>
    <w:rPr>
      <w:kern w:val="0"/>
      <w:sz w:val="22"/>
      <w:szCs w:val="20"/>
      <w:lang w:val="en-GB" w:eastAsia="en-US"/>
    </w:rPr>
  </w:style>
  <w:style w:type="paragraph" w:customStyle="1" w:styleId="73">
    <w:name w:val="AODocTxtL1"/>
    <w:basedOn w:val="72"/>
    <w:qFormat/>
    <w:uiPriority w:val="0"/>
    <w:pPr>
      <w:numPr>
        <w:ilvl w:val="1"/>
      </w:numPr>
      <w:tabs>
        <w:tab w:val="left" w:pos="360"/>
        <w:tab w:val="left" w:pos="851"/>
      </w:tabs>
      <w:ind w:left="851" w:hanging="851"/>
    </w:pPr>
  </w:style>
  <w:style w:type="paragraph" w:customStyle="1" w:styleId="74">
    <w:name w:val="AODocTxtL2"/>
    <w:basedOn w:val="72"/>
    <w:qFormat/>
    <w:uiPriority w:val="0"/>
    <w:pPr>
      <w:numPr>
        <w:ilvl w:val="2"/>
      </w:numPr>
      <w:tabs>
        <w:tab w:val="left" w:pos="360"/>
        <w:tab w:val="left" w:pos="720"/>
        <w:tab w:val="left" w:pos="1260"/>
      </w:tabs>
      <w:ind w:left="720" w:hanging="720"/>
    </w:pPr>
  </w:style>
  <w:style w:type="paragraph" w:customStyle="1" w:styleId="75">
    <w:name w:val="AODocTxtL3"/>
    <w:basedOn w:val="72"/>
    <w:qFormat/>
    <w:uiPriority w:val="0"/>
    <w:pPr>
      <w:numPr>
        <w:ilvl w:val="3"/>
      </w:numPr>
      <w:tabs>
        <w:tab w:val="left" w:pos="360"/>
        <w:tab w:val="left" w:pos="720"/>
        <w:tab w:val="left" w:pos="1680"/>
      </w:tabs>
      <w:ind w:left="720" w:hanging="720"/>
    </w:pPr>
  </w:style>
  <w:style w:type="paragraph" w:customStyle="1" w:styleId="76">
    <w:name w:val="AODocTxtL4"/>
    <w:basedOn w:val="72"/>
    <w:qFormat/>
    <w:uiPriority w:val="0"/>
    <w:pPr>
      <w:numPr>
        <w:ilvl w:val="4"/>
      </w:numPr>
      <w:tabs>
        <w:tab w:val="left" w:pos="360"/>
        <w:tab w:val="left" w:pos="1080"/>
        <w:tab w:val="left" w:pos="2100"/>
      </w:tabs>
      <w:ind w:left="1080" w:hanging="1080"/>
    </w:pPr>
  </w:style>
  <w:style w:type="paragraph" w:customStyle="1" w:styleId="77">
    <w:name w:val="AODocTxtL5"/>
    <w:basedOn w:val="72"/>
    <w:qFormat/>
    <w:uiPriority w:val="0"/>
    <w:pPr>
      <w:numPr>
        <w:ilvl w:val="5"/>
      </w:numPr>
      <w:tabs>
        <w:tab w:val="left" w:pos="360"/>
        <w:tab w:val="left" w:pos="1080"/>
        <w:tab w:val="left" w:pos="2520"/>
      </w:tabs>
      <w:ind w:left="1080" w:hanging="1080"/>
    </w:pPr>
  </w:style>
  <w:style w:type="paragraph" w:customStyle="1" w:styleId="78">
    <w:name w:val="AODocTxtL6"/>
    <w:basedOn w:val="72"/>
    <w:qFormat/>
    <w:uiPriority w:val="0"/>
    <w:pPr>
      <w:numPr>
        <w:ilvl w:val="6"/>
      </w:numPr>
      <w:tabs>
        <w:tab w:val="left" w:pos="360"/>
        <w:tab w:val="left" w:pos="1440"/>
        <w:tab w:val="left" w:pos="2940"/>
      </w:tabs>
      <w:ind w:left="1440" w:hanging="1440"/>
    </w:pPr>
  </w:style>
  <w:style w:type="paragraph" w:customStyle="1" w:styleId="79">
    <w:name w:val="AODocTxtL7"/>
    <w:basedOn w:val="72"/>
    <w:qFormat/>
    <w:uiPriority w:val="0"/>
    <w:pPr>
      <w:numPr>
        <w:ilvl w:val="7"/>
      </w:numPr>
      <w:tabs>
        <w:tab w:val="left" w:pos="360"/>
        <w:tab w:val="left" w:pos="1440"/>
        <w:tab w:val="left" w:pos="3360"/>
      </w:tabs>
      <w:ind w:left="1440" w:hanging="1440"/>
    </w:pPr>
  </w:style>
  <w:style w:type="paragraph" w:customStyle="1" w:styleId="80">
    <w:name w:val="AODocTxtL8"/>
    <w:basedOn w:val="72"/>
    <w:qFormat/>
    <w:uiPriority w:val="0"/>
    <w:pPr>
      <w:numPr>
        <w:ilvl w:val="8"/>
      </w:numPr>
      <w:tabs>
        <w:tab w:val="left" w:pos="360"/>
        <w:tab w:val="left" w:pos="1800"/>
        <w:tab w:val="left" w:pos="3780"/>
      </w:tabs>
      <w:ind w:left="1800" w:hanging="1800"/>
    </w:pPr>
  </w:style>
  <w:style w:type="paragraph" w:customStyle="1" w:styleId="81">
    <w:name w:val="正的文"/>
    <w:basedOn w:val="1"/>
    <w:link w:val="82"/>
    <w:qFormat/>
    <w:uiPriority w:val="0"/>
    <w:pPr>
      <w:spacing w:before="156"/>
      <w:ind w:firstLine="480" w:firstLineChars="200"/>
    </w:pPr>
    <w:rPr>
      <w:lang w:val="zh-CN" w:eastAsia="zh-CN"/>
    </w:rPr>
  </w:style>
  <w:style w:type="character" w:customStyle="1" w:styleId="82">
    <w:name w:val="正的文 Char"/>
    <w:link w:val="81"/>
    <w:qFormat/>
    <w:uiPriority w:val="0"/>
    <w:rPr>
      <w:kern w:val="2"/>
      <w:sz w:val="24"/>
      <w:szCs w:val="24"/>
      <w:lang w:val="zh-CN" w:eastAsia="zh-CN"/>
    </w:rPr>
  </w:style>
  <w:style w:type="paragraph" w:customStyle="1" w:styleId="83">
    <w:name w:val="列出段落1"/>
    <w:basedOn w:val="1"/>
    <w:qFormat/>
    <w:uiPriority w:val="99"/>
    <w:pPr>
      <w:spacing w:before="0" w:beforeLines="0" w:line="240" w:lineRule="auto"/>
      <w:ind w:firstLine="420" w:firstLineChars="200"/>
    </w:pPr>
    <w:rPr>
      <w:rFonts w:ascii="Calibri" w:hAnsi="Calibri"/>
      <w:sz w:val="21"/>
      <w:szCs w:val="22"/>
    </w:rPr>
  </w:style>
  <w:style w:type="character" w:customStyle="1" w:styleId="84">
    <w:name w:val="纯文本 Char"/>
    <w:qFormat/>
    <w:uiPriority w:val="99"/>
    <w:rPr>
      <w:rFonts w:ascii="宋体" w:hAnsi="Courier New"/>
      <w:kern w:val="2"/>
      <w:sz w:val="21"/>
    </w:rPr>
  </w:style>
  <w:style w:type="paragraph" w:customStyle="1" w:styleId="85">
    <w:name w:val="Blockquote"/>
    <w:uiPriority w:val="0"/>
    <w:pPr>
      <w:widowControl w:val="0"/>
      <w:overflowPunct w:val="0"/>
      <w:autoSpaceDE w:val="0"/>
      <w:autoSpaceDN w:val="0"/>
      <w:adjustRightInd w:val="0"/>
      <w:spacing w:before="100" w:after="100"/>
      <w:ind w:left="764" w:right="567"/>
    </w:pPr>
    <w:rPr>
      <w:rFonts w:ascii="Times New Roman" w:hAnsi="Times New Roman" w:eastAsia="Times New Roman" w:cs="Times New Roman"/>
      <w:sz w:val="24"/>
      <w:szCs w:val="22"/>
      <w:lang w:val="en-US" w:eastAsia="zh-CN" w:bidi="ar-SA"/>
    </w:rPr>
  </w:style>
  <w:style w:type="character" w:customStyle="1" w:styleId="86">
    <w:name w:val="无"/>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theme" Target="theme/theme1.xml"/><Relationship Id="rId3" Type="http://schemas.openxmlformats.org/officeDocument/2006/relationships/header" Target="header1.xml"/><Relationship Id="rId29" Type="http://schemas.openxmlformats.org/officeDocument/2006/relationships/footer" Target="footer14.xml"/><Relationship Id="rId28" Type="http://schemas.openxmlformats.org/officeDocument/2006/relationships/footer" Target="footer13.xml"/><Relationship Id="rId27" Type="http://schemas.openxmlformats.org/officeDocument/2006/relationships/header" Target="header13.xml"/><Relationship Id="rId26" Type="http://schemas.openxmlformats.org/officeDocument/2006/relationships/footer" Target="footer12.xml"/><Relationship Id="rId25" Type="http://schemas.openxmlformats.org/officeDocument/2006/relationships/footer" Target="footer11.xml"/><Relationship Id="rId24" Type="http://schemas.openxmlformats.org/officeDocument/2006/relationships/header" Target="header12.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61B319-0253-C04D-961C-64E8900F6B85}">
  <ds:schemaRefs/>
</ds:datastoreItem>
</file>

<file path=docProps/app.xml><?xml version="1.0" encoding="utf-8"?>
<Properties xmlns="http://schemas.openxmlformats.org/officeDocument/2006/extended-properties" xmlns:vt="http://schemas.openxmlformats.org/officeDocument/2006/docPropsVTypes">
  <Template>Normal.dotm</Template>
  <Company>大岳</Company>
  <Pages>127</Pages>
  <Words>11701</Words>
  <Characters>66702</Characters>
  <Lines>555</Lines>
  <Paragraphs>156</Paragraphs>
  <TotalTime>3</TotalTime>
  <ScaleCrop>false</ScaleCrop>
  <LinksUpToDate>false</LinksUpToDate>
  <CharactersWithSpaces>78247</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2017-10-09T03:06:00Z</dcterms:created>
  <dc:creator>孙雷刚</dc:creator>
  <cp:lastModifiedBy>陈磊Dino</cp:lastModifiedBy>
  <cp:lastPrinted>2017-08-30T07:51:00Z</cp:lastPrinted>
  <dcterms:modified xsi:type="dcterms:W3CDTF">2019-08-05T08:30:25Z</dcterms:modified>
  <dc:subject>特许经营协议</dc:subject>
  <dc:title>黄石市汪仁污水处理厂BOT项目特许经营协议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